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color w:val="auto"/>
          <w:kern w:val="0"/>
          <w:sz w:val="84"/>
          <w:szCs w:val="84"/>
          <w:highlight w:val="none"/>
        </w:rPr>
      </w:pPr>
      <w:r>
        <w:rPr>
          <w:rFonts w:ascii="宋体" w:hAnsi="宋体" w:cs="宋体"/>
          <w:b/>
          <w:bCs/>
          <w:color w:val="auto"/>
          <w:kern w:val="0"/>
          <w:sz w:val="84"/>
          <w:szCs w:val="84"/>
          <w:highlight w:val="none"/>
        </w:rPr>
        <w:t xml:space="preserve"> </w:t>
      </w:r>
    </w:p>
    <w:p>
      <w:pPr>
        <w:autoSpaceDE w:val="0"/>
        <w:autoSpaceDN w:val="0"/>
        <w:adjustRightInd w:val="0"/>
        <w:spacing w:line="360" w:lineRule="auto"/>
        <w:rPr>
          <w:rFonts w:ascii="宋体" w:cs="宋体"/>
          <w:b/>
          <w:bCs/>
          <w:color w:val="auto"/>
          <w:kern w:val="0"/>
          <w:sz w:val="84"/>
          <w:szCs w:val="84"/>
          <w:highlight w:val="none"/>
          <w:lang w:val="zh-CN"/>
        </w:rPr>
      </w:pPr>
    </w:p>
    <w:p>
      <w:pPr>
        <w:autoSpaceDE w:val="0"/>
        <w:autoSpaceDN w:val="0"/>
        <w:adjustRightInd w:val="0"/>
        <w:spacing w:line="360" w:lineRule="auto"/>
        <w:ind w:firstLine="1687" w:firstLineChars="200"/>
        <w:rPr>
          <w:rFonts w:ascii="宋体" w:cs="宋体"/>
          <w:b/>
          <w:bCs/>
          <w:color w:val="auto"/>
          <w:kern w:val="0"/>
          <w:sz w:val="84"/>
          <w:szCs w:val="84"/>
          <w:highlight w:val="none"/>
        </w:rPr>
      </w:pPr>
      <w:r>
        <w:rPr>
          <w:rFonts w:hint="eastAsia" w:ascii="宋体" w:hAnsi="宋体" w:cs="宋体"/>
          <w:b/>
          <w:bCs/>
          <w:color w:val="auto"/>
          <w:kern w:val="0"/>
          <w:sz w:val="84"/>
          <w:szCs w:val="84"/>
          <w:highlight w:val="none"/>
          <w:lang w:val="zh-CN"/>
        </w:rPr>
        <w:t>公开招标文件</w:t>
      </w:r>
    </w:p>
    <w:p>
      <w:pPr>
        <w:autoSpaceDE w:val="0"/>
        <w:autoSpaceDN w:val="0"/>
        <w:adjustRightInd w:val="0"/>
        <w:spacing w:line="360" w:lineRule="auto"/>
        <w:jc w:val="left"/>
        <w:rPr>
          <w:rFonts w:ascii="宋体" w:cs="宋体"/>
          <w:color w:val="auto"/>
          <w:kern w:val="0"/>
          <w:sz w:val="36"/>
          <w:szCs w:val="36"/>
          <w:highlight w:val="none"/>
          <w:u w:val="dotDash"/>
        </w:rPr>
      </w:pPr>
    </w:p>
    <w:p>
      <w:pPr>
        <w:autoSpaceDE w:val="0"/>
        <w:autoSpaceDN w:val="0"/>
        <w:adjustRightInd w:val="0"/>
        <w:spacing w:line="360" w:lineRule="auto"/>
        <w:jc w:val="left"/>
        <w:rPr>
          <w:rFonts w:ascii="宋体" w:cs="宋体"/>
          <w:color w:val="auto"/>
          <w:kern w:val="0"/>
          <w:sz w:val="36"/>
          <w:szCs w:val="36"/>
          <w:highlight w:val="none"/>
          <w:u w:val="dotDash"/>
        </w:rPr>
      </w:pPr>
    </w:p>
    <w:p>
      <w:pPr>
        <w:autoSpaceDE w:val="0"/>
        <w:autoSpaceDN w:val="0"/>
        <w:adjustRightInd w:val="0"/>
        <w:spacing w:line="360" w:lineRule="auto"/>
        <w:jc w:val="left"/>
        <w:rPr>
          <w:rFonts w:ascii="宋体" w:cs="宋体"/>
          <w:color w:val="auto"/>
          <w:kern w:val="0"/>
          <w:sz w:val="36"/>
          <w:szCs w:val="36"/>
          <w:highlight w:val="none"/>
          <w:u w:val="dotDash"/>
        </w:rPr>
      </w:pPr>
    </w:p>
    <w:p>
      <w:pPr>
        <w:autoSpaceDE w:val="0"/>
        <w:autoSpaceDN w:val="0"/>
        <w:adjustRightInd w:val="0"/>
        <w:spacing w:line="360" w:lineRule="auto"/>
        <w:jc w:val="left"/>
        <w:rPr>
          <w:rFonts w:ascii="宋体" w:cs="宋体"/>
          <w:color w:val="auto"/>
          <w:kern w:val="0"/>
          <w:sz w:val="36"/>
          <w:szCs w:val="36"/>
          <w:highlight w:val="none"/>
          <w:u w:val="dotDash"/>
        </w:rPr>
      </w:pPr>
    </w:p>
    <w:p>
      <w:pPr>
        <w:autoSpaceDE w:val="0"/>
        <w:autoSpaceDN w:val="0"/>
        <w:adjustRightInd w:val="0"/>
        <w:spacing w:line="360" w:lineRule="auto"/>
        <w:jc w:val="left"/>
        <w:rPr>
          <w:rFonts w:ascii="宋体" w:cs="宋体"/>
          <w:color w:val="auto"/>
          <w:kern w:val="0"/>
          <w:sz w:val="36"/>
          <w:szCs w:val="36"/>
          <w:highlight w:val="none"/>
          <w:u w:val="dotDash"/>
        </w:rPr>
      </w:pP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采购项目编号：青海睿澳公招（货物）2020-061号</w:t>
      </w:r>
    </w:p>
    <w:p>
      <w:pPr>
        <w:autoSpaceDE w:val="0"/>
        <w:autoSpaceDN w:val="0"/>
        <w:adjustRightInd w:val="0"/>
        <w:spacing w:line="360" w:lineRule="auto"/>
        <w:ind w:left="-461" w:leftChars="-192" w:right="-876" w:rightChars="-365" w:firstLine="220" w:firstLineChars="61"/>
        <w:jc w:val="left"/>
        <w:rPr>
          <w:rFonts w:asci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采购项目名称：海南州共和县机动车排放监控系统建设项目</w:t>
      </w:r>
      <w:r>
        <w:rPr>
          <w:rFonts w:ascii="宋体" w:hAnsi="宋体" w:cs="宋体"/>
          <w:b/>
          <w:bCs/>
          <w:color w:val="auto"/>
          <w:kern w:val="0"/>
          <w:sz w:val="36"/>
          <w:szCs w:val="36"/>
          <w:highlight w:val="none"/>
        </w:rPr>
        <w:t xml:space="preserve"> </w:t>
      </w: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采</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购</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 xml:space="preserve">人：共和县生态环境局 </w:t>
      </w: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lang w:val="zh-CN"/>
        </w:rPr>
      </w:pP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lang w:val="zh-CN"/>
        </w:rPr>
      </w:pPr>
    </w:p>
    <w:p>
      <w:pPr>
        <w:autoSpaceDE w:val="0"/>
        <w:autoSpaceDN w:val="0"/>
        <w:adjustRightInd w:val="0"/>
        <w:spacing w:line="360" w:lineRule="auto"/>
        <w:ind w:left="-461" w:leftChars="-192" w:right="-876" w:rightChars="-365" w:firstLine="220" w:firstLineChars="61"/>
        <w:jc w:val="center"/>
        <w:rPr>
          <w:rFonts w:asci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采购代理机构：</w:t>
      </w:r>
      <w:r>
        <w:rPr>
          <w:rFonts w:hint="eastAsia" w:ascii="宋体" w:hAnsi="宋体" w:cs="宋体"/>
          <w:b/>
          <w:bCs/>
          <w:color w:val="auto"/>
          <w:kern w:val="0"/>
          <w:sz w:val="36"/>
          <w:szCs w:val="36"/>
          <w:highlight w:val="none"/>
        </w:rPr>
        <w:t>青海睿澳工程项目管理有限公司</w:t>
      </w:r>
    </w:p>
    <w:p>
      <w:pPr>
        <w:autoSpaceDE w:val="0"/>
        <w:autoSpaceDN w:val="0"/>
        <w:adjustRightInd w:val="0"/>
        <w:spacing w:line="360" w:lineRule="auto"/>
        <w:jc w:val="center"/>
        <w:rPr>
          <w:rFonts w:ascii="宋体" w:hAnsi="宋体" w:cs="宋体"/>
          <w:b/>
          <w:bCs/>
          <w:color w:val="auto"/>
          <w:kern w:val="0"/>
          <w:sz w:val="36"/>
          <w:szCs w:val="36"/>
          <w:highlight w:val="none"/>
          <w:lang w:val="zh-CN"/>
        </w:rPr>
      </w:pPr>
      <w:r>
        <w:rPr>
          <w:rFonts w:ascii="宋体" w:hAnsi="宋体" w:cs="宋体"/>
          <w:b/>
          <w:bCs/>
          <w:color w:val="auto"/>
          <w:kern w:val="0"/>
          <w:sz w:val="36"/>
          <w:szCs w:val="36"/>
          <w:highlight w:val="none"/>
          <w:lang w:val="zh-CN"/>
        </w:rPr>
        <w:t>20</w:t>
      </w:r>
      <w:r>
        <w:rPr>
          <w:rFonts w:hint="eastAsia" w:ascii="宋体" w:hAnsi="宋体" w:cs="宋体"/>
          <w:b/>
          <w:bCs/>
          <w:color w:val="auto"/>
          <w:kern w:val="0"/>
          <w:sz w:val="36"/>
          <w:szCs w:val="36"/>
          <w:highlight w:val="none"/>
        </w:rPr>
        <w:t>20</w:t>
      </w:r>
      <w:r>
        <w:rPr>
          <w:rFonts w:hint="eastAsia" w:ascii="宋体" w:hAnsi="宋体" w:cs="宋体"/>
          <w:b/>
          <w:bCs/>
          <w:color w:val="auto"/>
          <w:kern w:val="0"/>
          <w:sz w:val="36"/>
          <w:szCs w:val="36"/>
          <w:highlight w:val="none"/>
          <w:lang w:val="zh-CN"/>
        </w:rPr>
        <w:t>年</w:t>
      </w:r>
      <w:r>
        <w:rPr>
          <w:rFonts w:hint="eastAsia" w:ascii="宋体" w:hAnsi="宋体" w:cs="宋体"/>
          <w:b/>
          <w:bCs/>
          <w:color w:val="auto"/>
          <w:kern w:val="0"/>
          <w:sz w:val="36"/>
          <w:szCs w:val="36"/>
          <w:highlight w:val="none"/>
        </w:rPr>
        <w:t>1</w:t>
      </w:r>
      <w:r>
        <w:rPr>
          <w:rFonts w:hint="eastAsia" w:ascii="宋体" w:hAnsi="宋体" w:cs="宋体"/>
          <w:b/>
          <w:bCs/>
          <w:color w:val="auto"/>
          <w:kern w:val="0"/>
          <w:sz w:val="36"/>
          <w:szCs w:val="36"/>
          <w:highlight w:val="none"/>
          <w:lang w:val="en-US" w:eastAsia="zh-CN"/>
        </w:rPr>
        <w:t>1</w:t>
      </w:r>
      <w:r>
        <w:rPr>
          <w:rFonts w:hint="eastAsia" w:ascii="宋体" w:hAnsi="宋体" w:cs="宋体"/>
          <w:b/>
          <w:bCs/>
          <w:color w:val="auto"/>
          <w:kern w:val="0"/>
          <w:sz w:val="36"/>
          <w:szCs w:val="36"/>
          <w:highlight w:val="none"/>
          <w:lang w:val="zh-CN"/>
        </w:rPr>
        <w:t>月</w:t>
      </w:r>
    </w:p>
    <w:p>
      <w:pPr>
        <w:autoSpaceDE w:val="0"/>
        <w:autoSpaceDN w:val="0"/>
        <w:adjustRightInd w:val="0"/>
        <w:spacing w:line="360" w:lineRule="auto"/>
        <w:jc w:val="center"/>
        <w:rPr>
          <w:rFonts w:ascii="宋体" w:cs="宋体"/>
          <w:b/>
          <w:color w:val="auto"/>
          <w:sz w:val="40"/>
          <w:szCs w:val="30"/>
          <w:highlight w:val="none"/>
        </w:rPr>
      </w:pPr>
      <w:r>
        <w:rPr>
          <w:rFonts w:hint="eastAsia" w:ascii="宋体" w:hAnsi="宋体" w:cs="宋体"/>
          <w:b/>
          <w:color w:val="auto"/>
          <w:sz w:val="40"/>
          <w:szCs w:val="30"/>
          <w:highlight w:val="none"/>
        </w:rPr>
        <w:t>目</w:t>
      </w:r>
      <w:r>
        <w:rPr>
          <w:rFonts w:ascii="宋体" w:hAnsi="宋体" w:cs="宋体"/>
          <w:b/>
          <w:color w:val="auto"/>
          <w:sz w:val="40"/>
          <w:szCs w:val="30"/>
          <w:highlight w:val="none"/>
        </w:rPr>
        <w:t xml:space="preserve">  </w:t>
      </w:r>
      <w:r>
        <w:rPr>
          <w:rFonts w:hint="eastAsia" w:ascii="宋体" w:hAnsi="宋体" w:cs="宋体"/>
          <w:b/>
          <w:color w:val="auto"/>
          <w:sz w:val="40"/>
          <w:szCs w:val="30"/>
          <w:highlight w:val="none"/>
        </w:rPr>
        <w:t>录</w:t>
      </w:r>
    </w:p>
    <w:p>
      <w:pPr>
        <w:pStyle w:val="25"/>
        <w:tabs>
          <w:tab w:val="right" w:leader="dot" w:pos="8243"/>
        </w:tabs>
      </w:pPr>
      <w:r>
        <w:rPr>
          <w:rStyle w:val="37"/>
          <w:rFonts w:cs="宋体"/>
          <w:bCs w:val="0"/>
          <w:color w:val="auto"/>
          <w:sz w:val="21"/>
          <w:highlight w:val="none"/>
        </w:rPr>
        <w:fldChar w:fldCharType="begin"/>
      </w:r>
      <w:r>
        <w:rPr>
          <w:rStyle w:val="37"/>
          <w:rFonts w:ascii="宋体" w:hAnsi="宋体" w:cs="宋体"/>
          <w:b w:val="0"/>
          <w:bCs w:val="0"/>
          <w:color w:val="auto"/>
          <w:kern w:val="0"/>
          <w:sz w:val="21"/>
          <w:szCs w:val="21"/>
          <w:highlight w:val="none"/>
        </w:rPr>
        <w:instrText xml:space="preserve"> TOC \o "3-3" \h \z \t "</w:instrText>
      </w:r>
      <w:r>
        <w:rPr>
          <w:rStyle w:val="37"/>
          <w:rFonts w:hint="eastAsia" w:ascii="宋体" w:hAnsi="宋体" w:cs="宋体"/>
          <w:b w:val="0"/>
          <w:bCs w:val="0"/>
          <w:color w:val="auto"/>
          <w:kern w:val="0"/>
          <w:sz w:val="21"/>
          <w:szCs w:val="21"/>
          <w:highlight w:val="none"/>
        </w:rPr>
        <w:instrText xml:space="preserve">标题</w:instrText>
      </w:r>
      <w:r>
        <w:rPr>
          <w:rStyle w:val="37"/>
          <w:rFonts w:ascii="宋体" w:hAnsi="宋体" w:cs="宋体"/>
          <w:b w:val="0"/>
          <w:bCs w:val="0"/>
          <w:color w:val="auto"/>
          <w:kern w:val="0"/>
          <w:sz w:val="21"/>
          <w:szCs w:val="21"/>
          <w:highlight w:val="none"/>
        </w:rPr>
        <w:instrText xml:space="preserve"> 1,2,</w:instrText>
      </w:r>
      <w:r>
        <w:rPr>
          <w:rStyle w:val="37"/>
          <w:rFonts w:hint="eastAsia" w:ascii="宋体" w:hAnsi="宋体" w:cs="宋体"/>
          <w:b w:val="0"/>
          <w:bCs w:val="0"/>
          <w:color w:val="auto"/>
          <w:kern w:val="0"/>
          <w:sz w:val="21"/>
          <w:szCs w:val="21"/>
          <w:highlight w:val="none"/>
        </w:rPr>
        <w:instrText xml:space="preserve">标题</w:instrText>
      </w:r>
      <w:r>
        <w:rPr>
          <w:rStyle w:val="37"/>
          <w:rFonts w:ascii="宋体" w:hAnsi="宋体" w:cs="宋体"/>
          <w:b w:val="0"/>
          <w:bCs w:val="0"/>
          <w:color w:val="auto"/>
          <w:kern w:val="0"/>
          <w:sz w:val="21"/>
          <w:szCs w:val="21"/>
          <w:highlight w:val="none"/>
        </w:rPr>
        <w:instrText xml:space="preserve"> 2,3,</w:instrText>
      </w:r>
      <w:r>
        <w:rPr>
          <w:rStyle w:val="37"/>
          <w:rFonts w:hint="eastAsia" w:ascii="宋体" w:hAnsi="宋体" w:cs="宋体"/>
          <w:b w:val="0"/>
          <w:bCs w:val="0"/>
          <w:color w:val="auto"/>
          <w:kern w:val="0"/>
          <w:sz w:val="21"/>
          <w:szCs w:val="21"/>
          <w:highlight w:val="none"/>
        </w:rPr>
        <w:instrText xml:space="preserve">标题</w:instrText>
      </w:r>
      <w:r>
        <w:rPr>
          <w:rStyle w:val="37"/>
          <w:rFonts w:ascii="宋体" w:hAnsi="宋体" w:cs="宋体"/>
          <w:b w:val="0"/>
          <w:bCs w:val="0"/>
          <w:color w:val="auto"/>
          <w:kern w:val="0"/>
          <w:sz w:val="21"/>
          <w:szCs w:val="21"/>
          <w:highlight w:val="none"/>
        </w:rPr>
        <w:instrText xml:space="preserve">,1" </w:instrText>
      </w:r>
      <w:r>
        <w:rPr>
          <w:rStyle w:val="37"/>
          <w:rFonts w:cs="宋体"/>
          <w:bCs w:val="0"/>
          <w:color w:val="auto"/>
          <w:sz w:val="21"/>
          <w:highlight w:val="none"/>
        </w:rPr>
        <w:fldChar w:fldCharType="separate"/>
      </w:r>
      <w:r>
        <w:rPr>
          <w:rFonts w:cs="宋体"/>
          <w:bCs w:val="0"/>
          <w:color w:val="auto"/>
          <w:highlight w:val="none"/>
        </w:rPr>
        <w:fldChar w:fldCharType="begin"/>
      </w:r>
      <w:r>
        <w:rPr>
          <w:rFonts w:cs="宋体"/>
          <w:bCs w:val="0"/>
          <w:highlight w:val="none"/>
        </w:rPr>
        <w:instrText xml:space="preserve"> HYPERLINK \l _Toc29635 </w:instrText>
      </w:r>
      <w:r>
        <w:rPr>
          <w:rFonts w:cs="宋体"/>
          <w:bCs w:val="0"/>
          <w:highlight w:val="none"/>
        </w:rPr>
        <w:fldChar w:fldCharType="separate"/>
      </w:r>
      <w:r>
        <w:rPr>
          <w:rFonts w:hint="eastAsia" w:ascii="宋体" w:hAnsi="宋体" w:cs="宋体"/>
          <w:szCs w:val="36"/>
          <w:highlight w:val="none"/>
          <w:lang w:val="zh-CN"/>
        </w:rPr>
        <w:t xml:space="preserve">第一部分  </w:t>
      </w:r>
      <w:r>
        <w:rPr>
          <w:rFonts w:hint="eastAsia" w:ascii="华文中宋" w:hAnsi="华文中宋" w:eastAsia="华文中宋"/>
          <w:highlight w:val="none"/>
        </w:rPr>
        <w:t>招标公告</w:t>
      </w:r>
      <w:r>
        <w:tab/>
      </w:r>
      <w:r>
        <w:fldChar w:fldCharType="begin"/>
      </w:r>
      <w:r>
        <w:instrText xml:space="preserve"> PAGEREF _Toc29635 </w:instrText>
      </w:r>
      <w:r>
        <w:fldChar w:fldCharType="separate"/>
      </w:r>
      <w:r>
        <w:t>5</w:t>
      </w:r>
      <w:r>
        <w:fldChar w:fldCharType="end"/>
      </w:r>
      <w:r>
        <w:rPr>
          <w:rFonts w:cs="宋体"/>
          <w:bCs w:val="0"/>
          <w:color w:val="auto"/>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_Toc3669 </w:instrText>
      </w:r>
      <w:r>
        <w:rPr>
          <w:rFonts w:ascii="宋体" w:hAnsi="宋体" w:cs="宋体"/>
          <w:bCs/>
          <w:kern w:val="0"/>
          <w:szCs w:val="21"/>
          <w:highlight w:val="none"/>
        </w:rPr>
        <w:fldChar w:fldCharType="separate"/>
      </w:r>
      <w:r>
        <w:rPr>
          <w:rFonts w:hint="eastAsia" w:ascii="宋体" w:hAnsi="宋体" w:cs="宋体"/>
          <w:szCs w:val="36"/>
          <w:highlight w:val="none"/>
          <w:lang w:val="zh-CN"/>
        </w:rPr>
        <w:t>第二部分  投标人须知</w:t>
      </w:r>
      <w:r>
        <w:tab/>
      </w:r>
      <w:r>
        <w:fldChar w:fldCharType="begin"/>
      </w:r>
      <w:r>
        <w:instrText xml:space="preserve"> PAGEREF _Toc3669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_Toc6569 </w:instrText>
      </w:r>
      <w:r>
        <w:rPr>
          <w:rFonts w:ascii="宋体" w:hAnsi="宋体" w:cs="宋体"/>
          <w:bCs/>
          <w:kern w:val="0"/>
          <w:szCs w:val="21"/>
          <w:highlight w:val="none"/>
        </w:rPr>
        <w:fldChar w:fldCharType="separate"/>
      </w:r>
      <w:r>
        <w:rPr>
          <w:rFonts w:hint="eastAsia" w:ascii="宋体" w:hAnsi="宋体" w:cs="宋体"/>
          <w:highlight w:val="none"/>
          <w:lang w:val="zh-CN"/>
        </w:rPr>
        <w:t>一、说明</w:t>
      </w:r>
      <w:r>
        <w:tab/>
      </w:r>
      <w:r>
        <w:fldChar w:fldCharType="begin"/>
      </w:r>
      <w:r>
        <w:instrText xml:space="preserve"> PAGEREF _Toc6569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_Toc9813 </w:instrText>
      </w:r>
      <w:r>
        <w:rPr>
          <w:rFonts w:ascii="宋体" w:hAnsi="宋体" w:cs="宋体"/>
          <w:bCs/>
          <w:kern w:val="0"/>
          <w:szCs w:val="21"/>
          <w:highlight w:val="none"/>
        </w:rPr>
        <w:fldChar w:fldCharType="separate"/>
      </w:r>
      <w:r>
        <w:rPr>
          <w:rFonts w:hint="eastAsia" w:ascii="宋体" w:hAnsi="宋体" w:cs="宋体"/>
          <w:szCs w:val="28"/>
          <w:highlight w:val="none"/>
          <w:lang w:val="zh-CN"/>
        </w:rPr>
        <w:t>1.适用范围</w:t>
      </w:r>
      <w:r>
        <w:tab/>
      </w:r>
      <w:r>
        <w:fldChar w:fldCharType="begin"/>
      </w:r>
      <w:r>
        <w:instrText xml:space="preserve"> PAGEREF _Toc9813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_Toc21901 </w:instrText>
      </w:r>
      <w:r>
        <w:rPr>
          <w:rFonts w:ascii="宋体" w:hAnsi="宋体" w:cs="宋体"/>
          <w:bCs/>
          <w:kern w:val="0"/>
          <w:szCs w:val="21"/>
          <w:highlight w:val="none"/>
        </w:rPr>
        <w:fldChar w:fldCharType="separate"/>
      </w:r>
      <w:r>
        <w:rPr>
          <w:rFonts w:hint="eastAsia" w:ascii="宋体" w:hAnsi="宋体" w:cs="宋体"/>
          <w:szCs w:val="28"/>
          <w:highlight w:val="none"/>
          <w:lang w:val="zh-CN"/>
        </w:rPr>
        <w:t>2.采购方式、合格的投标人</w:t>
      </w:r>
      <w:r>
        <w:tab/>
      </w:r>
      <w:r>
        <w:fldChar w:fldCharType="begin"/>
      </w:r>
      <w:r>
        <w:instrText xml:space="preserve"> PAGEREF _Toc21901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_Toc25759 </w:instrText>
      </w:r>
      <w:r>
        <w:rPr>
          <w:rFonts w:ascii="宋体" w:hAnsi="宋体" w:cs="宋体"/>
          <w:bCs/>
          <w:kern w:val="0"/>
          <w:szCs w:val="21"/>
          <w:highlight w:val="none"/>
        </w:rPr>
        <w:fldChar w:fldCharType="separate"/>
      </w:r>
      <w:r>
        <w:rPr>
          <w:rFonts w:hint="eastAsia" w:ascii="宋体" w:hAnsi="宋体" w:cs="宋体"/>
          <w:szCs w:val="28"/>
          <w:highlight w:val="none"/>
          <w:lang w:val="zh-CN"/>
        </w:rPr>
        <w:t>3.投标费用</w:t>
      </w:r>
      <w:r>
        <w:tab/>
      </w:r>
      <w:r>
        <w:fldChar w:fldCharType="begin"/>
      </w:r>
      <w:r>
        <w:instrText xml:space="preserve"> PAGEREF _Toc25759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_Toc19432 </w:instrText>
      </w:r>
      <w:r>
        <w:rPr>
          <w:rFonts w:ascii="宋体" w:hAnsi="宋体" w:cs="宋体"/>
          <w:bCs/>
          <w:kern w:val="0"/>
          <w:szCs w:val="21"/>
          <w:highlight w:val="none"/>
        </w:rPr>
        <w:fldChar w:fldCharType="separate"/>
      </w:r>
      <w:r>
        <w:rPr>
          <w:rFonts w:hint="eastAsia" w:ascii="宋体" w:hAnsi="宋体" w:cs="宋体"/>
          <w:highlight w:val="none"/>
          <w:lang w:val="zh-CN"/>
        </w:rPr>
        <w:t>二、招标文件说明</w:t>
      </w:r>
      <w:r>
        <w:tab/>
      </w:r>
      <w:r>
        <w:fldChar w:fldCharType="begin"/>
      </w:r>
      <w:r>
        <w:instrText xml:space="preserve"> PAGEREF _Toc19432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_Toc22656 </w:instrText>
      </w:r>
      <w:r>
        <w:rPr>
          <w:rFonts w:ascii="宋体" w:hAnsi="宋体" w:cs="宋体"/>
          <w:bCs/>
          <w:kern w:val="0"/>
          <w:szCs w:val="21"/>
          <w:highlight w:val="none"/>
        </w:rPr>
        <w:fldChar w:fldCharType="separate"/>
      </w:r>
      <w:r>
        <w:rPr>
          <w:rFonts w:hint="eastAsia" w:ascii="宋体" w:hAnsi="宋体" w:cs="宋体"/>
          <w:szCs w:val="28"/>
          <w:highlight w:val="none"/>
          <w:lang w:val="zh-CN"/>
        </w:rPr>
        <w:t>4.招标文件的构成</w:t>
      </w:r>
      <w:r>
        <w:tab/>
      </w:r>
      <w:r>
        <w:fldChar w:fldCharType="begin"/>
      </w:r>
      <w:r>
        <w:instrText xml:space="preserve"> PAGEREF _Toc22656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_Toc11151 </w:instrText>
      </w:r>
      <w:r>
        <w:rPr>
          <w:rFonts w:ascii="宋体" w:hAnsi="宋体" w:cs="宋体"/>
          <w:bCs/>
          <w:kern w:val="0"/>
          <w:szCs w:val="21"/>
          <w:highlight w:val="none"/>
        </w:rPr>
        <w:fldChar w:fldCharType="separate"/>
      </w:r>
      <w:r>
        <w:rPr>
          <w:rFonts w:hint="eastAsia" w:ascii="宋体" w:hAnsi="宋体" w:cs="宋体"/>
          <w:szCs w:val="28"/>
          <w:highlight w:val="none"/>
          <w:lang w:val="zh-CN"/>
        </w:rPr>
        <w:t>5.招标公告、招标文件、采购活动和中标结果的质疑</w:t>
      </w:r>
      <w:r>
        <w:tab/>
      </w:r>
      <w:r>
        <w:fldChar w:fldCharType="begin"/>
      </w:r>
      <w:r>
        <w:instrText xml:space="preserve"> PAGEREF _Toc11151 </w:instrText>
      </w:r>
      <w:r>
        <w:fldChar w:fldCharType="separate"/>
      </w:r>
      <w:r>
        <w:t>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_Toc18248 </w:instrText>
      </w:r>
      <w:r>
        <w:rPr>
          <w:rFonts w:ascii="宋体" w:hAnsi="宋体" w:cs="宋体"/>
          <w:bCs/>
          <w:kern w:val="0"/>
          <w:szCs w:val="21"/>
          <w:highlight w:val="none"/>
        </w:rPr>
        <w:fldChar w:fldCharType="separate"/>
      </w:r>
      <w:r>
        <w:rPr>
          <w:rFonts w:hint="eastAsia" w:ascii="宋体" w:hAnsi="宋体" w:cs="宋体"/>
          <w:szCs w:val="28"/>
          <w:highlight w:val="none"/>
          <w:lang w:val="zh-CN"/>
        </w:rPr>
        <w:t>6.招标文件的澄清或修改</w:t>
      </w:r>
      <w:r>
        <w:tab/>
      </w:r>
      <w:r>
        <w:fldChar w:fldCharType="begin"/>
      </w:r>
      <w:r>
        <w:instrText xml:space="preserve"> PAGEREF _Toc18248 </w:instrText>
      </w:r>
      <w:r>
        <w:fldChar w:fldCharType="separate"/>
      </w:r>
      <w:r>
        <w:t>9</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_Toc30496 </w:instrText>
      </w:r>
      <w:r>
        <w:rPr>
          <w:rFonts w:ascii="宋体" w:hAnsi="宋体" w:cs="宋体"/>
          <w:bCs/>
          <w:kern w:val="0"/>
          <w:szCs w:val="21"/>
          <w:highlight w:val="none"/>
        </w:rPr>
        <w:fldChar w:fldCharType="separate"/>
      </w:r>
      <w:r>
        <w:rPr>
          <w:rFonts w:hint="eastAsia" w:ascii="宋体" w:hAnsi="宋体" w:cs="宋体"/>
          <w:highlight w:val="none"/>
          <w:lang w:val="zh-CN"/>
        </w:rPr>
        <w:t>三、投标文件的编制</w:t>
      </w:r>
      <w:r>
        <w:tab/>
      </w:r>
      <w:r>
        <w:fldChar w:fldCharType="begin"/>
      </w:r>
      <w:r>
        <w:instrText xml:space="preserve"> PAGEREF _Toc30496 </w:instrText>
      </w:r>
      <w:r>
        <w:fldChar w:fldCharType="separate"/>
      </w:r>
      <w:r>
        <w:t>9</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_Toc22913 </w:instrText>
      </w:r>
      <w:r>
        <w:rPr>
          <w:rFonts w:ascii="宋体" w:hAnsi="宋体" w:cs="宋体"/>
          <w:bCs/>
          <w:kern w:val="0"/>
          <w:szCs w:val="21"/>
          <w:highlight w:val="none"/>
        </w:rPr>
        <w:fldChar w:fldCharType="separate"/>
      </w:r>
      <w:r>
        <w:rPr>
          <w:rFonts w:hint="eastAsia" w:ascii="宋体" w:hAnsi="宋体" w:cs="宋体"/>
          <w:szCs w:val="28"/>
          <w:highlight w:val="none"/>
          <w:lang w:val="zh-CN"/>
        </w:rPr>
        <w:t>7.投标文件的语言及度量衡单位</w:t>
      </w:r>
      <w:r>
        <w:tab/>
      </w:r>
      <w:r>
        <w:fldChar w:fldCharType="begin"/>
      </w:r>
      <w:r>
        <w:instrText xml:space="preserve"> PAGEREF _Toc22913 </w:instrText>
      </w:r>
      <w:r>
        <w:fldChar w:fldCharType="separate"/>
      </w:r>
      <w:r>
        <w:t>9</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_Toc11217 </w:instrText>
      </w:r>
      <w:r>
        <w:rPr>
          <w:rFonts w:ascii="宋体" w:hAnsi="宋体" w:cs="宋体"/>
          <w:bCs/>
          <w:kern w:val="0"/>
          <w:szCs w:val="21"/>
          <w:highlight w:val="none"/>
        </w:rPr>
        <w:fldChar w:fldCharType="separate"/>
      </w:r>
      <w:r>
        <w:rPr>
          <w:rFonts w:hint="eastAsia" w:ascii="宋体" w:hAnsi="宋体" w:cs="宋体"/>
          <w:szCs w:val="28"/>
          <w:highlight w:val="none"/>
          <w:lang w:val="zh-CN"/>
        </w:rPr>
        <w:t>8.投标报价及币种</w:t>
      </w:r>
      <w:r>
        <w:tab/>
      </w:r>
      <w:r>
        <w:fldChar w:fldCharType="begin"/>
      </w:r>
      <w:r>
        <w:instrText xml:space="preserve"> PAGEREF _Toc11217 </w:instrText>
      </w:r>
      <w:r>
        <w:fldChar w:fldCharType="separate"/>
      </w:r>
      <w:r>
        <w:t>10</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_Toc6907 </w:instrText>
      </w:r>
      <w:r>
        <w:rPr>
          <w:rFonts w:ascii="宋体" w:hAnsi="宋体" w:cs="宋体"/>
          <w:bCs/>
          <w:kern w:val="0"/>
          <w:szCs w:val="21"/>
          <w:highlight w:val="none"/>
        </w:rPr>
        <w:fldChar w:fldCharType="separate"/>
      </w:r>
      <w:r>
        <w:rPr>
          <w:rFonts w:hint="eastAsia" w:ascii="宋体" w:hAnsi="宋体" w:cs="宋体"/>
          <w:szCs w:val="28"/>
          <w:highlight w:val="none"/>
          <w:lang w:val="zh-CN"/>
        </w:rPr>
        <w:t>9.投标保证金</w:t>
      </w:r>
      <w:r>
        <w:tab/>
      </w:r>
      <w:r>
        <w:fldChar w:fldCharType="begin"/>
      </w:r>
      <w:r>
        <w:instrText xml:space="preserve"> PAGEREF _Toc6907 </w:instrText>
      </w:r>
      <w:r>
        <w:fldChar w:fldCharType="separate"/>
      </w:r>
      <w:r>
        <w:t>10</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_Toc25565 </w:instrText>
      </w:r>
      <w:r>
        <w:rPr>
          <w:rFonts w:ascii="宋体" w:hAnsi="宋体" w:cs="宋体"/>
          <w:bCs/>
          <w:kern w:val="0"/>
          <w:szCs w:val="21"/>
          <w:highlight w:val="none"/>
        </w:rPr>
        <w:fldChar w:fldCharType="separate"/>
      </w:r>
      <w:r>
        <w:rPr>
          <w:rFonts w:hint="eastAsia" w:ascii="宋体" w:hAnsi="宋体" w:cs="宋体"/>
          <w:szCs w:val="28"/>
          <w:highlight w:val="none"/>
          <w:lang w:val="zh-CN"/>
        </w:rPr>
        <w:t>10.投标有效期</w:t>
      </w:r>
      <w:r>
        <w:tab/>
      </w:r>
      <w:r>
        <w:fldChar w:fldCharType="begin"/>
      </w:r>
      <w:r>
        <w:instrText xml:space="preserve"> PAGEREF _Toc25565 </w:instrText>
      </w:r>
      <w:r>
        <w:fldChar w:fldCharType="separate"/>
      </w:r>
      <w:r>
        <w:t>11</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_Toc11269 </w:instrText>
      </w:r>
      <w:r>
        <w:rPr>
          <w:rFonts w:ascii="宋体" w:hAnsi="宋体" w:cs="宋体"/>
          <w:bCs/>
          <w:kern w:val="0"/>
          <w:szCs w:val="21"/>
          <w:highlight w:val="none"/>
        </w:rPr>
        <w:fldChar w:fldCharType="separate"/>
      </w:r>
      <w:r>
        <w:rPr>
          <w:rFonts w:hint="eastAsia" w:ascii="宋体" w:hAnsi="宋体" w:cs="宋体"/>
          <w:szCs w:val="28"/>
          <w:highlight w:val="none"/>
          <w:lang w:val="zh-CN"/>
        </w:rPr>
        <w:t>11.投标文件构成</w:t>
      </w:r>
      <w:r>
        <w:tab/>
      </w:r>
      <w:r>
        <w:fldChar w:fldCharType="begin"/>
      </w:r>
      <w:r>
        <w:instrText xml:space="preserve"> PAGEREF _Toc11269 </w:instrText>
      </w:r>
      <w:r>
        <w:fldChar w:fldCharType="separate"/>
      </w:r>
      <w:r>
        <w:t>11</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_Toc31059 </w:instrText>
      </w:r>
      <w:r>
        <w:rPr>
          <w:rFonts w:ascii="宋体" w:hAnsi="宋体" w:cs="宋体"/>
          <w:bCs/>
          <w:kern w:val="0"/>
          <w:szCs w:val="21"/>
          <w:highlight w:val="none"/>
        </w:rPr>
        <w:fldChar w:fldCharType="separate"/>
      </w:r>
      <w:r>
        <w:rPr>
          <w:rFonts w:hint="eastAsia" w:ascii="宋体" w:hAnsi="宋体" w:cs="宋体"/>
          <w:szCs w:val="28"/>
          <w:highlight w:val="none"/>
          <w:lang w:val="zh-CN"/>
        </w:rPr>
        <w:t>12.投标文件的编制要求</w:t>
      </w:r>
      <w:r>
        <w:tab/>
      </w:r>
      <w:r>
        <w:fldChar w:fldCharType="begin"/>
      </w:r>
      <w:r>
        <w:instrText xml:space="preserve"> PAGEREF _Toc31059 </w:instrText>
      </w:r>
      <w:r>
        <w:fldChar w:fldCharType="separate"/>
      </w:r>
      <w:r>
        <w:t>12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_Toc13701 </w:instrText>
      </w:r>
      <w:r>
        <w:rPr>
          <w:rFonts w:ascii="宋体" w:hAnsi="宋体" w:cs="宋体"/>
          <w:bCs/>
          <w:kern w:val="0"/>
          <w:szCs w:val="21"/>
          <w:highlight w:val="none"/>
        </w:rPr>
        <w:fldChar w:fldCharType="separate"/>
      </w:r>
      <w:r>
        <w:rPr>
          <w:rFonts w:hint="eastAsia" w:ascii="宋体" w:hAnsi="宋体" w:cs="宋体"/>
          <w:highlight w:val="none"/>
          <w:lang w:val="zh-CN"/>
        </w:rPr>
        <w:t>四、投标文件的提交</w:t>
      </w:r>
      <w:r>
        <w:tab/>
      </w:r>
      <w:r>
        <w:fldChar w:fldCharType="begin"/>
      </w:r>
      <w:r>
        <w:instrText xml:space="preserve"> PAGEREF _Toc13701 </w:instrText>
      </w:r>
      <w:r>
        <w:fldChar w:fldCharType="separate"/>
      </w:r>
      <w:r>
        <w:t>12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_Toc5195 </w:instrText>
      </w:r>
      <w:r>
        <w:rPr>
          <w:rFonts w:ascii="宋体" w:hAnsi="宋体" w:cs="宋体"/>
          <w:bCs/>
          <w:kern w:val="0"/>
          <w:szCs w:val="21"/>
          <w:highlight w:val="none"/>
        </w:rPr>
        <w:fldChar w:fldCharType="separate"/>
      </w:r>
      <w:r>
        <w:rPr>
          <w:rFonts w:hint="eastAsia" w:ascii="宋体" w:hAnsi="宋体" w:cs="宋体"/>
          <w:szCs w:val="28"/>
          <w:highlight w:val="none"/>
          <w:lang w:val="zh-CN"/>
        </w:rPr>
        <w:t>13.投标文件的密封和标记</w:t>
      </w:r>
      <w:r>
        <w:tab/>
      </w:r>
      <w:r>
        <w:fldChar w:fldCharType="begin"/>
      </w:r>
      <w:r>
        <w:instrText xml:space="preserve"> PAGEREF _Toc5195 </w:instrText>
      </w:r>
      <w:r>
        <w:fldChar w:fldCharType="separate"/>
      </w:r>
      <w:r>
        <w:t>12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_Toc32470 </w:instrText>
      </w:r>
      <w:r>
        <w:rPr>
          <w:rFonts w:ascii="宋体" w:hAnsi="宋体" w:cs="宋体"/>
          <w:bCs/>
          <w:kern w:val="0"/>
          <w:szCs w:val="21"/>
          <w:highlight w:val="none"/>
        </w:rPr>
        <w:fldChar w:fldCharType="separate"/>
      </w:r>
      <w:r>
        <w:rPr>
          <w:rFonts w:hint="eastAsia" w:ascii="宋体" w:hAnsi="宋体" w:cs="宋体"/>
          <w:szCs w:val="28"/>
          <w:highlight w:val="none"/>
          <w:lang w:val="zh-CN"/>
        </w:rPr>
        <w:t>14.提交投标文件的时间、地点、方式</w:t>
      </w:r>
      <w:r>
        <w:tab/>
      </w:r>
      <w:r>
        <w:fldChar w:fldCharType="begin"/>
      </w:r>
      <w:r>
        <w:instrText xml:space="preserve"> PAGEREF _Toc32470 </w:instrText>
      </w:r>
      <w:r>
        <w:fldChar w:fldCharType="separate"/>
      </w:r>
      <w:r>
        <w:t>12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_Toc10188 </w:instrText>
      </w:r>
      <w:r>
        <w:rPr>
          <w:rFonts w:ascii="宋体" w:hAnsi="宋体" w:cs="宋体"/>
          <w:bCs/>
          <w:kern w:val="0"/>
          <w:szCs w:val="21"/>
          <w:highlight w:val="none"/>
        </w:rPr>
        <w:fldChar w:fldCharType="separate"/>
      </w:r>
      <w:r>
        <w:rPr>
          <w:rFonts w:hint="eastAsia" w:ascii="宋体" w:hAnsi="宋体" w:cs="宋体"/>
          <w:szCs w:val="28"/>
          <w:highlight w:val="none"/>
          <w:lang w:val="zh-CN"/>
        </w:rPr>
        <w:t>15.投标文件的补充、修改或者撤回</w:t>
      </w:r>
      <w:r>
        <w:tab/>
      </w:r>
      <w:r>
        <w:fldChar w:fldCharType="begin"/>
      </w:r>
      <w:r>
        <w:instrText xml:space="preserve"> PAGEREF _Toc10188 </w:instrText>
      </w:r>
      <w:r>
        <w:fldChar w:fldCharType="separate"/>
      </w:r>
      <w:r>
        <w:t>13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_Toc15252 </w:instrText>
      </w:r>
      <w:r>
        <w:rPr>
          <w:rFonts w:ascii="宋体" w:hAnsi="宋体" w:cs="宋体"/>
          <w:bCs/>
          <w:kern w:val="0"/>
          <w:szCs w:val="21"/>
          <w:highlight w:val="none"/>
        </w:rPr>
        <w:fldChar w:fldCharType="separate"/>
      </w:r>
      <w:r>
        <w:rPr>
          <w:rFonts w:hint="eastAsia" w:ascii="宋体" w:hAnsi="宋体" w:cs="宋体"/>
          <w:highlight w:val="none"/>
          <w:lang w:val="zh-CN"/>
        </w:rPr>
        <w:t>五、开标</w:t>
      </w:r>
      <w:r>
        <w:tab/>
      </w:r>
      <w:r>
        <w:fldChar w:fldCharType="begin"/>
      </w:r>
      <w:r>
        <w:instrText xml:space="preserve"> PAGEREF _Toc15252 </w:instrText>
      </w:r>
      <w:r>
        <w:fldChar w:fldCharType="separate"/>
      </w:r>
      <w:r>
        <w:t>13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_Toc15086 </w:instrText>
      </w:r>
      <w:r>
        <w:rPr>
          <w:rFonts w:ascii="宋体" w:hAnsi="宋体" w:cs="宋体"/>
          <w:bCs/>
          <w:kern w:val="0"/>
          <w:szCs w:val="21"/>
          <w:highlight w:val="none"/>
        </w:rPr>
        <w:fldChar w:fldCharType="separate"/>
      </w:r>
      <w:r>
        <w:rPr>
          <w:rFonts w:hint="eastAsia" w:ascii="宋体" w:hAnsi="宋体" w:cs="宋体"/>
          <w:szCs w:val="28"/>
          <w:highlight w:val="none"/>
          <w:lang w:val="zh-CN"/>
        </w:rPr>
        <w:t>16.开标</w:t>
      </w:r>
      <w:r>
        <w:tab/>
      </w:r>
      <w:r>
        <w:fldChar w:fldCharType="begin"/>
      </w:r>
      <w:r>
        <w:instrText xml:space="preserve"> PAGEREF _Toc15086 </w:instrText>
      </w:r>
      <w:r>
        <w:fldChar w:fldCharType="separate"/>
      </w:r>
      <w:r>
        <w:t>13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_Toc6330 </w:instrText>
      </w:r>
      <w:r>
        <w:rPr>
          <w:rFonts w:ascii="宋体" w:hAnsi="宋体" w:cs="宋体"/>
          <w:bCs/>
          <w:kern w:val="0"/>
          <w:szCs w:val="21"/>
          <w:highlight w:val="none"/>
        </w:rPr>
        <w:fldChar w:fldCharType="separate"/>
      </w:r>
      <w:r>
        <w:rPr>
          <w:rFonts w:hint="eastAsia" w:ascii="宋体" w:hAnsi="宋体" w:cs="宋体"/>
          <w:kern w:val="0"/>
          <w:szCs w:val="36"/>
          <w:highlight w:val="none"/>
        </w:rPr>
        <w:t>六、资格</w:t>
      </w:r>
      <w:r>
        <w:rPr>
          <w:rFonts w:hint="eastAsia" w:ascii="宋体" w:hAnsi="宋体" w:cs="宋体"/>
          <w:highlight w:val="none"/>
          <w:lang w:val="zh-CN"/>
        </w:rPr>
        <w:t>审查</w:t>
      </w:r>
      <w:r>
        <w:rPr>
          <w:rFonts w:hint="eastAsia" w:ascii="宋体" w:hAnsi="宋体" w:cs="宋体"/>
          <w:kern w:val="0"/>
          <w:szCs w:val="36"/>
          <w:highlight w:val="none"/>
        </w:rPr>
        <w:t>程序</w:t>
      </w:r>
      <w:r>
        <w:tab/>
      </w:r>
      <w:r>
        <w:fldChar w:fldCharType="begin"/>
      </w:r>
      <w:r>
        <w:instrText xml:space="preserve"> PAGEREF _Toc6330 </w:instrText>
      </w:r>
      <w:r>
        <w:fldChar w:fldCharType="separate"/>
      </w:r>
      <w:r>
        <w:t>13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_Toc2042 </w:instrText>
      </w:r>
      <w:r>
        <w:rPr>
          <w:rFonts w:ascii="宋体" w:hAnsi="宋体" w:cs="宋体"/>
          <w:bCs/>
          <w:kern w:val="0"/>
          <w:szCs w:val="21"/>
          <w:highlight w:val="none"/>
        </w:rPr>
        <w:fldChar w:fldCharType="separate"/>
      </w:r>
      <w:r>
        <w:rPr>
          <w:rFonts w:hint="eastAsia" w:ascii="宋体" w:hAnsi="宋体" w:cs="宋体"/>
          <w:szCs w:val="28"/>
          <w:highlight w:val="none"/>
        </w:rPr>
        <w:t>17.资格审查</w:t>
      </w:r>
      <w:r>
        <w:tab/>
      </w:r>
      <w:r>
        <w:fldChar w:fldCharType="begin"/>
      </w:r>
      <w:r>
        <w:instrText xml:space="preserve"> PAGEREF _Toc2042 </w:instrText>
      </w:r>
      <w:r>
        <w:fldChar w:fldCharType="separate"/>
      </w:r>
      <w:r>
        <w:t>13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_Toc3007 </w:instrText>
      </w:r>
      <w:r>
        <w:rPr>
          <w:rFonts w:ascii="宋体" w:hAnsi="宋体" w:cs="宋体"/>
          <w:bCs/>
          <w:kern w:val="0"/>
          <w:szCs w:val="21"/>
          <w:highlight w:val="none"/>
        </w:rPr>
        <w:fldChar w:fldCharType="separate"/>
      </w:r>
      <w:r>
        <w:rPr>
          <w:rFonts w:hint="eastAsia" w:ascii="宋体" w:hAnsi="宋体" w:cs="宋体"/>
          <w:highlight w:val="none"/>
          <w:lang w:val="zh-CN"/>
        </w:rPr>
        <w:t>七、评审程序及方法</w:t>
      </w:r>
      <w:r>
        <w:tab/>
      </w:r>
      <w:r>
        <w:fldChar w:fldCharType="begin"/>
      </w:r>
      <w:r>
        <w:instrText xml:space="preserve"> PAGEREF _Toc3007 </w:instrText>
      </w:r>
      <w:r>
        <w:fldChar w:fldCharType="separate"/>
      </w:r>
      <w:r>
        <w:t>14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_Toc2451 </w:instrText>
      </w:r>
      <w:r>
        <w:rPr>
          <w:rFonts w:ascii="宋体" w:hAnsi="宋体" w:cs="宋体"/>
          <w:bCs/>
          <w:kern w:val="0"/>
          <w:szCs w:val="21"/>
          <w:highlight w:val="none"/>
        </w:rPr>
        <w:fldChar w:fldCharType="separate"/>
      </w:r>
      <w:r>
        <w:rPr>
          <w:rFonts w:hint="eastAsia" w:ascii="宋体" w:hAnsi="宋体" w:cs="宋体"/>
          <w:szCs w:val="28"/>
          <w:highlight w:val="none"/>
          <w:lang w:val="zh-CN"/>
        </w:rPr>
        <w:t>1</w:t>
      </w:r>
      <w:r>
        <w:rPr>
          <w:rFonts w:hint="eastAsia" w:ascii="宋体" w:hAnsi="宋体" w:cs="宋体"/>
          <w:szCs w:val="28"/>
          <w:highlight w:val="none"/>
        </w:rPr>
        <w:t>8</w:t>
      </w:r>
      <w:r>
        <w:rPr>
          <w:rFonts w:hint="eastAsia" w:ascii="宋体" w:hAnsi="宋体" w:cs="宋体"/>
          <w:szCs w:val="28"/>
          <w:highlight w:val="none"/>
          <w:lang w:val="zh-CN"/>
        </w:rPr>
        <w:t>.评标委员会</w:t>
      </w:r>
      <w:r>
        <w:tab/>
      </w:r>
      <w:r>
        <w:fldChar w:fldCharType="begin"/>
      </w:r>
      <w:r>
        <w:instrText xml:space="preserve"> PAGEREF _Toc2451 </w:instrText>
      </w:r>
      <w:r>
        <w:fldChar w:fldCharType="separate"/>
      </w:r>
      <w:r>
        <w:t>14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_Toc15257 </w:instrText>
      </w:r>
      <w:r>
        <w:rPr>
          <w:rFonts w:ascii="宋体" w:hAnsi="宋体" w:cs="宋体"/>
          <w:bCs/>
          <w:kern w:val="0"/>
          <w:szCs w:val="21"/>
          <w:highlight w:val="none"/>
        </w:rPr>
        <w:fldChar w:fldCharType="separate"/>
      </w:r>
      <w:r>
        <w:rPr>
          <w:rFonts w:hint="eastAsia" w:ascii="宋体" w:hAnsi="宋体" w:cs="宋体"/>
          <w:szCs w:val="28"/>
          <w:highlight w:val="none"/>
        </w:rPr>
        <w:t>19</w:t>
      </w:r>
      <w:r>
        <w:rPr>
          <w:rFonts w:hint="eastAsia" w:ascii="宋体" w:hAnsi="宋体" w:cs="宋体"/>
          <w:szCs w:val="28"/>
          <w:highlight w:val="none"/>
          <w:lang w:val="zh-CN"/>
        </w:rPr>
        <w:t>.评审工作程序</w:t>
      </w:r>
      <w:r>
        <w:tab/>
      </w:r>
      <w:r>
        <w:fldChar w:fldCharType="begin"/>
      </w:r>
      <w:r>
        <w:instrText xml:space="preserve"> PAGEREF _Toc15257 </w:instrText>
      </w:r>
      <w:r>
        <w:fldChar w:fldCharType="separate"/>
      </w:r>
      <w:r>
        <w:t>16</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_Toc3638 </w:instrText>
      </w:r>
      <w:r>
        <w:rPr>
          <w:rFonts w:ascii="宋体" w:hAnsi="宋体" w:cs="宋体"/>
          <w:bCs/>
          <w:kern w:val="0"/>
          <w:szCs w:val="21"/>
          <w:highlight w:val="none"/>
        </w:rPr>
        <w:fldChar w:fldCharType="separate"/>
      </w:r>
      <w:r>
        <w:rPr>
          <w:rFonts w:hint="eastAsia" w:ascii="宋体" w:hAnsi="宋体" w:cs="宋体"/>
          <w:highlight w:val="none"/>
          <w:lang w:val="zh-CN"/>
        </w:rPr>
        <w:t>八、中标</w:t>
      </w:r>
      <w:r>
        <w:tab/>
      </w:r>
      <w:r>
        <w:fldChar w:fldCharType="begin"/>
      </w:r>
      <w:r>
        <w:instrText xml:space="preserve"> PAGEREF _Toc3638 </w:instrText>
      </w:r>
      <w:r>
        <w:fldChar w:fldCharType="separate"/>
      </w:r>
      <w:r>
        <w:t>22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_Toc23239 </w:instrText>
      </w:r>
      <w:r>
        <w:rPr>
          <w:rFonts w:ascii="宋体" w:hAnsi="宋体" w:cs="宋体"/>
          <w:bCs/>
          <w:kern w:val="0"/>
          <w:szCs w:val="21"/>
          <w:highlight w:val="none"/>
        </w:rPr>
        <w:fldChar w:fldCharType="separate"/>
      </w:r>
      <w:r>
        <w:rPr>
          <w:rFonts w:ascii="宋体" w:hAnsi="宋体" w:cs="宋体"/>
          <w:szCs w:val="28"/>
          <w:highlight w:val="none"/>
          <w:lang w:val="zh-CN"/>
        </w:rPr>
        <w:t>2</w:t>
      </w:r>
      <w:r>
        <w:rPr>
          <w:rFonts w:ascii="宋体" w:hAnsi="宋体" w:cs="宋体"/>
          <w:szCs w:val="28"/>
          <w:highlight w:val="none"/>
        </w:rPr>
        <w:t>1</w:t>
      </w:r>
      <w:r>
        <w:rPr>
          <w:rFonts w:ascii="宋体" w:cs="宋体"/>
          <w:szCs w:val="28"/>
          <w:highlight w:val="none"/>
          <w:lang w:val="zh-CN"/>
        </w:rPr>
        <w:t>.</w:t>
      </w:r>
      <w:r>
        <w:rPr>
          <w:rFonts w:hint="eastAsia" w:ascii="宋体" w:hAnsi="宋体" w:cs="宋体"/>
          <w:szCs w:val="28"/>
          <w:highlight w:val="none"/>
          <w:lang w:val="zh-CN"/>
        </w:rPr>
        <w:t>推荐并确定中标人</w:t>
      </w:r>
      <w:r>
        <w:tab/>
      </w:r>
      <w:r>
        <w:fldChar w:fldCharType="begin"/>
      </w:r>
      <w:r>
        <w:instrText xml:space="preserve"> PAGEREF _Toc23239 </w:instrText>
      </w:r>
      <w:r>
        <w:fldChar w:fldCharType="separate"/>
      </w:r>
      <w:r>
        <w:t>22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_Toc27783 </w:instrText>
      </w:r>
      <w:r>
        <w:rPr>
          <w:rFonts w:ascii="宋体" w:hAnsi="宋体" w:cs="宋体"/>
          <w:bCs/>
          <w:kern w:val="0"/>
          <w:szCs w:val="21"/>
          <w:highlight w:val="none"/>
        </w:rPr>
        <w:fldChar w:fldCharType="separate"/>
      </w:r>
      <w:r>
        <w:rPr>
          <w:rFonts w:ascii="宋体" w:hAnsi="宋体" w:cs="宋体"/>
          <w:szCs w:val="28"/>
          <w:highlight w:val="none"/>
          <w:lang w:val="zh-CN"/>
        </w:rPr>
        <w:t>2</w:t>
      </w:r>
      <w:r>
        <w:rPr>
          <w:rFonts w:ascii="宋体" w:hAnsi="宋体" w:cs="宋体"/>
          <w:szCs w:val="28"/>
          <w:highlight w:val="none"/>
        </w:rPr>
        <w:t>2</w:t>
      </w:r>
      <w:r>
        <w:rPr>
          <w:rFonts w:ascii="宋体" w:cs="宋体"/>
          <w:szCs w:val="28"/>
          <w:highlight w:val="none"/>
          <w:lang w:val="zh-CN"/>
        </w:rPr>
        <w:t>.</w:t>
      </w:r>
      <w:r>
        <w:rPr>
          <w:rFonts w:hint="eastAsia" w:ascii="宋体" w:hAnsi="宋体" w:cs="宋体"/>
          <w:szCs w:val="28"/>
          <w:highlight w:val="none"/>
          <w:lang w:val="zh-CN"/>
        </w:rPr>
        <w:t>中标通知</w:t>
      </w:r>
      <w:r>
        <w:tab/>
      </w:r>
      <w:r>
        <w:fldChar w:fldCharType="begin"/>
      </w:r>
      <w:r>
        <w:instrText xml:space="preserve"> PAGEREF _Toc27783 </w:instrText>
      </w:r>
      <w:r>
        <w:fldChar w:fldCharType="separate"/>
      </w:r>
      <w:r>
        <w:t>22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_Toc17117 </w:instrText>
      </w:r>
      <w:r>
        <w:rPr>
          <w:rFonts w:ascii="宋体" w:hAnsi="宋体" w:cs="宋体"/>
          <w:bCs/>
          <w:kern w:val="0"/>
          <w:szCs w:val="21"/>
          <w:highlight w:val="none"/>
        </w:rPr>
        <w:fldChar w:fldCharType="separate"/>
      </w:r>
      <w:r>
        <w:rPr>
          <w:rFonts w:hint="eastAsia" w:ascii="宋体" w:hAnsi="宋体" w:cs="宋体"/>
          <w:highlight w:val="none"/>
          <w:lang w:val="zh-CN"/>
        </w:rPr>
        <w:t>九、授予合同</w:t>
      </w:r>
      <w:r>
        <w:tab/>
      </w:r>
      <w:r>
        <w:fldChar w:fldCharType="begin"/>
      </w:r>
      <w:r>
        <w:instrText xml:space="preserve"> PAGEREF _Toc17117 </w:instrText>
      </w:r>
      <w:r>
        <w:fldChar w:fldCharType="separate"/>
      </w:r>
      <w:r>
        <w:t>23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_Toc1867 </w:instrText>
      </w:r>
      <w:r>
        <w:rPr>
          <w:rFonts w:ascii="宋体" w:hAnsi="宋体" w:cs="宋体"/>
          <w:bCs/>
          <w:kern w:val="0"/>
          <w:szCs w:val="21"/>
          <w:highlight w:val="none"/>
        </w:rPr>
        <w:fldChar w:fldCharType="separate"/>
      </w:r>
      <w:r>
        <w:rPr>
          <w:rFonts w:ascii="宋体" w:hAnsi="宋体" w:cs="宋体"/>
          <w:szCs w:val="28"/>
          <w:highlight w:val="none"/>
          <w:lang w:val="zh-CN"/>
        </w:rPr>
        <w:t>2</w:t>
      </w:r>
      <w:r>
        <w:rPr>
          <w:rFonts w:ascii="宋体" w:hAnsi="宋体" w:cs="宋体"/>
          <w:szCs w:val="28"/>
          <w:highlight w:val="none"/>
        </w:rPr>
        <w:t>3</w:t>
      </w:r>
      <w:r>
        <w:rPr>
          <w:rFonts w:ascii="宋体" w:cs="宋体"/>
          <w:szCs w:val="28"/>
          <w:highlight w:val="none"/>
          <w:lang w:val="zh-CN"/>
        </w:rPr>
        <w:t>.</w:t>
      </w:r>
      <w:r>
        <w:rPr>
          <w:rFonts w:hint="eastAsia" w:ascii="宋体" w:hAnsi="宋体" w:cs="宋体"/>
          <w:szCs w:val="28"/>
          <w:highlight w:val="none"/>
          <w:lang w:val="zh-CN"/>
        </w:rPr>
        <w:t>签订合同</w:t>
      </w:r>
      <w:r>
        <w:tab/>
      </w:r>
      <w:r>
        <w:fldChar w:fldCharType="begin"/>
      </w:r>
      <w:r>
        <w:instrText xml:space="preserve"> PAGEREF _Toc1867 </w:instrText>
      </w:r>
      <w:r>
        <w:fldChar w:fldCharType="separate"/>
      </w:r>
      <w:r>
        <w:t>23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_Toc25885 </w:instrText>
      </w:r>
      <w:r>
        <w:rPr>
          <w:rFonts w:ascii="宋体" w:hAnsi="宋体" w:cs="宋体"/>
          <w:bCs/>
          <w:kern w:val="0"/>
          <w:szCs w:val="21"/>
          <w:highlight w:val="none"/>
        </w:rPr>
        <w:fldChar w:fldCharType="separate"/>
      </w:r>
      <w:r>
        <w:rPr>
          <w:rFonts w:hint="eastAsia" w:ascii="宋体" w:hAnsi="宋体" w:cs="宋体"/>
          <w:highlight w:val="none"/>
          <w:lang w:val="zh-CN"/>
        </w:rPr>
        <w:t>十、招标代理费</w:t>
      </w:r>
      <w:r>
        <w:tab/>
      </w:r>
      <w:r>
        <w:fldChar w:fldCharType="begin"/>
      </w:r>
      <w:r>
        <w:instrText xml:space="preserve"> PAGEREF _Toc25885 </w:instrText>
      </w:r>
      <w:r>
        <w:fldChar w:fldCharType="separate"/>
      </w:r>
      <w:r>
        <w:t>24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_Toc1542 </w:instrText>
      </w:r>
      <w:r>
        <w:rPr>
          <w:rFonts w:ascii="宋体" w:hAnsi="宋体" w:cs="宋体"/>
          <w:bCs/>
          <w:kern w:val="0"/>
          <w:szCs w:val="21"/>
          <w:highlight w:val="none"/>
        </w:rPr>
        <w:fldChar w:fldCharType="separate"/>
      </w:r>
      <w:r>
        <w:rPr>
          <w:rFonts w:hint="eastAsia" w:ascii="宋体" w:hAnsi="宋体" w:cs="宋体"/>
          <w:highlight w:val="none"/>
          <w:lang w:val="zh-CN"/>
        </w:rPr>
        <w:t>十一、其他</w:t>
      </w:r>
      <w:r>
        <w:tab/>
      </w:r>
      <w:r>
        <w:fldChar w:fldCharType="begin"/>
      </w:r>
      <w:r>
        <w:instrText xml:space="preserve"> PAGEREF _Toc1542 </w:instrText>
      </w:r>
      <w:r>
        <w:fldChar w:fldCharType="separate"/>
      </w:r>
      <w:r>
        <w:t>24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_Toc286 </w:instrText>
      </w:r>
      <w:r>
        <w:rPr>
          <w:rFonts w:ascii="宋体" w:hAnsi="宋体" w:cs="宋体"/>
          <w:bCs/>
          <w:kern w:val="0"/>
          <w:szCs w:val="21"/>
          <w:highlight w:val="none"/>
        </w:rPr>
        <w:fldChar w:fldCharType="separate"/>
      </w:r>
      <w:r>
        <w:rPr>
          <w:rFonts w:hint="eastAsia" w:ascii="宋体" w:hAnsi="宋体" w:cs="宋体"/>
          <w:szCs w:val="36"/>
          <w:highlight w:val="none"/>
          <w:lang w:val="zh-CN"/>
        </w:rPr>
        <w:t>第三部分</w:t>
      </w:r>
      <w:r>
        <w:rPr>
          <w:rFonts w:ascii="宋体" w:hAnsi="宋体" w:cs="宋体"/>
          <w:szCs w:val="36"/>
          <w:highlight w:val="none"/>
          <w:lang w:val="zh-CN"/>
        </w:rPr>
        <w:t xml:space="preserve"> </w:t>
      </w:r>
      <w:r>
        <w:rPr>
          <w:rFonts w:ascii="宋体" w:hAnsi="宋体" w:cs="宋体"/>
          <w:szCs w:val="36"/>
          <w:highlight w:val="none"/>
        </w:rPr>
        <w:t xml:space="preserve"> </w:t>
      </w:r>
      <w:r>
        <w:rPr>
          <w:rFonts w:hint="eastAsia" w:ascii="宋体" w:hAnsi="宋体" w:cs="宋体"/>
          <w:szCs w:val="36"/>
          <w:highlight w:val="none"/>
          <w:lang w:val="zh-CN"/>
        </w:rPr>
        <w:t>青海省政府采购项目合同书范本</w:t>
      </w:r>
      <w:r>
        <w:tab/>
      </w:r>
      <w:r>
        <w:fldChar w:fldCharType="begin"/>
      </w:r>
      <w:r>
        <w:instrText xml:space="preserve"> PAGEREF _Toc286 </w:instrText>
      </w:r>
      <w:r>
        <w:fldChar w:fldCharType="separate"/>
      </w:r>
      <w:r>
        <w:t>26</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_Toc22948 </w:instrText>
      </w:r>
      <w:r>
        <w:rPr>
          <w:rFonts w:ascii="宋体" w:hAnsi="宋体" w:cs="宋体"/>
          <w:bCs/>
          <w:kern w:val="0"/>
          <w:szCs w:val="21"/>
          <w:highlight w:val="none"/>
        </w:rPr>
        <w:fldChar w:fldCharType="separate"/>
      </w:r>
      <w:r>
        <w:rPr>
          <w:rFonts w:ascii="宋体" w:cs="Times New Roman"/>
          <w:szCs w:val="30"/>
        </w:rPr>
        <w:t xml:space="preserve">一、 </w:t>
      </w:r>
      <w:r>
        <w:rPr>
          <w:rFonts w:hint="eastAsia" w:ascii="宋体" w:hAnsi="宋体" w:cs="宋体"/>
          <w:szCs w:val="30"/>
          <w:highlight w:val="none"/>
          <w:lang w:val="zh-CN"/>
        </w:rPr>
        <w:t>投标文件封面（上册）</w:t>
      </w:r>
      <w:r>
        <w:tab/>
      </w:r>
      <w:r>
        <w:fldChar w:fldCharType="begin"/>
      </w:r>
      <w:r>
        <w:instrText xml:space="preserve"> PAGEREF _Toc22948 </w:instrText>
      </w:r>
      <w:r>
        <w:fldChar w:fldCharType="separate"/>
      </w:r>
      <w:r>
        <w:t>39</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_Toc32246 </w:instrText>
      </w:r>
      <w:r>
        <w:rPr>
          <w:rFonts w:ascii="宋体" w:hAnsi="宋体" w:cs="宋体"/>
          <w:bCs/>
          <w:kern w:val="0"/>
          <w:szCs w:val="21"/>
          <w:highlight w:val="none"/>
        </w:rPr>
        <w:fldChar w:fldCharType="separate"/>
      </w:r>
      <w:r>
        <w:rPr>
          <w:rFonts w:hint="eastAsia" w:ascii="宋体" w:hAnsi="宋体" w:cs="宋体"/>
          <w:kern w:val="0"/>
          <w:szCs w:val="30"/>
          <w:highlight w:val="none"/>
          <w:lang w:val="zh-CN"/>
        </w:rPr>
        <w:t>二、投标文件</w:t>
      </w:r>
      <w:r>
        <w:rPr>
          <w:rFonts w:hint="eastAsia" w:ascii="宋体" w:hAnsi="宋体" w:cs="宋体"/>
          <w:szCs w:val="30"/>
          <w:highlight w:val="none"/>
          <w:lang w:val="zh-CN"/>
        </w:rPr>
        <w:t>目录（上册）</w:t>
      </w:r>
      <w:r>
        <w:tab/>
      </w:r>
      <w:r>
        <w:fldChar w:fldCharType="begin"/>
      </w:r>
      <w:r>
        <w:instrText xml:space="preserve"> PAGEREF _Toc32246 </w:instrText>
      </w:r>
      <w:r>
        <w:fldChar w:fldCharType="separate"/>
      </w:r>
      <w:r>
        <w:t>40</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_Toc8447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w:t>
      </w:r>
      <w:r>
        <w:rPr>
          <w:rFonts w:hint="eastAsia" w:ascii="宋体" w:hAnsi="宋体" w:cs="宋体"/>
          <w:szCs w:val="30"/>
          <w:highlight w:val="none"/>
        </w:rPr>
        <w:t>）</w:t>
      </w:r>
      <w:r>
        <w:rPr>
          <w:rFonts w:hint="eastAsia" w:ascii="宋体" w:hAnsi="宋体" w:cs="宋体"/>
          <w:szCs w:val="30"/>
          <w:highlight w:val="none"/>
          <w:lang w:val="zh-CN"/>
        </w:rPr>
        <w:t>投标函</w:t>
      </w:r>
      <w:r>
        <w:tab/>
      </w:r>
      <w:r>
        <w:fldChar w:fldCharType="begin"/>
      </w:r>
      <w:r>
        <w:instrText xml:space="preserve"> PAGEREF _Toc8447 </w:instrText>
      </w:r>
      <w:r>
        <w:fldChar w:fldCharType="separate"/>
      </w:r>
      <w:r>
        <w:t>41</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_Toc20 </w:instrText>
      </w:r>
      <w:r>
        <w:rPr>
          <w:rFonts w:ascii="宋体" w:hAnsi="宋体" w:cs="宋体"/>
          <w:bCs/>
          <w:kern w:val="0"/>
          <w:szCs w:val="21"/>
          <w:highlight w:val="none"/>
        </w:rPr>
        <w:fldChar w:fldCharType="separate"/>
      </w:r>
      <w:r>
        <w:rPr>
          <w:rFonts w:hint="eastAsia" w:ascii="宋体" w:hAnsi="宋体" w:cs="宋体"/>
          <w:kern w:val="0"/>
          <w:szCs w:val="30"/>
          <w:highlight w:val="none"/>
          <w:lang w:val="zh-CN"/>
        </w:rPr>
        <w:t>（</w:t>
      </w:r>
      <w:r>
        <w:rPr>
          <w:rFonts w:ascii="宋体" w:hAnsi="宋体" w:cs="宋体"/>
          <w:kern w:val="0"/>
          <w:szCs w:val="30"/>
          <w:highlight w:val="none"/>
        </w:rPr>
        <w:t>2</w:t>
      </w:r>
      <w:r>
        <w:rPr>
          <w:rFonts w:hint="eastAsia" w:ascii="宋体" w:hAnsi="宋体" w:cs="宋体"/>
          <w:kern w:val="0"/>
          <w:szCs w:val="30"/>
          <w:highlight w:val="none"/>
          <w:lang w:val="zh-CN"/>
        </w:rPr>
        <w:t>）</w:t>
      </w:r>
      <w:r>
        <w:rPr>
          <w:rFonts w:hint="eastAsia" w:ascii="宋体" w:hAnsi="宋体" w:cs="宋体"/>
          <w:szCs w:val="30"/>
          <w:highlight w:val="none"/>
        </w:rPr>
        <w:t>法定代表人证明书</w:t>
      </w:r>
      <w:r>
        <w:tab/>
      </w:r>
      <w:r>
        <w:fldChar w:fldCharType="begin"/>
      </w:r>
      <w:r>
        <w:instrText xml:space="preserve"> PAGEREF _Toc20 </w:instrText>
      </w:r>
      <w:r>
        <w:fldChar w:fldCharType="separate"/>
      </w:r>
      <w:r>
        <w:t>42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_Toc25015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3</w:t>
      </w:r>
      <w:r>
        <w:rPr>
          <w:rFonts w:hint="eastAsia" w:ascii="宋体" w:hAnsi="宋体" w:cs="宋体"/>
          <w:szCs w:val="30"/>
          <w:highlight w:val="none"/>
        </w:rPr>
        <w:t>）</w:t>
      </w:r>
      <w:r>
        <w:rPr>
          <w:rFonts w:hint="eastAsia" w:ascii="宋体" w:hAnsi="宋体" w:cs="宋体"/>
          <w:szCs w:val="30"/>
          <w:highlight w:val="none"/>
          <w:lang w:val="zh-CN"/>
        </w:rPr>
        <w:t>法定代表人授权书</w:t>
      </w:r>
      <w:r>
        <w:tab/>
      </w:r>
      <w:r>
        <w:fldChar w:fldCharType="begin"/>
      </w:r>
      <w:r>
        <w:instrText xml:space="preserve"> PAGEREF _Toc25015 </w:instrText>
      </w:r>
      <w:r>
        <w:fldChar w:fldCharType="separate"/>
      </w:r>
      <w:r>
        <w:t>43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_Toc31190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4</w:t>
      </w:r>
      <w:r>
        <w:rPr>
          <w:rFonts w:hint="eastAsia" w:ascii="宋体" w:hAnsi="宋体" w:cs="宋体"/>
          <w:szCs w:val="30"/>
          <w:highlight w:val="none"/>
        </w:rPr>
        <w:t>）</w:t>
      </w:r>
      <w:r>
        <w:rPr>
          <w:rFonts w:hint="eastAsia" w:ascii="宋体" w:hAnsi="宋体" w:cs="宋体"/>
          <w:szCs w:val="30"/>
          <w:highlight w:val="none"/>
          <w:lang w:val="zh-CN"/>
        </w:rPr>
        <w:t>投标人承诺函</w:t>
      </w:r>
      <w:r>
        <w:tab/>
      </w:r>
      <w:r>
        <w:fldChar w:fldCharType="begin"/>
      </w:r>
      <w:r>
        <w:instrText xml:space="preserve"> PAGEREF _Toc31190 </w:instrText>
      </w:r>
      <w:r>
        <w:fldChar w:fldCharType="separate"/>
      </w:r>
      <w:r>
        <w:t>44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_Toc3411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5</w:t>
      </w:r>
      <w:r>
        <w:rPr>
          <w:rFonts w:hint="eastAsia" w:ascii="宋体" w:hAnsi="宋体" w:cs="宋体"/>
          <w:szCs w:val="30"/>
          <w:highlight w:val="none"/>
        </w:rPr>
        <w:t>）</w:t>
      </w:r>
      <w:r>
        <w:rPr>
          <w:rFonts w:hint="eastAsia" w:ascii="宋体" w:hAnsi="宋体" w:cs="宋体"/>
          <w:szCs w:val="30"/>
          <w:highlight w:val="none"/>
          <w:lang w:val="zh-CN"/>
        </w:rPr>
        <w:t>投标人诚信承诺书</w:t>
      </w:r>
      <w:r>
        <w:tab/>
      </w:r>
      <w:r>
        <w:fldChar w:fldCharType="begin"/>
      </w:r>
      <w:r>
        <w:instrText xml:space="preserve"> PAGEREF _Toc3411 </w:instrText>
      </w:r>
      <w:r>
        <w:fldChar w:fldCharType="separate"/>
      </w:r>
      <w:r>
        <w:t>45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_Toc18050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6</w:t>
      </w:r>
      <w:r>
        <w:rPr>
          <w:rFonts w:hint="eastAsia" w:ascii="宋体" w:hAnsi="宋体" w:cs="宋体"/>
          <w:szCs w:val="30"/>
          <w:highlight w:val="none"/>
        </w:rPr>
        <w:t>）</w:t>
      </w:r>
      <w:r>
        <w:rPr>
          <w:rFonts w:hint="eastAsia" w:ascii="宋体" w:hAnsi="宋体" w:cs="宋体"/>
          <w:szCs w:val="30"/>
          <w:highlight w:val="none"/>
          <w:lang w:val="zh-CN"/>
        </w:rPr>
        <w:t>资格证明材料</w:t>
      </w:r>
      <w:r>
        <w:tab/>
      </w:r>
      <w:r>
        <w:fldChar w:fldCharType="begin"/>
      </w:r>
      <w:r>
        <w:instrText xml:space="preserve"> PAGEREF _Toc18050 </w:instrText>
      </w:r>
      <w:r>
        <w:fldChar w:fldCharType="separate"/>
      </w:r>
      <w:r>
        <w:t>46</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_Toc27246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7</w:t>
      </w:r>
      <w:r>
        <w:rPr>
          <w:rFonts w:hint="eastAsia" w:ascii="宋体" w:hAnsi="宋体" w:cs="宋体"/>
          <w:szCs w:val="30"/>
          <w:highlight w:val="none"/>
        </w:rPr>
        <w:t>）</w:t>
      </w:r>
      <w:r>
        <w:rPr>
          <w:rFonts w:hint="eastAsia" w:ascii="宋体" w:hAnsi="宋体" w:cs="宋体"/>
          <w:szCs w:val="30"/>
          <w:highlight w:val="none"/>
          <w:lang w:val="zh-CN"/>
        </w:rPr>
        <w:t>财务状况报告，依法缴纳税收和社会保障资金的相关材料</w:t>
      </w:r>
      <w:r>
        <w:tab/>
      </w:r>
      <w:r>
        <w:fldChar w:fldCharType="begin"/>
      </w:r>
      <w:r>
        <w:instrText xml:space="preserve"> PAGEREF _Toc27246 </w:instrText>
      </w:r>
      <w:r>
        <w:fldChar w:fldCharType="separate"/>
      </w:r>
      <w:r>
        <w:t>47</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_Toc20721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8</w:t>
      </w:r>
      <w:r>
        <w:rPr>
          <w:rFonts w:hint="eastAsia" w:ascii="宋体" w:hAnsi="宋体" w:cs="宋体"/>
          <w:szCs w:val="30"/>
          <w:highlight w:val="none"/>
        </w:rPr>
        <w:t>）</w:t>
      </w:r>
      <w:r>
        <w:rPr>
          <w:rFonts w:hint="eastAsia" w:ascii="宋体" w:hAnsi="宋体" w:cs="宋体"/>
          <w:szCs w:val="30"/>
          <w:highlight w:val="none"/>
          <w:lang w:val="zh-CN"/>
        </w:rPr>
        <w:t>具备履行合同所必需的设备和专业技术能力的证明材料</w:t>
      </w:r>
      <w:r>
        <w:tab/>
      </w:r>
      <w:r>
        <w:fldChar w:fldCharType="begin"/>
      </w:r>
      <w:r>
        <w:instrText xml:space="preserve"> PAGEREF _Toc20721 </w:instrText>
      </w:r>
      <w:r>
        <w:fldChar w:fldCharType="separate"/>
      </w:r>
      <w:r>
        <w:t>48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_Toc9349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9</w:t>
      </w:r>
      <w:r>
        <w:rPr>
          <w:rFonts w:hint="eastAsia" w:ascii="宋体" w:hAnsi="宋体" w:cs="宋体"/>
          <w:szCs w:val="30"/>
          <w:highlight w:val="none"/>
        </w:rPr>
        <w:t>）</w:t>
      </w:r>
      <w:r>
        <w:rPr>
          <w:rFonts w:hint="eastAsia" w:ascii="宋体" w:hAnsi="宋体" w:cs="宋体"/>
          <w:szCs w:val="30"/>
          <w:highlight w:val="none"/>
          <w:lang w:val="zh-CN"/>
        </w:rPr>
        <w:t>无重大违法记录声明</w:t>
      </w:r>
      <w:r>
        <w:tab/>
      </w:r>
      <w:r>
        <w:fldChar w:fldCharType="begin"/>
      </w:r>
      <w:r>
        <w:instrText xml:space="preserve"> PAGEREF _Toc9349 </w:instrText>
      </w:r>
      <w:r>
        <w:fldChar w:fldCharType="separate"/>
      </w:r>
      <w:r>
        <w:t>49</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_Toc23205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10</w:t>
      </w:r>
      <w:r>
        <w:rPr>
          <w:rFonts w:hint="eastAsia" w:ascii="宋体" w:hAnsi="宋体" w:cs="宋体"/>
          <w:szCs w:val="30"/>
          <w:highlight w:val="none"/>
        </w:rPr>
        <w:t>）</w:t>
      </w:r>
      <w:r>
        <w:rPr>
          <w:rFonts w:hint="eastAsia" w:ascii="宋体" w:hAnsi="宋体" w:cs="宋体"/>
          <w:szCs w:val="30"/>
          <w:highlight w:val="none"/>
          <w:lang w:val="zh-CN"/>
        </w:rPr>
        <w:t>投标保证金证明</w:t>
      </w:r>
      <w:r>
        <w:tab/>
      </w:r>
      <w:r>
        <w:fldChar w:fldCharType="begin"/>
      </w:r>
      <w:r>
        <w:instrText xml:space="preserve"> PAGEREF _Toc23205 </w:instrText>
      </w:r>
      <w:r>
        <w:fldChar w:fldCharType="separate"/>
      </w:r>
      <w:r>
        <w:t>50</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_Toc4893 </w:instrText>
      </w:r>
      <w:r>
        <w:rPr>
          <w:rFonts w:ascii="宋体" w:hAnsi="宋体" w:cs="宋体"/>
          <w:bCs/>
          <w:kern w:val="0"/>
          <w:szCs w:val="21"/>
          <w:highlight w:val="none"/>
        </w:rPr>
        <w:fldChar w:fldCharType="separate"/>
      </w:r>
      <w:r>
        <w:rPr>
          <w:rFonts w:ascii="宋体" w:cs="Times New Roman"/>
          <w:szCs w:val="30"/>
          <w:lang w:val="zh-CN"/>
        </w:rPr>
        <w:t xml:space="preserve">（11） </w:t>
      </w:r>
      <w:r>
        <w:rPr>
          <w:rFonts w:hint="eastAsia" w:ascii="宋体" w:hAnsi="宋体" w:cs="宋体"/>
          <w:szCs w:val="30"/>
          <w:highlight w:val="none"/>
          <w:lang w:val="zh-CN"/>
        </w:rPr>
        <w:t>信用信息栏中无任何不良记录</w:t>
      </w:r>
      <w:r>
        <w:tab/>
      </w:r>
      <w:r>
        <w:fldChar w:fldCharType="begin"/>
      </w:r>
      <w:r>
        <w:instrText xml:space="preserve"> PAGEREF _Toc4893 </w:instrText>
      </w:r>
      <w:r>
        <w:fldChar w:fldCharType="separate"/>
      </w:r>
      <w:r>
        <w:t>51</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_Toc20695 </w:instrText>
      </w:r>
      <w:r>
        <w:rPr>
          <w:rFonts w:ascii="宋体" w:hAnsi="宋体" w:cs="宋体"/>
          <w:bCs/>
          <w:kern w:val="0"/>
          <w:szCs w:val="21"/>
          <w:highlight w:val="none"/>
        </w:rPr>
        <w:fldChar w:fldCharType="separate"/>
      </w:r>
      <w:r>
        <w:rPr>
          <w:rFonts w:hint="eastAsia" w:ascii="宋体" w:hAnsi="宋体" w:cs="宋体"/>
          <w:szCs w:val="30"/>
          <w:highlight w:val="none"/>
          <w:lang w:val="zh-CN"/>
        </w:rPr>
        <w:t>三、投标文件封面（下册）</w:t>
      </w:r>
      <w:r>
        <w:tab/>
      </w:r>
      <w:r>
        <w:fldChar w:fldCharType="begin"/>
      </w:r>
      <w:r>
        <w:instrText xml:space="preserve"> PAGEREF _Toc20695 </w:instrText>
      </w:r>
      <w:r>
        <w:fldChar w:fldCharType="separate"/>
      </w:r>
      <w:r>
        <w:t>52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_Toc15158 </w:instrText>
      </w:r>
      <w:r>
        <w:rPr>
          <w:rFonts w:ascii="宋体" w:hAnsi="宋体" w:cs="宋体"/>
          <w:bCs/>
          <w:kern w:val="0"/>
          <w:szCs w:val="21"/>
          <w:highlight w:val="none"/>
        </w:rPr>
        <w:fldChar w:fldCharType="separate"/>
      </w:r>
      <w:r>
        <w:rPr>
          <w:rFonts w:ascii="宋体" w:cs="Times New Roman"/>
          <w:szCs w:val="30"/>
          <w:lang w:val="zh-CN"/>
        </w:rPr>
        <w:t xml:space="preserve">（12） </w:t>
      </w:r>
      <w:r>
        <w:rPr>
          <w:rFonts w:hint="eastAsia" w:ascii="宋体" w:hAnsi="宋体" w:cs="宋体"/>
          <w:szCs w:val="30"/>
          <w:highlight w:val="none"/>
          <w:lang w:val="zh-CN"/>
        </w:rPr>
        <w:t>评分对照表</w:t>
      </w:r>
      <w:r>
        <w:tab/>
      </w:r>
      <w:r>
        <w:fldChar w:fldCharType="begin"/>
      </w:r>
      <w:r>
        <w:instrText xml:space="preserve"> PAGEREF _Toc15158 </w:instrText>
      </w:r>
      <w:r>
        <w:fldChar w:fldCharType="separate"/>
      </w:r>
      <w:r>
        <w:t>54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_Toc18086 </w:instrText>
      </w:r>
      <w:r>
        <w:rPr>
          <w:rFonts w:ascii="宋体" w:hAnsi="宋体" w:cs="宋体"/>
          <w:bCs/>
          <w:kern w:val="0"/>
          <w:szCs w:val="21"/>
          <w:highlight w:val="none"/>
        </w:rPr>
        <w:fldChar w:fldCharType="separate"/>
      </w:r>
      <w:r>
        <w:rPr>
          <w:rFonts w:ascii="宋体" w:cs="Times New Roman"/>
          <w:szCs w:val="30"/>
          <w:lang w:val="zh-CN"/>
        </w:rPr>
        <w:t xml:space="preserve">（13） </w:t>
      </w:r>
      <w:r>
        <w:rPr>
          <w:rFonts w:hint="eastAsia" w:ascii="宋体" w:hAnsi="宋体" w:cs="宋体"/>
          <w:szCs w:val="30"/>
          <w:highlight w:val="none"/>
          <w:lang w:val="zh-CN"/>
        </w:rPr>
        <w:t>开标一览表（报价表）</w:t>
      </w:r>
      <w:r>
        <w:tab/>
      </w:r>
      <w:r>
        <w:fldChar w:fldCharType="begin"/>
      </w:r>
      <w:r>
        <w:instrText xml:space="preserve"> PAGEREF _Toc18086 </w:instrText>
      </w:r>
      <w:r>
        <w:fldChar w:fldCharType="separate"/>
      </w:r>
      <w:r>
        <w:t>55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_Toc25886 </w:instrText>
      </w:r>
      <w:r>
        <w:rPr>
          <w:rFonts w:ascii="宋体" w:hAnsi="宋体" w:cs="宋体"/>
          <w:bCs/>
          <w:kern w:val="0"/>
          <w:szCs w:val="21"/>
          <w:highlight w:val="none"/>
        </w:rPr>
        <w:fldChar w:fldCharType="separate"/>
      </w:r>
      <w:r>
        <w:rPr>
          <w:rFonts w:hint="eastAsia" w:ascii="宋体" w:hAnsi="宋体" w:cs="宋体"/>
          <w:szCs w:val="30"/>
          <w:highlight w:val="none"/>
          <w:lang w:val="zh-CN"/>
        </w:rPr>
        <w:t>（</w:t>
      </w:r>
      <w:r>
        <w:rPr>
          <w:rFonts w:ascii="宋体" w:hAnsi="宋体" w:cs="宋体"/>
          <w:szCs w:val="30"/>
          <w:highlight w:val="none"/>
          <w:lang w:val="zh-CN"/>
        </w:rPr>
        <w:t>1</w:t>
      </w:r>
      <w:r>
        <w:rPr>
          <w:rFonts w:ascii="宋体" w:hAnsi="宋体" w:cs="宋体"/>
          <w:szCs w:val="30"/>
          <w:highlight w:val="none"/>
        </w:rPr>
        <w:t>4</w:t>
      </w:r>
      <w:r>
        <w:rPr>
          <w:rFonts w:hint="eastAsia" w:ascii="宋体" w:hAnsi="宋体" w:cs="宋体"/>
          <w:szCs w:val="30"/>
          <w:highlight w:val="none"/>
          <w:lang w:val="zh-CN"/>
        </w:rPr>
        <w:t>）分项报价表</w:t>
      </w:r>
      <w:r>
        <w:tab/>
      </w:r>
      <w:r>
        <w:fldChar w:fldCharType="begin"/>
      </w:r>
      <w:r>
        <w:instrText xml:space="preserve"> PAGEREF _Toc25886 </w:instrText>
      </w:r>
      <w:r>
        <w:fldChar w:fldCharType="separate"/>
      </w:r>
      <w:r>
        <w:t>56</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_Toc9741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15</w:t>
      </w:r>
      <w:r>
        <w:rPr>
          <w:rFonts w:hint="eastAsia" w:ascii="宋体" w:hAnsi="宋体" w:cs="宋体"/>
          <w:szCs w:val="30"/>
          <w:highlight w:val="none"/>
        </w:rPr>
        <w:t>）</w:t>
      </w:r>
      <w:r>
        <w:rPr>
          <w:rFonts w:hint="eastAsia" w:ascii="宋体" w:hAnsi="宋体" w:cs="宋体"/>
          <w:szCs w:val="30"/>
          <w:highlight w:val="none"/>
          <w:lang w:val="zh-CN"/>
        </w:rPr>
        <w:t>技术规格响应表</w:t>
      </w:r>
      <w:r>
        <w:tab/>
      </w:r>
      <w:r>
        <w:fldChar w:fldCharType="begin"/>
      </w:r>
      <w:r>
        <w:instrText xml:space="preserve"> PAGEREF _Toc9741 </w:instrText>
      </w:r>
      <w:r>
        <w:fldChar w:fldCharType="separate"/>
      </w:r>
      <w:r>
        <w:t>57</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_Toc12839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16</w:t>
      </w:r>
      <w:r>
        <w:rPr>
          <w:rFonts w:hint="eastAsia" w:ascii="宋体" w:hAnsi="宋体" w:cs="宋体"/>
          <w:szCs w:val="30"/>
          <w:highlight w:val="none"/>
        </w:rPr>
        <w:t>）投标产品</w:t>
      </w:r>
      <w:r>
        <w:rPr>
          <w:rFonts w:hint="eastAsia" w:ascii="宋体" w:hAnsi="宋体" w:cs="宋体"/>
          <w:highlight w:val="none"/>
          <w:lang w:val="zh-CN"/>
        </w:rPr>
        <w:t>按时供货保证书</w:t>
      </w:r>
      <w:r>
        <w:tab/>
      </w:r>
      <w:r>
        <w:fldChar w:fldCharType="begin"/>
      </w:r>
      <w:r>
        <w:instrText xml:space="preserve"> PAGEREF _Toc12839 </w:instrText>
      </w:r>
      <w:r>
        <w:fldChar w:fldCharType="separate"/>
      </w:r>
      <w:r>
        <w:t>58</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_Toc30035 </w:instrText>
      </w:r>
      <w:r>
        <w:rPr>
          <w:rFonts w:ascii="宋体" w:hAnsi="宋体" w:cs="宋体"/>
          <w:bCs/>
          <w:kern w:val="0"/>
          <w:szCs w:val="21"/>
          <w:highlight w:val="none"/>
        </w:rPr>
        <w:fldChar w:fldCharType="separate"/>
      </w:r>
      <w:r>
        <w:rPr>
          <w:rFonts w:hint="eastAsia" w:ascii="宋体" w:hAnsi="宋体" w:cs="宋体"/>
          <w:szCs w:val="30"/>
          <w:highlight w:val="none"/>
          <w:lang w:val="zh-CN"/>
        </w:rPr>
        <w:t>（</w:t>
      </w:r>
      <w:r>
        <w:rPr>
          <w:rFonts w:ascii="宋体" w:hAnsi="宋体" w:cs="宋体"/>
          <w:szCs w:val="30"/>
          <w:highlight w:val="none"/>
        </w:rPr>
        <w:t>17</w:t>
      </w:r>
      <w:r>
        <w:rPr>
          <w:rFonts w:hint="eastAsia" w:ascii="宋体" w:hAnsi="宋体" w:cs="宋体"/>
          <w:szCs w:val="30"/>
          <w:highlight w:val="none"/>
          <w:lang w:val="zh-CN"/>
        </w:rPr>
        <w:t>）投标产品相关资料</w:t>
      </w:r>
      <w:r>
        <w:tab/>
      </w:r>
      <w:r>
        <w:fldChar w:fldCharType="begin"/>
      </w:r>
      <w:r>
        <w:instrText xml:space="preserve"> PAGEREF _Toc30035 </w:instrText>
      </w:r>
      <w:r>
        <w:fldChar w:fldCharType="separate"/>
      </w:r>
      <w:r>
        <w:t>59</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_Toc14545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18</w:t>
      </w:r>
      <w:r>
        <w:rPr>
          <w:rFonts w:hint="eastAsia" w:ascii="宋体" w:hAnsi="宋体" w:cs="宋体"/>
          <w:szCs w:val="30"/>
          <w:highlight w:val="none"/>
        </w:rPr>
        <w:t>）</w:t>
      </w:r>
      <w:r>
        <w:rPr>
          <w:rFonts w:hint="eastAsia" w:ascii="宋体" w:hAnsi="宋体" w:cs="宋体"/>
          <w:szCs w:val="30"/>
          <w:highlight w:val="none"/>
          <w:lang w:val="zh-CN"/>
        </w:rPr>
        <w:t>投标人的类似业绩证明材料</w:t>
      </w:r>
      <w:r>
        <w:tab/>
      </w:r>
      <w:r>
        <w:fldChar w:fldCharType="begin"/>
      </w:r>
      <w:r>
        <w:instrText xml:space="preserve"> PAGEREF _Toc14545 </w:instrText>
      </w:r>
      <w:r>
        <w:fldChar w:fldCharType="separate"/>
      </w:r>
      <w:r>
        <w:t>60</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_Toc9050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19.1</w:t>
      </w:r>
      <w:r>
        <w:rPr>
          <w:rFonts w:hint="eastAsia" w:ascii="宋体" w:hAnsi="宋体" w:cs="宋体"/>
          <w:szCs w:val="30"/>
          <w:highlight w:val="none"/>
        </w:rPr>
        <w:t>）</w:t>
      </w:r>
      <w:r>
        <w:rPr>
          <w:rFonts w:hint="eastAsia" w:ascii="宋体" w:hAnsi="宋体" w:cs="宋体"/>
          <w:szCs w:val="30"/>
          <w:highlight w:val="none"/>
          <w:lang w:val="zh-CN"/>
        </w:rPr>
        <w:t>制造（生产）企业小型、微型企业声明函</w:t>
      </w:r>
      <w:r>
        <w:tab/>
      </w:r>
      <w:r>
        <w:fldChar w:fldCharType="begin"/>
      </w:r>
      <w:r>
        <w:instrText xml:space="preserve"> PAGEREF _Toc9050 </w:instrText>
      </w:r>
      <w:r>
        <w:fldChar w:fldCharType="separate"/>
      </w:r>
      <w:r>
        <w:t>61</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_Toc15034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19.2</w:t>
      </w:r>
      <w:r>
        <w:rPr>
          <w:rFonts w:hint="eastAsia" w:ascii="宋体" w:hAnsi="宋体" w:cs="宋体"/>
          <w:szCs w:val="30"/>
          <w:highlight w:val="none"/>
        </w:rPr>
        <w:t>）</w:t>
      </w:r>
      <w:r>
        <w:rPr>
          <w:rFonts w:hint="eastAsia" w:ascii="宋体" w:hAnsi="宋体" w:cs="宋体"/>
          <w:szCs w:val="30"/>
          <w:highlight w:val="none"/>
          <w:lang w:val="zh-CN"/>
        </w:rPr>
        <w:t>从业人员声明函</w:t>
      </w:r>
      <w:r>
        <w:tab/>
      </w:r>
      <w:r>
        <w:fldChar w:fldCharType="begin"/>
      </w:r>
      <w:r>
        <w:instrText xml:space="preserve"> PAGEREF _Toc15034 </w:instrText>
      </w:r>
      <w:r>
        <w:fldChar w:fldCharType="separate"/>
      </w:r>
      <w:r>
        <w:t>62</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_Toc27616 </w:instrText>
      </w:r>
      <w:r>
        <w:rPr>
          <w:rFonts w:ascii="宋体" w:hAnsi="宋体" w:cs="宋体"/>
          <w:bCs/>
          <w:kern w:val="0"/>
          <w:szCs w:val="21"/>
          <w:highlight w:val="none"/>
        </w:rPr>
        <w:fldChar w:fldCharType="separate"/>
      </w:r>
      <w:r>
        <w:rPr>
          <w:rFonts w:hint="eastAsia" w:ascii="宋体" w:hAnsi="宋体" w:cs="宋体"/>
          <w:bCs w:val="0"/>
          <w:szCs w:val="30"/>
          <w:highlight w:val="none"/>
          <w:lang w:val="zh-CN"/>
        </w:rPr>
        <w:t>（</w:t>
      </w:r>
      <w:r>
        <w:rPr>
          <w:rFonts w:ascii="宋体" w:hAnsi="宋体" w:cs="宋体"/>
          <w:szCs w:val="30"/>
          <w:highlight w:val="none"/>
        </w:rPr>
        <w:t>20</w:t>
      </w:r>
      <w:r>
        <w:rPr>
          <w:rFonts w:hint="eastAsia" w:ascii="宋体" w:hAnsi="宋体" w:cs="宋体"/>
          <w:szCs w:val="30"/>
          <w:highlight w:val="none"/>
          <w:lang w:val="zh-CN"/>
        </w:rPr>
        <w:t>）残疾人</w:t>
      </w:r>
      <w:r>
        <w:rPr>
          <w:rFonts w:hint="eastAsia" w:ascii="宋体" w:hAnsi="宋体" w:cs="宋体"/>
          <w:szCs w:val="30"/>
          <w:highlight w:val="none"/>
        </w:rPr>
        <w:t>福利性单位声明函</w:t>
      </w:r>
      <w:r>
        <w:tab/>
      </w:r>
      <w:r>
        <w:fldChar w:fldCharType="begin"/>
      </w:r>
      <w:r>
        <w:instrText xml:space="preserve"> PAGEREF _Toc27616 </w:instrText>
      </w:r>
      <w:r>
        <w:fldChar w:fldCharType="separate"/>
      </w:r>
      <w:r>
        <w:t>63</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_Toc12104 </w:instrText>
      </w:r>
      <w:r>
        <w:rPr>
          <w:rFonts w:ascii="宋体" w:hAnsi="宋体" w:cs="宋体"/>
          <w:bCs/>
          <w:kern w:val="0"/>
          <w:szCs w:val="21"/>
          <w:highlight w:val="none"/>
        </w:rPr>
        <w:fldChar w:fldCharType="separate"/>
      </w:r>
      <w:r>
        <w:rPr>
          <w:rFonts w:hint="eastAsia" w:ascii="宋体" w:hAnsi="宋体" w:cs="宋体"/>
          <w:szCs w:val="30"/>
          <w:highlight w:val="none"/>
        </w:rPr>
        <w:t>（</w:t>
      </w:r>
      <w:r>
        <w:rPr>
          <w:rFonts w:ascii="宋体" w:hAnsi="宋体" w:cs="宋体"/>
          <w:szCs w:val="30"/>
          <w:highlight w:val="none"/>
        </w:rPr>
        <w:t>21</w:t>
      </w:r>
      <w:r>
        <w:rPr>
          <w:rFonts w:hint="eastAsia" w:ascii="宋体" w:hAnsi="宋体" w:cs="宋体"/>
          <w:szCs w:val="30"/>
          <w:highlight w:val="none"/>
        </w:rPr>
        <w:t>）</w:t>
      </w:r>
      <w:r>
        <w:rPr>
          <w:rFonts w:hint="eastAsia" w:ascii="宋体" w:hAnsi="宋体" w:cs="宋体"/>
          <w:szCs w:val="30"/>
          <w:highlight w:val="none"/>
          <w:lang w:val="zh-CN"/>
        </w:rPr>
        <w:t>投标人认为在其他方面有必要说明的事项</w:t>
      </w:r>
      <w:r>
        <w:tab/>
      </w:r>
      <w:r>
        <w:fldChar w:fldCharType="begin"/>
      </w:r>
      <w:r>
        <w:instrText xml:space="preserve"> PAGEREF _Toc12104 </w:instrText>
      </w:r>
      <w:r>
        <w:fldChar w:fldCharType="separate"/>
      </w:r>
      <w:r>
        <w:t>64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_Toc27252 </w:instrText>
      </w:r>
      <w:r>
        <w:rPr>
          <w:rFonts w:ascii="宋体" w:hAnsi="宋体" w:cs="宋体"/>
          <w:bCs/>
          <w:kern w:val="0"/>
          <w:szCs w:val="21"/>
          <w:highlight w:val="none"/>
        </w:rPr>
        <w:fldChar w:fldCharType="separate"/>
      </w:r>
      <w:r>
        <w:rPr>
          <w:rFonts w:hint="eastAsia" w:ascii="宋体" w:hAnsi="宋体" w:cs="宋体"/>
          <w:szCs w:val="30"/>
          <w:highlight w:val="none"/>
          <w:lang w:val="zh-CN"/>
        </w:rPr>
        <w:t>项目管理及实施方案、售后服务计划等</w:t>
      </w:r>
      <w:r>
        <w:tab/>
      </w:r>
      <w:r>
        <w:fldChar w:fldCharType="begin"/>
      </w:r>
      <w:r>
        <w:instrText xml:space="preserve"> PAGEREF _Toc27252 </w:instrText>
      </w:r>
      <w:r>
        <w:fldChar w:fldCharType="separate"/>
      </w:r>
      <w:r>
        <w:t>64</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_Toc19191 </w:instrText>
      </w:r>
      <w:r>
        <w:rPr>
          <w:rFonts w:ascii="宋体" w:hAnsi="宋体" w:cs="宋体"/>
          <w:bCs/>
          <w:kern w:val="0"/>
          <w:szCs w:val="21"/>
          <w:highlight w:val="none"/>
        </w:rPr>
        <w:fldChar w:fldCharType="separate"/>
      </w:r>
      <w:r>
        <w:rPr>
          <w:rFonts w:hint="eastAsia" w:ascii="宋体" w:hAnsi="宋体" w:cs="宋体"/>
          <w:szCs w:val="36"/>
          <w:highlight w:val="none"/>
          <w:lang w:val="zh-CN"/>
        </w:rPr>
        <w:t>第五部分</w:t>
      </w:r>
      <w:r>
        <w:rPr>
          <w:rFonts w:ascii="宋体" w:hAnsi="宋体" w:cs="宋体"/>
          <w:szCs w:val="36"/>
          <w:highlight w:val="none"/>
          <w:lang w:val="zh-CN"/>
        </w:rPr>
        <w:t xml:space="preserve">  </w:t>
      </w:r>
      <w:r>
        <w:rPr>
          <w:rFonts w:hint="eastAsia" w:ascii="宋体" w:hAnsi="宋体" w:cs="宋体"/>
          <w:szCs w:val="36"/>
          <w:highlight w:val="none"/>
          <w:lang w:val="zh-CN"/>
        </w:rPr>
        <w:t>采购项目要求及技术参数</w:t>
      </w:r>
      <w:r>
        <w:tab/>
      </w:r>
      <w:r>
        <w:fldChar w:fldCharType="begin"/>
      </w:r>
      <w:r>
        <w:instrText xml:space="preserve"> PAGEREF _Toc19191 </w:instrText>
      </w:r>
      <w:r>
        <w:fldChar w:fldCharType="separate"/>
      </w:r>
      <w:r>
        <w:t>65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_Toc19656 </w:instrText>
      </w:r>
      <w:r>
        <w:rPr>
          <w:rFonts w:ascii="宋体" w:hAnsi="宋体" w:cs="宋体"/>
          <w:bCs/>
          <w:kern w:val="0"/>
          <w:szCs w:val="21"/>
          <w:highlight w:val="none"/>
        </w:rPr>
        <w:fldChar w:fldCharType="separate"/>
      </w:r>
      <w:r>
        <w:rPr>
          <w:rFonts w:hint="eastAsia" w:ascii="宋体" w:hAnsi="宋体" w:cs="宋体"/>
          <w:highlight w:val="none"/>
          <w:lang w:val="zh-CN"/>
        </w:rPr>
        <w:t>（一）投标要求</w:t>
      </w:r>
      <w:r>
        <w:tab/>
      </w:r>
      <w:r>
        <w:fldChar w:fldCharType="begin"/>
      </w:r>
      <w:r>
        <w:instrText xml:space="preserve"> PAGEREF _Toc19656 </w:instrText>
      </w:r>
      <w:r>
        <w:fldChar w:fldCharType="separate"/>
      </w:r>
      <w:r>
        <w:t>65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_Toc4346 </w:instrText>
      </w:r>
      <w:r>
        <w:rPr>
          <w:rFonts w:ascii="宋体" w:hAnsi="宋体" w:cs="宋体"/>
          <w:bCs/>
          <w:kern w:val="0"/>
          <w:szCs w:val="21"/>
          <w:highlight w:val="none"/>
        </w:rPr>
        <w:fldChar w:fldCharType="separate"/>
      </w:r>
      <w:r>
        <w:rPr>
          <w:rFonts w:hint="eastAsia" w:ascii="宋体" w:hAnsi="宋体" w:cs="宋体"/>
          <w:szCs w:val="28"/>
          <w:highlight w:val="none"/>
          <w:lang w:val="zh-CN"/>
        </w:rPr>
        <w:t>1.投标说明</w:t>
      </w:r>
      <w:r>
        <w:tab/>
      </w:r>
      <w:r>
        <w:fldChar w:fldCharType="begin"/>
      </w:r>
      <w:r>
        <w:instrText xml:space="preserve"> PAGEREF _Toc4346 </w:instrText>
      </w:r>
      <w:r>
        <w:fldChar w:fldCharType="separate"/>
      </w:r>
      <w:r>
        <w:t>65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_Toc3174 </w:instrText>
      </w:r>
      <w:r>
        <w:rPr>
          <w:rFonts w:ascii="宋体" w:hAnsi="宋体" w:cs="宋体"/>
          <w:bCs/>
          <w:kern w:val="0"/>
          <w:szCs w:val="21"/>
          <w:highlight w:val="none"/>
        </w:rPr>
        <w:fldChar w:fldCharType="separate"/>
      </w:r>
      <w:r>
        <w:rPr>
          <w:rFonts w:hint="eastAsia" w:ascii="宋体" w:hAnsi="宋体" w:cs="宋体"/>
          <w:szCs w:val="28"/>
          <w:highlight w:val="none"/>
        </w:rPr>
        <w:t>2.</w:t>
      </w:r>
      <w:r>
        <w:rPr>
          <w:rFonts w:hint="eastAsia" w:ascii="宋体" w:hAnsi="宋体" w:cs="宋体"/>
          <w:szCs w:val="28"/>
          <w:highlight w:val="none"/>
          <w:lang w:val="zh-CN"/>
        </w:rPr>
        <w:t>重要指标</w:t>
      </w:r>
      <w:r>
        <w:tab/>
      </w:r>
      <w:r>
        <w:fldChar w:fldCharType="begin"/>
      </w:r>
      <w:r>
        <w:instrText xml:space="preserve"> PAGEREF _Toc3174 </w:instrText>
      </w:r>
      <w:r>
        <w:fldChar w:fldCharType="separate"/>
      </w:r>
      <w:r>
        <w:t>65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_Toc4938 </w:instrText>
      </w:r>
      <w:r>
        <w:rPr>
          <w:rFonts w:ascii="宋体" w:hAnsi="宋体" w:cs="宋体"/>
          <w:bCs/>
          <w:kern w:val="0"/>
          <w:szCs w:val="21"/>
          <w:highlight w:val="none"/>
        </w:rPr>
        <w:fldChar w:fldCharType="separate"/>
      </w:r>
      <w:r>
        <w:rPr>
          <w:rFonts w:ascii="宋体" w:hAnsi="宋体" w:cs="宋体"/>
          <w:szCs w:val="28"/>
          <w:highlight w:val="none"/>
        </w:rPr>
        <w:t>3</w:t>
      </w:r>
      <w:r>
        <w:rPr>
          <w:rFonts w:ascii="宋体" w:cs="宋体"/>
          <w:szCs w:val="28"/>
          <w:highlight w:val="none"/>
          <w:lang w:val="zh-CN"/>
        </w:rPr>
        <w:t>.</w:t>
      </w:r>
      <w:r>
        <w:rPr>
          <w:rFonts w:hint="eastAsia" w:ascii="宋体" w:hAnsi="宋体" w:cs="宋体"/>
          <w:szCs w:val="28"/>
          <w:highlight w:val="none"/>
          <w:lang w:val="zh-CN"/>
        </w:rPr>
        <w:t>商务要求</w:t>
      </w:r>
      <w:r>
        <w:tab/>
      </w:r>
      <w:r>
        <w:fldChar w:fldCharType="begin"/>
      </w:r>
      <w:r>
        <w:instrText xml:space="preserve"> PAGEREF _Toc4938 </w:instrText>
      </w:r>
      <w:r>
        <w:fldChar w:fldCharType="separate"/>
      </w:r>
      <w:r>
        <w:t>65</w:t>
      </w:r>
      <w:r>
        <w:fldChar w:fldCharType="end"/>
      </w:r>
      <w:r>
        <w:rPr>
          <w:rFonts w:ascii="宋体" w:hAnsi="宋体" w:cs="宋体"/>
          <w:bCs/>
          <w:color w:val="auto"/>
          <w:kern w:val="0"/>
          <w:szCs w:val="21"/>
          <w:highlight w:val="none"/>
        </w:rPr>
        <w:fldChar w:fldCharType="end"/>
      </w:r>
    </w:p>
    <w:p>
      <w:pPr>
        <w:pStyle w:val="22"/>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_Toc24469 </w:instrText>
      </w:r>
      <w:r>
        <w:rPr>
          <w:rFonts w:ascii="宋体" w:hAnsi="宋体" w:cs="宋体"/>
          <w:bCs/>
          <w:kern w:val="0"/>
          <w:szCs w:val="21"/>
          <w:highlight w:val="none"/>
        </w:rPr>
        <w:fldChar w:fldCharType="separate"/>
      </w:r>
      <w:r>
        <w:rPr>
          <w:rFonts w:cs="Times New Roman"/>
        </w:rPr>
        <w:t xml:space="preserve">（二） </w:t>
      </w:r>
      <w:r>
        <w:rPr>
          <w:rFonts w:hint="eastAsia" w:ascii="宋体" w:hAnsi="宋体" w:cs="宋体"/>
          <w:highlight w:val="none"/>
          <w:lang w:val="zh-CN"/>
        </w:rPr>
        <w:t>项目概况及技术参数</w:t>
      </w:r>
      <w:r>
        <w:tab/>
      </w:r>
      <w:r>
        <w:fldChar w:fldCharType="begin"/>
      </w:r>
      <w:r>
        <w:instrText xml:space="preserve"> PAGEREF _Toc24469 </w:instrText>
      </w:r>
      <w:r>
        <w:fldChar w:fldCharType="separate"/>
      </w:r>
      <w:r>
        <w:t>67</w:t>
      </w:r>
      <w:r>
        <w:fldChar w:fldCharType="end"/>
      </w:r>
      <w:r>
        <w:rPr>
          <w:rFonts w:ascii="宋体" w:hAnsi="宋体" w:cs="宋体"/>
          <w:bCs/>
          <w:color w:val="auto"/>
          <w:kern w:val="0"/>
          <w:szCs w:val="21"/>
          <w:highlight w:val="none"/>
        </w:rPr>
        <w:fldChar w:fldCharType="end"/>
      </w:r>
    </w:p>
    <w:p>
      <w:pPr>
        <w:pStyle w:val="25"/>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_Toc12928 </w:instrText>
      </w:r>
      <w:r>
        <w:rPr>
          <w:rFonts w:ascii="宋体" w:hAnsi="宋体" w:cs="宋体"/>
          <w:bCs/>
          <w:kern w:val="0"/>
          <w:szCs w:val="21"/>
          <w:highlight w:val="none"/>
        </w:rPr>
        <w:fldChar w:fldCharType="separate"/>
      </w:r>
      <w:r>
        <w:rPr>
          <w:rFonts w:hint="eastAsia"/>
          <w:szCs w:val="28"/>
          <w:highlight w:val="none"/>
        </w:rPr>
        <w:t>1、采购清单</w:t>
      </w:r>
      <w:r>
        <w:tab/>
      </w:r>
      <w:r>
        <w:fldChar w:fldCharType="begin"/>
      </w:r>
      <w:r>
        <w:instrText xml:space="preserve"> PAGEREF _Toc12928 </w:instrText>
      </w:r>
      <w:r>
        <w:fldChar w:fldCharType="separate"/>
      </w:r>
      <w:r>
        <w:t>67</w:t>
      </w:r>
      <w:r>
        <w:fldChar w:fldCharType="end"/>
      </w:r>
      <w:r>
        <w:rPr>
          <w:rFonts w:ascii="宋体" w:hAnsi="宋体" w:cs="宋体"/>
          <w:bCs/>
          <w:color w:val="auto"/>
          <w:kern w:val="0"/>
          <w:szCs w:val="21"/>
          <w:highlight w:val="none"/>
        </w:rPr>
        <w:fldChar w:fldCharType="end"/>
      </w:r>
    </w:p>
    <w:p>
      <w:pPr>
        <w:pStyle w:val="25"/>
        <w:tabs>
          <w:tab w:val="right" w:leader="dot" w:pos="8243"/>
        </w:tabs>
      </w:pPr>
      <w:r>
        <w:rPr>
          <w:rFonts w:ascii="宋体" w:hAnsi="宋体" w:cs="宋体"/>
          <w:bCs/>
          <w:color w:val="auto"/>
          <w:kern w:val="0"/>
          <w:szCs w:val="21"/>
          <w:highlight w:val="none"/>
        </w:rPr>
        <w:fldChar w:fldCharType="begin"/>
      </w:r>
      <w:r>
        <w:rPr>
          <w:rFonts w:ascii="宋体" w:hAnsi="宋体" w:cs="宋体"/>
          <w:bCs/>
          <w:kern w:val="0"/>
          <w:szCs w:val="21"/>
          <w:highlight w:val="none"/>
        </w:rPr>
        <w:instrText xml:space="preserve"> HYPERLINK \l _Toc16972 </w:instrText>
      </w:r>
      <w:r>
        <w:rPr>
          <w:rFonts w:ascii="宋体" w:hAnsi="宋体" w:cs="宋体"/>
          <w:bCs/>
          <w:kern w:val="0"/>
          <w:szCs w:val="21"/>
          <w:highlight w:val="none"/>
        </w:rPr>
        <w:fldChar w:fldCharType="separate"/>
      </w:r>
      <w:r>
        <w:rPr>
          <w:rFonts w:hint="eastAsia"/>
          <w:szCs w:val="28"/>
          <w:highlight w:val="none"/>
        </w:rPr>
        <w:t>2技术参数要求</w:t>
      </w:r>
      <w:r>
        <w:tab/>
      </w:r>
      <w:r>
        <w:fldChar w:fldCharType="begin"/>
      </w:r>
      <w:r>
        <w:instrText xml:space="preserve"> PAGEREF _Toc16972 </w:instrText>
      </w:r>
      <w:r>
        <w:fldChar w:fldCharType="separate"/>
      </w:r>
      <w:r>
        <w:t>68</w:t>
      </w:r>
      <w:r>
        <w:fldChar w:fldCharType="end"/>
      </w:r>
      <w:r>
        <w:rPr>
          <w:rFonts w:ascii="宋体" w:hAnsi="宋体" w:cs="宋体"/>
          <w:bCs/>
          <w:color w:val="auto"/>
          <w:kern w:val="0"/>
          <w:szCs w:val="21"/>
          <w:highlight w:val="none"/>
        </w:rPr>
        <w:fldChar w:fldCharType="end"/>
      </w:r>
    </w:p>
    <w:p>
      <w:pPr>
        <w:pStyle w:val="17"/>
        <w:tabs>
          <w:tab w:val="right" w:leader="dot" w:pos="8243"/>
        </w:tabs>
      </w:pPr>
    </w:p>
    <w:p>
      <w:pPr>
        <w:spacing w:line="360" w:lineRule="auto"/>
        <w:rPr>
          <w:rFonts w:ascii="宋体" w:cs="宋体"/>
          <w:color w:val="auto"/>
          <w:highlight w:val="none"/>
        </w:rPr>
      </w:pPr>
      <w:r>
        <w:rPr>
          <w:rFonts w:ascii="宋体" w:hAnsi="宋体" w:cs="宋体"/>
          <w:bCs/>
          <w:color w:val="auto"/>
          <w:kern w:val="0"/>
          <w:szCs w:val="21"/>
          <w:highlight w:val="none"/>
        </w:rPr>
        <w:fldChar w:fldCharType="end"/>
      </w:r>
    </w:p>
    <w:p>
      <w:pPr>
        <w:pStyle w:val="7"/>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i w:val="0"/>
          <w:iCs w:val="0"/>
          <w:color w:val="auto"/>
          <w:sz w:val="24"/>
          <w:szCs w:val="24"/>
          <w:highlight w:val="none"/>
        </w:rPr>
      </w:pPr>
      <w:r>
        <w:rPr>
          <w:rFonts w:ascii="宋体" w:hAnsi="宋体" w:cs="宋体"/>
          <w:color w:val="auto"/>
          <w:highlight w:val="none"/>
        </w:rPr>
        <w:t xml:space="preserve"> </w:t>
      </w:r>
      <w:r>
        <w:rPr>
          <w:rFonts w:ascii="宋体" w:hAnsi="宋体" w:cs="宋体"/>
          <w:color w:val="auto"/>
          <w:highlight w:val="none"/>
        </w:rPr>
        <w:br w:type="page"/>
      </w:r>
      <w:r>
        <w:rPr>
          <w:rFonts w:ascii="宋体" w:hAnsi="宋体" w:cs="宋体"/>
          <w:color w:val="auto"/>
          <w:szCs w:val="36"/>
          <w:highlight w:val="none"/>
          <w:lang w:val="zh-CN"/>
        </w:rPr>
        <w:t xml:space="preserve">  </w:t>
      </w:r>
      <w:bookmarkStart w:id="0" w:name="_Toc29635"/>
      <w:bookmarkStart w:id="1" w:name="_Toc16714"/>
      <w:bookmarkStart w:id="2" w:name="_Toc428180535"/>
      <w:r>
        <w:rPr>
          <w:rFonts w:hint="eastAsia" w:ascii="宋体" w:hAnsi="宋体" w:cs="宋体"/>
          <w:color w:val="auto"/>
          <w:szCs w:val="36"/>
          <w:highlight w:val="none"/>
          <w:lang w:val="zh-CN"/>
        </w:rPr>
        <w:t xml:space="preserve">第一部分  </w:t>
      </w:r>
      <w:bookmarkStart w:id="3" w:name="_Toc35393789"/>
      <w:bookmarkStart w:id="4" w:name="_Toc28359001"/>
      <w:r>
        <w:rPr>
          <w:rFonts w:hint="eastAsia" w:ascii="华文中宋" w:hAnsi="华文中宋" w:eastAsia="华文中宋"/>
          <w:color w:val="auto"/>
          <w:highlight w:val="none"/>
        </w:rPr>
        <w:t>招标公告</w:t>
      </w:r>
      <w:bookmarkEnd w:id="0"/>
      <w:bookmarkEnd w:id="1"/>
      <w:bookmarkEnd w:id="3"/>
      <w:bookmarkEnd w:id="4"/>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u w:val="single"/>
          <w:lang w:eastAsia="zh-CN"/>
        </w:rPr>
        <w:t>海南州共和县机动车排放监控系统建设项目</w:t>
      </w:r>
      <w:r>
        <w:rPr>
          <w:rFonts w:hint="eastAsia" w:ascii="宋体" w:hAnsi="宋体" w:eastAsia="宋体" w:cs="宋体"/>
          <w:i w:val="0"/>
          <w:iCs w:val="0"/>
          <w:color w:val="auto"/>
          <w:sz w:val="24"/>
          <w:szCs w:val="24"/>
          <w:highlight w:val="none"/>
        </w:rPr>
        <w:t xml:space="preserve"> 招标项目的潜在投标人应在</w:t>
      </w:r>
      <w:r>
        <w:rPr>
          <w:rFonts w:hint="eastAsia" w:ascii="宋体" w:hAnsi="宋体" w:eastAsia="宋体" w:cs="宋体"/>
          <w:bCs/>
          <w:i w:val="0"/>
          <w:iCs w:val="0"/>
          <w:color w:val="auto"/>
          <w:sz w:val="24"/>
          <w:szCs w:val="24"/>
          <w:highlight w:val="none"/>
          <w:u w:val="single"/>
        </w:rPr>
        <w:t>（</w:t>
      </w:r>
      <w:r>
        <w:rPr>
          <w:rFonts w:hint="eastAsia" w:ascii="宋体" w:hAnsi="宋体" w:eastAsia="宋体" w:cs="宋体"/>
          <w:bCs/>
          <w:i w:val="0"/>
          <w:iCs w:val="0"/>
          <w:color w:val="auto"/>
          <w:sz w:val="24"/>
          <w:szCs w:val="24"/>
          <w:highlight w:val="none"/>
          <w:u w:val="single"/>
          <w:lang w:val="zh-CN"/>
        </w:rPr>
        <w:t>西宁市城西区海湖新区五四西路61号新华联国际中心1号楼9楼1091室</w:t>
      </w:r>
      <w:r>
        <w:rPr>
          <w:rFonts w:hint="eastAsia" w:ascii="宋体" w:hAnsi="宋体" w:eastAsia="宋体" w:cs="宋体"/>
          <w:bCs/>
          <w:i w:val="0"/>
          <w:iCs w:val="0"/>
          <w:color w:val="auto"/>
          <w:sz w:val="24"/>
          <w:szCs w:val="24"/>
          <w:highlight w:val="none"/>
          <w:u w:val="single"/>
        </w:rPr>
        <w:t>）</w:t>
      </w:r>
      <w:r>
        <w:rPr>
          <w:rFonts w:hint="eastAsia" w:ascii="宋体" w:hAnsi="宋体" w:eastAsia="宋体" w:cs="宋体"/>
          <w:i w:val="0"/>
          <w:iCs w:val="0"/>
          <w:color w:val="auto"/>
          <w:sz w:val="24"/>
          <w:szCs w:val="24"/>
          <w:highlight w:val="none"/>
        </w:rPr>
        <w:t>获取招标文件，并于</w:t>
      </w:r>
      <w:r>
        <w:rPr>
          <w:rFonts w:hint="eastAsia" w:ascii="宋体" w:hAnsi="宋体" w:cs="宋体"/>
          <w:i w:val="0"/>
          <w:iCs w:val="0"/>
          <w:color w:val="auto"/>
          <w:sz w:val="24"/>
          <w:szCs w:val="24"/>
          <w:highlight w:val="none"/>
          <w:u w:val="single"/>
          <w:lang w:val="en-US" w:eastAsia="zh-CN"/>
        </w:rPr>
        <w:t>2020年11月26日10点00分</w:t>
      </w:r>
      <w:r>
        <w:rPr>
          <w:rFonts w:hint="eastAsia" w:ascii="宋体" w:hAnsi="宋体" w:eastAsia="宋体" w:cs="宋体"/>
          <w:bCs/>
          <w:i w:val="0"/>
          <w:iCs w:val="0"/>
          <w:color w:val="auto"/>
          <w:sz w:val="24"/>
          <w:szCs w:val="24"/>
          <w:highlight w:val="none"/>
          <w:u w:val="single"/>
        </w:rPr>
        <w:t>（</w:t>
      </w:r>
      <w:r>
        <w:rPr>
          <w:rFonts w:hint="eastAsia" w:ascii="宋体" w:hAnsi="宋体" w:eastAsia="宋体" w:cs="宋体"/>
          <w:bCs/>
          <w:i w:val="0"/>
          <w:iCs w:val="0"/>
          <w:color w:val="auto"/>
          <w:sz w:val="24"/>
          <w:szCs w:val="24"/>
          <w:highlight w:val="none"/>
        </w:rPr>
        <w:t>北京时间）前递交投标文件</w:t>
      </w:r>
      <w:r>
        <w:rPr>
          <w:rFonts w:hint="eastAsia" w:ascii="宋体" w:hAnsi="宋体" w:eastAsia="宋体" w:cs="宋体"/>
          <w:i w:val="0"/>
          <w:iCs w:val="0"/>
          <w:color w:val="auto"/>
          <w:sz w:val="24"/>
          <w:szCs w:val="24"/>
          <w:highlight w:val="none"/>
        </w:rPr>
        <w:t>。</w:t>
      </w:r>
    </w:p>
    <w:p>
      <w:pPr>
        <w:pStyle w:val="8"/>
        <w:spacing w:line="360" w:lineRule="auto"/>
        <w:rPr>
          <w:rFonts w:hint="eastAsia" w:ascii="宋体" w:hAnsi="宋体" w:eastAsia="宋体" w:cs="宋体"/>
          <w:b w:val="0"/>
          <w:i w:val="0"/>
          <w:iCs w:val="0"/>
          <w:color w:val="auto"/>
          <w:sz w:val="24"/>
          <w:szCs w:val="24"/>
          <w:highlight w:val="none"/>
        </w:rPr>
      </w:pPr>
      <w:bookmarkStart w:id="5" w:name="_Toc28359079"/>
      <w:bookmarkStart w:id="6" w:name="_Toc28359002"/>
      <w:bookmarkStart w:id="7" w:name="_Toc10311"/>
      <w:bookmarkStart w:id="8" w:name="_Toc35393790"/>
      <w:bookmarkStart w:id="9" w:name="_Toc35393621"/>
      <w:bookmarkStart w:id="10" w:name="_Toc20841"/>
      <w:bookmarkStart w:id="11" w:name="_Toc27886"/>
      <w:bookmarkStart w:id="12" w:name="_Hlk24379207"/>
      <w:r>
        <w:rPr>
          <w:rFonts w:hint="eastAsia" w:ascii="宋体" w:hAnsi="宋体" w:eastAsia="宋体" w:cs="宋体"/>
          <w:b w:val="0"/>
          <w:i w:val="0"/>
          <w:iCs w:val="0"/>
          <w:color w:val="auto"/>
          <w:sz w:val="24"/>
          <w:szCs w:val="24"/>
          <w:highlight w:val="none"/>
        </w:rPr>
        <w:t>一、项目基本情况</w:t>
      </w:r>
      <w:bookmarkEnd w:id="5"/>
      <w:bookmarkEnd w:id="6"/>
      <w:bookmarkEnd w:id="7"/>
      <w:bookmarkEnd w:id="8"/>
      <w:bookmarkEnd w:id="9"/>
      <w:bookmarkEnd w:id="10"/>
      <w:bookmarkEnd w:id="11"/>
    </w:p>
    <w:p>
      <w:pPr>
        <w:spacing w:line="360" w:lineRule="auto"/>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项目编号：</w:t>
      </w:r>
      <w:r>
        <w:rPr>
          <w:rFonts w:hint="eastAsia" w:ascii="宋体" w:hAnsi="宋体" w:cs="宋体"/>
          <w:i w:val="0"/>
          <w:iCs w:val="0"/>
          <w:color w:val="auto"/>
          <w:sz w:val="24"/>
          <w:szCs w:val="24"/>
          <w:highlight w:val="none"/>
          <w:lang w:eastAsia="zh-CN"/>
        </w:rPr>
        <w:t>青海睿澳公招（货物）2020-061号</w:t>
      </w:r>
    </w:p>
    <w:p>
      <w:pPr>
        <w:spacing w:line="360" w:lineRule="auto"/>
        <w:ind w:firstLine="480" w:firstLineChars="200"/>
        <w:rPr>
          <w:rFonts w:hint="eastAsia" w:ascii="宋体" w:hAnsi="宋体" w:eastAsia="宋体" w:cs="宋体"/>
          <w:bCs/>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项目名称：</w:t>
      </w:r>
      <w:bookmarkEnd w:id="12"/>
      <w:r>
        <w:rPr>
          <w:rFonts w:hint="eastAsia" w:ascii="宋体" w:hAnsi="宋体" w:eastAsia="宋体" w:cs="宋体"/>
          <w:i w:val="0"/>
          <w:iCs w:val="0"/>
          <w:color w:val="auto"/>
          <w:sz w:val="24"/>
          <w:szCs w:val="24"/>
          <w:highlight w:val="none"/>
          <w:lang w:eastAsia="zh-CN"/>
        </w:rPr>
        <w:t>海南州共和县机动车排放监控系统建设项目</w:t>
      </w:r>
    </w:p>
    <w:p>
      <w:pPr>
        <w:spacing w:line="360" w:lineRule="auto"/>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4280000.00</w:t>
      </w:r>
      <w:r>
        <w:rPr>
          <w:rFonts w:hint="eastAsia" w:ascii="宋体" w:hAnsi="宋体" w:cs="宋体"/>
          <w:i w:val="0"/>
          <w:iCs w:val="0"/>
          <w:color w:val="auto"/>
          <w:sz w:val="24"/>
          <w:szCs w:val="24"/>
          <w:highlight w:val="none"/>
          <w:lang w:eastAsia="zh-CN"/>
        </w:rPr>
        <w:t>元</w:t>
      </w:r>
    </w:p>
    <w:p>
      <w:pPr>
        <w:spacing w:line="360" w:lineRule="auto"/>
        <w:ind w:firstLine="480" w:firstLineChars="200"/>
        <w:rPr>
          <w:rFonts w:hint="eastAsia"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最高限价（如有）</w:t>
      </w:r>
      <w:r>
        <w:rPr>
          <w:rFonts w:hint="eastAsia" w:ascii="宋体" w:hAnsi="宋体" w:eastAsia="宋体" w:cs="宋体"/>
          <w:i w:val="0"/>
          <w:iCs w:val="0"/>
          <w:color w:val="auto"/>
          <w:sz w:val="24"/>
          <w:szCs w:val="24"/>
          <w:highlight w:val="none"/>
          <w:lang w:val="en-US" w:eastAsia="zh-CN"/>
        </w:rPr>
        <w:t>：</w:t>
      </w:r>
      <w:bookmarkStart w:id="189" w:name="_GoBack"/>
      <w:bookmarkEnd w:id="189"/>
      <w:r>
        <w:rPr>
          <w:rFonts w:hint="eastAsia" w:ascii="宋体" w:hAnsi="宋体" w:cs="宋体"/>
          <w:i w:val="0"/>
          <w:iCs w:val="0"/>
          <w:color w:val="auto"/>
          <w:sz w:val="24"/>
          <w:szCs w:val="24"/>
          <w:highlight w:val="none"/>
          <w:lang w:val="en-US" w:eastAsia="zh-CN"/>
        </w:rPr>
        <w:t>设备费：3840000.00元</w:t>
      </w:r>
    </w:p>
    <w:p>
      <w:pPr>
        <w:pStyle w:val="2"/>
        <w:ind w:firstLine="2640" w:firstLineChars="1100"/>
        <w:rPr>
          <w:rFonts w:hint="default"/>
          <w:lang w:val="en-US" w:eastAsia="zh-CN"/>
        </w:rPr>
      </w:pPr>
      <w:r>
        <w:rPr>
          <w:rFonts w:hint="eastAsia" w:ascii="宋体" w:hAnsi="宋体" w:eastAsia="宋体" w:cs="宋体"/>
          <w:i w:val="0"/>
          <w:iCs w:val="0"/>
          <w:color w:val="auto"/>
          <w:sz w:val="24"/>
          <w:szCs w:val="24"/>
          <w:highlight w:val="none"/>
          <w:lang w:eastAsia="zh-CN"/>
        </w:rPr>
        <w:t>运行维护服务</w:t>
      </w:r>
      <w:r>
        <w:rPr>
          <w:rFonts w:hint="eastAsia" w:ascii="宋体" w:hAnsi="宋体" w:cs="宋体"/>
          <w:i w:val="0"/>
          <w:iCs w:val="0"/>
          <w:color w:val="auto"/>
          <w:sz w:val="24"/>
          <w:szCs w:val="24"/>
          <w:highlight w:val="none"/>
          <w:lang w:val="en-US" w:eastAsia="zh-CN"/>
        </w:rPr>
        <w:t>费：440000.00元</w:t>
      </w:r>
    </w:p>
    <w:p>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采购需求：</w:t>
      </w:r>
      <w:r>
        <w:rPr>
          <w:rFonts w:hint="eastAsia" w:ascii="宋体" w:hAnsi="宋体" w:cs="宋体"/>
          <w:i w:val="0"/>
          <w:iCs w:val="0"/>
          <w:color w:val="auto"/>
          <w:sz w:val="24"/>
          <w:szCs w:val="24"/>
          <w:highlight w:val="none"/>
          <w:lang w:val="en-US" w:eastAsia="zh-CN"/>
        </w:rPr>
        <w:t>货物</w:t>
      </w:r>
      <w:r>
        <w:rPr>
          <w:rFonts w:hint="eastAsia" w:ascii="宋体" w:hAnsi="宋体" w:eastAsia="宋体" w:cs="宋体"/>
          <w:i w:val="0"/>
          <w:iCs w:val="0"/>
          <w:color w:val="auto"/>
          <w:sz w:val="24"/>
          <w:szCs w:val="24"/>
          <w:highlight w:val="none"/>
          <w:lang w:val="en-US" w:eastAsia="zh-CN"/>
        </w:rPr>
        <w:t>采购（具体</w:t>
      </w:r>
      <w:r>
        <w:rPr>
          <w:rFonts w:hint="eastAsia" w:ascii="宋体" w:hAnsi="宋体" w:cs="宋体"/>
          <w:i w:val="0"/>
          <w:iCs w:val="0"/>
          <w:color w:val="auto"/>
          <w:sz w:val="24"/>
          <w:szCs w:val="24"/>
          <w:highlight w:val="none"/>
          <w:lang w:val="en-US" w:eastAsia="zh-CN"/>
        </w:rPr>
        <w:t>内容</w:t>
      </w:r>
      <w:r>
        <w:rPr>
          <w:rFonts w:hint="eastAsia" w:ascii="宋体" w:hAnsi="宋体" w:eastAsia="宋体" w:cs="宋体"/>
          <w:i w:val="0"/>
          <w:iCs w:val="0"/>
          <w:color w:val="auto"/>
          <w:sz w:val="24"/>
          <w:szCs w:val="24"/>
          <w:highlight w:val="none"/>
          <w:lang w:val="en-US" w:eastAsia="zh-CN"/>
        </w:rPr>
        <w:t>详见招标文件）</w:t>
      </w:r>
    </w:p>
    <w:p>
      <w:pPr>
        <w:spacing w:line="360" w:lineRule="auto"/>
        <w:ind w:firstLine="480" w:firstLineChars="200"/>
        <w:rPr>
          <w:rFonts w:hint="eastAsia" w:ascii="宋体" w:hAnsi="Calibri" w:cs="宋体"/>
          <w:color w:val="auto"/>
          <w:kern w:val="0"/>
          <w:sz w:val="24"/>
          <w:highlight w:val="none"/>
          <w:lang w:val="en-US" w:eastAsia="zh-CN"/>
        </w:rPr>
      </w:pPr>
      <w:r>
        <w:rPr>
          <w:rFonts w:hint="eastAsia" w:ascii="宋体" w:hAnsi="宋体" w:eastAsia="宋体" w:cs="宋体"/>
          <w:i w:val="0"/>
          <w:iCs w:val="0"/>
          <w:color w:val="auto"/>
          <w:sz w:val="24"/>
          <w:szCs w:val="24"/>
          <w:highlight w:val="none"/>
          <w:lang w:val="en-US" w:eastAsia="zh-CN"/>
        </w:rPr>
        <w:t>合同履行期限：</w:t>
      </w:r>
      <w:r>
        <w:rPr>
          <w:rFonts w:hint="eastAsia" w:ascii="宋体" w:hAnsi="宋体" w:cs="宋体"/>
          <w:color w:val="auto"/>
          <w:highlight w:val="none"/>
          <w:lang w:val="en-US" w:eastAsia="zh-CN"/>
        </w:rPr>
        <w:t>2020年12月31日前设备安装完毕，运维服务时间自设备正式开始运行起1年</w:t>
      </w:r>
      <w:r>
        <w:rPr>
          <w:rFonts w:hint="eastAsia" w:ascii="宋体" w:hAnsi="宋体" w:eastAsia="宋体" w:cs="宋体"/>
          <w:i w:val="0"/>
          <w:iCs w:val="0"/>
          <w:color w:val="auto"/>
          <w:sz w:val="24"/>
          <w:szCs w:val="24"/>
          <w:highlight w:val="none"/>
          <w:lang w:val="en-US" w:eastAsia="zh-CN"/>
        </w:rPr>
        <w:t>；</w:t>
      </w:r>
    </w:p>
    <w:tbl>
      <w:tblPr>
        <w:tblStyle w:val="29"/>
        <w:tblpPr w:leftFromText="180" w:rightFromText="180" w:vertAnchor="text" w:horzAnchor="page" w:tblpX="1260" w:tblpY="266"/>
        <w:tblOverlap w:val="never"/>
        <w:tblW w:w="989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7"/>
        <w:gridCol w:w="2227"/>
        <w:gridCol w:w="1864"/>
        <w:gridCol w:w="1200"/>
        <w:gridCol w:w="2059"/>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blCellSpacing w:w="0" w:type="dxa"/>
        </w:trPr>
        <w:tc>
          <w:tcPr>
            <w:tcW w:w="82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序号</w:t>
            </w:r>
          </w:p>
        </w:tc>
        <w:tc>
          <w:tcPr>
            <w:tcW w:w="222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标项名称</w:t>
            </w:r>
          </w:p>
        </w:tc>
        <w:tc>
          <w:tcPr>
            <w:tcW w:w="1864"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最高限价(元)</w:t>
            </w:r>
          </w:p>
        </w:tc>
        <w:tc>
          <w:tcPr>
            <w:tcW w:w="120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单位</w:t>
            </w:r>
          </w:p>
        </w:tc>
        <w:tc>
          <w:tcPr>
            <w:tcW w:w="205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简要描述</w:t>
            </w:r>
          </w:p>
        </w:tc>
        <w:tc>
          <w:tcPr>
            <w:tcW w:w="171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blCellSpacing w:w="0" w:type="dxa"/>
        </w:trPr>
        <w:tc>
          <w:tcPr>
            <w:tcW w:w="82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w:t>
            </w:r>
          </w:p>
        </w:tc>
        <w:tc>
          <w:tcPr>
            <w:tcW w:w="222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iCs w:val="0"/>
                <w:color w:val="auto"/>
                <w:sz w:val="24"/>
                <w:szCs w:val="24"/>
                <w:highlight w:val="none"/>
                <w:lang w:eastAsia="zh-CN"/>
              </w:rPr>
              <w:t>海南州共和县机动车排放监控系统建设项目</w:t>
            </w:r>
          </w:p>
        </w:tc>
        <w:tc>
          <w:tcPr>
            <w:tcW w:w="1864"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cs="宋体"/>
                <w:i w:val="0"/>
                <w:caps w:val="0"/>
                <w:color w:val="auto"/>
                <w:spacing w:val="0"/>
                <w:sz w:val="24"/>
                <w:szCs w:val="24"/>
                <w:highlight w:val="none"/>
                <w:lang w:val="en-US" w:eastAsia="zh-CN"/>
              </w:rPr>
              <w:t>4280000.00</w:t>
            </w:r>
          </w:p>
        </w:tc>
        <w:tc>
          <w:tcPr>
            <w:tcW w:w="120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套</w:t>
            </w:r>
          </w:p>
        </w:tc>
        <w:tc>
          <w:tcPr>
            <w:tcW w:w="205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iCs w:val="0"/>
                <w:color w:val="auto"/>
                <w:sz w:val="24"/>
                <w:szCs w:val="24"/>
                <w:highlight w:val="none"/>
                <w:lang w:eastAsia="zh-CN"/>
              </w:rPr>
              <w:t>购置2套机动车遥感监测及黑烟抓拍系统，包括2套系统安装和1年设备运行维护服务，</w:t>
            </w:r>
            <w:r>
              <w:rPr>
                <w:rFonts w:hint="eastAsia" w:ascii="宋体" w:hAnsi="宋体" w:eastAsia="宋体" w:cs="宋体"/>
                <w:i w:val="0"/>
                <w:iCs w:val="0"/>
                <w:color w:val="auto"/>
                <w:sz w:val="24"/>
                <w:szCs w:val="24"/>
                <w:highlight w:val="none"/>
                <w:lang w:val="zh-CN" w:eastAsia="zh-CN"/>
              </w:rPr>
              <w:t>具体内容详见《招标文件》</w:t>
            </w:r>
          </w:p>
        </w:tc>
        <w:tc>
          <w:tcPr>
            <w:tcW w:w="171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详见招标文件</w:t>
            </w:r>
          </w:p>
        </w:tc>
      </w:tr>
    </w:tbl>
    <w:p>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eastAsia="zh-CN"/>
        </w:rPr>
        <w:t>不</w:t>
      </w:r>
      <w:r>
        <w:rPr>
          <w:rFonts w:hint="eastAsia" w:ascii="宋体" w:hAnsi="宋体" w:eastAsia="宋体" w:cs="宋体"/>
          <w:i w:val="0"/>
          <w:iCs w:val="0"/>
          <w:color w:val="auto"/>
          <w:sz w:val="24"/>
          <w:szCs w:val="24"/>
          <w:highlight w:val="none"/>
        </w:rPr>
        <w:t>）接受联合体投标。</w:t>
      </w:r>
      <w:bookmarkStart w:id="13" w:name="_Toc28359003"/>
      <w:bookmarkStart w:id="14" w:name="_Toc28359080"/>
      <w:bookmarkStart w:id="15" w:name="_Toc35393622"/>
      <w:bookmarkStart w:id="16" w:name="_Toc35393791"/>
    </w:p>
    <w:p>
      <w:pPr>
        <w:numPr>
          <w:ilvl w:val="0"/>
          <w:numId w:val="1"/>
        </w:numPr>
        <w:spacing w:line="360" w:lineRule="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申请人的资格要求：</w:t>
      </w:r>
      <w:bookmarkEnd w:id="13"/>
      <w:bookmarkEnd w:id="14"/>
      <w:bookmarkEnd w:id="15"/>
      <w:bookmarkEnd w:id="16"/>
    </w:p>
    <w:p>
      <w:pPr>
        <w:numPr>
          <w:ilvl w:val="0"/>
          <w:numId w:val="2"/>
        </w:numPr>
        <w:spacing w:line="360" w:lineRule="auto"/>
        <w:rPr>
          <w:rFonts w:hint="eastAsia" w:ascii="宋体" w:hAnsi="宋体" w:eastAsia="宋体" w:cs="宋体"/>
          <w:b w:val="0"/>
          <w:i w:val="0"/>
          <w:iCs w:val="0"/>
          <w:color w:val="auto"/>
          <w:sz w:val="24"/>
          <w:szCs w:val="24"/>
          <w:highlight w:val="none"/>
          <w:lang w:val="zh-CN"/>
        </w:rPr>
      </w:pPr>
      <w:r>
        <w:rPr>
          <w:rFonts w:hint="eastAsia" w:ascii="宋体" w:hAnsi="宋体" w:eastAsia="宋体" w:cs="宋体"/>
          <w:b w:val="0"/>
          <w:i w:val="0"/>
          <w:iCs w:val="0"/>
          <w:color w:val="auto"/>
          <w:sz w:val="24"/>
          <w:szCs w:val="24"/>
          <w:highlight w:val="none"/>
          <w:lang w:val="zh-CN"/>
        </w:rPr>
        <w:t>满足《中华人民共和国政府采购法》第二十二条规定；</w:t>
      </w:r>
      <w:bookmarkStart w:id="17" w:name="_Toc28359004"/>
      <w:bookmarkStart w:id="18" w:name="_Toc28359081"/>
    </w:p>
    <w:p>
      <w:pPr>
        <w:numPr>
          <w:ilvl w:val="0"/>
          <w:numId w:val="2"/>
        </w:numPr>
        <w:spacing w:line="360" w:lineRule="auto"/>
        <w:ind w:left="0" w:leftChars="0" w:firstLine="0" w:firstLineChars="0"/>
        <w:rPr>
          <w:rFonts w:hint="eastAsia" w:ascii="宋体" w:hAnsi="宋体" w:eastAsia="宋体" w:cs="宋体"/>
          <w:b w:val="0"/>
          <w:i w:val="0"/>
          <w:iCs w:val="0"/>
          <w:color w:val="auto"/>
          <w:sz w:val="24"/>
          <w:szCs w:val="24"/>
          <w:highlight w:val="none"/>
          <w:lang w:val="zh-CN" w:eastAsia="zh-CN"/>
        </w:rPr>
      </w:pPr>
      <w:r>
        <w:rPr>
          <w:rFonts w:hint="eastAsia" w:ascii="宋体" w:hAnsi="宋体" w:eastAsia="宋体" w:cs="宋体"/>
          <w:b w:val="0"/>
          <w:i w:val="0"/>
          <w:iCs w:val="0"/>
          <w:color w:val="auto"/>
          <w:sz w:val="24"/>
          <w:szCs w:val="24"/>
          <w:highlight w:val="none"/>
          <w:lang w:val="zh-CN"/>
        </w:rPr>
        <w:t>落实政府采购政策需满足的资格要求：</w:t>
      </w:r>
      <w:r>
        <w:rPr>
          <w:rFonts w:hint="eastAsia" w:ascii="宋体" w:hAnsi="宋体" w:eastAsia="宋体" w:cs="宋体"/>
          <w:b w:val="0"/>
          <w:i w:val="0"/>
          <w:iCs w:val="0"/>
          <w:color w:val="auto"/>
          <w:sz w:val="24"/>
          <w:szCs w:val="24"/>
          <w:highlight w:val="none"/>
          <w:lang w:val="zh-CN" w:eastAsia="zh-CN"/>
        </w:rPr>
        <w:t>无</w:t>
      </w:r>
    </w:p>
    <w:p>
      <w:pPr>
        <w:numPr>
          <w:ilvl w:val="0"/>
          <w:numId w:val="2"/>
        </w:numPr>
        <w:spacing w:line="360" w:lineRule="auto"/>
        <w:ind w:left="0" w:leftChars="0" w:firstLine="0" w:firstLineChars="0"/>
        <w:rPr>
          <w:rFonts w:hint="eastAsia" w:ascii="宋体" w:hAnsi="宋体" w:eastAsia="宋体" w:cs="宋体"/>
          <w:b w:val="0"/>
          <w:i w:val="0"/>
          <w:iCs w:val="0"/>
          <w:color w:val="auto"/>
          <w:sz w:val="24"/>
          <w:szCs w:val="24"/>
          <w:highlight w:val="none"/>
          <w:lang w:val="zh-CN"/>
        </w:rPr>
      </w:pPr>
      <w:r>
        <w:rPr>
          <w:rFonts w:hint="eastAsia" w:ascii="宋体" w:hAnsi="宋体" w:eastAsia="宋体" w:cs="宋体"/>
          <w:b w:val="0"/>
          <w:i w:val="0"/>
          <w:iCs w:val="0"/>
          <w:color w:val="auto"/>
          <w:sz w:val="24"/>
          <w:szCs w:val="24"/>
          <w:highlight w:val="none"/>
          <w:lang w:val="zh-CN"/>
        </w:rPr>
        <w:t>本项目的特定资格要求：</w:t>
      </w:r>
    </w:p>
    <w:p>
      <w:pPr>
        <w:numPr>
          <w:ilvl w:val="0"/>
          <w:numId w:val="0"/>
        </w:numPr>
        <w:spacing w:line="360" w:lineRule="auto"/>
        <w:ind w:leftChars="0"/>
        <w:rPr>
          <w:rFonts w:hint="eastAsia" w:ascii="宋体" w:hAnsi="宋体" w:eastAsia="宋体" w:cs="宋体"/>
          <w:b w:val="0"/>
          <w:i w:val="0"/>
          <w:iCs w:val="0"/>
          <w:color w:val="auto"/>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bidi="ar-SA"/>
        </w:rPr>
        <w:t>(</w:t>
      </w:r>
      <w:r>
        <w:rPr>
          <w:rFonts w:hint="eastAsia" w:ascii="宋体" w:hAnsi="宋体" w:eastAsia="宋体" w:cs="宋体"/>
          <w:b w:val="0"/>
          <w:bCs/>
          <w:i w:val="0"/>
          <w:iCs w:val="0"/>
          <w:color w:val="auto"/>
          <w:kern w:val="2"/>
          <w:sz w:val="24"/>
          <w:szCs w:val="24"/>
          <w:highlight w:val="none"/>
          <w:lang w:val="en-US" w:eastAsia="zh-CN" w:bidi="ar-SA"/>
        </w:rPr>
        <w:t>1</w:t>
      </w:r>
      <w:r>
        <w:rPr>
          <w:rFonts w:hint="eastAsia" w:ascii="宋体" w:hAnsi="宋体" w:eastAsia="宋体" w:cs="宋体"/>
          <w:b w:val="0"/>
          <w:bCs/>
          <w:i w:val="0"/>
          <w:iCs w:val="0"/>
          <w:color w:val="auto"/>
          <w:kern w:val="2"/>
          <w:sz w:val="24"/>
          <w:szCs w:val="24"/>
          <w:highlight w:val="none"/>
          <w:lang w:val="zh-CN" w:eastAsia="zh-CN" w:bidi="ar-SA"/>
        </w:rPr>
        <w:t>)</w:t>
      </w:r>
      <w:r>
        <w:rPr>
          <w:rFonts w:hint="eastAsia" w:ascii="宋体" w:hAnsi="宋体" w:eastAsia="宋体" w:cs="宋体"/>
          <w:b w:val="0"/>
          <w:i w:val="0"/>
          <w:iCs w:val="0"/>
          <w:color w:val="auto"/>
          <w:sz w:val="24"/>
          <w:szCs w:val="24"/>
          <w:highlight w:val="none"/>
          <w:lang w:val="zh-CN"/>
        </w:rPr>
        <w:t xml:space="preserve"> 经信用中国（www.creditchina.gov.cn）、中国政府采购网（www.ccgp.gov.cn）等渠道查询后，列入失信被执行人、重大税收违法案件当事人名单、政</w:t>
      </w:r>
      <w:r>
        <w:rPr>
          <w:rFonts w:hint="eastAsia" w:ascii="宋体" w:hAnsi="宋体" w:eastAsia="宋体" w:cs="宋体"/>
          <w:b w:val="0"/>
          <w:i w:val="0"/>
          <w:iCs w:val="0"/>
          <w:color w:val="auto"/>
          <w:sz w:val="24"/>
          <w:szCs w:val="24"/>
          <w:highlight w:val="none"/>
          <w:lang w:val="zh-CN" w:eastAsia="zh-CN"/>
        </w:rPr>
        <w:t>府采购严重违法失信行为记录名单的，取消投标资格。（提供“信用中国”网站无任何不良记录的查询截图，时间为投标截止时间前20天内）；</w:t>
      </w:r>
    </w:p>
    <w:p>
      <w:pPr>
        <w:numPr>
          <w:ilvl w:val="0"/>
          <w:numId w:val="0"/>
        </w:numPr>
        <w:spacing w:line="360" w:lineRule="auto"/>
        <w:ind w:leftChars="0"/>
        <w:rPr>
          <w:rFonts w:hint="eastAsia" w:ascii="宋体" w:hAnsi="宋体" w:eastAsia="宋体" w:cs="宋体"/>
          <w:b w:val="0"/>
          <w:i w:val="0"/>
          <w:iCs w:val="0"/>
          <w:color w:val="auto"/>
          <w:sz w:val="24"/>
          <w:szCs w:val="24"/>
          <w:highlight w:val="none"/>
          <w:lang w:val="zh-CN" w:eastAsia="zh-CN"/>
        </w:rPr>
      </w:pPr>
      <w:bookmarkStart w:id="19" w:name="_Toc4991"/>
      <w:bookmarkStart w:id="20" w:name="_Toc25838"/>
      <w:r>
        <w:rPr>
          <w:rFonts w:hint="eastAsia" w:ascii="宋体" w:hAnsi="宋体" w:eastAsia="宋体" w:cs="宋体"/>
          <w:b w:val="0"/>
          <w:i w:val="0"/>
          <w:iCs w:val="0"/>
          <w:color w:val="auto"/>
          <w:sz w:val="24"/>
          <w:szCs w:val="24"/>
          <w:highlight w:val="none"/>
          <w:lang w:val="zh-CN" w:eastAsia="zh-CN"/>
        </w:rPr>
        <w:t>（</w:t>
      </w:r>
      <w:r>
        <w:rPr>
          <w:rFonts w:hint="eastAsia" w:ascii="宋体" w:hAnsi="宋体" w:eastAsia="宋体" w:cs="宋体"/>
          <w:b w:val="0"/>
          <w:i w:val="0"/>
          <w:iCs w:val="0"/>
          <w:color w:val="auto"/>
          <w:sz w:val="24"/>
          <w:szCs w:val="24"/>
          <w:highlight w:val="none"/>
          <w:lang w:val="en-US" w:eastAsia="zh-CN"/>
        </w:rPr>
        <w:t>2</w:t>
      </w:r>
      <w:r>
        <w:rPr>
          <w:rFonts w:hint="eastAsia" w:ascii="宋体" w:hAnsi="宋体" w:eastAsia="宋体" w:cs="宋体"/>
          <w:b w:val="0"/>
          <w:i w:val="0"/>
          <w:iCs w:val="0"/>
          <w:color w:val="auto"/>
          <w:sz w:val="24"/>
          <w:szCs w:val="24"/>
          <w:highlight w:val="none"/>
          <w:lang w:val="zh-CN" w:eastAsia="zh-CN"/>
        </w:rPr>
        <w:t>）单位负责人为同一人或者存在直接控股、管理关系的不同投标人，不得参加同一合同项下的政府采购活动。否则，皆取消投标资格；</w:t>
      </w:r>
      <w:bookmarkEnd w:id="19"/>
      <w:bookmarkEnd w:id="20"/>
    </w:p>
    <w:p>
      <w:pPr>
        <w:numPr>
          <w:ilvl w:val="0"/>
          <w:numId w:val="0"/>
        </w:numPr>
        <w:spacing w:line="360" w:lineRule="auto"/>
        <w:ind w:leftChars="0"/>
        <w:rPr>
          <w:rFonts w:hint="eastAsia" w:ascii="宋体" w:hAnsi="宋体" w:eastAsia="宋体" w:cs="宋体"/>
          <w:b w:val="0"/>
          <w:i w:val="0"/>
          <w:iCs w:val="0"/>
          <w:color w:val="auto"/>
          <w:sz w:val="24"/>
          <w:szCs w:val="24"/>
          <w:highlight w:val="none"/>
          <w:lang w:val="zh-CN" w:eastAsia="zh-CN"/>
        </w:rPr>
      </w:pPr>
      <w:bookmarkStart w:id="21" w:name="_Toc5244"/>
      <w:bookmarkStart w:id="22" w:name="_Toc10948"/>
      <w:r>
        <w:rPr>
          <w:rFonts w:hint="eastAsia" w:ascii="宋体" w:hAnsi="宋体" w:eastAsia="宋体" w:cs="宋体"/>
          <w:b w:val="0"/>
          <w:i w:val="0"/>
          <w:iCs w:val="0"/>
          <w:color w:val="auto"/>
          <w:sz w:val="24"/>
          <w:szCs w:val="24"/>
          <w:highlight w:val="none"/>
          <w:lang w:val="zh-CN" w:eastAsia="zh-CN"/>
        </w:rPr>
        <w:t>(</w:t>
      </w:r>
      <w:r>
        <w:rPr>
          <w:rFonts w:hint="eastAsia" w:ascii="宋体" w:hAnsi="宋体" w:eastAsia="宋体" w:cs="宋体"/>
          <w:b w:val="0"/>
          <w:i w:val="0"/>
          <w:iCs w:val="0"/>
          <w:color w:val="auto"/>
          <w:sz w:val="24"/>
          <w:szCs w:val="24"/>
          <w:highlight w:val="none"/>
          <w:lang w:val="en-US" w:eastAsia="zh-CN"/>
        </w:rPr>
        <w:t>3</w:t>
      </w:r>
      <w:r>
        <w:rPr>
          <w:rFonts w:hint="eastAsia" w:ascii="宋体" w:hAnsi="宋体" w:eastAsia="宋体" w:cs="宋体"/>
          <w:b w:val="0"/>
          <w:i w:val="0"/>
          <w:iCs w:val="0"/>
          <w:color w:val="auto"/>
          <w:sz w:val="24"/>
          <w:szCs w:val="24"/>
          <w:highlight w:val="none"/>
          <w:lang w:val="zh-CN" w:eastAsia="zh-CN"/>
        </w:rPr>
        <w:t>) 为本采购项目提供整体设计、规范编制或者项目管理、监理、检测等服务的投标人，不得再参加该采购项目的其他采购活动；</w:t>
      </w:r>
      <w:bookmarkEnd w:id="21"/>
      <w:bookmarkEnd w:id="22"/>
    </w:p>
    <w:p>
      <w:pPr>
        <w:numPr>
          <w:ilvl w:val="0"/>
          <w:numId w:val="0"/>
        </w:numPr>
        <w:spacing w:line="360" w:lineRule="auto"/>
        <w:ind w:leftChars="0"/>
        <w:rPr>
          <w:rFonts w:hint="eastAsia" w:ascii="宋体" w:hAnsi="宋体" w:eastAsia="宋体" w:cs="宋体"/>
          <w:b w:val="0"/>
          <w:i w:val="0"/>
          <w:iCs w:val="0"/>
          <w:color w:val="auto"/>
          <w:sz w:val="24"/>
          <w:szCs w:val="24"/>
          <w:highlight w:val="none"/>
        </w:rPr>
      </w:pPr>
      <w:bookmarkStart w:id="23" w:name="_Toc815"/>
      <w:bookmarkStart w:id="24" w:name="_Toc8204"/>
      <w:r>
        <w:rPr>
          <w:rFonts w:hint="eastAsia" w:ascii="宋体" w:hAnsi="宋体" w:eastAsia="宋体" w:cs="宋体"/>
          <w:b w:val="0"/>
          <w:i w:val="0"/>
          <w:iCs w:val="0"/>
          <w:color w:val="auto"/>
          <w:sz w:val="24"/>
          <w:szCs w:val="24"/>
          <w:highlight w:val="none"/>
          <w:lang w:val="zh-CN" w:eastAsia="zh-CN"/>
        </w:rPr>
        <w:t>(</w:t>
      </w:r>
      <w:r>
        <w:rPr>
          <w:rFonts w:hint="eastAsia" w:ascii="宋体" w:hAnsi="宋体" w:eastAsia="宋体" w:cs="宋体"/>
          <w:b w:val="0"/>
          <w:i w:val="0"/>
          <w:iCs w:val="0"/>
          <w:color w:val="auto"/>
          <w:sz w:val="24"/>
          <w:szCs w:val="24"/>
          <w:highlight w:val="none"/>
          <w:lang w:val="en-US" w:eastAsia="zh-CN"/>
        </w:rPr>
        <w:t>4</w:t>
      </w:r>
      <w:r>
        <w:rPr>
          <w:rFonts w:hint="eastAsia" w:ascii="宋体" w:hAnsi="宋体" w:eastAsia="宋体" w:cs="宋体"/>
          <w:b w:val="0"/>
          <w:i w:val="0"/>
          <w:iCs w:val="0"/>
          <w:color w:val="auto"/>
          <w:sz w:val="24"/>
          <w:szCs w:val="24"/>
          <w:highlight w:val="none"/>
          <w:lang w:val="zh-CN" w:eastAsia="zh-CN"/>
        </w:rPr>
        <w:t>) 其他资质条件：本次招标要求供应商</w:t>
      </w:r>
      <w:r>
        <w:rPr>
          <w:rFonts w:hint="eastAsia" w:ascii="宋体" w:hAnsi="宋体" w:eastAsia="宋体" w:cs="宋体"/>
          <w:b w:val="0"/>
          <w:i w:val="0"/>
          <w:iCs w:val="0"/>
          <w:color w:val="auto"/>
          <w:sz w:val="24"/>
          <w:szCs w:val="24"/>
          <w:highlight w:val="none"/>
          <w:lang w:val="en-US" w:eastAsia="zh-CN"/>
        </w:rPr>
        <w:t>具备合法的营业执照</w:t>
      </w:r>
      <w:r>
        <w:rPr>
          <w:rFonts w:hint="eastAsia" w:ascii="宋体" w:hAnsi="宋体" w:eastAsia="宋体" w:cs="宋体"/>
          <w:b w:val="0"/>
          <w:i w:val="0"/>
          <w:iCs w:val="0"/>
          <w:color w:val="auto"/>
          <w:sz w:val="24"/>
          <w:szCs w:val="24"/>
          <w:highlight w:val="none"/>
          <w:lang w:val="zh-CN" w:eastAsia="zh-CN"/>
        </w:rPr>
        <w:t>，并在人员、设备、资金等方面具有相应的</w:t>
      </w:r>
      <w:r>
        <w:rPr>
          <w:rFonts w:hint="eastAsia" w:ascii="宋体" w:hAnsi="宋体" w:cs="宋体"/>
          <w:b w:val="0"/>
          <w:i w:val="0"/>
          <w:iCs w:val="0"/>
          <w:color w:val="auto"/>
          <w:sz w:val="24"/>
          <w:szCs w:val="24"/>
          <w:highlight w:val="none"/>
          <w:lang w:val="en-US" w:eastAsia="zh-CN"/>
        </w:rPr>
        <w:t>服务</w:t>
      </w:r>
      <w:r>
        <w:rPr>
          <w:rFonts w:hint="eastAsia" w:ascii="宋体" w:hAnsi="宋体" w:eastAsia="宋体" w:cs="宋体"/>
          <w:b w:val="0"/>
          <w:i w:val="0"/>
          <w:iCs w:val="0"/>
          <w:color w:val="auto"/>
          <w:sz w:val="24"/>
          <w:szCs w:val="24"/>
          <w:highlight w:val="none"/>
          <w:lang w:val="zh-CN" w:eastAsia="zh-CN"/>
        </w:rPr>
        <w:t>能力</w:t>
      </w:r>
      <w:r>
        <w:rPr>
          <w:rFonts w:hint="eastAsia" w:ascii="宋体" w:hAnsi="宋体" w:eastAsia="宋体" w:cs="宋体"/>
          <w:b w:val="0"/>
          <w:i w:val="0"/>
          <w:iCs w:val="0"/>
          <w:color w:val="auto"/>
          <w:sz w:val="24"/>
          <w:szCs w:val="24"/>
          <w:highlight w:val="none"/>
          <w:lang w:val="zh-CN"/>
        </w:rPr>
        <w:t>。</w:t>
      </w:r>
      <w:bookmarkEnd w:id="23"/>
      <w:bookmarkEnd w:id="24"/>
    </w:p>
    <w:p>
      <w:pPr>
        <w:numPr>
          <w:ilvl w:val="0"/>
          <w:numId w:val="0"/>
        </w:numPr>
        <w:spacing w:line="360" w:lineRule="auto"/>
        <w:ind w:leftChars="0"/>
        <w:rPr>
          <w:rFonts w:hint="eastAsia" w:ascii="宋体" w:hAnsi="宋体" w:eastAsia="宋体" w:cs="宋体"/>
          <w:b w:val="0"/>
          <w:i w:val="0"/>
          <w:iCs w:val="0"/>
          <w:color w:val="auto"/>
          <w:sz w:val="24"/>
          <w:szCs w:val="24"/>
          <w:highlight w:val="none"/>
        </w:rPr>
      </w:pPr>
      <w:bookmarkStart w:id="25" w:name="_Toc35393792"/>
      <w:bookmarkStart w:id="26" w:name="_Toc35393623"/>
      <w:bookmarkStart w:id="27" w:name="_Toc3702"/>
      <w:bookmarkStart w:id="28" w:name="_Toc8662"/>
      <w:r>
        <w:rPr>
          <w:rFonts w:hint="eastAsia" w:ascii="宋体" w:hAnsi="宋体" w:eastAsia="宋体" w:cs="宋体"/>
          <w:b w:val="0"/>
          <w:i w:val="0"/>
          <w:iCs w:val="0"/>
          <w:color w:val="auto"/>
          <w:sz w:val="24"/>
          <w:szCs w:val="24"/>
          <w:highlight w:val="none"/>
        </w:rPr>
        <w:t>三、获取招标文件</w:t>
      </w:r>
      <w:bookmarkEnd w:id="17"/>
      <w:bookmarkEnd w:id="18"/>
      <w:bookmarkEnd w:id="25"/>
      <w:bookmarkEnd w:id="26"/>
      <w:bookmarkEnd w:id="27"/>
      <w:bookmarkEnd w:id="28"/>
    </w:p>
    <w:p>
      <w:pPr>
        <w:spacing w:line="360" w:lineRule="auto"/>
        <w:ind w:firstLine="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cs="宋体"/>
          <w:i w:val="0"/>
          <w:iCs w:val="0"/>
          <w:color w:val="auto"/>
          <w:sz w:val="24"/>
          <w:szCs w:val="24"/>
          <w:highlight w:val="none"/>
          <w:u w:val="single"/>
          <w:lang w:val="en-US" w:eastAsia="zh-CN"/>
        </w:rPr>
        <w:t>2020年11月03日至2020年11月09日</w:t>
      </w:r>
      <w:r>
        <w:rPr>
          <w:rFonts w:hint="eastAsia" w:ascii="宋体" w:hAnsi="宋体" w:eastAsia="宋体" w:cs="宋体"/>
          <w:i w:val="0"/>
          <w:iCs w:val="0"/>
          <w:color w:val="auto"/>
          <w:sz w:val="24"/>
          <w:szCs w:val="24"/>
          <w:highlight w:val="none"/>
          <w:u w:val="single"/>
        </w:rPr>
        <w:t>（提供期限自本公告发布之日起不得少于5个工作日）</w:t>
      </w:r>
      <w:r>
        <w:rPr>
          <w:rFonts w:hint="eastAsia" w:ascii="宋体" w:hAnsi="宋体" w:eastAsia="宋体" w:cs="宋体"/>
          <w:i w:val="0"/>
          <w:iCs w:val="0"/>
          <w:color w:val="auto"/>
          <w:sz w:val="24"/>
          <w:szCs w:val="24"/>
          <w:highlight w:val="none"/>
        </w:rPr>
        <w:t>，每天上午</w:t>
      </w:r>
      <w:r>
        <w:rPr>
          <w:rFonts w:hint="eastAsia" w:ascii="宋体" w:hAnsi="宋体" w:cs="宋体"/>
          <w:i w:val="0"/>
          <w:iCs w:val="0"/>
          <w:color w:val="auto"/>
          <w:sz w:val="24"/>
          <w:szCs w:val="24"/>
          <w:highlight w:val="none"/>
          <w:u w:val="single"/>
          <w:lang w:val="en-US" w:eastAsia="zh-CN"/>
        </w:rPr>
        <w:t>09:00分</w:t>
      </w:r>
      <w:r>
        <w:rPr>
          <w:rFonts w:hint="eastAsia" w:ascii="宋体" w:hAnsi="宋体" w:eastAsia="宋体" w:cs="宋体"/>
          <w:i w:val="0"/>
          <w:iCs w:val="0"/>
          <w:color w:val="auto"/>
          <w:sz w:val="24"/>
          <w:szCs w:val="24"/>
          <w:highlight w:val="none"/>
        </w:rPr>
        <w:t>至</w:t>
      </w:r>
      <w:r>
        <w:rPr>
          <w:rFonts w:hint="eastAsia" w:ascii="宋体" w:hAnsi="宋体" w:cs="宋体"/>
          <w:i w:val="0"/>
          <w:iCs w:val="0"/>
          <w:color w:val="auto"/>
          <w:sz w:val="24"/>
          <w:szCs w:val="24"/>
          <w:highlight w:val="none"/>
          <w:u w:val="single"/>
          <w:lang w:val="en-US" w:eastAsia="zh-CN"/>
        </w:rPr>
        <w:t>11:30分</w:t>
      </w:r>
      <w:r>
        <w:rPr>
          <w:rFonts w:hint="eastAsia" w:ascii="宋体" w:hAnsi="宋体" w:eastAsia="宋体" w:cs="宋体"/>
          <w:i w:val="0"/>
          <w:iCs w:val="0"/>
          <w:color w:val="auto"/>
          <w:sz w:val="24"/>
          <w:szCs w:val="24"/>
          <w:highlight w:val="none"/>
        </w:rPr>
        <w:t>，下午</w:t>
      </w:r>
      <w:r>
        <w:rPr>
          <w:rFonts w:hint="eastAsia" w:ascii="宋体" w:hAnsi="宋体" w:cs="宋体"/>
          <w:i w:val="0"/>
          <w:iCs w:val="0"/>
          <w:color w:val="auto"/>
          <w:sz w:val="24"/>
          <w:szCs w:val="24"/>
          <w:highlight w:val="none"/>
          <w:u w:val="single"/>
          <w:lang w:val="en-US" w:eastAsia="zh-CN"/>
        </w:rPr>
        <w:t>13:30分</w:t>
      </w:r>
      <w:r>
        <w:rPr>
          <w:rFonts w:hint="eastAsia" w:ascii="宋体" w:hAnsi="宋体" w:eastAsia="宋体" w:cs="宋体"/>
          <w:i w:val="0"/>
          <w:iCs w:val="0"/>
          <w:color w:val="auto"/>
          <w:sz w:val="24"/>
          <w:szCs w:val="24"/>
          <w:highlight w:val="none"/>
        </w:rPr>
        <w:t>至</w:t>
      </w:r>
      <w:r>
        <w:rPr>
          <w:rFonts w:hint="eastAsia" w:ascii="宋体" w:hAnsi="宋体" w:cs="宋体"/>
          <w:i w:val="0"/>
          <w:iCs w:val="0"/>
          <w:color w:val="auto"/>
          <w:sz w:val="24"/>
          <w:szCs w:val="24"/>
          <w:highlight w:val="none"/>
          <w:lang w:val="en-US" w:eastAsia="zh-CN"/>
        </w:rPr>
        <w:t>17:30</w:t>
      </w:r>
      <w:r>
        <w:rPr>
          <w:rFonts w:hint="eastAsia" w:ascii="宋体" w:hAnsi="宋体" w:cs="宋体"/>
          <w:i w:val="0"/>
          <w:iCs w:val="0"/>
          <w:color w:val="auto"/>
          <w:sz w:val="24"/>
          <w:szCs w:val="24"/>
          <w:highlight w:val="none"/>
          <w:u w:val="single"/>
          <w:lang w:val="en-US" w:eastAsia="zh-CN"/>
        </w:rPr>
        <w:t>分</w:t>
      </w:r>
      <w:r>
        <w:rPr>
          <w:rFonts w:hint="eastAsia" w:ascii="宋体" w:hAnsi="宋体" w:eastAsia="宋体" w:cs="宋体"/>
          <w:i w:val="0"/>
          <w:iCs w:val="0"/>
          <w:color w:val="auto"/>
          <w:sz w:val="24"/>
          <w:szCs w:val="24"/>
          <w:highlight w:val="none"/>
        </w:rPr>
        <w:t>（北京时间，法定节假日除外）</w:t>
      </w:r>
    </w:p>
    <w:p>
      <w:pPr>
        <w:spacing w:line="360" w:lineRule="auto"/>
        <w:ind w:firstLine="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购买招标文件时应提供材料：营业执照副本复印件（加盖单位公章）、法定代表人授权书（参考招标文件格式（3））。注：需网上购买招标文件的投标人可将以上材料扫描后发送至采购代理机构电子邮箱，在邮件中标明项目编号、项目名称、联系人及联系方式，并联系代理机构工作人员进行确认。</w:t>
      </w:r>
    </w:p>
    <w:p>
      <w:pPr>
        <w:spacing w:line="360" w:lineRule="auto"/>
        <w:ind w:firstLine="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lang w:val="zh-CN"/>
        </w:rPr>
        <w:t>西宁市城西区海湖新区五四西路61号新华联国际中心1号楼9楼1091室</w:t>
      </w:r>
    </w:p>
    <w:p>
      <w:pPr>
        <w:spacing w:line="360" w:lineRule="auto"/>
        <w:ind w:firstLine="540"/>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lang w:val="zh-CN"/>
        </w:rPr>
        <w:t>现场购买或网上购买；</w:t>
      </w:r>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售价：500元/包（招标文件售后不退,投标资格不能转让。）</w:t>
      </w:r>
      <w:bookmarkStart w:id="29" w:name="_Toc28359082"/>
      <w:bookmarkStart w:id="30" w:name="_Toc28359005"/>
      <w:bookmarkStart w:id="31" w:name="_Toc35393793"/>
      <w:bookmarkStart w:id="32" w:name="_Toc35393624"/>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四、提交投标文件</w:t>
      </w:r>
      <w:bookmarkEnd w:id="29"/>
      <w:bookmarkEnd w:id="30"/>
      <w:r>
        <w:rPr>
          <w:rFonts w:hint="eastAsia" w:ascii="宋体" w:hAnsi="宋体" w:eastAsia="宋体" w:cs="宋体"/>
          <w:i w:val="0"/>
          <w:iCs w:val="0"/>
          <w:color w:val="auto"/>
          <w:kern w:val="0"/>
          <w:sz w:val="24"/>
          <w:szCs w:val="24"/>
          <w:highlight w:val="none"/>
          <w:lang w:val="zh-CN"/>
        </w:rPr>
        <w:t>截止时间、开标时间和地点</w:t>
      </w:r>
      <w:bookmarkEnd w:id="31"/>
      <w:bookmarkEnd w:id="32"/>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en-US" w:eastAsia="zh-CN"/>
        </w:rPr>
        <w:t>2020年11月2</w:t>
      </w:r>
      <w:r>
        <w:rPr>
          <w:rFonts w:hint="eastAsia" w:ascii="宋体" w:hAnsi="宋体" w:cs="宋体"/>
          <w:i w:val="0"/>
          <w:iCs w:val="0"/>
          <w:color w:val="auto"/>
          <w:kern w:val="0"/>
          <w:sz w:val="24"/>
          <w:szCs w:val="24"/>
          <w:highlight w:val="none"/>
          <w:lang w:val="en-US" w:eastAsia="zh-CN"/>
        </w:rPr>
        <w:t>6</w:t>
      </w:r>
      <w:r>
        <w:rPr>
          <w:rFonts w:hint="eastAsia" w:ascii="宋体" w:hAnsi="宋体" w:eastAsia="宋体" w:cs="宋体"/>
          <w:i w:val="0"/>
          <w:iCs w:val="0"/>
          <w:color w:val="auto"/>
          <w:kern w:val="0"/>
          <w:sz w:val="24"/>
          <w:szCs w:val="24"/>
          <w:highlight w:val="none"/>
          <w:lang w:val="en-US" w:eastAsia="zh-CN"/>
        </w:rPr>
        <w:t>日</w:t>
      </w:r>
      <w:r>
        <w:rPr>
          <w:rFonts w:hint="eastAsia" w:ascii="宋体" w:hAnsi="宋体" w:cs="宋体"/>
          <w:i w:val="0"/>
          <w:iCs w:val="0"/>
          <w:color w:val="auto"/>
          <w:kern w:val="0"/>
          <w:sz w:val="24"/>
          <w:szCs w:val="24"/>
          <w:highlight w:val="none"/>
          <w:lang w:val="en-US" w:eastAsia="zh-CN"/>
        </w:rPr>
        <w:t>10</w:t>
      </w:r>
      <w:r>
        <w:rPr>
          <w:rFonts w:hint="eastAsia" w:ascii="宋体" w:hAnsi="宋体" w:eastAsia="宋体" w:cs="宋体"/>
          <w:i w:val="0"/>
          <w:iCs w:val="0"/>
          <w:color w:val="auto"/>
          <w:kern w:val="0"/>
          <w:sz w:val="24"/>
          <w:szCs w:val="24"/>
          <w:highlight w:val="none"/>
          <w:lang w:val="en-US" w:eastAsia="zh-CN"/>
        </w:rPr>
        <w:t>点00分</w:t>
      </w:r>
      <w:r>
        <w:rPr>
          <w:rFonts w:hint="eastAsia" w:ascii="宋体" w:hAnsi="宋体" w:eastAsia="宋体" w:cs="宋体"/>
          <w:i w:val="0"/>
          <w:iCs w:val="0"/>
          <w:color w:val="auto"/>
          <w:kern w:val="0"/>
          <w:sz w:val="24"/>
          <w:szCs w:val="24"/>
          <w:highlight w:val="none"/>
          <w:lang w:val="zh-CN"/>
        </w:rPr>
        <w:t>（北京时间）（自招标文件开始发出之日起至投标人提交投标文件截止之日止，不得少于20日）</w:t>
      </w:r>
    </w:p>
    <w:p>
      <w:pPr>
        <w:spacing w:line="360" w:lineRule="auto"/>
        <w:ind w:firstLine="480" w:firstLineChars="200"/>
        <w:rPr>
          <w:rFonts w:hint="eastAsia" w:ascii="宋体" w:hAnsi="宋体" w:eastAsia="宋体" w:cs="宋体"/>
          <w:i w:val="0"/>
          <w:iCs w:val="0"/>
          <w:color w:val="auto"/>
          <w:kern w:val="0"/>
          <w:sz w:val="24"/>
          <w:szCs w:val="24"/>
          <w:highlight w:val="none"/>
          <w:lang w:val="zh-CN" w:eastAsia="zh-CN"/>
        </w:rPr>
      </w:pPr>
      <w:r>
        <w:rPr>
          <w:rFonts w:hint="eastAsia" w:ascii="宋体" w:hAnsi="宋体" w:eastAsia="宋体" w:cs="宋体"/>
          <w:i w:val="0"/>
          <w:iCs w:val="0"/>
          <w:color w:val="auto"/>
          <w:kern w:val="0"/>
          <w:sz w:val="24"/>
          <w:szCs w:val="24"/>
          <w:highlight w:val="none"/>
          <w:lang w:val="zh-CN"/>
        </w:rPr>
        <w:t>地点：</w:t>
      </w:r>
      <w:r>
        <w:rPr>
          <w:rFonts w:hint="eastAsia" w:ascii="宋体" w:hAnsi="宋体" w:cs="宋体"/>
          <w:i w:val="0"/>
          <w:iCs w:val="0"/>
          <w:color w:val="auto"/>
          <w:kern w:val="0"/>
          <w:sz w:val="24"/>
          <w:szCs w:val="24"/>
          <w:highlight w:val="none"/>
          <w:lang w:val="en-US" w:eastAsia="zh-CN"/>
        </w:rPr>
        <w:t>海南州</w:t>
      </w:r>
      <w:r>
        <w:rPr>
          <w:rFonts w:hint="eastAsia" w:ascii="宋体" w:hAnsi="宋体" w:eastAsia="宋体" w:cs="宋体"/>
          <w:i w:val="0"/>
          <w:iCs w:val="0"/>
          <w:color w:val="auto"/>
          <w:kern w:val="0"/>
          <w:sz w:val="24"/>
          <w:szCs w:val="24"/>
          <w:highlight w:val="none"/>
          <w:lang w:val="zh-CN"/>
        </w:rPr>
        <w:t>公共资源交易中心</w:t>
      </w:r>
      <w:r>
        <w:rPr>
          <w:rFonts w:hint="eastAsia" w:ascii="宋体" w:hAnsi="宋体" w:cs="宋体"/>
          <w:i w:val="0"/>
          <w:iCs w:val="0"/>
          <w:color w:val="auto"/>
          <w:kern w:val="0"/>
          <w:sz w:val="24"/>
          <w:szCs w:val="24"/>
          <w:highlight w:val="none"/>
          <w:lang w:val="en-US" w:eastAsia="zh-CN"/>
        </w:rPr>
        <w:t>1号</w:t>
      </w:r>
      <w:r>
        <w:rPr>
          <w:rFonts w:hint="eastAsia" w:ascii="宋体" w:hAnsi="宋体" w:eastAsia="宋体" w:cs="宋体"/>
          <w:i w:val="0"/>
          <w:iCs w:val="0"/>
          <w:color w:val="auto"/>
          <w:kern w:val="0"/>
          <w:sz w:val="24"/>
          <w:szCs w:val="24"/>
          <w:highlight w:val="none"/>
          <w:lang w:val="zh-CN"/>
        </w:rPr>
        <w:t>开标</w:t>
      </w:r>
      <w:r>
        <w:rPr>
          <w:rFonts w:hint="eastAsia" w:ascii="宋体" w:hAnsi="宋体" w:cs="宋体"/>
          <w:i w:val="0"/>
          <w:iCs w:val="0"/>
          <w:color w:val="auto"/>
          <w:kern w:val="0"/>
          <w:sz w:val="24"/>
          <w:szCs w:val="24"/>
          <w:highlight w:val="none"/>
          <w:lang w:val="en-US" w:eastAsia="zh-CN"/>
        </w:rPr>
        <w:t>室</w:t>
      </w:r>
    </w:p>
    <w:p>
      <w:pPr>
        <w:spacing w:line="360" w:lineRule="auto"/>
        <w:rPr>
          <w:rFonts w:hint="eastAsia" w:ascii="宋体" w:hAnsi="宋体" w:eastAsia="宋体" w:cs="宋体"/>
          <w:i w:val="0"/>
          <w:iCs w:val="0"/>
          <w:color w:val="auto"/>
          <w:kern w:val="0"/>
          <w:sz w:val="24"/>
          <w:szCs w:val="24"/>
          <w:highlight w:val="none"/>
          <w:lang w:val="zh-CN"/>
        </w:rPr>
      </w:pPr>
      <w:bookmarkStart w:id="33" w:name="_Toc35393794"/>
      <w:bookmarkStart w:id="34" w:name="_Toc28359084"/>
      <w:bookmarkStart w:id="35" w:name="_Toc28359007"/>
      <w:bookmarkStart w:id="36" w:name="_Toc35393625"/>
      <w:r>
        <w:rPr>
          <w:rFonts w:hint="eastAsia" w:ascii="宋体" w:hAnsi="宋体" w:eastAsia="宋体" w:cs="宋体"/>
          <w:i w:val="0"/>
          <w:iCs w:val="0"/>
          <w:color w:val="auto"/>
          <w:kern w:val="0"/>
          <w:sz w:val="24"/>
          <w:szCs w:val="24"/>
          <w:highlight w:val="none"/>
          <w:lang w:val="zh-CN"/>
        </w:rPr>
        <w:t>五、公告期限</w:t>
      </w:r>
      <w:bookmarkEnd w:id="33"/>
      <w:bookmarkEnd w:id="34"/>
      <w:bookmarkEnd w:id="35"/>
      <w:bookmarkEnd w:id="36"/>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自本公告发布之日起5个工作日。</w:t>
      </w:r>
    </w:p>
    <w:p>
      <w:pPr>
        <w:spacing w:line="360" w:lineRule="auto"/>
        <w:rPr>
          <w:rFonts w:hint="eastAsia" w:ascii="宋体" w:hAnsi="宋体" w:eastAsia="宋体" w:cs="宋体"/>
          <w:i w:val="0"/>
          <w:iCs w:val="0"/>
          <w:color w:val="auto"/>
          <w:kern w:val="0"/>
          <w:sz w:val="24"/>
          <w:szCs w:val="24"/>
          <w:highlight w:val="none"/>
          <w:lang w:val="zh-CN"/>
        </w:rPr>
      </w:pPr>
      <w:bookmarkStart w:id="37" w:name="_Toc35393626"/>
      <w:bookmarkStart w:id="38" w:name="_Toc35393795"/>
      <w:r>
        <w:rPr>
          <w:rFonts w:hint="eastAsia" w:ascii="宋体" w:hAnsi="宋体" w:eastAsia="宋体" w:cs="宋体"/>
          <w:i w:val="0"/>
          <w:iCs w:val="0"/>
          <w:color w:val="auto"/>
          <w:kern w:val="0"/>
          <w:sz w:val="24"/>
          <w:szCs w:val="24"/>
          <w:highlight w:val="none"/>
          <w:lang w:val="zh-CN"/>
        </w:rPr>
        <w:t>六、其他补充事宜</w:t>
      </w:r>
      <w:bookmarkEnd w:id="37"/>
      <w:bookmarkEnd w:id="38"/>
    </w:p>
    <w:p>
      <w:pPr>
        <w:spacing w:line="360" w:lineRule="auto"/>
        <w:ind w:firstLine="480" w:firstLineChars="200"/>
        <w:rPr>
          <w:rFonts w:hint="eastAsia" w:ascii="宋体" w:hAnsi="宋体" w:eastAsia="宋体" w:cs="宋体"/>
          <w:i w:val="0"/>
          <w:iCs w:val="0"/>
          <w:color w:val="auto"/>
          <w:kern w:val="0"/>
          <w:sz w:val="24"/>
          <w:szCs w:val="24"/>
          <w:highlight w:val="none"/>
          <w:lang w:val="zh-CN"/>
        </w:rPr>
      </w:pPr>
      <w:bookmarkStart w:id="39" w:name="_Toc35393796"/>
      <w:bookmarkStart w:id="40" w:name="_Toc28359085"/>
      <w:bookmarkStart w:id="41" w:name="_Toc35393627"/>
      <w:bookmarkStart w:id="42" w:name="_Toc28359008"/>
      <w:r>
        <w:rPr>
          <w:rFonts w:hint="eastAsia" w:ascii="宋体" w:hAnsi="宋体" w:eastAsia="宋体" w:cs="宋体"/>
          <w:i w:val="0"/>
          <w:iCs w:val="0"/>
          <w:color w:val="auto"/>
          <w:kern w:val="0"/>
          <w:sz w:val="24"/>
          <w:szCs w:val="24"/>
          <w:highlight w:val="none"/>
          <w:lang w:val="zh-CN"/>
        </w:rPr>
        <w:t>采购项目联系人：</w:t>
      </w:r>
      <w:r>
        <w:rPr>
          <w:rFonts w:hint="eastAsia" w:ascii="宋体" w:hAnsi="宋体" w:eastAsia="宋体" w:cs="宋体"/>
          <w:i w:val="0"/>
          <w:iCs w:val="0"/>
          <w:color w:val="auto"/>
          <w:kern w:val="0"/>
          <w:sz w:val="24"/>
          <w:szCs w:val="24"/>
          <w:highlight w:val="none"/>
          <w:lang w:val="en-US" w:eastAsia="zh-CN"/>
        </w:rPr>
        <w:t>郭</w:t>
      </w:r>
      <w:r>
        <w:rPr>
          <w:rFonts w:hint="eastAsia" w:ascii="宋体" w:hAnsi="宋体" w:eastAsia="宋体" w:cs="宋体"/>
          <w:i w:val="0"/>
          <w:iCs w:val="0"/>
          <w:color w:val="auto"/>
          <w:kern w:val="0"/>
          <w:sz w:val="24"/>
          <w:szCs w:val="24"/>
          <w:highlight w:val="none"/>
          <w:lang w:val="zh-CN"/>
        </w:rPr>
        <w:t>先生</w:t>
      </w:r>
      <w:r>
        <w:rPr>
          <w:rFonts w:hint="eastAsia" w:ascii="宋体" w:hAnsi="宋体" w:eastAsia="宋体" w:cs="宋体"/>
          <w:i w:val="0"/>
          <w:iCs w:val="0"/>
          <w:color w:val="auto"/>
          <w:kern w:val="0"/>
          <w:sz w:val="24"/>
          <w:szCs w:val="24"/>
          <w:highlight w:val="none"/>
        </w:rPr>
        <w:t xml:space="preserve">    </w:t>
      </w:r>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公告期限：自青海政府采购网发布之日起5个工作日；</w:t>
      </w:r>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公告发布媒体：《青海政府采购网》、《青海省电子招投标服务平台》，公告内容以《青海政府采购网》发布的为准。</w:t>
      </w:r>
    </w:p>
    <w:p>
      <w:pPr>
        <w:spacing w:line="360" w:lineRule="auto"/>
        <w:ind w:firstLine="480" w:firstLineChars="20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标书购买联系人：邢女士</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电话：</w:t>
      </w:r>
      <w:r>
        <w:rPr>
          <w:rFonts w:hint="eastAsia" w:ascii="宋体" w:hAnsi="宋体" w:eastAsia="宋体" w:cs="宋体"/>
          <w:i w:val="0"/>
          <w:iCs w:val="0"/>
          <w:color w:val="auto"/>
          <w:kern w:val="0"/>
          <w:sz w:val="24"/>
          <w:szCs w:val="24"/>
          <w:highlight w:val="none"/>
        </w:rPr>
        <w:t>0971-4392770</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电子邮箱：</w:t>
      </w:r>
      <w:r>
        <w:rPr>
          <w:rFonts w:hint="eastAsia" w:ascii="宋体" w:hAnsi="宋体" w:eastAsia="宋体" w:cs="宋体"/>
          <w:i w:val="0"/>
          <w:iCs w:val="0"/>
          <w:color w:val="auto"/>
          <w:kern w:val="0"/>
          <w:sz w:val="24"/>
          <w:szCs w:val="24"/>
          <w:highlight w:val="none"/>
          <w:lang w:val="zh-CN"/>
        </w:rPr>
        <w:fldChar w:fldCharType="begin"/>
      </w:r>
      <w:r>
        <w:rPr>
          <w:rFonts w:hint="eastAsia" w:ascii="宋体" w:hAnsi="宋体" w:eastAsia="宋体" w:cs="宋体"/>
          <w:i w:val="0"/>
          <w:iCs w:val="0"/>
          <w:color w:val="auto"/>
          <w:kern w:val="0"/>
          <w:sz w:val="24"/>
          <w:szCs w:val="24"/>
          <w:highlight w:val="none"/>
          <w:lang w:val="zh-CN"/>
        </w:rPr>
        <w:instrText xml:space="preserve">HYPERLINK "mailto:qhruiao2015@163.com"</w:instrText>
      </w:r>
      <w:r>
        <w:rPr>
          <w:rFonts w:hint="eastAsia" w:ascii="宋体" w:hAnsi="宋体" w:eastAsia="宋体" w:cs="宋体"/>
          <w:i w:val="0"/>
          <w:iCs w:val="0"/>
          <w:color w:val="auto"/>
          <w:kern w:val="0"/>
          <w:sz w:val="24"/>
          <w:szCs w:val="24"/>
          <w:highlight w:val="none"/>
          <w:lang w:val="zh-CN"/>
        </w:rPr>
        <w:fldChar w:fldCharType="separate"/>
      </w:r>
      <w:r>
        <w:rPr>
          <w:rFonts w:hint="eastAsia" w:ascii="宋体" w:hAnsi="宋体" w:eastAsia="宋体" w:cs="宋体"/>
          <w:i w:val="0"/>
          <w:iCs w:val="0"/>
          <w:color w:val="auto"/>
          <w:kern w:val="0"/>
          <w:sz w:val="24"/>
          <w:szCs w:val="24"/>
          <w:highlight w:val="none"/>
          <w:lang w:val="zh-CN"/>
        </w:rPr>
        <w:t>qhruiao2015@163.com</w:t>
      </w:r>
      <w:r>
        <w:rPr>
          <w:rFonts w:hint="eastAsia" w:ascii="宋体" w:hAnsi="宋体" w:eastAsia="宋体" w:cs="宋体"/>
          <w:i w:val="0"/>
          <w:iCs w:val="0"/>
          <w:color w:val="auto"/>
          <w:kern w:val="0"/>
          <w:sz w:val="24"/>
          <w:szCs w:val="24"/>
          <w:highlight w:val="none"/>
          <w:lang w:val="zh-CN"/>
        </w:rPr>
        <w:fldChar w:fldCharType="end"/>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lang w:val="zh-CN"/>
        </w:rPr>
      </w:pPr>
      <w:bookmarkStart w:id="43" w:name="_Toc6617"/>
      <w:bookmarkStart w:id="44" w:name="_Toc7451"/>
      <w:r>
        <w:rPr>
          <w:rFonts w:hint="eastAsia" w:ascii="宋体" w:hAnsi="宋体" w:eastAsia="宋体" w:cs="宋体"/>
          <w:i w:val="0"/>
          <w:iCs w:val="0"/>
          <w:color w:val="auto"/>
          <w:kern w:val="0"/>
          <w:sz w:val="24"/>
          <w:szCs w:val="24"/>
          <w:highlight w:val="none"/>
          <w:lang w:val="zh-CN"/>
        </w:rPr>
        <w:t>七、对本次招标提出询问，请按以下方式联系。</w:t>
      </w:r>
      <w:bookmarkEnd w:id="39"/>
      <w:bookmarkEnd w:id="40"/>
      <w:bookmarkEnd w:id="41"/>
      <w:bookmarkEnd w:id="42"/>
      <w:bookmarkEnd w:id="43"/>
      <w:bookmarkEnd w:id="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1.采购人信息</w:t>
      </w:r>
    </w:p>
    <w:p>
      <w:pPr>
        <w:widowControl w:val="0"/>
        <w:spacing w:line="360" w:lineRule="auto"/>
        <w:ind w:left="1190" w:leftChars="371" w:hanging="300" w:hangingChars="125"/>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名 称：</w:t>
      </w:r>
      <w:r>
        <w:rPr>
          <w:rFonts w:hint="eastAsia" w:ascii="宋体" w:hAnsi="宋体" w:eastAsia="宋体" w:cs="宋体"/>
          <w:i w:val="0"/>
          <w:iCs w:val="0"/>
          <w:color w:val="auto"/>
          <w:kern w:val="2"/>
          <w:sz w:val="24"/>
          <w:szCs w:val="24"/>
          <w:highlight w:val="none"/>
          <w:u w:val="single"/>
          <w:lang w:val="zh-CN"/>
        </w:rPr>
        <w:t>　</w:t>
      </w:r>
      <w:r>
        <w:rPr>
          <w:rFonts w:hint="eastAsia" w:cs="Times New Roman"/>
          <w:color w:val="auto"/>
          <w:kern w:val="2"/>
          <w:szCs w:val="22"/>
          <w:highlight w:val="none"/>
          <w:u w:val="single"/>
          <w:lang w:val="zh-CN" w:eastAsia="zh-CN"/>
        </w:rPr>
        <w:t xml:space="preserve">共和县生态环境局 </w:t>
      </w:r>
      <w:r>
        <w:rPr>
          <w:rFonts w:hint="eastAsia" w:ascii="宋体" w:hAnsi="宋体" w:eastAsia="宋体" w:cs="宋体"/>
          <w:i w:val="0"/>
          <w:iCs w:val="0"/>
          <w:color w:val="auto"/>
          <w:kern w:val="2"/>
          <w:sz w:val="24"/>
          <w:szCs w:val="24"/>
          <w:highlight w:val="none"/>
          <w:u w:val="single"/>
          <w:lang w:val="zh-CN"/>
        </w:rPr>
        <w:t>　　</w:t>
      </w:r>
    </w:p>
    <w:p>
      <w:pPr>
        <w:widowControl w:val="0"/>
        <w:spacing w:line="360" w:lineRule="auto"/>
        <w:ind w:left="1190" w:leftChars="371" w:hanging="300" w:hangingChars="125"/>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地址：</w:t>
      </w:r>
      <w:r>
        <w:rPr>
          <w:rFonts w:hint="eastAsia" w:ascii="宋体" w:hAnsi="宋体" w:eastAsia="宋体" w:cs="宋体"/>
          <w:i w:val="0"/>
          <w:iCs w:val="0"/>
          <w:color w:val="auto"/>
          <w:kern w:val="2"/>
          <w:sz w:val="24"/>
          <w:szCs w:val="24"/>
          <w:highlight w:val="none"/>
          <w:u w:val="single"/>
        </w:rPr>
        <w:t>　</w:t>
      </w:r>
      <w:r>
        <w:rPr>
          <w:rFonts w:hint="eastAsia" w:ascii="Times New Roman" w:hAnsi="Times New Roman" w:eastAsia="宋体" w:cs="Times New Roman"/>
          <w:color w:val="auto"/>
          <w:kern w:val="2"/>
          <w:szCs w:val="22"/>
          <w:highlight w:val="none"/>
          <w:u w:val="single"/>
          <w:lang w:val="en-US" w:eastAsia="zh-CN"/>
        </w:rPr>
        <w:t xml:space="preserve"> </w:t>
      </w:r>
      <w:r>
        <w:rPr>
          <w:rFonts w:hint="eastAsia" w:ascii="Times New Roman" w:hAnsi="Times New Roman" w:eastAsia="宋体" w:cs="Times New Roman"/>
          <w:color w:val="auto"/>
          <w:kern w:val="2"/>
          <w:szCs w:val="22"/>
          <w:highlight w:val="none"/>
          <w:u w:val="single"/>
          <w:lang w:val="zh-CN" w:eastAsia="zh-CN"/>
        </w:rPr>
        <w:t>海</w:t>
      </w:r>
      <w:r>
        <w:rPr>
          <w:rFonts w:hint="eastAsia" w:ascii="Times New Roman" w:hAnsi="Times New Roman" w:cs="Times New Roman"/>
          <w:color w:val="auto"/>
          <w:kern w:val="2"/>
          <w:szCs w:val="22"/>
          <w:highlight w:val="none"/>
          <w:u w:val="single"/>
          <w:lang w:val="en-US" w:eastAsia="zh-CN"/>
        </w:rPr>
        <w:t>南州</w:t>
      </w:r>
      <w:r>
        <w:rPr>
          <w:rFonts w:hint="eastAsia" w:cs="Times New Roman"/>
          <w:color w:val="auto"/>
          <w:kern w:val="2"/>
          <w:szCs w:val="22"/>
          <w:highlight w:val="none"/>
          <w:u w:val="single"/>
          <w:lang w:val="zh-CN" w:eastAsia="zh-CN"/>
        </w:rPr>
        <w:t>共和县</w:t>
      </w:r>
      <w:r>
        <w:rPr>
          <w:rFonts w:hint="eastAsia" w:ascii="宋体" w:hAnsi="宋体" w:eastAsia="宋体" w:cs="宋体"/>
          <w:i w:val="0"/>
          <w:iCs w:val="0"/>
          <w:color w:val="auto"/>
          <w:kern w:val="2"/>
          <w:sz w:val="24"/>
          <w:szCs w:val="24"/>
          <w:highlight w:val="none"/>
          <w:u w:val="single"/>
          <w:lang w:val="zh-CN"/>
        </w:rPr>
        <w:t>　</w:t>
      </w:r>
      <w:r>
        <w:rPr>
          <w:rFonts w:hint="eastAsia" w:ascii="宋体" w:hAnsi="宋体" w:eastAsia="宋体" w:cs="宋体"/>
          <w:i w:val="0"/>
          <w:iCs w:val="0"/>
          <w:color w:val="auto"/>
          <w:kern w:val="2"/>
          <w:sz w:val="24"/>
          <w:szCs w:val="24"/>
          <w:highlight w:val="none"/>
          <w:u w:val="single"/>
        </w:rPr>
        <w:t>　　</w:t>
      </w:r>
      <w:r>
        <w:rPr>
          <w:rFonts w:hint="eastAsia" w:ascii="宋体" w:hAnsi="宋体" w:eastAsia="宋体" w:cs="宋体"/>
          <w:i w:val="0"/>
          <w:iCs w:val="0"/>
          <w:color w:val="auto"/>
          <w:kern w:val="2"/>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u w:val="single"/>
        </w:rPr>
        <w:t>　</w:t>
      </w:r>
    </w:p>
    <w:p>
      <w:pPr>
        <w:widowControl w:val="0"/>
        <w:spacing w:line="360" w:lineRule="auto"/>
        <w:ind w:left="1190" w:leftChars="371" w:hanging="300" w:hangingChars="125"/>
        <w:jc w:val="left"/>
        <w:rPr>
          <w:rFonts w:hint="eastAsia" w:ascii="宋体" w:hAnsi="宋体" w:eastAsia="宋体" w:cs="宋体"/>
          <w:i w:val="0"/>
          <w:iCs w:val="0"/>
          <w:color w:val="auto"/>
          <w:kern w:val="2"/>
          <w:sz w:val="24"/>
          <w:szCs w:val="24"/>
          <w:highlight w:val="none"/>
          <w:u w:val="single"/>
          <w:lang w:val="zh-CN"/>
        </w:rPr>
      </w:pPr>
      <w:r>
        <w:rPr>
          <w:rFonts w:hint="eastAsia" w:ascii="宋体" w:hAnsi="宋体" w:eastAsia="宋体" w:cs="宋体"/>
          <w:i w:val="0"/>
          <w:iCs w:val="0"/>
          <w:color w:val="auto"/>
          <w:kern w:val="2"/>
          <w:sz w:val="24"/>
          <w:szCs w:val="24"/>
          <w:highlight w:val="none"/>
        </w:rPr>
        <w:t>联系方式：</w:t>
      </w:r>
      <w:r>
        <w:rPr>
          <w:rFonts w:hint="eastAsia" w:ascii="Times New Roman" w:hAnsi="Times New Roman" w:eastAsia="宋体" w:cs="Times New Roman"/>
          <w:color w:val="auto"/>
          <w:kern w:val="2"/>
          <w:szCs w:val="22"/>
          <w:highlight w:val="none"/>
          <w:u w:val="single"/>
          <w:lang w:val="zh-CN" w:eastAsia="zh-CN"/>
        </w:rPr>
        <w:t>　魏先生</w:t>
      </w:r>
      <w:r>
        <w:rPr>
          <w:rFonts w:hint="eastAsia" w:ascii="Times New Roman" w:hAnsi="Times New Roman" w:eastAsia="宋体" w:cs="Times New Roman"/>
          <w:color w:val="auto"/>
          <w:kern w:val="2"/>
          <w:szCs w:val="22"/>
          <w:highlight w:val="none"/>
          <w:u w:val="single"/>
          <w:lang w:val="en-US" w:eastAsia="zh-CN"/>
        </w:rPr>
        <w:t>（</w:t>
      </w:r>
      <w:r>
        <w:rPr>
          <w:rFonts w:hint="eastAsia" w:ascii="Times New Roman" w:hAnsi="Times New Roman" w:cs="Times New Roman"/>
          <w:color w:val="auto"/>
          <w:kern w:val="2"/>
          <w:szCs w:val="22"/>
          <w:highlight w:val="none"/>
          <w:u w:val="single"/>
          <w:lang w:val="en-US" w:eastAsia="zh-CN"/>
        </w:rPr>
        <w:t>0974-8519519</w:t>
      </w:r>
      <w:r>
        <w:rPr>
          <w:rFonts w:hint="eastAsia" w:ascii="Times New Roman" w:hAnsi="Times New Roman" w:eastAsia="宋体" w:cs="Times New Roman"/>
          <w:color w:val="auto"/>
          <w:kern w:val="2"/>
          <w:szCs w:val="22"/>
          <w:highlight w:val="none"/>
          <w:u w:val="single"/>
          <w:lang w:val="en-US" w:eastAsia="zh-CN"/>
        </w:rPr>
        <w:t>）</w:t>
      </w:r>
      <w:r>
        <w:rPr>
          <w:rFonts w:hint="eastAsia" w:ascii="宋体" w:hAnsi="宋体" w:eastAsia="宋体" w:cs="宋体"/>
          <w:i w:val="0"/>
          <w:iCs w:val="0"/>
          <w:color w:val="auto"/>
          <w:kern w:val="2"/>
          <w:sz w:val="24"/>
          <w:szCs w:val="24"/>
          <w:highlight w:val="none"/>
          <w:u w:val="single"/>
          <w:lang w:val="zh-CN"/>
        </w:rPr>
        <w:t>　</w:t>
      </w:r>
      <w:bookmarkStart w:id="45" w:name="_Toc28359086"/>
      <w:bookmarkStart w:id="46" w:name="_Toc28359009"/>
    </w:p>
    <w:p>
      <w:pPr>
        <w:widowControl/>
        <w:spacing w:line="360" w:lineRule="auto"/>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2.采购代理机构信息（如有）</w:t>
      </w:r>
      <w:bookmarkEnd w:id="45"/>
      <w:bookmarkEnd w:id="46"/>
    </w:p>
    <w:p>
      <w:pPr>
        <w:widowControl w:val="0"/>
        <w:spacing w:line="360" w:lineRule="auto"/>
        <w:ind w:left="1190" w:leftChars="371" w:hanging="300" w:hangingChars="125"/>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名 称：</w:t>
      </w:r>
      <w:r>
        <w:rPr>
          <w:rFonts w:hint="eastAsia" w:ascii="宋体" w:hAnsi="宋体" w:eastAsia="宋体" w:cs="宋体"/>
          <w:i w:val="0"/>
          <w:iCs w:val="0"/>
          <w:color w:val="auto"/>
          <w:kern w:val="2"/>
          <w:sz w:val="24"/>
          <w:szCs w:val="24"/>
          <w:highlight w:val="none"/>
          <w:u w:val="single"/>
          <w:lang w:val="zh-CN"/>
        </w:rPr>
        <w:t>青海睿澳工程项目管理有限公司</w:t>
      </w:r>
      <w:r>
        <w:rPr>
          <w:rFonts w:hint="eastAsia" w:ascii="宋体" w:hAnsi="宋体" w:eastAsia="宋体" w:cs="宋体"/>
          <w:i w:val="0"/>
          <w:iCs w:val="0"/>
          <w:color w:val="auto"/>
          <w:kern w:val="2"/>
          <w:sz w:val="24"/>
          <w:szCs w:val="24"/>
          <w:highlight w:val="none"/>
          <w:u w:val="single"/>
        </w:rPr>
        <w:t>　</w:t>
      </w:r>
      <w:r>
        <w:rPr>
          <w:rFonts w:hint="eastAsia" w:ascii="宋体" w:hAnsi="宋体" w:eastAsia="宋体" w:cs="宋体"/>
          <w:i w:val="0"/>
          <w:iCs w:val="0"/>
          <w:color w:val="auto"/>
          <w:kern w:val="2"/>
          <w:sz w:val="24"/>
          <w:szCs w:val="24"/>
          <w:highlight w:val="none"/>
        </w:rPr>
        <w:t>　　　</w:t>
      </w:r>
    </w:p>
    <w:p>
      <w:pPr>
        <w:widowControl w:val="0"/>
        <w:spacing w:line="360" w:lineRule="auto"/>
        <w:ind w:left="1910" w:leftChars="371" w:hanging="1020" w:hangingChars="425"/>
        <w:jc w:val="left"/>
        <w:rPr>
          <w:rFonts w:hint="eastAsia" w:ascii="宋体" w:hAnsi="宋体" w:eastAsia="宋体" w:cs="宋体"/>
          <w:i w:val="0"/>
          <w:iCs w:val="0"/>
          <w:color w:val="auto"/>
          <w:kern w:val="2"/>
          <w:sz w:val="24"/>
          <w:szCs w:val="24"/>
          <w:highlight w:val="none"/>
          <w:u w:val="single"/>
        </w:rPr>
      </w:pPr>
      <w:r>
        <w:rPr>
          <w:rFonts w:hint="eastAsia" w:ascii="宋体" w:hAnsi="宋体" w:eastAsia="宋体" w:cs="宋体"/>
          <w:i w:val="0"/>
          <w:iCs w:val="0"/>
          <w:color w:val="auto"/>
          <w:kern w:val="2"/>
          <w:sz w:val="24"/>
          <w:szCs w:val="24"/>
          <w:highlight w:val="none"/>
        </w:rPr>
        <w:t>地　址：</w:t>
      </w:r>
      <w:r>
        <w:rPr>
          <w:rFonts w:hint="eastAsia" w:ascii="宋体" w:hAnsi="宋体" w:eastAsia="宋体" w:cs="宋体"/>
          <w:i w:val="0"/>
          <w:iCs w:val="0"/>
          <w:color w:val="auto"/>
          <w:kern w:val="2"/>
          <w:sz w:val="24"/>
          <w:szCs w:val="24"/>
          <w:highlight w:val="none"/>
          <w:u w:val="single"/>
          <w:lang w:val="zh-CN"/>
        </w:rPr>
        <w:t>西宁市城西区海湖新区五四西路61号新华联国际中心1号楼9楼1091室</w:t>
      </w:r>
    </w:p>
    <w:p>
      <w:pPr>
        <w:widowControl w:val="0"/>
        <w:spacing w:line="360" w:lineRule="auto"/>
        <w:ind w:left="1190" w:leftChars="371" w:hanging="300" w:hangingChars="125"/>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联系方式</w:t>
      </w:r>
      <w:bookmarkStart w:id="47" w:name="_Toc28359087"/>
      <w:bookmarkStart w:id="48" w:name="_Toc28359010"/>
      <w:r>
        <w:rPr>
          <w:rFonts w:hint="eastAsia" w:ascii="宋体" w:hAnsi="宋体" w:eastAsia="宋体" w:cs="宋体"/>
          <w:i w:val="0"/>
          <w:iCs w:val="0"/>
          <w:color w:val="auto"/>
          <w:kern w:val="2"/>
          <w:sz w:val="24"/>
          <w:szCs w:val="24"/>
          <w:highlight w:val="none"/>
          <w:u w:val="single"/>
          <w:lang w:val="zh-CN"/>
        </w:rPr>
        <w:t>0971-4392771</w:t>
      </w:r>
      <w:r>
        <w:rPr>
          <w:rFonts w:hint="eastAsia" w:ascii="宋体" w:hAnsi="宋体" w:eastAsia="宋体" w:cs="宋体"/>
          <w:i w:val="0"/>
          <w:iCs w:val="0"/>
          <w:color w:val="auto"/>
          <w:kern w:val="2"/>
          <w:sz w:val="24"/>
          <w:szCs w:val="24"/>
          <w:highlight w:val="none"/>
          <w:lang w:val="zh-CN"/>
        </w:rPr>
        <w:t>　　</w:t>
      </w:r>
      <w:r>
        <w:rPr>
          <w:rFonts w:hint="eastAsia" w:ascii="宋体" w:hAnsi="宋体" w:eastAsia="宋体" w:cs="宋体"/>
          <w:i w:val="0"/>
          <w:iCs w:val="0"/>
          <w:color w:val="auto"/>
          <w:kern w:val="2"/>
          <w:sz w:val="24"/>
          <w:szCs w:val="24"/>
          <w:highlight w:val="none"/>
        </w:rPr>
        <w:t>　　　　　</w:t>
      </w:r>
      <w:r>
        <w:rPr>
          <w:rFonts w:hint="eastAsia" w:ascii="宋体" w:hAnsi="宋体" w:eastAsia="宋体" w:cs="宋体"/>
          <w:i w:val="0"/>
          <w:iCs w:val="0"/>
          <w:color w:val="auto"/>
          <w:kern w:val="2"/>
          <w:sz w:val="24"/>
          <w:szCs w:val="24"/>
          <w:highlight w:val="none"/>
          <w:lang w:val="en-US" w:eastAsia="zh-CN"/>
        </w:rPr>
        <w:t xml:space="preserve">    </w:t>
      </w:r>
      <w:r>
        <w:rPr>
          <w:rFonts w:hint="eastAsia" w:ascii="宋体" w:hAnsi="宋体" w:eastAsia="宋体" w:cs="宋体"/>
          <w:i w:val="0"/>
          <w:iCs w:val="0"/>
          <w:color w:val="auto"/>
          <w:kern w:val="2"/>
          <w:sz w:val="24"/>
          <w:szCs w:val="24"/>
          <w:highlight w:val="none"/>
        </w:rPr>
        <w:t>　</w:t>
      </w:r>
    </w:p>
    <w:p>
      <w:pPr>
        <w:widowControl/>
        <w:spacing w:line="360" w:lineRule="auto"/>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3.项目联系方式</w:t>
      </w:r>
      <w:bookmarkEnd w:id="47"/>
      <w:bookmarkEnd w:id="48"/>
    </w:p>
    <w:p>
      <w:pPr>
        <w:widowControl w:val="0"/>
        <w:spacing w:line="360" w:lineRule="auto"/>
        <w:ind w:firstLine="720" w:firstLineChars="300"/>
        <w:jc w:val="both"/>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项目联系人：</w:t>
      </w:r>
      <w:r>
        <w:rPr>
          <w:rFonts w:hint="eastAsia" w:ascii="宋体" w:hAnsi="宋体" w:eastAsia="宋体" w:cs="宋体"/>
          <w:i w:val="0"/>
          <w:iCs w:val="0"/>
          <w:color w:val="auto"/>
          <w:kern w:val="2"/>
          <w:sz w:val="24"/>
          <w:szCs w:val="24"/>
          <w:highlight w:val="none"/>
          <w:u w:val="single"/>
          <w:lang w:val="en-US" w:eastAsia="zh-CN" w:bidi="ar-SA"/>
        </w:rPr>
        <w:t xml:space="preserve">  郭先生              </w:t>
      </w:r>
    </w:p>
    <w:p>
      <w:pPr>
        <w:widowControl w:val="0"/>
        <w:spacing w:line="360" w:lineRule="auto"/>
        <w:ind w:firstLine="720" w:firstLineChars="300"/>
        <w:jc w:val="both"/>
        <w:rPr>
          <w:rFonts w:hint="eastAsia" w:ascii="宋体" w:hAnsi="宋体" w:eastAsia="宋体" w:cs="宋体"/>
          <w:i w:val="0"/>
          <w:iCs w:val="0"/>
          <w:color w:val="auto"/>
          <w:kern w:val="2"/>
          <w:sz w:val="24"/>
          <w:szCs w:val="24"/>
          <w:highlight w:val="none"/>
          <w:u w:val="single"/>
          <w:lang w:val="en-US" w:eastAsia="zh-CN"/>
        </w:rPr>
      </w:pPr>
      <w:r>
        <w:rPr>
          <w:rFonts w:hint="eastAsia" w:ascii="宋体" w:hAnsi="宋体" w:eastAsia="宋体" w:cs="宋体"/>
          <w:i w:val="0"/>
          <w:iCs w:val="0"/>
          <w:color w:val="auto"/>
          <w:kern w:val="2"/>
          <w:sz w:val="24"/>
          <w:szCs w:val="24"/>
          <w:highlight w:val="none"/>
        </w:rPr>
        <w:t>电　话：</w:t>
      </w:r>
      <w:r>
        <w:rPr>
          <w:rFonts w:hint="eastAsia" w:ascii="宋体" w:hAnsi="宋体" w:eastAsia="宋体" w:cs="宋体"/>
          <w:i w:val="0"/>
          <w:iCs w:val="0"/>
          <w:color w:val="auto"/>
          <w:kern w:val="2"/>
          <w:sz w:val="24"/>
          <w:szCs w:val="24"/>
          <w:highlight w:val="none"/>
          <w:u w:val="single"/>
        </w:rPr>
        <w:t>　</w:t>
      </w:r>
      <w:r>
        <w:rPr>
          <w:rFonts w:hint="eastAsia" w:ascii="宋体" w:hAnsi="宋体" w:eastAsia="宋体" w:cs="宋体"/>
          <w:i w:val="0"/>
          <w:iCs w:val="0"/>
          <w:color w:val="auto"/>
          <w:kern w:val="2"/>
          <w:sz w:val="24"/>
          <w:szCs w:val="24"/>
          <w:highlight w:val="none"/>
          <w:u w:val="single"/>
          <w:lang w:val="zh-CN"/>
        </w:rPr>
        <w:t>0971-4392771　</w:t>
      </w:r>
    </w:p>
    <w:p>
      <w:pPr>
        <w:widowControl w:val="0"/>
        <w:jc w:val="both"/>
        <w:rPr>
          <w:rFonts w:ascii="Calibri" w:hAnsi="Calibri" w:eastAsia="宋体" w:cs="Times New Roman"/>
          <w:color w:val="auto"/>
          <w:kern w:val="2"/>
          <w:highlight w:val="none"/>
        </w:rPr>
      </w:pPr>
    </w:p>
    <w:p>
      <w:pPr>
        <w:widowControl w:val="0"/>
        <w:ind w:right="120"/>
        <w:jc w:val="right"/>
        <w:rPr>
          <w:rFonts w:hint="eastAsia" w:ascii="宋体" w:hAnsi="宋体" w:eastAsia="宋体" w:cs="宋体"/>
          <w:color w:val="auto"/>
          <w:kern w:val="2"/>
          <w:highlight w:val="none"/>
        </w:rPr>
      </w:pPr>
    </w:p>
    <w:p>
      <w:pPr>
        <w:widowControl w:val="0"/>
        <w:wordWrap w:val="0"/>
        <w:spacing w:line="360" w:lineRule="auto"/>
        <w:jc w:val="right"/>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2020-</w:t>
      </w:r>
      <w:r>
        <w:rPr>
          <w:rFonts w:hint="eastAsia" w:ascii="宋体" w:hAnsi="宋体" w:cs="宋体"/>
          <w:color w:val="auto"/>
          <w:kern w:val="2"/>
          <w:highlight w:val="none"/>
          <w:lang w:val="en-US" w:eastAsia="zh-CN"/>
        </w:rPr>
        <w:t>11-02</w:t>
      </w:r>
    </w:p>
    <w:p>
      <w:pPr>
        <w:rPr>
          <w:color w:val="auto"/>
          <w:highlight w:val="none"/>
        </w:rPr>
      </w:pPr>
    </w:p>
    <w:p>
      <w:pPr>
        <w:ind w:right="120"/>
        <w:jc w:val="right"/>
        <w:rPr>
          <w:rFonts w:ascii="宋体" w:hAnsi="宋体"/>
          <w:color w:val="auto"/>
          <w:highlight w:val="none"/>
        </w:rPr>
      </w:pPr>
    </w:p>
    <w:p>
      <w:pPr>
        <w:jc w:val="center"/>
        <w:rPr>
          <w:rFonts w:ascii="宋体" w:cs="宋体"/>
          <w:color w:val="auto"/>
          <w:highlight w:val="none"/>
        </w:rPr>
      </w:pPr>
      <w:r>
        <w:rPr>
          <w:rFonts w:ascii="宋体" w:cs="宋体"/>
          <w:color w:val="auto"/>
          <w:highlight w:val="none"/>
        </w:rPr>
        <w:br w:type="page"/>
      </w:r>
      <w:bookmarkEnd w:id="2"/>
    </w:p>
    <w:p>
      <w:pPr>
        <w:pStyle w:val="28"/>
        <w:spacing w:before="0" w:after="0" w:line="360" w:lineRule="auto"/>
        <w:rPr>
          <w:rFonts w:ascii="宋体" w:hAnsi="宋体" w:cs="宋体"/>
          <w:color w:val="auto"/>
          <w:szCs w:val="36"/>
          <w:highlight w:val="none"/>
        </w:rPr>
      </w:pPr>
      <w:bookmarkStart w:id="49" w:name="_Toc21334"/>
      <w:bookmarkStart w:id="50" w:name="_Toc3669"/>
      <w:r>
        <w:rPr>
          <w:rFonts w:hint="eastAsia" w:ascii="宋体" w:hAnsi="宋体" w:cs="宋体"/>
          <w:color w:val="auto"/>
          <w:szCs w:val="36"/>
          <w:highlight w:val="none"/>
          <w:lang w:val="zh-CN"/>
        </w:rPr>
        <w:t>第二部分  投标人须知</w:t>
      </w:r>
      <w:bookmarkEnd w:id="49"/>
      <w:bookmarkEnd w:id="50"/>
    </w:p>
    <w:p>
      <w:pPr>
        <w:pStyle w:val="28"/>
        <w:spacing w:before="0" w:after="0" w:line="360" w:lineRule="auto"/>
        <w:rPr>
          <w:rFonts w:ascii="宋体" w:hAnsi="宋体" w:cs="宋体"/>
          <w:color w:val="auto"/>
          <w:highlight w:val="none"/>
        </w:rPr>
      </w:pPr>
      <w:bookmarkStart w:id="51" w:name="_Toc6569"/>
      <w:bookmarkStart w:id="52" w:name="_Toc6910"/>
      <w:r>
        <w:rPr>
          <w:rFonts w:hint="eastAsia" w:ascii="宋体" w:hAnsi="宋体" w:cs="宋体"/>
          <w:color w:val="auto"/>
          <w:highlight w:val="none"/>
          <w:lang w:val="zh-CN"/>
        </w:rPr>
        <w:t>一、说明</w:t>
      </w:r>
      <w:bookmarkEnd w:id="51"/>
      <w:bookmarkEnd w:id="52"/>
    </w:p>
    <w:p>
      <w:pPr>
        <w:pStyle w:val="28"/>
        <w:spacing w:before="0" w:after="0" w:line="360" w:lineRule="auto"/>
        <w:jc w:val="left"/>
        <w:rPr>
          <w:rFonts w:ascii="宋体" w:hAnsi="宋体" w:cs="宋体"/>
          <w:color w:val="auto"/>
          <w:highlight w:val="none"/>
          <w:lang w:val="zh-CN"/>
        </w:rPr>
      </w:pPr>
      <w:bookmarkStart w:id="53" w:name="_Toc9813"/>
      <w:bookmarkStart w:id="54" w:name="_Toc17791"/>
      <w:r>
        <w:rPr>
          <w:rFonts w:hint="eastAsia" w:ascii="宋体" w:hAnsi="宋体" w:cs="宋体"/>
          <w:color w:val="auto"/>
          <w:sz w:val="28"/>
          <w:szCs w:val="28"/>
          <w:highlight w:val="none"/>
          <w:lang w:val="zh-CN"/>
        </w:rPr>
        <w:t>1.适用范围</w:t>
      </w:r>
      <w:bookmarkEnd w:id="53"/>
      <w:bookmarkEnd w:id="54"/>
    </w:p>
    <w:p>
      <w:pPr>
        <w:autoSpaceDE w:val="0"/>
        <w:autoSpaceDN w:val="0"/>
        <w:spacing w:line="360" w:lineRule="auto"/>
        <w:ind w:firstLine="360" w:firstLineChars="150"/>
        <w:rPr>
          <w:rFonts w:ascii="宋体" w:hAnsi="宋体" w:cs="宋体"/>
          <w:color w:val="auto"/>
          <w:kern w:val="0"/>
          <w:highlight w:val="none"/>
          <w:lang w:val="zh-CN"/>
        </w:rPr>
      </w:pPr>
      <w:r>
        <w:rPr>
          <w:rFonts w:hint="eastAsia" w:ascii="宋体" w:hAnsi="宋体" w:cs="宋体"/>
          <w:color w:val="auto"/>
          <w:kern w:val="0"/>
          <w:highlight w:val="none"/>
          <w:lang w:val="zh-CN"/>
        </w:rPr>
        <w:t>本次招标依据采购人的采购计划，仅适用于本招标文件中所叙述的项目。</w:t>
      </w:r>
    </w:p>
    <w:p>
      <w:pPr>
        <w:pStyle w:val="28"/>
        <w:spacing w:before="0" w:after="0" w:line="360" w:lineRule="auto"/>
        <w:jc w:val="left"/>
        <w:rPr>
          <w:rFonts w:ascii="宋体" w:hAnsi="宋体" w:cs="宋体"/>
          <w:color w:val="auto"/>
          <w:highlight w:val="none"/>
          <w:lang w:val="zh-CN"/>
        </w:rPr>
      </w:pPr>
      <w:bookmarkStart w:id="55" w:name="_Toc21901"/>
      <w:bookmarkStart w:id="56" w:name="_Toc4607"/>
      <w:r>
        <w:rPr>
          <w:rFonts w:hint="eastAsia" w:ascii="宋体" w:hAnsi="宋体" w:cs="宋体"/>
          <w:color w:val="auto"/>
          <w:sz w:val="28"/>
          <w:szCs w:val="28"/>
          <w:highlight w:val="none"/>
          <w:lang w:val="zh-CN"/>
        </w:rPr>
        <w:t>2.采购方式、合格的投标人</w:t>
      </w:r>
      <w:bookmarkEnd w:id="55"/>
      <w:bookmarkEnd w:id="56"/>
    </w:p>
    <w:p>
      <w:pPr>
        <w:autoSpaceDE w:val="0"/>
        <w:autoSpaceDN w:val="0"/>
        <w:spacing w:line="360" w:lineRule="auto"/>
        <w:ind w:firstLine="360" w:firstLineChars="150"/>
        <w:rPr>
          <w:rFonts w:ascii="宋体" w:hAnsi="宋体" w:cs="宋体"/>
          <w:b/>
          <w:bCs/>
          <w:color w:val="auto"/>
          <w:kern w:val="0"/>
          <w:highlight w:val="none"/>
          <w:lang w:val="zh-CN"/>
        </w:rPr>
      </w:pPr>
      <w:r>
        <w:rPr>
          <w:rFonts w:hint="eastAsia" w:ascii="宋体" w:hAnsi="宋体" w:cs="宋体"/>
          <w:color w:val="auto"/>
          <w:kern w:val="0"/>
          <w:highlight w:val="none"/>
          <w:lang w:val="zh-CN"/>
        </w:rPr>
        <w:t>2.1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本次招标采取公开招标方式。</w:t>
      </w:r>
    </w:p>
    <w:p>
      <w:pPr>
        <w:autoSpaceDE w:val="0"/>
        <w:autoSpaceDN w:val="0"/>
        <w:spacing w:line="360" w:lineRule="auto"/>
        <w:ind w:firstLine="360" w:firstLineChars="150"/>
        <w:rPr>
          <w:rFonts w:ascii="宋体" w:hAnsi="宋体" w:cs="宋体"/>
          <w:color w:val="auto"/>
          <w:kern w:val="0"/>
          <w:highlight w:val="none"/>
          <w:lang w:val="zh-CN"/>
        </w:rPr>
      </w:pPr>
      <w:r>
        <w:rPr>
          <w:rFonts w:hint="eastAsia" w:ascii="宋体" w:hAnsi="宋体" w:cs="宋体"/>
          <w:color w:val="auto"/>
          <w:kern w:val="0"/>
          <w:highlight w:val="none"/>
          <w:lang w:val="zh-CN"/>
        </w:rPr>
        <w:t>2.2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合格的投标人：详见第一部分</w:t>
      </w:r>
      <w:r>
        <w:rPr>
          <w:rFonts w:hint="eastAsia" w:ascii="宋体" w:hAnsi="宋体" w:cs="宋体"/>
          <w:color w:val="auto"/>
          <w:kern w:val="0"/>
          <w:highlight w:val="none"/>
        </w:rPr>
        <w:t>“</w:t>
      </w:r>
      <w:r>
        <w:rPr>
          <w:rFonts w:hint="eastAsia" w:ascii="宋体" w:hAnsi="宋体" w:cs="宋体"/>
          <w:color w:val="auto"/>
          <w:kern w:val="0"/>
          <w:highlight w:val="none"/>
          <w:lang w:val="zh-CN"/>
        </w:rPr>
        <w:t>各包投标人资格要求</w:t>
      </w:r>
      <w:r>
        <w:rPr>
          <w:rFonts w:hint="eastAsia" w:ascii="宋体" w:hAnsi="宋体" w:cs="宋体"/>
          <w:color w:val="auto"/>
          <w:kern w:val="0"/>
          <w:highlight w:val="none"/>
        </w:rPr>
        <w:t>”。</w:t>
      </w:r>
    </w:p>
    <w:p>
      <w:pPr>
        <w:pStyle w:val="28"/>
        <w:spacing w:before="0" w:after="0" w:line="360" w:lineRule="auto"/>
        <w:jc w:val="left"/>
        <w:rPr>
          <w:rFonts w:ascii="宋体" w:hAnsi="宋体" w:cs="宋体"/>
          <w:color w:val="auto"/>
          <w:highlight w:val="none"/>
          <w:lang w:val="zh-CN"/>
        </w:rPr>
      </w:pPr>
      <w:bookmarkStart w:id="57" w:name="_Toc25759"/>
      <w:bookmarkStart w:id="58" w:name="_Toc5925"/>
      <w:r>
        <w:rPr>
          <w:rFonts w:hint="eastAsia" w:ascii="宋体" w:hAnsi="宋体" w:cs="宋体"/>
          <w:color w:val="auto"/>
          <w:sz w:val="28"/>
          <w:szCs w:val="28"/>
          <w:highlight w:val="none"/>
          <w:lang w:val="zh-CN"/>
        </w:rPr>
        <w:t>3.投标费用</w:t>
      </w:r>
      <w:bookmarkEnd w:id="57"/>
      <w:bookmarkEnd w:id="58"/>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投标人应自愿承担与参加本次投标有关的费用。采购代理机构对投标人发生的费用不承担任何责任。</w:t>
      </w:r>
    </w:p>
    <w:p>
      <w:pPr>
        <w:pStyle w:val="28"/>
        <w:spacing w:before="0" w:after="0" w:line="360" w:lineRule="auto"/>
        <w:rPr>
          <w:rFonts w:ascii="宋体" w:hAnsi="宋体" w:cs="宋体"/>
          <w:color w:val="auto"/>
          <w:highlight w:val="none"/>
        </w:rPr>
      </w:pPr>
      <w:bookmarkStart w:id="59" w:name="_Toc7095"/>
      <w:bookmarkStart w:id="60" w:name="_Toc19432"/>
      <w:r>
        <w:rPr>
          <w:rFonts w:hint="eastAsia" w:ascii="宋体" w:hAnsi="宋体" w:cs="宋体"/>
          <w:color w:val="auto"/>
          <w:highlight w:val="none"/>
          <w:lang w:val="zh-CN"/>
        </w:rPr>
        <w:t>二、招标文件说明</w:t>
      </w:r>
      <w:bookmarkEnd w:id="59"/>
      <w:bookmarkEnd w:id="60"/>
    </w:p>
    <w:p>
      <w:pPr>
        <w:pStyle w:val="28"/>
        <w:spacing w:before="0" w:after="0" w:line="360" w:lineRule="auto"/>
        <w:jc w:val="left"/>
        <w:rPr>
          <w:rFonts w:ascii="宋体" w:hAnsi="宋体" w:cs="宋体"/>
          <w:color w:val="auto"/>
          <w:highlight w:val="none"/>
          <w:lang w:val="zh-CN"/>
        </w:rPr>
      </w:pPr>
      <w:bookmarkStart w:id="61" w:name="_Toc22656"/>
      <w:bookmarkStart w:id="62" w:name="_Toc5670"/>
      <w:r>
        <w:rPr>
          <w:rFonts w:hint="eastAsia" w:ascii="宋体" w:hAnsi="宋体" w:cs="宋体"/>
          <w:color w:val="auto"/>
          <w:sz w:val="28"/>
          <w:szCs w:val="28"/>
          <w:highlight w:val="none"/>
          <w:lang w:val="zh-CN"/>
        </w:rPr>
        <w:t>4.招标文件的构成</w:t>
      </w:r>
      <w:bookmarkEnd w:id="61"/>
      <w:bookmarkEnd w:id="62"/>
    </w:p>
    <w:p>
      <w:pPr>
        <w:autoSpaceDE w:val="0"/>
        <w:autoSpaceDN w:val="0"/>
        <w:spacing w:line="360" w:lineRule="auto"/>
        <w:ind w:firstLine="360" w:firstLineChars="150"/>
        <w:rPr>
          <w:rFonts w:ascii="宋体" w:hAnsi="宋体" w:cs="宋体"/>
          <w:color w:val="auto"/>
          <w:kern w:val="0"/>
          <w:highlight w:val="none"/>
          <w:lang w:val="zh-CN"/>
        </w:rPr>
      </w:pPr>
      <w:r>
        <w:rPr>
          <w:rFonts w:hint="eastAsia" w:ascii="宋体" w:hAnsi="宋体" w:cs="宋体"/>
          <w:color w:val="auto"/>
          <w:kern w:val="0"/>
          <w:highlight w:val="none"/>
          <w:lang w:val="zh-CN"/>
        </w:rPr>
        <w:t>4.1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招标文件包括：</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（1）投标邀请</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）投标人须知</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）青海省政府采购项目合同书范本</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）投标文件格式</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）采购项目要求及技术参数</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）采购过程中发生的澄清、变更和补充文件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 xml:space="preserve">4.2 </w:t>
      </w:r>
      <w:r>
        <w:rPr>
          <w:rFonts w:hint="eastAsia" w:ascii="宋体" w:hAnsi="宋体" w:cs="宋体"/>
          <w:color w:val="auto"/>
          <w:kern w:val="0"/>
          <w:highlight w:val="none"/>
        </w:rPr>
        <w:t>投标人应当按照招标文件的要求编制投标文件。投标文件应当对招标文件提出的要求和条件作出明确响应。</w:t>
      </w:r>
    </w:p>
    <w:p>
      <w:pPr>
        <w:pStyle w:val="28"/>
        <w:spacing w:before="0" w:after="0" w:line="360" w:lineRule="auto"/>
        <w:jc w:val="left"/>
        <w:rPr>
          <w:rFonts w:ascii="宋体" w:hAnsi="宋体" w:cs="宋体"/>
          <w:color w:val="auto"/>
          <w:sz w:val="28"/>
          <w:szCs w:val="28"/>
          <w:highlight w:val="none"/>
          <w:lang w:val="zh-CN"/>
        </w:rPr>
      </w:pPr>
      <w:bookmarkStart w:id="63" w:name="_Toc470"/>
      <w:bookmarkStart w:id="64" w:name="_Toc11151"/>
      <w:r>
        <w:rPr>
          <w:rFonts w:hint="eastAsia" w:ascii="宋体" w:hAnsi="宋体" w:cs="宋体"/>
          <w:color w:val="auto"/>
          <w:sz w:val="28"/>
          <w:szCs w:val="28"/>
          <w:highlight w:val="none"/>
          <w:lang w:val="zh-CN"/>
        </w:rPr>
        <w:t>5.招标公告、招标文件、采购活动和中标结果的质疑</w:t>
      </w:r>
      <w:bookmarkEnd w:id="63"/>
      <w:bookmarkEnd w:id="64"/>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认为招标公告、招标文件、采购活动和中标结果使自己的权益受到损害的，可以在知道或者应知其权益受到损害之日起7个工作日内以书面形式（如信件、传真等）向采购代理机构提出质疑，不接受匿名质疑。</w:t>
      </w:r>
      <w:r>
        <w:rPr>
          <w:rFonts w:hint="eastAsia" w:ascii="宋体" w:hAnsi="宋体" w:cs="宋体"/>
          <w:color w:val="auto"/>
          <w:kern w:val="0"/>
          <w:highlight w:val="none"/>
        </w:rPr>
        <w:t>潜在投标人可以对</w:t>
      </w:r>
      <w:r>
        <w:rPr>
          <w:rFonts w:hint="eastAsia" w:ascii="宋体" w:hAnsi="宋体" w:cs="宋体"/>
          <w:color w:val="auto"/>
          <w:kern w:val="0"/>
          <w:highlight w:val="none"/>
          <w:lang w:val="zh-CN"/>
        </w:rPr>
        <w:t>招标公告、</w:t>
      </w:r>
      <w:r>
        <w:rPr>
          <w:rFonts w:hint="eastAsia" w:ascii="宋体" w:hAnsi="宋体" w:cs="宋体"/>
          <w:color w:val="auto"/>
          <w:kern w:val="0"/>
          <w:highlight w:val="none"/>
        </w:rPr>
        <w:t>招标文件提出质疑。</w:t>
      </w:r>
      <w:r>
        <w:rPr>
          <w:rFonts w:hint="eastAsia" w:ascii="宋体" w:hAnsi="宋体" w:cs="宋体"/>
          <w:color w:val="auto"/>
          <w:kern w:val="0"/>
          <w:highlight w:val="none"/>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投标人应知其权益受到损害之日，是指：</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（二）对采购过程提出质疑的，为各采购程序环节结束之日；</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（三）对中标结果提出质疑的，为中标结果公告期限届满之日。</w:t>
      </w:r>
    </w:p>
    <w:p>
      <w:pPr>
        <w:pStyle w:val="28"/>
        <w:spacing w:before="0" w:after="0" w:line="360" w:lineRule="auto"/>
        <w:jc w:val="left"/>
        <w:rPr>
          <w:rFonts w:ascii="宋体" w:hAnsi="宋体" w:cs="宋体"/>
          <w:color w:val="auto"/>
          <w:highlight w:val="none"/>
          <w:lang w:val="zh-CN"/>
        </w:rPr>
      </w:pPr>
      <w:bookmarkStart w:id="65" w:name="_Toc18248"/>
      <w:bookmarkStart w:id="66" w:name="_Toc4990"/>
      <w:r>
        <w:rPr>
          <w:rFonts w:hint="eastAsia" w:ascii="宋体" w:hAnsi="宋体" w:cs="宋体"/>
          <w:color w:val="auto"/>
          <w:sz w:val="28"/>
          <w:szCs w:val="28"/>
          <w:highlight w:val="none"/>
          <w:lang w:val="zh-CN"/>
        </w:rPr>
        <w:t>6.招标文件的澄清或修改</w:t>
      </w:r>
      <w:bookmarkEnd w:id="65"/>
      <w:bookmarkEnd w:id="66"/>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6.1 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w:t>
      </w:r>
      <w:r>
        <w:rPr>
          <w:rFonts w:hint="eastAsia" w:ascii="宋体" w:hAnsi="宋体" w:cs="宋体"/>
          <w:color w:val="auto"/>
          <w:kern w:val="0"/>
          <w:highlight w:val="none"/>
        </w:rPr>
        <w:t>2</w:t>
      </w:r>
      <w:r>
        <w:rPr>
          <w:rFonts w:hint="eastAsia" w:ascii="宋体" w:hAnsi="宋体" w:cs="宋体"/>
          <w:color w:val="auto"/>
          <w:kern w:val="0"/>
          <w:highlight w:val="none"/>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8"/>
        <w:spacing w:before="0" w:after="0" w:line="360" w:lineRule="auto"/>
        <w:rPr>
          <w:rFonts w:ascii="宋体" w:hAnsi="宋体" w:cs="宋体"/>
          <w:color w:val="auto"/>
          <w:highlight w:val="none"/>
        </w:rPr>
      </w:pPr>
      <w:bookmarkStart w:id="67" w:name="_Toc30496"/>
      <w:bookmarkStart w:id="68" w:name="_Toc28495"/>
      <w:r>
        <w:rPr>
          <w:rFonts w:hint="eastAsia" w:ascii="宋体" w:hAnsi="宋体" w:cs="宋体"/>
          <w:color w:val="auto"/>
          <w:highlight w:val="none"/>
          <w:lang w:val="zh-CN"/>
        </w:rPr>
        <w:t>三、投标文件的编制</w:t>
      </w:r>
      <w:bookmarkEnd w:id="67"/>
      <w:bookmarkEnd w:id="68"/>
    </w:p>
    <w:p>
      <w:pPr>
        <w:pStyle w:val="28"/>
        <w:spacing w:before="0" w:after="0" w:line="360" w:lineRule="auto"/>
        <w:jc w:val="left"/>
        <w:rPr>
          <w:rFonts w:ascii="宋体" w:hAnsi="宋体" w:cs="宋体"/>
          <w:color w:val="auto"/>
          <w:highlight w:val="none"/>
          <w:lang w:val="zh-CN"/>
        </w:rPr>
      </w:pPr>
      <w:bookmarkStart w:id="69" w:name="_Toc22913"/>
      <w:bookmarkStart w:id="70" w:name="_Toc15532"/>
      <w:r>
        <w:rPr>
          <w:rFonts w:hint="eastAsia" w:ascii="宋体" w:hAnsi="宋体" w:cs="宋体"/>
          <w:color w:val="auto"/>
          <w:sz w:val="28"/>
          <w:szCs w:val="28"/>
          <w:highlight w:val="none"/>
          <w:lang w:val="zh-CN"/>
        </w:rPr>
        <w:t>7.投标文件的语言及度量衡单位</w:t>
      </w:r>
      <w:bookmarkEnd w:id="69"/>
      <w:bookmarkEnd w:id="70"/>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投标人提交的投标文件以及投标人与采购代理机构就此投标发生的所有来往函电均应使用简体中文。</w:t>
      </w:r>
      <w:r>
        <w:rPr>
          <w:rFonts w:hint="eastAsia" w:ascii="宋体" w:hAnsi="宋体" w:cs="宋体"/>
          <w:color w:val="auto"/>
          <w:highlight w:val="none"/>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7.3 附有外文资料的须翻译成中文，并加盖投标人公章，如果翻译的中文资料与外文资料出现差异与矛盾时，以中文为准，其准确性由投标人负责。</w:t>
      </w:r>
    </w:p>
    <w:p>
      <w:pPr>
        <w:pStyle w:val="28"/>
        <w:spacing w:before="0" w:after="0" w:line="360" w:lineRule="auto"/>
        <w:jc w:val="left"/>
        <w:rPr>
          <w:rFonts w:ascii="宋体" w:hAnsi="宋体" w:cs="宋体"/>
          <w:color w:val="auto"/>
          <w:highlight w:val="none"/>
          <w:lang w:val="zh-CN"/>
        </w:rPr>
      </w:pPr>
      <w:bookmarkStart w:id="71" w:name="_Toc11217"/>
      <w:bookmarkStart w:id="72" w:name="_Toc14490"/>
      <w:r>
        <w:rPr>
          <w:rFonts w:hint="eastAsia" w:ascii="宋体" w:hAnsi="宋体" w:cs="宋体"/>
          <w:color w:val="auto"/>
          <w:sz w:val="28"/>
          <w:szCs w:val="28"/>
          <w:highlight w:val="none"/>
          <w:lang w:val="zh-CN"/>
        </w:rPr>
        <w:t>8.投标报价及币种</w:t>
      </w:r>
      <w:bookmarkEnd w:id="71"/>
      <w:bookmarkEnd w:id="72"/>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8.1 投标报价为投标总价。投标报价必须包括：产品费、验收费、手续费、包装费、运输费、保险费、安装费、调试费、培训费、售前、售中、售后服务费、运营维护费、招标代理费、税金及不可预见费等全部费用。</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投标报价有效期与投标有效期一致。</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w:t>
      </w:r>
      <w:r>
        <w:rPr>
          <w:rFonts w:hint="eastAsia" w:ascii="宋体" w:hAnsi="宋体" w:cs="宋体"/>
          <w:color w:val="auto"/>
          <w:kern w:val="0"/>
          <w:highlight w:val="none"/>
        </w:rPr>
        <w:t xml:space="preserve">3 </w:t>
      </w:r>
      <w:r>
        <w:rPr>
          <w:rFonts w:hint="eastAsia" w:ascii="宋体" w:hAnsi="宋体" w:cs="宋体"/>
          <w:color w:val="auto"/>
          <w:kern w:val="0"/>
          <w:highlight w:val="none"/>
          <w:lang w:val="zh-CN"/>
        </w:rPr>
        <w:t>投标报价为闭口价，即中标后在合同有效期内价格不变。</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w:t>
      </w:r>
      <w:r>
        <w:rPr>
          <w:rFonts w:hint="eastAsia" w:ascii="宋体" w:hAnsi="宋体" w:cs="宋体"/>
          <w:color w:val="auto"/>
          <w:kern w:val="0"/>
          <w:highlight w:val="none"/>
        </w:rPr>
        <w:t xml:space="preserve">4 </w:t>
      </w:r>
      <w:r>
        <w:rPr>
          <w:rFonts w:hint="eastAsia" w:ascii="宋体" w:hAnsi="宋体" w:cs="宋体"/>
          <w:color w:val="auto"/>
          <w:kern w:val="0"/>
          <w:highlight w:val="none"/>
          <w:lang w:val="zh-CN"/>
        </w:rPr>
        <w:t>投标币种是人民币。</w:t>
      </w:r>
    </w:p>
    <w:p>
      <w:pPr>
        <w:pStyle w:val="28"/>
        <w:spacing w:before="0" w:after="0" w:line="360" w:lineRule="auto"/>
        <w:jc w:val="left"/>
        <w:rPr>
          <w:rFonts w:ascii="宋体" w:hAnsi="宋体" w:cs="宋体"/>
          <w:color w:val="auto"/>
          <w:highlight w:val="none"/>
          <w:lang w:val="zh-CN"/>
        </w:rPr>
      </w:pPr>
      <w:bookmarkStart w:id="73" w:name="_Toc6907"/>
      <w:bookmarkStart w:id="74" w:name="_Toc17781"/>
      <w:r>
        <w:rPr>
          <w:rFonts w:hint="eastAsia" w:ascii="宋体" w:hAnsi="宋体" w:cs="宋体"/>
          <w:color w:val="auto"/>
          <w:sz w:val="28"/>
          <w:szCs w:val="28"/>
          <w:highlight w:val="none"/>
          <w:lang w:val="zh-CN"/>
        </w:rPr>
        <w:t>9.投标保证金</w:t>
      </w:r>
      <w:bookmarkEnd w:id="73"/>
      <w:bookmarkEnd w:id="74"/>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投标保证金：</w:t>
      </w:r>
      <w:r>
        <w:rPr>
          <w:rFonts w:hint="eastAsia" w:ascii="宋体" w:hAnsi="宋体" w:cs="宋体"/>
          <w:color w:val="auto"/>
          <w:kern w:val="0"/>
          <w:highlight w:val="none"/>
          <w:lang w:val="en-US" w:eastAsia="zh-CN"/>
        </w:rPr>
        <w:t>8</w:t>
      </w:r>
      <w:r>
        <w:rPr>
          <w:rFonts w:hint="eastAsia" w:ascii="宋体" w:hAnsi="宋体" w:cs="宋体"/>
          <w:color w:val="auto"/>
          <w:kern w:val="0"/>
          <w:highlight w:val="none"/>
          <w:lang w:val="zh-CN"/>
        </w:rPr>
        <w:t>0000.00元整（大写：</w:t>
      </w:r>
      <w:r>
        <w:rPr>
          <w:rFonts w:hint="eastAsia" w:ascii="宋体" w:hAnsi="宋体" w:cs="宋体"/>
          <w:color w:val="auto"/>
          <w:kern w:val="0"/>
          <w:highlight w:val="none"/>
          <w:lang w:val="en-US" w:eastAsia="zh-CN"/>
        </w:rPr>
        <w:t>捌</w:t>
      </w:r>
      <w:r>
        <w:rPr>
          <w:rFonts w:hint="eastAsia" w:ascii="宋体" w:hAnsi="宋体" w:cs="宋体"/>
          <w:color w:val="auto"/>
          <w:kern w:val="0"/>
          <w:highlight w:val="none"/>
        </w:rPr>
        <w:t>万</w:t>
      </w:r>
      <w:r>
        <w:rPr>
          <w:rFonts w:hint="eastAsia" w:ascii="宋体" w:hAnsi="宋体" w:cs="宋体"/>
          <w:color w:val="auto"/>
          <w:kern w:val="0"/>
          <w:highlight w:val="none"/>
          <w:lang w:val="zh-CN"/>
        </w:rPr>
        <w:t>元整）；</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收款单位：青海睿澳工程项目管理有限公司</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开 户 行：招商银行股份有限公司西宁分行</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银行账号：972900055210102</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交纳时间：开标时间及投标截止时间止，以银行到账时间为准。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如采购项目变更开标时间，则保证金交纳时间相应顺延。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9.2</w:t>
      </w:r>
      <w:r>
        <w:rPr>
          <w:rFonts w:hint="eastAsia" w:ascii="宋体" w:hAnsi="宋体" w:cs="宋体"/>
          <w:color w:val="auto"/>
          <w:kern w:val="0"/>
          <w:highlight w:val="none"/>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9.3</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8"/>
        <w:spacing w:before="0" w:after="0" w:line="360" w:lineRule="auto"/>
        <w:jc w:val="left"/>
        <w:rPr>
          <w:rFonts w:ascii="宋体" w:hAnsi="宋体" w:cs="宋体"/>
          <w:color w:val="auto"/>
          <w:highlight w:val="none"/>
          <w:lang w:val="zh-CN"/>
        </w:rPr>
      </w:pPr>
      <w:bookmarkStart w:id="75" w:name="_Toc25565"/>
      <w:bookmarkStart w:id="76" w:name="_Toc22242"/>
      <w:r>
        <w:rPr>
          <w:rFonts w:hint="eastAsia" w:ascii="宋体" w:hAnsi="宋体" w:cs="宋体"/>
          <w:color w:val="auto"/>
          <w:sz w:val="28"/>
          <w:szCs w:val="28"/>
          <w:highlight w:val="none"/>
          <w:lang w:val="zh-CN"/>
        </w:rPr>
        <w:t>10.投标有效期</w:t>
      </w:r>
      <w:bookmarkEnd w:id="75"/>
      <w:bookmarkEnd w:id="76"/>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highlight w:val="none"/>
          <w:shd w:val="clear" w:color="auto" w:fill="FFFFFF"/>
        </w:rPr>
        <w:t>从提交投标文件的截止之</w:t>
      </w:r>
      <w:r>
        <w:rPr>
          <w:rFonts w:hint="eastAsia" w:ascii="宋体" w:hAnsi="宋体" w:cs="宋体"/>
          <w:color w:val="auto"/>
          <w:kern w:val="0"/>
          <w:highlight w:val="none"/>
          <w:lang w:val="zh-CN"/>
        </w:rPr>
        <w:t>日起60</w:t>
      </w:r>
      <w:r>
        <w:rPr>
          <w:rFonts w:hint="eastAsia" w:ascii="宋体" w:hAnsi="宋体" w:cs="宋体"/>
          <w:color w:val="auto"/>
          <w:kern w:val="0"/>
          <w:highlight w:val="none"/>
        </w:rPr>
        <w:t>个</w:t>
      </w:r>
      <w:r>
        <w:rPr>
          <w:rFonts w:hint="eastAsia" w:ascii="宋体" w:hAnsi="宋体" w:cs="宋体"/>
          <w:color w:val="auto"/>
          <w:kern w:val="0"/>
          <w:highlight w:val="none"/>
          <w:lang w:val="zh-CN"/>
        </w:rPr>
        <w:t>日历日。投标文件中承诺的投标有效期应当不少于招标文件中载明的投标有效期。投标有效期内投标人撤销投标文件的，采购代理机构可以不退还投标保证金。</w:t>
      </w:r>
    </w:p>
    <w:p>
      <w:pPr>
        <w:pStyle w:val="28"/>
        <w:spacing w:before="0" w:after="0" w:line="360" w:lineRule="auto"/>
        <w:jc w:val="left"/>
        <w:rPr>
          <w:rFonts w:ascii="宋体" w:hAnsi="宋体" w:cs="宋体"/>
          <w:color w:val="auto"/>
          <w:highlight w:val="none"/>
          <w:lang w:val="zh-CN"/>
        </w:rPr>
      </w:pPr>
      <w:bookmarkStart w:id="77" w:name="_Toc3280"/>
      <w:bookmarkStart w:id="78" w:name="_Toc11269"/>
      <w:r>
        <w:rPr>
          <w:rFonts w:hint="eastAsia" w:ascii="宋体" w:hAnsi="宋体" w:cs="宋体"/>
          <w:color w:val="auto"/>
          <w:sz w:val="28"/>
          <w:szCs w:val="28"/>
          <w:highlight w:val="none"/>
          <w:lang w:val="zh-CN"/>
        </w:rPr>
        <w:t>11.投标文件构成</w:t>
      </w:r>
      <w:bookmarkEnd w:id="77"/>
      <w:bookmarkEnd w:id="78"/>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auto"/>
          <w:highlight w:val="none"/>
        </w:rPr>
      </w:pPr>
      <w:r>
        <w:rPr>
          <w:rFonts w:hint="eastAsia" w:ascii="宋体" w:hAnsi="宋体" w:cs="宋体"/>
          <w:b/>
          <w:bCs/>
          <w:color w:val="auto"/>
          <w:kern w:val="0"/>
          <w:highlight w:val="none"/>
        </w:rPr>
        <w:t>11.1</w:t>
      </w:r>
      <w:r>
        <w:rPr>
          <w:rFonts w:hint="eastAsia" w:ascii="宋体" w:hAnsi="宋体" w:cs="宋体"/>
          <w:b/>
          <w:bCs/>
          <w:color w:val="auto"/>
          <w:kern w:val="0"/>
          <w:highlight w:val="none"/>
          <w:lang w:val="zh-CN"/>
        </w:rPr>
        <w:t>、投标文件（上册）（资格审查）</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投标函</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法定代表人证明书</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法定代表人授权书</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投标人承诺函</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投标人诚信承诺书</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资格证明材料</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无重大违法记录声明</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投标保证金证明</w:t>
      </w:r>
    </w:p>
    <w:p>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rPr>
        <w:t xml:space="preserve">11.2 </w:t>
      </w:r>
      <w:r>
        <w:rPr>
          <w:rFonts w:hint="eastAsia" w:ascii="宋体" w:hAnsi="宋体" w:cs="宋体"/>
          <w:b/>
          <w:bCs/>
          <w:color w:val="auto"/>
          <w:kern w:val="0"/>
          <w:highlight w:val="none"/>
          <w:lang w:val="zh-CN"/>
        </w:rPr>
        <w:t>投标文件（下册）</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评分对照表</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开标一览表（报价表）</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分项报价表</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技术规格响应表</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投标产品相关资料</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投标人的类似业绩证明材料</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制造（生产）企业小型、微型企业声明函、从业人员声明函</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highlight w:val="none"/>
        </w:rPr>
        <w:t>残疾人福利性单位声明函</w:t>
      </w:r>
    </w:p>
    <w:p>
      <w:pPr>
        <w:numPr>
          <w:ilvl w:val="0"/>
          <w:numId w:val="3"/>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投标人认为在其他方面有必要说明的事项</w:t>
      </w:r>
    </w:p>
    <w:p>
      <w:pPr>
        <w:autoSpaceDE w:val="0"/>
        <w:autoSpaceDN w:val="0"/>
        <w:spacing w:line="360" w:lineRule="auto"/>
        <w:ind w:firstLine="600" w:firstLineChars="250"/>
        <w:rPr>
          <w:rFonts w:ascii="宋体" w:hAnsi="宋体" w:cs="宋体"/>
          <w:color w:val="auto"/>
          <w:kern w:val="0"/>
          <w:highlight w:val="none"/>
          <w:lang w:val="zh-CN"/>
        </w:rPr>
      </w:pPr>
      <w:r>
        <w:rPr>
          <w:rFonts w:hint="eastAsia" w:ascii="宋体" w:hAnsi="宋体" w:cs="宋体"/>
          <w:color w:val="auto"/>
          <w:kern w:val="0"/>
          <w:highlight w:val="none"/>
          <w:lang w:val="zh-CN"/>
        </w:rPr>
        <w:t>注：投标人须按上述内容、顺序和格式编制投标文件，并按要求编制目录、页码，并保证所提供的全部资料真实可信，自愿承担相应责任。</w:t>
      </w:r>
    </w:p>
    <w:p>
      <w:pPr>
        <w:pStyle w:val="28"/>
        <w:spacing w:before="0" w:after="0" w:line="360" w:lineRule="auto"/>
        <w:jc w:val="left"/>
        <w:rPr>
          <w:rFonts w:ascii="宋体" w:hAnsi="宋体" w:cs="宋体"/>
          <w:color w:val="auto"/>
          <w:highlight w:val="none"/>
          <w:lang w:val="zh-CN"/>
        </w:rPr>
      </w:pPr>
      <w:bookmarkStart w:id="79" w:name="_Toc13786"/>
      <w:bookmarkStart w:id="80" w:name="_Toc31059"/>
      <w:r>
        <w:rPr>
          <w:rFonts w:hint="eastAsia" w:ascii="宋体" w:hAnsi="宋体" w:cs="宋体"/>
          <w:color w:val="auto"/>
          <w:sz w:val="28"/>
          <w:szCs w:val="28"/>
          <w:highlight w:val="none"/>
          <w:lang w:val="zh-CN"/>
        </w:rPr>
        <w:t>12.投标文件的编制要求</w:t>
      </w:r>
      <w:bookmarkEnd w:id="79"/>
      <w:bookmarkEnd w:id="80"/>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投标人应准备纸质投标文件正本1份</w:t>
      </w:r>
      <w:r>
        <w:rPr>
          <w:rFonts w:hint="eastAsia" w:ascii="宋体" w:hAnsi="宋体" w:cs="宋体"/>
          <w:color w:val="auto"/>
          <w:kern w:val="0"/>
          <w:highlight w:val="none"/>
        </w:rPr>
        <w:t>(上、下册)</w:t>
      </w:r>
      <w:r>
        <w:rPr>
          <w:rFonts w:hint="eastAsia" w:ascii="宋体" w:hAnsi="宋体" w:cs="宋体"/>
          <w:color w:val="auto"/>
          <w:kern w:val="0"/>
          <w:highlight w:val="none"/>
          <w:lang w:val="zh-CN"/>
        </w:rPr>
        <w:t>、副本4份(上、下册)，电子文档1份</w:t>
      </w:r>
      <w:r>
        <w:rPr>
          <w:rFonts w:hint="eastAsia" w:ascii="宋体" w:hAnsi="宋体" w:cs="宋体"/>
          <w:color w:val="auto"/>
          <w:kern w:val="0"/>
          <w:highlight w:val="none"/>
        </w:rPr>
        <w:t>(上、下册)</w:t>
      </w:r>
      <w:r>
        <w:rPr>
          <w:rFonts w:hint="eastAsia" w:ascii="宋体" w:hAnsi="宋体" w:cs="宋体"/>
          <w:color w:val="auto"/>
          <w:kern w:val="0"/>
          <w:highlight w:val="none"/>
          <w:lang w:val="zh-CN"/>
        </w:rPr>
        <w:t>。若发生正本和副本不符，以正本为准。投标文件统一使用A4幅面的纸张印制，必须胶装成</w:t>
      </w:r>
      <w:r>
        <w:rPr>
          <w:rFonts w:hint="eastAsia" w:ascii="宋体" w:hAnsi="宋体" w:cs="宋体"/>
          <w:color w:val="auto"/>
          <w:kern w:val="0"/>
          <w:highlight w:val="none"/>
        </w:rPr>
        <w:t>上、下两</w:t>
      </w:r>
      <w:r>
        <w:rPr>
          <w:rFonts w:hint="eastAsia" w:ascii="宋体" w:hAnsi="宋体" w:cs="宋体"/>
          <w:color w:val="auto"/>
          <w:kern w:val="0"/>
          <w:highlight w:val="none"/>
          <w:lang w:val="zh-CN"/>
        </w:rPr>
        <w:t>册并编码，其他方式装订的投标文件一概不予接受。</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12.3 投标文件的正本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需打印或用不褪色、不变质的墨水书写，副本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可采用正本的复印件。电子文档</w:t>
      </w:r>
      <w:r>
        <w:rPr>
          <w:rFonts w:hint="eastAsia" w:ascii="宋体" w:hAnsi="宋体" w:cs="宋体"/>
          <w:color w:val="auto"/>
          <w:kern w:val="0"/>
          <w:highlight w:val="none"/>
        </w:rPr>
        <w:t>(上、下册)</w:t>
      </w:r>
      <w:r>
        <w:rPr>
          <w:rFonts w:hint="eastAsia" w:ascii="宋体" w:hAnsi="宋体" w:cs="宋体"/>
          <w:color w:val="auto"/>
          <w:kern w:val="0"/>
          <w:highlight w:val="none"/>
          <w:lang w:val="zh-CN"/>
        </w:rPr>
        <w:t>用光盘或U盘制作，采用不可修改文档格式（如：PDF格式），内容必须和纸质投标文件正本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完全一致，包括封面、页码、签字、盖章等。</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12.4 投标文件中不得行间插字、涂改或增删，如有修改错漏处，须由投标人法定代表人或其委托代理人签字、加盖公章。</w:t>
      </w:r>
    </w:p>
    <w:p>
      <w:pPr>
        <w:pStyle w:val="28"/>
        <w:spacing w:before="0" w:after="0" w:line="360" w:lineRule="auto"/>
        <w:rPr>
          <w:rFonts w:ascii="宋体" w:hAnsi="宋体" w:cs="宋体"/>
          <w:color w:val="auto"/>
          <w:highlight w:val="none"/>
        </w:rPr>
      </w:pPr>
      <w:bookmarkStart w:id="81" w:name="_Toc13701"/>
      <w:bookmarkStart w:id="82" w:name="_Toc32237"/>
      <w:r>
        <w:rPr>
          <w:rFonts w:hint="eastAsia" w:ascii="宋体" w:hAnsi="宋体" w:cs="宋体"/>
          <w:color w:val="auto"/>
          <w:highlight w:val="none"/>
          <w:lang w:val="zh-CN"/>
        </w:rPr>
        <w:t>四、投标文件的提交</w:t>
      </w:r>
      <w:bookmarkEnd w:id="81"/>
      <w:bookmarkEnd w:id="82"/>
    </w:p>
    <w:p>
      <w:pPr>
        <w:pStyle w:val="28"/>
        <w:spacing w:before="0" w:after="0" w:line="360" w:lineRule="auto"/>
        <w:jc w:val="left"/>
        <w:rPr>
          <w:rFonts w:ascii="宋体" w:hAnsi="宋体" w:cs="宋体"/>
          <w:color w:val="auto"/>
          <w:highlight w:val="none"/>
          <w:lang w:val="zh-CN"/>
        </w:rPr>
      </w:pPr>
      <w:bookmarkStart w:id="83" w:name="_Toc5195"/>
      <w:bookmarkStart w:id="84" w:name="_Toc12562"/>
      <w:r>
        <w:rPr>
          <w:rFonts w:hint="eastAsia" w:ascii="宋体" w:hAnsi="宋体" w:cs="宋体"/>
          <w:color w:val="auto"/>
          <w:sz w:val="28"/>
          <w:szCs w:val="28"/>
          <w:highlight w:val="none"/>
          <w:lang w:val="zh-CN"/>
        </w:rPr>
        <w:t>13.投标文件的密封和标记</w:t>
      </w:r>
      <w:bookmarkEnd w:id="83"/>
      <w:bookmarkEnd w:id="84"/>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13.1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投标文件正本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、所有副本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、电子文档</w:t>
      </w:r>
      <w:r>
        <w:rPr>
          <w:rFonts w:hint="eastAsia" w:ascii="宋体" w:hAnsi="宋体" w:cs="宋体"/>
          <w:color w:val="auto"/>
          <w:kern w:val="0"/>
          <w:highlight w:val="none"/>
        </w:rPr>
        <w:t>(上、下册)</w:t>
      </w:r>
      <w:r>
        <w:rPr>
          <w:rFonts w:hint="eastAsia" w:ascii="宋体" w:hAnsi="宋体" w:cs="宋体"/>
          <w:color w:val="auto"/>
          <w:kern w:val="0"/>
          <w:highlight w:val="none"/>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13.2 密封后的投标文件密封袋用“于</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时</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分（北京时间）之前不准启封”的标签密封。</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13.</w:t>
      </w:r>
      <w:r>
        <w:rPr>
          <w:rFonts w:hint="eastAsia" w:ascii="宋体" w:hAnsi="宋体" w:cs="宋体"/>
          <w:color w:val="auto"/>
          <w:kern w:val="0"/>
          <w:highlight w:val="none"/>
        </w:rPr>
        <w:t>3 投标人</w:t>
      </w:r>
      <w:r>
        <w:rPr>
          <w:rFonts w:hint="eastAsia" w:ascii="宋体" w:hAnsi="宋体" w:cs="宋体"/>
          <w:color w:val="auto"/>
          <w:highlight w:val="none"/>
        </w:rPr>
        <w:t>如投多个包，投标文件每包分别按上述规定装订（如果有）。</w:t>
      </w:r>
    </w:p>
    <w:p>
      <w:pPr>
        <w:pStyle w:val="28"/>
        <w:spacing w:before="0" w:after="0" w:line="360" w:lineRule="auto"/>
        <w:jc w:val="left"/>
        <w:rPr>
          <w:rFonts w:ascii="宋体" w:hAnsi="宋体" w:cs="宋体"/>
          <w:color w:val="auto"/>
          <w:highlight w:val="none"/>
          <w:lang w:val="zh-CN"/>
        </w:rPr>
      </w:pPr>
      <w:bookmarkStart w:id="85" w:name="_Toc14008"/>
      <w:bookmarkStart w:id="86" w:name="_Toc32470"/>
      <w:r>
        <w:rPr>
          <w:rFonts w:hint="eastAsia" w:ascii="宋体" w:hAnsi="宋体" w:cs="宋体"/>
          <w:color w:val="auto"/>
          <w:sz w:val="28"/>
          <w:szCs w:val="28"/>
          <w:highlight w:val="none"/>
          <w:lang w:val="zh-CN"/>
        </w:rPr>
        <w:t>14.提交投标文件的时间、地点、方式</w:t>
      </w:r>
      <w:bookmarkEnd w:id="85"/>
      <w:bookmarkEnd w:id="86"/>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14.1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投标人应当在招标文件要求提交投标文件的截止时间前，将投标文件（</w:t>
      </w:r>
      <w:r>
        <w:rPr>
          <w:rFonts w:hint="eastAsia" w:ascii="宋体" w:hAnsi="宋体" w:cs="宋体"/>
          <w:color w:val="auto"/>
          <w:kern w:val="0"/>
          <w:highlight w:val="none"/>
        </w:rPr>
        <w:t>正本、副本、电子文档）</w:t>
      </w:r>
      <w:r>
        <w:rPr>
          <w:rFonts w:hint="eastAsia" w:ascii="宋体" w:hAnsi="宋体" w:cs="宋体"/>
          <w:color w:val="auto"/>
          <w:kern w:val="0"/>
          <w:highlight w:val="none"/>
          <w:lang w:val="zh-CN"/>
        </w:rPr>
        <w:t>密封送达投标地点。采购代理机构收到投标文件后，应当如实记载投标文件的送达时间和密封情况，签收保存，并向投标人出具签收回执。任何单位和个人不得在开标前开启投标文件。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 xml:space="preserve">14.2 </w:t>
      </w:r>
      <w:r>
        <w:rPr>
          <w:rFonts w:hint="eastAsia" w:ascii="宋体" w:hAnsi="宋体" w:cs="宋体"/>
          <w:color w:val="auto"/>
          <w:kern w:val="0"/>
          <w:highlight w:val="none"/>
          <w:lang w:val="zh-CN"/>
        </w:rPr>
        <w:t>逾期送达或者未按照招标文件第13.1-1</w:t>
      </w:r>
      <w:r>
        <w:rPr>
          <w:rFonts w:hint="eastAsia" w:ascii="宋体" w:hAnsi="宋体" w:cs="宋体"/>
          <w:color w:val="auto"/>
          <w:kern w:val="0"/>
          <w:highlight w:val="none"/>
        </w:rPr>
        <w:t>3</w:t>
      </w: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条要求密封的投标文件，采购人、采购代理机构应当拒收。</w:t>
      </w:r>
    </w:p>
    <w:p>
      <w:pPr>
        <w:pStyle w:val="28"/>
        <w:spacing w:before="0" w:after="0" w:line="360" w:lineRule="auto"/>
        <w:jc w:val="left"/>
        <w:rPr>
          <w:rFonts w:ascii="宋体" w:hAnsi="宋体" w:cs="宋体"/>
          <w:color w:val="auto"/>
          <w:highlight w:val="none"/>
          <w:lang w:val="zh-CN"/>
        </w:rPr>
      </w:pPr>
      <w:bookmarkStart w:id="87" w:name="_Toc17656"/>
      <w:bookmarkStart w:id="88" w:name="_Toc10188"/>
      <w:r>
        <w:rPr>
          <w:rFonts w:hint="eastAsia" w:ascii="宋体" w:hAnsi="宋体" w:cs="宋体"/>
          <w:color w:val="auto"/>
          <w:sz w:val="28"/>
          <w:szCs w:val="28"/>
          <w:highlight w:val="none"/>
          <w:lang w:val="zh-CN"/>
        </w:rPr>
        <w:t>15.投标文件的补充、修改或者撤回</w:t>
      </w:r>
      <w:bookmarkEnd w:id="87"/>
      <w:bookmarkEnd w:id="88"/>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15.1</w:t>
      </w:r>
      <w:r>
        <w:rPr>
          <w:rFonts w:hint="eastAsia" w:ascii="宋体" w:hAnsi="宋体" w:cs="宋体"/>
          <w:color w:val="auto"/>
          <w:kern w:val="0"/>
          <w:highlight w:val="none"/>
        </w:rPr>
        <w:t xml:space="preserve"> 投标人在投标截止时间前，可以对所递交的投标文件进行补充、修改或者撤回，并书面通知采购代理机构。补充、修改的内容应当按照招标文件要求签署、盖章、密封后，作为投标文件的组成部分。</w:t>
      </w:r>
    </w:p>
    <w:p>
      <w:pPr>
        <w:pStyle w:val="28"/>
        <w:spacing w:before="0" w:after="0" w:line="360" w:lineRule="auto"/>
        <w:rPr>
          <w:rFonts w:ascii="宋体" w:hAnsi="宋体" w:cs="宋体"/>
          <w:color w:val="auto"/>
          <w:highlight w:val="none"/>
        </w:rPr>
      </w:pPr>
      <w:bookmarkStart w:id="89" w:name="_Toc1872"/>
      <w:bookmarkStart w:id="90" w:name="_Toc15252"/>
      <w:r>
        <w:rPr>
          <w:rFonts w:hint="eastAsia" w:ascii="宋体" w:hAnsi="宋体" w:cs="宋体"/>
          <w:color w:val="auto"/>
          <w:highlight w:val="none"/>
          <w:lang w:val="zh-CN"/>
        </w:rPr>
        <w:t>五、开标</w:t>
      </w:r>
      <w:bookmarkEnd w:id="89"/>
      <w:bookmarkEnd w:id="90"/>
    </w:p>
    <w:p>
      <w:pPr>
        <w:pStyle w:val="28"/>
        <w:spacing w:before="0" w:after="0" w:line="360" w:lineRule="auto"/>
        <w:jc w:val="left"/>
        <w:rPr>
          <w:rFonts w:ascii="宋体" w:hAnsi="宋体" w:cs="宋体"/>
          <w:color w:val="auto"/>
          <w:highlight w:val="none"/>
          <w:lang w:val="zh-CN"/>
        </w:rPr>
      </w:pPr>
      <w:bookmarkStart w:id="91" w:name="_Toc22769"/>
      <w:bookmarkStart w:id="92" w:name="_Toc15086"/>
      <w:r>
        <w:rPr>
          <w:rFonts w:hint="eastAsia" w:ascii="宋体" w:hAnsi="宋体" w:cs="宋体"/>
          <w:color w:val="auto"/>
          <w:sz w:val="28"/>
          <w:szCs w:val="28"/>
          <w:highlight w:val="none"/>
          <w:lang w:val="zh-CN"/>
        </w:rPr>
        <w:t>16.开标</w:t>
      </w:r>
      <w:bookmarkEnd w:id="91"/>
      <w:bookmarkEnd w:id="92"/>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16.1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16.2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开标由采购代理机构主持</w:t>
      </w:r>
      <w:r>
        <w:rPr>
          <w:rFonts w:hint="eastAsia" w:ascii="宋体" w:hAnsi="宋体" w:cs="宋体"/>
          <w:color w:val="auto"/>
          <w:highlight w:val="none"/>
          <w:shd w:val="clear" w:color="auto" w:fill="FFFFFF"/>
        </w:rPr>
        <w:t>，邀请投标人参加。评标委员会成员（包括采购人代表）不得参加开标活动。</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kern w:val="0"/>
          <w:highlight w:val="none"/>
          <w:lang w:val="zh-CN"/>
        </w:rPr>
        <w:t xml:space="preserve">16.3 </w:t>
      </w:r>
      <w:r>
        <w:rPr>
          <w:rFonts w:hint="eastAsia" w:ascii="宋体" w:hAnsi="宋体" w:cs="宋体"/>
          <w:color w:val="auto"/>
          <w:highlight w:val="none"/>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16.4 开标过程应当由采购代理机构负责记录，由参加开标的各投标人代表和相关工作人员签字确认。</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投标人未参加开标的，视同认可开标结果。</w:t>
      </w:r>
    </w:p>
    <w:p>
      <w:pPr>
        <w:pStyle w:val="28"/>
        <w:spacing w:before="0" w:after="0" w:line="360" w:lineRule="auto"/>
        <w:rPr>
          <w:rFonts w:ascii="宋体" w:hAnsi="宋体" w:cs="宋体"/>
          <w:color w:val="auto"/>
          <w:kern w:val="0"/>
          <w:highlight w:val="none"/>
        </w:rPr>
      </w:pPr>
      <w:bookmarkStart w:id="93" w:name="_Toc6330"/>
      <w:bookmarkStart w:id="94" w:name="_Toc496004006"/>
      <w:bookmarkStart w:id="95" w:name="_Toc14913"/>
      <w:r>
        <w:rPr>
          <w:rFonts w:hint="eastAsia" w:ascii="宋体" w:hAnsi="宋体" w:cs="宋体"/>
          <w:color w:val="auto"/>
          <w:kern w:val="0"/>
          <w:szCs w:val="36"/>
          <w:highlight w:val="none"/>
        </w:rPr>
        <w:t>六、资格</w:t>
      </w:r>
      <w:r>
        <w:rPr>
          <w:rFonts w:hint="eastAsia" w:ascii="宋体" w:hAnsi="宋体" w:cs="宋体"/>
          <w:color w:val="auto"/>
          <w:highlight w:val="none"/>
          <w:lang w:val="zh-CN"/>
        </w:rPr>
        <w:t>审查</w:t>
      </w:r>
      <w:r>
        <w:rPr>
          <w:rFonts w:hint="eastAsia" w:ascii="宋体" w:hAnsi="宋体" w:cs="宋体"/>
          <w:color w:val="auto"/>
          <w:kern w:val="0"/>
          <w:szCs w:val="36"/>
          <w:highlight w:val="none"/>
        </w:rPr>
        <w:t>程序</w:t>
      </w:r>
      <w:bookmarkEnd w:id="93"/>
      <w:bookmarkEnd w:id="94"/>
      <w:bookmarkEnd w:id="95"/>
    </w:p>
    <w:p>
      <w:pPr>
        <w:pStyle w:val="28"/>
        <w:spacing w:before="0" w:after="0" w:line="360" w:lineRule="auto"/>
        <w:jc w:val="left"/>
        <w:rPr>
          <w:rFonts w:ascii="宋体" w:hAnsi="宋体" w:cs="宋体"/>
          <w:color w:val="auto"/>
          <w:sz w:val="28"/>
          <w:szCs w:val="28"/>
          <w:highlight w:val="none"/>
        </w:rPr>
      </w:pPr>
      <w:bookmarkStart w:id="96" w:name="_Toc29485"/>
      <w:bookmarkStart w:id="97" w:name="_Toc2042"/>
      <w:r>
        <w:rPr>
          <w:rFonts w:hint="eastAsia" w:ascii="宋体" w:hAnsi="宋体" w:cs="宋体"/>
          <w:color w:val="auto"/>
          <w:sz w:val="28"/>
          <w:szCs w:val="28"/>
          <w:highlight w:val="none"/>
        </w:rPr>
        <w:t>17.资格审查</w:t>
      </w:r>
      <w:bookmarkEnd w:id="96"/>
      <w:bookmarkEnd w:id="97"/>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17.1 开标结束后，采购代理机构应当依法对投标人的资格性审查文件（上册）进行审查。</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17.2 合格投标人不足3家的，不得评标。</w:t>
      </w:r>
    </w:p>
    <w:p>
      <w:pPr>
        <w:autoSpaceDE w:val="0"/>
        <w:autoSpaceDN w:val="0"/>
        <w:spacing w:line="360" w:lineRule="auto"/>
        <w:ind w:firstLine="480" w:firstLineChars="200"/>
        <w:rPr>
          <w:rFonts w:ascii="宋体" w:hAnsi="宋体" w:cs="宋体"/>
          <w:color w:val="auto"/>
          <w:sz w:val="28"/>
          <w:szCs w:val="28"/>
          <w:highlight w:val="none"/>
        </w:rPr>
      </w:pPr>
      <w:bookmarkStart w:id="98" w:name="_Toc497503315"/>
      <w:bookmarkStart w:id="99" w:name="_Toc497503249"/>
      <w:bookmarkStart w:id="100" w:name="_Toc497503516"/>
      <w:bookmarkStart w:id="101" w:name="_Toc497503449"/>
      <w:bookmarkStart w:id="102" w:name="_Toc30809"/>
      <w:r>
        <w:rPr>
          <w:rFonts w:hint="eastAsia" w:ascii="宋体" w:hAnsi="宋体" w:cs="宋体"/>
          <w:color w:val="auto"/>
          <w:kern w:val="0"/>
          <w:highlight w:val="none"/>
        </w:rPr>
        <w:t>17.3 资格审查时，投标人存在下列情况之一的，按无效投标处理：</w:t>
      </w:r>
      <w:bookmarkEnd w:id="98"/>
      <w:bookmarkEnd w:id="99"/>
      <w:bookmarkEnd w:id="100"/>
      <w:bookmarkEnd w:id="101"/>
      <w:bookmarkEnd w:id="102"/>
    </w:p>
    <w:p>
      <w:pPr>
        <w:numPr>
          <w:ilvl w:val="0"/>
          <w:numId w:val="4"/>
        </w:numPr>
        <w:tabs>
          <w:tab w:val="left" w:pos="960"/>
        </w:tabs>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highlight w:val="none"/>
          <w:shd w:val="clear" w:color="auto" w:fill="FFFFFF"/>
        </w:rPr>
        <w:t>不具备</w:t>
      </w:r>
      <w:r>
        <w:rPr>
          <w:rFonts w:hint="eastAsia" w:ascii="宋体" w:hAnsi="宋体" w:cs="宋体"/>
          <w:color w:val="auto"/>
          <w:kern w:val="0"/>
          <w:highlight w:val="none"/>
          <w:lang w:val="zh-CN"/>
        </w:rPr>
        <w:t>第2.2款“合格的投标人”</w:t>
      </w:r>
      <w:r>
        <w:rPr>
          <w:rFonts w:hint="eastAsia" w:ascii="宋体" w:hAnsi="宋体" w:cs="宋体"/>
          <w:color w:val="auto"/>
          <w:highlight w:val="none"/>
          <w:shd w:val="clear" w:color="auto" w:fill="FFFFFF"/>
        </w:rPr>
        <w:t>规定的资格要求的；</w:t>
      </w:r>
    </w:p>
    <w:p>
      <w:pPr>
        <w:numPr>
          <w:ilvl w:val="0"/>
          <w:numId w:val="4"/>
        </w:numPr>
        <w:tabs>
          <w:tab w:val="left" w:pos="960"/>
        </w:tabs>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未按招标文件要求交纳或未足额交纳投标保证金的；</w:t>
      </w:r>
    </w:p>
    <w:p>
      <w:pPr>
        <w:numPr>
          <w:ilvl w:val="0"/>
          <w:numId w:val="4"/>
        </w:numPr>
        <w:tabs>
          <w:tab w:val="left" w:pos="960"/>
        </w:tabs>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未按第11.1要求提供相关资料的；</w:t>
      </w:r>
    </w:p>
    <w:p>
      <w:pPr>
        <w:numPr>
          <w:ilvl w:val="0"/>
          <w:numId w:val="4"/>
        </w:numPr>
        <w:tabs>
          <w:tab w:val="left" w:pos="960"/>
        </w:tabs>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kern w:val="0"/>
          <w:highlight w:val="none"/>
        </w:rPr>
        <w:t>资格性审查文件未按招标文件规定和要求签字、盖章的；</w:t>
      </w:r>
    </w:p>
    <w:p>
      <w:pPr>
        <w:numPr>
          <w:ilvl w:val="0"/>
          <w:numId w:val="4"/>
        </w:numPr>
        <w:tabs>
          <w:tab w:val="left" w:pos="960"/>
        </w:tabs>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报价超过招标文件中规定的预算金额或者最高限价的；</w:t>
      </w:r>
    </w:p>
    <w:p>
      <w:pPr>
        <w:numPr>
          <w:ilvl w:val="0"/>
          <w:numId w:val="4"/>
        </w:numPr>
        <w:tabs>
          <w:tab w:val="left" w:pos="960"/>
        </w:tabs>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kern w:val="0"/>
          <w:highlight w:val="none"/>
          <w:lang w:val="zh-CN"/>
        </w:rPr>
        <w:t>投标有效期不能满足招标文件要求的；</w:t>
      </w:r>
    </w:p>
    <w:p>
      <w:pPr>
        <w:numPr>
          <w:ilvl w:val="0"/>
          <w:numId w:val="4"/>
        </w:numPr>
        <w:tabs>
          <w:tab w:val="left" w:pos="960"/>
        </w:tabs>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未按照招标文件要求提供电子文档</w:t>
      </w:r>
      <w:r>
        <w:rPr>
          <w:rFonts w:hint="eastAsia" w:ascii="宋体" w:hAnsi="宋体" w:cs="宋体"/>
          <w:color w:val="auto"/>
          <w:kern w:val="0"/>
          <w:highlight w:val="none"/>
          <w:lang w:val="zh-CN"/>
        </w:rPr>
        <w:t>的。</w:t>
      </w:r>
    </w:p>
    <w:p>
      <w:pPr>
        <w:pStyle w:val="28"/>
        <w:spacing w:before="0" w:after="0" w:line="360" w:lineRule="auto"/>
        <w:rPr>
          <w:rFonts w:ascii="宋体" w:hAnsi="宋体" w:cs="宋体"/>
          <w:color w:val="auto"/>
          <w:highlight w:val="none"/>
        </w:rPr>
      </w:pPr>
      <w:bookmarkStart w:id="103" w:name="_Toc3007"/>
      <w:bookmarkStart w:id="104" w:name="_Toc21380"/>
      <w:r>
        <w:rPr>
          <w:rFonts w:hint="eastAsia" w:ascii="宋体" w:hAnsi="宋体" w:cs="宋体"/>
          <w:color w:val="auto"/>
          <w:highlight w:val="none"/>
          <w:lang w:val="zh-CN"/>
        </w:rPr>
        <w:t>七、评审程序及方法</w:t>
      </w:r>
      <w:bookmarkEnd w:id="103"/>
      <w:bookmarkEnd w:id="104"/>
    </w:p>
    <w:p>
      <w:pPr>
        <w:pStyle w:val="28"/>
        <w:spacing w:before="0" w:after="0" w:line="360" w:lineRule="auto"/>
        <w:jc w:val="left"/>
        <w:rPr>
          <w:rFonts w:ascii="宋体" w:hAnsi="宋体" w:cs="宋体"/>
          <w:color w:val="auto"/>
          <w:highlight w:val="none"/>
          <w:lang w:val="zh-CN"/>
        </w:rPr>
      </w:pPr>
      <w:bookmarkStart w:id="105" w:name="_Toc2451"/>
      <w:bookmarkStart w:id="106" w:name="_Toc27681"/>
      <w:r>
        <w:rPr>
          <w:rFonts w:hint="eastAsia" w:ascii="宋体" w:hAnsi="宋体" w:cs="宋体"/>
          <w:color w:val="auto"/>
          <w:sz w:val="28"/>
          <w:szCs w:val="28"/>
          <w:highlight w:val="none"/>
          <w:lang w:val="zh-CN"/>
        </w:rPr>
        <w:t>1</w:t>
      </w:r>
      <w:r>
        <w:rPr>
          <w:rFonts w:hint="eastAsia" w:ascii="宋体" w:hAnsi="宋体" w:cs="宋体"/>
          <w:color w:val="auto"/>
          <w:sz w:val="28"/>
          <w:szCs w:val="28"/>
          <w:highlight w:val="none"/>
        </w:rPr>
        <w:t>8</w:t>
      </w:r>
      <w:r>
        <w:rPr>
          <w:rFonts w:hint="eastAsia" w:ascii="宋体" w:hAnsi="宋体" w:cs="宋体"/>
          <w:color w:val="auto"/>
          <w:sz w:val="28"/>
          <w:szCs w:val="28"/>
          <w:highlight w:val="none"/>
          <w:lang w:val="zh-CN"/>
        </w:rPr>
        <w:t>.评标委员会</w:t>
      </w:r>
      <w:bookmarkEnd w:id="105"/>
      <w:bookmarkEnd w:id="106"/>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18.1</w:t>
      </w:r>
      <w:r>
        <w:rPr>
          <w:rFonts w:hint="eastAsia" w:ascii="宋体" w:hAnsi="宋体" w:cs="宋体"/>
          <w:color w:val="auto"/>
          <w:kern w:val="0"/>
          <w:highlight w:val="none"/>
          <w:lang w:val="zh-CN"/>
        </w:rPr>
        <w:t>采购代理机构负责组织评标工作，并履行下列职责：</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）宣布评标纪律；</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）公布投标人名单，告知评审专家应当回避的情形；</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7</w:t>
      </w:r>
      <w:r>
        <w:rPr>
          <w:rFonts w:hint="eastAsia" w:ascii="宋体" w:hAnsi="宋体" w:cs="宋体"/>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8</w:t>
      </w:r>
      <w:r>
        <w:rPr>
          <w:rFonts w:hint="eastAsia" w:ascii="宋体" w:hAnsi="宋体" w:cs="宋体"/>
          <w:color w:val="auto"/>
          <w:kern w:val="0"/>
          <w:highlight w:val="none"/>
          <w:lang w:val="zh-CN"/>
        </w:rPr>
        <w:t>）核对评标结果，有</w:t>
      </w:r>
      <w:r>
        <w:rPr>
          <w:rFonts w:hint="eastAsia" w:ascii="宋体" w:hAnsi="宋体" w:cs="宋体"/>
          <w:color w:val="auto"/>
          <w:kern w:val="0"/>
          <w:highlight w:val="none"/>
        </w:rPr>
        <w:t>20.4</w:t>
      </w:r>
      <w:r>
        <w:rPr>
          <w:rFonts w:hint="eastAsia" w:ascii="宋体" w:hAnsi="宋体" w:cs="宋体"/>
          <w:color w:val="auto"/>
          <w:kern w:val="0"/>
          <w:highlight w:val="none"/>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9</w:t>
      </w:r>
      <w:r>
        <w:rPr>
          <w:rFonts w:hint="eastAsia" w:ascii="宋体" w:hAnsi="宋体" w:cs="宋体"/>
          <w:color w:val="auto"/>
          <w:kern w:val="0"/>
          <w:highlight w:val="none"/>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10</w:t>
      </w:r>
      <w:r>
        <w:rPr>
          <w:rFonts w:hint="eastAsia" w:ascii="宋体" w:hAnsi="宋体" w:cs="宋体"/>
          <w:color w:val="auto"/>
          <w:kern w:val="0"/>
          <w:highlight w:val="none"/>
          <w:lang w:val="zh-CN"/>
        </w:rPr>
        <w:t>）处理与评标有关的其他事项。</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18.2 评标委员会负责具体评标事务，并独立履行下列职责：</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严格遵守评审工作纪律,按照客观、公正、审慎的原则,根据采购文件规定的评审程序、评审方法和评审标准进行独立评审</w:t>
      </w:r>
      <w:r>
        <w:rPr>
          <w:rFonts w:hint="eastAsia" w:ascii="宋体" w:hAnsi="宋体" w:cs="宋体"/>
          <w:color w:val="auto"/>
          <w:kern w:val="0"/>
          <w:highlight w:val="none"/>
          <w:lang w:val="zh-CN"/>
        </w:rPr>
        <w:t>；</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现采购文件内容违反国家有关强制性规定或者采购文件存在歧义、重大缺陷导致评审工作无法进行时,应当停止评审并向采购代理机构书面说明情况</w:t>
      </w:r>
      <w:r>
        <w:rPr>
          <w:rFonts w:hint="eastAsia" w:ascii="宋体" w:hAnsi="宋体" w:cs="宋体"/>
          <w:color w:val="auto"/>
          <w:kern w:val="0"/>
          <w:highlight w:val="none"/>
          <w:lang w:val="zh-CN"/>
        </w:rPr>
        <w:t>；</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审查、评价投标文件是否符合招标文件的商务、技术等实质性要求</w:t>
      </w:r>
      <w:r>
        <w:rPr>
          <w:rFonts w:hint="eastAsia" w:ascii="宋体" w:hAnsi="宋体" w:cs="宋体"/>
          <w:color w:val="auto"/>
          <w:kern w:val="0"/>
          <w:highlight w:val="none"/>
          <w:lang w:val="zh-CN"/>
        </w:rPr>
        <w:t>；</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要求投标人对投标文件有关事项作出澄清或者说明；</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对投标文件进行比较和评价；</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确定中标候选人名单，以及根据采购人委托直接确定中标人；</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配合答复供应商的询问、质疑和投诉等事项,不得泄露评审文件、评审情况和在评审过程中获悉的商业秘密</w:t>
      </w:r>
      <w:r>
        <w:rPr>
          <w:rFonts w:hint="eastAsia" w:ascii="宋体" w:hAnsi="宋体" w:cs="宋体"/>
          <w:color w:val="auto"/>
          <w:kern w:val="0"/>
          <w:highlight w:val="none"/>
          <w:lang w:val="zh-CN"/>
        </w:rPr>
        <w:t>；</w:t>
      </w:r>
    </w:p>
    <w:p>
      <w:pPr>
        <w:numPr>
          <w:ilvl w:val="0"/>
          <w:numId w:val="5"/>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向采购人、采购代理机构或者有关部门报告评标中发现的违法行为。</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（1）采购预算金额在1000万元以上；</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（2）技术复杂；</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（3）社会影响较大。</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评标委员会成员名单在评标结果公告前应当保密。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w:t>
      </w:r>
      <w:r>
        <w:rPr>
          <w:rFonts w:hint="eastAsia" w:ascii="宋体" w:hAnsi="宋体" w:cs="宋体"/>
          <w:color w:val="auto"/>
          <w:kern w:val="0"/>
          <w:highlight w:val="none"/>
        </w:rPr>
        <w:t>8</w:t>
      </w:r>
      <w:r>
        <w:rPr>
          <w:rFonts w:hint="eastAsia" w:ascii="宋体" w:hAnsi="宋体" w:cs="宋体"/>
          <w:color w:val="auto"/>
          <w:kern w:val="0"/>
          <w:highlight w:val="none"/>
          <w:lang w:val="zh-CN"/>
        </w:rPr>
        <w:t>.</w:t>
      </w:r>
      <w:r>
        <w:rPr>
          <w:rFonts w:hint="eastAsia" w:ascii="宋体" w:hAnsi="宋体" w:cs="宋体"/>
          <w:color w:val="auto"/>
          <w:kern w:val="0"/>
          <w:highlight w:val="none"/>
        </w:rPr>
        <w:t>5 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采购代理机构应当将变更、重新组建评标委员会的情况予以记录，并随采购文件一并存档。</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w:t>
      </w:r>
      <w:r>
        <w:rPr>
          <w:rFonts w:hint="eastAsia" w:ascii="宋体" w:hAnsi="宋体" w:cs="宋体"/>
          <w:color w:val="auto"/>
          <w:kern w:val="0"/>
          <w:highlight w:val="none"/>
        </w:rPr>
        <w:t>8</w:t>
      </w:r>
      <w:r>
        <w:rPr>
          <w:rFonts w:hint="eastAsia" w:ascii="宋体" w:hAnsi="宋体" w:cs="宋体"/>
          <w:color w:val="auto"/>
          <w:kern w:val="0"/>
          <w:highlight w:val="none"/>
          <w:lang w:val="zh-CN"/>
        </w:rPr>
        <w:t>.</w:t>
      </w:r>
      <w:r>
        <w:rPr>
          <w:rFonts w:hint="eastAsia" w:ascii="宋体" w:hAnsi="宋体" w:cs="宋体"/>
          <w:color w:val="auto"/>
          <w:kern w:val="0"/>
          <w:highlight w:val="none"/>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有关人员对评标情况以及在评标过程中获悉的国家秘密、商业秘密负有保密责任。</w:t>
      </w:r>
    </w:p>
    <w:p>
      <w:pPr>
        <w:pStyle w:val="28"/>
        <w:spacing w:before="0" w:after="0" w:line="360" w:lineRule="auto"/>
        <w:jc w:val="left"/>
        <w:rPr>
          <w:rFonts w:ascii="宋体" w:hAnsi="宋体" w:cs="宋体"/>
          <w:color w:val="auto"/>
          <w:highlight w:val="none"/>
          <w:lang w:val="zh-CN"/>
        </w:rPr>
      </w:pPr>
      <w:bookmarkStart w:id="107" w:name="_Toc15257"/>
      <w:bookmarkStart w:id="108" w:name="_Toc9364"/>
      <w:r>
        <w:rPr>
          <w:rFonts w:hint="eastAsia" w:ascii="宋体" w:hAnsi="宋体" w:cs="宋体"/>
          <w:color w:val="auto"/>
          <w:sz w:val="28"/>
          <w:szCs w:val="28"/>
          <w:highlight w:val="none"/>
        </w:rPr>
        <w:t>19</w:t>
      </w:r>
      <w:r>
        <w:rPr>
          <w:rFonts w:hint="eastAsia" w:ascii="宋体" w:hAnsi="宋体" w:cs="宋体"/>
          <w:color w:val="auto"/>
          <w:sz w:val="28"/>
          <w:szCs w:val="28"/>
          <w:highlight w:val="none"/>
          <w:lang w:val="zh-CN"/>
        </w:rPr>
        <w:t>.评审工作程序</w:t>
      </w:r>
      <w:bookmarkEnd w:id="107"/>
      <w:bookmarkEnd w:id="108"/>
    </w:p>
    <w:p>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lang w:val="zh-CN"/>
        </w:rPr>
        <w:t>1</w:t>
      </w:r>
      <w:r>
        <w:rPr>
          <w:rFonts w:hint="eastAsia" w:ascii="宋体" w:hAnsi="宋体" w:cs="宋体"/>
          <w:b/>
          <w:bCs/>
          <w:color w:val="auto"/>
          <w:kern w:val="0"/>
          <w:highlight w:val="none"/>
        </w:rPr>
        <w:t>9</w:t>
      </w:r>
      <w:r>
        <w:rPr>
          <w:rFonts w:hint="eastAsia" w:ascii="宋体" w:hAnsi="宋体" w:cs="宋体"/>
          <w:b/>
          <w:bCs/>
          <w:color w:val="auto"/>
          <w:kern w:val="0"/>
          <w:highlight w:val="none"/>
          <w:lang w:val="zh-CN"/>
        </w:rPr>
        <w:t>.1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19.1.1</w:t>
      </w:r>
      <w:r>
        <w:rPr>
          <w:rFonts w:hint="eastAsia" w:ascii="宋体" w:hAnsi="宋体" w:cs="宋体"/>
          <w:b/>
          <w:bCs/>
          <w:color w:val="auto"/>
          <w:kern w:val="0"/>
          <w:highlight w:val="none"/>
        </w:rPr>
        <w:t xml:space="preserve"> </w:t>
      </w:r>
      <w:r>
        <w:rPr>
          <w:rFonts w:hint="eastAsia" w:ascii="宋体" w:hAnsi="宋体" w:cs="宋体"/>
          <w:color w:val="auto"/>
          <w:kern w:val="0"/>
          <w:highlight w:val="none"/>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auto"/>
          <w:kern w:val="0"/>
          <w:highlight w:val="none"/>
        </w:rPr>
      </w:pPr>
      <w:r>
        <w:rPr>
          <w:rFonts w:hint="eastAsia" w:ascii="宋体" w:hAnsi="宋体" w:cs="宋体"/>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.2投标人存在下列情况之一的，投标无效:</w:t>
      </w:r>
    </w:p>
    <w:p>
      <w:pPr>
        <w:numPr>
          <w:ilvl w:val="0"/>
          <w:numId w:val="6"/>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符合性审查文件未按招标文件要求签署、盖章的；</w:t>
      </w:r>
    </w:p>
    <w:p>
      <w:pPr>
        <w:numPr>
          <w:ilvl w:val="0"/>
          <w:numId w:val="6"/>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highlight w:val="none"/>
          <w:lang w:val="zh-CN"/>
        </w:rPr>
        <w:t>未按第11</w:t>
      </w:r>
      <w:r>
        <w:rPr>
          <w:rFonts w:hint="eastAsia" w:ascii="宋体" w:hAnsi="宋体" w:cs="宋体"/>
          <w:color w:val="auto"/>
          <w:highlight w:val="none"/>
        </w:rPr>
        <w:t>.</w:t>
      </w:r>
      <w:r>
        <w:rPr>
          <w:rFonts w:hint="eastAsia" w:ascii="宋体" w:hAnsi="宋体" w:cs="宋体"/>
          <w:color w:val="auto"/>
          <w:highlight w:val="none"/>
          <w:lang w:val="zh-CN"/>
        </w:rPr>
        <w:t>2款要求提供相关资料的；</w:t>
      </w:r>
    </w:p>
    <w:p>
      <w:pPr>
        <w:numPr>
          <w:ilvl w:val="0"/>
          <w:numId w:val="6"/>
        </w:num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投标文件含有采购人不能接受的附加条件的；</w:t>
      </w:r>
    </w:p>
    <w:p>
      <w:pPr>
        <w:numPr>
          <w:ilvl w:val="0"/>
          <w:numId w:val="6"/>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产品交货时间不能满足招标文件要求的；</w:t>
      </w:r>
    </w:p>
    <w:p>
      <w:pPr>
        <w:numPr>
          <w:ilvl w:val="0"/>
          <w:numId w:val="6"/>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存在串通投标行为；</w:t>
      </w:r>
    </w:p>
    <w:p>
      <w:pPr>
        <w:numPr>
          <w:ilvl w:val="0"/>
          <w:numId w:val="6"/>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法律、法规和招标文件规定的其他无效情形。</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对投标无效的投标人，采购人或采购代理机构应当告知其投标无效的原因。</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19.1.3 投标文件报价出现前后不一致的，按照下列规定修正：</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（2）大写金额和小写金额不一致的，以大写金额为准；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（4）总价金额与按单价汇总金额不一致的，以单价金额计算结果为准。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 xml:space="preserve">19.2 </w:t>
      </w:r>
      <w:r>
        <w:rPr>
          <w:rFonts w:hint="eastAsia" w:ascii="宋体" w:hAnsi="宋体" w:cs="宋体"/>
          <w:color w:val="auto"/>
          <w:kern w:val="0"/>
          <w:highlight w:val="none"/>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auto"/>
          <w:kern w:val="0"/>
          <w:highlight w:val="none"/>
        </w:rPr>
        <w:t>18</w:t>
      </w:r>
      <w:r>
        <w:rPr>
          <w:rFonts w:hint="eastAsia" w:ascii="宋体" w:hAnsi="宋体" w:cs="宋体"/>
          <w:color w:val="auto"/>
          <w:kern w:val="0"/>
          <w:highlight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 xml:space="preserve">19.3 </w:t>
      </w:r>
      <w:r>
        <w:rPr>
          <w:rFonts w:hint="eastAsia" w:ascii="宋体" w:hAnsi="宋体" w:cs="宋体"/>
          <w:color w:val="auto"/>
          <w:kern w:val="0"/>
          <w:highlight w:val="none"/>
          <w:lang w:val="zh-CN"/>
        </w:rPr>
        <w:t>在评审过程中，</w:t>
      </w:r>
      <w:r>
        <w:rPr>
          <w:rFonts w:hint="eastAsia" w:ascii="宋体" w:hAnsi="宋体" w:cs="宋体"/>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 xml:space="preserve"> </w:t>
      </w:r>
      <w:r>
        <w:rPr>
          <w:rFonts w:hint="eastAsia" w:ascii="宋体" w:hAnsi="宋体" w:cs="宋体"/>
          <w:color w:val="auto"/>
          <w:highlight w:val="none"/>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w:t>
      </w: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 xml:space="preserve">5 </w:t>
      </w:r>
      <w:r>
        <w:rPr>
          <w:rFonts w:hint="eastAsia" w:ascii="宋体" w:hAnsi="宋体" w:cs="宋体"/>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19.6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20</w:t>
      </w:r>
      <w:r>
        <w:rPr>
          <w:rFonts w:hint="eastAsia" w:ascii="宋体" w:hAnsi="宋体" w:cs="宋体"/>
          <w:color w:val="auto"/>
          <w:kern w:val="0"/>
          <w:highlight w:val="none"/>
          <w:lang w:val="zh-CN"/>
        </w:rPr>
        <w:t>.1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auto"/>
          <w:kern w:val="0"/>
          <w:highlight w:val="none"/>
          <w:u w:val="dashDotHeavy"/>
        </w:rPr>
      </w:pPr>
      <w:r>
        <w:rPr>
          <w:rFonts w:hint="eastAsia" w:ascii="宋体" w:hAnsi="宋体" w:cs="宋体"/>
          <w:color w:val="auto"/>
          <w:kern w:val="0"/>
          <w:highlight w:val="none"/>
        </w:rPr>
        <w:t>20</w:t>
      </w:r>
      <w:r>
        <w:rPr>
          <w:rFonts w:hint="eastAsia" w:ascii="宋体" w:hAnsi="宋体" w:cs="宋体"/>
          <w:color w:val="auto"/>
          <w:kern w:val="0"/>
          <w:highlight w:val="none"/>
          <w:lang w:val="zh-CN"/>
        </w:rPr>
        <w:t>.2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本次评审方法采用综合评分法。</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highlight w:val="none"/>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评审因素的设定应当与投标人所提供货物服务的质量相关，包括</w:t>
      </w:r>
      <w:r>
        <w:rPr>
          <w:rFonts w:hint="eastAsia" w:ascii="宋体" w:hAnsi="宋体" w:cs="宋体"/>
          <w:b/>
          <w:bCs/>
          <w:color w:val="auto"/>
          <w:highlight w:val="none"/>
          <w:shd w:val="clear" w:color="auto" w:fill="FFFFFF"/>
        </w:rPr>
        <w:t>投标报价、技术水平、履约能力及运营维护能力、售后服务</w:t>
      </w:r>
      <w:r>
        <w:rPr>
          <w:rFonts w:hint="eastAsia" w:ascii="宋体" w:hAnsi="宋体" w:cs="宋体"/>
          <w:color w:val="auto"/>
          <w:highlight w:val="none"/>
          <w:shd w:val="clear" w:color="auto" w:fill="FFFFFF"/>
        </w:rPr>
        <w:t>等。资格条件不得作为评审因素。</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adjustRightInd w:val="0"/>
        <w:spacing w:line="400" w:lineRule="exact"/>
        <w:ind w:firstLine="240" w:firstLineChars="100"/>
        <w:jc w:val="left"/>
        <w:rPr>
          <w:rFonts w:ascii="宋体" w:hAnsi="宋体" w:cs="宋体"/>
          <w:color w:val="auto"/>
          <w:kern w:val="0"/>
          <w:highlight w:val="none"/>
          <w:lang w:val="zh-CN"/>
        </w:rPr>
      </w:pPr>
      <w:r>
        <w:rPr>
          <w:rFonts w:hint="eastAsia" w:ascii="宋体" w:hAnsi="宋体" w:cs="宋体"/>
          <w:color w:val="auto"/>
          <w:kern w:val="0"/>
          <w:highlight w:val="none"/>
          <w:lang w:val="zh-CN"/>
        </w:rPr>
        <w:t>具体项目及评分细则：</w:t>
      </w:r>
    </w:p>
    <w:tbl>
      <w:tblPr>
        <w:tblStyle w:val="29"/>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26"/>
        <w:gridCol w:w="1250"/>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autoSpaceDE w:val="0"/>
              <w:autoSpaceDN w:val="0"/>
              <w:spacing w:line="360" w:lineRule="auto"/>
              <w:jc w:val="center"/>
              <w:rPr>
                <w:rFonts w:ascii="宋体" w:hAnsi="宋体" w:cs="宋体"/>
                <w:color w:val="auto"/>
                <w:highlight w:val="none"/>
                <w:shd w:val="clear" w:color="auto" w:fill="FFFFFF"/>
              </w:rPr>
            </w:pPr>
            <w:bookmarkStart w:id="109" w:name="_Toc8317"/>
            <w:r>
              <w:rPr>
                <w:rFonts w:hint="eastAsia" w:ascii="宋体" w:hAnsi="宋体" w:cs="宋体"/>
                <w:color w:val="auto"/>
                <w:highlight w:val="none"/>
                <w:shd w:val="clear" w:color="auto" w:fill="FFFFFF"/>
              </w:rPr>
              <w:t>类别</w:t>
            </w:r>
          </w:p>
        </w:tc>
        <w:tc>
          <w:tcPr>
            <w:tcW w:w="1226"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项目</w:t>
            </w: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Cambria" w:cs="宋体"/>
                <w:color w:val="auto"/>
                <w:kern w:val="0"/>
                <w:highlight w:val="none"/>
                <w:lang w:val="zh-CN"/>
              </w:rPr>
              <w:t>满分分值</w:t>
            </w:r>
          </w:p>
        </w:tc>
        <w:tc>
          <w:tcPr>
            <w:tcW w:w="4828" w:type="dxa"/>
            <w:vAlign w:val="center"/>
          </w:tcPr>
          <w:p>
            <w:pPr>
              <w:autoSpaceDE w:val="0"/>
              <w:autoSpaceDN w:val="0"/>
              <w:spacing w:line="360" w:lineRule="auto"/>
              <w:ind w:firstLine="480" w:firstLineChars="200"/>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w:t>
            </w:r>
          </w:p>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报价</w:t>
            </w:r>
          </w:p>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（30分）</w:t>
            </w:r>
          </w:p>
        </w:tc>
        <w:tc>
          <w:tcPr>
            <w:tcW w:w="1226"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投标报价</w:t>
            </w:r>
          </w:p>
          <w:p>
            <w:pPr>
              <w:autoSpaceDE w:val="0"/>
              <w:autoSpaceDN w:val="0"/>
              <w:spacing w:line="360" w:lineRule="auto"/>
              <w:jc w:val="center"/>
              <w:rPr>
                <w:rFonts w:ascii="宋体" w:hAnsi="宋体" w:cs="宋体"/>
                <w:color w:val="auto"/>
                <w:highlight w:val="none"/>
                <w:shd w:val="clear" w:color="auto" w:fill="FFFFFF"/>
              </w:rPr>
            </w:pP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30分</w:t>
            </w:r>
          </w:p>
        </w:tc>
        <w:tc>
          <w:tcPr>
            <w:tcW w:w="4828" w:type="dxa"/>
            <w:vAlign w:val="center"/>
          </w:tcPr>
          <w:p>
            <w:pPr>
              <w:autoSpaceDE w:val="0"/>
              <w:autoSpaceDN w:val="0"/>
              <w:spacing w:line="360" w:lineRule="auto"/>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val="zh-CN"/>
              </w:rPr>
              <w:t>0%）×100（四舍五入后保留小数点后两位）。</w:t>
            </w:r>
          </w:p>
          <w:p>
            <w:pPr>
              <w:autoSpaceDE w:val="0"/>
              <w:autoSpaceDN w:val="0"/>
              <w:spacing w:line="360" w:lineRule="auto"/>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lang w:val="zh-CN"/>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autoSpaceDE w:val="0"/>
              <w:autoSpaceDN w:val="0"/>
              <w:adjustRightInd w:val="0"/>
              <w:spacing w:line="400" w:lineRule="exact"/>
              <w:jc w:val="center"/>
              <w:rPr>
                <w:rFonts w:ascii="宋体" w:hAnsi="Cambria" w:cs="宋体"/>
                <w:color w:val="auto"/>
                <w:kern w:val="0"/>
                <w:highlight w:val="none"/>
                <w:lang w:val="zh-CN"/>
              </w:rPr>
            </w:pPr>
            <w:r>
              <w:rPr>
                <w:rFonts w:hint="eastAsia" w:ascii="宋体" w:hAnsi="Cambria" w:cs="宋体"/>
                <w:color w:val="auto"/>
                <w:kern w:val="0"/>
                <w:highlight w:val="none"/>
                <w:lang w:val="zh-CN"/>
              </w:rPr>
              <w:t>履约</w:t>
            </w:r>
          </w:p>
          <w:p>
            <w:pPr>
              <w:autoSpaceDE w:val="0"/>
              <w:autoSpaceDN w:val="0"/>
              <w:adjustRightInd w:val="0"/>
              <w:spacing w:line="400" w:lineRule="exact"/>
              <w:jc w:val="center"/>
              <w:rPr>
                <w:rFonts w:ascii="宋体" w:hAnsi="Cambria" w:cs="宋体"/>
                <w:color w:val="auto"/>
                <w:kern w:val="0"/>
                <w:highlight w:val="none"/>
                <w:lang w:val="zh-CN"/>
              </w:rPr>
            </w:pPr>
            <w:r>
              <w:rPr>
                <w:rFonts w:hint="eastAsia" w:ascii="宋体" w:hAnsi="Cambria" w:cs="宋体"/>
                <w:color w:val="auto"/>
                <w:kern w:val="0"/>
                <w:highlight w:val="none"/>
                <w:lang w:val="zh-CN"/>
              </w:rPr>
              <w:t>能力</w:t>
            </w:r>
          </w:p>
          <w:p>
            <w:pPr>
              <w:autoSpaceDE w:val="0"/>
              <w:autoSpaceDN w:val="0"/>
              <w:adjustRightInd w:val="0"/>
              <w:spacing w:line="400" w:lineRule="exact"/>
              <w:jc w:val="center"/>
              <w:rPr>
                <w:rFonts w:ascii="宋体" w:hAnsi="Cambria" w:cs="宋体"/>
                <w:color w:val="auto"/>
                <w:kern w:val="0"/>
                <w:highlight w:val="none"/>
                <w:lang w:val="zh-CN"/>
              </w:rPr>
            </w:pPr>
            <w:r>
              <w:rPr>
                <w:rFonts w:hint="eastAsia" w:ascii="宋体" w:hAnsi="Cambria" w:cs="宋体"/>
                <w:color w:val="auto"/>
                <w:kern w:val="0"/>
                <w:highlight w:val="none"/>
              </w:rPr>
              <w:t>（6</w:t>
            </w:r>
            <w:r>
              <w:rPr>
                <w:rFonts w:hint="eastAsia" w:ascii="宋体" w:hAnsi="Cambria" w:cs="宋体"/>
                <w:color w:val="auto"/>
                <w:kern w:val="0"/>
                <w:highlight w:val="none"/>
                <w:lang w:val="zh-CN"/>
              </w:rPr>
              <w:t>分）</w:t>
            </w:r>
          </w:p>
        </w:tc>
        <w:tc>
          <w:tcPr>
            <w:tcW w:w="1226" w:type="dxa"/>
            <w:vAlign w:val="center"/>
          </w:tcPr>
          <w:p>
            <w:pPr>
              <w:autoSpaceDE w:val="0"/>
              <w:autoSpaceDN w:val="0"/>
              <w:spacing w:line="360" w:lineRule="auto"/>
              <w:jc w:val="center"/>
              <w:rPr>
                <w:color w:val="auto"/>
                <w:sz w:val="21"/>
                <w:highlight w:val="none"/>
                <w:lang w:val="zh-CN"/>
              </w:rPr>
            </w:pPr>
            <w:r>
              <w:rPr>
                <w:rFonts w:hint="eastAsia" w:ascii="宋体" w:hAnsi="宋体" w:cs="宋体"/>
                <w:color w:val="auto"/>
                <w:highlight w:val="none"/>
                <w:shd w:val="clear" w:color="auto" w:fill="FFFFFF"/>
              </w:rPr>
              <w:t>业绩</w:t>
            </w:r>
          </w:p>
        </w:tc>
        <w:tc>
          <w:tcPr>
            <w:tcW w:w="1250" w:type="dxa"/>
            <w:vAlign w:val="center"/>
          </w:tcPr>
          <w:p>
            <w:pPr>
              <w:autoSpaceDE w:val="0"/>
              <w:autoSpaceDN w:val="0"/>
              <w:spacing w:line="360" w:lineRule="auto"/>
              <w:jc w:val="center"/>
              <w:rPr>
                <w:rFonts w:ascii="宋体" w:hAnsi="Cambria" w:cs="宋体"/>
                <w:color w:val="auto"/>
                <w:kern w:val="0"/>
                <w:highlight w:val="none"/>
              </w:rPr>
            </w:pPr>
            <w:r>
              <w:rPr>
                <w:rFonts w:hint="eastAsia" w:ascii="宋体" w:hAnsi="宋体" w:cs="宋体"/>
                <w:color w:val="auto"/>
                <w:highlight w:val="none"/>
                <w:shd w:val="clear" w:color="auto" w:fill="FFFFFF"/>
              </w:rPr>
              <w:t>6分</w:t>
            </w:r>
          </w:p>
        </w:tc>
        <w:tc>
          <w:tcPr>
            <w:tcW w:w="4828" w:type="dxa"/>
            <w:vAlign w:val="center"/>
          </w:tcPr>
          <w:p>
            <w:pPr>
              <w:autoSpaceDE w:val="0"/>
              <w:autoSpaceDN w:val="0"/>
              <w:spacing w:line="360" w:lineRule="auto"/>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rPr>
              <w:t>投标人提供</w:t>
            </w:r>
            <w:r>
              <w:rPr>
                <w:rFonts w:ascii="宋体" w:hAnsi="宋体" w:cs="宋体"/>
                <w:color w:val="auto"/>
                <w:highlight w:val="none"/>
                <w:shd w:val="clear" w:color="auto" w:fill="FFFFFF"/>
              </w:rPr>
              <w:t>2017以来类似业绩（机动车尾气遥感相关），</w:t>
            </w:r>
            <w:r>
              <w:rPr>
                <w:rFonts w:hint="eastAsia" w:ascii="宋体" w:hAnsi="宋体" w:cs="宋体"/>
                <w:color w:val="auto"/>
                <w:highlight w:val="none"/>
                <w:shd w:val="clear" w:color="auto" w:fill="FFFFFF"/>
              </w:rPr>
              <w:t>每提供一项得1分，满分6</w:t>
            </w:r>
            <w:r>
              <w:rPr>
                <w:rFonts w:ascii="宋体" w:hAnsi="宋体" w:cs="宋体"/>
                <w:color w:val="auto"/>
                <w:highlight w:val="none"/>
                <w:shd w:val="clear" w:color="auto" w:fill="FFFFFF"/>
              </w:rPr>
              <w:t>分，未</w:t>
            </w:r>
            <w:r>
              <w:rPr>
                <w:rFonts w:hint="eastAsia" w:ascii="宋体" w:hAnsi="宋体" w:cs="宋体"/>
                <w:color w:val="auto"/>
                <w:highlight w:val="none"/>
                <w:shd w:val="clear" w:color="auto" w:fill="FFFFFF"/>
              </w:rPr>
              <w:t>提供不得分</w:t>
            </w:r>
            <w:r>
              <w:rPr>
                <w:rFonts w:ascii="宋体" w:hAnsi="宋体" w:cs="宋体"/>
                <w:color w:val="auto"/>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55" w:type="dxa"/>
            <w:vMerge w:val="restart"/>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技术</w:t>
            </w:r>
          </w:p>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评分</w:t>
            </w:r>
          </w:p>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（5</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分）</w:t>
            </w:r>
          </w:p>
        </w:tc>
        <w:tc>
          <w:tcPr>
            <w:tcW w:w="1226" w:type="dxa"/>
            <w:vMerge w:val="restart"/>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指标</w:t>
            </w:r>
          </w:p>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参数要求</w:t>
            </w: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15分</w:t>
            </w:r>
          </w:p>
        </w:tc>
        <w:tc>
          <w:tcPr>
            <w:tcW w:w="4828" w:type="dxa"/>
            <w:vAlign w:val="center"/>
          </w:tcPr>
          <w:p>
            <w:pPr>
              <w:autoSpaceDE w:val="0"/>
              <w:autoSpaceDN w:val="0"/>
              <w:spacing w:line="360" w:lineRule="auto"/>
              <w:rPr>
                <w:rFonts w:ascii="宋体" w:hAnsi="宋体" w:cs="宋体"/>
                <w:color w:val="auto"/>
                <w:highlight w:val="none"/>
                <w:shd w:val="clear" w:color="auto" w:fill="FFFFFF"/>
                <w:lang w:val="zh-CN"/>
              </w:rPr>
            </w:pPr>
            <w:r>
              <w:rPr>
                <w:rFonts w:hint="eastAsia" w:ascii="宋体" w:hAnsi="Cambria" w:cs="宋体"/>
                <w:color w:val="auto"/>
                <w:kern w:val="0"/>
                <w:highlight w:val="none"/>
                <w:lang w:val="zh-CN"/>
              </w:rPr>
              <w:t>带“</w:t>
            </w:r>
            <w:r>
              <w:rPr>
                <w:rFonts w:hint="eastAsia" w:ascii="宋体" w:hAnsi="宋体" w:cs="宋体"/>
                <w:color w:val="auto"/>
                <w:highlight w:val="none"/>
                <w:shd w:val="clear" w:color="auto" w:fill="FFFFFF"/>
              </w:rPr>
              <w:t>▲</w:t>
            </w:r>
            <w:r>
              <w:rPr>
                <w:rFonts w:hint="eastAsia" w:ascii="宋体" w:hAnsi="Cambria" w:cs="宋体"/>
                <w:color w:val="auto"/>
                <w:kern w:val="0"/>
                <w:highlight w:val="none"/>
                <w:lang w:val="zh-CN"/>
              </w:rPr>
              <w:t>”参数为第一类指标参数，每有一项负偏离扣</w:t>
            </w:r>
            <w:r>
              <w:rPr>
                <w:rFonts w:hint="eastAsia" w:ascii="宋体" w:hAnsi="Cambria" w:cs="宋体"/>
                <w:color w:val="auto"/>
                <w:kern w:val="0"/>
                <w:highlight w:val="none"/>
              </w:rPr>
              <w:t>3</w:t>
            </w:r>
            <w:r>
              <w:rPr>
                <w:rFonts w:hint="eastAsia" w:ascii="宋体" w:hAnsi="Cambria" w:cs="宋体"/>
                <w:color w:val="auto"/>
                <w:kern w:val="0"/>
                <w:highlight w:val="none"/>
                <w:lang w:val="zh-CN"/>
              </w:rPr>
              <w:t>分，</w:t>
            </w:r>
            <w:r>
              <w:rPr>
                <w:rFonts w:hint="eastAsia" w:ascii="宋体" w:hAnsi="宋体" w:cs="宋体"/>
                <w:color w:val="auto"/>
                <w:highlight w:val="none"/>
                <w:shd w:val="clear" w:color="auto" w:fill="FFFFFF"/>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10分</w:t>
            </w:r>
          </w:p>
        </w:tc>
        <w:tc>
          <w:tcPr>
            <w:tcW w:w="4828" w:type="dxa"/>
            <w:vAlign w:val="center"/>
          </w:tcPr>
          <w:p>
            <w:pPr>
              <w:autoSpaceDE w:val="0"/>
              <w:autoSpaceDN w:val="0"/>
              <w:spacing w:line="360" w:lineRule="auto"/>
              <w:rPr>
                <w:rFonts w:ascii="宋体" w:hAnsi="宋体" w:cs="宋体"/>
                <w:color w:val="auto"/>
                <w:highlight w:val="none"/>
                <w:shd w:val="clear" w:color="auto" w:fill="FFFFFF"/>
                <w:lang w:val="zh-CN"/>
              </w:rPr>
            </w:pPr>
            <w:r>
              <w:rPr>
                <w:rFonts w:hint="eastAsia" w:ascii="宋体" w:hAnsi="Cambria" w:cs="宋体"/>
                <w:color w:val="auto"/>
                <w:kern w:val="0"/>
                <w:highlight w:val="none"/>
                <w:lang w:val="zh-CN"/>
              </w:rPr>
              <w:t>其余参数为一般指标参数，每有一项负偏离扣</w:t>
            </w:r>
            <w:r>
              <w:rPr>
                <w:rFonts w:hint="eastAsia" w:ascii="宋体" w:hAnsi="Cambria" w:cs="宋体"/>
                <w:color w:val="auto"/>
                <w:kern w:val="0"/>
                <w:highlight w:val="none"/>
              </w:rPr>
              <w:t>3</w:t>
            </w:r>
            <w:r>
              <w:rPr>
                <w:rFonts w:hint="eastAsia" w:ascii="宋体" w:hAnsi="Cambria" w:cs="宋体"/>
                <w:color w:val="auto"/>
                <w:kern w:val="0"/>
                <w:highlight w:val="none"/>
                <w:lang w:val="zh-CN"/>
              </w:rPr>
              <w:t>分，有三项以上（含三项）负偏离的，该项为零分。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Align w:val="center"/>
          </w:tcPr>
          <w:p>
            <w:pPr>
              <w:autoSpaceDE w:val="0"/>
              <w:autoSpaceDN w:val="0"/>
              <w:adjustRightInd w:val="0"/>
              <w:spacing w:line="400" w:lineRule="exact"/>
              <w:jc w:val="center"/>
              <w:rPr>
                <w:rFonts w:ascii="宋体" w:hAnsi="Cambria" w:cs="宋体"/>
                <w:color w:val="auto"/>
                <w:kern w:val="0"/>
                <w:highlight w:val="none"/>
                <w:lang w:val="zh-CN"/>
              </w:rPr>
            </w:pPr>
            <w:r>
              <w:rPr>
                <w:rFonts w:hint="eastAsia" w:ascii="宋体" w:hAnsi="Cambria" w:cs="宋体"/>
                <w:color w:val="auto"/>
                <w:kern w:val="0"/>
                <w:highlight w:val="none"/>
                <w:lang w:val="zh-CN"/>
              </w:rPr>
              <w:t>环保</w:t>
            </w:r>
          </w:p>
          <w:p>
            <w:pPr>
              <w:autoSpaceDE w:val="0"/>
              <w:autoSpaceDN w:val="0"/>
              <w:adjustRightInd w:val="0"/>
              <w:spacing w:line="400" w:lineRule="exact"/>
              <w:jc w:val="center"/>
              <w:rPr>
                <w:rFonts w:ascii="宋体" w:hAnsi="Cambria" w:cs="宋体"/>
                <w:color w:val="auto"/>
                <w:kern w:val="0"/>
                <w:highlight w:val="none"/>
                <w:lang w:val="zh-CN"/>
              </w:rPr>
            </w:pPr>
            <w:r>
              <w:rPr>
                <w:rFonts w:hint="eastAsia" w:ascii="宋体" w:hAnsi="Cambria" w:cs="宋体"/>
                <w:color w:val="auto"/>
                <w:kern w:val="0"/>
                <w:highlight w:val="none"/>
                <w:lang w:val="zh-CN"/>
              </w:rPr>
              <w:t>和节能</w:t>
            </w:r>
          </w:p>
        </w:tc>
        <w:tc>
          <w:tcPr>
            <w:tcW w:w="1250" w:type="dxa"/>
            <w:vAlign w:val="center"/>
          </w:tcPr>
          <w:p>
            <w:pPr>
              <w:autoSpaceDE w:val="0"/>
              <w:autoSpaceDN w:val="0"/>
              <w:adjustRightInd w:val="0"/>
              <w:spacing w:line="400" w:lineRule="exact"/>
              <w:jc w:val="center"/>
              <w:rPr>
                <w:rFonts w:ascii="宋体" w:hAnsi="Cambria" w:cs="宋体"/>
                <w:color w:val="auto"/>
                <w:kern w:val="0"/>
                <w:highlight w:val="none"/>
              </w:rPr>
            </w:pPr>
            <w:r>
              <w:rPr>
                <w:rFonts w:hint="eastAsia" w:ascii="宋体" w:hAnsi="Cambria" w:cs="宋体"/>
                <w:color w:val="auto"/>
                <w:kern w:val="0"/>
                <w:highlight w:val="none"/>
              </w:rPr>
              <w:t>1</w:t>
            </w:r>
            <w:r>
              <w:rPr>
                <w:rFonts w:hint="eastAsia" w:ascii="宋体" w:hAnsi="宋体" w:cs="宋体"/>
                <w:color w:val="auto"/>
                <w:highlight w:val="none"/>
                <w:shd w:val="clear" w:color="auto" w:fill="FFFFFF"/>
              </w:rPr>
              <w:t>分</w:t>
            </w:r>
          </w:p>
        </w:tc>
        <w:tc>
          <w:tcPr>
            <w:tcW w:w="4828" w:type="dxa"/>
            <w:vAlign w:val="center"/>
          </w:tcPr>
          <w:p>
            <w:pPr>
              <w:autoSpaceDE w:val="0"/>
              <w:autoSpaceDN w:val="0"/>
              <w:spacing w:line="360" w:lineRule="auto"/>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lang w:val="zh-CN" w:eastAsia="zh-CN"/>
              </w:rPr>
              <w:t>投标产品具有环保认证证书的，得0.5分；具有节能认证证书的，得0.5分；未提供不得分。（该项得分的认定以提供政府采购环保/节能清单所在页的扫描&lt;或复印&gt;件为准）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系统</w:t>
            </w:r>
          </w:p>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方案设计</w:t>
            </w: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7分</w:t>
            </w:r>
          </w:p>
        </w:tc>
        <w:tc>
          <w:tcPr>
            <w:tcW w:w="4828" w:type="dxa"/>
            <w:vAlign w:val="center"/>
          </w:tcPr>
          <w:p>
            <w:pPr>
              <w:autoSpaceDE w:val="0"/>
              <w:autoSpaceDN w:val="0"/>
              <w:spacing w:line="360" w:lineRule="auto"/>
              <w:rPr>
                <w:rFonts w:hint="eastAsia" w:ascii="宋体" w:hAnsi="宋体" w:cs="宋体"/>
                <w:color w:val="auto"/>
                <w:highlight w:val="none"/>
                <w:shd w:val="clear" w:color="auto" w:fill="FFFFFF"/>
                <w:lang w:val="zh-CN" w:eastAsia="zh-CN"/>
              </w:rPr>
            </w:pPr>
            <w:r>
              <w:rPr>
                <w:rFonts w:ascii="宋体" w:hAnsi="宋体" w:cs="宋体"/>
                <w:color w:val="auto"/>
                <w:highlight w:val="none"/>
                <w:shd w:val="clear" w:color="auto" w:fill="FFFFFF"/>
                <w:lang w:val="zh-CN"/>
              </w:rPr>
              <w:t>投标人方案的总体设计描述是否合理、完整、可行，设计内容能否满足项目需求，根据投标人整体方案设计的符合程度和主要功能的涵盖程度，</w:t>
            </w:r>
            <w:r>
              <w:rPr>
                <w:rFonts w:hint="eastAsia" w:ascii="宋体" w:hAnsi="宋体" w:cs="宋体"/>
                <w:color w:val="auto"/>
                <w:highlight w:val="none"/>
                <w:shd w:val="clear" w:color="auto" w:fill="FFFFFF"/>
                <w:lang w:val="zh-CN" w:eastAsia="zh-CN"/>
              </w:rPr>
              <w:t>有科学、具体的</w:t>
            </w:r>
            <w:r>
              <w:rPr>
                <w:rFonts w:ascii="宋体" w:hAnsi="宋体" w:cs="宋体"/>
                <w:color w:val="auto"/>
                <w:highlight w:val="none"/>
                <w:shd w:val="clear" w:color="auto" w:fill="FFFFFF"/>
                <w:lang w:val="zh-CN"/>
              </w:rPr>
              <w:t>总体设计描述</w:t>
            </w:r>
            <w:r>
              <w:rPr>
                <w:rFonts w:hint="eastAsia" w:ascii="宋体" w:hAnsi="宋体" w:cs="宋体"/>
                <w:color w:val="auto"/>
                <w:highlight w:val="none"/>
                <w:shd w:val="clear" w:color="auto" w:fill="FFFFFF"/>
                <w:lang w:val="zh-CN" w:eastAsia="zh-CN"/>
              </w:rPr>
              <w:t>，能够结合项目特点制定有计划性、系统性、专业化方案，基本满足项目需求，得</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lang w:val="zh-CN" w:eastAsia="zh-CN"/>
              </w:rPr>
              <w:t>分；</w:t>
            </w:r>
          </w:p>
          <w:p>
            <w:pPr>
              <w:autoSpaceDE w:val="0"/>
              <w:autoSpaceDN w:val="0"/>
              <w:spacing w:line="360" w:lineRule="auto"/>
              <w:rPr>
                <w:rFonts w:hint="eastAsia" w:ascii="宋体" w:hAnsi="宋体" w:cs="宋体"/>
                <w:color w:val="auto"/>
                <w:highlight w:val="none"/>
                <w:shd w:val="clear" w:color="auto" w:fill="FFFFFF"/>
                <w:lang w:val="zh-CN" w:eastAsia="zh-CN"/>
              </w:rPr>
            </w:pPr>
            <w:r>
              <w:rPr>
                <w:rFonts w:hint="eastAsia" w:ascii="宋体" w:hAnsi="宋体" w:cs="宋体"/>
                <w:color w:val="auto"/>
                <w:highlight w:val="none"/>
                <w:shd w:val="clear" w:color="auto" w:fill="FFFFFF"/>
                <w:lang w:val="zh-CN" w:eastAsia="zh-CN"/>
              </w:rPr>
              <w:t>对实施方案的方案编制全面、详尽、完善，得</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lang w:val="zh-CN" w:eastAsia="zh-CN"/>
              </w:rPr>
              <w:t>分；</w:t>
            </w:r>
          </w:p>
          <w:p>
            <w:pPr>
              <w:autoSpaceDE w:val="0"/>
              <w:autoSpaceDN w:val="0"/>
              <w:spacing w:line="360" w:lineRule="auto"/>
              <w:rPr>
                <w:rFonts w:hint="eastAsia" w:ascii="宋体" w:hAnsi="宋体" w:cs="宋体"/>
                <w:color w:val="auto"/>
                <w:highlight w:val="none"/>
                <w:shd w:val="clear" w:color="auto" w:fill="FFFFFF"/>
                <w:lang w:val="zh-CN" w:eastAsia="zh-CN"/>
              </w:rPr>
            </w:pPr>
            <w:r>
              <w:rPr>
                <w:rFonts w:hint="eastAsia" w:ascii="宋体" w:hAnsi="宋体" w:cs="宋体"/>
                <w:color w:val="auto"/>
                <w:highlight w:val="none"/>
                <w:shd w:val="clear" w:color="auto" w:fill="FFFFFF"/>
                <w:lang w:val="zh-CN" w:eastAsia="zh-CN"/>
              </w:rPr>
              <w:t>对实施方案的的编制内容不完善，操作性不强，得</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val="zh-CN" w:eastAsia="zh-CN"/>
              </w:rPr>
              <w:t>分；</w:t>
            </w:r>
          </w:p>
          <w:p>
            <w:pPr>
              <w:autoSpaceDE w:val="0"/>
              <w:autoSpaceDN w:val="0"/>
              <w:spacing w:line="360" w:lineRule="auto"/>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Align w:val="center"/>
          </w:tcPr>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人员配备</w:t>
            </w:r>
          </w:p>
          <w:p>
            <w:pPr>
              <w:autoSpaceDE w:val="0"/>
              <w:autoSpaceDN w:val="0"/>
              <w:spacing w:line="360" w:lineRule="auto"/>
              <w:rPr>
                <w:rFonts w:ascii="宋体" w:hAnsi="宋体" w:cs="宋体"/>
                <w:color w:val="auto"/>
                <w:highlight w:val="none"/>
                <w:shd w:val="clear" w:color="auto" w:fill="FFFFFF"/>
              </w:rPr>
            </w:pPr>
          </w:p>
        </w:tc>
        <w:tc>
          <w:tcPr>
            <w:tcW w:w="1250" w:type="dxa"/>
            <w:vAlign w:val="center"/>
          </w:tcPr>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8分</w:t>
            </w:r>
          </w:p>
        </w:tc>
        <w:tc>
          <w:tcPr>
            <w:tcW w:w="4828" w:type="dxa"/>
            <w:vAlign w:val="center"/>
          </w:tcPr>
          <w:p>
            <w:pPr>
              <w:autoSpaceDE w:val="0"/>
              <w:autoSpaceDN w:val="0"/>
              <w:spacing w:line="360" w:lineRule="auto"/>
              <w:rPr>
                <w:rFonts w:ascii="宋体" w:hAnsi="宋体" w:cs="宋体"/>
                <w:color w:val="auto"/>
                <w:highlight w:val="none"/>
                <w:shd w:val="clear" w:color="auto" w:fill="FFFFFF"/>
              </w:rPr>
            </w:pPr>
            <w:r>
              <w:rPr>
                <w:rFonts w:ascii="宋体" w:hAnsi="宋体" w:cs="宋体"/>
                <w:color w:val="auto"/>
                <w:highlight w:val="none"/>
                <w:shd w:val="clear" w:color="auto" w:fill="FFFFFF"/>
              </w:rPr>
              <w:t>根据投标人拟投入本项目的人员情况进行评分：</w:t>
            </w:r>
          </w:p>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）投标人拟配备的项目经理同时具备项目经理、软件设计师，系统集成项目管理工程师认证</w:t>
            </w:r>
            <w:r>
              <w:rPr>
                <w:rFonts w:hint="eastAsia" w:ascii="宋体" w:hAnsi="宋体" w:cs="宋体"/>
                <w:color w:val="auto"/>
                <w:highlight w:val="none"/>
                <w:shd w:val="clear" w:color="auto" w:fill="FFFFFF"/>
              </w:rPr>
              <w:t>，每提供一项证书得2分，满分6</w:t>
            </w:r>
            <w:r>
              <w:rPr>
                <w:rFonts w:ascii="宋体" w:hAnsi="宋体" w:cs="宋体"/>
                <w:color w:val="auto"/>
                <w:highlight w:val="none"/>
                <w:shd w:val="clear" w:color="auto" w:fill="FFFFFF"/>
              </w:rPr>
              <w:t>分，未</w:t>
            </w:r>
            <w:r>
              <w:rPr>
                <w:rFonts w:hint="eastAsia" w:ascii="宋体" w:hAnsi="宋体" w:cs="宋体"/>
                <w:color w:val="auto"/>
                <w:highlight w:val="none"/>
                <w:shd w:val="clear" w:color="auto" w:fill="FFFFFF"/>
              </w:rPr>
              <w:t>提供不得分。</w:t>
            </w:r>
          </w:p>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）投标人拟配备的运维人员不低于2人，且均取得省级以上环保机构颁发的机动车污染防治技术培训合格证</w:t>
            </w:r>
            <w:r>
              <w:rPr>
                <w:rFonts w:hint="eastAsia" w:ascii="宋体" w:hAnsi="宋体" w:cs="宋体"/>
                <w:color w:val="auto"/>
                <w:highlight w:val="none"/>
                <w:shd w:val="clear" w:color="auto" w:fill="FFFFFF"/>
              </w:rPr>
              <w:t>，满分2分，</w:t>
            </w:r>
            <w:r>
              <w:rPr>
                <w:rFonts w:ascii="宋体" w:hAnsi="宋体" w:cs="宋体"/>
                <w:color w:val="auto"/>
                <w:highlight w:val="none"/>
                <w:shd w:val="clear" w:color="auto" w:fill="FFFFFF"/>
              </w:rPr>
              <w:t>未</w:t>
            </w:r>
            <w:r>
              <w:rPr>
                <w:rFonts w:hint="eastAsia" w:ascii="宋体" w:hAnsi="宋体" w:cs="宋体"/>
                <w:color w:val="auto"/>
                <w:highlight w:val="none"/>
                <w:shd w:val="clear" w:color="auto" w:fill="FFFFFF"/>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Align w:val="center"/>
          </w:tcPr>
          <w:p>
            <w:pPr>
              <w:autoSpaceDE w:val="0"/>
              <w:autoSpaceDN w:val="0"/>
              <w:spacing w:line="360" w:lineRule="auto"/>
              <w:rPr>
                <w:color w:val="auto"/>
                <w:highlight w:val="none"/>
              </w:rPr>
            </w:pPr>
            <w:r>
              <w:rPr>
                <w:rFonts w:hint="eastAsia"/>
                <w:color w:val="auto"/>
                <w:highlight w:val="none"/>
              </w:rPr>
              <w:t>综合实力</w:t>
            </w: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8分</w:t>
            </w:r>
          </w:p>
        </w:tc>
        <w:tc>
          <w:tcPr>
            <w:tcW w:w="4828" w:type="dxa"/>
            <w:vAlign w:val="center"/>
          </w:tcPr>
          <w:p>
            <w:pPr>
              <w:numPr>
                <w:ilvl w:val="0"/>
                <w:numId w:val="7"/>
              </w:numPr>
              <w:autoSpaceDE w:val="0"/>
              <w:autoSpaceDN w:val="0"/>
              <w:spacing w:line="360" w:lineRule="auto"/>
              <w:rPr>
                <w:color w:val="auto"/>
                <w:highlight w:val="none"/>
              </w:rPr>
            </w:pPr>
            <w:r>
              <w:rPr>
                <w:color w:val="auto"/>
                <w:highlight w:val="none"/>
              </w:rPr>
              <w:t>投标人提供ISO9001质量管理体系认证证书、ISO14000环境管理体系认证证书、ISO20000IT服务管理体系证书和ISO27001信息安全管理体系认证证书</w:t>
            </w:r>
            <w:r>
              <w:rPr>
                <w:rFonts w:hint="eastAsia"/>
                <w:color w:val="auto"/>
                <w:highlight w:val="none"/>
              </w:rPr>
              <w:t>，每提供一项得1分，满分4</w:t>
            </w:r>
            <w:r>
              <w:rPr>
                <w:color w:val="auto"/>
                <w:highlight w:val="none"/>
              </w:rPr>
              <w:t>分，未</w:t>
            </w:r>
            <w:r>
              <w:rPr>
                <w:rFonts w:hint="eastAsia"/>
                <w:color w:val="auto"/>
                <w:highlight w:val="none"/>
              </w:rPr>
              <w:t>提供不得分。</w:t>
            </w:r>
          </w:p>
          <w:p>
            <w:pPr>
              <w:numPr>
                <w:ilvl w:val="0"/>
                <w:numId w:val="7"/>
              </w:numPr>
              <w:autoSpaceDE w:val="0"/>
              <w:autoSpaceDN w:val="0"/>
              <w:spacing w:line="360" w:lineRule="auto"/>
              <w:rPr>
                <w:color w:val="auto"/>
                <w:highlight w:val="none"/>
              </w:rPr>
            </w:pPr>
            <w:r>
              <w:rPr>
                <w:rFonts w:hint="eastAsia"/>
                <w:color w:val="auto"/>
                <w:highlight w:val="none"/>
              </w:rPr>
              <w:t>投标人具有涉密信息系统集成资质证书的（范围同时覆盖系统集成、软件开发和运维服务）得2分，未提供不得分。</w:t>
            </w:r>
          </w:p>
          <w:p>
            <w:pPr>
              <w:numPr>
                <w:ilvl w:val="0"/>
                <w:numId w:val="7"/>
              </w:numPr>
              <w:autoSpaceDE w:val="0"/>
              <w:autoSpaceDN w:val="0"/>
              <w:spacing w:line="360" w:lineRule="auto"/>
              <w:rPr>
                <w:color w:val="auto"/>
                <w:highlight w:val="none"/>
              </w:rPr>
            </w:pPr>
            <w:r>
              <w:rPr>
                <w:rFonts w:hint="eastAsia"/>
                <w:color w:val="auto"/>
                <w:highlight w:val="none"/>
              </w:rPr>
              <w:t>投标人具有环保类软件创新奖或环境保护科学技术奖的，每提供一项得1分，满分2</w:t>
            </w:r>
            <w:r>
              <w:rPr>
                <w:color w:val="auto"/>
                <w:highlight w:val="none"/>
              </w:rPr>
              <w:t>分，未</w:t>
            </w:r>
            <w:r>
              <w:rPr>
                <w:rFonts w:hint="eastAsia"/>
                <w:color w:val="auto"/>
                <w:highlight w:val="none"/>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项目</w:t>
            </w:r>
          </w:p>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实施方案</w:t>
            </w: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分</w:t>
            </w:r>
          </w:p>
        </w:tc>
        <w:tc>
          <w:tcPr>
            <w:tcW w:w="4828" w:type="dxa"/>
            <w:vAlign w:val="center"/>
          </w:tcPr>
          <w:p>
            <w:pPr>
              <w:numPr>
                <w:ilvl w:val="0"/>
                <w:numId w:val="0"/>
              </w:numPr>
              <w:autoSpaceDE w:val="0"/>
              <w:autoSpaceDN w:val="0"/>
              <w:adjustRightInd w:val="0"/>
              <w:snapToGrid w:val="0"/>
              <w:spacing w:line="400" w:lineRule="exact"/>
              <w:jc w:val="left"/>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rPr>
              <w:t>对项目实施方案以下内容进行评比：实施计划、组织人员管理、项目进度保障、安全保障、风险管理、质量保障、技术培训等。项目管理针对性强、有实际可操作性、项目质量控制措施明确、项目里程碑设计合理、整体实施进度计划安排详尽的。综合评价是否可行、合理、实用；特别是否有效组织安排，确保按时保质地完成项目实施</w:t>
            </w:r>
            <w:r>
              <w:rPr>
                <w:rFonts w:hint="eastAsia" w:ascii="宋体" w:hAnsi="宋体" w:cs="宋体"/>
                <w:color w:val="auto"/>
                <w:highlight w:val="none"/>
                <w:shd w:val="clear" w:color="auto" w:fill="FFFFFF"/>
                <w:lang w:val="en-US" w:eastAsia="zh-CN"/>
              </w:rPr>
              <w:t>的</w:t>
            </w:r>
            <w:r>
              <w:rPr>
                <w:rFonts w:hint="eastAsia" w:ascii="宋体" w:hAnsi="宋体" w:cs="宋体"/>
                <w:color w:val="auto"/>
                <w:highlight w:val="none"/>
                <w:shd w:val="clear" w:color="auto" w:fill="FFFFFF"/>
              </w:rPr>
              <w:t>得</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分</w:t>
            </w:r>
            <w:r>
              <w:rPr>
                <w:rFonts w:hint="eastAsia" w:ascii="宋体" w:hAnsi="宋体" w:cs="宋体"/>
                <w:color w:val="auto"/>
                <w:highlight w:val="none"/>
                <w:shd w:val="clear" w:color="auto" w:fill="FFFFFF"/>
                <w:lang w:eastAsia="zh-CN"/>
              </w:rPr>
              <w:t>；</w:t>
            </w:r>
          </w:p>
          <w:p>
            <w:pPr>
              <w:numPr>
                <w:ilvl w:val="0"/>
                <w:numId w:val="0"/>
              </w:numPr>
              <w:autoSpaceDE w:val="0"/>
              <w:autoSpaceDN w:val="0"/>
              <w:adjustRightInd w:val="0"/>
              <w:snapToGrid w:val="0"/>
              <w:spacing w:line="400" w:lineRule="exact"/>
              <w:jc w:val="left"/>
              <w:rPr>
                <w:rFonts w:hint="eastAsia" w:cs="Times New Roman"/>
                <w:color w:val="auto"/>
                <w:highlight w:val="none"/>
                <w:lang w:val="zh-CN" w:eastAsia="zh-CN"/>
              </w:rPr>
            </w:pPr>
            <w:r>
              <w:rPr>
                <w:rFonts w:hint="eastAsia" w:cs="Times New Roman"/>
                <w:color w:val="auto"/>
                <w:highlight w:val="none"/>
                <w:lang w:val="zh-CN" w:eastAsia="zh-CN"/>
              </w:rPr>
              <w:t>对</w:t>
            </w:r>
            <w:r>
              <w:rPr>
                <w:rFonts w:hint="eastAsia" w:cs="Times New Roman"/>
                <w:color w:val="auto"/>
                <w:highlight w:val="none"/>
                <w:lang w:val="en-US" w:eastAsia="zh-CN"/>
              </w:rPr>
              <w:t>项目</w:t>
            </w:r>
            <w:r>
              <w:rPr>
                <w:rFonts w:hint="eastAsia" w:cs="Times New Roman"/>
                <w:color w:val="auto"/>
                <w:highlight w:val="none"/>
                <w:lang w:val="zh-CN" w:eastAsia="zh-CN"/>
              </w:rPr>
              <w:t>实施方案的方案编制全面、详尽、完善，得</w:t>
            </w:r>
            <w:r>
              <w:rPr>
                <w:rFonts w:hint="eastAsia" w:cs="Times New Roman"/>
                <w:color w:val="auto"/>
                <w:highlight w:val="none"/>
                <w:lang w:val="en-US" w:eastAsia="zh-CN"/>
              </w:rPr>
              <w:t>3</w:t>
            </w:r>
            <w:r>
              <w:rPr>
                <w:rFonts w:hint="eastAsia" w:cs="Times New Roman"/>
                <w:color w:val="auto"/>
                <w:highlight w:val="none"/>
                <w:lang w:val="zh-CN" w:eastAsia="zh-CN"/>
              </w:rPr>
              <w:t>分；</w:t>
            </w:r>
          </w:p>
          <w:p>
            <w:pPr>
              <w:numPr>
                <w:ilvl w:val="0"/>
                <w:numId w:val="0"/>
              </w:numPr>
              <w:autoSpaceDE w:val="0"/>
              <w:autoSpaceDN w:val="0"/>
              <w:adjustRightInd w:val="0"/>
              <w:snapToGrid w:val="0"/>
              <w:spacing w:line="400" w:lineRule="exact"/>
              <w:jc w:val="left"/>
              <w:rPr>
                <w:rFonts w:hint="eastAsia" w:cs="Times New Roman"/>
                <w:color w:val="auto"/>
                <w:highlight w:val="none"/>
                <w:lang w:val="zh-CN" w:eastAsia="zh-CN"/>
              </w:rPr>
            </w:pPr>
            <w:r>
              <w:rPr>
                <w:rFonts w:hint="eastAsia" w:cs="Times New Roman"/>
                <w:color w:val="auto"/>
                <w:highlight w:val="none"/>
                <w:lang w:val="zh-CN" w:eastAsia="zh-CN"/>
              </w:rPr>
              <w:t>对实施方案的的编制内容不完善，操作性不强，得</w:t>
            </w:r>
            <w:r>
              <w:rPr>
                <w:rFonts w:hint="eastAsia" w:cs="Times New Roman"/>
                <w:color w:val="auto"/>
                <w:highlight w:val="none"/>
                <w:lang w:val="en-US" w:eastAsia="zh-CN"/>
              </w:rPr>
              <w:t>1</w:t>
            </w:r>
            <w:r>
              <w:rPr>
                <w:rFonts w:hint="eastAsia" w:cs="Times New Roman"/>
                <w:color w:val="auto"/>
                <w:highlight w:val="none"/>
                <w:lang w:val="zh-CN" w:eastAsia="zh-CN"/>
              </w:rPr>
              <w:t>分；</w:t>
            </w:r>
          </w:p>
          <w:p>
            <w:pPr>
              <w:autoSpaceDE w:val="0"/>
              <w:autoSpaceDN w:val="0"/>
              <w:spacing w:line="360" w:lineRule="auto"/>
              <w:rPr>
                <w:rFonts w:ascii="宋体" w:hAnsi="宋体" w:cs="宋体"/>
                <w:color w:val="auto"/>
                <w:highlight w:val="none"/>
                <w:shd w:val="clear" w:color="auto" w:fill="FFFFFF"/>
              </w:rPr>
            </w:pPr>
            <w:r>
              <w:rPr>
                <w:rFonts w:hint="eastAsia" w:cs="Times New Roman"/>
                <w:color w:val="auto"/>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Merge w:val="restart"/>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售后</w:t>
            </w:r>
          </w:p>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服务</w:t>
            </w:r>
          </w:p>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10</w:t>
            </w:r>
            <w:r>
              <w:rPr>
                <w:rFonts w:hint="eastAsia" w:ascii="宋体" w:hAnsi="宋体" w:cs="宋体"/>
                <w:color w:val="auto"/>
                <w:highlight w:val="none"/>
                <w:shd w:val="clear" w:color="auto" w:fill="FFFFFF"/>
              </w:rPr>
              <w:t>分）</w:t>
            </w:r>
          </w:p>
        </w:tc>
        <w:tc>
          <w:tcPr>
            <w:tcW w:w="1226"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售后</w:t>
            </w:r>
          </w:p>
          <w:p>
            <w:pPr>
              <w:autoSpaceDE w:val="0"/>
              <w:autoSpaceDN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服务方案</w:t>
            </w:r>
          </w:p>
        </w:tc>
        <w:tc>
          <w:tcPr>
            <w:tcW w:w="1250" w:type="dxa"/>
            <w:vAlign w:val="center"/>
          </w:tcPr>
          <w:p>
            <w:pPr>
              <w:autoSpaceDE w:val="0"/>
              <w:autoSpaceDN w:val="0"/>
              <w:spacing w:line="360" w:lineRule="auto"/>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8</w:t>
            </w:r>
            <w:r>
              <w:rPr>
                <w:rFonts w:hint="eastAsia" w:ascii="宋体" w:hAnsi="宋体" w:cs="宋体"/>
                <w:color w:val="auto"/>
                <w:highlight w:val="none"/>
                <w:shd w:val="clear" w:color="auto" w:fill="FFFFFF"/>
              </w:rPr>
              <w:t>分</w:t>
            </w:r>
          </w:p>
        </w:tc>
        <w:tc>
          <w:tcPr>
            <w:tcW w:w="4828" w:type="dxa"/>
            <w:vAlign w:val="center"/>
          </w:tcPr>
          <w:p>
            <w:pPr>
              <w:numPr>
                <w:ilvl w:val="0"/>
                <w:numId w:val="8"/>
              </w:numPr>
              <w:autoSpaceDE w:val="0"/>
              <w:autoSpaceDN w:val="0"/>
              <w:adjustRightInd w:val="0"/>
              <w:snapToGrid w:val="0"/>
              <w:spacing w:line="400" w:lineRule="exact"/>
              <w:jc w:val="left"/>
              <w:rPr>
                <w:rFonts w:ascii="宋体" w:hAnsi="宋体" w:cs="宋体"/>
                <w:color w:val="auto"/>
                <w:highlight w:val="none"/>
                <w:shd w:val="clear" w:color="auto" w:fill="FFFFFF"/>
              </w:rPr>
            </w:pPr>
            <w:r>
              <w:rPr>
                <w:rFonts w:ascii="宋体" w:hAnsi="宋体" w:cs="宋体"/>
                <w:color w:val="auto"/>
                <w:highlight w:val="none"/>
                <w:shd w:val="clear" w:color="auto" w:fill="FFFFFF"/>
              </w:rPr>
              <w:t>根据采购人的实际情况提供完善的运维服务方案，包括运维服务体系、服务流程、运维服务承诺、运维服务团队、服务措施。根据投标人提供的售后服务方案的针对性</w:t>
            </w:r>
            <w:r>
              <w:rPr>
                <w:rFonts w:hint="eastAsia" w:ascii="宋体" w:hAnsi="宋体" w:cs="宋体"/>
                <w:color w:val="auto"/>
                <w:highlight w:val="none"/>
                <w:shd w:val="clear" w:color="auto" w:fill="FFFFFF"/>
                <w:lang w:val="en-US" w:eastAsia="zh-CN"/>
              </w:rPr>
              <w:t>强</w:t>
            </w:r>
            <w:r>
              <w:rPr>
                <w:rFonts w:ascii="宋体" w:hAnsi="宋体" w:cs="宋体"/>
                <w:color w:val="auto"/>
                <w:highlight w:val="none"/>
                <w:shd w:val="clear" w:color="auto" w:fill="FFFFFF"/>
              </w:rPr>
              <w:t>、科学、合理、优越</w:t>
            </w:r>
            <w:r>
              <w:rPr>
                <w:rFonts w:hint="eastAsia" w:ascii="宋体" w:hAnsi="宋体" w:cs="宋体"/>
                <w:color w:val="auto"/>
                <w:highlight w:val="none"/>
                <w:shd w:val="clear" w:color="auto" w:fill="FFFFFF"/>
                <w:lang w:val="en-US" w:eastAsia="zh-CN"/>
              </w:rPr>
              <w:t>的</w:t>
            </w:r>
            <w:r>
              <w:rPr>
                <w:rFonts w:ascii="宋体" w:hAnsi="宋体" w:cs="宋体"/>
                <w:color w:val="auto"/>
                <w:highlight w:val="none"/>
                <w:shd w:val="clear" w:color="auto" w:fill="FFFFFF"/>
              </w:rPr>
              <w:t>得</w:t>
            </w:r>
            <w:r>
              <w:rPr>
                <w:rFonts w:hint="eastAsia" w:ascii="宋体" w:hAnsi="宋体" w:cs="宋体"/>
                <w:color w:val="auto"/>
                <w:highlight w:val="none"/>
                <w:shd w:val="clear" w:color="auto" w:fill="FFFFFF"/>
                <w:lang w:val="en-US" w:eastAsia="zh-CN"/>
              </w:rPr>
              <w:t>5</w:t>
            </w:r>
            <w:r>
              <w:rPr>
                <w:rFonts w:ascii="宋体" w:hAnsi="宋体" w:cs="宋体"/>
                <w:color w:val="auto"/>
                <w:highlight w:val="none"/>
                <w:shd w:val="clear" w:color="auto" w:fill="FFFFFF"/>
              </w:rPr>
              <w:t>分；</w:t>
            </w:r>
          </w:p>
          <w:p>
            <w:pPr>
              <w:numPr>
                <w:ilvl w:val="0"/>
                <w:numId w:val="0"/>
              </w:numPr>
              <w:autoSpaceDE w:val="0"/>
              <w:autoSpaceDN w:val="0"/>
              <w:adjustRightInd w:val="0"/>
              <w:snapToGrid w:val="0"/>
              <w:spacing w:line="400" w:lineRule="exact"/>
              <w:jc w:val="left"/>
              <w:rPr>
                <w:rFonts w:hint="eastAsia" w:ascii="宋体" w:hAnsi="宋体" w:cs="宋体"/>
                <w:color w:val="auto"/>
                <w:highlight w:val="none"/>
                <w:shd w:val="clear" w:color="auto" w:fill="FFFFFF"/>
                <w:lang w:val="zh-CN" w:eastAsia="zh-CN"/>
              </w:rPr>
            </w:pPr>
            <w:r>
              <w:rPr>
                <w:rFonts w:hint="eastAsia" w:ascii="宋体" w:hAnsi="宋体" w:cs="宋体"/>
                <w:color w:val="auto"/>
                <w:highlight w:val="none"/>
                <w:shd w:val="clear" w:color="auto" w:fill="FFFFFF"/>
                <w:lang w:val="en-US" w:eastAsia="zh-CN"/>
              </w:rPr>
              <w:t>内容</w:t>
            </w:r>
            <w:r>
              <w:rPr>
                <w:rFonts w:hint="eastAsia" w:ascii="宋体" w:hAnsi="宋体" w:cs="宋体"/>
                <w:color w:val="auto"/>
                <w:highlight w:val="none"/>
                <w:shd w:val="clear" w:color="auto" w:fill="FFFFFF"/>
                <w:lang w:val="zh-CN" w:eastAsia="zh-CN"/>
              </w:rPr>
              <w:t>详尽、完善，得</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lang w:val="zh-CN" w:eastAsia="zh-CN"/>
              </w:rPr>
              <w:t>分；</w:t>
            </w:r>
          </w:p>
          <w:p>
            <w:pPr>
              <w:numPr>
                <w:ilvl w:val="0"/>
                <w:numId w:val="0"/>
              </w:numPr>
              <w:autoSpaceDE w:val="0"/>
              <w:autoSpaceDN w:val="0"/>
              <w:adjustRightInd w:val="0"/>
              <w:snapToGrid w:val="0"/>
              <w:spacing w:line="400" w:lineRule="exact"/>
              <w:jc w:val="left"/>
              <w:rPr>
                <w:rFonts w:hint="eastAsia" w:ascii="宋体" w:hAnsi="宋体" w:cs="宋体"/>
                <w:color w:val="auto"/>
                <w:highlight w:val="none"/>
                <w:shd w:val="clear" w:color="auto" w:fill="FFFFFF"/>
                <w:lang w:val="zh-CN" w:eastAsia="zh-CN"/>
              </w:rPr>
            </w:pPr>
            <w:r>
              <w:rPr>
                <w:rFonts w:hint="eastAsia" w:ascii="宋体" w:hAnsi="宋体" w:cs="宋体"/>
                <w:color w:val="auto"/>
                <w:highlight w:val="none"/>
                <w:shd w:val="clear" w:color="auto" w:fill="FFFFFF"/>
                <w:lang w:val="zh-CN" w:eastAsia="zh-CN"/>
              </w:rPr>
              <w:t>编制内容不完善，操作性不强，得</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val="zh-CN" w:eastAsia="zh-CN"/>
              </w:rPr>
              <w:t>分；</w:t>
            </w:r>
          </w:p>
          <w:p>
            <w:pPr>
              <w:numPr>
                <w:ilvl w:val="0"/>
                <w:numId w:val="0"/>
              </w:numPr>
              <w:autoSpaceDE w:val="0"/>
              <w:autoSpaceDN w:val="0"/>
              <w:adjustRightInd w:val="0"/>
              <w:snapToGrid w:val="0"/>
              <w:spacing w:line="400" w:lineRule="exact"/>
              <w:jc w:val="left"/>
              <w:rPr>
                <w:color w:val="auto"/>
                <w:highlight w:val="none"/>
              </w:rPr>
            </w:pPr>
            <w:r>
              <w:rPr>
                <w:rFonts w:hint="eastAsia" w:ascii="宋体" w:hAnsi="宋体" w:cs="宋体"/>
                <w:color w:val="auto"/>
                <w:highlight w:val="none"/>
                <w:shd w:val="clear" w:color="auto" w:fill="FFFFFF"/>
                <w:lang w:val="en-US" w:eastAsia="zh-CN"/>
              </w:rPr>
              <w:t>未提供不得分。</w:t>
            </w:r>
          </w:p>
          <w:p>
            <w:pPr>
              <w:autoSpaceDE w:val="0"/>
              <w:autoSpaceDN w:val="0"/>
              <w:spacing w:line="360" w:lineRule="auto"/>
              <w:rPr>
                <w:rFonts w:ascii="宋体" w:hAnsi="宋体" w:cs="宋体"/>
                <w:color w:val="auto"/>
                <w:highlight w:val="none"/>
                <w:shd w:val="clear" w:color="auto" w:fill="FFFFFF"/>
              </w:rPr>
            </w:pPr>
            <w:r>
              <w:rPr>
                <w:rFonts w:ascii="宋体" w:hAnsi="宋体" w:cs="宋体"/>
                <w:color w:val="auto"/>
                <w:highlight w:val="none"/>
                <w:shd w:val="clear" w:color="auto" w:fill="FFFFFF"/>
              </w:rPr>
              <w:t>2、投标人通过GB/T27922售后服务认证（含尾气遥感）的，五星认证的得</w:t>
            </w:r>
            <w:r>
              <w:rPr>
                <w:rFonts w:hint="eastAsia" w:ascii="宋体" w:hAnsi="宋体" w:cs="宋体"/>
                <w:color w:val="auto"/>
                <w:highlight w:val="none"/>
                <w:shd w:val="clear" w:color="auto" w:fill="FFFFFF"/>
              </w:rPr>
              <w:t>3</w:t>
            </w:r>
            <w:r>
              <w:rPr>
                <w:rFonts w:ascii="宋体" w:hAnsi="宋体" w:cs="宋体"/>
                <w:color w:val="auto"/>
                <w:highlight w:val="none"/>
                <w:shd w:val="clear" w:color="auto" w:fill="FFFFFF"/>
              </w:rPr>
              <w:t>分，四星认证的得</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分，三星认证的得</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分</w:t>
            </w:r>
            <w:r>
              <w:rPr>
                <w:rFonts w:hint="eastAsia" w:ascii="宋体" w:hAnsi="宋体" w:cs="宋体"/>
                <w:color w:val="auto"/>
                <w:highlight w:val="none"/>
                <w:shd w:val="clear" w:color="auto" w:fill="FFFFFF"/>
              </w:rPr>
              <w:t>，二</w:t>
            </w:r>
            <w:r>
              <w:rPr>
                <w:rFonts w:ascii="宋体" w:hAnsi="宋体" w:cs="宋体"/>
                <w:color w:val="auto"/>
                <w:highlight w:val="none"/>
                <w:shd w:val="clear" w:color="auto" w:fill="FFFFFF"/>
              </w:rPr>
              <w:t>星认证的得</w:t>
            </w:r>
            <w:r>
              <w:rPr>
                <w:rFonts w:hint="eastAsia" w:ascii="宋体" w:hAnsi="宋体" w:cs="宋体"/>
                <w:color w:val="auto"/>
                <w:highlight w:val="none"/>
                <w:shd w:val="clear" w:color="auto" w:fill="FFFFFF"/>
              </w:rPr>
              <w:t>0.5</w:t>
            </w:r>
            <w:r>
              <w:rPr>
                <w:rFonts w:ascii="宋体" w:hAnsi="宋体" w:cs="宋体"/>
                <w:color w:val="auto"/>
                <w:highlight w:val="none"/>
                <w:shd w:val="clear" w:color="auto" w:fill="FFFFFF"/>
              </w:rPr>
              <w:t>分</w:t>
            </w:r>
            <w:r>
              <w:rPr>
                <w:rFonts w:hint="eastAsia" w:ascii="宋体" w:hAnsi="宋体" w:cs="宋体"/>
                <w:color w:val="auto"/>
                <w:highlight w:val="none"/>
                <w:shd w:val="clear" w:color="auto" w:fill="FFFFFF"/>
              </w:rPr>
              <w:t>，一</w:t>
            </w:r>
            <w:r>
              <w:rPr>
                <w:rFonts w:ascii="宋体" w:hAnsi="宋体" w:cs="宋体"/>
                <w:color w:val="auto"/>
                <w:highlight w:val="none"/>
                <w:shd w:val="clear" w:color="auto" w:fill="FFFFFF"/>
              </w:rPr>
              <w:t>星认证的得</w:t>
            </w:r>
            <w:r>
              <w:rPr>
                <w:rFonts w:hint="eastAsia" w:ascii="宋体" w:hAnsi="宋体" w:cs="宋体"/>
                <w:color w:val="auto"/>
                <w:highlight w:val="none"/>
                <w:shd w:val="clear" w:color="auto" w:fill="FFFFFF"/>
              </w:rPr>
              <w:t>0.2</w:t>
            </w:r>
            <w:r>
              <w:rPr>
                <w:rFonts w:ascii="宋体" w:hAnsi="宋体" w:cs="宋体"/>
                <w:color w:val="auto"/>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shd w:val="clear" w:color="auto" w:fill="FFFFFF"/>
              </w:rPr>
            </w:pPr>
          </w:p>
        </w:tc>
        <w:tc>
          <w:tcPr>
            <w:tcW w:w="1226" w:type="dxa"/>
            <w:vAlign w:val="center"/>
          </w:tcPr>
          <w:p>
            <w:pPr>
              <w:autoSpaceDE w:val="0"/>
              <w:autoSpaceDN w:val="0"/>
              <w:adjustRightInd w:val="0"/>
              <w:spacing w:line="400" w:lineRule="exact"/>
              <w:jc w:val="center"/>
              <w:rPr>
                <w:rFonts w:ascii="宋体" w:hAnsi="Cambria" w:cs="宋体"/>
                <w:color w:val="auto"/>
                <w:kern w:val="0"/>
                <w:highlight w:val="none"/>
                <w:lang w:val="zh-CN"/>
              </w:rPr>
            </w:pPr>
            <w:r>
              <w:rPr>
                <w:rFonts w:hint="eastAsia" w:ascii="宋体" w:hAnsi="Cambria" w:cs="宋体"/>
                <w:color w:val="auto"/>
                <w:kern w:val="0"/>
                <w:highlight w:val="none"/>
                <w:lang w:val="zh-CN"/>
              </w:rPr>
              <w:t>本地化</w:t>
            </w:r>
          </w:p>
          <w:p>
            <w:pPr>
              <w:autoSpaceDE w:val="0"/>
              <w:autoSpaceDN w:val="0"/>
              <w:adjustRightInd w:val="0"/>
              <w:spacing w:line="400" w:lineRule="exact"/>
              <w:jc w:val="center"/>
              <w:rPr>
                <w:rFonts w:ascii="宋体" w:hAnsi="Cambria" w:cs="宋体"/>
                <w:color w:val="auto"/>
                <w:kern w:val="0"/>
                <w:highlight w:val="none"/>
              </w:rPr>
            </w:pPr>
            <w:r>
              <w:rPr>
                <w:rFonts w:hint="eastAsia" w:ascii="宋体" w:hAnsi="Cambria" w:cs="宋体"/>
                <w:color w:val="auto"/>
                <w:kern w:val="0"/>
                <w:highlight w:val="none"/>
                <w:lang w:val="zh-CN"/>
              </w:rPr>
              <w:t>服务能力</w:t>
            </w:r>
          </w:p>
        </w:tc>
        <w:tc>
          <w:tcPr>
            <w:tcW w:w="1250" w:type="dxa"/>
            <w:vAlign w:val="center"/>
          </w:tcPr>
          <w:p>
            <w:pPr>
              <w:autoSpaceDE w:val="0"/>
              <w:autoSpaceDN w:val="0"/>
              <w:adjustRightInd w:val="0"/>
              <w:spacing w:line="400" w:lineRule="exact"/>
              <w:jc w:val="center"/>
              <w:rPr>
                <w:rFonts w:hint="default" w:ascii="宋体" w:hAnsi="Cambria" w:eastAsia="宋体" w:cs="宋体"/>
                <w:color w:val="auto"/>
                <w:kern w:val="0"/>
                <w:highlight w:val="none"/>
                <w:lang w:val="en-US" w:eastAsia="zh-CN"/>
              </w:rPr>
            </w:pPr>
            <w:r>
              <w:rPr>
                <w:rFonts w:hint="eastAsia" w:ascii="宋体" w:hAnsi="Cambria" w:cs="宋体"/>
                <w:color w:val="auto"/>
                <w:kern w:val="0"/>
                <w:highlight w:val="none"/>
                <w:lang w:val="en-US" w:eastAsia="zh-CN"/>
              </w:rPr>
              <w:t>2分</w:t>
            </w:r>
          </w:p>
        </w:tc>
        <w:tc>
          <w:tcPr>
            <w:tcW w:w="4828" w:type="dxa"/>
            <w:vAlign w:val="center"/>
          </w:tcPr>
          <w:p>
            <w:pPr>
              <w:autoSpaceDE w:val="0"/>
              <w:autoSpaceDN w:val="0"/>
              <w:adjustRightInd w:val="0"/>
              <w:spacing w:line="400" w:lineRule="exact"/>
              <w:jc w:val="left"/>
              <w:rPr>
                <w:rFonts w:ascii="宋体" w:hAnsi="Cambria" w:cs="宋体"/>
                <w:color w:val="auto"/>
                <w:kern w:val="0"/>
                <w:highlight w:val="none"/>
              </w:rPr>
            </w:pPr>
            <w:r>
              <w:rPr>
                <w:rFonts w:ascii="宋体" w:hAnsi="宋体" w:cs="宋体"/>
                <w:color w:val="auto"/>
                <w:highlight w:val="none"/>
              </w:rPr>
              <w:t>在本地区有服务机构的</w:t>
            </w:r>
            <w:r>
              <w:rPr>
                <w:rFonts w:hint="eastAsia" w:ascii="宋体" w:hAnsi="宋体" w:cs="宋体"/>
                <w:color w:val="auto"/>
                <w:highlight w:val="none"/>
              </w:rPr>
              <w:t>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ascii="宋体" w:hAnsi="宋体" w:cs="宋体"/>
                <w:color w:val="auto"/>
                <w:highlight w:val="none"/>
              </w:rPr>
              <w:t>（办事处需提供租房协议）</w:t>
            </w:r>
            <w:r>
              <w:rPr>
                <w:rFonts w:hint="eastAsia" w:ascii="宋体" w:hAnsi="宋体" w:cs="宋体"/>
                <w:color w:val="auto"/>
                <w:highlight w:val="none"/>
              </w:rPr>
              <w:t>，</w:t>
            </w:r>
            <w:r>
              <w:rPr>
                <w:rFonts w:ascii="宋体" w:hAnsi="宋体" w:cs="宋体"/>
                <w:color w:val="auto"/>
                <w:highlight w:val="none"/>
              </w:rPr>
              <w:t>有委托合作性服务机构协议</w:t>
            </w:r>
            <w:r>
              <w:rPr>
                <w:rFonts w:ascii="宋体" w:hAnsi="宋体" w:cs="宋体"/>
                <w:color w:val="auto"/>
                <w:spacing w:val="-1"/>
                <w:highlight w:val="none"/>
              </w:rPr>
              <w:t>的</w:t>
            </w:r>
            <w:r>
              <w:rPr>
                <w:rFonts w:hint="eastAsia" w:ascii="宋体" w:hAnsi="宋体" w:cs="宋体"/>
                <w:color w:val="auto"/>
                <w:spacing w:val="-1"/>
                <w:highlight w:val="none"/>
              </w:rPr>
              <w:t>得</w:t>
            </w:r>
            <w:r>
              <w:rPr>
                <w:rFonts w:hint="eastAsia" w:ascii="宋体" w:hAnsi="宋体" w:cs="宋体"/>
                <w:color w:val="auto"/>
                <w:spacing w:val="-1"/>
                <w:highlight w:val="none"/>
                <w:lang w:val="en-US" w:eastAsia="zh-CN"/>
              </w:rPr>
              <w:t>1</w:t>
            </w:r>
            <w:r>
              <w:rPr>
                <w:rFonts w:hint="eastAsia" w:ascii="宋体" w:hAnsi="宋体" w:cs="宋体"/>
                <w:color w:val="auto"/>
                <w:spacing w:val="-1"/>
                <w:highlight w:val="none"/>
              </w:rPr>
              <w:t>分</w:t>
            </w:r>
            <w:r>
              <w:rPr>
                <w:rFonts w:ascii="宋体" w:hAnsi="宋体" w:cs="宋体"/>
                <w:color w:val="auto"/>
                <w:highlight w:val="none"/>
              </w:rPr>
              <w:t>(需提供合作性服务机构的工商营业执照、税务登记证、组织机构代码证及售后服务承诺函</w:t>
            </w:r>
            <w:r>
              <w:rPr>
                <w:rFonts w:ascii="宋体" w:hAnsi="宋体" w:cs="宋体"/>
                <w:color w:val="auto"/>
                <w:spacing w:val="-1"/>
                <w:highlight w:val="none"/>
              </w:rPr>
              <w:t>)</w:t>
            </w:r>
            <w:r>
              <w:rPr>
                <w:rFonts w:ascii="宋体" w:hAnsi="宋体" w:cs="宋体"/>
                <w:color w:val="auto"/>
                <w:highlight w:val="none"/>
              </w:rPr>
              <w:t>。没有不得分。本地化服务能力应包括机构性</w:t>
            </w:r>
            <w:r>
              <w:rPr>
                <w:rFonts w:ascii="宋体" w:hAnsi="宋体" w:cs="宋体"/>
                <w:color w:val="auto"/>
                <w:spacing w:val="-1"/>
                <w:highlight w:val="none"/>
              </w:rPr>
              <w:t>质</w:t>
            </w:r>
            <w:r>
              <w:rPr>
                <w:rFonts w:ascii="宋体" w:hAnsi="宋体" w:cs="宋体"/>
                <w:color w:val="auto"/>
                <w:spacing w:val="-8"/>
                <w:highlight w:val="none"/>
              </w:rPr>
              <w:t>、</w:t>
            </w:r>
            <w:r>
              <w:rPr>
                <w:rFonts w:ascii="宋体" w:hAnsi="宋体" w:cs="宋体"/>
                <w:color w:val="auto"/>
                <w:highlight w:val="none"/>
              </w:rPr>
              <w:t>人员配置</w:t>
            </w:r>
            <w:r>
              <w:rPr>
                <w:rFonts w:ascii="宋体" w:hAnsi="宋体" w:cs="宋体"/>
                <w:color w:val="auto"/>
                <w:spacing w:val="-5"/>
                <w:highlight w:val="none"/>
              </w:rPr>
              <w:t>、</w:t>
            </w:r>
            <w:r>
              <w:rPr>
                <w:rFonts w:ascii="宋体" w:hAnsi="宋体" w:cs="宋体"/>
                <w:color w:val="auto"/>
                <w:highlight w:val="none"/>
              </w:rPr>
              <w:t>服务能</w:t>
            </w:r>
            <w:r>
              <w:rPr>
                <w:rFonts w:ascii="宋体" w:hAnsi="宋体" w:cs="宋体"/>
                <w:color w:val="auto"/>
                <w:spacing w:val="-1"/>
                <w:highlight w:val="none"/>
              </w:rPr>
              <w:t>力</w:t>
            </w:r>
            <w:r>
              <w:rPr>
                <w:rFonts w:ascii="宋体" w:hAnsi="宋体" w:cs="宋体"/>
                <w:color w:val="auto"/>
                <w:highlight w:val="none"/>
              </w:rPr>
              <w:t>、售后服务</w:t>
            </w:r>
            <w:r>
              <w:rPr>
                <w:rFonts w:hint="eastAsia" w:ascii="宋体" w:hAnsi="宋体" w:cs="宋体"/>
                <w:color w:val="auto"/>
                <w:highlight w:val="none"/>
              </w:rPr>
              <w:t>负责人</w:t>
            </w:r>
            <w:r>
              <w:rPr>
                <w:rFonts w:ascii="宋体" w:hAnsi="宋体" w:cs="宋体"/>
                <w:color w:val="auto"/>
                <w:highlight w:val="none"/>
              </w:rPr>
              <w:t>联系方式等</w:t>
            </w:r>
            <w:r>
              <w:rPr>
                <w:rFonts w:ascii="宋体" w:hAnsi="宋体" w:cs="宋体"/>
                <w:color w:val="auto"/>
                <w:spacing w:val="-1"/>
                <w:highlight w:val="none"/>
              </w:rPr>
              <w:t>（</w:t>
            </w:r>
            <w:r>
              <w:rPr>
                <w:rFonts w:ascii="宋体" w:hAnsi="宋体" w:cs="宋体"/>
                <w:color w:val="auto"/>
                <w:highlight w:val="none"/>
              </w:rPr>
              <w:t>需提供相关证明材料复印件）。</w:t>
            </w:r>
          </w:p>
        </w:tc>
      </w:tr>
      <w:bookmarkEnd w:id="109"/>
    </w:tbl>
    <w:p>
      <w:pPr>
        <w:spacing w:line="360" w:lineRule="auto"/>
        <w:rPr>
          <w:rFonts w:ascii="宋体" w:hAnsi="宋体" w:cs="宋体"/>
          <w:color w:val="auto"/>
          <w:sz w:val="21"/>
          <w:szCs w:val="21"/>
          <w:highlight w:val="none"/>
        </w:rPr>
      </w:pPr>
    </w:p>
    <w:p>
      <w:pPr>
        <w:autoSpaceDE w:val="0"/>
        <w:autoSpaceDN w:val="0"/>
        <w:spacing w:line="360" w:lineRule="auto"/>
        <w:ind w:firstLine="480" w:firstLineChars="200"/>
        <w:rPr>
          <w:rFonts w:ascii="宋体" w:cs="宋体"/>
          <w:color w:val="auto"/>
          <w:highlight w:val="none"/>
          <w:shd w:val="clear" w:color="auto" w:fill="FFFFFF"/>
        </w:rPr>
      </w:pPr>
      <w:r>
        <w:rPr>
          <w:rFonts w:ascii="宋体" w:hAnsi="宋体" w:cs="宋体"/>
          <w:color w:val="auto"/>
          <w:highlight w:val="none"/>
          <w:shd w:val="clear" w:color="auto" w:fill="FFFFFF"/>
        </w:rPr>
        <w:t xml:space="preserve">20.3 </w:t>
      </w:r>
      <w:r>
        <w:rPr>
          <w:rFonts w:hint="eastAsia" w:ascii="宋体" w:hAnsi="宋体" w:cs="宋体"/>
          <w:b/>
          <w:bCs/>
          <w:color w:val="auto"/>
          <w:kern w:val="0"/>
          <w:highlight w:val="none"/>
        </w:rPr>
        <w:t>采用综合评分法的，</w:t>
      </w:r>
      <w:r>
        <w:rPr>
          <w:rFonts w:hint="eastAsia" w:ascii="宋体" w:hAnsi="宋体" w:cs="宋体"/>
          <w:color w:val="auto"/>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color w:val="auto"/>
          <w:highlight w:val="none"/>
          <w:shd w:val="clear" w:color="auto" w:fill="FFFFFF"/>
        </w:rPr>
      </w:pPr>
      <w:r>
        <w:rPr>
          <w:rFonts w:ascii="宋体" w:hAnsi="宋体" w:cs="宋体"/>
          <w:color w:val="auto"/>
          <w:highlight w:val="none"/>
          <w:shd w:val="clear" w:color="auto" w:fill="FFFFFF"/>
        </w:rPr>
        <w:t xml:space="preserve">20.4 </w:t>
      </w:r>
      <w:r>
        <w:rPr>
          <w:rFonts w:hint="eastAsia" w:ascii="宋体" w:hAnsi="宋体" w:cs="宋体"/>
          <w:color w:val="auto"/>
          <w:highlight w:val="none"/>
          <w:shd w:val="clear" w:color="auto" w:fill="FFFFFF"/>
        </w:rPr>
        <w:t>评标结果汇总完成后，除下列情形外，任何人不得修改评标结果：</w:t>
      </w:r>
    </w:p>
    <w:p>
      <w:pPr>
        <w:autoSpaceDE w:val="0"/>
        <w:autoSpaceDN w:val="0"/>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）分值汇总计算错误的；</w:t>
      </w:r>
    </w:p>
    <w:p>
      <w:pPr>
        <w:autoSpaceDE w:val="0"/>
        <w:autoSpaceDN w:val="0"/>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2</w:t>
      </w:r>
      <w:r>
        <w:rPr>
          <w:rFonts w:hint="eastAsia" w:ascii="宋体" w:hAnsi="宋体" w:cs="宋体"/>
          <w:color w:val="auto"/>
          <w:highlight w:val="none"/>
          <w:shd w:val="clear" w:color="auto" w:fill="FFFFFF"/>
        </w:rPr>
        <w:t>）分项评分超出评分标准范围的；</w:t>
      </w:r>
    </w:p>
    <w:p>
      <w:pPr>
        <w:autoSpaceDE w:val="0"/>
        <w:autoSpaceDN w:val="0"/>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）评标委员会成员对客观评审因素评分不一致的；</w:t>
      </w:r>
    </w:p>
    <w:p>
      <w:pPr>
        <w:autoSpaceDE w:val="0"/>
        <w:autoSpaceDN w:val="0"/>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4</w:t>
      </w:r>
      <w:r>
        <w:rPr>
          <w:rFonts w:hint="eastAsia" w:ascii="宋体" w:hAnsi="宋体" w:cs="宋体"/>
          <w:color w:val="auto"/>
          <w:highlight w:val="none"/>
          <w:shd w:val="clear" w:color="auto" w:fill="FFFFFF"/>
        </w:rPr>
        <w:t>）经评标委员会认定评分畸高、畸低的。</w:t>
      </w:r>
    </w:p>
    <w:p>
      <w:pPr>
        <w:autoSpaceDE w:val="0"/>
        <w:autoSpaceDN w:val="0"/>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投标人对以上情形提出质疑的，采购代理机构可以组织原评标委员会进行重新评审，重新评审改变评标结果的，应当书面报告本级财政部门。</w:t>
      </w:r>
    </w:p>
    <w:p>
      <w:pPr>
        <w:pStyle w:val="28"/>
        <w:spacing w:before="0" w:after="0" w:line="360" w:lineRule="auto"/>
        <w:rPr>
          <w:rFonts w:ascii="宋体" w:cs="宋体"/>
          <w:color w:val="auto"/>
          <w:highlight w:val="none"/>
          <w:lang w:val="zh-CN"/>
        </w:rPr>
      </w:pPr>
      <w:bookmarkStart w:id="110" w:name="_Toc3638"/>
      <w:r>
        <w:rPr>
          <w:rFonts w:hint="eastAsia" w:ascii="宋体" w:hAnsi="宋体" w:cs="宋体"/>
          <w:color w:val="auto"/>
          <w:highlight w:val="none"/>
          <w:lang w:val="zh-CN"/>
        </w:rPr>
        <w:t>八、中标</w:t>
      </w:r>
      <w:bookmarkEnd w:id="110"/>
    </w:p>
    <w:p>
      <w:pPr>
        <w:pStyle w:val="28"/>
        <w:spacing w:before="0" w:after="0" w:line="360" w:lineRule="auto"/>
        <w:jc w:val="left"/>
        <w:rPr>
          <w:rFonts w:ascii="宋体" w:cs="宋体"/>
          <w:color w:val="auto"/>
          <w:highlight w:val="none"/>
          <w:lang w:val="zh-CN"/>
        </w:rPr>
      </w:pPr>
      <w:bookmarkStart w:id="111" w:name="_Toc23239"/>
      <w:r>
        <w:rPr>
          <w:rFonts w:ascii="宋体" w:hAnsi="宋体" w:cs="宋体"/>
          <w:color w:val="auto"/>
          <w:sz w:val="28"/>
          <w:szCs w:val="28"/>
          <w:highlight w:val="none"/>
          <w:lang w:val="zh-CN"/>
        </w:rPr>
        <w:t>2</w:t>
      </w:r>
      <w:r>
        <w:rPr>
          <w:rFonts w:ascii="宋体" w:hAnsi="宋体" w:cs="宋体"/>
          <w:color w:val="auto"/>
          <w:sz w:val="28"/>
          <w:szCs w:val="28"/>
          <w:highlight w:val="none"/>
        </w:rPr>
        <w:t>1</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推荐并确定中标人</w:t>
      </w:r>
      <w:bookmarkEnd w:id="111"/>
    </w:p>
    <w:p>
      <w:pPr>
        <w:autoSpaceDE w:val="0"/>
        <w:autoSpaceDN w:val="0"/>
        <w:spacing w:line="360" w:lineRule="auto"/>
        <w:ind w:firstLine="480" w:firstLineChars="200"/>
        <w:rPr>
          <w:rFonts w:ascii="宋体" w:cs="宋体"/>
          <w:color w:val="auto"/>
          <w:highlight w:val="none"/>
        </w:rPr>
      </w:pPr>
      <w:r>
        <w:rPr>
          <w:rFonts w:ascii="宋体" w:hAnsi="宋体" w:cs="宋体"/>
          <w:color w:val="auto"/>
          <w:highlight w:val="none"/>
        </w:rPr>
        <w:t xml:space="preserve">21.1 </w:t>
      </w:r>
      <w:r>
        <w:rPr>
          <w:rFonts w:hint="eastAsia" w:ascii="宋体" w:hAnsi="宋体" w:cs="宋体"/>
          <w:color w:val="auto"/>
          <w:highlight w:val="none"/>
        </w:rPr>
        <w:t>采购代理机构应当在评标结束后</w:t>
      </w:r>
      <w:r>
        <w:rPr>
          <w:rFonts w:ascii="宋体" w:hAnsi="宋体" w:cs="宋体"/>
          <w:color w:val="auto"/>
          <w:highlight w:val="none"/>
        </w:rPr>
        <w:t>2</w:t>
      </w:r>
      <w:r>
        <w:rPr>
          <w:rFonts w:hint="eastAsia" w:ascii="宋体" w:hAnsi="宋体" w:cs="宋体"/>
          <w:color w:val="auto"/>
          <w:highlight w:val="none"/>
        </w:rPr>
        <w:t>个工作日内将评标报告送采购人。采购人应当自收到评标报告之日起</w:t>
      </w:r>
      <w:r>
        <w:rPr>
          <w:rFonts w:ascii="宋体" w:hAnsi="宋体" w:cs="宋体"/>
          <w:color w:val="auto"/>
          <w:highlight w:val="none"/>
        </w:rPr>
        <w:t>5</w:t>
      </w:r>
      <w:r>
        <w:rPr>
          <w:rFonts w:hint="eastAsia" w:ascii="宋体" w:hAnsi="宋体" w:cs="宋体"/>
          <w:color w:val="auto"/>
          <w:highlight w:val="none"/>
        </w:rPr>
        <w:t>个工作日内，在评标报告确定的中标候选人名单中按顺序确定中标人。中标候选人并列的，由采购人委托评标委员会按照报价最低的方式确定中标人。</w:t>
      </w:r>
    </w:p>
    <w:p>
      <w:pPr>
        <w:autoSpaceDE w:val="0"/>
        <w:autoSpaceDN w:val="0"/>
        <w:spacing w:line="360" w:lineRule="auto"/>
        <w:ind w:firstLine="480" w:firstLineChars="200"/>
        <w:rPr>
          <w:rFonts w:ascii="宋体" w:cs="宋体"/>
          <w:color w:val="auto"/>
          <w:highlight w:val="none"/>
        </w:rPr>
      </w:pPr>
      <w:r>
        <w:rPr>
          <w:rFonts w:ascii="宋体" w:hAnsi="宋体" w:cs="宋体"/>
          <w:color w:val="auto"/>
          <w:highlight w:val="none"/>
        </w:rPr>
        <w:t xml:space="preserve">21.2 </w:t>
      </w:r>
      <w:r>
        <w:rPr>
          <w:rFonts w:hint="eastAsia" w:ascii="宋体" w:hAnsi="宋体" w:cs="宋体"/>
          <w:color w:val="auto"/>
          <w:highlight w:val="none"/>
        </w:rPr>
        <w:t>采购人自行组织招标的，应当在评标结束后</w:t>
      </w:r>
      <w:r>
        <w:rPr>
          <w:rFonts w:ascii="宋体" w:hAnsi="宋体" w:cs="宋体"/>
          <w:color w:val="auto"/>
          <w:highlight w:val="none"/>
        </w:rPr>
        <w:t>5</w:t>
      </w:r>
      <w:r>
        <w:rPr>
          <w:rFonts w:hint="eastAsia" w:ascii="宋体" w:hAnsi="宋体" w:cs="宋体"/>
          <w:color w:val="auto"/>
          <w:highlight w:val="none"/>
        </w:rPr>
        <w:t>个工作日内确定中标人。</w:t>
      </w:r>
    </w:p>
    <w:p>
      <w:pPr>
        <w:autoSpaceDE w:val="0"/>
        <w:autoSpaceDN w:val="0"/>
        <w:spacing w:line="360" w:lineRule="auto"/>
        <w:ind w:firstLine="480" w:firstLineChars="200"/>
        <w:rPr>
          <w:rFonts w:ascii="宋体" w:cs="宋体"/>
          <w:color w:val="auto"/>
          <w:highlight w:val="none"/>
        </w:rPr>
      </w:pPr>
      <w:r>
        <w:rPr>
          <w:rFonts w:ascii="宋体" w:hAnsi="宋体" w:cs="宋体"/>
          <w:color w:val="auto"/>
          <w:highlight w:val="none"/>
        </w:rPr>
        <w:t xml:space="preserve">21.3 </w:t>
      </w:r>
      <w:r>
        <w:rPr>
          <w:rFonts w:hint="eastAsia" w:ascii="宋体" w:hAnsi="宋体" w:cs="宋体"/>
          <w:color w:val="auto"/>
          <w:highlight w:val="none"/>
        </w:rPr>
        <w:t>采购人在收到评标报告</w:t>
      </w:r>
      <w:r>
        <w:rPr>
          <w:rFonts w:ascii="宋体" w:hAnsi="宋体" w:cs="宋体"/>
          <w:color w:val="auto"/>
          <w:highlight w:val="none"/>
        </w:rPr>
        <w:t>5</w:t>
      </w:r>
      <w:r>
        <w:rPr>
          <w:rFonts w:hint="eastAsia" w:ascii="宋体" w:hAnsi="宋体" w:cs="宋体"/>
          <w:color w:val="auto"/>
          <w:highlight w:val="none"/>
        </w:rPr>
        <w:t>个工作日内未按评标报告推荐的中标候选人顺序确定中标人，又不能说明合法理由的，视同按评标报告推荐的顺序确定排名第一的中标候选人为中标人。</w:t>
      </w:r>
    </w:p>
    <w:p>
      <w:pPr>
        <w:pStyle w:val="28"/>
        <w:spacing w:before="0" w:after="0" w:line="360" w:lineRule="auto"/>
        <w:jc w:val="left"/>
        <w:rPr>
          <w:rFonts w:ascii="宋体" w:cs="宋体"/>
          <w:color w:val="auto"/>
          <w:highlight w:val="none"/>
          <w:lang w:val="zh-CN"/>
        </w:rPr>
      </w:pPr>
      <w:bookmarkStart w:id="112" w:name="_Toc27783"/>
      <w:r>
        <w:rPr>
          <w:rFonts w:ascii="宋体" w:hAnsi="宋体" w:cs="宋体"/>
          <w:color w:val="auto"/>
          <w:sz w:val="28"/>
          <w:szCs w:val="28"/>
          <w:highlight w:val="none"/>
          <w:lang w:val="zh-CN"/>
        </w:rPr>
        <w:t>2</w:t>
      </w:r>
      <w:r>
        <w:rPr>
          <w:rFonts w:ascii="宋体" w:hAnsi="宋体" w:cs="宋体"/>
          <w:color w:val="auto"/>
          <w:sz w:val="28"/>
          <w:szCs w:val="28"/>
          <w:highlight w:val="none"/>
        </w:rPr>
        <w:t>2</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中标通知</w:t>
      </w:r>
      <w:bookmarkEnd w:id="112"/>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22.1 </w:t>
      </w:r>
      <w:r>
        <w:rPr>
          <w:rFonts w:hint="eastAsia" w:ascii="宋体" w:hAnsi="宋体" w:cs="宋体"/>
          <w:color w:val="auto"/>
          <w:kern w:val="0"/>
          <w:highlight w:val="none"/>
        </w:rPr>
        <w:t>采购代理机构应当自中标人确定之日起</w:t>
      </w:r>
      <w:r>
        <w:rPr>
          <w:rFonts w:ascii="宋体" w:hAnsi="宋体" w:cs="宋体"/>
          <w:color w:val="auto"/>
          <w:kern w:val="0"/>
          <w:highlight w:val="none"/>
        </w:rPr>
        <w:t>2</w:t>
      </w:r>
      <w:r>
        <w:rPr>
          <w:rFonts w:hint="eastAsia" w:ascii="宋体" w:hAnsi="宋体" w:cs="宋体"/>
          <w:color w:val="auto"/>
          <w:kern w:val="0"/>
          <w:highlight w:val="none"/>
        </w:rPr>
        <w:t>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22.2 </w:t>
      </w:r>
      <w:r>
        <w:rPr>
          <w:rFonts w:hint="eastAsia" w:ascii="宋体" w:hAnsi="宋体" w:cs="宋体"/>
          <w:color w:val="auto"/>
          <w:kern w:val="0"/>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22.3 </w:t>
      </w:r>
      <w:r>
        <w:rPr>
          <w:rFonts w:hint="eastAsia" w:ascii="宋体" w:hAnsi="宋体" w:cs="宋体"/>
          <w:color w:val="auto"/>
          <w:kern w:val="0"/>
          <w:highlight w:val="none"/>
        </w:rPr>
        <w:t>中标公告期限为</w:t>
      </w:r>
      <w:r>
        <w:rPr>
          <w:rFonts w:ascii="宋体" w:hAnsi="宋体" w:cs="宋体"/>
          <w:color w:val="auto"/>
          <w:kern w:val="0"/>
          <w:highlight w:val="none"/>
        </w:rPr>
        <w:t>1</w:t>
      </w:r>
      <w:r>
        <w:rPr>
          <w:rFonts w:hint="eastAsia" w:ascii="宋体" w:hAnsi="宋体" w:cs="宋体"/>
          <w:color w:val="auto"/>
          <w:kern w:val="0"/>
          <w:highlight w:val="none"/>
        </w:rPr>
        <w:t>个工作日。</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22.4 </w:t>
      </w:r>
      <w:r>
        <w:rPr>
          <w:rFonts w:hint="eastAsia" w:ascii="宋体" w:hAnsi="宋体" w:cs="宋体"/>
          <w:color w:val="auto"/>
          <w:kern w:val="0"/>
          <w:highlight w:val="none"/>
        </w:rPr>
        <w:t>在公告中标结果的同时，</w:t>
      </w:r>
      <w:r>
        <w:rPr>
          <w:rFonts w:hint="eastAsia" w:ascii="宋体" w:hAnsi="宋体" w:cs="宋体"/>
          <w:color w:val="auto"/>
          <w:highlight w:val="none"/>
          <w:shd w:val="clear" w:color="auto" w:fill="FFFFFF"/>
        </w:rPr>
        <w:t>采购代理机构</w:t>
      </w:r>
      <w:r>
        <w:rPr>
          <w:rFonts w:hint="eastAsia" w:ascii="宋体" w:hAnsi="宋体" w:cs="宋体"/>
          <w:color w:val="auto"/>
          <w:kern w:val="0"/>
          <w:highlight w:val="none"/>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22.5 </w:t>
      </w:r>
      <w:r>
        <w:rPr>
          <w:rFonts w:hint="eastAsia" w:ascii="宋体" w:hAnsi="宋体" w:cs="宋体"/>
          <w:color w:val="auto"/>
          <w:kern w:val="0"/>
          <w:highlight w:val="none"/>
        </w:rPr>
        <w:t>中标通知书发出后，采购人不得违法改变中标结果，中标人无正当理由不得放弃中标。</w:t>
      </w:r>
    </w:p>
    <w:p>
      <w:pPr>
        <w:pStyle w:val="28"/>
        <w:spacing w:before="0" w:after="0" w:line="360" w:lineRule="auto"/>
        <w:rPr>
          <w:rFonts w:ascii="宋体" w:cs="宋体"/>
          <w:color w:val="auto"/>
          <w:highlight w:val="none"/>
          <w:lang w:val="zh-CN"/>
        </w:rPr>
      </w:pPr>
      <w:bookmarkStart w:id="113" w:name="_Toc17117"/>
      <w:r>
        <w:rPr>
          <w:rFonts w:hint="eastAsia" w:ascii="宋体" w:hAnsi="宋体" w:cs="宋体"/>
          <w:color w:val="auto"/>
          <w:highlight w:val="none"/>
          <w:lang w:val="zh-CN"/>
        </w:rPr>
        <w:t>九、授予合同</w:t>
      </w:r>
      <w:bookmarkEnd w:id="113"/>
    </w:p>
    <w:p>
      <w:pPr>
        <w:pStyle w:val="28"/>
        <w:spacing w:before="0" w:after="0" w:line="360" w:lineRule="auto"/>
        <w:jc w:val="left"/>
        <w:rPr>
          <w:rFonts w:ascii="宋体" w:cs="宋体"/>
          <w:color w:val="auto"/>
          <w:kern w:val="0"/>
          <w:sz w:val="24"/>
          <w:highlight w:val="none"/>
        </w:rPr>
      </w:pPr>
      <w:bookmarkStart w:id="114" w:name="_Toc1867"/>
      <w:r>
        <w:rPr>
          <w:rFonts w:ascii="宋体" w:hAnsi="宋体" w:cs="宋体"/>
          <w:color w:val="auto"/>
          <w:sz w:val="28"/>
          <w:szCs w:val="28"/>
          <w:highlight w:val="none"/>
          <w:lang w:val="zh-CN"/>
        </w:rPr>
        <w:t>2</w:t>
      </w:r>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签订合同</w:t>
      </w:r>
      <w:bookmarkEnd w:id="114"/>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lang w:val="zh-CN"/>
        </w:rPr>
        <w:t>2</w:t>
      </w:r>
      <w:r>
        <w:rPr>
          <w:rFonts w:ascii="宋体" w:hAnsi="宋体" w:cs="宋体"/>
          <w:color w:val="auto"/>
          <w:kern w:val="0"/>
          <w:highlight w:val="none"/>
        </w:rPr>
        <w:t>3</w:t>
      </w:r>
      <w:r>
        <w:rPr>
          <w:rFonts w:ascii="宋体" w:hAnsi="宋体" w:cs="宋体"/>
          <w:color w:val="auto"/>
          <w:kern w:val="0"/>
          <w:highlight w:val="none"/>
          <w:lang w:val="zh-CN"/>
        </w:rPr>
        <w:t>.1</w:t>
      </w:r>
      <w:r>
        <w:rPr>
          <w:rFonts w:ascii="宋体" w:hAnsi="宋体" w:cs="宋体"/>
          <w:color w:val="auto"/>
          <w:kern w:val="0"/>
          <w:highlight w:val="none"/>
        </w:rPr>
        <w:t xml:space="preserve"> </w:t>
      </w:r>
      <w:r>
        <w:rPr>
          <w:rFonts w:hint="eastAsia" w:ascii="宋体" w:hAnsi="宋体" w:cs="宋体"/>
          <w:color w:val="auto"/>
          <w:kern w:val="0"/>
          <w:highlight w:val="none"/>
        </w:rPr>
        <w:t>采购人应当自中标通知书发出之日起</w:t>
      </w:r>
      <w:r>
        <w:rPr>
          <w:rFonts w:ascii="宋体" w:hAnsi="宋体" w:cs="宋体"/>
          <w:color w:val="auto"/>
          <w:kern w:val="0"/>
          <w:highlight w:val="none"/>
        </w:rPr>
        <w:t>30</w:t>
      </w:r>
      <w:r>
        <w:rPr>
          <w:rFonts w:hint="eastAsia" w:ascii="宋体" w:hAnsi="宋体" w:cs="宋体"/>
          <w:color w:val="auto"/>
          <w:kern w:val="0"/>
          <w:highlight w:val="none"/>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采购人不得向中标人提出任何不合理的要求作为签订合同的条件。</w:t>
      </w:r>
    </w:p>
    <w:p>
      <w:pPr>
        <w:autoSpaceDE w:val="0"/>
        <w:autoSpaceDN w:val="0"/>
        <w:spacing w:line="360" w:lineRule="auto"/>
        <w:ind w:firstLine="480" w:firstLineChars="200"/>
        <w:rPr>
          <w:rFonts w:ascii="宋体" w:cs="宋体"/>
          <w:color w:val="auto"/>
          <w:kern w:val="0"/>
          <w:highlight w:val="none"/>
          <w:lang w:val="zh-CN"/>
        </w:rPr>
      </w:pPr>
      <w:r>
        <w:rPr>
          <w:rFonts w:ascii="宋体" w:hAnsi="宋体" w:cs="宋体"/>
          <w:color w:val="auto"/>
          <w:kern w:val="0"/>
          <w:highlight w:val="none"/>
          <w:lang w:val="zh-CN"/>
        </w:rPr>
        <w:t>2</w:t>
      </w:r>
      <w:r>
        <w:rPr>
          <w:rFonts w:ascii="宋体" w:hAnsi="宋体" w:cs="宋体"/>
          <w:color w:val="auto"/>
          <w:kern w:val="0"/>
          <w:highlight w:val="none"/>
        </w:rPr>
        <w:t>3</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rPr>
        <w:t>中标人拒绝与采购人签订合同的</w:t>
      </w:r>
      <w:r>
        <w:rPr>
          <w:rFonts w:hint="eastAsia" w:ascii="宋体" w:hAnsi="宋体" w:cs="宋体"/>
          <w:color w:val="auto"/>
          <w:kern w:val="0"/>
          <w:highlight w:val="none"/>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color w:val="auto"/>
          <w:kern w:val="0"/>
          <w:highlight w:val="none"/>
          <w:lang w:val="zh-CN"/>
        </w:rPr>
      </w:pPr>
      <w:r>
        <w:rPr>
          <w:rFonts w:ascii="宋体" w:hAnsi="宋体" w:cs="宋体"/>
          <w:color w:val="auto"/>
          <w:kern w:val="0"/>
          <w:highlight w:val="none"/>
          <w:lang w:val="zh-CN"/>
        </w:rPr>
        <w:t>2</w:t>
      </w:r>
      <w:r>
        <w:rPr>
          <w:rFonts w:ascii="宋体" w:hAnsi="宋体" w:cs="宋体"/>
          <w:color w:val="auto"/>
          <w:kern w:val="0"/>
          <w:highlight w:val="none"/>
        </w:rPr>
        <w:t>3</w:t>
      </w:r>
      <w:r>
        <w:rPr>
          <w:rFonts w:ascii="宋体" w:cs="宋体"/>
          <w:color w:val="auto"/>
          <w:kern w:val="0"/>
          <w:highlight w:val="none"/>
          <w:lang w:val="zh-CN"/>
        </w:rPr>
        <w:t>.</w:t>
      </w:r>
      <w:r>
        <w:rPr>
          <w:rFonts w:ascii="宋体" w:hAnsi="宋体" w:cs="宋体"/>
          <w:color w:val="auto"/>
          <w:kern w:val="0"/>
          <w:highlight w:val="none"/>
        </w:rPr>
        <w:t xml:space="preserve">3 </w:t>
      </w:r>
      <w:r>
        <w:rPr>
          <w:rFonts w:hint="eastAsia" w:ascii="宋体" w:hAnsi="宋体" w:cs="宋体"/>
          <w:color w:val="auto"/>
          <w:kern w:val="0"/>
          <w:highlight w:val="none"/>
          <w:lang w:val="zh-CN"/>
        </w:rPr>
        <w:t>招标文件、中标人的投标文件、《中标通知书》及其澄清、说明文件、承诺等，均为签订采购合同的依据，作为采购合同的组成部分。</w:t>
      </w:r>
    </w:p>
    <w:p>
      <w:pPr>
        <w:autoSpaceDE w:val="0"/>
        <w:autoSpaceDN w:val="0"/>
        <w:spacing w:line="360" w:lineRule="auto"/>
        <w:ind w:firstLine="482" w:firstLineChars="200"/>
        <w:rPr>
          <w:rFonts w:ascii="宋体" w:cs="宋体"/>
          <w:b/>
          <w:bCs/>
          <w:color w:val="auto"/>
          <w:kern w:val="0"/>
          <w:highlight w:val="none"/>
          <w:lang w:val="zh-CN"/>
        </w:rPr>
      </w:pPr>
      <w:r>
        <w:rPr>
          <w:rFonts w:hint="eastAsia" w:ascii="宋体" w:hAnsi="宋体" w:cs="宋体"/>
          <w:b/>
          <w:bCs/>
          <w:color w:val="auto"/>
          <w:kern w:val="0"/>
          <w:highlight w:val="none"/>
          <w:lang w:val="zh-CN"/>
        </w:rPr>
        <w:t>备注：政府采购合同备案，采购合同全数返还采购代理机构鉴证、盖章。采购代理机构留存壹份备案。（所有合同必须胶装成册，活页装订不予备案）</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22.4 </w:t>
      </w:r>
      <w:r>
        <w:rPr>
          <w:rFonts w:hint="eastAsia" w:ascii="宋体" w:hAnsi="宋体" w:cs="宋体"/>
          <w:color w:val="auto"/>
          <w:kern w:val="0"/>
          <w:highlight w:val="none"/>
          <w:lang w:val="zh-CN"/>
        </w:rPr>
        <w:t>采购合同签订之日起</w:t>
      </w:r>
      <w:r>
        <w:rPr>
          <w:rFonts w:ascii="宋体" w:hAnsi="宋体" w:cs="宋体"/>
          <w:color w:val="auto"/>
          <w:kern w:val="0"/>
          <w:highlight w:val="none"/>
        </w:rPr>
        <w:t>2</w:t>
      </w:r>
      <w:r>
        <w:rPr>
          <w:rFonts w:hint="eastAsia" w:ascii="宋体" w:hAnsi="宋体" w:cs="宋体"/>
          <w:color w:val="auto"/>
          <w:kern w:val="0"/>
          <w:highlight w:val="none"/>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23.5 </w:t>
      </w:r>
      <w:r>
        <w:rPr>
          <w:rFonts w:hint="eastAsia" w:ascii="宋体" w:hAnsi="宋体" w:cs="宋体"/>
          <w:color w:val="auto"/>
          <w:kern w:val="0"/>
          <w:highlight w:val="none"/>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23.6 </w:t>
      </w:r>
      <w:r>
        <w:rPr>
          <w:rFonts w:hint="eastAsia" w:ascii="宋体" w:hAnsi="宋体" w:cs="宋体"/>
          <w:color w:val="auto"/>
          <w:kern w:val="0"/>
          <w:highlight w:val="none"/>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23.7 </w:t>
      </w:r>
      <w:r>
        <w:rPr>
          <w:rFonts w:hint="eastAsia" w:ascii="宋体" w:hAnsi="宋体" w:cs="宋体"/>
          <w:color w:val="auto"/>
          <w:kern w:val="0"/>
          <w:highlight w:val="none"/>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 xml:space="preserve">23.8 </w:t>
      </w:r>
      <w:r>
        <w:rPr>
          <w:rFonts w:hint="eastAsia" w:ascii="宋体" w:hAnsi="宋体" w:cs="宋体"/>
          <w:color w:val="auto"/>
          <w:kern w:val="0"/>
          <w:highlight w:val="none"/>
        </w:rPr>
        <w:t>采购人、采购代理机构应当建立真实完整的招标采购档案，妥善保存每项采购活动的采购文件。</w:t>
      </w:r>
    </w:p>
    <w:p>
      <w:pPr>
        <w:pStyle w:val="28"/>
        <w:spacing w:before="0" w:after="0" w:line="360" w:lineRule="auto"/>
        <w:rPr>
          <w:rFonts w:ascii="宋体" w:cs="宋体"/>
          <w:color w:val="auto"/>
          <w:highlight w:val="none"/>
          <w:lang w:val="zh-CN"/>
        </w:rPr>
      </w:pPr>
      <w:bookmarkStart w:id="115" w:name="_Toc25885"/>
      <w:r>
        <w:rPr>
          <w:rFonts w:hint="eastAsia" w:ascii="宋体" w:hAnsi="宋体" w:cs="宋体"/>
          <w:color w:val="auto"/>
          <w:highlight w:val="none"/>
          <w:lang w:val="zh-CN"/>
        </w:rPr>
        <w:t>十、招标代理费</w:t>
      </w:r>
      <w:bookmarkEnd w:id="115"/>
    </w:p>
    <w:p>
      <w:pPr>
        <w:autoSpaceDE w:val="0"/>
        <w:autoSpaceDN w:val="0"/>
        <w:spacing w:line="360" w:lineRule="auto"/>
        <w:ind w:firstLine="480" w:firstLineChars="200"/>
        <w:jc w:val="left"/>
        <w:rPr>
          <w:rFonts w:ascii="宋体" w:hAnsi="宋体" w:cs="宋体"/>
          <w:color w:val="auto"/>
          <w:kern w:val="0"/>
          <w:highlight w:val="none"/>
          <w:lang w:val="zh-CN"/>
        </w:rPr>
      </w:pPr>
      <w:r>
        <w:rPr>
          <w:rFonts w:ascii="宋体" w:hAnsi="宋体" w:cs="宋体"/>
          <w:color w:val="auto"/>
          <w:kern w:val="0"/>
          <w:highlight w:val="none"/>
        </w:rPr>
        <w:t>1</w:t>
      </w:r>
      <w:r>
        <w:rPr>
          <w:rFonts w:hint="eastAsia" w:ascii="宋体" w:hAnsi="宋体" w:cs="宋体"/>
          <w:color w:val="auto"/>
          <w:kern w:val="0"/>
          <w:highlight w:val="none"/>
        </w:rPr>
        <w:t>、</w:t>
      </w:r>
      <w:r>
        <w:rPr>
          <w:rFonts w:hint="eastAsia" w:ascii="宋体" w:hAnsi="宋体" w:cs="宋体"/>
          <w:color w:val="auto"/>
          <w:kern w:val="0"/>
          <w:highlight w:val="none"/>
          <w:lang w:val="zh-CN"/>
        </w:rPr>
        <w:t>收取对象：</w:t>
      </w:r>
      <w:r>
        <w:rPr>
          <w:rFonts w:hint="eastAsia" w:ascii="宋体" w:hAnsi="宋体" w:cs="宋体"/>
          <w:color w:val="auto"/>
          <w:kern w:val="0"/>
          <w:highlight w:val="none"/>
          <w:lang w:val="en-US" w:eastAsia="zh-CN"/>
        </w:rPr>
        <w:t>招标人</w:t>
      </w:r>
      <w:r>
        <w:rPr>
          <w:rFonts w:hint="eastAsia" w:ascii="宋体" w:hAnsi="宋体" w:cs="宋体"/>
          <w:color w:val="auto"/>
          <w:kern w:val="0"/>
          <w:highlight w:val="none"/>
          <w:lang w:val="zh-CN"/>
        </w:rPr>
        <w:t>。</w:t>
      </w:r>
    </w:p>
    <w:p>
      <w:pPr>
        <w:autoSpaceDE w:val="0"/>
        <w:autoSpaceDN w:val="0"/>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lang w:val="zh-CN"/>
        </w:rPr>
        <w:t>2、收费金额：</w:t>
      </w:r>
      <w:r>
        <w:rPr>
          <w:rFonts w:hint="eastAsia" w:ascii="宋体" w:hAnsi="宋体" w:cs="宋体"/>
          <w:color w:val="auto"/>
          <w:kern w:val="0"/>
          <w:highlight w:val="none"/>
          <w:lang w:val="en-US" w:eastAsia="zh-CN"/>
        </w:rPr>
        <w:t>伍万壹仟壹佰</w:t>
      </w:r>
      <w:r>
        <w:rPr>
          <w:rFonts w:hint="eastAsia" w:ascii="宋体" w:hAnsi="宋体" w:cs="宋体"/>
          <w:color w:val="auto"/>
          <w:kern w:val="0"/>
          <w:highlight w:val="none"/>
          <w:lang w:val="zh-CN"/>
        </w:rPr>
        <w:t>元整（</w:t>
      </w:r>
      <w:r>
        <w:rPr>
          <w:rFonts w:hint="eastAsia" w:ascii="宋体" w:hAnsi="宋体" w:cs="宋体"/>
          <w:color w:val="auto"/>
          <w:kern w:val="0"/>
          <w:highlight w:val="none"/>
          <w:lang w:val="en-US" w:eastAsia="zh-CN"/>
        </w:rPr>
        <w:t>51</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00.00元）</w:t>
      </w:r>
    </w:p>
    <w:p>
      <w:pPr>
        <w:autoSpaceDE w:val="0"/>
        <w:autoSpaceDN w:val="0"/>
        <w:spacing w:line="360" w:lineRule="auto"/>
        <w:ind w:firstLine="480" w:firstLineChars="200"/>
        <w:jc w:val="left"/>
        <w:rPr>
          <w:rFonts w:ascii="宋体" w:cs="宋体"/>
          <w:b/>
          <w:bCs/>
          <w:color w:val="auto"/>
          <w:kern w:val="0"/>
          <w:highlight w:val="none"/>
          <w:lang w:val="zh-CN"/>
        </w:rPr>
      </w:pPr>
      <w:r>
        <w:rPr>
          <w:rFonts w:hint="eastAsia" w:ascii="宋体" w:hAnsi="宋体" w:cs="宋体"/>
          <w:color w:val="auto"/>
          <w:kern w:val="0"/>
          <w:highlight w:val="none"/>
          <w:lang w:val="zh-CN"/>
        </w:rPr>
        <w:t>本项目代理服务费收取</w:t>
      </w:r>
      <w:r>
        <w:rPr>
          <w:rFonts w:ascii="宋体" w:hAnsi="宋体" w:cs="宋体"/>
          <w:b/>
          <w:bCs/>
          <w:color w:val="auto"/>
          <w:kern w:val="0"/>
          <w:highlight w:val="none"/>
        </w:rPr>
        <w:t xml:space="preserve"> </w:t>
      </w:r>
      <w:r>
        <w:rPr>
          <w:rFonts w:hint="eastAsia" w:ascii="宋体" w:hAnsi="宋体" w:cs="宋体"/>
          <w:color w:val="auto"/>
          <w:kern w:val="0"/>
          <w:highlight w:val="none"/>
        </w:rPr>
        <w:t>（</w:t>
      </w:r>
      <w:r>
        <w:rPr>
          <w:rFonts w:hint="eastAsia" w:ascii="宋体" w:hAnsi="宋体" w:cs="宋体"/>
          <w:color w:val="auto"/>
          <w:kern w:val="0"/>
          <w:highlight w:val="none"/>
          <w:lang w:val="zh-CN"/>
        </w:rPr>
        <w:t>在领取中标通知书前向采购代理机构缴纳</w:t>
      </w:r>
      <w:r>
        <w:rPr>
          <w:rFonts w:hint="eastAsia" w:ascii="宋体" w:hAnsi="宋体" w:cs="宋体"/>
          <w:color w:val="auto"/>
          <w:kern w:val="0"/>
          <w:highlight w:val="none"/>
        </w:rPr>
        <w:t>）。</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p>
    <w:p>
      <w:pPr>
        <w:autoSpaceDE w:val="0"/>
        <w:autoSpaceDN w:val="0"/>
        <w:adjustRightInd w:val="0"/>
        <w:spacing w:line="400" w:lineRule="exact"/>
        <w:rPr>
          <w:rFonts w:ascii="宋体" w:cs="宋体"/>
          <w:color w:val="auto"/>
          <w:kern w:val="0"/>
          <w:highlight w:val="none"/>
          <w:lang w:val="zh-CN"/>
        </w:rPr>
      </w:pPr>
      <w:r>
        <w:rPr>
          <w:rFonts w:ascii="宋体" w:hAnsi="宋体" w:cs="宋体"/>
          <w:b/>
          <w:bCs/>
          <w:color w:val="auto"/>
          <w:kern w:val="0"/>
          <w:highlight w:val="none"/>
        </w:rPr>
        <w:t xml:space="preserve">   </w:t>
      </w:r>
      <w:r>
        <w:rPr>
          <w:rFonts w:ascii="宋体" w:hAnsi="宋体" w:cs="宋体"/>
          <w:color w:val="auto"/>
          <w:kern w:val="0"/>
          <w:highlight w:val="none"/>
        </w:rPr>
        <w:t xml:space="preserve"> </w:t>
      </w:r>
      <w:r>
        <w:rPr>
          <w:rFonts w:hint="eastAsia" w:ascii="宋体" w:hAnsi="宋体" w:cs="宋体"/>
          <w:color w:val="auto"/>
          <w:kern w:val="0"/>
          <w:highlight w:val="none"/>
          <w:lang w:val="zh-CN"/>
        </w:rPr>
        <w:t>在合同签订前向采购代理机构交纳。投标供应商成交后，须另行交纳成交服务费，磋商保证金不作为成交服务费来收取，在收到成交服务费后退还其磋商保证金（自政府采购合同签订之日起</w:t>
      </w:r>
      <w:r>
        <w:rPr>
          <w:rFonts w:ascii="宋体" w:hAnsi="宋体" w:cs="宋体"/>
          <w:color w:val="auto"/>
          <w:kern w:val="0"/>
          <w:highlight w:val="none"/>
          <w:lang w:val="zh-CN"/>
        </w:rPr>
        <w:t>5</w:t>
      </w:r>
      <w:r>
        <w:rPr>
          <w:rFonts w:hint="eastAsia" w:ascii="宋体" w:hAnsi="宋体" w:cs="宋体"/>
          <w:color w:val="auto"/>
          <w:kern w:val="0"/>
          <w:highlight w:val="none"/>
          <w:lang w:val="zh-CN"/>
        </w:rPr>
        <w:t>个工作日内退还成交供应商的磋商保证金），不计利息。</w:t>
      </w:r>
    </w:p>
    <w:p>
      <w:pPr>
        <w:pStyle w:val="28"/>
        <w:spacing w:before="0" w:after="0" w:line="360" w:lineRule="auto"/>
        <w:rPr>
          <w:rFonts w:ascii="宋体" w:cs="宋体"/>
          <w:color w:val="auto"/>
          <w:highlight w:val="none"/>
          <w:lang w:val="zh-CN"/>
        </w:rPr>
      </w:pPr>
      <w:bookmarkStart w:id="116" w:name="_Toc1542"/>
      <w:r>
        <w:rPr>
          <w:rFonts w:hint="eastAsia" w:ascii="宋体" w:hAnsi="宋体" w:cs="宋体"/>
          <w:color w:val="auto"/>
          <w:highlight w:val="none"/>
          <w:lang w:val="zh-CN"/>
        </w:rPr>
        <w:t>十一、其他</w:t>
      </w:r>
      <w:bookmarkEnd w:id="116"/>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2</w:t>
      </w:r>
      <w:r>
        <w:rPr>
          <w:rFonts w:hint="eastAsia" w:ascii="宋体" w:hAnsi="宋体" w:cs="宋体"/>
          <w:color w:val="auto"/>
          <w:kern w:val="0"/>
          <w:highlight w:val="none"/>
        </w:rPr>
        <w:t>、有下列情形之一的，视为投标人串通投标，其投标无效：</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）不同投标人的投标文件由同一单位或者个人编制；</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）不同投标人委托同一单位或者个人办理投标事宜；</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3</w:t>
      </w:r>
      <w:r>
        <w:rPr>
          <w:rFonts w:hint="eastAsia" w:ascii="宋体" w:hAnsi="宋体" w:cs="宋体"/>
          <w:color w:val="auto"/>
          <w:kern w:val="0"/>
          <w:highlight w:val="none"/>
        </w:rPr>
        <w:t>）不同投标人的投标文件载明的项目管理成员或者联系人员为同一人；</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4</w:t>
      </w:r>
      <w:r>
        <w:rPr>
          <w:rFonts w:hint="eastAsia" w:ascii="宋体" w:hAnsi="宋体" w:cs="宋体"/>
          <w:color w:val="auto"/>
          <w:kern w:val="0"/>
          <w:highlight w:val="none"/>
        </w:rPr>
        <w:t>）不同投标人的投标文件异常一致或者投标报价呈规律性差异；</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5</w:t>
      </w:r>
      <w:r>
        <w:rPr>
          <w:rFonts w:hint="eastAsia" w:ascii="宋体" w:hAnsi="宋体" w:cs="宋体"/>
          <w:color w:val="auto"/>
          <w:kern w:val="0"/>
          <w:highlight w:val="none"/>
        </w:rPr>
        <w:t>）不同投标人的投标文件相互混装；</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6</w:t>
      </w:r>
      <w:r>
        <w:rPr>
          <w:rFonts w:hint="eastAsia" w:ascii="宋体" w:hAnsi="宋体" w:cs="宋体"/>
          <w:color w:val="auto"/>
          <w:kern w:val="0"/>
          <w:highlight w:val="none"/>
        </w:rPr>
        <w:t>）不同投标人的投标保证金从同一单位或者个人的账户转出。</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3</w:t>
      </w:r>
      <w:r>
        <w:rPr>
          <w:rFonts w:hint="eastAsia" w:ascii="宋体" w:hAnsi="宋体" w:cs="宋体"/>
          <w:color w:val="auto"/>
          <w:kern w:val="0"/>
          <w:highlight w:val="none"/>
        </w:rPr>
        <w:t>、公开招标数额标准以上的采购项目，投标截止后投标人不足</w:t>
      </w:r>
      <w:r>
        <w:rPr>
          <w:rFonts w:ascii="宋体" w:hAnsi="宋体" w:cs="宋体"/>
          <w:color w:val="auto"/>
          <w:kern w:val="0"/>
          <w:highlight w:val="none"/>
        </w:rPr>
        <w:t>3</w:t>
      </w:r>
      <w:r>
        <w:rPr>
          <w:rFonts w:hint="eastAsia" w:ascii="宋体" w:hAnsi="宋体" w:cs="宋体"/>
          <w:color w:val="auto"/>
          <w:kern w:val="0"/>
          <w:highlight w:val="none"/>
        </w:rPr>
        <w:t>家或者通过资格审查或符合性审查的投标人不足</w:t>
      </w:r>
      <w:r>
        <w:rPr>
          <w:rFonts w:ascii="宋体" w:hAnsi="宋体" w:cs="宋体"/>
          <w:color w:val="auto"/>
          <w:kern w:val="0"/>
          <w:highlight w:val="none"/>
        </w:rPr>
        <w:t>3</w:t>
      </w:r>
      <w:r>
        <w:rPr>
          <w:rFonts w:hint="eastAsia" w:ascii="宋体" w:hAnsi="宋体" w:cs="宋体"/>
          <w:color w:val="auto"/>
          <w:kern w:val="0"/>
          <w:highlight w:val="none"/>
        </w:rPr>
        <w:t>家的，除采购任务取消情形外，按照以下方式处理：</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color w:val="auto"/>
          <w:kern w:val="0"/>
          <w:highlight w:val="none"/>
          <w:lang w:val="zh-CN"/>
        </w:rPr>
      </w:pPr>
      <w:r>
        <w:rPr>
          <w:rFonts w:ascii="宋体" w:hAnsi="宋体" w:cs="宋体"/>
          <w:color w:val="auto"/>
          <w:sz w:val="28"/>
          <w:szCs w:val="28"/>
          <w:highlight w:val="none"/>
        </w:rPr>
        <w:t>4</w:t>
      </w:r>
      <w:r>
        <w:rPr>
          <w:rFonts w:hint="eastAsia" w:ascii="宋体" w:hAnsi="宋体" w:cs="宋体"/>
          <w:color w:val="auto"/>
          <w:sz w:val="28"/>
          <w:szCs w:val="28"/>
          <w:highlight w:val="none"/>
        </w:rPr>
        <w:t>、</w:t>
      </w:r>
      <w:r>
        <w:rPr>
          <w:rFonts w:hint="eastAsia" w:ascii="宋体" w:hAnsi="宋体" w:cs="宋体"/>
          <w:color w:val="auto"/>
          <w:kern w:val="0"/>
          <w:highlight w:val="none"/>
          <w:lang w:val="zh-CN"/>
        </w:rPr>
        <w:t>在招标采购中，出现下列情形之一的，应予废标：</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1</w:t>
      </w:r>
      <w:r>
        <w:rPr>
          <w:rFonts w:hint="eastAsia" w:ascii="宋体" w:hAnsi="宋体" w:cs="宋体"/>
          <w:color w:val="auto"/>
          <w:kern w:val="0"/>
          <w:highlight w:val="none"/>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w:t>
      </w:r>
      <w:r>
        <w:rPr>
          <w:rFonts w:hint="eastAsia" w:ascii="宋体" w:hAnsi="宋体" w:cs="宋体"/>
          <w:color w:val="auto"/>
          <w:kern w:val="0"/>
          <w:highlight w:val="none"/>
          <w:lang w:val="zh-CN"/>
        </w:rPr>
        <w:t>）出现影响采购公正的违法、违规行为的。</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w:t>
      </w:r>
      <w:r>
        <w:rPr>
          <w:rFonts w:hint="eastAsia" w:ascii="宋体" w:hAnsi="宋体" w:cs="宋体"/>
          <w:color w:val="auto"/>
          <w:kern w:val="0"/>
          <w:highlight w:val="none"/>
          <w:lang w:val="zh-CN"/>
        </w:rPr>
        <w:t>）投标人的报价均超出采购预算，采购人不能支付的。</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cs="宋体"/>
          <w:color w:val="auto"/>
          <w:kern w:val="0"/>
          <w:highlight w:val="none"/>
          <w:lang w:val="zh-CN"/>
        </w:rPr>
        <w:t>）因重大变故，采购任务取消的。</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废标后，由采购代理机构发布废标公告。</w:t>
      </w:r>
    </w:p>
    <w:p>
      <w:pPr>
        <w:autoSpaceDE w:val="0"/>
        <w:autoSpaceDN w:val="0"/>
        <w:spacing w:line="360" w:lineRule="auto"/>
        <w:ind w:firstLine="480" w:firstLineChars="200"/>
        <w:rPr>
          <w:rFonts w:ascii="宋体" w:cs="宋体"/>
          <w:color w:val="auto"/>
          <w:kern w:val="0"/>
          <w:highlight w:val="none"/>
        </w:rPr>
      </w:pPr>
      <w:r>
        <w:rPr>
          <w:rFonts w:ascii="宋体" w:hAnsi="宋体" w:cs="宋体"/>
          <w:color w:val="auto"/>
          <w:kern w:val="0"/>
          <w:highlight w:val="none"/>
        </w:rPr>
        <w:t>5</w:t>
      </w:r>
      <w:r>
        <w:rPr>
          <w:rFonts w:hint="eastAsia" w:ascii="宋体" w:hAnsi="宋体" w:cs="宋体"/>
          <w:color w:val="auto"/>
          <w:kern w:val="0"/>
          <w:highlight w:val="none"/>
        </w:rPr>
        <w:t>、</w:t>
      </w:r>
      <w:r>
        <w:rPr>
          <w:rFonts w:hint="eastAsia" w:ascii="宋体" w:hAnsi="宋体" w:cs="宋体"/>
          <w:color w:val="auto"/>
          <w:kern w:val="0"/>
          <w:highlight w:val="none"/>
          <w:lang w:val="zh-CN"/>
        </w:rPr>
        <w:t>其他未尽事宜，按照《中华人民共和国政府采购法》、《中华人民共和国政府采购法实施条例》、《中华人民共和国合同法》等法律法规的有关条款执行。</w:t>
      </w:r>
    </w:p>
    <w:p>
      <w:pPr>
        <w:rPr>
          <w:rFonts w:ascii="宋体" w:cs="宋体"/>
          <w:color w:val="auto"/>
          <w:highlight w:val="none"/>
        </w:rPr>
      </w:pPr>
    </w:p>
    <w:p>
      <w:pPr>
        <w:pStyle w:val="28"/>
        <w:spacing w:before="0" w:after="0" w:line="360" w:lineRule="auto"/>
        <w:rPr>
          <w:rFonts w:ascii="宋体" w:cs="宋体"/>
          <w:color w:val="auto"/>
          <w:sz w:val="24"/>
          <w:highlight w:val="none"/>
        </w:rPr>
      </w:pPr>
      <w:r>
        <w:rPr>
          <w:rFonts w:ascii="宋体" w:cs="宋体"/>
          <w:color w:val="auto"/>
          <w:szCs w:val="36"/>
          <w:highlight w:val="none"/>
          <w:lang w:val="zh-CN"/>
        </w:rPr>
        <w:br w:type="page"/>
      </w:r>
      <w:bookmarkStart w:id="117" w:name="_Toc286"/>
      <w:r>
        <w:rPr>
          <w:rFonts w:hint="eastAsia" w:ascii="宋体" w:hAnsi="宋体" w:cs="宋体"/>
          <w:color w:val="auto"/>
          <w:szCs w:val="36"/>
          <w:highlight w:val="none"/>
          <w:lang w:val="zh-CN"/>
        </w:rPr>
        <w:t>第三部分</w:t>
      </w:r>
      <w:r>
        <w:rPr>
          <w:rFonts w:ascii="宋体" w:hAnsi="宋体" w:cs="宋体"/>
          <w:color w:val="auto"/>
          <w:szCs w:val="36"/>
          <w:highlight w:val="none"/>
          <w:lang w:val="zh-CN"/>
        </w:rPr>
        <w:t xml:space="preserve"> </w:t>
      </w:r>
      <w:r>
        <w:rPr>
          <w:rFonts w:ascii="宋体" w:hAnsi="宋体" w:cs="宋体"/>
          <w:color w:val="auto"/>
          <w:szCs w:val="36"/>
          <w:highlight w:val="none"/>
        </w:rPr>
        <w:t xml:space="preserve"> </w:t>
      </w:r>
      <w:r>
        <w:rPr>
          <w:rFonts w:hint="eastAsia" w:ascii="宋体" w:hAnsi="宋体" w:cs="宋体"/>
          <w:color w:val="auto"/>
          <w:szCs w:val="36"/>
          <w:highlight w:val="none"/>
          <w:lang w:val="zh-CN"/>
        </w:rPr>
        <w:t>青海省政府采购项目合同书范本</w:t>
      </w:r>
      <w:bookmarkEnd w:id="117"/>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jc w:val="center"/>
        <w:rPr>
          <w:rFonts w:ascii="宋体" w:cs="宋体"/>
          <w:b/>
          <w:bCs/>
          <w:color w:val="auto"/>
          <w:kern w:val="0"/>
          <w:sz w:val="48"/>
          <w:szCs w:val="48"/>
          <w:highlight w:val="none"/>
        </w:rPr>
      </w:pPr>
      <w:r>
        <w:rPr>
          <w:rFonts w:hint="eastAsia" w:ascii="宋体" w:hAnsi="宋体" w:cs="宋体"/>
          <w:b/>
          <w:bCs/>
          <w:color w:val="auto"/>
          <w:kern w:val="0"/>
          <w:sz w:val="48"/>
          <w:szCs w:val="48"/>
          <w:highlight w:val="none"/>
          <w:lang w:val="zh-CN"/>
        </w:rPr>
        <w:t>青海省政府采购项目合同书</w:t>
      </w: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color w:val="auto"/>
          <w:kern w:val="0"/>
          <w:sz w:val="28"/>
          <w:szCs w:val="28"/>
          <w:highlight w:val="none"/>
        </w:rPr>
      </w:pPr>
    </w:p>
    <w:p>
      <w:pPr>
        <w:autoSpaceDE w:val="0"/>
        <w:autoSpaceDN w:val="0"/>
        <w:adjustRightInd w:val="0"/>
        <w:spacing w:line="360" w:lineRule="auto"/>
        <w:rPr>
          <w:rFonts w:ascii="宋体" w:cs="宋体"/>
          <w:b/>
          <w:bCs/>
          <w:color w:val="auto"/>
          <w:kern w:val="0"/>
          <w:sz w:val="30"/>
          <w:szCs w:val="30"/>
          <w:highlight w:val="none"/>
          <w:u w:val="single"/>
        </w:rPr>
      </w:pPr>
      <w:r>
        <w:rPr>
          <w:rFonts w:hint="eastAsia" w:ascii="宋体" w:hAnsi="宋体" w:cs="宋体"/>
          <w:b/>
          <w:bCs/>
          <w:color w:val="auto"/>
          <w:kern w:val="0"/>
          <w:sz w:val="30"/>
          <w:szCs w:val="30"/>
          <w:highlight w:val="none"/>
          <w:lang w:val="zh-CN"/>
        </w:rPr>
        <w:t>采购项目编号：</w:t>
      </w:r>
      <w:r>
        <w:rPr>
          <w:rFonts w:hint="eastAsia" w:ascii="宋体" w:hAnsi="宋体" w:cs="宋体"/>
          <w:b/>
          <w:bCs/>
          <w:color w:val="auto"/>
          <w:kern w:val="0"/>
          <w:sz w:val="30"/>
          <w:szCs w:val="30"/>
          <w:highlight w:val="none"/>
          <w:u w:val="single"/>
          <w:lang w:val="zh-CN"/>
        </w:rPr>
        <w:t>青海睿澳公招（货物）2020-061号</w:t>
      </w:r>
      <w:r>
        <w:rPr>
          <w:rFonts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rPr>
        <w:t xml:space="preserve"> </w:t>
      </w:r>
      <w:r>
        <w:rPr>
          <w:rFonts w:ascii="宋体" w:hAnsi="宋体" w:cs="宋体"/>
          <w:b/>
          <w:bCs/>
          <w:color w:val="auto"/>
          <w:kern w:val="0"/>
          <w:sz w:val="30"/>
          <w:szCs w:val="30"/>
          <w:highlight w:val="none"/>
          <w:u w:val="single"/>
        </w:rPr>
        <w:t xml:space="preserve"> </w:t>
      </w:r>
    </w:p>
    <w:p>
      <w:pPr>
        <w:autoSpaceDE w:val="0"/>
        <w:autoSpaceDN w:val="0"/>
        <w:adjustRightInd w:val="0"/>
        <w:spacing w:line="360" w:lineRule="auto"/>
        <w:rPr>
          <w:rFonts w:ascii="宋体" w:cs="宋体"/>
          <w:b/>
          <w:bCs/>
          <w:color w:val="auto"/>
          <w:kern w:val="0"/>
          <w:sz w:val="30"/>
          <w:szCs w:val="30"/>
          <w:highlight w:val="none"/>
          <w:u w:val="single"/>
        </w:rPr>
      </w:pPr>
      <w:r>
        <w:rPr>
          <w:rFonts w:hint="eastAsia" w:ascii="宋体" w:hAnsi="宋体" w:cs="宋体"/>
          <w:b/>
          <w:bCs/>
          <w:color w:val="auto"/>
          <w:kern w:val="0"/>
          <w:sz w:val="30"/>
          <w:szCs w:val="30"/>
          <w:highlight w:val="none"/>
          <w:lang w:val="zh-CN"/>
        </w:rPr>
        <w:t>采购项目名称：</w:t>
      </w:r>
      <w:r>
        <w:rPr>
          <w:rFonts w:hint="eastAsia" w:ascii="宋体" w:hAnsi="宋体" w:cs="宋体"/>
          <w:b/>
          <w:bCs/>
          <w:color w:val="auto"/>
          <w:kern w:val="0"/>
          <w:sz w:val="30"/>
          <w:szCs w:val="30"/>
          <w:highlight w:val="none"/>
          <w:u w:val="single"/>
          <w:lang w:val="zh-CN"/>
        </w:rPr>
        <w:t>海南州共和县机动车排放监控系统建设项目</w:t>
      </w:r>
      <w:r>
        <w:rPr>
          <w:rFonts w:hint="eastAsia" w:ascii="宋体" w:hAnsi="宋体" w:cs="宋体"/>
          <w:b/>
          <w:bCs/>
          <w:color w:val="auto"/>
          <w:kern w:val="0"/>
          <w:sz w:val="30"/>
          <w:szCs w:val="30"/>
          <w:highlight w:val="none"/>
          <w:u w:val="single"/>
        </w:rPr>
        <w:t xml:space="preserve">  </w:t>
      </w:r>
    </w:p>
    <w:p>
      <w:pPr>
        <w:autoSpaceDE w:val="0"/>
        <w:autoSpaceDN w:val="0"/>
        <w:adjustRightInd w:val="0"/>
        <w:spacing w:line="360" w:lineRule="auto"/>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采购合同编号：</w:t>
      </w:r>
      <w:r>
        <w:rPr>
          <w:rFonts w:hint="eastAsia" w:ascii="宋体" w:hAnsi="宋体" w:cs="宋体"/>
          <w:b/>
          <w:bCs/>
          <w:color w:val="auto"/>
          <w:kern w:val="0"/>
          <w:sz w:val="30"/>
          <w:szCs w:val="30"/>
          <w:highlight w:val="none"/>
          <w:u w:val="single"/>
        </w:rPr>
        <w:t>QHRA-2020-061</w:t>
      </w:r>
      <w:r>
        <w:rPr>
          <w:rFonts w:ascii="宋体" w:hAnsi="宋体" w:cs="宋体"/>
          <w:b/>
          <w:bCs/>
          <w:color w:val="auto"/>
          <w:kern w:val="0"/>
          <w:sz w:val="30"/>
          <w:szCs w:val="30"/>
          <w:highlight w:val="none"/>
          <w:u w:val="single"/>
        </w:rPr>
        <w:t xml:space="preserve">                    </w:t>
      </w:r>
    </w:p>
    <w:p>
      <w:pPr>
        <w:autoSpaceDE w:val="0"/>
        <w:autoSpaceDN w:val="0"/>
        <w:adjustRightInd w:val="0"/>
        <w:spacing w:line="360" w:lineRule="auto"/>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val="zh-CN"/>
        </w:rPr>
        <w:t>合同金额（人民币）：</w:t>
      </w:r>
      <w:r>
        <w:rPr>
          <w:rFonts w:ascii="宋体" w:hAnsi="宋体" w:cs="宋体"/>
          <w:b/>
          <w:bCs/>
          <w:color w:val="auto"/>
          <w:kern w:val="0"/>
          <w:sz w:val="30"/>
          <w:szCs w:val="30"/>
          <w:highlight w:val="none"/>
          <w:u w:val="single"/>
        </w:rPr>
        <w:t xml:space="preserve">                            </w:t>
      </w:r>
    </w:p>
    <w:p>
      <w:pPr>
        <w:autoSpaceDE w:val="0"/>
        <w:autoSpaceDN w:val="0"/>
        <w:adjustRightInd w:val="0"/>
        <w:spacing w:line="360" w:lineRule="auto"/>
        <w:rPr>
          <w:rFonts w:ascii="宋体" w:cs="宋体"/>
          <w:b/>
          <w:bCs/>
          <w:color w:val="auto"/>
          <w:kern w:val="0"/>
          <w:sz w:val="30"/>
          <w:szCs w:val="30"/>
          <w:highlight w:val="none"/>
          <w:u w:val="single"/>
          <w:lang w:val="zh-CN"/>
        </w:rPr>
      </w:pPr>
      <w:r>
        <w:rPr>
          <w:rFonts w:hint="eastAsia" w:ascii="宋体" w:hAnsi="宋体" w:cs="宋体"/>
          <w:b/>
          <w:bCs/>
          <w:color w:val="auto"/>
          <w:kern w:val="0"/>
          <w:sz w:val="30"/>
          <w:szCs w:val="30"/>
          <w:highlight w:val="none"/>
          <w:lang w:val="zh-CN"/>
        </w:rPr>
        <w:t>采购人（甲方）：</w:t>
      </w:r>
      <w:r>
        <w:rPr>
          <w:rFonts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lang w:val="zh-CN"/>
        </w:rPr>
        <w:t>（盖章）</w:t>
      </w:r>
    </w:p>
    <w:p>
      <w:pPr>
        <w:autoSpaceDE w:val="0"/>
        <w:autoSpaceDN w:val="0"/>
        <w:adjustRightInd w:val="0"/>
        <w:spacing w:line="360" w:lineRule="auto"/>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val="zh-CN"/>
        </w:rPr>
        <w:t>中标人（乙方）：</w:t>
      </w:r>
      <w:r>
        <w:rPr>
          <w:rFonts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lang w:val="zh-CN"/>
        </w:rPr>
        <w:t>（盖章）</w:t>
      </w:r>
    </w:p>
    <w:p>
      <w:pPr>
        <w:autoSpaceDE w:val="0"/>
        <w:autoSpaceDN w:val="0"/>
        <w:adjustRightInd w:val="0"/>
        <w:spacing w:line="360" w:lineRule="auto"/>
        <w:rPr>
          <w:rFonts w:ascii="宋体" w:cs="宋体"/>
          <w:color w:val="auto"/>
          <w:kern w:val="0"/>
          <w:sz w:val="28"/>
          <w:szCs w:val="28"/>
          <w:highlight w:val="none"/>
        </w:rPr>
      </w:pPr>
      <w:r>
        <w:rPr>
          <w:rFonts w:hint="eastAsia" w:ascii="宋体" w:hAnsi="宋体" w:cs="宋体"/>
          <w:b/>
          <w:bCs/>
          <w:color w:val="auto"/>
          <w:kern w:val="0"/>
          <w:sz w:val="30"/>
          <w:szCs w:val="30"/>
          <w:highlight w:val="none"/>
          <w:lang w:val="zh-CN"/>
        </w:rPr>
        <w:t>采</w:t>
      </w:r>
      <w:r>
        <w:rPr>
          <w:rFonts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购</w:t>
      </w:r>
      <w:r>
        <w:rPr>
          <w:rFonts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日</w:t>
      </w:r>
      <w:r>
        <w:rPr>
          <w:rFonts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期：</w:t>
      </w:r>
      <w:r>
        <w:rPr>
          <w:rFonts w:ascii="宋体" w:hAnsi="宋体" w:cs="宋体"/>
          <w:b/>
          <w:bCs/>
          <w:color w:val="auto"/>
          <w:kern w:val="0"/>
          <w:sz w:val="30"/>
          <w:szCs w:val="30"/>
          <w:highlight w:val="none"/>
          <w:u w:val="single"/>
        </w:rPr>
        <w:t xml:space="preserve">          20</w:t>
      </w:r>
      <w:r>
        <w:rPr>
          <w:rFonts w:hint="eastAsia" w:ascii="宋体" w:hAnsi="宋体" w:cs="宋体"/>
          <w:b/>
          <w:bCs/>
          <w:color w:val="auto"/>
          <w:kern w:val="0"/>
          <w:sz w:val="30"/>
          <w:szCs w:val="30"/>
          <w:highlight w:val="none"/>
          <w:u w:val="single"/>
        </w:rPr>
        <w:t>20年 月</w:t>
      </w:r>
      <w:r>
        <w:rPr>
          <w:rFonts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rPr>
        <w:t>日</w:t>
      </w:r>
      <w:r>
        <w:rPr>
          <w:rFonts w:ascii="宋体" w:hAnsi="宋体" w:cs="宋体"/>
          <w:b/>
          <w:bCs/>
          <w:color w:val="auto"/>
          <w:kern w:val="0"/>
          <w:sz w:val="30"/>
          <w:szCs w:val="30"/>
          <w:highlight w:val="none"/>
          <w:u w:val="single"/>
        </w:rPr>
        <w:t xml:space="preserve">         </w:t>
      </w:r>
    </w:p>
    <w:p>
      <w:pPr>
        <w:autoSpaceDE w:val="0"/>
        <w:autoSpaceDN w:val="0"/>
        <w:adjustRightInd w:val="0"/>
        <w:spacing w:line="360" w:lineRule="auto"/>
        <w:jc w:val="left"/>
        <w:rPr>
          <w:rFonts w:ascii="宋体" w:hAnsi="宋体" w:cs="宋体"/>
          <w:b/>
          <w:bCs/>
          <w:color w:val="auto"/>
          <w:kern w:val="0"/>
          <w:sz w:val="28"/>
          <w:szCs w:val="28"/>
          <w:highlight w:val="none"/>
        </w:rPr>
      </w:pPr>
      <w:r>
        <w:rPr>
          <w:rFonts w:ascii="宋体" w:cs="宋体"/>
          <w:color w:val="auto"/>
          <w:kern w:val="0"/>
          <w:sz w:val="28"/>
          <w:szCs w:val="28"/>
          <w:highlight w:val="none"/>
        </w:rPr>
        <w:br w:type="page"/>
      </w:r>
      <w:r>
        <w:rPr>
          <w:rFonts w:hint="eastAsia" w:ascii="宋体" w:hAnsi="宋体" w:cs="宋体"/>
          <w:b/>
          <w:bCs/>
          <w:color w:val="auto"/>
          <w:kern w:val="0"/>
          <w:sz w:val="28"/>
          <w:szCs w:val="28"/>
          <w:highlight w:val="none"/>
          <w:lang w:val="zh-CN"/>
        </w:rPr>
        <w:t>采</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购</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人（以下简称甲方）：</w:t>
      </w:r>
    </w:p>
    <w:p>
      <w:pPr>
        <w:autoSpaceDE w:val="0"/>
        <w:autoSpaceDN w:val="0"/>
        <w:adjustRightInd w:val="0"/>
        <w:spacing w:line="360" w:lineRule="auto"/>
        <w:rPr>
          <w:rFonts w:ascii="宋体" w:hAnsi="宋体" w:cs="宋体"/>
          <w:color w:val="auto"/>
          <w:kern w:val="0"/>
          <w:sz w:val="28"/>
          <w:szCs w:val="28"/>
          <w:highlight w:val="none"/>
        </w:rPr>
      </w:pPr>
      <w:r>
        <w:rPr>
          <w:rFonts w:hint="eastAsia" w:ascii="宋体" w:hAnsi="宋体" w:cs="宋体"/>
          <w:b/>
          <w:bCs/>
          <w:color w:val="auto"/>
          <w:kern w:val="0"/>
          <w:sz w:val="30"/>
          <w:szCs w:val="30"/>
          <w:highlight w:val="none"/>
          <w:lang w:val="zh-CN"/>
        </w:rPr>
        <w:t>中</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标</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人</w:t>
      </w:r>
      <w:r>
        <w:rPr>
          <w:rFonts w:hint="eastAsia" w:ascii="宋体" w:hAnsi="宋体" w:cs="宋体"/>
          <w:b/>
          <w:bCs/>
          <w:color w:val="auto"/>
          <w:kern w:val="0"/>
          <w:sz w:val="28"/>
          <w:szCs w:val="28"/>
          <w:highlight w:val="none"/>
          <w:lang w:val="zh-CN"/>
        </w:rPr>
        <w:t>（以下简称乙方）：</w:t>
      </w:r>
    </w:p>
    <w:p>
      <w:pPr>
        <w:pStyle w:val="15"/>
        <w:spacing w:after="0" w:line="360" w:lineRule="auto"/>
        <w:ind w:left="0" w:leftChars="0" w:firstLine="480"/>
        <w:rPr>
          <w:rFonts w:ascii="宋体" w:hAnsi="宋体" w:cs="宋体"/>
          <w:color w:val="auto"/>
          <w:kern w:val="0"/>
          <w:highlight w:val="none"/>
          <w:lang w:val="zh-CN"/>
        </w:rPr>
      </w:pPr>
      <w:r>
        <w:rPr>
          <w:rFonts w:hint="eastAsia" w:ascii="宋体" w:hAnsi="宋体" w:cs="宋体"/>
          <w:color w:val="auto"/>
          <w:kern w:val="0"/>
          <w:highlight w:val="none"/>
          <w:lang w:val="zh-CN"/>
        </w:rPr>
        <w:t>甲、乙双方根据XXXX年XX月XX日（</w:t>
      </w:r>
      <w:r>
        <w:rPr>
          <w:rFonts w:hint="eastAsia" w:ascii="宋体" w:hAnsi="宋体" w:cs="宋体"/>
          <w:color w:val="auto"/>
          <w:kern w:val="0"/>
          <w:highlight w:val="none"/>
          <w:u w:val="single"/>
          <w:lang w:val="zh-CN"/>
        </w:rPr>
        <w:t>采购项目名称）</w:t>
      </w:r>
      <w:r>
        <w:rPr>
          <w:rFonts w:hint="eastAsia" w:ascii="宋体" w:hAnsi="宋体" w:cs="宋体"/>
          <w:color w:val="auto"/>
          <w:kern w:val="0"/>
          <w:highlight w:val="none"/>
          <w:lang w:val="zh-CN"/>
        </w:rPr>
        <w:t>采购项目（</w:t>
      </w:r>
      <w:r>
        <w:rPr>
          <w:rFonts w:hint="eastAsia" w:ascii="宋体" w:hAnsi="宋体" w:cs="宋体"/>
          <w:color w:val="auto"/>
          <w:kern w:val="0"/>
          <w:highlight w:val="none"/>
          <w:u w:val="single"/>
          <w:lang w:val="zh-CN"/>
        </w:rPr>
        <w:t>采购项目编号</w:t>
      </w:r>
      <w:r>
        <w:rPr>
          <w:rFonts w:hint="eastAsia" w:ascii="宋体" w:hAnsi="宋体" w:cs="宋体"/>
          <w:color w:val="auto"/>
          <w:kern w:val="0"/>
          <w:highlight w:val="none"/>
          <w:lang w:val="zh-CN"/>
        </w:rPr>
        <w:t>）的招标文件要求和采购代理机构出具的《中标通知书》，并经双方协商一致，签订本合同协议书。</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一、签订本政府采购合同的依据</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本政府采购合同所附下列文件是构成本政府采购合同不可分割的部分：</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1.招标文件；</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2.招标文件的澄清、变更公告；</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3.中标人提交的投标文件；</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4.招标文件中规定的政府采购合同通用条款；</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5.中标通知书；</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6.履约保证金缴费证明。</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二、合同标的及金额                                       单位：元</w:t>
      </w:r>
    </w:p>
    <w:tbl>
      <w:tblPr>
        <w:tblStyle w:val="29"/>
        <w:tblW w:w="8617" w:type="dxa"/>
        <w:jc w:val="center"/>
        <w:tblInd w:w="0" w:type="dxa"/>
        <w:tblLayout w:type="fixed"/>
        <w:tblCellMar>
          <w:top w:w="0" w:type="dxa"/>
          <w:left w:w="108" w:type="dxa"/>
          <w:bottom w:w="0" w:type="dxa"/>
          <w:right w:w="108" w:type="dxa"/>
        </w:tblCellMar>
      </w:tblPr>
      <w:tblGrid>
        <w:gridCol w:w="731"/>
        <w:gridCol w:w="2271"/>
        <w:gridCol w:w="1899"/>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lang w:val="zh-CN"/>
              </w:rPr>
            </w:pPr>
          </w:p>
        </w:tc>
      </w:tr>
    </w:tbl>
    <w:p>
      <w:pPr>
        <w:autoSpaceDE w:val="0"/>
        <w:autoSpaceDN w:val="0"/>
        <w:spacing w:line="360" w:lineRule="auto"/>
        <w:jc w:val="left"/>
        <w:rPr>
          <w:rFonts w:ascii="宋体" w:hAnsi="宋体" w:cs="宋体"/>
          <w:color w:val="auto"/>
          <w:kern w:val="0"/>
          <w:highlight w:val="none"/>
          <w:u w:val="single"/>
        </w:rPr>
      </w:pPr>
      <w:r>
        <w:rPr>
          <w:rFonts w:hint="eastAsia" w:ascii="宋体" w:hAnsi="宋体" w:cs="宋体"/>
          <w:color w:val="auto"/>
          <w:kern w:val="0"/>
          <w:highlight w:val="none"/>
          <w:lang w:val="zh-CN"/>
        </w:rPr>
        <w:t>根据上述政府采购合同文件要求，本政府采购合同的总金额为人民币</w:t>
      </w:r>
      <w:r>
        <w:rPr>
          <w:rFonts w:hint="eastAsia" w:ascii="宋体" w:hAnsi="宋体" w:cs="宋体"/>
          <w:color w:val="auto"/>
          <w:kern w:val="0"/>
          <w:highlight w:val="none"/>
          <w:u w:val="single"/>
        </w:rPr>
        <w:t xml:space="preserve">           </w:t>
      </w:r>
    </w:p>
    <w:p>
      <w:pPr>
        <w:autoSpaceDE w:val="0"/>
        <w:autoSpaceDN w:val="0"/>
        <w:spacing w:line="360" w:lineRule="auto"/>
        <w:jc w:val="left"/>
        <w:rPr>
          <w:rFonts w:ascii="宋体" w:hAnsi="宋体" w:cs="宋体"/>
          <w:color w:val="auto"/>
          <w:kern w:val="0"/>
          <w:highlight w:val="none"/>
          <w:lang w:val="zh-CN"/>
        </w:rPr>
      </w:pPr>
      <w:r>
        <w:rPr>
          <w:rFonts w:hint="eastAsia" w:ascii="宋体" w:hAnsi="宋体" w:cs="宋体"/>
          <w:color w:val="auto"/>
          <w:kern w:val="0"/>
          <w:highlight w:val="none"/>
          <w:lang w:val="zh-CN"/>
        </w:rPr>
        <w:t>（大写）</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元。</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lang w:val="zh-CN"/>
        </w:rPr>
        <w:t>本合同以人民币进行结算，合同总价包括：产品费、验收费、手续费、包装费、运输费、保险费、安装费、调试费、培训费、售前、售中、售后服务费、运营维护费、招标代理费、税金及不可预见费等全部费用。</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三、交付时间、地点和要求</w:t>
      </w:r>
    </w:p>
    <w:p>
      <w:pPr>
        <w:autoSpaceDE w:val="0"/>
        <w:autoSpaceDN w:val="0"/>
        <w:spacing w:line="360" w:lineRule="auto"/>
        <w:ind w:firstLine="36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交货时间：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乙方提供不符合招投标文件和本合同规定的产品，甲方有权拒绝接受。</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val="zh-CN"/>
        </w:rPr>
        <w:t>甲方应当在到货（安装、调试完）后</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5.</w:t>
      </w:r>
      <w:r>
        <w:rPr>
          <w:rFonts w:hint="eastAsia" w:ascii="宋体" w:hAnsi="宋体" w:cs="宋体"/>
          <w:color w:val="auto"/>
          <w:kern w:val="0"/>
          <w:highlight w:val="none"/>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6.</w:t>
      </w:r>
      <w:r>
        <w:rPr>
          <w:rFonts w:hint="eastAsia" w:ascii="宋体" w:hAnsi="宋体" w:cs="宋体"/>
          <w:color w:val="auto"/>
          <w:kern w:val="0"/>
          <w:highlight w:val="none"/>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7.</w:t>
      </w:r>
      <w:r>
        <w:rPr>
          <w:rFonts w:hint="eastAsia" w:ascii="宋体" w:hAnsi="宋体" w:cs="宋体"/>
          <w:color w:val="auto"/>
          <w:kern w:val="0"/>
          <w:highlight w:val="none"/>
          <w:lang w:val="zh-CN"/>
        </w:rPr>
        <w:t>乙方向甲方提供产品相关完税销售发票。</w:t>
      </w:r>
    </w:p>
    <w:p>
      <w:pPr>
        <w:autoSpaceDE w:val="0"/>
        <w:autoSpaceDN w:val="0"/>
        <w:spacing w:line="360" w:lineRule="auto"/>
        <w:rPr>
          <w:rFonts w:ascii="宋体" w:hAnsi="宋体" w:cs="宋体"/>
          <w:color w:val="auto"/>
          <w:kern w:val="0"/>
          <w:highlight w:val="none"/>
          <w:u w:val="single"/>
        </w:rPr>
      </w:pPr>
      <w:r>
        <w:rPr>
          <w:rFonts w:hint="eastAsia" w:ascii="宋体" w:hAnsi="宋体" w:cs="宋体"/>
          <w:color w:val="auto"/>
          <w:kern w:val="0"/>
          <w:highlight w:val="none"/>
          <w:lang w:val="zh-CN"/>
        </w:rPr>
        <w:t>四、付款方式：</w:t>
      </w:r>
      <w:r>
        <w:rPr>
          <w:rFonts w:hint="eastAsia" w:ascii="宋体" w:hAnsi="宋体" w:cs="宋体"/>
          <w:color w:val="auto"/>
          <w:kern w:val="0"/>
          <w:highlight w:val="none"/>
          <w:u w:val="single"/>
        </w:rPr>
        <w:t xml:space="preserve">              </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五、合同的变更、终止与转让</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除《中华人民共和国政府采购法》第</w:t>
      </w:r>
      <w:r>
        <w:rPr>
          <w:rFonts w:hint="eastAsia" w:ascii="宋体" w:hAnsi="宋体" w:cs="宋体"/>
          <w:color w:val="auto"/>
          <w:kern w:val="0"/>
          <w:highlight w:val="none"/>
        </w:rPr>
        <w:t>50</w:t>
      </w:r>
      <w:r>
        <w:rPr>
          <w:rFonts w:hint="eastAsia" w:ascii="宋体" w:hAnsi="宋体" w:cs="宋体"/>
          <w:color w:val="auto"/>
          <w:kern w:val="0"/>
          <w:highlight w:val="none"/>
          <w:lang w:val="zh-CN"/>
        </w:rPr>
        <w:t>条规定的情形外，本合同一经签订，甲乙双方不得擅自变更、中止或终止。</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乙方不得擅自转让其应履行的合同义务。</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六、违约责任</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val="zh-CN"/>
        </w:rPr>
        <w:t>因包装、运输引起的货物损坏，按质量不合格处罚。</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val="zh-CN"/>
        </w:rPr>
        <w:t>甲方无故延期接受货物和乙方逾期交货的，每天应向对方偿付未交货物的货款</w:t>
      </w:r>
      <w:r>
        <w:rPr>
          <w:rFonts w:hint="eastAsia" w:ascii="宋体" w:hAnsi="宋体" w:cs="宋体"/>
          <w:color w:val="auto"/>
          <w:kern w:val="0"/>
          <w:highlight w:val="none"/>
        </w:rPr>
        <w:t>3</w:t>
      </w:r>
      <w:r>
        <w:rPr>
          <w:rFonts w:hint="eastAsia" w:ascii="宋体" w:hAnsi="宋体" w:cs="宋体"/>
          <w:color w:val="auto"/>
          <w:kern w:val="0"/>
          <w:highlight w:val="none"/>
          <w:lang w:val="zh-CN"/>
        </w:rPr>
        <w:t>‰的违约金，但违约金累计不得超过违约货款的</w:t>
      </w:r>
      <w:r>
        <w:rPr>
          <w:rFonts w:hint="eastAsia" w:ascii="宋体" w:hAnsi="宋体" w:cs="宋体"/>
          <w:color w:val="auto"/>
          <w:kern w:val="0"/>
          <w:highlight w:val="none"/>
        </w:rPr>
        <w:t>5%</w:t>
      </w:r>
      <w:r>
        <w:rPr>
          <w:rFonts w:hint="eastAsia" w:ascii="宋体" w:hAnsi="宋体" w:cs="宋体"/>
          <w:color w:val="auto"/>
          <w:kern w:val="0"/>
          <w:highlight w:val="none"/>
          <w:lang w:val="zh-CN"/>
        </w:rPr>
        <w:t>，超过</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天对方有权解除合同，违约方承担因此给对方造成的经济损失。</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5.</w:t>
      </w:r>
      <w:r>
        <w:rPr>
          <w:rFonts w:hint="eastAsia" w:ascii="宋体" w:hAnsi="宋体" w:cs="宋体"/>
          <w:color w:val="auto"/>
          <w:kern w:val="0"/>
          <w:highlight w:val="none"/>
          <w:lang w:val="zh-CN"/>
        </w:rPr>
        <w:t>乙方未按本合同和投标文件中规定的服务承诺提供售后服务的，乙方应按本合同合计金额的</w:t>
      </w:r>
      <w:r>
        <w:rPr>
          <w:rFonts w:hint="eastAsia" w:ascii="宋体" w:hAnsi="宋体" w:cs="宋体"/>
          <w:color w:val="auto"/>
          <w:kern w:val="0"/>
          <w:highlight w:val="none"/>
        </w:rPr>
        <w:t>5%</w:t>
      </w:r>
      <w:r>
        <w:rPr>
          <w:rFonts w:hint="eastAsia" w:ascii="宋体" w:hAnsi="宋体" w:cs="宋体"/>
          <w:color w:val="auto"/>
          <w:kern w:val="0"/>
          <w:highlight w:val="none"/>
          <w:lang w:val="zh-CN"/>
        </w:rPr>
        <w:t>向甲方支付违约金。</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6.</w:t>
      </w:r>
      <w:r>
        <w:rPr>
          <w:rFonts w:hint="eastAsia" w:ascii="宋体" w:hAnsi="宋体" w:cs="宋体"/>
          <w:color w:val="auto"/>
          <w:kern w:val="0"/>
          <w:highlight w:val="none"/>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7.</w:t>
      </w:r>
      <w:r>
        <w:rPr>
          <w:rFonts w:hint="eastAsia" w:ascii="宋体" w:hAnsi="宋体" w:cs="宋体"/>
          <w:color w:val="auto"/>
          <w:kern w:val="0"/>
          <w:highlight w:val="none"/>
          <w:lang w:val="zh-CN"/>
        </w:rPr>
        <w:t>其它违约行为按违约货款额</w:t>
      </w:r>
      <w:r>
        <w:rPr>
          <w:rFonts w:hint="eastAsia" w:ascii="宋体" w:hAnsi="宋体" w:cs="宋体"/>
          <w:color w:val="auto"/>
          <w:kern w:val="0"/>
          <w:highlight w:val="none"/>
        </w:rPr>
        <w:t>5%</w:t>
      </w:r>
      <w:r>
        <w:rPr>
          <w:rFonts w:hint="eastAsia" w:ascii="宋体" w:hAnsi="宋体" w:cs="宋体"/>
          <w:color w:val="auto"/>
          <w:kern w:val="0"/>
          <w:highlight w:val="none"/>
          <w:lang w:val="zh-CN"/>
        </w:rPr>
        <w:t>收取违约金并赔偿经济损失。</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七、不可抗力</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lang w:val="zh-CN"/>
        </w:rPr>
        <w:t>不可抗力使合同的某些内容有变更必要的，双方应通过协商在</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天内达成进一步履行合同的协议，因不可抗力致使合同不能履行的，合同终止。</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八、知识产权：详见合同通用条款</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九、其他约定：</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十、合同争议解决</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因履行本合同引起的或与本合同有关的争议，甲乙双方应首先通过友好协商解决，如果协商不能解决，可向</w:t>
      </w:r>
      <w:r>
        <w:rPr>
          <w:rFonts w:hint="eastAsia" w:ascii="宋体" w:hAnsi="宋体" w:cs="宋体"/>
          <w:color w:val="auto"/>
          <w:kern w:val="0"/>
          <w:highlight w:val="none"/>
          <w:u w:val="single"/>
          <w:lang w:val="zh-CN"/>
        </w:rPr>
        <w:t>甲方</w:t>
      </w:r>
      <w:r>
        <w:rPr>
          <w:rFonts w:hint="eastAsia" w:ascii="宋体" w:hAnsi="宋体" w:cs="宋体"/>
          <w:color w:val="auto"/>
          <w:kern w:val="0"/>
          <w:highlight w:val="none"/>
          <w:lang w:val="zh-CN"/>
        </w:rPr>
        <w:t>所在地仲裁委员会申请仲裁或向甲方所在地人民法院提起诉讼。</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val="zh-CN"/>
        </w:rPr>
        <w:t>诉讼期间，本合同继续履行。</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十一、合同生效及其它</w:t>
      </w:r>
      <w:r>
        <w:rPr>
          <w:rFonts w:hint="eastAsia" w:ascii="宋体" w:hAnsi="宋体" w:cs="宋体"/>
          <w:color w:val="auto"/>
          <w:kern w:val="0"/>
          <w:highlight w:val="none"/>
        </w:rPr>
        <w:t>：</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本合同一式</w:t>
      </w:r>
      <w:r>
        <w:rPr>
          <w:rFonts w:hint="eastAsia" w:ascii="宋体" w:hAnsi="宋体" w:cs="宋体"/>
          <w:color w:val="auto"/>
          <w:kern w:val="0"/>
          <w:highlight w:val="none"/>
          <w:u w:val="dashDotHeavy"/>
          <w:lang w:val="zh-CN"/>
        </w:rPr>
        <w:t>八</w:t>
      </w:r>
      <w:r>
        <w:rPr>
          <w:rFonts w:hint="eastAsia" w:ascii="宋体" w:hAnsi="宋体" w:cs="宋体"/>
          <w:color w:val="auto"/>
          <w:kern w:val="0"/>
          <w:highlight w:val="none"/>
          <w:lang w:val="zh-CN"/>
        </w:rPr>
        <w:t>份，经双方签字，并加盖公章即为生效。</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本合同未尽事宜，按经济合同法有关规定处理。</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本合同的组成包含《合同通用条款》。</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甲方（盖章）：</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乙方（盖章）：</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法定代表人或委托代理人</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法定代表人或委托代理人</w:t>
      </w:r>
      <w:r>
        <w:rPr>
          <w:rFonts w:hint="eastAsia" w:ascii="宋体" w:hAnsi="宋体" w:cs="宋体"/>
          <w:color w:val="auto"/>
          <w:kern w:val="0"/>
          <w:highlight w:val="none"/>
        </w:rPr>
        <w:t>：</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开户银行：</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账号：</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地址：</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地址：</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联系电话：</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联系电话：</w:t>
      </w:r>
    </w:p>
    <w:p>
      <w:pPr>
        <w:autoSpaceDE w:val="0"/>
        <w:autoSpaceDN w:val="0"/>
        <w:spacing w:line="360" w:lineRule="auto"/>
        <w:ind w:firstLine="1320" w:firstLineChars="550"/>
        <w:rPr>
          <w:rFonts w:ascii="宋体" w:hAnsi="宋体" w:cs="宋体"/>
          <w:color w:val="auto"/>
          <w:kern w:val="0"/>
          <w:highlight w:val="none"/>
        </w:rPr>
      </w:pPr>
      <w:r>
        <w:rPr>
          <w:rFonts w:hint="eastAsia" w:ascii="宋体" w:hAnsi="宋体" w:cs="宋体"/>
          <w:color w:val="auto"/>
          <w:kern w:val="0"/>
          <w:highlight w:val="none"/>
          <w:lang w:val="zh-CN"/>
        </w:rPr>
        <w:t>签约时间：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采购代理机构：</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负责人或经办人：</w:t>
      </w:r>
    </w:p>
    <w:p>
      <w:pPr>
        <w:autoSpaceDE w:val="0"/>
        <w:autoSpaceDN w:val="0"/>
        <w:adjustRightInd w:val="0"/>
        <w:jc w:val="left"/>
        <w:rPr>
          <w:rFonts w:ascii="宋体" w:cs="宋体"/>
          <w:color w:val="auto"/>
          <w:highlight w:val="none"/>
          <w:lang w:val="zh-CN"/>
        </w:rPr>
      </w:pPr>
      <w:r>
        <w:rPr>
          <w:rFonts w:hint="eastAsia" w:ascii="宋体" w:hAnsi="宋体" w:cs="宋体"/>
          <w:color w:val="auto"/>
          <w:kern w:val="0"/>
          <w:highlight w:val="none"/>
          <w:lang w:val="zh-CN"/>
        </w:rPr>
        <w:t>时间：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r>
        <w:rPr>
          <w:rFonts w:ascii="宋体" w:cs="宋体"/>
          <w:b/>
          <w:bCs/>
          <w:color w:val="auto"/>
          <w:kern w:val="0"/>
          <w:sz w:val="28"/>
          <w:szCs w:val="28"/>
          <w:highlight w:val="none"/>
          <w:lang w:val="zh-CN"/>
        </w:rPr>
        <w:br w:type="page"/>
      </w:r>
    </w:p>
    <w:p>
      <w:pPr>
        <w:autoSpaceDE w:val="0"/>
        <w:autoSpaceDN w:val="0"/>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合同通用条款</w:t>
      </w: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w:t>
      </w:r>
      <w:r>
        <w:rPr>
          <w:rFonts w:hint="eastAsia" w:ascii="宋体" w:hAnsi="宋体" w:cs="宋体"/>
          <w:b/>
          <w:bCs/>
          <w:color w:val="auto"/>
          <w:kern w:val="0"/>
          <w:highlight w:val="none"/>
          <w:lang w:val="zh-CN"/>
        </w:rPr>
        <w:t>定义</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本合同中的下列术语应解释为：</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 </w:t>
      </w:r>
      <w:r>
        <w:rPr>
          <w:rFonts w:hint="eastAsia" w:ascii="宋体" w:hAnsi="宋体" w:cs="宋体"/>
          <w:color w:val="auto"/>
          <w:kern w:val="0"/>
          <w:highlight w:val="none"/>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1.2 </w:t>
      </w:r>
      <w:r>
        <w:rPr>
          <w:rFonts w:hint="eastAsia" w:ascii="宋体" w:hAnsi="宋体" w:cs="宋体"/>
          <w:color w:val="auto"/>
          <w:kern w:val="0"/>
          <w:highlight w:val="none"/>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 </w:t>
      </w:r>
      <w:r>
        <w:rPr>
          <w:rFonts w:hint="eastAsia" w:ascii="宋体" w:hAnsi="宋体" w:cs="宋体"/>
          <w:color w:val="auto"/>
          <w:kern w:val="0"/>
          <w:highlight w:val="none"/>
          <w:lang w:val="zh-CN"/>
        </w:rPr>
        <w:t>“合同条款”指本合同条款。</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 </w:t>
      </w:r>
      <w:r>
        <w:rPr>
          <w:rFonts w:hint="eastAsia" w:ascii="宋体" w:hAnsi="宋体" w:cs="宋体"/>
          <w:color w:val="auto"/>
          <w:kern w:val="0"/>
          <w:highlight w:val="none"/>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1.5 </w:t>
      </w:r>
      <w:r>
        <w:rPr>
          <w:rFonts w:hint="eastAsia" w:ascii="宋体" w:hAnsi="宋体" w:cs="宋体"/>
          <w:color w:val="auto"/>
          <w:kern w:val="0"/>
          <w:highlight w:val="none"/>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1.6 </w:t>
      </w:r>
      <w:r>
        <w:rPr>
          <w:rFonts w:hint="eastAsia" w:ascii="宋体" w:hAnsi="宋体" w:cs="宋体"/>
          <w:color w:val="auto"/>
          <w:kern w:val="0"/>
          <w:highlight w:val="none"/>
          <w:lang w:val="zh-CN"/>
        </w:rPr>
        <w:t>“甲方”指购买货物和服务的单位。</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1.7 </w:t>
      </w:r>
      <w:r>
        <w:rPr>
          <w:rFonts w:hint="eastAsia" w:ascii="宋体" w:hAnsi="宋体" w:cs="宋体"/>
          <w:color w:val="auto"/>
          <w:kern w:val="0"/>
          <w:highlight w:val="none"/>
          <w:lang w:val="zh-CN"/>
        </w:rPr>
        <w:t>“乙方”指提供本合同条款下货物和服务的公司或其他实体。</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1.8 </w:t>
      </w:r>
      <w:r>
        <w:rPr>
          <w:rFonts w:hint="eastAsia" w:ascii="宋体" w:hAnsi="宋体" w:cs="宋体"/>
          <w:color w:val="auto"/>
          <w:kern w:val="0"/>
          <w:highlight w:val="none"/>
          <w:lang w:val="zh-CN"/>
        </w:rPr>
        <w:t>“现场”指合同规定货物将要运至和安装的地点。</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1.9 </w:t>
      </w:r>
      <w:r>
        <w:rPr>
          <w:rFonts w:hint="eastAsia" w:ascii="宋体" w:hAnsi="宋体" w:cs="宋体"/>
          <w:color w:val="auto"/>
          <w:kern w:val="0"/>
          <w:highlight w:val="none"/>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1.10 </w:t>
      </w:r>
      <w:r>
        <w:rPr>
          <w:rFonts w:hint="eastAsia" w:ascii="宋体" w:hAnsi="宋体" w:cs="宋体"/>
          <w:color w:val="auto"/>
          <w:kern w:val="0"/>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1.11 </w:t>
      </w:r>
      <w:r>
        <w:rPr>
          <w:rFonts w:hint="eastAsia" w:ascii="宋体" w:hAnsi="宋体" w:cs="宋体"/>
          <w:color w:val="auto"/>
          <w:kern w:val="0"/>
          <w:highlight w:val="none"/>
          <w:lang w:val="zh-CN"/>
        </w:rPr>
        <w:t>原产地：指产品的生产地，或提供服务的来源地。</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1.12 </w:t>
      </w:r>
      <w:r>
        <w:rPr>
          <w:rFonts w:hint="eastAsia" w:ascii="宋体" w:hAnsi="宋体" w:cs="宋体"/>
          <w:color w:val="auto"/>
          <w:kern w:val="0"/>
          <w:highlight w:val="none"/>
          <w:lang w:val="zh-CN"/>
        </w:rPr>
        <w:t>“工作日”指国家法定工作日，“天”指日历天数。</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w:t>
      </w:r>
      <w:r>
        <w:rPr>
          <w:rFonts w:hint="eastAsia" w:ascii="宋体" w:hAnsi="宋体" w:cs="宋体"/>
          <w:b/>
          <w:bCs/>
          <w:color w:val="auto"/>
          <w:kern w:val="0"/>
          <w:highlight w:val="none"/>
          <w:lang w:val="zh-CN"/>
        </w:rPr>
        <w:t>技术规格要求</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2.1 </w:t>
      </w:r>
      <w:r>
        <w:rPr>
          <w:rFonts w:hint="eastAsia" w:ascii="宋体" w:hAnsi="宋体" w:cs="宋体"/>
          <w:color w:val="auto"/>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2.2 </w:t>
      </w:r>
      <w:r>
        <w:rPr>
          <w:rFonts w:hint="eastAsia" w:ascii="宋体" w:hAnsi="宋体" w:cs="宋体"/>
          <w:color w:val="auto"/>
          <w:kern w:val="0"/>
          <w:highlight w:val="none"/>
          <w:lang w:val="zh-CN"/>
        </w:rPr>
        <w:t>乙方应向甲方提供货物及服务有关的标准的中文文本。</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2.3 </w:t>
      </w:r>
      <w:r>
        <w:rPr>
          <w:rFonts w:hint="eastAsia" w:ascii="宋体" w:hAnsi="宋体" w:cs="宋体"/>
          <w:color w:val="auto"/>
          <w:kern w:val="0"/>
          <w:highlight w:val="none"/>
          <w:lang w:val="zh-CN"/>
        </w:rPr>
        <w:t>除非技术规范中另有规定，计量单位均采用中华人民共和国法定计量单位。</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3.</w:t>
      </w:r>
      <w:r>
        <w:rPr>
          <w:rFonts w:hint="eastAsia" w:ascii="宋体" w:hAnsi="宋体" w:cs="宋体"/>
          <w:b/>
          <w:bCs/>
          <w:color w:val="auto"/>
          <w:kern w:val="0"/>
          <w:highlight w:val="none"/>
          <w:lang w:val="zh-CN"/>
        </w:rPr>
        <w:t>合同范围</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3.1 </w:t>
      </w:r>
      <w:r>
        <w:rPr>
          <w:rFonts w:hint="eastAsia" w:ascii="宋体" w:hAnsi="宋体" w:cs="宋体"/>
          <w:color w:val="auto"/>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3.2 </w:t>
      </w:r>
      <w:r>
        <w:rPr>
          <w:rFonts w:hint="eastAsia" w:ascii="宋体" w:hAnsi="宋体" w:cs="宋体"/>
          <w:color w:val="auto"/>
          <w:kern w:val="0"/>
          <w:highlight w:val="none"/>
          <w:lang w:val="zh-CN"/>
        </w:rPr>
        <w:t>乙方应负责培训甲方的技术人员。</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3.3 </w:t>
      </w:r>
      <w:r>
        <w:rPr>
          <w:rFonts w:hint="eastAsia" w:ascii="宋体" w:hAnsi="宋体" w:cs="宋体"/>
          <w:color w:val="auto"/>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4.</w:t>
      </w:r>
      <w:r>
        <w:rPr>
          <w:rFonts w:hint="eastAsia" w:ascii="宋体" w:hAnsi="宋体" w:cs="宋体"/>
          <w:b/>
          <w:bCs/>
          <w:color w:val="auto"/>
          <w:kern w:val="0"/>
          <w:highlight w:val="none"/>
          <w:lang w:val="zh-CN"/>
        </w:rPr>
        <w:t>合同文件和资料</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4.1 </w:t>
      </w:r>
      <w:r>
        <w:rPr>
          <w:rFonts w:hint="eastAsia" w:ascii="宋体" w:hAnsi="宋体" w:cs="宋体"/>
          <w:color w:val="auto"/>
          <w:kern w:val="0"/>
          <w:highlight w:val="none"/>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4.2 </w:t>
      </w:r>
      <w:r>
        <w:rPr>
          <w:rFonts w:hint="eastAsia" w:ascii="宋体" w:hAnsi="宋体" w:cs="宋体"/>
          <w:color w:val="auto"/>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5.</w:t>
      </w:r>
      <w:r>
        <w:rPr>
          <w:rFonts w:hint="eastAsia" w:ascii="宋体" w:hAnsi="宋体" w:cs="宋体"/>
          <w:b/>
          <w:bCs/>
          <w:color w:val="auto"/>
          <w:kern w:val="0"/>
          <w:highlight w:val="none"/>
          <w:lang w:val="zh-CN"/>
        </w:rPr>
        <w:t>知识产权</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5.1 </w:t>
      </w:r>
      <w:r>
        <w:rPr>
          <w:rFonts w:hint="eastAsia" w:ascii="宋体" w:hAnsi="宋体" w:cs="宋体"/>
          <w:color w:val="auto"/>
          <w:kern w:val="0"/>
          <w:highlight w:val="none"/>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5.2 </w:t>
      </w:r>
      <w:r>
        <w:rPr>
          <w:rFonts w:hint="eastAsia" w:ascii="宋体" w:hAnsi="宋体" w:cs="宋体"/>
          <w:color w:val="auto"/>
          <w:kern w:val="0"/>
          <w:highlight w:val="none"/>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5.3 </w:t>
      </w:r>
      <w:r>
        <w:rPr>
          <w:rFonts w:hint="eastAsia" w:ascii="宋体" w:hAnsi="宋体" w:cs="宋体"/>
          <w:color w:val="auto"/>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5.4 </w:t>
      </w:r>
      <w:r>
        <w:rPr>
          <w:rFonts w:hint="eastAsia" w:ascii="宋体" w:hAnsi="宋体" w:cs="宋体"/>
          <w:color w:val="auto"/>
          <w:kern w:val="0"/>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5.5 </w:t>
      </w:r>
      <w:r>
        <w:rPr>
          <w:rFonts w:hint="eastAsia" w:ascii="宋体" w:hAnsi="宋体" w:cs="宋体"/>
          <w:color w:val="auto"/>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6.</w:t>
      </w:r>
      <w:r>
        <w:rPr>
          <w:rFonts w:hint="eastAsia" w:ascii="宋体" w:hAnsi="宋体" w:cs="宋体"/>
          <w:b/>
          <w:bCs/>
          <w:color w:val="auto"/>
          <w:kern w:val="0"/>
          <w:highlight w:val="none"/>
          <w:lang w:val="zh-CN"/>
        </w:rPr>
        <w:t>保密</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6.1 </w:t>
      </w:r>
      <w:r>
        <w:rPr>
          <w:rFonts w:hint="eastAsia" w:ascii="宋体" w:hAnsi="宋体" w:cs="宋体"/>
          <w:color w:val="auto"/>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6.2 </w:t>
      </w:r>
      <w:r>
        <w:rPr>
          <w:rFonts w:hint="eastAsia" w:ascii="宋体" w:hAnsi="宋体" w:cs="宋体"/>
          <w:color w:val="auto"/>
          <w:kern w:val="0"/>
          <w:highlight w:val="none"/>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6.2.1 </w:t>
      </w:r>
      <w:r>
        <w:rPr>
          <w:rFonts w:hint="eastAsia" w:ascii="宋体" w:hAnsi="宋体" w:cs="宋体"/>
          <w:color w:val="auto"/>
          <w:kern w:val="0"/>
          <w:highlight w:val="none"/>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6.2.2 </w:t>
      </w:r>
      <w:r>
        <w:rPr>
          <w:rFonts w:hint="eastAsia" w:ascii="宋体" w:hAnsi="宋体" w:cs="宋体"/>
          <w:color w:val="auto"/>
          <w:kern w:val="0"/>
          <w:highlight w:val="none"/>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6.2.3 </w:t>
      </w:r>
      <w:r>
        <w:rPr>
          <w:rFonts w:hint="eastAsia" w:ascii="宋体" w:hAnsi="宋体" w:cs="宋体"/>
          <w:color w:val="auto"/>
          <w:kern w:val="0"/>
          <w:highlight w:val="none"/>
          <w:lang w:val="zh-CN"/>
        </w:rPr>
        <w:t>任何对方的技术秘密或专有知识、文件</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、报告、数据、客户软件、流程图、数据库、发明、知识、贸易秘密。</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6.3 </w:t>
      </w:r>
      <w:r>
        <w:rPr>
          <w:rFonts w:hint="eastAsia" w:ascii="宋体" w:hAnsi="宋体" w:cs="宋体"/>
          <w:color w:val="auto"/>
          <w:kern w:val="0"/>
          <w:highlight w:val="none"/>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 xml:space="preserve">7. </w:t>
      </w:r>
      <w:r>
        <w:rPr>
          <w:rFonts w:hint="eastAsia" w:ascii="宋体" w:hAnsi="宋体" w:cs="宋体"/>
          <w:b/>
          <w:bCs/>
          <w:color w:val="auto"/>
          <w:kern w:val="0"/>
          <w:highlight w:val="none"/>
          <w:lang w:val="zh-CN"/>
        </w:rPr>
        <w:t>质量保证</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7.1 </w:t>
      </w:r>
      <w:r>
        <w:rPr>
          <w:rFonts w:hint="eastAsia" w:ascii="宋体" w:hAnsi="宋体" w:cs="宋体"/>
          <w:color w:val="auto"/>
          <w:kern w:val="0"/>
          <w:highlight w:val="none"/>
          <w:lang w:val="zh-CN"/>
        </w:rPr>
        <w:t>货物质量保证</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7.1.1 </w:t>
      </w:r>
      <w:r>
        <w:rPr>
          <w:rFonts w:hint="eastAsia" w:ascii="宋体" w:hAnsi="宋体" w:cs="宋体"/>
          <w:color w:val="auto"/>
          <w:kern w:val="0"/>
          <w:highlight w:val="none"/>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7.1.2 </w:t>
      </w:r>
      <w:r>
        <w:rPr>
          <w:rFonts w:hint="eastAsia" w:ascii="宋体" w:hAnsi="宋体" w:cs="宋体"/>
          <w:color w:val="auto"/>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7.1.3 </w:t>
      </w:r>
      <w:r>
        <w:rPr>
          <w:rFonts w:hint="eastAsia" w:ascii="宋体" w:hAnsi="宋体" w:cs="宋体"/>
          <w:color w:val="auto"/>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7.1.4 </w:t>
      </w:r>
      <w:r>
        <w:rPr>
          <w:rFonts w:hint="eastAsia" w:ascii="宋体" w:hAnsi="宋体" w:cs="宋体"/>
          <w:color w:val="auto"/>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7.1.5 </w:t>
      </w:r>
      <w:r>
        <w:rPr>
          <w:rFonts w:hint="eastAsia" w:ascii="宋体" w:hAnsi="宋体" w:cs="宋体"/>
          <w:color w:val="auto"/>
          <w:kern w:val="0"/>
          <w:highlight w:val="none"/>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7.2 </w:t>
      </w:r>
      <w:r>
        <w:rPr>
          <w:rFonts w:hint="eastAsia" w:ascii="宋体" w:hAnsi="宋体" w:cs="宋体"/>
          <w:color w:val="auto"/>
          <w:kern w:val="0"/>
          <w:highlight w:val="none"/>
          <w:lang w:val="zh-CN"/>
        </w:rPr>
        <w:t>辅助服务质量保证</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7.2.1 </w:t>
      </w:r>
      <w:r>
        <w:rPr>
          <w:rFonts w:hint="eastAsia" w:ascii="宋体" w:hAnsi="宋体" w:cs="宋体"/>
          <w:color w:val="auto"/>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7.2.2 </w:t>
      </w:r>
      <w:r>
        <w:rPr>
          <w:rFonts w:hint="eastAsia" w:ascii="宋体" w:hAnsi="宋体" w:cs="宋体"/>
          <w:color w:val="auto"/>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8.</w:t>
      </w:r>
      <w:r>
        <w:rPr>
          <w:rFonts w:hint="eastAsia" w:ascii="宋体" w:hAnsi="宋体" w:cs="宋体"/>
          <w:b/>
          <w:bCs/>
          <w:color w:val="auto"/>
          <w:kern w:val="0"/>
          <w:highlight w:val="none"/>
          <w:lang w:val="zh-CN"/>
        </w:rPr>
        <w:t>包装要求</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8.1 </w:t>
      </w:r>
      <w:r>
        <w:rPr>
          <w:rFonts w:hint="eastAsia" w:ascii="宋体" w:hAnsi="宋体" w:cs="宋体"/>
          <w:color w:val="auto"/>
          <w:kern w:val="0"/>
          <w:highlight w:val="none"/>
          <w:lang w:val="zh-CN"/>
        </w:rPr>
        <w:t>除合同另有约定外</w:t>
      </w:r>
      <w:r>
        <w:rPr>
          <w:rFonts w:hint="eastAsia" w:ascii="宋体" w:hAnsi="宋体" w:cs="宋体"/>
          <w:color w:val="auto"/>
          <w:kern w:val="0"/>
          <w:highlight w:val="none"/>
        </w:rPr>
        <w:t>,</w:t>
      </w:r>
      <w:r>
        <w:rPr>
          <w:rFonts w:hint="eastAsia" w:ascii="宋体" w:hAnsi="宋体" w:cs="宋体"/>
          <w:color w:val="auto"/>
          <w:kern w:val="0"/>
          <w:highlight w:val="none"/>
          <w:lang w:val="zh-CN"/>
        </w:rPr>
        <w:t>乙方提供的全部货物</w:t>
      </w:r>
      <w:r>
        <w:rPr>
          <w:rFonts w:hint="eastAsia" w:ascii="宋体" w:hAnsi="宋体" w:cs="宋体"/>
          <w:color w:val="auto"/>
          <w:kern w:val="0"/>
          <w:highlight w:val="none"/>
        </w:rPr>
        <w:t>,</w:t>
      </w:r>
      <w:r>
        <w:rPr>
          <w:rFonts w:hint="eastAsia" w:ascii="宋体" w:hAnsi="宋体" w:cs="宋体"/>
          <w:color w:val="auto"/>
          <w:kern w:val="0"/>
          <w:highlight w:val="none"/>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8.2 </w:t>
      </w:r>
      <w:r>
        <w:rPr>
          <w:rFonts w:hint="eastAsia" w:ascii="宋体" w:hAnsi="宋体" w:cs="宋体"/>
          <w:color w:val="auto"/>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8.3 </w:t>
      </w:r>
      <w:r>
        <w:rPr>
          <w:rFonts w:hint="eastAsia" w:ascii="宋体" w:hAnsi="宋体" w:cs="宋体"/>
          <w:color w:val="auto"/>
          <w:kern w:val="0"/>
          <w:highlight w:val="none"/>
          <w:lang w:val="zh-CN"/>
        </w:rPr>
        <w:t>乙方所提供的货物包装均为出厂时原包装。</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8.4 </w:t>
      </w:r>
      <w:r>
        <w:rPr>
          <w:rFonts w:hint="eastAsia" w:ascii="宋体" w:hAnsi="宋体" w:cs="宋体"/>
          <w:color w:val="auto"/>
          <w:kern w:val="0"/>
          <w:highlight w:val="none"/>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8.5 </w:t>
      </w:r>
      <w:r>
        <w:rPr>
          <w:rFonts w:hint="eastAsia" w:ascii="宋体" w:hAnsi="宋体" w:cs="宋体"/>
          <w:color w:val="auto"/>
          <w:kern w:val="0"/>
          <w:highlight w:val="none"/>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9.</w:t>
      </w:r>
      <w:r>
        <w:rPr>
          <w:rFonts w:hint="eastAsia" w:ascii="宋体" w:hAnsi="宋体" w:cs="宋体"/>
          <w:b/>
          <w:bCs/>
          <w:color w:val="auto"/>
          <w:kern w:val="0"/>
          <w:highlight w:val="none"/>
          <w:lang w:val="zh-CN"/>
        </w:rPr>
        <w:t>价格</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9.1 </w:t>
      </w:r>
      <w:r>
        <w:rPr>
          <w:rFonts w:hint="eastAsia" w:ascii="宋体" w:hAnsi="宋体" w:cs="宋体"/>
          <w:color w:val="auto"/>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9.2 </w:t>
      </w:r>
      <w:r>
        <w:rPr>
          <w:rFonts w:hint="eastAsia" w:ascii="宋体" w:hAnsi="宋体" w:cs="宋体"/>
          <w:color w:val="auto"/>
          <w:kern w:val="0"/>
          <w:highlight w:val="none"/>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9.3 </w:t>
      </w:r>
      <w:r>
        <w:rPr>
          <w:rFonts w:hint="eastAsia" w:ascii="宋体" w:hAnsi="宋体" w:cs="宋体"/>
          <w:color w:val="auto"/>
          <w:kern w:val="0"/>
          <w:highlight w:val="none"/>
          <w:lang w:val="zh-CN"/>
        </w:rPr>
        <w:t>检验费用</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9.3.1 </w:t>
      </w:r>
      <w:r>
        <w:rPr>
          <w:rFonts w:hint="eastAsia" w:ascii="宋体" w:hAnsi="宋体" w:cs="宋体"/>
          <w:color w:val="auto"/>
          <w:kern w:val="0"/>
          <w:highlight w:val="none"/>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9.3.2 </w:t>
      </w:r>
      <w:r>
        <w:rPr>
          <w:rFonts w:hint="eastAsia" w:ascii="宋体" w:hAnsi="宋体" w:cs="宋体"/>
          <w:color w:val="auto"/>
          <w:kern w:val="0"/>
          <w:highlight w:val="none"/>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9.3.3 </w:t>
      </w:r>
      <w:r>
        <w:rPr>
          <w:rFonts w:hint="eastAsia" w:ascii="宋体" w:hAnsi="宋体" w:cs="宋体"/>
          <w:color w:val="auto"/>
          <w:kern w:val="0"/>
          <w:highlight w:val="none"/>
          <w:lang w:val="zh-CN"/>
        </w:rPr>
        <w:t>甲方检验人员已到卖方所在地，测试无法依照合同进行，</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10.</w:t>
      </w:r>
      <w:r>
        <w:rPr>
          <w:rFonts w:hint="eastAsia" w:ascii="宋体" w:hAnsi="宋体" w:cs="宋体"/>
          <w:b/>
          <w:bCs/>
          <w:color w:val="auto"/>
          <w:kern w:val="0"/>
          <w:highlight w:val="none"/>
          <w:lang w:val="zh-CN"/>
        </w:rPr>
        <w:t>交货方式及交货日期</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交货方式：现场交货，乙方负责办理运输和保险，将货物运抵现场。</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交货日期：所有货物运抵现场并经双方开箱验收合格之日。</w:t>
      </w:r>
    </w:p>
    <w:p>
      <w:pPr>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11.检验和验收</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11.1 </w:t>
      </w:r>
      <w:r>
        <w:rPr>
          <w:rFonts w:hint="eastAsia" w:ascii="宋体" w:hAnsi="宋体" w:cs="宋体"/>
          <w:color w:val="auto"/>
          <w:kern w:val="0"/>
          <w:highlight w:val="none"/>
          <w:lang w:val="zh-CN"/>
        </w:rPr>
        <w:t>开箱验收</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11.1.1 </w:t>
      </w:r>
      <w:r>
        <w:rPr>
          <w:rFonts w:hint="eastAsia" w:ascii="宋体" w:hAnsi="宋体" w:cs="宋体"/>
          <w:color w:val="auto"/>
          <w:kern w:val="0"/>
          <w:highlight w:val="none"/>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11.1.2 </w:t>
      </w:r>
      <w:r>
        <w:rPr>
          <w:rFonts w:hint="eastAsia" w:ascii="宋体" w:hAnsi="宋体" w:cs="宋体"/>
          <w:color w:val="auto"/>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11.1.3 </w:t>
      </w:r>
      <w:r>
        <w:rPr>
          <w:rFonts w:hint="eastAsia" w:ascii="宋体" w:hAnsi="宋体" w:cs="宋体"/>
          <w:color w:val="auto"/>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11.2 </w:t>
      </w:r>
      <w:r>
        <w:rPr>
          <w:rFonts w:hint="eastAsia" w:ascii="宋体" w:hAnsi="宋体" w:cs="宋体"/>
          <w:color w:val="auto"/>
          <w:kern w:val="0"/>
          <w:highlight w:val="none"/>
          <w:lang w:val="zh-CN"/>
        </w:rPr>
        <w:t>检验验收</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11.2.1 </w:t>
      </w:r>
      <w:r>
        <w:rPr>
          <w:rFonts w:hint="eastAsia" w:ascii="宋体" w:hAnsi="宋体" w:cs="宋体"/>
          <w:color w:val="auto"/>
          <w:kern w:val="0"/>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11.2.2 </w:t>
      </w:r>
      <w:r>
        <w:rPr>
          <w:rFonts w:hint="eastAsia" w:ascii="宋体" w:hAnsi="宋体" w:cs="宋体"/>
          <w:color w:val="auto"/>
          <w:kern w:val="0"/>
          <w:highlight w:val="none"/>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11.2.3 </w:t>
      </w:r>
      <w:r>
        <w:rPr>
          <w:rFonts w:hint="eastAsia" w:ascii="宋体" w:hAnsi="宋体" w:cs="宋体"/>
          <w:color w:val="auto"/>
          <w:kern w:val="0"/>
          <w:highlight w:val="none"/>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11.2.4 </w:t>
      </w:r>
      <w:r>
        <w:rPr>
          <w:rFonts w:hint="eastAsia" w:ascii="宋体" w:hAnsi="宋体" w:cs="宋体"/>
          <w:color w:val="auto"/>
          <w:kern w:val="0"/>
          <w:highlight w:val="none"/>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a.</w:t>
      </w:r>
      <w:r>
        <w:rPr>
          <w:rFonts w:hint="eastAsia" w:ascii="宋体" w:hAnsi="宋体" w:cs="宋体"/>
          <w:color w:val="auto"/>
          <w:kern w:val="0"/>
          <w:highlight w:val="none"/>
          <w:lang w:val="zh-CN"/>
        </w:rPr>
        <w:t>重新测试直至合格为止；</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b.</w:t>
      </w:r>
      <w:r>
        <w:rPr>
          <w:rFonts w:hint="eastAsia" w:ascii="宋体" w:hAnsi="宋体" w:cs="宋体"/>
          <w:color w:val="auto"/>
          <w:kern w:val="0"/>
          <w:highlight w:val="none"/>
          <w:lang w:val="zh-CN"/>
        </w:rPr>
        <w:t>要求乙方对货物进行免费更换，然后重新测试直至合格为止；</w:t>
      </w:r>
    </w:p>
    <w:p>
      <w:pPr>
        <w:autoSpaceDE w:val="0"/>
        <w:autoSpaceDN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11.3 </w:t>
      </w:r>
      <w:r>
        <w:rPr>
          <w:rFonts w:hint="eastAsia" w:ascii="宋体" w:hAnsi="宋体" w:cs="宋体"/>
          <w:color w:val="auto"/>
          <w:kern w:val="0"/>
          <w:highlight w:val="none"/>
          <w:lang w:val="zh-CN"/>
        </w:rPr>
        <w:t>使用过程检验</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11.3.1 </w:t>
      </w:r>
      <w:r>
        <w:rPr>
          <w:rFonts w:hint="eastAsia" w:ascii="宋体" w:hAnsi="宋体" w:cs="宋体"/>
          <w:color w:val="auto"/>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11.3.2 </w:t>
      </w:r>
      <w:r>
        <w:rPr>
          <w:rFonts w:hint="eastAsia" w:ascii="宋体" w:hAnsi="宋体" w:cs="宋体"/>
          <w:color w:val="auto"/>
          <w:kern w:val="0"/>
          <w:highlight w:val="none"/>
          <w:lang w:val="zh-CN"/>
        </w:rPr>
        <w:t>如果合同双方对乙方提供的上述试验结果报告的解释有分歧，双方须于出现分歧后</w:t>
      </w:r>
      <w:r>
        <w:rPr>
          <w:rFonts w:hint="eastAsia" w:ascii="宋体" w:hAnsi="宋体" w:cs="宋体"/>
          <w:color w:val="auto"/>
          <w:kern w:val="0"/>
          <w:highlight w:val="none"/>
        </w:rPr>
        <w:t>10</w:t>
      </w:r>
      <w:r>
        <w:rPr>
          <w:rFonts w:hint="eastAsia" w:ascii="宋体" w:hAnsi="宋体" w:cs="宋体"/>
          <w:color w:val="auto"/>
          <w:kern w:val="0"/>
          <w:highlight w:val="none"/>
          <w:lang w:val="zh-CN"/>
        </w:rPr>
        <w:t>天内给对方声明，以陈述己方的观点。声明须附有关证据。分歧应通过协商解决。</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12.</w:t>
      </w:r>
      <w:r>
        <w:rPr>
          <w:rFonts w:hint="eastAsia" w:ascii="宋体" w:hAnsi="宋体" w:cs="宋体"/>
          <w:b/>
          <w:bCs/>
          <w:color w:val="auto"/>
          <w:kern w:val="0"/>
          <w:highlight w:val="none"/>
          <w:lang w:val="zh-CN"/>
        </w:rPr>
        <w:t>付款方法和条件</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本合同条款下的付款方法和条件在“青海省政府采购项目合同书”中具体规定。</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13.</w:t>
      </w:r>
      <w:r>
        <w:rPr>
          <w:rFonts w:hint="eastAsia" w:ascii="宋体" w:hAnsi="宋体" w:cs="宋体"/>
          <w:b/>
          <w:bCs/>
          <w:color w:val="auto"/>
          <w:kern w:val="0"/>
          <w:highlight w:val="none"/>
          <w:lang w:val="zh-CN"/>
        </w:rPr>
        <w:t>履约保证金</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13.1 </w:t>
      </w:r>
      <w:r>
        <w:rPr>
          <w:rFonts w:hint="eastAsia" w:ascii="宋体" w:hAnsi="宋体" w:cs="宋体"/>
          <w:color w:val="auto"/>
          <w:kern w:val="0"/>
          <w:highlight w:val="none"/>
          <w:lang w:val="zh-CN"/>
        </w:rPr>
        <w:t>乙方应在合同签订前，按招标文件第</w:t>
      </w:r>
      <w:r>
        <w:rPr>
          <w:rFonts w:hint="eastAsia" w:ascii="宋体" w:hAnsi="宋体" w:cs="宋体"/>
          <w:color w:val="auto"/>
          <w:kern w:val="0"/>
          <w:highlight w:val="none"/>
        </w:rPr>
        <w:t>二</w:t>
      </w:r>
      <w:r>
        <w:rPr>
          <w:rFonts w:hint="eastAsia" w:ascii="宋体" w:hAnsi="宋体" w:cs="宋体"/>
          <w:color w:val="auto"/>
          <w:kern w:val="0"/>
          <w:highlight w:val="none"/>
          <w:lang w:val="zh-CN"/>
        </w:rPr>
        <w:t>部分“八 授予合同”中第22.2项的约定提交履约保证金。</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13.2 </w:t>
      </w:r>
      <w:r>
        <w:rPr>
          <w:rFonts w:hint="eastAsia" w:ascii="宋体" w:hAnsi="宋体" w:cs="宋体"/>
          <w:color w:val="auto"/>
          <w:kern w:val="0"/>
          <w:highlight w:val="none"/>
          <w:lang w:val="zh-CN"/>
        </w:rPr>
        <w:t>履约保证金用于补偿甲方因乙方不能履行其合同义务而蒙受的损失。</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13.3 </w:t>
      </w:r>
      <w:r>
        <w:rPr>
          <w:rFonts w:hint="eastAsia" w:ascii="宋体" w:hAnsi="宋体" w:cs="宋体"/>
          <w:color w:val="auto"/>
          <w:kern w:val="0"/>
          <w:highlight w:val="none"/>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13.3.1 </w:t>
      </w:r>
      <w:r>
        <w:rPr>
          <w:rFonts w:hint="eastAsia" w:ascii="宋体" w:hAnsi="宋体" w:cs="宋体"/>
          <w:color w:val="auto"/>
          <w:kern w:val="0"/>
          <w:highlight w:val="none"/>
          <w:lang w:val="zh-CN"/>
        </w:rPr>
        <w:t>甲方可接受的在中华人民共和国注册和营业的银行出具的履约保函；</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13.3.2 </w:t>
      </w:r>
      <w:r>
        <w:rPr>
          <w:rFonts w:hint="eastAsia" w:ascii="宋体" w:hAnsi="宋体" w:cs="宋体"/>
          <w:color w:val="auto"/>
          <w:kern w:val="0"/>
          <w:highlight w:val="none"/>
          <w:lang w:val="zh-CN"/>
        </w:rPr>
        <w:t>支票或汇票。</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13.4 </w:t>
      </w:r>
      <w:r>
        <w:rPr>
          <w:rFonts w:hint="eastAsia" w:ascii="宋体" w:hAnsi="宋体" w:cs="宋体"/>
          <w:color w:val="auto"/>
          <w:kern w:val="0"/>
          <w:highlight w:val="none"/>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14.</w:t>
      </w:r>
      <w:r>
        <w:rPr>
          <w:rFonts w:hint="eastAsia" w:ascii="宋体" w:hAnsi="宋体" w:cs="宋体"/>
          <w:b/>
          <w:bCs/>
          <w:color w:val="auto"/>
          <w:kern w:val="0"/>
          <w:highlight w:val="none"/>
          <w:lang w:val="zh-CN"/>
        </w:rPr>
        <w:t>索赔</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14.1 </w:t>
      </w:r>
      <w:r>
        <w:rPr>
          <w:rFonts w:hint="eastAsia" w:ascii="宋体" w:hAnsi="宋体" w:cs="宋体"/>
          <w:color w:val="auto"/>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14.2 </w:t>
      </w:r>
      <w:r>
        <w:rPr>
          <w:rFonts w:hint="eastAsia" w:ascii="宋体" w:hAnsi="宋体" w:cs="宋体"/>
          <w:color w:val="auto"/>
          <w:kern w:val="0"/>
          <w:highlight w:val="none"/>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14.2.1 </w:t>
      </w:r>
      <w:r>
        <w:rPr>
          <w:rFonts w:hint="eastAsia" w:ascii="宋体" w:hAnsi="宋体" w:cs="宋体"/>
          <w:color w:val="auto"/>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14.2.2 </w:t>
      </w:r>
      <w:r>
        <w:rPr>
          <w:rFonts w:hint="eastAsia" w:ascii="宋体" w:hAnsi="宋体" w:cs="宋体"/>
          <w:color w:val="auto"/>
          <w:kern w:val="0"/>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14.2.3 </w:t>
      </w:r>
      <w:r>
        <w:rPr>
          <w:rFonts w:hint="eastAsia" w:ascii="宋体" w:hAnsi="宋体" w:cs="宋体"/>
          <w:color w:val="auto"/>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14.3 </w:t>
      </w:r>
      <w:r>
        <w:rPr>
          <w:rFonts w:hint="eastAsia" w:ascii="宋体" w:hAnsi="宋体" w:cs="宋体"/>
          <w:color w:val="auto"/>
          <w:kern w:val="0"/>
          <w:highlight w:val="none"/>
          <w:lang w:val="zh-CN"/>
        </w:rPr>
        <w:t>乙方收到甲方发出的索赔通知之日起</w:t>
      </w:r>
      <w:r>
        <w:rPr>
          <w:rFonts w:hint="eastAsia" w:ascii="宋体" w:hAnsi="宋体" w:cs="宋体"/>
          <w:color w:val="auto"/>
          <w:kern w:val="0"/>
          <w:highlight w:val="none"/>
        </w:rPr>
        <w:t>5</w:t>
      </w:r>
      <w:r>
        <w:rPr>
          <w:rFonts w:hint="eastAsia" w:ascii="宋体" w:hAnsi="宋体" w:cs="宋体"/>
          <w:color w:val="auto"/>
          <w:kern w:val="0"/>
          <w:highlight w:val="none"/>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15.</w:t>
      </w:r>
      <w:r>
        <w:rPr>
          <w:rFonts w:hint="eastAsia" w:ascii="宋体" w:hAnsi="宋体" w:cs="宋体"/>
          <w:b/>
          <w:bCs/>
          <w:color w:val="auto"/>
          <w:kern w:val="0"/>
          <w:highlight w:val="none"/>
          <w:lang w:val="zh-CN"/>
        </w:rPr>
        <w:t>迟延交货</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15.1 </w:t>
      </w:r>
      <w:r>
        <w:rPr>
          <w:rFonts w:hint="eastAsia" w:ascii="宋体" w:hAnsi="宋体" w:cs="宋体"/>
          <w:color w:val="auto"/>
          <w:kern w:val="0"/>
          <w:highlight w:val="none"/>
          <w:lang w:val="zh-CN"/>
        </w:rPr>
        <w:t>乙方应按照合同约定的时间交货和提供服务。</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15.2 </w:t>
      </w:r>
      <w:r>
        <w:rPr>
          <w:rFonts w:hint="eastAsia" w:ascii="宋体" w:hAnsi="宋体" w:cs="宋体"/>
          <w:color w:val="auto"/>
          <w:kern w:val="0"/>
          <w:highlight w:val="none"/>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15.3 </w:t>
      </w:r>
      <w:r>
        <w:rPr>
          <w:rFonts w:hint="eastAsia" w:ascii="宋体" w:hAnsi="宋体" w:cs="宋体"/>
          <w:color w:val="auto"/>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16.</w:t>
      </w:r>
      <w:r>
        <w:rPr>
          <w:rFonts w:hint="eastAsia" w:ascii="宋体" w:hAnsi="宋体" w:cs="宋体"/>
          <w:b/>
          <w:bCs/>
          <w:color w:val="auto"/>
          <w:kern w:val="0"/>
          <w:highlight w:val="none"/>
          <w:lang w:val="zh-CN"/>
        </w:rPr>
        <w:t>违约赔偿</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17.</w:t>
      </w:r>
      <w:r>
        <w:rPr>
          <w:rFonts w:hint="eastAsia" w:ascii="宋体" w:hAnsi="宋体" w:cs="宋体"/>
          <w:b/>
          <w:bCs/>
          <w:color w:val="auto"/>
          <w:kern w:val="0"/>
          <w:highlight w:val="none"/>
          <w:lang w:val="zh-CN"/>
        </w:rPr>
        <w:t>不可抗力</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17.1 </w:t>
      </w:r>
      <w:r>
        <w:rPr>
          <w:rFonts w:hint="eastAsia" w:ascii="宋体" w:hAnsi="宋体" w:cs="宋体"/>
          <w:color w:val="auto"/>
          <w:kern w:val="0"/>
          <w:highlight w:val="none"/>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17.2 </w:t>
      </w:r>
      <w:r>
        <w:rPr>
          <w:rFonts w:hint="eastAsia" w:ascii="宋体" w:hAnsi="宋体" w:cs="宋体"/>
          <w:color w:val="auto"/>
          <w:kern w:val="0"/>
          <w:highlight w:val="none"/>
          <w:lang w:val="zh-CN"/>
        </w:rPr>
        <w:t>受事故影响的一方应在不可抗力的事故发生后以书面形式通知另一方。</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17.3 </w:t>
      </w:r>
      <w:r>
        <w:rPr>
          <w:rFonts w:hint="eastAsia" w:ascii="宋体" w:hAnsi="宋体" w:cs="宋体"/>
          <w:color w:val="auto"/>
          <w:kern w:val="0"/>
          <w:highlight w:val="none"/>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18.</w:t>
      </w:r>
      <w:r>
        <w:rPr>
          <w:rFonts w:hint="eastAsia" w:ascii="宋体" w:hAnsi="宋体" w:cs="宋体"/>
          <w:b/>
          <w:bCs/>
          <w:color w:val="auto"/>
          <w:kern w:val="0"/>
          <w:highlight w:val="none"/>
          <w:lang w:val="zh-CN"/>
        </w:rPr>
        <w:t>税费</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与本合同有关的一切税费均由乙方承担。</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19.</w:t>
      </w:r>
      <w:r>
        <w:rPr>
          <w:rFonts w:hint="eastAsia" w:ascii="宋体" w:hAnsi="宋体" w:cs="宋体"/>
          <w:b/>
          <w:bCs/>
          <w:color w:val="auto"/>
          <w:kern w:val="0"/>
          <w:highlight w:val="none"/>
          <w:lang w:val="zh-CN"/>
        </w:rPr>
        <w:t>合同争议的解决</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19.1 </w:t>
      </w:r>
      <w:r>
        <w:rPr>
          <w:rFonts w:hint="eastAsia" w:ascii="宋体" w:hAnsi="宋体" w:cs="宋体"/>
          <w:color w:val="auto"/>
          <w:kern w:val="0"/>
          <w:highlight w:val="none"/>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19.2 </w:t>
      </w:r>
      <w:r>
        <w:rPr>
          <w:rFonts w:hint="eastAsia" w:ascii="宋体" w:hAnsi="宋体" w:cs="宋体"/>
          <w:color w:val="auto"/>
          <w:kern w:val="0"/>
          <w:highlight w:val="none"/>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20.</w:t>
      </w:r>
      <w:r>
        <w:rPr>
          <w:rFonts w:hint="eastAsia" w:ascii="宋体" w:hAnsi="宋体" w:cs="宋体"/>
          <w:b/>
          <w:bCs/>
          <w:color w:val="auto"/>
          <w:kern w:val="0"/>
          <w:highlight w:val="none"/>
          <w:lang w:val="zh-CN"/>
        </w:rPr>
        <w:t>违约解除合同</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20.1 </w:t>
      </w:r>
      <w:r>
        <w:rPr>
          <w:rFonts w:hint="eastAsia" w:ascii="宋体" w:hAnsi="宋体" w:cs="宋体"/>
          <w:color w:val="auto"/>
          <w:kern w:val="0"/>
          <w:highlight w:val="none"/>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20.1.1 </w:t>
      </w:r>
      <w:r>
        <w:rPr>
          <w:rFonts w:hint="eastAsia" w:ascii="宋体" w:hAnsi="宋体" w:cs="宋体"/>
          <w:color w:val="auto"/>
          <w:kern w:val="0"/>
          <w:highlight w:val="none"/>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20.1.2 </w:t>
      </w:r>
      <w:r>
        <w:rPr>
          <w:rFonts w:hint="eastAsia" w:ascii="宋体" w:hAnsi="宋体" w:cs="宋体"/>
          <w:color w:val="auto"/>
          <w:kern w:val="0"/>
          <w:highlight w:val="none"/>
          <w:lang w:val="zh-CN"/>
        </w:rPr>
        <w:t>乙方未能履行合同规定的其它主要义务的；</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20.1.3 </w:t>
      </w:r>
      <w:r>
        <w:rPr>
          <w:rFonts w:hint="eastAsia" w:ascii="宋体" w:hAnsi="宋体" w:cs="宋体"/>
          <w:color w:val="auto"/>
          <w:kern w:val="0"/>
          <w:highlight w:val="none"/>
          <w:lang w:val="zh-CN"/>
        </w:rPr>
        <w:t>乙方在本合同履行过程中有欺诈行为的。</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20.2 </w:t>
      </w:r>
      <w:r>
        <w:rPr>
          <w:rFonts w:hint="eastAsia" w:ascii="宋体" w:hAnsi="宋体" w:cs="宋体"/>
          <w:color w:val="auto"/>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21.</w:t>
      </w:r>
      <w:r>
        <w:rPr>
          <w:rFonts w:hint="eastAsia" w:ascii="宋体" w:hAnsi="宋体" w:cs="宋体"/>
          <w:b/>
          <w:bCs/>
          <w:color w:val="auto"/>
          <w:kern w:val="0"/>
          <w:highlight w:val="none"/>
          <w:lang w:val="zh-CN"/>
        </w:rPr>
        <w:t>破产终止合同</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22.</w:t>
      </w:r>
      <w:r>
        <w:rPr>
          <w:rFonts w:hint="eastAsia" w:ascii="宋体" w:hAnsi="宋体" w:cs="宋体"/>
          <w:b/>
          <w:bCs/>
          <w:color w:val="auto"/>
          <w:kern w:val="0"/>
          <w:highlight w:val="none"/>
          <w:lang w:val="zh-CN"/>
        </w:rPr>
        <w:t>转让和分包</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 xml:space="preserve">22.1 </w:t>
      </w:r>
      <w:r>
        <w:rPr>
          <w:rFonts w:hint="eastAsia" w:ascii="宋体" w:hAnsi="宋体" w:cs="宋体"/>
          <w:color w:val="auto"/>
          <w:kern w:val="0"/>
          <w:highlight w:val="none"/>
          <w:lang w:val="zh-CN"/>
        </w:rPr>
        <w:t>政府采购合同不能转让。</w:t>
      </w:r>
    </w:p>
    <w:p>
      <w:pPr>
        <w:autoSpaceDE w:val="0"/>
        <w:autoSpaceDN w:val="0"/>
        <w:spacing w:line="360" w:lineRule="auto"/>
        <w:ind w:firstLine="360"/>
        <w:rPr>
          <w:rFonts w:ascii="宋体" w:hAnsi="宋体" w:cs="宋体"/>
          <w:color w:val="auto"/>
          <w:kern w:val="0"/>
          <w:highlight w:val="none"/>
        </w:rPr>
      </w:pPr>
      <w:r>
        <w:rPr>
          <w:rFonts w:hint="eastAsia" w:ascii="宋体" w:hAnsi="宋体" w:cs="宋体"/>
          <w:color w:val="auto"/>
          <w:kern w:val="0"/>
          <w:highlight w:val="none"/>
        </w:rPr>
        <w:t xml:space="preserve">22.2 </w:t>
      </w:r>
      <w:r>
        <w:rPr>
          <w:rFonts w:hint="eastAsia" w:ascii="宋体" w:hAnsi="宋体" w:cs="宋体"/>
          <w:color w:val="auto"/>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23.</w:t>
      </w:r>
      <w:r>
        <w:rPr>
          <w:rFonts w:hint="eastAsia" w:ascii="宋体" w:hAnsi="宋体" w:cs="宋体"/>
          <w:b/>
          <w:bCs/>
          <w:color w:val="auto"/>
          <w:kern w:val="0"/>
          <w:highlight w:val="none"/>
          <w:lang w:val="zh-CN"/>
        </w:rPr>
        <w:t>合同修改</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政府采购合同的双方当事人不得擅自变更、中止或者终止合同</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24.</w:t>
      </w:r>
      <w:r>
        <w:rPr>
          <w:rFonts w:hint="eastAsia" w:ascii="宋体" w:hAnsi="宋体" w:cs="宋体"/>
          <w:b/>
          <w:bCs/>
          <w:color w:val="auto"/>
          <w:kern w:val="0"/>
          <w:highlight w:val="none"/>
          <w:lang w:val="zh-CN"/>
        </w:rPr>
        <w:t>通知</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25.</w:t>
      </w:r>
      <w:r>
        <w:rPr>
          <w:rFonts w:hint="eastAsia" w:ascii="宋体" w:hAnsi="宋体" w:cs="宋体"/>
          <w:b/>
          <w:bCs/>
          <w:color w:val="auto"/>
          <w:kern w:val="0"/>
          <w:highlight w:val="none"/>
          <w:lang w:val="zh-CN"/>
        </w:rPr>
        <w:t>计量单位</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除技术规范中另有规定外</w:t>
      </w:r>
      <w:r>
        <w:rPr>
          <w:rFonts w:hint="eastAsia" w:ascii="宋体" w:hAnsi="宋体" w:cs="宋体"/>
          <w:color w:val="auto"/>
          <w:kern w:val="0"/>
          <w:highlight w:val="none"/>
        </w:rPr>
        <w:t>,</w:t>
      </w:r>
      <w:r>
        <w:rPr>
          <w:rFonts w:hint="eastAsia" w:ascii="宋体" w:hAnsi="宋体" w:cs="宋体"/>
          <w:color w:val="auto"/>
          <w:kern w:val="0"/>
          <w:highlight w:val="none"/>
          <w:lang w:val="zh-CN"/>
        </w:rPr>
        <w:t>计量单位均使用国家法定计量单位。</w:t>
      </w:r>
    </w:p>
    <w:p>
      <w:pPr>
        <w:autoSpaceDE w:val="0"/>
        <w:autoSpaceDN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26.</w:t>
      </w:r>
      <w:r>
        <w:rPr>
          <w:rFonts w:hint="eastAsia" w:ascii="宋体" w:hAnsi="宋体" w:cs="宋体"/>
          <w:b/>
          <w:bCs/>
          <w:color w:val="auto"/>
          <w:kern w:val="0"/>
          <w:highlight w:val="none"/>
          <w:lang w:val="zh-CN"/>
        </w:rPr>
        <w:t>适用法律</w:t>
      </w:r>
    </w:p>
    <w:p>
      <w:pPr>
        <w:pStyle w:val="28"/>
        <w:spacing w:before="0" w:after="0" w:line="360" w:lineRule="auto"/>
        <w:ind w:firstLine="360" w:firstLineChars="150"/>
        <w:jc w:val="both"/>
        <w:rPr>
          <w:rFonts w:ascii="宋体" w:cs="宋体"/>
          <w:color w:val="auto"/>
          <w:highlight w:val="none"/>
          <w:lang w:val="zh-CN"/>
        </w:rPr>
      </w:pPr>
      <w:bookmarkStart w:id="118" w:name="_Toc3976"/>
      <w:r>
        <w:rPr>
          <w:rFonts w:hint="eastAsia" w:ascii="宋体" w:hAnsi="宋体" w:cs="宋体"/>
          <w:b w:val="0"/>
          <w:bCs w:val="0"/>
          <w:color w:val="auto"/>
          <w:kern w:val="0"/>
          <w:sz w:val="24"/>
          <w:szCs w:val="24"/>
          <w:highlight w:val="none"/>
          <w:lang w:val="zh-CN"/>
        </w:rPr>
        <w:t>本合同按照中华人民共和国的相关法律进行解释。</w:t>
      </w:r>
      <w:r>
        <w:rPr>
          <w:rFonts w:ascii="宋体" w:cs="宋体"/>
          <w:color w:val="auto"/>
          <w:szCs w:val="36"/>
          <w:highlight w:val="none"/>
          <w:lang w:val="zh-CN"/>
        </w:rPr>
        <w:br w:type="page"/>
      </w:r>
      <w:r>
        <w:rPr>
          <w:rFonts w:hint="eastAsia" w:ascii="宋体" w:hAnsi="宋体" w:cs="宋体"/>
          <w:color w:val="auto"/>
          <w:szCs w:val="36"/>
          <w:highlight w:val="none"/>
          <w:lang w:val="zh-CN"/>
        </w:rPr>
        <w:t>第四部分</w:t>
      </w:r>
      <w:r>
        <w:rPr>
          <w:rFonts w:ascii="宋体" w:hAnsi="宋体" w:cs="宋体"/>
          <w:color w:val="auto"/>
          <w:szCs w:val="36"/>
          <w:highlight w:val="none"/>
          <w:lang w:val="zh-CN"/>
        </w:rPr>
        <w:t xml:space="preserve">  </w:t>
      </w:r>
      <w:r>
        <w:rPr>
          <w:rFonts w:hint="eastAsia" w:ascii="宋体" w:hAnsi="宋体" w:cs="宋体"/>
          <w:color w:val="auto"/>
          <w:szCs w:val="36"/>
          <w:highlight w:val="none"/>
          <w:lang w:val="zh-CN"/>
        </w:rPr>
        <w:t>投标文件格式</w:t>
      </w:r>
      <w:bookmarkEnd w:id="118"/>
    </w:p>
    <w:p>
      <w:pPr>
        <w:pStyle w:val="28"/>
        <w:numPr>
          <w:ilvl w:val="0"/>
          <w:numId w:val="9"/>
        </w:numPr>
        <w:spacing w:before="0" w:after="0" w:line="360" w:lineRule="auto"/>
        <w:jc w:val="left"/>
        <w:outlineLvl w:val="1"/>
        <w:rPr>
          <w:rFonts w:ascii="宋体" w:cs="宋体"/>
          <w:color w:val="auto"/>
          <w:sz w:val="30"/>
          <w:szCs w:val="30"/>
          <w:highlight w:val="none"/>
        </w:rPr>
      </w:pPr>
      <w:bookmarkStart w:id="119" w:name="_Toc11851"/>
      <w:bookmarkStart w:id="120" w:name="_Toc22948"/>
      <w:r>
        <w:rPr>
          <w:rFonts w:hint="eastAsia" w:ascii="宋体" w:hAnsi="宋体" w:cs="宋体"/>
          <w:color w:val="auto"/>
          <w:sz w:val="30"/>
          <w:szCs w:val="30"/>
          <w:highlight w:val="none"/>
          <w:lang w:val="zh-CN"/>
        </w:rPr>
        <w:t>投标文件封面</w:t>
      </w:r>
      <w:bookmarkEnd w:id="119"/>
      <w:r>
        <w:rPr>
          <w:rFonts w:hint="eastAsia" w:ascii="宋体" w:hAnsi="宋体" w:cs="宋体"/>
          <w:color w:val="auto"/>
          <w:sz w:val="30"/>
          <w:szCs w:val="30"/>
          <w:highlight w:val="none"/>
          <w:lang w:val="zh-CN"/>
        </w:rPr>
        <w:t>（上册）</w:t>
      </w:r>
      <w:bookmarkEnd w:id="120"/>
    </w:p>
    <w:p>
      <w:pPr>
        <w:rPr>
          <w:rFonts w:ascii="宋体" w:cs="宋体"/>
          <w:color w:val="auto"/>
          <w:highlight w:val="none"/>
        </w:rPr>
      </w:pPr>
    </w:p>
    <w:p>
      <w:pPr>
        <w:autoSpaceDE w:val="0"/>
        <w:autoSpaceDN w:val="0"/>
        <w:spacing w:line="360" w:lineRule="auto"/>
        <w:jc w:val="right"/>
        <w:rPr>
          <w:rFonts w:ascii="宋体" w:cs="宋体"/>
          <w:b/>
          <w:bCs/>
          <w:color w:val="auto"/>
          <w:kern w:val="0"/>
          <w:sz w:val="36"/>
          <w:szCs w:val="36"/>
          <w:highlight w:val="none"/>
        </w:rPr>
      </w:pPr>
      <w:r>
        <w:rPr>
          <w:rFonts w:hint="eastAsia" w:ascii="宋体" w:hAnsi="宋体" w:cs="宋体"/>
          <w:b/>
          <w:bCs/>
          <w:color w:val="auto"/>
          <w:kern w:val="0"/>
          <w:sz w:val="36"/>
          <w:szCs w:val="36"/>
          <w:highlight w:val="none"/>
        </w:rPr>
        <w:t>正本</w:t>
      </w:r>
      <w:r>
        <w:rPr>
          <w:rFonts w:ascii="宋体" w:hAnsi="宋体" w:cs="宋体"/>
          <w:b/>
          <w:bCs/>
          <w:color w:val="auto"/>
          <w:kern w:val="0"/>
          <w:sz w:val="36"/>
          <w:szCs w:val="36"/>
          <w:highlight w:val="none"/>
        </w:rPr>
        <w:t>/</w:t>
      </w:r>
      <w:r>
        <w:rPr>
          <w:rFonts w:hint="eastAsia" w:ascii="宋体" w:hAnsi="宋体" w:cs="宋体"/>
          <w:b/>
          <w:bCs/>
          <w:color w:val="auto"/>
          <w:kern w:val="0"/>
          <w:sz w:val="36"/>
          <w:szCs w:val="36"/>
          <w:highlight w:val="none"/>
        </w:rPr>
        <w:t>副本</w:t>
      </w:r>
    </w:p>
    <w:p>
      <w:pPr>
        <w:autoSpaceDE w:val="0"/>
        <w:autoSpaceDN w:val="0"/>
        <w:spacing w:line="360" w:lineRule="auto"/>
        <w:jc w:val="center"/>
        <w:rPr>
          <w:rFonts w:asci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青海省政府采购项目</w:t>
      </w:r>
    </w:p>
    <w:p>
      <w:pPr>
        <w:autoSpaceDE w:val="0"/>
        <w:autoSpaceDN w:val="0"/>
        <w:spacing w:line="360" w:lineRule="auto"/>
        <w:rPr>
          <w:rFonts w:ascii="宋体" w:cs="宋体"/>
          <w:color w:val="auto"/>
          <w:kern w:val="0"/>
          <w:sz w:val="36"/>
          <w:szCs w:val="36"/>
          <w:highlight w:val="none"/>
        </w:rPr>
      </w:pPr>
    </w:p>
    <w:p>
      <w:pPr>
        <w:autoSpaceDE w:val="0"/>
        <w:autoSpaceDN w:val="0"/>
        <w:spacing w:line="360" w:lineRule="auto"/>
        <w:jc w:val="center"/>
        <w:rPr>
          <w:rFonts w:ascii="宋体" w:cs="宋体"/>
          <w:b/>
          <w:bCs/>
          <w:color w:val="auto"/>
          <w:kern w:val="0"/>
          <w:sz w:val="72"/>
          <w:szCs w:val="72"/>
          <w:highlight w:val="none"/>
          <w:lang w:val="zh-CN"/>
        </w:rPr>
      </w:pPr>
      <w:r>
        <w:rPr>
          <w:rFonts w:hint="eastAsia" w:ascii="宋体" w:hAnsi="宋体" w:cs="宋体"/>
          <w:b/>
          <w:bCs/>
          <w:color w:val="auto"/>
          <w:kern w:val="0"/>
          <w:sz w:val="72"/>
          <w:szCs w:val="72"/>
          <w:highlight w:val="none"/>
          <w:lang w:val="zh-CN"/>
        </w:rPr>
        <w:t>投</w:t>
      </w:r>
      <w:r>
        <w:rPr>
          <w:rFonts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标</w:t>
      </w:r>
      <w:r>
        <w:rPr>
          <w:rFonts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pPr>
        <w:autoSpaceDE w:val="0"/>
        <w:autoSpaceDN w:val="0"/>
        <w:spacing w:line="360" w:lineRule="auto"/>
        <w:jc w:val="center"/>
        <w:rPr>
          <w:rFonts w:ascii="宋体" w:cs="宋体"/>
          <w:b/>
          <w:bCs/>
          <w:color w:val="auto"/>
          <w:kern w:val="0"/>
          <w:sz w:val="36"/>
          <w:szCs w:val="36"/>
          <w:highlight w:val="none"/>
          <w:lang w:val="zh-CN"/>
        </w:rPr>
      </w:pPr>
      <w:r>
        <w:rPr>
          <w:rFonts w:hint="eastAsia" w:ascii="宋体" w:hAnsi="宋体" w:cs="宋体"/>
          <w:b/>
          <w:bCs/>
          <w:color w:val="auto"/>
          <w:sz w:val="36"/>
          <w:szCs w:val="36"/>
          <w:highlight w:val="none"/>
          <w:lang w:val="zh-CN"/>
        </w:rPr>
        <w:t>（上册）</w:t>
      </w:r>
    </w:p>
    <w:p>
      <w:pPr>
        <w:autoSpaceDE w:val="0"/>
        <w:autoSpaceDN w:val="0"/>
        <w:spacing w:line="360" w:lineRule="auto"/>
        <w:jc w:val="center"/>
        <w:rPr>
          <w:rFonts w:ascii="宋体" w:cs="宋体"/>
          <w:color w:val="auto"/>
          <w:sz w:val="36"/>
          <w:szCs w:val="36"/>
          <w:highlight w:val="none"/>
          <w:lang w:val="zh-CN"/>
        </w:rPr>
      </w:pPr>
      <w:r>
        <w:rPr>
          <w:rFonts w:hint="eastAsia" w:ascii="宋体" w:hAnsi="宋体" w:cs="宋体"/>
          <w:b/>
          <w:bCs/>
          <w:color w:val="auto"/>
          <w:sz w:val="36"/>
          <w:szCs w:val="36"/>
          <w:highlight w:val="none"/>
          <w:lang w:val="zh-CN"/>
        </w:rPr>
        <w:t>（资格审查文件）</w:t>
      </w:r>
    </w:p>
    <w:p>
      <w:pPr>
        <w:autoSpaceDE w:val="0"/>
        <w:autoSpaceDN w:val="0"/>
        <w:spacing w:line="360" w:lineRule="auto"/>
        <w:rPr>
          <w:rFonts w:ascii="宋体" w:cs="宋体"/>
          <w:color w:val="auto"/>
          <w:kern w:val="0"/>
          <w:sz w:val="36"/>
          <w:szCs w:val="36"/>
          <w:highlight w:val="none"/>
        </w:rPr>
      </w:pPr>
    </w:p>
    <w:p>
      <w:pPr>
        <w:autoSpaceDE w:val="0"/>
        <w:autoSpaceDN w:val="0"/>
        <w:spacing w:line="360" w:lineRule="auto"/>
        <w:rPr>
          <w:rFonts w:asci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采购项目编号：</w:t>
      </w:r>
    </w:p>
    <w:p>
      <w:pPr>
        <w:autoSpaceDE w:val="0"/>
        <w:autoSpaceDN w:val="0"/>
        <w:spacing w:line="360" w:lineRule="auto"/>
        <w:rPr>
          <w:rFonts w:asci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w:t>
      </w:r>
      <w:r>
        <w:rPr>
          <w:rFonts w:hint="eastAsia" w:ascii="宋体" w:hAnsi="宋体" w:cs="宋体"/>
          <w:b/>
          <w:bCs/>
          <w:color w:val="auto"/>
          <w:kern w:val="0"/>
          <w:sz w:val="36"/>
          <w:szCs w:val="36"/>
          <w:highlight w:val="none"/>
        </w:rPr>
        <w:t>：</w:t>
      </w:r>
    </w:p>
    <w:p>
      <w:pPr>
        <w:autoSpaceDE w:val="0"/>
        <w:autoSpaceDN w:val="0"/>
        <w:spacing w:line="360" w:lineRule="auto"/>
        <w:rPr>
          <w:rFonts w:asci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标</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包</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号：</w:t>
      </w:r>
    </w:p>
    <w:p>
      <w:pPr>
        <w:autoSpaceDE w:val="0"/>
        <w:autoSpaceDN w:val="0"/>
        <w:spacing w:line="360" w:lineRule="auto"/>
        <w:rPr>
          <w:rFonts w:ascii="宋体" w:cs="宋体"/>
          <w:b/>
          <w:bCs/>
          <w:color w:val="auto"/>
          <w:kern w:val="0"/>
          <w:sz w:val="36"/>
          <w:szCs w:val="36"/>
          <w:highlight w:val="none"/>
        </w:rPr>
      </w:pPr>
    </w:p>
    <w:p>
      <w:pPr>
        <w:autoSpaceDE w:val="0"/>
        <w:autoSpaceDN w:val="0"/>
        <w:spacing w:line="360" w:lineRule="auto"/>
        <w:rPr>
          <w:rFonts w:ascii="宋体" w:cs="宋体"/>
          <w:b/>
          <w:bCs/>
          <w:color w:val="auto"/>
          <w:kern w:val="0"/>
          <w:sz w:val="36"/>
          <w:szCs w:val="36"/>
          <w:highlight w:val="none"/>
        </w:rPr>
      </w:pPr>
    </w:p>
    <w:p>
      <w:pPr>
        <w:autoSpaceDE w:val="0"/>
        <w:autoSpaceDN w:val="0"/>
        <w:spacing w:line="360" w:lineRule="auto"/>
        <w:rPr>
          <w:rFonts w:ascii="宋体" w:cs="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投标人：</w:t>
      </w:r>
      <w:r>
        <w:rPr>
          <w:rFonts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rPr>
        <w:t>（</w:t>
      </w:r>
      <w:r>
        <w:rPr>
          <w:rFonts w:hint="eastAsia" w:ascii="宋体" w:hAnsi="宋体" w:cs="宋体"/>
          <w:b/>
          <w:bCs/>
          <w:color w:val="auto"/>
          <w:kern w:val="0"/>
          <w:sz w:val="36"/>
          <w:szCs w:val="36"/>
          <w:highlight w:val="none"/>
          <w:lang w:val="zh-CN"/>
        </w:rPr>
        <w:t>公章）</w:t>
      </w:r>
    </w:p>
    <w:p>
      <w:pPr>
        <w:autoSpaceDE w:val="0"/>
        <w:autoSpaceDN w:val="0"/>
        <w:spacing w:line="360" w:lineRule="auto"/>
        <w:rPr>
          <w:rFonts w:ascii="宋体" w:cs="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法定代表人或委托代理人：</w:t>
      </w:r>
      <w:r>
        <w:rPr>
          <w:rFonts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lang w:val="zh-CN"/>
        </w:rPr>
        <w:t>（签字）</w:t>
      </w:r>
    </w:p>
    <w:p>
      <w:pPr>
        <w:autoSpaceDE w:val="0"/>
        <w:autoSpaceDN w:val="0"/>
        <w:spacing w:line="360" w:lineRule="auto"/>
        <w:rPr>
          <w:rFonts w:ascii="宋体" w:cs="宋体"/>
          <w:b/>
          <w:bCs/>
          <w:color w:val="auto"/>
          <w:kern w:val="0"/>
          <w:sz w:val="36"/>
          <w:szCs w:val="36"/>
          <w:highlight w:val="none"/>
          <w:lang w:val="zh-CN"/>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年</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月</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日</w:t>
      </w:r>
    </w:p>
    <w:p>
      <w:pPr>
        <w:pStyle w:val="28"/>
        <w:spacing w:before="0" w:after="0" w:line="360" w:lineRule="auto"/>
        <w:jc w:val="left"/>
        <w:outlineLvl w:val="1"/>
        <w:rPr>
          <w:rFonts w:ascii="宋体" w:cs="宋体"/>
          <w:color w:val="auto"/>
          <w:highlight w:val="none"/>
          <w:lang w:val="zh-CN"/>
        </w:rPr>
      </w:pPr>
      <w:r>
        <w:rPr>
          <w:rFonts w:ascii="宋体" w:cs="宋体"/>
          <w:b w:val="0"/>
          <w:bCs w:val="0"/>
          <w:color w:val="auto"/>
          <w:kern w:val="0"/>
          <w:highlight w:val="none"/>
          <w:lang w:val="zh-CN"/>
        </w:rPr>
        <w:br w:type="page"/>
      </w:r>
      <w:bookmarkStart w:id="121" w:name="_Toc32246"/>
      <w:bookmarkStart w:id="122" w:name="_Toc29902"/>
      <w:bookmarkStart w:id="123" w:name="_Toc8514"/>
      <w:r>
        <w:rPr>
          <w:rFonts w:hint="eastAsia" w:ascii="宋体" w:hAnsi="宋体" w:cs="宋体"/>
          <w:color w:val="auto"/>
          <w:kern w:val="0"/>
          <w:sz w:val="30"/>
          <w:szCs w:val="30"/>
          <w:highlight w:val="none"/>
          <w:lang w:val="zh-CN"/>
        </w:rPr>
        <w:t>二、投标文件</w:t>
      </w:r>
      <w:r>
        <w:rPr>
          <w:rFonts w:hint="eastAsia" w:ascii="宋体" w:hAnsi="宋体" w:cs="宋体"/>
          <w:color w:val="auto"/>
          <w:sz w:val="30"/>
          <w:szCs w:val="30"/>
          <w:highlight w:val="none"/>
          <w:lang w:val="zh-CN"/>
        </w:rPr>
        <w:t>目录（上册）</w:t>
      </w:r>
      <w:bookmarkEnd w:id="121"/>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投标函……………………………………………………………所在页码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法定代表人证明书………………………………………………所在页码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法定代表人授权书………………………………………………所在页码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投标人承诺函……………………………………………………所在页码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投标人诚信承诺书………………………………………………所在页码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资格证明材料……………………………………………………所在页码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无重大违法记录声明……………………………………………所在页码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投标保证金证明…………………………………………………所在页码</w:t>
      </w:r>
    </w:p>
    <w:p>
      <w:pPr>
        <w:numPr>
          <w:ilvl w:val="0"/>
          <w:numId w:val="10"/>
        </w:num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信用信息栏中无任何不良记录…………………………………所在页码</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bookmarkEnd w:id="122"/>
    <w:bookmarkEnd w:id="123"/>
    <w:p>
      <w:pPr>
        <w:pStyle w:val="28"/>
        <w:spacing w:before="0" w:after="0" w:line="360" w:lineRule="auto"/>
        <w:jc w:val="left"/>
        <w:outlineLvl w:val="1"/>
        <w:rPr>
          <w:rFonts w:ascii="宋体" w:cs="宋体"/>
          <w:color w:val="auto"/>
          <w:highlight w:val="none"/>
          <w:lang w:val="zh-CN"/>
        </w:rPr>
      </w:pPr>
      <w:bookmarkStart w:id="124" w:name="_Toc19582"/>
      <w:r>
        <w:rPr>
          <w:rFonts w:ascii="宋体" w:cs="宋体"/>
          <w:color w:val="auto"/>
          <w:sz w:val="30"/>
          <w:szCs w:val="30"/>
          <w:highlight w:val="none"/>
          <w:lang w:val="zh-CN"/>
        </w:rPr>
        <w:br w:type="page"/>
      </w:r>
      <w:bookmarkStart w:id="125" w:name="_Toc8447"/>
      <w:r>
        <w:rPr>
          <w:rFonts w:hint="eastAsia" w:ascii="宋体" w:hAnsi="宋体" w:cs="宋体"/>
          <w:color w:val="auto"/>
          <w:sz w:val="30"/>
          <w:szCs w:val="30"/>
          <w:highlight w:val="none"/>
        </w:rPr>
        <w:t>（</w:t>
      </w:r>
      <w:r>
        <w:rPr>
          <w:rFonts w:ascii="宋体" w:hAnsi="宋体" w:cs="宋体"/>
          <w:color w:val="auto"/>
          <w:sz w:val="30"/>
          <w:szCs w:val="30"/>
          <w:highlight w:val="none"/>
        </w:rPr>
        <w:t>1</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投标函</w:t>
      </w:r>
      <w:bookmarkEnd w:id="124"/>
      <w:bookmarkEnd w:id="125"/>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投标函</w:t>
      </w:r>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我们收到</w:t>
      </w:r>
      <w:r>
        <w:rPr>
          <w:rFonts w:hint="eastAsia" w:ascii="宋体" w:hAnsi="宋体" w:cs="宋体"/>
          <w:color w:val="auto"/>
          <w:kern w:val="0"/>
          <w:highlight w:val="none"/>
          <w:u w:val="single"/>
          <w:lang w:val="zh-CN"/>
        </w:rPr>
        <w:t>采购项目名称（采购项目编号）</w:t>
      </w:r>
      <w:r>
        <w:rPr>
          <w:rFonts w:hint="eastAsia" w:ascii="宋体" w:hAnsi="宋体" w:cs="宋体"/>
          <w:color w:val="auto"/>
          <w:kern w:val="0"/>
          <w:highlight w:val="none"/>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据此函，签字代表宣布同意如下：</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投标有效期：</w:t>
      </w:r>
      <w:r>
        <w:rPr>
          <w:rFonts w:hint="eastAsia" w:ascii="宋体" w:hAnsi="宋体" w:cs="宋体"/>
          <w:color w:val="auto"/>
          <w:highlight w:val="none"/>
          <w:shd w:val="clear" w:color="auto" w:fill="FFFFFF"/>
        </w:rPr>
        <w:t>从提交投标文件的截止之日起</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3.</w:t>
      </w:r>
      <w:r>
        <w:rPr>
          <w:rFonts w:hint="eastAsia" w:ascii="宋体" w:hAnsi="宋体" w:cs="宋体"/>
          <w:color w:val="auto"/>
          <w:kern w:val="0"/>
          <w:highlight w:val="none"/>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4.</w:t>
      </w:r>
      <w:r>
        <w:rPr>
          <w:rFonts w:hint="eastAsia" w:ascii="宋体" w:hAnsi="宋体" w:cs="宋体"/>
          <w:color w:val="auto"/>
          <w:kern w:val="0"/>
          <w:highlight w:val="none"/>
          <w:lang w:val="zh-CN"/>
        </w:rPr>
        <w:t>与本投标有关的一切正式往来通讯请寄：</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地址：</w:t>
      </w:r>
      <w:r>
        <w:rPr>
          <w:rFonts w:ascii="宋体" w:hAnsi="宋体" w:cs="宋体"/>
          <w:color w:val="auto"/>
          <w:kern w:val="0"/>
          <w:highlight w:val="none"/>
          <w:lang w:val="zh-CN"/>
        </w:rPr>
        <w:t xml:space="preserve">_______________          </w:t>
      </w:r>
      <w:r>
        <w:rPr>
          <w:rFonts w:hint="eastAsia" w:ascii="宋体" w:hAnsi="宋体" w:cs="宋体"/>
          <w:color w:val="auto"/>
          <w:kern w:val="0"/>
          <w:highlight w:val="none"/>
          <w:lang w:val="zh-CN"/>
        </w:rPr>
        <w:t>邮编：</w:t>
      </w:r>
      <w:r>
        <w:rPr>
          <w:rFonts w:ascii="宋体" w:hAnsi="宋体" w:cs="宋体"/>
          <w:color w:val="auto"/>
          <w:kern w:val="0"/>
          <w:highlight w:val="none"/>
          <w:lang w:val="zh-CN"/>
        </w:rPr>
        <w:t>______________</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电话：</w:t>
      </w:r>
      <w:r>
        <w:rPr>
          <w:rFonts w:ascii="宋体" w:hAnsi="宋体" w:cs="宋体"/>
          <w:color w:val="auto"/>
          <w:kern w:val="0"/>
          <w:highlight w:val="none"/>
          <w:lang w:val="zh-CN"/>
        </w:rPr>
        <w:t xml:space="preserve">_______________          </w:t>
      </w:r>
      <w:r>
        <w:rPr>
          <w:rFonts w:hint="eastAsia" w:ascii="宋体" w:hAnsi="宋体" w:cs="宋体"/>
          <w:color w:val="auto"/>
          <w:kern w:val="0"/>
          <w:highlight w:val="none"/>
          <w:lang w:val="zh-CN"/>
        </w:rPr>
        <w:t>传真：</w:t>
      </w:r>
      <w:r>
        <w:rPr>
          <w:rFonts w:ascii="宋体" w:hAnsi="宋体" w:cs="宋体"/>
          <w:color w:val="auto"/>
          <w:kern w:val="0"/>
          <w:highlight w:val="none"/>
          <w:lang w:val="zh-CN"/>
        </w:rPr>
        <w:t>______________</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法定代表人姓名：</w:t>
      </w:r>
      <w:r>
        <w:rPr>
          <w:rFonts w:ascii="宋体" w:hAnsi="宋体" w:cs="宋体"/>
          <w:color w:val="auto"/>
          <w:kern w:val="0"/>
          <w:highlight w:val="none"/>
          <w:lang w:val="zh-CN"/>
        </w:rPr>
        <w:t xml:space="preserve"> ___________   </w:t>
      </w:r>
      <w:r>
        <w:rPr>
          <w:rFonts w:hint="eastAsia" w:ascii="宋体" w:hAnsi="宋体" w:cs="宋体"/>
          <w:color w:val="auto"/>
          <w:kern w:val="0"/>
          <w:highlight w:val="none"/>
          <w:lang w:val="zh-CN"/>
        </w:rPr>
        <w:t>职务：</w:t>
      </w:r>
      <w:r>
        <w:rPr>
          <w:rFonts w:ascii="宋体" w:hAnsi="宋体" w:cs="宋体"/>
          <w:color w:val="auto"/>
          <w:kern w:val="0"/>
          <w:highlight w:val="none"/>
          <w:lang w:val="zh-CN"/>
        </w:rPr>
        <w:t>____________</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highlight w:val="none"/>
        </w:rPr>
      </w:pPr>
      <w:r>
        <w:rPr>
          <w:rFonts w:ascii="宋体" w:cs="宋体"/>
          <w:b w:val="0"/>
          <w:bCs w:val="0"/>
          <w:color w:val="auto"/>
          <w:kern w:val="0"/>
          <w:sz w:val="24"/>
          <w:highlight w:val="none"/>
          <w:lang w:val="zh-CN"/>
        </w:rPr>
        <w:br w:type="page"/>
      </w:r>
      <w:bookmarkStart w:id="126" w:name="_Toc20"/>
      <w:bookmarkStart w:id="127" w:name="_Toc29944"/>
      <w:r>
        <w:rPr>
          <w:rFonts w:hint="eastAsia" w:ascii="宋体" w:hAnsi="宋体" w:cs="宋体"/>
          <w:color w:val="auto"/>
          <w:kern w:val="0"/>
          <w:sz w:val="30"/>
          <w:szCs w:val="30"/>
          <w:highlight w:val="none"/>
          <w:lang w:val="zh-CN"/>
        </w:rPr>
        <w:t>（</w:t>
      </w:r>
      <w:r>
        <w:rPr>
          <w:rFonts w:ascii="宋体" w:hAnsi="宋体" w:cs="宋体"/>
          <w:color w:val="auto"/>
          <w:kern w:val="0"/>
          <w:sz w:val="30"/>
          <w:szCs w:val="30"/>
          <w:highlight w:val="none"/>
        </w:rPr>
        <w:t>2</w:t>
      </w:r>
      <w:r>
        <w:rPr>
          <w:rFonts w:hint="eastAsia" w:ascii="宋体" w:hAnsi="宋体" w:cs="宋体"/>
          <w:color w:val="auto"/>
          <w:kern w:val="0"/>
          <w:sz w:val="30"/>
          <w:szCs w:val="30"/>
          <w:highlight w:val="none"/>
          <w:lang w:val="zh-CN"/>
        </w:rPr>
        <w:t>）</w:t>
      </w:r>
      <w:r>
        <w:rPr>
          <w:rFonts w:hint="eastAsia" w:ascii="宋体" w:hAnsi="宋体" w:cs="宋体"/>
          <w:color w:val="auto"/>
          <w:sz w:val="30"/>
          <w:szCs w:val="30"/>
          <w:highlight w:val="none"/>
        </w:rPr>
        <w:t>法定代表人证明书</w:t>
      </w:r>
      <w:bookmarkEnd w:id="126"/>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法定代表人证明书</w:t>
      </w:r>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lang w:val="zh-CN"/>
        </w:rPr>
        <w:t xml:space="preserve">    </w:t>
      </w: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现任我单位</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职务，为法定代表人，特此证明。</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法定代表人基本情况：</w:t>
      </w:r>
    </w:p>
    <w:p>
      <w:pPr>
        <w:autoSpaceDE w:val="0"/>
        <w:autoSpaceDN w:val="0"/>
        <w:spacing w:line="360" w:lineRule="auto"/>
        <w:rPr>
          <w:rFonts w:ascii="宋体" w:cs="宋体"/>
          <w:color w:val="auto"/>
          <w:kern w:val="0"/>
          <w:highlight w:val="none"/>
          <w:u w:val="single"/>
          <w:lang w:val="zh-CN"/>
        </w:rPr>
      </w:pPr>
      <w:r>
        <w:rPr>
          <w:rFonts w:hint="eastAsia" w:ascii="宋体" w:hAnsi="宋体" w:cs="宋体"/>
          <w:color w:val="auto"/>
          <w:kern w:val="0"/>
          <w:highlight w:val="none"/>
          <w:lang w:val="zh-CN"/>
        </w:rPr>
        <w:t>性别：</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年龄：</w:t>
      </w:r>
      <w:r>
        <w:rPr>
          <w:rFonts w:ascii="宋体" w:hAnsi="宋体" w:cs="宋体"/>
          <w:color w:val="auto"/>
          <w:kern w:val="0"/>
          <w:highlight w:val="none"/>
          <w:u w:val="single"/>
          <w:lang w:val="zh-CN"/>
        </w:rPr>
        <w:t xml:space="preserve">           </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民族：</w:t>
      </w:r>
      <w:r>
        <w:rPr>
          <w:rFonts w:ascii="宋体" w:hAnsi="宋体" w:cs="宋体"/>
          <w:color w:val="auto"/>
          <w:kern w:val="0"/>
          <w:highlight w:val="none"/>
          <w:u w:val="single"/>
          <w:lang w:val="zh-CN"/>
        </w:rPr>
        <w:t xml:space="preserve">         </w:t>
      </w:r>
    </w:p>
    <w:p>
      <w:pPr>
        <w:autoSpaceDE w:val="0"/>
        <w:autoSpaceDN w:val="0"/>
        <w:spacing w:line="360" w:lineRule="auto"/>
        <w:rPr>
          <w:rFonts w:ascii="宋体" w:cs="宋体"/>
          <w:color w:val="auto"/>
          <w:kern w:val="0"/>
          <w:highlight w:val="none"/>
          <w:u w:val="single"/>
          <w:lang w:val="zh-CN"/>
        </w:rPr>
      </w:pPr>
      <w:r>
        <w:rPr>
          <w:rFonts w:hint="eastAsia" w:ascii="宋体" w:hAnsi="宋体" w:cs="宋体"/>
          <w:color w:val="auto"/>
          <w:kern w:val="0"/>
          <w:highlight w:val="none"/>
          <w:lang w:val="zh-CN"/>
        </w:rPr>
        <w:t>地址：</w:t>
      </w:r>
      <w:r>
        <w:rPr>
          <w:rFonts w:ascii="宋体" w:hAnsi="宋体" w:cs="宋体"/>
          <w:color w:val="auto"/>
          <w:kern w:val="0"/>
          <w:highlight w:val="none"/>
          <w:u w:val="single"/>
          <w:lang w:val="zh-CN"/>
        </w:rPr>
        <w:t xml:space="preserve">                                            </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身份证号码：</w:t>
      </w:r>
      <w:r>
        <w:rPr>
          <w:rFonts w:ascii="宋体" w:hAnsi="宋体" w:cs="宋体"/>
          <w:color w:val="auto"/>
          <w:kern w:val="0"/>
          <w:highlight w:val="none"/>
          <w:u w:val="single"/>
          <w:lang w:val="zh-CN"/>
        </w:rPr>
        <w:t xml:space="preserve">                                      </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附法定代表人第二代身份证双面扫描（或复印）件</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highlight w:val="none"/>
          <w:lang w:val="zh-CN"/>
        </w:rPr>
      </w:pPr>
      <w:r>
        <w:rPr>
          <w:rFonts w:ascii="宋体" w:cs="宋体"/>
          <w:color w:val="auto"/>
          <w:highlight w:val="none"/>
          <w:lang w:val="zh-CN"/>
        </w:rPr>
        <w:br w:type="page"/>
      </w:r>
      <w:bookmarkEnd w:id="127"/>
      <w:bookmarkStart w:id="128" w:name="_Toc25015"/>
      <w:bookmarkStart w:id="129" w:name="_Toc17284"/>
      <w:r>
        <w:rPr>
          <w:rFonts w:hint="eastAsia" w:ascii="宋体" w:hAnsi="宋体" w:cs="宋体"/>
          <w:color w:val="auto"/>
          <w:sz w:val="30"/>
          <w:szCs w:val="30"/>
          <w:highlight w:val="none"/>
        </w:rPr>
        <w:t>（</w:t>
      </w:r>
      <w:r>
        <w:rPr>
          <w:rFonts w:ascii="宋体" w:hAnsi="宋体" w:cs="宋体"/>
          <w:color w:val="auto"/>
          <w:sz w:val="30"/>
          <w:szCs w:val="30"/>
          <w:highlight w:val="none"/>
        </w:rPr>
        <w:t>3</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法定代表人授权书</w:t>
      </w:r>
      <w:bookmarkEnd w:id="128"/>
    </w:p>
    <w:p>
      <w:pPr>
        <w:spacing w:line="360" w:lineRule="auto"/>
        <w:rPr>
          <w:rFonts w:ascii="宋体" w:cs="宋体"/>
          <w:color w:val="auto"/>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法定代表人授权书</w:t>
      </w:r>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lang w:val="zh-CN"/>
        </w:rPr>
        <w:t xml:space="preserve">    </w:t>
      </w:r>
      <w:r>
        <w:rPr>
          <w:rFonts w:hint="eastAsia" w:ascii="宋体" w:hAnsi="宋体" w:cs="宋体"/>
          <w:color w:val="auto"/>
          <w:kern w:val="0"/>
          <w:highlight w:val="none"/>
          <w:u w:val="single"/>
          <w:lang w:val="zh-CN"/>
        </w:rPr>
        <w:t>（投标人名称）</w:t>
      </w:r>
      <w:r>
        <w:rPr>
          <w:rFonts w:hint="eastAsia" w:ascii="宋体" w:hAnsi="宋体" w:cs="宋体"/>
          <w:color w:val="auto"/>
          <w:kern w:val="0"/>
          <w:highlight w:val="none"/>
          <w:lang w:val="zh-CN"/>
        </w:rPr>
        <w:t>系中华人民共和国合法企业，法定地址</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rPr>
        <w:t xml:space="preserve">    </w:t>
      </w: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特授权</w:t>
      </w:r>
      <w:r>
        <w:rPr>
          <w:rFonts w:hint="eastAsia" w:ascii="宋体" w:hAnsi="宋体" w:cs="宋体"/>
          <w:color w:val="auto"/>
          <w:kern w:val="0"/>
          <w:highlight w:val="none"/>
          <w:u w:val="single"/>
          <w:lang w:val="zh-CN"/>
        </w:rPr>
        <w:t>（委托代理人姓名）</w:t>
      </w:r>
      <w:r>
        <w:rPr>
          <w:rFonts w:hint="eastAsia" w:ascii="宋体" w:hAnsi="宋体" w:cs="宋体"/>
          <w:color w:val="auto"/>
          <w:kern w:val="0"/>
          <w:highlight w:val="none"/>
          <w:lang w:val="zh-CN"/>
        </w:rPr>
        <w:t>代表我单位全权办理</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项目（项目编号：</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）的投标、答疑等具体工作，并签署全部有关的文件、资料。</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我单位对被授权人的签名负全部责任。</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被授权人联系电话：</w:t>
      </w:r>
    </w:p>
    <w:p>
      <w:pPr>
        <w:autoSpaceDE w:val="0"/>
        <w:autoSpaceDN w:val="0"/>
        <w:spacing w:line="360" w:lineRule="auto"/>
        <w:rPr>
          <w:rFonts w:ascii="宋体" w:cs="宋体"/>
          <w:color w:val="auto"/>
          <w:kern w:val="0"/>
          <w:highlight w:val="none"/>
          <w:u w:val="single"/>
          <w:lang w:val="zh-CN"/>
        </w:rPr>
      </w:pPr>
      <w:r>
        <w:rPr>
          <w:rFonts w:hint="eastAsia" w:ascii="宋体" w:hAnsi="宋体" w:cs="宋体"/>
          <w:color w:val="auto"/>
          <w:kern w:val="0"/>
          <w:highlight w:val="none"/>
          <w:lang w:val="zh-CN"/>
        </w:rPr>
        <w:t>被授权人（委托代理人）签字：</w:t>
      </w:r>
      <w:r>
        <w:rPr>
          <w:rFonts w:ascii="宋体" w:hAnsi="宋体" w:cs="宋体"/>
          <w:color w:val="auto"/>
          <w:kern w:val="0"/>
          <w:highlight w:val="none"/>
          <w:u w:val="single"/>
          <w:lang w:val="zh-CN"/>
        </w:rPr>
        <w:t xml:space="preserve">       </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授权人（法定代表人）签字：</w:t>
      </w:r>
      <w:r>
        <w:rPr>
          <w:rFonts w:ascii="宋体" w:hAnsi="宋体" w:cs="宋体"/>
          <w:color w:val="auto"/>
          <w:kern w:val="0"/>
          <w:highlight w:val="none"/>
          <w:u w:val="single"/>
          <w:lang w:val="zh-CN"/>
        </w:rPr>
        <w:t xml:space="preserve">       </w:t>
      </w:r>
    </w:p>
    <w:p>
      <w:pPr>
        <w:autoSpaceDE w:val="0"/>
        <w:autoSpaceDN w:val="0"/>
        <w:spacing w:line="360" w:lineRule="auto"/>
        <w:rPr>
          <w:rFonts w:ascii="宋体" w:cs="宋体"/>
          <w:color w:val="auto"/>
          <w:kern w:val="0"/>
          <w:highlight w:val="none"/>
          <w:u w:val="single"/>
          <w:lang w:val="zh-CN"/>
        </w:rPr>
      </w:pPr>
      <w:r>
        <w:rPr>
          <w:rFonts w:hint="eastAsia" w:ascii="宋体" w:hAnsi="宋体" w:cs="宋体"/>
          <w:color w:val="auto"/>
          <w:kern w:val="0"/>
          <w:highlight w:val="none"/>
          <w:lang w:val="zh-CN"/>
        </w:rPr>
        <w:t>职务：</w:t>
      </w:r>
      <w:r>
        <w:rPr>
          <w:rFonts w:ascii="宋体" w:hAnsi="宋体" w:cs="宋体"/>
          <w:color w:val="auto"/>
          <w:kern w:val="0"/>
          <w:highlight w:val="none"/>
          <w:u w:val="single"/>
          <w:lang w:val="zh-CN"/>
        </w:rPr>
        <w:t xml:space="preserve">                             </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职务：</w:t>
      </w:r>
      <w:r>
        <w:rPr>
          <w:rFonts w:ascii="宋体" w:hAnsi="宋体" w:cs="宋体"/>
          <w:color w:val="auto"/>
          <w:kern w:val="0"/>
          <w:highlight w:val="none"/>
          <w:u w:val="single"/>
          <w:lang w:val="zh-CN"/>
        </w:rPr>
        <w:t xml:space="preserve">                           </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附被授权人第二代身份证双面扫描（或复印）件</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autoSpaceDE w:val="0"/>
        <w:autoSpaceDN w:val="0"/>
        <w:spacing w:line="360" w:lineRule="auto"/>
        <w:rPr>
          <w:rFonts w:ascii="宋体" w:cs="宋体"/>
          <w:color w:val="auto"/>
          <w:kern w:val="0"/>
          <w:highlight w:val="none"/>
          <w:lang w:val="zh-CN"/>
        </w:rPr>
      </w:pPr>
    </w:p>
    <w:p>
      <w:pPr>
        <w:pStyle w:val="28"/>
        <w:spacing w:before="0" w:after="0" w:line="360" w:lineRule="auto"/>
        <w:jc w:val="left"/>
        <w:outlineLvl w:val="1"/>
        <w:rPr>
          <w:rFonts w:ascii="宋体" w:cs="宋体"/>
          <w:color w:val="auto"/>
          <w:highlight w:val="none"/>
          <w:lang w:val="zh-CN"/>
        </w:rPr>
      </w:pPr>
      <w:r>
        <w:rPr>
          <w:rFonts w:ascii="宋体" w:cs="宋体"/>
          <w:color w:val="auto"/>
          <w:highlight w:val="none"/>
          <w:lang w:val="zh-CN"/>
        </w:rPr>
        <w:br w:type="page"/>
      </w:r>
      <w:bookmarkStart w:id="130" w:name="_Toc31190"/>
      <w:r>
        <w:rPr>
          <w:rFonts w:hint="eastAsia" w:ascii="宋体" w:hAnsi="宋体" w:cs="宋体"/>
          <w:color w:val="auto"/>
          <w:sz w:val="30"/>
          <w:szCs w:val="30"/>
          <w:highlight w:val="none"/>
        </w:rPr>
        <w:t>（</w:t>
      </w:r>
      <w:r>
        <w:rPr>
          <w:rFonts w:ascii="宋体" w:hAnsi="宋体" w:cs="宋体"/>
          <w:color w:val="auto"/>
          <w:sz w:val="30"/>
          <w:szCs w:val="30"/>
          <w:highlight w:val="none"/>
        </w:rPr>
        <w:t>4</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投标人承诺函</w:t>
      </w:r>
      <w:bookmarkEnd w:id="130"/>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投标人承诺函</w:t>
      </w:r>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关于贵方</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年</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月</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日</w:t>
      </w:r>
      <w:r>
        <w:rPr>
          <w:rFonts w:ascii="宋体" w:hAnsi="宋体" w:cs="宋体"/>
          <w:color w:val="auto"/>
          <w:kern w:val="0"/>
          <w:highlight w:val="none"/>
          <w:u w:val="single"/>
          <w:lang w:val="zh-CN"/>
        </w:rPr>
        <w:t xml:space="preserve">        </w:t>
      </w:r>
      <w:r>
        <w:rPr>
          <w:rFonts w:ascii="宋体" w:hAnsi="宋体" w:cs="宋体"/>
          <w:color w:val="auto"/>
          <w:kern w:val="0"/>
          <w:highlight w:val="none"/>
          <w:u w:val="single"/>
        </w:rPr>
        <w:t xml:space="preserve">   </w:t>
      </w:r>
      <w:r>
        <w:rPr>
          <w:rFonts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zh-CN"/>
        </w:rPr>
        <w:t>项目名称</w:t>
      </w:r>
      <w:r>
        <w:rPr>
          <w:rFonts w:ascii="宋体" w:hAnsi="宋体" w:cs="宋体"/>
          <w:color w:val="auto"/>
          <w:kern w:val="0"/>
          <w:highlight w:val="none"/>
          <w:u w:val="single"/>
          <w:lang w:val="zh-CN"/>
        </w:rPr>
        <w:t>)</w:t>
      </w:r>
      <w:r>
        <w:rPr>
          <w:rFonts w:hint="eastAsia" w:ascii="宋体" w:hAnsi="宋体" w:cs="宋体"/>
          <w:color w:val="auto"/>
          <w:kern w:val="0"/>
          <w:highlight w:val="none"/>
          <w:lang w:val="zh-CN"/>
        </w:rPr>
        <w:t>采购项目，本签字人愿意参加投标，提供采购一览表中要求的所有产品，并证实提交的所有资料是准确的和真实的。同时，我代表</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（投标人名称），在此作如下承诺：</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lang w:val="zh-CN"/>
        </w:rPr>
        <w:t xml:space="preserve">   </w:t>
      </w:r>
      <w:r>
        <w:rPr>
          <w:rFonts w:ascii="宋体" w:hAnsi="宋体" w:cs="宋体"/>
          <w:color w:val="auto"/>
          <w:kern w:val="0"/>
          <w:highlight w:val="none"/>
        </w:rPr>
        <w:t xml:space="preserve"> </w:t>
      </w:r>
      <w:r>
        <w:rPr>
          <w:rFonts w:ascii="宋体" w:hAnsi="宋体" w:cs="宋体"/>
          <w:color w:val="auto"/>
          <w:kern w:val="0"/>
          <w:highlight w:val="none"/>
          <w:lang w:val="zh-CN"/>
        </w:rPr>
        <w:t>1.</w:t>
      </w:r>
      <w:r>
        <w:rPr>
          <w:rFonts w:hint="eastAsia" w:ascii="宋体" w:hAnsi="宋体" w:cs="宋体"/>
          <w:color w:val="auto"/>
          <w:kern w:val="0"/>
          <w:highlight w:val="none"/>
          <w:lang w:val="zh-CN"/>
        </w:rPr>
        <w:t>完全理解和接受招标文件的一切规定和要求；</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lang w:val="zh-CN"/>
        </w:rPr>
        <w:t xml:space="preserve">   </w:t>
      </w:r>
      <w:r>
        <w:rPr>
          <w:rFonts w:ascii="宋体" w:hAnsi="宋体" w:cs="宋体"/>
          <w:color w:val="auto"/>
          <w:kern w:val="0"/>
          <w:highlight w:val="none"/>
        </w:rPr>
        <w:t xml:space="preserve"> </w:t>
      </w:r>
      <w:r>
        <w:rPr>
          <w:rFonts w:ascii="宋体" w:hAnsi="宋体" w:cs="宋体"/>
          <w:color w:val="auto"/>
          <w:kern w:val="0"/>
          <w:highlight w:val="none"/>
          <w:lang w:val="zh-CN"/>
        </w:rPr>
        <w:t>2.</w:t>
      </w:r>
      <w:r>
        <w:rPr>
          <w:rFonts w:hint="eastAsia" w:ascii="宋体" w:hAnsi="宋体" w:cs="宋体"/>
          <w:color w:val="auto"/>
          <w:kern w:val="0"/>
          <w:highlight w:val="none"/>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lang w:val="zh-CN"/>
        </w:rPr>
        <w:t xml:space="preserve">  </w:t>
      </w:r>
      <w:r>
        <w:rPr>
          <w:rFonts w:ascii="宋体" w:hAnsi="宋体" w:cs="宋体"/>
          <w:color w:val="auto"/>
          <w:kern w:val="0"/>
          <w:highlight w:val="none"/>
        </w:rPr>
        <w:t xml:space="preserve"> </w:t>
      </w:r>
      <w:r>
        <w:rPr>
          <w:rFonts w:ascii="宋体" w:hAnsi="宋体" w:cs="宋体"/>
          <w:color w:val="auto"/>
          <w:kern w:val="0"/>
          <w:highlight w:val="none"/>
          <w:lang w:val="zh-CN"/>
        </w:rPr>
        <w:t xml:space="preserve"> 3.</w:t>
      </w:r>
      <w:r>
        <w:rPr>
          <w:rFonts w:hint="eastAsia" w:ascii="宋体" w:hAnsi="宋体" w:cs="宋体"/>
          <w:color w:val="auto"/>
          <w:kern w:val="0"/>
          <w:highlight w:val="none"/>
          <w:lang w:val="zh-CN"/>
        </w:rPr>
        <w:t>在整个招标过程中我方若有违规行为，贵方可按招标文件之规定给予处罚，我方完全接受。</w:t>
      </w:r>
    </w:p>
    <w:p>
      <w:pPr>
        <w:autoSpaceDE w:val="0"/>
        <w:autoSpaceDN w:val="0"/>
        <w:spacing w:line="360" w:lineRule="auto"/>
        <w:rPr>
          <w:rFonts w:ascii="宋体" w:cs="宋体"/>
          <w:color w:val="auto"/>
          <w:kern w:val="0"/>
          <w:highlight w:val="none"/>
          <w:lang w:val="zh-CN"/>
        </w:rPr>
      </w:pPr>
      <w:r>
        <w:rPr>
          <w:rFonts w:ascii="宋体" w:hAnsi="宋体" w:cs="宋体"/>
          <w:color w:val="auto"/>
          <w:kern w:val="0"/>
          <w:highlight w:val="none"/>
          <w:lang w:val="zh-CN"/>
        </w:rPr>
        <w:t xml:space="preserve">   </w:t>
      </w:r>
      <w:r>
        <w:rPr>
          <w:rFonts w:ascii="宋体" w:hAnsi="宋体" w:cs="宋体"/>
          <w:color w:val="auto"/>
          <w:kern w:val="0"/>
          <w:highlight w:val="none"/>
        </w:rPr>
        <w:t xml:space="preserve"> </w:t>
      </w:r>
      <w:r>
        <w:rPr>
          <w:rFonts w:ascii="宋体" w:hAnsi="宋体" w:cs="宋体"/>
          <w:color w:val="auto"/>
          <w:kern w:val="0"/>
          <w:highlight w:val="none"/>
          <w:lang w:val="zh-CN"/>
        </w:rPr>
        <w:t>4.</w:t>
      </w:r>
      <w:r>
        <w:rPr>
          <w:rFonts w:hint="eastAsia" w:ascii="宋体" w:hAnsi="宋体" w:cs="宋体"/>
          <w:color w:val="auto"/>
          <w:kern w:val="0"/>
          <w:highlight w:val="none"/>
          <w:lang w:val="zh-CN"/>
        </w:rPr>
        <w:t>若中标，本承诺将成为合同不可分割的一部分，与合同具有同等的法律效力。</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highlight w:val="none"/>
          <w:lang w:val="zh-CN"/>
        </w:rPr>
      </w:pPr>
      <w:r>
        <w:rPr>
          <w:rFonts w:ascii="宋体" w:cs="宋体"/>
          <w:color w:val="auto"/>
          <w:highlight w:val="none"/>
          <w:lang w:val="zh-CN"/>
        </w:rPr>
        <w:br w:type="page"/>
      </w:r>
      <w:bookmarkStart w:id="131" w:name="_Toc3411"/>
      <w:r>
        <w:rPr>
          <w:rFonts w:hint="eastAsia" w:ascii="宋体" w:hAnsi="宋体" w:cs="宋体"/>
          <w:color w:val="auto"/>
          <w:sz w:val="30"/>
          <w:szCs w:val="30"/>
          <w:highlight w:val="none"/>
        </w:rPr>
        <w:t>（</w:t>
      </w:r>
      <w:r>
        <w:rPr>
          <w:rFonts w:ascii="宋体" w:hAnsi="宋体" w:cs="宋体"/>
          <w:color w:val="auto"/>
          <w:sz w:val="30"/>
          <w:szCs w:val="30"/>
          <w:highlight w:val="none"/>
        </w:rPr>
        <w:t>5</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投标人诚信承诺书</w:t>
      </w:r>
      <w:bookmarkEnd w:id="131"/>
    </w:p>
    <w:p>
      <w:pPr>
        <w:spacing w:line="360" w:lineRule="auto"/>
        <w:rPr>
          <w:rFonts w:ascii="宋体" w:cs="宋体"/>
          <w:color w:val="auto"/>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投标人诚信承诺书</w:t>
      </w: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为了诚实、客观、有序地参与青海省政府采购活动，愿就以下内容作出承诺：</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三、尊重参与政府采购活动各相关方的合法行为，接受政府采购活动依法形成的意见、结果。</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四、依法参加政府采购活动，不围标、串标，维护市场秩序，不提供“三无”产品、以次充好。</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color w:val="auto"/>
          <w:kern w:val="0"/>
          <w:highlight w:val="none"/>
          <w:lang w:val="zh-CN"/>
        </w:rPr>
      </w:pPr>
      <w:r>
        <w:rPr>
          <w:rFonts w:hint="eastAsia" w:ascii="宋体" w:hAnsi="宋体" w:cs="宋体"/>
          <w:color w:val="auto"/>
          <w:kern w:val="0"/>
          <w:highlight w:val="none"/>
          <w:lang w:val="zh-CN"/>
        </w:rPr>
        <w:t>本承诺是采购项目投标文件的组成部分。</w:t>
      </w: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highlight w:val="none"/>
          <w:lang w:val="zh-CN"/>
        </w:rPr>
      </w:pPr>
      <w:r>
        <w:rPr>
          <w:rFonts w:ascii="宋体" w:cs="宋体"/>
          <w:color w:val="auto"/>
          <w:kern w:val="0"/>
          <w:sz w:val="24"/>
          <w:highlight w:val="none"/>
          <w:lang w:val="zh-CN"/>
        </w:rPr>
        <w:br w:type="page"/>
      </w:r>
      <w:bookmarkEnd w:id="129"/>
      <w:bookmarkStart w:id="132" w:name="_Toc18050"/>
      <w:bookmarkStart w:id="133" w:name="_Toc8344"/>
      <w:r>
        <w:rPr>
          <w:rFonts w:hint="eastAsia" w:ascii="宋体" w:hAnsi="宋体" w:cs="宋体"/>
          <w:color w:val="auto"/>
          <w:sz w:val="30"/>
          <w:szCs w:val="30"/>
          <w:highlight w:val="none"/>
        </w:rPr>
        <w:t>（</w:t>
      </w:r>
      <w:r>
        <w:rPr>
          <w:rFonts w:ascii="宋体" w:hAnsi="宋体" w:cs="宋体"/>
          <w:color w:val="auto"/>
          <w:sz w:val="30"/>
          <w:szCs w:val="30"/>
          <w:highlight w:val="none"/>
        </w:rPr>
        <w:t>6</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资格证明材料</w:t>
      </w:r>
      <w:bookmarkEnd w:id="132"/>
    </w:p>
    <w:p>
      <w:pPr>
        <w:spacing w:line="360" w:lineRule="auto"/>
        <w:rPr>
          <w:rFonts w:ascii="宋体" w:cs="宋体"/>
          <w:color w:val="auto"/>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资格证明材料</w:t>
      </w:r>
    </w:p>
    <w:p>
      <w:pPr>
        <w:autoSpaceDE w:val="0"/>
        <w:autoSpaceDN w:val="0"/>
        <w:spacing w:line="360" w:lineRule="auto"/>
        <w:rPr>
          <w:rFonts w:ascii="宋体" w:cs="宋体"/>
          <w:color w:val="auto"/>
          <w:kern w:val="0"/>
          <w:sz w:val="28"/>
          <w:szCs w:val="28"/>
          <w:highlight w:val="none"/>
          <w:lang w:val="zh-CN"/>
        </w:rPr>
      </w:pPr>
    </w:p>
    <w:p>
      <w:pPr>
        <w:spacing w:line="360" w:lineRule="auto"/>
        <w:ind w:firstLine="480" w:firstLineChars="200"/>
        <w:rPr>
          <w:rFonts w:ascii="宋体" w:cs="宋体"/>
          <w:color w:val="auto"/>
          <w:highlight w:val="none"/>
        </w:rPr>
      </w:pPr>
      <w:r>
        <w:rPr>
          <w:rFonts w:hint="eastAsia" w:ascii="宋体" w:hAnsi="宋体" w:cs="宋体"/>
          <w:color w:val="auto"/>
          <w:highlight w:val="none"/>
        </w:rPr>
        <w:t>资格证明材料包括：</w:t>
      </w:r>
    </w:p>
    <w:p>
      <w:pPr>
        <w:numPr>
          <w:ilvl w:val="0"/>
          <w:numId w:val="11"/>
        </w:numPr>
        <w:spacing w:line="360" w:lineRule="auto"/>
        <w:ind w:firstLine="480" w:firstLineChars="200"/>
        <w:rPr>
          <w:rFonts w:ascii="宋体" w:cs="宋体"/>
          <w:color w:val="auto"/>
          <w:highlight w:val="none"/>
        </w:rPr>
      </w:pPr>
      <w:r>
        <w:rPr>
          <w:rFonts w:hint="eastAsia" w:ascii="宋体" w:hAnsi="宋体" w:cs="宋体"/>
          <w:color w:val="auto"/>
          <w:highlight w:val="none"/>
        </w:rPr>
        <w:t>三证合一或五证合一复印件、开户许可证复印件；</w:t>
      </w:r>
    </w:p>
    <w:p>
      <w:pPr>
        <w:spacing w:line="360" w:lineRule="auto"/>
        <w:ind w:firstLine="48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）招标文件规定的有关资格证书、许可证书、认证等；</w:t>
      </w:r>
    </w:p>
    <w:p>
      <w:pPr>
        <w:spacing w:line="360" w:lineRule="auto"/>
        <w:ind w:firstLine="48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）投标企业简介及获得相关证书证明文件；</w:t>
      </w:r>
    </w:p>
    <w:p>
      <w:pPr>
        <w:spacing w:line="360" w:lineRule="auto"/>
        <w:ind w:firstLine="48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）投标人认为有必要提供的其他资格证明文件。</w:t>
      </w:r>
    </w:p>
    <w:p>
      <w:pPr>
        <w:autoSpaceDE w:val="0"/>
        <w:autoSpaceDN w:val="0"/>
        <w:spacing w:line="360" w:lineRule="auto"/>
        <w:ind w:firstLine="600" w:firstLineChars="250"/>
        <w:rPr>
          <w:rFonts w:ascii="宋体" w:cs="宋体"/>
          <w:color w:val="auto"/>
          <w:kern w:val="0"/>
          <w:highlight w:val="none"/>
          <w:lang w:val="zh-CN"/>
        </w:rPr>
      </w:pPr>
      <w:r>
        <w:rPr>
          <w:rFonts w:hint="eastAsia" w:ascii="宋体" w:hAnsi="宋体" w:cs="宋体"/>
          <w:color w:val="auto"/>
          <w:kern w:val="0"/>
          <w:highlight w:val="none"/>
          <w:lang w:val="zh-CN"/>
        </w:rPr>
        <w:t>如果是非法人资格的投标人，须提供身份证明。</w:t>
      </w:r>
    </w:p>
    <w:p>
      <w:pPr>
        <w:pStyle w:val="28"/>
        <w:spacing w:before="0" w:after="0" w:line="360" w:lineRule="auto"/>
        <w:jc w:val="left"/>
        <w:outlineLvl w:val="1"/>
        <w:rPr>
          <w:rFonts w:ascii="宋体" w:cs="宋体"/>
          <w:color w:val="auto"/>
          <w:highlight w:val="none"/>
        </w:rPr>
      </w:pPr>
      <w:r>
        <w:rPr>
          <w:rFonts w:ascii="宋体" w:cs="宋体"/>
          <w:color w:val="auto"/>
          <w:kern w:val="0"/>
          <w:sz w:val="24"/>
          <w:highlight w:val="none"/>
          <w:lang w:val="zh-CN"/>
        </w:rPr>
        <w:br w:type="page"/>
      </w:r>
      <w:bookmarkStart w:id="134" w:name="_Toc27246"/>
      <w:r>
        <w:rPr>
          <w:rFonts w:hint="eastAsia" w:ascii="宋体" w:hAnsi="宋体" w:cs="宋体"/>
          <w:color w:val="auto"/>
          <w:sz w:val="30"/>
          <w:szCs w:val="30"/>
          <w:highlight w:val="none"/>
        </w:rPr>
        <w:t>（</w:t>
      </w:r>
      <w:r>
        <w:rPr>
          <w:rFonts w:ascii="宋体" w:hAnsi="宋体" w:cs="宋体"/>
          <w:color w:val="auto"/>
          <w:sz w:val="30"/>
          <w:szCs w:val="30"/>
          <w:highlight w:val="none"/>
        </w:rPr>
        <w:t>7</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财务状况报告，依法缴纳税收和社会保障资金的相关材料</w:t>
      </w:r>
      <w:bookmarkEnd w:id="134"/>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财务状况报告，依法缴纳税收和社会保障资金的相关材料</w:t>
      </w:r>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按照招标文件第</w:t>
      </w:r>
      <w:r>
        <w:rPr>
          <w:rFonts w:ascii="宋体" w:hAnsi="宋体" w:cs="宋体"/>
          <w:color w:val="auto"/>
          <w:kern w:val="0"/>
          <w:highlight w:val="none"/>
          <w:lang w:val="zh-CN"/>
        </w:rPr>
        <w:t>2.2</w:t>
      </w:r>
      <w:r>
        <w:rPr>
          <w:rFonts w:hint="eastAsia" w:ascii="宋体" w:hAnsi="宋体" w:cs="宋体"/>
          <w:color w:val="auto"/>
          <w:kern w:val="0"/>
          <w:highlight w:val="none"/>
          <w:lang w:val="zh-CN"/>
        </w:rPr>
        <w:t>款（</w:t>
      </w:r>
      <w:r>
        <w:rPr>
          <w:rFonts w:ascii="宋体" w:hAnsi="宋体" w:cs="宋体"/>
          <w:color w:val="auto"/>
          <w:kern w:val="0"/>
          <w:highlight w:val="none"/>
          <w:lang w:val="zh-CN"/>
        </w:rPr>
        <w:t>1</w:t>
      </w:r>
      <w:r>
        <w:rPr>
          <w:rFonts w:hint="eastAsia" w:ascii="宋体" w:hAnsi="宋体" w:cs="宋体"/>
          <w:color w:val="auto"/>
          <w:kern w:val="0"/>
          <w:highlight w:val="none"/>
          <w:lang w:val="zh-CN"/>
        </w:rPr>
        <w:t>）中第</w:t>
      </w:r>
      <w:r>
        <w:rPr>
          <w:rFonts w:ascii="宋体" w:hAnsi="宋体" w:cs="宋体"/>
          <w:color w:val="auto"/>
          <w:kern w:val="0"/>
          <w:highlight w:val="none"/>
          <w:lang w:val="zh-CN"/>
        </w:rPr>
        <w:t>&lt;2&gt;</w:t>
      </w:r>
      <w:r>
        <w:rPr>
          <w:rFonts w:hint="eastAsia" w:ascii="宋体" w:hAnsi="宋体" w:cs="宋体"/>
          <w:color w:val="auto"/>
          <w:kern w:val="0"/>
          <w:highlight w:val="none"/>
          <w:lang w:val="zh-CN"/>
        </w:rPr>
        <w:t>条规定提供以下相关材料。</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、投标人基本开户银行近三个月内出具的资信证明及经第三方机构出具的上一年度（</w:t>
      </w:r>
      <w:r>
        <w:rPr>
          <w:rFonts w:ascii="宋体" w:hAnsi="宋体" w:cs="宋体"/>
          <w:color w:val="auto"/>
          <w:kern w:val="0"/>
          <w:highlight w:val="none"/>
        </w:rPr>
        <w:t>20</w:t>
      </w:r>
      <w:r>
        <w:rPr>
          <w:rFonts w:hint="eastAsia" w:ascii="宋体" w:hAnsi="宋体" w:cs="宋体"/>
          <w:color w:val="auto"/>
          <w:kern w:val="0"/>
          <w:highlight w:val="none"/>
        </w:rPr>
        <w:t>19年度</w:t>
      </w:r>
      <w:r>
        <w:rPr>
          <w:rFonts w:hint="eastAsia" w:ascii="宋体" w:hAnsi="宋体" w:cs="宋体"/>
          <w:color w:val="auto"/>
          <w:kern w:val="0"/>
          <w:highlight w:val="none"/>
          <w:lang w:val="zh-CN"/>
        </w:rPr>
        <w:t>）财务状况审计报告（扫描或复印件应全面、完整、清晰），包括资产负债表、现金流量表、利润表和财务（会计）报表附注</w:t>
      </w:r>
      <w:r>
        <w:rPr>
          <w:rFonts w:ascii="宋体" w:cs="宋体"/>
          <w:color w:val="auto"/>
          <w:kern w:val="0"/>
          <w:highlight w:val="none"/>
        </w:rPr>
        <w:t>,</w:t>
      </w:r>
      <w:r>
        <w:rPr>
          <w:rFonts w:hint="eastAsia" w:ascii="宋体" w:hAnsi="宋体" w:cs="宋体"/>
          <w:color w:val="auto"/>
          <w:kern w:val="0"/>
          <w:highlight w:val="none"/>
          <w:lang w:val="zh-CN"/>
        </w:rPr>
        <w:t>并提供第三方机构的营业执照、执业证书。</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、近半年</w:t>
      </w:r>
      <w:r>
        <w:rPr>
          <w:rFonts w:hint="eastAsia" w:ascii="宋体" w:hAnsi="宋体" w:cs="宋体"/>
          <w:color w:val="auto"/>
          <w:kern w:val="0"/>
          <w:highlight w:val="none"/>
        </w:rPr>
        <w:t>内</w:t>
      </w:r>
      <w:r>
        <w:rPr>
          <w:rFonts w:hint="eastAsia" w:ascii="宋体" w:hAnsi="宋体" w:cs="宋体"/>
          <w:color w:val="auto"/>
          <w:kern w:val="0"/>
          <w:highlight w:val="none"/>
          <w:lang w:val="zh-CN"/>
        </w:rPr>
        <w:t>的依法缴纳税收和社会保障资金记录的证明材料；依法免税或不需要缴纳社会保障资金的投标人须提供相应文件证明其依法免税或不需要缴纳社会保障资金，未提供免税证明的视为无效投标。</w:t>
      </w:r>
    </w:p>
    <w:p>
      <w:pPr>
        <w:pStyle w:val="28"/>
        <w:spacing w:before="0" w:after="0" w:line="360" w:lineRule="auto"/>
        <w:jc w:val="left"/>
        <w:outlineLvl w:val="1"/>
        <w:rPr>
          <w:rFonts w:ascii="宋体" w:cs="宋体"/>
          <w:color w:val="auto"/>
          <w:highlight w:val="none"/>
        </w:rPr>
      </w:pPr>
      <w:r>
        <w:rPr>
          <w:rFonts w:ascii="宋体" w:cs="宋体"/>
          <w:color w:val="auto"/>
          <w:kern w:val="0"/>
          <w:sz w:val="24"/>
          <w:highlight w:val="none"/>
          <w:lang w:val="zh-CN"/>
        </w:rPr>
        <w:br w:type="page"/>
      </w:r>
      <w:bookmarkEnd w:id="133"/>
      <w:bookmarkStart w:id="135" w:name="_Toc20721"/>
      <w:bookmarkStart w:id="136" w:name="_Toc21530"/>
      <w:r>
        <w:rPr>
          <w:rFonts w:hint="eastAsia" w:ascii="宋体" w:hAnsi="宋体" w:cs="宋体"/>
          <w:color w:val="auto"/>
          <w:sz w:val="30"/>
          <w:szCs w:val="30"/>
          <w:highlight w:val="none"/>
        </w:rPr>
        <w:t>（</w:t>
      </w:r>
      <w:r>
        <w:rPr>
          <w:rFonts w:ascii="宋体" w:hAnsi="宋体" w:cs="宋体"/>
          <w:color w:val="auto"/>
          <w:sz w:val="30"/>
          <w:szCs w:val="30"/>
          <w:highlight w:val="none"/>
        </w:rPr>
        <w:t>8</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具备履行合同所必需的设备和专业技术能力的证明材料</w:t>
      </w:r>
      <w:bookmarkEnd w:id="135"/>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为保证本项目合同的顺利履行，投标人必须具备履行合同的设备和专业技术能力，须提供相关设备的购置发票以及相关人员的职称证书和用工合同等证明材料。</w:t>
      </w:r>
    </w:p>
    <w:p>
      <w:pPr>
        <w:pStyle w:val="28"/>
        <w:spacing w:before="0" w:after="0" w:line="360" w:lineRule="auto"/>
        <w:jc w:val="left"/>
        <w:outlineLvl w:val="1"/>
        <w:rPr>
          <w:rFonts w:ascii="宋体" w:cs="宋体"/>
          <w:color w:val="auto"/>
          <w:highlight w:val="none"/>
        </w:rPr>
      </w:pPr>
      <w:r>
        <w:rPr>
          <w:rFonts w:ascii="宋体" w:cs="宋体"/>
          <w:color w:val="auto"/>
          <w:kern w:val="0"/>
          <w:sz w:val="24"/>
          <w:highlight w:val="none"/>
          <w:lang w:val="zh-CN"/>
        </w:rPr>
        <w:br w:type="page"/>
      </w:r>
      <w:bookmarkStart w:id="137" w:name="_Toc9349"/>
      <w:r>
        <w:rPr>
          <w:rFonts w:hint="eastAsia" w:ascii="宋体" w:hAnsi="宋体" w:cs="宋体"/>
          <w:color w:val="auto"/>
          <w:sz w:val="30"/>
          <w:szCs w:val="30"/>
          <w:highlight w:val="none"/>
        </w:rPr>
        <w:t>（</w:t>
      </w:r>
      <w:r>
        <w:rPr>
          <w:rFonts w:ascii="宋体" w:hAnsi="宋体" w:cs="宋体"/>
          <w:color w:val="auto"/>
          <w:sz w:val="30"/>
          <w:szCs w:val="30"/>
          <w:highlight w:val="none"/>
        </w:rPr>
        <w:t>9</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无重大违法记录声明</w:t>
      </w:r>
      <w:bookmarkEnd w:id="137"/>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无重大违法记录声明</w:t>
      </w:r>
    </w:p>
    <w:p>
      <w:pPr>
        <w:spacing w:line="360" w:lineRule="auto"/>
        <w:rPr>
          <w:rFonts w:ascii="宋体" w:cs="宋体"/>
          <w:b/>
          <w:bCs/>
          <w:color w:val="auto"/>
          <w:sz w:val="28"/>
          <w:szCs w:val="28"/>
          <w:highlight w:val="none"/>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spacing w:line="360" w:lineRule="auto"/>
        <w:ind w:firstLine="480" w:firstLineChars="200"/>
        <w:rPr>
          <w:rFonts w:ascii="宋体" w:cs="宋体"/>
          <w:color w:val="auto"/>
          <w:highlight w:val="none"/>
          <w:shd w:val="clear" w:color="auto" w:fill="FFFFFF"/>
        </w:rPr>
      </w:pPr>
      <w:r>
        <w:rPr>
          <w:rFonts w:hint="eastAsia" w:ascii="宋体" w:hAnsi="宋体" w:cs="宋体"/>
          <w:color w:val="auto"/>
          <w:highlight w:val="none"/>
        </w:rPr>
        <w:t>我单位参加本次政府采购项目活动前三年内，在经营活动中无重大违法活动记录，符合《政府采购法》规定的供应商资格条</w:t>
      </w:r>
      <w:r>
        <w:rPr>
          <w:rFonts w:hint="eastAsia" w:ascii="宋体" w:hAnsi="宋体" w:cs="宋体"/>
          <w:color w:val="auto"/>
          <w:highlight w:val="none"/>
          <w:shd w:val="clear" w:color="auto" w:fill="FFFFFF"/>
        </w:rPr>
        <w:t>件。我方对此声明负全部法律责任。</w:t>
      </w:r>
    </w:p>
    <w:p>
      <w:pPr>
        <w:spacing w:line="360" w:lineRule="auto"/>
        <w:ind w:firstLine="480" w:firstLineChars="200"/>
        <w:rPr>
          <w:rFonts w:ascii="宋体" w:cs="宋体"/>
          <w:color w:val="auto"/>
          <w:highlight w:val="none"/>
        </w:rPr>
      </w:pPr>
      <w:r>
        <w:rPr>
          <w:rFonts w:hint="eastAsia" w:ascii="宋体" w:hAnsi="宋体" w:cs="宋体"/>
          <w:color w:val="auto"/>
          <w:highlight w:val="none"/>
        </w:rPr>
        <w:t>特此声明。</w:t>
      </w:r>
    </w:p>
    <w:p>
      <w:pPr>
        <w:autoSpaceDE w:val="0"/>
        <w:autoSpaceDN w:val="0"/>
        <w:spacing w:line="360" w:lineRule="auto"/>
        <w:jc w:val="left"/>
        <w:rPr>
          <w:rFonts w:ascii="宋体" w:cs="宋体"/>
          <w:color w:val="auto"/>
          <w:kern w:val="0"/>
          <w:highlight w:val="none"/>
          <w:lang w:val="zh-CN"/>
        </w:rPr>
      </w:pPr>
    </w:p>
    <w:p>
      <w:pPr>
        <w:autoSpaceDE w:val="0"/>
        <w:autoSpaceDN w:val="0"/>
        <w:spacing w:line="360" w:lineRule="auto"/>
        <w:jc w:val="left"/>
        <w:rPr>
          <w:rFonts w:ascii="宋体" w:cs="宋体"/>
          <w:color w:val="auto"/>
          <w:kern w:val="0"/>
          <w:highlight w:val="none"/>
          <w:lang w:val="zh-CN"/>
        </w:rPr>
      </w:pPr>
    </w:p>
    <w:p>
      <w:pPr>
        <w:autoSpaceDE w:val="0"/>
        <w:autoSpaceDN w:val="0"/>
        <w:spacing w:line="360" w:lineRule="auto"/>
        <w:jc w:val="left"/>
        <w:rPr>
          <w:rFonts w:ascii="宋体" w:cs="宋体"/>
          <w:color w:val="auto"/>
          <w:kern w:val="0"/>
          <w:highlight w:val="none"/>
          <w:lang w:val="zh-CN"/>
        </w:rPr>
      </w:pPr>
    </w:p>
    <w:p>
      <w:pPr>
        <w:autoSpaceDE w:val="0"/>
        <w:autoSpaceDN w:val="0"/>
        <w:spacing w:line="360" w:lineRule="auto"/>
        <w:jc w:val="left"/>
        <w:rPr>
          <w:rFonts w:ascii="宋体" w:cs="宋体"/>
          <w:color w:val="auto"/>
          <w:kern w:val="0"/>
          <w:highlight w:val="none"/>
          <w:lang w:val="zh-CN"/>
        </w:rPr>
      </w:pPr>
    </w:p>
    <w:p>
      <w:pPr>
        <w:autoSpaceDE w:val="0"/>
        <w:autoSpaceDN w:val="0"/>
        <w:spacing w:line="360" w:lineRule="auto"/>
        <w:jc w:val="left"/>
        <w:rPr>
          <w:rFonts w:ascii="宋体" w:cs="宋体"/>
          <w:color w:val="auto"/>
          <w:kern w:val="0"/>
          <w:highlight w:val="none"/>
          <w:lang w:val="zh-CN"/>
        </w:rPr>
      </w:pPr>
    </w:p>
    <w:p>
      <w:pPr>
        <w:autoSpaceDE w:val="0"/>
        <w:autoSpaceDN w:val="0"/>
        <w:spacing w:line="360" w:lineRule="auto"/>
        <w:jc w:val="left"/>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sz w:val="30"/>
          <w:szCs w:val="30"/>
          <w:highlight w:val="none"/>
        </w:rPr>
        <w:sectPr>
          <w:headerReference r:id="rId3" w:type="default"/>
          <w:footerReference r:id="rId4" w:type="default"/>
          <w:footerReference r:id="rId5" w:type="even"/>
          <w:pgSz w:w="11849" w:h="16781"/>
          <w:pgMar w:top="1440" w:right="1803" w:bottom="1440" w:left="1803" w:header="850" w:footer="992" w:gutter="0"/>
          <w:pgNumType w:start="1"/>
          <w:cols w:space="0" w:num="1"/>
          <w:docGrid w:linePitch="397" w:charSpace="0"/>
        </w:sectPr>
      </w:pPr>
      <w:bookmarkStart w:id="138" w:name="_Toc29764"/>
    </w:p>
    <w:p>
      <w:pPr>
        <w:pStyle w:val="28"/>
        <w:spacing w:before="0" w:after="0" w:line="360" w:lineRule="auto"/>
        <w:jc w:val="left"/>
        <w:outlineLvl w:val="1"/>
        <w:rPr>
          <w:rFonts w:ascii="宋体" w:cs="宋体"/>
          <w:color w:val="auto"/>
          <w:highlight w:val="none"/>
          <w:lang w:val="zh-CN"/>
        </w:rPr>
      </w:pPr>
      <w:bookmarkStart w:id="139" w:name="_Toc23205"/>
      <w:r>
        <w:rPr>
          <w:rFonts w:hint="eastAsia" w:ascii="宋体" w:hAnsi="宋体" w:cs="宋体"/>
          <w:color w:val="auto"/>
          <w:sz w:val="30"/>
          <w:szCs w:val="30"/>
          <w:highlight w:val="none"/>
        </w:rPr>
        <w:t>（</w:t>
      </w:r>
      <w:r>
        <w:rPr>
          <w:rFonts w:ascii="宋体" w:hAnsi="宋体" w:cs="宋体"/>
          <w:color w:val="auto"/>
          <w:sz w:val="30"/>
          <w:szCs w:val="30"/>
          <w:highlight w:val="none"/>
        </w:rPr>
        <w:t>10</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投标保证金证明</w:t>
      </w:r>
      <w:bookmarkEnd w:id="138"/>
      <w:bookmarkEnd w:id="139"/>
    </w:p>
    <w:p>
      <w:pPr>
        <w:spacing w:line="360" w:lineRule="auto"/>
        <w:rPr>
          <w:rFonts w:ascii="宋体" w:cs="宋体"/>
          <w:color w:val="auto"/>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投标保证金证明</w:t>
      </w:r>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我方为（采购项目名称）项目（采购项目编号为：</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）递交保证金人民币</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（大写：人民币</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元）已于</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年</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月</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日以基本户转账方式汇入你方账户。</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附件：保证金交款证明复印件（加盖公章）</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户</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名：</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开户银行：</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开户帐号：</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注：通过银行转账的，必须由投标人从其基本账户汇（转）入</w:t>
      </w:r>
      <w:r>
        <w:rPr>
          <w:rFonts w:ascii="宋体" w:hAnsi="宋体" w:cs="宋体"/>
          <w:color w:val="auto"/>
          <w:kern w:val="0"/>
          <w:highlight w:val="none"/>
        </w:rPr>
        <w:t>9.1</w:t>
      </w:r>
      <w:r>
        <w:rPr>
          <w:rFonts w:hint="eastAsia" w:ascii="宋体" w:hAnsi="宋体" w:cs="宋体"/>
          <w:color w:val="auto"/>
          <w:kern w:val="0"/>
          <w:highlight w:val="none"/>
        </w:rPr>
        <w:t>条规定的账户</w:t>
      </w:r>
      <w:r>
        <w:rPr>
          <w:rFonts w:hint="eastAsia" w:ascii="宋体" w:hAnsi="宋体" w:cs="宋体"/>
          <w:color w:val="auto"/>
          <w:kern w:val="0"/>
          <w:highlight w:val="none"/>
          <w:lang w:val="zh-CN"/>
        </w:rPr>
        <w:t>。</w:t>
      </w:r>
    </w:p>
    <w:p>
      <w:pPr>
        <w:autoSpaceDE w:val="0"/>
        <w:autoSpaceDN w:val="0"/>
        <w:spacing w:line="360" w:lineRule="auto"/>
        <w:ind w:firstLine="360"/>
        <w:rPr>
          <w:rFonts w:ascii="宋体" w:cs="宋体"/>
          <w:color w:val="auto"/>
          <w:kern w:val="0"/>
          <w:highlight w:val="none"/>
          <w:lang w:val="zh-CN"/>
        </w:rPr>
      </w:pPr>
    </w:p>
    <w:p>
      <w:pPr>
        <w:autoSpaceDE w:val="0"/>
        <w:autoSpaceDN w:val="0"/>
        <w:spacing w:line="360" w:lineRule="auto"/>
        <w:ind w:firstLine="360"/>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sz w:val="30"/>
          <w:szCs w:val="30"/>
          <w:highlight w:val="none"/>
        </w:rPr>
        <w:sectPr>
          <w:footerReference r:id="rId6" w:type="default"/>
          <w:pgSz w:w="11849" w:h="16781"/>
          <w:pgMar w:top="1440" w:right="1803" w:bottom="1440" w:left="1803" w:header="850" w:footer="992" w:gutter="0"/>
          <w:cols w:space="0" w:num="1"/>
          <w:docGrid w:linePitch="397" w:charSpace="0"/>
        </w:sectPr>
      </w:pPr>
    </w:p>
    <w:p>
      <w:pPr>
        <w:pStyle w:val="28"/>
        <w:numPr>
          <w:ilvl w:val="0"/>
          <w:numId w:val="12"/>
        </w:numPr>
        <w:spacing w:before="0" w:after="0" w:line="360" w:lineRule="auto"/>
        <w:jc w:val="left"/>
        <w:outlineLvl w:val="1"/>
        <w:rPr>
          <w:rFonts w:ascii="宋体" w:cs="宋体"/>
          <w:color w:val="auto"/>
          <w:sz w:val="30"/>
          <w:szCs w:val="30"/>
          <w:highlight w:val="none"/>
          <w:lang w:val="zh-CN"/>
        </w:rPr>
      </w:pPr>
      <w:bookmarkStart w:id="140" w:name="_Toc4893"/>
      <w:r>
        <w:rPr>
          <w:rFonts w:hint="eastAsia" w:ascii="宋体" w:hAnsi="宋体" w:cs="宋体"/>
          <w:color w:val="auto"/>
          <w:sz w:val="30"/>
          <w:szCs w:val="30"/>
          <w:highlight w:val="none"/>
          <w:lang w:val="zh-CN"/>
        </w:rPr>
        <w:t>信用信息栏中无任何不良记录</w:t>
      </w:r>
      <w:bookmarkEnd w:id="140"/>
    </w:p>
    <w:p>
      <w:pPr>
        <w:rPr>
          <w:rFonts w:ascii="宋体" w:cs="宋体"/>
          <w:color w:val="auto"/>
          <w:sz w:val="30"/>
          <w:szCs w:val="30"/>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信用信息栏中无任何不良记录</w:t>
      </w:r>
    </w:p>
    <w:p>
      <w:pPr>
        <w:autoSpaceDE w:val="0"/>
        <w:autoSpaceDN w:val="0"/>
        <w:spacing w:line="360" w:lineRule="auto"/>
        <w:jc w:val="center"/>
        <w:rPr>
          <w:rFonts w:ascii="宋体" w:cs="宋体"/>
          <w:b/>
          <w:bCs/>
          <w:color w:val="auto"/>
          <w:kern w:val="0"/>
          <w:sz w:val="28"/>
          <w:szCs w:val="28"/>
          <w:highlight w:val="none"/>
        </w:rPr>
      </w:pPr>
    </w:p>
    <w:p>
      <w:pPr>
        <w:autoSpaceDE w:val="0"/>
        <w:autoSpaceDN w:val="0"/>
        <w:spacing w:line="360" w:lineRule="auto"/>
        <w:ind w:firstLine="480" w:firstLineChars="200"/>
        <w:rPr>
          <w:rFonts w:ascii="宋体" w:cs="宋体"/>
          <w:color w:val="auto"/>
          <w:kern w:val="0"/>
          <w:highlight w:val="none"/>
        </w:rPr>
        <w:sectPr>
          <w:footerReference r:id="rId7" w:type="default"/>
          <w:pgSz w:w="11849" w:h="16781"/>
          <w:pgMar w:top="1440" w:right="1803" w:bottom="1440" w:left="1803" w:header="850" w:footer="992" w:gutter="0"/>
          <w:cols w:space="0" w:num="1"/>
          <w:docGrid w:linePitch="397" w:charSpace="0"/>
        </w:sectPr>
      </w:pPr>
      <w:bookmarkStart w:id="141" w:name="_Toc22794"/>
      <w:bookmarkStart w:id="142" w:name="_Toc23436"/>
      <w:r>
        <w:rPr>
          <w:rFonts w:hint="eastAsia" w:ascii="宋体" w:hAnsi="宋体" w:cs="宋体"/>
          <w:color w:val="auto"/>
          <w:kern w:val="0"/>
          <w:highlight w:val="none"/>
          <w:lang w:val="zh-CN"/>
        </w:rPr>
        <w:t>提供在信用中国</w:t>
      </w:r>
      <w:r>
        <w:rPr>
          <w:rFonts w:hint="eastAsia" w:ascii="宋体" w:hAnsi="宋体" w:cs="宋体"/>
          <w:color w:val="auto"/>
          <w:kern w:val="0"/>
          <w:highlight w:val="none"/>
        </w:rPr>
        <w:t>（</w:t>
      </w:r>
      <w:r>
        <w:rPr>
          <w:rFonts w:ascii="宋体" w:hAnsi="宋体" w:cs="宋体"/>
          <w:color w:val="auto"/>
          <w:kern w:val="0"/>
          <w:highlight w:val="none"/>
        </w:rPr>
        <w:t>www.creditchina.gov.cn</w:t>
      </w:r>
      <w:r>
        <w:rPr>
          <w:rFonts w:hint="eastAsia" w:ascii="宋体" w:hAnsi="宋体" w:cs="宋体"/>
          <w:color w:val="auto"/>
          <w:kern w:val="0"/>
          <w:highlight w:val="none"/>
        </w:rPr>
        <w:t>）</w:t>
      </w:r>
      <w:r>
        <w:rPr>
          <w:rFonts w:hint="eastAsia" w:ascii="宋体" w:hAnsi="宋体" w:cs="宋体"/>
          <w:color w:val="auto"/>
          <w:kern w:val="0"/>
          <w:highlight w:val="none"/>
          <w:lang w:val="zh-CN"/>
        </w:rPr>
        <w:t>、中国政府采购网</w:t>
      </w:r>
      <w:r>
        <w:rPr>
          <w:rFonts w:hint="eastAsia" w:ascii="宋体" w:hAnsi="宋体" w:cs="宋体"/>
          <w:color w:val="auto"/>
          <w:kern w:val="0"/>
          <w:highlight w:val="none"/>
        </w:rPr>
        <w:t>（</w:t>
      </w:r>
      <w:r>
        <w:rPr>
          <w:rFonts w:ascii="宋体" w:hAnsi="宋体" w:cs="宋体"/>
          <w:color w:val="auto"/>
          <w:kern w:val="0"/>
          <w:highlight w:val="none"/>
        </w:rPr>
        <w:t>www.ccgp.gov.cn</w:t>
      </w:r>
      <w:r>
        <w:rPr>
          <w:rFonts w:hint="eastAsia" w:ascii="宋体" w:hAnsi="宋体" w:cs="宋体"/>
          <w:color w:val="auto"/>
          <w:kern w:val="0"/>
          <w:highlight w:val="none"/>
        </w:rPr>
        <w:t>）</w:t>
      </w:r>
      <w:r>
        <w:rPr>
          <w:rFonts w:hint="eastAsia" w:ascii="宋体" w:hAnsi="宋体" w:cs="宋体"/>
          <w:color w:val="auto"/>
          <w:kern w:val="0"/>
          <w:highlight w:val="none"/>
          <w:lang w:val="zh-CN"/>
        </w:rPr>
        <w:t>等渠道查询无任何不良记录的查询截图</w:t>
      </w:r>
      <w:r>
        <w:rPr>
          <w:rFonts w:hint="eastAsia" w:ascii="宋体" w:hAnsi="宋体" w:cs="宋体"/>
          <w:color w:val="auto"/>
          <w:kern w:val="0"/>
          <w:highlight w:val="none"/>
        </w:rPr>
        <w:t>（</w:t>
      </w:r>
      <w:r>
        <w:rPr>
          <w:rFonts w:hint="eastAsia" w:ascii="宋体" w:hAnsi="宋体" w:cs="宋体"/>
          <w:color w:val="auto"/>
          <w:kern w:val="0"/>
          <w:highlight w:val="none"/>
          <w:lang w:val="zh-CN"/>
        </w:rPr>
        <w:t>截图时间为</w:t>
      </w:r>
      <w:r>
        <w:rPr>
          <w:rFonts w:hint="eastAsia" w:ascii="宋体" w:hAnsi="宋体" w:cs="宋体"/>
          <w:color w:val="auto"/>
          <w:kern w:val="0"/>
          <w:highlight w:val="none"/>
        </w:rPr>
        <w:t>：</w:t>
      </w:r>
      <w:r>
        <w:rPr>
          <w:rFonts w:hint="eastAsia" w:ascii="宋体" w:hAnsi="宋体" w:cs="宋体"/>
          <w:color w:val="auto"/>
          <w:kern w:val="0"/>
          <w:highlight w:val="none"/>
          <w:lang w:val="zh-CN"/>
        </w:rPr>
        <w:t>开标时间截止前</w:t>
      </w:r>
      <w:r>
        <w:rPr>
          <w:rFonts w:ascii="宋体" w:hAnsi="宋体" w:cs="宋体"/>
          <w:color w:val="auto"/>
          <w:kern w:val="0"/>
          <w:highlight w:val="none"/>
        </w:rPr>
        <w:t>20</w:t>
      </w:r>
      <w:r>
        <w:rPr>
          <w:rFonts w:hint="eastAsia" w:ascii="宋体" w:hAnsi="宋体" w:cs="宋体"/>
          <w:color w:val="auto"/>
          <w:kern w:val="0"/>
          <w:highlight w:val="none"/>
          <w:lang w:val="zh-CN"/>
        </w:rPr>
        <w:t>天</w:t>
      </w:r>
      <w:r>
        <w:rPr>
          <w:rFonts w:hint="eastAsia" w:ascii="宋体" w:hAnsi="宋体" w:cs="宋体"/>
          <w:color w:val="auto"/>
          <w:kern w:val="0"/>
          <w:highlight w:val="none"/>
        </w:rPr>
        <w:t>）</w:t>
      </w:r>
      <w:r>
        <w:rPr>
          <w:rFonts w:hint="eastAsia" w:ascii="宋体" w:hAnsi="宋体" w:cs="宋体"/>
          <w:color w:val="auto"/>
          <w:kern w:val="0"/>
          <w:highlight w:val="none"/>
          <w:lang w:val="zh-CN"/>
        </w:rPr>
        <w:t>。</w:t>
      </w:r>
      <w:bookmarkEnd w:id="141"/>
      <w:bookmarkEnd w:id="142"/>
    </w:p>
    <w:bookmarkEnd w:id="136"/>
    <w:p>
      <w:pPr>
        <w:pStyle w:val="28"/>
        <w:spacing w:before="0" w:after="0" w:line="360" w:lineRule="auto"/>
        <w:jc w:val="left"/>
        <w:rPr>
          <w:rFonts w:ascii="宋体" w:cs="宋体"/>
          <w:color w:val="auto"/>
          <w:sz w:val="30"/>
          <w:szCs w:val="30"/>
          <w:highlight w:val="none"/>
          <w:lang w:val="zh-CN"/>
        </w:rPr>
      </w:pPr>
      <w:bookmarkStart w:id="143" w:name="_Toc20695"/>
      <w:bookmarkStart w:id="144" w:name="_Toc27859"/>
      <w:r>
        <w:rPr>
          <w:rFonts w:hint="eastAsia" w:ascii="宋体" w:hAnsi="宋体" w:cs="宋体"/>
          <w:color w:val="auto"/>
          <w:sz w:val="30"/>
          <w:szCs w:val="30"/>
          <w:highlight w:val="none"/>
          <w:lang w:val="zh-CN"/>
        </w:rPr>
        <w:t>三、投标文件封面（下册）</w:t>
      </w:r>
      <w:bookmarkEnd w:id="143"/>
    </w:p>
    <w:bookmarkEnd w:id="144"/>
    <w:p>
      <w:pPr>
        <w:autoSpaceDE w:val="0"/>
        <w:autoSpaceDN w:val="0"/>
        <w:spacing w:line="360" w:lineRule="auto"/>
        <w:jc w:val="right"/>
        <w:rPr>
          <w:rFonts w:ascii="宋体" w:cs="宋体"/>
          <w:b/>
          <w:bCs/>
          <w:color w:val="auto"/>
          <w:kern w:val="0"/>
          <w:sz w:val="36"/>
          <w:szCs w:val="36"/>
          <w:highlight w:val="none"/>
        </w:rPr>
      </w:pPr>
      <w:r>
        <w:rPr>
          <w:rFonts w:hint="eastAsia" w:ascii="宋体" w:hAnsi="宋体" w:cs="宋体"/>
          <w:b/>
          <w:bCs/>
          <w:color w:val="auto"/>
          <w:kern w:val="0"/>
          <w:sz w:val="36"/>
          <w:szCs w:val="36"/>
          <w:highlight w:val="none"/>
        </w:rPr>
        <w:t>正本</w:t>
      </w:r>
      <w:r>
        <w:rPr>
          <w:rFonts w:ascii="宋体" w:hAnsi="宋体" w:cs="宋体"/>
          <w:b/>
          <w:bCs/>
          <w:color w:val="auto"/>
          <w:kern w:val="0"/>
          <w:sz w:val="36"/>
          <w:szCs w:val="36"/>
          <w:highlight w:val="none"/>
        </w:rPr>
        <w:t>/</w:t>
      </w:r>
      <w:r>
        <w:rPr>
          <w:rFonts w:hint="eastAsia" w:ascii="宋体" w:hAnsi="宋体" w:cs="宋体"/>
          <w:b/>
          <w:bCs/>
          <w:color w:val="auto"/>
          <w:kern w:val="0"/>
          <w:sz w:val="36"/>
          <w:szCs w:val="36"/>
          <w:highlight w:val="none"/>
        </w:rPr>
        <w:t>副本</w:t>
      </w:r>
    </w:p>
    <w:p>
      <w:pPr>
        <w:autoSpaceDE w:val="0"/>
        <w:autoSpaceDN w:val="0"/>
        <w:spacing w:line="360" w:lineRule="auto"/>
        <w:jc w:val="center"/>
        <w:rPr>
          <w:rFonts w:asci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青海省政府采购项目</w:t>
      </w:r>
    </w:p>
    <w:p>
      <w:pPr>
        <w:autoSpaceDE w:val="0"/>
        <w:autoSpaceDN w:val="0"/>
        <w:spacing w:line="360" w:lineRule="auto"/>
        <w:rPr>
          <w:rFonts w:ascii="宋体" w:cs="宋体"/>
          <w:color w:val="auto"/>
          <w:kern w:val="0"/>
          <w:sz w:val="36"/>
          <w:szCs w:val="36"/>
          <w:highlight w:val="none"/>
        </w:rPr>
      </w:pPr>
    </w:p>
    <w:p>
      <w:pPr>
        <w:autoSpaceDE w:val="0"/>
        <w:autoSpaceDN w:val="0"/>
        <w:spacing w:line="360" w:lineRule="auto"/>
        <w:jc w:val="center"/>
        <w:rPr>
          <w:rFonts w:ascii="宋体" w:cs="宋体"/>
          <w:b/>
          <w:bCs/>
          <w:color w:val="auto"/>
          <w:kern w:val="0"/>
          <w:sz w:val="72"/>
          <w:szCs w:val="72"/>
          <w:highlight w:val="none"/>
        </w:rPr>
      </w:pPr>
      <w:r>
        <w:rPr>
          <w:rFonts w:hint="eastAsia" w:ascii="宋体" w:hAnsi="宋体" w:cs="宋体"/>
          <w:b/>
          <w:bCs/>
          <w:color w:val="auto"/>
          <w:kern w:val="0"/>
          <w:sz w:val="72"/>
          <w:szCs w:val="72"/>
          <w:highlight w:val="none"/>
          <w:lang w:val="zh-CN"/>
        </w:rPr>
        <w:t>投</w:t>
      </w:r>
      <w:r>
        <w:rPr>
          <w:rFonts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标</w:t>
      </w:r>
      <w:r>
        <w:rPr>
          <w:rFonts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pPr>
        <w:autoSpaceDE w:val="0"/>
        <w:autoSpaceDN w:val="0"/>
        <w:spacing w:line="360" w:lineRule="auto"/>
        <w:jc w:val="center"/>
        <w:rPr>
          <w:rFonts w:ascii="宋体" w:cs="宋体"/>
          <w:color w:val="auto"/>
          <w:kern w:val="0"/>
          <w:sz w:val="44"/>
          <w:szCs w:val="44"/>
          <w:highlight w:val="none"/>
        </w:rPr>
      </w:pPr>
      <w:r>
        <w:rPr>
          <w:rFonts w:hint="eastAsia" w:ascii="宋体" w:hAnsi="宋体" w:cs="宋体"/>
          <w:b/>
          <w:bCs/>
          <w:color w:val="auto"/>
          <w:sz w:val="44"/>
          <w:szCs w:val="44"/>
          <w:highlight w:val="none"/>
          <w:lang w:val="zh-CN"/>
        </w:rPr>
        <w:t>（下册）</w:t>
      </w:r>
    </w:p>
    <w:p>
      <w:pPr>
        <w:autoSpaceDE w:val="0"/>
        <w:autoSpaceDN w:val="0"/>
        <w:spacing w:line="360" w:lineRule="auto"/>
        <w:rPr>
          <w:rFonts w:ascii="宋体" w:cs="宋体"/>
          <w:color w:val="auto"/>
          <w:kern w:val="0"/>
          <w:sz w:val="36"/>
          <w:szCs w:val="36"/>
          <w:highlight w:val="none"/>
        </w:rPr>
      </w:pPr>
    </w:p>
    <w:p>
      <w:pPr>
        <w:autoSpaceDE w:val="0"/>
        <w:autoSpaceDN w:val="0"/>
        <w:spacing w:line="360" w:lineRule="auto"/>
        <w:rPr>
          <w:rFonts w:ascii="宋体" w:cs="宋体"/>
          <w:color w:val="auto"/>
          <w:kern w:val="0"/>
          <w:sz w:val="36"/>
          <w:szCs w:val="36"/>
          <w:highlight w:val="none"/>
        </w:rPr>
      </w:pPr>
    </w:p>
    <w:p>
      <w:pPr>
        <w:autoSpaceDE w:val="0"/>
        <w:autoSpaceDN w:val="0"/>
        <w:spacing w:line="360" w:lineRule="auto"/>
        <w:rPr>
          <w:rFonts w:asci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采购项目编号：</w:t>
      </w:r>
    </w:p>
    <w:p>
      <w:pPr>
        <w:autoSpaceDE w:val="0"/>
        <w:autoSpaceDN w:val="0"/>
        <w:spacing w:line="360" w:lineRule="auto"/>
        <w:rPr>
          <w:rFonts w:asci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w:t>
      </w:r>
      <w:r>
        <w:rPr>
          <w:rFonts w:hint="eastAsia" w:ascii="宋体" w:hAnsi="宋体" w:cs="宋体"/>
          <w:b/>
          <w:bCs/>
          <w:color w:val="auto"/>
          <w:kern w:val="0"/>
          <w:sz w:val="36"/>
          <w:szCs w:val="36"/>
          <w:highlight w:val="none"/>
        </w:rPr>
        <w:t>：</w:t>
      </w:r>
    </w:p>
    <w:p>
      <w:pPr>
        <w:autoSpaceDE w:val="0"/>
        <w:autoSpaceDN w:val="0"/>
        <w:spacing w:line="360" w:lineRule="auto"/>
        <w:rPr>
          <w:rFonts w:asci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标</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包</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号：</w:t>
      </w:r>
    </w:p>
    <w:p>
      <w:pPr>
        <w:autoSpaceDE w:val="0"/>
        <w:autoSpaceDN w:val="0"/>
        <w:spacing w:line="360" w:lineRule="auto"/>
        <w:rPr>
          <w:rFonts w:ascii="宋体" w:cs="宋体"/>
          <w:b/>
          <w:bCs/>
          <w:color w:val="auto"/>
          <w:kern w:val="0"/>
          <w:sz w:val="36"/>
          <w:szCs w:val="36"/>
          <w:highlight w:val="none"/>
        </w:rPr>
      </w:pPr>
    </w:p>
    <w:p>
      <w:pPr>
        <w:autoSpaceDE w:val="0"/>
        <w:autoSpaceDN w:val="0"/>
        <w:spacing w:line="360" w:lineRule="auto"/>
        <w:rPr>
          <w:rFonts w:ascii="宋体" w:cs="宋体"/>
          <w:b/>
          <w:bCs/>
          <w:color w:val="auto"/>
          <w:kern w:val="0"/>
          <w:sz w:val="36"/>
          <w:szCs w:val="36"/>
          <w:highlight w:val="none"/>
        </w:rPr>
      </w:pPr>
    </w:p>
    <w:p>
      <w:pPr>
        <w:autoSpaceDE w:val="0"/>
        <w:autoSpaceDN w:val="0"/>
        <w:spacing w:line="360" w:lineRule="auto"/>
        <w:rPr>
          <w:rFonts w:ascii="宋体" w:cs="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投标人：</w:t>
      </w:r>
      <w:r>
        <w:rPr>
          <w:rFonts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rPr>
        <w:t>（</w:t>
      </w:r>
      <w:r>
        <w:rPr>
          <w:rFonts w:hint="eastAsia" w:ascii="宋体" w:hAnsi="宋体" w:cs="宋体"/>
          <w:b/>
          <w:bCs/>
          <w:color w:val="auto"/>
          <w:kern w:val="0"/>
          <w:sz w:val="36"/>
          <w:szCs w:val="36"/>
          <w:highlight w:val="none"/>
          <w:lang w:val="zh-CN"/>
        </w:rPr>
        <w:t>公章）</w:t>
      </w:r>
    </w:p>
    <w:p>
      <w:pPr>
        <w:autoSpaceDE w:val="0"/>
        <w:autoSpaceDN w:val="0"/>
        <w:spacing w:line="360" w:lineRule="auto"/>
        <w:rPr>
          <w:rFonts w:ascii="宋体" w:cs="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法定代表人或委托代理人：</w:t>
      </w:r>
      <w:r>
        <w:rPr>
          <w:rFonts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lang w:val="zh-CN"/>
        </w:rPr>
        <w:t>（签字）</w:t>
      </w:r>
    </w:p>
    <w:p>
      <w:pPr>
        <w:autoSpaceDE w:val="0"/>
        <w:autoSpaceDN w:val="0"/>
        <w:spacing w:line="360" w:lineRule="auto"/>
        <w:rPr>
          <w:rFonts w:ascii="宋体" w:cs="宋体"/>
          <w:b/>
          <w:bCs/>
          <w:color w:val="auto"/>
          <w:kern w:val="0"/>
          <w:sz w:val="36"/>
          <w:szCs w:val="36"/>
          <w:highlight w:val="none"/>
          <w:lang w:val="zh-CN"/>
        </w:rPr>
        <w:sectPr>
          <w:pgSz w:w="11849" w:h="16781"/>
          <w:pgMar w:top="1440" w:right="1803" w:bottom="1440" w:left="1803" w:header="850" w:footer="992" w:gutter="0"/>
          <w:cols w:space="0" w:num="1"/>
          <w:docGrid w:linePitch="397" w:charSpace="0"/>
        </w:sect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年</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月</w:t>
      </w: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日</w:t>
      </w:r>
    </w:p>
    <w:p>
      <w:pPr>
        <w:autoSpaceDE w:val="0"/>
        <w:autoSpaceDN w:val="0"/>
        <w:spacing w:line="360" w:lineRule="auto"/>
        <w:rPr>
          <w:rFonts w:ascii="宋体" w:cs="宋体"/>
          <w:color w:val="auto"/>
          <w:highlight w:val="none"/>
          <w:lang w:val="zh-CN"/>
        </w:rPr>
      </w:pPr>
      <w:r>
        <w:rPr>
          <w:rFonts w:hint="eastAsia" w:ascii="宋体" w:hAnsi="宋体" w:cs="宋体"/>
          <w:b/>
          <w:bCs/>
          <w:color w:val="auto"/>
          <w:kern w:val="0"/>
          <w:sz w:val="30"/>
          <w:szCs w:val="30"/>
          <w:highlight w:val="none"/>
          <w:lang w:val="zh-CN"/>
        </w:rPr>
        <w:t>四、投标文件封面</w:t>
      </w:r>
      <w:r>
        <w:rPr>
          <w:rFonts w:hint="eastAsia" w:ascii="宋体" w:hAnsi="宋体" w:cs="宋体"/>
          <w:b/>
          <w:bCs/>
          <w:color w:val="auto"/>
          <w:sz w:val="30"/>
          <w:szCs w:val="30"/>
          <w:highlight w:val="none"/>
          <w:lang w:val="zh-CN"/>
        </w:rPr>
        <w:t>目录（下册）</w:t>
      </w:r>
    </w:p>
    <w:p>
      <w:pPr>
        <w:autoSpaceDE w:val="0"/>
        <w:autoSpaceDN w:val="0"/>
        <w:spacing w:line="360" w:lineRule="auto"/>
        <w:rPr>
          <w:rFonts w:ascii="宋体" w:cs="宋体"/>
          <w:color w:val="auto"/>
          <w:kern w:val="0"/>
          <w:highlight w:val="none"/>
          <w:lang w:val="zh-CN"/>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）评分对照表</w:t>
      </w:r>
      <w:r>
        <w:rPr>
          <w:rFonts w:hint="eastAsia" w:ascii="宋体" w:hAnsi="宋体" w:cs="宋体"/>
          <w:color w:val="auto"/>
          <w:kern w:val="0"/>
          <w:highlight w:val="none"/>
          <w:lang w:val="zh-CN"/>
        </w:rPr>
        <w:t>………………………………………………………所在页码</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13</w:t>
      </w:r>
      <w:r>
        <w:rPr>
          <w:rFonts w:hint="eastAsia" w:ascii="宋体" w:hAnsi="宋体" w:cs="宋体"/>
          <w:color w:val="auto"/>
          <w:kern w:val="0"/>
          <w:highlight w:val="none"/>
          <w:lang w:val="zh-CN"/>
        </w:rPr>
        <w:t>）开标一览表（报价表）…………………………………………所在页码</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14</w:t>
      </w:r>
      <w:r>
        <w:rPr>
          <w:rFonts w:hint="eastAsia" w:ascii="宋体" w:hAnsi="宋体" w:cs="宋体"/>
          <w:color w:val="auto"/>
          <w:kern w:val="0"/>
          <w:highlight w:val="none"/>
          <w:lang w:val="zh-CN"/>
        </w:rPr>
        <w:t>）分项报价表………………………………………………………所在页码</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15</w:t>
      </w:r>
      <w:r>
        <w:rPr>
          <w:rFonts w:hint="eastAsia" w:ascii="宋体" w:hAnsi="宋体" w:cs="宋体"/>
          <w:color w:val="auto"/>
          <w:kern w:val="0"/>
          <w:highlight w:val="none"/>
          <w:lang w:val="zh-CN"/>
        </w:rPr>
        <w:t>）技术规格响应表…………………………………………………所在页码</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16</w:t>
      </w:r>
      <w:r>
        <w:rPr>
          <w:rFonts w:hint="eastAsia" w:ascii="宋体" w:hAnsi="宋体" w:cs="宋体"/>
          <w:color w:val="auto"/>
          <w:kern w:val="0"/>
          <w:highlight w:val="none"/>
          <w:lang w:val="zh-CN"/>
        </w:rPr>
        <w:t>）投标产品相关资料………………………………………………所在页码</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17</w:t>
      </w:r>
      <w:r>
        <w:rPr>
          <w:rFonts w:hint="eastAsia" w:ascii="宋体" w:hAnsi="宋体" w:cs="宋体"/>
          <w:color w:val="auto"/>
          <w:kern w:val="0"/>
          <w:highlight w:val="none"/>
          <w:lang w:val="zh-CN"/>
        </w:rPr>
        <w:t>）投标产品按时供货保证书………………………………………所在页码</w:t>
      </w:r>
    </w:p>
    <w:p>
      <w:pPr>
        <w:autoSpaceDE w:val="0"/>
        <w:autoSpaceDN w:val="0"/>
        <w:spacing w:line="360" w:lineRule="auto"/>
        <w:rPr>
          <w:rFonts w:ascii="宋体" w:cs="宋体"/>
          <w:color w:val="auto"/>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18</w:t>
      </w:r>
      <w:r>
        <w:rPr>
          <w:rFonts w:hint="eastAsia" w:ascii="宋体" w:hAnsi="宋体" w:cs="宋体"/>
          <w:color w:val="auto"/>
          <w:kern w:val="0"/>
          <w:highlight w:val="none"/>
          <w:lang w:val="zh-CN"/>
        </w:rPr>
        <w:t>）投标人的类似业绩证明材料……………………………………所在页码</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19</w:t>
      </w:r>
      <w:r>
        <w:rPr>
          <w:rFonts w:hint="eastAsia" w:ascii="宋体" w:hAnsi="宋体" w:cs="宋体"/>
          <w:color w:val="auto"/>
          <w:kern w:val="0"/>
          <w:highlight w:val="none"/>
          <w:lang w:val="zh-CN"/>
        </w:rPr>
        <w:t>）制造（生产）企业小型微型企业声明函、从业人员声明函…所在页码</w:t>
      </w:r>
    </w:p>
    <w:p>
      <w:pPr>
        <w:autoSpaceDE w:val="0"/>
        <w:autoSpaceDN w:val="0"/>
        <w:spacing w:line="360" w:lineRule="auto"/>
        <w:rPr>
          <w:rFonts w:ascii="宋体" w:cs="宋体"/>
          <w:color w:val="auto"/>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20</w:t>
      </w:r>
      <w:r>
        <w:rPr>
          <w:rFonts w:hint="eastAsia" w:ascii="宋体" w:hAnsi="宋体" w:cs="宋体"/>
          <w:color w:val="auto"/>
          <w:kern w:val="0"/>
          <w:highlight w:val="none"/>
          <w:lang w:val="zh-CN"/>
        </w:rPr>
        <w:t>）残疾人福利性单位声明函………………………………………所在页码</w:t>
      </w:r>
    </w:p>
    <w:p>
      <w:pPr>
        <w:autoSpaceDE w:val="0"/>
        <w:autoSpaceDN w:val="0"/>
        <w:spacing w:line="360" w:lineRule="auto"/>
        <w:rPr>
          <w:rFonts w:ascii="宋体" w:cs="宋体"/>
          <w:color w:val="auto"/>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21</w:t>
      </w:r>
      <w:r>
        <w:rPr>
          <w:rFonts w:hint="eastAsia" w:ascii="宋体" w:hAnsi="宋体" w:cs="宋体"/>
          <w:color w:val="auto"/>
          <w:kern w:val="0"/>
          <w:highlight w:val="none"/>
          <w:lang w:val="zh-CN"/>
        </w:rPr>
        <w:t>）投标人认为在其他方面有必要说明的事项……………………所在页码</w:t>
      </w:r>
    </w:p>
    <w:p>
      <w:pPr>
        <w:autoSpaceDE w:val="0"/>
        <w:autoSpaceDN w:val="0"/>
        <w:spacing w:line="360" w:lineRule="auto"/>
        <w:rPr>
          <w:rFonts w:ascii="宋体" w:cs="宋体"/>
          <w:color w:val="auto"/>
          <w:sz w:val="30"/>
          <w:szCs w:val="30"/>
          <w:highlight w:val="none"/>
        </w:rPr>
        <w:sectPr>
          <w:pgSz w:w="11849" w:h="16781"/>
          <w:pgMar w:top="1440" w:right="1803" w:bottom="1440" w:left="1803" w:header="850" w:footer="992" w:gutter="0"/>
          <w:cols w:space="0" w:num="1"/>
          <w:docGrid w:linePitch="397" w:charSpace="0"/>
        </w:sectPr>
      </w:pPr>
    </w:p>
    <w:p>
      <w:pPr>
        <w:pStyle w:val="28"/>
        <w:numPr>
          <w:ilvl w:val="0"/>
          <w:numId w:val="12"/>
        </w:numPr>
        <w:spacing w:before="0" w:after="0" w:line="360" w:lineRule="auto"/>
        <w:jc w:val="left"/>
        <w:outlineLvl w:val="1"/>
        <w:rPr>
          <w:rFonts w:ascii="宋体" w:cs="宋体"/>
          <w:color w:val="auto"/>
          <w:sz w:val="30"/>
          <w:szCs w:val="30"/>
          <w:highlight w:val="none"/>
          <w:lang w:val="zh-CN"/>
        </w:rPr>
      </w:pPr>
      <w:bookmarkStart w:id="145" w:name="_Toc15158"/>
      <w:r>
        <w:rPr>
          <w:rFonts w:hint="eastAsia" w:ascii="宋体" w:hAnsi="宋体" w:cs="宋体"/>
          <w:color w:val="auto"/>
          <w:sz w:val="30"/>
          <w:szCs w:val="30"/>
          <w:highlight w:val="none"/>
          <w:lang w:val="zh-CN"/>
        </w:rPr>
        <w:t>评分对照表</w:t>
      </w:r>
      <w:bookmarkEnd w:id="145"/>
    </w:p>
    <w:p>
      <w:pPr>
        <w:spacing w:line="360" w:lineRule="auto"/>
        <w:rPr>
          <w:rFonts w:ascii="宋体" w:cs="宋体"/>
          <w:color w:val="auto"/>
          <w:sz w:val="28"/>
          <w:szCs w:val="28"/>
          <w:highlight w:val="none"/>
        </w:rPr>
      </w:pPr>
    </w:p>
    <w:p>
      <w:pPr>
        <w:spacing w:line="360" w:lineRule="auto"/>
        <w:jc w:val="center"/>
        <w:rPr>
          <w:rFonts w:ascii="宋体" w:cs="宋体"/>
          <w:color w:val="auto"/>
          <w:sz w:val="28"/>
          <w:szCs w:val="28"/>
          <w:highlight w:val="none"/>
        </w:rPr>
      </w:pPr>
      <w:r>
        <w:rPr>
          <w:rFonts w:hint="eastAsia" w:ascii="宋体" w:hAnsi="宋体" w:cs="宋体"/>
          <w:b/>
          <w:bCs/>
          <w:color w:val="auto"/>
          <w:sz w:val="28"/>
          <w:szCs w:val="28"/>
          <w:highlight w:val="none"/>
        </w:rPr>
        <w:t>评分对照表</w:t>
      </w:r>
    </w:p>
    <w:p>
      <w:pPr>
        <w:spacing w:line="360" w:lineRule="auto"/>
        <w:rPr>
          <w:rFonts w:ascii="宋体" w:cs="宋体"/>
          <w:color w:val="auto"/>
          <w:sz w:val="28"/>
          <w:szCs w:val="28"/>
          <w:highlight w:val="none"/>
        </w:rPr>
      </w:pPr>
    </w:p>
    <w:tbl>
      <w:tblPr>
        <w:tblStyle w:val="29"/>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序号</w:t>
            </w: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招标文件评分标准</w:t>
            </w: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投标响应部分</w:t>
            </w: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p>
        </w:tc>
      </w:tr>
    </w:tbl>
    <w:p>
      <w:pPr>
        <w:spacing w:line="360" w:lineRule="auto"/>
        <w:rPr>
          <w:rFonts w:ascii="宋体" w:cs="宋体"/>
          <w:color w:val="auto"/>
          <w:highlight w:val="none"/>
          <w:lang w:val="zh-CN"/>
        </w:rPr>
      </w:pPr>
    </w:p>
    <w:p>
      <w:pPr>
        <w:autoSpaceDE w:val="0"/>
        <w:autoSpaceDN w:val="0"/>
        <w:spacing w:line="360" w:lineRule="auto"/>
        <w:rPr>
          <w:rFonts w:ascii="宋体" w:cs="宋体"/>
          <w:color w:val="auto"/>
          <w:sz w:val="30"/>
          <w:szCs w:val="30"/>
          <w:highlight w:val="none"/>
        </w:rPr>
        <w:sectPr>
          <w:pgSz w:w="11849" w:h="16781"/>
          <w:pgMar w:top="1440" w:right="1803" w:bottom="1440" w:left="1803" w:header="850" w:footer="992" w:gutter="0"/>
          <w:cols w:space="0" w:num="1"/>
          <w:docGrid w:linePitch="397" w:charSpace="0"/>
        </w:sectPr>
      </w:pPr>
    </w:p>
    <w:p>
      <w:pPr>
        <w:pStyle w:val="28"/>
        <w:numPr>
          <w:ilvl w:val="0"/>
          <w:numId w:val="12"/>
        </w:numPr>
        <w:spacing w:before="0" w:after="0" w:line="360" w:lineRule="auto"/>
        <w:jc w:val="left"/>
        <w:outlineLvl w:val="1"/>
        <w:rPr>
          <w:rFonts w:ascii="宋体" w:cs="宋体"/>
          <w:color w:val="auto"/>
          <w:sz w:val="30"/>
          <w:szCs w:val="30"/>
          <w:highlight w:val="none"/>
          <w:lang w:val="zh-CN"/>
        </w:rPr>
      </w:pPr>
      <w:bookmarkStart w:id="146" w:name="_Toc26451"/>
      <w:bookmarkStart w:id="147" w:name="_Toc18086"/>
      <w:bookmarkStart w:id="148" w:name="_Toc28963"/>
      <w:r>
        <w:rPr>
          <w:rFonts w:hint="eastAsia" w:ascii="宋体" w:hAnsi="宋体" w:cs="宋体"/>
          <w:color w:val="auto"/>
          <w:sz w:val="30"/>
          <w:szCs w:val="30"/>
          <w:highlight w:val="none"/>
          <w:lang w:val="zh-CN"/>
        </w:rPr>
        <w:t>开标一览表（报价表）</w:t>
      </w:r>
      <w:bookmarkEnd w:id="146"/>
      <w:bookmarkEnd w:id="147"/>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开标一览表（报价表）</w:t>
      </w:r>
    </w:p>
    <w:p>
      <w:pPr>
        <w:autoSpaceDE w:val="0"/>
        <w:autoSpaceDN w:val="0"/>
        <w:spacing w:line="360" w:lineRule="auto"/>
        <w:rPr>
          <w:rFonts w:ascii="宋体" w:cs="宋体"/>
          <w:b/>
          <w:bCs/>
          <w:color w:val="auto"/>
          <w:kern w:val="0"/>
          <w:sz w:val="28"/>
          <w:szCs w:val="28"/>
          <w:highlight w:val="none"/>
          <w:lang w:val="zh-CN"/>
        </w:rPr>
      </w:pPr>
    </w:p>
    <w:tbl>
      <w:tblPr>
        <w:tblStyle w:val="29"/>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投标人名称</w:t>
            </w:r>
          </w:p>
        </w:tc>
        <w:tc>
          <w:tcPr>
            <w:tcW w:w="598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lang w:val="zh-CN"/>
              </w:rPr>
              <w:t>投标包号</w:t>
            </w:r>
          </w:p>
        </w:tc>
        <w:tc>
          <w:tcPr>
            <w:tcW w:w="598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asci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投标报价</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大写：</w:t>
            </w:r>
          </w:p>
          <w:p>
            <w:pPr>
              <w:pStyle w:val="13"/>
              <w:spacing w:line="360" w:lineRule="auto"/>
              <w:ind w:firstLine="0"/>
              <w:rPr>
                <w:rFonts w:ascii="宋体" w:cs="宋体"/>
                <w:color w:val="auto"/>
                <w:szCs w:val="24"/>
                <w:highlight w:val="none"/>
              </w:rPr>
            </w:pPr>
            <w:r>
              <w:rPr>
                <w:rFonts w:hint="eastAsia" w:ascii="宋体" w:hAnsi="宋体" w:cs="宋体"/>
                <w:color w:val="auto"/>
                <w:kern w:val="0"/>
                <w:szCs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ascii="宋体" w:cs="宋体"/>
                <w:color w:val="auto"/>
                <w:szCs w:val="24"/>
                <w:highlight w:val="none"/>
              </w:rPr>
            </w:pPr>
            <w:r>
              <w:rPr>
                <w:rFonts w:hint="eastAsia" w:ascii="宋体" w:hAnsi="宋体" w:cs="宋体"/>
                <w:color w:val="auto"/>
                <w:szCs w:val="24"/>
                <w:highlight w:val="none"/>
              </w:rPr>
              <w:t>服务（交货）时间</w:t>
            </w:r>
          </w:p>
        </w:tc>
        <w:tc>
          <w:tcPr>
            <w:tcW w:w="598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ascii="宋体" w:cs="宋体"/>
                <w:color w:val="auto"/>
                <w:szCs w:val="24"/>
                <w:highlight w:val="none"/>
              </w:rPr>
            </w:pPr>
          </w:p>
        </w:tc>
      </w:tr>
    </w:tbl>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注：</w:t>
      </w:r>
      <w:r>
        <w:rPr>
          <w:rFonts w:ascii="宋体" w:hAnsi="宋体" w:cs="宋体"/>
          <w:color w:val="auto"/>
          <w:kern w:val="0"/>
          <w:highlight w:val="none"/>
          <w:lang w:val="zh-CN"/>
        </w:rPr>
        <w:t>1.</w:t>
      </w:r>
      <w:r>
        <w:rPr>
          <w:rFonts w:hint="eastAsia" w:ascii="宋体" w:hAnsi="宋体" w:cs="宋体"/>
          <w:color w:val="auto"/>
          <w:kern w:val="0"/>
          <w:highlight w:val="none"/>
          <w:lang w:val="zh-CN"/>
        </w:rPr>
        <w:t>填写此表时不得改变表格形式。</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投标报价必须包括产品费、验收费、手续费、包装费、运输费、运营维护费、保险费、安装费、调试费、培训费、售前、售中、售后服务费、招标代理费、税金及不可预见费等全部费用。</w:t>
      </w:r>
    </w:p>
    <w:p>
      <w:pPr>
        <w:autoSpaceDE w:val="0"/>
        <w:autoSpaceDN w:val="0"/>
        <w:adjustRightInd w:val="0"/>
        <w:spacing w:line="400" w:lineRule="exact"/>
        <w:ind w:firstLine="480"/>
        <w:rPr>
          <w:rFonts w:ascii="宋体" w:cs="宋体"/>
          <w:color w:val="auto"/>
          <w:kern w:val="0"/>
          <w:highlight w:val="none"/>
        </w:rPr>
      </w:pPr>
      <w:r>
        <w:rPr>
          <w:rFonts w:ascii="宋体" w:hAnsi="宋体" w:cs="宋体"/>
          <w:color w:val="auto"/>
          <w:kern w:val="0"/>
          <w:highlight w:val="none"/>
          <w:lang w:val="zh-CN"/>
        </w:rPr>
        <w:t>3.</w:t>
      </w:r>
      <w:r>
        <w:rPr>
          <w:rFonts w:hint="eastAsia" w:ascii="宋体" w:hAnsi="宋体" w:cs="宋体"/>
          <w:color w:val="auto"/>
          <w:kern w:val="0"/>
          <w:highlight w:val="none"/>
          <w:lang w:val="zh-CN"/>
        </w:rPr>
        <w:t>“</w:t>
      </w:r>
      <w:r>
        <w:rPr>
          <w:rFonts w:hint="eastAsia" w:ascii="宋体" w:hAnsi="宋体" w:cs="宋体"/>
          <w:color w:val="auto"/>
          <w:highlight w:val="none"/>
        </w:rPr>
        <w:t>服务（交货）</w:t>
      </w:r>
      <w:r>
        <w:rPr>
          <w:rFonts w:hint="eastAsia" w:ascii="宋体" w:hAnsi="宋体" w:cs="宋体"/>
          <w:color w:val="auto"/>
          <w:kern w:val="0"/>
          <w:highlight w:val="none"/>
          <w:lang w:val="zh-CN"/>
        </w:rPr>
        <w:t>时间”是指产品能够交付使用的具体时间</w:t>
      </w:r>
      <w:r>
        <w:rPr>
          <w:rFonts w:ascii="宋体" w:hAnsi="宋体" w:cs="宋体"/>
          <w:color w:val="auto"/>
          <w:kern w:val="0"/>
          <w:highlight w:val="none"/>
          <w:lang w:val="zh-CN"/>
        </w:rPr>
        <w:t>(</w:t>
      </w:r>
      <w:r>
        <w:rPr>
          <w:rFonts w:hint="eastAsia" w:ascii="宋体" w:hAnsi="宋体" w:cs="宋体"/>
          <w:color w:val="auto"/>
          <w:kern w:val="0"/>
          <w:highlight w:val="none"/>
          <w:lang w:val="zh-CN"/>
        </w:rPr>
        <w:t>若投标文件中</w:t>
      </w:r>
      <w:r>
        <w:rPr>
          <w:rFonts w:hint="eastAsia" w:ascii="宋体" w:hAnsi="宋体" w:cs="宋体"/>
          <w:color w:val="auto"/>
          <w:kern w:val="0"/>
          <w:highlight w:val="none"/>
        </w:rPr>
        <w:t>到货及安装</w:t>
      </w:r>
      <w:r>
        <w:rPr>
          <w:rFonts w:hint="eastAsia" w:ascii="宋体" w:hAnsi="宋体" w:cs="宋体"/>
          <w:color w:val="auto"/>
          <w:kern w:val="0"/>
          <w:highlight w:val="none"/>
          <w:lang w:val="zh-CN"/>
        </w:rPr>
        <w:t>后未标明“天”或“工作日”，视为工作日</w:t>
      </w:r>
      <w:r>
        <w:rPr>
          <w:rFonts w:ascii="宋体" w:hAnsi="宋体" w:cs="宋体"/>
          <w:color w:val="auto"/>
          <w:kern w:val="0"/>
          <w:highlight w:val="none"/>
          <w:lang w:val="zh-CN"/>
        </w:rPr>
        <w:t>)</w:t>
      </w:r>
      <w:r>
        <w:rPr>
          <w:rFonts w:hint="eastAsia" w:ascii="宋体" w:hAnsi="宋体" w:cs="宋体"/>
          <w:color w:val="auto"/>
          <w:kern w:val="0"/>
          <w:highlight w:val="none"/>
          <w:lang w:val="zh-CN"/>
        </w:rPr>
        <w:t>。</w:t>
      </w:r>
    </w:p>
    <w:p>
      <w:pPr>
        <w:autoSpaceDE w:val="0"/>
        <w:autoSpaceDN w:val="0"/>
        <w:spacing w:line="360" w:lineRule="auto"/>
        <w:ind w:firstLine="480"/>
        <w:rPr>
          <w:rFonts w:ascii="宋体" w:cs="宋体"/>
          <w:color w:val="auto"/>
          <w:kern w:val="0"/>
          <w:highlight w:val="none"/>
          <w:lang w:val="zh-CN"/>
        </w:rPr>
      </w:pPr>
      <w:r>
        <w:rPr>
          <w:rFonts w:ascii="宋体" w:hAnsi="宋体" w:cs="宋体"/>
          <w:color w:val="auto"/>
          <w:kern w:val="0"/>
          <w:highlight w:val="none"/>
          <w:lang w:val="zh-CN"/>
        </w:rPr>
        <w:t>4.</w:t>
      </w:r>
      <w:r>
        <w:rPr>
          <w:rFonts w:hint="eastAsia" w:ascii="宋体" w:hAnsi="宋体" w:cs="宋体"/>
          <w:color w:val="auto"/>
          <w:kern w:val="0"/>
          <w:highlight w:val="none"/>
          <w:lang w:val="zh-CN"/>
        </w:rPr>
        <w:t>投标报价不能有两个或两个以上的报价方案，</w:t>
      </w:r>
      <w:r>
        <w:rPr>
          <w:rFonts w:hint="eastAsia" w:ascii="宋体" w:hAnsi="宋体" w:cs="宋体"/>
          <w:color w:val="auto"/>
          <w:kern w:val="0"/>
          <w:highlight w:val="none"/>
        </w:rPr>
        <w:t>否则投标无效</w:t>
      </w:r>
      <w:r>
        <w:rPr>
          <w:rFonts w:hint="eastAsia" w:ascii="宋体" w:hAnsi="宋体" w:cs="宋体"/>
          <w:color w:val="auto"/>
          <w:kern w:val="0"/>
          <w:highlight w:val="none"/>
          <w:lang w:val="zh-CN"/>
        </w:rPr>
        <w:t>。</w:t>
      </w:r>
    </w:p>
    <w:p>
      <w:pPr>
        <w:autoSpaceDE w:val="0"/>
        <w:autoSpaceDN w:val="0"/>
        <w:spacing w:line="360" w:lineRule="auto"/>
        <w:ind w:firstLine="480"/>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autoSpaceDE w:val="0"/>
        <w:autoSpaceDN w:val="0"/>
        <w:spacing w:line="360" w:lineRule="auto"/>
        <w:rPr>
          <w:rFonts w:ascii="宋体" w:cs="宋体"/>
          <w:color w:val="auto"/>
          <w:kern w:val="0"/>
          <w:highlight w:val="none"/>
          <w:lang w:val="zh-CN"/>
        </w:rPr>
      </w:pPr>
    </w:p>
    <w:p>
      <w:pPr>
        <w:pStyle w:val="28"/>
        <w:spacing w:before="0" w:after="0" w:line="360" w:lineRule="auto"/>
        <w:jc w:val="left"/>
        <w:outlineLvl w:val="1"/>
        <w:rPr>
          <w:rFonts w:ascii="宋体" w:cs="宋体"/>
          <w:color w:val="auto"/>
          <w:highlight w:val="none"/>
        </w:rPr>
      </w:pPr>
      <w:r>
        <w:rPr>
          <w:rFonts w:ascii="宋体" w:cs="宋体"/>
          <w:color w:val="auto"/>
          <w:sz w:val="30"/>
          <w:szCs w:val="30"/>
          <w:highlight w:val="none"/>
          <w:lang w:val="zh-CN"/>
        </w:rPr>
        <w:br w:type="page"/>
      </w:r>
      <w:bookmarkStart w:id="149" w:name="_Toc25886"/>
      <w:r>
        <w:rPr>
          <w:rFonts w:hint="eastAsia" w:ascii="宋体" w:hAnsi="宋体" w:cs="宋体"/>
          <w:color w:val="auto"/>
          <w:sz w:val="30"/>
          <w:szCs w:val="30"/>
          <w:highlight w:val="none"/>
          <w:lang w:val="zh-CN"/>
        </w:rPr>
        <w:t>（</w:t>
      </w:r>
      <w:r>
        <w:rPr>
          <w:rFonts w:ascii="宋体" w:hAnsi="宋体" w:cs="宋体"/>
          <w:color w:val="auto"/>
          <w:sz w:val="30"/>
          <w:szCs w:val="30"/>
          <w:highlight w:val="none"/>
          <w:lang w:val="zh-CN"/>
        </w:rPr>
        <w:t>1</w:t>
      </w:r>
      <w:r>
        <w:rPr>
          <w:rFonts w:ascii="宋体" w:hAnsi="宋体" w:cs="宋体"/>
          <w:color w:val="auto"/>
          <w:sz w:val="30"/>
          <w:szCs w:val="30"/>
          <w:highlight w:val="none"/>
        </w:rPr>
        <w:t>4</w:t>
      </w:r>
      <w:r>
        <w:rPr>
          <w:rFonts w:hint="eastAsia" w:ascii="宋体" w:hAnsi="宋体" w:cs="宋体"/>
          <w:color w:val="auto"/>
          <w:sz w:val="30"/>
          <w:szCs w:val="30"/>
          <w:highlight w:val="none"/>
          <w:lang w:val="zh-CN"/>
        </w:rPr>
        <w:t>）分项报价表</w:t>
      </w:r>
      <w:bookmarkEnd w:id="148"/>
      <w:bookmarkEnd w:id="149"/>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分项报价表</w:t>
      </w:r>
    </w:p>
    <w:p>
      <w:pPr>
        <w:autoSpaceDE w:val="0"/>
        <w:autoSpaceDN w:val="0"/>
        <w:spacing w:line="360" w:lineRule="auto"/>
        <w:rPr>
          <w:rFonts w:ascii="宋体" w:cs="宋体"/>
          <w:b/>
          <w:bCs/>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投标人名称</w:t>
      </w:r>
      <w:r>
        <w:rPr>
          <w:rFonts w:hint="eastAsia" w:ascii="宋体" w:hAnsi="宋体" w:cs="宋体"/>
          <w:b/>
          <w:bCs/>
          <w:color w:val="auto"/>
          <w:kern w:val="0"/>
          <w:highlight w:val="none"/>
        </w:rPr>
        <w:t>：</w:t>
      </w:r>
      <w:r>
        <w:rPr>
          <w:rFonts w:ascii="宋体" w:hAnsi="宋体" w:cs="宋体"/>
          <w:b/>
          <w:bCs/>
          <w:color w:val="auto"/>
          <w:kern w:val="0"/>
          <w:highlight w:val="none"/>
        </w:rPr>
        <w:t xml:space="preserve">                                              </w:t>
      </w:r>
      <w:r>
        <w:rPr>
          <w:rFonts w:hint="eastAsia" w:ascii="宋体" w:hAnsi="宋体" w:cs="宋体"/>
          <w:b/>
          <w:bCs/>
          <w:color w:val="auto"/>
          <w:kern w:val="0"/>
          <w:highlight w:val="none"/>
          <w:lang w:val="zh-CN"/>
        </w:rPr>
        <w:t>包号：</w:t>
      </w:r>
    </w:p>
    <w:tbl>
      <w:tblPr>
        <w:tblStyle w:val="29"/>
        <w:tblW w:w="9000" w:type="dxa"/>
        <w:jc w:val="center"/>
        <w:tblInd w:w="0" w:type="dxa"/>
        <w:tblLayout w:type="fixed"/>
        <w:tblCellMar>
          <w:top w:w="0" w:type="dxa"/>
          <w:left w:w="28" w:type="dxa"/>
          <w:bottom w:w="0" w:type="dxa"/>
          <w:right w:w="28" w:type="dxa"/>
        </w:tblCellMar>
      </w:tblPr>
      <w:tblGrid>
        <w:gridCol w:w="725"/>
        <w:gridCol w:w="1147"/>
        <w:gridCol w:w="802"/>
        <w:gridCol w:w="577"/>
        <w:gridCol w:w="592"/>
        <w:gridCol w:w="1151"/>
        <w:gridCol w:w="1599"/>
        <w:gridCol w:w="996"/>
        <w:gridCol w:w="1411"/>
      </w:tblGrid>
      <w:tr>
        <w:tblPrEx>
          <w:tblLayout w:type="fixed"/>
          <w:tblCellMar>
            <w:top w:w="0" w:type="dxa"/>
            <w:left w:w="28" w:type="dxa"/>
            <w:bottom w:w="0" w:type="dxa"/>
            <w:right w:w="28" w:type="dxa"/>
          </w:tblCellMar>
        </w:tblPrEx>
        <w:trPr>
          <w:trHeight w:val="998" w:hRule="atLeast"/>
          <w:jc w:val="center"/>
        </w:trPr>
        <w:tc>
          <w:tcPr>
            <w:tcW w:w="72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序号</w:t>
            </w:r>
          </w:p>
        </w:tc>
        <w:tc>
          <w:tcPr>
            <w:tcW w:w="1147" w:type="dxa"/>
            <w:tcBorders>
              <w:top w:val="single" w:color="000000" w:sz="8"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产品名称</w:t>
            </w:r>
          </w:p>
        </w:tc>
        <w:tc>
          <w:tcPr>
            <w:tcW w:w="80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品牌</w:t>
            </w:r>
          </w:p>
        </w:tc>
        <w:tc>
          <w:tcPr>
            <w:tcW w:w="1169"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规格型号</w:t>
            </w:r>
          </w:p>
        </w:tc>
        <w:tc>
          <w:tcPr>
            <w:tcW w:w="115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生产厂家</w:t>
            </w:r>
          </w:p>
        </w:tc>
        <w:tc>
          <w:tcPr>
            <w:tcW w:w="159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数量及单位</w:t>
            </w:r>
          </w:p>
        </w:tc>
        <w:tc>
          <w:tcPr>
            <w:tcW w:w="99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单价</w:t>
            </w:r>
          </w:p>
        </w:tc>
        <w:tc>
          <w:tcPr>
            <w:tcW w:w="141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合计</w:t>
            </w:r>
          </w:p>
        </w:tc>
      </w:tr>
      <w:tr>
        <w:tblPrEx>
          <w:tblLayout w:type="fixed"/>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ascii="宋体" w:hAnsi="宋体" w:cs="宋体"/>
                <w:color w:val="auto"/>
                <w:kern w:val="0"/>
                <w:highlight w:val="none"/>
                <w:lang w:val="zh-CN"/>
              </w:rPr>
              <w:t>1</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ascii="宋体" w:hAnsi="宋体" w:cs="宋体"/>
                <w:color w:val="auto"/>
                <w:kern w:val="0"/>
                <w:highlight w:val="none"/>
                <w:lang w:val="zh-CN"/>
              </w:rPr>
              <w:t>2</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ascii="宋体" w:hAnsi="宋体" w:cs="宋体"/>
                <w:color w:val="auto"/>
                <w:kern w:val="0"/>
                <w:highlight w:val="none"/>
                <w:lang w:val="zh-CN"/>
              </w:rPr>
              <w:t>3</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ascii="宋体" w:hAnsi="宋体" w:cs="宋体"/>
                <w:color w:val="auto"/>
                <w:kern w:val="0"/>
                <w:highlight w:val="none"/>
                <w:lang w:val="zh-CN"/>
              </w:rPr>
              <w:t>4</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1014" w:hRule="atLeast"/>
          <w:jc w:val="center"/>
        </w:trPr>
        <w:tc>
          <w:tcPr>
            <w:tcW w:w="3251" w:type="dxa"/>
            <w:gridSpan w:val="4"/>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投标总价</w:t>
            </w:r>
          </w:p>
        </w:tc>
        <w:tc>
          <w:tcPr>
            <w:tcW w:w="5749"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大写：</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小写：</w:t>
            </w:r>
          </w:p>
        </w:tc>
      </w:tr>
    </w:tbl>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本表应依照每包采购一览表中的产品序号按顺序逐项填写，不得遗漏。</w:t>
      </w:r>
    </w:p>
    <w:p>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jc w:val="center"/>
        <w:rPr>
          <w:rFonts w:asci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rPr>
          <w:rFonts w:ascii="宋体" w:cs="宋体"/>
          <w:b/>
          <w:bCs/>
          <w:color w:val="auto"/>
          <w:kern w:val="0"/>
          <w:highlight w:val="none"/>
          <w:lang w:val="zh-CN"/>
        </w:rPr>
      </w:pPr>
    </w:p>
    <w:p>
      <w:pPr>
        <w:pStyle w:val="28"/>
        <w:spacing w:before="0" w:after="0" w:line="360" w:lineRule="auto"/>
        <w:jc w:val="both"/>
        <w:outlineLvl w:val="1"/>
        <w:rPr>
          <w:rFonts w:ascii="宋体" w:cs="宋体"/>
          <w:color w:val="auto"/>
          <w:kern w:val="0"/>
          <w:sz w:val="28"/>
          <w:szCs w:val="28"/>
          <w:highlight w:val="none"/>
          <w:lang w:val="zh-CN"/>
        </w:rPr>
      </w:pPr>
      <w:r>
        <w:rPr>
          <w:rFonts w:ascii="宋体" w:cs="宋体"/>
          <w:color w:val="auto"/>
          <w:sz w:val="30"/>
          <w:szCs w:val="30"/>
          <w:highlight w:val="none"/>
          <w:lang w:val="zh-CN"/>
        </w:rPr>
        <w:br w:type="page"/>
      </w:r>
      <w:bookmarkStart w:id="150" w:name="_Toc9741"/>
      <w:r>
        <w:rPr>
          <w:rFonts w:hint="eastAsia" w:ascii="宋体" w:hAnsi="宋体" w:cs="宋体"/>
          <w:color w:val="auto"/>
          <w:sz w:val="30"/>
          <w:szCs w:val="30"/>
          <w:highlight w:val="none"/>
        </w:rPr>
        <w:t>（</w:t>
      </w:r>
      <w:r>
        <w:rPr>
          <w:rFonts w:ascii="宋体" w:hAnsi="宋体" w:cs="宋体"/>
          <w:color w:val="auto"/>
          <w:sz w:val="30"/>
          <w:szCs w:val="30"/>
          <w:highlight w:val="none"/>
        </w:rPr>
        <w:t>15</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技术规格响应表</w:t>
      </w:r>
      <w:bookmarkEnd w:id="150"/>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技术规格响应表</w:t>
      </w:r>
    </w:p>
    <w:p>
      <w:pPr>
        <w:autoSpaceDE w:val="0"/>
        <w:autoSpaceDN w:val="0"/>
        <w:spacing w:line="360" w:lineRule="auto"/>
        <w:rPr>
          <w:rFonts w:ascii="宋体" w:cs="宋体"/>
          <w:b/>
          <w:bCs/>
          <w:color w:val="auto"/>
          <w:kern w:val="0"/>
          <w:highlight w:val="none"/>
          <w:lang w:val="zh-CN"/>
        </w:rPr>
      </w:pPr>
      <w:r>
        <w:rPr>
          <w:rFonts w:hint="eastAsia" w:ascii="宋体" w:hAnsi="宋体" w:cs="宋体"/>
          <w:b/>
          <w:bCs/>
          <w:color w:val="auto"/>
          <w:kern w:val="0"/>
          <w:highlight w:val="none"/>
          <w:lang w:val="zh-CN"/>
        </w:rPr>
        <w:t>投标人名称</w:t>
      </w:r>
      <w:r>
        <w:rPr>
          <w:rFonts w:hint="eastAsia" w:ascii="宋体" w:hAnsi="宋体" w:cs="宋体"/>
          <w:b/>
          <w:bCs/>
          <w:color w:val="auto"/>
          <w:kern w:val="0"/>
          <w:highlight w:val="none"/>
        </w:rPr>
        <w:t>：</w:t>
      </w:r>
      <w:r>
        <w:rPr>
          <w:rFonts w:ascii="宋体" w:hAnsi="宋体" w:cs="宋体"/>
          <w:b/>
          <w:bCs/>
          <w:color w:val="auto"/>
          <w:kern w:val="0"/>
          <w:highlight w:val="none"/>
        </w:rPr>
        <w:t xml:space="preserve">                                              </w:t>
      </w:r>
      <w:r>
        <w:rPr>
          <w:rFonts w:hint="eastAsia" w:ascii="宋体" w:hAnsi="宋体" w:cs="宋体"/>
          <w:b/>
          <w:bCs/>
          <w:color w:val="auto"/>
          <w:kern w:val="0"/>
          <w:highlight w:val="none"/>
          <w:lang w:val="zh-CN"/>
        </w:rPr>
        <w:t>包号：</w:t>
      </w:r>
    </w:p>
    <w:tbl>
      <w:tblPr>
        <w:tblStyle w:val="29"/>
        <w:tblW w:w="8617" w:type="dxa"/>
        <w:jc w:val="center"/>
        <w:tblInd w:w="0" w:type="dxa"/>
        <w:tblLayout w:type="fixed"/>
        <w:tblCellMar>
          <w:top w:w="0" w:type="dxa"/>
          <w:left w:w="28" w:type="dxa"/>
          <w:bottom w:w="0" w:type="dxa"/>
          <w:right w:w="28" w:type="dxa"/>
        </w:tblCellMar>
      </w:tblPr>
      <w:tblGrid>
        <w:gridCol w:w="616"/>
        <w:gridCol w:w="798"/>
        <w:gridCol w:w="2025"/>
        <w:gridCol w:w="930"/>
        <w:gridCol w:w="900"/>
        <w:gridCol w:w="1950"/>
        <w:gridCol w:w="722"/>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3753"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采购需求技术参数、指标</w:t>
            </w:r>
          </w:p>
        </w:tc>
        <w:tc>
          <w:tcPr>
            <w:tcW w:w="3572"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序号</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名称</w:t>
            </w: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技术参数及配置</w:t>
            </w: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数量</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名称</w:t>
            </w: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技术参数及配置</w:t>
            </w: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数量</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ascii="宋体" w:hAnsi="宋体" w:cs="宋体"/>
                <w:color w:val="auto"/>
                <w:kern w:val="0"/>
                <w:highlight w:val="none"/>
                <w:lang w:val="zh-CN"/>
              </w:rPr>
              <w:t>1</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ascii="宋体" w:hAnsi="宋体" w:cs="宋体"/>
                <w:color w:val="auto"/>
                <w:kern w:val="0"/>
                <w:highlight w:val="none"/>
                <w:lang w:val="zh-CN"/>
              </w:rPr>
              <w:t>2</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r>
              <w:rPr>
                <w:rFonts w:hint="eastAsia" w:ascii="宋体" w:hAnsi="宋体" w:cs="宋体"/>
                <w:color w:val="auto"/>
                <w:kern w:val="0"/>
                <w:highlight w:val="none"/>
                <w:lang w:val="zh-CN"/>
              </w:rPr>
              <w:t>…</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lang w:val="zh-CN"/>
              </w:rPr>
            </w:pPr>
          </w:p>
        </w:tc>
      </w:tr>
    </w:tbl>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lang w:val="zh-CN"/>
        </w:rPr>
        <w:t>1.</w:t>
      </w:r>
      <w:r>
        <w:rPr>
          <w:rFonts w:hint="eastAsia" w:ascii="宋体" w:hAnsi="宋体" w:cs="宋体"/>
          <w:color w:val="auto"/>
          <w:kern w:val="0"/>
          <w:highlight w:val="none"/>
          <w:lang w:val="zh-CN"/>
        </w:rPr>
        <w:t>本表应按照每包“项目概况及技术参数”中产品序号的指标逐项填写，不得遗漏。</w:t>
      </w:r>
    </w:p>
    <w:p>
      <w:pPr>
        <w:numPr>
          <w:ilvl w:val="0"/>
          <w:numId w:val="13"/>
        </w:num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3"/>
        </w:num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填写此表时以招标项目参数要求为基本投标要求，满足招标项目参数要求的指标需列出“</w:t>
      </w:r>
      <w:r>
        <w:rPr>
          <w:rFonts w:ascii="宋体" w:cs="宋体"/>
          <w:color w:val="auto"/>
          <w:kern w:val="0"/>
          <w:highlight w:val="none"/>
        </w:rPr>
        <w:t>0</w:t>
      </w:r>
      <w:r>
        <w:rPr>
          <w:rFonts w:hint="eastAsia" w:ascii="宋体" w:hAnsi="宋体" w:cs="宋体"/>
          <w:color w:val="auto"/>
          <w:kern w:val="0"/>
          <w:highlight w:val="none"/>
          <w:lang w:val="zh-CN"/>
        </w:rPr>
        <w:t>”；超出、不满足招标项目参数要求的指标需列出“</w:t>
      </w:r>
      <w:r>
        <w:rPr>
          <w:rFonts w:ascii="宋体" w:hAnsi="宋体" w:cs="宋体"/>
          <w:color w:val="auto"/>
          <w:kern w:val="0"/>
          <w:highlight w:val="none"/>
          <w:lang w:val="zh-CN"/>
        </w:rPr>
        <w:t>+</w:t>
      </w:r>
      <w:r>
        <w:rPr>
          <w:rFonts w:hint="eastAsia" w:ascii="宋体" w:hAnsi="宋体" w:cs="宋体"/>
          <w:color w:val="auto"/>
          <w:kern w:val="0"/>
          <w:highlight w:val="none"/>
          <w:lang w:val="zh-CN"/>
        </w:rPr>
        <w:t>”、“</w:t>
      </w:r>
      <w:r>
        <w:rPr>
          <w:rFonts w:ascii="宋体" w:cs="宋体"/>
          <w:color w:val="auto"/>
          <w:kern w:val="0"/>
          <w:highlight w:val="none"/>
          <w:lang w:val="zh-CN"/>
        </w:rPr>
        <w:t>-</w:t>
      </w:r>
      <w:r>
        <w:rPr>
          <w:rFonts w:hint="eastAsia" w:ascii="宋体" w:hAnsi="宋体" w:cs="宋体"/>
          <w:color w:val="auto"/>
          <w:kern w:val="0"/>
          <w:highlight w:val="none"/>
          <w:lang w:val="zh-CN"/>
        </w:rPr>
        <w:t>”偏差，并做出详细说明；如果只注明“</w:t>
      </w:r>
      <w:r>
        <w:rPr>
          <w:rFonts w:ascii="宋体" w:hAnsi="宋体" w:cs="宋体"/>
          <w:color w:val="auto"/>
          <w:kern w:val="0"/>
          <w:highlight w:val="none"/>
          <w:lang w:val="zh-CN"/>
        </w:rPr>
        <w:t>+</w:t>
      </w:r>
      <w:r>
        <w:rPr>
          <w:rFonts w:hint="eastAsia" w:ascii="宋体" w:hAnsi="宋体" w:cs="宋体"/>
          <w:color w:val="auto"/>
          <w:kern w:val="0"/>
          <w:highlight w:val="none"/>
          <w:lang w:val="zh-CN"/>
        </w:rPr>
        <w:t>”、“</w:t>
      </w:r>
      <w:r>
        <w:rPr>
          <w:rFonts w:ascii="宋体" w:cs="宋体"/>
          <w:color w:val="auto"/>
          <w:kern w:val="0"/>
          <w:highlight w:val="none"/>
          <w:lang w:val="zh-CN"/>
        </w:rPr>
        <w:t>-</w:t>
      </w:r>
      <w:r>
        <w:rPr>
          <w:rFonts w:hint="eastAsia" w:ascii="宋体" w:hAnsi="宋体" w:cs="宋体"/>
          <w:color w:val="auto"/>
          <w:kern w:val="0"/>
          <w:highlight w:val="none"/>
          <w:lang w:val="zh-CN"/>
        </w:rPr>
        <w:t>”或未填写，将视为该项指标不响应。</w:t>
      </w:r>
    </w:p>
    <w:p>
      <w:pPr>
        <w:numPr>
          <w:ilvl w:val="0"/>
          <w:numId w:val="13"/>
        </w:num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投标人响应采购需求应具体、明确，含糊不清、不确切或伪造、编造证明材料的，按照实质性不响应处理。对伪造、编造证明材料的，将报送采购监管部门查处。</w:t>
      </w:r>
    </w:p>
    <w:p>
      <w:pPr>
        <w:numPr>
          <w:ilvl w:val="0"/>
          <w:numId w:val="13"/>
        </w:num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投标人应按投标产品实际情况填写，不得照抄、复制招标文件技术参数要求，否则按无效投标处理。</w:t>
      </w:r>
    </w:p>
    <w:p>
      <w:pPr>
        <w:autoSpaceDE w:val="0"/>
        <w:autoSpaceDN w:val="0"/>
        <w:spacing w:line="360" w:lineRule="auto"/>
        <w:ind w:firstLine="480"/>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投标人：</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ind w:firstLine="3253"/>
        <w:rPr>
          <w:rFonts w:asci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highlight w:val="none"/>
        </w:rPr>
      </w:pPr>
      <w:r>
        <w:rPr>
          <w:rFonts w:ascii="宋体" w:cs="宋体"/>
          <w:color w:val="auto"/>
          <w:kern w:val="0"/>
          <w:sz w:val="24"/>
          <w:szCs w:val="24"/>
          <w:highlight w:val="none"/>
          <w:lang w:val="zh-CN"/>
        </w:rPr>
        <w:br w:type="page"/>
      </w:r>
      <w:bookmarkStart w:id="151" w:name="_Toc12839"/>
      <w:bookmarkStart w:id="152" w:name="_Toc14290"/>
      <w:r>
        <w:rPr>
          <w:rFonts w:hint="eastAsia" w:ascii="宋体" w:hAnsi="宋体" w:cs="宋体"/>
          <w:color w:val="auto"/>
          <w:sz w:val="30"/>
          <w:szCs w:val="30"/>
          <w:highlight w:val="none"/>
        </w:rPr>
        <w:t>（</w:t>
      </w:r>
      <w:r>
        <w:rPr>
          <w:rFonts w:ascii="宋体" w:hAnsi="宋体" w:cs="宋体"/>
          <w:color w:val="auto"/>
          <w:sz w:val="30"/>
          <w:szCs w:val="30"/>
          <w:highlight w:val="none"/>
        </w:rPr>
        <w:t>16</w:t>
      </w:r>
      <w:r>
        <w:rPr>
          <w:rFonts w:hint="eastAsia" w:ascii="宋体" w:hAnsi="宋体" w:cs="宋体"/>
          <w:color w:val="auto"/>
          <w:sz w:val="30"/>
          <w:szCs w:val="30"/>
          <w:highlight w:val="none"/>
        </w:rPr>
        <w:t>）投标产品</w:t>
      </w:r>
      <w:r>
        <w:rPr>
          <w:rFonts w:hint="eastAsia" w:ascii="宋体" w:hAnsi="宋体" w:cs="宋体"/>
          <w:color w:val="auto"/>
          <w:sz w:val="32"/>
          <w:highlight w:val="none"/>
          <w:lang w:val="zh-CN"/>
        </w:rPr>
        <w:t>按时供货保证书</w:t>
      </w:r>
      <w:bookmarkEnd w:id="151"/>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生产厂商出具的针对此次项目按时供货保证书</w:t>
      </w:r>
    </w:p>
    <w:p>
      <w:pPr>
        <w:autoSpaceDE w:val="0"/>
        <w:autoSpaceDN w:val="0"/>
        <w:spacing w:line="360" w:lineRule="auto"/>
        <w:jc w:val="center"/>
        <w:rPr>
          <w:rFonts w:ascii="宋体" w:cs="宋体"/>
          <w:color w:val="auto"/>
          <w:highlight w:val="none"/>
          <w:lang w:val="zh-CN"/>
        </w:rPr>
      </w:pPr>
    </w:p>
    <w:p>
      <w:pPr>
        <w:autoSpaceDE w:val="0"/>
        <w:autoSpaceDN w:val="0"/>
        <w:spacing w:line="360" w:lineRule="auto"/>
        <w:ind w:firstLine="3080" w:firstLineChars="1100"/>
        <w:rPr>
          <w:rFonts w:ascii="宋体" w:cs="宋体"/>
          <w:color w:val="auto"/>
          <w:sz w:val="28"/>
          <w:szCs w:val="36"/>
          <w:highlight w:val="none"/>
          <w:lang w:val="zh-CN"/>
        </w:rPr>
      </w:pPr>
      <w:r>
        <w:rPr>
          <w:rFonts w:hint="eastAsia" w:ascii="宋体" w:hAnsi="宋体" w:cs="宋体"/>
          <w:color w:val="auto"/>
          <w:sz w:val="28"/>
          <w:szCs w:val="36"/>
          <w:highlight w:val="none"/>
          <w:lang w:val="zh-CN"/>
        </w:rPr>
        <w:t>格式自定</w:t>
      </w:r>
    </w:p>
    <w:p>
      <w:pPr>
        <w:autoSpaceDE w:val="0"/>
        <w:autoSpaceDN w:val="0"/>
        <w:spacing w:line="360" w:lineRule="auto"/>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autoSpaceDE w:val="0"/>
        <w:autoSpaceDN w:val="0"/>
        <w:spacing w:line="360" w:lineRule="auto"/>
        <w:ind w:firstLine="480" w:firstLineChars="200"/>
        <w:rPr>
          <w:rFonts w:ascii="宋体" w:cs="宋体"/>
          <w:color w:val="auto"/>
          <w:kern w:val="0"/>
          <w:highlight w:val="none"/>
          <w:lang w:val="zh-CN"/>
        </w:rPr>
      </w:pPr>
    </w:p>
    <w:p>
      <w:pPr>
        <w:pStyle w:val="28"/>
        <w:spacing w:before="0" w:after="0" w:line="360" w:lineRule="auto"/>
        <w:jc w:val="left"/>
        <w:outlineLvl w:val="1"/>
        <w:rPr>
          <w:rFonts w:ascii="宋体" w:cs="宋体"/>
          <w:color w:val="auto"/>
          <w:highlight w:val="none"/>
        </w:rPr>
      </w:pPr>
      <w:bookmarkStart w:id="153" w:name="_Toc30035"/>
      <w:r>
        <w:rPr>
          <w:rFonts w:hint="eastAsia" w:ascii="宋体" w:hAnsi="宋体" w:cs="宋体"/>
          <w:color w:val="auto"/>
          <w:sz w:val="30"/>
          <w:szCs w:val="30"/>
          <w:highlight w:val="none"/>
          <w:lang w:val="zh-CN"/>
        </w:rPr>
        <w:t>（</w:t>
      </w:r>
      <w:r>
        <w:rPr>
          <w:rFonts w:ascii="宋体" w:hAnsi="宋体" w:cs="宋体"/>
          <w:color w:val="auto"/>
          <w:sz w:val="30"/>
          <w:szCs w:val="30"/>
          <w:highlight w:val="none"/>
        </w:rPr>
        <w:t>17</w:t>
      </w:r>
      <w:r>
        <w:rPr>
          <w:rFonts w:hint="eastAsia" w:ascii="宋体" w:hAnsi="宋体" w:cs="宋体"/>
          <w:color w:val="auto"/>
          <w:sz w:val="30"/>
          <w:szCs w:val="30"/>
          <w:highlight w:val="none"/>
          <w:lang w:val="zh-CN"/>
        </w:rPr>
        <w:t>）投标产品相关资料</w:t>
      </w:r>
      <w:bookmarkEnd w:id="153"/>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投标产品相关资料</w:t>
      </w:r>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ind w:firstLine="480" w:firstLineChars="200"/>
        <w:rPr>
          <w:rFonts w:ascii="宋体" w:cs="宋体"/>
          <w:color w:val="auto"/>
          <w:sz w:val="32"/>
          <w:highlight w:val="none"/>
          <w:lang w:val="zh-CN"/>
        </w:rPr>
      </w:pPr>
      <w:r>
        <w:rPr>
          <w:rFonts w:hint="eastAsia" w:ascii="宋体" w:hAnsi="宋体" w:cs="宋体"/>
          <w:color w:val="auto"/>
          <w:kern w:val="0"/>
          <w:highlight w:val="none"/>
          <w:lang w:val="zh-CN"/>
        </w:rPr>
        <w:t>根据采购项目内容，投标时提供国家认可的质监机构出具的投标产品的产品检验报告、证明技术参数响应的相关资料、彩页（或厂家公开发布的资料参数）、相关认证等资料。</w:t>
      </w:r>
    </w:p>
    <w:p>
      <w:pPr>
        <w:pStyle w:val="28"/>
        <w:spacing w:before="0" w:after="0" w:line="360" w:lineRule="auto"/>
        <w:jc w:val="left"/>
        <w:outlineLvl w:val="1"/>
        <w:rPr>
          <w:rFonts w:ascii="宋体" w:cs="宋体"/>
          <w:color w:val="auto"/>
          <w:highlight w:val="none"/>
        </w:rPr>
      </w:pPr>
      <w:r>
        <w:rPr>
          <w:rFonts w:ascii="宋体" w:cs="宋体"/>
          <w:color w:val="auto"/>
          <w:highlight w:val="none"/>
          <w:lang w:val="zh-CN"/>
        </w:rPr>
        <w:br w:type="page"/>
      </w:r>
      <w:bookmarkStart w:id="154" w:name="_Toc14545"/>
      <w:r>
        <w:rPr>
          <w:rFonts w:hint="eastAsia" w:ascii="宋体" w:hAnsi="宋体" w:cs="宋体"/>
          <w:color w:val="auto"/>
          <w:sz w:val="30"/>
          <w:szCs w:val="30"/>
          <w:highlight w:val="none"/>
        </w:rPr>
        <w:t>（</w:t>
      </w:r>
      <w:r>
        <w:rPr>
          <w:rFonts w:ascii="宋体" w:hAnsi="宋体" w:cs="宋体"/>
          <w:color w:val="auto"/>
          <w:sz w:val="30"/>
          <w:szCs w:val="30"/>
          <w:highlight w:val="none"/>
        </w:rPr>
        <w:t>18</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投标人的类似业绩证明材料</w:t>
      </w:r>
      <w:bookmarkEnd w:id="152"/>
      <w:bookmarkEnd w:id="154"/>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投标人的类似业绩证明材料</w:t>
      </w:r>
    </w:p>
    <w:p>
      <w:pPr>
        <w:autoSpaceDE w:val="0"/>
        <w:autoSpaceDN w:val="0"/>
        <w:spacing w:line="360" w:lineRule="auto"/>
        <w:rPr>
          <w:rFonts w:ascii="宋体" w:cs="宋体"/>
          <w:color w:val="auto"/>
          <w:kern w:val="0"/>
          <w:sz w:val="28"/>
          <w:szCs w:val="28"/>
          <w:highlight w:val="none"/>
          <w:lang w:val="zh-CN"/>
        </w:rPr>
      </w:pPr>
    </w:p>
    <w:p>
      <w:pPr>
        <w:pStyle w:val="28"/>
        <w:spacing w:before="0" w:after="0" w:line="360" w:lineRule="auto"/>
        <w:ind w:firstLine="480" w:firstLineChars="200"/>
        <w:jc w:val="left"/>
        <w:outlineLvl w:val="1"/>
        <w:rPr>
          <w:rFonts w:ascii="宋体" w:cs="宋体"/>
          <w:b w:val="0"/>
          <w:bCs w:val="0"/>
          <w:color w:val="auto"/>
          <w:kern w:val="0"/>
          <w:sz w:val="24"/>
          <w:szCs w:val="24"/>
          <w:highlight w:val="none"/>
          <w:lang w:val="zh-CN"/>
        </w:rPr>
      </w:pPr>
      <w:bookmarkStart w:id="155" w:name="_Toc5162"/>
      <w:bookmarkStart w:id="156" w:name="_Toc15620"/>
      <w:r>
        <w:rPr>
          <w:rFonts w:hint="eastAsia" w:ascii="宋体" w:hAnsi="宋体" w:cs="宋体"/>
          <w:b w:val="0"/>
          <w:bCs w:val="0"/>
          <w:color w:val="auto"/>
          <w:kern w:val="0"/>
          <w:sz w:val="24"/>
          <w:szCs w:val="24"/>
          <w:highlight w:val="none"/>
          <w:lang w:val="zh-CN"/>
        </w:rPr>
        <w:t>提供自</w:t>
      </w:r>
      <w:r>
        <w:rPr>
          <w:rFonts w:hint="eastAsia" w:ascii="宋体" w:hAnsi="宋体" w:cs="宋体"/>
          <w:b w:val="0"/>
          <w:bCs w:val="0"/>
          <w:color w:val="auto"/>
          <w:kern w:val="0"/>
          <w:sz w:val="24"/>
          <w:szCs w:val="24"/>
          <w:highlight w:val="none"/>
          <w:u w:val="single"/>
          <w:lang w:val="en-US" w:eastAsia="zh-CN"/>
        </w:rPr>
        <w:t>2017</w:t>
      </w:r>
      <w:r>
        <w:rPr>
          <w:rFonts w:hint="eastAsia" w:ascii="宋体" w:hAnsi="宋体" w:cs="宋体"/>
          <w:b w:val="0"/>
          <w:bCs w:val="0"/>
          <w:color w:val="auto"/>
          <w:kern w:val="0"/>
          <w:sz w:val="24"/>
          <w:szCs w:val="24"/>
          <w:highlight w:val="none"/>
          <w:lang w:val="zh-CN"/>
        </w:rPr>
        <w:t>年以来的类似业绩证明材料。类似业绩是指在产品类型、使用功能等方面相同或相近的项目。（以项目的合同复印件及中标通知书为准，合同须包含用户名单、设备名称、设备型号。）</w:t>
      </w:r>
      <w:bookmarkEnd w:id="155"/>
      <w:bookmarkEnd w:id="156"/>
      <w:bookmarkStart w:id="157" w:name="_Toc10010"/>
    </w:p>
    <w:p>
      <w:pPr>
        <w:pStyle w:val="28"/>
        <w:spacing w:before="0" w:after="0" w:line="360" w:lineRule="auto"/>
        <w:ind w:firstLine="602" w:firstLineChars="200"/>
        <w:jc w:val="left"/>
        <w:outlineLvl w:val="1"/>
        <w:rPr>
          <w:rFonts w:ascii="宋体" w:cs="宋体"/>
          <w:color w:val="auto"/>
          <w:highlight w:val="none"/>
          <w:lang w:val="zh-CN"/>
        </w:rPr>
      </w:pPr>
      <w:r>
        <w:rPr>
          <w:rFonts w:ascii="宋体" w:cs="宋体"/>
          <w:color w:val="auto"/>
          <w:sz w:val="30"/>
          <w:szCs w:val="30"/>
          <w:highlight w:val="none"/>
        </w:rPr>
        <w:br w:type="page"/>
      </w:r>
      <w:bookmarkStart w:id="158" w:name="_Toc9050"/>
      <w:r>
        <w:rPr>
          <w:rFonts w:hint="eastAsia" w:ascii="宋体" w:hAnsi="宋体" w:cs="宋体"/>
          <w:color w:val="auto"/>
          <w:sz w:val="30"/>
          <w:szCs w:val="30"/>
          <w:highlight w:val="none"/>
        </w:rPr>
        <w:t>（</w:t>
      </w:r>
      <w:r>
        <w:rPr>
          <w:rFonts w:ascii="宋体" w:hAnsi="宋体" w:cs="宋体"/>
          <w:color w:val="auto"/>
          <w:sz w:val="30"/>
          <w:szCs w:val="30"/>
          <w:highlight w:val="none"/>
        </w:rPr>
        <w:t>19.1</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制造（生产）企业小型、微型企业声明函</w:t>
      </w:r>
      <w:bookmarkEnd w:id="157"/>
      <w:bookmarkEnd w:id="158"/>
    </w:p>
    <w:p>
      <w:pPr>
        <w:spacing w:line="360" w:lineRule="auto"/>
        <w:rPr>
          <w:rFonts w:ascii="宋体" w:cs="宋体"/>
          <w:color w:val="auto"/>
          <w:sz w:val="28"/>
          <w:szCs w:val="28"/>
          <w:highlight w:val="none"/>
          <w:lang w:val="zh-CN"/>
        </w:rPr>
      </w:pPr>
    </w:p>
    <w:p>
      <w:pPr>
        <w:autoSpaceDE w:val="0"/>
        <w:autoSpaceDN w:val="0"/>
        <w:spacing w:line="360" w:lineRule="auto"/>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rPr>
        <w:t>制造（生产）企业</w:t>
      </w:r>
      <w:r>
        <w:rPr>
          <w:rFonts w:hint="eastAsia" w:ascii="宋体" w:hAnsi="宋体" w:cs="宋体"/>
          <w:b/>
          <w:bCs/>
          <w:color w:val="auto"/>
          <w:kern w:val="0"/>
          <w:sz w:val="28"/>
          <w:szCs w:val="28"/>
          <w:highlight w:val="none"/>
          <w:lang w:val="zh-CN"/>
        </w:rPr>
        <w:t>小型、微型企业声明函</w:t>
      </w:r>
    </w:p>
    <w:p>
      <w:pPr>
        <w:autoSpaceDE w:val="0"/>
        <w:autoSpaceDN w:val="0"/>
        <w:spacing w:line="360" w:lineRule="auto"/>
        <w:rPr>
          <w:rFonts w:ascii="宋体" w:cs="宋体"/>
          <w:color w:val="auto"/>
          <w:kern w:val="0"/>
          <w:sz w:val="28"/>
          <w:szCs w:val="28"/>
          <w:highlight w:val="none"/>
          <w:lang w:val="zh-CN"/>
        </w:rPr>
      </w:pPr>
    </w:p>
    <w:p>
      <w:pPr>
        <w:autoSpaceDE w:val="0"/>
        <w:autoSpaceDN w:val="0"/>
        <w:spacing w:line="360" w:lineRule="auto"/>
        <w:rPr>
          <w:rFonts w:asci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本公司郑重声明，根据《政府采购促进中小企业发展暂行办法》（财库〔</w:t>
      </w:r>
      <w:r>
        <w:rPr>
          <w:rFonts w:ascii="宋体" w:hAnsi="宋体" w:cs="宋体"/>
          <w:color w:val="auto"/>
          <w:kern w:val="0"/>
          <w:highlight w:val="none"/>
          <w:lang w:val="zh-CN"/>
        </w:rPr>
        <w:t>2011</w:t>
      </w:r>
      <w:r>
        <w:rPr>
          <w:rFonts w:hint="eastAsia" w:ascii="宋体" w:hAnsi="宋体" w:cs="宋体"/>
          <w:color w:val="auto"/>
          <w:kern w:val="0"/>
          <w:highlight w:val="none"/>
          <w:lang w:val="zh-CN"/>
        </w:rPr>
        <w:t>〕</w:t>
      </w:r>
      <w:r>
        <w:rPr>
          <w:rFonts w:ascii="宋体" w:hAnsi="宋体" w:cs="宋体"/>
          <w:color w:val="auto"/>
          <w:kern w:val="0"/>
          <w:highlight w:val="none"/>
          <w:lang w:val="zh-CN"/>
        </w:rPr>
        <w:t>181</w:t>
      </w:r>
      <w:r>
        <w:rPr>
          <w:rFonts w:hint="eastAsia" w:ascii="宋体" w:hAnsi="宋体" w:cs="宋体"/>
          <w:color w:val="auto"/>
          <w:kern w:val="0"/>
          <w:highlight w:val="none"/>
          <w:lang w:val="zh-CN"/>
        </w:rPr>
        <w:t>号）的规定，本公司为</w:t>
      </w:r>
      <w:r>
        <w:rPr>
          <w:rFonts w:ascii="宋体" w:hAnsi="宋体" w:cs="宋体"/>
          <w:color w:val="auto"/>
          <w:kern w:val="0"/>
          <w:highlight w:val="none"/>
          <w:lang w:val="zh-CN"/>
        </w:rPr>
        <w:t>______</w:t>
      </w:r>
      <w:r>
        <w:rPr>
          <w:rFonts w:hint="eastAsia" w:ascii="宋体" w:hAnsi="宋体" w:cs="宋体"/>
          <w:color w:val="auto"/>
          <w:kern w:val="0"/>
          <w:highlight w:val="none"/>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auto"/>
          <w:kern w:val="0"/>
          <w:highlight w:val="none"/>
          <w:lang w:val="zh-CN"/>
        </w:rPr>
        <w:t>2011</w:t>
      </w:r>
      <w:r>
        <w:rPr>
          <w:rFonts w:hint="eastAsia" w:ascii="宋体" w:hAnsi="宋体" w:cs="宋体"/>
          <w:color w:val="auto"/>
          <w:kern w:val="0"/>
          <w:highlight w:val="none"/>
          <w:lang w:val="zh-CN"/>
        </w:rPr>
        <w:t>〕</w:t>
      </w:r>
      <w:r>
        <w:rPr>
          <w:rFonts w:ascii="宋体" w:hAnsi="宋体" w:cs="宋体"/>
          <w:color w:val="auto"/>
          <w:kern w:val="0"/>
          <w:highlight w:val="none"/>
          <w:lang w:val="zh-CN"/>
        </w:rPr>
        <w:t>300</w:t>
      </w:r>
      <w:r>
        <w:rPr>
          <w:rFonts w:hint="eastAsia" w:ascii="宋体" w:hAnsi="宋体" w:cs="宋体"/>
          <w:color w:val="auto"/>
          <w:kern w:val="0"/>
          <w:highlight w:val="none"/>
          <w:lang w:val="zh-CN"/>
        </w:rPr>
        <w:t>号）规定的划分标准。</w:t>
      </w:r>
    </w:p>
    <w:p>
      <w:pPr>
        <w:autoSpaceDE w:val="0"/>
        <w:autoSpaceDN w:val="0"/>
        <w:spacing w:line="360" w:lineRule="auto"/>
        <w:ind w:firstLine="360"/>
        <w:rPr>
          <w:rFonts w:ascii="宋体" w:cs="宋体"/>
          <w:color w:val="auto"/>
          <w:kern w:val="0"/>
          <w:highlight w:val="none"/>
          <w:lang w:val="zh-CN"/>
        </w:rPr>
      </w:pPr>
      <w:r>
        <w:rPr>
          <w:rFonts w:hint="eastAsia" w:ascii="宋体" w:hAnsi="宋体" w:cs="宋体"/>
          <w:color w:val="auto"/>
          <w:kern w:val="0"/>
          <w:highlight w:val="none"/>
          <w:lang w:val="zh-CN"/>
        </w:rPr>
        <w:t>本公司对上述声明的真实性负责。如有虚假，将依法承担相应责任。</w:t>
      </w:r>
    </w:p>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lang w:val="zh-CN"/>
        </w:rPr>
        <w:t>1.</w:t>
      </w:r>
      <w:r>
        <w:rPr>
          <w:rFonts w:hint="eastAsia" w:ascii="宋体" w:hAnsi="宋体" w:cs="宋体"/>
          <w:color w:val="auto"/>
          <w:kern w:val="0"/>
          <w:highlight w:val="none"/>
          <w:lang w:val="zh-CN"/>
        </w:rPr>
        <w:t>此函须由投标产品的制造（生产）企业提供并声明，同时附相关证明材料；</w:t>
      </w:r>
    </w:p>
    <w:p>
      <w:pPr>
        <w:autoSpaceDE w:val="0"/>
        <w:autoSpaceDN w:val="0"/>
        <w:spacing w:line="360" w:lineRule="auto"/>
        <w:ind w:firstLine="480" w:firstLineChars="200"/>
        <w:rPr>
          <w:rFonts w:ascii="宋体" w:cs="宋体"/>
          <w:color w:val="auto"/>
          <w:kern w:val="0"/>
          <w:highlight w:val="none"/>
          <w:lang w:val="zh-CN"/>
        </w:rPr>
      </w:pPr>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zh-CN"/>
        </w:rPr>
        <w:t>此函若出现多家制造（生产）企业的货物（产品）投标时，可按制造（生产）企业分别声明，一家制造（生产）企业填写一张。</w:t>
      </w:r>
    </w:p>
    <w:p>
      <w:pPr>
        <w:autoSpaceDE w:val="0"/>
        <w:autoSpaceDN w:val="0"/>
        <w:spacing w:line="360" w:lineRule="auto"/>
        <w:rPr>
          <w:rFonts w:ascii="宋体" w:cs="宋体"/>
          <w:color w:val="auto"/>
          <w:kern w:val="0"/>
          <w:highlight w:val="none"/>
          <w:lang w:val="zh-CN"/>
        </w:rPr>
      </w:pPr>
    </w:p>
    <w:p>
      <w:pPr>
        <w:autoSpaceDE w:val="0"/>
        <w:autoSpaceDN w:val="0"/>
        <w:spacing w:line="360" w:lineRule="auto"/>
        <w:rPr>
          <w:rFonts w:ascii="宋体" w:cs="宋体"/>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color w:val="auto"/>
          <w:highlight w:val="none"/>
          <w:lang w:val="zh-CN"/>
        </w:rPr>
      </w:pPr>
      <w:r>
        <w:rPr>
          <w:rFonts w:ascii="宋体" w:cs="宋体"/>
          <w:color w:val="auto"/>
          <w:kern w:val="0"/>
          <w:highlight w:val="none"/>
          <w:lang w:val="zh-CN"/>
        </w:rPr>
        <w:br w:type="page"/>
      </w:r>
      <w:bookmarkStart w:id="159" w:name="_Toc15034"/>
      <w:r>
        <w:rPr>
          <w:rFonts w:hint="eastAsia" w:ascii="宋体" w:hAnsi="宋体" w:cs="宋体"/>
          <w:color w:val="auto"/>
          <w:sz w:val="30"/>
          <w:szCs w:val="30"/>
          <w:highlight w:val="none"/>
        </w:rPr>
        <w:t>（</w:t>
      </w:r>
      <w:r>
        <w:rPr>
          <w:rFonts w:ascii="宋体" w:hAnsi="宋体" w:cs="宋体"/>
          <w:color w:val="auto"/>
          <w:sz w:val="30"/>
          <w:szCs w:val="30"/>
          <w:highlight w:val="none"/>
        </w:rPr>
        <w:t>19.2</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从业人员声明函</w:t>
      </w:r>
      <w:bookmarkEnd w:id="159"/>
    </w:p>
    <w:p>
      <w:pPr>
        <w:adjustRightInd w:val="0"/>
        <w:snapToGrid w:val="0"/>
        <w:spacing w:line="440" w:lineRule="exact"/>
        <w:ind w:left="6987" w:hanging="6987" w:hangingChars="2900"/>
        <w:jc w:val="center"/>
        <w:rPr>
          <w:rFonts w:ascii="宋体" w:cs="宋体"/>
          <w:b/>
          <w:bCs/>
          <w:color w:val="auto"/>
          <w:kern w:val="0"/>
          <w:highlight w:val="none"/>
          <w:lang w:val="zh-CN"/>
        </w:rPr>
      </w:pPr>
    </w:p>
    <w:p>
      <w:pPr>
        <w:adjustRightInd w:val="0"/>
        <w:snapToGrid w:val="0"/>
        <w:spacing w:line="440" w:lineRule="exact"/>
        <w:ind w:left="8152" w:hanging="8152" w:hangingChars="2900"/>
        <w:jc w:val="center"/>
        <w:rPr>
          <w:rFonts w:ascii="宋体" w:cs="宋体"/>
          <w:b/>
          <w:color w:val="auto"/>
          <w:sz w:val="28"/>
          <w:szCs w:val="28"/>
          <w:highlight w:val="none"/>
        </w:rPr>
      </w:pPr>
      <w:r>
        <w:rPr>
          <w:rFonts w:hint="eastAsia" w:ascii="宋体" w:hAnsi="宋体" w:cs="宋体"/>
          <w:b/>
          <w:color w:val="auto"/>
          <w:sz w:val="28"/>
          <w:szCs w:val="28"/>
          <w:highlight w:val="none"/>
        </w:rPr>
        <w:t>从业人员声明函</w:t>
      </w:r>
    </w:p>
    <w:p>
      <w:pPr>
        <w:adjustRightInd w:val="0"/>
        <w:snapToGrid w:val="0"/>
        <w:spacing w:line="440" w:lineRule="exact"/>
        <w:ind w:left="6987" w:hanging="6987" w:hangingChars="2900"/>
        <w:rPr>
          <w:rFonts w:ascii="宋体" w:cs="宋体"/>
          <w:b/>
          <w:bCs/>
          <w:color w:val="auto"/>
          <w:kern w:val="0"/>
          <w:highlight w:val="none"/>
          <w:lang w:val="zh-CN"/>
        </w:rPr>
      </w:pPr>
    </w:p>
    <w:p>
      <w:pPr>
        <w:adjustRightInd w:val="0"/>
        <w:snapToGrid w:val="0"/>
        <w:spacing w:line="440" w:lineRule="exact"/>
        <w:ind w:left="6987" w:hanging="6987" w:hangingChars="2900"/>
        <w:rPr>
          <w:rFonts w:ascii="宋体" w:cs="宋体"/>
          <w:color w:val="auto"/>
          <w:highlight w:val="none"/>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rPr>
        <w:t>青海睿澳工程项目管理有限公司</w:t>
      </w:r>
    </w:p>
    <w:p>
      <w:pPr>
        <w:adjustRightInd w:val="0"/>
        <w:snapToGrid w:val="0"/>
        <w:spacing w:line="440" w:lineRule="exact"/>
        <w:ind w:left="-5" w:leftChars="-2" w:firstLine="480" w:firstLineChars="200"/>
        <w:rPr>
          <w:rFonts w:ascii="宋体" w:cs="宋体"/>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[2011]181</w:t>
      </w:r>
      <w:r>
        <w:rPr>
          <w:rFonts w:hint="eastAsia" w:ascii="宋体" w:hAnsi="宋体" w:cs="宋体"/>
          <w:color w:val="auto"/>
          <w:highlight w:val="none"/>
        </w:rPr>
        <w:t>号）、《工业和信息部、国家统计局、国家发展和改革委员会、财政部关于印发中小企业划型标准规定的通知》（工信部联企业</w:t>
      </w:r>
      <w:r>
        <w:rPr>
          <w:rFonts w:ascii="宋体" w:hAnsi="宋体" w:cs="宋体"/>
          <w:color w:val="auto"/>
          <w:highlight w:val="none"/>
        </w:rPr>
        <w:t xml:space="preserve">[2011]300 </w:t>
      </w:r>
      <w:r>
        <w:rPr>
          <w:rFonts w:hint="eastAsia" w:ascii="宋体" w:hAnsi="宋体" w:cs="宋体"/>
          <w:color w:val="auto"/>
          <w:highlight w:val="none"/>
        </w:rPr>
        <w:t>号）规定，本公司从业人员数为</w:t>
      </w:r>
      <w:r>
        <w:rPr>
          <w:rFonts w:ascii="宋体" w:hAnsi="宋体" w:cs="宋体"/>
          <w:color w:val="auto"/>
          <w:highlight w:val="none"/>
          <w:u w:val="single"/>
        </w:rPr>
        <w:t xml:space="preserve">       </w:t>
      </w:r>
      <w:r>
        <w:rPr>
          <w:rFonts w:hint="eastAsia" w:ascii="宋体" w:hAnsi="宋体" w:cs="宋体"/>
          <w:color w:val="auto"/>
          <w:highlight w:val="none"/>
        </w:rPr>
        <w:t>人。</w:t>
      </w:r>
    </w:p>
    <w:p>
      <w:pPr>
        <w:adjustRightInd w:val="0"/>
        <w:snapToGrid w:val="0"/>
        <w:spacing w:line="440" w:lineRule="exact"/>
        <w:ind w:left="-2" w:leftChars="-1" w:firstLine="480" w:firstLineChars="200"/>
        <w:rPr>
          <w:rFonts w:ascii="宋体" w:cs="宋体"/>
          <w:color w:val="auto"/>
          <w:highlight w:val="none"/>
        </w:rPr>
      </w:pPr>
      <w:r>
        <w:rPr>
          <w:rFonts w:hint="eastAsia" w:ascii="宋体" w:hAnsi="宋体" w:cs="宋体"/>
          <w:color w:val="auto"/>
          <w:highlight w:val="none"/>
        </w:rPr>
        <w:t>本公司对上述声明的真实性负责，如有虚假，将依法承担相应责任。</w:t>
      </w:r>
    </w:p>
    <w:p>
      <w:pPr>
        <w:autoSpaceDE w:val="0"/>
        <w:autoSpaceDN w:val="0"/>
        <w:spacing w:line="360" w:lineRule="auto"/>
        <w:jc w:val="center"/>
        <w:rPr>
          <w:rFonts w:ascii="宋体" w:cs="宋体"/>
          <w:b/>
          <w:bCs/>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pStyle w:val="28"/>
        <w:spacing w:before="0" w:after="0" w:line="360" w:lineRule="auto"/>
        <w:jc w:val="left"/>
        <w:outlineLvl w:val="1"/>
        <w:rPr>
          <w:rFonts w:ascii="宋体" w:cs="宋体"/>
          <w:b w:val="0"/>
          <w:color w:val="auto"/>
          <w:sz w:val="28"/>
          <w:szCs w:val="28"/>
          <w:highlight w:val="none"/>
        </w:rPr>
      </w:pPr>
      <w:r>
        <w:rPr>
          <w:rFonts w:ascii="宋体" w:cs="宋体"/>
          <w:color w:val="auto"/>
          <w:highlight w:val="none"/>
          <w:lang w:val="zh-CN"/>
        </w:rPr>
        <w:br w:type="page"/>
      </w:r>
      <w:bookmarkStart w:id="160" w:name="_Toc27616"/>
      <w:bookmarkStart w:id="161" w:name="_Toc743"/>
      <w:r>
        <w:rPr>
          <w:rFonts w:hint="eastAsia" w:ascii="宋体" w:hAnsi="宋体" w:cs="宋体"/>
          <w:bCs w:val="0"/>
          <w:color w:val="auto"/>
          <w:sz w:val="30"/>
          <w:szCs w:val="30"/>
          <w:highlight w:val="none"/>
          <w:lang w:val="zh-CN"/>
        </w:rPr>
        <w:t>（</w:t>
      </w:r>
      <w:r>
        <w:rPr>
          <w:rFonts w:ascii="宋体" w:hAnsi="宋体" w:cs="宋体"/>
          <w:color w:val="auto"/>
          <w:sz w:val="30"/>
          <w:szCs w:val="30"/>
          <w:highlight w:val="none"/>
        </w:rPr>
        <w:t>20</w:t>
      </w:r>
      <w:r>
        <w:rPr>
          <w:rFonts w:hint="eastAsia" w:ascii="宋体" w:hAnsi="宋体" w:cs="宋体"/>
          <w:color w:val="auto"/>
          <w:sz w:val="30"/>
          <w:szCs w:val="30"/>
          <w:highlight w:val="none"/>
          <w:lang w:val="zh-CN"/>
        </w:rPr>
        <w:t>）残疾人</w:t>
      </w:r>
      <w:r>
        <w:rPr>
          <w:rFonts w:hint="eastAsia" w:ascii="宋体" w:hAnsi="宋体" w:cs="宋体"/>
          <w:color w:val="auto"/>
          <w:sz w:val="30"/>
          <w:szCs w:val="30"/>
          <w:highlight w:val="none"/>
        </w:rPr>
        <w:t>福利性单位声明函</w:t>
      </w:r>
      <w:bookmarkEnd w:id="160"/>
    </w:p>
    <w:p>
      <w:pPr>
        <w:jc w:val="center"/>
        <w:rPr>
          <w:rFonts w:ascii="宋体" w:cs="宋体"/>
          <w:b/>
          <w:color w:val="auto"/>
          <w:sz w:val="36"/>
          <w:szCs w:val="36"/>
          <w:highlight w:val="none"/>
        </w:rPr>
      </w:pPr>
      <w:bookmarkStart w:id="162" w:name="OLE_LINK13"/>
      <w:bookmarkStart w:id="163" w:name="OLE_LINK14"/>
    </w:p>
    <w:p>
      <w:pPr>
        <w:jc w:val="center"/>
        <w:rPr>
          <w:rFonts w:ascii="宋体" w:cs="宋体"/>
          <w:b/>
          <w:color w:val="auto"/>
          <w:sz w:val="28"/>
          <w:szCs w:val="28"/>
          <w:highlight w:val="none"/>
        </w:rPr>
      </w:pPr>
      <w:r>
        <w:rPr>
          <w:rFonts w:hint="eastAsia" w:ascii="宋体" w:hAnsi="宋体" w:cs="宋体"/>
          <w:b/>
          <w:color w:val="auto"/>
          <w:sz w:val="28"/>
          <w:szCs w:val="28"/>
          <w:highlight w:val="none"/>
        </w:rPr>
        <w:t>残疾人福利性单位声明函</w:t>
      </w:r>
    </w:p>
    <w:bookmarkEnd w:id="162"/>
    <w:bookmarkEnd w:id="163"/>
    <w:p>
      <w:pPr>
        <w:spacing w:after="120" w:afterLines="50"/>
        <w:rPr>
          <w:rFonts w:ascii="宋体" w:cs="宋体"/>
          <w:bCs/>
          <w:color w:val="auto"/>
          <w:highlight w:val="none"/>
        </w:rPr>
      </w:pPr>
    </w:p>
    <w:p>
      <w:pPr>
        <w:spacing w:after="120" w:afterLines="50"/>
        <w:rPr>
          <w:rFonts w:asci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kern w:val="0"/>
          <w:highlight w:val="none"/>
        </w:rPr>
        <w:t>青海睿澳工程项目管理有限公司</w:t>
      </w: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号）的规定，本单位为符合条件的残疾人福利性单位，本单位在职职工人数为</w:t>
      </w:r>
      <w:r>
        <w:rPr>
          <w:rFonts w:ascii="宋体" w:hAnsi="宋体" w:cs="宋体"/>
          <w:color w:val="auto"/>
          <w:highlight w:val="none"/>
          <w:u w:val="single"/>
        </w:rPr>
        <w:t xml:space="preserve">       </w:t>
      </w:r>
      <w:r>
        <w:rPr>
          <w:rFonts w:hint="eastAsia" w:ascii="宋体" w:hAnsi="宋体" w:cs="宋体"/>
          <w:color w:val="auto"/>
          <w:highlight w:val="none"/>
        </w:rPr>
        <w:t>人，安置的残疾人人数</w:t>
      </w:r>
      <w:r>
        <w:rPr>
          <w:rFonts w:ascii="宋体" w:hAnsi="宋体" w:cs="宋体"/>
          <w:color w:val="auto"/>
          <w:highlight w:val="none"/>
          <w:u w:val="single"/>
        </w:rPr>
        <w:t xml:space="preserve">      </w:t>
      </w:r>
      <w:r>
        <w:rPr>
          <w:rFonts w:hint="eastAsia" w:ascii="宋体" w:hAnsi="宋体" w:cs="宋体"/>
          <w:color w:val="auto"/>
          <w:highlight w:val="none"/>
        </w:rPr>
        <w:t>人。且本单位参加</w:t>
      </w:r>
      <w:r>
        <w:rPr>
          <w:rFonts w:ascii="宋体" w:hAnsi="宋体" w:cs="宋体"/>
          <w:color w:val="auto"/>
          <w:highlight w:val="none"/>
        </w:rPr>
        <w:t>______</w:t>
      </w:r>
      <w:r>
        <w:rPr>
          <w:rFonts w:hint="eastAsia" w:ascii="宋体" w:hAnsi="宋体" w:cs="宋体"/>
          <w:color w:val="auto"/>
          <w:highlight w:val="none"/>
        </w:rPr>
        <w:t>单位的</w:t>
      </w:r>
      <w:r>
        <w:rPr>
          <w:rFonts w:ascii="宋体" w:hAnsi="宋体" w:cs="宋体"/>
          <w:color w:val="auto"/>
          <w:highlight w:val="none"/>
        </w:rPr>
        <w:t>______</w:t>
      </w:r>
      <w:r>
        <w:rPr>
          <w:rFonts w:hint="eastAsia" w:ascii="宋体" w:hAnsi="宋体" w:cs="宋体"/>
          <w:color w:val="auto"/>
          <w:highlight w:val="none"/>
        </w:rPr>
        <w:t>项目采购活动提供本单位制造的货物（由本单位承担工程</w:t>
      </w:r>
      <w:r>
        <w:rPr>
          <w:rFonts w:ascii="宋体" w:hAnsi="宋体" w:cs="宋体"/>
          <w:color w:val="auto"/>
          <w:highlight w:val="none"/>
        </w:rPr>
        <w:t>/</w:t>
      </w:r>
      <w:r>
        <w:rPr>
          <w:rFonts w:hint="eastAsia" w:ascii="宋体" w:hAnsi="宋体" w:cs="宋体"/>
          <w:color w:val="auto"/>
          <w:highlight w:val="none"/>
        </w:rPr>
        <w:t>提供服务），或者提供其他残疾人福利性单位制造的货物（不包括使用非残疾人福利性单位注册商标的货物）。</w:t>
      </w:r>
    </w:p>
    <w:p>
      <w:pPr>
        <w:spacing w:line="360" w:lineRule="auto"/>
        <w:ind w:firstLine="480"/>
        <w:rPr>
          <w:rFonts w:ascii="宋体" w:cs="宋体"/>
          <w:color w:val="auto"/>
          <w:highlight w:val="none"/>
        </w:rPr>
      </w:pPr>
      <w:r>
        <w:rPr>
          <w:rFonts w:hint="eastAsia" w:ascii="宋体" w:hAnsi="宋体" w:cs="宋体"/>
          <w:color w:val="auto"/>
          <w:highlight w:val="none"/>
        </w:rPr>
        <w:t>本单位对上述声明的真实性负责。如有虚假，将依法承担相应责任。</w:t>
      </w:r>
    </w:p>
    <w:p>
      <w:pPr>
        <w:spacing w:line="360" w:lineRule="auto"/>
        <w:ind w:firstLine="480"/>
        <w:rPr>
          <w:rFonts w:ascii="宋体" w:cs="宋体"/>
          <w:color w:val="auto"/>
          <w:highlight w:val="none"/>
        </w:rPr>
      </w:pPr>
    </w:p>
    <w:p>
      <w:pPr>
        <w:spacing w:line="360" w:lineRule="auto"/>
        <w:rPr>
          <w:rFonts w:ascii="宋体" w:cs="宋体"/>
          <w:color w:val="auto"/>
          <w:highlight w:val="none"/>
        </w:rPr>
      </w:pPr>
      <w:r>
        <w:rPr>
          <w:rFonts w:hint="eastAsia" w:ascii="宋体" w:hAnsi="宋体" w:cs="宋体"/>
          <w:color w:val="auto"/>
          <w:highlight w:val="none"/>
        </w:rPr>
        <w:t>注：若无此项内容，可不提供此函。</w:t>
      </w: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p>
    <w:p>
      <w:pPr>
        <w:spacing w:line="360" w:lineRule="auto"/>
        <w:ind w:firstLine="480"/>
        <w:rPr>
          <w:rFonts w:ascii="宋体" w:cs="宋体"/>
          <w:color w:val="auto"/>
          <w:highlight w:val="none"/>
        </w:rPr>
      </w:pPr>
    </w:p>
    <w:p>
      <w:pPr>
        <w:spacing w:line="360" w:lineRule="auto"/>
        <w:jc w:val="center"/>
        <w:rPr>
          <w:rFonts w:ascii="宋体" w:cs="宋体"/>
          <w:b/>
          <w:color w:val="auto"/>
          <w:highlight w:val="none"/>
        </w:rPr>
      </w:pPr>
      <w:r>
        <w:rPr>
          <w:rFonts w:ascii="宋体" w:hAnsi="宋体" w:cs="宋体"/>
          <w:b/>
          <w:color w:val="auto"/>
          <w:highlight w:val="none"/>
        </w:rPr>
        <w:t xml:space="preserve">                                </w:t>
      </w:r>
      <w:r>
        <w:rPr>
          <w:rFonts w:hint="eastAsia" w:ascii="宋体" w:hAnsi="宋体" w:cs="宋体"/>
          <w:b/>
          <w:color w:val="auto"/>
          <w:highlight w:val="none"/>
        </w:rPr>
        <w:t>企业名称：</w:t>
      </w:r>
      <w:r>
        <w:rPr>
          <w:rFonts w:ascii="宋体" w:hAnsi="宋体" w:cs="宋体"/>
          <w:color w:val="auto"/>
          <w:kern w:val="0"/>
          <w:sz w:val="28"/>
          <w:szCs w:val="28"/>
          <w:highlight w:val="none"/>
          <w:u w:val="single"/>
        </w:rPr>
        <w:t xml:space="preserve">       </w:t>
      </w:r>
      <w:r>
        <w:rPr>
          <w:rFonts w:hint="eastAsia" w:ascii="宋体" w:hAnsi="宋体" w:cs="宋体"/>
          <w:b/>
          <w:color w:val="auto"/>
          <w:highlight w:val="none"/>
        </w:rPr>
        <w:t>（公章）</w:t>
      </w:r>
    </w:p>
    <w:p>
      <w:pPr>
        <w:spacing w:line="360" w:lineRule="auto"/>
        <w:ind w:firstLine="482"/>
        <w:jc w:val="right"/>
        <w:rPr>
          <w:rFonts w:ascii="宋体" w:cs="宋体"/>
          <w:b/>
          <w:color w:val="auto"/>
          <w:highlight w:val="none"/>
        </w:rPr>
      </w:pPr>
      <w:r>
        <w:rPr>
          <w:rFonts w:ascii="宋体" w:hAnsi="宋体" w:cs="宋体"/>
          <w:b/>
          <w:color w:val="auto"/>
          <w:highlight w:val="none"/>
        </w:rPr>
        <w:t xml:space="preserve">       </w:t>
      </w:r>
      <w:r>
        <w:rPr>
          <w:rFonts w:hint="eastAsia" w:ascii="宋体" w:hAnsi="宋体" w:cs="宋体"/>
          <w:b/>
          <w:color w:val="auto"/>
          <w:highlight w:val="none"/>
        </w:rPr>
        <w:t>企业法定代表人：</w:t>
      </w:r>
      <w:r>
        <w:rPr>
          <w:rFonts w:ascii="宋体" w:hAnsi="宋体" w:cs="宋体"/>
          <w:color w:val="auto"/>
          <w:kern w:val="0"/>
          <w:sz w:val="28"/>
          <w:szCs w:val="28"/>
          <w:highlight w:val="none"/>
          <w:u w:val="single"/>
        </w:rPr>
        <w:t xml:space="preserve">       </w:t>
      </w:r>
      <w:r>
        <w:rPr>
          <w:rFonts w:hint="eastAsia" w:ascii="宋体" w:hAnsi="宋体" w:cs="宋体"/>
          <w:b/>
          <w:color w:val="auto"/>
          <w:highlight w:val="none"/>
        </w:rPr>
        <w:t>（签字或盖章）</w:t>
      </w:r>
    </w:p>
    <w:p>
      <w:pPr>
        <w:ind w:firstLine="482"/>
        <w:jc w:val="center"/>
        <w:rPr>
          <w:rFonts w:ascii="宋体" w:cs="宋体"/>
          <w:b/>
          <w:color w:val="auto"/>
          <w:highlight w:val="none"/>
        </w:rPr>
      </w:pPr>
      <w:r>
        <w:rPr>
          <w:rFonts w:ascii="宋体" w:hAnsi="宋体" w:cs="宋体"/>
          <w:b/>
          <w:color w:val="auto"/>
          <w:highlight w:val="none"/>
        </w:rPr>
        <w:t xml:space="preserve">              </w:t>
      </w:r>
      <w:r>
        <w:rPr>
          <w:rFonts w:hint="eastAsia" w:ascii="宋体" w:hAnsi="宋体" w:cs="宋体"/>
          <w:b/>
          <w:color w:val="auto"/>
          <w:highlight w:val="none"/>
        </w:rPr>
        <w:t>年</w:t>
      </w:r>
      <w:r>
        <w:rPr>
          <w:rFonts w:ascii="宋体" w:hAnsi="宋体" w:cs="宋体"/>
          <w:b/>
          <w:color w:val="auto"/>
          <w:highlight w:val="none"/>
        </w:rPr>
        <w:t xml:space="preserve">   </w:t>
      </w:r>
      <w:r>
        <w:rPr>
          <w:rFonts w:hint="eastAsia" w:ascii="宋体" w:hAnsi="宋体" w:cs="宋体"/>
          <w:b/>
          <w:color w:val="auto"/>
          <w:highlight w:val="none"/>
        </w:rPr>
        <w:t>月</w:t>
      </w:r>
      <w:r>
        <w:rPr>
          <w:rFonts w:ascii="宋体" w:hAnsi="宋体" w:cs="宋体"/>
          <w:b/>
          <w:color w:val="auto"/>
          <w:highlight w:val="none"/>
        </w:rPr>
        <w:t xml:space="preserve">  </w:t>
      </w:r>
      <w:r>
        <w:rPr>
          <w:rFonts w:hint="eastAsia" w:ascii="宋体" w:hAnsi="宋体" w:cs="宋体"/>
          <w:b/>
          <w:color w:val="auto"/>
          <w:highlight w:val="none"/>
        </w:rPr>
        <w:t>日</w:t>
      </w:r>
    </w:p>
    <w:p>
      <w:pPr>
        <w:pStyle w:val="28"/>
        <w:spacing w:before="0" w:after="0" w:line="360" w:lineRule="auto"/>
        <w:jc w:val="left"/>
        <w:outlineLvl w:val="1"/>
        <w:rPr>
          <w:rFonts w:ascii="宋体" w:cs="宋体"/>
          <w:color w:val="auto"/>
          <w:highlight w:val="none"/>
        </w:rPr>
      </w:pPr>
      <w:r>
        <w:rPr>
          <w:rFonts w:ascii="宋体" w:cs="宋体"/>
          <w:color w:val="auto"/>
          <w:highlight w:val="none"/>
          <w:lang w:val="zh-CN"/>
        </w:rPr>
        <w:br w:type="page"/>
      </w:r>
      <w:bookmarkStart w:id="164" w:name="_Toc12104"/>
      <w:r>
        <w:rPr>
          <w:rFonts w:hint="eastAsia" w:ascii="宋体" w:hAnsi="宋体" w:cs="宋体"/>
          <w:color w:val="auto"/>
          <w:sz w:val="30"/>
          <w:szCs w:val="30"/>
          <w:highlight w:val="none"/>
        </w:rPr>
        <w:t>（</w:t>
      </w:r>
      <w:r>
        <w:rPr>
          <w:rFonts w:ascii="宋体" w:hAnsi="宋体" w:cs="宋体"/>
          <w:color w:val="auto"/>
          <w:sz w:val="30"/>
          <w:szCs w:val="30"/>
          <w:highlight w:val="none"/>
        </w:rPr>
        <w:t>21</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投标人认为在其他方面有必要说明的事项</w:t>
      </w:r>
      <w:bookmarkEnd w:id="161"/>
      <w:bookmarkEnd w:id="164"/>
    </w:p>
    <w:p>
      <w:pPr>
        <w:autoSpaceDE w:val="0"/>
        <w:autoSpaceDN w:val="0"/>
        <w:spacing w:line="360" w:lineRule="auto"/>
        <w:rPr>
          <w:rFonts w:ascii="宋体" w:cs="宋体"/>
          <w:color w:val="auto"/>
          <w:kern w:val="0"/>
          <w:sz w:val="28"/>
          <w:szCs w:val="28"/>
          <w:highlight w:val="none"/>
          <w:lang w:val="zh-CN"/>
        </w:rPr>
      </w:pPr>
    </w:p>
    <w:p>
      <w:pPr>
        <w:pStyle w:val="28"/>
        <w:spacing w:before="0" w:after="0" w:line="360" w:lineRule="auto"/>
        <w:outlineLvl w:val="1"/>
        <w:rPr>
          <w:rFonts w:ascii="宋体" w:hAnsi="宋体" w:cs="宋体"/>
          <w:color w:val="auto"/>
          <w:sz w:val="30"/>
          <w:szCs w:val="30"/>
          <w:highlight w:val="none"/>
          <w:lang w:val="zh-CN"/>
        </w:rPr>
      </w:pPr>
      <w:bookmarkStart w:id="165" w:name="_Toc27252"/>
      <w:r>
        <w:rPr>
          <w:rFonts w:hint="eastAsia" w:ascii="宋体" w:hAnsi="宋体" w:cs="宋体"/>
          <w:color w:val="auto"/>
          <w:sz w:val="30"/>
          <w:szCs w:val="30"/>
          <w:highlight w:val="none"/>
          <w:lang w:val="zh-CN"/>
        </w:rPr>
        <w:t>项目管理及实施方案、售后服务计划等</w:t>
      </w:r>
      <w:bookmarkEnd w:id="165"/>
    </w:p>
    <w:p>
      <w:pPr>
        <w:autoSpaceDE w:val="0"/>
        <w:autoSpaceDN w:val="0"/>
        <w:spacing w:line="360" w:lineRule="auto"/>
        <w:ind w:firstLine="3132" w:firstLineChars="1300"/>
        <w:rPr>
          <w:rFonts w:ascii="宋体" w:cs="宋体"/>
          <w:b/>
          <w:bCs/>
          <w:color w:val="auto"/>
          <w:highlight w:val="none"/>
          <w:lang w:val="zh-CN"/>
        </w:rPr>
      </w:pPr>
      <w:r>
        <w:rPr>
          <w:rFonts w:hint="eastAsia" w:ascii="宋体" w:hAnsi="宋体" w:cs="宋体"/>
          <w:b/>
          <w:bCs/>
          <w:color w:val="auto"/>
          <w:highlight w:val="none"/>
          <w:lang w:val="zh-CN"/>
        </w:rPr>
        <w:t>格式自定</w:t>
      </w:r>
    </w:p>
    <w:p>
      <w:pPr>
        <w:pStyle w:val="28"/>
        <w:spacing w:before="0" w:after="0" w:line="360" w:lineRule="auto"/>
        <w:rPr>
          <w:rFonts w:ascii="宋体" w:cs="宋体"/>
          <w:color w:val="auto"/>
          <w:highlight w:val="none"/>
        </w:rPr>
      </w:pPr>
      <w:r>
        <w:rPr>
          <w:rFonts w:ascii="宋体" w:cs="宋体"/>
          <w:color w:val="auto"/>
          <w:highlight w:val="none"/>
          <w:lang w:val="zh-CN"/>
        </w:rPr>
        <w:br w:type="page"/>
      </w:r>
      <w:bookmarkStart w:id="166" w:name="_Toc19191"/>
      <w:bookmarkStart w:id="167" w:name="_Toc18752"/>
      <w:r>
        <w:rPr>
          <w:rFonts w:hint="eastAsia" w:ascii="宋体" w:hAnsi="宋体" w:cs="宋体"/>
          <w:color w:val="auto"/>
          <w:szCs w:val="36"/>
          <w:highlight w:val="none"/>
          <w:lang w:val="zh-CN"/>
        </w:rPr>
        <w:t>第五部分</w:t>
      </w:r>
      <w:r>
        <w:rPr>
          <w:rFonts w:ascii="宋体" w:hAnsi="宋体" w:cs="宋体"/>
          <w:color w:val="auto"/>
          <w:szCs w:val="36"/>
          <w:highlight w:val="none"/>
          <w:lang w:val="zh-CN"/>
        </w:rPr>
        <w:t xml:space="preserve">  </w:t>
      </w:r>
      <w:r>
        <w:rPr>
          <w:rFonts w:hint="eastAsia" w:ascii="宋体" w:hAnsi="宋体" w:cs="宋体"/>
          <w:color w:val="auto"/>
          <w:szCs w:val="36"/>
          <w:highlight w:val="none"/>
          <w:lang w:val="zh-CN"/>
        </w:rPr>
        <w:t>采购项目要求及技术参数</w:t>
      </w:r>
      <w:bookmarkEnd w:id="166"/>
      <w:bookmarkEnd w:id="167"/>
    </w:p>
    <w:p>
      <w:pPr>
        <w:pStyle w:val="28"/>
        <w:spacing w:before="0" w:after="0" w:line="360" w:lineRule="auto"/>
        <w:outlineLvl w:val="1"/>
        <w:rPr>
          <w:rFonts w:ascii="宋体" w:cs="宋体"/>
          <w:color w:val="auto"/>
          <w:szCs w:val="36"/>
          <w:highlight w:val="none"/>
        </w:rPr>
      </w:pPr>
      <w:bookmarkStart w:id="168" w:name="_Toc19656"/>
      <w:bookmarkStart w:id="169" w:name="_Toc9451"/>
      <w:r>
        <w:rPr>
          <w:rFonts w:hint="eastAsia" w:ascii="宋体" w:hAnsi="宋体" w:cs="宋体"/>
          <w:color w:val="auto"/>
          <w:highlight w:val="none"/>
          <w:lang w:val="zh-CN"/>
        </w:rPr>
        <w:t>（一）投标要求</w:t>
      </w:r>
      <w:bookmarkEnd w:id="168"/>
      <w:bookmarkEnd w:id="169"/>
    </w:p>
    <w:p>
      <w:pPr>
        <w:pStyle w:val="28"/>
        <w:spacing w:before="0" w:after="0" w:line="360" w:lineRule="auto"/>
        <w:jc w:val="left"/>
        <w:rPr>
          <w:rFonts w:ascii="宋体" w:hAnsi="宋体" w:cs="宋体"/>
          <w:color w:val="auto"/>
          <w:highlight w:val="none"/>
          <w:lang w:val="zh-CN"/>
        </w:rPr>
      </w:pPr>
      <w:bookmarkStart w:id="170" w:name="_Toc11240"/>
      <w:bookmarkStart w:id="171" w:name="_Toc4346"/>
      <w:bookmarkStart w:id="172" w:name="_Toc4601"/>
      <w:bookmarkStart w:id="173" w:name="_Toc18880"/>
      <w:r>
        <w:rPr>
          <w:rFonts w:hint="eastAsia" w:ascii="宋体" w:hAnsi="宋体" w:cs="宋体"/>
          <w:color w:val="auto"/>
          <w:sz w:val="28"/>
          <w:szCs w:val="28"/>
          <w:highlight w:val="none"/>
          <w:lang w:val="zh-CN"/>
        </w:rPr>
        <w:t>1.投标说明</w:t>
      </w:r>
      <w:bookmarkEnd w:id="170"/>
      <w:bookmarkEnd w:id="171"/>
      <w:bookmarkEnd w:id="172"/>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3</w:t>
      </w:r>
      <w:r>
        <w:rPr>
          <w:rFonts w:hint="eastAsia"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1.4 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pPr>
        <w:pStyle w:val="28"/>
        <w:spacing w:before="0" w:after="0" w:line="360" w:lineRule="auto"/>
        <w:jc w:val="left"/>
        <w:rPr>
          <w:rFonts w:ascii="宋体" w:hAnsi="宋体" w:cs="宋体"/>
          <w:color w:val="auto"/>
          <w:highlight w:val="none"/>
          <w:lang w:val="zh-CN"/>
        </w:rPr>
      </w:pPr>
      <w:bookmarkStart w:id="174" w:name="_Toc26125"/>
      <w:bookmarkStart w:id="175" w:name="_Toc3174"/>
      <w:bookmarkStart w:id="176" w:name="_Toc20321"/>
      <w:r>
        <w:rPr>
          <w:rFonts w:hint="eastAsia" w:ascii="宋体" w:hAnsi="宋体" w:cs="宋体"/>
          <w:color w:val="auto"/>
          <w:sz w:val="28"/>
          <w:szCs w:val="28"/>
          <w:highlight w:val="none"/>
        </w:rPr>
        <w:t>2.</w:t>
      </w:r>
      <w:bookmarkEnd w:id="174"/>
      <w:bookmarkStart w:id="177" w:name="_Toc1475"/>
      <w:r>
        <w:rPr>
          <w:rFonts w:hint="eastAsia" w:ascii="宋体" w:hAnsi="宋体" w:cs="宋体"/>
          <w:color w:val="auto"/>
          <w:sz w:val="28"/>
          <w:szCs w:val="28"/>
          <w:highlight w:val="none"/>
          <w:lang w:val="zh-CN"/>
        </w:rPr>
        <w:t>重要指标</w:t>
      </w:r>
      <w:bookmarkEnd w:id="175"/>
      <w:bookmarkEnd w:id="176"/>
      <w:bookmarkEnd w:id="177"/>
    </w:p>
    <w:p>
      <w:pPr>
        <w:autoSpaceDE w:val="0"/>
        <w:autoSpaceDN w:val="0"/>
        <w:spacing w:line="360" w:lineRule="auto"/>
        <w:ind w:firstLine="480" w:firstLineChars="200"/>
        <w:rPr>
          <w:rFonts w:ascii="宋体" w:hAnsi="宋体" w:cs="宋体"/>
          <w:b/>
          <w:bCs/>
          <w:color w:val="auto"/>
          <w:kern w:val="0"/>
          <w:highlight w:val="none"/>
          <w:lang w:val="zh-CN"/>
        </w:rPr>
      </w:pPr>
      <w:r>
        <w:rPr>
          <w:rFonts w:hint="eastAsia" w:ascii="宋体" w:hAnsi="宋体" w:cs="宋体"/>
          <w:color w:val="auto"/>
          <w:kern w:val="0"/>
          <w:highlight w:val="none"/>
        </w:rPr>
        <w:t>2</w:t>
      </w:r>
      <w:r>
        <w:rPr>
          <w:rFonts w:hint="eastAsia" w:ascii="宋体" w:hAnsi="宋体" w:cs="宋体"/>
          <w:color w:val="auto"/>
          <w:kern w:val="0"/>
          <w:highlight w:val="none"/>
          <w:lang w:val="zh-CN"/>
        </w:rPr>
        <w:t>.1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技术参数”中用“</w:t>
      </w:r>
      <w:r>
        <w:rPr>
          <w:rFonts w:hint="eastAsia" w:ascii="宋体" w:hAnsi="宋体" w:cs="宋体"/>
          <w:b/>
          <w:bCs/>
          <w:color w:val="auto"/>
          <w:kern w:val="0"/>
          <w:sz w:val="28"/>
          <w:szCs w:val="28"/>
          <w:highlight w:val="none"/>
        </w:rPr>
        <w:t>*</w:t>
      </w:r>
      <w:r>
        <w:rPr>
          <w:rFonts w:hint="eastAsia" w:ascii="宋体" w:hAnsi="宋体" w:cs="宋体"/>
          <w:b/>
          <w:bCs/>
          <w:color w:val="auto"/>
          <w:kern w:val="0"/>
          <w:highlight w:val="none"/>
          <w:lang w:val="zh-CN"/>
        </w:rPr>
        <w:t>”符号标注的属于重要技术参数、指标，必须完全响应。否则，投标无效。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2</w:t>
      </w:r>
      <w:r>
        <w:rPr>
          <w:rFonts w:hint="eastAsia" w:ascii="宋体" w:hAnsi="宋体" w:cs="宋体"/>
          <w:color w:val="auto"/>
          <w:kern w:val="0"/>
          <w:highlight w:val="none"/>
          <w:lang w:val="zh-CN"/>
        </w:rPr>
        <w:t>.2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2.3 技术参数中除注明签订合同时提供的相关授权、服务承诺等资料以外，其余相关资料在投标时必须附在投标文件中。</w:t>
      </w:r>
    </w:p>
    <w:p>
      <w:pPr>
        <w:pStyle w:val="28"/>
        <w:spacing w:before="0" w:after="0" w:line="360" w:lineRule="auto"/>
        <w:jc w:val="left"/>
        <w:outlineLvl w:val="1"/>
        <w:rPr>
          <w:rFonts w:ascii="宋体" w:cs="宋体"/>
          <w:color w:val="auto"/>
          <w:highlight w:val="none"/>
          <w:lang w:val="zh-CN"/>
        </w:rPr>
      </w:pPr>
      <w:bookmarkStart w:id="178" w:name="_Toc4938"/>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173"/>
      <w:bookmarkEnd w:id="178"/>
    </w:p>
    <w:p>
      <w:pPr>
        <w:autoSpaceDE w:val="0"/>
        <w:autoSpaceDN w:val="0"/>
        <w:spacing w:line="360" w:lineRule="auto"/>
        <w:ind w:firstLine="480" w:firstLineChars="200"/>
        <w:rPr>
          <w:rFonts w:hint="default" w:ascii="宋体" w:hAnsi="宋体" w:eastAsia="宋体" w:cs="宋体"/>
          <w:color w:val="auto"/>
          <w:kern w:val="0"/>
          <w:highlight w:val="none"/>
          <w:lang w:val="en-US" w:eastAsia="zh-CN"/>
        </w:rPr>
      </w:pPr>
      <w:bookmarkStart w:id="179" w:name="_Toc28576"/>
      <w:r>
        <w:rPr>
          <w:rFonts w:hint="eastAsia" w:ascii="宋体" w:hAnsi="宋体" w:cs="宋体"/>
          <w:color w:val="auto"/>
          <w:kern w:val="0"/>
          <w:highlight w:val="none"/>
        </w:rPr>
        <w:t>3</w:t>
      </w:r>
      <w:r>
        <w:rPr>
          <w:rFonts w:hint="eastAsia" w:ascii="宋体" w:hAnsi="宋体" w:cs="宋体"/>
          <w:color w:val="auto"/>
          <w:kern w:val="0"/>
          <w:highlight w:val="none"/>
          <w:lang w:val="zh-CN"/>
        </w:rPr>
        <w:t>.1.</w:t>
      </w:r>
      <w:r>
        <w:rPr>
          <w:rFonts w:hint="eastAsia" w:ascii="宋体" w:hAnsi="宋体" w:cs="宋体"/>
          <w:color w:val="auto"/>
          <w:highlight w:val="none"/>
        </w:rPr>
        <w:t>服务（交货）</w:t>
      </w:r>
      <w:r>
        <w:rPr>
          <w:rFonts w:hint="eastAsia" w:ascii="宋体" w:hAnsi="宋体" w:cs="宋体"/>
          <w:color w:val="auto"/>
          <w:highlight w:val="none"/>
          <w:lang w:val="zh-CN"/>
        </w:rPr>
        <w:t>时间：</w:t>
      </w:r>
      <w:r>
        <w:rPr>
          <w:rFonts w:hint="eastAsia" w:ascii="宋体" w:hAnsi="宋体" w:cs="宋体"/>
          <w:color w:val="auto"/>
          <w:highlight w:val="none"/>
          <w:lang w:val="en-US" w:eastAsia="zh-CN"/>
        </w:rPr>
        <w:t>2020年12月31日前设备安装完毕，运维服务时间自设备正式开始运行起1年。</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highlight w:val="none"/>
        </w:rPr>
        <w:t>服务（交货）</w:t>
      </w:r>
      <w:r>
        <w:rPr>
          <w:rFonts w:hint="eastAsia" w:ascii="宋体" w:hAnsi="宋体" w:cs="宋体"/>
          <w:color w:val="auto"/>
          <w:kern w:val="0"/>
          <w:highlight w:val="none"/>
          <w:lang w:val="zh-CN"/>
        </w:rPr>
        <w:t>地点：</w:t>
      </w:r>
      <w:r>
        <w:rPr>
          <w:rFonts w:hint="eastAsia" w:ascii="宋体" w:hAnsi="宋体" w:cs="宋体"/>
          <w:color w:val="auto"/>
          <w:kern w:val="0"/>
          <w:highlight w:val="none"/>
        </w:rPr>
        <w:t>海南州共和县</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3</w:t>
      </w:r>
      <w:r>
        <w:rPr>
          <w:rFonts w:hint="eastAsia" w:ascii="宋体" w:hAnsi="宋体" w:cs="宋体"/>
          <w:color w:val="auto"/>
          <w:kern w:val="0"/>
          <w:highlight w:val="none"/>
          <w:lang w:val="zh-CN"/>
        </w:rPr>
        <w:t>.3.付款方式：</w:t>
      </w:r>
      <w:r>
        <w:rPr>
          <w:rFonts w:hint="eastAsia" w:ascii="宋体" w:hAnsi="宋体" w:cs="宋体"/>
          <w:color w:val="auto"/>
          <w:kern w:val="0"/>
          <w:highlight w:val="none"/>
          <w:lang w:val="en-US" w:eastAsia="zh-CN"/>
        </w:rPr>
        <w:t>付款分为两部分，货物付款方式及</w:t>
      </w:r>
      <w:r>
        <w:rPr>
          <w:rFonts w:hint="eastAsia" w:ascii="宋体" w:hAnsi="宋体" w:cs="宋体"/>
          <w:color w:val="auto"/>
          <w:kern w:val="0"/>
          <w:highlight w:val="none"/>
          <w:lang w:val="zh-CN"/>
        </w:rPr>
        <w:t>运营维护</w:t>
      </w:r>
      <w:r>
        <w:rPr>
          <w:rFonts w:hint="eastAsia" w:ascii="宋体" w:hAnsi="宋体" w:cs="宋体"/>
          <w:color w:val="auto"/>
          <w:kern w:val="0"/>
          <w:highlight w:val="none"/>
          <w:lang w:val="en-US" w:eastAsia="zh-CN"/>
        </w:rPr>
        <w:t>付款方式；</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en-US" w:eastAsia="zh-CN"/>
        </w:rPr>
        <w:t>货物付款方式：</w:t>
      </w:r>
      <w:r>
        <w:rPr>
          <w:rFonts w:hint="eastAsia" w:ascii="宋体" w:hAnsi="宋体" w:cs="宋体"/>
          <w:color w:val="auto"/>
          <w:kern w:val="0"/>
          <w:highlight w:val="none"/>
          <w:lang w:val="zh-CN"/>
        </w:rPr>
        <w:t>合同签订后，</w:t>
      </w:r>
      <w:r>
        <w:rPr>
          <w:rFonts w:hint="eastAsia" w:ascii="宋体" w:hAnsi="宋体" w:cs="宋体"/>
          <w:color w:val="auto"/>
          <w:kern w:val="0"/>
          <w:highlight w:val="none"/>
          <w:lang w:val="en-US" w:eastAsia="zh-CN"/>
        </w:rPr>
        <w:t>货到安装完毕</w:t>
      </w:r>
      <w:r>
        <w:rPr>
          <w:rFonts w:hint="eastAsia" w:ascii="宋体" w:hAnsi="宋体" w:cs="宋体"/>
          <w:color w:val="auto"/>
          <w:kern w:val="0"/>
          <w:highlight w:val="none"/>
          <w:lang w:val="zh-CN"/>
        </w:rPr>
        <w:t>甲方向乙方支付合同</w:t>
      </w:r>
      <w:r>
        <w:rPr>
          <w:rFonts w:hint="eastAsia" w:ascii="宋体" w:hAnsi="宋体" w:cs="宋体"/>
          <w:color w:val="auto"/>
          <w:kern w:val="0"/>
          <w:highlight w:val="none"/>
          <w:lang w:val="en-US" w:eastAsia="zh-CN"/>
        </w:rPr>
        <w:t>设备费</w:t>
      </w:r>
      <w:r>
        <w:rPr>
          <w:rFonts w:hint="eastAsia" w:ascii="宋体" w:hAnsi="宋体" w:cs="宋体"/>
          <w:color w:val="auto"/>
          <w:kern w:val="0"/>
          <w:highlight w:val="none"/>
          <w:lang w:val="zh-CN"/>
        </w:rPr>
        <w:t>总价的</w:t>
      </w:r>
      <w:r>
        <w:rPr>
          <w:rFonts w:hint="eastAsia" w:ascii="宋体" w:hAnsi="宋体" w:cs="宋体"/>
          <w:color w:val="auto"/>
          <w:kern w:val="0"/>
          <w:highlight w:val="none"/>
          <w:lang w:val="en-US" w:eastAsia="zh-CN"/>
        </w:rPr>
        <w:t>60</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验收合格后</w:t>
      </w:r>
      <w:r>
        <w:rPr>
          <w:rFonts w:hint="eastAsia" w:ascii="宋体" w:hAnsi="宋体" w:cs="宋体"/>
          <w:color w:val="auto"/>
          <w:kern w:val="0"/>
          <w:highlight w:val="none"/>
          <w:lang w:val="zh-CN"/>
        </w:rPr>
        <w:t>支付合同</w:t>
      </w:r>
      <w:r>
        <w:rPr>
          <w:rFonts w:hint="eastAsia" w:ascii="宋体" w:hAnsi="宋体" w:cs="宋体"/>
          <w:color w:val="auto"/>
          <w:kern w:val="0"/>
          <w:highlight w:val="none"/>
          <w:lang w:val="en-US" w:eastAsia="zh-CN"/>
        </w:rPr>
        <w:t>设备费</w:t>
      </w:r>
      <w:r>
        <w:rPr>
          <w:rFonts w:hint="eastAsia" w:ascii="宋体" w:hAnsi="宋体" w:cs="宋体"/>
          <w:color w:val="auto"/>
          <w:kern w:val="0"/>
          <w:highlight w:val="none"/>
          <w:lang w:val="zh-CN"/>
        </w:rPr>
        <w:t>总价的</w:t>
      </w:r>
      <w:r>
        <w:rPr>
          <w:rFonts w:hint="eastAsia" w:ascii="宋体" w:hAnsi="宋体" w:cs="宋体"/>
          <w:color w:val="auto"/>
          <w:kern w:val="0"/>
          <w:highlight w:val="none"/>
        </w:rPr>
        <w:t>3</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剩余</w:t>
      </w:r>
      <w:r>
        <w:rPr>
          <w:rFonts w:hint="eastAsia" w:ascii="宋体" w:hAnsi="宋体" w:cs="宋体"/>
          <w:color w:val="auto"/>
          <w:kern w:val="0"/>
          <w:highlight w:val="none"/>
          <w:lang w:val="zh-CN"/>
        </w:rPr>
        <w:t>合同</w:t>
      </w:r>
      <w:r>
        <w:rPr>
          <w:rFonts w:hint="eastAsia" w:ascii="宋体" w:hAnsi="宋体" w:cs="宋体"/>
          <w:color w:val="auto"/>
          <w:kern w:val="0"/>
          <w:highlight w:val="none"/>
          <w:lang w:val="en-US" w:eastAsia="zh-CN"/>
        </w:rPr>
        <w:t>设备费</w:t>
      </w:r>
      <w:r>
        <w:rPr>
          <w:rFonts w:hint="eastAsia" w:ascii="宋体" w:hAnsi="宋体" w:cs="宋体"/>
          <w:color w:val="auto"/>
          <w:kern w:val="0"/>
          <w:highlight w:val="none"/>
          <w:lang w:val="zh-CN"/>
        </w:rPr>
        <w:t>总价的</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为质保金，质保期满后支付，质保期同</w:t>
      </w:r>
      <w:r>
        <w:rPr>
          <w:rFonts w:hint="eastAsia" w:ascii="宋体" w:hAnsi="宋体" w:cs="宋体"/>
          <w:color w:val="auto"/>
          <w:kern w:val="0"/>
          <w:highlight w:val="none"/>
          <w:lang w:val="zh-CN"/>
        </w:rPr>
        <w:t>运营维护</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rPr>
        <w:t>。</w:t>
      </w:r>
    </w:p>
    <w:p>
      <w:pPr>
        <w:autoSpaceDE w:val="0"/>
        <w:autoSpaceDN w:val="0"/>
        <w:spacing w:line="360" w:lineRule="auto"/>
        <w:ind w:firstLine="600" w:firstLineChars="250"/>
        <w:rPr>
          <w:rFonts w:hint="eastAsia" w:ascii="宋体" w:hAnsi="宋体" w:cs="宋体"/>
          <w:color w:val="auto"/>
          <w:kern w:val="0"/>
          <w:highlight w:val="none"/>
          <w:lang w:val="en-US" w:eastAsia="zh-CN"/>
        </w:rPr>
      </w:pPr>
      <w:r>
        <w:rPr>
          <w:rFonts w:hint="eastAsia" w:ascii="宋体" w:hAnsi="宋体" w:cs="宋体"/>
          <w:color w:val="auto"/>
          <w:kern w:val="0"/>
          <w:highlight w:val="none"/>
          <w:lang w:val="zh-CN"/>
        </w:rPr>
        <w:t>运营维护</w:t>
      </w:r>
      <w:r>
        <w:rPr>
          <w:rFonts w:hint="eastAsia" w:ascii="宋体" w:hAnsi="宋体" w:cs="宋体"/>
          <w:color w:val="auto"/>
          <w:kern w:val="0"/>
          <w:highlight w:val="none"/>
          <w:lang w:val="en-US" w:eastAsia="zh-CN"/>
        </w:rPr>
        <w:t>付款方式：</w:t>
      </w:r>
      <w:r>
        <w:rPr>
          <w:rFonts w:hint="eastAsia" w:ascii="宋体" w:hAnsi="宋体" w:cs="宋体"/>
          <w:color w:val="auto"/>
          <w:kern w:val="0"/>
          <w:highlight w:val="none"/>
          <w:lang w:val="zh-CN"/>
        </w:rPr>
        <w:t>运营维护</w:t>
      </w:r>
      <w:r>
        <w:rPr>
          <w:rFonts w:hint="eastAsia" w:ascii="宋体" w:hAnsi="宋体" w:cs="宋体"/>
          <w:color w:val="auto"/>
          <w:kern w:val="0"/>
          <w:highlight w:val="none"/>
          <w:lang w:val="en-US" w:eastAsia="zh-CN"/>
        </w:rPr>
        <w:t>正式开始后</w:t>
      </w:r>
      <w:r>
        <w:rPr>
          <w:rFonts w:hint="eastAsia" w:ascii="宋体" w:hAnsi="宋体" w:cs="宋体"/>
          <w:color w:val="auto"/>
          <w:kern w:val="0"/>
          <w:highlight w:val="none"/>
          <w:lang w:val="zh-CN"/>
        </w:rPr>
        <w:t>甲方向乙方支付合同运营维护</w:t>
      </w:r>
      <w:r>
        <w:rPr>
          <w:rFonts w:hint="eastAsia" w:ascii="宋体" w:hAnsi="宋体" w:cs="宋体"/>
          <w:color w:val="auto"/>
          <w:kern w:val="0"/>
          <w:highlight w:val="none"/>
          <w:lang w:val="en-US" w:eastAsia="zh-CN"/>
        </w:rPr>
        <w:t>费</w:t>
      </w:r>
      <w:r>
        <w:rPr>
          <w:rFonts w:hint="eastAsia" w:ascii="宋体" w:hAnsi="宋体" w:cs="宋体"/>
          <w:color w:val="auto"/>
          <w:kern w:val="0"/>
          <w:highlight w:val="none"/>
          <w:lang w:val="zh-CN"/>
        </w:rPr>
        <w:t>总价的</w:t>
      </w:r>
      <w:r>
        <w:rPr>
          <w:rFonts w:hint="eastAsia" w:ascii="宋体" w:hAnsi="宋体" w:cs="宋体"/>
          <w:color w:val="auto"/>
          <w:kern w:val="0"/>
          <w:highlight w:val="none"/>
          <w:lang w:val="en-US" w:eastAsia="zh-CN"/>
        </w:rPr>
        <w:t>30</w:t>
      </w:r>
      <w:r>
        <w:rPr>
          <w:rFonts w:hint="eastAsia" w:ascii="宋体" w:hAnsi="宋体" w:cs="宋体"/>
          <w:color w:val="auto"/>
          <w:kern w:val="0"/>
          <w:highlight w:val="none"/>
          <w:lang w:val="zh-CN"/>
        </w:rPr>
        <w:t>%，运营维护</w:t>
      </w:r>
      <w:r>
        <w:rPr>
          <w:rFonts w:hint="eastAsia" w:ascii="宋体" w:hAnsi="宋体" w:cs="宋体"/>
          <w:color w:val="auto"/>
          <w:kern w:val="0"/>
          <w:highlight w:val="none"/>
          <w:lang w:val="en-US" w:eastAsia="zh-CN"/>
        </w:rPr>
        <w:t>自开始后半年</w:t>
      </w:r>
      <w:r>
        <w:rPr>
          <w:rFonts w:hint="eastAsia" w:ascii="宋体" w:hAnsi="宋体" w:cs="宋体"/>
          <w:color w:val="auto"/>
          <w:kern w:val="0"/>
          <w:highlight w:val="none"/>
          <w:lang w:val="zh-CN"/>
        </w:rPr>
        <w:t>支付合同运营维护</w:t>
      </w:r>
      <w:r>
        <w:rPr>
          <w:rFonts w:hint="eastAsia" w:ascii="宋体" w:hAnsi="宋体" w:cs="宋体"/>
          <w:color w:val="auto"/>
          <w:kern w:val="0"/>
          <w:highlight w:val="none"/>
          <w:lang w:val="en-US" w:eastAsia="zh-CN"/>
        </w:rPr>
        <w:t>费</w:t>
      </w:r>
      <w:r>
        <w:rPr>
          <w:rFonts w:hint="eastAsia" w:ascii="宋体" w:hAnsi="宋体" w:cs="宋体"/>
          <w:color w:val="auto"/>
          <w:kern w:val="0"/>
          <w:highlight w:val="none"/>
          <w:lang w:val="zh-CN"/>
        </w:rPr>
        <w:t>总价的</w:t>
      </w:r>
      <w:r>
        <w:rPr>
          <w:rFonts w:hint="eastAsia" w:ascii="宋体" w:hAnsi="宋体" w:cs="宋体"/>
          <w:color w:val="auto"/>
          <w:kern w:val="0"/>
          <w:highlight w:val="none"/>
        </w:rPr>
        <w:t>3</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%，运营维护</w:t>
      </w:r>
      <w:r>
        <w:rPr>
          <w:rFonts w:hint="eastAsia" w:ascii="宋体" w:hAnsi="宋体" w:cs="宋体"/>
          <w:color w:val="auto"/>
          <w:kern w:val="0"/>
          <w:highlight w:val="none"/>
          <w:lang w:val="en-US" w:eastAsia="zh-CN"/>
        </w:rPr>
        <w:t>满1年后支付</w:t>
      </w:r>
      <w:r>
        <w:rPr>
          <w:rFonts w:hint="eastAsia" w:ascii="宋体" w:hAnsi="宋体" w:cs="宋体"/>
          <w:color w:val="auto"/>
          <w:kern w:val="0"/>
          <w:highlight w:val="none"/>
          <w:lang w:val="zh-CN"/>
        </w:rPr>
        <w:t>合同运营维护</w:t>
      </w:r>
      <w:r>
        <w:rPr>
          <w:rFonts w:hint="eastAsia" w:ascii="宋体" w:hAnsi="宋体" w:cs="宋体"/>
          <w:color w:val="auto"/>
          <w:kern w:val="0"/>
          <w:highlight w:val="none"/>
          <w:lang w:val="en-US" w:eastAsia="zh-CN"/>
        </w:rPr>
        <w:t>费</w:t>
      </w:r>
      <w:r>
        <w:rPr>
          <w:rFonts w:hint="eastAsia" w:ascii="宋体" w:hAnsi="宋体" w:cs="宋体"/>
          <w:color w:val="auto"/>
          <w:kern w:val="0"/>
          <w:highlight w:val="none"/>
          <w:lang w:val="zh-CN"/>
        </w:rPr>
        <w:t>总价的</w:t>
      </w:r>
      <w:r>
        <w:rPr>
          <w:rFonts w:hint="eastAsia" w:ascii="宋体" w:hAnsi="宋体" w:cs="宋体"/>
          <w:color w:val="auto"/>
          <w:kern w:val="0"/>
          <w:highlight w:val="none"/>
          <w:lang w:val="en-US" w:eastAsia="zh-CN"/>
        </w:rPr>
        <w:t>40%</w:t>
      </w:r>
      <w:r>
        <w:rPr>
          <w:rFonts w:hint="eastAsia" w:ascii="宋体" w:hAnsi="宋体" w:cs="宋体"/>
          <w:color w:val="auto"/>
          <w:kern w:val="0"/>
          <w:highlight w:val="none"/>
        </w:rPr>
        <w:t>。</w:t>
      </w:r>
    </w:p>
    <w:p>
      <w:pPr>
        <w:autoSpaceDE w:val="0"/>
        <w:autoSpaceDN w:val="0"/>
        <w:spacing w:line="360" w:lineRule="auto"/>
        <w:ind w:firstLine="600" w:firstLineChars="25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.4.运营维护期限</w:t>
      </w:r>
      <w:r>
        <w:rPr>
          <w:rFonts w:hint="eastAsia" w:ascii="宋体" w:hAnsi="宋体" w:cs="宋体"/>
          <w:color w:val="auto"/>
          <w:kern w:val="0"/>
          <w:highlight w:val="none"/>
        </w:rPr>
        <w:t>:1年（</w:t>
      </w:r>
      <w:r>
        <w:rPr>
          <w:rFonts w:hint="eastAsia" w:ascii="宋体" w:hAnsi="宋体" w:cs="宋体"/>
          <w:color w:val="auto"/>
          <w:kern w:val="0"/>
          <w:highlight w:val="none"/>
          <w:lang w:val="en-US" w:eastAsia="zh-CN"/>
        </w:rPr>
        <w:t>运营维护期满后</w:t>
      </w:r>
      <w:r>
        <w:rPr>
          <w:rFonts w:hint="eastAsia" w:ascii="宋体" w:hAnsi="宋体" w:cs="宋体"/>
          <w:color w:val="auto"/>
          <w:kern w:val="0"/>
          <w:highlight w:val="none"/>
        </w:rPr>
        <w:t>将</w:t>
      </w:r>
      <w:r>
        <w:rPr>
          <w:rFonts w:hint="eastAsia" w:ascii="宋体" w:hAnsi="宋体" w:cs="宋体"/>
          <w:color w:val="auto"/>
          <w:kern w:val="0"/>
          <w:highlight w:val="none"/>
          <w:lang w:val="zh-CN"/>
        </w:rPr>
        <w:t>运营维护设备、资料等进行</w:t>
      </w:r>
      <w:r>
        <w:rPr>
          <w:rFonts w:hint="eastAsia" w:ascii="宋体" w:hAnsi="宋体" w:cs="宋体"/>
          <w:color w:val="auto"/>
          <w:kern w:val="0"/>
          <w:highlight w:val="none"/>
        </w:rPr>
        <w:t>移交，经甲方验收</w:t>
      </w:r>
      <w:r>
        <w:rPr>
          <w:rFonts w:hint="eastAsia" w:ascii="宋体" w:hAnsi="宋体" w:cs="宋体"/>
          <w:color w:val="auto"/>
          <w:kern w:val="0"/>
          <w:highlight w:val="none"/>
          <w:lang w:val="zh-CN"/>
        </w:rPr>
        <w:t>运营维护设备完好、资料齐全，</w:t>
      </w:r>
      <w:r>
        <w:rPr>
          <w:rFonts w:hint="eastAsia" w:ascii="宋体" w:hAnsi="宋体" w:cs="宋体"/>
          <w:color w:val="auto"/>
          <w:kern w:val="0"/>
          <w:highlight w:val="none"/>
        </w:rPr>
        <w:t>甲方认可后方可接收）</w:t>
      </w:r>
    </w:p>
    <w:p>
      <w:pPr>
        <w:autoSpaceDE w:val="0"/>
        <w:autoSpaceDN w:val="0"/>
        <w:spacing w:line="360" w:lineRule="auto"/>
        <w:ind w:firstLine="600" w:firstLineChars="250"/>
        <w:rPr>
          <w:rFonts w:ascii="宋体" w:cs="宋体"/>
          <w:color w:val="auto"/>
          <w:kern w:val="0"/>
          <w:highlight w:val="none"/>
          <w:lang w:val="zh-CN"/>
        </w:rPr>
        <w:sectPr>
          <w:pgSz w:w="11849" w:h="16781"/>
          <w:pgMar w:top="1440" w:right="1803" w:bottom="1440" w:left="1803" w:header="850" w:footer="992" w:gutter="0"/>
          <w:cols w:space="0" w:num="1"/>
          <w:docGrid w:linePitch="397" w:charSpace="0"/>
        </w:sectPr>
      </w:pPr>
      <w:r>
        <w:rPr>
          <w:rFonts w:hint="eastAsia" w:ascii="宋体" w:hAnsi="宋体" w:cs="宋体"/>
          <w:color w:val="auto"/>
          <w:kern w:val="0"/>
          <w:highlight w:val="none"/>
        </w:rPr>
        <w:t xml:space="preserve">3.5 </w:t>
      </w:r>
      <w:r>
        <w:rPr>
          <w:rFonts w:hint="eastAsia" w:ascii="宋体" w:hAnsi="宋体" w:cs="宋体"/>
          <w:color w:val="auto"/>
          <w:kern w:val="0"/>
          <w:highlight w:val="none"/>
          <w:lang w:val="zh-CN"/>
        </w:rPr>
        <w:t>免费质保期：</w:t>
      </w:r>
      <w:r>
        <w:rPr>
          <w:rFonts w:hint="eastAsia" w:ascii="宋体" w:hAnsi="宋体" w:cs="宋体"/>
          <w:color w:val="auto"/>
          <w:kern w:val="0"/>
          <w:highlight w:val="none"/>
          <w:lang w:val="en-US" w:eastAsia="zh-CN"/>
        </w:rPr>
        <w:t>同</w:t>
      </w:r>
      <w:r>
        <w:rPr>
          <w:rFonts w:hint="eastAsia" w:ascii="宋体" w:hAnsi="宋体" w:cs="宋体"/>
          <w:color w:val="auto"/>
          <w:kern w:val="0"/>
          <w:highlight w:val="none"/>
          <w:lang w:val="zh-CN"/>
        </w:rPr>
        <w:t xml:space="preserve">运营维护期限。 </w:t>
      </w:r>
      <w:r>
        <w:rPr>
          <w:rFonts w:ascii="宋体" w:hAnsi="宋体" w:cs="宋体"/>
          <w:color w:val="auto"/>
          <w:kern w:val="0"/>
          <w:highlight w:val="none"/>
          <w:lang w:val="zh-CN"/>
        </w:rPr>
        <w:t xml:space="preserve"> </w:t>
      </w:r>
    </w:p>
    <w:p>
      <w:pPr>
        <w:pStyle w:val="28"/>
        <w:numPr>
          <w:ilvl w:val="0"/>
          <w:numId w:val="14"/>
        </w:numPr>
        <w:spacing w:before="0" w:after="0" w:line="360" w:lineRule="auto"/>
        <w:rPr>
          <w:color w:val="auto"/>
          <w:highlight w:val="none"/>
        </w:rPr>
      </w:pPr>
      <w:bookmarkStart w:id="180" w:name="_Toc24469"/>
      <w:r>
        <w:rPr>
          <w:rFonts w:hint="eastAsia" w:ascii="宋体" w:hAnsi="宋体" w:cs="宋体"/>
          <w:color w:val="auto"/>
          <w:highlight w:val="none"/>
          <w:lang w:val="zh-CN"/>
        </w:rPr>
        <w:t>项目概况及技术参数</w:t>
      </w:r>
      <w:bookmarkEnd w:id="179"/>
      <w:bookmarkEnd w:id="180"/>
    </w:p>
    <w:p>
      <w:pPr>
        <w:pStyle w:val="7"/>
        <w:rPr>
          <w:color w:val="auto"/>
          <w:sz w:val="28"/>
          <w:szCs w:val="28"/>
          <w:highlight w:val="none"/>
        </w:rPr>
      </w:pPr>
      <w:bookmarkStart w:id="181" w:name="_Toc12928"/>
      <w:r>
        <w:rPr>
          <w:rFonts w:hint="eastAsia"/>
          <w:color w:val="auto"/>
          <w:sz w:val="28"/>
          <w:szCs w:val="28"/>
          <w:highlight w:val="none"/>
        </w:rPr>
        <w:t>1、采购清单</w:t>
      </w:r>
      <w:bookmarkEnd w:id="181"/>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5500"/>
        <w:gridCol w:w="97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序号</w:t>
            </w:r>
          </w:p>
        </w:tc>
        <w:tc>
          <w:tcPr>
            <w:tcW w:w="5500" w:type="dxa"/>
            <w:shd w:val="clear" w:color="auto" w:fill="auto"/>
            <w:noWrap/>
            <w:vAlign w:val="center"/>
          </w:tcPr>
          <w:p>
            <w:pPr>
              <w:pStyle w:val="63"/>
              <w:rPr>
                <w:color w:val="auto"/>
                <w:sz w:val="24"/>
                <w:szCs w:val="24"/>
                <w:highlight w:val="none"/>
              </w:rPr>
            </w:pPr>
            <w:r>
              <w:rPr>
                <w:rFonts w:hint="eastAsia"/>
                <w:color w:val="auto"/>
                <w:sz w:val="24"/>
                <w:szCs w:val="24"/>
                <w:highlight w:val="none"/>
              </w:rPr>
              <w:t>设备名称</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数量</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b/>
                <w:bCs/>
                <w:color w:val="auto"/>
                <w:sz w:val="24"/>
                <w:szCs w:val="24"/>
                <w:highlight w:val="none"/>
              </w:rPr>
            </w:pPr>
            <w:r>
              <w:rPr>
                <w:rFonts w:hint="eastAsia"/>
                <w:b/>
                <w:bCs/>
                <w:color w:val="auto"/>
                <w:sz w:val="24"/>
                <w:szCs w:val="24"/>
                <w:highlight w:val="none"/>
              </w:rPr>
              <w:t>一</w:t>
            </w:r>
          </w:p>
        </w:tc>
        <w:tc>
          <w:tcPr>
            <w:tcW w:w="5500"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固定垂直式机动车尾气遥感监测系统</w:t>
            </w:r>
          </w:p>
        </w:tc>
        <w:tc>
          <w:tcPr>
            <w:tcW w:w="975"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　</w:t>
            </w:r>
          </w:p>
        </w:tc>
        <w:tc>
          <w:tcPr>
            <w:tcW w:w="973"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尾气遥感监测分析仪</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2</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速度/加速度检测仪</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3</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视频车牌捕捉系统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4</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环境气象监测系统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5</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系统工业控制计算机</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6</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遥感监测软件系统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7</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安防监控系统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8</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F型立杆及龙门架</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9</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LED显示屏</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10</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提示牌</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11</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标准气（带瓶、标气阀）</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12</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黑烟车自动抓拍系统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13</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道路流量监测设备</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14</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环境微型空气质量监测系统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b/>
                <w:bCs/>
                <w:color w:val="auto"/>
                <w:sz w:val="24"/>
                <w:szCs w:val="24"/>
                <w:highlight w:val="none"/>
              </w:rPr>
            </w:pPr>
            <w:r>
              <w:rPr>
                <w:rFonts w:hint="eastAsia"/>
                <w:b/>
                <w:bCs/>
                <w:color w:val="auto"/>
                <w:sz w:val="24"/>
                <w:szCs w:val="24"/>
                <w:highlight w:val="none"/>
              </w:rPr>
              <w:t>二</w:t>
            </w:r>
          </w:p>
        </w:tc>
        <w:tc>
          <w:tcPr>
            <w:tcW w:w="5500"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固定水平式机动车尾气遥感监测系统</w:t>
            </w:r>
          </w:p>
        </w:tc>
        <w:tc>
          <w:tcPr>
            <w:tcW w:w="975"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　</w:t>
            </w:r>
          </w:p>
        </w:tc>
        <w:tc>
          <w:tcPr>
            <w:tcW w:w="973"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尾气遥感监测分析仪</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2</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速度/加速度检测仪</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3</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视频车牌捕捉系统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4</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环境气象监测系统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5</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系统工业控制计算机</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6</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遥感监测软件系统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7</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安防监控系统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8</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F型立杆及龙门架</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9</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LED显示屏</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10</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提示牌</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11</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标准气（带瓶、标气阀）</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12</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黑烟车自动抓拍系统</w:t>
            </w:r>
          </w:p>
        </w:tc>
        <w:tc>
          <w:tcPr>
            <w:tcW w:w="975" w:type="dxa"/>
            <w:shd w:val="clear" w:color="auto" w:fill="auto"/>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13</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道路流量监测设备</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color w:val="auto"/>
                <w:sz w:val="24"/>
                <w:szCs w:val="24"/>
                <w:highlight w:val="none"/>
              </w:rPr>
            </w:pPr>
            <w:r>
              <w:rPr>
                <w:rFonts w:hint="eastAsia"/>
                <w:color w:val="auto"/>
                <w:sz w:val="24"/>
                <w:szCs w:val="24"/>
                <w:highlight w:val="none"/>
              </w:rPr>
              <w:t>14</w:t>
            </w:r>
          </w:p>
        </w:tc>
        <w:tc>
          <w:tcPr>
            <w:tcW w:w="5500" w:type="dxa"/>
            <w:shd w:val="clear" w:color="auto" w:fill="auto"/>
            <w:vAlign w:val="center"/>
          </w:tcPr>
          <w:p>
            <w:pPr>
              <w:pStyle w:val="63"/>
              <w:rPr>
                <w:color w:val="auto"/>
                <w:sz w:val="24"/>
                <w:szCs w:val="24"/>
                <w:highlight w:val="none"/>
              </w:rPr>
            </w:pPr>
            <w:r>
              <w:rPr>
                <w:rFonts w:hint="eastAsia"/>
                <w:color w:val="auto"/>
                <w:sz w:val="24"/>
                <w:szCs w:val="24"/>
                <w:highlight w:val="none"/>
              </w:rPr>
              <w:t>环境微型空气质量监测系统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b/>
                <w:bCs/>
                <w:color w:val="auto"/>
                <w:sz w:val="24"/>
                <w:szCs w:val="24"/>
                <w:highlight w:val="none"/>
              </w:rPr>
            </w:pPr>
            <w:r>
              <w:rPr>
                <w:rFonts w:hint="eastAsia"/>
                <w:b/>
                <w:bCs/>
                <w:color w:val="auto"/>
                <w:sz w:val="24"/>
                <w:szCs w:val="24"/>
                <w:highlight w:val="none"/>
              </w:rPr>
              <w:t>三</w:t>
            </w:r>
          </w:p>
        </w:tc>
        <w:tc>
          <w:tcPr>
            <w:tcW w:w="5500"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机动车尾气遥感在线监测管理系统</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4" w:type="dxa"/>
            <w:shd w:val="clear" w:color="auto" w:fill="auto"/>
            <w:noWrap/>
            <w:vAlign w:val="center"/>
          </w:tcPr>
          <w:p>
            <w:pPr>
              <w:pStyle w:val="63"/>
              <w:jc w:val="center"/>
              <w:rPr>
                <w:b/>
                <w:bCs/>
                <w:color w:val="auto"/>
                <w:sz w:val="24"/>
                <w:szCs w:val="24"/>
                <w:highlight w:val="none"/>
              </w:rPr>
            </w:pPr>
            <w:r>
              <w:rPr>
                <w:rFonts w:hint="eastAsia"/>
                <w:b/>
                <w:bCs/>
                <w:color w:val="auto"/>
                <w:sz w:val="24"/>
                <w:szCs w:val="24"/>
                <w:highlight w:val="none"/>
              </w:rPr>
              <w:t>四</w:t>
            </w:r>
          </w:p>
        </w:tc>
        <w:tc>
          <w:tcPr>
            <w:tcW w:w="5500" w:type="dxa"/>
            <w:shd w:val="clear" w:color="auto" w:fill="auto"/>
            <w:noWrap/>
            <w:vAlign w:val="center"/>
          </w:tcPr>
          <w:p>
            <w:pPr>
              <w:pStyle w:val="63"/>
              <w:rPr>
                <w:b/>
                <w:bCs/>
                <w:color w:val="auto"/>
                <w:sz w:val="24"/>
                <w:szCs w:val="24"/>
                <w:highlight w:val="none"/>
              </w:rPr>
            </w:pPr>
            <w:r>
              <w:rPr>
                <w:rFonts w:hint="eastAsia"/>
                <w:b/>
                <w:bCs/>
                <w:color w:val="auto"/>
                <w:sz w:val="24"/>
                <w:szCs w:val="24"/>
                <w:highlight w:val="none"/>
              </w:rPr>
              <w:t>运维服务</w:t>
            </w:r>
          </w:p>
        </w:tc>
        <w:tc>
          <w:tcPr>
            <w:tcW w:w="975" w:type="dxa"/>
            <w:shd w:val="clear" w:color="auto" w:fill="auto"/>
            <w:noWrap/>
            <w:vAlign w:val="center"/>
          </w:tcPr>
          <w:p>
            <w:pPr>
              <w:pStyle w:val="63"/>
              <w:rPr>
                <w:color w:val="auto"/>
                <w:sz w:val="24"/>
                <w:szCs w:val="24"/>
                <w:highlight w:val="none"/>
              </w:rPr>
            </w:pPr>
            <w:r>
              <w:rPr>
                <w:rFonts w:hint="eastAsia"/>
                <w:color w:val="auto"/>
                <w:sz w:val="24"/>
                <w:szCs w:val="24"/>
                <w:highlight w:val="none"/>
              </w:rPr>
              <w:t>1</w:t>
            </w:r>
          </w:p>
        </w:tc>
        <w:tc>
          <w:tcPr>
            <w:tcW w:w="973" w:type="dxa"/>
            <w:shd w:val="clear" w:color="auto" w:fill="auto"/>
            <w:noWrap/>
            <w:vAlign w:val="center"/>
          </w:tcPr>
          <w:p>
            <w:pPr>
              <w:pStyle w:val="63"/>
              <w:rPr>
                <w:color w:val="auto"/>
                <w:sz w:val="24"/>
                <w:szCs w:val="24"/>
                <w:highlight w:val="none"/>
              </w:rPr>
            </w:pPr>
            <w:r>
              <w:rPr>
                <w:rFonts w:hint="eastAsia"/>
                <w:color w:val="auto"/>
                <w:sz w:val="24"/>
                <w:szCs w:val="24"/>
                <w:highlight w:val="none"/>
              </w:rPr>
              <w:t>年</w:t>
            </w:r>
          </w:p>
        </w:tc>
      </w:tr>
    </w:tbl>
    <w:p>
      <w:pPr>
        <w:pStyle w:val="7"/>
        <w:rPr>
          <w:color w:val="auto"/>
          <w:sz w:val="28"/>
          <w:szCs w:val="28"/>
          <w:highlight w:val="none"/>
        </w:rPr>
      </w:pPr>
      <w:bookmarkStart w:id="182" w:name="_Toc16972"/>
      <w:r>
        <w:rPr>
          <w:rFonts w:hint="eastAsia"/>
          <w:color w:val="auto"/>
          <w:sz w:val="28"/>
          <w:szCs w:val="28"/>
          <w:highlight w:val="none"/>
        </w:rPr>
        <w:t>2技术参数要求</w:t>
      </w:r>
      <w:bookmarkEnd w:id="182"/>
    </w:p>
    <w:p>
      <w:pPr>
        <w:pStyle w:val="8"/>
        <w:numPr>
          <w:ilvl w:val="1"/>
          <w:numId w:val="0"/>
        </w:numPr>
        <w:rPr>
          <w:color w:val="auto"/>
          <w:sz w:val="24"/>
          <w:highlight w:val="none"/>
        </w:rPr>
      </w:pPr>
      <w:bookmarkStart w:id="183" w:name="_Toc10605"/>
      <w:r>
        <w:rPr>
          <w:rFonts w:hint="eastAsia"/>
          <w:color w:val="auto"/>
          <w:sz w:val="24"/>
          <w:highlight w:val="none"/>
        </w:rPr>
        <w:t>2.1固定垂直式机动车尾气遥感监测系统技术要求</w:t>
      </w:r>
      <w:bookmarkEnd w:id="183"/>
    </w:p>
    <w:tbl>
      <w:tblPr>
        <w:tblStyle w:val="29"/>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311"/>
        <w:gridCol w:w="6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序号</w:t>
            </w:r>
          </w:p>
        </w:tc>
        <w:tc>
          <w:tcPr>
            <w:tcW w:w="1311" w:type="dxa"/>
            <w:vAlign w:val="center"/>
          </w:tcPr>
          <w:p>
            <w:pPr>
              <w:pStyle w:val="63"/>
              <w:rPr>
                <w:color w:val="auto"/>
                <w:sz w:val="24"/>
                <w:szCs w:val="24"/>
                <w:highlight w:val="none"/>
              </w:rPr>
            </w:pPr>
            <w:r>
              <w:rPr>
                <w:rFonts w:hint="eastAsia"/>
                <w:color w:val="auto"/>
                <w:sz w:val="24"/>
                <w:szCs w:val="24"/>
                <w:highlight w:val="none"/>
              </w:rPr>
              <w:t>名称</w:t>
            </w:r>
          </w:p>
        </w:tc>
        <w:tc>
          <w:tcPr>
            <w:tcW w:w="6490" w:type="dxa"/>
            <w:vAlign w:val="center"/>
          </w:tcPr>
          <w:p>
            <w:pPr>
              <w:pStyle w:val="63"/>
              <w:rPr>
                <w:color w:val="auto"/>
                <w:sz w:val="24"/>
                <w:szCs w:val="24"/>
                <w:highlight w:val="none"/>
              </w:rPr>
            </w:pPr>
            <w:r>
              <w:rPr>
                <w:color w:val="auto"/>
                <w:sz w:val="24"/>
                <w:szCs w:val="24"/>
                <w:highlight w:val="none"/>
              </w:rPr>
              <w:t>规格参数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restart"/>
            <w:vAlign w:val="center"/>
          </w:tcPr>
          <w:p>
            <w:pPr>
              <w:pStyle w:val="63"/>
              <w:rPr>
                <w:color w:val="auto"/>
                <w:sz w:val="24"/>
                <w:szCs w:val="24"/>
                <w:highlight w:val="none"/>
              </w:rPr>
            </w:pPr>
            <w:r>
              <w:rPr>
                <w:color w:val="auto"/>
                <w:sz w:val="24"/>
                <w:szCs w:val="24"/>
                <w:highlight w:val="none"/>
              </w:rPr>
              <w:t>1</w:t>
            </w:r>
          </w:p>
        </w:tc>
        <w:tc>
          <w:tcPr>
            <w:tcW w:w="1311" w:type="dxa"/>
            <w:vMerge w:val="restart"/>
            <w:vAlign w:val="center"/>
          </w:tcPr>
          <w:p>
            <w:pPr>
              <w:pStyle w:val="63"/>
              <w:rPr>
                <w:color w:val="auto"/>
                <w:sz w:val="24"/>
                <w:szCs w:val="24"/>
                <w:highlight w:val="none"/>
              </w:rPr>
            </w:pPr>
            <w:r>
              <w:rPr>
                <w:rFonts w:hint="eastAsia"/>
                <w:color w:val="auto"/>
                <w:sz w:val="24"/>
                <w:szCs w:val="24"/>
                <w:highlight w:val="none"/>
              </w:rPr>
              <w:t>尾气遥感监测</w:t>
            </w:r>
            <w:r>
              <w:rPr>
                <w:color w:val="auto"/>
                <w:sz w:val="24"/>
                <w:szCs w:val="24"/>
                <w:highlight w:val="none"/>
              </w:rPr>
              <w:t>系统</w:t>
            </w:r>
          </w:p>
        </w:tc>
        <w:tc>
          <w:tcPr>
            <w:tcW w:w="6490" w:type="dxa"/>
            <w:vAlign w:val="center"/>
          </w:tcPr>
          <w:p>
            <w:pPr>
              <w:pStyle w:val="63"/>
              <w:rPr>
                <w:color w:val="auto"/>
                <w:sz w:val="24"/>
                <w:szCs w:val="24"/>
                <w:highlight w:val="none"/>
              </w:rPr>
            </w:pPr>
            <w:r>
              <w:rPr>
                <w:color w:val="auto"/>
                <w:sz w:val="24"/>
                <w:szCs w:val="24"/>
                <w:highlight w:val="none"/>
              </w:rPr>
              <w:t>监测项目：</w:t>
            </w:r>
          </w:p>
          <w:p>
            <w:pPr>
              <w:pStyle w:val="63"/>
              <w:rPr>
                <w:color w:val="auto"/>
                <w:sz w:val="24"/>
                <w:szCs w:val="24"/>
                <w:highlight w:val="none"/>
              </w:rPr>
            </w:pPr>
            <w:r>
              <w:rPr>
                <w:color w:val="auto"/>
                <w:sz w:val="24"/>
                <w:szCs w:val="24"/>
                <w:highlight w:val="none"/>
              </w:rPr>
              <w:t>一氧化碳（CO）、二氧化碳（CO2）、碳氢化合物（HC）、氮氧化物（NOX）、不透光烟度</w:t>
            </w:r>
            <w:r>
              <w:rPr>
                <w:rFonts w:hint="eastAsia"/>
                <w:color w:val="auto"/>
                <w:sz w:val="24"/>
                <w:szCs w:val="24"/>
                <w:highlight w:val="none"/>
              </w:rPr>
              <w:t>（PM）</w:t>
            </w:r>
            <w:r>
              <w:rPr>
                <w:color w:val="auto"/>
                <w:sz w:val="24"/>
                <w:szCs w:val="24"/>
                <w:highlight w:val="none"/>
              </w:rPr>
              <w:t>和机动车烟度因子（SF），可同时有效监测汽油车、柴油车以及CNG机动车排气污染物</w:t>
            </w:r>
            <w:r>
              <w:rPr>
                <w:rFonts w:hint="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监测原理：</w:t>
            </w:r>
          </w:p>
          <w:p>
            <w:pPr>
              <w:pStyle w:val="63"/>
              <w:rPr>
                <w:color w:val="auto"/>
                <w:sz w:val="24"/>
                <w:szCs w:val="24"/>
                <w:highlight w:val="none"/>
              </w:rPr>
            </w:pPr>
            <w:r>
              <w:rPr>
                <w:rFonts w:hint="eastAsia"/>
                <w:color w:val="auto"/>
                <w:sz w:val="24"/>
                <w:szCs w:val="24"/>
                <w:highlight w:val="none"/>
              </w:rPr>
              <w:t>1）点燃式发动机汽车排气污染物排放的CO、CO2、HC、NO测量，可采用红外可调谐二极管激光器（TDL）、不分光红外线吸收型（NDIR）传感器、紫外氘灯或其他等效光源。</w:t>
            </w:r>
          </w:p>
          <w:p>
            <w:pPr>
              <w:pStyle w:val="63"/>
              <w:rPr>
                <w:color w:val="auto"/>
                <w:sz w:val="24"/>
                <w:szCs w:val="24"/>
                <w:highlight w:val="none"/>
              </w:rPr>
            </w:pPr>
            <w:r>
              <w:rPr>
                <w:rFonts w:hint="eastAsia"/>
                <w:color w:val="auto"/>
                <w:sz w:val="24"/>
                <w:szCs w:val="24"/>
                <w:highlight w:val="none"/>
              </w:rPr>
              <w:t>2）压燃式发动机汽车排气烟度测量，其不透光度测量应采用550-570nm波长的绿色发光二极管光源或其他等效光源；林格曼黑度可使用视频摄像设备进行拍摄。</w:t>
            </w:r>
          </w:p>
          <w:p>
            <w:pPr>
              <w:pStyle w:val="63"/>
              <w:rPr>
                <w:color w:val="auto"/>
                <w:sz w:val="24"/>
                <w:szCs w:val="24"/>
                <w:highlight w:val="none"/>
              </w:rPr>
            </w:pPr>
            <w:bookmarkStart w:id="184" w:name="_Hlk54697562"/>
            <w:r>
              <w:rPr>
                <w:rFonts w:hint="eastAsia"/>
                <w:color w:val="auto"/>
                <w:sz w:val="24"/>
                <w:szCs w:val="24"/>
                <w:highlight w:val="none"/>
              </w:rPr>
              <w:t>需提供第三方机构出具的机动车尾气遥感监测设备气体、</w:t>
            </w:r>
            <w:r>
              <w:rPr>
                <w:color w:val="auto"/>
                <w:sz w:val="24"/>
                <w:szCs w:val="24"/>
                <w:highlight w:val="none"/>
              </w:rPr>
              <w:t>温湿度、压力、不透光</w:t>
            </w:r>
            <w:r>
              <w:rPr>
                <w:rFonts w:hint="eastAsia"/>
                <w:color w:val="auto"/>
                <w:sz w:val="24"/>
                <w:szCs w:val="24"/>
                <w:highlight w:val="none"/>
              </w:rPr>
              <w:t>校准证书。</w:t>
            </w:r>
            <w:bookmarkEnd w:id="18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污染物测量范围：</w:t>
            </w:r>
          </w:p>
          <w:p>
            <w:pPr>
              <w:pStyle w:val="63"/>
              <w:rPr>
                <w:color w:val="auto"/>
                <w:sz w:val="24"/>
                <w:szCs w:val="24"/>
                <w:highlight w:val="none"/>
              </w:rPr>
            </w:pPr>
            <w:r>
              <w:rPr>
                <w:color w:val="auto"/>
                <w:sz w:val="24"/>
                <w:szCs w:val="24"/>
                <w:highlight w:val="none"/>
              </w:rPr>
              <w:t>1）一氧化碳（CO）：0%</w:t>
            </w:r>
            <w:r>
              <w:rPr>
                <w:rFonts w:hint="eastAsia"/>
                <w:color w:val="auto"/>
                <w:sz w:val="24"/>
                <w:szCs w:val="24"/>
                <w:highlight w:val="none"/>
              </w:rPr>
              <w:t>～</w:t>
            </w:r>
            <w:r>
              <w:rPr>
                <w:color w:val="auto"/>
                <w:sz w:val="24"/>
                <w:szCs w:val="24"/>
                <w:highlight w:val="none"/>
              </w:rPr>
              <w:t>10%。</w:t>
            </w:r>
          </w:p>
          <w:p>
            <w:pPr>
              <w:pStyle w:val="63"/>
              <w:rPr>
                <w:color w:val="auto"/>
                <w:sz w:val="24"/>
                <w:szCs w:val="24"/>
                <w:highlight w:val="none"/>
              </w:rPr>
            </w:pPr>
            <w:r>
              <w:rPr>
                <w:color w:val="auto"/>
                <w:sz w:val="24"/>
                <w:szCs w:val="24"/>
                <w:highlight w:val="none"/>
              </w:rPr>
              <w:t>2）二氧化碳（CO2）：0%</w:t>
            </w:r>
            <w:r>
              <w:rPr>
                <w:rFonts w:hint="eastAsia"/>
                <w:color w:val="auto"/>
                <w:sz w:val="24"/>
                <w:szCs w:val="24"/>
                <w:highlight w:val="none"/>
              </w:rPr>
              <w:t>～</w:t>
            </w:r>
            <w:r>
              <w:rPr>
                <w:color w:val="auto"/>
                <w:sz w:val="24"/>
                <w:szCs w:val="24"/>
                <w:highlight w:val="none"/>
              </w:rPr>
              <w:t>16%。</w:t>
            </w:r>
          </w:p>
          <w:p>
            <w:pPr>
              <w:pStyle w:val="63"/>
              <w:rPr>
                <w:color w:val="auto"/>
                <w:sz w:val="24"/>
                <w:szCs w:val="24"/>
                <w:highlight w:val="none"/>
              </w:rPr>
            </w:pPr>
            <w:r>
              <w:rPr>
                <w:color w:val="auto"/>
                <w:sz w:val="24"/>
                <w:szCs w:val="24"/>
                <w:highlight w:val="none"/>
              </w:rPr>
              <w:t>3）碳氢化合物（HC）：≤10000ppm。</w:t>
            </w:r>
          </w:p>
          <w:p>
            <w:pPr>
              <w:pStyle w:val="63"/>
              <w:rPr>
                <w:color w:val="auto"/>
                <w:sz w:val="24"/>
                <w:szCs w:val="24"/>
                <w:highlight w:val="none"/>
              </w:rPr>
            </w:pPr>
            <w:r>
              <w:rPr>
                <w:color w:val="auto"/>
                <w:sz w:val="24"/>
                <w:szCs w:val="24"/>
                <w:highlight w:val="none"/>
              </w:rPr>
              <w:t>4）氮氧化物（NOX）：≤10000ppm。</w:t>
            </w:r>
          </w:p>
          <w:p>
            <w:pPr>
              <w:pStyle w:val="63"/>
              <w:rPr>
                <w:color w:val="auto"/>
                <w:sz w:val="24"/>
                <w:szCs w:val="24"/>
                <w:highlight w:val="none"/>
              </w:rPr>
            </w:pPr>
            <w:r>
              <w:rPr>
                <w:color w:val="auto"/>
                <w:sz w:val="24"/>
                <w:szCs w:val="24"/>
                <w:highlight w:val="none"/>
              </w:rPr>
              <w:t>5）不透光度</w:t>
            </w:r>
            <w:r>
              <w:rPr>
                <w:rFonts w:hint="eastAsia"/>
                <w:color w:val="auto"/>
                <w:sz w:val="24"/>
                <w:szCs w:val="24"/>
                <w:highlight w:val="none"/>
              </w:rPr>
              <w:t>（PM）</w:t>
            </w:r>
            <w:r>
              <w:rPr>
                <w:color w:val="auto"/>
                <w:sz w:val="24"/>
                <w:szCs w:val="24"/>
                <w:highlight w:val="none"/>
              </w:rPr>
              <w:t>：0%</w:t>
            </w:r>
            <w:r>
              <w:rPr>
                <w:rFonts w:hint="eastAsia"/>
                <w:color w:val="auto"/>
                <w:sz w:val="24"/>
                <w:szCs w:val="24"/>
                <w:highlight w:val="none"/>
              </w:rPr>
              <w:t>～</w:t>
            </w:r>
            <w:r>
              <w:rPr>
                <w:color w:val="auto"/>
                <w:sz w:val="24"/>
                <w:szCs w:val="24"/>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污染物测量精度：</w:t>
            </w:r>
          </w:p>
          <w:p>
            <w:pPr>
              <w:pStyle w:val="63"/>
              <w:rPr>
                <w:color w:val="auto"/>
                <w:sz w:val="24"/>
                <w:szCs w:val="24"/>
                <w:highlight w:val="none"/>
              </w:rPr>
            </w:pPr>
            <w:r>
              <w:rPr>
                <w:color w:val="auto"/>
                <w:sz w:val="24"/>
                <w:szCs w:val="24"/>
                <w:highlight w:val="none"/>
              </w:rPr>
              <w:t>1）一氧化碳（CO）精度：读数值的±10%（相对值）或±0.25%（绝对值），取最大值。</w:t>
            </w:r>
          </w:p>
          <w:p>
            <w:pPr>
              <w:pStyle w:val="63"/>
              <w:rPr>
                <w:color w:val="auto"/>
                <w:sz w:val="24"/>
                <w:szCs w:val="24"/>
                <w:highlight w:val="none"/>
              </w:rPr>
            </w:pPr>
            <w:r>
              <w:rPr>
                <w:color w:val="auto"/>
                <w:sz w:val="24"/>
                <w:szCs w:val="24"/>
                <w:highlight w:val="none"/>
              </w:rPr>
              <w:t>2）二氧化碳（CO2）精度：读数值的±10%（相对值）或±0.25%（绝对值），取最大值。</w:t>
            </w:r>
          </w:p>
          <w:p>
            <w:pPr>
              <w:pStyle w:val="63"/>
              <w:rPr>
                <w:color w:val="auto"/>
                <w:sz w:val="24"/>
                <w:szCs w:val="24"/>
                <w:highlight w:val="none"/>
              </w:rPr>
            </w:pPr>
            <w:r>
              <w:rPr>
                <w:color w:val="auto"/>
                <w:sz w:val="24"/>
                <w:szCs w:val="24"/>
                <w:highlight w:val="none"/>
              </w:rPr>
              <w:t>3）碳氢化合物（HC）精度：读数值的±10%（相对值）或±10ppm（绝对值），取最大值。</w:t>
            </w:r>
          </w:p>
          <w:p>
            <w:pPr>
              <w:pStyle w:val="63"/>
              <w:rPr>
                <w:color w:val="auto"/>
                <w:sz w:val="24"/>
                <w:szCs w:val="24"/>
                <w:highlight w:val="none"/>
              </w:rPr>
            </w:pPr>
            <w:r>
              <w:rPr>
                <w:color w:val="auto"/>
                <w:sz w:val="24"/>
                <w:szCs w:val="24"/>
                <w:highlight w:val="none"/>
              </w:rPr>
              <w:t>4）氮氧化物（NOX）精度：读数值的±10%（相对值）或±20ppm（绝对值），取最大值。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污染物测量重复性：</w:t>
            </w:r>
          </w:p>
          <w:p>
            <w:pPr>
              <w:pStyle w:val="63"/>
              <w:rPr>
                <w:color w:val="auto"/>
                <w:sz w:val="24"/>
                <w:szCs w:val="24"/>
                <w:highlight w:val="none"/>
              </w:rPr>
            </w:pPr>
            <w:r>
              <w:rPr>
                <w:color w:val="auto"/>
                <w:sz w:val="24"/>
                <w:szCs w:val="24"/>
                <w:highlight w:val="none"/>
              </w:rPr>
              <w:t>一氧化碳（CO）、二氧化碳（CO2）、碳氢化合物（HC）、氮氧化物（NOX）重复性不超过±5%。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rFonts w:hint="eastAsia"/>
                <w:color w:val="auto"/>
                <w:sz w:val="24"/>
                <w:szCs w:val="24"/>
                <w:highlight w:val="none"/>
              </w:rPr>
              <w:t>稳定性：</w:t>
            </w:r>
          </w:p>
          <w:p>
            <w:pPr>
              <w:pStyle w:val="63"/>
              <w:rPr>
                <w:color w:val="auto"/>
                <w:sz w:val="24"/>
                <w:szCs w:val="24"/>
                <w:highlight w:val="none"/>
              </w:rPr>
            </w:pPr>
            <w:r>
              <w:rPr>
                <w:rFonts w:hint="eastAsia"/>
                <w:color w:val="auto"/>
                <w:sz w:val="24"/>
                <w:szCs w:val="24"/>
                <w:highlight w:val="none"/>
              </w:rPr>
              <w:t>遥感检测设备对气体连续测量</w:t>
            </w:r>
            <w:r>
              <w:rPr>
                <w:color w:val="auto"/>
                <w:sz w:val="24"/>
                <w:szCs w:val="24"/>
                <w:highlight w:val="none"/>
              </w:rPr>
              <w:t>1</w:t>
            </w:r>
            <w:r>
              <w:rPr>
                <w:rFonts w:hint="eastAsia"/>
                <w:color w:val="auto"/>
                <w:sz w:val="24"/>
                <w:szCs w:val="24"/>
                <w:highlight w:val="none"/>
              </w:rPr>
              <w:t>小时，误差应不超过遥感检测设备示值允许误差。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rFonts w:hint="eastAsia"/>
                <w:color w:val="auto"/>
                <w:sz w:val="24"/>
                <w:szCs w:val="24"/>
                <w:highlight w:val="none"/>
              </w:rPr>
              <w:t>检出率：</w:t>
            </w:r>
          </w:p>
          <w:p>
            <w:pPr>
              <w:pStyle w:val="63"/>
              <w:rPr>
                <w:color w:val="auto"/>
                <w:sz w:val="24"/>
                <w:szCs w:val="24"/>
                <w:highlight w:val="none"/>
              </w:rPr>
            </w:pPr>
            <w:r>
              <w:rPr>
                <w:rFonts w:hint="eastAsia"/>
                <w:color w:val="auto"/>
                <w:sz w:val="24"/>
                <w:szCs w:val="24"/>
                <w:highlight w:val="none"/>
              </w:rPr>
              <w:t>汽车在加速状态、尾气管后置条件下，有效烟团捕获率不小于85%。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rFonts w:hint="eastAsia"/>
                <w:color w:val="auto"/>
                <w:sz w:val="24"/>
                <w:szCs w:val="24"/>
                <w:highlight w:val="none"/>
              </w:rPr>
              <w:t>安装方式：垂直固定式（龙门架）安装，无人看守，单车排气污染物检测数据及图片处理时间不大于</w:t>
            </w:r>
            <w:r>
              <w:rPr>
                <w:color w:val="auto"/>
                <w:sz w:val="24"/>
                <w:szCs w:val="24"/>
                <w:highlight w:val="none"/>
              </w:rPr>
              <w:t>1 秒，具备昼夜检测功能。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rFonts w:hint="eastAsia"/>
                <w:color w:val="auto"/>
                <w:sz w:val="24"/>
                <w:szCs w:val="24"/>
                <w:highlight w:val="none"/>
              </w:rPr>
              <w:t>安装要求：</w:t>
            </w:r>
          </w:p>
          <w:p>
            <w:pPr>
              <w:pStyle w:val="63"/>
              <w:rPr>
                <w:color w:val="auto"/>
                <w:sz w:val="24"/>
                <w:szCs w:val="24"/>
                <w:highlight w:val="none"/>
              </w:rPr>
            </w:pPr>
            <w:r>
              <w:rPr>
                <w:color w:val="auto"/>
                <w:sz w:val="24"/>
                <w:szCs w:val="24"/>
                <w:highlight w:val="none"/>
              </w:rPr>
              <w:t>1）垂直遥感监测设备地面反射单元，采用双镜面或者其他反射方式。</w:t>
            </w:r>
          </w:p>
          <w:p>
            <w:pPr>
              <w:pStyle w:val="63"/>
              <w:rPr>
                <w:color w:val="auto"/>
                <w:sz w:val="24"/>
                <w:szCs w:val="24"/>
                <w:highlight w:val="none"/>
              </w:rPr>
            </w:pPr>
            <w:r>
              <w:rPr>
                <w:color w:val="auto"/>
                <w:sz w:val="24"/>
                <w:szCs w:val="24"/>
                <w:highlight w:val="none"/>
              </w:rPr>
              <w:t>2）垂直遥感监测设备安装在龙门架上，发射端、反射端光路分别能够同时覆盖正常行驶车道上的左、右排气管位置。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2</w:t>
            </w:r>
          </w:p>
        </w:tc>
        <w:tc>
          <w:tcPr>
            <w:tcW w:w="1311" w:type="dxa"/>
            <w:vAlign w:val="center"/>
          </w:tcPr>
          <w:p>
            <w:pPr>
              <w:pStyle w:val="63"/>
              <w:rPr>
                <w:color w:val="auto"/>
                <w:sz w:val="24"/>
                <w:szCs w:val="24"/>
                <w:highlight w:val="none"/>
              </w:rPr>
            </w:pPr>
            <w:r>
              <w:rPr>
                <w:rFonts w:hint="eastAsia"/>
                <w:color w:val="auto"/>
                <w:sz w:val="24"/>
                <w:szCs w:val="24"/>
                <w:highlight w:val="none"/>
              </w:rPr>
              <w:t>速度/加速度分析仪</w:t>
            </w:r>
          </w:p>
        </w:tc>
        <w:tc>
          <w:tcPr>
            <w:tcW w:w="6490" w:type="dxa"/>
            <w:vAlign w:val="center"/>
          </w:tcPr>
          <w:p>
            <w:pPr>
              <w:pStyle w:val="63"/>
              <w:rPr>
                <w:color w:val="auto"/>
                <w:sz w:val="24"/>
                <w:szCs w:val="24"/>
                <w:highlight w:val="none"/>
              </w:rPr>
            </w:pPr>
            <w:r>
              <w:rPr>
                <w:rFonts w:hint="eastAsia"/>
                <w:color w:val="auto"/>
                <w:sz w:val="24"/>
                <w:szCs w:val="24"/>
                <w:highlight w:val="none"/>
              </w:rPr>
              <w:t>1）车辆速度范围为1.0～100.0km/h；当汽车速度在1.0～50.0km/h，允许误差：±1.5km/h。当汽车速度在50.0～100.0km/h，允许误差：±3.0km/h。</w:t>
            </w:r>
          </w:p>
          <w:p>
            <w:pPr>
              <w:pStyle w:val="63"/>
              <w:rPr>
                <w:color w:val="auto"/>
                <w:sz w:val="24"/>
                <w:szCs w:val="24"/>
                <w:highlight w:val="none"/>
              </w:rPr>
            </w:pPr>
            <w:r>
              <w:rPr>
                <w:rFonts w:hint="eastAsia"/>
                <w:color w:val="auto"/>
                <w:sz w:val="24"/>
                <w:szCs w:val="24"/>
                <w:highlight w:val="none"/>
              </w:rPr>
              <w:t>2）车速测量分析时间≤0.5s；</w:t>
            </w:r>
          </w:p>
          <w:p>
            <w:pPr>
              <w:pStyle w:val="63"/>
              <w:rPr>
                <w:color w:val="auto"/>
                <w:sz w:val="24"/>
                <w:szCs w:val="24"/>
                <w:highlight w:val="none"/>
              </w:rPr>
            </w:pPr>
            <w:r>
              <w:rPr>
                <w:rFonts w:hint="eastAsia"/>
                <w:color w:val="auto"/>
                <w:sz w:val="24"/>
                <w:szCs w:val="24"/>
                <w:highlight w:val="none"/>
              </w:rPr>
              <w:t>3）加速度示值允许误差：±0.22m/s2；</w:t>
            </w:r>
          </w:p>
          <w:p>
            <w:pPr>
              <w:pStyle w:val="63"/>
              <w:rPr>
                <w:color w:val="auto"/>
                <w:sz w:val="24"/>
                <w:szCs w:val="24"/>
                <w:highlight w:val="none"/>
              </w:rPr>
            </w:pPr>
            <w:bookmarkStart w:id="185" w:name="_Hlk54697687"/>
            <w:r>
              <w:rPr>
                <w:rFonts w:hint="eastAsia"/>
                <w:color w:val="auto"/>
                <w:sz w:val="24"/>
                <w:szCs w:val="24"/>
                <w:highlight w:val="none"/>
              </w:rPr>
              <w:t>需提供第三方机构出具的速度加速度校准证书；</w:t>
            </w:r>
            <w:bookmarkEnd w:id="18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3</w:t>
            </w:r>
          </w:p>
        </w:tc>
        <w:tc>
          <w:tcPr>
            <w:tcW w:w="1311" w:type="dxa"/>
            <w:vAlign w:val="center"/>
          </w:tcPr>
          <w:p>
            <w:pPr>
              <w:pStyle w:val="63"/>
              <w:rPr>
                <w:color w:val="auto"/>
                <w:sz w:val="24"/>
                <w:szCs w:val="24"/>
                <w:highlight w:val="none"/>
              </w:rPr>
            </w:pPr>
            <w:r>
              <w:rPr>
                <w:color w:val="auto"/>
                <w:sz w:val="24"/>
                <w:szCs w:val="24"/>
                <w:highlight w:val="none"/>
              </w:rPr>
              <w:t>视频车牌捕捉系统</w:t>
            </w:r>
          </w:p>
        </w:tc>
        <w:tc>
          <w:tcPr>
            <w:tcW w:w="6490" w:type="dxa"/>
            <w:vAlign w:val="center"/>
          </w:tcPr>
          <w:p>
            <w:pPr>
              <w:pStyle w:val="63"/>
              <w:rPr>
                <w:color w:val="auto"/>
                <w:sz w:val="24"/>
                <w:szCs w:val="24"/>
                <w:highlight w:val="none"/>
              </w:rPr>
            </w:pPr>
            <w:r>
              <w:rPr>
                <w:rFonts w:hint="eastAsia"/>
                <w:color w:val="auto"/>
                <w:sz w:val="24"/>
                <w:szCs w:val="24"/>
                <w:highlight w:val="none"/>
              </w:rPr>
              <w:t>需包含高清一体化嵌入式摄像机、高清镜头、室外防护罩、相机内置网络信号防雷器、电源适配器等</w:t>
            </w:r>
          </w:p>
          <w:p>
            <w:pPr>
              <w:pStyle w:val="63"/>
              <w:rPr>
                <w:color w:val="auto"/>
                <w:sz w:val="24"/>
                <w:szCs w:val="24"/>
                <w:highlight w:val="none"/>
              </w:rPr>
            </w:pPr>
            <w:r>
              <w:rPr>
                <w:rFonts w:hint="eastAsia"/>
                <w:color w:val="auto"/>
                <w:sz w:val="24"/>
                <w:szCs w:val="24"/>
                <w:highlight w:val="none"/>
              </w:rPr>
              <w:t>图像传感器：采用1英寸GMOS</w:t>
            </w:r>
          </w:p>
          <w:p>
            <w:pPr>
              <w:pStyle w:val="63"/>
              <w:rPr>
                <w:color w:val="auto"/>
                <w:sz w:val="24"/>
                <w:szCs w:val="24"/>
                <w:highlight w:val="none"/>
              </w:rPr>
            </w:pPr>
            <w:r>
              <w:rPr>
                <w:rFonts w:hint="eastAsia"/>
                <w:color w:val="auto"/>
                <w:sz w:val="24"/>
                <w:szCs w:val="24"/>
                <w:highlight w:val="none"/>
              </w:rPr>
              <w:t>最大图像尺寸：≥4096×2160像素；字符叠加时最大可支持4096×2800视频帧率：在1～25fps可调</w:t>
            </w:r>
          </w:p>
          <w:p>
            <w:pPr>
              <w:pStyle w:val="63"/>
              <w:rPr>
                <w:color w:val="auto"/>
                <w:sz w:val="24"/>
                <w:szCs w:val="24"/>
                <w:highlight w:val="none"/>
              </w:rPr>
            </w:pPr>
            <w:r>
              <w:rPr>
                <w:rFonts w:hint="eastAsia"/>
                <w:color w:val="auto"/>
                <w:sz w:val="24"/>
                <w:szCs w:val="24"/>
                <w:highlight w:val="none"/>
              </w:rPr>
              <w:t>视频压缩支持H.265、H.264、M-JPEG、MPEG4</w:t>
            </w:r>
          </w:p>
          <w:p>
            <w:pPr>
              <w:pStyle w:val="63"/>
              <w:rPr>
                <w:color w:val="auto"/>
                <w:sz w:val="24"/>
                <w:szCs w:val="24"/>
                <w:highlight w:val="none"/>
              </w:rPr>
            </w:pPr>
            <w:r>
              <w:rPr>
                <w:rFonts w:hint="eastAsia"/>
                <w:color w:val="auto"/>
                <w:sz w:val="24"/>
                <w:szCs w:val="24"/>
                <w:highlight w:val="none"/>
              </w:rPr>
              <w:t>护罩玻璃透光率≥99%</w:t>
            </w:r>
          </w:p>
          <w:p>
            <w:pPr>
              <w:pStyle w:val="63"/>
              <w:rPr>
                <w:color w:val="auto"/>
                <w:sz w:val="24"/>
                <w:szCs w:val="24"/>
                <w:highlight w:val="none"/>
              </w:rPr>
            </w:pPr>
            <w:r>
              <w:rPr>
                <w:rFonts w:hint="eastAsia"/>
                <w:color w:val="auto"/>
                <w:sz w:val="24"/>
                <w:szCs w:val="24"/>
                <w:highlight w:val="none"/>
              </w:rPr>
              <w:t>支持主码流同时输出不少于30路2048×1536、2Mbps的25帧/s图像以提供客户端浏览</w:t>
            </w:r>
          </w:p>
          <w:p>
            <w:pPr>
              <w:pStyle w:val="63"/>
              <w:rPr>
                <w:color w:val="auto"/>
                <w:sz w:val="24"/>
                <w:szCs w:val="24"/>
                <w:highlight w:val="none"/>
              </w:rPr>
            </w:pPr>
            <w:r>
              <w:rPr>
                <w:rFonts w:hint="eastAsia"/>
                <w:color w:val="auto"/>
                <w:sz w:val="24"/>
                <w:szCs w:val="24"/>
                <w:highlight w:val="none"/>
              </w:rPr>
              <w:t>支持二轮车和行人捕获，白天和晚上的捕获率均≥99%</w:t>
            </w:r>
          </w:p>
          <w:p>
            <w:pPr>
              <w:pStyle w:val="63"/>
              <w:rPr>
                <w:color w:val="auto"/>
                <w:sz w:val="24"/>
                <w:szCs w:val="24"/>
                <w:highlight w:val="none"/>
              </w:rPr>
            </w:pPr>
            <w:r>
              <w:rPr>
                <w:rFonts w:hint="eastAsia"/>
                <w:color w:val="auto"/>
                <w:sz w:val="24"/>
                <w:szCs w:val="24"/>
                <w:highlight w:val="none"/>
              </w:rPr>
              <w:t>支持远光灯开启检测功能</w:t>
            </w:r>
          </w:p>
          <w:p>
            <w:pPr>
              <w:pStyle w:val="63"/>
              <w:rPr>
                <w:color w:val="auto"/>
                <w:sz w:val="24"/>
                <w:szCs w:val="24"/>
                <w:highlight w:val="none"/>
              </w:rPr>
            </w:pPr>
            <w:r>
              <w:rPr>
                <w:rFonts w:hint="eastAsia"/>
                <w:color w:val="auto"/>
                <w:sz w:val="24"/>
                <w:szCs w:val="24"/>
                <w:highlight w:val="none"/>
              </w:rPr>
              <w:t>主码流最大可配置为2048×1536@25fps，码率为6Mbps，子码流、第三码流、第四码流、第五码流最大均可设置为1920×1080@25fps，码率为2Mbps。</w:t>
            </w:r>
          </w:p>
          <w:p>
            <w:pPr>
              <w:pStyle w:val="63"/>
              <w:rPr>
                <w:color w:val="auto"/>
                <w:sz w:val="24"/>
                <w:szCs w:val="24"/>
                <w:highlight w:val="none"/>
              </w:rPr>
            </w:pPr>
            <w:r>
              <w:rPr>
                <w:rFonts w:hint="eastAsia"/>
                <w:color w:val="auto"/>
                <w:sz w:val="24"/>
                <w:szCs w:val="24"/>
                <w:highlight w:val="none"/>
              </w:rPr>
              <w:t>支持检测每个车道车牌识别区的车辆驶入状态和驶出状态</w:t>
            </w:r>
          </w:p>
          <w:p>
            <w:pPr>
              <w:pStyle w:val="63"/>
              <w:rPr>
                <w:color w:val="auto"/>
                <w:sz w:val="24"/>
                <w:szCs w:val="24"/>
                <w:highlight w:val="none"/>
              </w:rPr>
            </w:pPr>
            <w:r>
              <w:rPr>
                <w:rFonts w:hint="eastAsia"/>
                <w:color w:val="auto"/>
                <w:sz w:val="24"/>
                <w:szCs w:val="24"/>
                <w:highlight w:val="none"/>
              </w:rPr>
              <w:t>支持非机动车、行人人体和人脸抠取</w:t>
            </w:r>
          </w:p>
          <w:p>
            <w:pPr>
              <w:pStyle w:val="63"/>
              <w:rPr>
                <w:color w:val="auto"/>
                <w:sz w:val="24"/>
                <w:szCs w:val="24"/>
                <w:highlight w:val="none"/>
              </w:rPr>
            </w:pPr>
            <w:r>
              <w:rPr>
                <w:rFonts w:hint="eastAsia"/>
                <w:color w:val="auto"/>
                <w:sz w:val="24"/>
                <w:szCs w:val="24"/>
                <w:highlight w:val="none"/>
              </w:rPr>
              <w:t>支持smartJPEG编码，能够有效减小抓拍图片大小，压缩比0-100可设置，压缩区域个数1-6可配置。</w:t>
            </w:r>
          </w:p>
          <w:p>
            <w:pPr>
              <w:pStyle w:val="63"/>
              <w:rPr>
                <w:color w:val="auto"/>
                <w:sz w:val="24"/>
                <w:szCs w:val="24"/>
                <w:highlight w:val="none"/>
              </w:rPr>
            </w:pPr>
            <w:r>
              <w:rPr>
                <w:rFonts w:hint="eastAsia"/>
                <w:color w:val="auto"/>
                <w:sz w:val="24"/>
                <w:szCs w:val="24"/>
                <w:highlight w:val="none"/>
              </w:rPr>
              <w:t>支持机动车闯导流鱼腹线违章抓拍</w:t>
            </w:r>
          </w:p>
          <w:p>
            <w:pPr>
              <w:pStyle w:val="63"/>
              <w:rPr>
                <w:color w:val="auto"/>
                <w:sz w:val="24"/>
                <w:szCs w:val="24"/>
                <w:highlight w:val="none"/>
              </w:rPr>
            </w:pPr>
            <w:r>
              <w:rPr>
                <w:rFonts w:hint="eastAsia"/>
                <w:color w:val="auto"/>
                <w:sz w:val="24"/>
                <w:szCs w:val="24"/>
                <w:highlight w:val="none"/>
              </w:rPr>
              <w:t>支持车流量检测功能，可以区分车辆是直行还是左转。</w:t>
            </w:r>
          </w:p>
          <w:p>
            <w:pPr>
              <w:pStyle w:val="63"/>
              <w:rPr>
                <w:color w:val="auto"/>
                <w:sz w:val="24"/>
                <w:szCs w:val="24"/>
                <w:highlight w:val="none"/>
              </w:rPr>
            </w:pPr>
            <w:r>
              <w:rPr>
                <w:rFonts w:hint="eastAsia"/>
                <w:color w:val="auto"/>
                <w:sz w:val="24"/>
                <w:szCs w:val="24"/>
                <w:highlight w:val="none"/>
              </w:rPr>
              <w:t>支持车辆抓拍位置到立杆架设距离叠加功能</w:t>
            </w:r>
          </w:p>
          <w:p>
            <w:pPr>
              <w:pStyle w:val="63"/>
              <w:rPr>
                <w:color w:val="auto"/>
                <w:sz w:val="24"/>
                <w:szCs w:val="24"/>
                <w:highlight w:val="none"/>
              </w:rPr>
            </w:pPr>
            <w:r>
              <w:rPr>
                <w:rFonts w:hint="eastAsia"/>
                <w:color w:val="auto"/>
                <w:sz w:val="24"/>
                <w:szCs w:val="24"/>
                <w:highlight w:val="none"/>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4</w:t>
            </w:r>
          </w:p>
        </w:tc>
        <w:tc>
          <w:tcPr>
            <w:tcW w:w="1311" w:type="dxa"/>
            <w:vAlign w:val="center"/>
          </w:tcPr>
          <w:p>
            <w:pPr>
              <w:pStyle w:val="63"/>
              <w:rPr>
                <w:color w:val="auto"/>
                <w:sz w:val="24"/>
                <w:szCs w:val="24"/>
                <w:highlight w:val="none"/>
              </w:rPr>
            </w:pPr>
            <w:r>
              <w:rPr>
                <w:rFonts w:hint="eastAsia"/>
                <w:color w:val="auto"/>
                <w:sz w:val="24"/>
                <w:szCs w:val="24"/>
                <w:highlight w:val="none"/>
              </w:rPr>
              <w:t>环境</w:t>
            </w:r>
            <w:r>
              <w:rPr>
                <w:color w:val="auto"/>
                <w:sz w:val="24"/>
                <w:szCs w:val="24"/>
                <w:highlight w:val="none"/>
              </w:rPr>
              <w:t>气象监测系统</w:t>
            </w:r>
          </w:p>
        </w:tc>
        <w:tc>
          <w:tcPr>
            <w:tcW w:w="6490" w:type="dxa"/>
            <w:vAlign w:val="center"/>
          </w:tcPr>
          <w:p>
            <w:pPr>
              <w:pStyle w:val="63"/>
              <w:rPr>
                <w:color w:val="auto"/>
                <w:sz w:val="24"/>
                <w:szCs w:val="24"/>
                <w:highlight w:val="none"/>
              </w:rPr>
            </w:pPr>
            <w:r>
              <w:rPr>
                <w:rFonts w:hint="eastAsia"/>
                <w:color w:val="auto"/>
                <w:sz w:val="24"/>
                <w:szCs w:val="24"/>
                <w:highlight w:val="none"/>
              </w:rPr>
              <w:t>1）温度计检测范围：-40℃至50℃，允许误差：±0.5℃。</w:t>
            </w:r>
          </w:p>
          <w:p>
            <w:pPr>
              <w:pStyle w:val="63"/>
              <w:rPr>
                <w:color w:val="auto"/>
                <w:sz w:val="24"/>
                <w:szCs w:val="24"/>
                <w:highlight w:val="none"/>
              </w:rPr>
            </w:pPr>
            <w:r>
              <w:rPr>
                <w:rFonts w:hint="eastAsia"/>
                <w:color w:val="auto"/>
                <w:sz w:val="24"/>
                <w:szCs w:val="24"/>
                <w:highlight w:val="none"/>
              </w:rPr>
              <w:t>2）相对湿度检测范围：5%至95%，允许误差：满量程的±3%。</w:t>
            </w:r>
          </w:p>
          <w:p>
            <w:pPr>
              <w:pStyle w:val="63"/>
              <w:rPr>
                <w:color w:val="auto"/>
                <w:sz w:val="24"/>
                <w:szCs w:val="24"/>
                <w:highlight w:val="none"/>
              </w:rPr>
            </w:pPr>
            <w:r>
              <w:rPr>
                <w:rFonts w:hint="eastAsia"/>
                <w:color w:val="auto"/>
                <w:sz w:val="24"/>
                <w:szCs w:val="24"/>
                <w:highlight w:val="none"/>
              </w:rPr>
              <w:t>3）坡度角度检测范围：-15至15°，允许误差：±0.1°。</w:t>
            </w:r>
          </w:p>
          <w:p>
            <w:pPr>
              <w:pStyle w:val="63"/>
              <w:rPr>
                <w:color w:val="auto"/>
                <w:sz w:val="24"/>
                <w:szCs w:val="24"/>
                <w:highlight w:val="none"/>
              </w:rPr>
            </w:pPr>
            <w:r>
              <w:rPr>
                <w:rFonts w:hint="eastAsia"/>
                <w:color w:val="auto"/>
                <w:sz w:val="24"/>
                <w:szCs w:val="24"/>
                <w:highlight w:val="none"/>
              </w:rPr>
              <w:t>4）风速仪0-20m/s，允许误差：±5%。</w:t>
            </w:r>
          </w:p>
          <w:p>
            <w:pPr>
              <w:pStyle w:val="63"/>
              <w:rPr>
                <w:color w:val="auto"/>
                <w:sz w:val="24"/>
                <w:szCs w:val="24"/>
                <w:highlight w:val="none"/>
              </w:rPr>
            </w:pPr>
            <w:r>
              <w:rPr>
                <w:rFonts w:hint="eastAsia"/>
                <w:color w:val="auto"/>
                <w:sz w:val="24"/>
                <w:szCs w:val="24"/>
                <w:highlight w:val="none"/>
              </w:rPr>
              <w:t>5）大气压力计：7030-106.0kpa，允许误差：±5%。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rFonts w:hint="eastAsia"/>
                <w:color w:val="auto"/>
                <w:sz w:val="24"/>
                <w:szCs w:val="24"/>
                <w:highlight w:val="none"/>
              </w:rPr>
              <w:t>5</w:t>
            </w:r>
          </w:p>
        </w:tc>
        <w:tc>
          <w:tcPr>
            <w:tcW w:w="1311" w:type="dxa"/>
            <w:vAlign w:val="center"/>
          </w:tcPr>
          <w:p>
            <w:pPr>
              <w:pStyle w:val="63"/>
              <w:rPr>
                <w:color w:val="auto"/>
                <w:sz w:val="24"/>
                <w:szCs w:val="24"/>
                <w:highlight w:val="none"/>
              </w:rPr>
            </w:pPr>
            <w:r>
              <w:rPr>
                <w:rFonts w:hint="eastAsia"/>
                <w:color w:val="auto"/>
                <w:sz w:val="24"/>
                <w:szCs w:val="24"/>
                <w:highlight w:val="none"/>
              </w:rPr>
              <w:t>系统工业控制计算机</w:t>
            </w:r>
          </w:p>
        </w:tc>
        <w:tc>
          <w:tcPr>
            <w:tcW w:w="6490" w:type="dxa"/>
            <w:vAlign w:val="center"/>
          </w:tcPr>
          <w:p>
            <w:pPr>
              <w:pStyle w:val="63"/>
              <w:rPr>
                <w:color w:val="auto"/>
                <w:sz w:val="24"/>
                <w:szCs w:val="24"/>
                <w:highlight w:val="none"/>
              </w:rPr>
            </w:pPr>
            <w:r>
              <w:rPr>
                <w:rFonts w:hint="eastAsia"/>
                <w:color w:val="auto"/>
                <w:sz w:val="24"/>
                <w:szCs w:val="24"/>
                <w:highlight w:val="none"/>
              </w:rPr>
              <w:t>采用四核处理器，</w:t>
            </w:r>
            <w:r>
              <w:rPr>
                <w:color w:val="auto"/>
                <w:sz w:val="24"/>
                <w:szCs w:val="24"/>
                <w:highlight w:val="none"/>
              </w:rPr>
              <w:t>4</w:t>
            </w:r>
            <w:r>
              <w:rPr>
                <w:rFonts w:hint="eastAsia"/>
                <w:color w:val="auto"/>
                <w:sz w:val="24"/>
                <w:szCs w:val="24"/>
                <w:highlight w:val="none"/>
              </w:rPr>
              <w:t>G内存，</w:t>
            </w:r>
            <w:r>
              <w:rPr>
                <w:color w:val="auto"/>
                <w:sz w:val="24"/>
                <w:szCs w:val="24"/>
                <w:highlight w:val="none"/>
              </w:rPr>
              <w:t>19</w:t>
            </w:r>
            <w:r>
              <w:rPr>
                <w:rFonts w:hint="eastAsia"/>
                <w:color w:val="auto"/>
                <w:sz w:val="24"/>
                <w:szCs w:val="24"/>
                <w:highlight w:val="none"/>
              </w:rPr>
              <w:t>英寸触摸屏，500G以上硬盘（含），集成音频，麦克、集成100M或1000M无线/有线网卡，操作系统为简体中文windows系统。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6</w:t>
            </w:r>
          </w:p>
        </w:tc>
        <w:tc>
          <w:tcPr>
            <w:tcW w:w="1311" w:type="dxa"/>
            <w:vAlign w:val="center"/>
          </w:tcPr>
          <w:p>
            <w:pPr>
              <w:pStyle w:val="63"/>
              <w:rPr>
                <w:color w:val="auto"/>
                <w:sz w:val="24"/>
                <w:szCs w:val="24"/>
                <w:highlight w:val="none"/>
              </w:rPr>
            </w:pPr>
            <w:r>
              <w:rPr>
                <w:color w:val="auto"/>
                <w:sz w:val="24"/>
                <w:szCs w:val="24"/>
                <w:highlight w:val="none"/>
              </w:rPr>
              <w:t>遥感监测软件系统</w:t>
            </w:r>
          </w:p>
        </w:tc>
        <w:tc>
          <w:tcPr>
            <w:tcW w:w="6490" w:type="dxa"/>
            <w:vAlign w:val="center"/>
          </w:tcPr>
          <w:p>
            <w:pPr>
              <w:pStyle w:val="63"/>
              <w:rPr>
                <w:color w:val="auto"/>
                <w:sz w:val="24"/>
                <w:szCs w:val="24"/>
                <w:highlight w:val="none"/>
              </w:rPr>
            </w:pPr>
            <w:r>
              <w:rPr>
                <w:rFonts w:hint="eastAsia"/>
                <w:color w:val="auto"/>
                <w:sz w:val="24"/>
                <w:szCs w:val="24"/>
                <w:highlight w:val="none"/>
              </w:rPr>
              <w:t>系统应具备汽油车/柴油车/CNG车辆同时监测功能。对于柴油车和汽油车，系统直接给出检测数据；对于CNG和其他燃料类型的车辆，系统根据车辆信息数据库进行判定之后再给出检测数据。</w:t>
            </w:r>
          </w:p>
          <w:p>
            <w:pPr>
              <w:pStyle w:val="63"/>
              <w:rPr>
                <w:color w:val="auto"/>
                <w:sz w:val="24"/>
                <w:szCs w:val="24"/>
                <w:highlight w:val="none"/>
              </w:rPr>
            </w:pPr>
            <w:r>
              <w:rPr>
                <w:rFonts w:hint="eastAsia"/>
                <w:color w:val="auto"/>
                <w:sz w:val="24"/>
                <w:szCs w:val="24"/>
                <w:highlight w:val="none"/>
              </w:rPr>
              <w:t>技术指标要求：</w:t>
            </w:r>
          </w:p>
          <w:p>
            <w:pPr>
              <w:pStyle w:val="63"/>
              <w:rPr>
                <w:color w:val="auto"/>
                <w:sz w:val="24"/>
                <w:szCs w:val="24"/>
                <w:highlight w:val="none"/>
              </w:rPr>
            </w:pPr>
            <w:r>
              <w:rPr>
                <w:rFonts w:hint="eastAsia"/>
                <w:color w:val="auto"/>
                <w:sz w:val="24"/>
                <w:szCs w:val="24"/>
                <w:highlight w:val="none"/>
              </w:rPr>
              <w:t>1）所有软件界面为简体中文，仪器所有软件与windows系统兼容，方便使用。具备尾气遥感数据及相关数据采集功能</w:t>
            </w:r>
          </w:p>
          <w:p>
            <w:pPr>
              <w:pStyle w:val="63"/>
              <w:rPr>
                <w:color w:val="auto"/>
                <w:sz w:val="24"/>
                <w:szCs w:val="24"/>
                <w:highlight w:val="none"/>
              </w:rPr>
            </w:pPr>
            <w:r>
              <w:rPr>
                <w:rFonts w:hint="eastAsia"/>
                <w:color w:val="auto"/>
                <w:sz w:val="24"/>
                <w:szCs w:val="24"/>
                <w:highlight w:val="none"/>
              </w:rPr>
              <w:t>需提供尾气遥感监测数据采集与处理软件著作权证书（在招标公告发布日之前取得有效）</w:t>
            </w:r>
          </w:p>
          <w:p>
            <w:pPr>
              <w:pStyle w:val="63"/>
              <w:rPr>
                <w:color w:val="auto"/>
                <w:sz w:val="24"/>
                <w:szCs w:val="24"/>
                <w:highlight w:val="none"/>
              </w:rPr>
            </w:pPr>
            <w:r>
              <w:rPr>
                <w:color w:val="auto"/>
                <w:sz w:val="24"/>
                <w:szCs w:val="24"/>
                <w:highlight w:val="none"/>
              </w:rPr>
              <w:t>2</w:t>
            </w:r>
            <w:r>
              <w:rPr>
                <w:rFonts w:hint="eastAsia"/>
                <w:color w:val="auto"/>
                <w:sz w:val="24"/>
                <w:szCs w:val="24"/>
                <w:highlight w:val="none"/>
              </w:rPr>
              <w:t>）系统在开启电源后自动启动，并对系统的各单元进行自动检测，同时将检测结果给予显示。</w:t>
            </w:r>
          </w:p>
          <w:p>
            <w:pPr>
              <w:pStyle w:val="63"/>
              <w:rPr>
                <w:color w:val="auto"/>
                <w:sz w:val="24"/>
                <w:szCs w:val="24"/>
                <w:highlight w:val="none"/>
              </w:rPr>
            </w:pPr>
            <w:r>
              <w:rPr>
                <w:color w:val="auto"/>
                <w:sz w:val="24"/>
                <w:szCs w:val="24"/>
                <w:highlight w:val="none"/>
              </w:rPr>
              <w:t>3</w:t>
            </w:r>
            <w:r>
              <w:rPr>
                <w:rFonts w:hint="eastAsia"/>
                <w:color w:val="auto"/>
                <w:sz w:val="24"/>
                <w:szCs w:val="24"/>
                <w:highlight w:val="none"/>
              </w:rPr>
              <w:t>）录像完整并压缩1/4格式储存，车辆图象照片文件名用识别车牌和日期时间组合命名，以便于查找。</w:t>
            </w:r>
          </w:p>
          <w:p>
            <w:pPr>
              <w:pStyle w:val="63"/>
              <w:rPr>
                <w:color w:val="auto"/>
                <w:sz w:val="24"/>
                <w:szCs w:val="24"/>
                <w:highlight w:val="none"/>
              </w:rPr>
            </w:pPr>
            <w:r>
              <w:rPr>
                <w:color w:val="auto"/>
                <w:sz w:val="24"/>
                <w:szCs w:val="24"/>
                <w:highlight w:val="none"/>
              </w:rPr>
              <w:t>4</w:t>
            </w:r>
            <w:r>
              <w:rPr>
                <w:rFonts w:hint="eastAsia"/>
                <w:color w:val="auto"/>
                <w:sz w:val="24"/>
                <w:szCs w:val="24"/>
                <w:highlight w:val="none"/>
              </w:rPr>
              <w:t>）具备2组用户限值输入功能，限值应能根据车辆登记日期选择设置方式，且要求按车辆登记日期设置限值时，除限值能由操作员修改外，其实施标准日期也能由操作员修改。同一天检测的数据只生成一个超限值车辆检测数据记录文件。</w:t>
            </w:r>
          </w:p>
          <w:p>
            <w:pPr>
              <w:pStyle w:val="63"/>
              <w:rPr>
                <w:color w:val="auto"/>
                <w:sz w:val="24"/>
                <w:szCs w:val="24"/>
                <w:highlight w:val="none"/>
              </w:rPr>
            </w:pPr>
            <w:r>
              <w:rPr>
                <w:color w:val="auto"/>
                <w:sz w:val="24"/>
                <w:szCs w:val="24"/>
                <w:highlight w:val="none"/>
              </w:rPr>
              <w:t>5</w:t>
            </w:r>
            <w:r>
              <w:rPr>
                <w:rFonts w:hint="eastAsia"/>
                <w:color w:val="auto"/>
                <w:sz w:val="24"/>
                <w:szCs w:val="24"/>
                <w:highlight w:val="none"/>
              </w:rPr>
              <w:t>）要求具备检测数据无线上传功能，通过无线互联网能将检测数据上传，上传的数据主要有车牌、车牌颜色、以及排放测试数据，有关数据上传格式和内容将根据机动车排放数据管理中心要求在设备调试时提供。</w:t>
            </w:r>
          </w:p>
          <w:p>
            <w:pPr>
              <w:pStyle w:val="63"/>
              <w:rPr>
                <w:color w:val="auto"/>
                <w:sz w:val="24"/>
                <w:szCs w:val="24"/>
                <w:highlight w:val="none"/>
              </w:rPr>
            </w:pPr>
            <w:r>
              <w:rPr>
                <w:color w:val="auto"/>
                <w:sz w:val="24"/>
                <w:szCs w:val="24"/>
                <w:highlight w:val="none"/>
              </w:rPr>
              <w:t>6</w:t>
            </w:r>
            <w:r>
              <w:rPr>
                <w:rFonts w:hint="eastAsia"/>
                <w:color w:val="auto"/>
                <w:sz w:val="24"/>
                <w:szCs w:val="24"/>
                <w:highlight w:val="none"/>
              </w:rPr>
              <w:t>）系统应具备汽油车/柴油车/CNG车辆同时监测功能。对于柴油车和汽油车，系统直接给出检测数据；对于CNG和其他燃料类型的车辆，系统根据车辆信息数据库进行判定之后再给出检测数据。</w:t>
            </w:r>
          </w:p>
          <w:p>
            <w:pPr>
              <w:pStyle w:val="63"/>
              <w:rPr>
                <w:color w:val="auto"/>
                <w:sz w:val="24"/>
                <w:szCs w:val="24"/>
                <w:highlight w:val="none"/>
              </w:rPr>
            </w:pPr>
            <w:r>
              <w:rPr>
                <w:color w:val="auto"/>
                <w:sz w:val="24"/>
                <w:szCs w:val="24"/>
                <w:highlight w:val="none"/>
              </w:rPr>
              <w:t>7</w:t>
            </w:r>
            <w:r>
              <w:rPr>
                <w:rFonts w:hint="eastAsia"/>
                <w:color w:val="auto"/>
                <w:sz w:val="24"/>
                <w:szCs w:val="24"/>
                <w:highlight w:val="none"/>
              </w:rPr>
              <w:t>）系统应能设置两级管理权限：</w:t>
            </w:r>
          </w:p>
          <w:p>
            <w:pPr>
              <w:pStyle w:val="63"/>
              <w:rPr>
                <w:color w:val="auto"/>
                <w:sz w:val="24"/>
                <w:szCs w:val="24"/>
                <w:highlight w:val="none"/>
              </w:rPr>
            </w:pPr>
            <w:r>
              <w:rPr>
                <w:rFonts w:hint="eastAsia"/>
                <w:color w:val="auto"/>
                <w:sz w:val="24"/>
                <w:szCs w:val="24"/>
                <w:highlight w:val="none"/>
              </w:rPr>
              <w:t>系统管理员需要密码登录，可以管理系统的所有功能，包括数据、车辆信息、限值与判别限值的修改或导入等。</w:t>
            </w:r>
          </w:p>
          <w:p>
            <w:pPr>
              <w:pStyle w:val="63"/>
              <w:rPr>
                <w:color w:val="auto"/>
                <w:sz w:val="24"/>
                <w:szCs w:val="24"/>
                <w:highlight w:val="none"/>
              </w:rPr>
            </w:pPr>
            <w:r>
              <w:rPr>
                <w:rFonts w:hint="eastAsia"/>
                <w:color w:val="auto"/>
                <w:sz w:val="24"/>
                <w:szCs w:val="24"/>
                <w:highlight w:val="none"/>
              </w:rPr>
              <w:t>检测员权限不需要密码登录，检测员只具备检测权限和对记录数据、相关检测信息、车辆信息等的阅览权限，具备数据分析、统计、查询等权限。不具备相关修改权限。</w:t>
            </w:r>
          </w:p>
          <w:p>
            <w:pPr>
              <w:pStyle w:val="63"/>
              <w:rPr>
                <w:color w:val="auto"/>
                <w:sz w:val="24"/>
                <w:szCs w:val="24"/>
                <w:highlight w:val="none"/>
              </w:rPr>
            </w:pPr>
            <w:r>
              <w:rPr>
                <w:color w:val="auto"/>
                <w:sz w:val="24"/>
                <w:szCs w:val="24"/>
                <w:highlight w:val="none"/>
              </w:rPr>
              <w:t>8</w:t>
            </w:r>
            <w:r>
              <w:rPr>
                <w:rFonts w:hint="eastAsia"/>
                <w:color w:val="auto"/>
                <w:sz w:val="24"/>
                <w:szCs w:val="24"/>
                <w:highlight w:val="none"/>
              </w:rPr>
              <w:t>）要求系统应具备数据统计、分析、查询能力，至少应具备检测量、超标数量、超标比例统计分析，具备综合查询和特例查询能力。统计分析应具备临时限值（由统计分析人员临时输入一个限值）进行超标车辆数量和超标比例统计。</w:t>
            </w:r>
          </w:p>
          <w:p>
            <w:pPr>
              <w:pStyle w:val="63"/>
              <w:rPr>
                <w:color w:val="auto"/>
                <w:sz w:val="24"/>
                <w:szCs w:val="24"/>
                <w:highlight w:val="none"/>
              </w:rPr>
            </w:pPr>
            <w:r>
              <w:rPr>
                <w:color w:val="auto"/>
                <w:sz w:val="24"/>
                <w:szCs w:val="24"/>
                <w:highlight w:val="none"/>
              </w:rPr>
              <w:t>9</w:t>
            </w:r>
            <w:r>
              <w:rPr>
                <w:rFonts w:hint="eastAsia"/>
                <w:color w:val="auto"/>
                <w:sz w:val="24"/>
                <w:szCs w:val="24"/>
                <w:highlight w:val="none"/>
              </w:rPr>
              <w:t>）要求可以根据需要实时或通过查询调用车辆信息和检测数据进行检测数据、车辆照片等打印能力，具备统计分析结果与统计分析图片打印能力。</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0</w:t>
            </w:r>
            <w:r>
              <w:rPr>
                <w:rFonts w:hint="eastAsia"/>
                <w:color w:val="auto"/>
                <w:sz w:val="24"/>
                <w:szCs w:val="24"/>
                <w:highlight w:val="none"/>
              </w:rPr>
              <w:t>）车辆数据库信息支持情况下，具备自动即时判断显示车辆排放标准。对超标车辆通过LED显示屏显示检测结果。</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1</w:t>
            </w:r>
            <w:r>
              <w:rPr>
                <w:rFonts w:hint="eastAsia"/>
                <w:color w:val="auto"/>
                <w:sz w:val="24"/>
                <w:szCs w:val="24"/>
                <w:highlight w:val="none"/>
              </w:rPr>
              <w:t>）检测数据及识别信息可通过无线网络实时同步传送至远程监控中心，由中心数据库实时记录存储车辆检测信息。</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）具备记录车辆排放状况历史与查询功能。</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3</w:t>
            </w:r>
            <w:r>
              <w:rPr>
                <w:rFonts w:hint="eastAsia"/>
                <w:color w:val="auto"/>
                <w:sz w:val="24"/>
                <w:szCs w:val="24"/>
                <w:highlight w:val="none"/>
              </w:rPr>
              <w:t>）后处理软件：能够按车牌、车型、燃油类型、排放数据、速度、加速度等进行自动汇总、整理、统计、对比、分析和存储。并能根据客户实际需求提供远程数据传输和查询功能。</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4</w:t>
            </w:r>
            <w:r>
              <w:rPr>
                <w:rFonts w:hint="eastAsia"/>
                <w:color w:val="auto"/>
                <w:sz w:val="24"/>
                <w:szCs w:val="24"/>
                <w:highlight w:val="none"/>
              </w:rPr>
              <w:t>）道路测试设备与工控机采取有线数据传输，保证工作现场的安全，保证数据传输的稳定性。</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5</w:t>
            </w:r>
            <w:r>
              <w:rPr>
                <w:rFonts w:hint="eastAsia"/>
                <w:color w:val="auto"/>
                <w:sz w:val="24"/>
                <w:szCs w:val="24"/>
                <w:highlight w:val="none"/>
              </w:rPr>
              <w:t>）林格曼黑度与其他测量指标（如一氧化碳、二氧化碳、碳氢化合物、氮氧化物、不透光度、烟度因子）在遥感软件中同一界面显示。</w:t>
            </w:r>
          </w:p>
          <w:p>
            <w:pPr>
              <w:pStyle w:val="63"/>
              <w:rPr>
                <w:color w:val="auto"/>
                <w:sz w:val="24"/>
                <w:szCs w:val="24"/>
                <w:highlight w:val="none"/>
              </w:rPr>
            </w:pPr>
            <w:r>
              <w:rPr>
                <w:rFonts w:hint="eastAsia"/>
                <w:color w:val="auto"/>
                <w:sz w:val="24"/>
                <w:szCs w:val="24"/>
                <w:highlight w:val="none"/>
              </w:rPr>
              <w:t>需提供机动车尾气遥感监测数据查询与分析软件著作权证书（在招标公告发布日之前取得有效）</w:t>
            </w:r>
          </w:p>
          <w:p>
            <w:pPr>
              <w:pStyle w:val="63"/>
              <w:rPr>
                <w:color w:val="auto"/>
                <w:sz w:val="24"/>
                <w:szCs w:val="24"/>
                <w:highlight w:val="none"/>
              </w:rPr>
            </w:pPr>
            <w:r>
              <w:rPr>
                <w:rFonts w:hint="eastAsia"/>
                <w:color w:val="auto"/>
                <w:sz w:val="24"/>
                <w:szCs w:val="24"/>
                <w:highlight w:val="none"/>
              </w:rPr>
              <w:t>2.系统具备限行车自动筛选功能：</w:t>
            </w:r>
          </w:p>
          <w:p>
            <w:pPr>
              <w:pStyle w:val="63"/>
              <w:rPr>
                <w:color w:val="auto"/>
                <w:sz w:val="24"/>
                <w:szCs w:val="24"/>
                <w:highlight w:val="none"/>
              </w:rPr>
            </w:pPr>
            <w:r>
              <w:rPr>
                <w:rFonts w:hint="eastAsia"/>
                <w:color w:val="auto"/>
                <w:sz w:val="24"/>
                <w:szCs w:val="24"/>
                <w:highlight w:val="none"/>
              </w:rPr>
              <w:t>1）远程维护管理功能：应能通过网络实现数据传输、远程访问、远程维护管理等功能；应提供方便的遥感监测网络数据管理及查询、筛选等操作手段，满足用户的管理需要；用户既可以在系统运行现场进行控制操作，又能进行远程标定等常规操作和与中心其它系统或平台的数据共享。</w:t>
            </w:r>
          </w:p>
          <w:p>
            <w:pPr>
              <w:pStyle w:val="63"/>
              <w:rPr>
                <w:color w:val="auto"/>
                <w:sz w:val="24"/>
                <w:szCs w:val="24"/>
                <w:highlight w:val="none"/>
              </w:rPr>
            </w:pPr>
            <w:r>
              <w:rPr>
                <w:rFonts w:hint="eastAsia"/>
                <w:color w:val="auto"/>
                <w:sz w:val="24"/>
                <w:szCs w:val="24"/>
                <w:highlight w:val="none"/>
              </w:rPr>
              <w:t>2）能储存所有车辆的视频或图象照片，照片和数据应存放在独立文件夹中。</w:t>
            </w:r>
          </w:p>
          <w:p>
            <w:pPr>
              <w:pStyle w:val="63"/>
              <w:rPr>
                <w:color w:val="auto"/>
                <w:sz w:val="24"/>
                <w:szCs w:val="24"/>
                <w:highlight w:val="none"/>
              </w:rPr>
            </w:pPr>
            <w:r>
              <w:rPr>
                <w:rFonts w:hint="eastAsia"/>
                <w:color w:val="auto"/>
                <w:sz w:val="24"/>
                <w:szCs w:val="24"/>
                <w:highlight w:val="none"/>
              </w:rPr>
              <w:t>3）测量数据以数据库记录格式实时记录在硬盘上，同时自动备份，生成文件名中有检测日期，同一天检测的数据只生成一个文件，并能为用户操作使用；数据也可储存在刻录盘上。</w:t>
            </w:r>
          </w:p>
          <w:p>
            <w:pPr>
              <w:pStyle w:val="63"/>
              <w:rPr>
                <w:color w:val="auto"/>
                <w:sz w:val="24"/>
                <w:szCs w:val="24"/>
                <w:highlight w:val="none"/>
              </w:rPr>
            </w:pPr>
            <w:r>
              <w:rPr>
                <w:rFonts w:hint="eastAsia"/>
                <w:color w:val="auto"/>
                <w:sz w:val="24"/>
                <w:szCs w:val="24"/>
                <w:highlight w:val="none"/>
              </w:rPr>
              <w:t>4）记录内容为：测量时间、地点、仪器操作人员、车辆行驶中一氧化碳（CO）、二氧化碳（CO2）、碳氢化合物（HC）、氮氧化物（NOX）、烟度因子（SF）、环境参数、车牌、车长、牌照颜色，对应车辆照片文件名等，记录容量应大于10万组测量数据（或仅限计算机记录容量限制）。</w:t>
            </w:r>
          </w:p>
          <w:p>
            <w:pPr>
              <w:pStyle w:val="63"/>
              <w:rPr>
                <w:color w:val="auto"/>
                <w:sz w:val="24"/>
                <w:szCs w:val="24"/>
                <w:highlight w:val="none"/>
              </w:rPr>
            </w:pPr>
            <w:r>
              <w:rPr>
                <w:rFonts w:hint="eastAsia"/>
                <w:color w:val="auto"/>
                <w:sz w:val="24"/>
                <w:szCs w:val="24"/>
                <w:highlight w:val="none"/>
              </w:rPr>
              <w:t>5）具备测量数据后期处理能力，能根据采购单位要求进行数据判定，并形成相应提示警示信息。</w:t>
            </w:r>
          </w:p>
          <w:p>
            <w:pPr>
              <w:pStyle w:val="63"/>
              <w:rPr>
                <w:color w:val="auto"/>
                <w:sz w:val="24"/>
                <w:szCs w:val="24"/>
                <w:highlight w:val="none"/>
              </w:rPr>
            </w:pPr>
            <w:r>
              <w:rPr>
                <w:rFonts w:hint="eastAsia"/>
                <w:color w:val="auto"/>
                <w:sz w:val="24"/>
                <w:szCs w:val="24"/>
                <w:highlight w:val="none"/>
              </w:rPr>
              <w:t>6）具备GPS定位功能。</w:t>
            </w:r>
          </w:p>
          <w:p>
            <w:pPr>
              <w:pStyle w:val="63"/>
              <w:rPr>
                <w:color w:val="auto"/>
                <w:sz w:val="24"/>
                <w:szCs w:val="24"/>
                <w:highlight w:val="none"/>
              </w:rPr>
            </w:pPr>
            <w:r>
              <w:rPr>
                <w:rFonts w:hint="eastAsia"/>
                <w:color w:val="auto"/>
                <w:sz w:val="24"/>
                <w:szCs w:val="24"/>
                <w:highlight w:val="none"/>
              </w:rPr>
              <w:t>需提供机动车尾气遥感监测实时数据显示软件著作权证书（在招标公告发布日之前取得有效）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7</w:t>
            </w:r>
          </w:p>
        </w:tc>
        <w:tc>
          <w:tcPr>
            <w:tcW w:w="1311" w:type="dxa"/>
            <w:vAlign w:val="center"/>
          </w:tcPr>
          <w:p>
            <w:pPr>
              <w:pStyle w:val="63"/>
              <w:rPr>
                <w:color w:val="auto"/>
                <w:sz w:val="24"/>
                <w:szCs w:val="24"/>
                <w:highlight w:val="none"/>
              </w:rPr>
            </w:pPr>
            <w:r>
              <w:rPr>
                <w:color w:val="auto"/>
                <w:sz w:val="24"/>
                <w:szCs w:val="24"/>
                <w:highlight w:val="none"/>
              </w:rPr>
              <w:t>安防监控系统</w:t>
            </w:r>
          </w:p>
        </w:tc>
        <w:tc>
          <w:tcPr>
            <w:tcW w:w="6490" w:type="dxa"/>
            <w:vAlign w:val="center"/>
          </w:tcPr>
          <w:p>
            <w:pPr>
              <w:pStyle w:val="63"/>
              <w:rPr>
                <w:color w:val="auto"/>
                <w:sz w:val="24"/>
                <w:szCs w:val="24"/>
                <w:highlight w:val="none"/>
              </w:rPr>
            </w:pPr>
            <w:r>
              <w:rPr>
                <w:rFonts w:hint="eastAsia"/>
                <w:color w:val="auto"/>
                <w:sz w:val="24"/>
                <w:szCs w:val="24"/>
                <w:highlight w:val="none"/>
              </w:rPr>
              <w:t>为了防止尾气遥感设备遭到破坏，要求安装视频监控系统：监控范围要涵盖所有的仪器设备，可实现日夜监控；高清摄像头，能人脸侦测；户外安装，要求防水防尘，可实现远程端自动控制，视频资料可以随时调阅，要求监控录像存储周期不小于30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rFonts w:hint="eastAsia"/>
                <w:color w:val="auto"/>
                <w:sz w:val="24"/>
                <w:szCs w:val="24"/>
                <w:highlight w:val="none"/>
              </w:rPr>
              <w:t>8</w:t>
            </w:r>
          </w:p>
        </w:tc>
        <w:tc>
          <w:tcPr>
            <w:tcW w:w="1311" w:type="dxa"/>
            <w:vAlign w:val="center"/>
          </w:tcPr>
          <w:p>
            <w:pPr>
              <w:pStyle w:val="63"/>
              <w:rPr>
                <w:color w:val="auto"/>
                <w:sz w:val="24"/>
                <w:szCs w:val="24"/>
                <w:highlight w:val="none"/>
              </w:rPr>
            </w:pPr>
            <w:r>
              <w:rPr>
                <w:rFonts w:hint="eastAsia"/>
                <w:color w:val="auto"/>
                <w:sz w:val="24"/>
                <w:szCs w:val="24"/>
                <w:highlight w:val="none"/>
              </w:rPr>
              <w:t>F型立杆及龙门架</w:t>
            </w:r>
          </w:p>
        </w:tc>
        <w:tc>
          <w:tcPr>
            <w:tcW w:w="6490" w:type="dxa"/>
            <w:vAlign w:val="center"/>
          </w:tcPr>
          <w:p>
            <w:pPr>
              <w:pStyle w:val="63"/>
              <w:rPr>
                <w:color w:val="auto"/>
                <w:sz w:val="24"/>
                <w:szCs w:val="24"/>
                <w:highlight w:val="none"/>
              </w:rPr>
            </w:pPr>
            <w:r>
              <w:rPr>
                <w:color w:val="auto"/>
                <w:sz w:val="24"/>
                <w:szCs w:val="24"/>
                <w:highlight w:val="none"/>
              </w:rPr>
              <w:t>F</w:t>
            </w:r>
            <w:r>
              <w:rPr>
                <w:rFonts w:hint="eastAsia"/>
                <w:color w:val="auto"/>
                <w:sz w:val="24"/>
                <w:szCs w:val="24"/>
                <w:highlight w:val="none"/>
              </w:rPr>
              <w:t>型杆件及</w:t>
            </w:r>
            <w:r>
              <w:rPr>
                <w:color w:val="auto"/>
                <w:sz w:val="24"/>
                <w:szCs w:val="24"/>
                <w:highlight w:val="none"/>
              </w:rPr>
              <w:t>龙门架</w:t>
            </w:r>
            <w:r>
              <w:rPr>
                <w:rFonts w:hint="eastAsia"/>
                <w:color w:val="auto"/>
                <w:sz w:val="24"/>
                <w:szCs w:val="24"/>
                <w:highlight w:val="none"/>
              </w:rPr>
              <w:t>的规格、技术参数、性能及抗震、防雷、防风以及安装，应符合国家及行业部门相关规定的标准要求。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9</w:t>
            </w:r>
          </w:p>
        </w:tc>
        <w:tc>
          <w:tcPr>
            <w:tcW w:w="1311" w:type="dxa"/>
            <w:vAlign w:val="center"/>
          </w:tcPr>
          <w:p>
            <w:pPr>
              <w:pStyle w:val="63"/>
              <w:rPr>
                <w:color w:val="auto"/>
                <w:sz w:val="24"/>
                <w:szCs w:val="24"/>
                <w:highlight w:val="none"/>
              </w:rPr>
            </w:pPr>
            <w:r>
              <w:rPr>
                <w:color w:val="auto"/>
                <w:sz w:val="24"/>
                <w:szCs w:val="24"/>
                <w:highlight w:val="none"/>
              </w:rPr>
              <w:t>LED显示屏</w:t>
            </w:r>
          </w:p>
        </w:tc>
        <w:tc>
          <w:tcPr>
            <w:tcW w:w="6490" w:type="dxa"/>
            <w:vAlign w:val="center"/>
          </w:tcPr>
          <w:p>
            <w:pPr>
              <w:pStyle w:val="63"/>
              <w:rPr>
                <w:color w:val="auto"/>
                <w:sz w:val="24"/>
                <w:szCs w:val="24"/>
                <w:highlight w:val="none"/>
              </w:rPr>
            </w:pPr>
            <w:r>
              <w:rPr>
                <w:rFonts w:hint="eastAsia"/>
                <w:color w:val="auto"/>
                <w:sz w:val="24"/>
                <w:szCs w:val="24"/>
                <w:highlight w:val="none"/>
              </w:rPr>
              <w:t>LED显示屏单面面积不小于1.6m</w:t>
            </w:r>
            <w:r>
              <w:rPr>
                <w:rFonts w:hint="eastAsia"/>
                <w:color w:val="auto"/>
                <w:sz w:val="24"/>
                <w:szCs w:val="24"/>
                <w:highlight w:val="none"/>
                <w:vertAlign w:val="superscript"/>
              </w:rPr>
              <w:t>2</w:t>
            </w:r>
            <w:r>
              <w:rPr>
                <w:rFonts w:hint="eastAsia"/>
                <w:color w:val="auto"/>
                <w:sz w:val="24"/>
                <w:szCs w:val="24"/>
                <w:highlight w:val="none"/>
              </w:rPr>
              <w:t>，过往车辆可清晰看见显示内容，显示颜色：≥65536色，灰度等级：≥256级，工作电压：220V±15%，40-60Hz，可视角度-60°至+30°，水平±70°或以上，像素密度：≥6400点/m2，效果高于双基色显示屏，点距：10mm或更好，抗冲击、防水、防风，寿命大于10万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10</w:t>
            </w:r>
          </w:p>
        </w:tc>
        <w:tc>
          <w:tcPr>
            <w:tcW w:w="1311" w:type="dxa"/>
            <w:vAlign w:val="center"/>
          </w:tcPr>
          <w:p>
            <w:pPr>
              <w:pStyle w:val="63"/>
              <w:rPr>
                <w:color w:val="auto"/>
                <w:sz w:val="24"/>
                <w:szCs w:val="24"/>
                <w:highlight w:val="none"/>
              </w:rPr>
            </w:pPr>
            <w:r>
              <w:rPr>
                <w:color w:val="auto"/>
                <w:sz w:val="24"/>
                <w:szCs w:val="24"/>
                <w:highlight w:val="none"/>
              </w:rPr>
              <w:t>提示牌</w:t>
            </w:r>
          </w:p>
        </w:tc>
        <w:tc>
          <w:tcPr>
            <w:tcW w:w="6490" w:type="dxa"/>
            <w:vAlign w:val="center"/>
          </w:tcPr>
          <w:p>
            <w:pPr>
              <w:pStyle w:val="63"/>
              <w:rPr>
                <w:color w:val="auto"/>
                <w:sz w:val="24"/>
                <w:szCs w:val="24"/>
                <w:highlight w:val="none"/>
              </w:rPr>
            </w:pPr>
            <w:r>
              <w:rPr>
                <w:rFonts w:hint="eastAsia"/>
                <w:color w:val="auto"/>
                <w:sz w:val="24"/>
                <w:szCs w:val="24"/>
                <w:highlight w:val="none"/>
              </w:rPr>
              <w:t>尺寸不小于0.5米×1.0米。户外安装，防腐、防雨，并符合国家的相关要求。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11</w:t>
            </w:r>
          </w:p>
        </w:tc>
        <w:tc>
          <w:tcPr>
            <w:tcW w:w="1311" w:type="dxa"/>
            <w:vAlign w:val="center"/>
          </w:tcPr>
          <w:p>
            <w:pPr>
              <w:pStyle w:val="63"/>
              <w:rPr>
                <w:color w:val="auto"/>
                <w:sz w:val="24"/>
                <w:szCs w:val="24"/>
                <w:highlight w:val="none"/>
              </w:rPr>
            </w:pPr>
            <w:r>
              <w:rPr>
                <w:color w:val="auto"/>
                <w:sz w:val="24"/>
                <w:szCs w:val="24"/>
                <w:highlight w:val="none"/>
              </w:rPr>
              <w:t>标准气（带瓶、标气阀）</w:t>
            </w:r>
          </w:p>
        </w:tc>
        <w:tc>
          <w:tcPr>
            <w:tcW w:w="6490" w:type="dxa"/>
            <w:vAlign w:val="center"/>
          </w:tcPr>
          <w:p>
            <w:pPr>
              <w:pStyle w:val="63"/>
              <w:rPr>
                <w:color w:val="auto"/>
                <w:sz w:val="24"/>
                <w:szCs w:val="24"/>
                <w:highlight w:val="none"/>
              </w:rPr>
            </w:pPr>
            <w:r>
              <w:rPr>
                <w:rFonts w:hint="eastAsia"/>
                <w:color w:val="auto"/>
                <w:sz w:val="24"/>
                <w:szCs w:val="24"/>
                <w:highlight w:val="none"/>
              </w:rPr>
              <w:t>每套含两个铝合金气瓶（标准样气），作为遥感监测系统检测环境背景标定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12</w:t>
            </w:r>
          </w:p>
        </w:tc>
        <w:tc>
          <w:tcPr>
            <w:tcW w:w="1311" w:type="dxa"/>
            <w:vAlign w:val="center"/>
          </w:tcPr>
          <w:p>
            <w:pPr>
              <w:pStyle w:val="63"/>
              <w:rPr>
                <w:color w:val="auto"/>
                <w:sz w:val="24"/>
                <w:szCs w:val="24"/>
                <w:highlight w:val="none"/>
              </w:rPr>
            </w:pPr>
            <w:r>
              <w:rPr>
                <w:rFonts w:hint="eastAsia"/>
                <w:color w:val="auto"/>
                <w:sz w:val="24"/>
                <w:szCs w:val="24"/>
                <w:highlight w:val="none"/>
              </w:rPr>
              <w:t>黑烟车自动抓系统</w:t>
            </w:r>
          </w:p>
        </w:tc>
        <w:tc>
          <w:tcPr>
            <w:tcW w:w="6490" w:type="dxa"/>
            <w:vAlign w:val="center"/>
          </w:tcPr>
          <w:p>
            <w:pPr>
              <w:pStyle w:val="63"/>
              <w:rPr>
                <w:color w:val="auto"/>
                <w:sz w:val="24"/>
                <w:szCs w:val="24"/>
                <w:highlight w:val="none"/>
              </w:rPr>
            </w:pPr>
            <w:r>
              <w:rPr>
                <w:rFonts w:hint="eastAsia"/>
                <w:color w:val="auto"/>
                <w:sz w:val="24"/>
                <w:szCs w:val="24"/>
                <w:highlight w:val="none"/>
              </w:rPr>
              <w:t>1）技术指标要求：</w:t>
            </w:r>
          </w:p>
          <w:p>
            <w:pPr>
              <w:pStyle w:val="63"/>
              <w:rPr>
                <w:color w:val="auto"/>
                <w:sz w:val="24"/>
                <w:szCs w:val="24"/>
                <w:highlight w:val="none"/>
              </w:rPr>
            </w:pPr>
            <w:r>
              <w:rPr>
                <w:rFonts w:hint="eastAsia"/>
                <w:color w:val="auto"/>
                <w:sz w:val="24"/>
                <w:szCs w:val="24"/>
                <w:highlight w:val="none"/>
              </w:rPr>
              <w:t>实时在线监控，自动抓拍、识别黑烟车；</w:t>
            </w:r>
          </w:p>
          <w:p>
            <w:pPr>
              <w:pStyle w:val="63"/>
              <w:rPr>
                <w:color w:val="auto"/>
                <w:sz w:val="24"/>
                <w:szCs w:val="24"/>
                <w:highlight w:val="none"/>
              </w:rPr>
            </w:pPr>
            <w:r>
              <w:rPr>
                <w:rFonts w:hint="eastAsia"/>
                <w:color w:val="auto"/>
                <w:sz w:val="24"/>
                <w:szCs w:val="24"/>
                <w:highlight w:val="none"/>
              </w:rPr>
              <w:t>自动豁免清洁车辆；</w:t>
            </w:r>
          </w:p>
          <w:p>
            <w:pPr>
              <w:pStyle w:val="63"/>
              <w:rPr>
                <w:color w:val="auto"/>
                <w:sz w:val="24"/>
                <w:szCs w:val="24"/>
                <w:highlight w:val="none"/>
              </w:rPr>
            </w:pPr>
            <w:r>
              <w:rPr>
                <w:rFonts w:hint="eastAsia"/>
                <w:color w:val="auto"/>
                <w:sz w:val="24"/>
                <w:szCs w:val="24"/>
                <w:highlight w:val="none"/>
              </w:rPr>
              <w:t>精确的定义黑烟车的特征，降低误报和漏报现象；</w:t>
            </w:r>
          </w:p>
          <w:p>
            <w:pPr>
              <w:pStyle w:val="63"/>
              <w:rPr>
                <w:color w:val="auto"/>
                <w:sz w:val="24"/>
                <w:szCs w:val="24"/>
                <w:highlight w:val="none"/>
              </w:rPr>
            </w:pPr>
            <w:r>
              <w:rPr>
                <w:rFonts w:hint="eastAsia"/>
                <w:color w:val="auto"/>
                <w:sz w:val="24"/>
                <w:szCs w:val="24"/>
                <w:highlight w:val="none"/>
              </w:rPr>
              <w:t>自动筛选保存并传输黑烟车照片、视频等数据；</w:t>
            </w:r>
          </w:p>
          <w:p>
            <w:pPr>
              <w:pStyle w:val="63"/>
              <w:rPr>
                <w:color w:val="auto"/>
                <w:sz w:val="24"/>
                <w:szCs w:val="24"/>
                <w:highlight w:val="none"/>
              </w:rPr>
            </w:pPr>
            <w:r>
              <w:rPr>
                <w:rFonts w:hint="eastAsia"/>
                <w:color w:val="auto"/>
                <w:sz w:val="24"/>
                <w:szCs w:val="24"/>
                <w:highlight w:val="none"/>
              </w:rPr>
              <w:t>自动识别车辆牌照，自动判别黄绿标车辆；</w:t>
            </w:r>
          </w:p>
          <w:p>
            <w:pPr>
              <w:pStyle w:val="63"/>
              <w:rPr>
                <w:color w:val="auto"/>
                <w:sz w:val="24"/>
                <w:szCs w:val="24"/>
                <w:highlight w:val="none"/>
              </w:rPr>
            </w:pPr>
            <w:r>
              <w:rPr>
                <w:rFonts w:hint="eastAsia"/>
                <w:color w:val="auto"/>
                <w:sz w:val="24"/>
                <w:szCs w:val="24"/>
                <w:highlight w:val="none"/>
              </w:rPr>
              <w:t>支持互联网远程控制及数据传输功能：操作人员可在任何地点远程监控、操作设备，查询、提取及管理数据。</w:t>
            </w:r>
          </w:p>
          <w:p>
            <w:pPr>
              <w:pStyle w:val="63"/>
              <w:rPr>
                <w:color w:val="auto"/>
                <w:sz w:val="24"/>
                <w:szCs w:val="24"/>
                <w:highlight w:val="none"/>
              </w:rPr>
            </w:pPr>
            <w:r>
              <w:rPr>
                <w:rFonts w:hint="eastAsia"/>
                <w:color w:val="auto"/>
                <w:sz w:val="24"/>
                <w:szCs w:val="24"/>
                <w:highlight w:val="none"/>
              </w:rPr>
              <w:t>2)系统组成</w:t>
            </w:r>
          </w:p>
          <w:p>
            <w:pPr>
              <w:pStyle w:val="63"/>
              <w:rPr>
                <w:color w:val="auto"/>
                <w:sz w:val="24"/>
                <w:szCs w:val="24"/>
                <w:highlight w:val="none"/>
              </w:rPr>
            </w:pPr>
            <w:r>
              <w:rPr>
                <w:rFonts w:hint="eastAsia"/>
                <w:color w:val="auto"/>
                <w:sz w:val="24"/>
                <w:szCs w:val="24"/>
                <w:highlight w:val="none"/>
              </w:rPr>
              <w:t>固定式黑烟车监控系统由前端设备和后台处理软件组成，前端设备包括高清一体化抓拍主机，运算主机等组成。</w:t>
            </w:r>
          </w:p>
          <w:p>
            <w:pPr>
              <w:pStyle w:val="63"/>
              <w:rPr>
                <w:color w:val="auto"/>
                <w:sz w:val="24"/>
                <w:szCs w:val="24"/>
                <w:highlight w:val="none"/>
              </w:rPr>
            </w:pPr>
            <w:r>
              <w:rPr>
                <w:rFonts w:hint="eastAsia"/>
                <w:color w:val="auto"/>
                <w:sz w:val="24"/>
                <w:szCs w:val="24"/>
                <w:highlight w:val="none"/>
              </w:rPr>
              <w:t>3)一体化抓拍单元</w:t>
            </w:r>
          </w:p>
          <w:p>
            <w:pPr>
              <w:pStyle w:val="63"/>
              <w:rPr>
                <w:color w:val="auto"/>
                <w:sz w:val="24"/>
                <w:szCs w:val="24"/>
                <w:highlight w:val="none"/>
              </w:rPr>
            </w:pPr>
            <w:r>
              <w:rPr>
                <w:rFonts w:hint="eastAsia"/>
                <w:color w:val="auto"/>
                <w:sz w:val="24"/>
                <w:szCs w:val="24"/>
                <w:highlight w:val="none"/>
              </w:rPr>
              <w:t>包含摄像机（内置偏振镜）、高清镜头、室外防护罩、风扇、内置补光灯、电源适配器、相机内置防雷模块、安装万向节等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13</w:t>
            </w:r>
          </w:p>
        </w:tc>
        <w:tc>
          <w:tcPr>
            <w:tcW w:w="1311" w:type="dxa"/>
            <w:vAlign w:val="center"/>
          </w:tcPr>
          <w:p>
            <w:pPr>
              <w:pStyle w:val="63"/>
              <w:rPr>
                <w:color w:val="auto"/>
                <w:sz w:val="24"/>
                <w:szCs w:val="24"/>
                <w:highlight w:val="none"/>
              </w:rPr>
            </w:pPr>
            <w:r>
              <w:rPr>
                <w:rFonts w:hint="eastAsia"/>
                <w:color w:val="auto"/>
                <w:sz w:val="24"/>
                <w:szCs w:val="24"/>
                <w:highlight w:val="none"/>
              </w:rPr>
              <w:t>道路流量监测系统</w:t>
            </w:r>
          </w:p>
        </w:tc>
        <w:tc>
          <w:tcPr>
            <w:tcW w:w="6490" w:type="dxa"/>
            <w:vAlign w:val="center"/>
          </w:tcPr>
          <w:p>
            <w:pPr>
              <w:pStyle w:val="63"/>
              <w:rPr>
                <w:color w:val="auto"/>
                <w:sz w:val="24"/>
                <w:szCs w:val="24"/>
                <w:highlight w:val="none"/>
              </w:rPr>
            </w:pPr>
            <w:r>
              <w:rPr>
                <w:rFonts w:hint="eastAsia"/>
                <w:color w:val="auto"/>
                <w:sz w:val="24"/>
                <w:szCs w:val="24"/>
                <w:highlight w:val="none"/>
              </w:rPr>
              <w:t>需能够实现道路流量监测，包含摄像机、高清镜头、室外防护罩、风扇、相机内置防雷模块、电源适配器、安装万向节、多车道车道识别器、软件系统等；技术要求如下：</w:t>
            </w:r>
          </w:p>
          <w:p>
            <w:pPr>
              <w:pStyle w:val="63"/>
              <w:rPr>
                <w:color w:val="auto"/>
                <w:sz w:val="24"/>
                <w:szCs w:val="24"/>
                <w:highlight w:val="none"/>
              </w:rPr>
            </w:pPr>
            <w:r>
              <w:rPr>
                <w:rFonts w:hint="eastAsia"/>
                <w:color w:val="auto"/>
                <w:sz w:val="24"/>
                <w:szCs w:val="24"/>
                <w:highlight w:val="none"/>
              </w:rPr>
              <w:t>1、支持IP地址获取，样机接入网络时，可自动获取IP地址，并可根据IP地址搜索到设备</w:t>
            </w:r>
          </w:p>
          <w:p>
            <w:pPr>
              <w:pStyle w:val="63"/>
              <w:rPr>
                <w:color w:val="auto"/>
                <w:sz w:val="24"/>
                <w:szCs w:val="24"/>
                <w:highlight w:val="none"/>
              </w:rPr>
            </w:pPr>
            <w:r>
              <w:rPr>
                <w:rFonts w:hint="eastAsia"/>
                <w:color w:val="auto"/>
                <w:sz w:val="24"/>
                <w:szCs w:val="24"/>
                <w:highlight w:val="none"/>
              </w:rPr>
              <w:t>2、摄像机支持内部网络交换功能，支持将串口设备和指定IP网络设备进行数据传输</w:t>
            </w:r>
          </w:p>
          <w:p>
            <w:pPr>
              <w:pStyle w:val="63"/>
              <w:rPr>
                <w:color w:val="auto"/>
                <w:sz w:val="24"/>
                <w:szCs w:val="24"/>
                <w:highlight w:val="none"/>
              </w:rPr>
            </w:pPr>
            <w:r>
              <w:rPr>
                <w:rFonts w:hint="eastAsia"/>
                <w:color w:val="auto"/>
                <w:sz w:val="24"/>
                <w:szCs w:val="24"/>
                <w:highlight w:val="none"/>
              </w:rPr>
              <w:t>3、在静止场景下，相同图像质量时，样机开启Smart264功能后，码流可节约1/3。</w:t>
            </w:r>
          </w:p>
          <w:p>
            <w:pPr>
              <w:pStyle w:val="63"/>
              <w:rPr>
                <w:color w:val="auto"/>
                <w:sz w:val="24"/>
                <w:szCs w:val="24"/>
                <w:highlight w:val="none"/>
              </w:rPr>
            </w:pPr>
            <w:r>
              <w:rPr>
                <w:rFonts w:hint="eastAsia"/>
                <w:color w:val="auto"/>
                <w:sz w:val="24"/>
                <w:szCs w:val="24"/>
                <w:highlight w:val="none"/>
              </w:rPr>
              <w:t>4、最大支持分辨率1920×1080，帧率在1-50fps可调</w:t>
            </w:r>
          </w:p>
          <w:p>
            <w:pPr>
              <w:pStyle w:val="63"/>
              <w:rPr>
                <w:color w:val="auto"/>
                <w:sz w:val="24"/>
                <w:szCs w:val="24"/>
                <w:highlight w:val="none"/>
              </w:rPr>
            </w:pPr>
            <w:r>
              <w:rPr>
                <w:rFonts w:hint="eastAsia"/>
                <w:color w:val="auto"/>
                <w:sz w:val="24"/>
                <w:szCs w:val="24"/>
                <w:highlight w:val="none"/>
              </w:rPr>
              <w:t>5、图像延时：≤230ms（分辨率设置为1920*1080，帧率设置为25fps，码率4Mbps）</w:t>
            </w:r>
          </w:p>
          <w:p>
            <w:pPr>
              <w:pStyle w:val="63"/>
              <w:rPr>
                <w:color w:val="auto"/>
                <w:sz w:val="24"/>
                <w:szCs w:val="24"/>
                <w:highlight w:val="none"/>
              </w:rPr>
            </w:pPr>
            <w:r>
              <w:rPr>
                <w:rFonts w:hint="eastAsia"/>
                <w:color w:val="auto"/>
                <w:sz w:val="24"/>
                <w:szCs w:val="24"/>
                <w:highlight w:val="none"/>
              </w:rPr>
              <w:t>6、可按车道对交通信息进行统计，包括：车流量、平均速度、车头间距、车头时距、车道空间占有率、车道时间占用率、排队长度、交通状态和车辆类型等。</w:t>
            </w:r>
          </w:p>
          <w:p>
            <w:pPr>
              <w:pStyle w:val="63"/>
              <w:rPr>
                <w:color w:val="auto"/>
                <w:sz w:val="24"/>
                <w:szCs w:val="24"/>
                <w:highlight w:val="none"/>
              </w:rPr>
            </w:pPr>
            <w:r>
              <w:rPr>
                <w:rFonts w:hint="eastAsia"/>
                <w:color w:val="auto"/>
                <w:sz w:val="24"/>
                <w:szCs w:val="24"/>
                <w:highlight w:val="none"/>
              </w:rPr>
              <w:t>7、可对检测区域内经过断面的车流量进行统计，白天的准确率为97%，夜间的准确率92%</w:t>
            </w:r>
          </w:p>
          <w:p>
            <w:pPr>
              <w:pStyle w:val="63"/>
              <w:rPr>
                <w:color w:val="auto"/>
                <w:sz w:val="24"/>
                <w:szCs w:val="24"/>
                <w:highlight w:val="none"/>
              </w:rPr>
            </w:pPr>
            <w:r>
              <w:rPr>
                <w:rFonts w:hint="eastAsia"/>
                <w:color w:val="auto"/>
                <w:sz w:val="24"/>
                <w:szCs w:val="24"/>
                <w:highlight w:val="none"/>
              </w:rPr>
              <w:t>8、支持对单车道的平均速度进行统计，经过检测区域的平均速度测量误差白天≤5%，晚上≤10%。</w:t>
            </w:r>
          </w:p>
          <w:p>
            <w:pPr>
              <w:pStyle w:val="63"/>
              <w:rPr>
                <w:color w:val="auto"/>
                <w:sz w:val="24"/>
                <w:szCs w:val="24"/>
                <w:highlight w:val="none"/>
              </w:rPr>
            </w:pPr>
            <w:r>
              <w:rPr>
                <w:rFonts w:hint="eastAsia"/>
                <w:color w:val="auto"/>
                <w:sz w:val="24"/>
                <w:szCs w:val="24"/>
                <w:highlight w:val="none"/>
              </w:rPr>
              <w:t>9、监测范围为车流量方向15m-200m。</w:t>
            </w:r>
          </w:p>
          <w:p>
            <w:pPr>
              <w:pStyle w:val="63"/>
              <w:rPr>
                <w:color w:val="auto"/>
                <w:sz w:val="24"/>
                <w:szCs w:val="24"/>
                <w:highlight w:val="none"/>
              </w:rPr>
            </w:pPr>
            <w:r>
              <w:rPr>
                <w:rFonts w:hint="eastAsia"/>
                <w:color w:val="auto"/>
                <w:sz w:val="24"/>
                <w:szCs w:val="24"/>
                <w:highlight w:val="none"/>
              </w:rPr>
              <w:t>10、电源电压在AC85V-AC264V范围内变化时，设备能正常工作能正常工作。</w:t>
            </w:r>
          </w:p>
          <w:p>
            <w:pPr>
              <w:pStyle w:val="63"/>
              <w:rPr>
                <w:color w:val="auto"/>
                <w:sz w:val="24"/>
                <w:szCs w:val="24"/>
                <w:highlight w:val="none"/>
              </w:rPr>
            </w:pPr>
            <w:r>
              <w:rPr>
                <w:rFonts w:hint="eastAsia"/>
                <w:color w:val="auto"/>
                <w:sz w:val="24"/>
                <w:szCs w:val="24"/>
                <w:highlight w:val="none"/>
              </w:rPr>
              <w:t>需提供车流量检测装置自主知识产权证明</w:t>
            </w:r>
          </w:p>
          <w:p>
            <w:pPr>
              <w:pStyle w:val="63"/>
              <w:rPr>
                <w:color w:val="auto"/>
                <w:sz w:val="24"/>
                <w:szCs w:val="24"/>
                <w:highlight w:val="none"/>
              </w:rPr>
            </w:pPr>
            <w:r>
              <w:rPr>
                <w:rFonts w:hint="eastAsia"/>
                <w:color w:val="auto"/>
                <w:sz w:val="24"/>
                <w:szCs w:val="24"/>
                <w:highlight w:val="none"/>
              </w:rPr>
              <w:t>需提供车流量检测识别软件著作权证书（在招标公告发布日之前取得有效）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14</w:t>
            </w:r>
          </w:p>
        </w:tc>
        <w:tc>
          <w:tcPr>
            <w:tcW w:w="1311" w:type="dxa"/>
            <w:vAlign w:val="center"/>
          </w:tcPr>
          <w:p>
            <w:pPr>
              <w:pStyle w:val="63"/>
              <w:rPr>
                <w:color w:val="auto"/>
                <w:sz w:val="24"/>
                <w:szCs w:val="24"/>
                <w:highlight w:val="none"/>
              </w:rPr>
            </w:pPr>
            <w:r>
              <w:rPr>
                <w:rFonts w:hint="eastAsia"/>
                <w:color w:val="auto"/>
                <w:sz w:val="24"/>
                <w:szCs w:val="24"/>
                <w:highlight w:val="none"/>
              </w:rPr>
              <w:t>微型环境空气质量监测系统</w:t>
            </w:r>
          </w:p>
        </w:tc>
        <w:tc>
          <w:tcPr>
            <w:tcW w:w="6490" w:type="dxa"/>
            <w:vAlign w:val="center"/>
          </w:tcPr>
          <w:p>
            <w:pPr>
              <w:pStyle w:val="63"/>
              <w:rPr>
                <w:color w:val="auto"/>
                <w:sz w:val="24"/>
                <w:szCs w:val="24"/>
                <w:highlight w:val="none"/>
              </w:rPr>
            </w:pPr>
            <w:r>
              <w:rPr>
                <w:rFonts w:hint="eastAsia"/>
                <w:color w:val="auto"/>
                <w:sz w:val="24"/>
                <w:szCs w:val="24"/>
                <w:highlight w:val="none"/>
              </w:rPr>
              <w:t>（1）设备基本要求：要求仪器体积小、功耗低、重量轻，易安装、易部署，安装维护方便，可方便进行点位迁移，可实现备机更换后，数据无缝对接；</w:t>
            </w:r>
          </w:p>
          <w:p>
            <w:pPr>
              <w:pStyle w:val="63"/>
              <w:rPr>
                <w:color w:val="auto"/>
                <w:sz w:val="24"/>
                <w:szCs w:val="24"/>
                <w:highlight w:val="none"/>
              </w:rPr>
            </w:pPr>
            <w:r>
              <w:rPr>
                <w:rFonts w:hint="eastAsia"/>
                <w:color w:val="auto"/>
                <w:sz w:val="24"/>
                <w:szCs w:val="24"/>
                <w:highlight w:val="none"/>
              </w:rPr>
              <w:t>（2）颗粒物和气态污染物采样流量采用内置泵吸式，支持电子流量计测量流速和动态PID流量控制；</w:t>
            </w:r>
          </w:p>
          <w:p>
            <w:pPr>
              <w:pStyle w:val="63"/>
              <w:rPr>
                <w:color w:val="auto"/>
                <w:sz w:val="24"/>
                <w:szCs w:val="24"/>
                <w:highlight w:val="none"/>
              </w:rPr>
            </w:pPr>
            <w:r>
              <w:rPr>
                <w:rFonts w:hint="eastAsia"/>
                <w:color w:val="auto"/>
                <w:sz w:val="24"/>
                <w:szCs w:val="24"/>
                <w:highlight w:val="none"/>
              </w:rPr>
              <w:t>（3）气态污染因子测量采用模块化设计，拆卸方便；气室密封，可用标准气进行校准；</w:t>
            </w:r>
          </w:p>
          <w:p>
            <w:pPr>
              <w:pStyle w:val="63"/>
              <w:rPr>
                <w:color w:val="auto"/>
                <w:sz w:val="24"/>
                <w:szCs w:val="24"/>
                <w:highlight w:val="none"/>
              </w:rPr>
            </w:pPr>
            <w:r>
              <w:rPr>
                <w:rFonts w:hint="eastAsia"/>
                <w:color w:val="auto"/>
                <w:sz w:val="24"/>
                <w:szCs w:val="24"/>
                <w:highlight w:val="none"/>
              </w:rPr>
              <w:t>（4）配备零气发生器及校准模块，可手工或远程对设备进行校零；</w:t>
            </w:r>
          </w:p>
          <w:p>
            <w:pPr>
              <w:pStyle w:val="63"/>
              <w:rPr>
                <w:color w:val="auto"/>
                <w:sz w:val="24"/>
                <w:szCs w:val="24"/>
                <w:highlight w:val="none"/>
              </w:rPr>
            </w:pPr>
            <w:r>
              <w:rPr>
                <w:rFonts w:hint="eastAsia"/>
                <w:color w:val="auto"/>
                <w:sz w:val="24"/>
                <w:szCs w:val="24"/>
                <w:highlight w:val="none"/>
              </w:rPr>
              <w:t>（5）颗粒物采样需采用DHS动态加热控制，去除霜雪对测量数据影响；</w:t>
            </w:r>
          </w:p>
          <w:p>
            <w:pPr>
              <w:pStyle w:val="63"/>
              <w:rPr>
                <w:color w:val="auto"/>
                <w:sz w:val="24"/>
                <w:szCs w:val="24"/>
                <w:highlight w:val="none"/>
              </w:rPr>
            </w:pPr>
            <w:r>
              <w:rPr>
                <w:rFonts w:hint="eastAsia"/>
                <w:color w:val="auto"/>
                <w:sz w:val="24"/>
                <w:szCs w:val="24"/>
                <w:highlight w:val="none"/>
              </w:rPr>
              <w:t>（6）颗粒物采样系统带有气、水分离装置，颗粒物采样系统包含动力学粒子切割器；</w:t>
            </w:r>
          </w:p>
          <w:p>
            <w:pPr>
              <w:pStyle w:val="63"/>
              <w:rPr>
                <w:color w:val="auto"/>
                <w:sz w:val="24"/>
                <w:szCs w:val="24"/>
                <w:highlight w:val="none"/>
              </w:rPr>
            </w:pPr>
            <w:r>
              <w:rPr>
                <w:rFonts w:hint="eastAsia"/>
                <w:color w:val="auto"/>
                <w:sz w:val="24"/>
                <w:szCs w:val="24"/>
                <w:highlight w:val="none"/>
              </w:rPr>
              <w:t>（7）采用动力学切割器，解决动力学直径与物理学直径偏差，测试数据更接近自动站测试数据，采样管路闭环恒流设计，数据稳定性高；</w:t>
            </w:r>
          </w:p>
          <w:p>
            <w:pPr>
              <w:pStyle w:val="63"/>
              <w:rPr>
                <w:color w:val="auto"/>
                <w:sz w:val="24"/>
                <w:szCs w:val="24"/>
                <w:highlight w:val="none"/>
              </w:rPr>
            </w:pPr>
            <w:r>
              <w:rPr>
                <w:rFonts w:hint="eastAsia"/>
                <w:color w:val="auto"/>
                <w:sz w:val="24"/>
                <w:szCs w:val="24"/>
                <w:highlight w:val="none"/>
              </w:rPr>
              <w:t>（8）电路采用工业级嵌入式处理器，可适合严苛室外环境，工作环境温度范围（-40—70）℃；</w:t>
            </w:r>
          </w:p>
          <w:p>
            <w:pPr>
              <w:pStyle w:val="63"/>
              <w:rPr>
                <w:color w:val="auto"/>
                <w:sz w:val="24"/>
                <w:szCs w:val="24"/>
                <w:highlight w:val="none"/>
              </w:rPr>
            </w:pPr>
            <w:r>
              <w:rPr>
                <w:rFonts w:hint="eastAsia"/>
                <w:color w:val="auto"/>
                <w:sz w:val="24"/>
                <w:szCs w:val="24"/>
                <w:highlight w:val="none"/>
              </w:rPr>
              <w:t>（9）系统需采用双通道通信方式，在极端情况下实现通信，保证数据连续性；</w:t>
            </w:r>
          </w:p>
          <w:p>
            <w:pPr>
              <w:pStyle w:val="63"/>
              <w:rPr>
                <w:color w:val="auto"/>
                <w:sz w:val="24"/>
                <w:szCs w:val="24"/>
                <w:highlight w:val="none"/>
              </w:rPr>
            </w:pPr>
            <w:r>
              <w:rPr>
                <w:rFonts w:hint="eastAsia"/>
                <w:color w:val="auto"/>
                <w:sz w:val="24"/>
                <w:szCs w:val="24"/>
                <w:highlight w:val="none"/>
              </w:rPr>
              <w:t>（10）不仅可实现远程数据传输，也可远程读取系统状态信息，并可实现远程控制，实现远程修改仪器参数，诊断故障；</w:t>
            </w:r>
          </w:p>
          <w:p>
            <w:pPr>
              <w:pStyle w:val="63"/>
              <w:rPr>
                <w:color w:val="auto"/>
                <w:sz w:val="24"/>
                <w:szCs w:val="24"/>
                <w:highlight w:val="none"/>
              </w:rPr>
            </w:pPr>
            <w:r>
              <w:rPr>
                <w:rFonts w:hint="eastAsia"/>
                <w:color w:val="auto"/>
                <w:sz w:val="24"/>
                <w:szCs w:val="24"/>
                <w:highlight w:val="none"/>
              </w:rPr>
              <w:t>主要技术指标：</w:t>
            </w:r>
          </w:p>
          <w:p>
            <w:pPr>
              <w:pStyle w:val="63"/>
              <w:rPr>
                <w:color w:val="auto"/>
                <w:sz w:val="24"/>
                <w:szCs w:val="24"/>
                <w:highlight w:val="none"/>
              </w:rPr>
            </w:pPr>
            <w:r>
              <w:rPr>
                <w:rFonts w:hint="eastAsia"/>
                <w:color w:val="auto"/>
                <w:sz w:val="24"/>
                <w:szCs w:val="24"/>
                <w:highlight w:val="none"/>
              </w:rPr>
              <w:t>1、颗粒物技术指标：</w:t>
            </w:r>
          </w:p>
          <w:p>
            <w:pPr>
              <w:pStyle w:val="63"/>
              <w:rPr>
                <w:color w:val="auto"/>
                <w:sz w:val="24"/>
                <w:szCs w:val="24"/>
                <w:highlight w:val="none"/>
              </w:rPr>
            </w:pPr>
            <w:r>
              <w:rPr>
                <w:rFonts w:hint="eastAsia"/>
                <w:color w:val="auto"/>
                <w:sz w:val="24"/>
                <w:szCs w:val="24"/>
                <w:highlight w:val="none"/>
              </w:rPr>
              <w:t>测量范围PM2.5：（0～1000）μg/m³，PM10：（0～2000）μg/m³</w:t>
            </w:r>
          </w:p>
          <w:p>
            <w:pPr>
              <w:pStyle w:val="63"/>
              <w:rPr>
                <w:color w:val="auto"/>
                <w:sz w:val="24"/>
                <w:szCs w:val="24"/>
                <w:highlight w:val="none"/>
              </w:rPr>
            </w:pPr>
            <w:r>
              <w:rPr>
                <w:rFonts w:hint="eastAsia"/>
                <w:color w:val="auto"/>
                <w:sz w:val="24"/>
                <w:szCs w:val="24"/>
                <w:highlight w:val="none"/>
              </w:rPr>
              <w:t>检测限2μg/m³；分辨率1μg/m³</w:t>
            </w:r>
          </w:p>
          <w:p>
            <w:pPr>
              <w:pStyle w:val="63"/>
              <w:rPr>
                <w:color w:val="auto"/>
                <w:sz w:val="24"/>
                <w:szCs w:val="24"/>
                <w:highlight w:val="none"/>
              </w:rPr>
            </w:pPr>
            <w:r>
              <w:rPr>
                <w:rFonts w:hint="eastAsia"/>
                <w:color w:val="auto"/>
                <w:sz w:val="24"/>
                <w:szCs w:val="24"/>
                <w:highlight w:val="none"/>
              </w:rPr>
              <w:t>PM2.5分析平行性≤10%；PM10分析平行性≤7%；</w:t>
            </w:r>
          </w:p>
          <w:p>
            <w:pPr>
              <w:pStyle w:val="63"/>
              <w:rPr>
                <w:color w:val="auto"/>
                <w:sz w:val="24"/>
                <w:szCs w:val="24"/>
                <w:highlight w:val="none"/>
              </w:rPr>
            </w:pPr>
            <w:r>
              <w:rPr>
                <w:rFonts w:hint="eastAsia"/>
                <w:color w:val="auto"/>
                <w:sz w:val="24"/>
                <w:szCs w:val="24"/>
                <w:highlight w:val="none"/>
              </w:rPr>
              <w:t>PM2.5相关系数≥0.9；PM10相关系数≥0.9；</w:t>
            </w:r>
          </w:p>
          <w:p>
            <w:pPr>
              <w:pStyle w:val="63"/>
              <w:rPr>
                <w:color w:val="auto"/>
                <w:sz w:val="24"/>
                <w:szCs w:val="24"/>
                <w:highlight w:val="none"/>
              </w:rPr>
            </w:pPr>
            <w:r>
              <w:rPr>
                <w:rFonts w:hint="eastAsia"/>
                <w:color w:val="auto"/>
                <w:sz w:val="24"/>
                <w:szCs w:val="24"/>
                <w:highlight w:val="none"/>
              </w:rPr>
              <w:t>温度控制(10～60)℃可设，控温示值允许误差±1℃</w:t>
            </w:r>
          </w:p>
          <w:p>
            <w:pPr>
              <w:pStyle w:val="63"/>
              <w:rPr>
                <w:color w:val="auto"/>
                <w:sz w:val="24"/>
                <w:szCs w:val="24"/>
                <w:highlight w:val="none"/>
              </w:rPr>
            </w:pPr>
            <w:r>
              <w:rPr>
                <w:rFonts w:hint="eastAsia"/>
                <w:color w:val="auto"/>
                <w:sz w:val="24"/>
                <w:szCs w:val="24"/>
                <w:highlight w:val="none"/>
              </w:rPr>
              <w:t>数据存储能力12个月</w:t>
            </w:r>
          </w:p>
          <w:p>
            <w:pPr>
              <w:pStyle w:val="63"/>
              <w:rPr>
                <w:color w:val="auto"/>
                <w:sz w:val="24"/>
                <w:szCs w:val="24"/>
                <w:highlight w:val="none"/>
              </w:rPr>
            </w:pPr>
            <w:r>
              <w:rPr>
                <w:rFonts w:hint="eastAsia"/>
                <w:color w:val="auto"/>
                <w:sz w:val="24"/>
                <w:szCs w:val="24"/>
                <w:highlight w:val="none"/>
              </w:rPr>
              <w:t>USB接口支持U盘数据导出</w:t>
            </w:r>
          </w:p>
          <w:p>
            <w:pPr>
              <w:pStyle w:val="63"/>
              <w:rPr>
                <w:color w:val="auto"/>
                <w:sz w:val="24"/>
                <w:szCs w:val="24"/>
                <w:highlight w:val="none"/>
              </w:rPr>
            </w:pPr>
            <w:r>
              <w:rPr>
                <w:rFonts w:hint="eastAsia"/>
                <w:color w:val="auto"/>
                <w:sz w:val="24"/>
                <w:szCs w:val="24"/>
                <w:highlight w:val="none"/>
              </w:rPr>
              <w:t>远程数据查询具备DTU模块，可远程查询仪器工作状态和实时测量数据</w:t>
            </w:r>
          </w:p>
          <w:p>
            <w:pPr>
              <w:pStyle w:val="63"/>
              <w:rPr>
                <w:color w:val="auto"/>
                <w:sz w:val="24"/>
                <w:szCs w:val="24"/>
                <w:highlight w:val="none"/>
              </w:rPr>
            </w:pPr>
            <w:r>
              <w:rPr>
                <w:rFonts w:hint="eastAsia"/>
                <w:color w:val="auto"/>
                <w:sz w:val="24"/>
                <w:szCs w:val="24"/>
                <w:highlight w:val="none"/>
              </w:rPr>
              <w:t>故障报警实时显示故障报警</w:t>
            </w:r>
          </w:p>
          <w:p>
            <w:pPr>
              <w:pStyle w:val="63"/>
              <w:rPr>
                <w:color w:val="auto"/>
                <w:sz w:val="24"/>
                <w:szCs w:val="24"/>
                <w:highlight w:val="none"/>
              </w:rPr>
            </w:pPr>
            <w:r>
              <w:rPr>
                <w:rFonts w:hint="eastAsia"/>
                <w:color w:val="auto"/>
                <w:sz w:val="24"/>
                <w:szCs w:val="24"/>
                <w:highlight w:val="none"/>
              </w:rPr>
              <w:t>2、SO2测量要求：</w:t>
            </w:r>
          </w:p>
          <w:p>
            <w:pPr>
              <w:pStyle w:val="63"/>
              <w:rPr>
                <w:color w:val="auto"/>
                <w:sz w:val="24"/>
                <w:szCs w:val="24"/>
                <w:highlight w:val="none"/>
              </w:rPr>
            </w:pPr>
            <w:r>
              <w:rPr>
                <w:rFonts w:hint="eastAsia"/>
                <w:color w:val="auto"/>
                <w:sz w:val="24"/>
                <w:szCs w:val="24"/>
                <w:highlight w:val="none"/>
              </w:rPr>
              <w:t>测量范围：0～1000ppb；检出限：≤5ppb；分辨率：≤0.01ppb；</w:t>
            </w:r>
          </w:p>
          <w:p>
            <w:pPr>
              <w:pStyle w:val="63"/>
              <w:rPr>
                <w:color w:val="auto"/>
                <w:sz w:val="24"/>
                <w:szCs w:val="24"/>
                <w:highlight w:val="none"/>
              </w:rPr>
            </w:pPr>
            <w:r>
              <w:rPr>
                <w:rFonts w:hint="eastAsia"/>
                <w:color w:val="auto"/>
                <w:sz w:val="24"/>
                <w:szCs w:val="24"/>
                <w:highlight w:val="none"/>
              </w:rPr>
              <w:t>响应时间：≤120s；示值误差≤5%FS；重复性≤5%FS</w:t>
            </w:r>
          </w:p>
          <w:p>
            <w:pPr>
              <w:pStyle w:val="63"/>
              <w:rPr>
                <w:color w:val="auto"/>
                <w:sz w:val="24"/>
                <w:szCs w:val="24"/>
                <w:highlight w:val="none"/>
              </w:rPr>
            </w:pPr>
            <w:r>
              <w:rPr>
                <w:rFonts w:hint="eastAsia"/>
                <w:color w:val="auto"/>
                <w:sz w:val="24"/>
                <w:szCs w:val="24"/>
                <w:highlight w:val="none"/>
              </w:rPr>
              <w:t>3、NO2测量要求：</w:t>
            </w:r>
          </w:p>
          <w:p>
            <w:pPr>
              <w:pStyle w:val="63"/>
              <w:rPr>
                <w:color w:val="auto"/>
                <w:sz w:val="24"/>
                <w:szCs w:val="24"/>
                <w:highlight w:val="none"/>
              </w:rPr>
            </w:pPr>
            <w:r>
              <w:rPr>
                <w:rFonts w:hint="eastAsia"/>
                <w:color w:val="auto"/>
                <w:sz w:val="24"/>
                <w:szCs w:val="24"/>
                <w:highlight w:val="none"/>
              </w:rPr>
              <w:t>测量范围：0～1000ppb；检出限：≤5ppb；分辨率：≤0.01ppb；</w:t>
            </w:r>
          </w:p>
          <w:p>
            <w:pPr>
              <w:pStyle w:val="63"/>
              <w:rPr>
                <w:color w:val="auto"/>
                <w:sz w:val="24"/>
                <w:szCs w:val="24"/>
                <w:highlight w:val="none"/>
              </w:rPr>
            </w:pPr>
            <w:r>
              <w:rPr>
                <w:rFonts w:hint="eastAsia"/>
                <w:color w:val="auto"/>
                <w:sz w:val="24"/>
                <w:szCs w:val="24"/>
                <w:highlight w:val="none"/>
              </w:rPr>
              <w:t>响应时间：≤120s；示值误差≤5%FS；重复性≤5%FS。</w:t>
            </w:r>
          </w:p>
          <w:p>
            <w:pPr>
              <w:pStyle w:val="63"/>
              <w:rPr>
                <w:color w:val="auto"/>
                <w:sz w:val="24"/>
                <w:szCs w:val="24"/>
                <w:highlight w:val="none"/>
              </w:rPr>
            </w:pPr>
            <w:r>
              <w:rPr>
                <w:rFonts w:hint="eastAsia"/>
                <w:color w:val="auto"/>
                <w:sz w:val="24"/>
                <w:szCs w:val="24"/>
                <w:highlight w:val="none"/>
              </w:rPr>
              <w:t>4、CO测量要求：</w:t>
            </w:r>
          </w:p>
          <w:p>
            <w:pPr>
              <w:pStyle w:val="63"/>
              <w:rPr>
                <w:color w:val="auto"/>
                <w:sz w:val="24"/>
                <w:szCs w:val="24"/>
                <w:highlight w:val="none"/>
              </w:rPr>
            </w:pPr>
            <w:r>
              <w:rPr>
                <w:rFonts w:hint="eastAsia"/>
                <w:color w:val="auto"/>
                <w:sz w:val="24"/>
                <w:szCs w:val="24"/>
                <w:highlight w:val="none"/>
              </w:rPr>
              <w:t>测量范围：0～25ppm；检出限：≤0.1ppm；分辨率：≤0.1ppm；</w:t>
            </w:r>
          </w:p>
          <w:p>
            <w:pPr>
              <w:pStyle w:val="63"/>
              <w:rPr>
                <w:color w:val="auto"/>
                <w:sz w:val="24"/>
                <w:szCs w:val="24"/>
                <w:highlight w:val="none"/>
              </w:rPr>
            </w:pPr>
            <w:r>
              <w:rPr>
                <w:rFonts w:hint="eastAsia"/>
                <w:color w:val="auto"/>
                <w:sz w:val="24"/>
                <w:szCs w:val="24"/>
                <w:highlight w:val="none"/>
              </w:rPr>
              <w:t>响应时间：≤120s；示值误差≤5%FS重复性≤5%FS</w:t>
            </w:r>
          </w:p>
          <w:p>
            <w:pPr>
              <w:pStyle w:val="63"/>
              <w:rPr>
                <w:color w:val="auto"/>
                <w:sz w:val="24"/>
                <w:szCs w:val="24"/>
                <w:highlight w:val="none"/>
              </w:rPr>
            </w:pPr>
            <w:r>
              <w:rPr>
                <w:rFonts w:hint="eastAsia"/>
                <w:color w:val="auto"/>
                <w:sz w:val="24"/>
                <w:szCs w:val="24"/>
                <w:highlight w:val="none"/>
              </w:rPr>
              <w:t>5、O3测量要求：</w:t>
            </w:r>
          </w:p>
          <w:p>
            <w:pPr>
              <w:pStyle w:val="63"/>
              <w:rPr>
                <w:color w:val="auto"/>
                <w:sz w:val="24"/>
                <w:szCs w:val="24"/>
                <w:highlight w:val="none"/>
              </w:rPr>
            </w:pPr>
            <w:r>
              <w:rPr>
                <w:rFonts w:hint="eastAsia"/>
                <w:color w:val="auto"/>
                <w:sz w:val="24"/>
                <w:szCs w:val="24"/>
                <w:highlight w:val="none"/>
              </w:rPr>
              <w:t>测量范围：0～1000ppb；检出限：≤5ppb；分辨率：≤0.01ppb；</w:t>
            </w:r>
          </w:p>
          <w:p>
            <w:pPr>
              <w:pStyle w:val="63"/>
              <w:rPr>
                <w:color w:val="auto"/>
                <w:sz w:val="24"/>
                <w:szCs w:val="24"/>
                <w:highlight w:val="none"/>
              </w:rPr>
            </w:pPr>
            <w:r>
              <w:rPr>
                <w:rFonts w:hint="eastAsia"/>
                <w:color w:val="auto"/>
                <w:sz w:val="24"/>
                <w:szCs w:val="24"/>
                <w:highlight w:val="none"/>
              </w:rPr>
              <w:t>响应时间：≤120s。</w:t>
            </w:r>
          </w:p>
          <w:p>
            <w:pPr>
              <w:pStyle w:val="63"/>
              <w:rPr>
                <w:color w:val="auto"/>
                <w:sz w:val="24"/>
                <w:szCs w:val="24"/>
                <w:highlight w:val="none"/>
              </w:rPr>
            </w:pPr>
            <w:r>
              <w:rPr>
                <w:rFonts w:hint="eastAsia"/>
                <w:color w:val="auto"/>
                <w:sz w:val="24"/>
                <w:szCs w:val="24"/>
                <w:highlight w:val="none"/>
              </w:rPr>
              <w:t>6、设备安装技术要求</w:t>
            </w:r>
          </w:p>
          <w:p>
            <w:pPr>
              <w:pStyle w:val="63"/>
              <w:rPr>
                <w:color w:val="auto"/>
                <w:sz w:val="24"/>
                <w:szCs w:val="24"/>
                <w:highlight w:val="none"/>
              </w:rPr>
            </w:pPr>
            <w:r>
              <w:rPr>
                <w:rFonts w:hint="eastAsia"/>
                <w:color w:val="auto"/>
                <w:sz w:val="24"/>
                <w:szCs w:val="24"/>
                <w:highlight w:val="none"/>
              </w:rPr>
              <w:t>设备采用220V市电供电，安装方式可选壁挂式、抱杆式，安装简便，安全可靠。通讯方式采用4G无线通讯模块。</w:t>
            </w:r>
          </w:p>
          <w:p>
            <w:pPr>
              <w:pStyle w:val="63"/>
              <w:rPr>
                <w:color w:val="auto"/>
                <w:sz w:val="24"/>
                <w:szCs w:val="24"/>
                <w:highlight w:val="none"/>
              </w:rPr>
            </w:pPr>
            <w:r>
              <w:rPr>
                <w:rFonts w:hint="eastAsia"/>
                <w:color w:val="auto"/>
                <w:sz w:val="24"/>
                <w:szCs w:val="24"/>
                <w:highlight w:val="none"/>
              </w:rPr>
              <w:t>需提供微型空气站数据采集传输软件著作权；</w:t>
            </w:r>
          </w:p>
          <w:p>
            <w:pPr>
              <w:pStyle w:val="63"/>
              <w:rPr>
                <w:color w:val="auto"/>
                <w:sz w:val="24"/>
                <w:szCs w:val="24"/>
                <w:highlight w:val="none"/>
              </w:rPr>
            </w:pPr>
            <w:r>
              <w:rPr>
                <w:rFonts w:hint="eastAsia"/>
                <w:color w:val="auto"/>
                <w:sz w:val="24"/>
                <w:szCs w:val="24"/>
                <w:highlight w:val="none"/>
              </w:rPr>
              <w:t>需提供微型空气站环境保护产品认证证书复印件（认证涵盖PM2.5、PM10、SO2、NO2、CO、O3）；</w:t>
            </w:r>
          </w:p>
          <w:p>
            <w:pPr>
              <w:pStyle w:val="63"/>
              <w:rPr>
                <w:color w:val="auto"/>
                <w:sz w:val="24"/>
                <w:szCs w:val="24"/>
                <w:highlight w:val="none"/>
              </w:rPr>
            </w:pPr>
            <w:r>
              <w:rPr>
                <w:rFonts w:hint="eastAsia"/>
                <w:color w:val="auto"/>
                <w:sz w:val="24"/>
                <w:szCs w:val="24"/>
                <w:highlight w:val="none"/>
              </w:rPr>
              <w:t>需提供微型空气站第三方机构出具的检验报告复印件（检测范围涵盖PM2.5、PM10、SO2、NO2、CO、O3）。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15</w:t>
            </w:r>
          </w:p>
        </w:tc>
        <w:tc>
          <w:tcPr>
            <w:tcW w:w="1311" w:type="dxa"/>
            <w:vAlign w:val="center"/>
          </w:tcPr>
          <w:p>
            <w:pPr>
              <w:pStyle w:val="63"/>
              <w:rPr>
                <w:color w:val="auto"/>
                <w:sz w:val="24"/>
                <w:szCs w:val="24"/>
                <w:highlight w:val="none"/>
              </w:rPr>
            </w:pPr>
            <w:r>
              <w:rPr>
                <w:rFonts w:hint="eastAsia"/>
                <w:color w:val="auto"/>
                <w:sz w:val="24"/>
                <w:szCs w:val="24"/>
                <w:highlight w:val="none"/>
              </w:rPr>
              <w:t>安装调试及基础建设</w:t>
            </w:r>
          </w:p>
        </w:tc>
        <w:tc>
          <w:tcPr>
            <w:tcW w:w="6490" w:type="dxa"/>
            <w:vAlign w:val="center"/>
          </w:tcPr>
          <w:p>
            <w:pPr>
              <w:pStyle w:val="63"/>
              <w:rPr>
                <w:color w:val="auto"/>
                <w:sz w:val="24"/>
                <w:szCs w:val="24"/>
                <w:highlight w:val="none"/>
              </w:rPr>
            </w:pPr>
            <w:r>
              <w:rPr>
                <w:color w:val="auto"/>
                <w:sz w:val="24"/>
                <w:szCs w:val="24"/>
                <w:highlight w:val="none"/>
              </w:rPr>
              <w:t>固定式遥感监测点施工技术、安装要求主要技术指标：</w:t>
            </w:r>
          </w:p>
          <w:p>
            <w:pPr>
              <w:pStyle w:val="63"/>
              <w:rPr>
                <w:color w:val="auto"/>
                <w:sz w:val="24"/>
                <w:szCs w:val="24"/>
                <w:highlight w:val="none"/>
              </w:rPr>
            </w:pPr>
            <w:r>
              <w:rPr>
                <w:color w:val="auto"/>
                <w:sz w:val="24"/>
                <w:szCs w:val="24"/>
                <w:highlight w:val="none"/>
              </w:rPr>
              <w:t>（1）</w:t>
            </w:r>
            <w:r>
              <w:rPr>
                <w:rFonts w:hint="eastAsia"/>
                <w:color w:val="auto"/>
                <w:sz w:val="24"/>
                <w:szCs w:val="24"/>
                <w:highlight w:val="none"/>
              </w:rPr>
              <w:t>安装调试</w:t>
            </w:r>
            <w:r>
              <w:rPr>
                <w:color w:val="auto"/>
                <w:sz w:val="24"/>
                <w:szCs w:val="24"/>
                <w:highlight w:val="none"/>
              </w:rPr>
              <w:t>清单</w:t>
            </w:r>
          </w:p>
          <w:p>
            <w:pPr>
              <w:pStyle w:val="63"/>
              <w:rPr>
                <w:color w:val="auto"/>
                <w:sz w:val="24"/>
                <w:szCs w:val="24"/>
                <w:highlight w:val="none"/>
              </w:rPr>
            </w:pPr>
            <w:r>
              <w:rPr>
                <w:rFonts w:hint="eastAsia"/>
                <w:color w:val="auto"/>
                <w:sz w:val="24"/>
                <w:szCs w:val="24"/>
                <w:highlight w:val="none"/>
              </w:rPr>
              <w:t>室外恒温中控柜，发射端恒温机柜，接收端机柜、视频车牌捕捉系统、环境气象监测系统、安防监控系统、黑烟车智能识别系统</w:t>
            </w:r>
            <w:r>
              <w:rPr>
                <w:color w:val="auto"/>
                <w:sz w:val="24"/>
                <w:szCs w:val="24"/>
                <w:highlight w:val="none"/>
              </w:rPr>
              <w:t>、</w:t>
            </w:r>
            <w:r>
              <w:rPr>
                <w:rFonts w:hint="eastAsia"/>
                <w:color w:val="auto"/>
                <w:sz w:val="24"/>
                <w:szCs w:val="24"/>
                <w:highlight w:val="none"/>
              </w:rPr>
              <w:t>道路流量监测系统</w:t>
            </w:r>
            <w:r>
              <w:rPr>
                <w:color w:val="auto"/>
                <w:sz w:val="24"/>
                <w:szCs w:val="24"/>
                <w:highlight w:val="none"/>
              </w:rPr>
              <w:t>、</w:t>
            </w:r>
            <w:r>
              <w:rPr>
                <w:rFonts w:hint="eastAsia"/>
                <w:color w:val="auto"/>
                <w:sz w:val="24"/>
                <w:szCs w:val="24"/>
                <w:highlight w:val="none"/>
              </w:rPr>
              <w:t>环境微型空气质量监测系统、</w:t>
            </w:r>
            <w:r>
              <w:rPr>
                <w:color w:val="auto"/>
                <w:sz w:val="24"/>
                <w:szCs w:val="24"/>
                <w:highlight w:val="none"/>
              </w:rPr>
              <w:t>提示牌</w:t>
            </w:r>
            <w:r>
              <w:rPr>
                <w:rFonts w:hint="eastAsia"/>
                <w:color w:val="auto"/>
                <w:sz w:val="24"/>
                <w:szCs w:val="24"/>
                <w:highlight w:val="none"/>
              </w:rPr>
              <w:t>用龙门</w:t>
            </w:r>
            <w:r>
              <w:rPr>
                <w:color w:val="auto"/>
                <w:sz w:val="24"/>
                <w:szCs w:val="24"/>
                <w:highlight w:val="none"/>
              </w:rPr>
              <w:t>架、</w:t>
            </w:r>
            <w:r>
              <w:rPr>
                <w:rFonts w:hint="eastAsia"/>
                <w:color w:val="auto"/>
                <w:sz w:val="24"/>
                <w:szCs w:val="24"/>
                <w:highlight w:val="none"/>
              </w:rPr>
              <w:t>LED屏</w:t>
            </w:r>
            <w:r>
              <w:rPr>
                <w:color w:val="auto"/>
                <w:sz w:val="24"/>
                <w:szCs w:val="24"/>
                <w:highlight w:val="none"/>
              </w:rPr>
              <w:t>F</w:t>
            </w:r>
            <w:r>
              <w:rPr>
                <w:rFonts w:hint="eastAsia"/>
                <w:color w:val="auto"/>
                <w:sz w:val="24"/>
                <w:szCs w:val="24"/>
                <w:highlight w:val="none"/>
              </w:rPr>
              <w:t>杆件、安装地基设计、施工及处理、供电及网络管线铺设、固定式遥测系统安装、安防监控单元、防撞护栏、LED屏。</w:t>
            </w:r>
          </w:p>
          <w:p>
            <w:pPr>
              <w:pStyle w:val="63"/>
              <w:rPr>
                <w:color w:val="auto"/>
                <w:sz w:val="24"/>
                <w:szCs w:val="24"/>
                <w:highlight w:val="none"/>
              </w:rPr>
            </w:pPr>
            <w:r>
              <w:rPr>
                <w:color w:val="auto"/>
                <w:sz w:val="24"/>
                <w:szCs w:val="24"/>
                <w:highlight w:val="none"/>
              </w:rPr>
              <w:t>（2）详细技术参数要求</w:t>
            </w:r>
          </w:p>
          <w:p>
            <w:pPr>
              <w:pStyle w:val="63"/>
              <w:rPr>
                <w:color w:val="auto"/>
                <w:sz w:val="24"/>
                <w:szCs w:val="24"/>
                <w:highlight w:val="none"/>
              </w:rPr>
            </w:pPr>
            <w:r>
              <w:rPr>
                <w:rFonts w:hint="eastAsia"/>
                <w:color w:val="auto"/>
                <w:sz w:val="24"/>
                <w:szCs w:val="24"/>
                <w:highlight w:val="none"/>
              </w:rPr>
              <w:t>需提供“电源控制系统”装置自主知识产权证明</w:t>
            </w:r>
          </w:p>
          <w:p>
            <w:pPr>
              <w:pStyle w:val="63"/>
              <w:rPr>
                <w:color w:val="auto"/>
                <w:sz w:val="24"/>
                <w:szCs w:val="24"/>
                <w:highlight w:val="none"/>
              </w:rPr>
            </w:pPr>
            <w:r>
              <w:rPr>
                <w:rFonts w:hint="eastAsia"/>
                <w:color w:val="auto"/>
                <w:sz w:val="24"/>
                <w:szCs w:val="24"/>
                <w:highlight w:val="none"/>
              </w:rPr>
              <w:t>▲需提供“防盗报警装置与防盗报警系统”装置自主知识产权证明</w:t>
            </w:r>
          </w:p>
          <w:p>
            <w:pPr>
              <w:pStyle w:val="63"/>
              <w:rPr>
                <w:color w:val="auto"/>
                <w:sz w:val="24"/>
                <w:szCs w:val="24"/>
                <w:highlight w:val="none"/>
              </w:rPr>
            </w:pPr>
            <w:r>
              <w:rPr>
                <w:color w:val="auto"/>
                <w:sz w:val="24"/>
                <w:szCs w:val="24"/>
                <w:highlight w:val="none"/>
              </w:rPr>
              <w:t>1、室外恒温中控柜，发射端恒温机柜，接收端机柜内温度可调，制造标准满足IP55要求，又有隔热，防震，具备一定强度，防止轻微碰撞受损。</w:t>
            </w:r>
          </w:p>
          <w:p>
            <w:pPr>
              <w:pStyle w:val="63"/>
              <w:rPr>
                <w:color w:val="auto"/>
                <w:sz w:val="24"/>
                <w:szCs w:val="24"/>
                <w:highlight w:val="none"/>
              </w:rPr>
            </w:pPr>
            <w:r>
              <w:rPr>
                <w:color w:val="auto"/>
                <w:sz w:val="24"/>
                <w:szCs w:val="24"/>
                <w:highlight w:val="none"/>
              </w:rPr>
              <w:t>2、</w:t>
            </w:r>
            <w:r>
              <w:rPr>
                <w:rFonts w:hint="eastAsia"/>
                <w:color w:val="auto"/>
                <w:sz w:val="24"/>
                <w:szCs w:val="24"/>
                <w:highlight w:val="none"/>
              </w:rPr>
              <w:t>视频车牌捕捉系统、环境气象监测系统、安防监控系统、黑烟车智能识别系统</w:t>
            </w:r>
            <w:r>
              <w:rPr>
                <w:color w:val="auto"/>
                <w:sz w:val="24"/>
                <w:szCs w:val="24"/>
                <w:highlight w:val="none"/>
              </w:rPr>
              <w:t>、</w:t>
            </w:r>
            <w:r>
              <w:rPr>
                <w:rFonts w:hint="eastAsia"/>
                <w:color w:val="auto"/>
                <w:sz w:val="24"/>
                <w:szCs w:val="24"/>
                <w:highlight w:val="none"/>
              </w:rPr>
              <w:t>道路流量监测系统</w:t>
            </w:r>
            <w:r>
              <w:rPr>
                <w:color w:val="auto"/>
                <w:sz w:val="24"/>
                <w:szCs w:val="24"/>
                <w:highlight w:val="none"/>
              </w:rPr>
              <w:t>、</w:t>
            </w:r>
            <w:r>
              <w:rPr>
                <w:rFonts w:hint="eastAsia"/>
                <w:color w:val="auto"/>
                <w:sz w:val="24"/>
                <w:szCs w:val="24"/>
                <w:highlight w:val="none"/>
              </w:rPr>
              <w:t>环境微型空气质量监测系统应</w:t>
            </w:r>
            <w:r>
              <w:rPr>
                <w:color w:val="auto"/>
                <w:sz w:val="24"/>
                <w:szCs w:val="24"/>
                <w:highlight w:val="none"/>
              </w:rPr>
              <w:t>预留走线孔及检修口，底部入地端入地，并预留大口径螺母紧固装置，地下为混凝土浇筑。杆</w:t>
            </w:r>
            <w:r>
              <w:rPr>
                <w:rFonts w:hint="eastAsia"/>
                <w:color w:val="auto"/>
                <w:sz w:val="24"/>
                <w:szCs w:val="24"/>
                <w:highlight w:val="none"/>
              </w:rPr>
              <w:t>件</w:t>
            </w:r>
            <w:r>
              <w:rPr>
                <w:color w:val="auto"/>
                <w:sz w:val="24"/>
                <w:szCs w:val="24"/>
                <w:highlight w:val="none"/>
              </w:rPr>
              <w:t>进行防腐处理。</w:t>
            </w:r>
          </w:p>
          <w:p>
            <w:pPr>
              <w:pStyle w:val="63"/>
              <w:rPr>
                <w:color w:val="auto"/>
                <w:sz w:val="24"/>
                <w:szCs w:val="24"/>
                <w:highlight w:val="none"/>
              </w:rPr>
            </w:pPr>
            <w:r>
              <w:rPr>
                <w:color w:val="auto"/>
                <w:sz w:val="24"/>
                <w:szCs w:val="24"/>
                <w:highlight w:val="none"/>
              </w:rPr>
              <w:t>3、安装地基设计、施工及处理：</w:t>
            </w:r>
          </w:p>
          <w:p>
            <w:pPr>
              <w:pStyle w:val="63"/>
              <w:rPr>
                <w:color w:val="auto"/>
                <w:sz w:val="24"/>
                <w:szCs w:val="24"/>
                <w:highlight w:val="none"/>
              </w:rPr>
            </w:pPr>
            <w:r>
              <w:rPr>
                <w:color w:val="auto"/>
                <w:sz w:val="24"/>
                <w:szCs w:val="24"/>
                <w:highlight w:val="none"/>
              </w:rPr>
              <w:t>1）机柜地基应与道路地基隔离，隔离带深度不小于0.5米，地基向地下不少于1.5米，满足在重型车辆通过时的抗震要求。</w:t>
            </w:r>
          </w:p>
          <w:p>
            <w:pPr>
              <w:pStyle w:val="63"/>
              <w:rPr>
                <w:color w:val="auto"/>
                <w:sz w:val="24"/>
                <w:szCs w:val="24"/>
                <w:highlight w:val="none"/>
              </w:rPr>
            </w:pPr>
            <w:r>
              <w:rPr>
                <w:color w:val="auto"/>
                <w:sz w:val="24"/>
                <w:szCs w:val="24"/>
                <w:highlight w:val="none"/>
              </w:rPr>
              <w:t>2）基坑四壁周围砖砌，中间混领土浇注成型，表层用水泥打平。</w:t>
            </w:r>
          </w:p>
          <w:p>
            <w:pPr>
              <w:pStyle w:val="63"/>
              <w:rPr>
                <w:color w:val="auto"/>
                <w:sz w:val="24"/>
                <w:szCs w:val="24"/>
                <w:highlight w:val="none"/>
              </w:rPr>
            </w:pPr>
            <w:r>
              <w:rPr>
                <w:color w:val="auto"/>
                <w:sz w:val="24"/>
                <w:szCs w:val="24"/>
                <w:highlight w:val="none"/>
              </w:rPr>
              <w:t>3）预留走线管两根，走线管必须使用防腐防锈钢管，具有一定抗压机耐腐蚀性，直径不小于12cm，走线管一段入土，另一端尽量靠近设备室侧面，以便于走线及后期维护。</w:t>
            </w:r>
          </w:p>
          <w:p>
            <w:pPr>
              <w:pStyle w:val="63"/>
              <w:rPr>
                <w:color w:val="auto"/>
                <w:sz w:val="24"/>
                <w:szCs w:val="24"/>
                <w:highlight w:val="none"/>
              </w:rPr>
            </w:pPr>
            <w:r>
              <w:rPr>
                <w:color w:val="auto"/>
                <w:sz w:val="24"/>
                <w:szCs w:val="24"/>
                <w:highlight w:val="none"/>
              </w:rPr>
              <w:t>4）地基上端平台宽度不小于30cm，便于使用中机柜的维护与机柜上端设备的检修。</w:t>
            </w:r>
          </w:p>
          <w:p>
            <w:pPr>
              <w:pStyle w:val="63"/>
              <w:rPr>
                <w:color w:val="auto"/>
                <w:sz w:val="24"/>
                <w:szCs w:val="24"/>
                <w:highlight w:val="none"/>
              </w:rPr>
            </w:pPr>
            <w:r>
              <w:rPr>
                <w:color w:val="auto"/>
                <w:sz w:val="24"/>
                <w:szCs w:val="24"/>
                <w:highlight w:val="none"/>
              </w:rPr>
              <w:t>5）施工过程中，尽可能不破坏道路原貌。（如有改变，施工结束后按原貌及时恢复。）</w:t>
            </w:r>
          </w:p>
          <w:p>
            <w:pPr>
              <w:pStyle w:val="63"/>
              <w:rPr>
                <w:color w:val="auto"/>
                <w:sz w:val="24"/>
                <w:szCs w:val="24"/>
                <w:highlight w:val="none"/>
              </w:rPr>
            </w:pPr>
            <w:r>
              <w:rPr>
                <w:color w:val="auto"/>
                <w:sz w:val="24"/>
                <w:szCs w:val="24"/>
                <w:highlight w:val="none"/>
              </w:rPr>
              <w:t>6）符合本项目实际需求。</w:t>
            </w:r>
          </w:p>
          <w:p>
            <w:pPr>
              <w:pStyle w:val="63"/>
              <w:rPr>
                <w:color w:val="auto"/>
                <w:sz w:val="24"/>
                <w:szCs w:val="24"/>
                <w:highlight w:val="none"/>
              </w:rPr>
            </w:pPr>
            <w:r>
              <w:rPr>
                <w:color w:val="auto"/>
                <w:sz w:val="24"/>
                <w:szCs w:val="24"/>
                <w:highlight w:val="none"/>
              </w:rPr>
              <w:t>4、供电及网络管线铺设</w:t>
            </w:r>
          </w:p>
          <w:p>
            <w:pPr>
              <w:pStyle w:val="63"/>
              <w:rPr>
                <w:color w:val="auto"/>
                <w:sz w:val="24"/>
                <w:szCs w:val="24"/>
                <w:highlight w:val="none"/>
              </w:rPr>
            </w:pPr>
            <w:r>
              <w:rPr>
                <w:color w:val="auto"/>
                <w:sz w:val="24"/>
                <w:szCs w:val="24"/>
                <w:highlight w:val="none"/>
              </w:rPr>
              <w:t>1）对前端监测点设备，设计并铺设供电及网络管线，达到项目现场实际工作需求。</w:t>
            </w:r>
          </w:p>
          <w:p>
            <w:pPr>
              <w:pStyle w:val="63"/>
              <w:rPr>
                <w:color w:val="auto"/>
                <w:sz w:val="24"/>
                <w:szCs w:val="24"/>
                <w:highlight w:val="none"/>
              </w:rPr>
            </w:pPr>
            <w:r>
              <w:rPr>
                <w:color w:val="auto"/>
                <w:sz w:val="24"/>
                <w:szCs w:val="24"/>
                <w:highlight w:val="none"/>
              </w:rPr>
              <w:t>2）地下电缆为三芯铜芯电缆，外部为防腐橡胶，中间有铁皮保护，内侧有绝缘橡胶和缓冲橡胶条，铜芯线满足“GB12706-2002”要求。</w:t>
            </w:r>
          </w:p>
          <w:p>
            <w:pPr>
              <w:pStyle w:val="63"/>
              <w:rPr>
                <w:color w:val="auto"/>
                <w:sz w:val="24"/>
                <w:szCs w:val="24"/>
                <w:highlight w:val="none"/>
              </w:rPr>
            </w:pPr>
            <w:r>
              <w:rPr>
                <w:color w:val="auto"/>
                <w:sz w:val="24"/>
                <w:szCs w:val="24"/>
                <w:highlight w:val="none"/>
              </w:rPr>
              <w:t>3）参考型号：ZCYJV223×6（阻燃交联聚乙烯绝缘聚氯乙烯护套铠装电力电缆）。</w:t>
            </w:r>
          </w:p>
          <w:p>
            <w:pPr>
              <w:pStyle w:val="63"/>
              <w:rPr>
                <w:color w:val="auto"/>
                <w:sz w:val="24"/>
                <w:szCs w:val="24"/>
                <w:highlight w:val="none"/>
              </w:rPr>
            </w:pPr>
            <w:r>
              <w:rPr>
                <w:color w:val="auto"/>
                <w:sz w:val="24"/>
                <w:szCs w:val="24"/>
                <w:highlight w:val="none"/>
              </w:rPr>
              <w:t>4）电缆槽深度不小于60cm，槽底打平，在有坡度路面，要保障槽底坡度不大于15度。</w:t>
            </w:r>
          </w:p>
          <w:p>
            <w:pPr>
              <w:pStyle w:val="63"/>
              <w:rPr>
                <w:color w:val="auto"/>
                <w:sz w:val="24"/>
                <w:szCs w:val="24"/>
                <w:highlight w:val="none"/>
              </w:rPr>
            </w:pPr>
            <w:r>
              <w:rPr>
                <w:color w:val="auto"/>
                <w:sz w:val="24"/>
                <w:szCs w:val="24"/>
                <w:highlight w:val="none"/>
              </w:rPr>
              <w:t>5）电缆线需先用PVC地下专用保护管套接，连接处作防水处理。</w:t>
            </w:r>
          </w:p>
          <w:p>
            <w:pPr>
              <w:pStyle w:val="63"/>
              <w:rPr>
                <w:color w:val="auto"/>
                <w:sz w:val="24"/>
                <w:szCs w:val="24"/>
                <w:highlight w:val="none"/>
              </w:rPr>
            </w:pPr>
            <w:r>
              <w:rPr>
                <w:color w:val="auto"/>
                <w:sz w:val="24"/>
                <w:szCs w:val="24"/>
                <w:highlight w:val="none"/>
              </w:rPr>
              <w:t>6）电缆槽底部先铺设一层细沙，将处理好的电缆线铺设在电缆槽底部细沙上，然后在电缆上部摆放一层砖，最后用素土覆盖。</w:t>
            </w:r>
          </w:p>
          <w:p>
            <w:pPr>
              <w:pStyle w:val="63"/>
              <w:rPr>
                <w:color w:val="auto"/>
                <w:sz w:val="24"/>
                <w:szCs w:val="24"/>
                <w:highlight w:val="none"/>
              </w:rPr>
            </w:pPr>
            <w:r>
              <w:rPr>
                <w:color w:val="auto"/>
                <w:sz w:val="24"/>
                <w:szCs w:val="24"/>
                <w:highlight w:val="none"/>
              </w:rPr>
              <w:t>7）在电源进线端使用防雷保护器，电表下端使用漏电保护器，防止雷暴及触电风险，如果开关及电表室外使用，需使用专用室外电力保护箱。</w:t>
            </w:r>
          </w:p>
          <w:p>
            <w:pPr>
              <w:pStyle w:val="63"/>
              <w:rPr>
                <w:color w:val="auto"/>
                <w:sz w:val="24"/>
                <w:szCs w:val="24"/>
                <w:highlight w:val="none"/>
              </w:rPr>
            </w:pPr>
            <w:r>
              <w:rPr>
                <w:color w:val="auto"/>
                <w:sz w:val="24"/>
                <w:szCs w:val="24"/>
                <w:highlight w:val="none"/>
              </w:rPr>
              <w:t>8）施工过程中，尽可能不破坏道路原貌。（如有改变，施工结束后按原貌及时恢复。）</w:t>
            </w:r>
          </w:p>
          <w:p>
            <w:pPr>
              <w:pStyle w:val="63"/>
              <w:rPr>
                <w:color w:val="auto"/>
                <w:sz w:val="24"/>
                <w:szCs w:val="24"/>
                <w:highlight w:val="none"/>
              </w:rPr>
            </w:pPr>
            <w:r>
              <w:rPr>
                <w:rFonts w:hint="eastAsia"/>
                <w:color w:val="auto"/>
                <w:sz w:val="24"/>
                <w:szCs w:val="24"/>
                <w:highlight w:val="none"/>
              </w:rPr>
              <w:t>5</w:t>
            </w:r>
            <w:r>
              <w:rPr>
                <w:color w:val="auto"/>
                <w:sz w:val="24"/>
                <w:szCs w:val="24"/>
                <w:highlight w:val="none"/>
              </w:rPr>
              <w:t>、固定式遥测系统安装：</w:t>
            </w:r>
          </w:p>
          <w:p>
            <w:pPr>
              <w:pStyle w:val="63"/>
              <w:rPr>
                <w:color w:val="auto"/>
                <w:sz w:val="24"/>
                <w:szCs w:val="24"/>
                <w:highlight w:val="none"/>
              </w:rPr>
            </w:pPr>
            <w:r>
              <w:rPr>
                <w:color w:val="auto"/>
                <w:sz w:val="24"/>
                <w:szCs w:val="24"/>
                <w:highlight w:val="none"/>
              </w:rPr>
              <w:t>1）F</w:t>
            </w:r>
            <w:r>
              <w:rPr>
                <w:rFonts w:hint="eastAsia"/>
                <w:color w:val="auto"/>
                <w:sz w:val="24"/>
                <w:szCs w:val="24"/>
                <w:highlight w:val="none"/>
              </w:rPr>
              <w:t>型</w:t>
            </w:r>
            <w:r>
              <w:rPr>
                <w:color w:val="auto"/>
                <w:sz w:val="24"/>
                <w:szCs w:val="24"/>
                <w:highlight w:val="none"/>
              </w:rPr>
              <w:t>立杆</w:t>
            </w:r>
            <w:r>
              <w:rPr>
                <w:rFonts w:hint="eastAsia"/>
                <w:color w:val="auto"/>
                <w:sz w:val="24"/>
                <w:szCs w:val="24"/>
                <w:highlight w:val="none"/>
              </w:rPr>
              <w:t>及</w:t>
            </w:r>
            <w:r>
              <w:rPr>
                <w:color w:val="auto"/>
                <w:sz w:val="24"/>
                <w:szCs w:val="24"/>
                <w:highlight w:val="none"/>
              </w:rPr>
              <w:t>龙门架安装；</w:t>
            </w:r>
          </w:p>
          <w:p>
            <w:pPr>
              <w:pStyle w:val="63"/>
              <w:rPr>
                <w:color w:val="auto"/>
                <w:sz w:val="24"/>
                <w:szCs w:val="24"/>
                <w:highlight w:val="none"/>
              </w:rPr>
            </w:pPr>
            <w:r>
              <w:rPr>
                <w:color w:val="auto"/>
                <w:sz w:val="24"/>
                <w:szCs w:val="24"/>
                <w:highlight w:val="none"/>
              </w:rPr>
              <w:t>2）室外恒温中控柜，发射端恒温机柜，接收端机柜；</w:t>
            </w:r>
          </w:p>
          <w:p>
            <w:pPr>
              <w:pStyle w:val="63"/>
              <w:rPr>
                <w:color w:val="auto"/>
                <w:sz w:val="24"/>
                <w:szCs w:val="24"/>
                <w:highlight w:val="none"/>
              </w:rPr>
            </w:pPr>
            <w:r>
              <w:rPr>
                <w:color w:val="auto"/>
                <w:sz w:val="24"/>
                <w:szCs w:val="24"/>
                <w:highlight w:val="none"/>
              </w:rPr>
              <w:t>3）遥测系统设备水平安装；</w:t>
            </w:r>
          </w:p>
          <w:p>
            <w:pPr>
              <w:pStyle w:val="63"/>
              <w:rPr>
                <w:color w:val="auto"/>
                <w:sz w:val="24"/>
                <w:szCs w:val="24"/>
                <w:highlight w:val="none"/>
              </w:rPr>
            </w:pPr>
            <w:r>
              <w:rPr>
                <w:color w:val="auto"/>
                <w:sz w:val="24"/>
                <w:szCs w:val="24"/>
                <w:highlight w:val="none"/>
              </w:rPr>
              <w:t>4）视频捕捉系统安装（高车作业）；</w:t>
            </w:r>
          </w:p>
          <w:p>
            <w:pPr>
              <w:pStyle w:val="63"/>
              <w:rPr>
                <w:color w:val="auto"/>
                <w:sz w:val="24"/>
                <w:szCs w:val="24"/>
                <w:highlight w:val="none"/>
              </w:rPr>
            </w:pPr>
            <w:r>
              <w:rPr>
                <w:rFonts w:hint="eastAsia"/>
                <w:color w:val="auto"/>
                <w:sz w:val="24"/>
                <w:szCs w:val="24"/>
                <w:highlight w:val="none"/>
              </w:rPr>
              <w:t>5）黑烟识别系统安装（高车作业）；</w:t>
            </w:r>
          </w:p>
          <w:p>
            <w:pPr>
              <w:pStyle w:val="63"/>
              <w:rPr>
                <w:color w:val="auto"/>
                <w:sz w:val="24"/>
                <w:szCs w:val="24"/>
                <w:highlight w:val="none"/>
              </w:rPr>
            </w:pPr>
            <w:r>
              <w:rPr>
                <w:rFonts w:hint="eastAsia"/>
                <w:color w:val="auto"/>
                <w:sz w:val="24"/>
                <w:szCs w:val="24"/>
                <w:highlight w:val="none"/>
              </w:rPr>
              <w:t>6</w:t>
            </w:r>
            <w:r>
              <w:rPr>
                <w:color w:val="auto"/>
                <w:sz w:val="24"/>
                <w:szCs w:val="24"/>
                <w:highlight w:val="none"/>
              </w:rPr>
              <w:t>）速度及加速度单元的安装；</w:t>
            </w:r>
          </w:p>
          <w:p>
            <w:pPr>
              <w:pStyle w:val="63"/>
              <w:rPr>
                <w:color w:val="auto"/>
                <w:sz w:val="24"/>
                <w:szCs w:val="24"/>
                <w:highlight w:val="none"/>
              </w:rPr>
            </w:pPr>
            <w:r>
              <w:rPr>
                <w:rFonts w:hint="eastAsia"/>
                <w:color w:val="auto"/>
                <w:sz w:val="24"/>
                <w:szCs w:val="24"/>
                <w:highlight w:val="none"/>
              </w:rPr>
              <w:t>7</w:t>
            </w:r>
            <w:r>
              <w:rPr>
                <w:color w:val="auto"/>
                <w:sz w:val="24"/>
                <w:szCs w:val="24"/>
                <w:highlight w:val="none"/>
              </w:rPr>
              <w:t>）车流量统计系统的安装；</w:t>
            </w:r>
          </w:p>
          <w:p>
            <w:pPr>
              <w:pStyle w:val="63"/>
              <w:rPr>
                <w:color w:val="auto"/>
                <w:sz w:val="24"/>
                <w:szCs w:val="24"/>
                <w:highlight w:val="none"/>
              </w:rPr>
            </w:pPr>
            <w:r>
              <w:rPr>
                <w:rFonts w:hint="eastAsia"/>
                <w:color w:val="auto"/>
                <w:sz w:val="24"/>
                <w:szCs w:val="24"/>
                <w:highlight w:val="none"/>
              </w:rPr>
              <w:t>8</w:t>
            </w:r>
            <w:r>
              <w:rPr>
                <w:color w:val="auto"/>
                <w:sz w:val="24"/>
                <w:szCs w:val="24"/>
                <w:highlight w:val="none"/>
              </w:rPr>
              <w:t>）监控系统安装；</w:t>
            </w:r>
          </w:p>
          <w:p>
            <w:pPr>
              <w:pStyle w:val="63"/>
              <w:rPr>
                <w:color w:val="auto"/>
                <w:sz w:val="24"/>
                <w:szCs w:val="24"/>
                <w:highlight w:val="none"/>
              </w:rPr>
            </w:pPr>
            <w:r>
              <w:rPr>
                <w:rFonts w:hint="eastAsia"/>
                <w:color w:val="auto"/>
                <w:sz w:val="24"/>
                <w:szCs w:val="24"/>
                <w:highlight w:val="none"/>
              </w:rPr>
              <w:t>9</w:t>
            </w:r>
            <w:r>
              <w:rPr>
                <w:color w:val="auto"/>
                <w:sz w:val="24"/>
                <w:szCs w:val="24"/>
                <w:highlight w:val="none"/>
              </w:rPr>
              <w:t>）气象监测系统安装；</w:t>
            </w:r>
          </w:p>
          <w:p>
            <w:pPr>
              <w:pStyle w:val="63"/>
              <w:rPr>
                <w:color w:val="auto"/>
                <w:sz w:val="24"/>
                <w:szCs w:val="24"/>
                <w:highlight w:val="none"/>
              </w:rPr>
            </w:pPr>
            <w:r>
              <w:rPr>
                <w:color w:val="auto"/>
                <w:sz w:val="24"/>
                <w:szCs w:val="24"/>
                <w:highlight w:val="none"/>
              </w:rPr>
              <w:t>6、现场防水处理：</w:t>
            </w:r>
          </w:p>
          <w:p>
            <w:pPr>
              <w:pStyle w:val="63"/>
              <w:rPr>
                <w:color w:val="auto"/>
                <w:sz w:val="24"/>
                <w:szCs w:val="24"/>
                <w:highlight w:val="none"/>
              </w:rPr>
            </w:pPr>
            <w:r>
              <w:rPr>
                <w:color w:val="auto"/>
                <w:sz w:val="24"/>
                <w:szCs w:val="24"/>
                <w:highlight w:val="none"/>
              </w:rPr>
              <w:t>1）防尘、防水、防盗、耐腐处理；</w:t>
            </w:r>
          </w:p>
          <w:p>
            <w:pPr>
              <w:pStyle w:val="63"/>
              <w:rPr>
                <w:color w:val="auto"/>
                <w:sz w:val="24"/>
                <w:szCs w:val="24"/>
                <w:highlight w:val="none"/>
              </w:rPr>
            </w:pPr>
            <w:r>
              <w:rPr>
                <w:color w:val="auto"/>
                <w:sz w:val="24"/>
                <w:szCs w:val="24"/>
                <w:highlight w:val="none"/>
              </w:rPr>
              <w:t>2）机柜底座、走线槽严格按照工程施工要求，预留走水通道，外部密封。</w:t>
            </w:r>
          </w:p>
          <w:p>
            <w:pPr>
              <w:pStyle w:val="63"/>
              <w:rPr>
                <w:color w:val="auto"/>
                <w:sz w:val="24"/>
                <w:szCs w:val="24"/>
                <w:highlight w:val="none"/>
              </w:rPr>
            </w:pPr>
            <w:r>
              <w:rPr>
                <w:color w:val="auto"/>
                <w:sz w:val="24"/>
                <w:szCs w:val="24"/>
                <w:highlight w:val="none"/>
              </w:rPr>
              <w:t>3）敷设地下管线、安装地基及检修井需防水。</w:t>
            </w:r>
          </w:p>
          <w:p>
            <w:pPr>
              <w:pStyle w:val="63"/>
              <w:rPr>
                <w:color w:val="auto"/>
                <w:sz w:val="24"/>
                <w:szCs w:val="24"/>
                <w:highlight w:val="none"/>
              </w:rPr>
            </w:pPr>
            <w:r>
              <w:rPr>
                <w:color w:val="auto"/>
                <w:sz w:val="24"/>
                <w:szCs w:val="24"/>
                <w:highlight w:val="none"/>
              </w:rPr>
              <w:t>4）外路面施工材料需满足防水要求。</w:t>
            </w:r>
          </w:p>
        </w:tc>
      </w:tr>
    </w:tbl>
    <w:p>
      <w:pPr>
        <w:pStyle w:val="63"/>
        <w:rPr>
          <w:color w:val="auto"/>
          <w:sz w:val="24"/>
          <w:szCs w:val="24"/>
          <w:highlight w:val="none"/>
        </w:rPr>
      </w:pPr>
    </w:p>
    <w:p>
      <w:pPr>
        <w:pStyle w:val="8"/>
        <w:numPr>
          <w:ilvl w:val="1"/>
          <w:numId w:val="0"/>
        </w:numPr>
        <w:rPr>
          <w:color w:val="auto"/>
          <w:sz w:val="24"/>
          <w:highlight w:val="none"/>
        </w:rPr>
      </w:pPr>
      <w:bookmarkStart w:id="186" w:name="_Toc24556"/>
      <w:r>
        <w:rPr>
          <w:rFonts w:hint="eastAsia"/>
          <w:color w:val="auto"/>
          <w:sz w:val="24"/>
          <w:highlight w:val="none"/>
        </w:rPr>
        <w:t>2.2固定水平式机动车尾气遥感监测系统技术要求</w:t>
      </w:r>
      <w:bookmarkEnd w:id="186"/>
    </w:p>
    <w:tbl>
      <w:tblPr>
        <w:tblStyle w:val="29"/>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311"/>
        <w:gridCol w:w="6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序号</w:t>
            </w:r>
          </w:p>
        </w:tc>
        <w:tc>
          <w:tcPr>
            <w:tcW w:w="1311" w:type="dxa"/>
            <w:vAlign w:val="center"/>
          </w:tcPr>
          <w:p>
            <w:pPr>
              <w:pStyle w:val="63"/>
              <w:rPr>
                <w:color w:val="auto"/>
                <w:sz w:val="24"/>
                <w:szCs w:val="24"/>
                <w:highlight w:val="none"/>
              </w:rPr>
            </w:pPr>
            <w:r>
              <w:rPr>
                <w:rFonts w:hint="eastAsia"/>
                <w:color w:val="auto"/>
                <w:sz w:val="24"/>
                <w:szCs w:val="24"/>
                <w:highlight w:val="none"/>
              </w:rPr>
              <w:t>名称</w:t>
            </w:r>
          </w:p>
        </w:tc>
        <w:tc>
          <w:tcPr>
            <w:tcW w:w="6490" w:type="dxa"/>
            <w:vAlign w:val="center"/>
          </w:tcPr>
          <w:p>
            <w:pPr>
              <w:pStyle w:val="63"/>
              <w:rPr>
                <w:color w:val="auto"/>
                <w:sz w:val="24"/>
                <w:szCs w:val="24"/>
                <w:highlight w:val="none"/>
              </w:rPr>
            </w:pPr>
            <w:r>
              <w:rPr>
                <w:color w:val="auto"/>
                <w:sz w:val="24"/>
                <w:szCs w:val="24"/>
                <w:highlight w:val="none"/>
              </w:rPr>
              <w:t>规格参数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restart"/>
            <w:vAlign w:val="center"/>
          </w:tcPr>
          <w:p>
            <w:pPr>
              <w:pStyle w:val="63"/>
              <w:rPr>
                <w:color w:val="auto"/>
                <w:sz w:val="24"/>
                <w:szCs w:val="24"/>
                <w:highlight w:val="none"/>
              </w:rPr>
            </w:pPr>
            <w:r>
              <w:rPr>
                <w:color w:val="auto"/>
                <w:sz w:val="24"/>
                <w:szCs w:val="24"/>
                <w:highlight w:val="none"/>
              </w:rPr>
              <w:t>1</w:t>
            </w:r>
          </w:p>
        </w:tc>
        <w:tc>
          <w:tcPr>
            <w:tcW w:w="1311" w:type="dxa"/>
            <w:vMerge w:val="restart"/>
            <w:vAlign w:val="center"/>
          </w:tcPr>
          <w:p>
            <w:pPr>
              <w:pStyle w:val="63"/>
              <w:rPr>
                <w:color w:val="auto"/>
                <w:sz w:val="24"/>
                <w:szCs w:val="24"/>
                <w:highlight w:val="none"/>
              </w:rPr>
            </w:pPr>
            <w:r>
              <w:rPr>
                <w:rFonts w:hint="eastAsia"/>
                <w:color w:val="auto"/>
                <w:sz w:val="24"/>
                <w:szCs w:val="24"/>
                <w:highlight w:val="none"/>
              </w:rPr>
              <w:t>尾气遥感监测</w:t>
            </w:r>
            <w:r>
              <w:rPr>
                <w:color w:val="auto"/>
                <w:sz w:val="24"/>
                <w:szCs w:val="24"/>
                <w:highlight w:val="none"/>
              </w:rPr>
              <w:t>系统</w:t>
            </w:r>
          </w:p>
        </w:tc>
        <w:tc>
          <w:tcPr>
            <w:tcW w:w="6490" w:type="dxa"/>
            <w:vAlign w:val="center"/>
          </w:tcPr>
          <w:p>
            <w:pPr>
              <w:pStyle w:val="63"/>
              <w:rPr>
                <w:color w:val="auto"/>
                <w:sz w:val="24"/>
                <w:szCs w:val="24"/>
                <w:highlight w:val="none"/>
              </w:rPr>
            </w:pPr>
            <w:r>
              <w:rPr>
                <w:color w:val="auto"/>
                <w:sz w:val="24"/>
                <w:szCs w:val="24"/>
                <w:highlight w:val="none"/>
              </w:rPr>
              <w:t>监测项目：</w:t>
            </w:r>
          </w:p>
          <w:p>
            <w:pPr>
              <w:pStyle w:val="63"/>
              <w:rPr>
                <w:color w:val="auto"/>
                <w:sz w:val="24"/>
                <w:szCs w:val="24"/>
                <w:highlight w:val="none"/>
              </w:rPr>
            </w:pPr>
            <w:r>
              <w:rPr>
                <w:color w:val="auto"/>
                <w:sz w:val="24"/>
                <w:szCs w:val="24"/>
                <w:highlight w:val="none"/>
              </w:rPr>
              <w:t>一氧化碳（CO）、二氧化碳（CO2）、碳氢化合物（HC）、氮氧化物（NOX）、不透光烟度</w:t>
            </w:r>
            <w:r>
              <w:rPr>
                <w:rFonts w:hint="eastAsia"/>
                <w:color w:val="auto"/>
                <w:sz w:val="24"/>
                <w:szCs w:val="24"/>
                <w:highlight w:val="none"/>
              </w:rPr>
              <w:t>（PM）</w:t>
            </w:r>
            <w:r>
              <w:rPr>
                <w:color w:val="auto"/>
                <w:sz w:val="24"/>
                <w:szCs w:val="24"/>
                <w:highlight w:val="none"/>
              </w:rPr>
              <w:t>和机动车烟度因子（SF），可同时有效监测汽油车、柴油车以及CNG机动车排气污染物</w:t>
            </w:r>
            <w:r>
              <w:rPr>
                <w:rFonts w:hint="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监测原理：</w:t>
            </w:r>
          </w:p>
          <w:p>
            <w:pPr>
              <w:pStyle w:val="63"/>
              <w:rPr>
                <w:color w:val="auto"/>
                <w:sz w:val="24"/>
                <w:szCs w:val="24"/>
                <w:highlight w:val="none"/>
              </w:rPr>
            </w:pPr>
            <w:r>
              <w:rPr>
                <w:rFonts w:hint="eastAsia"/>
                <w:color w:val="auto"/>
                <w:sz w:val="24"/>
                <w:szCs w:val="24"/>
                <w:highlight w:val="none"/>
              </w:rPr>
              <w:t>1）点燃式发动机汽车排气污染物排放的CO、CO2、HC、NO测量，可采用红外可调谐二极管激光器（TDL）、不分光红外线吸收型（NDIR）传感器、紫外氘灯或其他等效光源。</w:t>
            </w:r>
          </w:p>
          <w:p>
            <w:pPr>
              <w:pStyle w:val="63"/>
              <w:rPr>
                <w:color w:val="auto"/>
                <w:sz w:val="24"/>
                <w:szCs w:val="24"/>
                <w:highlight w:val="none"/>
              </w:rPr>
            </w:pPr>
            <w:r>
              <w:rPr>
                <w:rFonts w:hint="eastAsia"/>
                <w:color w:val="auto"/>
                <w:sz w:val="24"/>
                <w:szCs w:val="24"/>
                <w:highlight w:val="none"/>
              </w:rPr>
              <w:t>2）压燃式发动机汽车排气烟度测量，其不透光度测量应采用550-570nm波长的绿色发光二极管光源或其他等效光源；林格曼黑度可使用视频摄像设备进行拍摄。</w:t>
            </w:r>
          </w:p>
          <w:p>
            <w:pPr>
              <w:pStyle w:val="63"/>
              <w:rPr>
                <w:color w:val="auto"/>
                <w:sz w:val="24"/>
                <w:szCs w:val="24"/>
                <w:highlight w:val="none"/>
              </w:rPr>
            </w:pPr>
            <w:r>
              <w:rPr>
                <w:rFonts w:hint="eastAsia"/>
                <w:color w:val="auto"/>
                <w:sz w:val="24"/>
                <w:szCs w:val="24"/>
                <w:highlight w:val="none"/>
              </w:rPr>
              <w:t>▲需提供第三方机构出具的机动车尾气遥感监测设备气体、</w:t>
            </w:r>
            <w:r>
              <w:rPr>
                <w:color w:val="auto"/>
                <w:sz w:val="24"/>
                <w:szCs w:val="24"/>
                <w:highlight w:val="none"/>
              </w:rPr>
              <w:t>温湿度、压力、不透光</w:t>
            </w:r>
            <w:r>
              <w:rPr>
                <w:rFonts w:hint="eastAsia"/>
                <w:color w:val="auto"/>
                <w:sz w:val="24"/>
                <w:szCs w:val="24"/>
                <w:highlight w:val="none"/>
              </w:rPr>
              <w:t>校准证书。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污染物测量范围：</w:t>
            </w:r>
          </w:p>
          <w:p>
            <w:pPr>
              <w:pStyle w:val="63"/>
              <w:rPr>
                <w:color w:val="auto"/>
                <w:sz w:val="24"/>
                <w:szCs w:val="24"/>
                <w:highlight w:val="none"/>
              </w:rPr>
            </w:pPr>
            <w:r>
              <w:rPr>
                <w:color w:val="auto"/>
                <w:sz w:val="24"/>
                <w:szCs w:val="24"/>
                <w:highlight w:val="none"/>
              </w:rPr>
              <w:t>1）一氧化碳（CO）：0%</w:t>
            </w:r>
            <w:r>
              <w:rPr>
                <w:rFonts w:hint="eastAsia"/>
                <w:color w:val="auto"/>
                <w:sz w:val="24"/>
                <w:szCs w:val="24"/>
                <w:highlight w:val="none"/>
              </w:rPr>
              <w:t>～</w:t>
            </w:r>
            <w:r>
              <w:rPr>
                <w:color w:val="auto"/>
                <w:sz w:val="24"/>
                <w:szCs w:val="24"/>
                <w:highlight w:val="none"/>
              </w:rPr>
              <w:t>10%。</w:t>
            </w:r>
          </w:p>
          <w:p>
            <w:pPr>
              <w:pStyle w:val="63"/>
              <w:rPr>
                <w:color w:val="auto"/>
                <w:sz w:val="24"/>
                <w:szCs w:val="24"/>
                <w:highlight w:val="none"/>
              </w:rPr>
            </w:pPr>
            <w:r>
              <w:rPr>
                <w:color w:val="auto"/>
                <w:sz w:val="24"/>
                <w:szCs w:val="24"/>
                <w:highlight w:val="none"/>
              </w:rPr>
              <w:t>2）二氧化碳（CO2）：0%</w:t>
            </w:r>
            <w:r>
              <w:rPr>
                <w:rFonts w:hint="eastAsia"/>
                <w:color w:val="auto"/>
                <w:sz w:val="24"/>
                <w:szCs w:val="24"/>
                <w:highlight w:val="none"/>
              </w:rPr>
              <w:t>～</w:t>
            </w:r>
            <w:r>
              <w:rPr>
                <w:color w:val="auto"/>
                <w:sz w:val="24"/>
                <w:szCs w:val="24"/>
                <w:highlight w:val="none"/>
              </w:rPr>
              <w:t>16%。</w:t>
            </w:r>
          </w:p>
          <w:p>
            <w:pPr>
              <w:pStyle w:val="63"/>
              <w:rPr>
                <w:color w:val="auto"/>
                <w:sz w:val="24"/>
                <w:szCs w:val="24"/>
                <w:highlight w:val="none"/>
              </w:rPr>
            </w:pPr>
            <w:r>
              <w:rPr>
                <w:color w:val="auto"/>
                <w:sz w:val="24"/>
                <w:szCs w:val="24"/>
                <w:highlight w:val="none"/>
              </w:rPr>
              <w:t>3）碳氢化合物（HC）：≤10000ppm。</w:t>
            </w:r>
          </w:p>
          <w:p>
            <w:pPr>
              <w:pStyle w:val="63"/>
              <w:rPr>
                <w:color w:val="auto"/>
                <w:sz w:val="24"/>
                <w:szCs w:val="24"/>
                <w:highlight w:val="none"/>
              </w:rPr>
            </w:pPr>
            <w:r>
              <w:rPr>
                <w:color w:val="auto"/>
                <w:sz w:val="24"/>
                <w:szCs w:val="24"/>
                <w:highlight w:val="none"/>
              </w:rPr>
              <w:t>4）氮氧化物（NOX）：≤10000ppm。</w:t>
            </w:r>
          </w:p>
          <w:p>
            <w:pPr>
              <w:pStyle w:val="63"/>
              <w:rPr>
                <w:color w:val="auto"/>
                <w:sz w:val="24"/>
                <w:szCs w:val="24"/>
                <w:highlight w:val="none"/>
              </w:rPr>
            </w:pPr>
            <w:r>
              <w:rPr>
                <w:color w:val="auto"/>
                <w:sz w:val="24"/>
                <w:szCs w:val="24"/>
                <w:highlight w:val="none"/>
              </w:rPr>
              <w:t>5）不透光度</w:t>
            </w:r>
            <w:r>
              <w:rPr>
                <w:rFonts w:hint="eastAsia"/>
                <w:color w:val="auto"/>
                <w:sz w:val="24"/>
                <w:szCs w:val="24"/>
                <w:highlight w:val="none"/>
              </w:rPr>
              <w:t>（PM）</w:t>
            </w:r>
            <w:r>
              <w:rPr>
                <w:color w:val="auto"/>
                <w:sz w:val="24"/>
                <w:szCs w:val="24"/>
                <w:highlight w:val="none"/>
              </w:rPr>
              <w:t>：0%</w:t>
            </w:r>
            <w:r>
              <w:rPr>
                <w:rFonts w:hint="eastAsia"/>
                <w:color w:val="auto"/>
                <w:sz w:val="24"/>
                <w:szCs w:val="24"/>
                <w:highlight w:val="none"/>
              </w:rPr>
              <w:t>～</w:t>
            </w:r>
            <w:r>
              <w:rPr>
                <w:color w:val="auto"/>
                <w:sz w:val="24"/>
                <w:szCs w:val="24"/>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污染物测量精度：</w:t>
            </w:r>
          </w:p>
          <w:p>
            <w:pPr>
              <w:pStyle w:val="63"/>
              <w:rPr>
                <w:color w:val="auto"/>
                <w:sz w:val="24"/>
                <w:szCs w:val="24"/>
                <w:highlight w:val="none"/>
              </w:rPr>
            </w:pPr>
            <w:r>
              <w:rPr>
                <w:color w:val="auto"/>
                <w:sz w:val="24"/>
                <w:szCs w:val="24"/>
                <w:highlight w:val="none"/>
              </w:rPr>
              <w:t>1）一氧化碳（CO）精度：读数值的±10%（相对值）或±0.25%（绝对值），取最大值。</w:t>
            </w:r>
          </w:p>
          <w:p>
            <w:pPr>
              <w:pStyle w:val="63"/>
              <w:rPr>
                <w:color w:val="auto"/>
                <w:sz w:val="24"/>
                <w:szCs w:val="24"/>
                <w:highlight w:val="none"/>
              </w:rPr>
            </w:pPr>
            <w:r>
              <w:rPr>
                <w:color w:val="auto"/>
                <w:sz w:val="24"/>
                <w:szCs w:val="24"/>
                <w:highlight w:val="none"/>
              </w:rPr>
              <w:t>2）二氧化碳（CO2）精度：读数值的±10%（相对值）或±0.25%（绝对值），取最大值。</w:t>
            </w:r>
          </w:p>
          <w:p>
            <w:pPr>
              <w:pStyle w:val="63"/>
              <w:rPr>
                <w:color w:val="auto"/>
                <w:sz w:val="24"/>
                <w:szCs w:val="24"/>
                <w:highlight w:val="none"/>
              </w:rPr>
            </w:pPr>
            <w:r>
              <w:rPr>
                <w:color w:val="auto"/>
                <w:sz w:val="24"/>
                <w:szCs w:val="24"/>
                <w:highlight w:val="none"/>
              </w:rPr>
              <w:t>3）碳氢化合物（HC）精度：读数值的±10%（相对值）或±10ppm（绝对值），取最大值。</w:t>
            </w:r>
          </w:p>
          <w:p>
            <w:pPr>
              <w:pStyle w:val="63"/>
              <w:rPr>
                <w:color w:val="auto"/>
                <w:sz w:val="24"/>
                <w:szCs w:val="24"/>
                <w:highlight w:val="none"/>
              </w:rPr>
            </w:pPr>
            <w:r>
              <w:rPr>
                <w:color w:val="auto"/>
                <w:sz w:val="24"/>
                <w:szCs w:val="24"/>
                <w:highlight w:val="none"/>
              </w:rPr>
              <w:t>4）氮氧化物（NOX）精度：读数值的±10%（相对值）或±20ppm（绝对值），取最大值。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color w:val="auto"/>
                <w:sz w:val="24"/>
                <w:szCs w:val="24"/>
                <w:highlight w:val="none"/>
              </w:rPr>
              <w:t>污染物测量重复性：</w:t>
            </w:r>
          </w:p>
          <w:p>
            <w:pPr>
              <w:pStyle w:val="63"/>
              <w:rPr>
                <w:color w:val="auto"/>
                <w:sz w:val="24"/>
                <w:szCs w:val="24"/>
                <w:highlight w:val="none"/>
              </w:rPr>
            </w:pPr>
            <w:r>
              <w:rPr>
                <w:color w:val="auto"/>
                <w:sz w:val="24"/>
                <w:szCs w:val="24"/>
                <w:highlight w:val="none"/>
              </w:rPr>
              <w:t>一氧化碳（CO）、二氧化碳（CO2）、碳氢化合物（HC）、氮氧化物（NOX）重复性不超过±5%。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rFonts w:hint="eastAsia"/>
                <w:color w:val="auto"/>
                <w:sz w:val="24"/>
                <w:szCs w:val="24"/>
                <w:highlight w:val="none"/>
              </w:rPr>
              <w:t>稳定性：</w:t>
            </w:r>
          </w:p>
          <w:p>
            <w:pPr>
              <w:pStyle w:val="63"/>
              <w:rPr>
                <w:color w:val="auto"/>
                <w:sz w:val="24"/>
                <w:szCs w:val="24"/>
                <w:highlight w:val="none"/>
              </w:rPr>
            </w:pPr>
            <w:r>
              <w:rPr>
                <w:rFonts w:hint="eastAsia"/>
                <w:color w:val="auto"/>
                <w:sz w:val="24"/>
                <w:szCs w:val="24"/>
                <w:highlight w:val="none"/>
              </w:rPr>
              <w:t>遥感检测设备对气体连续测量</w:t>
            </w:r>
            <w:r>
              <w:rPr>
                <w:color w:val="auto"/>
                <w:sz w:val="24"/>
                <w:szCs w:val="24"/>
                <w:highlight w:val="none"/>
              </w:rPr>
              <w:t>1</w:t>
            </w:r>
            <w:r>
              <w:rPr>
                <w:rFonts w:hint="eastAsia"/>
                <w:color w:val="auto"/>
                <w:sz w:val="24"/>
                <w:szCs w:val="24"/>
                <w:highlight w:val="none"/>
              </w:rPr>
              <w:t>小时，误差应不超过遥感检测设备示值允许误差。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Merge w:val="continue"/>
            <w:vAlign w:val="center"/>
          </w:tcPr>
          <w:p>
            <w:pPr>
              <w:pStyle w:val="63"/>
              <w:rPr>
                <w:color w:val="auto"/>
                <w:sz w:val="24"/>
                <w:szCs w:val="24"/>
                <w:highlight w:val="none"/>
              </w:rPr>
            </w:pPr>
          </w:p>
        </w:tc>
        <w:tc>
          <w:tcPr>
            <w:tcW w:w="1311" w:type="dxa"/>
            <w:vMerge w:val="continue"/>
            <w:vAlign w:val="center"/>
          </w:tcPr>
          <w:p>
            <w:pPr>
              <w:pStyle w:val="63"/>
              <w:rPr>
                <w:color w:val="auto"/>
                <w:sz w:val="24"/>
                <w:szCs w:val="24"/>
                <w:highlight w:val="none"/>
              </w:rPr>
            </w:pPr>
          </w:p>
        </w:tc>
        <w:tc>
          <w:tcPr>
            <w:tcW w:w="6490" w:type="dxa"/>
            <w:vAlign w:val="center"/>
          </w:tcPr>
          <w:p>
            <w:pPr>
              <w:pStyle w:val="63"/>
              <w:rPr>
                <w:color w:val="auto"/>
                <w:sz w:val="24"/>
                <w:szCs w:val="24"/>
                <w:highlight w:val="none"/>
              </w:rPr>
            </w:pPr>
            <w:r>
              <w:rPr>
                <w:rFonts w:hint="eastAsia"/>
                <w:color w:val="auto"/>
                <w:sz w:val="24"/>
                <w:szCs w:val="24"/>
                <w:highlight w:val="none"/>
              </w:rPr>
              <w:t>检出率：</w:t>
            </w:r>
          </w:p>
          <w:p>
            <w:pPr>
              <w:pStyle w:val="63"/>
              <w:rPr>
                <w:color w:val="auto"/>
                <w:sz w:val="24"/>
                <w:szCs w:val="24"/>
                <w:highlight w:val="none"/>
              </w:rPr>
            </w:pPr>
            <w:r>
              <w:rPr>
                <w:rFonts w:hint="eastAsia"/>
                <w:color w:val="auto"/>
                <w:sz w:val="24"/>
                <w:szCs w:val="24"/>
                <w:highlight w:val="none"/>
              </w:rPr>
              <w:t>汽车在加速状态、尾气管后置条件下，有效烟团捕获率不小于85%。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2</w:t>
            </w:r>
          </w:p>
        </w:tc>
        <w:tc>
          <w:tcPr>
            <w:tcW w:w="1311" w:type="dxa"/>
            <w:vAlign w:val="center"/>
          </w:tcPr>
          <w:p>
            <w:pPr>
              <w:pStyle w:val="63"/>
              <w:rPr>
                <w:color w:val="auto"/>
                <w:sz w:val="24"/>
                <w:szCs w:val="24"/>
                <w:highlight w:val="none"/>
              </w:rPr>
            </w:pPr>
            <w:r>
              <w:rPr>
                <w:rFonts w:hint="eastAsia"/>
                <w:color w:val="auto"/>
                <w:sz w:val="24"/>
                <w:szCs w:val="24"/>
                <w:highlight w:val="none"/>
              </w:rPr>
              <w:t>速度/加速度分析仪</w:t>
            </w:r>
          </w:p>
        </w:tc>
        <w:tc>
          <w:tcPr>
            <w:tcW w:w="6490" w:type="dxa"/>
            <w:vAlign w:val="center"/>
          </w:tcPr>
          <w:p>
            <w:pPr>
              <w:pStyle w:val="63"/>
              <w:rPr>
                <w:color w:val="auto"/>
                <w:sz w:val="24"/>
                <w:szCs w:val="24"/>
                <w:highlight w:val="none"/>
              </w:rPr>
            </w:pPr>
            <w:r>
              <w:rPr>
                <w:rFonts w:hint="eastAsia"/>
                <w:color w:val="auto"/>
                <w:sz w:val="24"/>
                <w:szCs w:val="24"/>
                <w:highlight w:val="none"/>
              </w:rPr>
              <w:t>1）车辆速度范围为1.0～100.0km/h；当汽车速度在1.0～50.0km/h，允许误差：±1.5km/h。当汽车速度在50.0～100.0km/h，允许误差：±3.0km/h。</w:t>
            </w:r>
          </w:p>
          <w:p>
            <w:pPr>
              <w:pStyle w:val="63"/>
              <w:rPr>
                <w:color w:val="auto"/>
                <w:sz w:val="24"/>
                <w:szCs w:val="24"/>
                <w:highlight w:val="none"/>
              </w:rPr>
            </w:pPr>
            <w:r>
              <w:rPr>
                <w:rFonts w:hint="eastAsia"/>
                <w:color w:val="auto"/>
                <w:sz w:val="24"/>
                <w:szCs w:val="24"/>
                <w:highlight w:val="none"/>
              </w:rPr>
              <w:t>2）车速测量分析时间≤0.5s；</w:t>
            </w:r>
          </w:p>
          <w:p>
            <w:pPr>
              <w:pStyle w:val="63"/>
              <w:rPr>
                <w:color w:val="auto"/>
                <w:sz w:val="24"/>
                <w:szCs w:val="24"/>
                <w:highlight w:val="none"/>
              </w:rPr>
            </w:pPr>
            <w:r>
              <w:rPr>
                <w:rFonts w:hint="eastAsia"/>
                <w:color w:val="auto"/>
                <w:sz w:val="24"/>
                <w:szCs w:val="24"/>
                <w:highlight w:val="none"/>
              </w:rPr>
              <w:t>3）加速度示值允许误差：±0.22m/s2；</w:t>
            </w:r>
          </w:p>
          <w:p>
            <w:pPr>
              <w:pStyle w:val="63"/>
              <w:rPr>
                <w:color w:val="auto"/>
                <w:sz w:val="24"/>
                <w:szCs w:val="24"/>
                <w:highlight w:val="none"/>
              </w:rPr>
            </w:pPr>
            <w:r>
              <w:rPr>
                <w:rFonts w:hint="eastAsia"/>
                <w:color w:val="auto"/>
                <w:sz w:val="24"/>
                <w:szCs w:val="24"/>
                <w:highlight w:val="none"/>
              </w:rPr>
              <w:t>需提供省级及以上计量部门出具的速度加速度校准证书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3</w:t>
            </w:r>
          </w:p>
        </w:tc>
        <w:tc>
          <w:tcPr>
            <w:tcW w:w="1311" w:type="dxa"/>
            <w:vAlign w:val="center"/>
          </w:tcPr>
          <w:p>
            <w:pPr>
              <w:pStyle w:val="63"/>
              <w:rPr>
                <w:color w:val="auto"/>
                <w:sz w:val="24"/>
                <w:szCs w:val="24"/>
                <w:highlight w:val="none"/>
              </w:rPr>
            </w:pPr>
            <w:r>
              <w:rPr>
                <w:color w:val="auto"/>
                <w:sz w:val="24"/>
                <w:szCs w:val="24"/>
                <w:highlight w:val="none"/>
              </w:rPr>
              <w:t>视频车牌捕捉系统</w:t>
            </w:r>
          </w:p>
        </w:tc>
        <w:tc>
          <w:tcPr>
            <w:tcW w:w="6490" w:type="dxa"/>
            <w:vAlign w:val="center"/>
          </w:tcPr>
          <w:p>
            <w:pPr>
              <w:pStyle w:val="63"/>
              <w:rPr>
                <w:color w:val="auto"/>
                <w:sz w:val="24"/>
                <w:szCs w:val="24"/>
                <w:highlight w:val="none"/>
              </w:rPr>
            </w:pPr>
            <w:r>
              <w:rPr>
                <w:rFonts w:hint="eastAsia"/>
                <w:color w:val="auto"/>
                <w:sz w:val="24"/>
                <w:szCs w:val="24"/>
                <w:highlight w:val="none"/>
              </w:rPr>
              <w:t>需包含高清一体化嵌入式摄像机、高清镜头、室外防护罩、相机内置网络信号防雷器、电源适配器等，技术要求如下：</w:t>
            </w:r>
          </w:p>
          <w:p>
            <w:pPr>
              <w:pStyle w:val="63"/>
              <w:rPr>
                <w:color w:val="auto"/>
                <w:sz w:val="24"/>
                <w:szCs w:val="24"/>
                <w:highlight w:val="none"/>
              </w:rPr>
            </w:pPr>
            <w:r>
              <w:rPr>
                <w:rFonts w:hint="eastAsia"/>
                <w:color w:val="auto"/>
                <w:sz w:val="24"/>
                <w:szCs w:val="24"/>
                <w:highlight w:val="none"/>
              </w:rPr>
              <w:t>图像传感器：采用1英寸GMOS</w:t>
            </w:r>
          </w:p>
          <w:p>
            <w:pPr>
              <w:pStyle w:val="63"/>
              <w:rPr>
                <w:color w:val="auto"/>
                <w:sz w:val="24"/>
                <w:szCs w:val="24"/>
                <w:highlight w:val="none"/>
              </w:rPr>
            </w:pPr>
            <w:r>
              <w:rPr>
                <w:rFonts w:hint="eastAsia"/>
                <w:color w:val="auto"/>
                <w:sz w:val="24"/>
                <w:szCs w:val="24"/>
                <w:highlight w:val="none"/>
              </w:rPr>
              <w:t>最大图像尺寸：≥4096×2160像素；字符叠加时最大可支持4096×2800视频帧率：在1～25fps可调</w:t>
            </w:r>
          </w:p>
          <w:p>
            <w:pPr>
              <w:pStyle w:val="63"/>
              <w:rPr>
                <w:color w:val="auto"/>
                <w:sz w:val="24"/>
                <w:szCs w:val="24"/>
                <w:highlight w:val="none"/>
              </w:rPr>
            </w:pPr>
            <w:r>
              <w:rPr>
                <w:rFonts w:hint="eastAsia"/>
                <w:color w:val="auto"/>
                <w:sz w:val="24"/>
                <w:szCs w:val="24"/>
                <w:highlight w:val="none"/>
              </w:rPr>
              <w:t>视频压缩支持H.265、H.264、M-JPEG、MPEG4</w:t>
            </w:r>
          </w:p>
          <w:p>
            <w:pPr>
              <w:pStyle w:val="63"/>
              <w:rPr>
                <w:color w:val="auto"/>
                <w:sz w:val="24"/>
                <w:szCs w:val="24"/>
                <w:highlight w:val="none"/>
              </w:rPr>
            </w:pPr>
            <w:r>
              <w:rPr>
                <w:rFonts w:hint="eastAsia"/>
                <w:color w:val="auto"/>
                <w:sz w:val="24"/>
                <w:szCs w:val="24"/>
                <w:highlight w:val="none"/>
              </w:rPr>
              <w:t>护罩玻璃透光率≥99%</w:t>
            </w:r>
          </w:p>
          <w:p>
            <w:pPr>
              <w:pStyle w:val="63"/>
              <w:rPr>
                <w:color w:val="auto"/>
                <w:sz w:val="24"/>
                <w:szCs w:val="24"/>
                <w:highlight w:val="none"/>
              </w:rPr>
            </w:pPr>
            <w:r>
              <w:rPr>
                <w:rFonts w:hint="eastAsia"/>
                <w:color w:val="auto"/>
                <w:sz w:val="24"/>
                <w:szCs w:val="24"/>
                <w:highlight w:val="none"/>
              </w:rPr>
              <w:t>支持主码流同时输出不少于30路2048×1536、2Mbps的25帧/s图像以提供客户端浏览</w:t>
            </w:r>
          </w:p>
          <w:p>
            <w:pPr>
              <w:pStyle w:val="63"/>
              <w:rPr>
                <w:color w:val="auto"/>
                <w:sz w:val="24"/>
                <w:szCs w:val="24"/>
                <w:highlight w:val="none"/>
              </w:rPr>
            </w:pPr>
            <w:r>
              <w:rPr>
                <w:rFonts w:hint="eastAsia"/>
                <w:color w:val="auto"/>
                <w:sz w:val="24"/>
                <w:szCs w:val="24"/>
                <w:highlight w:val="none"/>
              </w:rPr>
              <w:t>支持二轮车和行人捕获，白天和晚上的捕获率均≥99%</w:t>
            </w:r>
          </w:p>
          <w:p>
            <w:pPr>
              <w:pStyle w:val="63"/>
              <w:rPr>
                <w:color w:val="auto"/>
                <w:sz w:val="24"/>
                <w:szCs w:val="24"/>
                <w:highlight w:val="none"/>
              </w:rPr>
            </w:pPr>
            <w:r>
              <w:rPr>
                <w:rFonts w:hint="eastAsia"/>
                <w:color w:val="auto"/>
                <w:sz w:val="24"/>
                <w:szCs w:val="24"/>
                <w:highlight w:val="none"/>
              </w:rPr>
              <w:t>支持远光灯开启检测功能</w:t>
            </w:r>
          </w:p>
          <w:p>
            <w:pPr>
              <w:pStyle w:val="63"/>
              <w:rPr>
                <w:color w:val="auto"/>
                <w:sz w:val="24"/>
                <w:szCs w:val="24"/>
                <w:highlight w:val="none"/>
              </w:rPr>
            </w:pPr>
            <w:r>
              <w:rPr>
                <w:rFonts w:hint="eastAsia"/>
                <w:color w:val="auto"/>
                <w:sz w:val="24"/>
                <w:szCs w:val="24"/>
                <w:highlight w:val="none"/>
              </w:rPr>
              <w:t>主码流最大可配置为2048×1536@25fps，码率为6Mbps，子码流、第三码流、第四码流、第五码流最大均可设置为1920×1080@25fps，码率为2Mbps。</w:t>
            </w:r>
          </w:p>
          <w:p>
            <w:pPr>
              <w:pStyle w:val="63"/>
              <w:rPr>
                <w:color w:val="auto"/>
                <w:sz w:val="24"/>
                <w:szCs w:val="24"/>
                <w:highlight w:val="none"/>
              </w:rPr>
            </w:pPr>
            <w:r>
              <w:rPr>
                <w:rFonts w:hint="eastAsia"/>
                <w:color w:val="auto"/>
                <w:sz w:val="24"/>
                <w:szCs w:val="24"/>
                <w:highlight w:val="none"/>
              </w:rPr>
              <w:t>支持检测每个车道车牌识别区的车辆驶入状态和驶出状态</w:t>
            </w:r>
          </w:p>
          <w:p>
            <w:pPr>
              <w:pStyle w:val="63"/>
              <w:rPr>
                <w:color w:val="auto"/>
                <w:sz w:val="24"/>
                <w:szCs w:val="24"/>
                <w:highlight w:val="none"/>
              </w:rPr>
            </w:pPr>
            <w:r>
              <w:rPr>
                <w:rFonts w:hint="eastAsia"/>
                <w:color w:val="auto"/>
                <w:sz w:val="24"/>
                <w:szCs w:val="24"/>
                <w:highlight w:val="none"/>
              </w:rPr>
              <w:t>支持非机动车、行人人体和人脸抠取</w:t>
            </w:r>
          </w:p>
          <w:p>
            <w:pPr>
              <w:pStyle w:val="63"/>
              <w:rPr>
                <w:color w:val="auto"/>
                <w:sz w:val="24"/>
                <w:szCs w:val="24"/>
                <w:highlight w:val="none"/>
              </w:rPr>
            </w:pPr>
            <w:r>
              <w:rPr>
                <w:rFonts w:hint="eastAsia"/>
                <w:color w:val="auto"/>
                <w:sz w:val="24"/>
                <w:szCs w:val="24"/>
                <w:highlight w:val="none"/>
              </w:rPr>
              <w:t>支持smartJPEG编码，能够有效减小抓拍图片大小，压缩比0-100可设置，压缩区域个数1-6可配置。</w:t>
            </w:r>
          </w:p>
          <w:p>
            <w:pPr>
              <w:pStyle w:val="63"/>
              <w:rPr>
                <w:color w:val="auto"/>
                <w:sz w:val="24"/>
                <w:szCs w:val="24"/>
                <w:highlight w:val="none"/>
              </w:rPr>
            </w:pPr>
            <w:r>
              <w:rPr>
                <w:rFonts w:hint="eastAsia"/>
                <w:color w:val="auto"/>
                <w:sz w:val="24"/>
                <w:szCs w:val="24"/>
                <w:highlight w:val="none"/>
              </w:rPr>
              <w:t>支持机动车闯导流鱼腹线违章抓拍</w:t>
            </w:r>
          </w:p>
          <w:p>
            <w:pPr>
              <w:pStyle w:val="63"/>
              <w:rPr>
                <w:color w:val="auto"/>
                <w:sz w:val="24"/>
                <w:szCs w:val="24"/>
                <w:highlight w:val="none"/>
              </w:rPr>
            </w:pPr>
            <w:r>
              <w:rPr>
                <w:rFonts w:hint="eastAsia"/>
                <w:color w:val="auto"/>
                <w:sz w:val="24"/>
                <w:szCs w:val="24"/>
                <w:highlight w:val="none"/>
              </w:rPr>
              <w:t>支持车流量检测功能，可以区分车辆是直行还是左转。</w:t>
            </w:r>
          </w:p>
          <w:p>
            <w:pPr>
              <w:pStyle w:val="63"/>
              <w:rPr>
                <w:color w:val="auto"/>
                <w:sz w:val="24"/>
                <w:szCs w:val="24"/>
                <w:highlight w:val="none"/>
              </w:rPr>
            </w:pPr>
            <w:r>
              <w:rPr>
                <w:rFonts w:hint="eastAsia"/>
                <w:color w:val="auto"/>
                <w:sz w:val="24"/>
                <w:szCs w:val="24"/>
                <w:highlight w:val="none"/>
              </w:rPr>
              <w:t>支持车辆抓拍位置到立杆架设距离叠加功能</w:t>
            </w:r>
          </w:p>
          <w:p>
            <w:pPr>
              <w:pStyle w:val="63"/>
              <w:rPr>
                <w:color w:val="auto"/>
                <w:sz w:val="24"/>
                <w:szCs w:val="24"/>
                <w:highlight w:val="none"/>
              </w:rPr>
            </w:pPr>
            <w:r>
              <w:rPr>
                <w:rFonts w:hint="eastAsia"/>
                <w:color w:val="auto"/>
                <w:sz w:val="24"/>
                <w:szCs w:val="24"/>
                <w:highlight w:val="none"/>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4</w:t>
            </w:r>
          </w:p>
        </w:tc>
        <w:tc>
          <w:tcPr>
            <w:tcW w:w="1311" w:type="dxa"/>
            <w:vAlign w:val="center"/>
          </w:tcPr>
          <w:p>
            <w:pPr>
              <w:pStyle w:val="63"/>
              <w:rPr>
                <w:color w:val="auto"/>
                <w:sz w:val="24"/>
                <w:szCs w:val="24"/>
                <w:highlight w:val="none"/>
              </w:rPr>
            </w:pPr>
            <w:r>
              <w:rPr>
                <w:rFonts w:hint="eastAsia"/>
                <w:color w:val="auto"/>
                <w:sz w:val="24"/>
                <w:szCs w:val="24"/>
                <w:highlight w:val="none"/>
              </w:rPr>
              <w:t>环境</w:t>
            </w:r>
            <w:r>
              <w:rPr>
                <w:color w:val="auto"/>
                <w:sz w:val="24"/>
                <w:szCs w:val="24"/>
                <w:highlight w:val="none"/>
              </w:rPr>
              <w:t>气象监测系统</w:t>
            </w:r>
          </w:p>
        </w:tc>
        <w:tc>
          <w:tcPr>
            <w:tcW w:w="6490" w:type="dxa"/>
            <w:vAlign w:val="center"/>
          </w:tcPr>
          <w:p>
            <w:pPr>
              <w:pStyle w:val="63"/>
              <w:rPr>
                <w:color w:val="auto"/>
                <w:sz w:val="24"/>
                <w:szCs w:val="24"/>
                <w:highlight w:val="none"/>
              </w:rPr>
            </w:pPr>
            <w:r>
              <w:rPr>
                <w:rFonts w:hint="eastAsia"/>
                <w:color w:val="auto"/>
                <w:sz w:val="24"/>
                <w:szCs w:val="24"/>
                <w:highlight w:val="none"/>
              </w:rPr>
              <w:t>1）温度计检测范围：-40℃至50℃，允许误差：±0.5℃。</w:t>
            </w:r>
          </w:p>
          <w:p>
            <w:pPr>
              <w:pStyle w:val="63"/>
              <w:rPr>
                <w:color w:val="auto"/>
                <w:sz w:val="24"/>
                <w:szCs w:val="24"/>
                <w:highlight w:val="none"/>
              </w:rPr>
            </w:pPr>
            <w:r>
              <w:rPr>
                <w:rFonts w:hint="eastAsia"/>
                <w:color w:val="auto"/>
                <w:sz w:val="24"/>
                <w:szCs w:val="24"/>
                <w:highlight w:val="none"/>
              </w:rPr>
              <w:t>2）相对湿度检测范围：5%至95%，允许误差：满量程的±3%。</w:t>
            </w:r>
          </w:p>
          <w:p>
            <w:pPr>
              <w:pStyle w:val="63"/>
              <w:rPr>
                <w:color w:val="auto"/>
                <w:sz w:val="24"/>
                <w:szCs w:val="24"/>
                <w:highlight w:val="none"/>
              </w:rPr>
            </w:pPr>
            <w:r>
              <w:rPr>
                <w:rFonts w:hint="eastAsia"/>
                <w:color w:val="auto"/>
                <w:sz w:val="24"/>
                <w:szCs w:val="24"/>
                <w:highlight w:val="none"/>
              </w:rPr>
              <w:t>3）坡度角度检测范围：-15至15°，允许误差：±0.1°。</w:t>
            </w:r>
          </w:p>
          <w:p>
            <w:pPr>
              <w:pStyle w:val="63"/>
              <w:rPr>
                <w:color w:val="auto"/>
                <w:sz w:val="24"/>
                <w:szCs w:val="24"/>
                <w:highlight w:val="none"/>
              </w:rPr>
            </w:pPr>
            <w:r>
              <w:rPr>
                <w:rFonts w:hint="eastAsia"/>
                <w:color w:val="auto"/>
                <w:sz w:val="24"/>
                <w:szCs w:val="24"/>
                <w:highlight w:val="none"/>
              </w:rPr>
              <w:t>4）风速仪0-20m/s，允许误差：±5%。</w:t>
            </w:r>
          </w:p>
          <w:p>
            <w:pPr>
              <w:pStyle w:val="63"/>
              <w:rPr>
                <w:color w:val="auto"/>
                <w:sz w:val="24"/>
                <w:szCs w:val="24"/>
                <w:highlight w:val="none"/>
              </w:rPr>
            </w:pPr>
            <w:r>
              <w:rPr>
                <w:rFonts w:hint="eastAsia"/>
                <w:color w:val="auto"/>
                <w:sz w:val="24"/>
                <w:szCs w:val="24"/>
                <w:highlight w:val="none"/>
              </w:rPr>
              <w:t>5）大气压力计：7030-106.0kpa，允许误差：±5%。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rFonts w:hint="eastAsia"/>
                <w:color w:val="auto"/>
                <w:sz w:val="24"/>
                <w:szCs w:val="24"/>
                <w:highlight w:val="none"/>
              </w:rPr>
              <w:t>5</w:t>
            </w:r>
          </w:p>
        </w:tc>
        <w:tc>
          <w:tcPr>
            <w:tcW w:w="1311" w:type="dxa"/>
            <w:vAlign w:val="center"/>
          </w:tcPr>
          <w:p>
            <w:pPr>
              <w:pStyle w:val="63"/>
              <w:rPr>
                <w:color w:val="auto"/>
                <w:sz w:val="24"/>
                <w:szCs w:val="24"/>
                <w:highlight w:val="none"/>
              </w:rPr>
            </w:pPr>
            <w:r>
              <w:rPr>
                <w:rFonts w:hint="eastAsia"/>
                <w:color w:val="auto"/>
                <w:sz w:val="24"/>
                <w:szCs w:val="24"/>
                <w:highlight w:val="none"/>
              </w:rPr>
              <w:t>系统工业控制计算机</w:t>
            </w:r>
          </w:p>
        </w:tc>
        <w:tc>
          <w:tcPr>
            <w:tcW w:w="6490" w:type="dxa"/>
            <w:vAlign w:val="center"/>
          </w:tcPr>
          <w:p>
            <w:pPr>
              <w:pStyle w:val="63"/>
              <w:rPr>
                <w:color w:val="auto"/>
                <w:sz w:val="24"/>
                <w:szCs w:val="24"/>
                <w:highlight w:val="none"/>
              </w:rPr>
            </w:pPr>
            <w:r>
              <w:rPr>
                <w:rFonts w:hint="eastAsia"/>
                <w:color w:val="auto"/>
                <w:sz w:val="24"/>
                <w:szCs w:val="24"/>
                <w:highlight w:val="none"/>
              </w:rPr>
              <w:t>采用四核处理器，</w:t>
            </w:r>
            <w:r>
              <w:rPr>
                <w:color w:val="auto"/>
                <w:sz w:val="24"/>
                <w:szCs w:val="24"/>
                <w:highlight w:val="none"/>
              </w:rPr>
              <w:t>4</w:t>
            </w:r>
            <w:r>
              <w:rPr>
                <w:rFonts w:hint="eastAsia"/>
                <w:color w:val="auto"/>
                <w:sz w:val="24"/>
                <w:szCs w:val="24"/>
                <w:highlight w:val="none"/>
              </w:rPr>
              <w:t>G内存，</w:t>
            </w:r>
            <w:r>
              <w:rPr>
                <w:color w:val="auto"/>
                <w:sz w:val="24"/>
                <w:szCs w:val="24"/>
                <w:highlight w:val="none"/>
              </w:rPr>
              <w:t>19</w:t>
            </w:r>
            <w:r>
              <w:rPr>
                <w:rFonts w:hint="eastAsia"/>
                <w:color w:val="auto"/>
                <w:sz w:val="24"/>
                <w:szCs w:val="24"/>
                <w:highlight w:val="none"/>
              </w:rPr>
              <w:t>英寸触摸屏，500G以上硬盘（含），集成音频，麦克、集成100M或1000M无线/有线网卡，操作系统为简体中文windows系统。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6</w:t>
            </w:r>
          </w:p>
        </w:tc>
        <w:tc>
          <w:tcPr>
            <w:tcW w:w="1311" w:type="dxa"/>
            <w:vAlign w:val="center"/>
          </w:tcPr>
          <w:p>
            <w:pPr>
              <w:pStyle w:val="63"/>
              <w:rPr>
                <w:color w:val="auto"/>
                <w:sz w:val="24"/>
                <w:szCs w:val="24"/>
                <w:highlight w:val="none"/>
              </w:rPr>
            </w:pPr>
            <w:r>
              <w:rPr>
                <w:color w:val="auto"/>
                <w:sz w:val="24"/>
                <w:szCs w:val="24"/>
                <w:highlight w:val="none"/>
              </w:rPr>
              <w:t>遥感监测软件系统</w:t>
            </w:r>
          </w:p>
        </w:tc>
        <w:tc>
          <w:tcPr>
            <w:tcW w:w="6490" w:type="dxa"/>
            <w:vAlign w:val="center"/>
          </w:tcPr>
          <w:p>
            <w:pPr>
              <w:pStyle w:val="63"/>
              <w:rPr>
                <w:color w:val="auto"/>
                <w:sz w:val="24"/>
                <w:szCs w:val="24"/>
                <w:highlight w:val="none"/>
              </w:rPr>
            </w:pPr>
            <w:r>
              <w:rPr>
                <w:rFonts w:hint="eastAsia"/>
                <w:color w:val="auto"/>
                <w:sz w:val="24"/>
                <w:szCs w:val="24"/>
                <w:highlight w:val="none"/>
              </w:rPr>
              <w:t>系统应具备汽油车/柴油车/CNG车辆同时监测功能。对于柴油车和汽油车，系统直接给出检测数据；对于CNG和其他燃料类型的车辆，系统根据车辆信息数据库进行判定之后再给出检测数据。</w:t>
            </w:r>
          </w:p>
          <w:p>
            <w:pPr>
              <w:pStyle w:val="63"/>
              <w:rPr>
                <w:color w:val="auto"/>
                <w:sz w:val="24"/>
                <w:szCs w:val="24"/>
                <w:highlight w:val="none"/>
              </w:rPr>
            </w:pPr>
            <w:r>
              <w:rPr>
                <w:rFonts w:hint="eastAsia"/>
                <w:color w:val="auto"/>
                <w:sz w:val="24"/>
                <w:szCs w:val="24"/>
                <w:highlight w:val="none"/>
              </w:rPr>
              <w:t>技术指标要求：</w:t>
            </w:r>
          </w:p>
          <w:p>
            <w:pPr>
              <w:pStyle w:val="63"/>
              <w:rPr>
                <w:color w:val="auto"/>
                <w:sz w:val="24"/>
                <w:szCs w:val="24"/>
                <w:highlight w:val="none"/>
              </w:rPr>
            </w:pPr>
            <w:r>
              <w:rPr>
                <w:rFonts w:hint="eastAsia"/>
                <w:color w:val="auto"/>
                <w:sz w:val="24"/>
                <w:szCs w:val="24"/>
                <w:highlight w:val="none"/>
              </w:rPr>
              <w:t>1）所有软件界面为简体中文，仪器所有软件与windows系统兼容，方便使用。具备尾气遥感数据及相关数据采集功能</w:t>
            </w:r>
          </w:p>
          <w:p>
            <w:pPr>
              <w:pStyle w:val="63"/>
              <w:rPr>
                <w:color w:val="auto"/>
                <w:sz w:val="24"/>
                <w:szCs w:val="24"/>
                <w:highlight w:val="none"/>
              </w:rPr>
            </w:pPr>
            <w:r>
              <w:rPr>
                <w:rFonts w:hint="eastAsia"/>
                <w:color w:val="auto"/>
                <w:sz w:val="24"/>
                <w:szCs w:val="24"/>
                <w:highlight w:val="none"/>
              </w:rPr>
              <w:t>需提供尾气遥感监测数据采集与处理软件著作权证书（在招标公告发布日之前取得有效）</w:t>
            </w:r>
          </w:p>
          <w:p>
            <w:pPr>
              <w:pStyle w:val="63"/>
              <w:rPr>
                <w:color w:val="auto"/>
                <w:sz w:val="24"/>
                <w:szCs w:val="24"/>
                <w:highlight w:val="none"/>
              </w:rPr>
            </w:pPr>
            <w:r>
              <w:rPr>
                <w:color w:val="auto"/>
                <w:sz w:val="24"/>
                <w:szCs w:val="24"/>
                <w:highlight w:val="none"/>
              </w:rPr>
              <w:t>2</w:t>
            </w:r>
            <w:r>
              <w:rPr>
                <w:rFonts w:hint="eastAsia"/>
                <w:color w:val="auto"/>
                <w:sz w:val="24"/>
                <w:szCs w:val="24"/>
                <w:highlight w:val="none"/>
              </w:rPr>
              <w:t>）系统在开启电源后自动启动，并对系统的各单元进行自动检测，同时将检测结果给予显示。</w:t>
            </w:r>
          </w:p>
          <w:p>
            <w:pPr>
              <w:pStyle w:val="63"/>
              <w:rPr>
                <w:color w:val="auto"/>
                <w:sz w:val="24"/>
                <w:szCs w:val="24"/>
                <w:highlight w:val="none"/>
              </w:rPr>
            </w:pPr>
            <w:r>
              <w:rPr>
                <w:color w:val="auto"/>
                <w:sz w:val="24"/>
                <w:szCs w:val="24"/>
                <w:highlight w:val="none"/>
              </w:rPr>
              <w:t>3</w:t>
            </w:r>
            <w:r>
              <w:rPr>
                <w:rFonts w:hint="eastAsia"/>
                <w:color w:val="auto"/>
                <w:sz w:val="24"/>
                <w:szCs w:val="24"/>
                <w:highlight w:val="none"/>
              </w:rPr>
              <w:t>）录像完整并压缩1/4格式储存，车辆图象照片文件名用识别车牌和日期时间组合命名，以便于查找。</w:t>
            </w:r>
          </w:p>
          <w:p>
            <w:pPr>
              <w:pStyle w:val="63"/>
              <w:rPr>
                <w:color w:val="auto"/>
                <w:sz w:val="24"/>
                <w:szCs w:val="24"/>
                <w:highlight w:val="none"/>
              </w:rPr>
            </w:pPr>
            <w:r>
              <w:rPr>
                <w:color w:val="auto"/>
                <w:sz w:val="24"/>
                <w:szCs w:val="24"/>
                <w:highlight w:val="none"/>
              </w:rPr>
              <w:t>4</w:t>
            </w:r>
            <w:r>
              <w:rPr>
                <w:rFonts w:hint="eastAsia"/>
                <w:color w:val="auto"/>
                <w:sz w:val="24"/>
                <w:szCs w:val="24"/>
                <w:highlight w:val="none"/>
              </w:rPr>
              <w:t>）具备2组用户限值输入功能，限值应能根据车辆登记日期选择设置方式，且要求按车辆登记日期设置限值时，除限值能由操作员修改外，其实施标准日期也能由操作员修改。同一天检测的数据只生成一个超限值车辆检测数据记录文件。</w:t>
            </w:r>
          </w:p>
          <w:p>
            <w:pPr>
              <w:pStyle w:val="63"/>
              <w:rPr>
                <w:color w:val="auto"/>
                <w:sz w:val="24"/>
                <w:szCs w:val="24"/>
                <w:highlight w:val="none"/>
              </w:rPr>
            </w:pPr>
            <w:r>
              <w:rPr>
                <w:color w:val="auto"/>
                <w:sz w:val="24"/>
                <w:szCs w:val="24"/>
                <w:highlight w:val="none"/>
              </w:rPr>
              <w:t>5</w:t>
            </w:r>
            <w:r>
              <w:rPr>
                <w:rFonts w:hint="eastAsia"/>
                <w:color w:val="auto"/>
                <w:sz w:val="24"/>
                <w:szCs w:val="24"/>
                <w:highlight w:val="none"/>
              </w:rPr>
              <w:t>）要求具备检测数据无线上传功能，通过无线互联网能将检测数据上传，上传的数据主要有车牌、车牌颜色、以及排放测试数据，有关数据上传格式和内容将根据机动车排放数据管理中心要求在设备调试时提供。</w:t>
            </w:r>
          </w:p>
          <w:p>
            <w:pPr>
              <w:pStyle w:val="63"/>
              <w:rPr>
                <w:color w:val="auto"/>
                <w:sz w:val="24"/>
                <w:szCs w:val="24"/>
                <w:highlight w:val="none"/>
              </w:rPr>
            </w:pPr>
            <w:r>
              <w:rPr>
                <w:color w:val="auto"/>
                <w:sz w:val="24"/>
                <w:szCs w:val="24"/>
                <w:highlight w:val="none"/>
              </w:rPr>
              <w:t>6</w:t>
            </w:r>
            <w:r>
              <w:rPr>
                <w:rFonts w:hint="eastAsia"/>
                <w:color w:val="auto"/>
                <w:sz w:val="24"/>
                <w:szCs w:val="24"/>
                <w:highlight w:val="none"/>
              </w:rPr>
              <w:t>）系统应具备汽油车/柴油车/CNG车辆同时监测功能。对于柴油车和汽油车，系统直接给出检测数据；对于CNG和其他燃料类型的车辆，系统根据车辆信息数据库进行判定之后再给出检测数据。</w:t>
            </w:r>
          </w:p>
          <w:p>
            <w:pPr>
              <w:pStyle w:val="63"/>
              <w:rPr>
                <w:color w:val="auto"/>
                <w:sz w:val="24"/>
                <w:szCs w:val="24"/>
                <w:highlight w:val="none"/>
              </w:rPr>
            </w:pPr>
            <w:r>
              <w:rPr>
                <w:color w:val="auto"/>
                <w:sz w:val="24"/>
                <w:szCs w:val="24"/>
                <w:highlight w:val="none"/>
              </w:rPr>
              <w:t>7</w:t>
            </w:r>
            <w:r>
              <w:rPr>
                <w:rFonts w:hint="eastAsia"/>
                <w:color w:val="auto"/>
                <w:sz w:val="24"/>
                <w:szCs w:val="24"/>
                <w:highlight w:val="none"/>
              </w:rPr>
              <w:t>）系统应能设置两级管理权限：</w:t>
            </w:r>
          </w:p>
          <w:p>
            <w:pPr>
              <w:pStyle w:val="63"/>
              <w:rPr>
                <w:color w:val="auto"/>
                <w:sz w:val="24"/>
                <w:szCs w:val="24"/>
                <w:highlight w:val="none"/>
              </w:rPr>
            </w:pPr>
            <w:r>
              <w:rPr>
                <w:rFonts w:hint="eastAsia"/>
                <w:color w:val="auto"/>
                <w:sz w:val="24"/>
                <w:szCs w:val="24"/>
                <w:highlight w:val="none"/>
              </w:rPr>
              <w:t>系统管理员需要密码登录，可以管理系统的所有功能，包括数据、车辆信息、限值与判别限值的修改或导入等。</w:t>
            </w:r>
          </w:p>
          <w:p>
            <w:pPr>
              <w:pStyle w:val="63"/>
              <w:rPr>
                <w:color w:val="auto"/>
                <w:sz w:val="24"/>
                <w:szCs w:val="24"/>
                <w:highlight w:val="none"/>
              </w:rPr>
            </w:pPr>
            <w:r>
              <w:rPr>
                <w:rFonts w:hint="eastAsia"/>
                <w:color w:val="auto"/>
                <w:sz w:val="24"/>
                <w:szCs w:val="24"/>
                <w:highlight w:val="none"/>
              </w:rPr>
              <w:t>检测员权限不需要密码登录，检测员只具备检测权限和对记录数据、相关检测信息、车辆信息等的阅览权限，具备数据分析、统计、查询等权限。不具备相关修改权限。</w:t>
            </w:r>
          </w:p>
          <w:p>
            <w:pPr>
              <w:pStyle w:val="63"/>
              <w:rPr>
                <w:color w:val="auto"/>
                <w:sz w:val="24"/>
                <w:szCs w:val="24"/>
                <w:highlight w:val="none"/>
              </w:rPr>
            </w:pPr>
            <w:r>
              <w:rPr>
                <w:color w:val="auto"/>
                <w:sz w:val="24"/>
                <w:szCs w:val="24"/>
                <w:highlight w:val="none"/>
              </w:rPr>
              <w:t>8</w:t>
            </w:r>
            <w:r>
              <w:rPr>
                <w:rFonts w:hint="eastAsia"/>
                <w:color w:val="auto"/>
                <w:sz w:val="24"/>
                <w:szCs w:val="24"/>
                <w:highlight w:val="none"/>
              </w:rPr>
              <w:t>）要求系统应具备数据统计、分析、查询能力，至少应具备检测量、超标数量、超标比例统计分析，具备综合查询和特例查询能力。统计分析应具备临时限值（由统计分析人员临时输入一个限值）进行超标车辆数量和超标比例统计。</w:t>
            </w:r>
          </w:p>
          <w:p>
            <w:pPr>
              <w:pStyle w:val="63"/>
              <w:rPr>
                <w:color w:val="auto"/>
                <w:sz w:val="24"/>
                <w:szCs w:val="24"/>
                <w:highlight w:val="none"/>
              </w:rPr>
            </w:pPr>
            <w:r>
              <w:rPr>
                <w:color w:val="auto"/>
                <w:sz w:val="24"/>
                <w:szCs w:val="24"/>
                <w:highlight w:val="none"/>
              </w:rPr>
              <w:t>9</w:t>
            </w:r>
            <w:r>
              <w:rPr>
                <w:rFonts w:hint="eastAsia"/>
                <w:color w:val="auto"/>
                <w:sz w:val="24"/>
                <w:szCs w:val="24"/>
                <w:highlight w:val="none"/>
              </w:rPr>
              <w:t>）要求可以根据需要实时或通过查询调用车辆信息和检测数据进行检测数据、车辆照片等打印能力，具备统计分析结果与统计分析图片打印能力。</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0</w:t>
            </w:r>
            <w:r>
              <w:rPr>
                <w:rFonts w:hint="eastAsia"/>
                <w:color w:val="auto"/>
                <w:sz w:val="24"/>
                <w:szCs w:val="24"/>
                <w:highlight w:val="none"/>
              </w:rPr>
              <w:t>）车辆数据库信息支持情况下，具备自动即时判断显示车辆排放标准。对超标车辆通过LED显示屏显示检测结果。</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1</w:t>
            </w:r>
            <w:r>
              <w:rPr>
                <w:rFonts w:hint="eastAsia"/>
                <w:color w:val="auto"/>
                <w:sz w:val="24"/>
                <w:szCs w:val="24"/>
                <w:highlight w:val="none"/>
              </w:rPr>
              <w:t>）检测数据及识别信息可通过无线网络实时同步传送至远程监控中心，由中心数据库实时记录存储车辆检测信息。</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）具备记录车辆排放状况历史与查询功能。</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3</w:t>
            </w:r>
            <w:r>
              <w:rPr>
                <w:rFonts w:hint="eastAsia"/>
                <w:color w:val="auto"/>
                <w:sz w:val="24"/>
                <w:szCs w:val="24"/>
                <w:highlight w:val="none"/>
              </w:rPr>
              <w:t>）后处理软件：能够按车牌、车型、燃油类型、排放数据、速度、加速度等进行自动汇总、整理、统计、对比、分析和存储。并能根据客户实际需求提供远程数据传输和查询功能。</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4</w:t>
            </w:r>
            <w:r>
              <w:rPr>
                <w:rFonts w:hint="eastAsia"/>
                <w:color w:val="auto"/>
                <w:sz w:val="24"/>
                <w:szCs w:val="24"/>
                <w:highlight w:val="none"/>
              </w:rPr>
              <w:t>）道路测试设备与工控机采取有线数据传输，保证工作现场的安全，保证数据传输的稳定性。</w:t>
            </w:r>
          </w:p>
          <w:p>
            <w:pPr>
              <w:pStyle w:val="63"/>
              <w:rPr>
                <w:color w:val="auto"/>
                <w:sz w:val="24"/>
                <w:szCs w:val="24"/>
                <w:highlight w:val="none"/>
              </w:rPr>
            </w:pPr>
            <w:r>
              <w:rPr>
                <w:rFonts w:hint="eastAsia"/>
                <w:color w:val="auto"/>
                <w:sz w:val="24"/>
                <w:szCs w:val="24"/>
                <w:highlight w:val="none"/>
              </w:rPr>
              <w:t>1</w:t>
            </w:r>
            <w:r>
              <w:rPr>
                <w:color w:val="auto"/>
                <w:sz w:val="24"/>
                <w:szCs w:val="24"/>
                <w:highlight w:val="none"/>
              </w:rPr>
              <w:t>5</w:t>
            </w:r>
            <w:r>
              <w:rPr>
                <w:rFonts w:hint="eastAsia"/>
                <w:color w:val="auto"/>
                <w:sz w:val="24"/>
                <w:szCs w:val="24"/>
                <w:highlight w:val="none"/>
              </w:rPr>
              <w:t>）林格曼黑度与其他测量指标（如一氧化碳、二氧化碳、碳氢化合物、氮氧化物、不透光度、烟度因子）在遥感软件中同一界面显示。</w:t>
            </w:r>
          </w:p>
          <w:p>
            <w:pPr>
              <w:pStyle w:val="63"/>
              <w:rPr>
                <w:color w:val="auto"/>
                <w:sz w:val="24"/>
                <w:szCs w:val="24"/>
                <w:highlight w:val="none"/>
              </w:rPr>
            </w:pPr>
            <w:r>
              <w:rPr>
                <w:rFonts w:hint="eastAsia"/>
                <w:color w:val="auto"/>
                <w:sz w:val="24"/>
                <w:szCs w:val="24"/>
                <w:highlight w:val="none"/>
              </w:rPr>
              <w:t>需提供机动车尾气遥感监测数据查询与分析软件著作权证书（在招标公告发布日之前取得有效）</w:t>
            </w:r>
          </w:p>
          <w:p>
            <w:pPr>
              <w:pStyle w:val="63"/>
              <w:rPr>
                <w:color w:val="auto"/>
                <w:sz w:val="24"/>
                <w:szCs w:val="24"/>
                <w:highlight w:val="none"/>
              </w:rPr>
            </w:pPr>
            <w:r>
              <w:rPr>
                <w:rFonts w:hint="eastAsia"/>
                <w:color w:val="auto"/>
                <w:sz w:val="24"/>
                <w:szCs w:val="24"/>
                <w:highlight w:val="none"/>
              </w:rPr>
              <w:t>2.系统具备限行车自动筛选功能：</w:t>
            </w:r>
          </w:p>
          <w:p>
            <w:pPr>
              <w:pStyle w:val="63"/>
              <w:rPr>
                <w:color w:val="auto"/>
                <w:sz w:val="24"/>
                <w:szCs w:val="24"/>
                <w:highlight w:val="none"/>
              </w:rPr>
            </w:pPr>
            <w:r>
              <w:rPr>
                <w:rFonts w:hint="eastAsia"/>
                <w:color w:val="auto"/>
                <w:sz w:val="24"/>
                <w:szCs w:val="24"/>
                <w:highlight w:val="none"/>
              </w:rPr>
              <w:t>1）远程维护管理功能：应能通过网络实现数据传输、远程访问、远程维护管理等功能；应提供方便的遥感监测网络数据管理及查询、筛选等操作手段，满足用户的管理需要；用户既可以在系统运行现场进行控制操作，又能进行远程标定等常规操作和与中心其它系统或平台的数据共享。</w:t>
            </w:r>
          </w:p>
          <w:p>
            <w:pPr>
              <w:pStyle w:val="63"/>
              <w:rPr>
                <w:color w:val="auto"/>
                <w:sz w:val="24"/>
                <w:szCs w:val="24"/>
                <w:highlight w:val="none"/>
              </w:rPr>
            </w:pPr>
            <w:r>
              <w:rPr>
                <w:rFonts w:hint="eastAsia"/>
                <w:color w:val="auto"/>
                <w:sz w:val="24"/>
                <w:szCs w:val="24"/>
                <w:highlight w:val="none"/>
              </w:rPr>
              <w:t>2）能储存所有车辆的视频或图象照片，照片和数据应存放在独立文件夹中。</w:t>
            </w:r>
          </w:p>
          <w:p>
            <w:pPr>
              <w:pStyle w:val="63"/>
              <w:rPr>
                <w:color w:val="auto"/>
                <w:sz w:val="24"/>
                <w:szCs w:val="24"/>
                <w:highlight w:val="none"/>
              </w:rPr>
            </w:pPr>
            <w:r>
              <w:rPr>
                <w:rFonts w:hint="eastAsia"/>
                <w:color w:val="auto"/>
                <w:sz w:val="24"/>
                <w:szCs w:val="24"/>
                <w:highlight w:val="none"/>
              </w:rPr>
              <w:t>3）测量数据以数据库记录格式实时记录在硬盘上，同时自动备份，生成文件名中有检测日期，同一天检测的数据只生成一个文件，并能为用户操作使用；数据也可储存在刻录盘上。</w:t>
            </w:r>
          </w:p>
          <w:p>
            <w:pPr>
              <w:pStyle w:val="63"/>
              <w:rPr>
                <w:color w:val="auto"/>
                <w:sz w:val="24"/>
                <w:szCs w:val="24"/>
                <w:highlight w:val="none"/>
              </w:rPr>
            </w:pPr>
            <w:r>
              <w:rPr>
                <w:rFonts w:hint="eastAsia"/>
                <w:color w:val="auto"/>
                <w:sz w:val="24"/>
                <w:szCs w:val="24"/>
                <w:highlight w:val="none"/>
              </w:rPr>
              <w:t>4）记录内容为：测量时间、地点、仪器操作人员、车辆行驶中一氧化碳（CO）、二氧化碳（CO2）、碳氢化合物（HC）、氮氧化物（NOX）、烟度因子（SF）、环境参数、车牌、车长、牌照颜色，对应车辆照片文件名等，记录容量应大于10万组测量数据（或仅限计算机记录容量限制）。</w:t>
            </w:r>
          </w:p>
          <w:p>
            <w:pPr>
              <w:pStyle w:val="63"/>
              <w:rPr>
                <w:color w:val="auto"/>
                <w:sz w:val="24"/>
                <w:szCs w:val="24"/>
                <w:highlight w:val="none"/>
              </w:rPr>
            </w:pPr>
            <w:r>
              <w:rPr>
                <w:rFonts w:hint="eastAsia"/>
                <w:color w:val="auto"/>
                <w:sz w:val="24"/>
                <w:szCs w:val="24"/>
                <w:highlight w:val="none"/>
              </w:rPr>
              <w:t>5）具备测量数据后期处理能力，能根据采购单位要求进行数据判定，并形成相应提示警示信息。</w:t>
            </w:r>
          </w:p>
          <w:p>
            <w:pPr>
              <w:pStyle w:val="63"/>
              <w:rPr>
                <w:color w:val="auto"/>
                <w:sz w:val="24"/>
                <w:szCs w:val="24"/>
                <w:highlight w:val="none"/>
              </w:rPr>
            </w:pPr>
            <w:r>
              <w:rPr>
                <w:rFonts w:hint="eastAsia"/>
                <w:color w:val="auto"/>
                <w:sz w:val="24"/>
                <w:szCs w:val="24"/>
                <w:highlight w:val="none"/>
              </w:rPr>
              <w:t>6）具备GPS定位功能。</w:t>
            </w:r>
          </w:p>
          <w:p>
            <w:pPr>
              <w:pStyle w:val="63"/>
              <w:rPr>
                <w:color w:val="auto"/>
                <w:sz w:val="24"/>
                <w:szCs w:val="24"/>
                <w:highlight w:val="none"/>
              </w:rPr>
            </w:pPr>
            <w:r>
              <w:rPr>
                <w:rFonts w:hint="eastAsia"/>
                <w:color w:val="auto"/>
                <w:sz w:val="24"/>
                <w:szCs w:val="24"/>
                <w:highlight w:val="none"/>
              </w:rPr>
              <w:t>需提供机动车尾气遥感监测实时数据显示软件著作权证书（在招标公告发布日之前取得有效）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7</w:t>
            </w:r>
          </w:p>
        </w:tc>
        <w:tc>
          <w:tcPr>
            <w:tcW w:w="1311" w:type="dxa"/>
            <w:vAlign w:val="center"/>
          </w:tcPr>
          <w:p>
            <w:pPr>
              <w:pStyle w:val="63"/>
              <w:rPr>
                <w:color w:val="auto"/>
                <w:sz w:val="24"/>
                <w:szCs w:val="24"/>
                <w:highlight w:val="none"/>
              </w:rPr>
            </w:pPr>
            <w:r>
              <w:rPr>
                <w:color w:val="auto"/>
                <w:sz w:val="24"/>
                <w:szCs w:val="24"/>
                <w:highlight w:val="none"/>
              </w:rPr>
              <w:t>安防监控系统</w:t>
            </w:r>
          </w:p>
        </w:tc>
        <w:tc>
          <w:tcPr>
            <w:tcW w:w="6490" w:type="dxa"/>
            <w:vAlign w:val="center"/>
          </w:tcPr>
          <w:p>
            <w:pPr>
              <w:pStyle w:val="63"/>
              <w:rPr>
                <w:color w:val="auto"/>
                <w:sz w:val="24"/>
                <w:szCs w:val="24"/>
                <w:highlight w:val="none"/>
              </w:rPr>
            </w:pPr>
            <w:r>
              <w:rPr>
                <w:rFonts w:hint="eastAsia"/>
                <w:color w:val="auto"/>
                <w:sz w:val="24"/>
                <w:szCs w:val="24"/>
                <w:highlight w:val="none"/>
              </w:rPr>
              <w:t>为了防止尾气遥感设备遭到破坏，要求安装视频监控系统：监控范围要涵盖所有的仪器设备，可实现日夜监控；高清摄像头，能人脸侦测；户外安装，要求防水防尘，可实现远程端自动控制，视频资料可以随时调阅，要求监控录像存储周期不小于30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rFonts w:hint="eastAsia"/>
                <w:color w:val="auto"/>
                <w:sz w:val="24"/>
                <w:szCs w:val="24"/>
                <w:highlight w:val="none"/>
              </w:rPr>
              <w:t>8</w:t>
            </w:r>
          </w:p>
        </w:tc>
        <w:tc>
          <w:tcPr>
            <w:tcW w:w="1311" w:type="dxa"/>
            <w:vAlign w:val="center"/>
          </w:tcPr>
          <w:p>
            <w:pPr>
              <w:pStyle w:val="63"/>
              <w:rPr>
                <w:color w:val="auto"/>
                <w:sz w:val="24"/>
                <w:szCs w:val="24"/>
                <w:highlight w:val="none"/>
              </w:rPr>
            </w:pPr>
            <w:r>
              <w:rPr>
                <w:rFonts w:hint="eastAsia"/>
                <w:color w:val="auto"/>
                <w:sz w:val="24"/>
                <w:szCs w:val="24"/>
                <w:highlight w:val="none"/>
              </w:rPr>
              <w:t>F型立杆及龙门架</w:t>
            </w:r>
          </w:p>
        </w:tc>
        <w:tc>
          <w:tcPr>
            <w:tcW w:w="6490" w:type="dxa"/>
            <w:vAlign w:val="center"/>
          </w:tcPr>
          <w:p>
            <w:pPr>
              <w:pStyle w:val="63"/>
              <w:rPr>
                <w:color w:val="auto"/>
                <w:sz w:val="24"/>
                <w:szCs w:val="24"/>
                <w:highlight w:val="none"/>
              </w:rPr>
            </w:pPr>
            <w:r>
              <w:rPr>
                <w:color w:val="auto"/>
                <w:sz w:val="24"/>
                <w:szCs w:val="24"/>
                <w:highlight w:val="none"/>
              </w:rPr>
              <w:t>F</w:t>
            </w:r>
            <w:r>
              <w:rPr>
                <w:rFonts w:hint="eastAsia"/>
                <w:color w:val="auto"/>
                <w:sz w:val="24"/>
                <w:szCs w:val="24"/>
                <w:highlight w:val="none"/>
              </w:rPr>
              <w:t>型杆件及</w:t>
            </w:r>
            <w:r>
              <w:rPr>
                <w:color w:val="auto"/>
                <w:sz w:val="24"/>
                <w:szCs w:val="24"/>
                <w:highlight w:val="none"/>
              </w:rPr>
              <w:t>龙门架</w:t>
            </w:r>
            <w:r>
              <w:rPr>
                <w:rFonts w:hint="eastAsia"/>
                <w:color w:val="auto"/>
                <w:sz w:val="24"/>
                <w:szCs w:val="24"/>
                <w:highlight w:val="none"/>
              </w:rPr>
              <w:t>的规格、技术参数、性能及抗震、防雷、防风以及安装，应符合国家及行业部门相关规定的标准要求。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9</w:t>
            </w:r>
          </w:p>
        </w:tc>
        <w:tc>
          <w:tcPr>
            <w:tcW w:w="1311" w:type="dxa"/>
            <w:vAlign w:val="center"/>
          </w:tcPr>
          <w:p>
            <w:pPr>
              <w:pStyle w:val="63"/>
              <w:rPr>
                <w:color w:val="auto"/>
                <w:sz w:val="24"/>
                <w:szCs w:val="24"/>
                <w:highlight w:val="none"/>
              </w:rPr>
            </w:pPr>
            <w:r>
              <w:rPr>
                <w:color w:val="auto"/>
                <w:sz w:val="24"/>
                <w:szCs w:val="24"/>
                <w:highlight w:val="none"/>
              </w:rPr>
              <w:t>LED显示屏</w:t>
            </w:r>
          </w:p>
        </w:tc>
        <w:tc>
          <w:tcPr>
            <w:tcW w:w="6490" w:type="dxa"/>
            <w:vAlign w:val="center"/>
          </w:tcPr>
          <w:p>
            <w:pPr>
              <w:pStyle w:val="63"/>
              <w:rPr>
                <w:color w:val="auto"/>
                <w:sz w:val="24"/>
                <w:szCs w:val="24"/>
                <w:highlight w:val="none"/>
              </w:rPr>
            </w:pPr>
            <w:r>
              <w:rPr>
                <w:rFonts w:hint="eastAsia"/>
                <w:color w:val="auto"/>
                <w:sz w:val="24"/>
                <w:szCs w:val="24"/>
                <w:highlight w:val="none"/>
              </w:rPr>
              <w:t>LED显示屏单面面积不小于1.6m</w:t>
            </w:r>
            <w:r>
              <w:rPr>
                <w:rFonts w:hint="eastAsia"/>
                <w:color w:val="auto"/>
                <w:sz w:val="24"/>
                <w:szCs w:val="24"/>
                <w:highlight w:val="none"/>
                <w:vertAlign w:val="superscript"/>
              </w:rPr>
              <w:t>2</w:t>
            </w:r>
            <w:r>
              <w:rPr>
                <w:rFonts w:hint="eastAsia"/>
                <w:color w:val="auto"/>
                <w:sz w:val="24"/>
                <w:szCs w:val="24"/>
                <w:highlight w:val="none"/>
              </w:rPr>
              <w:t>，过往车辆可清晰看见显示内容，显示颜色：≥65536色，灰度等级：≥256级，工作电压：220V±15%，40-60Hz，可视角度-60°至+30°，水平±70°或以上，像素密度：≥6400点/m2，效果高于双基色显示屏，点距：10mm或更好，抗冲击、防水、防风，寿命大于10万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10</w:t>
            </w:r>
          </w:p>
        </w:tc>
        <w:tc>
          <w:tcPr>
            <w:tcW w:w="1311" w:type="dxa"/>
            <w:vAlign w:val="center"/>
          </w:tcPr>
          <w:p>
            <w:pPr>
              <w:pStyle w:val="63"/>
              <w:rPr>
                <w:color w:val="auto"/>
                <w:sz w:val="24"/>
                <w:szCs w:val="24"/>
                <w:highlight w:val="none"/>
              </w:rPr>
            </w:pPr>
            <w:r>
              <w:rPr>
                <w:color w:val="auto"/>
                <w:sz w:val="24"/>
                <w:szCs w:val="24"/>
                <w:highlight w:val="none"/>
              </w:rPr>
              <w:t>提示牌</w:t>
            </w:r>
          </w:p>
        </w:tc>
        <w:tc>
          <w:tcPr>
            <w:tcW w:w="6490" w:type="dxa"/>
            <w:vAlign w:val="center"/>
          </w:tcPr>
          <w:p>
            <w:pPr>
              <w:pStyle w:val="63"/>
              <w:rPr>
                <w:color w:val="auto"/>
                <w:sz w:val="24"/>
                <w:szCs w:val="24"/>
                <w:highlight w:val="none"/>
              </w:rPr>
            </w:pPr>
            <w:r>
              <w:rPr>
                <w:rFonts w:hint="eastAsia"/>
                <w:color w:val="auto"/>
                <w:sz w:val="24"/>
                <w:szCs w:val="24"/>
                <w:highlight w:val="none"/>
              </w:rPr>
              <w:t>尺寸不小于0.5米×1.0米。户外安装，防腐、防雨，并符合国家的相关要求。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11</w:t>
            </w:r>
          </w:p>
        </w:tc>
        <w:tc>
          <w:tcPr>
            <w:tcW w:w="1311" w:type="dxa"/>
            <w:vAlign w:val="center"/>
          </w:tcPr>
          <w:p>
            <w:pPr>
              <w:pStyle w:val="63"/>
              <w:rPr>
                <w:color w:val="auto"/>
                <w:sz w:val="24"/>
                <w:szCs w:val="24"/>
                <w:highlight w:val="none"/>
              </w:rPr>
            </w:pPr>
            <w:r>
              <w:rPr>
                <w:color w:val="auto"/>
                <w:sz w:val="24"/>
                <w:szCs w:val="24"/>
                <w:highlight w:val="none"/>
              </w:rPr>
              <w:t>标准气（带瓶、标气阀）</w:t>
            </w:r>
          </w:p>
        </w:tc>
        <w:tc>
          <w:tcPr>
            <w:tcW w:w="6490" w:type="dxa"/>
            <w:vAlign w:val="center"/>
          </w:tcPr>
          <w:p>
            <w:pPr>
              <w:pStyle w:val="63"/>
              <w:rPr>
                <w:color w:val="auto"/>
                <w:sz w:val="24"/>
                <w:szCs w:val="24"/>
                <w:highlight w:val="none"/>
              </w:rPr>
            </w:pPr>
            <w:r>
              <w:rPr>
                <w:rFonts w:hint="eastAsia"/>
                <w:color w:val="auto"/>
                <w:sz w:val="24"/>
                <w:szCs w:val="24"/>
                <w:highlight w:val="none"/>
              </w:rPr>
              <w:t>每套含两个铝合金气瓶（标准样气），作为遥感监测系统检测环境背景标定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12</w:t>
            </w:r>
          </w:p>
        </w:tc>
        <w:tc>
          <w:tcPr>
            <w:tcW w:w="1311" w:type="dxa"/>
            <w:vAlign w:val="center"/>
          </w:tcPr>
          <w:p>
            <w:pPr>
              <w:pStyle w:val="63"/>
              <w:rPr>
                <w:color w:val="auto"/>
                <w:sz w:val="24"/>
                <w:szCs w:val="24"/>
                <w:highlight w:val="none"/>
              </w:rPr>
            </w:pPr>
            <w:r>
              <w:rPr>
                <w:rFonts w:hint="eastAsia"/>
                <w:color w:val="auto"/>
                <w:sz w:val="24"/>
                <w:szCs w:val="24"/>
                <w:highlight w:val="none"/>
              </w:rPr>
              <w:t>黑烟车自动抓系统</w:t>
            </w:r>
          </w:p>
        </w:tc>
        <w:tc>
          <w:tcPr>
            <w:tcW w:w="6490" w:type="dxa"/>
            <w:vAlign w:val="center"/>
          </w:tcPr>
          <w:p>
            <w:pPr>
              <w:pStyle w:val="63"/>
              <w:rPr>
                <w:color w:val="auto"/>
                <w:sz w:val="24"/>
                <w:szCs w:val="24"/>
                <w:highlight w:val="none"/>
              </w:rPr>
            </w:pPr>
            <w:r>
              <w:rPr>
                <w:rFonts w:hint="eastAsia"/>
                <w:color w:val="auto"/>
                <w:sz w:val="24"/>
                <w:szCs w:val="24"/>
                <w:highlight w:val="none"/>
              </w:rPr>
              <w:t>1）技术指标要求：</w:t>
            </w:r>
          </w:p>
          <w:p>
            <w:pPr>
              <w:pStyle w:val="63"/>
              <w:rPr>
                <w:color w:val="auto"/>
                <w:sz w:val="24"/>
                <w:szCs w:val="24"/>
                <w:highlight w:val="none"/>
              </w:rPr>
            </w:pPr>
            <w:r>
              <w:rPr>
                <w:rFonts w:hint="eastAsia"/>
                <w:color w:val="auto"/>
                <w:sz w:val="24"/>
                <w:szCs w:val="24"/>
                <w:highlight w:val="none"/>
              </w:rPr>
              <w:t>实时在线监控，自动抓拍、识别黑烟车；</w:t>
            </w:r>
          </w:p>
          <w:p>
            <w:pPr>
              <w:pStyle w:val="63"/>
              <w:rPr>
                <w:color w:val="auto"/>
                <w:sz w:val="24"/>
                <w:szCs w:val="24"/>
                <w:highlight w:val="none"/>
              </w:rPr>
            </w:pPr>
            <w:r>
              <w:rPr>
                <w:rFonts w:hint="eastAsia"/>
                <w:color w:val="auto"/>
                <w:sz w:val="24"/>
                <w:szCs w:val="24"/>
                <w:highlight w:val="none"/>
              </w:rPr>
              <w:t>自动豁免清洁车辆；</w:t>
            </w:r>
          </w:p>
          <w:p>
            <w:pPr>
              <w:pStyle w:val="63"/>
              <w:rPr>
                <w:color w:val="auto"/>
                <w:sz w:val="24"/>
                <w:szCs w:val="24"/>
                <w:highlight w:val="none"/>
              </w:rPr>
            </w:pPr>
            <w:r>
              <w:rPr>
                <w:rFonts w:hint="eastAsia"/>
                <w:color w:val="auto"/>
                <w:sz w:val="24"/>
                <w:szCs w:val="24"/>
                <w:highlight w:val="none"/>
              </w:rPr>
              <w:t>精确的定义黑烟车的特征，降低误报和漏报现象；</w:t>
            </w:r>
          </w:p>
          <w:p>
            <w:pPr>
              <w:pStyle w:val="63"/>
              <w:rPr>
                <w:color w:val="auto"/>
                <w:sz w:val="24"/>
                <w:szCs w:val="24"/>
                <w:highlight w:val="none"/>
              </w:rPr>
            </w:pPr>
            <w:r>
              <w:rPr>
                <w:rFonts w:hint="eastAsia"/>
                <w:color w:val="auto"/>
                <w:sz w:val="24"/>
                <w:szCs w:val="24"/>
                <w:highlight w:val="none"/>
              </w:rPr>
              <w:t>自动筛选保存并传输黑烟车照片、视频等数据；</w:t>
            </w:r>
          </w:p>
          <w:p>
            <w:pPr>
              <w:pStyle w:val="63"/>
              <w:rPr>
                <w:color w:val="auto"/>
                <w:sz w:val="24"/>
                <w:szCs w:val="24"/>
                <w:highlight w:val="none"/>
              </w:rPr>
            </w:pPr>
            <w:r>
              <w:rPr>
                <w:rFonts w:hint="eastAsia"/>
                <w:color w:val="auto"/>
                <w:sz w:val="24"/>
                <w:szCs w:val="24"/>
                <w:highlight w:val="none"/>
              </w:rPr>
              <w:t>自动识别车辆牌照，自动判别黄绿标车辆；</w:t>
            </w:r>
          </w:p>
          <w:p>
            <w:pPr>
              <w:pStyle w:val="63"/>
              <w:rPr>
                <w:color w:val="auto"/>
                <w:sz w:val="24"/>
                <w:szCs w:val="24"/>
                <w:highlight w:val="none"/>
              </w:rPr>
            </w:pPr>
            <w:r>
              <w:rPr>
                <w:rFonts w:hint="eastAsia"/>
                <w:color w:val="auto"/>
                <w:sz w:val="24"/>
                <w:szCs w:val="24"/>
                <w:highlight w:val="none"/>
              </w:rPr>
              <w:t>支持互联网远程控制及数据传输功能：操作人员可在任何地点远程监控、操作设备，查询、提取及管理数据。</w:t>
            </w:r>
          </w:p>
          <w:p>
            <w:pPr>
              <w:pStyle w:val="63"/>
              <w:rPr>
                <w:color w:val="auto"/>
                <w:sz w:val="24"/>
                <w:szCs w:val="24"/>
                <w:highlight w:val="none"/>
              </w:rPr>
            </w:pPr>
            <w:r>
              <w:rPr>
                <w:rFonts w:hint="eastAsia"/>
                <w:color w:val="auto"/>
                <w:sz w:val="24"/>
                <w:szCs w:val="24"/>
                <w:highlight w:val="none"/>
              </w:rPr>
              <w:t>2)系统组成</w:t>
            </w:r>
          </w:p>
          <w:p>
            <w:pPr>
              <w:pStyle w:val="63"/>
              <w:rPr>
                <w:color w:val="auto"/>
                <w:sz w:val="24"/>
                <w:szCs w:val="24"/>
                <w:highlight w:val="none"/>
              </w:rPr>
            </w:pPr>
            <w:r>
              <w:rPr>
                <w:rFonts w:hint="eastAsia"/>
                <w:color w:val="auto"/>
                <w:sz w:val="24"/>
                <w:szCs w:val="24"/>
                <w:highlight w:val="none"/>
              </w:rPr>
              <w:t>固定式黑烟车监控系统由前端设备和后台处理软件组成，前端设备包括高清一体化抓拍主机，运算主机等组成。</w:t>
            </w:r>
          </w:p>
          <w:p>
            <w:pPr>
              <w:pStyle w:val="63"/>
              <w:rPr>
                <w:color w:val="auto"/>
                <w:sz w:val="24"/>
                <w:szCs w:val="24"/>
                <w:highlight w:val="none"/>
              </w:rPr>
            </w:pPr>
            <w:r>
              <w:rPr>
                <w:rFonts w:hint="eastAsia"/>
                <w:color w:val="auto"/>
                <w:sz w:val="24"/>
                <w:szCs w:val="24"/>
                <w:highlight w:val="none"/>
              </w:rPr>
              <w:t>3)一体化抓拍单元</w:t>
            </w:r>
          </w:p>
          <w:p>
            <w:pPr>
              <w:pStyle w:val="63"/>
              <w:rPr>
                <w:color w:val="auto"/>
                <w:sz w:val="24"/>
                <w:szCs w:val="24"/>
                <w:highlight w:val="none"/>
              </w:rPr>
            </w:pPr>
            <w:r>
              <w:rPr>
                <w:rFonts w:hint="eastAsia"/>
                <w:color w:val="auto"/>
                <w:sz w:val="24"/>
                <w:szCs w:val="24"/>
                <w:highlight w:val="none"/>
              </w:rPr>
              <w:t>包含摄像机（内置偏振镜）、高清镜头、室外防护罩、风扇、内置补光灯、电源适配器、相机内置防雷模块、安装万向节等</w:t>
            </w:r>
          </w:p>
          <w:p>
            <w:pPr>
              <w:pStyle w:val="63"/>
              <w:rPr>
                <w:color w:val="auto"/>
                <w:sz w:val="24"/>
                <w:szCs w:val="24"/>
                <w:highlight w:val="none"/>
              </w:rPr>
            </w:pPr>
            <w:r>
              <w:rPr>
                <w:rFonts w:hint="eastAsia"/>
                <w:color w:val="auto"/>
                <w:sz w:val="24"/>
                <w:szCs w:val="24"/>
                <w:highlight w:val="none"/>
              </w:rPr>
              <w:t>▲黑烟车自动分析单元需实现抓拍视频检测分析，需提供视频检测装置自主知识产权证明（获证单位名称应与投标人名称一致，且须在招标公告发布之日前取得）。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13</w:t>
            </w:r>
          </w:p>
        </w:tc>
        <w:tc>
          <w:tcPr>
            <w:tcW w:w="1311" w:type="dxa"/>
            <w:vAlign w:val="center"/>
          </w:tcPr>
          <w:p>
            <w:pPr>
              <w:pStyle w:val="63"/>
              <w:rPr>
                <w:color w:val="auto"/>
                <w:sz w:val="24"/>
                <w:szCs w:val="24"/>
                <w:highlight w:val="none"/>
              </w:rPr>
            </w:pPr>
            <w:r>
              <w:rPr>
                <w:rFonts w:hint="eastAsia"/>
                <w:color w:val="auto"/>
                <w:sz w:val="24"/>
                <w:szCs w:val="24"/>
                <w:highlight w:val="none"/>
              </w:rPr>
              <w:t>道路流量监测系统</w:t>
            </w:r>
          </w:p>
        </w:tc>
        <w:tc>
          <w:tcPr>
            <w:tcW w:w="6490" w:type="dxa"/>
            <w:vAlign w:val="center"/>
          </w:tcPr>
          <w:p>
            <w:pPr>
              <w:pStyle w:val="63"/>
              <w:rPr>
                <w:color w:val="auto"/>
                <w:sz w:val="24"/>
                <w:szCs w:val="24"/>
                <w:highlight w:val="none"/>
              </w:rPr>
            </w:pPr>
            <w:r>
              <w:rPr>
                <w:rFonts w:hint="eastAsia"/>
                <w:color w:val="auto"/>
                <w:sz w:val="24"/>
                <w:szCs w:val="24"/>
                <w:highlight w:val="none"/>
              </w:rPr>
              <w:t>需能够实现道路流量监测，包含摄像机、高清镜头、室外防护罩、风扇、相机内置防雷模块、电源适配器、安装万向节、多车道车道识别器、软件系统等；技术指标要求如下：</w:t>
            </w:r>
          </w:p>
          <w:p>
            <w:pPr>
              <w:pStyle w:val="63"/>
              <w:rPr>
                <w:color w:val="auto"/>
                <w:sz w:val="24"/>
                <w:szCs w:val="24"/>
                <w:highlight w:val="none"/>
              </w:rPr>
            </w:pPr>
            <w:r>
              <w:rPr>
                <w:rFonts w:hint="eastAsia"/>
                <w:color w:val="auto"/>
                <w:sz w:val="24"/>
                <w:szCs w:val="24"/>
                <w:highlight w:val="none"/>
              </w:rPr>
              <w:t>1、支持IP地址获取，样机接入网络时，可自动获取IP地址，并可根据IP地址搜索到设备</w:t>
            </w:r>
          </w:p>
          <w:p>
            <w:pPr>
              <w:pStyle w:val="63"/>
              <w:rPr>
                <w:color w:val="auto"/>
                <w:sz w:val="24"/>
                <w:szCs w:val="24"/>
                <w:highlight w:val="none"/>
              </w:rPr>
            </w:pPr>
            <w:r>
              <w:rPr>
                <w:rFonts w:hint="eastAsia"/>
                <w:color w:val="auto"/>
                <w:sz w:val="24"/>
                <w:szCs w:val="24"/>
                <w:highlight w:val="none"/>
              </w:rPr>
              <w:t>2、摄像机支持内部网络交换功能，支持将串口设备和指定IP网络设备进行数据传输</w:t>
            </w:r>
          </w:p>
          <w:p>
            <w:pPr>
              <w:pStyle w:val="63"/>
              <w:rPr>
                <w:color w:val="auto"/>
                <w:sz w:val="24"/>
                <w:szCs w:val="24"/>
                <w:highlight w:val="none"/>
              </w:rPr>
            </w:pPr>
            <w:r>
              <w:rPr>
                <w:rFonts w:hint="eastAsia"/>
                <w:color w:val="auto"/>
                <w:sz w:val="24"/>
                <w:szCs w:val="24"/>
                <w:highlight w:val="none"/>
              </w:rPr>
              <w:t>3、在静止场景下，相同图像质量时，样机开启Smart264功能后，码流可节约1/3。</w:t>
            </w:r>
          </w:p>
          <w:p>
            <w:pPr>
              <w:pStyle w:val="63"/>
              <w:rPr>
                <w:color w:val="auto"/>
                <w:sz w:val="24"/>
                <w:szCs w:val="24"/>
                <w:highlight w:val="none"/>
              </w:rPr>
            </w:pPr>
            <w:r>
              <w:rPr>
                <w:rFonts w:hint="eastAsia"/>
                <w:color w:val="auto"/>
                <w:sz w:val="24"/>
                <w:szCs w:val="24"/>
                <w:highlight w:val="none"/>
              </w:rPr>
              <w:t>4、最大支持分辨率1920×1080，帧率在1-50fps可调</w:t>
            </w:r>
          </w:p>
          <w:p>
            <w:pPr>
              <w:pStyle w:val="63"/>
              <w:rPr>
                <w:color w:val="auto"/>
                <w:sz w:val="24"/>
                <w:szCs w:val="24"/>
                <w:highlight w:val="none"/>
              </w:rPr>
            </w:pPr>
            <w:r>
              <w:rPr>
                <w:rFonts w:hint="eastAsia"/>
                <w:color w:val="auto"/>
                <w:sz w:val="24"/>
                <w:szCs w:val="24"/>
                <w:highlight w:val="none"/>
              </w:rPr>
              <w:t>5、图像延时：≤230ms（分辨率设置为1920*1080，帧率设置为25fps，码率4Mbps）</w:t>
            </w:r>
          </w:p>
          <w:p>
            <w:pPr>
              <w:pStyle w:val="63"/>
              <w:rPr>
                <w:color w:val="auto"/>
                <w:sz w:val="24"/>
                <w:szCs w:val="24"/>
                <w:highlight w:val="none"/>
              </w:rPr>
            </w:pPr>
            <w:r>
              <w:rPr>
                <w:rFonts w:hint="eastAsia"/>
                <w:color w:val="auto"/>
                <w:sz w:val="24"/>
                <w:szCs w:val="24"/>
                <w:highlight w:val="none"/>
              </w:rPr>
              <w:t>6、可按车道对交通信息进行统计，包括：车流量、平均速度、车头间距、车头时距、车道空间占有率、车道时间占用率、排队长度、交通状态和车辆类型等。</w:t>
            </w:r>
          </w:p>
          <w:p>
            <w:pPr>
              <w:pStyle w:val="63"/>
              <w:rPr>
                <w:color w:val="auto"/>
                <w:sz w:val="24"/>
                <w:szCs w:val="24"/>
                <w:highlight w:val="none"/>
              </w:rPr>
            </w:pPr>
            <w:r>
              <w:rPr>
                <w:rFonts w:hint="eastAsia"/>
                <w:color w:val="auto"/>
                <w:sz w:val="24"/>
                <w:szCs w:val="24"/>
                <w:highlight w:val="none"/>
              </w:rPr>
              <w:t>7、可对检测区域内经过断面的车流量进行统计，白天的准确率为97%，夜间的准确率92%</w:t>
            </w:r>
          </w:p>
          <w:p>
            <w:pPr>
              <w:pStyle w:val="63"/>
              <w:rPr>
                <w:color w:val="auto"/>
                <w:sz w:val="24"/>
                <w:szCs w:val="24"/>
                <w:highlight w:val="none"/>
              </w:rPr>
            </w:pPr>
            <w:r>
              <w:rPr>
                <w:rFonts w:hint="eastAsia"/>
                <w:color w:val="auto"/>
                <w:sz w:val="24"/>
                <w:szCs w:val="24"/>
                <w:highlight w:val="none"/>
              </w:rPr>
              <w:t>8、支持对单车道的平均速度进行统计，经过检测区域的平均速度测量误差白天≤5%，晚上≤10%。</w:t>
            </w:r>
          </w:p>
          <w:p>
            <w:pPr>
              <w:pStyle w:val="63"/>
              <w:rPr>
                <w:color w:val="auto"/>
                <w:sz w:val="24"/>
                <w:szCs w:val="24"/>
                <w:highlight w:val="none"/>
              </w:rPr>
            </w:pPr>
            <w:r>
              <w:rPr>
                <w:rFonts w:hint="eastAsia"/>
                <w:color w:val="auto"/>
                <w:sz w:val="24"/>
                <w:szCs w:val="24"/>
                <w:highlight w:val="none"/>
              </w:rPr>
              <w:t>9、监测范围为车流量方向15m-200m。</w:t>
            </w:r>
          </w:p>
          <w:p>
            <w:pPr>
              <w:pStyle w:val="63"/>
              <w:rPr>
                <w:color w:val="auto"/>
                <w:sz w:val="24"/>
                <w:szCs w:val="24"/>
                <w:highlight w:val="none"/>
              </w:rPr>
            </w:pPr>
            <w:r>
              <w:rPr>
                <w:rFonts w:hint="eastAsia"/>
                <w:color w:val="auto"/>
                <w:sz w:val="24"/>
                <w:szCs w:val="24"/>
                <w:highlight w:val="none"/>
              </w:rPr>
              <w:t>10、电源电压在AC85V-AC264V范围内变化时，设备能正常工作能正常工作。</w:t>
            </w:r>
          </w:p>
          <w:p>
            <w:pPr>
              <w:pStyle w:val="63"/>
              <w:rPr>
                <w:color w:val="auto"/>
                <w:sz w:val="24"/>
                <w:szCs w:val="24"/>
                <w:highlight w:val="none"/>
              </w:rPr>
            </w:pPr>
            <w:r>
              <w:rPr>
                <w:rFonts w:hint="eastAsia"/>
                <w:color w:val="auto"/>
                <w:sz w:val="24"/>
                <w:szCs w:val="24"/>
                <w:highlight w:val="none"/>
              </w:rPr>
              <w:t>需提供车流量检测识别软件著作权证书（在招标公告发布日之前取得有效）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14</w:t>
            </w:r>
          </w:p>
        </w:tc>
        <w:tc>
          <w:tcPr>
            <w:tcW w:w="1311" w:type="dxa"/>
            <w:vAlign w:val="center"/>
          </w:tcPr>
          <w:p>
            <w:pPr>
              <w:pStyle w:val="63"/>
              <w:rPr>
                <w:color w:val="auto"/>
                <w:sz w:val="24"/>
                <w:szCs w:val="24"/>
                <w:highlight w:val="none"/>
              </w:rPr>
            </w:pPr>
            <w:r>
              <w:rPr>
                <w:rFonts w:hint="eastAsia"/>
                <w:color w:val="auto"/>
                <w:sz w:val="24"/>
                <w:szCs w:val="24"/>
                <w:highlight w:val="none"/>
              </w:rPr>
              <w:t>微型环境空气质量监测系统</w:t>
            </w:r>
          </w:p>
        </w:tc>
        <w:tc>
          <w:tcPr>
            <w:tcW w:w="6490" w:type="dxa"/>
            <w:vAlign w:val="center"/>
          </w:tcPr>
          <w:p>
            <w:pPr>
              <w:pStyle w:val="63"/>
              <w:rPr>
                <w:color w:val="auto"/>
                <w:sz w:val="24"/>
                <w:szCs w:val="24"/>
                <w:highlight w:val="none"/>
              </w:rPr>
            </w:pPr>
            <w:r>
              <w:rPr>
                <w:rFonts w:hint="eastAsia"/>
                <w:color w:val="auto"/>
                <w:sz w:val="24"/>
                <w:szCs w:val="24"/>
                <w:highlight w:val="none"/>
              </w:rPr>
              <w:t>（1）设备基本要求：要求仪器体积小、功耗低、重量轻，易安装、易部署，安装维护方便，可方便进行点位迁移，可实现备机更换后，数据无缝对接；</w:t>
            </w:r>
          </w:p>
          <w:p>
            <w:pPr>
              <w:pStyle w:val="63"/>
              <w:rPr>
                <w:color w:val="auto"/>
                <w:sz w:val="24"/>
                <w:szCs w:val="24"/>
                <w:highlight w:val="none"/>
              </w:rPr>
            </w:pPr>
            <w:r>
              <w:rPr>
                <w:rFonts w:hint="eastAsia"/>
                <w:color w:val="auto"/>
                <w:sz w:val="24"/>
                <w:szCs w:val="24"/>
                <w:highlight w:val="none"/>
              </w:rPr>
              <w:t>（2）颗粒物和气态污染物采样流量采用内置泵吸式，支持电子流量计测量流速和动态PID流量控制；</w:t>
            </w:r>
          </w:p>
          <w:p>
            <w:pPr>
              <w:pStyle w:val="63"/>
              <w:rPr>
                <w:color w:val="auto"/>
                <w:sz w:val="24"/>
                <w:szCs w:val="24"/>
                <w:highlight w:val="none"/>
              </w:rPr>
            </w:pPr>
            <w:r>
              <w:rPr>
                <w:rFonts w:hint="eastAsia"/>
                <w:color w:val="auto"/>
                <w:sz w:val="24"/>
                <w:szCs w:val="24"/>
                <w:highlight w:val="none"/>
              </w:rPr>
              <w:t>（3）气态污染因子测量采用模块化设计，拆卸方便；气室密封，可用标准气进行校准；</w:t>
            </w:r>
          </w:p>
          <w:p>
            <w:pPr>
              <w:pStyle w:val="63"/>
              <w:rPr>
                <w:color w:val="auto"/>
                <w:sz w:val="24"/>
                <w:szCs w:val="24"/>
                <w:highlight w:val="none"/>
              </w:rPr>
            </w:pPr>
            <w:r>
              <w:rPr>
                <w:rFonts w:hint="eastAsia"/>
                <w:color w:val="auto"/>
                <w:sz w:val="24"/>
                <w:szCs w:val="24"/>
                <w:highlight w:val="none"/>
              </w:rPr>
              <w:t>（4）配备零气发生器及校准模块，可手工或远程对设备进行校零；</w:t>
            </w:r>
          </w:p>
          <w:p>
            <w:pPr>
              <w:pStyle w:val="63"/>
              <w:rPr>
                <w:color w:val="auto"/>
                <w:sz w:val="24"/>
                <w:szCs w:val="24"/>
                <w:highlight w:val="none"/>
              </w:rPr>
            </w:pPr>
            <w:r>
              <w:rPr>
                <w:rFonts w:hint="eastAsia"/>
                <w:color w:val="auto"/>
                <w:sz w:val="24"/>
                <w:szCs w:val="24"/>
                <w:highlight w:val="none"/>
              </w:rPr>
              <w:t>（5）颗粒物采样需采用DHS动态加热控制，去除霜雪对测量数据影响；</w:t>
            </w:r>
          </w:p>
          <w:p>
            <w:pPr>
              <w:pStyle w:val="63"/>
              <w:rPr>
                <w:color w:val="auto"/>
                <w:sz w:val="24"/>
                <w:szCs w:val="24"/>
                <w:highlight w:val="none"/>
              </w:rPr>
            </w:pPr>
            <w:r>
              <w:rPr>
                <w:rFonts w:hint="eastAsia"/>
                <w:color w:val="auto"/>
                <w:sz w:val="24"/>
                <w:szCs w:val="24"/>
                <w:highlight w:val="none"/>
              </w:rPr>
              <w:t>（6）颗粒物采样系统带有气、水分离装置，颗粒物采样系统包含动力学粒子切割器；</w:t>
            </w:r>
          </w:p>
          <w:p>
            <w:pPr>
              <w:pStyle w:val="63"/>
              <w:rPr>
                <w:color w:val="auto"/>
                <w:sz w:val="24"/>
                <w:szCs w:val="24"/>
                <w:highlight w:val="none"/>
              </w:rPr>
            </w:pPr>
            <w:r>
              <w:rPr>
                <w:rFonts w:hint="eastAsia"/>
                <w:color w:val="auto"/>
                <w:sz w:val="24"/>
                <w:szCs w:val="24"/>
                <w:highlight w:val="none"/>
              </w:rPr>
              <w:t>（7）采用动力学切割器，解决动力学直径与物理学直径偏差，测试数据更接近自动站测试数据，采样管路闭环恒流设计，数据稳定性高；</w:t>
            </w:r>
          </w:p>
          <w:p>
            <w:pPr>
              <w:pStyle w:val="63"/>
              <w:rPr>
                <w:color w:val="auto"/>
                <w:sz w:val="24"/>
                <w:szCs w:val="24"/>
                <w:highlight w:val="none"/>
              </w:rPr>
            </w:pPr>
            <w:r>
              <w:rPr>
                <w:rFonts w:hint="eastAsia"/>
                <w:color w:val="auto"/>
                <w:sz w:val="24"/>
                <w:szCs w:val="24"/>
                <w:highlight w:val="none"/>
              </w:rPr>
              <w:t>（8）电路采用工业级嵌入式处理器，可适合严苛室外环境，工作环境温度范围（-40—70）℃；</w:t>
            </w:r>
          </w:p>
          <w:p>
            <w:pPr>
              <w:pStyle w:val="63"/>
              <w:rPr>
                <w:color w:val="auto"/>
                <w:sz w:val="24"/>
                <w:szCs w:val="24"/>
                <w:highlight w:val="none"/>
              </w:rPr>
            </w:pPr>
            <w:r>
              <w:rPr>
                <w:rFonts w:hint="eastAsia"/>
                <w:color w:val="auto"/>
                <w:sz w:val="24"/>
                <w:szCs w:val="24"/>
                <w:highlight w:val="none"/>
              </w:rPr>
              <w:t>（9）系统需采用双通道通信方式，在极端情况下实现通信，保证数据连续性；</w:t>
            </w:r>
          </w:p>
          <w:p>
            <w:pPr>
              <w:pStyle w:val="63"/>
              <w:rPr>
                <w:color w:val="auto"/>
                <w:sz w:val="24"/>
                <w:szCs w:val="24"/>
                <w:highlight w:val="none"/>
              </w:rPr>
            </w:pPr>
            <w:r>
              <w:rPr>
                <w:rFonts w:hint="eastAsia"/>
                <w:color w:val="auto"/>
                <w:sz w:val="24"/>
                <w:szCs w:val="24"/>
                <w:highlight w:val="none"/>
              </w:rPr>
              <w:t>（10）不仅可实现远程数据传输，也可远程读取系统状态信息，并可实现远程控制，实现远程修改仪器参数，诊断故障；</w:t>
            </w:r>
          </w:p>
          <w:p>
            <w:pPr>
              <w:pStyle w:val="63"/>
              <w:rPr>
                <w:color w:val="auto"/>
                <w:sz w:val="24"/>
                <w:szCs w:val="24"/>
                <w:highlight w:val="none"/>
              </w:rPr>
            </w:pPr>
            <w:r>
              <w:rPr>
                <w:rFonts w:hint="eastAsia"/>
                <w:color w:val="auto"/>
                <w:sz w:val="24"/>
                <w:szCs w:val="24"/>
                <w:highlight w:val="none"/>
              </w:rPr>
              <w:t>主要技术指标：</w:t>
            </w:r>
          </w:p>
          <w:p>
            <w:pPr>
              <w:pStyle w:val="63"/>
              <w:rPr>
                <w:color w:val="auto"/>
                <w:sz w:val="24"/>
                <w:szCs w:val="24"/>
                <w:highlight w:val="none"/>
              </w:rPr>
            </w:pPr>
            <w:r>
              <w:rPr>
                <w:rFonts w:hint="eastAsia"/>
                <w:color w:val="auto"/>
                <w:sz w:val="24"/>
                <w:szCs w:val="24"/>
                <w:highlight w:val="none"/>
              </w:rPr>
              <w:t>1、颗粒物技术指标：</w:t>
            </w:r>
          </w:p>
          <w:p>
            <w:pPr>
              <w:pStyle w:val="63"/>
              <w:rPr>
                <w:color w:val="auto"/>
                <w:sz w:val="24"/>
                <w:szCs w:val="24"/>
                <w:highlight w:val="none"/>
              </w:rPr>
            </w:pPr>
            <w:r>
              <w:rPr>
                <w:rFonts w:hint="eastAsia"/>
                <w:color w:val="auto"/>
                <w:sz w:val="24"/>
                <w:szCs w:val="24"/>
                <w:highlight w:val="none"/>
              </w:rPr>
              <w:t>测量范围PM2.5：（0～1000）μg/m³，PM10：（0～2000）μg/m³</w:t>
            </w:r>
          </w:p>
          <w:p>
            <w:pPr>
              <w:pStyle w:val="63"/>
              <w:rPr>
                <w:color w:val="auto"/>
                <w:sz w:val="24"/>
                <w:szCs w:val="24"/>
                <w:highlight w:val="none"/>
              </w:rPr>
            </w:pPr>
            <w:r>
              <w:rPr>
                <w:rFonts w:hint="eastAsia"/>
                <w:color w:val="auto"/>
                <w:sz w:val="24"/>
                <w:szCs w:val="24"/>
                <w:highlight w:val="none"/>
              </w:rPr>
              <w:t>检测限2μg/m³；分辨率1μg/m³</w:t>
            </w:r>
          </w:p>
          <w:p>
            <w:pPr>
              <w:pStyle w:val="63"/>
              <w:rPr>
                <w:color w:val="auto"/>
                <w:sz w:val="24"/>
                <w:szCs w:val="24"/>
                <w:highlight w:val="none"/>
              </w:rPr>
            </w:pPr>
            <w:r>
              <w:rPr>
                <w:rFonts w:hint="eastAsia"/>
                <w:color w:val="auto"/>
                <w:sz w:val="24"/>
                <w:szCs w:val="24"/>
                <w:highlight w:val="none"/>
              </w:rPr>
              <w:t>PM2.5分析平行性≤10%；PM10分析平行性≤7%；</w:t>
            </w:r>
          </w:p>
          <w:p>
            <w:pPr>
              <w:pStyle w:val="63"/>
              <w:rPr>
                <w:color w:val="auto"/>
                <w:sz w:val="24"/>
                <w:szCs w:val="24"/>
                <w:highlight w:val="none"/>
              </w:rPr>
            </w:pPr>
            <w:r>
              <w:rPr>
                <w:rFonts w:hint="eastAsia"/>
                <w:color w:val="auto"/>
                <w:sz w:val="24"/>
                <w:szCs w:val="24"/>
                <w:highlight w:val="none"/>
              </w:rPr>
              <w:t>PM2.5相关系数≥0.9；PM10相关系数≥0.9；</w:t>
            </w:r>
          </w:p>
          <w:p>
            <w:pPr>
              <w:pStyle w:val="63"/>
              <w:rPr>
                <w:color w:val="auto"/>
                <w:sz w:val="24"/>
                <w:szCs w:val="24"/>
                <w:highlight w:val="none"/>
              </w:rPr>
            </w:pPr>
            <w:r>
              <w:rPr>
                <w:rFonts w:hint="eastAsia"/>
                <w:color w:val="auto"/>
                <w:sz w:val="24"/>
                <w:szCs w:val="24"/>
                <w:highlight w:val="none"/>
              </w:rPr>
              <w:t>温度控制(10～60)℃可设，控温示值允许误差±1℃</w:t>
            </w:r>
          </w:p>
          <w:p>
            <w:pPr>
              <w:pStyle w:val="63"/>
              <w:rPr>
                <w:color w:val="auto"/>
                <w:sz w:val="24"/>
                <w:szCs w:val="24"/>
                <w:highlight w:val="none"/>
              </w:rPr>
            </w:pPr>
            <w:r>
              <w:rPr>
                <w:rFonts w:hint="eastAsia"/>
                <w:color w:val="auto"/>
                <w:sz w:val="24"/>
                <w:szCs w:val="24"/>
                <w:highlight w:val="none"/>
              </w:rPr>
              <w:t>数据存储能力12个月</w:t>
            </w:r>
          </w:p>
          <w:p>
            <w:pPr>
              <w:pStyle w:val="63"/>
              <w:rPr>
                <w:color w:val="auto"/>
                <w:sz w:val="24"/>
                <w:szCs w:val="24"/>
                <w:highlight w:val="none"/>
              </w:rPr>
            </w:pPr>
            <w:r>
              <w:rPr>
                <w:rFonts w:hint="eastAsia"/>
                <w:color w:val="auto"/>
                <w:sz w:val="24"/>
                <w:szCs w:val="24"/>
                <w:highlight w:val="none"/>
              </w:rPr>
              <w:t>USB接口支持U盘数据导出</w:t>
            </w:r>
          </w:p>
          <w:p>
            <w:pPr>
              <w:pStyle w:val="63"/>
              <w:rPr>
                <w:color w:val="auto"/>
                <w:sz w:val="24"/>
                <w:szCs w:val="24"/>
                <w:highlight w:val="none"/>
              </w:rPr>
            </w:pPr>
            <w:r>
              <w:rPr>
                <w:rFonts w:hint="eastAsia"/>
                <w:color w:val="auto"/>
                <w:sz w:val="24"/>
                <w:szCs w:val="24"/>
                <w:highlight w:val="none"/>
              </w:rPr>
              <w:t>远程数据查询具备DTU模块，可远程查询仪器工作状态和实时测量数据</w:t>
            </w:r>
          </w:p>
          <w:p>
            <w:pPr>
              <w:pStyle w:val="63"/>
              <w:rPr>
                <w:color w:val="auto"/>
                <w:sz w:val="24"/>
                <w:szCs w:val="24"/>
                <w:highlight w:val="none"/>
              </w:rPr>
            </w:pPr>
            <w:r>
              <w:rPr>
                <w:rFonts w:hint="eastAsia"/>
                <w:color w:val="auto"/>
                <w:sz w:val="24"/>
                <w:szCs w:val="24"/>
                <w:highlight w:val="none"/>
              </w:rPr>
              <w:t>故障报警实时显示故障报警</w:t>
            </w:r>
          </w:p>
          <w:p>
            <w:pPr>
              <w:pStyle w:val="63"/>
              <w:rPr>
                <w:color w:val="auto"/>
                <w:sz w:val="24"/>
                <w:szCs w:val="24"/>
                <w:highlight w:val="none"/>
              </w:rPr>
            </w:pPr>
            <w:r>
              <w:rPr>
                <w:rFonts w:hint="eastAsia"/>
                <w:color w:val="auto"/>
                <w:sz w:val="24"/>
                <w:szCs w:val="24"/>
                <w:highlight w:val="none"/>
              </w:rPr>
              <w:t>2、SO2测量要求：</w:t>
            </w:r>
          </w:p>
          <w:p>
            <w:pPr>
              <w:pStyle w:val="63"/>
              <w:rPr>
                <w:color w:val="auto"/>
                <w:sz w:val="24"/>
                <w:szCs w:val="24"/>
                <w:highlight w:val="none"/>
              </w:rPr>
            </w:pPr>
            <w:r>
              <w:rPr>
                <w:rFonts w:hint="eastAsia"/>
                <w:color w:val="auto"/>
                <w:sz w:val="24"/>
                <w:szCs w:val="24"/>
                <w:highlight w:val="none"/>
              </w:rPr>
              <w:t>测量范围：0～1000ppb；检出限：≤5ppb；分辨率：≤0.01ppb；</w:t>
            </w:r>
          </w:p>
          <w:p>
            <w:pPr>
              <w:pStyle w:val="63"/>
              <w:rPr>
                <w:color w:val="auto"/>
                <w:sz w:val="24"/>
                <w:szCs w:val="24"/>
                <w:highlight w:val="none"/>
              </w:rPr>
            </w:pPr>
            <w:r>
              <w:rPr>
                <w:rFonts w:hint="eastAsia"/>
                <w:color w:val="auto"/>
                <w:sz w:val="24"/>
                <w:szCs w:val="24"/>
                <w:highlight w:val="none"/>
              </w:rPr>
              <w:t>响应时间：≤120s；示值误差≤5%FS；重复性≤5%FS</w:t>
            </w:r>
          </w:p>
          <w:p>
            <w:pPr>
              <w:pStyle w:val="63"/>
              <w:rPr>
                <w:color w:val="auto"/>
                <w:sz w:val="24"/>
                <w:szCs w:val="24"/>
                <w:highlight w:val="none"/>
              </w:rPr>
            </w:pPr>
            <w:r>
              <w:rPr>
                <w:rFonts w:hint="eastAsia"/>
                <w:color w:val="auto"/>
                <w:sz w:val="24"/>
                <w:szCs w:val="24"/>
                <w:highlight w:val="none"/>
              </w:rPr>
              <w:t>3、NO2测量要求：</w:t>
            </w:r>
          </w:p>
          <w:p>
            <w:pPr>
              <w:pStyle w:val="63"/>
              <w:rPr>
                <w:color w:val="auto"/>
                <w:sz w:val="24"/>
                <w:szCs w:val="24"/>
                <w:highlight w:val="none"/>
              </w:rPr>
            </w:pPr>
            <w:r>
              <w:rPr>
                <w:rFonts w:hint="eastAsia"/>
                <w:color w:val="auto"/>
                <w:sz w:val="24"/>
                <w:szCs w:val="24"/>
                <w:highlight w:val="none"/>
              </w:rPr>
              <w:t>测量范围：0～1000ppb；检出限：≤5ppb；分辨率：≤0.01ppb；</w:t>
            </w:r>
          </w:p>
          <w:p>
            <w:pPr>
              <w:pStyle w:val="63"/>
              <w:rPr>
                <w:color w:val="auto"/>
                <w:sz w:val="24"/>
                <w:szCs w:val="24"/>
                <w:highlight w:val="none"/>
              </w:rPr>
            </w:pPr>
            <w:r>
              <w:rPr>
                <w:rFonts w:hint="eastAsia"/>
                <w:color w:val="auto"/>
                <w:sz w:val="24"/>
                <w:szCs w:val="24"/>
                <w:highlight w:val="none"/>
              </w:rPr>
              <w:t>响应时间：≤120s；示值误差≤5%FS；重复性≤5%FS。</w:t>
            </w:r>
          </w:p>
          <w:p>
            <w:pPr>
              <w:pStyle w:val="63"/>
              <w:rPr>
                <w:color w:val="auto"/>
                <w:sz w:val="24"/>
                <w:szCs w:val="24"/>
                <w:highlight w:val="none"/>
              </w:rPr>
            </w:pPr>
            <w:r>
              <w:rPr>
                <w:rFonts w:hint="eastAsia"/>
                <w:color w:val="auto"/>
                <w:sz w:val="24"/>
                <w:szCs w:val="24"/>
                <w:highlight w:val="none"/>
              </w:rPr>
              <w:t>4、CO测量要求：</w:t>
            </w:r>
          </w:p>
          <w:p>
            <w:pPr>
              <w:pStyle w:val="63"/>
              <w:rPr>
                <w:color w:val="auto"/>
                <w:sz w:val="24"/>
                <w:szCs w:val="24"/>
                <w:highlight w:val="none"/>
              </w:rPr>
            </w:pPr>
            <w:r>
              <w:rPr>
                <w:rFonts w:hint="eastAsia"/>
                <w:color w:val="auto"/>
                <w:sz w:val="24"/>
                <w:szCs w:val="24"/>
                <w:highlight w:val="none"/>
              </w:rPr>
              <w:t>测量范围：0～25ppm；检出限：≤0.1ppm；分辨率：≤0.1ppm；</w:t>
            </w:r>
          </w:p>
          <w:p>
            <w:pPr>
              <w:pStyle w:val="63"/>
              <w:rPr>
                <w:color w:val="auto"/>
                <w:sz w:val="24"/>
                <w:szCs w:val="24"/>
                <w:highlight w:val="none"/>
              </w:rPr>
            </w:pPr>
            <w:r>
              <w:rPr>
                <w:rFonts w:hint="eastAsia"/>
                <w:color w:val="auto"/>
                <w:sz w:val="24"/>
                <w:szCs w:val="24"/>
                <w:highlight w:val="none"/>
              </w:rPr>
              <w:t>响应时间：≤120s；示值误差≤5%FS重复性≤5%FS</w:t>
            </w:r>
          </w:p>
          <w:p>
            <w:pPr>
              <w:pStyle w:val="63"/>
              <w:rPr>
                <w:color w:val="auto"/>
                <w:sz w:val="24"/>
                <w:szCs w:val="24"/>
                <w:highlight w:val="none"/>
              </w:rPr>
            </w:pPr>
            <w:r>
              <w:rPr>
                <w:rFonts w:hint="eastAsia"/>
                <w:color w:val="auto"/>
                <w:sz w:val="24"/>
                <w:szCs w:val="24"/>
                <w:highlight w:val="none"/>
              </w:rPr>
              <w:t>5、O3测量要求：</w:t>
            </w:r>
          </w:p>
          <w:p>
            <w:pPr>
              <w:pStyle w:val="63"/>
              <w:rPr>
                <w:color w:val="auto"/>
                <w:sz w:val="24"/>
                <w:szCs w:val="24"/>
                <w:highlight w:val="none"/>
              </w:rPr>
            </w:pPr>
            <w:r>
              <w:rPr>
                <w:rFonts w:hint="eastAsia"/>
                <w:color w:val="auto"/>
                <w:sz w:val="24"/>
                <w:szCs w:val="24"/>
                <w:highlight w:val="none"/>
              </w:rPr>
              <w:t>测量范围：0～1000ppb；检出限：≤5ppb；分辨率：≤0.01ppb；</w:t>
            </w:r>
          </w:p>
          <w:p>
            <w:pPr>
              <w:pStyle w:val="63"/>
              <w:rPr>
                <w:color w:val="auto"/>
                <w:sz w:val="24"/>
                <w:szCs w:val="24"/>
                <w:highlight w:val="none"/>
              </w:rPr>
            </w:pPr>
            <w:r>
              <w:rPr>
                <w:rFonts w:hint="eastAsia"/>
                <w:color w:val="auto"/>
                <w:sz w:val="24"/>
                <w:szCs w:val="24"/>
                <w:highlight w:val="none"/>
              </w:rPr>
              <w:t>响应时间：≤120s。</w:t>
            </w:r>
          </w:p>
          <w:p>
            <w:pPr>
              <w:pStyle w:val="63"/>
              <w:rPr>
                <w:color w:val="auto"/>
                <w:sz w:val="24"/>
                <w:szCs w:val="24"/>
                <w:highlight w:val="none"/>
              </w:rPr>
            </w:pPr>
            <w:r>
              <w:rPr>
                <w:rFonts w:hint="eastAsia"/>
                <w:color w:val="auto"/>
                <w:sz w:val="24"/>
                <w:szCs w:val="24"/>
                <w:highlight w:val="none"/>
              </w:rPr>
              <w:t>6、设备安装技术要求</w:t>
            </w:r>
          </w:p>
          <w:p>
            <w:pPr>
              <w:pStyle w:val="63"/>
              <w:rPr>
                <w:color w:val="auto"/>
                <w:sz w:val="24"/>
                <w:szCs w:val="24"/>
                <w:highlight w:val="none"/>
              </w:rPr>
            </w:pPr>
            <w:r>
              <w:rPr>
                <w:rFonts w:hint="eastAsia"/>
                <w:color w:val="auto"/>
                <w:sz w:val="24"/>
                <w:szCs w:val="24"/>
                <w:highlight w:val="none"/>
              </w:rPr>
              <w:t>设备采用220V市电供电，安装方式可选壁挂式、抱杆式，安装简便，安全可靠。通讯方式采用4G无线通讯模块。</w:t>
            </w:r>
          </w:p>
          <w:p>
            <w:pPr>
              <w:pStyle w:val="63"/>
              <w:rPr>
                <w:color w:val="auto"/>
                <w:sz w:val="24"/>
                <w:szCs w:val="24"/>
                <w:highlight w:val="none"/>
              </w:rPr>
            </w:pPr>
            <w:r>
              <w:rPr>
                <w:rFonts w:hint="eastAsia"/>
                <w:color w:val="auto"/>
                <w:sz w:val="24"/>
                <w:szCs w:val="24"/>
                <w:highlight w:val="none"/>
              </w:rPr>
              <w:t>需提供微型空气站数据采集传输软件著作权；</w:t>
            </w:r>
          </w:p>
          <w:p>
            <w:pPr>
              <w:pStyle w:val="63"/>
              <w:rPr>
                <w:color w:val="auto"/>
                <w:sz w:val="24"/>
                <w:szCs w:val="24"/>
                <w:highlight w:val="none"/>
              </w:rPr>
            </w:pPr>
            <w:r>
              <w:rPr>
                <w:rFonts w:hint="eastAsia"/>
                <w:color w:val="auto"/>
                <w:sz w:val="24"/>
                <w:szCs w:val="24"/>
                <w:highlight w:val="none"/>
              </w:rPr>
              <w:t>需提供微型空气站环境保护产品认证证书复印件（认证涵盖PM2.5、PM10、SO2、NO2、CO、O3）；</w:t>
            </w:r>
          </w:p>
          <w:p>
            <w:pPr>
              <w:pStyle w:val="63"/>
              <w:rPr>
                <w:color w:val="auto"/>
                <w:sz w:val="24"/>
                <w:szCs w:val="24"/>
                <w:highlight w:val="none"/>
              </w:rPr>
            </w:pPr>
            <w:r>
              <w:rPr>
                <w:rFonts w:hint="eastAsia"/>
                <w:color w:val="auto"/>
                <w:sz w:val="24"/>
                <w:szCs w:val="24"/>
                <w:highlight w:val="none"/>
              </w:rPr>
              <w:t>需提供微型空气站第三方机构出具的检验报告复印件（检测范围涵盖PM2.5、PM10、SO2、NO2、CO、O3）。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15</w:t>
            </w:r>
          </w:p>
        </w:tc>
        <w:tc>
          <w:tcPr>
            <w:tcW w:w="1311" w:type="dxa"/>
            <w:vAlign w:val="center"/>
          </w:tcPr>
          <w:p>
            <w:pPr>
              <w:pStyle w:val="63"/>
              <w:rPr>
                <w:color w:val="auto"/>
                <w:sz w:val="24"/>
                <w:szCs w:val="24"/>
                <w:highlight w:val="none"/>
              </w:rPr>
            </w:pPr>
            <w:r>
              <w:rPr>
                <w:rFonts w:hint="eastAsia"/>
                <w:color w:val="auto"/>
                <w:sz w:val="24"/>
                <w:szCs w:val="24"/>
                <w:highlight w:val="none"/>
              </w:rPr>
              <w:t>安装调试及基础建设</w:t>
            </w:r>
          </w:p>
        </w:tc>
        <w:tc>
          <w:tcPr>
            <w:tcW w:w="6490" w:type="dxa"/>
            <w:vAlign w:val="center"/>
          </w:tcPr>
          <w:p>
            <w:pPr>
              <w:pStyle w:val="63"/>
              <w:rPr>
                <w:color w:val="auto"/>
                <w:sz w:val="24"/>
                <w:szCs w:val="24"/>
                <w:highlight w:val="none"/>
              </w:rPr>
            </w:pPr>
            <w:r>
              <w:rPr>
                <w:color w:val="auto"/>
                <w:sz w:val="24"/>
                <w:szCs w:val="24"/>
                <w:highlight w:val="none"/>
              </w:rPr>
              <w:t>固定式遥感监测点施工技术、安装要求主要技术指标：</w:t>
            </w:r>
          </w:p>
          <w:p>
            <w:pPr>
              <w:pStyle w:val="63"/>
              <w:rPr>
                <w:color w:val="auto"/>
                <w:sz w:val="24"/>
                <w:szCs w:val="24"/>
                <w:highlight w:val="none"/>
              </w:rPr>
            </w:pPr>
            <w:r>
              <w:rPr>
                <w:color w:val="auto"/>
                <w:sz w:val="24"/>
                <w:szCs w:val="24"/>
                <w:highlight w:val="none"/>
              </w:rPr>
              <w:t>（1）</w:t>
            </w:r>
            <w:r>
              <w:rPr>
                <w:rFonts w:hint="eastAsia"/>
                <w:color w:val="auto"/>
                <w:sz w:val="24"/>
                <w:szCs w:val="24"/>
                <w:highlight w:val="none"/>
              </w:rPr>
              <w:t>安装调试</w:t>
            </w:r>
            <w:r>
              <w:rPr>
                <w:color w:val="auto"/>
                <w:sz w:val="24"/>
                <w:szCs w:val="24"/>
                <w:highlight w:val="none"/>
              </w:rPr>
              <w:t>清单</w:t>
            </w:r>
          </w:p>
          <w:p>
            <w:pPr>
              <w:pStyle w:val="63"/>
              <w:rPr>
                <w:color w:val="auto"/>
                <w:sz w:val="24"/>
                <w:szCs w:val="24"/>
                <w:highlight w:val="none"/>
              </w:rPr>
            </w:pPr>
            <w:r>
              <w:rPr>
                <w:rFonts w:hint="eastAsia"/>
                <w:color w:val="auto"/>
                <w:sz w:val="24"/>
                <w:szCs w:val="24"/>
                <w:highlight w:val="none"/>
              </w:rPr>
              <w:t>室外恒温中控柜，发射端恒温机柜，接收端机柜、视频车牌捕捉系统、环境气象监测系统、安防监控系统、黑烟车智能识别系统</w:t>
            </w:r>
            <w:r>
              <w:rPr>
                <w:color w:val="auto"/>
                <w:sz w:val="24"/>
                <w:szCs w:val="24"/>
                <w:highlight w:val="none"/>
              </w:rPr>
              <w:t>、</w:t>
            </w:r>
            <w:r>
              <w:rPr>
                <w:rFonts w:hint="eastAsia"/>
                <w:color w:val="auto"/>
                <w:sz w:val="24"/>
                <w:szCs w:val="24"/>
                <w:highlight w:val="none"/>
              </w:rPr>
              <w:t>道路流量监测系统</w:t>
            </w:r>
            <w:r>
              <w:rPr>
                <w:color w:val="auto"/>
                <w:sz w:val="24"/>
                <w:szCs w:val="24"/>
                <w:highlight w:val="none"/>
              </w:rPr>
              <w:t>、</w:t>
            </w:r>
            <w:r>
              <w:rPr>
                <w:rFonts w:hint="eastAsia"/>
                <w:color w:val="auto"/>
                <w:sz w:val="24"/>
                <w:szCs w:val="24"/>
                <w:highlight w:val="none"/>
              </w:rPr>
              <w:t>环境微型空气质量监测系统、</w:t>
            </w:r>
            <w:r>
              <w:rPr>
                <w:color w:val="auto"/>
                <w:sz w:val="24"/>
                <w:szCs w:val="24"/>
                <w:highlight w:val="none"/>
              </w:rPr>
              <w:t>提示牌</w:t>
            </w:r>
            <w:r>
              <w:rPr>
                <w:rFonts w:hint="eastAsia"/>
                <w:color w:val="auto"/>
                <w:sz w:val="24"/>
                <w:szCs w:val="24"/>
                <w:highlight w:val="none"/>
              </w:rPr>
              <w:t>用龙门</w:t>
            </w:r>
            <w:r>
              <w:rPr>
                <w:color w:val="auto"/>
                <w:sz w:val="24"/>
                <w:szCs w:val="24"/>
                <w:highlight w:val="none"/>
              </w:rPr>
              <w:t>架、</w:t>
            </w:r>
            <w:r>
              <w:rPr>
                <w:rFonts w:hint="eastAsia"/>
                <w:color w:val="auto"/>
                <w:sz w:val="24"/>
                <w:szCs w:val="24"/>
                <w:highlight w:val="none"/>
              </w:rPr>
              <w:t>LED屏</w:t>
            </w:r>
            <w:r>
              <w:rPr>
                <w:color w:val="auto"/>
                <w:sz w:val="24"/>
                <w:szCs w:val="24"/>
                <w:highlight w:val="none"/>
              </w:rPr>
              <w:t>F</w:t>
            </w:r>
            <w:r>
              <w:rPr>
                <w:rFonts w:hint="eastAsia"/>
                <w:color w:val="auto"/>
                <w:sz w:val="24"/>
                <w:szCs w:val="24"/>
                <w:highlight w:val="none"/>
              </w:rPr>
              <w:t>杆件、安装地基设计、施工及处理、供电及网络管线铺设、固定式遥测系统安装、安防监控单元、防撞护栏、LED屏。</w:t>
            </w:r>
          </w:p>
          <w:p>
            <w:pPr>
              <w:pStyle w:val="63"/>
              <w:rPr>
                <w:color w:val="auto"/>
                <w:sz w:val="24"/>
                <w:szCs w:val="24"/>
                <w:highlight w:val="none"/>
              </w:rPr>
            </w:pPr>
            <w:r>
              <w:rPr>
                <w:color w:val="auto"/>
                <w:sz w:val="24"/>
                <w:szCs w:val="24"/>
                <w:highlight w:val="none"/>
              </w:rPr>
              <w:t>（2）详细技术参数要求</w:t>
            </w:r>
          </w:p>
          <w:p>
            <w:pPr>
              <w:pStyle w:val="63"/>
              <w:rPr>
                <w:color w:val="auto"/>
                <w:sz w:val="24"/>
                <w:szCs w:val="24"/>
                <w:highlight w:val="none"/>
              </w:rPr>
            </w:pPr>
            <w:r>
              <w:rPr>
                <w:rFonts w:hint="eastAsia"/>
                <w:color w:val="auto"/>
                <w:sz w:val="24"/>
                <w:szCs w:val="24"/>
                <w:highlight w:val="none"/>
              </w:rPr>
              <w:t>▲需提供“电源控制系统”装置自主知识产权证明</w:t>
            </w:r>
          </w:p>
          <w:p>
            <w:pPr>
              <w:pStyle w:val="63"/>
              <w:rPr>
                <w:color w:val="auto"/>
                <w:sz w:val="24"/>
                <w:szCs w:val="24"/>
                <w:highlight w:val="none"/>
              </w:rPr>
            </w:pPr>
            <w:r>
              <w:rPr>
                <w:rFonts w:hint="eastAsia"/>
                <w:color w:val="auto"/>
                <w:sz w:val="24"/>
                <w:szCs w:val="24"/>
                <w:highlight w:val="none"/>
              </w:rPr>
              <w:t>需提供“防盗报警装置与防盗报警系统”装置自主知识产权证明</w:t>
            </w:r>
          </w:p>
          <w:p>
            <w:pPr>
              <w:pStyle w:val="63"/>
              <w:rPr>
                <w:color w:val="auto"/>
                <w:sz w:val="24"/>
                <w:szCs w:val="24"/>
                <w:highlight w:val="none"/>
              </w:rPr>
            </w:pPr>
            <w:r>
              <w:rPr>
                <w:color w:val="auto"/>
                <w:sz w:val="24"/>
                <w:szCs w:val="24"/>
                <w:highlight w:val="none"/>
              </w:rPr>
              <w:t>1、室外恒温中控柜，发射端恒温机柜，接收端机柜内温度可调，制造标准满足IP55要求，又有隔热，防震，具备一定强度，防止轻微碰撞受损。</w:t>
            </w:r>
          </w:p>
          <w:p>
            <w:pPr>
              <w:pStyle w:val="63"/>
              <w:rPr>
                <w:color w:val="auto"/>
                <w:sz w:val="24"/>
                <w:szCs w:val="24"/>
                <w:highlight w:val="none"/>
              </w:rPr>
            </w:pPr>
            <w:r>
              <w:rPr>
                <w:color w:val="auto"/>
                <w:sz w:val="24"/>
                <w:szCs w:val="24"/>
                <w:highlight w:val="none"/>
              </w:rPr>
              <w:t>2、</w:t>
            </w:r>
            <w:r>
              <w:rPr>
                <w:rFonts w:hint="eastAsia"/>
                <w:color w:val="auto"/>
                <w:sz w:val="24"/>
                <w:szCs w:val="24"/>
                <w:highlight w:val="none"/>
              </w:rPr>
              <w:t>视频车牌捕捉系统、环境气象监测系统、安防监控系统、黑烟车智能识别系统</w:t>
            </w:r>
            <w:r>
              <w:rPr>
                <w:color w:val="auto"/>
                <w:sz w:val="24"/>
                <w:szCs w:val="24"/>
                <w:highlight w:val="none"/>
              </w:rPr>
              <w:t>、</w:t>
            </w:r>
            <w:r>
              <w:rPr>
                <w:rFonts w:hint="eastAsia"/>
                <w:color w:val="auto"/>
                <w:sz w:val="24"/>
                <w:szCs w:val="24"/>
                <w:highlight w:val="none"/>
              </w:rPr>
              <w:t>道路流量监测系统</w:t>
            </w:r>
            <w:r>
              <w:rPr>
                <w:color w:val="auto"/>
                <w:sz w:val="24"/>
                <w:szCs w:val="24"/>
                <w:highlight w:val="none"/>
              </w:rPr>
              <w:t>、</w:t>
            </w:r>
            <w:r>
              <w:rPr>
                <w:rFonts w:hint="eastAsia"/>
                <w:color w:val="auto"/>
                <w:sz w:val="24"/>
                <w:szCs w:val="24"/>
                <w:highlight w:val="none"/>
              </w:rPr>
              <w:t>环境微型空气质量监测系统应</w:t>
            </w:r>
            <w:r>
              <w:rPr>
                <w:color w:val="auto"/>
                <w:sz w:val="24"/>
                <w:szCs w:val="24"/>
                <w:highlight w:val="none"/>
              </w:rPr>
              <w:t>预留走线孔及检修口，底部入地端入地，并预留大口径螺母紧固装置，地下为混凝土浇筑。杆</w:t>
            </w:r>
            <w:r>
              <w:rPr>
                <w:rFonts w:hint="eastAsia"/>
                <w:color w:val="auto"/>
                <w:sz w:val="24"/>
                <w:szCs w:val="24"/>
                <w:highlight w:val="none"/>
              </w:rPr>
              <w:t>件</w:t>
            </w:r>
            <w:r>
              <w:rPr>
                <w:color w:val="auto"/>
                <w:sz w:val="24"/>
                <w:szCs w:val="24"/>
                <w:highlight w:val="none"/>
              </w:rPr>
              <w:t>进行防腐处理。</w:t>
            </w:r>
          </w:p>
          <w:p>
            <w:pPr>
              <w:pStyle w:val="63"/>
              <w:rPr>
                <w:color w:val="auto"/>
                <w:sz w:val="24"/>
                <w:szCs w:val="24"/>
                <w:highlight w:val="none"/>
              </w:rPr>
            </w:pPr>
            <w:r>
              <w:rPr>
                <w:color w:val="auto"/>
                <w:sz w:val="24"/>
                <w:szCs w:val="24"/>
                <w:highlight w:val="none"/>
              </w:rPr>
              <w:t>3、安装地基设计、施工及处理：</w:t>
            </w:r>
          </w:p>
          <w:p>
            <w:pPr>
              <w:pStyle w:val="63"/>
              <w:rPr>
                <w:color w:val="auto"/>
                <w:sz w:val="24"/>
                <w:szCs w:val="24"/>
                <w:highlight w:val="none"/>
              </w:rPr>
            </w:pPr>
            <w:r>
              <w:rPr>
                <w:color w:val="auto"/>
                <w:sz w:val="24"/>
                <w:szCs w:val="24"/>
                <w:highlight w:val="none"/>
              </w:rPr>
              <w:t>1）机柜地基应与道路地基隔离，隔离带深度不小于0.5米，地基向地下不少于1.5米，满足在重型车辆通过时的抗震要求。</w:t>
            </w:r>
          </w:p>
          <w:p>
            <w:pPr>
              <w:pStyle w:val="63"/>
              <w:rPr>
                <w:color w:val="auto"/>
                <w:sz w:val="24"/>
                <w:szCs w:val="24"/>
                <w:highlight w:val="none"/>
              </w:rPr>
            </w:pPr>
            <w:r>
              <w:rPr>
                <w:color w:val="auto"/>
                <w:sz w:val="24"/>
                <w:szCs w:val="24"/>
                <w:highlight w:val="none"/>
              </w:rPr>
              <w:t>2）基坑四壁周围砖砌，中间混领土浇注成型，表层用水泥打平。</w:t>
            </w:r>
          </w:p>
          <w:p>
            <w:pPr>
              <w:pStyle w:val="63"/>
              <w:rPr>
                <w:color w:val="auto"/>
                <w:sz w:val="24"/>
                <w:szCs w:val="24"/>
                <w:highlight w:val="none"/>
              </w:rPr>
            </w:pPr>
            <w:r>
              <w:rPr>
                <w:color w:val="auto"/>
                <w:sz w:val="24"/>
                <w:szCs w:val="24"/>
                <w:highlight w:val="none"/>
              </w:rPr>
              <w:t>3）预留走线管两根，走线管必须使用防腐防锈钢管，具有一定抗压机耐腐蚀性，直径不小于12cm，走线管一段入土，另一端尽量靠近设备室侧面，以便于走线及后期维护。</w:t>
            </w:r>
          </w:p>
          <w:p>
            <w:pPr>
              <w:pStyle w:val="63"/>
              <w:rPr>
                <w:color w:val="auto"/>
                <w:sz w:val="24"/>
                <w:szCs w:val="24"/>
                <w:highlight w:val="none"/>
              </w:rPr>
            </w:pPr>
            <w:r>
              <w:rPr>
                <w:color w:val="auto"/>
                <w:sz w:val="24"/>
                <w:szCs w:val="24"/>
                <w:highlight w:val="none"/>
              </w:rPr>
              <w:t>4）地基上端平台宽度不小于30cm，便于使用中机柜的维护与机柜上端设备的检修。</w:t>
            </w:r>
          </w:p>
          <w:p>
            <w:pPr>
              <w:pStyle w:val="63"/>
              <w:rPr>
                <w:color w:val="auto"/>
                <w:sz w:val="24"/>
                <w:szCs w:val="24"/>
                <w:highlight w:val="none"/>
              </w:rPr>
            </w:pPr>
            <w:r>
              <w:rPr>
                <w:color w:val="auto"/>
                <w:sz w:val="24"/>
                <w:szCs w:val="24"/>
                <w:highlight w:val="none"/>
              </w:rPr>
              <w:t>5）施工过程中，尽可能不破坏道路原貌。（如有改变，施工结束后按原貌及时恢复。）</w:t>
            </w:r>
          </w:p>
          <w:p>
            <w:pPr>
              <w:pStyle w:val="63"/>
              <w:rPr>
                <w:color w:val="auto"/>
                <w:sz w:val="24"/>
                <w:szCs w:val="24"/>
                <w:highlight w:val="none"/>
              </w:rPr>
            </w:pPr>
            <w:r>
              <w:rPr>
                <w:color w:val="auto"/>
                <w:sz w:val="24"/>
                <w:szCs w:val="24"/>
                <w:highlight w:val="none"/>
              </w:rPr>
              <w:t>6）符合本项目实际需求。</w:t>
            </w:r>
          </w:p>
          <w:p>
            <w:pPr>
              <w:pStyle w:val="63"/>
              <w:rPr>
                <w:color w:val="auto"/>
                <w:sz w:val="24"/>
                <w:szCs w:val="24"/>
                <w:highlight w:val="none"/>
              </w:rPr>
            </w:pPr>
            <w:r>
              <w:rPr>
                <w:color w:val="auto"/>
                <w:sz w:val="24"/>
                <w:szCs w:val="24"/>
                <w:highlight w:val="none"/>
              </w:rPr>
              <w:t>4、供电及网络管线铺设</w:t>
            </w:r>
          </w:p>
          <w:p>
            <w:pPr>
              <w:pStyle w:val="63"/>
              <w:rPr>
                <w:color w:val="auto"/>
                <w:sz w:val="24"/>
                <w:szCs w:val="24"/>
                <w:highlight w:val="none"/>
              </w:rPr>
            </w:pPr>
            <w:r>
              <w:rPr>
                <w:color w:val="auto"/>
                <w:sz w:val="24"/>
                <w:szCs w:val="24"/>
                <w:highlight w:val="none"/>
              </w:rPr>
              <w:t>1）对前端监测点设备，设计并铺设供电及网络管线，达到项目现场实际工作需求。</w:t>
            </w:r>
          </w:p>
          <w:p>
            <w:pPr>
              <w:pStyle w:val="63"/>
              <w:rPr>
                <w:color w:val="auto"/>
                <w:sz w:val="24"/>
                <w:szCs w:val="24"/>
                <w:highlight w:val="none"/>
              </w:rPr>
            </w:pPr>
            <w:r>
              <w:rPr>
                <w:color w:val="auto"/>
                <w:sz w:val="24"/>
                <w:szCs w:val="24"/>
                <w:highlight w:val="none"/>
              </w:rPr>
              <w:t>2）地下电缆为三芯铜芯电缆，外部为防腐橡胶，中间有铁皮保护，内侧有绝缘橡胶和缓冲橡胶条，铜芯线满足“GB12706-2002”要求。</w:t>
            </w:r>
          </w:p>
          <w:p>
            <w:pPr>
              <w:pStyle w:val="63"/>
              <w:rPr>
                <w:color w:val="auto"/>
                <w:sz w:val="24"/>
                <w:szCs w:val="24"/>
                <w:highlight w:val="none"/>
              </w:rPr>
            </w:pPr>
            <w:r>
              <w:rPr>
                <w:color w:val="auto"/>
                <w:sz w:val="24"/>
                <w:szCs w:val="24"/>
                <w:highlight w:val="none"/>
              </w:rPr>
              <w:t>3）参考型号：ZCYJV223×6（阻燃交联聚乙烯绝缘聚氯乙烯护套铠装电力电缆）。</w:t>
            </w:r>
          </w:p>
          <w:p>
            <w:pPr>
              <w:pStyle w:val="63"/>
              <w:rPr>
                <w:color w:val="auto"/>
                <w:sz w:val="24"/>
                <w:szCs w:val="24"/>
                <w:highlight w:val="none"/>
              </w:rPr>
            </w:pPr>
            <w:r>
              <w:rPr>
                <w:color w:val="auto"/>
                <w:sz w:val="24"/>
                <w:szCs w:val="24"/>
                <w:highlight w:val="none"/>
              </w:rPr>
              <w:t>4）电缆槽深度不小于60cm，槽底打平，在有坡度路面，要保障槽底坡度不大于15度。</w:t>
            </w:r>
          </w:p>
          <w:p>
            <w:pPr>
              <w:pStyle w:val="63"/>
              <w:rPr>
                <w:color w:val="auto"/>
                <w:sz w:val="24"/>
                <w:szCs w:val="24"/>
                <w:highlight w:val="none"/>
              </w:rPr>
            </w:pPr>
            <w:r>
              <w:rPr>
                <w:color w:val="auto"/>
                <w:sz w:val="24"/>
                <w:szCs w:val="24"/>
                <w:highlight w:val="none"/>
              </w:rPr>
              <w:t>5）电缆线需先用PVC地下专用保护管套接，连接处作防水处理。</w:t>
            </w:r>
          </w:p>
          <w:p>
            <w:pPr>
              <w:pStyle w:val="63"/>
              <w:rPr>
                <w:color w:val="auto"/>
                <w:sz w:val="24"/>
                <w:szCs w:val="24"/>
                <w:highlight w:val="none"/>
              </w:rPr>
            </w:pPr>
            <w:r>
              <w:rPr>
                <w:color w:val="auto"/>
                <w:sz w:val="24"/>
                <w:szCs w:val="24"/>
                <w:highlight w:val="none"/>
              </w:rPr>
              <w:t>6）电缆槽底部先铺设一层细沙，将处理好的电缆线铺设在电缆槽底部细沙上，然后在电缆上部摆放一层砖，最后用素土覆盖。</w:t>
            </w:r>
          </w:p>
          <w:p>
            <w:pPr>
              <w:pStyle w:val="63"/>
              <w:rPr>
                <w:color w:val="auto"/>
                <w:sz w:val="24"/>
                <w:szCs w:val="24"/>
                <w:highlight w:val="none"/>
              </w:rPr>
            </w:pPr>
            <w:r>
              <w:rPr>
                <w:color w:val="auto"/>
                <w:sz w:val="24"/>
                <w:szCs w:val="24"/>
                <w:highlight w:val="none"/>
              </w:rPr>
              <w:t>7）在电源进线端使用防雷保护器，电表下端使用漏电保护器，防止雷暴及触电风险，如果开关及电表室外使用，需使用专用室外电力保护箱。</w:t>
            </w:r>
          </w:p>
          <w:p>
            <w:pPr>
              <w:pStyle w:val="63"/>
              <w:rPr>
                <w:color w:val="auto"/>
                <w:sz w:val="24"/>
                <w:szCs w:val="24"/>
                <w:highlight w:val="none"/>
              </w:rPr>
            </w:pPr>
            <w:r>
              <w:rPr>
                <w:color w:val="auto"/>
                <w:sz w:val="24"/>
                <w:szCs w:val="24"/>
                <w:highlight w:val="none"/>
              </w:rPr>
              <w:t>8）施工过程中，尽可能不破坏道路原貌。（如有改变，施工结束后按原貌及时恢复。）</w:t>
            </w:r>
          </w:p>
          <w:p>
            <w:pPr>
              <w:pStyle w:val="63"/>
              <w:rPr>
                <w:color w:val="auto"/>
                <w:sz w:val="24"/>
                <w:szCs w:val="24"/>
                <w:highlight w:val="none"/>
              </w:rPr>
            </w:pPr>
            <w:r>
              <w:rPr>
                <w:rFonts w:hint="eastAsia"/>
                <w:color w:val="auto"/>
                <w:sz w:val="24"/>
                <w:szCs w:val="24"/>
                <w:highlight w:val="none"/>
              </w:rPr>
              <w:t>5</w:t>
            </w:r>
            <w:r>
              <w:rPr>
                <w:color w:val="auto"/>
                <w:sz w:val="24"/>
                <w:szCs w:val="24"/>
                <w:highlight w:val="none"/>
              </w:rPr>
              <w:t>、固定式遥测系统安装：</w:t>
            </w:r>
          </w:p>
          <w:p>
            <w:pPr>
              <w:pStyle w:val="63"/>
              <w:rPr>
                <w:color w:val="auto"/>
                <w:sz w:val="24"/>
                <w:szCs w:val="24"/>
                <w:highlight w:val="none"/>
              </w:rPr>
            </w:pPr>
            <w:r>
              <w:rPr>
                <w:color w:val="auto"/>
                <w:sz w:val="24"/>
                <w:szCs w:val="24"/>
                <w:highlight w:val="none"/>
              </w:rPr>
              <w:t>1）F</w:t>
            </w:r>
            <w:r>
              <w:rPr>
                <w:rFonts w:hint="eastAsia"/>
                <w:color w:val="auto"/>
                <w:sz w:val="24"/>
                <w:szCs w:val="24"/>
                <w:highlight w:val="none"/>
              </w:rPr>
              <w:t>型</w:t>
            </w:r>
            <w:r>
              <w:rPr>
                <w:color w:val="auto"/>
                <w:sz w:val="24"/>
                <w:szCs w:val="24"/>
                <w:highlight w:val="none"/>
              </w:rPr>
              <w:t>立杆</w:t>
            </w:r>
            <w:r>
              <w:rPr>
                <w:rFonts w:hint="eastAsia"/>
                <w:color w:val="auto"/>
                <w:sz w:val="24"/>
                <w:szCs w:val="24"/>
                <w:highlight w:val="none"/>
              </w:rPr>
              <w:t>及</w:t>
            </w:r>
            <w:r>
              <w:rPr>
                <w:color w:val="auto"/>
                <w:sz w:val="24"/>
                <w:szCs w:val="24"/>
                <w:highlight w:val="none"/>
              </w:rPr>
              <w:t>龙门架安装；</w:t>
            </w:r>
          </w:p>
          <w:p>
            <w:pPr>
              <w:pStyle w:val="63"/>
              <w:rPr>
                <w:color w:val="auto"/>
                <w:sz w:val="24"/>
                <w:szCs w:val="24"/>
                <w:highlight w:val="none"/>
              </w:rPr>
            </w:pPr>
            <w:r>
              <w:rPr>
                <w:color w:val="auto"/>
                <w:sz w:val="24"/>
                <w:szCs w:val="24"/>
                <w:highlight w:val="none"/>
              </w:rPr>
              <w:t>2）室外恒温中控柜，发射端恒温机柜，接收端机柜；</w:t>
            </w:r>
          </w:p>
          <w:p>
            <w:pPr>
              <w:pStyle w:val="63"/>
              <w:rPr>
                <w:color w:val="auto"/>
                <w:sz w:val="24"/>
                <w:szCs w:val="24"/>
                <w:highlight w:val="none"/>
              </w:rPr>
            </w:pPr>
            <w:r>
              <w:rPr>
                <w:color w:val="auto"/>
                <w:sz w:val="24"/>
                <w:szCs w:val="24"/>
                <w:highlight w:val="none"/>
              </w:rPr>
              <w:t>3）遥测系统设备水平安装；</w:t>
            </w:r>
          </w:p>
          <w:p>
            <w:pPr>
              <w:pStyle w:val="63"/>
              <w:rPr>
                <w:color w:val="auto"/>
                <w:sz w:val="24"/>
                <w:szCs w:val="24"/>
                <w:highlight w:val="none"/>
              </w:rPr>
            </w:pPr>
            <w:r>
              <w:rPr>
                <w:color w:val="auto"/>
                <w:sz w:val="24"/>
                <w:szCs w:val="24"/>
                <w:highlight w:val="none"/>
              </w:rPr>
              <w:t>4）视频捕捉系统安装（高车作业）；</w:t>
            </w:r>
          </w:p>
          <w:p>
            <w:pPr>
              <w:pStyle w:val="63"/>
              <w:rPr>
                <w:color w:val="auto"/>
                <w:sz w:val="24"/>
                <w:szCs w:val="24"/>
                <w:highlight w:val="none"/>
              </w:rPr>
            </w:pPr>
            <w:r>
              <w:rPr>
                <w:rFonts w:hint="eastAsia"/>
                <w:color w:val="auto"/>
                <w:sz w:val="24"/>
                <w:szCs w:val="24"/>
                <w:highlight w:val="none"/>
              </w:rPr>
              <w:t>5）黑烟识别系统安装（高车作业）；</w:t>
            </w:r>
          </w:p>
          <w:p>
            <w:pPr>
              <w:pStyle w:val="63"/>
              <w:rPr>
                <w:color w:val="auto"/>
                <w:sz w:val="24"/>
                <w:szCs w:val="24"/>
                <w:highlight w:val="none"/>
              </w:rPr>
            </w:pPr>
            <w:r>
              <w:rPr>
                <w:rFonts w:hint="eastAsia"/>
                <w:color w:val="auto"/>
                <w:sz w:val="24"/>
                <w:szCs w:val="24"/>
                <w:highlight w:val="none"/>
              </w:rPr>
              <w:t>6</w:t>
            </w:r>
            <w:r>
              <w:rPr>
                <w:color w:val="auto"/>
                <w:sz w:val="24"/>
                <w:szCs w:val="24"/>
                <w:highlight w:val="none"/>
              </w:rPr>
              <w:t>）速度及加速度单元的安装；</w:t>
            </w:r>
          </w:p>
          <w:p>
            <w:pPr>
              <w:pStyle w:val="63"/>
              <w:rPr>
                <w:color w:val="auto"/>
                <w:sz w:val="24"/>
                <w:szCs w:val="24"/>
                <w:highlight w:val="none"/>
              </w:rPr>
            </w:pPr>
            <w:r>
              <w:rPr>
                <w:rFonts w:hint="eastAsia"/>
                <w:color w:val="auto"/>
                <w:sz w:val="24"/>
                <w:szCs w:val="24"/>
                <w:highlight w:val="none"/>
              </w:rPr>
              <w:t>7</w:t>
            </w:r>
            <w:r>
              <w:rPr>
                <w:color w:val="auto"/>
                <w:sz w:val="24"/>
                <w:szCs w:val="24"/>
                <w:highlight w:val="none"/>
              </w:rPr>
              <w:t>）车流量统计系统的安装；</w:t>
            </w:r>
          </w:p>
          <w:p>
            <w:pPr>
              <w:pStyle w:val="63"/>
              <w:rPr>
                <w:color w:val="auto"/>
                <w:sz w:val="24"/>
                <w:szCs w:val="24"/>
                <w:highlight w:val="none"/>
              </w:rPr>
            </w:pPr>
            <w:r>
              <w:rPr>
                <w:rFonts w:hint="eastAsia"/>
                <w:color w:val="auto"/>
                <w:sz w:val="24"/>
                <w:szCs w:val="24"/>
                <w:highlight w:val="none"/>
              </w:rPr>
              <w:t>8</w:t>
            </w:r>
            <w:r>
              <w:rPr>
                <w:color w:val="auto"/>
                <w:sz w:val="24"/>
                <w:szCs w:val="24"/>
                <w:highlight w:val="none"/>
              </w:rPr>
              <w:t>）监控系统安装；</w:t>
            </w:r>
          </w:p>
          <w:p>
            <w:pPr>
              <w:pStyle w:val="63"/>
              <w:rPr>
                <w:color w:val="auto"/>
                <w:sz w:val="24"/>
                <w:szCs w:val="24"/>
                <w:highlight w:val="none"/>
              </w:rPr>
            </w:pPr>
            <w:r>
              <w:rPr>
                <w:rFonts w:hint="eastAsia"/>
                <w:color w:val="auto"/>
                <w:sz w:val="24"/>
                <w:szCs w:val="24"/>
                <w:highlight w:val="none"/>
              </w:rPr>
              <w:t>9</w:t>
            </w:r>
            <w:r>
              <w:rPr>
                <w:color w:val="auto"/>
                <w:sz w:val="24"/>
                <w:szCs w:val="24"/>
                <w:highlight w:val="none"/>
              </w:rPr>
              <w:t>）气象监测系统安装；</w:t>
            </w:r>
          </w:p>
          <w:p>
            <w:pPr>
              <w:pStyle w:val="63"/>
              <w:rPr>
                <w:color w:val="auto"/>
                <w:sz w:val="24"/>
                <w:szCs w:val="24"/>
                <w:highlight w:val="none"/>
              </w:rPr>
            </w:pPr>
            <w:r>
              <w:rPr>
                <w:color w:val="auto"/>
                <w:sz w:val="24"/>
                <w:szCs w:val="24"/>
                <w:highlight w:val="none"/>
              </w:rPr>
              <w:t>6、现场防水处理：</w:t>
            </w:r>
          </w:p>
          <w:p>
            <w:pPr>
              <w:pStyle w:val="63"/>
              <w:rPr>
                <w:color w:val="auto"/>
                <w:sz w:val="24"/>
                <w:szCs w:val="24"/>
                <w:highlight w:val="none"/>
              </w:rPr>
            </w:pPr>
            <w:r>
              <w:rPr>
                <w:color w:val="auto"/>
                <w:sz w:val="24"/>
                <w:szCs w:val="24"/>
                <w:highlight w:val="none"/>
              </w:rPr>
              <w:t>1）防尘、防水、防盗、耐腐处理；</w:t>
            </w:r>
          </w:p>
          <w:p>
            <w:pPr>
              <w:pStyle w:val="63"/>
              <w:rPr>
                <w:color w:val="auto"/>
                <w:sz w:val="24"/>
                <w:szCs w:val="24"/>
                <w:highlight w:val="none"/>
              </w:rPr>
            </w:pPr>
            <w:r>
              <w:rPr>
                <w:color w:val="auto"/>
                <w:sz w:val="24"/>
                <w:szCs w:val="24"/>
                <w:highlight w:val="none"/>
              </w:rPr>
              <w:t>2）机柜底座、走线槽严格按照工程施工要求，预留走水通道，外部密封。</w:t>
            </w:r>
          </w:p>
          <w:p>
            <w:pPr>
              <w:pStyle w:val="63"/>
              <w:rPr>
                <w:color w:val="auto"/>
                <w:sz w:val="24"/>
                <w:szCs w:val="24"/>
                <w:highlight w:val="none"/>
              </w:rPr>
            </w:pPr>
            <w:r>
              <w:rPr>
                <w:color w:val="auto"/>
                <w:sz w:val="24"/>
                <w:szCs w:val="24"/>
                <w:highlight w:val="none"/>
              </w:rPr>
              <w:t>3）敷设地下管线、安装地基及检修井需防水。</w:t>
            </w:r>
          </w:p>
          <w:p>
            <w:pPr>
              <w:pStyle w:val="63"/>
              <w:rPr>
                <w:color w:val="auto"/>
                <w:sz w:val="24"/>
                <w:szCs w:val="24"/>
                <w:highlight w:val="none"/>
              </w:rPr>
            </w:pPr>
            <w:r>
              <w:rPr>
                <w:color w:val="auto"/>
                <w:sz w:val="24"/>
                <w:szCs w:val="24"/>
                <w:highlight w:val="none"/>
              </w:rPr>
              <w:t>4）外路面施工材料需满足防水要求。</w:t>
            </w:r>
          </w:p>
          <w:p>
            <w:pPr>
              <w:pStyle w:val="63"/>
              <w:rPr>
                <w:color w:val="auto"/>
                <w:sz w:val="24"/>
                <w:szCs w:val="24"/>
                <w:highlight w:val="none"/>
              </w:rPr>
            </w:pPr>
            <w:r>
              <w:rPr>
                <w:color w:val="auto"/>
                <w:sz w:val="24"/>
                <w:szCs w:val="24"/>
                <w:highlight w:val="none"/>
              </w:rPr>
              <w:t>7</w:t>
            </w:r>
            <w:r>
              <w:rPr>
                <w:rFonts w:hint="eastAsia"/>
                <w:color w:val="auto"/>
                <w:sz w:val="24"/>
                <w:szCs w:val="24"/>
                <w:highlight w:val="none"/>
              </w:rPr>
              <w:t>、防撞护栏安装</w:t>
            </w:r>
          </w:p>
          <w:p>
            <w:pPr>
              <w:pStyle w:val="63"/>
              <w:rPr>
                <w:color w:val="auto"/>
                <w:sz w:val="24"/>
                <w:szCs w:val="24"/>
                <w:highlight w:val="none"/>
              </w:rPr>
            </w:pPr>
            <w:r>
              <w:rPr>
                <w:rFonts w:hint="eastAsia"/>
                <w:color w:val="auto"/>
                <w:sz w:val="24"/>
                <w:szCs w:val="24"/>
                <w:highlight w:val="none"/>
              </w:rPr>
              <w:t>中标单位需根据现场实际情况提供并安装防撞护栏，护栏为锌钢材质，高度不小于1</w:t>
            </w:r>
            <w:r>
              <w:rPr>
                <w:color w:val="auto"/>
                <w:sz w:val="24"/>
                <w:szCs w:val="24"/>
                <w:highlight w:val="none"/>
              </w:rPr>
              <w:t>.2</w:t>
            </w:r>
            <w:r>
              <w:rPr>
                <w:rFonts w:hint="eastAsia"/>
                <w:color w:val="auto"/>
                <w:sz w:val="24"/>
                <w:szCs w:val="24"/>
                <w:highlight w:val="none"/>
              </w:rPr>
              <w:t>米，遥感副机前后各防撞护栏长度均不小于1</w:t>
            </w:r>
            <w:r>
              <w:rPr>
                <w:color w:val="auto"/>
                <w:sz w:val="24"/>
                <w:szCs w:val="24"/>
                <w:highlight w:val="none"/>
              </w:rPr>
              <w:t>00</w:t>
            </w:r>
            <w:r>
              <w:rPr>
                <w:rFonts w:hint="eastAsia"/>
                <w:color w:val="auto"/>
                <w:sz w:val="24"/>
                <w:szCs w:val="24"/>
                <w:highlight w:val="none"/>
              </w:rPr>
              <w:t>米。</w:t>
            </w:r>
          </w:p>
        </w:tc>
      </w:tr>
    </w:tbl>
    <w:p>
      <w:pPr>
        <w:rPr>
          <w:color w:val="auto"/>
          <w:highlight w:val="none"/>
        </w:rPr>
      </w:pPr>
    </w:p>
    <w:p>
      <w:pPr>
        <w:pStyle w:val="8"/>
        <w:numPr>
          <w:ilvl w:val="1"/>
          <w:numId w:val="0"/>
        </w:numPr>
        <w:rPr>
          <w:color w:val="auto"/>
          <w:sz w:val="24"/>
          <w:highlight w:val="none"/>
        </w:rPr>
      </w:pPr>
      <w:bookmarkStart w:id="187" w:name="_Toc10875"/>
      <w:r>
        <w:rPr>
          <w:rFonts w:hint="eastAsia"/>
          <w:color w:val="auto"/>
          <w:sz w:val="24"/>
          <w:highlight w:val="none"/>
        </w:rPr>
        <w:t>2.3机动车尾气遥感在线监测管理系统技术要求</w:t>
      </w:r>
      <w:bookmarkEnd w:id="187"/>
    </w:p>
    <w:tbl>
      <w:tblPr>
        <w:tblStyle w:val="29"/>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311"/>
        <w:gridCol w:w="6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序号</w:t>
            </w:r>
          </w:p>
        </w:tc>
        <w:tc>
          <w:tcPr>
            <w:tcW w:w="1311" w:type="dxa"/>
            <w:vAlign w:val="center"/>
          </w:tcPr>
          <w:p>
            <w:pPr>
              <w:pStyle w:val="63"/>
              <w:rPr>
                <w:color w:val="auto"/>
                <w:sz w:val="24"/>
                <w:szCs w:val="24"/>
                <w:highlight w:val="none"/>
              </w:rPr>
            </w:pPr>
            <w:r>
              <w:rPr>
                <w:rFonts w:hint="eastAsia"/>
                <w:color w:val="auto"/>
                <w:sz w:val="24"/>
                <w:szCs w:val="24"/>
                <w:highlight w:val="none"/>
              </w:rPr>
              <w:t>名称</w:t>
            </w:r>
          </w:p>
        </w:tc>
        <w:tc>
          <w:tcPr>
            <w:tcW w:w="6490" w:type="dxa"/>
            <w:vAlign w:val="center"/>
          </w:tcPr>
          <w:p>
            <w:pPr>
              <w:pStyle w:val="63"/>
              <w:rPr>
                <w:color w:val="auto"/>
                <w:sz w:val="24"/>
                <w:szCs w:val="24"/>
                <w:highlight w:val="none"/>
              </w:rPr>
            </w:pPr>
            <w:r>
              <w:rPr>
                <w:color w:val="auto"/>
                <w:sz w:val="24"/>
                <w:szCs w:val="24"/>
                <w:highlight w:val="none"/>
              </w:rPr>
              <w:t>规格参数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rFonts w:hint="eastAsia"/>
                <w:color w:val="auto"/>
                <w:sz w:val="24"/>
                <w:szCs w:val="24"/>
                <w:highlight w:val="none"/>
              </w:rPr>
              <w:t>1</w:t>
            </w:r>
          </w:p>
        </w:tc>
        <w:tc>
          <w:tcPr>
            <w:tcW w:w="1311" w:type="dxa"/>
            <w:vAlign w:val="center"/>
          </w:tcPr>
          <w:p>
            <w:pPr>
              <w:pStyle w:val="63"/>
              <w:rPr>
                <w:color w:val="auto"/>
                <w:sz w:val="24"/>
                <w:szCs w:val="24"/>
                <w:highlight w:val="none"/>
              </w:rPr>
            </w:pPr>
            <w:r>
              <w:rPr>
                <w:rFonts w:hint="eastAsia"/>
                <w:color w:val="auto"/>
                <w:sz w:val="24"/>
                <w:szCs w:val="24"/>
                <w:highlight w:val="none"/>
              </w:rPr>
              <w:t>软件总体要求</w:t>
            </w:r>
          </w:p>
        </w:tc>
        <w:tc>
          <w:tcPr>
            <w:tcW w:w="6490" w:type="dxa"/>
            <w:vAlign w:val="center"/>
          </w:tcPr>
          <w:p>
            <w:pPr>
              <w:pStyle w:val="63"/>
              <w:rPr>
                <w:color w:val="auto"/>
                <w:sz w:val="24"/>
                <w:szCs w:val="24"/>
                <w:highlight w:val="none"/>
              </w:rPr>
            </w:pPr>
            <w:r>
              <w:rPr>
                <w:color w:val="auto"/>
                <w:sz w:val="24"/>
                <w:szCs w:val="24"/>
                <w:highlight w:val="none"/>
              </w:rPr>
              <w:t>1）采用B/S架构，具备简单性、面向对象、分布式、健壮性、安全性等特点；</w:t>
            </w:r>
          </w:p>
          <w:p>
            <w:pPr>
              <w:pStyle w:val="63"/>
              <w:rPr>
                <w:color w:val="auto"/>
                <w:sz w:val="24"/>
                <w:szCs w:val="24"/>
                <w:highlight w:val="none"/>
              </w:rPr>
            </w:pPr>
            <w:r>
              <w:rPr>
                <w:color w:val="auto"/>
                <w:sz w:val="24"/>
                <w:szCs w:val="24"/>
                <w:highlight w:val="none"/>
              </w:rPr>
              <w:t>2）系统具有良好的稳定性，支持在当前主流的服务器操作系统中稳定运行；</w:t>
            </w:r>
          </w:p>
          <w:p>
            <w:pPr>
              <w:pStyle w:val="63"/>
              <w:rPr>
                <w:color w:val="auto"/>
                <w:sz w:val="24"/>
                <w:szCs w:val="24"/>
                <w:highlight w:val="none"/>
              </w:rPr>
            </w:pPr>
            <w:r>
              <w:rPr>
                <w:color w:val="auto"/>
                <w:sz w:val="24"/>
                <w:szCs w:val="24"/>
                <w:highlight w:val="none"/>
              </w:rPr>
              <w:t>3）采用软件信息行业主流关系型数据库软件；</w:t>
            </w:r>
          </w:p>
          <w:p>
            <w:pPr>
              <w:pStyle w:val="63"/>
              <w:rPr>
                <w:color w:val="auto"/>
                <w:sz w:val="24"/>
                <w:szCs w:val="24"/>
                <w:highlight w:val="none"/>
              </w:rPr>
            </w:pPr>
            <w:r>
              <w:rPr>
                <w:color w:val="auto"/>
                <w:sz w:val="24"/>
                <w:szCs w:val="24"/>
                <w:highlight w:val="none"/>
              </w:rPr>
              <w:t>4）应用系统授权方便、数据库登录用户权限、有完善备份功能、有完备的恢复功能、提供数据修改全程记录、提供错误日志、提供系统运行日志；</w:t>
            </w:r>
          </w:p>
          <w:p>
            <w:pPr>
              <w:pStyle w:val="63"/>
              <w:rPr>
                <w:color w:val="auto"/>
                <w:sz w:val="24"/>
                <w:szCs w:val="24"/>
                <w:highlight w:val="none"/>
              </w:rPr>
            </w:pPr>
            <w:r>
              <w:rPr>
                <w:color w:val="auto"/>
                <w:sz w:val="24"/>
                <w:szCs w:val="24"/>
                <w:highlight w:val="none"/>
              </w:rPr>
              <w:t>5）软件应用能够兼容IE、360等主流的浏览器；</w:t>
            </w:r>
          </w:p>
          <w:p>
            <w:pPr>
              <w:pStyle w:val="63"/>
              <w:rPr>
                <w:color w:val="auto"/>
                <w:sz w:val="24"/>
                <w:szCs w:val="24"/>
                <w:highlight w:val="none"/>
              </w:rPr>
            </w:pPr>
            <w:r>
              <w:rPr>
                <w:color w:val="auto"/>
                <w:sz w:val="24"/>
                <w:szCs w:val="24"/>
                <w:highlight w:val="none"/>
              </w:rPr>
              <w:t>6）所有软件正版合法软件；界面为简体中文，方便使用。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rFonts w:hint="eastAsia"/>
                <w:color w:val="auto"/>
                <w:sz w:val="24"/>
                <w:szCs w:val="24"/>
                <w:highlight w:val="none"/>
              </w:rPr>
              <w:t>2</w:t>
            </w:r>
          </w:p>
        </w:tc>
        <w:tc>
          <w:tcPr>
            <w:tcW w:w="1311" w:type="dxa"/>
            <w:vAlign w:val="center"/>
          </w:tcPr>
          <w:p>
            <w:pPr>
              <w:pStyle w:val="63"/>
              <w:rPr>
                <w:color w:val="auto"/>
                <w:sz w:val="24"/>
                <w:szCs w:val="24"/>
                <w:highlight w:val="none"/>
              </w:rPr>
            </w:pPr>
            <w:r>
              <w:rPr>
                <w:rFonts w:hint="eastAsia"/>
                <w:color w:val="auto"/>
                <w:sz w:val="24"/>
                <w:szCs w:val="24"/>
                <w:highlight w:val="none"/>
              </w:rPr>
              <w:t>软件技术要求</w:t>
            </w:r>
          </w:p>
        </w:tc>
        <w:tc>
          <w:tcPr>
            <w:tcW w:w="6490" w:type="dxa"/>
            <w:vAlign w:val="center"/>
          </w:tcPr>
          <w:p>
            <w:pPr>
              <w:pStyle w:val="63"/>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尾气遥感监测系统与监测点位使用专网连接，保证数据通讯的稳定性、可靠性、安全性，带宽应满足视频、数据信息的传输要求；移动式监测点位应采用移动数据网络进行连接。</w:t>
            </w:r>
          </w:p>
          <w:p>
            <w:pPr>
              <w:pStyle w:val="63"/>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数据接口，平台应预留与公安交通管理部门、交通运输部门双向数据交换接口。与公安交通管理部门实现车辆信息、车辆排放超标信息的数据交换，与交通运输部门实现道路、交通流量、营运车辆信息的数据交换。</w:t>
            </w:r>
          </w:p>
          <w:p>
            <w:pPr>
              <w:pStyle w:val="63"/>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数据库的架构应该满足具备超长时间存储的要求。能够对长时间跨度的数据实现查询、调取；</w:t>
            </w:r>
          </w:p>
          <w:p>
            <w:pPr>
              <w:pStyle w:val="63"/>
              <w:rPr>
                <w:color w:val="auto"/>
                <w:sz w:val="24"/>
                <w:szCs w:val="24"/>
                <w:highlight w:val="none"/>
              </w:rPr>
            </w:pPr>
            <w:r>
              <w:rPr>
                <w:color w:val="auto"/>
                <w:sz w:val="24"/>
                <w:szCs w:val="24"/>
                <w:highlight w:val="none"/>
              </w:rPr>
              <w:t>4</w:t>
            </w:r>
            <w:r>
              <w:rPr>
                <w:rFonts w:hint="eastAsia"/>
                <w:color w:val="auto"/>
                <w:sz w:val="24"/>
                <w:szCs w:val="24"/>
                <w:highlight w:val="none"/>
              </w:rPr>
              <w:t>）</w:t>
            </w:r>
            <w:r>
              <w:rPr>
                <w:color w:val="auto"/>
                <w:sz w:val="24"/>
                <w:szCs w:val="24"/>
                <w:highlight w:val="none"/>
              </w:rPr>
              <w:t>平台能在存储允许的情况下，对遥测设备上传的数据提供冗余保存；</w:t>
            </w:r>
          </w:p>
          <w:p>
            <w:pPr>
              <w:pStyle w:val="63"/>
              <w:rPr>
                <w:color w:val="auto"/>
                <w:sz w:val="24"/>
                <w:szCs w:val="24"/>
                <w:highlight w:val="none"/>
              </w:rPr>
            </w:pPr>
            <w:r>
              <w:rPr>
                <w:color w:val="auto"/>
                <w:sz w:val="24"/>
                <w:szCs w:val="24"/>
                <w:highlight w:val="none"/>
              </w:rPr>
              <w:t>5</w:t>
            </w:r>
            <w:r>
              <w:rPr>
                <w:rFonts w:hint="eastAsia"/>
                <w:color w:val="auto"/>
                <w:sz w:val="24"/>
                <w:szCs w:val="24"/>
                <w:highlight w:val="none"/>
              </w:rPr>
              <w:t>）</w:t>
            </w:r>
            <w:r>
              <w:rPr>
                <w:color w:val="auto"/>
                <w:sz w:val="24"/>
                <w:szCs w:val="24"/>
                <w:highlight w:val="none"/>
              </w:rPr>
              <w:t>平台能提供方便的二次开发接口，对数据库中的数据进行相应模型的开发，加工；</w:t>
            </w:r>
          </w:p>
          <w:p>
            <w:pPr>
              <w:pStyle w:val="63"/>
              <w:rPr>
                <w:color w:val="auto"/>
                <w:sz w:val="24"/>
                <w:szCs w:val="24"/>
                <w:highlight w:val="none"/>
              </w:rPr>
            </w:pPr>
            <w:r>
              <w:rPr>
                <w:color w:val="auto"/>
                <w:sz w:val="24"/>
                <w:szCs w:val="24"/>
                <w:highlight w:val="none"/>
              </w:rPr>
              <w:t>6</w:t>
            </w:r>
            <w:r>
              <w:rPr>
                <w:rFonts w:hint="eastAsia"/>
                <w:color w:val="auto"/>
                <w:sz w:val="24"/>
                <w:szCs w:val="24"/>
                <w:highlight w:val="none"/>
              </w:rPr>
              <w:t>）</w:t>
            </w:r>
            <w:r>
              <w:rPr>
                <w:color w:val="auto"/>
                <w:sz w:val="24"/>
                <w:szCs w:val="24"/>
                <w:highlight w:val="none"/>
              </w:rPr>
              <w:t>兼容协议，平台和终端的协议能充分考虑国家相关标准的要求，同时又具有相应的扩展性和兼容性、开放性；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721" w:type="dxa"/>
            <w:vAlign w:val="center"/>
          </w:tcPr>
          <w:p>
            <w:pPr>
              <w:pStyle w:val="63"/>
              <w:rPr>
                <w:color w:val="auto"/>
                <w:sz w:val="24"/>
                <w:szCs w:val="24"/>
                <w:highlight w:val="none"/>
              </w:rPr>
            </w:pPr>
            <w:r>
              <w:rPr>
                <w:color w:val="auto"/>
                <w:sz w:val="24"/>
                <w:szCs w:val="24"/>
                <w:highlight w:val="none"/>
              </w:rPr>
              <w:t>3</w:t>
            </w:r>
          </w:p>
        </w:tc>
        <w:tc>
          <w:tcPr>
            <w:tcW w:w="1311" w:type="dxa"/>
            <w:vAlign w:val="center"/>
          </w:tcPr>
          <w:p>
            <w:pPr>
              <w:pStyle w:val="63"/>
              <w:rPr>
                <w:color w:val="auto"/>
                <w:sz w:val="24"/>
                <w:szCs w:val="24"/>
                <w:highlight w:val="none"/>
              </w:rPr>
            </w:pPr>
            <w:r>
              <w:rPr>
                <w:rFonts w:hint="eastAsia"/>
                <w:color w:val="auto"/>
                <w:sz w:val="24"/>
                <w:szCs w:val="24"/>
                <w:highlight w:val="none"/>
              </w:rPr>
              <w:t>系统功能要求</w:t>
            </w:r>
          </w:p>
        </w:tc>
        <w:tc>
          <w:tcPr>
            <w:tcW w:w="6490" w:type="dxa"/>
            <w:vAlign w:val="center"/>
          </w:tcPr>
          <w:p>
            <w:pPr>
              <w:pStyle w:val="63"/>
              <w:rPr>
                <w:color w:val="auto"/>
                <w:sz w:val="24"/>
                <w:szCs w:val="24"/>
                <w:highlight w:val="none"/>
              </w:rPr>
            </w:pPr>
            <w:r>
              <w:rPr>
                <w:rFonts w:hint="eastAsia"/>
                <w:color w:val="auto"/>
                <w:sz w:val="24"/>
                <w:szCs w:val="24"/>
                <w:highlight w:val="none"/>
              </w:rPr>
              <w:t>要求系统支持固定式尾气遥感数据、移动式尾气遥感数据，需实现机动车尾气遥感检测数据的统一管理。具体功能要求如下：</w:t>
            </w:r>
          </w:p>
          <w:p>
            <w:pPr>
              <w:pStyle w:val="63"/>
              <w:rPr>
                <w:color w:val="auto"/>
                <w:sz w:val="24"/>
                <w:szCs w:val="24"/>
                <w:highlight w:val="none"/>
              </w:rPr>
            </w:pPr>
            <w:r>
              <w:rPr>
                <w:rFonts w:hint="eastAsia"/>
                <w:color w:val="auto"/>
                <w:sz w:val="24"/>
                <w:szCs w:val="24"/>
                <w:highlight w:val="none"/>
              </w:rPr>
              <w:t>1）GIS电子地图</w:t>
            </w:r>
          </w:p>
          <w:p>
            <w:pPr>
              <w:pStyle w:val="63"/>
              <w:rPr>
                <w:color w:val="auto"/>
                <w:sz w:val="24"/>
                <w:szCs w:val="24"/>
                <w:highlight w:val="none"/>
              </w:rPr>
            </w:pPr>
            <w:r>
              <w:rPr>
                <w:rFonts w:hint="eastAsia"/>
                <w:color w:val="auto"/>
                <w:sz w:val="24"/>
                <w:szCs w:val="24"/>
                <w:highlight w:val="none"/>
              </w:rPr>
              <w:t>要求平台实现尾气遥感监测点位在GIS地图的展示，包括点位信息，监测点位实时数据、历史数据、点位对比分析等。应预留移动式尾气遥感检测点位的动态展示功能。</w:t>
            </w:r>
          </w:p>
          <w:p>
            <w:pPr>
              <w:pStyle w:val="63"/>
              <w:rPr>
                <w:color w:val="auto"/>
                <w:sz w:val="24"/>
                <w:szCs w:val="24"/>
                <w:highlight w:val="none"/>
              </w:rPr>
            </w:pPr>
            <w:r>
              <w:rPr>
                <w:rFonts w:hint="eastAsia"/>
                <w:color w:val="auto"/>
                <w:sz w:val="24"/>
                <w:szCs w:val="24"/>
                <w:highlight w:val="none"/>
              </w:rPr>
              <w:t>2）数据实时监控</w:t>
            </w:r>
          </w:p>
          <w:p>
            <w:pPr>
              <w:pStyle w:val="63"/>
              <w:rPr>
                <w:color w:val="auto"/>
                <w:sz w:val="24"/>
                <w:szCs w:val="24"/>
                <w:highlight w:val="none"/>
              </w:rPr>
            </w:pPr>
            <w:r>
              <w:rPr>
                <w:rFonts w:hint="eastAsia"/>
                <w:color w:val="auto"/>
                <w:sz w:val="24"/>
                <w:szCs w:val="24"/>
                <w:highlight w:val="none"/>
              </w:rPr>
              <w:t>要求系统实现尾气遥感数据的实时监控，支持遥感数据如尾气遥测设备信息、车牌识别软件数据、摄像机获取的图像接入和显示；可显示站点总数、在线个数、离线个数。应可实现数据自动刷新，可按联网状态、数据状态过滤数据，检测数据超标，会以高亮显示。支持监测点位现场视频远程观看和远程调用需求。</w:t>
            </w:r>
          </w:p>
          <w:p>
            <w:pPr>
              <w:pStyle w:val="63"/>
              <w:rPr>
                <w:color w:val="auto"/>
                <w:sz w:val="24"/>
                <w:szCs w:val="24"/>
                <w:highlight w:val="none"/>
              </w:rPr>
            </w:pPr>
            <w:r>
              <w:rPr>
                <w:rFonts w:hint="eastAsia"/>
                <w:color w:val="auto"/>
                <w:sz w:val="24"/>
                <w:szCs w:val="24"/>
                <w:highlight w:val="none"/>
              </w:rPr>
              <w:t>需提供机动车尾气遥感监测在线实时监控软件著作权证书（招标公告发布之日前取得有效）。</w:t>
            </w:r>
          </w:p>
          <w:p>
            <w:pPr>
              <w:pStyle w:val="63"/>
              <w:rPr>
                <w:color w:val="auto"/>
                <w:sz w:val="24"/>
                <w:szCs w:val="24"/>
                <w:highlight w:val="none"/>
              </w:rPr>
            </w:pPr>
            <w:r>
              <w:rPr>
                <w:rFonts w:hint="eastAsia"/>
                <w:color w:val="auto"/>
                <w:sz w:val="24"/>
                <w:szCs w:val="24"/>
                <w:highlight w:val="none"/>
              </w:rPr>
              <w:t>3）数据查询功能</w:t>
            </w:r>
          </w:p>
          <w:p>
            <w:pPr>
              <w:pStyle w:val="63"/>
              <w:rPr>
                <w:color w:val="auto"/>
                <w:sz w:val="24"/>
                <w:szCs w:val="24"/>
                <w:highlight w:val="none"/>
              </w:rPr>
            </w:pPr>
            <w:r>
              <w:rPr>
                <w:rFonts w:hint="eastAsia"/>
                <w:color w:val="auto"/>
                <w:sz w:val="24"/>
                <w:szCs w:val="24"/>
                <w:highlight w:val="none"/>
              </w:rPr>
              <w:t>要求平台支持遥感尾气检测的基础数据的查询、统计和分析功能，应包括测量时间、地点、人工输入仪器操作人员、车辆行驶中的CO、CO2、HC、NOx、烟度、车辆行驶速度、加速度、车牌、车型、牌照颜色等信息。应支持通过数据类型进行选择性统计和查询，支持各种样式的报表生成，如简单表头、复杂表头、分组报表等；应支持多种图表展示方式；支持PDF、EXCEL、WORD等文件类型的导出。</w:t>
            </w:r>
          </w:p>
          <w:p>
            <w:pPr>
              <w:pStyle w:val="63"/>
              <w:rPr>
                <w:color w:val="auto"/>
                <w:sz w:val="24"/>
                <w:szCs w:val="24"/>
                <w:highlight w:val="none"/>
              </w:rPr>
            </w:pPr>
            <w:r>
              <w:rPr>
                <w:rFonts w:hint="eastAsia"/>
                <w:color w:val="auto"/>
                <w:sz w:val="24"/>
                <w:szCs w:val="24"/>
                <w:highlight w:val="none"/>
              </w:rPr>
              <w:t>4）黑烟车专项管理</w:t>
            </w:r>
          </w:p>
          <w:p>
            <w:pPr>
              <w:pStyle w:val="63"/>
              <w:rPr>
                <w:color w:val="auto"/>
                <w:sz w:val="24"/>
                <w:szCs w:val="24"/>
                <w:highlight w:val="none"/>
              </w:rPr>
            </w:pPr>
            <w:r>
              <w:rPr>
                <w:rFonts w:hint="eastAsia"/>
                <w:color w:val="auto"/>
                <w:sz w:val="24"/>
                <w:szCs w:val="24"/>
                <w:highlight w:val="none"/>
              </w:rPr>
              <w:t>支持黑烟车专项管理功能，功能如下：</w:t>
            </w:r>
          </w:p>
          <w:p>
            <w:pPr>
              <w:pStyle w:val="63"/>
              <w:rPr>
                <w:color w:val="auto"/>
                <w:sz w:val="24"/>
                <w:szCs w:val="24"/>
                <w:highlight w:val="none"/>
              </w:rPr>
            </w:pPr>
            <w:r>
              <w:rPr>
                <w:rFonts w:hint="eastAsia"/>
                <w:color w:val="auto"/>
                <w:sz w:val="24"/>
                <w:szCs w:val="24"/>
                <w:highlight w:val="none"/>
              </w:rPr>
              <w:t>1、视频保存、播放，黑烟车视频数据回放，黑烟车数据检索功能（多维度展示，包括点位，时间段，车辆类型，林格曼烟度、车辆归属（本地车辆、外地车辆））等；</w:t>
            </w:r>
          </w:p>
          <w:p>
            <w:pPr>
              <w:pStyle w:val="63"/>
              <w:rPr>
                <w:color w:val="auto"/>
                <w:sz w:val="24"/>
                <w:szCs w:val="24"/>
                <w:highlight w:val="none"/>
              </w:rPr>
            </w:pPr>
            <w:r>
              <w:rPr>
                <w:rFonts w:hint="eastAsia"/>
                <w:color w:val="auto"/>
                <w:sz w:val="24"/>
                <w:szCs w:val="24"/>
                <w:highlight w:val="none"/>
              </w:rPr>
              <w:t>2、多条件下报警记录检索：通行时间段、点位、车牌号、号牌类型、林格曼烟度等条件进行组合检索。</w:t>
            </w:r>
          </w:p>
          <w:p>
            <w:pPr>
              <w:pStyle w:val="63"/>
              <w:rPr>
                <w:color w:val="auto"/>
                <w:sz w:val="24"/>
                <w:szCs w:val="24"/>
                <w:highlight w:val="none"/>
              </w:rPr>
            </w:pPr>
            <w:r>
              <w:rPr>
                <w:rFonts w:hint="eastAsia"/>
                <w:color w:val="auto"/>
                <w:sz w:val="24"/>
                <w:szCs w:val="24"/>
                <w:highlight w:val="none"/>
              </w:rPr>
              <w:t>3、报警联动：支持黑烟车视频报警、移动侦测报警等方式；提供报警联动录像、联动电子地图等。</w:t>
            </w:r>
          </w:p>
          <w:p>
            <w:pPr>
              <w:pStyle w:val="63"/>
              <w:rPr>
                <w:color w:val="auto"/>
                <w:sz w:val="24"/>
                <w:szCs w:val="24"/>
                <w:highlight w:val="none"/>
              </w:rPr>
            </w:pPr>
            <w:r>
              <w:rPr>
                <w:rFonts w:hint="eastAsia"/>
                <w:color w:val="auto"/>
                <w:sz w:val="24"/>
                <w:szCs w:val="24"/>
                <w:highlight w:val="none"/>
              </w:rPr>
              <w:t>4、报警记录查看（含报警视频和黑烟区域）：可进行点播和循环播放,可根据查看需要选择播放速度，可以分级快播、慢播、暂停等。</w:t>
            </w:r>
          </w:p>
          <w:p>
            <w:pPr>
              <w:pStyle w:val="63"/>
              <w:rPr>
                <w:color w:val="auto"/>
                <w:sz w:val="24"/>
                <w:szCs w:val="24"/>
                <w:highlight w:val="none"/>
              </w:rPr>
            </w:pPr>
            <w:r>
              <w:rPr>
                <w:rFonts w:hint="eastAsia"/>
                <w:color w:val="auto"/>
                <w:sz w:val="24"/>
                <w:szCs w:val="24"/>
                <w:highlight w:val="none"/>
              </w:rPr>
              <w:t>5、具有黑烟车确认、人工纠错、复核、黑度匹配、数据传输等功能；保存的黑烟车视频、图片并能显示相应黑度；</w:t>
            </w:r>
          </w:p>
          <w:p>
            <w:pPr>
              <w:pStyle w:val="63"/>
              <w:rPr>
                <w:color w:val="auto"/>
                <w:sz w:val="24"/>
                <w:szCs w:val="24"/>
                <w:highlight w:val="none"/>
              </w:rPr>
            </w:pPr>
            <w:r>
              <w:rPr>
                <w:rFonts w:hint="eastAsia"/>
                <w:color w:val="auto"/>
                <w:sz w:val="24"/>
                <w:szCs w:val="24"/>
                <w:highlight w:val="none"/>
              </w:rPr>
              <w:t>6、黑烟车黑名单管理功能，对多次抓拍或未处理黑烟车辆自动标识显示等功能。</w:t>
            </w:r>
          </w:p>
          <w:p>
            <w:pPr>
              <w:pStyle w:val="63"/>
              <w:rPr>
                <w:color w:val="auto"/>
                <w:sz w:val="24"/>
                <w:szCs w:val="24"/>
                <w:highlight w:val="none"/>
              </w:rPr>
            </w:pPr>
            <w:r>
              <w:rPr>
                <w:rFonts w:hint="eastAsia"/>
                <w:color w:val="auto"/>
                <w:sz w:val="24"/>
                <w:szCs w:val="24"/>
                <w:highlight w:val="none"/>
              </w:rPr>
              <w:t>5）专题分析功能</w:t>
            </w:r>
          </w:p>
          <w:p>
            <w:pPr>
              <w:pStyle w:val="63"/>
              <w:rPr>
                <w:color w:val="auto"/>
                <w:sz w:val="24"/>
                <w:szCs w:val="24"/>
                <w:highlight w:val="none"/>
              </w:rPr>
            </w:pPr>
            <w:r>
              <w:rPr>
                <w:rFonts w:hint="eastAsia"/>
                <w:color w:val="auto"/>
                <w:sz w:val="24"/>
                <w:szCs w:val="24"/>
                <w:highlight w:val="none"/>
              </w:rPr>
              <w:t>平台应支持车辆、污染物数据专项分析功能，需支持有效数据的收集，支持柴油车、汽油车数量的统计，应可自动剔除无效数据，需求如下：</w:t>
            </w:r>
          </w:p>
          <w:p>
            <w:pPr>
              <w:pStyle w:val="63"/>
              <w:rPr>
                <w:color w:val="auto"/>
                <w:sz w:val="24"/>
                <w:szCs w:val="24"/>
                <w:highlight w:val="none"/>
              </w:rPr>
            </w:pPr>
            <w:r>
              <w:rPr>
                <w:rFonts w:hint="eastAsia"/>
                <w:color w:val="auto"/>
                <w:sz w:val="24"/>
                <w:szCs w:val="24"/>
                <w:highlight w:val="none"/>
              </w:rPr>
              <w:t>1、遥感监测通过率分析，可统计总通过率、按燃油种类、车辆类型、监测因子等监测点位的通过率；</w:t>
            </w:r>
          </w:p>
          <w:p>
            <w:pPr>
              <w:pStyle w:val="63"/>
              <w:rPr>
                <w:color w:val="auto"/>
                <w:sz w:val="24"/>
                <w:szCs w:val="24"/>
                <w:highlight w:val="none"/>
              </w:rPr>
            </w:pPr>
            <w:r>
              <w:rPr>
                <w:rFonts w:hint="eastAsia"/>
                <w:color w:val="auto"/>
                <w:sz w:val="24"/>
                <w:szCs w:val="24"/>
                <w:highlight w:val="none"/>
              </w:rPr>
              <w:t>2、监测因子超标统计分析，可根据站点和时间段统计分析各超标排放因子在全部超标车中的占比，支持用柱状图、饼图等方式表示；</w:t>
            </w:r>
          </w:p>
          <w:p>
            <w:pPr>
              <w:pStyle w:val="63"/>
              <w:rPr>
                <w:color w:val="auto"/>
                <w:sz w:val="24"/>
                <w:szCs w:val="24"/>
                <w:highlight w:val="none"/>
              </w:rPr>
            </w:pPr>
            <w:r>
              <w:rPr>
                <w:rFonts w:hint="eastAsia"/>
                <w:color w:val="auto"/>
                <w:sz w:val="24"/>
                <w:szCs w:val="24"/>
                <w:highlight w:val="none"/>
              </w:rPr>
              <w:t>3、车流量专题分析，可按时间段（5/15/1小时/24小时）统计各监测点位断面、车道统计的车流量情况；</w:t>
            </w:r>
          </w:p>
          <w:p>
            <w:pPr>
              <w:pStyle w:val="63"/>
              <w:rPr>
                <w:color w:val="auto"/>
                <w:sz w:val="24"/>
                <w:szCs w:val="24"/>
                <w:highlight w:val="none"/>
              </w:rPr>
            </w:pPr>
            <w:r>
              <w:rPr>
                <w:rFonts w:hint="eastAsia"/>
                <w:color w:val="auto"/>
                <w:sz w:val="24"/>
                <w:szCs w:val="24"/>
                <w:highlight w:val="none"/>
              </w:rPr>
              <w:t>4、告警专题分析，可统计各点位自检逾期、检查逾期、监测设备掉线、识别率低、无效时间偏高等数量统计；</w:t>
            </w:r>
          </w:p>
          <w:p>
            <w:pPr>
              <w:pStyle w:val="63"/>
              <w:rPr>
                <w:color w:val="auto"/>
                <w:sz w:val="24"/>
                <w:szCs w:val="24"/>
                <w:highlight w:val="none"/>
              </w:rPr>
            </w:pPr>
            <w:r>
              <w:rPr>
                <w:rFonts w:hint="eastAsia"/>
                <w:color w:val="auto"/>
                <w:sz w:val="24"/>
                <w:szCs w:val="24"/>
                <w:highlight w:val="none"/>
              </w:rPr>
              <w:t>5、数据有效性分析：根据站点和时间段统计分析有效数据、无效数据的占比，有效数据中合格车辆与超标车辆的占比分析统计等。</w:t>
            </w:r>
          </w:p>
          <w:p>
            <w:pPr>
              <w:pStyle w:val="63"/>
              <w:rPr>
                <w:color w:val="auto"/>
                <w:sz w:val="24"/>
                <w:szCs w:val="24"/>
                <w:highlight w:val="none"/>
              </w:rPr>
            </w:pPr>
            <w:r>
              <w:rPr>
                <w:rFonts w:hint="eastAsia"/>
                <w:color w:val="auto"/>
                <w:sz w:val="24"/>
                <w:szCs w:val="24"/>
                <w:highlight w:val="none"/>
              </w:rPr>
              <w:t>6）高排放车辆重点监控功能</w:t>
            </w:r>
          </w:p>
          <w:p>
            <w:pPr>
              <w:pStyle w:val="63"/>
              <w:rPr>
                <w:color w:val="auto"/>
                <w:sz w:val="24"/>
                <w:szCs w:val="24"/>
                <w:highlight w:val="none"/>
              </w:rPr>
            </w:pPr>
            <w:r>
              <w:rPr>
                <w:rFonts w:hint="eastAsia"/>
                <w:color w:val="auto"/>
                <w:sz w:val="24"/>
                <w:szCs w:val="24"/>
                <w:highlight w:val="none"/>
              </w:rPr>
              <w:t>要求平台实现对重点车辆、超标排放车辆、黑名单车辆的监控功能，一旦发现列入黑名单车辆或标记为重点的车辆进入检测区域后，应支持专项数据的汇总，并及时发出告警信息。</w:t>
            </w:r>
          </w:p>
          <w:p>
            <w:pPr>
              <w:pStyle w:val="63"/>
              <w:rPr>
                <w:color w:val="auto"/>
                <w:sz w:val="24"/>
                <w:szCs w:val="24"/>
                <w:highlight w:val="none"/>
              </w:rPr>
            </w:pPr>
            <w:r>
              <w:rPr>
                <w:rFonts w:hint="eastAsia"/>
                <w:color w:val="auto"/>
                <w:sz w:val="24"/>
                <w:szCs w:val="24"/>
                <w:highlight w:val="none"/>
              </w:rPr>
              <w:t>▲需提供合法来源的高污染排放车辆稽查管控软件著作权（在招标公告发布日之前取得有效）</w:t>
            </w:r>
          </w:p>
          <w:p>
            <w:pPr>
              <w:pStyle w:val="63"/>
              <w:rPr>
                <w:color w:val="auto"/>
                <w:sz w:val="24"/>
                <w:szCs w:val="24"/>
                <w:highlight w:val="none"/>
              </w:rPr>
            </w:pPr>
            <w:r>
              <w:rPr>
                <w:rFonts w:hint="eastAsia"/>
                <w:color w:val="auto"/>
                <w:sz w:val="24"/>
                <w:szCs w:val="24"/>
                <w:highlight w:val="none"/>
              </w:rPr>
              <w:t>7）监测点位管理功能</w:t>
            </w:r>
          </w:p>
          <w:p>
            <w:pPr>
              <w:pStyle w:val="63"/>
              <w:rPr>
                <w:color w:val="auto"/>
                <w:sz w:val="24"/>
                <w:szCs w:val="24"/>
                <w:highlight w:val="none"/>
              </w:rPr>
            </w:pPr>
            <w:r>
              <w:rPr>
                <w:rFonts w:hint="eastAsia"/>
                <w:color w:val="auto"/>
                <w:sz w:val="24"/>
                <w:szCs w:val="24"/>
                <w:highlight w:val="none"/>
              </w:rPr>
              <w:t>要求平台支持对遥感设备状态的查看，支持对监测因子、监测点位的设置管理，支持对超标限制的设定。包括如下功能：</w:t>
            </w:r>
          </w:p>
          <w:p>
            <w:pPr>
              <w:pStyle w:val="63"/>
              <w:rPr>
                <w:color w:val="auto"/>
                <w:sz w:val="24"/>
                <w:szCs w:val="24"/>
                <w:highlight w:val="none"/>
              </w:rPr>
            </w:pPr>
            <w:r>
              <w:rPr>
                <w:rFonts w:hint="eastAsia"/>
                <w:color w:val="auto"/>
                <w:sz w:val="24"/>
                <w:szCs w:val="24"/>
                <w:highlight w:val="none"/>
              </w:rPr>
              <w:t>1、车辆信息管理，支持车辆基本数据信息（可手动录入、或同步公安交管部门车辆库数据）管理；</w:t>
            </w:r>
          </w:p>
          <w:p>
            <w:pPr>
              <w:pStyle w:val="63"/>
              <w:rPr>
                <w:color w:val="auto"/>
                <w:sz w:val="24"/>
                <w:szCs w:val="24"/>
                <w:highlight w:val="none"/>
              </w:rPr>
            </w:pPr>
            <w:r>
              <w:rPr>
                <w:rFonts w:hint="eastAsia"/>
                <w:color w:val="auto"/>
                <w:sz w:val="24"/>
                <w:szCs w:val="24"/>
                <w:highlight w:val="none"/>
              </w:rPr>
              <w:t>2、监测点位管理，支持监测点位、遥感监测线、遥感监测设备、监管设备等信息管理；</w:t>
            </w:r>
          </w:p>
          <w:p>
            <w:pPr>
              <w:pStyle w:val="63"/>
              <w:rPr>
                <w:color w:val="auto"/>
                <w:sz w:val="24"/>
                <w:szCs w:val="24"/>
                <w:highlight w:val="none"/>
              </w:rPr>
            </w:pPr>
            <w:r>
              <w:rPr>
                <w:rFonts w:hint="eastAsia"/>
                <w:color w:val="auto"/>
                <w:sz w:val="24"/>
                <w:szCs w:val="24"/>
                <w:highlight w:val="none"/>
              </w:rPr>
              <w:t>3、其他信息管理，支持平台告警设置、重点监控设置、人工审核条件配置等全局相关设置管理；</w:t>
            </w:r>
          </w:p>
          <w:p>
            <w:pPr>
              <w:pStyle w:val="63"/>
              <w:rPr>
                <w:color w:val="auto"/>
                <w:sz w:val="24"/>
                <w:szCs w:val="24"/>
                <w:highlight w:val="none"/>
              </w:rPr>
            </w:pPr>
            <w:r>
              <w:rPr>
                <w:rFonts w:hint="eastAsia"/>
                <w:color w:val="auto"/>
                <w:sz w:val="24"/>
                <w:szCs w:val="24"/>
                <w:highlight w:val="none"/>
              </w:rPr>
              <w:t>8）视频监控处理和转发</w:t>
            </w:r>
          </w:p>
          <w:p>
            <w:pPr>
              <w:pStyle w:val="63"/>
              <w:rPr>
                <w:color w:val="auto"/>
                <w:sz w:val="24"/>
                <w:szCs w:val="24"/>
                <w:highlight w:val="none"/>
              </w:rPr>
            </w:pPr>
            <w:r>
              <w:rPr>
                <w:rFonts w:hint="eastAsia"/>
                <w:color w:val="auto"/>
                <w:sz w:val="24"/>
                <w:szCs w:val="24"/>
                <w:highlight w:val="none"/>
              </w:rPr>
              <w:t>监测点位实时监控视频，按要求保存监测点位的历史视频,历史检验视频保存周期不少于30天。用于取证的图片和视频应保存不少于1年。</w:t>
            </w:r>
          </w:p>
          <w:p>
            <w:pPr>
              <w:pStyle w:val="63"/>
              <w:rPr>
                <w:color w:val="auto"/>
                <w:sz w:val="24"/>
                <w:szCs w:val="24"/>
                <w:highlight w:val="none"/>
              </w:rPr>
            </w:pPr>
            <w:r>
              <w:rPr>
                <w:rFonts w:hint="eastAsia"/>
                <w:color w:val="auto"/>
                <w:sz w:val="24"/>
                <w:szCs w:val="24"/>
                <w:highlight w:val="none"/>
              </w:rPr>
              <w:t>9、数据交换功能</w:t>
            </w:r>
          </w:p>
          <w:p>
            <w:pPr>
              <w:pStyle w:val="63"/>
              <w:rPr>
                <w:color w:val="auto"/>
                <w:sz w:val="24"/>
                <w:szCs w:val="24"/>
                <w:highlight w:val="none"/>
              </w:rPr>
            </w:pPr>
            <w:r>
              <w:rPr>
                <w:rFonts w:hint="eastAsia"/>
                <w:color w:val="auto"/>
                <w:sz w:val="24"/>
                <w:szCs w:val="24"/>
                <w:highlight w:val="none"/>
              </w:rPr>
              <w:t>系统与监测点位各类信息应实时同步，管理端软件之间的数据交换应通过环保专网、数据传输与交换平台进行，管理端软件与上级管理端软件。需要交换的内容应包括：监测点位信息、遥感监测数据、车辆数据、设备自检、设备检查信息、黑烟车抓拍信息等。</w:t>
            </w:r>
          </w:p>
          <w:p>
            <w:pPr>
              <w:pStyle w:val="63"/>
              <w:rPr>
                <w:color w:val="auto"/>
                <w:sz w:val="24"/>
                <w:szCs w:val="24"/>
                <w:highlight w:val="none"/>
              </w:rPr>
            </w:pPr>
            <w:r>
              <w:rPr>
                <w:rFonts w:hint="eastAsia"/>
                <w:color w:val="auto"/>
                <w:sz w:val="24"/>
                <w:szCs w:val="24"/>
                <w:highlight w:val="none"/>
              </w:rPr>
              <w:t>10、联网要求</w:t>
            </w:r>
          </w:p>
          <w:p>
            <w:pPr>
              <w:pStyle w:val="63"/>
              <w:rPr>
                <w:color w:val="auto"/>
                <w:sz w:val="24"/>
                <w:szCs w:val="24"/>
                <w:highlight w:val="none"/>
              </w:rPr>
            </w:pPr>
            <w:r>
              <w:rPr>
                <w:rFonts w:hint="eastAsia"/>
                <w:color w:val="auto"/>
                <w:sz w:val="24"/>
                <w:szCs w:val="24"/>
                <w:highlight w:val="none"/>
              </w:rPr>
              <w:t>要求系统预留接口，条件成熟时可实现与省级遥感监测信息联网平台、国家遥感监测信息联网平台进行无缝联网对接。</w:t>
            </w:r>
          </w:p>
          <w:p>
            <w:pPr>
              <w:pStyle w:val="63"/>
              <w:rPr>
                <w:color w:val="auto"/>
                <w:sz w:val="24"/>
                <w:szCs w:val="24"/>
                <w:highlight w:val="none"/>
              </w:rPr>
            </w:pPr>
            <w:r>
              <w:rPr>
                <w:rFonts w:hint="eastAsia"/>
                <w:color w:val="auto"/>
                <w:sz w:val="24"/>
                <w:szCs w:val="24"/>
                <w:highlight w:val="none"/>
              </w:rPr>
              <w:t>11、系统管理</w:t>
            </w:r>
          </w:p>
          <w:p>
            <w:pPr>
              <w:pStyle w:val="63"/>
              <w:rPr>
                <w:color w:val="auto"/>
                <w:sz w:val="24"/>
                <w:szCs w:val="24"/>
                <w:highlight w:val="none"/>
              </w:rPr>
            </w:pPr>
            <w:r>
              <w:rPr>
                <w:rFonts w:hint="eastAsia"/>
                <w:color w:val="auto"/>
                <w:sz w:val="24"/>
                <w:szCs w:val="24"/>
                <w:highlight w:val="none"/>
              </w:rPr>
              <w:t>用户管理：包括增加用户、删除用户、修改用户等功能，并对不同用户进行分级管理，如一级管理员，二级管理员，普通监控员，信息录入员等，对不同级别的用户赋予不同的操作权限。</w:t>
            </w:r>
          </w:p>
          <w:p>
            <w:pPr>
              <w:pStyle w:val="63"/>
              <w:rPr>
                <w:color w:val="auto"/>
                <w:sz w:val="24"/>
                <w:szCs w:val="24"/>
                <w:highlight w:val="none"/>
              </w:rPr>
            </w:pPr>
            <w:r>
              <w:rPr>
                <w:rFonts w:hint="eastAsia"/>
                <w:color w:val="auto"/>
                <w:sz w:val="24"/>
                <w:szCs w:val="24"/>
                <w:highlight w:val="none"/>
              </w:rPr>
              <w:t>权限管理：提供用户权限管理功能。</w:t>
            </w:r>
          </w:p>
          <w:p>
            <w:pPr>
              <w:pStyle w:val="63"/>
              <w:rPr>
                <w:color w:val="auto"/>
                <w:sz w:val="24"/>
                <w:szCs w:val="24"/>
                <w:highlight w:val="none"/>
              </w:rPr>
            </w:pPr>
            <w:r>
              <w:rPr>
                <w:rFonts w:hint="eastAsia"/>
                <w:color w:val="auto"/>
                <w:sz w:val="24"/>
                <w:szCs w:val="24"/>
                <w:highlight w:val="none"/>
              </w:rPr>
              <w:t>日志管理：提供用户操作日志、系统运行日志功能。</w:t>
            </w:r>
          </w:p>
          <w:p>
            <w:pPr>
              <w:pStyle w:val="63"/>
              <w:rPr>
                <w:color w:val="auto"/>
                <w:sz w:val="24"/>
                <w:szCs w:val="24"/>
                <w:highlight w:val="none"/>
              </w:rPr>
            </w:pPr>
            <w:r>
              <w:rPr>
                <w:rFonts w:hint="eastAsia"/>
                <w:color w:val="auto"/>
                <w:sz w:val="24"/>
                <w:szCs w:val="24"/>
                <w:highlight w:val="none"/>
              </w:rPr>
              <w:t>异常管理：提供系统运行异常信息的收集和查询功能。</w:t>
            </w:r>
          </w:p>
          <w:p>
            <w:pPr>
              <w:pStyle w:val="63"/>
              <w:rPr>
                <w:color w:val="auto"/>
                <w:sz w:val="24"/>
                <w:szCs w:val="24"/>
                <w:highlight w:val="none"/>
              </w:rPr>
            </w:pPr>
            <w:r>
              <w:rPr>
                <w:rFonts w:hint="eastAsia"/>
                <w:color w:val="auto"/>
                <w:sz w:val="24"/>
                <w:szCs w:val="24"/>
                <w:highlight w:val="none"/>
              </w:rPr>
              <w:t>设备远程管控：提供系统各种硬件设备的状态监控和远程控制管理功能。</w:t>
            </w:r>
          </w:p>
        </w:tc>
      </w:tr>
    </w:tbl>
    <w:p>
      <w:pPr>
        <w:rPr>
          <w:color w:val="auto"/>
          <w:highlight w:val="none"/>
        </w:rPr>
      </w:pPr>
    </w:p>
    <w:p>
      <w:pPr>
        <w:pStyle w:val="8"/>
        <w:numPr>
          <w:ilvl w:val="1"/>
          <w:numId w:val="0"/>
        </w:numPr>
        <w:rPr>
          <w:color w:val="auto"/>
          <w:sz w:val="24"/>
          <w:highlight w:val="none"/>
        </w:rPr>
      </w:pPr>
      <w:bookmarkStart w:id="188" w:name="_Toc11157"/>
      <w:r>
        <w:rPr>
          <w:rFonts w:hint="eastAsia"/>
          <w:color w:val="auto"/>
          <w:sz w:val="24"/>
          <w:highlight w:val="none"/>
        </w:rPr>
        <w:t>2.4</w:t>
      </w:r>
      <w:r>
        <w:rPr>
          <w:color w:val="auto"/>
          <w:sz w:val="24"/>
          <w:highlight w:val="none"/>
        </w:rPr>
        <w:t>运维服务要求</w:t>
      </w:r>
      <w:bookmarkEnd w:id="188"/>
    </w:p>
    <w:p>
      <w:pPr>
        <w:spacing w:line="360" w:lineRule="auto"/>
        <w:ind w:firstLine="480" w:firstLineChars="200"/>
        <w:rPr>
          <w:color w:val="auto"/>
          <w:highlight w:val="none"/>
        </w:rPr>
      </w:pPr>
      <w:r>
        <w:rPr>
          <w:rFonts w:hint="eastAsia"/>
          <w:color w:val="auto"/>
          <w:highlight w:val="none"/>
        </w:rPr>
        <w:t>中标单位需提供1</w:t>
      </w:r>
      <w:r>
        <w:rPr>
          <w:color w:val="auto"/>
          <w:highlight w:val="none"/>
        </w:rPr>
        <w:t>年的运维服务，随时配合业主的巡检、咨询、检查和日常工作。对设备各方面进行检查，确保设备正常运转。在运维服务过程中，所用设备及系统做好日常巡检，建立运维日志。维修维护中，准备必要的备品备件，以便于及时更换，除不可抗力因素外。免费提供设备内嵌软件、产品操作系统、第三方采购软件和应用软件的升级服务；根据运行情况定期向采购方提供系统优化、使用优化和管理优化建议，确保系统以最优状态运行。</w:t>
      </w:r>
    </w:p>
    <w:p>
      <w:pPr>
        <w:spacing w:line="360" w:lineRule="auto"/>
        <w:ind w:firstLine="480" w:firstLineChars="200"/>
        <w:rPr>
          <w:rFonts w:hint="default"/>
          <w:color w:val="auto"/>
          <w:highlight w:val="none"/>
          <w:lang w:val="en-US" w:eastAsia="zh-CN"/>
        </w:rPr>
      </w:pPr>
      <w:r>
        <w:rPr>
          <w:rFonts w:hint="eastAsia"/>
          <w:color w:val="auto"/>
          <w:highlight w:val="none"/>
          <w:lang w:val="en-US" w:eastAsia="zh-CN"/>
        </w:rPr>
        <w:t>中标人须按时向采购人提供月报表、季度报表、年度报表，一式两份。</w:t>
      </w:r>
    </w:p>
    <w:sectPr>
      <w:footerReference r:id="rId8" w:type="default"/>
      <w:pgSz w:w="11849" w:h="16781"/>
      <w:pgMar w:top="1440" w:right="1803" w:bottom="1440" w:left="1803"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黑体壵....">
    <w:altName w:val="黑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59105" cy="147955"/>
              <wp:effectExtent l="0" t="0" r="10795" b="0"/>
              <wp:wrapNone/>
              <wp:docPr id="5" name="文本框 1025"/>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6350">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36.15pt;mso-position-horizontal:center;mso-position-horizontal-relative:margin;mso-wrap-style:none;z-index:251658240;mso-width-relative:page;mso-height-relative:page;" filled="f" stroked="f" coordsize="21600,21600" o:gfxdata="UEsDBAoAAAAAAIdO4kAAAAAAAAAAAAAAAAAEAAAAZHJzL1BLAwQUAAAACACHTuJARGgdcd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8LEHsFeVGArCv5&#10;n73+BlBLAwQUAAAACACHTuJAW3jUhr4BAABVAwAADgAAAGRycy9lMm9Eb2MueG1srVPNjtMwEL4j&#10;8Q6W7zRJ2SxsVHcFWi1CQoC08ACuYzeW/CeP26QvAG/AiQt3nqvPwdhtughuiIsz9sx8830zk9Xt&#10;ZA3ZywjaO0abRU2JdML32m0Z/fzp/tlLSiBx13PjnWT0IIHerp8+WY2hk0s/eNPLSBDEQTcGRoeU&#10;QldVIAZpOSx8kA6dykfLE17jtuojHxHdmmpZ19fV6GMfohcSAF/vTk66LvhKSZE+KAUyEcMockvl&#10;jOXc5LNar3i3jTwMWpxp8H9gYbl2WPQCdccTJ7uo/4KyWkQPXqWF8LbySmkhiwZU09R/qHkYeJBF&#10;CzYHwqVN8P9gxfv9x0h0z2hLieMWR3T89vX4/efxxxfS1Ms2d2gM0GHgQ8DQNL32E056fgd8zMIn&#10;FW3+oiSCfuz14dJfOSUi8PGqvWlqrCPQ1Vy9uGkLevWYHCKkN9Jbkg1GI46vdJXv30FCIhg6h+Ra&#10;zt9rY8oIjSMjo9fP27okXDyYYRwmZgknqtlK02Y669r4/oCyRlwBRh3uKCXmrcMO522ZjTgbm9nY&#10;hai3A3JsSj0Ir3YJ2RSSucIJ9lwYZ1e4n/csL8fv9xL1+De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aB1x0gAAAAMBAAAPAAAAAAAAAAEAIAAAACIAAABkcnMvZG93bnJldi54bWxQSwECFAAU&#10;AAAACACHTuJAW3jUhr4BAABVAwAADgAAAAAAAAABACAAAAAhAQAAZHJzL2Uyb0RvYy54bWxQSwUG&#10;AAAAAAYABgBZAQAAUQUAAAAA&#10;">
              <v:fill on="f" focussize="0,0"/>
              <v:stroke on="f" weight="0.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10795" b="0"/>
              <wp:wrapNone/>
              <wp:docPr id="3" name="文本框 1026"/>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6350">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RGgdcd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8LEHsFeVGArCv5&#10;n73+BlBLAwQUAAAACACHTuJAhKVB5b8BAABVAwAADgAAAGRycy9lMm9Eb2MueG1srVNLbtswEN0X&#10;yB0I7mNJTuQmgumgQZAgQJEGSHsAmiItAvyBpC35AukNssom+57L58iQtpyi3RXdUMOZ4Zv3Zkbz&#10;q0ErtOE+SGsIriYlRtww20qzIvjH99vTC4xCpKalyhpO8JYHfLU4+TTvXcOntrOq5R4BiAlN7wju&#10;YnRNUQTWcU3DxDpuICis1zTC1a+K1tMe0LUqpmU5K3rrW+ct4yGA92YfxIuMLwRn8ZsQgUekCAZu&#10;MZ8+n8t0Fos5bVaeuk6yAw36Dyw0lQaKHqFuaKRo7eVfUFoyb4MVccKsLqwQkvGsAdRU5R9qnjrq&#10;eNYCzQnu2Kbw/2DZw+bRI9kSfIaRoRpGtHv5uXv9tXt7RlU5naUO9S40kPjkIDUO13aASY/+AM4k&#10;fBBepy9IQhCHXm+P/eVDRAyc5/VlVdYYMQhV558v6zqhFB+PnQ/xjluNkkGwh/HlrtLN1xD3qWNK&#10;qmXsrVQqj1AZ1BM8O6vL/OAYAXBloEaSsKearDgsh4OupW23IKuHFSDYwI5ipO4NdDhty2j40ViO&#10;xtp5ueqAY5XrBfdlHYFNJpkq7GEPhWF2WeZhz9Jy/H7PWR9/w+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GgdcdIAAAADAQAADwAAAAAAAAABACAAAAAiAAAAZHJzL2Rvd25yZXYueG1sUEsBAhQA&#10;FAAAAAgAh07iQISlQeW/AQAAVQMAAA4AAAAAAAAAAQAgAAAAIQEAAGRycy9lMm9Eb2MueG1sUEsF&#10;BgAAAAAGAAYAWQEAAFIFAAAAAA==&#10;">
              <v:fill on="f" focussize="0,0"/>
              <v:stroke on="f" weight="0.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9105" cy="147955"/>
              <wp:effectExtent l="0" t="0" r="10795" b="0"/>
              <wp:wrapNone/>
              <wp:docPr id="4" name="文本框 1027"/>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6350">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1.65pt;width:36.15pt;mso-position-horizontal:center;mso-position-horizontal-relative:margin;mso-wrap-style:none;z-index:251660288;mso-width-relative:page;mso-height-relative:page;" filled="f" stroked="f" coordsize="21600,21600" o:gfxdata="UEsDBAoAAAAAAIdO4kAAAAAAAAAAAAAAAAAEAAAAZHJzL1BLAwQUAAAACACHTuJARGgdcd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8LEHsFeVGArCv5&#10;n73+BlBLAwQUAAAACACHTuJANbIyz78BAABVAwAADgAAAGRycy9lMm9Eb2MueG1srVNLbtswEN0H&#10;yB0I7mNJjpU0gumgQZAgQNEUSHsAmiItAvyBpC35Au0Nuuqm+57L58iQtpwg2QXdUMOZ4Zv3Zkbz&#10;60ErtOE+SGsIriYlRtww20qzIvjH97uzTxiFSE1LlTWc4C0P+HpxejLvXcOntrOq5R4BiAlN7wju&#10;YnRNUQTWcU3DxDpuICis1zTC1a+K1tMe0LUqpmV5UfTWt85bxkMA7+0+iBcZXwjO4qMQgUekCAZu&#10;MZ8+n8t0Fos5bVaeuk6yAw36ARaaSgNFj1C3NFK09vIdlJbM22BFnDCrCyuEZDxrADVV+UbNU0cd&#10;z1qgOcEd2xT+Hyz7uvnmkWwJnmFkqIYR7X7/2v35t/v7E1Xl9DJ1qHehgcQnB6lxuLEDTHr0B3Am&#10;4YPwOn1BEoI49Hp77C8fImLgnNVXVVljxCBUzS6v6jqhFC+PnQ/xnluNkkGwh/HlrtLNlxD3qWNK&#10;qmXsnVQqj1AZ1BN8cV6X+cExAuDKQI0kYU81WXFYDgddS9tuQVYPK0CwgR3FSD0Y6HDaltHwo7Ec&#10;jbXzctUBxyrXC+7zOgKbTDJV2MMeCsPssszDnqXleH3PWS9/w+I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GgdcdIAAAADAQAADwAAAAAAAAABACAAAAAiAAAAZHJzL2Rvd25yZXYueG1sUEsBAhQA&#10;FAAAAAgAh07iQDWyMs+/AQAAVQMAAA4AAAAAAAAAAQAgAAAAIQEAAGRycy9lMm9Eb2MueG1sUEsF&#10;BgAAAAAGAAYAWQEAAFIFAAAAAA==&#10;">
              <v:fill on="f" focussize="0,0"/>
              <v:stroke on="f" weight="0.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9105" cy="147955"/>
              <wp:effectExtent l="0" t="0" r="0"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36.15pt;mso-position-horizontal:center;mso-position-horizontal-relative:margin;mso-wrap-style:none;z-index:251661312;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CelEgb4gEAALYDAAAOAAAAZHJzL2Uyb0RvYy54bWytU9tu2zAMfR+w&#10;fxD0vtgOmq014hRdiwwDugvQ7gNkWbaFWaJAKbGzrx8lx1m3vQ17EWiRPDo8PN7eTmZgR4Veg614&#10;sco5U1ZCo21X8W/P+zfXnPkgbCMGsKriJ+X57e71q+3oSrWGHoZGISMQ68vRVbwPwZVZ5mWvjPAr&#10;cMpSsgU0ItAndlmDYiR0M2TrPH+bjYCNQ5DKe7p9mJN8l/DbVsnwpW29CmyoOHEL6cR01vHMdltR&#10;dihcr+WZhvgHFkZoS49eoB5EEOyA+i8ooyWChzasJJgM2lZLlWagaYr8j2meeuFUmoXE8e4ik/9/&#10;sPLz8Ssy3VR8zZkVhlb0rKbA3sPEinx9HQUanS+p7slRZZgoQ4tOw3r3CPK7Zxbue2E7dYcIY69E&#10;QwSL2Jm9aJ1xfASpx0/Q0EviECABTS2aqB7pwQidFnW6LCeykXR5tbkp8g1nklLF1bubzSa9IMql&#10;2aEPHxQYFoOKI+0+gYvjow+RjCiXkviWhb0ehrT/wf52QYXxJpGPfGfmYaqnsxg1NCcaA2G2E9mf&#10;gh7wB2cjWanilrzO2fDRkhDRdUuAS1AvgbCSGiseOJvD+zC78+BQdz3hLlLfkVh7nQaJqs4czizJ&#10;HGm+s5Gj+15+p6pfv9vu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JRAk3RAAAAAwEAAA8AAAAA&#10;AAAAAQAgAAAAIgAAAGRycy9kb3ducmV2LnhtbFBLAQIUABQAAAAIAIdO4kCelEgb4gEAALYDAAAO&#10;AAAAAAAAAAEAIAAAACABAABkcnMvZTJvRG9jLnhtbFBLBQYAAAAABgAGAFkBAAB0BQ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w:t>
                    </w:r>
                  </w:p>
                </w:txbxContent>
              </v:textbox>
            </v:shape>
          </w:pict>
        </mc:Fallback>
      </mc:AlternateContent>
    </w:r>
  </w:p>
  <w:p>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jc w:val="left"/>
    </w:pPr>
    <w:r>
      <w:rPr>
        <w:rFonts w:hint="eastAsia" w:ascii="宋体" w:hAnsi="宋体" w:cs="宋体"/>
        <w:kern w:val="0"/>
        <w:lang w:val="zh-CN"/>
      </w:rPr>
      <w:t>海南州共和县机动车排放监控系统建设项目</w:t>
    </w:r>
    <w:r>
      <w:t xml:space="preserve">       </w:t>
    </w:r>
    <w:r>
      <w:rPr>
        <w:rFonts w:hint="eastAsia"/>
      </w:rPr>
      <w:t xml:space="preserve">           </w:t>
    </w:r>
    <w:r>
      <w:drawing>
        <wp:inline distT="0" distB="0" distL="114300" distR="114300">
          <wp:extent cx="1935480" cy="25844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935480" cy="2584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1D34E"/>
    <w:multiLevelType w:val="singleLevel"/>
    <w:tmpl w:val="86F1D34E"/>
    <w:lvl w:ilvl="0" w:tentative="0">
      <w:start w:val="1"/>
      <w:numFmt w:val="decimal"/>
      <w:lvlText w:val="%1."/>
      <w:lvlJc w:val="left"/>
      <w:pPr>
        <w:tabs>
          <w:tab w:val="left" w:pos="312"/>
        </w:tabs>
      </w:pPr>
    </w:lvl>
  </w:abstractNum>
  <w:abstractNum w:abstractNumId="1">
    <w:nsid w:val="B10F50C3"/>
    <w:multiLevelType w:val="singleLevel"/>
    <w:tmpl w:val="B10F50C3"/>
    <w:lvl w:ilvl="0" w:tentative="0">
      <w:start w:val="2"/>
      <w:numFmt w:val="chineseCounting"/>
      <w:suff w:val="nothing"/>
      <w:lvlText w:val="%1、"/>
      <w:lvlJc w:val="left"/>
      <w:rPr>
        <w:rFonts w:hint="eastAsia"/>
      </w:rPr>
    </w:lvl>
  </w:abstractNum>
  <w:abstractNum w:abstractNumId="2">
    <w:nsid w:val="D8810975"/>
    <w:multiLevelType w:val="singleLevel"/>
    <w:tmpl w:val="D8810975"/>
    <w:lvl w:ilvl="0" w:tentative="0">
      <w:start w:val="1"/>
      <w:numFmt w:val="decimal"/>
      <w:suff w:val="nothing"/>
      <w:lvlText w:val="%1、"/>
      <w:lvlJc w:val="left"/>
    </w:lvl>
  </w:abstractNum>
  <w:abstractNum w:abstractNumId="3">
    <w:nsid w:val="561F42AC"/>
    <w:multiLevelType w:val="singleLevel"/>
    <w:tmpl w:val="561F42AC"/>
    <w:lvl w:ilvl="0" w:tentative="0">
      <w:start w:val="2"/>
      <w:numFmt w:val="decimal"/>
      <w:suff w:val="nothing"/>
      <w:lvlText w:val="%1."/>
      <w:lvlJc w:val="left"/>
      <w:rPr>
        <w:rFonts w:cs="Times New Roman"/>
      </w:rPr>
    </w:lvl>
  </w:abstractNum>
  <w:abstractNum w:abstractNumId="4">
    <w:nsid w:val="5917C988"/>
    <w:multiLevelType w:val="singleLevel"/>
    <w:tmpl w:val="5917C988"/>
    <w:lvl w:ilvl="0" w:tentative="0">
      <w:start w:val="1"/>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rPr>
        <w:rFonts w:cs="Times New Roman"/>
      </w:rPr>
    </w:lvl>
  </w:abstractNum>
  <w:abstractNum w:abstractNumId="6">
    <w:nsid w:val="59FC3CC6"/>
    <w:multiLevelType w:val="singleLevel"/>
    <w:tmpl w:val="59FC3CC6"/>
    <w:lvl w:ilvl="0" w:tentative="0">
      <w:start w:val="1"/>
      <w:numFmt w:val="decimal"/>
      <w:suff w:val="nothing"/>
      <w:lvlText w:val="（%1）"/>
      <w:lvlJc w:val="left"/>
      <w:rPr>
        <w:rFonts w:cs="Times New Roman"/>
      </w:rPr>
    </w:lvl>
  </w:abstractNum>
  <w:abstractNum w:abstractNumId="7">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8">
    <w:nsid w:val="59FC4271"/>
    <w:multiLevelType w:val="singleLevel"/>
    <w:tmpl w:val="59FC4271"/>
    <w:lvl w:ilvl="0" w:tentative="0">
      <w:start w:val="1"/>
      <w:numFmt w:val="decimal"/>
      <w:suff w:val="nothing"/>
      <w:lvlText w:val="（%1）"/>
      <w:lvlJc w:val="left"/>
      <w:rPr>
        <w:rFonts w:cs="Times New Roman"/>
      </w:rPr>
    </w:lvl>
  </w:abstractNum>
  <w:abstractNum w:abstractNumId="9">
    <w:nsid w:val="59FC4698"/>
    <w:multiLevelType w:val="singleLevel"/>
    <w:tmpl w:val="59FC4698"/>
    <w:lvl w:ilvl="0" w:tentative="0">
      <w:start w:val="1"/>
      <w:numFmt w:val="decimal"/>
      <w:suff w:val="nothing"/>
      <w:lvlText w:val="（%1）"/>
      <w:lvlJc w:val="left"/>
      <w:rPr>
        <w:rFonts w:cs="Times New Roman"/>
      </w:rPr>
    </w:lvl>
  </w:abstractNum>
  <w:abstractNum w:abstractNumId="10">
    <w:nsid w:val="59FC4CCC"/>
    <w:multiLevelType w:val="singleLevel"/>
    <w:tmpl w:val="59FC4CCC"/>
    <w:lvl w:ilvl="0" w:tentative="0">
      <w:start w:val="1"/>
      <w:numFmt w:val="decimal"/>
      <w:suff w:val="nothing"/>
      <w:lvlText w:val="（%1）"/>
      <w:lvlJc w:val="left"/>
      <w:rPr>
        <w:rFonts w:cs="Times New Roman"/>
      </w:rPr>
    </w:lvl>
  </w:abstractNum>
  <w:abstractNum w:abstractNumId="11">
    <w:nsid w:val="5A24ABAF"/>
    <w:multiLevelType w:val="singleLevel"/>
    <w:tmpl w:val="5A24ABAF"/>
    <w:lvl w:ilvl="0" w:tentative="0">
      <w:start w:val="1"/>
      <w:numFmt w:val="chineseCounting"/>
      <w:suff w:val="nothing"/>
      <w:lvlText w:val="%1、"/>
      <w:lvlJc w:val="left"/>
      <w:rPr>
        <w:rFonts w:cs="Times New Roman"/>
      </w:rPr>
    </w:lvl>
  </w:abstractNum>
  <w:abstractNum w:abstractNumId="12">
    <w:nsid w:val="5A24ACA1"/>
    <w:multiLevelType w:val="singleLevel"/>
    <w:tmpl w:val="5A24ACA1"/>
    <w:lvl w:ilvl="0" w:tentative="0">
      <w:start w:val="11"/>
      <w:numFmt w:val="decimal"/>
      <w:suff w:val="nothing"/>
      <w:lvlText w:val="（%1）"/>
      <w:lvlJc w:val="left"/>
      <w:rPr>
        <w:rFonts w:cs="Times New Roman"/>
      </w:rPr>
    </w:lvl>
  </w:abstractNum>
  <w:abstractNum w:abstractNumId="13">
    <w:nsid w:val="5A24B087"/>
    <w:multiLevelType w:val="singleLevel"/>
    <w:tmpl w:val="5A24B087"/>
    <w:lvl w:ilvl="0" w:tentative="0">
      <w:start w:val="2"/>
      <w:numFmt w:val="chineseCounting"/>
      <w:suff w:val="nothing"/>
      <w:lvlText w:val="（%1）"/>
      <w:lvlJc w:val="left"/>
      <w:rPr>
        <w:rFonts w:cs="Times New Roman"/>
      </w:rPr>
    </w:lvl>
  </w:abstractNum>
  <w:num w:numId="1">
    <w:abstractNumId w:val="1"/>
  </w:num>
  <w:num w:numId="2">
    <w:abstractNumId w:val="0"/>
  </w:num>
  <w:num w:numId="3">
    <w:abstractNumId w:val="6"/>
  </w:num>
  <w:num w:numId="4">
    <w:abstractNumId w:val="7"/>
  </w:num>
  <w:num w:numId="5">
    <w:abstractNumId w:val="8"/>
  </w:num>
  <w:num w:numId="6">
    <w:abstractNumId w:val="9"/>
  </w:num>
  <w:num w:numId="7">
    <w:abstractNumId w:val="2"/>
  </w:num>
  <w:num w:numId="8">
    <w:abstractNumId w:val="4"/>
  </w:num>
  <w:num w:numId="9">
    <w:abstractNumId w:val="11"/>
  </w:num>
  <w:num w:numId="10">
    <w:abstractNumId w:val="10"/>
  </w:num>
  <w:num w:numId="11">
    <w:abstractNumId w:val="5"/>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240"/>
  <w:drawingGridVerticalSpacing w:val="-794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55E28"/>
    <w:rsid w:val="00003E8C"/>
    <w:rsid w:val="00011F36"/>
    <w:rsid w:val="00014D7B"/>
    <w:rsid w:val="000177E2"/>
    <w:rsid w:val="00041554"/>
    <w:rsid w:val="00043687"/>
    <w:rsid w:val="00045339"/>
    <w:rsid w:val="000876ED"/>
    <w:rsid w:val="00092A50"/>
    <w:rsid w:val="00093CBF"/>
    <w:rsid w:val="001031A9"/>
    <w:rsid w:val="00106EE0"/>
    <w:rsid w:val="001102D8"/>
    <w:rsid w:val="001163B3"/>
    <w:rsid w:val="00123051"/>
    <w:rsid w:val="00126E6E"/>
    <w:rsid w:val="00134EF1"/>
    <w:rsid w:val="00167D2F"/>
    <w:rsid w:val="001742E7"/>
    <w:rsid w:val="001C14EB"/>
    <w:rsid w:val="00210EA0"/>
    <w:rsid w:val="00223193"/>
    <w:rsid w:val="002335D9"/>
    <w:rsid w:val="002575AF"/>
    <w:rsid w:val="00266CA3"/>
    <w:rsid w:val="002748BE"/>
    <w:rsid w:val="002768DD"/>
    <w:rsid w:val="00284B51"/>
    <w:rsid w:val="002931D4"/>
    <w:rsid w:val="002A25BE"/>
    <w:rsid w:val="002A5806"/>
    <w:rsid w:val="002C0C4D"/>
    <w:rsid w:val="002C6DDB"/>
    <w:rsid w:val="002E1C3A"/>
    <w:rsid w:val="002E1EBB"/>
    <w:rsid w:val="002E5E4F"/>
    <w:rsid w:val="00301956"/>
    <w:rsid w:val="00307B26"/>
    <w:rsid w:val="003257F2"/>
    <w:rsid w:val="00332755"/>
    <w:rsid w:val="00333298"/>
    <w:rsid w:val="00335D48"/>
    <w:rsid w:val="003451CC"/>
    <w:rsid w:val="003531C3"/>
    <w:rsid w:val="00371506"/>
    <w:rsid w:val="00382F17"/>
    <w:rsid w:val="00390A14"/>
    <w:rsid w:val="00392338"/>
    <w:rsid w:val="003A65B7"/>
    <w:rsid w:val="003A7A18"/>
    <w:rsid w:val="003C5D57"/>
    <w:rsid w:val="003D07AA"/>
    <w:rsid w:val="003E171C"/>
    <w:rsid w:val="003F41B0"/>
    <w:rsid w:val="003F72C2"/>
    <w:rsid w:val="00404C53"/>
    <w:rsid w:val="00424E12"/>
    <w:rsid w:val="00433A3C"/>
    <w:rsid w:val="00442F22"/>
    <w:rsid w:val="00444FCF"/>
    <w:rsid w:val="00465829"/>
    <w:rsid w:val="00474ADD"/>
    <w:rsid w:val="004936F0"/>
    <w:rsid w:val="004B0434"/>
    <w:rsid w:val="004D4DF6"/>
    <w:rsid w:val="00502DE2"/>
    <w:rsid w:val="00506189"/>
    <w:rsid w:val="00517FDB"/>
    <w:rsid w:val="00544D43"/>
    <w:rsid w:val="00552FD7"/>
    <w:rsid w:val="005536D0"/>
    <w:rsid w:val="00562E8C"/>
    <w:rsid w:val="005A0F1A"/>
    <w:rsid w:val="005C0916"/>
    <w:rsid w:val="005D57BB"/>
    <w:rsid w:val="005E7E64"/>
    <w:rsid w:val="005F14E9"/>
    <w:rsid w:val="00643EDE"/>
    <w:rsid w:val="00655A78"/>
    <w:rsid w:val="0068110B"/>
    <w:rsid w:val="00683FCE"/>
    <w:rsid w:val="00692593"/>
    <w:rsid w:val="006A0F83"/>
    <w:rsid w:val="006B2179"/>
    <w:rsid w:val="006E267D"/>
    <w:rsid w:val="007028EC"/>
    <w:rsid w:val="0072545B"/>
    <w:rsid w:val="0074774D"/>
    <w:rsid w:val="00765BC0"/>
    <w:rsid w:val="00777546"/>
    <w:rsid w:val="0079253F"/>
    <w:rsid w:val="007943CB"/>
    <w:rsid w:val="007A2E61"/>
    <w:rsid w:val="007A7886"/>
    <w:rsid w:val="007B3B4E"/>
    <w:rsid w:val="007C1227"/>
    <w:rsid w:val="007C656A"/>
    <w:rsid w:val="00803F98"/>
    <w:rsid w:val="00811C48"/>
    <w:rsid w:val="0082127C"/>
    <w:rsid w:val="00823CCD"/>
    <w:rsid w:val="008346E4"/>
    <w:rsid w:val="008A4884"/>
    <w:rsid w:val="008B6A41"/>
    <w:rsid w:val="008C021F"/>
    <w:rsid w:val="0090241F"/>
    <w:rsid w:val="00915E5E"/>
    <w:rsid w:val="009179E0"/>
    <w:rsid w:val="0092328A"/>
    <w:rsid w:val="00926F5D"/>
    <w:rsid w:val="009713D8"/>
    <w:rsid w:val="009B06EC"/>
    <w:rsid w:val="009B6E8A"/>
    <w:rsid w:val="009C147A"/>
    <w:rsid w:val="009C6B34"/>
    <w:rsid w:val="009D7860"/>
    <w:rsid w:val="009E2416"/>
    <w:rsid w:val="00A14A3F"/>
    <w:rsid w:val="00A748F4"/>
    <w:rsid w:val="00A756C4"/>
    <w:rsid w:val="00A91109"/>
    <w:rsid w:val="00A9525A"/>
    <w:rsid w:val="00AA3C03"/>
    <w:rsid w:val="00AB0F60"/>
    <w:rsid w:val="00AC4639"/>
    <w:rsid w:val="00AC5A75"/>
    <w:rsid w:val="00AE3812"/>
    <w:rsid w:val="00AF41AF"/>
    <w:rsid w:val="00AF6E3E"/>
    <w:rsid w:val="00B00386"/>
    <w:rsid w:val="00B042E7"/>
    <w:rsid w:val="00B07145"/>
    <w:rsid w:val="00B2416C"/>
    <w:rsid w:val="00B270C3"/>
    <w:rsid w:val="00B51414"/>
    <w:rsid w:val="00BA0DA6"/>
    <w:rsid w:val="00BA66BE"/>
    <w:rsid w:val="00BB0D0E"/>
    <w:rsid w:val="00BB3D22"/>
    <w:rsid w:val="00BB44B2"/>
    <w:rsid w:val="00BC4192"/>
    <w:rsid w:val="00BC6B3B"/>
    <w:rsid w:val="00BE3F6E"/>
    <w:rsid w:val="00C249AA"/>
    <w:rsid w:val="00C94F86"/>
    <w:rsid w:val="00C9658F"/>
    <w:rsid w:val="00CA5A05"/>
    <w:rsid w:val="00CF4EA0"/>
    <w:rsid w:val="00D07D00"/>
    <w:rsid w:val="00D16B99"/>
    <w:rsid w:val="00D252D3"/>
    <w:rsid w:val="00D259DE"/>
    <w:rsid w:val="00D25ECA"/>
    <w:rsid w:val="00D32333"/>
    <w:rsid w:val="00D92711"/>
    <w:rsid w:val="00D93795"/>
    <w:rsid w:val="00DA7D51"/>
    <w:rsid w:val="00DD5F72"/>
    <w:rsid w:val="00E13F9F"/>
    <w:rsid w:val="00E16555"/>
    <w:rsid w:val="00E2055D"/>
    <w:rsid w:val="00E66168"/>
    <w:rsid w:val="00EC7105"/>
    <w:rsid w:val="00EE0616"/>
    <w:rsid w:val="00EF1DFD"/>
    <w:rsid w:val="00F07296"/>
    <w:rsid w:val="00F2118B"/>
    <w:rsid w:val="00F2260C"/>
    <w:rsid w:val="00F25C0B"/>
    <w:rsid w:val="00F42AC0"/>
    <w:rsid w:val="00F771D5"/>
    <w:rsid w:val="00F85747"/>
    <w:rsid w:val="00FD089C"/>
    <w:rsid w:val="00FF0B1B"/>
    <w:rsid w:val="018667C0"/>
    <w:rsid w:val="01A51543"/>
    <w:rsid w:val="032E48FF"/>
    <w:rsid w:val="06DF591E"/>
    <w:rsid w:val="0828796C"/>
    <w:rsid w:val="086207E1"/>
    <w:rsid w:val="092C3EE6"/>
    <w:rsid w:val="09860F13"/>
    <w:rsid w:val="0A44798D"/>
    <w:rsid w:val="0C172596"/>
    <w:rsid w:val="0E9A38D6"/>
    <w:rsid w:val="10BE7A0F"/>
    <w:rsid w:val="17606A88"/>
    <w:rsid w:val="1CDE46E3"/>
    <w:rsid w:val="1DCA6B3A"/>
    <w:rsid w:val="1DE4189D"/>
    <w:rsid w:val="1FC82F22"/>
    <w:rsid w:val="220638F4"/>
    <w:rsid w:val="23A357E9"/>
    <w:rsid w:val="24013E58"/>
    <w:rsid w:val="26506468"/>
    <w:rsid w:val="28893E29"/>
    <w:rsid w:val="2AF54C0B"/>
    <w:rsid w:val="2C1229C2"/>
    <w:rsid w:val="30582526"/>
    <w:rsid w:val="306957DB"/>
    <w:rsid w:val="321072E4"/>
    <w:rsid w:val="338B1B3C"/>
    <w:rsid w:val="34646200"/>
    <w:rsid w:val="346D2E3C"/>
    <w:rsid w:val="38312031"/>
    <w:rsid w:val="387E299D"/>
    <w:rsid w:val="389E3C26"/>
    <w:rsid w:val="3979226E"/>
    <w:rsid w:val="39B2597D"/>
    <w:rsid w:val="3A2F5BA9"/>
    <w:rsid w:val="3AC0758F"/>
    <w:rsid w:val="3B071EDD"/>
    <w:rsid w:val="3B2471CC"/>
    <w:rsid w:val="3D3A352D"/>
    <w:rsid w:val="3DD35D44"/>
    <w:rsid w:val="3F8C2739"/>
    <w:rsid w:val="3FB726D0"/>
    <w:rsid w:val="40194D8D"/>
    <w:rsid w:val="41237D00"/>
    <w:rsid w:val="413F22F5"/>
    <w:rsid w:val="42BD1775"/>
    <w:rsid w:val="42F341ED"/>
    <w:rsid w:val="43344DC1"/>
    <w:rsid w:val="43AB0C92"/>
    <w:rsid w:val="4449051A"/>
    <w:rsid w:val="446225B0"/>
    <w:rsid w:val="46990171"/>
    <w:rsid w:val="469C16EC"/>
    <w:rsid w:val="477161E1"/>
    <w:rsid w:val="49F86CC5"/>
    <w:rsid w:val="4CD4272C"/>
    <w:rsid w:val="4CF50E74"/>
    <w:rsid w:val="4FE31514"/>
    <w:rsid w:val="50510EF1"/>
    <w:rsid w:val="505F4728"/>
    <w:rsid w:val="523912F0"/>
    <w:rsid w:val="52F57407"/>
    <w:rsid w:val="538167FC"/>
    <w:rsid w:val="54457439"/>
    <w:rsid w:val="547F175C"/>
    <w:rsid w:val="558A2920"/>
    <w:rsid w:val="559849F5"/>
    <w:rsid w:val="55F60E8E"/>
    <w:rsid w:val="57C74D6E"/>
    <w:rsid w:val="5A024663"/>
    <w:rsid w:val="5B1F42C0"/>
    <w:rsid w:val="5CF5739C"/>
    <w:rsid w:val="5DDA66F0"/>
    <w:rsid w:val="5F1B1515"/>
    <w:rsid w:val="5F593C9F"/>
    <w:rsid w:val="5FD50E1C"/>
    <w:rsid w:val="62F1312D"/>
    <w:rsid w:val="67155E28"/>
    <w:rsid w:val="68654168"/>
    <w:rsid w:val="6CEE3AB2"/>
    <w:rsid w:val="6E217E22"/>
    <w:rsid w:val="6FC72451"/>
    <w:rsid w:val="713826BB"/>
    <w:rsid w:val="72DD5485"/>
    <w:rsid w:val="739C579B"/>
    <w:rsid w:val="75A74056"/>
    <w:rsid w:val="774D700D"/>
    <w:rsid w:val="7A24087A"/>
    <w:rsid w:val="7ABB1024"/>
    <w:rsid w:val="7CA615C2"/>
    <w:rsid w:val="7E1C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uiPriority="0" w:name="heading 6" w:locked="1"/>
    <w:lsdException w:uiPriority="0" w:name="heading 7" w:locked="1"/>
    <w:lsdException w:uiPriority="0" w:name="heading 8" w:locked="1"/>
    <w:lsdException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ocked="1"/>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7">
    <w:name w:val="heading 1"/>
    <w:basedOn w:val="1"/>
    <w:next w:val="1"/>
    <w:link w:val="42"/>
    <w:qFormat/>
    <w:uiPriority w:val="0"/>
    <w:pPr>
      <w:keepNext/>
      <w:keepLines/>
      <w:spacing w:line="576" w:lineRule="auto"/>
      <w:outlineLvl w:val="0"/>
    </w:pPr>
    <w:rPr>
      <w:b/>
      <w:kern w:val="44"/>
      <w:sz w:val="44"/>
    </w:rPr>
  </w:style>
  <w:style w:type="paragraph" w:styleId="8">
    <w:name w:val="heading 2"/>
    <w:basedOn w:val="1"/>
    <w:next w:val="1"/>
    <w:link w:val="43"/>
    <w:qFormat/>
    <w:uiPriority w:val="0"/>
    <w:pPr>
      <w:keepNext/>
      <w:keepLines/>
      <w:spacing w:line="413" w:lineRule="auto"/>
      <w:outlineLvl w:val="1"/>
    </w:pPr>
    <w:rPr>
      <w:rFonts w:ascii="Arial" w:hAnsi="Arial" w:eastAsia="黑体"/>
      <w:b/>
      <w:sz w:val="32"/>
    </w:rPr>
  </w:style>
  <w:style w:type="paragraph" w:styleId="9">
    <w:name w:val="heading 3"/>
    <w:basedOn w:val="1"/>
    <w:next w:val="1"/>
    <w:link w:val="44"/>
    <w:qFormat/>
    <w:uiPriority w:val="0"/>
    <w:pPr>
      <w:keepNext/>
      <w:keepLines/>
      <w:spacing w:line="413" w:lineRule="auto"/>
      <w:outlineLvl w:val="2"/>
    </w:pPr>
    <w:rPr>
      <w:b/>
      <w:sz w:val="32"/>
    </w:rPr>
  </w:style>
  <w:style w:type="paragraph" w:styleId="10">
    <w:name w:val="heading 4"/>
    <w:basedOn w:val="1"/>
    <w:next w:val="1"/>
    <w:link w:val="52"/>
    <w:qFormat/>
    <w:locked/>
    <w:uiPriority w:val="0"/>
    <w:pPr>
      <w:keepNext/>
      <w:keepLines/>
      <w:outlineLvl w:val="3"/>
    </w:pPr>
    <w:rPr>
      <w:rFonts w:ascii="Cambria" w:hAnsi="Cambria"/>
      <w:b/>
      <w:bCs/>
      <w:kern w:val="0"/>
      <w:sz w:val="28"/>
      <w:szCs w:val="28"/>
    </w:rPr>
  </w:style>
  <w:style w:type="paragraph" w:styleId="11">
    <w:name w:val="heading 5"/>
    <w:basedOn w:val="1"/>
    <w:next w:val="1"/>
    <w:link w:val="53"/>
    <w:qFormat/>
    <w:locked/>
    <w:uiPriority w:val="0"/>
    <w:pPr>
      <w:keepNext/>
      <w:keepLines/>
      <w:spacing w:before="280" w:after="290" w:line="376" w:lineRule="auto"/>
      <w:outlineLvl w:val="4"/>
    </w:pPr>
    <w:rPr>
      <w:b/>
      <w:bCs/>
      <w:kern w:val="0"/>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szCs w:val="24"/>
    </w:rPr>
  </w:style>
  <w:style w:type="paragraph" w:styleId="3">
    <w:name w:val="Body Text"/>
    <w:basedOn w:val="1"/>
    <w:next w:val="4"/>
    <w:unhideWhenUsed/>
    <w:qFormat/>
    <w:uiPriority w:val="99"/>
    <w:pPr>
      <w:ind w:left="106"/>
    </w:pPr>
    <w:rPr>
      <w:sz w:val="20"/>
      <w:szCs w:val="20"/>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toc 7"/>
    <w:basedOn w:val="1"/>
    <w:next w:val="1"/>
    <w:qFormat/>
    <w:locked/>
    <w:uiPriority w:val="0"/>
    <w:pPr>
      <w:ind w:left="2520" w:leftChars="1200"/>
    </w:pPr>
    <w:rPr>
      <w:rFonts w:cs="黑体"/>
      <w:sz w:val="21"/>
      <w:szCs w:val="22"/>
    </w:rPr>
  </w:style>
  <w:style w:type="paragraph" w:styleId="13">
    <w:name w:val="Normal Indent"/>
    <w:basedOn w:val="1"/>
    <w:qFormat/>
    <w:uiPriority w:val="0"/>
    <w:pPr>
      <w:ind w:firstLine="420"/>
    </w:pPr>
    <w:rPr>
      <w:szCs w:val="20"/>
    </w:rPr>
  </w:style>
  <w:style w:type="paragraph" w:styleId="14">
    <w:name w:val="annotation text"/>
    <w:basedOn w:val="1"/>
    <w:link w:val="45"/>
    <w:qFormat/>
    <w:uiPriority w:val="99"/>
    <w:pPr>
      <w:jc w:val="left"/>
    </w:pPr>
  </w:style>
  <w:style w:type="paragraph" w:styleId="15">
    <w:name w:val="Body Text Indent"/>
    <w:basedOn w:val="1"/>
    <w:link w:val="61"/>
    <w:qFormat/>
    <w:uiPriority w:val="0"/>
    <w:pPr>
      <w:spacing w:after="120"/>
      <w:ind w:left="420" w:leftChars="200"/>
    </w:pPr>
  </w:style>
  <w:style w:type="paragraph" w:styleId="16">
    <w:name w:val="toc 5"/>
    <w:basedOn w:val="1"/>
    <w:next w:val="1"/>
    <w:qFormat/>
    <w:locked/>
    <w:uiPriority w:val="0"/>
    <w:pPr>
      <w:ind w:left="1680" w:leftChars="800"/>
    </w:pPr>
    <w:rPr>
      <w:rFonts w:cs="黑体"/>
      <w:sz w:val="21"/>
      <w:szCs w:val="22"/>
    </w:rPr>
  </w:style>
  <w:style w:type="paragraph" w:styleId="17">
    <w:name w:val="toc 3"/>
    <w:basedOn w:val="1"/>
    <w:next w:val="1"/>
    <w:qFormat/>
    <w:locked/>
    <w:uiPriority w:val="0"/>
    <w:pPr>
      <w:ind w:left="840" w:leftChars="400"/>
    </w:pPr>
    <w:rPr>
      <w:sz w:val="28"/>
      <w:szCs w:val="22"/>
    </w:rPr>
  </w:style>
  <w:style w:type="paragraph" w:styleId="18">
    <w:name w:val="toc 8"/>
    <w:basedOn w:val="1"/>
    <w:next w:val="1"/>
    <w:qFormat/>
    <w:locked/>
    <w:uiPriority w:val="0"/>
    <w:pPr>
      <w:ind w:left="2940" w:leftChars="1400"/>
    </w:pPr>
    <w:rPr>
      <w:rFonts w:cs="黑体"/>
      <w:sz w:val="21"/>
      <w:szCs w:val="22"/>
    </w:rPr>
  </w:style>
  <w:style w:type="paragraph" w:styleId="19">
    <w:name w:val="Balloon Text"/>
    <w:basedOn w:val="1"/>
    <w:link w:val="51"/>
    <w:qFormat/>
    <w:uiPriority w:val="0"/>
    <w:rPr>
      <w:sz w:val="18"/>
      <w:szCs w:val="18"/>
    </w:rPr>
  </w:style>
  <w:style w:type="paragraph" w:styleId="20">
    <w:name w:val="footer"/>
    <w:basedOn w:val="1"/>
    <w:link w:val="46"/>
    <w:qFormat/>
    <w:uiPriority w:val="0"/>
    <w:pPr>
      <w:tabs>
        <w:tab w:val="center" w:pos="4153"/>
        <w:tab w:val="right" w:pos="8306"/>
      </w:tabs>
      <w:snapToGrid w:val="0"/>
      <w:jc w:val="left"/>
    </w:pPr>
    <w:rPr>
      <w:sz w:val="18"/>
      <w:szCs w:val="18"/>
    </w:rPr>
  </w:style>
  <w:style w:type="paragraph" w:styleId="21">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400" w:lineRule="exact"/>
      <w:ind w:firstLine="200" w:firstLineChars="200"/>
      <w:jc w:val="left"/>
    </w:pPr>
    <w:rPr>
      <w:b/>
      <w:bCs/>
      <w:caps/>
      <w:szCs w:val="20"/>
    </w:rPr>
  </w:style>
  <w:style w:type="paragraph" w:styleId="23">
    <w:name w:val="toc 4"/>
    <w:basedOn w:val="1"/>
    <w:next w:val="1"/>
    <w:qFormat/>
    <w:locked/>
    <w:uiPriority w:val="0"/>
    <w:pPr>
      <w:ind w:left="1260" w:leftChars="600"/>
    </w:pPr>
    <w:rPr>
      <w:rFonts w:cs="黑体"/>
      <w:sz w:val="21"/>
      <w:szCs w:val="22"/>
    </w:rPr>
  </w:style>
  <w:style w:type="paragraph" w:styleId="24">
    <w:name w:val="toc 6"/>
    <w:basedOn w:val="1"/>
    <w:next w:val="1"/>
    <w:qFormat/>
    <w:locked/>
    <w:uiPriority w:val="0"/>
    <w:pPr>
      <w:ind w:left="2100" w:leftChars="1000"/>
    </w:pPr>
    <w:rPr>
      <w:rFonts w:cs="黑体"/>
      <w:sz w:val="21"/>
      <w:szCs w:val="22"/>
    </w:rPr>
  </w:style>
  <w:style w:type="paragraph" w:styleId="25">
    <w:name w:val="toc 2"/>
    <w:basedOn w:val="1"/>
    <w:next w:val="1"/>
    <w:qFormat/>
    <w:locked/>
    <w:uiPriority w:val="0"/>
    <w:pPr>
      <w:ind w:left="420" w:leftChars="200"/>
    </w:pPr>
    <w:rPr>
      <w:rFonts w:eastAsia="黑体"/>
      <w:sz w:val="28"/>
      <w:szCs w:val="22"/>
    </w:rPr>
  </w:style>
  <w:style w:type="paragraph" w:styleId="26">
    <w:name w:val="toc 9"/>
    <w:basedOn w:val="1"/>
    <w:next w:val="1"/>
    <w:qFormat/>
    <w:locked/>
    <w:uiPriority w:val="0"/>
    <w:pPr>
      <w:ind w:left="3360" w:leftChars="1600"/>
    </w:pPr>
    <w:rPr>
      <w:rFonts w:cs="黑体"/>
      <w:sz w:val="21"/>
      <w:szCs w:val="22"/>
    </w:rPr>
  </w:style>
  <w:style w:type="paragraph" w:styleId="27">
    <w:name w:val="Normal (Web)"/>
    <w:basedOn w:val="1"/>
    <w:qFormat/>
    <w:uiPriority w:val="0"/>
    <w:pPr>
      <w:spacing w:before="100" w:beforeAutospacing="1" w:after="100" w:afterAutospacing="1"/>
      <w:jc w:val="left"/>
    </w:pPr>
    <w:rPr>
      <w:kern w:val="0"/>
    </w:rPr>
  </w:style>
  <w:style w:type="paragraph" w:styleId="28">
    <w:name w:val="Title"/>
    <w:basedOn w:val="1"/>
    <w:next w:val="1"/>
    <w:link w:val="48"/>
    <w:qFormat/>
    <w:uiPriority w:val="0"/>
    <w:pPr>
      <w:spacing w:before="240" w:after="60"/>
      <w:jc w:val="center"/>
      <w:outlineLvl w:val="0"/>
    </w:pPr>
    <w:rPr>
      <w:rFonts w:ascii="Cambria" w:hAnsi="Cambria"/>
      <w:b/>
      <w:bCs/>
      <w:sz w:val="36"/>
      <w:szCs w:val="3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basedOn w:val="31"/>
    <w:qFormat/>
    <w:locked/>
    <w:uiPriority w:val="0"/>
    <w:rPr>
      <w:b/>
    </w:rPr>
  </w:style>
  <w:style w:type="character" w:styleId="33">
    <w:name w:val="page number"/>
    <w:basedOn w:val="31"/>
    <w:qFormat/>
    <w:uiPriority w:val="0"/>
    <w:rPr>
      <w:rFonts w:cs="Times New Roman"/>
    </w:rPr>
  </w:style>
  <w:style w:type="character" w:styleId="34">
    <w:name w:val="FollowedHyperlink"/>
    <w:basedOn w:val="31"/>
    <w:unhideWhenUsed/>
    <w:qFormat/>
    <w:uiPriority w:val="99"/>
    <w:rPr>
      <w:color w:val="000000"/>
      <w:u w:val="none"/>
    </w:rPr>
  </w:style>
  <w:style w:type="character" w:styleId="35">
    <w:name w:val="Emphasis"/>
    <w:basedOn w:val="31"/>
    <w:qFormat/>
    <w:locked/>
    <w:uiPriority w:val="0"/>
  </w:style>
  <w:style w:type="character" w:styleId="36">
    <w:name w:val="HTML Definition"/>
    <w:basedOn w:val="31"/>
    <w:qFormat/>
    <w:uiPriority w:val="0"/>
    <w:rPr>
      <w:i/>
    </w:rPr>
  </w:style>
  <w:style w:type="character" w:styleId="37">
    <w:name w:val="Hyperlink"/>
    <w:basedOn w:val="31"/>
    <w:qFormat/>
    <w:uiPriority w:val="99"/>
    <w:rPr>
      <w:rFonts w:cs="Times New Roman"/>
      <w:color w:val="000000"/>
      <w:u w:val="none"/>
    </w:rPr>
  </w:style>
  <w:style w:type="character" w:styleId="38">
    <w:name w:val="HTML Code"/>
    <w:basedOn w:val="31"/>
    <w:qFormat/>
    <w:uiPriority w:val="0"/>
    <w:rPr>
      <w:rFonts w:hint="default" w:ascii="Consolas" w:hAnsi="Consolas" w:eastAsia="Consolas" w:cs="Consolas"/>
      <w:color w:val="C7254E"/>
      <w:sz w:val="21"/>
      <w:szCs w:val="21"/>
      <w:shd w:val="clear" w:color="auto" w:fill="F9F2F4"/>
    </w:rPr>
  </w:style>
  <w:style w:type="character" w:styleId="39">
    <w:name w:val="HTML Keyboard"/>
    <w:basedOn w:val="31"/>
    <w:qFormat/>
    <w:uiPriority w:val="0"/>
    <w:rPr>
      <w:rFonts w:hint="default" w:ascii="Consolas" w:hAnsi="Consolas" w:eastAsia="Consolas" w:cs="Consolas"/>
      <w:color w:val="FFFFFF"/>
      <w:sz w:val="21"/>
      <w:szCs w:val="21"/>
      <w:shd w:val="clear" w:color="auto" w:fill="333333"/>
    </w:rPr>
  </w:style>
  <w:style w:type="character" w:styleId="40">
    <w:name w:val="HTML Sample"/>
    <w:basedOn w:val="31"/>
    <w:qFormat/>
    <w:uiPriority w:val="0"/>
    <w:rPr>
      <w:rFonts w:ascii="Consolas" w:hAnsi="Consolas" w:eastAsia="Consolas" w:cs="Consolas"/>
      <w:sz w:val="21"/>
      <w:szCs w:val="21"/>
    </w:rPr>
  </w:style>
  <w:style w:type="paragraph" w:customStyle="1" w:styleId="41">
    <w:name w:val="List Paragraph1"/>
    <w:basedOn w:val="1"/>
    <w:qFormat/>
    <w:uiPriority w:val="99"/>
    <w:pPr>
      <w:ind w:firstLine="420" w:firstLineChars="200"/>
    </w:pPr>
    <w:rPr>
      <w:szCs w:val="22"/>
    </w:rPr>
  </w:style>
  <w:style w:type="character" w:customStyle="1" w:styleId="42">
    <w:name w:val="标题 1 Char"/>
    <w:basedOn w:val="31"/>
    <w:link w:val="7"/>
    <w:qFormat/>
    <w:locked/>
    <w:uiPriority w:val="0"/>
    <w:rPr>
      <w:rFonts w:ascii="Calibri" w:hAnsi="Calibri" w:cs="Times New Roman"/>
      <w:b/>
      <w:bCs/>
      <w:kern w:val="44"/>
      <w:sz w:val="44"/>
      <w:szCs w:val="44"/>
    </w:rPr>
  </w:style>
  <w:style w:type="character" w:customStyle="1" w:styleId="43">
    <w:name w:val="标题 2 Char"/>
    <w:basedOn w:val="31"/>
    <w:link w:val="8"/>
    <w:qFormat/>
    <w:locked/>
    <w:uiPriority w:val="0"/>
    <w:rPr>
      <w:rFonts w:ascii="Cambria" w:hAnsi="Cambria" w:eastAsia="宋体" w:cs="Times New Roman"/>
      <w:b/>
      <w:bCs/>
      <w:sz w:val="32"/>
      <w:szCs w:val="32"/>
    </w:rPr>
  </w:style>
  <w:style w:type="character" w:customStyle="1" w:styleId="44">
    <w:name w:val="标题 3 Char"/>
    <w:basedOn w:val="31"/>
    <w:link w:val="9"/>
    <w:qFormat/>
    <w:locked/>
    <w:uiPriority w:val="0"/>
    <w:rPr>
      <w:rFonts w:ascii="Calibri" w:hAnsi="Calibri" w:cs="Times New Roman"/>
      <w:b/>
      <w:bCs/>
      <w:sz w:val="32"/>
      <w:szCs w:val="32"/>
    </w:rPr>
  </w:style>
  <w:style w:type="character" w:customStyle="1" w:styleId="45">
    <w:name w:val="批注文字 Char"/>
    <w:basedOn w:val="31"/>
    <w:link w:val="14"/>
    <w:semiHidden/>
    <w:qFormat/>
    <w:locked/>
    <w:uiPriority w:val="0"/>
    <w:rPr>
      <w:rFonts w:ascii="Calibri" w:hAnsi="Calibri" w:cs="Times New Roman"/>
      <w:sz w:val="24"/>
      <w:szCs w:val="24"/>
    </w:rPr>
  </w:style>
  <w:style w:type="character" w:customStyle="1" w:styleId="46">
    <w:name w:val="页脚 Char"/>
    <w:basedOn w:val="31"/>
    <w:link w:val="20"/>
    <w:qFormat/>
    <w:locked/>
    <w:uiPriority w:val="0"/>
    <w:rPr>
      <w:rFonts w:ascii="Calibri" w:hAnsi="Calibri" w:cs="Times New Roman"/>
      <w:sz w:val="18"/>
      <w:szCs w:val="18"/>
    </w:rPr>
  </w:style>
  <w:style w:type="character" w:customStyle="1" w:styleId="47">
    <w:name w:val="页眉 Char"/>
    <w:basedOn w:val="31"/>
    <w:link w:val="21"/>
    <w:qFormat/>
    <w:locked/>
    <w:uiPriority w:val="0"/>
    <w:rPr>
      <w:rFonts w:ascii="Calibri" w:hAnsi="Calibri" w:cs="Times New Roman"/>
      <w:sz w:val="18"/>
      <w:szCs w:val="18"/>
    </w:rPr>
  </w:style>
  <w:style w:type="character" w:customStyle="1" w:styleId="48">
    <w:name w:val="标题 Char"/>
    <w:basedOn w:val="31"/>
    <w:link w:val="28"/>
    <w:qFormat/>
    <w:locked/>
    <w:uiPriority w:val="0"/>
    <w:rPr>
      <w:rFonts w:ascii="Cambria" w:hAnsi="Cambria" w:cs="Times New Roman"/>
      <w:b/>
      <w:bCs/>
      <w:sz w:val="32"/>
      <w:szCs w:val="32"/>
    </w:rPr>
  </w:style>
  <w:style w:type="paragraph" w:customStyle="1" w:styleId="49">
    <w:name w:val="Default"/>
    <w:qFormat/>
    <w:uiPriority w:val="99"/>
    <w:pPr>
      <w:widowControl w:val="0"/>
      <w:autoSpaceDE w:val="0"/>
      <w:autoSpaceDN w:val="0"/>
      <w:adjustRightInd w:val="0"/>
    </w:pPr>
    <w:rPr>
      <w:rFonts w:ascii="黑体壵...." w:hAnsi="Calibri" w:eastAsia="黑体壵...." w:cs="黑体壵...."/>
      <w:color w:val="000000"/>
      <w:sz w:val="24"/>
      <w:szCs w:val="24"/>
      <w:lang w:val="en-US" w:eastAsia="zh-CN" w:bidi="ar-SA"/>
    </w:rPr>
  </w:style>
  <w:style w:type="paragraph" w:customStyle="1" w:styleId="50">
    <w:name w:val="列出段落2"/>
    <w:basedOn w:val="1"/>
    <w:qFormat/>
    <w:uiPriority w:val="99"/>
    <w:pPr>
      <w:ind w:firstLine="420" w:firstLineChars="200"/>
    </w:pPr>
    <w:rPr>
      <w:rFonts w:cs="Calibri"/>
      <w:kern w:val="0"/>
      <w:sz w:val="21"/>
      <w:szCs w:val="21"/>
    </w:rPr>
  </w:style>
  <w:style w:type="character" w:customStyle="1" w:styleId="51">
    <w:name w:val="批注框文本 Char"/>
    <w:basedOn w:val="31"/>
    <w:link w:val="19"/>
    <w:qFormat/>
    <w:uiPriority w:val="0"/>
    <w:rPr>
      <w:rFonts w:ascii="Calibri" w:hAnsi="Calibri"/>
      <w:kern w:val="2"/>
      <w:sz w:val="18"/>
      <w:szCs w:val="18"/>
    </w:rPr>
  </w:style>
  <w:style w:type="character" w:customStyle="1" w:styleId="52">
    <w:name w:val="标题 4 Char"/>
    <w:basedOn w:val="31"/>
    <w:link w:val="10"/>
    <w:qFormat/>
    <w:uiPriority w:val="0"/>
    <w:rPr>
      <w:rFonts w:ascii="Cambria" w:hAnsi="Cambria"/>
      <w:b/>
      <w:bCs/>
      <w:sz w:val="28"/>
      <w:szCs w:val="28"/>
    </w:rPr>
  </w:style>
  <w:style w:type="character" w:customStyle="1" w:styleId="53">
    <w:name w:val="标题 5 Char"/>
    <w:basedOn w:val="31"/>
    <w:link w:val="11"/>
    <w:qFormat/>
    <w:uiPriority w:val="0"/>
    <w:rPr>
      <w:rFonts w:ascii="Calibri" w:hAnsi="Calibri"/>
      <w:b/>
      <w:bCs/>
      <w:sz w:val="28"/>
      <w:szCs w:val="28"/>
    </w:rPr>
  </w:style>
  <w:style w:type="character" w:customStyle="1" w:styleId="54">
    <w:name w:val="列出段落 Char"/>
    <w:link w:val="55"/>
    <w:qFormat/>
    <w:uiPriority w:val="99"/>
    <w:rPr>
      <w:rFonts w:ascii="Calibri" w:hAnsi="Calibri"/>
      <w:sz w:val="28"/>
    </w:rPr>
  </w:style>
  <w:style w:type="paragraph" w:customStyle="1" w:styleId="55">
    <w:name w:val="列出段落3"/>
    <w:basedOn w:val="1"/>
    <w:link w:val="54"/>
    <w:qFormat/>
    <w:uiPriority w:val="99"/>
    <w:pPr>
      <w:ind w:firstLine="420" w:firstLineChars="200"/>
    </w:pPr>
    <w:rPr>
      <w:kern w:val="0"/>
      <w:sz w:val="28"/>
      <w:szCs w:val="20"/>
    </w:rPr>
  </w:style>
  <w:style w:type="character" w:customStyle="1" w:styleId="56">
    <w:name w:val="文档结构图 Char"/>
    <w:link w:val="57"/>
    <w:qFormat/>
    <w:uiPriority w:val="0"/>
    <w:rPr>
      <w:rFonts w:ascii="宋体" w:hAnsi="Calibri"/>
      <w:sz w:val="18"/>
      <w:szCs w:val="18"/>
    </w:rPr>
  </w:style>
  <w:style w:type="paragraph" w:customStyle="1" w:styleId="57">
    <w:name w:val="文档结构图1"/>
    <w:basedOn w:val="1"/>
    <w:link w:val="56"/>
    <w:qFormat/>
    <w:uiPriority w:val="0"/>
    <w:rPr>
      <w:rFonts w:ascii="宋体"/>
      <w:kern w:val="0"/>
      <w:sz w:val="18"/>
      <w:szCs w:val="18"/>
    </w:rPr>
  </w:style>
  <w:style w:type="paragraph" w:customStyle="1" w:styleId="58">
    <w:name w:val="列出段落1"/>
    <w:basedOn w:val="1"/>
    <w:qFormat/>
    <w:uiPriority w:val="0"/>
    <w:pPr>
      <w:ind w:firstLine="420" w:firstLineChars="200"/>
    </w:pPr>
    <w:rPr>
      <w:sz w:val="28"/>
      <w:szCs w:val="22"/>
    </w:rPr>
  </w:style>
  <w:style w:type="paragraph" w:customStyle="1" w:styleId="59">
    <w:name w:val="无间隔1"/>
    <w:qFormat/>
    <w:uiPriority w:val="0"/>
    <w:pPr>
      <w:widowControl w:val="0"/>
      <w:jc w:val="both"/>
    </w:pPr>
    <w:rPr>
      <w:rFonts w:ascii="Calibri" w:hAnsi="Calibri" w:eastAsia="宋体" w:cs="Times New Roman"/>
      <w:kern w:val="2"/>
      <w:sz w:val="28"/>
      <w:szCs w:val="22"/>
      <w:lang w:val="en-US" w:eastAsia="zh-CN" w:bidi="ar-SA"/>
    </w:rPr>
  </w:style>
  <w:style w:type="paragraph" w:customStyle="1" w:styleId="60">
    <w:name w:val="TOC 标题1"/>
    <w:basedOn w:val="7"/>
    <w:next w:val="1"/>
    <w:qFormat/>
    <w:uiPriority w:val="0"/>
    <w:pPr>
      <w:widowControl/>
      <w:spacing w:before="480" w:line="276" w:lineRule="auto"/>
      <w:jc w:val="left"/>
      <w:outlineLvl w:val="9"/>
    </w:pPr>
    <w:rPr>
      <w:rFonts w:ascii="Cambria" w:hAnsi="Cambria" w:cs="黑体"/>
      <w:bCs/>
      <w:color w:val="365F90"/>
      <w:kern w:val="0"/>
      <w:sz w:val="28"/>
      <w:szCs w:val="28"/>
    </w:rPr>
  </w:style>
  <w:style w:type="character" w:customStyle="1" w:styleId="61">
    <w:name w:val="正文文本缩进 Char"/>
    <w:basedOn w:val="31"/>
    <w:link w:val="15"/>
    <w:qFormat/>
    <w:uiPriority w:val="0"/>
    <w:rPr>
      <w:rFonts w:ascii="Calibri" w:hAnsi="Calibri"/>
      <w:kern w:val="2"/>
      <w:sz w:val="24"/>
      <w:szCs w:val="24"/>
    </w:rPr>
  </w:style>
  <w:style w:type="character" w:customStyle="1" w:styleId="62">
    <w:name w:val="hover4"/>
    <w:basedOn w:val="31"/>
    <w:qFormat/>
    <w:uiPriority w:val="0"/>
    <w:rPr>
      <w:color w:val="999999"/>
    </w:rPr>
  </w:style>
  <w:style w:type="paragraph" w:styleId="63">
    <w:name w:val="No Spacing"/>
    <w:qFormat/>
    <w:uiPriority w:val="1"/>
    <w:pPr>
      <w:widowControl w:val="0"/>
      <w:spacing w:line="360" w:lineRule="auto"/>
      <w:jc w:val="both"/>
    </w:pPr>
    <w:rPr>
      <w:rFonts w:ascii="宋体" w:hAnsi="宋体" w:eastAsia="宋体" w:cs="宋体"/>
      <w:kern w:val="2"/>
      <w:sz w:val="21"/>
      <w:szCs w:val="21"/>
      <w:lang w:val="en-US" w:eastAsia="zh-CN" w:bidi="ar-SA"/>
    </w:rPr>
  </w:style>
  <w:style w:type="paragraph" w:customStyle="1" w:styleId="64">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050A6-4BEB-4093-BDA2-D30323678029}">
  <ds:schemaRefs/>
</ds:datastoreItem>
</file>

<file path=docProps/app.xml><?xml version="1.0" encoding="utf-8"?>
<Properties xmlns="http://schemas.openxmlformats.org/officeDocument/2006/extended-properties" xmlns:vt="http://schemas.openxmlformats.org/officeDocument/2006/docPropsVTypes">
  <Template>Normal.dotm</Template>
  <Company>JCVIDEO</Company>
  <Pages>96</Pages>
  <Words>7959</Words>
  <Characters>45372</Characters>
  <Lines>378</Lines>
  <Paragraphs>106</Paragraphs>
  <TotalTime>1</TotalTime>
  <ScaleCrop>false</ScaleCrop>
  <LinksUpToDate>false</LinksUpToDate>
  <CharactersWithSpaces>53225</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2020-10-29T07:28:00Z</dcterms:created>
  <dc:creator>Fa1r1381387745</dc:creator>
  <cp:lastModifiedBy>Administrator</cp:lastModifiedBy>
  <cp:lastPrinted>2020-11-02T09:00:00Z</cp:lastPrinted>
  <dcterms:modified xsi:type="dcterms:W3CDTF">2020-11-02T09:39:20Z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