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52"/>
          <w:szCs w:val="52"/>
          <w:lang w:val="en-US"/>
        </w:rPr>
      </w:pPr>
    </w:p>
    <w:p>
      <w:pPr>
        <w:pStyle w:val="2"/>
        <w:rPr>
          <w:rFonts w:hint="eastAsia"/>
          <w:lang w:val="en-US"/>
        </w:rPr>
      </w:pPr>
    </w:p>
    <w:p>
      <w:pPr>
        <w:pStyle w:val="6"/>
        <w:spacing w:line="36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关于采购食堂肉类、蔬菜类、调味品、米面油的报告</w:t>
      </w:r>
    </w:p>
    <w:p>
      <w:pPr>
        <w:pStyle w:val="6"/>
        <w:spacing w:line="360" w:lineRule="auto"/>
        <w:rPr>
          <w:rFonts w:hint="eastAsia" w:asciiTheme="minorEastAsia" w:hAnsiTheme="minorEastAsia" w:eastAsiaTheme="minorEastAsia" w:cstheme="minorEastAsia"/>
          <w:b/>
          <w:bCs/>
          <w:sz w:val="20"/>
        </w:rPr>
      </w:pPr>
    </w:p>
    <w:p>
      <w:pPr>
        <w:pStyle w:val="6"/>
        <w:spacing w:line="360" w:lineRule="auto"/>
        <w:rPr>
          <w:rFonts w:hint="eastAsia" w:asciiTheme="minorEastAsia" w:hAnsiTheme="minorEastAsia" w:eastAsiaTheme="minorEastAsia" w:cstheme="minorEastAsia"/>
          <w:b/>
          <w:bCs/>
          <w:sz w:val="20"/>
        </w:rPr>
      </w:pPr>
    </w:p>
    <w:p>
      <w:pPr>
        <w:pStyle w:val="6"/>
        <w:spacing w:line="360" w:lineRule="auto"/>
        <w:rPr>
          <w:rFonts w:hint="eastAsia" w:asciiTheme="minorEastAsia" w:hAnsiTheme="minorEastAsia" w:eastAsiaTheme="minorEastAsia" w:cstheme="minorEastAsia"/>
          <w:b/>
          <w:bCs/>
          <w:sz w:val="15"/>
          <w:szCs w:val="20"/>
        </w:rPr>
      </w:pPr>
    </w:p>
    <w:p>
      <w:pPr>
        <w:pStyle w:val="6"/>
        <w:spacing w:line="360" w:lineRule="auto"/>
        <w:rPr>
          <w:rFonts w:hint="eastAsia" w:asciiTheme="minorEastAsia" w:hAnsiTheme="minorEastAsia" w:eastAsiaTheme="minorEastAsia" w:cstheme="minorEastAsia"/>
          <w:b/>
          <w:bCs/>
          <w:sz w:val="15"/>
          <w:szCs w:val="20"/>
        </w:rPr>
      </w:pPr>
    </w:p>
    <w:p>
      <w:pPr>
        <w:pStyle w:val="6"/>
        <w:spacing w:line="360" w:lineRule="auto"/>
        <w:rPr>
          <w:rFonts w:hint="eastAsia" w:asciiTheme="minorEastAsia" w:hAnsiTheme="minorEastAsia" w:eastAsiaTheme="minorEastAsia" w:cstheme="minorEastAsia"/>
          <w:b/>
          <w:bCs/>
          <w:sz w:val="15"/>
          <w:szCs w:val="20"/>
        </w:rPr>
      </w:pPr>
    </w:p>
    <w:p>
      <w:pPr>
        <w:pStyle w:val="6"/>
        <w:spacing w:line="360" w:lineRule="auto"/>
        <w:rPr>
          <w:rFonts w:hint="eastAsia" w:asciiTheme="minorEastAsia" w:hAnsiTheme="minorEastAsia" w:eastAsiaTheme="minorEastAsia" w:cstheme="minorEastAsia"/>
          <w:b/>
          <w:bCs/>
          <w:sz w:val="15"/>
          <w:szCs w:val="20"/>
        </w:rPr>
      </w:pPr>
    </w:p>
    <w:p>
      <w:pPr>
        <w:pStyle w:val="6"/>
        <w:spacing w:line="360" w:lineRule="auto"/>
        <w:rPr>
          <w:rFonts w:hint="eastAsia" w:asciiTheme="minorEastAsia" w:hAnsiTheme="minorEastAsia" w:eastAsiaTheme="minorEastAsia" w:cstheme="minorEastAsia"/>
          <w:b/>
          <w:bCs/>
          <w:sz w:val="20"/>
        </w:rPr>
      </w:pPr>
    </w:p>
    <w:p>
      <w:pPr>
        <w:spacing w:line="360" w:lineRule="auto"/>
        <w:jc w:val="center"/>
        <w:rPr>
          <w:rFonts w:hint="eastAsia" w:asciiTheme="minorEastAsia" w:hAnsiTheme="minorEastAsia" w:eastAsiaTheme="minorEastAsia" w:cstheme="minorEastAsia"/>
          <w:b/>
          <w:bCs/>
          <w:sz w:val="84"/>
        </w:rPr>
      </w:pPr>
      <w:r>
        <w:rPr>
          <w:rFonts w:hint="eastAsia" w:asciiTheme="minorEastAsia" w:hAnsiTheme="minorEastAsia" w:eastAsiaTheme="minorEastAsia" w:cstheme="minorEastAsia"/>
          <w:b/>
          <w:bCs/>
          <w:sz w:val="84"/>
        </w:rPr>
        <w:t>竞争性谈判文件</w:t>
      </w:r>
    </w:p>
    <w:p>
      <w:pPr>
        <w:pStyle w:val="6"/>
        <w:spacing w:line="360" w:lineRule="auto"/>
        <w:rPr>
          <w:rFonts w:hint="eastAsia" w:asciiTheme="minorEastAsia" w:hAnsiTheme="minorEastAsia" w:eastAsiaTheme="minorEastAsia" w:cstheme="minorEastAsia"/>
          <w:b/>
          <w:bCs/>
          <w:sz w:val="36"/>
          <w:szCs w:val="13"/>
        </w:rPr>
      </w:pPr>
    </w:p>
    <w:p>
      <w:pPr>
        <w:pStyle w:val="6"/>
        <w:spacing w:line="360" w:lineRule="auto"/>
        <w:rPr>
          <w:rFonts w:hint="eastAsia" w:asciiTheme="minorEastAsia" w:hAnsiTheme="minorEastAsia" w:eastAsiaTheme="minorEastAsia" w:cstheme="minorEastAsia"/>
          <w:b/>
          <w:bCs/>
          <w:sz w:val="36"/>
          <w:szCs w:val="13"/>
        </w:rPr>
      </w:pPr>
    </w:p>
    <w:p>
      <w:pPr>
        <w:pStyle w:val="6"/>
        <w:spacing w:line="360" w:lineRule="auto"/>
        <w:rPr>
          <w:rFonts w:hint="eastAsia" w:asciiTheme="minorEastAsia" w:hAnsiTheme="minorEastAsia" w:eastAsiaTheme="minorEastAsia" w:cstheme="minorEastAsia"/>
          <w:sz w:val="28"/>
          <w:szCs w:val="10"/>
        </w:rPr>
      </w:pPr>
    </w:p>
    <w:p>
      <w:pPr>
        <w:pStyle w:val="6"/>
        <w:spacing w:line="360" w:lineRule="auto"/>
        <w:rPr>
          <w:rFonts w:hint="eastAsia" w:asciiTheme="minorEastAsia" w:hAnsiTheme="minorEastAsia" w:eastAsiaTheme="minorEastAsia" w:cstheme="minorEastAsia"/>
          <w:sz w:val="28"/>
          <w:szCs w:val="10"/>
        </w:rPr>
      </w:pPr>
    </w:p>
    <w:p>
      <w:pPr>
        <w:spacing w:line="360" w:lineRule="auto"/>
        <w:ind w:firstLine="361" w:firstLineChars="100"/>
        <w:rPr>
          <w:rFonts w:hint="eastAsia"/>
          <w:lang w:val="en-US" w:eastAsia="zh-CN"/>
        </w:rPr>
      </w:pPr>
      <w:r>
        <w:rPr>
          <w:rFonts w:hint="eastAsia" w:asciiTheme="minorEastAsia" w:hAnsiTheme="minorEastAsia" w:eastAsiaTheme="minorEastAsia" w:cstheme="minorEastAsia"/>
          <w:b/>
          <w:bCs/>
          <w:color w:val="000000"/>
          <w:sz w:val="36"/>
          <w:szCs w:val="36"/>
        </w:rPr>
        <w:t xml:space="preserve">采 </w:t>
      </w:r>
      <w:r>
        <w:rPr>
          <w:rFonts w:hint="eastAsia" w:asciiTheme="minorEastAsia" w:hAnsiTheme="minorEastAsia" w:eastAsiaTheme="minorEastAsia" w:cstheme="minorEastAsia"/>
          <w:b/>
          <w:bCs/>
          <w:color w:val="000000"/>
          <w:sz w:val="36"/>
          <w:szCs w:val="36"/>
          <w:lang w:val="en-US" w:eastAsia="zh-CN"/>
        </w:rPr>
        <w:t xml:space="preserve">  </w:t>
      </w:r>
      <w:r>
        <w:rPr>
          <w:rFonts w:hint="eastAsia" w:asciiTheme="minorEastAsia" w:hAnsiTheme="minorEastAsia" w:eastAsiaTheme="minorEastAsia" w:cstheme="minorEastAsia"/>
          <w:b/>
          <w:bCs/>
          <w:color w:val="000000"/>
          <w:sz w:val="36"/>
          <w:szCs w:val="36"/>
        </w:rPr>
        <w:t>购</w:t>
      </w:r>
      <w:r>
        <w:rPr>
          <w:rFonts w:hint="eastAsia" w:asciiTheme="minorEastAsia" w:hAnsiTheme="minorEastAsia" w:eastAsiaTheme="minorEastAsia" w:cstheme="minorEastAsia"/>
          <w:b/>
          <w:bCs/>
          <w:color w:val="000000"/>
          <w:sz w:val="36"/>
          <w:szCs w:val="36"/>
          <w:lang w:val="en-US" w:eastAsia="zh-CN"/>
        </w:rPr>
        <w:t xml:space="preserve">   </w:t>
      </w:r>
      <w:r>
        <w:rPr>
          <w:rFonts w:hint="eastAsia" w:asciiTheme="minorEastAsia" w:hAnsiTheme="minorEastAsia" w:eastAsiaTheme="minorEastAsia" w:cstheme="minorEastAsia"/>
          <w:b/>
          <w:bCs/>
          <w:color w:val="000000"/>
          <w:sz w:val="36"/>
          <w:szCs w:val="36"/>
        </w:rPr>
        <w:t>人：</w:t>
      </w:r>
      <w:r>
        <w:rPr>
          <w:rFonts w:hint="eastAsia" w:asciiTheme="minorEastAsia" w:hAnsiTheme="minorEastAsia" w:eastAsiaTheme="minorEastAsia" w:cstheme="minorEastAsia"/>
          <w:b/>
          <w:bCs/>
          <w:color w:val="000000"/>
          <w:sz w:val="36"/>
          <w:szCs w:val="36"/>
          <w:lang w:eastAsia="zh-CN"/>
        </w:rPr>
        <w:t>玉树藏族自治州财政局</w:t>
      </w:r>
    </w:p>
    <w:p>
      <w:pPr>
        <w:adjustRightInd w:val="0"/>
        <w:spacing w:line="360" w:lineRule="auto"/>
        <w:ind w:firstLine="361" w:firstLineChars="100"/>
        <w:rPr>
          <w:rFonts w:hint="eastAsia" w:asciiTheme="minorEastAsia" w:hAnsiTheme="minorEastAsia" w:eastAsiaTheme="minorEastAsia" w:cstheme="minorEastAsia"/>
          <w:b/>
          <w:bCs/>
          <w:color w:val="000000"/>
          <w:sz w:val="36"/>
          <w:szCs w:val="36"/>
          <w:lang w:val="en-US" w:eastAsia="zh-CN"/>
        </w:rPr>
      </w:pPr>
      <w:bookmarkStart w:id="0" w:name="OLE_LINK26"/>
      <w:r>
        <w:rPr>
          <w:rFonts w:hint="eastAsia" w:asciiTheme="minorEastAsia" w:hAnsiTheme="minorEastAsia" w:eastAsiaTheme="minorEastAsia" w:cstheme="minorEastAsia"/>
          <w:b/>
          <w:bCs/>
          <w:color w:val="000000"/>
          <w:sz w:val="36"/>
          <w:szCs w:val="36"/>
        </w:rPr>
        <w:t>采购项目编号：</w:t>
      </w:r>
      <w:bookmarkEnd w:id="0"/>
      <w:r>
        <w:rPr>
          <w:rFonts w:hint="eastAsia" w:asciiTheme="minorEastAsia" w:hAnsiTheme="minorEastAsia" w:eastAsiaTheme="minorEastAsia" w:cstheme="minorEastAsia"/>
          <w:b/>
          <w:bCs/>
          <w:color w:val="000000"/>
          <w:sz w:val="36"/>
          <w:szCs w:val="36"/>
          <w:lang w:eastAsia="zh-CN"/>
        </w:rPr>
        <w:t>重庆鼎运竞谈（货物）2020-024</w:t>
      </w:r>
    </w:p>
    <w:p>
      <w:pPr>
        <w:adjustRightInd w:val="0"/>
        <w:spacing w:line="360" w:lineRule="auto"/>
        <w:ind w:firstLine="361" w:firstLineChars="100"/>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采购代理机构：重庆市鼎运工程咨询有限公司</w:t>
      </w:r>
    </w:p>
    <w:p>
      <w:pPr>
        <w:pStyle w:val="8"/>
        <w:jc w:val="center"/>
        <w:rPr>
          <w:rFonts w:hint="eastAsia" w:asciiTheme="minorEastAsia" w:hAnsiTheme="minorEastAsia" w:eastAsiaTheme="minorEastAsia" w:cstheme="minorEastAsia"/>
          <w:b/>
          <w:bCs/>
          <w:color w:val="000000"/>
          <w:sz w:val="36"/>
          <w:szCs w:val="36"/>
        </w:rPr>
      </w:pPr>
    </w:p>
    <w:p>
      <w:pPr>
        <w:pStyle w:val="8"/>
        <w:jc w:val="center"/>
        <w:rPr>
          <w:rFonts w:hint="eastAsia" w:asciiTheme="minorEastAsia" w:hAnsiTheme="minorEastAsia" w:eastAsiaTheme="minorEastAsia" w:cstheme="minorEastAsia"/>
          <w:b/>
          <w:bCs/>
          <w:color w:val="000000"/>
          <w:sz w:val="36"/>
          <w:szCs w:val="36"/>
        </w:rPr>
      </w:pPr>
    </w:p>
    <w:p>
      <w:pPr>
        <w:pStyle w:val="8"/>
        <w:jc w:val="center"/>
        <w:rPr>
          <w:rFonts w:hint="eastAsia" w:asciiTheme="minorEastAsia" w:hAnsiTheme="minorEastAsia" w:eastAsiaTheme="minorEastAsia" w:cstheme="minorEastAsia"/>
          <w:b/>
          <w:sz w:val="40"/>
          <w:szCs w:val="28"/>
          <w:lang w:val="en-US" w:eastAsia="zh-CN"/>
        </w:rPr>
      </w:pPr>
      <w:r>
        <w:rPr>
          <w:rFonts w:hint="eastAsia" w:asciiTheme="minorEastAsia" w:hAnsiTheme="minorEastAsia" w:eastAsiaTheme="minorEastAsia" w:cstheme="minorEastAsia"/>
          <w:b/>
          <w:bCs/>
          <w:color w:val="000000"/>
          <w:sz w:val="36"/>
          <w:szCs w:val="36"/>
          <w:lang w:val="en-US" w:eastAsia="zh-CN"/>
        </w:rPr>
        <w:t>2020年05月21日</w:t>
      </w:r>
    </w:p>
    <w:p>
      <w:pPr>
        <w:spacing w:before="1" w:line="360" w:lineRule="auto"/>
        <w:ind w:left="871" w:right="988"/>
        <w:jc w:val="center"/>
        <w:rPr>
          <w:rFonts w:hint="eastAsia" w:asciiTheme="minorEastAsia" w:hAnsiTheme="minorEastAsia" w:eastAsiaTheme="minorEastAsia" w:cstheme="minorEastAsia"/>
          <w:b/>
          <w:sz w:val="40"/>
          <w:szCs w:val="28"/>
        </w:rPr>
      </w:pPr>
    </w:p>
    <w:p>
      <w:pPr>
        <w:spacing w:before="1" w:line="360" w:lineRule="auto"/>
        <w:ind w:left="871" w:right="988"/>
        <w:jc w:val="center"/>
        <w:rPr>
          <w:rFonts w:hint="eastAsia" w:asciiTheme="minorEastAsia" w:hAnsiTheme="minorEastAsia" w:eastAsiaTheme="minorEastAsia" w:cstheme="minorEastAsia"/>
          <w:b/>
          <w:sz w:val="40"/>
          <w:szCs w:val="28"/>
        </w:rPr>
      </w:pPr>
    </w:p>
    <w:p>
      <w:pPr>
        <w:spacing w:before="1" w:line="360" w:lineRule="auto"/>
        <w:ind w:right="988"/>
        <w:jc w:val="center"/>
        <w:rPr>
          <w:rFonts w:hint="eastAsia" w:asciiTheme="minorEastAsia" w:hAnsiTheme="minorEastAsia" w:eastAsiaTheme="minorEastAsia" w:cstheme="minorEastAsia"/>
          <w:b/>
          <w:sz w:val="40"/>
          <w:szCs w:val="28"/>
        </w:rPr>
      </w:pPr>
      <w:r>
        <w:rPr>
          <w:rFonts w:hint="eastAsia" w:asciiTheme="minorEastAsia" w:hAnsiTheme="minorEastAsia" w:eastAsiaTheme="minorEastAsia" w:cstheme="minorEastAsia"/>
          <w:b/>
          <w:sz w:val="40"/>
          <w:szCs w:val="28"/>
        </w:rPr>
        <w:t>目 录</w:t>
      </w:r>
    </w:p>
    <w:p>
      <w:pPr>
        <w:spacing w:line="360" w:lineRule="auto"/>
        <w:jc w:val="center"/>
        <w:rPr>
          <w:rFonts w:hint="eastAsia" w:asciiTheme="minorEastAsia" w:hAnsiTheme="minorEastAsia" w:eastAsiaTheme="minorEastAsia" w:cstheme="minorEastAsia"/>
          <w:sz w:val="40"/>
          <w:szCs w:val="28"/>
        </w:rPr>
        <w:sectPr>
          <w:headerReference r:id="rId3" w:type="default"/>
          <w:footerReference r:id="rId4" w:type="default"/>
          <w:pgSz w:w="11910" w:h="16840"/>
          <w:pgMar w:top="1440" w:right="1196" w:bottom="1440" w:left="1196" w:header="679" w:footer="686" w:gutter="0"/>
          <w:pgNumType w:start="1"/>
          <w:cols w:space="720" w:num="1"/>
          <w:titlePg/>
          <w:docGrid w:linePitch="299" w:charSpace="0"/>
        </w:sectPr>
      </w:pPr>
    </w:p>
    <w:p>
      <w:pPr>
        <w:spacing w:line="360" w:lineRule="auto"/>
        <w:jc w:val="center"/>
        <w:rPr>
          <w:rFonts w:hint="eastAsia" w:asciiTheme="minorEastAsia" w:hAnsiTheme="minorEastAsia" w:eastAsiaTheme="minorEastAsia" w:cstheme="minorEastAsia"/>
        </w:rPr>
      </w:pPr>
      <w:bookmarkStart w:id="1" w:name="_Toc22455_WPSOffice_Type3"/>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"_Toc16381_WPSOffice_Level1"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第一部分 投标邀请</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"_Toc22455_WPSOffice_Level1"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第二部分 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6</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"_Toc22455_WPSOffice_Level2"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一、 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6</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"_Toc30604_WPSOffice_Level2"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二、 谈判文件说明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7</w:t>
      </w:r>
    </w:p>
    <w:p>
      <w:pPr>
        <w:pStyle w:val="22"/>
        <w:tabs>
          <w:tab w:val="left" w:pos="880"/>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三、 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7</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"_Toc16381_WPSOffice_Level2"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四、 响应文件的提交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10</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"_Toc27574_WPSOffice_Level2"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五、 开标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10</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"_Toc32313_WPSOffice_Level2"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六、资格审查程序及方法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11</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"_Toc23128_WPSOffice_Level2"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七、谈判程序及方法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12</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"_Toc19700_WPSOffice_Level2"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八、成交办法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5</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"_Toc23142_WPSOffice_Level2"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九、 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6</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"_Toc21424_WPSOffice_Level2"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十、谈判代理费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7</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"_Toc20132_WPSOffice_Level2"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十一、 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7</w:t>
      </w:r>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"_Toc30604_WPSOffice_Level1"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第三部分 青海省政府采购项目合同书范本</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9</w:t>
      </w:r>
    </w:p>
    <w:p>
      <w:pPr>
        <w:pStyle w:val="22"/>
        <w:tabs>
          <w:tab w:val="right" w:leader="dot" w:pos="9460"/>
        </w:tabs>
        <w:spacing w:line="360" w:lineRule="auto"/>
        <w:ind w:left="1018"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"_Toc1601_WPSOffice_Level2"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青海省政府采购项目合同书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9</w:t>
      </w:r>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第四部分 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32</w:t>
      </w:r>
    </w:p>
    <w:p>
      <w:pPr>
        <w:pStyle w:val="21"/>
        <w:tabs>
          <w:tab w:val="right" w:leader="dot" w:pos="9460"/>
        </w:tabs>
        <w:spacing w:line="360" w:lineRule="auto"/>
        <w:ind w:left="1018" w:leftChars="200" w:right="57" w:rightChars="26" w:hanging="578" w:hangingChars="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"_Toc27574_WPSOffice_Level1"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第五部分 采购项目要求及技术参数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5</w:t>
      </w:r>
    </w:p>
    <w:bookmarkEnd w:id="1"/>
    <w:p>
      <w:pPr>
        <w:pStyle w:val="22"/>
        <w:tabs>
          <w:tab w:val="right" w:leader="dot" w:pos="9900"/>
        </w:tabs>
        <w:spacing w:line="360" w:lineRule="auto"/>
        <w:ind w:left="876" w:leftChars="0" w:hanging="876" w:hangingChars="274"/>
        <w:jc w:val="both"/>
        <w:rPr>
          <w:rFonts w:hint="eastAsia" w:asciiTheme="minorEastAsia" w:hAnsiTheme="minorEastAsia" w:eastAsiaTheme="minorEastAsia" w:cstheme="minorEastAsia"/>
          <w:sz w:val="32"/>
          <w:szCs w:val="32"/>
        </w:rPr>
        <w:sectPr>
          <w:type w:val="continuous"/>
          <w:pgSz w:w="11910" w:h="16840"/>
          <w:pgMar w:top="1440" w:right="1196" w:bottom="1440" w:left="1196" w:header="720" w:footer="720" w:gutter="0"/>
          <w:cols w:space="720" w:num="1"/>
        </w:sectPr>
      </w:pPr>
    </w:p>
    <w:p>
      <w:pPr>
        <w:pStyle w:val="2"/>
        <w:keepNext w:val="0"/>
        <w:keepLines w:val="0"/>
        <w:numPr>
          <w:ilvl w:val="0"/>
          <w:numId w:val="1"/>
        </w:numPr>
        <w:spacing w:before="0" w:afterLines="50" w:line="360" w:lineRule="auto"/>
        <w:jc w:val="center"/>
        <w:rPr>
          <w:rFonts w:hint="eastAsia" w:asciiTheme="minorEastAsia" w:hAnsiTheme="minorEastAsia" w:eastAsiaTheme="minorEastAsia" w:cstheme="minorEastAsia"/>
          <w:sz w:val="36"/>
          <w:szCs w:val="24"/>
        </w:rPr>
      </w:pPr>
      <w:bookmarkStart w:id="2" w:name="_Toc16381_WPSOffice_Level1"/>
      <w:r>
        <w:rPr>
          <w:rFonts w:hint="eastAsia" w:asciiTheme="minorEastAsia" w:hAnsiTheme="minorEastAsia" w:eastAsiaTheme="minorEastAsia" w:cstheme="minorEastAsia"/>
          <w:sz w:val="36"/>
          <w:szCs w:val="24"/>
        </w:rPr>
        <w:t>投标邀请</w:t>
      </w:r>
      <w:bookmarkEnd w:id="2"/>
    </w:p>
    <w:p>
      <w:pPr>
        <w:spacing w:line="360" w:lineRule="auto"/>
        <w:rPr>
          <w:rFonts w:hint="eastAsia" w:asciiTheme="minorEastAsia" w:hAnsiTheme="minorEastAsia" w:eastAsiaTheme="minorEastAsia" w:cstheme="minorEastAsia"/>
        </w:rPr>
      </w:pPr>
    </w:p>
    <w:p>
      <w:pPr>
        <w:pStyle w:val="6"/>
        <w:spacing w:line="360" w:lineRule="auto"/>
        <w:ind w:left="510" w:right="55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重庆市鼎运工程咨询有限公司 （以下均简称“采购代理机构”）受</w:t>
      </w:r>
      <w:r>
        <w:rPr>
          <w:rFonts w:hint="eastAsia" w:asciiTheme="minorEastAsia" w:hAnsiTheme="minorEastAsia" w:eastAsiaTheme="minorEastAsia" w:cstheme="minorEastAsia"/>
          <w:lang w:eastAsia="zh-CN"/>
        </w:rPr>
        <w:t>玉树藏族自治州财政局</w:t>
      </w:r>
      <w:r>
        <w:rPr>
          <w:rFonts w:hint="eastAsia" w:asciiTheme="minorEastAsia" w:hAnsiTheme="minorEastAsia" w:eastAsiaTheme="minorEastAsia" w:cstheme="minorEastAsia"/>
        </w:rPr>
        <w:t>（以下均简称“采购人”）委托，拟对</w:t>
      </w:r>
      <w:bookmarkStart w:id="111" w:name="_GoBack"/>
      <w:bookmarkEnd w:id="111"/>
      <w:r>
        <w:rPr>
          <w:rFonts w:hint="eastAsia" w:asciiTheme="minorEastAsia" w:hAnsiTheme="minorEastAsia" w:eastAsiaTheme="minorEastAsia" w:cstheme="minorEastAsia"/>
          <w:lang w:eastAsia="zh-CN"/>
        </w:rPr>
        <w:t>关于采购食堂肉类、蔬菜类、调味品、米面油的报告</w:t>
      </w:r>
      <w:r>
        <w:rPr>
          <w:rFonts w:hint="eastAsia" w:asciiTheme="minorEastAsia" w:hAnsiTheme="minorEastAsia" w:eastAsiaTheme="minorEastAsia" w:cstheme="minorEastAsia"/>
        </w:rPr>
        <w:t>项目进行竞争性谈判采购，现予以公告，欢迎</w:t>
      </w:r>
      <w:r>
        <w:rPr>
          <w:rFonts w:hint="eastAsia" w:asciiTheme="minorEastAsia" w:hAnsiTheme="minorEastAsia" w:eastAsiaTheme="minorEastAsia" w:cstheme="minorEastAsia"/>
          <w:lang w:val="en-US"/>
        </w:rPr>
        <w:t>符合条件的</w:t>
      </w:r>
      <w:r>
        <w:rPr>
          <w:rFonts w:hint="eastAsia" w:asciiTheme="minorEastAsia" w:hAnsiTheme="minorEastAsia" w:eastAsiaTheme="minorEastAsia" w:cstheme="minorEastAsia"/>
        </w:rPr>
        <w:t>潜在供应商参加本次政府采购活动。</w:t>
      </w:r>
    </w:p>
    <w:tbl>
      <w:tblPr>
        <w:tblStyle w:val="16"/>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4"/>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采购项目名称</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关于采购食堂肉类、蔬菜类、调味品、米面油的报告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采购项目编号</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重庆鼎运竞谈（货物）2020-024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采购预算额度</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rPr>
            </w:pPr>
            <w:r>
              <w:rPr>
                <w:rFonts w:hint="eastAsia" w:ascii="仿宋" w:hAnsi="仿宋" w:eastAsia="仿宋"/>
                <w:sz w:val="24"/>
                <w:lang w:val="en-US" w:eastAsia="zh-CN"/>
              </w:rPr>
              <w:t>278000.00</w:t>
            </w: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项目分包个数</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采购要求</w:t>
            </w:r>
          </w:p>
        </w:tc>
        <w:tc>
          <w:tcPr>
            <w:tcW w:w="6826" w:type="dxa"/>
            <w:vAlign w:val="center"/>
          </w:tcPr>
          <w:p>
            <w:pPr>
              <w:widowControl/>
              <w:spacing w:line="360" w:lineRule="auto"/>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color w:val="000000" w:themeColor="text1"/>
                <w:sz w:val="24"/>
                <w14:textFill>
                  <w14:solidFill>
                    <w14:schemeClr w14:val="tx1"/>
                  </w14:solidFill>
                </w14:textFill>
              </w:rPr>
              <w:t>主要内容：</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详见《竞争性谈判文件》第五部分采购项目要求及技术参数</w:t>
            </w:r>
            <w:r>
              <w:rPr>
                <w:rFonts w:hint="eastAsia" w:asciiTheme="minorEastAsia" w:hAnsiTheme="minorEastAsia" w:eastAsiaTheme="minorEastAsia" w:cstheme="minorEastAsia"/>
                <w:color w:val="000000" w:themeColor="text1"/>
                <w:sz w:val="24"/>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投标人资格要求</w:t>
            </w:r>
          </w:p>
        </w:tc>
        <w:tc>
          <w:tcPr>
            <w:tcW w:w="6826" w:type="dxa"/>
            <w:vAlign w:val="center"/>
          </w:tcPr>
          <w:p>
            <w:pPr>
              <w:widowControl/>
              <w:spacing w:line="320" w:lineRule="exact"/>
              <w:rPr>
                <w:rFonts w:hint="eastAsia"/>
                <w:sz w:val="24"/>
                <w:szCs w:val="24"/>
              </w:rPr>
            </w:pPr>
            <w:r>
              <w:rPr>
                <w:rFonts w:hint="eastAsia"/>
                <w:sz w:val="24"/>
                <w:szCs w:val="24"/>
              </w:rPr>
              <w:t>1、应具备《政府采购法》第22条所规定的条件：</w:t>
            </w:r>
          </w:p>
          <w:p>
            <w:pPr>
              <w:widowControl/>
              <w:spacing w:line="320" w:lineRule="exact"/>
              <w:rPr>
                <w:rFonts w:hint="eastAsia"/>
                <w:sz w:val="24"/>
                <w:szCs w:val="24"/>
              </w:rPr>
            </w:pPr>
            <w:r>
              <w:rPr>
                <w:rFonts w:hint="eastAsia"/>
                <w:sz w:val="24"/>
                <w:szCs w:val="24"/>
              </w:rPr>
              <w:t>（1）投标人的营业执照等证明文件，自然人的身份证明；</w:t>
            </w:r>
          </w:p>
          <w:p>
            <w:pPr>
              <w:widowControl/>
              <w:spacing w:line="320" w:lineRule="exact"/>
              <w:rPr>
                <w:rFonts w:hint="eastAsia"/>
                <w:sz w:val="24"/>
                <w:szCs w:val="24"/>
              </w:rPr>
            </w:pPr>
            <w:r>
              <w:rPr>
                <w:rFonts w:hint="eastAsia"/>
                <w:sz w:val="24"/>
                <w:szCs w:val="24"/>
              </w:rPr>
              <w:t>（2）财务状况报告（2018年度</w:t>
            </w:r>
            <w:r>
              <w:rPr>
                <w:rFonts w:hint="eastAsia"/>
                <w:sz w:val="24"/>
                <w:szCs w:val="24"/>
                <w:lang w:val="en-US" w:eastAsia="zh-CN"/>
              </w:rPr>
              <w:t>或2019年度</w:t>
            </w:r>
            <w:r>
              <w:rPr>
                <w:rFonts w:hint="eastAsia"/>
                <w:sz w:val="24"/>
                <w:szCs w:val="24"/>
              </w:rPr>
              <w:t>财务审计报告或</w:t>
            </w:r>
            <w:r>
              <w:rPr>
                <w:rFonts w:hint="eastAsia"/>
                <w:sz w:val="24"/>
                <w:szCs w:val="24"/>
                <w:lang w:val="en-US"/>
              </w:rPr>
              <w:t>近三个月</w:t>
            </w:r>
            <w:r>
              <w:rPr>
                <w:rFonts w:hint="eastAsia"/>
                <w:sz w:val="24"/>
                <w:szCs w:val="24"/>
              </w:rPr>
              <w:t>内银行出具的资信证明材料）和依法缴纳税收和社会保障资金的相关材料；</w:t>
            </w:r>
          </w:p>
          <w:p>
            <w:pPr>
              <w:widowControl/>
              <w:spacing w:line="320" w:lineRule="exact"/>
              <w:rPr>
                <w:rFonts w:hint="eastAsia"/>
                <w:sz w:val="24"/>
                <w:szCs w:val="24"/>
              </w:rPr>
            </w:pPr>
            <w:r>
              <w:rPr>
                <w:rFonts w:hint="eastAsia"/>
                <w:sz w:val="24"/>
                <w:szCs w:val="24"/>
              </w:rPr>
              <w:t>（3）具备履行合同所必须的设备和专业技术能力的证明材料；</w:t>
            </w:r>
          </w:p>
          <w:p>
            <w:pPr>
              <w:widowControl/>
              <w:spacing w:line="320" w:lineRule="exact"/>
              <w:rPr>
                <w:rFonts w:hint="eastAsia"/>
                <w:sz w:val="24"/>
                <w:szCs w:val="24"/>
              </w:rPr>
            </w:pPr>
            <w:r>
              <w:rPr>
                <w:rFonts w:hint="eastAsia"/>
                <w:sz w:val="24"/>
                <w:szCs w:val="24"/>
              </w:rPr>
              <w:t>（4）参加政府采购活动前3年内在经营活动中没有重大违法记录的书面声明；</w:t>
            </w:r>
          </w:p>
          <w:p>
            <w:pPr>
              <w:widowControl/>
              <w:spacing w:line="320" w:lineRule="exact"/>
              <w:rPr>
                <w:rFonts w:hint="eastAsia"/>
                <w:sz w:val="24"/>
                <w:szCs w:val="24"/>
              </w:rPr>
            </w:pPr>
            <w:r>
              <w:rPr>
                <w:rFonts w:hint="eastAsia"/>
                <w:sz w:val="24"/>
                <w:szCs w:val="24"/>
              </w:rPr>
              <w:t>（5）具备法律、行政法规规定的其他条件的证明材料。</w:t>
            </w:r>
          </w:p>
          <w:p>
            <w:pPr>
              <w:widowControl/>
              <w:spacing w:line="320" w:lineRule="exact"/>
              <w:rPr>
                <w:rFonts w:hint="eastAsia"/>
                <w:sz w:val="24"/>
                <w:szCs w:val="24"/>
              </w:rPr>
            </w:pPr>
            <w:r>
              <w:rPr>
                <w:rFonts w:hint="eastAsia"/>
                <w:sz w:val="24"/>
                <w:szCs w:val="24"/>
                <w:lang w:val="en-US" w:eastAsia="zh-CN"/>
              </w:rPr>
              <w:t>2</w:t>
            </w:r>
            <w:r>
              <w:rPr>
                <w:rFonts w:hint="eastAsia"/>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sz w:val="24"/>
                <w:szCs w:val="24"/>
                <w:lang w:val="en-US" w:eastAsia="zh-CN"/>
              </w:rPr>
              <w:t>7</w:t>
            </w:r>
            <w:r>
              <w:rPr>
                <w:rFonts w:hint="eastAsia"/>
                <w:sz w:val="24"/>
                <w:szCs w:val="24"/>
              </w:rPr>
              <w:t>天内）</w:t>
            </w:r>
          </w:p>
          <w:p>
            <w:pPr>
              <w:widowControl/>
              <w:spacing w:line="320" w:lineRule="exact"/>
              <w:rPr>
                <w:rFonts w:hint="eastAsia"/>
                <w:sz w:val="24"/>
                <w:szCs w:val="24"/>
              </w:rPr>
            </w:pPr>
            <w:r>
              <w:rPr>
                <w:rFonts w:hint="eastAsia"/>
                <w:sz w:val="24"/>
                <w:szCs w:val="24"/>
                <w:lang w:val="en-US" w:eastAsia="zh-CN"/>
              </w:rPr>
              <w:t>3</w:t>
            </w:r>
            <w:r>
              <w:rPr>
                <w:rFonts w:hint="eastAsia"/>
                <w:sz w:val="24"/>
                <w:szCs w:val="24"/>
              </w:rPr>
              <w:t>、本项目不接受供应商以联合体方式进行投标。</w:t>
            </w:r>
          </w:p>
          <w:p>
            <w:pPr>
              <w:widowControl/>
              <w:spacing w:line="320" w:lineRule="exact"/>
              <w:rPr>
                <w:rFonts w:hint="eastAsia"/>
                <w:sz w:val="24"/>
                <w:szCs w:val="24"/>
              </w:rPr>
            </w:pPr>
            <w:r>
              <w:rPr>
                <w:rFonts w:hint="eastAsia"/>
                <w:sz w:val="24"/>
                <w:szCs w:val="24"/>
                <w:lang w:val="en-US" w:eastAsia="zh-CN"/>
              </w:rPr>
              <w:t>4</w:t>
            </w:r>
            <w:r>
              <w:rPr>
                <w:rFonts w:hint="eastAsia"/>
                <w:sz w:val="24"/>
                <w:szCs w:val="24"/>
              </w:rPr>
              <w:t>、供应商不得存在下列情形之一：</w:t>
            </w:r>
          </w:p>
          <w:p>
            <w:pPr>
              <w:widowControl/>
              <w:spacing w:line="320" w:lineRule="exact"/>
              <w:rPr>
                <w:rFonts w:hint="eastAsia"/>
                <w:sz w:val="24"/>
                <w:szCs w:val="24"/>
              </w:rPr>
            </w:pPr>
            <w:r>
              <w:rPr>
                <w:rFonts w:hint="eastAsia"/>
                <w:sz w:val="24"/>
                <w:szCs w:val="24"/>
              </w:rPr>
              <w:t>(l）为采购人不具有独立法人资格的附属机构（单位）；</w:t>
            </w:r>
          </w:p>
          <w:p>
            <w:pPr>
              <w:widowControl/>
              <w:spacing w:line="320" w:lineRule="exact"/>
              <w:rPr>
                <w:rFonts w:hint="eastAsia"/>
                <w:sz w:val="24"/>
                <w:szCs w:val="24"/>
              </w:rPr>
            </w:pPr>
            <w:r>
              <w:rPr>
                <w:rFonts w:hint="eastAsia"/>
                <w:sz w:val="24"/>
                <w:szCs w:val="24"/>
              </w:rPr>
              <w:t>(2）为本采购项目前期准备提供设计或咨询服务的，但设计施工总承包的除外；</w:t>
            </w:r>
          </w:p>
          <w:p>
            <w:pPr>
              <w:widowControl/>
              <w:spacing w:line="320" w:lineRule="exact"/>
              <w:rPr>
                <w:rFonts w:hint="eastAsia"/>
                <w:sz w:val="24"/>
                <w:szCs w:val="24"/>
              </w:rPr>
            </w:pPr>
            <w:r>
              <w:rPr>
                <w:rFonts w:hint="eastAsia"/>
                <w:sz w:val="24"/>
                <w:szCs w:val="24"/>
              </w:rPr>
              <w:t>(3）为本采购项目的监理人；</w:t>
            </w:r>
          </w:p>
          <w:p>
            <w:pPr>
              <w:widowControl/>
              <w:spacing w:line="320" w:lineRule="exact"/>
              <w:rPr>
                <w:rFonts w:hint="eastAsia"/>
                <w:sz w:val="24"/>
                <w:szCs w:val="24"/>
              </w:rPr>
            </w:pPr>
            <w:r>
              <w:rPr>
                <w:rFonts w:hint="eastAsia"/>
                <w:sz w:val="24"/>
                <w:szCs w:val="24"/>
              </w:rPr>
              <w:t>(4）为本采购项目的代建人；</w:t>
            </w:r>
          </w:p>
          <w:p>
            <w:pPr>
              <w:widowControl/>
              <w:spacing w:line="320" w:lineRule="exact"/>
              <w:rPr>
                <w:rFonts w:hint="eastAsia"/>
                <w:sz w:val="24"/>
                <w:szCs w:val="24"/>
              </w:rPr>
            </w:pPr>
            <w:r>
              <w:rPr>
                <w:rFonts w:hint="eastAsia"/>
                <w:sz w:val="24"/>
                <w:szCs w:val="24"/>
              </w:rPr>
              <w:t>(5）为本采购项目提供招标代理服务的；</w:t>
            </w:r>
          </w:p>
          <w:p>
            <w:pPr>
              <w:widowControl/>
              <w:spacing w:line="320" w:lineRule="exact"/>
              <w:rPr>
                <w:rFonts w:hint="eastAsia"/>
                <w:sz w:val="24"/>
                <w:szCs w:val="24"/>
              </w:rPr>
            </w:pPr>
            <w:r>
              <w:rPr>
                <w:rFonts w:hint="eastAsia"/>
                <w:sz w:val="24"/>
                <w:szCs w:val="24"/>
              </w:rPr>
              <w:t>(6）与本采购项目的监理人或代建人或招标代理机构同为一个法定代表人的；</w:t>
            </w:r>
          </w:p>
          <w:p>
            <w:pPr>
              <w:widowControl/>
              <w:spacing w:line="320" w:lineRule="exact"/>
              <w:rPr>
                <w:rFonts w:hint="eastAsia"/>
                <w:sz w:val="24"/>
                <w:szCs w:val="24"/>
              </w:rPr>
            </w:pPr>
            <w:r>
              <w:rPr>
                <w:rFonts w:hint="eastAsia"/>
                <w:sz w:val="24"/>
                <w:szCs w:val="24"/>
              </w:rPr>
              <w:t>(7）与本采购项目的监理人或代建人或招标代理机构相互控股或参股的；</w:t>
            </w:r>
          </w:p>
          <w:p>
            <w:pPr>
              <w:widowControl/>
              <w:spacing w:line="320" w:lineRule="exact"/>
              <w:rPr>
                <w:rFonts w:hint="eastAsia"/>
                <w:sz w:val="24"/>
                <w:szCs w:val="24"/>
              </w:rPr>
            </w:pPr>
            <w:r>
              <w:rPr>
                <w:rFonts w:hint="eastAsia"/>
                <w:sz w:val="24"/>
                <w:szCs w:val="24"/>
              </w:rPr>
              <w:t>(8）与本采购项目的监理人或代建人或招标代理机构相互任职或工作的；</w:t>
            </w:r>
          </w:p>
          <w:p>
            <w:pPr>
              <w:widowControl/>
              <w:spacing w:line="320" w:lineRule="exact"/>
              <w:rPr>
                <w:rFonts w:hint="eastAsia"/>
                <w:sz w:val="24"/>
                <w:szCs w:val="24"/>
              </w:rPr>
            </w:pPr>
            <w:r>
              <w:rPr>
                <w:rFonts w:hint="eastAsia"/>
                <w:sz w:val="24"/>
                <w:szCs w:val="24"/>
              </w:rPr>
              <w:t>（9）被责令停业的；</w:t>
            </w:r>
          </w:p>
          <w:p>
            <w:pPr>
              <w:widowControl/>
              <w:spacing w:line="320" w:lineRule="exact"/>
              <w:rPr>
                <w:rFonts w:hint="eastAsia"/>
                <w:sz w:val="24"/>
                <w:szCs w:val="24"/>
              </w:rPr>
            </w:pPr>
            <w:r>
              <w:rPr>
                <w:rFonts w:hint="eastAsia"/>
                <w:sz w:val="24"/>
                <w:szCs w:val="24"/>
              </w:rPr>
              <w:t>(10）被暂停或取消投标资格的；</w:t>
            </w:r>
          </w:p>
          <w:p>
            <w:pPr>
              <w:widowControl/>
              <w:spacing w:line="320" w:lineRule="exact"/>
              <w:rPr>
                <w:rFonts w:hint="eastAsia"/>
                <w:sz w:val="24"/>
                <w:szCs w:val="24"/>
              </w:rPr>
            </w:pPr>
            <w:r>
              <w:rPr>
                <w:rFonts w:hint="eastAsia"/>
                <w:sz w:val="24"/>
                <w:szCs w:val="24"/>
              </w:rPr>
              <w:t>(11）财产被接管或冻结的；</w:t>
            </w:r>
          </w:p>
          <w:p>
            <w:pPr>
              <w:widowControl/>
              <w:spacing w:line="320" w:lineRule="exact"/>
              <w:rPr>
                <w:rFonts w:hint="eastAsia"/>
                <w:sz w:val="24"/>
                <w:szCs w:val="24"/>
              </w:rPr>
            </w:pPr>
            <w:r>
              <w:rPr>
                <w:rFonts w:hint="eastAsia"/>
                <w:sz w:val="24"/>
                <w:szCs w:val="24"/>
              </w:rPr>
              <w:t>(12）在最近三年内有骗取中标或严重违约或重大工程质量问题的；</w:t>
            </w:r>
          </w:p>
          <w:p>
            <w:pPr>
              <w:widowControl/>
              <w:spacing w:line="320" w:lineRule="exact"/>
              <w:rPr>
                <w:rFonts w:hint="default"/>
                <w:lang w:val="en-US"/>
              </w:rPr>
            </w:pPr>
            <w:r>
              <w:rPr>
                <w:rFonts w:hint="eastAsia"/>
                <w:sz w:val="24"/>
                <w:szCs w:val="24"/>
              </w:rPr>
              <w:t>(13）单位负责人为同一人或者存在控股、管理关系的不同单位，参加同一标段投标或者未划分标段的同一招标项目投标的。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公告发布时间</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2020年05月21日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获取谈判文件的时间</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2020年</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lang w:eastAsia="zh-CN"/>
              </w:rPr>
              <w:t>日至2020年</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rPr>
              <w:t>，每天上午9:00-12:00，</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lang w:eastAsia="zh-CN"/>
              </w:rPr>
              <w:t>午</w:t>
            </w:r>
            <w:r>
              <w:rPr>
                <w:rFonts w:hint="eastAsia" w:asciiTheme="minorEastAsia" w:hAnsiTheme="minorEastAsia" w:eastAsiaTheme="minorEastAsia" w:cstheme="minorEastAsia"/>
                <w:sz w:val="24"/>
                <w:szCs w:val="24"/>
              </w:rPr>
              <w:t xml:space="preserve"> 14:</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获取谈判文件方式</w:t>
            </w:r>
          </w:p>
        </w:tc>
        <w:tc>
          <w:tcPr>
            <w:tcW w:w="6826" w:type="dxa"/>
            <w:vAlign w:val="center"/>
          </w:tcPr>
          <w:p>
            <w:pPr>
              <w:pStyle w:val="25"/>
              <w:spacing w:before="2" w:line="360" w:lineRule="auto"/>
              <w:ind w:left="37" w:leftChars="1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现场购买</w:t>
            </w:r>
            <w:r>
              <w:rPr>
                <w:rFonts w:hint="eastAsia" w:asciiTheme="minorEastAsia" w:hAnsiTheme="minorEastAsia" w:eastAsiaTheme="minorEastAsia" w:cstheme="minorEastAsia"/>
                <w:sz w:val="24"/>
                <w:szCs w:val="24"/>
                <w:lang w:val="en-US" w:eastAsia="zh-CN"/>
              </w:rPr>
              <w:t>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524" w:type="dxa"/>
            <w:vAlign w:val="center"/>
          </w:tcPr>
          <w:p>
            <w:pPr>
              <w:widowControl/>
              <w:spacing w:line="360" w:lineRule="auto"/>
              <w:ind w:left="24" w:leftChars="1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谈判文件售价</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00元（谈判文件售后不退，投标资格不能转让）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获取谈判文件地点</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重庆市鼎运工程咨询有限公司 （青海省西宁市城西区西川南路76号万达中心4号楼8楼10805室）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2524" w:type="dxa"/>
            <w:vAlign w:val="center"/>
          </w:tcPr>
          <w:p>
            <w:pPr>
              <w:pStyle w:val="2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购买谈判文件时应提供材料</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lang w:val="en-US" w:eastAsia="zh-CN"/>
              </w:rPr>
              <w:t>营业执照、单位授权委托书或单位介绍信原件；（</w:t>
            </w:r>
            <w:r>
              <w:rPr>
                <w:rFonts w:hint="eastAsia" w:asciiTheme="minorEastAsia" w:hAnsiTheme="minorEastAsia" w:eastAsiaTheme="minorEastAsia" w:cstheme="minorEastAsia"/>
                <w:sz w:val="24"/>
                <w:szCs w:val="24"/>
                <w:lang w:eastAsia="zh-CN"/>
              </w:rPr>
              <w:t>需网上购买磋商文件的供应商可将以上材料扫描后发送至采购代理机构电子邮箱，在邮件中标明项目编号、项目名称、包号、联系人及联系方式，并联系代理机构工作人员进行确认</w:t>
            </w:r>
            <w:r>
              <w:rPr>
                <w:rFonts w:hint="eastAsia" w:ascii="仿宋" w:hAnsi="仿宋" w:eastAsia="仿宋"/>
                <w:sz w:val="24"/>
                <w:szCs w:val="24"/>
              </w:rPr>
              <w:t>。</w:t>
            </w:r>
            <w:r>
              <w:rPr>
                <w:rFonts w:hint="eastAsia" w:asciiTheme="minorEastAsia" w:hAnsiTheme="minorEastAsia" w:eastAsiaTheme="minorEastAsia" w:cs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4" w:type="dxa"/>
            <w:vAlign w:val="center"/>
          </w:tcPr>
          <w:p>
            <w:pPr>
              <w:pStyle w:val="25"/>
              <w:spacing w:before="79"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提交首次谈判响应文件截止时间</w:t>
            </w:r>
          </w:p>
        </w:tc>
        <w:tc>
          <w:tcPr>
            <w:tcW w:w="6826" w:type="dxa"/>
            <w:vAlign w:val="center"/>
          </w:tcPr>
          <w:p>
            <w:pPr>
              <w:widowControl/>
              <w:spacing w:line="360" w:lineRule="auto"/>
              <w:ind w:left="24" w:leftChars="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2020年06月02日上午10:00（北京时间）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524" w:type="dxa"/>
            <w:vAlign w:val="center"/>
          </w:tcPr>
          <w:p>
            <w:pPr>
              <w:pStyle w:val="25"/>
              <w:spacing w:before="79" w:line="360" w:lineRule="auto"/>
              <w:ind w:left="156" w:right="138"/>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谈判时间</w:t>
            </w:r>
          </w:p>
        </w:tc>
        <w:tc>
          <w:tcPr>
            <w:tcW w:w="6826" w:type="dxa"/>
            <w:vAlign w:val="center"/>
          </w:tcPr>
          <w:p>
            <w:pPr>
              <w:widowControl/>
              <w:spacing w:line="360" w:lineRule="auto"/>
              <w:ind w:left="24" w:leftChars="11"/>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lang w:val="zh-CN" w:eastAsia="zh-CN" w:bidi="zh-CN"/>
              </w:rPr>
              <w:t>2020年06月02日上午10:00（北京时间）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谈判地点</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重庆市鼎运工程咨询有限公司 会议室（青海省西宁市城西区西川南路76号万达中心4号楼8楼10805室）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524" w:type="dxa"/>
            <w:vAlign w:val="center"/>
          </w:tcPr>
          <w:p>
            <w:pPr>
              <w:pStyle w:val="25"/>
              <w:spacing w:before="157" w:line="360" w:lineRule="auto"/>
              <w:ind w:left="156" w:right="138"/>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采购人联系人</w:t>
            </w:r>
          </w:p>
        </w:tc>
        <w:tc>
          <w:tcPr>
            <w:tcW w:w="6826" w:type="dxa"/>
            <w:vAlign w:val="center"/>
          </w:tcPr>
          <w:p>
            <w:pPr>
              <w:pStyle w:val="25"/>
              <w:spacing w:before="1" w:line="360" w:lineRule="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采购人：</w:t>
            </w:r>
            <w:r>
              <w:rPr>
                <w:rFonts w:hint="eastAsia" w:asciiTheme="minorEastAsia" w:hAnsiTheme="minorEastAsia" w:eastAsiaTheme="minorEastAsia" w:cstheme="minorEastAsia"/>
                <w:sz w:val="24"/>
                <w:szCs w:val="24"/>
                <w:lang w:val="en-US" w:eastAsia="zh-CN" w:bidi="zh-CN"/>
              </w:rPr>
              <w:t>玉树藏族自治州财政局</w:t>
            </w:r>
            <w:r>
              <w:rPr>
                <w:rFonts w:hint="eastAsia" w:asciiTheme="minorEastAsia" w:hAnsiTheme="minorEastAsia" w:eastAsiaTheme="minorEastAsia" w:cstheme="minorEastAsia"/>
                <w:sz w:val="24"/>
                <w:szCs w:val="24"/>
                <w:lang w:val="zh-CN" w:eastAsia="zh-CN" w:bidi="zh-CN"/>
              </w:rPr>
              <w:t xml:space="preserve"> </w:t>
            </w:r>
          </w:p>
          <w:p>
            <w:pPr>
              <w:pStyle w:val="25"/>
              <w:spacing w:before="1" w:line="360" w:lineRule="auto"/>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zh-CN" w:eastAsia="zh-CN" w:bidi="zh-CN"/>
              </w:rPr>
              <w:t>联系人：</w:t>
            </w:r>
            <w:r>
              <w:rPr>
                <w:rFonts w:hint="eastAsia" w:asciiTheme="minorEastAsia" w:hAnsiTheme="minorEastAsia" w:eastAsiaTheme="minorEastAsia" w:cstheme="minorEastAsia"/>
                <w:sz w:val="24"/>
                <w:szCs w:val="24"/>
                <w:lang w:val="en-US" w:eastAsia="zh-CN" w:bidi="zh-CN"/>
              </w:rPr>
              <w:t>巴桑先生</w:t>
            </w:r>
            <w:r>
              <w:rPr>
                <w:rFonts w:hint="eastAsia" w:asciiTheme="minorEastAsia" w:hAnsiTheme="minorEastAsia" w:eastAsiaTheme="minorEastAsia" w:cstheme="minorEastAsia"/>
                <w:sz w:val="24"/>
                <w:szCs w:val="24"/>
                <w:lang w:val="zh-CN" w:eastAsia="zh-CN" w:bidi="zh-CN"/>
              </w:rPr>
              <w:t xml:space="preserve"> </w:t>
            </w:r>
          </w:p>
          <w:p>
            <w:pPr>
              <w:widowControl/>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sz w:val="24"/>
                <w:szCs w:val="24"/>
                <w:lang w:val="en-US" w:eastAsia="zh-CN"/>
              </w:rPr>
              <w:t>0976-8822649</w:t>
            </w:r>
            <w:r>
              <w:rPr>
                <w:rFonts w:hint="eastAsia" w:asciiTheme="minorEastAsia" w:hAnsiTheme="minorEastAsia" w:eastAsiaTheme="minorEastAsia" w:cstheme="minor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2524" w:type="dxa"/>
            <w:vAlign w:val="center"/>
          </w:tcPr>
          <w:p>
            <w:pPr>
              <w:pStyle w:val="25"/>
              <w:spacing w:before="160"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代理机构联系人</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代理机构：重庆市鼎运工程咨询有限公司</w:t>
            </w:r>
          </w:p>
          <w:p>
            <w:pPr>
              <w:widowControl/>
              <w:spacing w:line="360" w:lineRule="auto"/>
              <w:ind w:left="24" w:leftChars="11"/>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吴先生、张女士</w:t>
            </w:r>
          </w:p>
          <w:p>
            <w:pPr>
              <w:widowControl/>
              <w:spacing w:line="360" w:lineRule="auto"/>
              <w:ind w:left="24" w:leftChars="11"/>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联系电话：0971-</w:t>
            </w:r>
            <w:r>
              <w:rPr>
                <w:rFonts w:hint="eastAsia" w:asciiTheme="minorEastAsia" w:hAnsiTheme="minorEastAsia" w:eastAsiaTheme="minorEastAsia" w:cstheme="minorEastAsia"/>
                <w:sz w:val="24"/>
                <w:szCs w:val="24"/>
                <w:lang w:val="en-US"/>
              </w:rPr>
              <w:t>5161033</w:t>
            </w:r>
          </w:p>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524" w:type="dxa"/>
            <w:vAlign w:val="center"/>
          </w:tcPr>
          <w:p>
            <w:pPr>
              <w:pStyle w:val="25"/>
              <w:spacing w:before="2"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代理机构开户行</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中国农业银行股份有限公司西宁市城北支行门源路分理处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收款人</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重庆市鼎运工程咨询有限公司青海分公司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28102001040003001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本公告同时在《青海省电子招投标公共服务平台》、《青海省政府采购网》发布。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2524" w:type="dxa"/>
            <w:vAlign w:val="center"/>
          </w:tcPr>
          <w:p>
            <w:pPr>
              <w:pStyle w:val="25"/>
              <w:spacing w:line="360" w:lineRule="auto"/>
              <w:ind w:left="156" w:right="138"/>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财政监督部门及电话</w:t>
            </w:r>
          </w:p>
        </w:tc>
        <w:tc>
          <w:tcPr>
            <w:tcW w:w="6826" w:type="dxa"/>
            <w:vAlign w:val="center"/>
          </w:tcPr>
          <w:p>
            <w:pPr>
              <w:widowControl/>
              <w:spacing w:line="360" w:lineRule="auto"/>
              <w:ind w:left="24" w:leftChars="1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单位名称：</w:t>
            </w:r>
            <w:r>
              <w:rPr>
                <w:rFonts w:hint="eastAsia" w:asciiTheme="minorEastAsia" w:hAnsiTheme="minorEastAsia" w:eastAsiaTheme="minorEastAsia" w:cstheme="minorEastAsia"/>
                <w:sz w:val="24"/>
                <w:szCs w:val="24"/>
                <w:lang w:val="en-US" w:eastAsia="zh-CN"/>
              </w:rPr>
              <w:t>玉树藏族自治州财政局</w:t>
            </w:r>
          </w:p>
          <w:p>
            <w:pPr>
              <w:widowControl/>
              <w:spacing w:line="360" w:lineRule="auto"/>
              <w:ind w:left="24" w:leftChars="1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0976-88307</w:t>
            </w:r>
            <w:r>
              <w:rPr>
                <w:rFonts w:hint="eastAsia" w:ascii="仿宋" w:hAnsi="仿宋" w:eastAsia="仿宋"/>
                <w:sz w:val="24"/>
                <w:szCs w:val="24"/>
                <w:lang w:val="en-US" w:eastAsia="zh-CN"/>
              </w:rPr>
              <w:t>33</w:t>
            </w:r>
          </w:p>
        </w:tc>
      </w:tr>
    </w:tbl>
    <w:p>
      <w:pPr>
        <w:spacing w:line="360" w:lineRule="auto"/>
        <w:rPr>
          <w:rFonts w:hint="eastAsia" w:asciiTheme="minorEastAsia" w:hAnsiTheme="minorEastAsia" w:eastAsiaTheme="minorEastAsia" w:cstheme="minorEastAsia"/>
          <w:sz w:val="24"/>
          <w:lang w:val="en-US"/>
        </w:rPr>
      </w:pPr>
    </w:p>
    <w:p>
      <w:pPr>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重庆市鼎运工程咨询有限公司</w:t>
      </w:r>
    </w:p>
    <w:p>
      <w:pPr>
        <w:spacing w:line="360" w:lineRule="auto"/>
        <w:jc w:val="right"/>
        <w:rPr>
          <w:rFonts w:hint="eastAsia" w:ascii="仿宋" w:hAnsi="仿宋" w:eastAsia="仿宋"/>
          <w:sz w:val="24"/>
          <w:lang w:eastAsia="zh-CN"/>
        </w:rPr>
      </w:pPr>
      <w:r>
        <w:rPr>
          <w:rFonts w:hint="eastAsia" w:ascii="仿宋" w:hAnsi="仿宋" w:eastAsia="仿宋"/>
          <w:sz w:val="24"/>
          <w:lang w:val="en-US" w:eastAsia="zh-CN"/>
        </w:rPr>
        <w:t>2020年05月21日</w:t>
      </w:r>
    </w:p>
    <w:p>
      <w:pPr>
        <w:pStyle w:val="8"/>
        <w:rPr>
          <w:rFonts w:hint="eastAsia" w:asciiTheme="minorEastAsia" w:hAnsiTheme="minorEastAsia" w:eastAsiaTheme="minorEastAsia" w:cstheme="minorEastAsia"/>
          <w:lang w:val="en-US"/>
        </w:rPr>
      </w:pPr>
    </w:p>
    <w:p>
      <w:pPr>
        <w:pStyle w:val="8"/>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br w:type="page"/>
      </w:r>
    </w:p>
    <w:p>
      <w:pPr>
        <w:spacing w:line="360" w:lineRule="auto"/>
        <w:jc w:val="both"/>
        <w:rPr>
          <w:rFonts w:hint="eastAsia" w:asciiTheme="minorEastAsia" w:hAnsiTheme="minorEastAsia" w:eastAsiaTheme="minorEastAsia" w:cstheme="minorEastAsia"/>
          <w:sz w:val="24"/>
          <w:lang w:val="en-US"/>
        </w:rPr>
      </w:pPr>
    </w:p>
    <w:p>
      <w:pPr>
        <w:pStyle w:val="2"/>
        <w:keepNext w:val="0"/>
        <w:keepLines w:val="0"/>
        <w:spacing w:before="0" w:afterLines="50" w:line="360" w:lineRule="auto"/>
        <w:jc w:val="center"/>
        <w:rPr>
          <w:rFonts w:hint="eastAsia" w:asciiTheme="minorEastAsia" w:hAnsiTheme="minorEastAsia" w:eastAsiaTheme="minorEastAsia" w:cstheme="minorEastAsia"/>
          <w:sz w:val="22"/>
          <w:szCs w:val="13"/>
        </w:rPr>
      </w:pPr>
      <w:bookmarkStart w:id="3" w:name="_Toc22455_WPSOffice_Level1"/>
      <w:r>
        <w:rPr>
          <w:rFonts w:hint="eastAsia" w:asciiTheme="minorEastAsia" w:hAnsiTheme="minorEastAsia" w:eastAsiaTheme="minorEastAsia" w:cstheme="minorEastAsia"/>
          <w:sz w:val="36"/>
          <w:szCs w:val="24"/>
        </w:rPr>
        <w:t>第二部分 投标人须知</w:t>
      </w:r>
      <w:bookmarkEnd w:id="3"/>
    </w:p>
    <w:p>
      <w:pPr>
        <w:spacing w:beforeLines="100" w:line="360" w:lineRule="auto"/>
        <w:ind w:right="57" w:rightChars="26"/>
        <w:jc w:val="center"/>
        <w:rPr>
          <w:rFonts w:hint="eastAsia" w:asciiTheme="minorEastAsia" w:hAnsiTheme="minorEastAsia" w:eastAsiaTheme="minorEastAsia" w:cstheme="minorEastAsia"/>
          <w:b/>
          <w:sz w:val="28"/>
        </w:rPr>
      </w:pPr>
      <w:bookmarkStart w:id="4" w:name="_Toc22455_WPSOffice_Level2"/>
      <w:r>
        <w:rPr>
          <w:rFonts w:hint="eastAsia" w:asciiTheme="minorEastAsia" w:hAnsiTheme="minorEastAsia" w:eastAsiaTheme="minorEastAsia" w:cstheme="minorEastAsia"/>
          <w:b/>
          <w:sz w:val="28"/>
        </w:rPr>
        <w:t>一、 说明</w:t>
      </w:r>
      <w:bookmarkEnd w:id="4"/>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5" w:name="_bookmark3"/>
      <w:bookmarkEnd w:id="5"/>
      <w:bookmarkStart w:id="6" w:name="_Toc22455_WPSOffice_Level3"/>
      <w:r>
        <w:rPr>
          <w:rFonts w:hint="eastAsia" w:asciiTheme="minorEastAsia" w:hAnsiTheme="minorEastAsia" w:eastAsiaTheme="minorEastAsia" w:cstheme="minorEastAsia"/>
          <w:b/>
          <w:sz w:val="24"/>
        </w:rPr>
        <w:t>使用范围</w:t>
      </w:r>
      <w:bookmarkEnd w:id="6"/>
    </w:p>
    <w:p>
      <w:pPr>
        <w:pStyle w:val="23"/>
        <w:tabs>
          <w:tab w:val="left" w:pos="1100"/>
        </w:tabs>
        <w:spacing w:beforeLines="5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本次谈判依据采购人的采购计划，仅适用于本谈判文件中所叙述的项目。</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7" w:name="_bookmark4"/>
      <w:bookmarkEnd w:id="7"/>
      <w:bookmarkStart w:id="8" w:name="_Toc30604_WPSOffice_Level3"/>
      <w:r>
        <w:rPr>
          <w:rFonts w:hint="eastAsia" w:asciiTheme="minorEastAsia" w:hAnsiTheme="minorEastAsia" w:eastAsiaTheme="minorEastAsia" w:cstheme="minorEastAsia"/>
          <w:b/>
          <w:sz w:val="24"/>
        </w:rPr>
        <w:t>采购方式、合格的投标人</w:t>
      </w:r>
      <w:bookmarkEnd w:id="8"/>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本次招标采取竞争性谈判方式；</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合格的投标人：详见第一部分“投标人资格要求”。</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9" w:name="_bookmark5"/>
      <w:bookmarkEnd w:id="9"/>
      <w:bookmarkStart w:id="10" w:name="_Toc293_WPSOffice_Level3"/>
      <w:r>
        <w:rPr>
          <w:rFonts w:hint="eastAsia" w:asciiTheme="minorEastAsia" w:hAnsiTheme="minorEastAsia" w:eastAsiaTheme="minorEastAsia" w:cstheme="minorEastAsia"/>
          <w:b/>
          <w:sz w:val="24"/>
        </w:rPr>
        <w:t>投标费用</w:t>
      </w:r>
      <w:bookmarkEnd w:id="10"/>
    </w:p>
    <w:p>
      <w:pPr>
        <w:pStyle w:val="6"/>
        <w:spacing w:before="161" w:line="360"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投标人应自愿承担参加本次投标有关的费用。采购代理机构对投标人发生的费用不承担任何责任。</w:t>
      </w:r>
    </w:p>
    <w:p>
      <w:pPr>
        <w:spacing w:beforeLines="100" w:line="360" w:lineRule="auto"/>
        <w:ind w:right="57" w:rightChars="26"/>
        <w:jc w:val="center"/>
        <w:rPr>
          <w:rFonts w:hint="eastAsia" w:asciiTheme="minorEastAsia" w:hAnsiTheme="minorEastAsia" w:eastAsiaTheme="minorEastAsia" w:cstheme="minorEastAsia"/>
          <w:b/>
          <w:sz w:val="28"/>
        </w:rPr>
      </w:pPr>
      <w:bookmarkStart w:id="11" w:name="_Toc30604_WPSOffice_Level2"/>
      <w:r>
        <w:rPr>
          <w:rFonts w:hint="eastAsia" w:asciiTheme="minorEastAsia" w:hAnsiTheme="minorEastAsia" w:eastAsiaTheme="minorEastAsia" w:cstheme="minorEastAsia"/>
          <w:b/>
          <w:sz w:val="28"/>
        </w:rPr>
        <w:t>二、 谈判文件说明</w:t>
      </w:r>
      <w:bookmarkEnd w:id="11"/>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2" w:name="_bookmark7"/>
      <w:bookmarkEnd w:id="12"/>
      <w:bookmarkStart w:id="13" w:name="_Toc16381_WPSOffice_Level3"/>
      <w:r>
        <w:rPr>
          <w:rFonts w:hint="eastAsia" w:asciiTheme="minorEastAsia" w:hAnsiTheme="minorEastAsia" w:eastAsiaTheme="minorEastAsia" w:cstheme="minorEastAsia"/>
          <w:b/>
          <w:sz w:val="24"/>
        </w:rPr>
        <w:t>谈判文件的构成</w:t>
      </w:r>
      <w:bookmarkEnd w:id="13"/>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谈判文件包括：</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）投标邀请</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）投标人须知</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）青海省政府采购项目合同书范本</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）响应文件格式</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）采购项目要求及技术参数</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）采购过程中发生的澄清、变更和补充文件</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供应商应当按照谈判文件的要求编制响应文件。响应文件应当对谈判文件提出的要求和条件作出明确响应。</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4" w:name="_bookmark8"/>
      <w:bookmarkEnd w:id="14"/>
      <w:bookmarkStart w:id="15" w:name="_Toc27574_WPSOffice_Level3"/>
      <w:r>
        <w:rPr>
          <w:rFonts w:hint="eastAsia" w:asciiTheme="minorEastAsia" w:hAnsiTheme="minorEastAsia" w:eastAsiaTheme="minorEastAsia" w:cstheme="minorEastAsia"/>
          <w:b/>
          <w:sz w:val="24"/>
        </w:rPr>
        <w:t>谈判公告、谈判文件、采购活动中标结果的质疑</w:t>
      </w:r>
      <w:bookmarkEnd w:id="15"/>
    </w:p>
    <w:p>
      <w:pPr>
        <w:pStyle w:val="6"/>
        <w:spacing w:before="161" w:line="360" w:lineRule="auto"/>
        <w:ind w:left="11" w:leftChars="5" w:right="57" w:rightChars="26" w:firstLine="554" w:firstLineChars="231"/>
        <w:jc w:val="both"/>
        <w:rPr>
          <w:rFonts w:hint="eastAsia" w:asciiTheme="minorEastAsia" w:hAnsiTheme="minorEastAsia" w:eastAsiaTheme="minorEastAsia" w:cstheme="minorEastAsia"/>
        </w:rPr>
      </w:pPr>
      <w:bookmarkStart w:id="16" w:name="_bookmark9"/>
      <w:bookmarkEnd w:id="16"/>
      <w:bookmarkStart w:id="17" w:name="_Toc32313_WPSOffice_Level3"/>
      <w:r>
        <w:rPr>
          <w:rFonts w:hint="eastAsia" w:asciiTheme="minorEastAsia" w:hAnsiTheme="minorEastAsia" w:eastAsiaTheme="minorEastAsia" w:cstheme="minorEastAsia"/>
        </w:rPr>
        <w:t>供应商认为谈判文件使自己的权益受到损害的，应在获取谈判文件之后以书面形式提出质疑（不接受匿名质疑），供应商须在法定质疑期内一次性提出针对同一采购程序环节的质疑。供应商须在法定质疑期内一次性提出针对统一采购程序环节的质疑。</w:t>
      </w:r>
      <w:r>
        <w:rPr>
          <w:rFonts w:hint="eastAsia" w:asciiTheme="minorEastAsia" w:hAnsiTheme="minorEastAsia" w:eastAsiaTheme="minorEastAsia" w:cstheme="minorEastAsia"/>
          <w:lang w:val="en-US"/>
        </w:rPr>
        <w:t>采购代理</w:t>
      </w:r>
      <w:r>
        <w:rPr>
          <w:rFonts w:hint="eastAsia" w:asciiTheme="minorEastAsia" w:hAnsiTheme="minorEastAsia" w:eastAsiaTheme="minorEastAsia" w:cstheme="minorEastAsia"/>
        </w:rPr>
        <w:t>机构在收到供应商的书面质疑后7个工作日内予以答复，并将变更事宜在青海政府采购信息网上发布公告，告知本项目的所有潜在供应商。</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招标文件的澄清或修改</w:t>
      </w:r>
      <w:bookmarkEnd w:id="17"/>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bookmarkStart w:id="18" w:name="_Toc293_WPSOffice_Level2"/>
      <w:r>
        <w:rPr>
          <w:rFonts w:hint="eastAsia" w:asciiTheme="minorEastAsia" w:hAnsiTheme="minorEastAsia" w:eastAsiaTheme="minorEastAsia" w:cstheme="minorEastAsia"/>
          <w:sz w:val="24"/>
        </w:rPr>
        <w:t>在提交首次谈判响应文件截止之日前，采购人、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机构可以对已发出的谈判文件进行必要的澄清或者修改。</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澄清或者修改的内容可能影响谈判响应文件编制的，采购人、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机构提交首次谈判响应文件截止之日3个工作日前，在青海政府采购信息网上发布公告；不足3个工作日的，应当顺延提交首次谈判响应文件截止日期。该澄清或者修改的内容作为谈判文件的组成部分。</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在提交首次谈判响应文件截止之日前，采购人、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机构可以视采购具体情况，延长提交首次谈判响应文件截止时间和谈判时间，并在谈判文件中要求的提交首次谈判响应文件截止时间和谈判时间的3日前，将变更公告发布在青海省政府采购信息网上。</w:t>
      </w:r>
    </w:p>
    <w:p>
      <w:pPr>
        <w:spacing w:beforeLines="100" w:line="360" w:lineRule="auto"/>
        <w:ind w:right="57" w:rightChars="26"/>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三、 响应文件的编制</w:t>
      </w:r>
      <w:bookmarkEnd w:id="18"/>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9" w:name="_bookmark11"/>
      <w:bookmarkEnd w:id="19"/>
      <w:bookmarkStart w:id="20" w:name="_Toc23128_WPSOffice_Level3"/>
      <w:r>
        <w:rPr>
          <w:rFonts w:hint="eastAsia" w:asciiTheme="minorEastAsia" w:hAnsiTheme="minorEastAsia" w:eastAsiaTheme="minorEastAsia" w:cstheme="minorEastAsia"/>
          <w:b/>
          <w:sz w:val="24"/>
        </w:rPr>
        <w:t>响应文件的语言及度量衡单位</w:t>
      </w:r>
      <w:bookmarkEnd w:id="20"/>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供应商提交的响应文件以及供应商与采购代理机构就此响应发生的所有来往函电均应使用简体中文。除签名、盖章、专用名称等特殊情形外，以中文汉语以外的文字表述的响应文件视同未提供。</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除谈判文件中另有规定外，响应文件所使用的度量衡单位，均须采用国家法定计量单位。</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附有外文资料的须翻译成中文，并加盖供应商公章，如果翻译的中文资料与外文资料出现差异与矛盾时，以中文为准，其准确性由供应商负责。</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bookmarkStart w:id="21" w:name="_bookmark12"/>
      <w:bookmarkEnd w:id="21"/>
      <w:bookmarkStart w:id="22" w:name="_Toc19700_WPSOffice_Level3"/>
      <w:r>
        <w:rPr>
          <w:rFonts w:hint="eastAsia" w:asciiTheme="minorEastAsia" w:hAnsiTheme="minorEastAsia" w:eastAsiaTheme="minorEastAsia" w:cstheme="minorEastAsia"/>
          <w:sz w:val="24"/>
        </w:rPr>
        <w:t>谈判报价及币种</w:t>
      </w:r>
      <w:bookmarkEnd w:id="22"/>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谈判报价为谈判总价。谈判报价必须包括：产品费、运输费、保险费、验收费、检验费、售前、售中、售后服务费、招标代理费、税金及不可预见费等全部费用。</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谈判报价有效期与</w:t>
      </w:r>
      <w:r>
        <w:rPr>
          <w:rFonts w:hint="eastAsia" w:asciiTheme="minorEastAsia" w:hAnsiTheme="minorEastAsia" w:eastAsiaTheme="minorEastAsia" w:cstheme="minorEastAsia"/>
          <w:sz w:val="24"/>
          <w:lang w:val="en-US"/>
        </w:rPr>
        <w:t>谈判</w:t>
      </w:r>
      <w:r>
        <w:rPr>
          <w:rFonts w:hint="eastAsia" w:asciiTheme="minorEastAsia" w:hAnsiTheme="minorEastAsia" w:eastAsiaTheme="minorEastAsia" w:cstheme="minorEastAsia"/>
          <w:sz w:val="24"/>
        </w:rPr>
        <w:t>有效期一致。</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谈判报价为闭口价，即中标后在合同有效期内价格不变。</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谈判币种是人民币。</w:t>
      </w:r>
    </w:p>
    <w:p>
      <w:pPr>
        <w:pStyle w:val="23"/>
        <w:numPr>
          <w:ilvl w:val="1"/>
          <w:numId w:val="2"/>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23" w:name="_bookmark13"/>
      <w:bookmarkEnd w:id="23"/>
      <w:bookmarkStart w:id="24" w:name="_Toc23142_WPSOffice_Level3"/>
      <w:r>
        <w:rPr>
          <w:rFonts w:hint="eastAsia" w:asciiTheme="minorEastAsia" w:hAnsiTheme="minorEastAsia" w:eastAsiaTheme="minorEastAsia" w:cstheme="minorEastAsia"/>
          <w:b/>
          <w:sz w:val="24"/>
          <w:lang w:val="en-US"/>
        </w:rPr>
        <w:t>谈判</w:t>
      </w:r>
      <w:r>
        <w:rPr>
          <w:rFonts w:hint="eastAsia" w:asciiTheme="minorEastAsia" w:hAnsiTheme="minorEastAsia" w:eastAsiaTheme="minorEastAsia" w:cstheme="minorEastAsia"/>
          <w:b/>
          <w:sz w:val="24"/>
        </w:rPr>
        <w:t>保证金</w:t>
      </w:r>
      <w:bookmarkEnd w:id="24"/>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供应商须在投标截止时间前按以下要求缴纳谈判保证金：</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谈判保证金：人民币</w:t>
      </w:r>
      <w:r>
        <w:rPr>
          <w:rFonts w:hint="eastAsia" w:ascii="仿宋" w:hAnsi="仿宋" w:eastAsia="仿宋"/>
          <w:b/>
          <w:bCs/>
          <w:color w:val="auto"/>
          <w:sz w:val="24"/>
          <w:lang w:val="en-US" w:eastAsia="zh-CN"/>
        </w:rPr>
        <w:t>5000</w:t>
      </w:r>
      <w:r>
        <w:rPr>
          <w:rFonts w:hint="eastAsia" w:ascii="仿宋" w:hAnsi="仿宋" w:eastAsia="仿宋"/>
          <w:b/>
          <w:bCs/>
          <w:color w:val="auto"/>
          <w:sz w:val="24"/>
          <w:lang w:val="en-US"/>
        </w:rPr>
        <w:t>.00</w:t>
      </w:r>
      <w:r>
        <w:rPr>
          <w:rFonts w:hint="eastAsia" w:ascii="仿宋" w:hAnsi="仿宋" w:eastAsia="仿宋"/>
          <w:b/>
          <w:bCs/>
          <w:color w:val="auto"/>
          <w:sz w:val="24"/>
        </w:rPr>
        <w:t xml:space="preserve"> </w:t>
      </w:r>
      <w:r>
        <w:rPr>
          <w:rFonts w:hint="eastAsia" w:asciiTheme="minorEastAsia" w:hAnsiTheme="minorEastAsia" w:eastAsiaTheme="minorEastAsia" w:cstheme="minorEastAsia"/>
          <w:b/>
          <w:bCs/>
          <w:color w:val="auto"/>
          <w:sz w:val="24"/>
        </w:rPr>
        <w:t>元整（大写：</w:t>
      </w:r>
      <w:r>
        <w:rPr>
          <w:rFonts w:hint="eastAsia" w:asciiTheme="minorEastAsia" w:hAnsiTheme="minorEastAsia" w:eastAsiaTheme="minorEastAsia" w:cstheme="minorEastAsia"/>
          <w:b/>
          <w:bCs/>
          <w:color w:val="auto"/>
          <w:sz w:val="24"/>
          <w:lang w:val="en-US" w:eastAsia="zh-CN"/>
        </w:rPr>
        <w:t>伍仟元整</w:t>
      </w:r>
      <w:r>
        <w:rPr>
          <w:rFonts w:hint="eastAsia" w:asciiTheme="minorEastAsia" w:hAnsiTheme="minorEastAsia" w:eastAsiaTheme="minorEastAsia" w:cstheme="minorEastAsia"/>
          <w:b/>
          <w:bCs/>
          <w:sz w:val="24"/>
        </w:rPr>
        <w:t>）</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账户名：重庆市鼎运工程咨询有限公司青海分公司</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开户行：中国农业银行股份有限公司西宁市城北支行门源路分理处</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账号：28102001040003001</w:t>
      </w: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交纳时间：</w:t>
      </w:r>
      <w:r>
        <w:rPr>
          <w:rFonts w:hint="eastAsia" w:asciiTheme="minorEastAsia" w:hAnsiTheme="minorEastAsia" w:eastAsiaTheme="minorEastAsia" w:cstheme="minorEastAsia"/>
          <w:b/>
          <w:bCs/>
          <w:sz w:val="24"/>
          <w:lang w:val="en-US" w:eastAsia="zh-CN"/>
        </w:rPr>
        <w:t>2020年06月02日上午10:00前</w:t>
      </w:r>
      <w:r>
        <w:rPr>
          <w:rFonts w:hint="eastAsia" w:asciiTheme="minorEastAsia" w:hAnsiTheme="minorEastAsia" w:eastAsiaTheme="minorEastAsia" w:cstheme="minorEastAsia"/>
          <w:b/>
          <w:bCs/>
          <w:sz w:val="24"/>
        </w:rPr>
        <w:t>，以银行到账时间为准。如采购项目变更开标时间，则保证金交纳时间相应顺延。</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方式：谈判保证金应当以银行转账、支票、汇票、本票或者金融机构、担保机构出具的保函等非现金形式提交。通过银行转账的，必须由供应商从其基本账户（须提供开户许可证复印件）汇（转）入第8.1条规定的账户。</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保证金退还：供应商在响应截止时间前撤回已提交的响应文件的，采购代理机构应当自收到供应商书面撤回通知之日起5个工作日内，退还已收取的谈判保证金，但因投标人自身原因导致无法及时退还的除外。</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采购代理机构应当自中标通知书发出之日起5个工作日内退还未成交人的谈判保证金，自采购合同签订之日起5个工作日内退还成交人的谈判保证金或者转为成交人的履约保证金。</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采购代理机构逾期退还谈判保证金的，除应当退还谈判保证金本金外，还应当按中国人民银行同期贷款基准利率上浮20%后的利率支付超期资金占用费，但因投标人自身原因导致无法及时退还的除外。</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25" w:name="_bookmark14"/>
      <w:bookmarkEnd w:id="25"/>
      <w:bookmarkStart w:id="26" w:name="_Toc21424_WPSOffice_Level3"/>
      <w:r>
        <w:rPr>
          <w:rFonts w:hint="eastAsia" w:asciiTheme="minorEastAsia" w:hAnsiTheme="minorEastAsia" w:eastAsiaTheme="minorEastAsia" w:cstheme="minorEastAsia"/>
          <w:b/>
          <w:sz w:val="24"/>
          <w:lang w:val="en-US"/>
        </w:rPr>
        <w:t>谈判有效期</w:t>
      </w:r>
      <w:bookmarkEnd w:id="26"/>
    </w:p>
    <w:p>
      <w:pPr>
        <w:pStyle w:val="6"/>
        <w:spacing w:before="160" w:line="360" w:lineRule="auto"/>
        <w:ind w:left="11" w:leftChars="5" w:right="57" w:rightChars="26" w:firstLine="557" w:firstLineChars="231"/>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从提交谈判响应文件的截止之日起60</w:t>
      </w:r>
      <w:r>
        <w:rPr>
          <w:rFonts w:hint="eastAsia" w:asciiTheme="minorEastAsia" w:hAnsiTheme="minorEastAsia" w:eastAsiaTheme="minorEastAsia" w:cstheme="minorEastAsia"/>
          <w:b/>
          <w:bCs/>
          <w:spacing w:val="-1"/>
        </w:rPr>
        <w:t>日历日。响应文件中承诺的谈判有效期应当不少于谈判文件中载明的谈判有效期。谈判有效期内投标人撤销响应文件的，采购代理机构可以</w:t>
      </w:r>
      <w:r>
        <w:rPr>
          <w:rFonts w:hint="eastAsia" w:asciiTheme="minorEastAsia" w:hAnsiTheme="minorEastAsia" w:eastAsiaTheme="minorEastAsia" w:cstheme="minorEastAsia"/>
          <w:b/>
          <w:bCs/>
        </w:rPr>
        <w:t>不退还谈判保证金。</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27" w:name="_bookmark15"/>
      <w:bookmarkEnd w:id="27"/>
      <w:bookmarkStart w:id="28" w:name="_Toc20132_WPSOffice_Level3"/>
      <w:r>
        <w:rPr>
          <w:rFonts w:hint="eastAsia" w:asciiTheme="minorEastAsia" w:hAnsiTheme="minorEastAsia" w:eastAsiaTheme="minorEastAsia" w:cstheme="minorEastAsia"/>
          <w:b/>
          <w:sz w:val="24"/>
          <w:lang w:val="en-US"/>
        </w:rPr>
        <w:t>响应文件构成</w:t>
      </w:r>
      <w:bookmarkEnd w:id="28"/>
    </w:p>
    <w:p>
      <w:pPr>
        <w:pStyle w:val="6"/>
        <w:spacing w:before="160" w:line="360"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供应商应提交相关证明材料，作为其参加谈判和中标后有能力履行合同的证明。编写的响应文件须包括以下内容（格式见谈判文件第四部分）：</w:t>
      </w:r>
    </w:p>
    <w:p>
      <w:pPr>
        <w:pStyle w:val="6"/>
        <w:spacing w:before="160" w:line="360" w:lineRule="auto"/>
        <w:ind w:left="11" w:leftChars="5" w:right="57" w:rightChars="26" w:firstLine="554" w:firstLineChars="231"/>
        <w:rPr>
          <w:rFonts w:hint="eastAsia" w:asciiTheme="minorEastAsia" w:hAnsiTheme="minorEastAsia" w:eastAsiaTheme="minorEastAsia" w:cstheme="minorEastAsia"/>
        </w:rPr>
      </w:pPr>
    </w:p>
    <w:p>
      <w:pPr>
        <w:pStyle w:val="23"/>
        <w:numPr>
          <w:ilvl w:val="2"/>
          <w:numId w:val="2"/>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bookmarkStart w:id="29" w:name="_bookmark16"/>
      <w:bookmarkEnd w:id="29"/>
      <w:r>
        <w:rPr>
          <w:rFonts w:hint="eastAsia" w:asciiTheme="minorEastAsia" w:hAnsiTheme="minorEastAsia" w:eastAsiaTheme="minorEastAsia" w:cstheme="minorEastAsia"/>
          <w:b/>
          <w:bCs/>
          <w:sz w:val="24"/>
        </w:rPr>
        <w:t>响应文件</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）响应函</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）法定代表人证明书</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）法定代表人授权书</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）供应商承诺函</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）供应商诚信承诺书</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）资格证明材料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7</w:t>
      </w:r>
      <w:r>
        <w:rPr>
          <w:rFonts w:hint="eastAsia" w:asciiTheme="minorEastAsia" w:hAnsiTheme="minorEastAsia" w:eastAsiaTheme="minorEastAsia" w:cstheme="minorEastAsia"/>
          <w:sz w:val="24"/>
        </w:rPr>
        <w:t>）财务状况报告，依法缴纳税收和社会保证资金的相关材料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8</w:t>
      </w:r>
      <w:r>
        <w:rPr>
          <w:rFonts w:hint="eastAsia" w:asciiTheme="minorEastAsia" w:hAnsiTheme="minorEastAsia" w:eastAsiaTheme="minorEastAsia" w:cstheme="minorEastAsia"/>
          <w:sz w:val="24"/>
        </w:rPr>
        <w:t>）具备履行合同所必需的设备和专业技术能力的证明材料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9</w:t>
      </w:r>
      <w:r>
        <w:rPr>
          <w:rFonts w:hint="eastAsia" w:asciiTheme="minorEastAsia" w:hAnsiTheme="minorEastAsia" w:eastAsiaTheme="minorEastAsia" w:cstheme="minorEastAsia"/>
          <w:sz w:val="24"/>
        </w:rPr>
        <w:t>）无重大违法记录声明</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10</w:t>
      </w:r>
      <w:r>
        <w:rPr>
          <w:rFonts w:hint="eastAsia" w:asciiTheme="minorEastAsia" w:hAnsiTheme="minorEastAsia" w:eastAsiaTheme="minorEastAsia" w:cstheme="minorEastAsia"/>
          <w:sz w:val="24"/>
        </w:rPr>
        <w:t>）谈判保证金证明</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bookmarkStart w:id="30" w:name="_bookmark17"/>
      <w:bookmarkEnd w:id="30"/>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首次报价</w:t>
      </w:r>
      <w:r>
        <w:rPr>
          <w:rFonts w:hint="eastAsia" w:asciiTheme="minorEastAsia" w:hAnsiTheme="minorEastAsia" w:eastAsiaTheme="minorEastAsia" w:cstheme="minorEastAsia"/>
          <w:sz w:val="24"/>
        </w:rPr>
        <w:t>一览表（报价表）</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12</w:t>
      </w:r>
      <w:r>
        <w:rPr>
          <w:rFonts w:hint="eastAsia" w:asciiTheme="minorEastAsia" w:hAnsiTheme="minorEastAsia" w:eastAsiaTheme="minorEastAsia" w:cstheme="minorEastAsia"/>
          <w:sz w:val="24"/>
        </w:rPr>
        <w:t>）分项报价表</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13</w:t>
      </w:r>
      <w:r>
        <w:rPr>
          <w:rFonts w:hint="eastAsia" w:asciiTheme="minorEastAsia" w:hAnsiTheme="minorEastAsia" w:eastAsiaTheme="minorEastAsia" w:cstheme="minorEastAsia"/>
          <w:sz w:val="24"/>
        </w:rPr>
        <w:t>）技术规格响应表</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14</w:t>
      </w:r>
      <w:r>
        <w:rPr>
          <w:rFonts w:hint="eastAsia" w:asciiTheme="minorEastAsia" w:hAnsiTheme="minorEastAsia" w:eastAsiaTheme="minorEastAsia" w:cstheme="minorEastAsia"/>
          <w:sz w:val="24"/>
        </w:rPr>
        <w:t>）投标产品相关资料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15</w:t>
      </w:r>
      <w:r>
        <w:rPr>
          <w:rFonts w:hint="eastAsia" w:asciiTheme="minorEastAsia" w:hAnsiTheme="minorEastAsia" w:eastAsiaTheme="minorEastAsia" w:cstheme="minorEastAsia"/>
          <w:sz w:val="24"/>
        </w:rPr>
        <w:t>）供应商的业绩证明材料</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（16）</w:t>
      </w:r>
      <w:r>
        <w:rPr>
          <w:rFonts w:hint="eastAsia" w:asciiTheme="minorEastAsia" w:hAnsiTheme="minorEastAsia" w:eastAsiaTheme="minorEastAsia" w:cstheme="minorEastAsia"/>
          <w:sz w:val="24"/>
        </w:rPr>
        <w:t>声明函</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17</w:t>
      </w:r>
      <w:r>
        <w:rPr>
          <w:rFonts w:hint="eastAsia" w:asciiTheme="minorEastAsia" w:hAnsiTheme="minorEastAsia" w:eastAsiaTheme="minorEastAsia" w:cstheme="minorEastAsia"/>
          <w:sz w:val="24"/>
        </w:rPr>
        <w:t>）残疾人福利性单位声明函</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18</w:t>
      </w:r>
      <w:r>
        <w:rPr>
          <w:rFonts w:hint="eastAsia" w:asciiTheme="minorEastAsia" w:hAnsiTheme="minorEastAsia" w:eastAsiaTheme="minorEastAsia" w:cstheme="minorEastAsia"/>
          <w:sz w:val="24"/>
        </w:rPr>
        <w:t>）供应商认为在其他方面有必要说明的事项</w:t>
      </w:r>
    </w:p>
    <w:p>
      <w:pPr>
        <w:pStyle w:val="23"/>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19</w:t>
      </w:r>
      <w:r>
        <w:rPr>
          <w:rFonts w:hint="eastAsia" w:asciiTheme="minorEastAsia" w:hAnsiTheme="minorEastAsia" w:eastAsiaTheme="minorEastAsia" w:cstheme="minorEastAsia"/>
          <w:sz w:val="24"/>
        </w:rPr>
        <w:t>）最终报价表</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注：供应商须按上述内容、顺序和格式编制响应文件，并按要求编制目录、页码，并保证所提供的全部资料真实可信，自愿承担相应责任。</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1" w:name="_bookmark18"/>
      <w:bookmarkEnd w:id="31"/>
      <w:bookmarkStart w:id="32" w:name="_Toc1601_WPSOffice_Level3"/>
      <w:r>
        <w:rPr>
          <w:rFonts w:hint="eastAsia" w:asciiTheme="minorEastAsia" w:hAnsiTheme="minorEastAsia" w:eastAsiaTheme="minorEastAsia" w:cstheme="minorEastAsia"/>
          <w:b/>
          <w:sz w:val="24"/>
          <w:lang w:val="en-US"/>
        </w:rPr>
        <w:t>响应文件的编制要求</w:t>
      </w:r>
      <w:bookmarkEnd w:id="32"/>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供应商应按照谈判文件所提供的响应文件格式，分别填写谈判文件第四部分的内容；谈判文件要求签字、盖章的地方必须由供应商的法定代表人或委托代理人按要求签字、盖章。</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供应商应准备纸质响应文件正本1份、副本</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份，电子文档1份（</w:t>
      </w:r>
      <w:r>
        <w:rPr>
          <w:rFonts w:hint="eastAsia" w:asciiTheme="minorEastAsia" w:hAnsiTheme="minorEastAsia" w:eastAsiaTheme="minorEastAsia" w:cstheme="minorEastAsia"/>
          <w:sz w:val="24"/>
          <w:lang w:val="en-US"/>
        </w:rPr>
        <w:t>U盘</w:t>
      </w:r>
      <w:r>
        <w:rPr>
          <w:rFonts w:hint="eastAsia" w:asciiTheme="minorEastAsia" w:hAnsiTheme="minorEastAsia" w:eastAsiaTheme="minorEastAsia" w:cstheme="minorEastAsia"/>
          <w:sz w:val="24"/>
        </w:rPr>
        <w:t>）。若发生正本和副本不符，以正本为准。响应文件统一使用A4幅面的纸张印制，必须胶装，其他方式装订的投标文件一概不予接受。</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响应文件的正本需打印或用不退色、不变质的墨水书写，副本可以采用正本的复印件。电子文档用 U 盘制作，采用不可修改文档格式（如：PDF 格式），内容必须和纸质响应文件正本完全一致，包括封面、页码、签字、盖章等。</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响应文件中不得行间插字、涂改或增删，如有修改错漏处，须由供应商法定代表人或其委托代理人签字、加盖公章。</w:t>
      </w:r>
    </w:p>
    <w:p>
      <w:pPr>
        <w:spacing w:beforeLines="100" w:line="360" w:lineRule="auto"/>
        <w:ind w:right="57" w:rightChars="26"/>
        <w:jc w:val="center"/>
        <w:rPr>
          <w:rFonts w:hint="eastAsia" w:asciiTheme="minorEastAsia" w:hAnsiTheme="minorEastAsia" w:eastAsiaTheme="minorEastAsia" w:cstheme="minorEastAsia"/>
          <w:b/>
          <w:sz w:val="28"/>
        </w:rPr>
      </w:pPr>
      <w:bookmarkStart w:id="33" w:name="_Toc16381_WPSOffice_Level2"/>
      <w:r>
        <w:rPr>
          <w:rFonts w:hint="eastAsia" w:asciiTheme="minorEastAsia" w:hAnsiTheme="minorEastAsia" w:eastAsiaTheme="minorEastAsia" w:cstheme="minorEastAsia"/>
          <w:b/>
          <w:sz w:val="28"/>
        </w:rPr>
        <w:t>四、 响应文件的提交</w:t>
      </w:r>
      <w:bookmarkEnd w:id="33"/>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4" w:name="_bookmark20"/>
      <w:bookmarkEnd w:id="34"/>
      <w:bookmarkStart w:id="35" w:name="_Toc3888_WPSOffice_Level3"/>
      <w:r>
        <w:rPr>
          <w:rFonts w:hint="eastAsia" w:asciiTheme="minorEastAsia" w:hAnsiTheme="minorEastAsia" w:eastAsiaTheme="minorEastAsia" w:cstheme="minorEastAsia"/>
          <w:b/>
          <w:sz w:val="24"/>
          <w:lang w:val="en-US"/>
        </w:rPr>
        <w:t>响应文件的密封和标记</w:t>
      </w:r>
      <w:bookmarkEnd w:id="35"/>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响应文件正本、所有副本、电子文档（</w:t>
      </w:r>
      <w:r>
        <w:rPr>
          <w:rFonts w:hint="eastAsia" w:asciiTheme="minorEastAsia" w:hAnsiTheme="minorEastAsia" w:eastAsiaTheme="minorEastAsia" w:cstheme="minorEastAsia"/>
          <w:sz w:val="24"/>
          <w:lang w:val="en-US"/>
        </w:rPr>
        <w:t>U盘</w:t>
      </w:r>
      <w:r>
        <w:rPr>
          <w:rFonts w:hint="eastAsia" w:asciiTheme="minorEastAsia" w:hAnsiTheme="minorEastAsia" w:eastAsiaTheme="minorEastAsia" w:cstheme="minorEastAsia"/>
          <w:sz w:val="24"/>
        </w:rPr>
        <w:t>）， 应分别封装于不同的密封袋内，密封袋上应分别标上“正本”、“副本”、“电子文档”字样，并注明供应商名称、采购项目编号、采购项目名称。</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密封后的响应文件密封袋用“于</w:t>
      </w:r>
      <w:r>
        <w:rPr>
          <w:rFonts w:hint="eastAsia" w:asciiTheme="minorEastAsia" w:hAnsiTheme="minorEastAsia" w:eastAsiaTheme="minorEastAsia" w:cstheme="minorEastAsia"/>
          <w:sz w:val="24"/>
          <w:lang w:eastAsia="zh-CN"/>
        </w:rPr>
        <w:t>2020年06月02日上午10:00</w:t>
      </w:r>
      <w:r>
        <w:rPr>
          <w:rFonts w:hint="eastAsia" w:asciiTheme="minorEastAsia" w:hAnsiTheme="minorEastAsia" w:eastAsiaTheme="minorEastAsia" w:cstheme="minorEastAsia"/>
          <w:sz w:val="24"/>
        </w:rPr>
        <w:t>（北京时间）之前不准启封”的标签密封。</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6" w:name="_bookmark21"/>
      <w:bookmarkEnd w:id="36"/>
      <w:bookmarkStart w:id="37" w:name="_Toc10624_WPSOffice_Level3"/>
      <w:r>
        <w:rPr>
          <w:rFonts w:hint="eastAsia" w:asciiTheme="minorEastAsia" w:hAnsiTheme="minorEastAsia" w:eastAsiaTheme="minorEastAsia" w:cstheme="minorEastAsia"/>
          <w:b/>
          <w:sz w:val="24"/>
          <w:lang w:val="en-US"/>
        </w:rPr>
        <w:t>提交响应文件的时间、地点、方式</w:t>
      </w:r>
      <w:bookmarkEnd w:id="37"/>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在谈判文件要求提交响应文件的截止时间前，将响应文件（正本、副本、电子文档）密封送达投标地点。采购代理机构收到响应文件后，应当如实记载响应文件的送达时间和密封情况，签收保存。任何单位和个人不得在开标前开启响应文件。</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逾期送达或者未按照谈判文件第 13.1-13.2 条要求密封的响应文件，采购人、采购代理机构应当拒收。</w:t>
      </w:r>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8" w:name="_bookmark22"/>
      <w:bookmarkEnd w:id="38"/>
      <w:bookmarkStart w:id="39" w:name="_Toc11753_WPSOffice_Level3"/>
      <w:r>
        <w:rPr>
          <w:rFonts w:hint="eastAsia" w:asciiTheme="minorEastAsia" w:hAnsiTheme="minorEastAsia" w:eastAsiaTheme="minorEastAsia" w:cstheme="minorEastAsia"/>
          <w:b/>
          <w:sz w:val="24"/>
          <w:lang w:val="en-US"/>
        </w:rPr>
        <w:t>响应文件的补充、修改或者撤回</w:t>
      </w:r>
      <w:bookmarkEnd w:id="39"/>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供应商在响应文件递交截止时间前，可以对所递交的响应文件进行补充、修改或者撤回，并书面通知采购代理机构。补充、修改的内容应当按照谈判文件要求签署、盖章、密封后，作为响应文件的组成部分。</w:t>
      </w:r>
    </w:p>
    <w:p>
      <w:pPr>
        <w:spacing w:beforeLines="100" w:line="360" w:lineRule="auto"/>
        <w:ind w:right="57" w:rightChars="26"/>
        <w:jc w:val="center"/>
        <w:rPr>
          <w:rFonts w:hint="eastAsia" w:asciiTheme="minorEastAsia" w:hAnsiTheme="minorEastAsia" w:eastAsiaTheme="minorEastAsia" w:cstheme="minorEastAsia"/>
          <w:b/>
          <w:sz w:val="28"/>
        </w:rPr>
      </w:pPr>
      <w:bookmarkStart w:id="40" w:name="_Toc27574_WPSOffice_Level2"/>
      <w:r>
        <w:rPr>
          <w:rFonts w:hint="eastAsia" w:asciiTheme="minorEastAsia" w:hAnsiTheme="minorEastAsia" w:eastAsiaTheme="minorEastAsia" w:cstheme="minorEastAsia"/>
          <w:b/>
          <w:sz w:val="28"/>
        </w:rPr>
        <w:t>五、 开标</w:t>
      </w:r>
      <w:bookmarkEnd w:id="40"/>
    </w:p>
    <w:p>
      <w:pPr>
        <w:pStyle w:val="23"/>
        <w:numPr>
          <w:ilvl w:val="1"/>
          <w:numId w:val="2"/>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41" w:name="_bookmark24"/>
      <w:bookmarkEnd w:id="41"/>
      <w:bookmarkStart w:id="42" w:name="_Toc3731_WPSOffice_Level3"/>
      <w:r>
        <w:rPr>
          <w:rFonts w:hint="eastAsia" w:asciiTheme="minorEastAsia" w:hAnsiTheme="minorEastAsia" w:eastAsiaTheme="minorEastAsia" w:cstheme="minorEastAsia"/>
          <w:b/>
          <w:sz w:val="24"/>
          <w:lang w:val="en-US"/>
        </w:rPr>
        <w:t>开标</w:t>
      </w:r>
      <w:bookmarkEnd w:id="42"/>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开标应当在谈判文件确定的提交响应文件截止时间的同一时间进行，采购代理机构应当按本文件中确定的时间和地点组织开标活动。</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采购代理机构应当对开标、评标现场活动进行全程录音录像。录音录像应当清晰可辨，音像资料作为采购文件一并存档。</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开标由采购代理机构主持，邀请供应商参加。</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开标时，应当由供应商或者其推选的代表检查响应文件的密封情况；经确认无误后，由采购代理机构工作人员当众拆封，宣布供应商名称、并核验供应商身份。供应商不足 3 家的，不得开标。</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代表对开标过程和开标记录有异议，以及认为采购人、采购代理机构相关工作人员有需要回避的情形的，应当场提出询问或者回避申请。采购人、采购代理机构对供应商代表提出的询问或者回避申请应当及时处理。</w:t>
      </w:r>
    </w:p>
    <w:p>
      <w:pPr>
        <w:pStyle w:val="23"/>
        <w:numPr>
          <w:ilvl w:val="2"/>
          <w:numId w:val="2"/>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供应商未参加开标的，视同认可开标结果。</w:t>
      </w:r>
    </w:p>
    <w:p>
      <w:pPr>
        <w:widowControl/>
        <w:spacing w:beforeLines="100" w:afterLines="100"/>
        <w:jc w:val="center"/>
        <w:outlineLvl w:val="1"/>
        <w:rPr>
          <w:rFonts w:hint="eastAsia" w:asciiTheme="minorEastAsia" w:hAnsiTheme="minorEastAsia" w:eastAsiaTheme="minorEastAsia" w:cstheme="minorEastAsia"/>
          <w:b/>
          <w:bCs/>
          <w:sz w:val="36"/>
          <w:szCs w:val="36"/>
        </w:rPr>
      </w:pPr>
      <w:bookmarkStart w:id="43" w:name="_Toc510171140"/>
      <w:bookmarkStart w:id="44" w:name="_Toc496004006"/>
      <w:bookmarkStart w:id="45" w:name="_Toc32313_WPSOffice_Level2"/>
      <w:bookmarkStart w:id="46" w:name="_Toc416183210"/>
      <w:r>
        <w:rPr>
          <w:rFonts w:hint="eastAsia" w:asciiTheme="minorEastAsia" w:hAnsiTheme="minorEastAsia" w:eastAsiaTheme="minorEastAsia" w:cstheme="minorEastAsia"/>
          <w:b/>
          <w:sz w:val="28"/>
        </w:rPr>
        <w:t>六、</w:t>
      </w:r>
      <w:bookmarkEnd w:id="43"/>
      <w:bookmarkEnd w:id="44"/>
      <w:bookmarkEnd w:id="45"/>
      <w:bookmarkEnd w:id="46"/>
      <w:r>
        <w:rPr>
          <w:rFonts w:hint="eastAsia" w:asciiTheme="minorEastAsia" w:hAnsiTheme="minorEastAsia" w:eastAsiaTheme="minorEastAsia" w:cstheme="minorEastAsia"/>
          <w:b/>
          <w:sz w:val="28"/>
        </w:rPr>
        <w:t>谈判程序及方法</w:t>
      </w:r>
    </w:p>
    <w:p>
      <w:pPr>
        <w:pStyle w:val="23"/>
        <w:spacing w:beforeLines="50" w:afterLines="50" w:line="360" w:lineRule="auto"/>
        <w:ind w:left="400" w:right="57" w:rightChars="26" w:firstLine="0"/>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16.谈判小组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16.1采购人、采购代理机构将根据采购项目的特点依法组建谈判小组，其成员由采购人代表和具有一定专业水平的技术、经济等方面的专家共三人以上的单数组成，其中专家的人数不得少于成员总数的三分之二。</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16.2谈判由采购代理机构负责组织，具体谈判事务由依法组建的谈判小组负责，并独立履行下列职责：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（1）审查通过资格条件供应商的谈判响应文件，并作出评价；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（2）要求供应商解释或者澄清其谈判响应文件；</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（3）推荐预成交候选人；</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（4）对非法干预评标工作的人员和机构进行举报或投诉。</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16.3谈判小组应遵守并履行下列义务：</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（1）遵纪守法，客观、公正、廉洁地履行职责；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（2）按照谈判文件规定的成交方法评审，对评审意见承担谈判小组成员责任；</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（3）对谈判响应文件、谈判情况和谈判中获悉的商业秘密保密；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（4）参与评审报告的起草；</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（5）解答供应商及有关方面的质疑；</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（6）配合纪检部门进行投诉处理工作。</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16.4谈判工作在有关部门的监督下依法开展，任何单位和个人不得非法干预、影响谈判工作和谈判结果。</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16.5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beforeLines="50" w:afterLines="50" w:line="360" w:lineRule="auto"/>
        <w:ind w:right="57" w:rightChars="26" w:firstLine="472" w:firstLineChars="196"/>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17. 谈判工作程序</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17.1进入谈判阶段后，由谈判小组独立开展评审工作，谈判小组所有成员应当集中与单一供应商分别进行谈判，并负责审议所有通过资格条件供应商的谈判响应文件。</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17.2</w:t>
      </w:r>
      <w:r>
        <w:rPr>
          <w:rFonts w:hint="eastAsia" w:asciiTheme="minorEastAsia" w:hAnsiTheme="minorEastAsia" w:eastAsiaTheme="minorEastAsia" w:cstheme="minorEastAsia"/>
          <w:sz w:val="24"/>
          <w:lang w:val="en-US" w:eastAsia="zh-CN"/>
        </w:rPr>
        <w:t>资格</w:t>
      </w:r>
      <w:r>
        <w:rPr>
          <w:rFonts w:hint="eastAsia" w:asciiTheme="minorEastAsia" w:hAnsiTheme="minorEastAsia" w:eastAsiaTheme="minorEastAsia" w:cstheme="minorEastAsia"/>
          <w:sz w:val="24"/>
        </w:rPr>
        <w:t>性</w:t>
      </w:r>
      <w:r>
        <w:rPr>
          <w:rFonts w:hint="eastAsia" w:asciiTheme="minorEastAsia" w:hAnsiTheme="minorEastAsia" w:eastAsiaTheme="minorEastAsia" w:cstheme="minorEastAsia"/>
          <w:sz w:val="24"/>
          <w:lang w:val="en-US" w:eastAsia="zh-CN"/>
        </w:rPr>
        <w:t>及符合性</w:t>
      </w:r>
      <w:r>
        <w:rPr>
          <w:rFonts w:hint="eastAsia" w:asciiTheme="minorEastAsia" w:hAnsiTheme="minorEastAsia" w:eastAsiaTheme="minorEastAsia" w:cstheme="minorEastAsia"/>
          <w:sz w:val="24"/>
        </w:rPr>
        <w:t>审查时，存在下列情况之一的，按无效处理：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（1）不符合谈判文件第一部分供应商须知前附表“供应商资格条件”的；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（2）未按第</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.1款（1）-（11）要求提供相关资料的；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（3）响应文件没有按谈判文件规定和要求签字、盖章的；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eastAsia="zh-CN"/>
        </w:rPr>
        <w:t>供货期</w:t>
      </w:r>
      <w:r>
        <w:rPr>
          <w:rFonts w:hint="eastAsia" w:asciiTheme="minorEastAsia" w:hAnsiTheme="minorEastAsia" w:eastAsiaTheme="minorEastAsia" w:cstheme="minorEastAsia"/>
          <w:sz w:val="24"/>
        </w:rPr>
        <w:t>、谈判有效期不能满足谈判文件要求的；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（5）谈判报价超过谈判文件规定的采购预算额度；</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（6）所提供产品的技术规格、技术标准不符合采购项目要求的；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（7）谈判响应文件含有采购人不能接受的附加条件的；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（8）擅自修改谈判文件规定的谈判响应文件格式以及编制要求的；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（9）谈判小组认为应按无效谈判处理的其他情况；</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（10）法律、法规规定的其他情形。</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17.4响应文件报价出现前后不一致的，按照下列规定修正：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（1）响应文件中谈判一览表（报价表）内容与响应文件中相应内容不一致的，以谈判一览表（报价表）为准；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（2）大写金额和小写金额不一致的，以大写金额为准；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（3）单价金额小数点或者百分比有明显错位的，以谈判一览表的总价为准，并修改单价；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（4）总价金额与按单价汇总金额不一致的，以单价金额计算结果为准。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同时出现两种以上不一致的，按照前款规定的顺序修正。</w:t>
      </w:r>
    </w:p>
    <w:p>
      <w:pPr>
        <w:widowControl/>
        <w:snapToGrid w:val="0"/>
        <w:spacing w:line="360" w:lineRule="auto"/>
        <w:ind w:firstLine="472" w:firstLineChars="196"/>
        <w:outlineLvl w:val="1"/>
        <w:rPr>
          <w:rFonts w:hint="eastAsia" w:asciiTheme="minorEastAsia" w:hAnsiTheme="minorEastAsia" w:eastAsiaTheme="minorEastAsia" w:cstheme="minorEastAsia"/>
          <w:b/>
          <w:bCs/>
          <w:sz w:val="27"/>
          <w:szCs w:val="27"/>
        </w:rPr>
      </w:pPr>
      <w:r>
        <w:rPr>
          <w:rFonts w:hint="eastAsia" w:asciiTheme="minorEastAsia" w:hAnsiTheme="minorEastAsia" w:eastAsiaTheme="minorEastAsia" w:cstheme="minorEastAsia"/>
          <w:b/>
          <w:sz w:val="24"/>
          <w:lang w:val="en-US"/>
        </w:rPr>
        <w:t>18. 答疑的方式和情形</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18.1答疑方式：现场书面答疑</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18.2谈判小组在对谈判响应文件的有效性、完整性和响应程度进行审查时，对于谈判响应文件中含义不明确、同类问题表述不一致或者有明显文字和计算错误的内容，谈判小组应当要求供应商作出必要的澄清、说明或者更正。供应商的澄清、说明或者更正不得超出谈判响应文件的范围或者改变谈判响应文件的实质性内容，并作为谈判响应文件的组成部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18.3 答疑期间，供应商存在以下情况的，澄清、说明或者更正的内容将不予接受，谈判小组将按照谈判文件的要求对现有的谈判资料做出评审意见：</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（1）拒绝或在规定的时间内未做出澄清、说明或者更正；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（2）供应商的澄清、说明或者更正超出谈判响应文件的范围或者改变谈判响应文件的实质性内容；</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（3）澄清、说明或者更正的内容仍不能说明问题的；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（4）供应商主动提出的澄清、说明或者更正的内容；</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（5）谈判小组认为应不予接受的其他情况。</w:t>
      </w:r>
    </w:p>
    <w:p>
      <w:pPr>
        <w:spacing w:line="4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18.4答疑结束后，谈判小组确定不少于3家合格的供应商进行最后报价。</w:t>
      </w:r>
    </w:p>
    <w:p>
      <w:pPr>
        <w:spacing w:beforeLines="100" w:line="360" w:lineRule="auto"/>
        <w:ind w:right="57" w:rightChars="26"/>
        <w:jc w:val="center"/>
        <w:rPr>
          <w:rFonts w:hint="eastAsia" w:asciiTheme="minorEastAsia" w:hAnsiTheme="minorEastAsia" w:eastAsiaTheme="minorEastAsia" w:cstheme="minorEastAsia"/>
          <w:b/>
          <w:sz w:val="28"/>
        </w:rPr>
      </w:pPr>
      <w:bookmarkStart w:id="47" w:name="_Toc19700_WPSOffice_Level2"/>
      <w:bookmarkStart w:id="48" w:name="_Toc510171147"/>
      <w:r>
        <w:rPr>
          <w:rFonts w:hint="eastAsia" w:asciiTheme="minorEastAsia" w:hAnsiTheme="minorEastAsia" w:eastAsiaTheme="minorEastAsia" w:cstheme="minorEastAsia"/>
          <w:b/>
          <w:sz w:val="28"/>
        </w:rPr>
        <w:t>七、成交办法</w:t>
      </w:r>
      <w:bookmarkEnd w:id="47"/>
      <w:bookmarkEnd w:id="48"/>
    </w:p>
    <w:p>
      <w:pPr>
        <w:spacing w:beforeLines="50" w:afterLines="50" w:line="360" w:lineRule="auto"/>
        <w:ind w:right="57" w:rightChars="26" w:firstLine="590" w:firstLineChars="245"/>
        <w:rPr>
          <w:rFonts w:hint="eastAsia" w:asciiTheme="minorEastAsia" w:hAnsiTheme="minorEastAsia" w:eastAsiaTheme="minorEastAsia" w:cstheme="minorEastAsia"/>
          <w:b/>
          <w:sz w:val="24"/>
          <w:lang w:val="en-US"/>
        </w:rPr>
      </w:pPr>
      <w:bookmarkStart w:id="49" w:name="_Toc510171148"/>
      <w:bookmarkStart w:id="50" w:name="_Toc708_WPSOffice_Level3"/>
      <w:r>
        <w:rPr>
          <w:rFonts w:hint="eastAsia" w:asciiTheme="minorEastAsia" w:hAnsiTheme="minorEastAsia" w:eastAsiaTheme="minorEastAsia" w:cstheme="minorEastAsia"/>
          <w:b/>
          <w:sz w:val="24"/>
          <w:lang w:val="en-US"/>
        </w:rPr>
        <w:t>19.推荐并确定成交供应商</w:t>
      </w:r>
      <w:bookmarkEnd w:id="49"/>
      <w:bookmarkEnd w:id="50"/>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bookmarkStart w:id="51" w:name="_Toc27351_WPSOffice_Level3"/>
      <w:bookmarkStart w:id="52" w:name="_Toc510171149"/>
      <w:bookmarkStart w:id="53" w:name="_Toc325726028"/>
      <w:bookmarkStart w:id="54" w:name="_Toc416183216"/>
      <w:bookmarkStart w:id="55" w:name="_Toc376936759"/>
      <w:r>
        <w:rPr>
          <w:rFonts w:hint="eastAsia" w:asciiTheme="minorEastAsia" w:hAnsiTheme="minorEastAsia" w:eastAsiaTheme="minorEastAsia" w:cstheme="minorEastAsia"/>
          <w:sz w:val="24"/>
        </w:rPr>
        <w:t>19.1谈判结束后谈判小组应当要求所有继续参加谈判的供应商在规定时间内进行最后</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报价，谈判小组应当从质量和服务均能满足采购文件实质性响应要求的供应商中，按照最后报价由低到高的顺序提出3名成交候选人，并编写</w:t>
      </w:r>
      <w:r>
        <w:rPr>
          <w:rFonts w:hint="eastAsia" w:asciiTheme="minorEastAsia" w:hAnsiTheme="minorEastAsia" w:eastAsiaTheme="minorEastAsia" w:cstheme="minorEastAsia"/>
          <w:sz w:val="24"/>
          <w:lang w:val="en-US"/>
        </w:rPr>
        <w:t>评审</w:t>
      </w:r>
      <w:r>
        <w:rPr>
          <w:rFonts w:hint="eastAsia" w:asciiTheme="minorEastAsia" w:hAnsiTheme="minorEastAsia" w:eastAsiaTheme="minorEastAsia" w:cstheme="minorEastAsia"/>
          <w:sz w:val="24"/>
        </w:rPr>
        <w:t>报告。</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采购人从谈判小组提出的成交候选人中，根据符合采购需求、质量和服务相等且最终报价最低（不能低于成本）的原则确定成交供应商。若报价相同时，按产品质量和服务优劣确定最佳预成交人。</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19.2成交人因不可抗力或自身原因不能履行合同时，采购人可以按照评审报告推荐的</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预成交候选人名单排序，确定下一候选人为成交人，也可重新开展政府采购活动。</w:t>
      </w:r>
    </w:p>
    <w:p>
      <w:pPr>
        <w:pStyle w:val="23"/>
        <w:spacing w:beforeLines="50" w:afterLines="50" w:line="360" w:lineRule="auto"/>
        <w:ind w:left="400" w:leftChars="182" w:right="57" w:rightChars="26" w:firstLine="118" w:firstLineChars="49"/>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20.成交通知</w:t>
      </w:r>
      <w:bookmarkEnd w:id="51"/>
      <w:bookmarkEnd w:id="52"/>
      <w:bookmarkEnd w:id="53"/>
      <w:bookmarkEnd w:id="54"/>
      <w:bookmarkEnd w:id="55"/>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20.1采购代理</w:t>
      </w:r>
      <w:r>
        <w:rPr>
          <w:rFonts w:hint="eastAsia" w:asciiTheme="minorEastAsia" w:hAnsiTheme="minorEastAsia" w:eastAsiaTheme="minorEastAsia" w:cstheme="minorEastAsia"/>
          <w:sz w:val="24"/>
        </w:rPr>
        <w:t>机构自成交供应商确定之日起2个工作日内在竞争性谈判公告发布的同</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一网站上公告成交结果，同时向成交供应商发出《成交通知书》。</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20.2《成交通知书》发出后，采购人改变成交结果的，或者成交供应商无正当理由放</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弃中标项目的，依法承担法律责任。</w:t>
      </w:r>
    </w:p>
    <w:p>
      <w:pPr>
        <w:pStyle w:val="2"/>
        <w:rPr>
          <w:rFonts w:hint="eastAsia"/>
        </w:rPr>
      </w:pPr>
    </w:p>
    <w:p>
      <w:pPr>
        <w:pStyle w:val="23"/>
        <w:numPr>
          <w:ilvl w:val="0"/>
          <w:numId w:val="3"/>
        </w:numPr>
        <w:spacing w:before="55" w:line="360" w:lineRule="auto"/>
        <w:ind w:right="57" w:rightChars="26"/>
        <w:jc w:val="center"/>
        <w:rPr>
          <w:rFonts w:hint="eastAsia" w:asciiTheme="minorEastAsia" w:hAnsiTheme="minorEastAsia" w:eastAsiaTheme="minorEastAsia" w:cstheme="minorEastAsia"/>
          <w:b/>
          <w:sz w:val="28"/>
        </w:rPr>
      </w:pPr>
      <w:bookmarkStart w:id="56" w:name="_Toc23142_WPSOffice_Level2"/>
      <w:r>
        <w:rPr>
          <w:rFonts w:hint="eastAsia" w:asciiTheme="minorEastAsia" w:hAnsiTheme="minorEastAsia" w:eastAsiaTheme="minorEastAsia" w:cstheme="minorEastAsia"/>
          <w:b/>
          <w:sz w:val="28"/>
        </w:rPr>
        <w:t>授予合同</w:t>
      </w:r>
      <w:bookmarkEnd w:id="56"/>
    </w:p>
    <w:p>
      <w:pPr>
        <w:spacing w:beforeLines="50" w:afterLines="50" w:line="360" w:lineRule="auto"/>
        <w:ind w:left="426" w:right="57" w:rightChars="26"/>
        <w:rPr>
          <w:rFonts w:hint="eastAsia" w:asciiTheme="minorEastAsia" w:hAnsiTheme="minorEastAsia" w:eastAsiaTheme="minorEastAsia" w:cstheme="minorEastAsia"/>
          <w:b/>
          <w:sz w:val="24"/>
          <w:lang w:val="en-US"/>
        </w:rPr>
      </w:pPr>
      <w:bookmarkStart w:id="57" w:name="_bookmark35"/>
      <w:bookmarkEnd w:id="57"/>
      <w:bookmarkStart w:id="58" w:name="_Toc2589_WPSOffice_Level3"/>
      <w:r>
        <w:rPr>
          <w:rFonts w:hint="eastAsia" w:asciiTheme="minorEastAsia" w:hAnsiTheme="minorEastAsia" w:eastAsiaTheme="minorEastAsia" w:cstheme="minorEastAsia"/>
          <w:b/>
          <w:sz w:val="24"/>
          <w:lang w:val="en-US"/>
        </w:rPr>
        <w:t>21.签订合同</w:t>
      </w:r>
      <w:bookmarkEnd w:id="58"/>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21.1采购人应当自成交通知书发出之日起30日内，按照谈判文件和成交人响应文件的</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规定，与成交人签订书面合同。所签订的合同不得对谈判文件确定的事项和成交人响应文件作实质性修改。</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21.2采购人不得向成交人提出任何不合理的要求作为签订合同的条件。</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21.3签订合同时，可将成交人的谈判保证金转为成交人的履约保证金或成交人应当以</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支票、汇票、本票等非现金形式向采购人指定的账户交纳履约保证金。履约保证金的数额由采购人确定，但不得超出采购合同总金额的5%。</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21.4成交人拒绝与采购人签订合同的，采购人可以按照评标报告推荐的成交候选人名</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单排序，确定下一候选人为成交人，也可以重新开展政府采购活动。</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21.5谈判文件、成交人的响应文件、《成交通知书》及其澄清、说明文件、承诺等，</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均为签订采购合同的依据，作为采购合同的组成部分。</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21.6采购合同签订之日起2个工作日内，由采购人将采购合同在青海政府采购网上公</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告，但采购合同中涉及国家秘密、商业秘密的内容除外。</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21.7采购人与成交人应当根据合同的约定依法履行合同义务。政府采购合同的履行、</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违约责任和解决争议的方法等适用《中华人民共和国合同法》。</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21.8采购人应当及时对采购项目进行验收。采购人可以邀请参加本项目的其他供应商</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或者第三方机构参与验收。参与验收的供应商或者第三方机构的意见作为验收书的参考资料一并存档。</w:t>
      </w:r>
    </w:p>
    <w:p>
      <w:pPr>
        <w:pStyle w:val="23"/>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21.9采购人应当加强对成交人的履约管理，并按照采购合同约定，及时向成交人支付</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采购资金。对于成交人违反采购合同约定的行为，采购人应当及时处理，依法追究其违约责任。</w:t>
      </w:r>
    </w:p>
    <w:p>
      <w:pPr>
        <w:tabs>
          <w:tab w:val="left" w:pos="1100"/>
        </w:tabs>
        <w:spacing w:line="360" w:lineRule="auto"/>
        <w:ind w:left="567"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21.10采购人、采购代理机构应当建立真实完整的谈判采购档案，妥善保存每项采购</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活动的采购文件。</w:t>
      </w:r>
    </w:p>
    <w:p>
      <w:pPr>
        <w:pStyle w:val="2"/>
        <w:rPr>
          <w:rFonts w:hint="eastAsia"/>
        </w:rPr>
      </w:pPr>
    </w:p>
    <w:p>
      <w:pPr>
        <w:spacing w:beforeLines="100" w:line="360" w:lineRule="auto"/>
        <w:ind w:right="57" w:rightChars="26"/>
        <w:jc w:val="center"/>
        <w:rPr>
          <w:rFonts w:hint="eastAsia" w:asciiTheme="minorEastAsia" w:hAnsiTheme="minorEastAsia" w:eastAsiaTheme="minorEastAsia" w:cstheme="minorEastAsia"/>
          <w:b/>
          <w:color w:val="auto"/>
          <w:sz w:val="28"/>
        </w:rPr>
      </w:pPr>
      <w:bookmarkStart w:id="59" w:name="_Toc21424_WPSOffice_Level2"/>
      <w:r>
        <w:rPr>
          <w:rFonts w:hint="eastAsia" w:asciiTheme="minorEastAsia" w:hAnsiTheme="minorEastAsia" w:eastAsiaTheme="minorEastAsia" w:cstheme="minorEastAsia"/>
          <w:b/>
          <w:color w:val="auto"/>
          <w:sz w:val="28"/>
        </w:rPr>
        <w:t>九、</w:t>
      </w:r>
      <w:r>
        <w:rPr>
          <w:rFonts w:hint="eastAsia" w:asciiTheme="minorEastAsia" w:hAnsiTheme="minorEastAsia" w:eastAsiaTheme="minorEastAsia" w:cstheme="minorEastAsia"/>
          <w:b/>
          <w:color w:val="auto"/>
          <w:sz w:val="28"/>
          <w:lang w:val="en-US"/>
        </w:rPr>
        <w:t>谈判</w:t>
      </w:r>
      <w:r>
        <w:rPr>
          <w:rFonts w:hint="eastAsia" w:asciiTheme="minorEastAsia" w:hAnsiTheme="minorEastAsia" w:eastAsiaTheme="minorEastAsia" w:cstheme="minorEastAsia"/>
          <w:b/>
          <w:color w:val="auto"/>
          <w:sz w:val="28"/>
        </w:rPr>
        <w:t>代理</w:t>
      </w:r>
      <w:r>
        <w:rPr>
          <w:rFonts w:hint="eastAsia" w:asciiTheme="minorEastAsia" w:hAnsiTheme="minorEastAsia" w:eastAsiaTheme="minorEastAsia" w:cstheme="minorEastAsia"/>
          <w:b/>
          <w:color w:val="auto"/>
          <w:sz w:val="28"/>
          <w:lang w:val="en-US"/>
        </w:rPr>
        <w:t>服务</w:t>
      </w:r>
      <w:r>
        <w:rPr>
          <w:rFonts w:hint="eastAsia" w:asciiTheme="minorEastAsia" w:hAnsiTheme="minorEastAsia" w:eastAsiaTheme="minorEastAsia" w:cstheme="minorEastAsia"/>
          <w:b/>
          <w:color w:val="auto"/>
          <w:sz w:val="28"/>
        </w:rPr>
        <w:t>费</w:t>
      </w:r>
      <w:bookmarkEnd w:id="59"/>
    </w:p>
    <w:p>
      <w:pPr>
        <w:pStyle w:val="23"/>
        <w:tabs>
          <w:tab w:val="left" w:pos="1100"/>
        </w:tabs>
        <w:spacing w:before="0" w:line="360" w:lineRule="auto"/>
        <w:ind w:left="458" w:leftChars="208" w:right="57" w:rightChars="26" w:firstLine="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rPr>
        <w:t>1</w:t>
      </w:r>
      <w:r>
        <w:rPr>
          <w:rFonts w:hint="eastAsia" w:asciiTheme="minorEastAsia" w:hAnsiTheme="minorEastAsia" w:eastAsiaTheme="minorEastAsia" w:cstheme="minorEastAsia"/>
          <w:color w:val="auto"/>
          <w:sz w:val="24"/>
        </w:rPr>
        <w:t>、收取对象：</w:t>
      </w:r>
      <w:r>
        <w:rPr>
          <w:rFonts w:hint="eastAsia" w:asciiTheme="minorEastAsia" w:hAnsiTheme="minorEastAsia" w:eastAsiaTheme="minorEastAsia" w:cstheme="minorEastAsia"/>
          <w:color w:val="000000" w:themeColor="text1"/>
          <w:sz w:val="24"/>
          <w:lang w:val="en-US"/>
          <w14:textFill>
            <w14:solidFill>
              <w14:schemeClr w14:val="tx1"/>
            </w14:solidFill>
          </w14:textFill>
        </w:rPr>
        <w:t>中标人</w:t>
      </w:r>
      <w:r>
        <w:rPr>
          <w:rFonts w:hint="eastAsia" w:asciiTheme="minorEastAsia" w:hAnsiTheme="minorEastAsia" w:eastAsiaTheme="minorEastAsia" w:cstheme="minorEastAsia"/>
          <w:color w:val="auto"/>
          <w:sz w:val="24"/>
        </w:rPr>
        <w:t>。</w:t>
      </w:r>
    </w:p>
    <w:p>
      <w:pPr>
        <w:pStyle w:val="23"/>
        <w:tabs>
          <w:tab w:val="left" w:pos="1100"/>
        </w:tabs>
        <w:spacing w:before="0" w:line="360" w:lineRule="auto"/>
        <w:ind w:left="458" w:leftChars="208" w:right="57" w:rightChars="26" w:firstLine="0"/>
        <w:jc w:val="both"/>
        <w:rPr>
          <w:rFonts w:hint="default" w:asciiTheme="minorEastAsia" w:hAnsiTheme="minorEastAsia" w:eastAsiaTheme="minorEastAsia" w:cstheme="minorEastAsia"/>
          <w:color w:val="0000FF"/>
          <w:sz w:val="24"/>
          <w:lang w:val="en-US"/>
        </w:rPr>
      </w:pPr>
      <w:r>
        <w:rPr>
          <w:rFonts w:hint="eastAsia" w:asciiTheme="minorEastAsia" w:hAnsiTheme="minorEastAsia" w:eastAsiaTheme="minorEastAsia" w:cstheme="minorEastAsia"/>
          <w:color w:val="auto"/>
          <w:sz w:val="24"/>
          <w:lang w:val="en-US"/>
        </w:rPr>
        <w:t>2</w:t>
      </w:r>
      <w:r>
        <w:rPr>
          <w:rFonts w:hint="eastAsia" w:asciiTheme="minorEastAsia" w:hAnsiTheme="minorEastAsia" w:eastAsiaTheme="minorEastAsia" w:cstheme="minorEastAsia"/>
          <w:color w:val="auto"/>
          <w:sz w:val="24"/>
        </w:rPr>
        <w:t>、收费金额：</w:t>
      </w:r>
      <w:r>
        <w:rPr>
          <w:rFonts w:hint="eastAsia" w:asciiTheme="minorEastAsia" w:hAnsiTheme="minorEastAsia" w:eastAsiaTheme="minorEastAsia" w:cstheme="minorEastAsia"/>
          <w:color w:val="auto"/>
          <w:sz w:val="24"/>
          <w:lang w:val="en-US" w:eastAsia="zh-CN"/>
        </w:rPr>
        <w:t>4150.00元；大写（伍仟柒佰元整）。</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说明：根据《关于进一步放开建设项目专项业务服务价格的通知》（发改价格[2015]299 号）规定，实行市场调节价，应严格遵守《价格法》、《关于商品和服务实行明码标价的规定》等法律法规的规定，由采购人和采购代理机构共同确定合理的收费金额。</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其他未尽事宜，按照《中华人民共和国政府采购法》、《中华人民共和国政府采购法实施条例》、《中华人民共和国合同法》等法律法规的有关条款执行。</w:t>
      </w:r>
    </w:p>
    <w:p>
      <w:pPr>
        <w:spacing w:beforeLines="100" w:line="360" w:lineRule="auto"/>
        <w:ind w:right="57" w:rightChars="26"/>
        <w:jc w:val="center"/>
        <w:rPr>
          <w:rFonts w:hint="eastAsia" w:asciiTheme="minorEastAsia" w:hAnsiTheme="minorEastAsia" w:eastAsiaTheme="minorEastAsia" w:cstheme="minorEastAsia"/>
          <w:b/>
          <w:sz w:val="28"/>
        </w:rPr>
      </w:pPr>
      <w:bookmarkStart w:id="60" w:name="_Toc20132_WPSOffice_Level2"/>
      <w:r>
        <w:rPr>
          <w:rFonts w:hint="eastAsia" w:asciiTheme="minorEastAsia" w:hAnsiTheme="minorEastAsia" w:eastAsiaTheme="minorEastAsia" w:cstheme="minorEastAsia"/>
          <w:b/>
          <w:sz w:val="28"/>
        </w:rPr>
        <w:t>十、 其他</w:t>
      </w:r>
      <w:bookmarkEnd w:id="60"/>
    </w:p>
    <w:p>
      <w:pPr>
        <w:pStyle w:val="23"/>
        <w:tabs>
          <w:tab w:val="left" w:pos="1100"/>
        </w:tabs>
        <w:spacing w:beforeLines="5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1、供应商应当遵循公平竞争的原则，不得恶意串通，不得妨碍其他供应商的竞争行为， 不得损害采购人或者其他供应商的合法权益。</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在评标过程中发现供应商有上述情形的，评标委员会应当认定其响应无效，并书面报告本级财政部门。</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2、有下列情形之一的，视为供应商串通投标，其投标无效：</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）不同供应商的响应文件由同一单位或者个人编制；</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）不同供应商委托同一单位或者个人办理响应事宜；</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）不同供应商的响应文件载明的项目管理成员或者联系人员为同一人；</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）不同供应商的响应文件异常一致或者谈判报价呈规律性差异；</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）不同供应商的响应文件相互混装；</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）不同供应商的谈判保证金从同一单位或者个人的账户转出。</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、在谈判采购中，出现下列情形之一的，应予废标：</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）符合专业条件的供应商或者对谈判文件作实质性响应的供应商不足三家的；</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）出现影响采购公正的违法、违规行为的；</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）供应商的报价均超出采购预算，采购人不能支付的；</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）因重大变故，采购任务取消的。废标后，由采购代理机构发布废标公告。</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、其他未尽事宜，按照《中华人民共和国政府采购法》、《中华人民共和国政府采购法实施条例》、《中华人民共和国合同法》等法律法规的有关条款执行。</w:t>
      </w:r>
    </w:p>
    <w:p>
      <w:pPr>
        <w:pStyle w:val="23"/>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pStyle w:val="2"/>
        <w:keepNext w:val="0"/>
        <w:keepLines w:val="0"/>
        <w:spacing w:before="0" w:afterLines="50" w:line="360" w:lineRule="auto"/>
        <w:jc w:val="center"/>
        <w:rPr>
          <w:rFonts w:hint="eastAsia" w:asciiTheme="minorEastAsia" w:hAnsiTheme="minorEastAsia" w:eastAsiaTheme="minorEastAsia" w:cstheme="minorEastAsia"/>
          <w:sz w:val="36"/>
          <w:szCs w:val="24"/>
        </w:rPr>
      </w:pPr>
      <w:bookmarkStart w:id="61" w:name="_Toc30604_WPSOffice_Level1"/>
      <w:r>
        <w:rPr>
          <w:rFonts w:hint="eastAsia" w:asciiTheme="minorEastAsia" w:hAnsiTheme="minorEastAsia" w:eastAsiaTheme="minorEastAsia" w:cstheme="minorEastAsia"/>
          <w:sz w:val="36"/>
          <w:szCs w:val="24"/>
        </w:rPr>
        <w:t>第三部分 青海省政府采购项目合同书范本</w:t>
      </w:r>
      <w:bookmarkEnd w:id="61"/>
    </w:p>
    <w:p>
      <w:pPr>
        <w:pStyle w:val="6"/>
        <w:spacing w:line="360" w:lineRule="auto"/>
        <w:rPr>
          <w:rFonts w:hint="eastAsia" w:asciiTheme="minorEastAsia" w:hAnsiTheme="minorEastAsia" w:eastAsiaTheme="minorEastAsia" w:cstheme="minorEastAsia"/>
          <w:b/>
          <w:sz w:val="36"/>
        </w:rPr>
      </w:pPr>
    </w:p>
    <w:p>
      <w:pPr>
        <w:pStyle w:val="6"/>
        <w:spacing w:line="360" w:lineRule="auto"/>
        <w:rPr>
          <w:rFonts w:hint="eastAsia" w:asciiTheme="minorEastAsia" w:hAnsiTheme="minorEastAsia" w:eastAsiaTheme="minorEastAsia" w:cstheme="minorEastAsia"/>
          <w:b/>
          <w:sz w:val="36"/>
        </w:rPr>
      </w:pPr>
    </w:p>
    <w:p>
      <w:pPr>
        <w:pStyle w:val="6"/>
        <w:spacing w:line="360" w:lineRule="auto"/>
        <w:rPr>
          <w:rFonts w:hint="eastAsia" w:asciiTheme="minorEastAsia" w:hAnsiTheme="minorEastAsia" w:eastAsiaTheme="minorEastAsia" w:cstheme="minorEastAsia"/>
          <w:b/>
          <w:sz w:val="36"/>
        </w:rPr>
      </w:pPr>
    </w:p>
    <w:p>
      <w:pPr>
        <w:pStyle w:val="6"/>
        <w:spacing w:before="4" w:line="360" w:lineRule="auto"/>
        <w:rPr>
          <w:rFonts w:hint="eastAsia" w:asciiTheme="minorEastAsia" w:hAnsiTheme="minorEastAsia" w:eastAsiaTheme="minorEastAsia" w:cstheme="minorEastAsia"/>
          <w:b/>
          <w:sz w:val="26"/>
        </w:rPr>
      </w:pPr>
    </w:p>
    <w:p>
      <w:pPr>
        <w:spacing w:line="360" w:lineRule="auto"/>
        <w:ind w:right="58"/>
        <w:jc w:val="center"/>
        <w:rPr>
          <w:rFonts w:hint="eastAsia" w:asciiTheme="minorEastAsia" w:hAnsiTheme="minorEastAsia" w:eastAsiaTheme="minorEastAsia" w:cstheme="minorEastAsia"/>
          <w:b/>
          <w:sz w:val="52"/>
        </w:rPr>
      </w:pPr>
      <w:bookmarkStart w:id="62" w:name="_Toc1601_WPSOffice_Level2"/>
      <w:r>
        <w:rPr>
          <w:rFonts w:hint="eastAsia" w:asciiTheme="minorEastAsia" w:hAnsiTheme="minorEastAsia" w:eastAsiaTheme="minorEastAsia" w:cstheme="minorEastAsia"/>
          <w:b/>
          <w:sz w:val="52"/>
        </w:rPr>
        <w:t>青海省政府采购项目合同书</w:t>
      </w:r>
      <w:bookmarkEnd w:id="62"/>
    </w:p>
    <w:p>
      <w:pPr>
        <w:pStyle w:val="6"/>
        <w:spacing w:line="360" w:lineRule="auto"/>
        <w:rPr>
          <w:rFonts w:hint="eastAsia" w:asciiTheme="minorEastAsia" w:hAnsiTheme="minorEastAsia" w:eastAsiaTheme="minorEastAsia" w:cstheme="minorEastAsia"/>
          <w:b/>
          <w:sz w:val="52"/>
        </w:rPr>
      </w:pPr>
    </w:p>
    <w:p>
      <w:pPr>
        <w:pStyle w:val="6"/>
        <w:spacing w:line="360" w:lineRule="auto"/>
        <w:rPr>
          <w:rFonts w:hint="eastAsia" w:asciiTheme="minorEastAsia" w:hAnsiTheme="minorEastAsia" w:eastAsiaTheme="minorEastAsia" w:cstheme="minorEastAsia"/>
          <w:b/>
          <w:sz w:val="52"/>
        </w:rPr>
      </w:pPr>
    </w:p>
    <w:p>
      <w:pPr>
        <w:pStyle w:val="6"/>
        <w:spacing w:line="360" w:lineRule="auto"/>
        <w:ind w:firstLine="1084" w:firstLineChars="450"/>
        <w:rPr>
          <w:rFonts w:hint="eastAsia" w:asciiTheme="minorEastAsia" w:hAnsiTheme="minorEastAsia" w:eastAsiaTheme="minorEastAsia" w:cstheme="minorEastAsia"/>
          <w:b/>
          <w:szCs w:val="21"/>
        </w:rPr>
      </w:pPr>
    </w:p>
    <w:p>
      <w:pPr>
        <w:pStyle w:val="6"/>
        <w:spacing w:line="480" w:lineRule="auto"/>
        <w:ind w:firstLine="1084" w:firstLineChars="450"/>
        <w:jc w:val="left"/>
        <w:rPr>
          <w:rFonts w:hint="eastAsia" w:asciiTheme="minorEastAsia" w:hAnsiTheme="minorEastAsia" w:eastAsiaTheme="minorEastAsia" w:cstheme="minorEastAsia"/>
          <w:b/>
          <w:szCs w:val="21"/>
          <w:lang w:val="en-US" w:eastAsia="zh-CN"/>
        </w:rPr>
      </w:pPr>
      <w:bookmarkStart w:id="63" w:name="_Toc31740_WPSOffice_Level3"/>
      <w:r>
        <w:rPr>
          <w:rFonts w:hint="eastAsia" w:asciiTheme="minorEastAsia" w:hAnsiTheme="minorEastAsia" w:eastAsiaTheme="minorEastAsia" w:cstheme="minorEastAsia"/>
          <w:b/>
          <w:szCs w:val="21"/>
        </w:rPr>
        <w:t>采购项目名称：</w:t>
      </w:r>
      <w:bookmarkEnd w:id="63"/>
      <w:r>
        <w:rPr>
          <w:rFonts w:hint="eastAsia" w:asciiTheme="minorEastAsia" w:hAnsiTheme="minorEastAsia" w:eastAsiaTheme="minorEastAsia" w:cstheme="minorEastAsia"/>
          <w:b/>
          <w:szCs w:val="21"/>
          <w:u w:val="single"/>
          <w:lang w:eastAsia="zh-CN"/>
        </w:rPr>
        <w:t>关于采购食堂肉类、蔬菜类、调味品、米面油的报告</w:t>
      </w:r>
    </w:p>
    <w:p>
      <w:pPr>
        <w:pStyle w:val="6"/>
        <w:spacing w:line="480" w:lineRule="auto"/>
        <w:ind w:firstLine="1084" w:firstLineChars="450"/>
        <w:jc w:val="left"/>
        <w:rPr>
          <w:rFonts w:hint="eastAsia" w:asciiTheme="minorEastAsia" w:hAnsiTheme="minorEastAsia" w:eastAsiaTheme="minorEastAsia" w:cstheme="minorEastAsia"/>
          <w:b/>
          <w:szCs w:val="21"/>
          <w:u w:val="single"/>
          <w:lang w:val="en-US" w:eastAsia="zh-CN"/>
        </w:rPr>
      </w:pPr>
      <w:bookmarkStart w:id="64" w:name="_Toc29883_WPSOffice_Level3"/>
      <w:r>
        <w:rPr>
          <w:rFonts w:hint="eastAsia" w:asciiTheme="minorEastAsia" w:hAnsiTheme="minorEastAsia" w:eastAsiaTheme="minorEastAsia" w:cstheme="minorEastAsia"/>
          <w:b/>
          <w:szCs w:val="21"/>
        </w:rPr>
        <w:t>采购项目编号：</w:t>
      </w:r>
      <w:bookmarkEnd w:id="64"/>
      <w:r>
        <w:rPr>
          <w:rFonts w:hint="eastAsia" w:asciiTheme="minorEastAsia" w:hAnsiTheme="minorEastAsia" w:eastAsiaTheme="minorEastAsia" w:cstheme="minorEastAsia"/>
          <w:b/>
          <w:szCs w:val="21"/>
          <w:u w:val="single"/>
          <w:lang w:eastAsia="zh-CN"/>
        </w:rPr>
        <w:t>重庆鼎运竞谈（货物）2020-024</w:t>
      </w:r>
    </w:p>
    <w:p>
      <w:pPr>
        <w:pStyle w:val="6"/>
        <w:spacing w:line="480" w:lineRule="auto"/>
        <w:ind w:firstLine="1084" w:firstLineChars="450"/>
        <w:jc w:val="left"/>
        <w:rPr>
          <w:rFonts w:hint="default" w:asciiTheme="minorEastAsia" w:hAnsiTheme="minorEastAsia" w:eastAsiaTheme="minorEastAsia" w:cstheme="minorEastAsia"/>
          <w:b/>
          <w:szCs w:val="21"/>
          <w:u w:val="single"/>
          <w:lang w:val="en-US" w:eastAsia="zh-CN"/>
        </w:rPr>
      </w:pPr>
      <w:bookmarkStart w:id="65" w:name="_Toc10004_WPSOffice_Level3"/>
      <w:r>
        <w:rPr>
          <w:rFonts w:hint="eastAsia" w:asciiTheme="minorEastAsia" w:hAnsiTheme="minorEastAsia" w:eastAsiaTheme="minorEastAsia" w:cstheme="minorEastAsia"/>
          <w:b/>
          <w:szCs w:val="21"/>
        </w:rPr>
        <w:t>采购合同编号：</w:t>
      </w:r>
      <w:bookmarkEnd w:id="65"/>
      <w:r>
        <w:rPr>
          <w:rFonts w:hint="eastAsia" w:asciiTheme="minorEastAsia" w:hAnsiTheme="minorEastAsia" w:eastAsiaTheme="minorEastAsia" w:cstheme="minorEastAsia"/>
          <w:b/>
          <w:color w:val="000000" w:themeColor="text1"/>
          <w:szCs w:val="21"/>
          <w:u w:val="single"/>
          <w:lang w:val="en-US" w:eastAsia="zh-CN"/>
          <w14:textFill>
            <w14:solidFill>
              <w14:schemeClr w14:val="tx1"/>
            </w14:solidFill>
          </w14:textFill>
        </w:rPr>
        <w:t>CQDY-2020-024</w:t>
      </w:r>
    </w:p>
    <w:p>
      <w:pPr>
        <w:pStyle w:val="6"/>
        <w:spacing w:line="480" w:lineRule="auto"/>
        <w:ind w:firstLine="1084" w:firstLineChars="450"/>
        <w:jc w:val="left"/>
        <w:rPr>
          <w:rFonts w:hint="default" w:asciiTheme="minorEastAsia" w:hAnsiTheme="minorEastAsia" w:eastAsiaTheme="minorEastAsia" w:cstheme="minorEastAsia"/>
          <w:b/>
          <w:szCs w:val="21"/>
          <w:u w:val="single"/>
          <w:lang w:val="en-US" w:eastAsia="zh-CN"/>
        </w:rPr>
      </w:pPr>
      <w:bookmarkStart w:id="66" w:name="_Toc25401_WPSOffice_Level3"/>
      <w:r>
        <w:rPr>
          <w:rFonts w:hint="eastAsia" w:asciiTheme="minorEastAsia" w:hAnsiTheme="minorEastAsia" w:eastAsiaTheme="minorEastAsia" w:cstheme="minorEastAsia"/>
          <w:b/>
          <w:szCs w:val="21"/>
        </w:rPr>
        <w:t>合同金额（人民币）：</w:t>
      </w:r>
      <w:bookmarkEnd w:id="66"/>
      <w:bookmarkStart w:id="67" w:name="_Toc31341_WPSOffice_Level3"/>
    </w:p>
    <w:p>
      <w:pPr>
        <w:pStyle w:val="6"/>
        <w:spacing w:line="480" w:lineRule="auto"/>
        <w:ind w:firstLine="1084" w:firstLineChars="450"/>
        <w:jc w:val="left"/>
        <w:rPr>
          <w:rFonts w:hint="eastAsia" w:asciiTheme="minorEastAsia" w:hAnsiTheme="minorEastAsia" w:eastAsiaTheme="minorEastAsia" w:cstheme="minorEastAsia"/>
          <w:b/>
          <w:szCs w:val="21"/>
          <w:lang w:val="en-US"/>
        </w:rPr>
      </w:pPr>
      <w:r>
        <w:rPr>
          <w:rFonts w:hint="eastAsia" w:asciiTheme="minorEastAsia" w:hAnsiTheme="minorEastAsia" w:eastAsiaTheme="minorEastAsia" w:cstheme="minorEastAsia"/>
          <w:b/>
          <w:szCs w:val="21"/>
        </w:rPr>
        <w:t>采购人（甲方）</w:t>
      </w:r>
      <w:r>
        <w:rPr>
          <w:rFonts w:hint="eastAsia" w:asciiTheme="minorEastAsia" w:hAnsiTheme="minorEastAsia" w:eastAsiaTheme="minorEastAsia" w:cstheme="minorEastAsia"/>
          <w:b/>
          <w:szCs w:val="21"/>
          <w:u w:val="single"/>
        </w:rPr>
        <w:t>：</w:t>
      </w:r>
      <w:r>
        <w:rPr>
          <w:rFonts w:hint="eastAsia" w:asciiTheme="minorEastAsia" w:hAnsiTheme="minorEastAsia" w:eastAsiaTheme="minorEastAsia" w:cstheme="minorEastAsia"/>
          <w:b/>
          <w:szCs w:val="21"/>
          <w:u w:val="single"/>
          <w:lang w:val="en-US"/>
        </w:rPr>
        <w:t xml:space="preserve">                        </w:t>
      </w:r>
      <w:r>
        <w:rPr>
          <w:rFonts w:hint="eastAsia" w:asciiTheme="minorEastAsia" w:hAnsiTheme="minorEastAsia" w:eastAsiaTheme="minorEastAsia" w:cstheme="minorEastAsia"/>
          <w:b/>
          <w:szCs w:val="21"/>
          <w:u w:val="single"/>
          <w:lang w:val="en-US" w:eastAsia="zh-CN"/>
        </w:rPr>
        <w:t xml:space="preserve"> </w:t>
      </w:r>
      <w:r>
        <w:rPr>
          <w:rFonts w:hint="eastAsia" w:asciiTheme="minorEastAsia" w:hAnsiTheme="minorEastAsia" w:eastAsiaTheme="minorEastAsia" w:cstheme="minorEastAsia"/>
          <w:b/>
          <w:szCs w:val="21"/>
          <w:u w:val="single"/>
          <w:lang w:val="en-US"/>
        </w:rPr>
        <w:t>（盖章）</w:t>
      </w:r>
      <w:bookmarkEnd w:id="67"/>
    </w:p>
    <w:p>
      <w:pPr>
        <w:pStyle w:val="6"/>
        <w:spacing w:line="480" w:lineRule="auto"/>
        <w:ind w:firstLine="1084" w:firstLineChars="450"/>
        <w:jc w:val="left"/>
        <w:rPr>
          <w:rFonts w:hint="eastAsia" w:asciiTheme="minorEastAsia" w:hAnsiTheme="minorEastAsia" w:eastAsiaTheme="minorEastAsia" w:cstheme="minorEastAsia"/>
          <w:b/>
          <w:szCs w:val="21"/>
          <w:u w:val="single"/>
          <w:lang w:val="en-US"/>
        </w:rPr>
      </w:pPr>
      <w:bookmarkStart w:id="68" w:name="_Toc16988_WPSOffice_Level3"/>
      <w:r>
        <w:rPr>
          <w:rFonts w:hint="eastAsia" w:asciiTheme="minorEastAsia" w:hAnsiTheme="minorEastAsia" w:eastAsiaTheme="minorEastAsia" w:cstheme="minorEastAsia"/>
          <w:b/>
          <w:szCs w:val="21"/>
        </w:rPr>
        <w:t>成交人（乙方）</w:t>
      </w:r>
      <w:r>
        <w:rPr>
          <w:rFonts w:hint="eastAsia" w:asciiTheme="minorEastAsia" w:hAnsiTheme="minorEastAsia" w:eastAsiaTheme="minorEastAsia" w:cstheme="minorEastAsia"/>
          <w:b/>
          <w:szCs w:val="21"/>
          <w:u w:val="single"/>
        </w:rPr>
        <w:t>：</w:t>
      </w:r>
      <w:r>
        <w:rPr>
          <w:rFonts w:hint="eastAsia" w:asciiTheme="minorEastAsia" w:hAnsiTheme="minorEastAsia" w:eastAsiaTheme="minorEastAsia" w:cstheme="minorEastAsia"/>
          <w:b/>
          <w:szCs w:val="21"/>
          <w:u w:val="single"/>
          <w:lang w:val="en-US"/>
        </w:rPr>
        <w:tab/>
      </w:r>
      <w:r>
        <w:rPr>
          <w:rFonts w:hint="eastAsia" w:asciiTheme="minorEastAsia" w:hAnsiTheme="minorEastAsia" w:eastAsiaTheme="minorEastAsia" w:cstheme="minorEastAsia"/>
          <w:b/>
          <w:szCs w:val="21"/>
          <w:u w:val="single"/>
          <w:lang w:val="en-US"/>
        </w:rPr>
        <w:t xml:space="preserve">                    （盖章</w:t>
      </w:r>
      <w:bookmarkEnd w:id="68"/>
      <w:r>
        <w:rPr>
          <w:rFonts w:hint="eastAsia" w:asciiTheme="minorEastAsia" w:hAnsiTheme="minorEastAsia" w:eastAsiaTheme="minorEastAsia" w:cstheme="minorEastAsia"/>
          <w:b/>
          <w:szCs w:val="21"/>
          <w:u w:val="single"/>
          <w:lang w:val="en-US"/>
        </w:rPr>
        <w:t>）</w:t>
      </w:r>
    </w:p>
    <w:p>
      <w:pPr>
        <w:pStyle w:val="6"/>
        <w:spacing w:line="360" w:lineRule="auto"/>
        <w:ind w:firstLine="1084" w:firstLineChars="450"/>
        <w:rPr>
          <w:rFonts w:hint="eastAsia" w:asciiTheme="minorEastAsia" w:hAnsiTheme="minorEastAsia" w:eastAsiaTheme="minorEastAsia" w:cstheme="minorEastAsia"/>
          <w:b/>
          <w:szCs w:val="21"/>
        </w:rPr>
      </w:pPr>
      <w:bookmarkStart w:id="69" w:name="_Toc12443_WPSOffice_Level3"/>
    </w:p>
    <w:p>
      <w:pPr>
        <w:pStyle w:val="6"/>
        <w:spacing w:line="360" w:lineRule="auto"/>
        <w:ind w:firstLine="1084" w:firstLineChars="450"/>
        <w:rPr>
          <w:rFonts w:hint="eastAsia" w:asciiTheme="minorEastAsia" w:hAnsiTheme="minorEastAsia" w:eastAsiaTheme="minorEastAsia" w:cstheme="minorEastAsia"/>
          <w:b/>
          <w:szCs w:val="21"/>
        </w:rPr>
      </w:pPr>
    </w:p>
    <w:p>
      <w:pPr>
        <w:pStyle w:val="6"/>
        <w:spacing w:line="360" w:lineRule="auto"/>
        <w:ind w:firstLine="1084" w:firstLineChars="450"/>
        <w:rPr>
          <w:rFonts w:hint="eastAsia" w:asciiTheme="minorEastAsia" w:hAnsiTheme="minorEastAsia" w:eastAsiaTheme="minorEastAsia" w:cstheme="minorEastAsia"/>
          <w:b/>
          <w:szCs w:val="21"/>
          <w:u w:val="single"/>
          <w:lang w:val="en-US"/>
        </w:rPr>
      </w:pPr>
      <w:r>
        <w:rPr>
          <w:rFonts w:hint="eastAsia" w:asciiTheme="minorEastAsia" w:hAnsiTheme="minorEastAsia" w:eastAsiaTheme="minorEastAsia" w:cstheme="minorEastAsia"/>
          <w:b/>
          <w:szCs w:val="21"/>
        </w:rPr>
        <w:t>采购日期：</w:t>
      </w:r>
      <w:bookmarkEnd w:id="69"/>
    </w:p>
    <w:p>
      <w:pPr>
        <w:tabs>
          <w:tab w:val="left" w:pos="6554"/>
        </w:tabs>
        <w:spacing w:before="70" w:line="360" w:lineRule="auto"/>
        <w:ind w:left="1070" w:firstLine="1084" w:firstLineChars="450"/>
        <w:rPr>
          <w:rFonts w:hint="eastAsia" w:asciiTheme="minorEastAsia" w:hAnsiTheme="minorEastAsia" w:eastAsiaTheme="minorEastAsia" w:cstheme="minorEastAsia"/>
          <w:b/>
          <w:sz w:val="24"/>
          <w:szCs w:val="21"/>
          <w:u w:val="single"/>
          <w:lang w:val="en-US"/>
        </w:rPr>
        <w:sectPr>
          <w:pgSz w:w="11910" w:h="16840"/>
          <w:pgMar w:top="1440" w:right="1196" w:bottom="1440" w:left="1196" w:header="679" w:footer="686" w:gutter="0"/>
          <w:cols w:space="720" w:num="1"/>
        </w:sectPr>
      </w:pPr>
    </w:p>
    <w:p>
      <w:pPr>
        <w:spacing w:line="360" w:lineRule="auto"/>
        <w:ind w:left="508" w:right="5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采 购 人（以下简称甲方）： </w:t>
      </w:r>
    </w:p>
    <w:p>
      <w:pPr>
        <w:spacing w:line="360" w:lineRule="auto"/>
        <w:ind w:left="508" w:right="5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中 标 人（以下简称乙方）：</w:t>
      </w:r>
    </w:p>
    <w:p>
      <w:pPr>
        <w:pStyle w:val="6"/>
        <w:spacing w:line="360" w:lineRule="auto"/>
        <w:ind w:left="8" w:right="58" w:firstLine="43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甲、乙双方根据</w:t>
      </w:r>
      <w:r>
        <w:rPr>
          <w:rFonts w:hint="eastAsia" w:asciiTheme="minorEastAsia" w:hAnsiTheme="minorEastAsia" w:eastAsiaTheme="minorEastAsia" w:cstheme="minorEastAsia"/>
          <w:spacing w:val="-4"/>
          <w:u w:val="single"/>
          <w:lang w:eastAsia="zh-CN"/>
        </w:rPr>
        <w:t>关于采购食堂肉类、蔬菜类、调味品、米面油的报告</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7"/>
        </w:rPr>
        <w:t>采购</w:t>
      </w: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lang w:eastAsia="zh-CN"/>
        </w:rPr>
        <w:t>重庆鼎运竞谈（货物）2020-024</w:t>
      </w:r>
      <w:r>
        <w:rPr>
          <w:rFonts w:hint="eastAsia" w:asciiTheme="minorEastAsia" w:hAnsiTheme="minorEastAsia" w:eastAsiaTheme="minorEastAsia" w:cstheme="minorEastAsia"/>
          <w:spacing w:val="-1"/>
        </w:rPr>
        <w:t>）的招标文件要求和采购人采购代理机构出具</w:t>
      </w:r>
      <w:r>
        <w:rPr>
          <w:rFonts w:hint="eastAsia" w:asciiTheme="minorEastAsia" w:hAnsiTheme="minorEastAsia" w:eastAsiaTheme="minorEastAsia" w:cstheme="minorEastAsia"/>
        </w:rPr>
        <w:t>的《成交通知书》，并经双方协商一致，签订本合同协议书。</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一、签订本政府采购合同的依据</w:t>
      </w:r>
    </w:p>
    <w:p>
      <w:pPr>
        <w:pStyle w:val="6"/>
        <w:spacing w:before="157"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本政府采购合同所附下列文件是构成本政府采购合同不可分割的部分：</w:t>
      </w:r>
    </w:p>
    <w:p>
      <w:pPr>
        <w:pStyle w:val="23"/>
        <w:numPr>
          <w:ilvl w:val="0"/>
          <w:numId w:val="4"/>
        </w:numPr>
        <w:tabs>
          <w:tab w:val="left" w:pos="1196"/>
        </w:tabs>
        <w:spacing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w:t>
      </w:r>
    </w:p>
    <w:p>
      <w:pPr>
        <w:pStyle w:val="23"/>
        <w:numPr>
          <w:ilvl w:val="0"/>
          <w:numId w:val="4"/>
        </w:numPr>
        <w:tabs>
          <w:tab w:val="left" w:pos="1196"/>
        </w:tabs>
        <w:spacing w:before="158"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谈判文件的澄清、变更公告；</w:t>
      </w:r>
    </w:p>
    <w:p>
      <w:pPr>
        <w:pStyle w:val="23"/>
        <w:numPr>
          <w:ilvl w:val="0"/>
          <w:numId w:val="4"/>
        </w:numPr>
        <w:tabs>
          <w:tab w:val="left" w:pos="1196"/>
        </w:tabs>
        <w:spacing w:before="16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成交人提交的响应文件；</w:t>
      </w:r>
    </w:p>
    <w:p>
      <w:pPr>
        <w:pStyle w:val="23"/>
        <w:numPr>
          <w:ilvl w:val="0"/>
          <w:numId w:val="4"/>
        </w:numPr>
        <w:tabs>
          <w:tab w:val="left" w:pos="1196"/>
        </w:tabs>
        <w:spacing w:before="158"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谈判文件中规定的政府采购合同通用条款；</w:t>
      </w:r>
    </w:p>
    <w:p>
      <w:pPr>
        <w:pStyle w:val="23"/>
        <w:numPr>
          <w:ilvl w:val="0"/>
          <w:numId w:val="4"/>
        </w:numPr>
        <w:tabs>
          <w:tab w:val="left" w:pos="1196"/>
        </w:tabs>
        <w:spacing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成交通知书；</w:t>
      </w:r>
    </w:p>
    <w:p>
      <w:pPr>
        <w:pStyle w:val="23"/>
        <w:numPr>
          <w:ilvl w:val="0"/>
          <w:numId w:val="4"/>
        </w:numPr>
        <w:tabs>
          <w:tab w:val="left" w:pos="1196"/>
        </w:tabs>
        <w:spacing w:before="16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履约保证金缴费证明。</w:t>
      </w:r>
    </w:p>
    <w:p>
      <w:pPr>
        <w:tabs>
          <w:tab w:val="left" w:pos="7359"/>
        </w:tabs>
        <w:spacing w:before="159" w:line="360" w:lineRule="auto"/>
        <w:ind w:left="5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二、合同标的及金额</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sz w:val="24"/>
        </w:rPr>
        <w:t>单位：元</w:t>
      </w:r>
    </w:p>
    <w:p>
      <w:pPr>
        <w:pStyle w:val="6"/>
        <w:spacing w:before="6" w:after="1" w:line="360" w:lineRule="auto"/>
        <w:rPr>
          <w:rFonts w:hint="eastAsia" w:asciiTheme="minorEastAsia" w:hAnsiTheme="minorEastAsia" w:eastAsiaTheme="minorEastAsia" w:cstheme="minorEastAsia"/>
          <w:sz w:val="12"/>
        </w:rPr>
      </w:pPr>
    </w:p>
    <w:tbl>
      <w:tblPr>
        <w:tblStyle w:val="16"/>
        <w:tblW w:w="7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274"/>
        <w:gridCol w:w="1899"/>
        <w:gridCol w:w="946"/>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0"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74"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标的名称</w:t>
            </w:r>
          </w:p>
        </w:tc>
        <w:tc>
          <w:tcPr>
            <w:tcW w:w="1899"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采购内容</w:t>
            </w:r>
          </w:p>
        </w:tc>
        <w:tc>
          <w:tcPr>
            <w:tcW w:w="946"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020"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761"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25"/>
              <w:spacing w:line="360" w:lineRule="auto"/>
              <w:rPr>
                <w:rFonts w:hint="eastAsia" w:asciiTheme="minorEastAsia" w:hAnsiTheme="minorEastAsia" w:eastAsiaTheme="minorEastAsia" w:cstheme="minorEastAsia"/>
                <w:sz w:val="24"/>
              </w:rPr>
            </w:pPr>
          </w:p>
        </w:tc>
        <w:tc>
          <w:tcPr>
            <w:tcW w:w="2274" w:type="dxa"/>
          </w:tcPr>
          <w:p>
            <w:pPr>
              <w:pStyle w:val="25"/>
              <w:spacing w:line="360" w:lineRule="auto"/>
              <w:rPr>
                <w:rFonts w:hint="eastAsia" w:asciiTheme="minorEastAsia" w:hAnsiTheme="minorEastAsia" w:eastAsiaTheme="minorEastAsia" w:cstheme="minorEastAsia"/>
                <w:sz w:val="24"/>
              </w:rPr>
            </w:pPr>
          </w:p>
        </w:tc>
        <w:tc>
          <w:tcPr>
            <w:tcW w:w="1899" w:type="dxa"/>
          </w:tcPr>
          <w:p>
            <w:pPr>
              <w:pStyle w:val="25"/>
              <w:spacing w:line="360" w:lineRule="auto"/>
              <w:rPr>
                <w:rFonts w:hint="eastAsia" w:asciiTheme="minorEastAsia" w:hAnsiTheme="minorEastAsia" w:eastAsiaTheme="minorEastAsia" w:cstheme="minorEastAsia"/>
                <w:sz w:val="24"/>
              </w:rPr>
            </w:pPr>
          </w:p>
        </w:tc>
        <w:tc>
          <w:tcPr>
            <w:tcW w:w="946" w:type="dxa"/>
          </w:tcPr>
          <w:p>
            <w:pPr>
              <w:pStyle w:val="25"/>
              <w:spacing w:line="360" w:lineRule="auto"/>
              <w:rPr>
                <w:rFonts w:hint="eastAsia" w:asciiTheme="minorEastAsia" w:hAnsiTheme="minorEastAsia" w:eastAsiaTheme="minorEastAsia" w:cstheme="minorEastAsia"/>
                <w:sz w:val="24"/>
              </w:rPr>
            </w:pPr>
          </w:p>
        </w:tc>
        <w:tc>
          <w:tcPr>
            <w:tcW w:w="1020" w:type="dxa"/>
          </w:tcPr>
          <w:p>
            <w:pPr>
              <w:pStyle w:val="25"/>
              <w:spacing w:line="360" w:lineRule="auto"/>
              <w:rPr>
                <w:rFonts w:hint="eastAsia" w:asciiTheme="minorEastAsia" w:hAnsiTheme="minorEastAsia" w:eastAsiaTheme="minorEastAsia" w:cstheme="minorEastAsia"/>
                <w:sz w:val="24"/>
              </w:rPr>
            </w:pPr>
          </w:p>
        </w:tc>
        <w:tc>
          <w:tcPr>
            <w:tcW w:w="761"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jc w:val="center"/>
        </w:trPr>
        <w:tc>
          <w:tcPr>
            <w:tcW w:w="730" w:type="dxa"/>
          </w:tcPr>
          <w:p>
            <w:pPr>
              <w:pStyle w:val="25"/>
              <w:spacing w:line="360" w:lineRule="auto"/>
              <w:rPr>
                <w:rFonts w:hint="eastAsia" w:asciiTheme="minorEastAsia" w:hAnsiTheme="minorEastAsia" w:eastAsiaTheme="minorEastAsia" w:cstheme="minorEastAsia"/>
                <w:sz w:val="24"/>
              </w:rPr>
            </w:pPr>
          </w:p>
        </w:tc>
        <w:tc>
          <w:tcPr>
            <w:tcW w:w="2274" w:type="dxa"/>
          </w:tcPr>
          <w:p>
            <w:pPr>
              <w:pStyle w:val="25"/>
              <w:spacing w:line="360" w:lineRule="auto"/>
              <w:rPr>
                <w:rFonts w:hint="eastAsia" w:asciiTheme="minorEastAsia" w:hAnsiTheme="minorEastAsia" w:eastAsiaTheme="minorEastAsia" w:cstheme="minorEastAsia"/>
                <w:sz w:val="24"/>
              </w:rPr>
            </w:pPr>
          </w:p>
        </w:tc>
        <w:tc>
          <w:tcPr>
            <w:tcW w:w="1899" w:type="dxa"/>
          </w:tcPr>
          <w:p>
            <w:pPr>
              <w:pStyle w:val="25"/>
              <w:spacing w:line="360" w:lineRule="auto"/>
              <w:rPr>
                <w:rFonts w:hint="eastAsia" w:asciiTheme="minorEastAsia" w:hAnsiTheme="minorEastAsia" w:eastAsiaTheme="minorEastAsia" w:cstheme="minorEastAsia"/>
                <w:sz w:val="24"/>
              </w:rPr>
            </w:pPr>
          </w:p>
        </w:tc>
        <w:tc>
          <w:tcPr>
            <w:tcW w:w="946" w:type="dxa"/>
          </w:tcPr>
          <w:p>
            <w:pPr>
              <w:pStyle w:val="25"/>
              <w:spacing w:line="360" w:lineRule="auto"/>
              <w:rPr>
                <w:rFonts w:hint="eastAsia" w:asciiTheme="minorEastAsia" w:hAnsiTheme="minorEastAsia" w:eastAsiaTheme="minorEastAsia" w:cstheme="minorEastAsia"/>
                <w:sz w:val="24"/>
              </w:rPr>
            </w:pPr>
          </w:p>
        </w:tc>
        <w:tc>
          <w:tcPr>
            <w:tcW w:w="1020" w:type="dxa"/>
          </w:tcPr>
          <w:p>
            <w:pPr>
              <w:pStyle w:val="25"/>
              <w:spacing w:line="360" w:lineRule="auto"/>
              <w:rPr>
                <w:rFonts w:hint="eastAsia" w:asciiTheme="minorEastAsia" w:hAnsiTheme="minorEastAsia" w:eastAsiaTheme="minorEastAsia" w:cstheme="minorEastAsia"/>
                <w:sz w:val="24"/>
              </w:rPr>
            </w:pPr>
          </w:p>
        </w:tc>
        <w:tc>
          <w:tcPr>
            <w:tcW w:w="761"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730" w:type="dxa"/>
          </w:tcPr>
          <w:p>
            <w:pPr>
              <w:pStyle w:val="25"/>
              <w:spacing w:line="360" w:lineRule="auto"/>
              <w:rPr>
                <w:rFonts w:hint="eastAsia" w:asciiTheme="minorEastAsia" w:hAnsiTheme="minorEastAsia" w:eastAsiaTheme="minorEastAsia" w:cstheme="minorEastAsia"/>
                <w:sz w:val="24"/>
              </w:rPr>
            </w:pPr>
          </w:p>
        </w:tc>
        <w:tc>
          <w:tcPr>
            <w:tcW w:w="2274" w:type="dxa"/>
          </w:tcPr>
          <w:p>
            <w:pPr>
              <w:pStyle w:val="25"/>
              <w:spacing w:line="360" w:lineRule="auto"/>
              <w:rPr>
                <w:rFonts w:hint="eastAsia" w:asciiTheme="minorEastAsia" w:hAnsiTheme="minorEastAsia" w:eastAsiaTheme="minorEastAsia" w:cstheme="minorEastAsia"/>
                <w:sz w:val="24"/>
              </w:rPr>
            </w:pPr>
          </w:p>
        </w:tc>
        <w:tc>
          <w:tcPr>
            <w:tcW w:w="1899" w:type="dxa"/>
          </w:tcPr>
          <w:p>
            <w:pPr>
              <w:pStyle w:val="25"/>
              <w:spacing w:line="360" w:lineRule="auto"/>
              <w:rPr>
                <w:rFonts w:hint="eastAsia" w:asciiTheme="minorEastAsia" w:hAnsiTheme="minorEastAsia" w:eastAsiaTheme="minorEastAsia" w:cstheme="minorEastAsia"/>
                <w:sz w:val="24"/>
              </w:rPr>
            </w:pPr>
          </w:p>
        </w:tc>
        <w:tc>
          <w:tcPr>
            <w:tcW w:w="946" w:type="dxa"/>
          </w:tcPr>
          <w:p>
            <w:pPr>
              <w:pStyle w:val="25"/>
              <w:spacing w:line="360" w:lineRule="auto"/>
              <w:rPr>
                <w:rFonts w:hint="eastAsia" w:asciiTheme="minorEastAsia" w:hAnsiTheme="minorEastAsia" w:eastAsiaTheme="minorEastAsia" w:cstheme="minorEastAsia"/>
                <w:sz w:val="24"/>
              </w:rPr>
            </w:pPr>
          </w:p>
        </w:tc>
        <w:tc>
          <w:tcPr>
            <w:tcW w:w="1020" w:type="dxa"/>
          </w:tcPr>
          <w:p>
            <w:pPr>
              <w:pStyle w:val="25"/>
              <w:spacing w:line="360" w:lineRule="auto"/>
              <w:rPr>
                <w:rFonts w:hint="eastAsia" w:asciiTheme="minorEastAsia" w:hAnsiTheme="minorEastAsia" w:eastAsiaTheme="minorEastAsia" w:cstheme="minorEastAsia"/>
                <w:sz w:val="24"/>
              </w:rPr>
            </w:pPr>
          </w:p>
        </w:tc>
        <w:tc>
          <w:tcPr>
            <w:tcW w:w="761" w:type="dxa"/>
          </w:tcPr>
          <w:p>
            <w:pPr>
              <w:pStyle w:val="25"/>
              <w:spacing w:line="360" w:lineRule="auto"/>
              <w:rPr>
                <w:rFonts w:hint="eastAsia" w:asciiTheme="minorEastAsia" w:hAnsiTheme="minorEastAsia" w:eastAsiaTheme="minorEastAsia" w:cstheme="minorEastAsia"/>
                <w:sz w:val="24"/>
              </w:rPr>
            </w:pPr>
          </w:p>
        </w:tc>
      </w:tr>
    </w:tbl>
    <w:p>
      <w:pPr>
        <w:pStyle w:val="6"/>
        <w:tabs>
          <w:tab w:val="left" w:pos="8849"/>
        </w:tabs>
        <w:spacing w:line="360" w:lineRule="auto"/>
        <w:ind w:left="13"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根据上述政府采购合同文件要求，本政府采购合同的总金额为人民币</w:t>
      </w:r>
      <w:r>
        <w:rPr>
          <w:rFonts w:hint="eastAsia" w:asciiTheme="minorEastAsia" w:hAnsiTheme="minorEastAsia" w:eastAsiaTheme="minorEastAsia" w:cstheme="minorEastAsia"/>
          <w:u w:val="single"/>
        </w:rPr>
        <w:tab/>
      </w:r>
    </w:p>
    <w:p>
      <w:pPr>
        <w:pStyle w:val="6"/>
        <w:tabs>
          <w:tab w:val="left" w:pos="3993"/>
        </w:tabs>
        <w:spacing w:before="160" w:line="360" w:lineRule="auto"/>
        <w:ind w:left="13"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w:t>
      </w:r>
    </w:p>
    <w:p>
      <w:pPr>
        <w:pStyle w:val="6"/>
        <w:tabs>
          <w:tab w:val="left" w:pos="8849"/>
        </w:tabs>
        <w:spacing w:beforeLines="100" w:line="360" w:lineRule="auto"/>
        <w:ind w:firstLine="480" w:firstLineChars="2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本合同以人民币进行结算，合同总价包括：产品费、运输费、保险费、验收费、检验费、售前、售中、售后服务费、招标代理费、税金及不可预见费等全部费用</w:t>
      </w:r>
      <w:r>
        <w:rPr>
          <w:rFonts w:hint="eastAsia" w:asciiTheme="minorEastAsia" w:hAnsiTheme="minorEastAsia" w:eastAsiaTheme="minorEastAsia" w:cstheme="minorEastAsia"/>
          <w:color w:val="000000"/>
        </w:rPr>
        <w:t>。</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三、交货时间、地点和要求</w:t>
      </w:r>
    </w:p>
    <w:p>
      <w:pPr>
        <w:pStyle w:val="23"/>
        <w:numPr>
          <w:ilvl w:val="0"/>
          <w:numId w:val="5"/>
        </w:numPr>
        <w:spacing w:beforeLines="50" w:line="360" w:lineRule="auto"/>
        <w:ind w:left="6" w:right="58" w:firstLine="452" w:firstLineChars="200"/>
        <w:rPr>
          <w:rFonts w:hint="eastAsia" w:asciiTheme="minorEastAsia" w:hAnsiTheme="minorEastAsia" w:eastAsiaTheme="minorEastAsia" w:cstheme="minorEastAsia"/>
          <w:color w:val="auto"/>
          <w:spacing w:val="-7"/>
          <w:sz w:val="24"/>
          <w:u w:val="single"/>
        </w:rPr>
      </w:pPr>
      <w:r>
        <w:rPr>
          <w:rFonts w:hint="eastAsia" w:asciiTheme="minorEastAsia" w:hAnsiTheme="minorEastAsia" w:eastAsiaTheme="minorEastAsia" w:cstheme="minorEastAsia"/>
          <w:color w:val="auto"/>
          <w:spacing w:val="-7"/>
          <w:sz w:val="24"/>
          <w:lang w:val="en-US" w:eastAsia="zh-CN"/>
        </w:rPr>
        <w:t>供货期</w:t>
      </w:r>
      <w:r>
        <w:rPr>
          <w:rFonts w:hint="eastAsia" w:asciiTheme="minorEastAsia" w:hAnsiTheme="minorEastAsia" w:eastAsiaTheme="minorEastAsia" w:cstheme="minorEastAsia"/>
          <w:color w:val="auto"/>
          <w:spacing w:val="-7"/>
          <w:sz w:val="24"/>
          <w:lang w:eastAsia="zh-CN"/>
        </w:rPr>
        <w:t>：</w:t>
      </w:r>
      <w:r>
        <w:rPr>
          <w:rFonts w:hint="eastAsia" w:asciiTheme="minorEastAsia" w:hAnsiTheme="minorEastAsia" w:eastAsiaTheme="minorEastAsia" w:cstheme="minorEastAsia"/>
          <w:color w:val="FF0000"/>
          <w:sz w:val="24"/>
          <w:szCs w:val="24"/>
          <w:lang w:val="en-US" w:eastAsia="zh-CN"/>
        </w:rPr>
        <w:t>2020年06月01日至2021年03月01日，共计274日历天</w:t>
      </w:r>
    </w:p>
    <w:p>
      <w:pPr>
        <w:pStyle w:val="23"/>
        <w:numPr>
          <w:ilvl w:val="0"/>
          <w:numId w:val="5"/>
        </w:numPr>
        <w:spacing w:beforeLines="50" w:line="360" w:lineRule="auto"/>
        <w:ind w:left="6" w:right="58" w:firstLine="452" w:firstLineChars="200"/>
        <w:rPr>
          <w:rFonts w:hint="eastAsia" w:asciiTheme="minorEastAsia" w:hAnsiTheme="minorEastAsia" w:eastAsiaTheme="minorEastAsia" w:cstheme="minorEastAsia"/>
          <w:color w:val="auto"/>
          <w:spacing w:val="-7"/>
          <w:sz w:val="24"/>
          <w:u w:val="single"/>
        </w:rPr>
      </w:pPr>
      <w:r>
        <w:rPr>
          <w:rFonts w:hint="eastAsia" w:asciiTheme="minorEastAsia" w:hAnsiTheme="minorEastAsia" w:eastAsiaTheme="minorEastAsia" w:cstheme="minorEastAsia"/>
          <w:color w:val="auto"/>
          <w:spacing w:val="-7"/>
          <w:sz w:val="24"/>
          <w:lang w:eastAsia="zh-CN"/>
        </w:rPr>
        <w:t>交货地点：甲方指定地点</w:t>
      </w:r>
    </w:p>
    <w:p>
      <w:pPr>
        <w:pStyle w:val="23"/>
        <w:numPr>
          <w:ilvl w:val="0"/>
          <w:numId w:val="5"/>
        </w:numPr>
        <w:spacing w:before="40" w:line="360" w:lineRule="auto"/>
        <w:ind w:left="6" w:right="624"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乙方提供不符合招投标文件和本合同规定的产品，甲方有权拒绝接受。</w:t>
      </w:r>
    </w:p>
    <w:p>
      <w:pPr>
        <w:pStyle w:val="23"/>
        <w:numPr>
          <w:ilvl w:val="0"/>
          <w:numId w:val="5"/>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乙方应将提供产品的装箱清单、用户手册、原厂保修卡、随机资料、工具和备品、备件等交付给甲方，如有缺失应及时补齐，否则视为逾期交货。</w:t>
      </w:r>
    </w:p>
    <w:p>
      <w:pPr>
        <w:pStyle w:val="23"/>
        <w:numPr>
          <w:ilvl w:val="0"/>
          <w:numId w:val="5"/>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甲方应当在到货（安装、调试完</w:t>
      </w:r>
      <w:r>
        <w:rPr>
          <w:rFonts w:hint="eastAsia" w:asciiTheme="minorEastAsia" w:hAnsiTheme="minorEastAsia" w:eastAsiaTheme="minorEastAsia" w:cstheme="minorEastAsia"/>
          <w:color w:val="auto"/>
          <w:spacing w:val="-7"/>
          <w:sz w:val="24"/>
        </w:rPr>
        <w:t>）后</w:t>
      </w:r>
      <w:r>
        <w:rPr>
          <w:rFonts w:hint="eastAsia" w:asciiTheme="minorEastAsia" w:hAnsiTheme="minorEastAsia" w:eastAsiaTheme="minorEastAsia" w:cstheme="minorEastAsia"/>
          <w:color w:val="auto"/>
          <w:spacing w:val="-7"/>
          <w:sz w:val="24"/>
          <w:lang w:val="en-US" w:eastAsia="zh-CN"/>
        </w:rPr>
        <w:t>5</w:t>
      </w:r>
      <w:r>
        <w:rPr>
          <w:rFonts w:hint="eastAsia" w:asciiTheme="minorEastAsia" w:hAnsiTheme="minorEastAsia" w:eastAsiaTheme="minorEastAsia" w:cstheme="minorEastAsia"/>
          <w:color w:val="auto"/>
          <w:spacing w:val="-7"/>
          <w:sz w:val="24"/>
        </w:rPr>
        <w:t>个工作</w:t>
      </w:r>
      <w:r>
        <w:rPr>
          <w:rFonts w:hint="eastAsia" w:asciiTheme="minorEastAsia" w:hAnsiTheme="minorEastAsia" w:eastAsiaTheme="minorEastAsia" w:cstheme="minorEastAsia"/>
          <w:spacing w:val="-7"/>
          <w:sz w:val="24"/>
        </w:rPr>
        <w:t>日内进行验收，逾期不验收的，乙方可视为验收合格。验收合格后，由甲乙双方签署产品验收单并加盖采购人公章，甲乙双方各执一份。甲方应提供该项目验收报告交同级财政监管部门，由财政部门按规定程序抽验后办理资金拨付。</w:t>
      </w:r>
    </w:p>
    <w:p>
      <w:pPr>
        <w:pStyle w:val="23"/>
        <w:numPr>
          <w:ilvl w:val="0"/>
          <w:numId w:val="5"/>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甲方在验收过程中发现乙方有违约问题，可按招、投标文件的规定要求乙方及时予以解决。</w:t>
      </w:r>
    </w:p>
    <w:p>
      <w:pPr>
        <w:pStyle w:val="23"/>
        <w:numPr>
          <w:ilvl w:val="0"/>
          <w:numId w:val="5"/>
        </w:numPr>
        <w:spacing w:before="40" w:line="360" w:lineRule="auto"/>
        <w:ind w:left="6" w:right="624"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乙方向甲方提供产品相关完税销售发票。</w:t>
      </w:r>
    </w:p>
    <w:p>
      <w:pPr>
        <w:spacing w:afterLines="50" w:line="360" w:lineRule="auto"/>
        <w:ind w:left="51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四、付款方式</w:t>
      </w:r>
    </w:p>
    <w:p>
      <w:pPr>
        <w:pStyle w:val="6"/>
        <w:tabs>
          <w:tab w:val="left" w:pos="4949"/>
        </w:tabs>
        <w:spacing w:line="360" w:lineRule="auto"/>
        <w:ind w:left="6" w:right="57"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乙方所交付的产品由甲方验收，验收合格后由甲方报同级财政监管部门，申请资金拨付,按合同金额向乙方支付合同总价款的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%（付款方式及金额由采购人根据项目情况确定），即人民币（大写）：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w:t>
      </w:r>
    </w:p>
    <w:p>
      <w:pPr>
        <w:pStyle w:val="6"/>
        <w:tabs>
          <w:tab w:val="left" w:pos="4949"/>
        </w:tabs>
        <w:spacing w:line="360" w:lineRule="auto"/>
        <w:ind w:left="6"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乙方向甲方提交的履约保证金计（大写）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元转为质量保证金。质量保证金待约定的免费质保期满（年）且产品无质量问题后，由乙方提出书面申请，甲方以转账方式予以退还。</w:t>
      </w:r>
    </w:p>
    <w:p>
      <w:pPr>
        <w:spacing w:line="360" w:lineRule="auto"/>
        <w:ind w:left="508"/>
        <w:rPr>
          <w:rFonts w:hint="eastAsia" w:asciiTheme="minorEastAsia" w:hAnsiTheme="minorEastAsia" w:eastAsiaTheme="minorEastAsia" w:cstheme="minorEastAsia"/>
          <w:b/>
          <w:sz w:val="24"/>
        </w:rPr>
      </w:pPr>
      <w:bookmarkStart w:id="70" w:name="_Toc1962_WPSOffice_Level3"/>
      <w:r>
        <w:rPr>
          <w:rFonts w:hint="eastAsia" w:asciiTheme="minorEastAsia" w:hAnsiTheme="minorEastAsia" w:eastAsiaTheme="minorEastAsia" w:cstheme="minorEastAsia"/>
          <w:b/>
          <w:sz w:val="24"/>
        </w:rPr>
        <w:t>五、合同的变更、终止与转让</w:t>
      </w:r>
      <w:bookmarkEnd w:id="70"/>
    </w:p>
    <w:p>
      <w:pPr>
        <w:pStyle w:val="6"/>
        <w:tabs>
          <w:tab w:val="left" w:pos="4949"/>
        </w:tabs>
        <w:spacing w:beforeLines="50" w:line="360" w:lineRule="auto"/>
        <w:ind w:left="6"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除《中华人民共和国政府采购法》第 50 条规定的情形外，本合同一经签订，甲乙双方不得擅自变更、中止或终止。</w:t>
      </w:r>
    </w:p>
    <w:p>
      <w:pPr>
        <w:pStyle w:val="6"/>
        <w:tabs>
          <w:tab w:val="left" w:pos="4949"/>
        </w:tabs>
        <w:spacing w:line="360" w:lineRule="auto"/>
        <w:ind w:left="6" w:right="624"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乙方不得擅自转让其应履行的合同义务。</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六、违约责任</w:t>
      </w:r>
    </w:p>
    <w:p>
      <w:pPr>
        <w:pStyle w:val="6"/>
        <w:tabs>
          <w:tab w:val="left" w:pos="4949"/>
        </w:tabs>
        <w:spacing w:beforeLines="50" w:line="360" w:lineRule="auto"/>
        <w:ind w:left="6"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乙方所提供的产品规格、技术标准、材料等质量不合格的，应及时更换；更换不及时的，按逾期交货处罚；因质量问题甲方不同意接收的，质保金全额扣除，并由乙方赔偿由此引起的甲方的一切经济损失。</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乙方提供的货物如侵犯了第三方权益而引发纠纷或诉讼的，均由乙方负责交涉并承担全部责任。</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因包装、运输引起的货物损坏，按质量不合格处罚。</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4、</w:t>
      </w:r>
      <w:r>
        <w:rPr>
          <w:rFonts w:hint="eastAsia" w:asciiTheme="minorEastAsia" w:hAnsiTheme="minorEastAsia" w:eastAsiaTheme="minorEastAsia" w:cstheme="minorEastAsia"/>
        </w:rPr>
        <w:t>甲方无故延期接受货物和乙方逾期交货的，每天应向对方偿付未交货物的货款 3‰的违约金，但违约金累计不得超过违约货款的</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%，超过天对方有权解除合同，违约方承担因此给对方造成的经济损失。</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5、</w:t>
      </w:r>
      <w:r>
        <w:rPr>
          <w:rFonts w:hint="eastAsia" w:asciiTheme="minorEastAsia" w:hAnsiTheme="minorEastAsia" w:eastAsiaTheme="minorEastAsia" w:cstheme="minorEastAsia"/>
        </w:rPr>
        <w:t xml:space="preserve">乙方未按本合同和投标文件中规定的服务承诺提供售后服务的，乙方应按本合同合计金额的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%向甲方支付违约金。</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lang w:val="en-US"/>
        </w:rPr>
        <w:t>6、</w:t>
      </w:r>
      <w:r>
        <w:rPr>
          <w:rFonts w:hint="eastAsia" w:asciiTheme="minorEastAsia" w:hAnsiTheme="minorEastAsia" w:eastAsiaTheme="minorEastAsia" w:cstheme="minorEastAsia"/>
        </w:rPr>
        <w:t>乙方提供的货物在质量保证期内，因设计、工艺或材料的缺陷和其它质量原因造成的问题，由乙方负责，费用从履约保证金中扣除，不足另补。</w:t>
      </w:r>
      <w:r>
        <w:rPr>
          <w:rFonts w:hint="eastAsia" w:asciiTheme="minorEastAsia" w:hAnsiTheme="minorEastAsia" w:eastAsiaTheme="minorEastAsia" w:cstheme="minorEastAsia"/>
          <w:spacing w:val="-6"/>
        </w:rPr>
        <w:t xml:space="preserve">其它违约行为按违约货款额 </w:t>
      </w: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2"/>
        </w:rPr>
        <w:t>收取违约金并赔偿经济损失。</w:t>
      </w:r>
    </w:p>
    <w:p>
      <w:pPr>
        <w:spacing w:line="360" w:lineRule="auto"/>
        <w:ind w:left="508" w:right="57" w:rightChars="2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七、不可抗力</w:t>
      </w:r>
    </w:p>
    <w:p>
      <w:pPr>
        <w:pStyle w:val="6"/>
        <w:tabs>
          <w:tab w:val="left" w:pos="4949"/>
        </w:tabs>
        <w:spacing w:beforeLines="50"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不可抗力使合同的某些内容有变更必要的，双方应通过协商在天内达成进一步履行合同的协议，因不可抗力致使合同不能履行的，合同终止。</w:t>
      </w:r>
    </w:p>
    <w:p>
      <w:pPr>
        <w:spacing w:line="360" w:lineRule="auto"/>
        <w:ind w:left="508" w:right="57" w:rightChars="26"/>
        <w:rPr>
          <w:rFonts w:hint="eastAsia" w:asciiTheme="minorEastAsia" w:hAnsiTheme="minorEastAsia" w:eastAsiaTheme="minorEastAsia" w:cstheme="minorEastAsia"/>
          <w:bCs/>
          <w:sz w:val="24"/>
        </w:rPr>
      </w:pPr>
      <w:bookmarkStart w:id="71" w:name="_Toc3888_WPSOffice_Level2"/>
      <w:r>
        <w:rPr>
          <w:rFonts w:hint="eastAsia" w:asciiTheme="minorEastAsia" w:hAnsiTheme="minorEastAsia" w:eastAsiaTheme="minorEastAsia" w:cstheme="minorEastAsia"/>
          <w:b/>
          <w:sz w:val="24"/>
        </w:rPr>
        <w:t>八、知识产权：</w:t>
      </w:r>
      <w:r>
        <w:rPr>
          <w:rFonts w:hint="eastAsia" w:asciiTheme="minorEastAsia" w:hAnsiTheme="minorEastAsia" w:eastAsiaTheme="minorEastAsia" w:cstheme="minorEastAsia"/>
          <w:bCs/>
          <w:sz w:val="24"/>
        </w:rPr>
        <w:t>详见合通用条款</w:t>
      </w:r>
    </w:p>
    <w:p>
      <w:pPr>
        <w:spacing w:line="360" w:lineRule="auto"/>
        <w:ind w:left="508" w:right="57" w:rightChars="2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九、其他约定：</w:t>
      </w:r>
      <w:bookmarkEnd w:id="71"/>
    </w:p>
    <w:p>
      <w:pPr>
        <w:spacing w:line="360" w:lineRule="auto"/>
        <w:ind w:left="508" w:right="57" w:rightChars="26"/>
        <w:rPr>
          <w:rFonts w:hint="eastAsia" w:asciiTheme="minorEastAsia" w:hAnsiTheme="minorEastAsia" w:eastAsiaTheme="minorEastAsia" w:cstheme="minorEastAsia"/>
          <w:b/>
          <w:sz w:val="24"/>
        </w:rPr>
      </w:pPr>
      <w:bookmarkStart w:id="72" w:name="_Toc10624_WPSOffice_Level2"/>
      <w:r>
        <w:rPr>
          <w:rFonts w:hint="eastAsia" w:asciiTheme="minorEastAsia" w:hAnsiTheme="minorEastAsia" w:eastAsiaTheme="minorEastAsia" w:cstheme="minorEastAsia"/>
          <w:b/>
          <w:sz w:val="24"/>
        </w:rPr>
        <w:t>十、合同争议解决</w:t>
      </w:r>
      <w:bookmarkEnd w:id="72"/>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因产品质量问题发生争议的，应邀请国家认可的质量检测机构进行鉴定。产品符合标准的，鉴定费由甲方承担；产品不符合标准的，鉴定费由乙方承担。</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因履行本合同引起的或与本合同有关的争议，甲乙双方应首先通过友好协商解决， 如果协商不能解决，可向甲方所在地仲裁委员会申请仲裁或向甲方所在地人民法院提起诉讼。</w:t>
      </w:r>
    </w:p>
    <w:p>
      <w:pPr>
        <w:pStyle w:val="6"/>
        <w:tabs>
          <w:tab w:val="left" w:pos="4949"/>
        </w:tabs>
        <w:spacing w:line="360" w:lineRule="auto"/>
        <w:ind w:left="6" w:right="57" w:rightChars="2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诉讼期间，本合同继续履行。</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十一、合同生效及其它：</w:t>
      </w:r>
    </w:p>
    <w:p>
      <w:pPr>
        <w:pStyle w:val="6"/>
        <w:tabs>
          <w:tab w:val="left" w:pos="4949"/>
        </w:tabs>
        <w:spacing w:line="360" w:lineRule="auto"/>
        <w:ind w:left="6" w:right="624" w:firstLine="480" w:firstLineChars="200"/>
        <w:jc w:val="both"/>
        <w:rPr>
          <w:rFonts w:hint="eastAsia" w:asciiTheme="minorEastAsia" w:hAnsiTheme="minorEastAsia" w:eastAsiaTheme="minorEastAsia" w:cstheme="minorEastAsia"/>
        </w:rPr>
      </w:pPr>
      <w:bookmarkStart w:id="73" w:name="_Toc329_WPSOffice_Level3"/>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本合同一式八份，经双方签字，并加盖公章即为生效。</w:t>
      </w:r>
      <w:bookmarkEnd w:id="73"/>
    </w:p>
    <w:p>
      <w:pPr>
        <w:pStyle w:val="6"/>
        <w:tabs>
          <w:tab w:val="left" w:pos="4949"/>
        </w:tabs>
        <w:spacing w:line="360" w:lineRule="auto"/>
        <w:ind w:left="6" w:right="624" w:firstLine="480" w:firstLineChars="200"/>
        <w:jc w:val="both"/>
        <w:rPr>
          <w:rFonts w:hint="eastAsia" w:asciiTheme="minorEastAsia" w:hAnsiTheme="minorEastAsia" w:eastAsiaTheme="minorEastAsia" w:cstheme="minorEastAsia"/>
        </w:rPr>
      </w:pPr>
      <w:bookmarkStart w:id="74" w:name="_Toc11122_WPSOffice_Level3"/>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本合同未尽事宜，按经济合同法有关规定处理。</w:t>
      </w:r>
      <w:bookmarkEnd w:id="74"/>
    </w:p>
    <w:p>
      <w:pPr>
        <w:pStyle w:val="6"/>
        <w:tabs>
          <w:tab w:val="left" w:pos="4949"/>
        </w:tabs>
        <w:spacing w:line="360" w:lineRule="auto"/>
        <w:ind w:left="6" w:right="624" w:firstLine="480" w:firstLineChars="200"/>
        <w:jc w:val="both"/>
        <w:rPr>
          <w:rFonts w:hint="eastAsia" w:asciiTheme="minorEastAsia" w:hAnsiTheme="minorEastAsia" w:eastAsiaTheme="minorEastAsia" w:cstheme="minorEastAsia"/>
        </w:rPr>
      </w:pPr>
      <w:bookmarkStart w:id="75" w:name="_Toc28054_WPSOffice_Level3"/>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本合同的组成包含《合同通用条款》。</w:t>
      </w:r>
      <w:bookmarkEnd w:id="75"/>
    </w:p>
    <w:p>
      <w:pPr>
        <w:spacing w:line="360" w:lineRule="auto"/>
        <w:ind w:firstLine="220" w:firstLineChars="200"/>
        <w:rPr>
          <w:rFonts w:hint="eastAsia" w:asciiTheme="minorEastAsia" w:hAnsiTheme="minorEastAsia" w:eastAsiaTheme="minorEastAsia" w:cstheme="minorEastAsia"/>
          <w:color w:val="000000"/>
          <w:sz w:val="11"/>
          <w:szCs w:val="11"/>
        </w:rPr>
      </w:pPr>
      <w:bookmarkStart w:id="76" w:name="_Toc5183_WPSOffice_Level3"/>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甲方（盖章）：                         乙方（盖章）：</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法定代表人或委托代理人：               法定代表人或委托代理人：</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开户银行：</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账号：</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                                 地址：</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                             联系电话：</w:t>
      </w:r>
    </w:p>
    <w:p>
      <w:pPr>
        <w:pStyle w:val="15"/>
        <w:spacing w:line="360" w:lineRule="auto"/>
        <w:ind w:firstLine="240"/>
        <w:rPr>
          <w:rFonts w:hint="eastAsia" w:asciiTheme="minorEastAsia" w:hAnsiTheme="minorEastAsia" w:eastAsiaTheme="minorEastAsia" w:cstheme="minorEastAsia"/>
          <w:color w:val="000000"/>
        </w:rPr>
      </w:pPr>
    </w:p>
    <w:p>
      <w:pPr>
        <w:pStyle w:val="2"/>
        <w:spacing w:before="0" w:after="0" w:line="360" w:lineRule="auto"/>
        <w:rPr>
          <w:rFonts w:hint="eastAsia" w:asciiTheme="minorEastAsia" w:hAnsiTheme="minorEastAsia" w:eastAsiaTheme="minorEastAsia" w:cstheme="minorEastAsia"/>
          <w:sz w:val="2"/>
          <w:szCs w:val="2"/>
        </w:rPr>
      </w:pPr>
    </w:p>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签约时间：    年    月    日</w:t>
      </w:r>
    </w:p>
    <w:p>
      <w:pPr>
        <w:spacing w:line="360" w:lineRule="auto"/>
        <w:ind w:firstLine="40" w:firstLineChars="200"/>
        <w:rPr>
          <w:rFonts w:hint="eastAsia" w:asciiTheme="minorEastAsia" w:hAnsiTheme="minorEastAsia" w:eastAsiaTheme="minorEastAsia" w:cstheme="minorEastAsia"/>
          <w:color w:val="000000"/>
          <w:sz w:val="2"/>
          <w:szCs w:val="2"/>
        </w:rPr>
      </w:pP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采购代理机构：</w:t>
      </w:r>
    </w:p>
    <w:p>
      <w:pPr>
        <w:spacing w:line="360" w:lineRule="auto"/>
        <w:ind w:firstLine="480"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4"/>
          <w:szCs w:val="24"/>
        </w:rPr>
        <w:t>负责人或经办人：时间：    年    月    日</w:t>
      </w:r>
      <w:bookmarkEnd w:id="76"/>
      <w:bookmarkStart w:id="77" w:name="_Toc293_WPSOffice_Level1"/>
    </w:p>
    <w:p>
      <w:pPr>
        <w:widowControl/>
        <w:autoSpaceDE/>
        <w:autoSpaceDN/>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br w:type="page"/>
      </w:r>
    </w:p>
    <w:p>
      <w:pPr>
        <w:spacing w:line="360" w:lineRule="auto"/>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合同通用条款</w:t>
      </w:r>
    </w:p>
    <w:p>
      <w:pPr>
        <w:adjustRightInd w:val="0"/>
        <w:spacing w:line="360" w:lineRule="auto"/>
        <w:rPr>
          <w:rFonts w:hint="eastAsia" w:asciiTheme="minorEastAsia" w:hAnsiTheme="minorEastAsia" w:eastAsiaTheme="minorEastAsia" w:cstheme="minorEastAsia"/>
          <w:color w:val="000000"/>
          <w:sz w:val="28"/>
          <w:szCs w:val="28"/>
        </w:rPr>
      </w:pP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根据《中华人民共和国合同法》、《中华人民共和国政府采购法》的规定，合同双方经协商达成一致，自愿订立本合同，遵循公平原则明确双方的权利、义务，确保双方诚实守信地履行合同。</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1.定义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本合同中的下列术语应解释为：</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 “合同”指甲乙双方签署的、载明的甲乙双方权利义务的协议，包括所有的附件、附录和上述文件所提到的构成合同的所有文件。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 “合同金额”指根据合同规定，乙方在正确地完全履行合同义务后甲方应付给乙方的价款。</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 “合同条款”指本合同条款。</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 “货物”指乙方根据合同约定须向甲方提供的一切产品、设备、机械、仪表、备件等，包括辅助工具、使用手册等相关资料。</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 “服务”指根据本合同规定乙方承担与供货有关的辅助服务，如运输、保险及安装、调试、提供技术援助、培训和合同中规定乙方应承担的其它义务。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 “甲方”指购买货物和服务的单位。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 “乙方”指提供本合同条款下货物和服务的公司或其他实体。</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 “现场”指合同规定货物将要运至和安装的地点。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 “验收”指合同双方依据强制性的国家技术质量规范和合同约定，确认合同条款下的货物符合合同规定的活动。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1.10 原厂商：产品制造商或其在中国境内设立的办事或技术服务机构。除另有说明外，本合同文件所述的制造商、产品制造商、制造厂家、产品制造厂家均为原厂商。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原产地：指产品的生产地，或提供服务的来源地。</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“工作日”指国家法定工作日，“天”指日历天数。</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2.技术规格要求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 乙方应向甲方提供货物及服务有关的标准的中文文本。</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 除非技术规范中另有规定，计量单位均采用中华人民共和国法定计量单位。</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3.合同范围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乙方应负责培训甲方的技术人员。</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4.合同文件和资料</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 乙方在提供仪器设备时应同时提供中文版相关的技术资料，如目录索引、图纸、操作手册、使用指南、维修指南、服务手册等。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5.知识产权</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乙方应保证甲方在使用该货物或其任何一部分时不受第三方提出的侵犯专利权、著作权、商标权和工业设计权等的起诉。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 任何第三方提出侵权指控，乙方须与第三方交涉并承担由此产生的一切责任、费用和经济赔偿。</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 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5.4 在本合同生效时已经存在并为各方合法拥有或使用的所有技术、资料和信息的知识产权，仍应属于其各自的原权利人所有或享有，另有约定的除外。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6.保密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 保密信息指任何一方因履行本合同所知悉的任何以口头、书面、图表或电子形式存在的对方信息，具体包括：</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6.2.1 任何涉及对方过去、现在或将来的商业计划、规章制度、操作规程、处理手段、财务信息；</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6.2.2 任何对方的技术措施、技术方案、软件应用及开发，硬件设备的品种、质量、数量、品牌等；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6.2.3 任何对方的技术秘密或专有知识、文件 、报告、数据、客户软件、流程图、数据库、发明、知识、贸易秘密。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 乙方应根据甲方的要求签署相应的保密协议，保密协议与本条款存在不一致的，以保密协议为准。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7. 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货物质量保证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7.1.1 乙方必须保证货物是全新、未使用过的，并完全符合强制性的国家技术质量规范和合同规定的质量、规格、性能和技术规范等的要求。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7.1.5 合同条款下货物的质量保证期自货物通过最终验收起算，合同另行规定除外。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 辅助服务质量保证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7.2.2 乙方应保证合同条款下所提供的服务包括培训、安装指导、单机调试、系统联调和试验等，按合同规定方式进行，并保证不存在因乙方工作人员的过失、错误或疏忽而产生的缺陷。</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8.包装要求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8.1 除合同另有约定外,乙方提供的全部货物,均应采用本行业通用的方式进行包装，且该包装应符合国家有关包装的法律、法规的规定。</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8.3 乙方所提供的货物包装均为出厂时原包装。</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8.4 乙方所提供货物必须附有质量合格证，装箱清单，主机、附件、各种零部件和消耗品，有清楚的与装箱单相对应的名称和编号。</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8.5 货物运输中的运输费用和保险费用均由乙方承担。运输过程中的一切损失、损坏均由乙方负责。</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9.价格</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9.2 本合同价格为固定价格，包括了乙方履行合同全过程产生的所有成本和费用以及乙方应承担的一切税费。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 检验费用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9.3.1 乙方必须负担本条款下属于乙方负责的检验、测试、调试、试运行和验收的所有费用，并负责乙方派往买方组织的检验、测试和验收人员的所有费用。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9.3.2 甲方按合同计划参加在乙方工厂所在地检验、测试和验收的费用全部由乙方负责并已包含在合同总价中。</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9.3.3 甲方检验人员已到卖方所在地，测试无法依照合同进行， 而引起甲方人员延长逗留时间，所有由此产生的包括甲方人员在内的直接费用及成本由乙方承担。</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10.交货方式及交货日期</w:t>
      </w:r>
    </w:p>
    <w:p>
      <w:pPr>
        <w:spacing w:line="360" w:lineRule="auto"/>
        <w:ind w:firstLine="48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交货方式：服从采购人安排，在采购人指定地点进行项目实施</w:t>
      </w:r>
      <w:r>
        <w:rPr>
          <w:rFonts w:hint="eastAsia" w:asciiTheme="minorEastAsia" w:hAnsiTheme="minorEastAsia" w:eastAsiaTheme="minorEastAsia" w:cstheme="minorEastAsia"/>
          <w:color w:val="auto"/>
          <w:sz w:val="24"/>
          <w:szCs w:val="24"/>
          <w:lang w:eastAsia="zh-CN"/>
        </w:rPr>
        <w:t>；</w:t>
      </w:r>
    </w:p>
    <w:p>
      <w:pPr>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en-US" w:eastAsia="zh-CN"/>
        </w:rPr>
        <w:t>供货期</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FF0000"/>
          <w:sz w:val="24"/>
          <w:szCs w:val="24"/>
          <w:lang w:val="en-US" w:eastAsia="zh-CN"/>
        </w:rPr>
        <w:t>2020年06月01日至2021年03月01日，共计274日历天</w:t>
      </w:r>
      <w:r>
        <w:rPr>
          <w:rFonts w:hint="eastAsia" w:asciiTheme="minorEastAsia" w:hAnsiTheme="minorEastAsia" w:eastAsiaTheme="minorEastAsia" w:cstheme="minorEastAsia"/>
          <w:color w:val="auto"/>
          <w:sz w:val="24"/>
        </w:rPr>
        <w:t>；</w:t>
      </w:r>
    </w:p>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11.检验和验收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开箱验收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11.1.1 货物运抵现场后，双方应及时开箱验收，并制作验收记录，以确认与本合同约定的数量、型号等是否一致。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检验验收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11.2.2 在具体实施合同规定的检验验收之前，乙方需提前提交相应的测试计划（包括测试程序、测试内容和检验标准、试验时间安排等）供甲方确认。</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11.2.3 除需甲方确认的试验验收外，乙方还应对所有检验验收测试的结果、步骤、原始数据等作妥善记录。如甲方要求，乙方应提供这些记录给买方。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11.2.4 检验测试出现全部或部分未达到本合同所约定的技术指标，甲方有权选择下列任一处理方式：</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a.重新测试直至合格为止；</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b.要求乙方对货物进行免费更换，然后重新测试直至合格为止；</w:t>
      </w:r>
    </w:p>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无论选择何种方式，甲方因此而发生的因卖方原因引起的所有费用均由乙方负担。</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 使用过程检验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11.3.2 如果合同双方对乙方提供的上述试验结果报告的解释有分歧，双方须于出现分歧后10天内给对方声明，以陈述己方的观点。声明须附有关证据。分歧应通过协商解决。</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12.付款方法和条件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本合同条款下的付款方法和条件在“青海省政府采购项目合同书”中具体规定。</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13.履约保证金</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乙方应在合同签订前，按招标文件第二部分“八 授予合同”中第22.2项的约定提交履约保证金。</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 履约保证金用于补偿甲方因乙方不能履行其合同义务而蒙受的损失。</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履约保证金应使用本合同货币，按下述方式之一提交（招标文件中另有约定的除外）：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13.3.1 甲方可接受的在中华人民共和国注册和营业的银行出具的履约保函；</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13.3.2 支票或汇票。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13.4 乙方未能按合同规定履行其义务，甲方有权从履约保证金中取得补偿。货物验收合格后，甲方将履约保证金退还乙方或转为质量保证金。</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14.索赔</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 在履约保证期和检验期内，乙方对甲方提出的索赔负有责任，乙方应按照甲方同意的下列一种或多种方式解决索赔事宜：</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14.2.2 根据货物低劣程度、损坏程度以及甲方所遭受损失的数额，经甲乙双方商定降低货物的价格，或由有资质的中介机构评估，以降低后的价格或评估价格为准。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14.3 乙方收到甲方发出的索赔通知之日起5个工作日内未作答复的，甲方可从合同款或履约保证金中扣回索赔金额，如金额不足以补偿索赔金额，乙方应补足差额部分。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15.迟延交货</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15.1 乙方应按照合同约定的时间交货和提供服务。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15.2 除不可抗力因素外，乙方迟延交货，甲方有权提出违约损失赔偿或解除合同。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 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16.违约赔偿</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除不可抗力因素外，乙方没有按照合同规定的时间交货和提供服务，甲方可要求乙方支付违约金。违约金每日按合同总价款的千分之五计收。</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17.不可抗力</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17.1 双方中任何一方遭遇法律规定的不可抗力，致使合同履行受阻时，履行合同的期限应予延长，延长的期限应相当于不可抗力所影响的时间。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17.2 受事故影响的一方应在不可抗力的事故发生后以书面形式通知另一方。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17.3 不可抗力使合同的某些内容有变更必要的，双方应通过协商达成进一步履行合同的协议，因不可抗力致使合同不能履行的，合同终止。</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18.税费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与本合同有关的一切税费均由乙方承担。</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19.合同争议的解决</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19.1 甲方和乙方由于本合同的履行而发生任何争议时，双方可先通过协商解决。</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19.2 任何一方不愿通过协商或通过协商仍不能解决争议，则双方中任何一方均应向甲方所在地人民法院起诉。</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20.违约解除合同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 出现下列情形之一的，视为乙方违约。甲方可向乙方发出书面通知，部分或全部终止合同，同时保留向乙方索赔的权利。</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20.1.1 乙方未能在合同规定的限期或甲方同意延长的限期内，提供全部或部分货物的；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20.1.2 乙方未能履行合同规定的其它主要义务的；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20.1.3 乙方在本合同履行过程中有欺诈行为的。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21.破产终止合同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22.转让和分包</w:t>
      </w:r>
    </w:p>
    <w:p>
      <w:pPr>
        <w:spacing w:line="360" w:lineRule="auto"/>
        <w:ind w:firstLine="36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22.1 政府采购合同不能转让。</w:t>
      </w:r>
    </w:p>
    <w:p>
      <w:pPr>
        <w:spacing w:line="360" w:lineRule="auto"/>
        <w:ind w:firstLine="36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23.合同修改</w:t>
      </w:r>
    </w:p>
    <w:p>
      <w:pPr>
        <w:spacing w:line="360" w:lineRule="auto"/>
        <w:ind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政府采购合同的双方当事人不得擅自变更、中止或者终止合同</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24.通知</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本合同任何一方给另一方的通知，都应以书面形式发送，而另一方也应以书面形式确认并发送到对方明确的地址。</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25.计量单位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除技术规范中另有规定外,计量单位均使用国家法定计量单位。</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26.适用法律</w:t>
      </w:r>
    </w:p>
    <w:p>
      <w:pPr>
        <w:spacing w:line="360" w:lineRule="auto"/>
        <w:ind w:firstLine="48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4"/>
          <w:szCs w:val="24"/>
        </w:rPr>
        <w:t>本合同按照中华人民共和国的相关法律进行解释。</w:t>
      </w:r>
    </w:p>
    <w:p>
      <w:pPr>
        <w:pStyle w:val="3"/>
        <w:spacing w:before="146" w:line="360" w:lineRule="auto"/>
        <w:ind w:left="3317"/>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
        <w:numPr>
          <w:ilvl w:val="0"/>
          <w:numId w:val="6"/>
        </w:numPr>
        <w:spacing w:before="146" w:line="360" w:lineRule="auto"/>
        <w:ind w:left="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响应文件格式</w:t>
      </w:r>
      <w:bookmarkEnd w:id="77"/>
    </w:p>
    <w:p>
      <w:pPr>
        <w:spacing w:line="360" w:lineRule="auto"/>
        <w:rPr>
          <w:rFonts w:hint="eastAsia" w:asciiTheme="minorEastAsia" w:hAnsiTheme="minorEastAsia" w:eastAsiaTheme="minorEastAsia" w:cstheme="minorEastAsia"/>
        </w:rPr>
      </w:pPr>
    </w:p>
    <w:p>
      <w:pPr>
        <w:pStyle w:val="6"/>
        <w:spacing w:before="1" w:line="360" w:lineRule="auto"/>
        <w:rPr>
          <w:rFonts w:hint="eastAsia" w:asciiTheme="minorEastAsia" w:hAnsiTheme="minorEastAsia" w:eastAsiaTheme="minorEastAsia" w:cstheme="minorEastAsia"/>
          <w:b/>
          <w:sz w:val="18"/>
        </w:rPr>
      </w:pPr>
    </w:p>
    <w:p>
      <w:pPr>
        <w:spacing w:line="360" w:lineRule="auto"/>
        <w:rPr>
          <w:rFonts w:hint="eastAsia" w:asciiTheme="minorEastAsia" w:hAnsiTheme="minorEastAsia" w:eastAsiaTheme="minorEastAsia" w:cstheme="minorEastAsia"/>
          <w:sz w:val="18"/>
        </w:rPr>
        <w:sectPr>
          <w:pgSz w:w="11910" w:h="16840"/>
          <w:pgMar w:top="1440" w:right="1196" w:bottom="1440" w:left="1196" w:header="679" w:footer="686" w:gutter="0"/>
          <w:cols w:space="720" w:num="1"/>
        </w:sectPr>
      </w:pPr>
    </w:p>
    <w:p>
      <w:pPr>
        <w:pStyle w:val="6"/>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column"/>
      </w:r>
      <w:bookmarkStart w:id="78" w:name="_Toc11031_WPSOffice_Level2"/>
    </w:p>
    <w:p>
      <w:pPr>
        <w:pStyle w:val="6"/>
        <w:spacing w:line="360" w:lineRule="auto"/>
        <w:rPr>
          <w:rFonts w:hint="eastAsia" w:asciiTheme="minorEastAsia" w:hAnsiTheme="minorEastAsia" w:eastAsiaTheme="minorEastAsia" w:cstheme="minorEastAsia"/>
          <w:b/>
          <w:sz w:val="52"/>
        </w:rPr>
      </w:pPr>
    </w:p>
    <w:p>
      <w:pPr>
        <w:pStyle w:val="6"/>
        <w:spacing w:line="360" w:lineRule="auto"/>
        <w:ind w:firstLine="522" w:firstLineChars="100"/>
        <w:jc w:val="center"/>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青海省政府采购项目</w:t>
      </w:r>
      <w:bookmarkEnd w:id="78"/>
    </w:p>
    <w:p>
      <w:pPr>
        <w:pStyle w:val="6"/>
        <w:spacing w:line="360" w:lineRule="auto"/>
        <w:rPr>
          <w:rFonts w:hint="eastAsia" w:asciiTheme="minorEastAsia" w:hAnsiTheme="minorEastAsia" w:eastAsiaTheme="minorEastAsia" w:cstheme="minorEastAsia"/>
          <w:b/>
          <w:sz w:val="52"/>
        </w:rPr>
      </w:pPr>
    </w:p>
    <w:p>
      <w:pPr>
        <w:pStyle w:val="6"/>
        <w:spacing w:before="7" w:line="360" w:lineRule="auto"/>
        <w:jc w:val="center"/>
        <w:rPr>
          <w:rFonts w:hint="eastAsia" w:asciiTheme="minorEastAsia" w:hAnsiTheme="minorEastAsia" w:eastAsiaTheme="minorEastAsia" w:cstheme="minorEastAsia"/>
          <w:b/>
          <w:sz w:val="56"/>
          <w:lang w:val="en-US"/>
        </w:rPr>
      </w:pPr>
      <w:r>
        <w:rPr>
          <w:rFonts w:hint="eastAsia" w:asciiTheme="minorEastAsia" w:hAnsiTheme="minorEastAsia" w:eastAsiaTheme="minorEastAsia" w:cstheme="minorEastAsia"/>
          <w:b/>
          <w:sz w:val="56"/>
          <w:lang w:val="en-US"/>
        </w:rPr>
        <w:t>响应文件</w:t>
      </w:r>
    </w:p>
    <w:p>
      <w:pPr>
        <w:pStyle w:val="6"/>
        <w:spacing w:line="360" w:lineRule="auto"/>
        <w:rPr>
          <w:rFonts w:hint="eastAsia" w:asciiTheme="minorEastAsia" w:hAnsiTheme="minorEastAsia" w:eastAsiaTheme="minorEastAsia" w:cstheme="minorEastAsia"/>
          <w:b/>
          <w:sz w:val="20"/>
        </w:rPr>
      </w:pPr>
    </w:p>
    <w:p>
      <w:pPr>
        <w:pStyle w:val="6"/>
        <w:spacing w:line="360" w:lineRule="auto"/>
        <w:rPr>
          <w:rFonts w:hint="eastAsia" w:asciiTheme="minorEastAsia" w:hAnsiTheme="minorEastAsia" w:eastAsiaTheme="minorEastAsia" w:cstheme="minorEastAsia"/>
          <w:b/>
          <w:sz w:val="20"/>
        </w:rPr>
      </w:pPr>
    </w:p>
    <w:p>
      <w:pPr>
        <w:tabs>
          <w:tab w:val="left" w:pos="7101"/>
        </w:tabs>
        <w:spacing w:before="61" w:line="360" w:lineRule="auto"/>
        <w:ind w:right="58" w:firstLine="723" w:firstLineChars="200"/>
        <w:rPr>
          <w:rFonts w:hint="eastAsia" w:asciiTheme="minorEastAsia" w:hAnsiTheme="minorEastAsia" w:eastAsiaTheme="minorEastAsia" w:cstheme="minorEastAsia"/>
          <w:b/>
          <w:spacing w:val="3"/>
          <w:w w:val="95"/>
          <w:sz w:val="36"/>
          <w:u w:val="single"/>
          <w:lang w:val="en-US"/>
        </w:rPr>
      </w:pPr>
      <w:r>
        <w:rPr>
          <w:rFonts w:hint="eastAsia" w:asciiTheme="minorEastAsia" w:hAnsiTheme="minorEastAsia" w:eastAsiaTheme="minorEastAsia" w:cstheme="minorEastAsia"/>
          <w:b/>
          <w:sz w:val="36"/>
        </w:rPr>
        <w:t>采购项目编号：</w:t>
      </w:r>
    </w:p>
    <w:p>
      <w:pPr>
        <w:tabs>
          <w:tab w:val="left" w:pos="7101"/>
        </w:tabs>
        <w:spacing w:before="61" w:line="360" w:lineRule="auto"/>
        <w:ind w:right="58" w:firstLine="723" w:firstLineChars="200"/>
        <w:rPr>
          <w:rFonts w:hint="eastAsia" w:asciiTheme="minorEastAsia" w:hAnsiTheme="minorEastAsia" w:eastAsiaTheme="minorEastAsia" w:cstheme="minorEastAsia"/>
          <w:b/>
          <w:sz w:val="36"/>
          <w:u w:val="single"/>
          <w:lang w:val="en-US"/>
        </w:rPr>
      </w:pPr>
      <w:r>
        <w:rPr>
          <w:rFonts w:hint="eastAsia" w:asciiTheme="minorEastAsia" w:hAnsiTheme="minorEastAsia" w:eastAsiaTheme="minorEastAsia" w:cstheme="minorEastAsia"/>
          <w:b/>
          <w:sz w:val="36"/>
        </w:rPr>
        <w:t>采购项目名称：</w:t>
      </w:r>
    </w:p>
    <w:p>
      <w:pPr>
        <w:tabs>
          <w:tab w:val="left" w:pos="1600"/>
          <w:tab w:val="left" w:pos="2323"/>
          <w:tab w:val="left" w:pos="8108"/>
        </w:tabs>
        <w:spacing w:before="50" w:line="360" w:lineRule="auto"/>
        <w:ind w:right="988" w:firstLine="667" w:firstLineChars="200"/>
        <w:rPr>
          <w:rFonts w:hint="eastAsia" w:asciiTheme="minorEastAsia" w:hAnsiTheme="minorEastAsia" w:eastAsiaTheme="minorEastAsia" w:cstheme="minorEastAsia"/>
          <w:b/>
          <w:spacing w:val="-14"/>
          <w:sz w:val="36"/>
          <w:lang w:val="en-US"/>
        </w:rPr>
      </w:pPr>
      <w:r>
        <w:rPr>
          <w:rFonts w:hint="eastAsia" w:asciiTheme="minorEastAsia" w:hAnsiTheme="minorEastAsia" w:eastAsiaTheme="minorEastAsia" w:cstheme="minorEastAsia"/>
          <w:b/>
          <w:spacing w:val="-14"/>
          <w:sz w:val="36"/>
          <w:lang w:val="en-US"/>
        </w:rPr>
        <w:t>供应商</w:t>
      </w:r>
      <w:r>
        <w:rPr>
          <w:rFonts w:hint="eastAsia" w:asciiTheme="minorEastAsia" w:hAnsiTheme="minorEastAsia" w:eastAsiaTheme="minorEastAsia" w:cstheme="minorEastAsia"/>
          <w:b/>
          <w:spacing w:val="-14"/>
          <w:sz w:val="36"/>
        </w:rPr>
        <w:t xml:space="preserve">：                   </w:t>
      </w:r>
      <w:r>
        <w:rPr>
          <w:rFonts w:hint="eastAsia" w:asciiTheme="minorEastAsia" w:hAnsiTheme="minorEastAsia" w:eastAsiaTheme="minorEastAsia" w:cstheme="minorEastAsia"/>
          <w:b/>
          <w:sz w:val="36"/>
          <w:lang w:val="en-US"/>
        </w:rPr>
        <w:t>（</w:t>
      </w:r>
      <w:r>
        <w:rPr>
          <w:rFonts w:hint="eastAsia" w:asciiTheme="minorEastAsia" w:hAnsiTheme="minorEastAsia" w:eastAsiaTheme="minorEastAsia" w:cstheme="minorEastAsia"/>
          <w:b/>
          <w:spacing w:val="-14"/>
          <w:sz w:val="36"/>
          <w:lang w:val="en-US"/>
        </w:rPr>
        <w:t>盖章）</w:t>
      </w:r>
    </w:p>
    <w:p>
      <w:pPr>
        <w:tabs>
          <w:tab w:val="left" w:pos="1600"/>
          <w:tab w:val="left" w:pos="2323"/>
          <w:tab w:val="left" w:pos="8108"/>
        </w:tabs>
        <w:spacing w:before="50" w:line="360" w:lineRule="auto"/>
        <w:ind w:right="988" w:firstLine="723" w:firstLineChars="200"/>
        <w:rPr>
          <w:rFonts w:hint="eastAsia" w:asciiTheme="minorEastAsia" w:hAnsiTheme="minorEastAsia" w:eastAsiaTheme="minorEastAsia" w:cstheme="minorEastAsia"/>
          <w:b/>
          <w:spacing w:val="-14"/>
          <w:sz w:val="36"/>
          <w:lang w:val="en-US"/>
        </w:rPr>
      </w:pPr>
      <w:r>
        <w:rPr>
          <w:rFonts w:hint="eastAsia" w:asciiTheme="minorEastAsia" w:hAnsiTheme="minorEastAsia" w:eastAsiaTheme="minorEastAsia" w:cstheme="minorEastAsia"/>
          <w:b/>
          <w:sz w:val="36"/>
        </w:rPr>
        <w:t xml:space="preserve">法定代表人或委托代理人：    </w:t>
      </w:r>
      <w:r>
        <w:rPr>
          <w:rFonts w:hint="eastAsia" w:asciiTheme="minorEastAsia" w:hAnsiTheme="minorEastAsia" w:eastAsiaTheme="minorEastAsia" w:cstheme="minorEastAsia"/>
          <w:b/>
          <w:sz w:val="36"/>
          <w:lang w:val="en-US"/>
        </w:rPr>
        <w:t>（签字或盖章）</w:t>
      </w:r>
    </w:p>
    <w:p>
      <w:pPr>
        <w:tabs>
          <w:tab w:val="left" w:pos="1600"/>
          <w:tab w:val="left" w:pos="2323"/>
          <w:tab w:val="left" w:pos="8108"/>
        </w:tabs>
        <w:spacing w:before="50" w:line="360" w:lineRule="auto"/>
        <w:ind w:right="988"/>
        <w:jc w:val="center"/>
        <w:rPr>
          <w:rFonts w:hint="eastAsia" w:asciiTheme="minorEastAsia" w:hAnsiTheme="minorEastAsia" w:eastAsiaTheme="minorEastAsia" w:cstheme="minorEastAsia"/>
          <w:sz w:val="36"/>
        </w:rPr>
        <w:sectPr>
          <w:type w:val="continuous"/>
          <w:pgSz w:w="11910" w:h="16840"/>
          <w:pgMar w:top="1440" w:right="1196" w:bottom="1440" w:left="1196" w:header="720" w:footer="720" w:gutter="0"/>
          <w:cols w:space="720" w:num="1"/>
        </w:sectPr>
      </w:pPr>
      <w:r>
        <w:rPr>
          <w:rFonts w:hint="eastAsia" w:asciiTheme="minorEastAsia" w:hAnsiTheme="minorEastAsia" w:eastAsiaTheme="minorEastAsia" w:cstheme="minorEastAsia"/>
          <w:b/>
          <w:sz w:val="36"/>
        </w:rPr>
        <w:t>年  月  日</w:t>
      </w:r>
    </w:p>
    <w:p>
      <w:pPr>
        <w:spacing w:before="66" w:line="360" w:lineRule="auto"/>
        <w:ind w:left="508"/>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目录</w:t>
      </w:r>
    </w:p>
    <w:p>
      <w:pPr>
        <w:pStyle w:val="6"/>
        <w:spacing w:before="9" w:line="360" w:lineRule="auto"/>
        <w:rPr>
          <w:rFonts w:hint="eastAsia" w:asciiTheme="minorEastAsia" w:hAnsiTheme="minorEastAsia" w:eastAsiaTheme="minorEastAsia" w:cstheme="minorEastAsia"/>
          <w:b/>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7"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法定代表人证明书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6"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9"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承诺函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7"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1"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诚信承诺书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6"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资格证明材料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9"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财务状况报告，依法缴纳税收和社会保障资金的相关材料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7"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具备履行合同所必需的设备和专业技术能力的证明材料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9" w:line="360" w:lineRule="auto"/>
        <w:rPr>
          <w:rFonts w:hint="eastAsia" w:asciiTheme="minorEastAsia" w:hAnsiTheme="minorEastAsia" w:eastAsiaTheme="minorEastAsia" w:cstheme="minorEastAsia"/>
        </w:rPr>
      </w:pPr>
    </w:p>
    <w:p>
      <w:pPr>
        <w:pStyle w:val="23"/>
        <w:numPr>
          <w:ilvl w:val="0"/>
          <w:numId w:val="7"/>
        </w:numPr>
        <w:tabs>
          <w:tab w:val="left" w:pos="1124"/>
          <w:tab w:val="left" w:leader="dot" w:pos="7842"/>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无重大违法记录声明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6"/>
        <w:spacing w:before="7" w:line="360" w:lineRule="auto"/>
        <w:rPr>
          <w:rFonts w:hint="eastAsia" w:asciiTheme="minorEastAsia" w:hAnsiTheme="minorEastAsia" w:eastAsiaTheme="minorEastAsia" w:cstheme="minorEastAsia"/>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谈判保证金证明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3"/>
        <w:spacing w:line="360" w:lineRule="auto"/>
        <w:ind w:left="0" w:firstLine="0"/>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rPr>
        <w:t>首次报价</w:t>
      </w:r>
      <w:r>
        <w:rPr>
          <w:rFonts w:hint="eastAsia" w:asciiTheme="minorEastAsia" w:hAnsiTheme="minorEastAsia" w:eastAsiaTheme="minorEastAsia" w:cstheme="minorEastAsia"/>
          <w:sz w:val="24"/>
          <w:szCs w:val="24"/>
        </w:rPr>
        <w:t>一览表（报价表）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分项报价表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技术规格响应表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投标产品相关资料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5"/>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供应商的业绩证明材料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残疾人福利性单位声明函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4"/>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供应商认为在其他方面有必要说明的事项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3"/>
        <w:spacing w:line="360" w:lineRule="auto"/>
        <w:rPr>
          <w:rFonts w:hint="eastAsia" w:asciiTheme="minorEastAsia" w:hAnsiTheme="minorEastAsia" w:eastAsiaTheme="minorEastAsia" w:cstheme="minorEastAsia"/>
          <w:sz w:val="24"/>
        </w:rPr>
      </w:pPr>
    </w:p>
    <w:p>
      <w:pPr>
        <w:pStyle w:val="23"/>
        <w:numPr>
          <w:ilvl w:val="0"/>
          <w:numId w:val="7"/>
        </w:numPr>
        <w:tabs>
          <w:tab w:val="left" w:pos="1259"/>
          <w:tab w:val="left" w:leader="dot" w:pos="7735"/>
        </w:tabs>
        <w:spacing w:before="0" w:line="360" w:lineRule="auto"/>
        <w:ind w:left="1258" w:hanging="7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最终报价表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13"/>
        <w:spacing w:line="360" w:lineRule="auto"/>
        <w:ind w:left="2300" w:hanging="1200"/>
        <w:rPr>
          <w:rFonts w:hint="eastAsia" w:asciiTheme="minorEastAsia" w:hAnsiTheme="minorEastAsia" w:eastAsiaTheme="minorEastAsia" w:cstheme="minorEastAsia"/>
          <w:highlight w:val="yellow"/>
        </w:rPr>
        <w:sectPr>
          <w:pgSz w:w="11910" w:h="16840"/>
          <w:pgMar w:top="1440" w:right="1196" w:bottom="1440" w:left="1196" w:header="679" w:footer="686" w:gutter="0"/>
          <w:cols w:space="720" w:num="1"/>
        </w:sectPr>
      </w:pP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79" w:name="_bookmark42"/>
      <w:bookmarkEnd w:id="79"/>
      <w:r>
        <w:rPr>
          <w:rFonts w:hint="eastAsia" w:asciiTheme="minorEastAsia" w:hAnsiTheme="minorEastAsia" w:eastAsiaTheme="minorEastAsia" w:cstheme="minorEastAsia"/>
          <w:b/>
          <w:sz w:val="28"/>
        </w:rPr>
        <w:t>响应函</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响应函</w:t>
      </w: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9" w:line="360" w:lineRule="auto"/>
        <w:rPr>
          <w:rFonts w:hint="eastAsia" w:asciiTheme="minorEastAsia" w:hAnsiTheme="minorEastAsia" w:eastAsiaTheme="minorEastAsia" w:cstheme="minorEastAsia"/>
          <w:b/>
        </w:rPr>
      </w:pPr>
    </w:p>
    <w:p>
      <w:pPr>
        <w:pStyle w:val="6"/>
        <w:spacing w:line="360" w:lineRule="auto"/>
        <w:ind w:left="8"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我们收到</w:t>
      </w:r>
      <w:r>
        <w:rPr>
          <w:rFonts w:hint="eastAsia" w:asciiTheme="minorEastAsia" w:hAnsiTheme="minorEastAsia" w:eastAsiaTheme="minorEastAsia" w:cstheme="minorEastAsia"/>
          <w:u w:val="single"/>
        </w:rPr>
        <w:t>采购项目名称（采购项目编号）谈判</w:t>
      </w:r>
      <w:r>
        <w:rPr>
          <w:rFonts w:hint="eastAsia" w:asciiTheme="minorEastAsia" w:hAnsiTheme="minorEastAsia" w:eastAsiaTheme="minorEastAsia" w:cstheme="minorEastAsia"/>
        </w:rPr>
        <w:t>文件，经研究，法定代表人（姓名、职务）正式授权（委托代理人姓名、职务）代表</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名称、地址）提交</w:t>
      </w:r>
      <w:r>
        <w:rPr>
          <w:rFonts w:hint="eastAsia" w:asciiTheme="minorEastAsia" w:hAnsiTheme="minorEastAsia" w:eastAsiaTheme="minorEastAsia" w:cstheme="minorEastAsia"/>
          <w:lang w:val="en-US"/>
        </w:rPr>
        <w:t>谈判</w:t>
      </w:r>
      <w:r>
        <w:rPr>
          <w:rFonts w:hint="eastAsia" w:asciiTheme="minorEastAsia" w:hAnsiTheme="minorEastAsia" w:eastAsiaTheme="minorEastAsia" w:cstheme="minorEastAsia"/>
        </w:rPr>
        <w:t>响应文件。</w:t>
      </w:r>
    </w:p>
    <w:p>
      <w:pPr>
        <w:pStyle w:val="6"/>
        <w:spacing w:before="6" w:line="360" w:lineRule="auto"/>
        <w:ind w:left="8"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据此函，签字代表宣布同意如下：</w:t>
      </w:r>
    </w:p>
    <w:p>
      <w:pPr>
        <w:pStyle w:val="23"/>
        <w:numPr>
          <w:ilvl w:val="1"/>
          <w:numId w:val="8"/>
        </w:numPr>
        <w:tabs>
          <w:tab w:val="left" w:pos="1193"/>
        </w:tabs>
        <w:spacing w:before="158" w:line="360" w:lineRule="auto"/>
        <w:ind w:left="8" w:right="57" w:rightChars="26" w:firstLine="650"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我方已详阅谈判文件的全部内容，包括澄清、修改条款等有关附件，承诺对其完全理解并接受。</w:t>
      </w:r>
    </w:p>
    <w:p>
      <w:pPr>
        <w:pStyle w:val="23"/>
        <w:numPr>
          <w:ilvl w:val="1"/>
          <w:numId w:val="8"/>
        </w:numPr>
        <w:tabs>
          <w:tab w:val="left" w:pos="1193"/>
          <w:tab w:val="left" w:pos="6288"/>
        </w:tabs>
        <w:spacing w:before="0" w:line="360" w:lineRule="auto"/>
        <w:ind w:left="8" w:right="57" w:rightChars="26" w:firstLine="644"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w:t>
      </w:r>
      <w:r>
        <w:rPr>
          <w:rFonts w:hint="eastAsia" w:asciiTheme="minorEastAsia" w:hAnsiTheme="minorEastAsia" w:eastAsiaTheme="minorEastAsia" w:cstheme="minorEastAsia"/>
          <w:sz w:val="24"/>
        </w:rPr>
        <w:t>有效期</w:t>
      </w:r>
      <w:r>
        <w:rPr>
          <w:rFonts w:hint="eastAsia" w:asciiTheme="minorEastAsia" w:hAnsiTheme="minorEastAsia" w:eastAsiaTheme="minorEastAsia" w:cstheme="minorEastAsia"/>
          <w:spacing w:val="3"/>
          <w:sz w:val="24"/>
        </w:rPr>
        <w:t>：</w:t>
      </w:r>
      <w:r>
        <w:rPr>
          <w:rFonts w:hint="eastAsia" w:asciiTheme="minorEastAsia" w:hAnsiTheme="minorEastAsia" w:eastAsiaTheme="minorEastAsia" w:cstheme="minorEastAsia"/>
          <w:sz w:val="24"/>
        </w:rPr>
        <w:t>从提交</w:t>
      </w:r>
      <w:r>
        <w:rPr>
          <w:rFonts w:hint="eastAsia" w:asciiTheme="minorEastAsia" w:hAnsiTheme="minorEastAsia" w:eastAsiaTheme="minorEastAsia" w:cstheme="minorEastAsia"/>
          <w:sz w:val="24"/>
          <w:lang w:val="en-US"/>
        </w:rPr>
        <w:t>谈判</w:t>
      </w:r>
      <w:r>
        <w:rPr>
          <w:rFonts w:hint="eastAsia" w:asciiTheme="minorEastAsia" w:hAnsiTheme="minorEastAsia" w:eastAsiaTheme="minorEastAsia" w:cstheme="minorEastAsia"/>
          <w:sz w:val="24"/>
        </w:rPr>
        <w:t>响应文件的截止之日起</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日历日内有效。如果我方</w:t>
      </w:r>
      <w:r>
        <w:rPr>
          <w:rFonts w:hint="eastAsia" w:asciiTheme="minorEastAsia" w:hAnsiTheme="minorEastAsia" w:eastAsiaTheme="minorEastAsia" w:cstheme="minorEastAsia"/>
          <w:spacing w:val="3"/>
          <w:sz w:val="24"/>
        </w:rPr>
        <w:t>在</w:t>
      </w:r>
      <w:r>
        <w:rPr>
          <w:rFonts w:hint="eastAsia" w:asciiTheme="minorEastAsia" w:hAnsiTheme="minorEastAsia" w:eastAsiaTheme="minorEastAsia" w:cstheme="minorEastAsia"/>
          <w:spacing w:val="3"/>
          <w:sz w:val="24"/>
          <w:lang w:val="en-US"/>
        </w:rPr>
        <w:t>谈判</w:t>
      </w: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pacing w:val="-12"/>
          <w:sz w:val="24"/>
        </w:rPr>
        <w:t>有</w:t>
      </w:r>
      <w:r>
        <w:rPr>
          <w:rFonts w:hint="eastAsia" w:asciiTheme="minorEastAsia" w:hAnsiTheme="minorEastAsia" w:eastAsiaTheme="minorEastAsia" w:cstheme="minorEastAsia"/>
          <w:sz w:val="24"/>
        </w:rPr>
        <w:t>效期内撤回响应或中标后不签约的，谈判保证金将被贵方没收。</w:t>
      </w:r>
    </w:p>
    <w:p>
      <w:pPr>
        <w:pStyle w:val="23"/>
        <w:numPr>
          <w:ilvl w:val="1"/>
          <w:numId w:val="8"/>
        </w:numPr>
        <w:tabs>
          <w:tab w:val="left" w:pos="1193"/>
        </w:tabs>
        <w:spacing w:before="0" w:line="360" w:lineRule="auto"/>
        <w:ind w:left="8" w:right="57" w:rightChars="26" w:firstLine="650"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我方同意按照贵方要求提供与响应有关的一切数据或资料，理解并接受贵方制定的评标办法。</w:t>
      </w:r>
    </w:p>
    <w:p>
      <w:pPr>
        <w:pStyle w:val="23"/>
        <w:numPr>
          <w:ilvl w:val="1"/>
          <w:numId w:val="8"/>
        </w:numPr>
        <w:tabs>
          <w:tab w:val="left" w:pos="1191"/>
        </w:tabs>
        <w:spacing w:before="0" w:line="360" w:lineRule="auto"/>
        <w:ind w:left="8" w:right="57" w:rightChars="26" w:firstLine="644"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与本响应有关的一切正式往来通讯请寄：</w:t>
      </w:r>
    </w:p>
    <w:p>
      <w:pPr>
        <w:pStyle w:val="6"/>
        <w:spacing w:line="360" w:lineRule="auto"/>
        <w:rPr>
          <w:rFonts w:hint="eastAsia" w:asciiTheme="minorEastAsia" w:hAnsiTheme="minorEastAsia" w:eastAsiaTheme="minorEastAsia" w:cstheme="minorEastAsia"/>
          <w:sz w:val="10"/>
          <w:szCs w:val="15"/>
        </w:rPr>
      </w:pPr>
    </w:p>
    <w:p>
      <w:pPr>
        <w:pStyle w:val="6"/>
        <w:spacing w:line="360" w:lineRule="auto"/>
        <w:rPr>
          <w:rFonts w:hint="eastAsia" w:asciiTheme="minorEastAsia" w:hAnsiTheme="minorEastAsia" w:eastAsiaTheme="minorEastAsia" w:cstheme="minorEastAsia"/>
          <w:sz w:val="10"/>
          <w:szCs w:val="15"/>
        </w:rPr>
      </w:pPr>
    </w:p>
    <w:p>
      <w:pPr>
        <w:pStyle w:val="6"/>
        <w:spacing w:line="360" w:lineRule="auto"/>
        <w:rPr>
          <w:rFonts w:hint="eastAsia" w:asciiTheme="minorEastAsia" w:hAnsiTheme="minorEastAsia" w:eastAsiaTheme="minorEastAsia" w:cstheme="minorEastAsia"/>
          <w:sz w:val="20"/>
        </w:rPr>
      </w:pPr>
    </w:p>
    <w:p>
      <w:pPr>
        <w:pStyle w:val="6"/>
        <w:spacing w:before="11" w:after="1" w:line="360" w:lineRule="auto"/>
        <w:rPr>
          <w:rFonts w:hint="eastAsia" w:asciiTheme="minorEastAsia" w:hAnsiTheme="minorEastAsia" w:eastAsiaTheme="minorEastAsia" w:cstheme="minorEastAsia"/>
          <w:sz w:val="10"/>
        </w:rPr>
      </w:pPr>
    </w:p>
    <w:tbl>
      <w:tblPr>
        <w:tblStyle w:val="16"/>
        <w:tblW w:w="8906" w:type="dxa"/>
        <w:tblInd w:w="315" w:type="dxa"/>
        <w:tblLayout w:type="fixed"/>
        <w:tblCellMar>
          <w:top w:w="0" w:type="dxa"/>
          <w:left w:w="0" w:type="dxa"/>
          <w:bottom w:w="0" w:type="dxa"/>
          <w:right w:w="0" w:type="dxa"/>
        </w:tblCellMar>
      </w:tblPr>
      <w:tblGrid>
        <w:gridCol w:w="4653"/>
        <w:gridCol w:w="4253"/>
      </w:tblGrid>
      <w:tr>
        <w:tblPrEx>
          <w:tblCellMar>
            <w:top w:w="0" w:type="dxa"/>
            <w:left w:w="0" w:type="dxa"/>
            <w:bottom w:w="0" w:type="dxa"/>
            <w:right w:w="0" w:type="dxa"/>
          </w:tblCellMar>
        </w:tblPrEx>
        <w:trPr>
          <w:trHeight w:val="518" w:hRule="atLeast"/>
        </w:trPr>
        <w:tc>
          <w:tcPr>
            <w:tcW w:w="4653" w:type="dxa"/>
          </w:tcPr>
          <w:p>
            <w:pPr>
              <w:pStyle w:val="25"/>
              <w:tabs>
                <w:tab w:val="left" w:pos="3241"/>
              </w:tabs>
              <w:spacing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ab/>
            </w:r>
          </w:p>
        </w:tc>
        <w:tc>
          <w:tcPr>
            <w:tcW w:w="4253" w:type="dxa"/>
          </w:tcPr>
          <w:p>
            <w:pPr>
              <w:pStyle w:val="25"/>
              <w:tabs>
                <w:tab w:val="left" w:pos="4108"/>
              </w:tabs>
              <w:spacing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single"/>
              </w:rPr>
              <w:tab/>
            </w:r>
          </w:p>
        </w:tc>
      </w:tr>
      <w:tr>
        <w:tblPrEx>
          <w:tblCellMar>
            <w:top w:w="0" w:type="dxa"/>
            <w:left w:w="0" w:type="dxa"/>
            <w:bottom w:w="0" w:type="dxa"/>
            <w:right w:w="0" w:type="dxa"/>
          </w:tblCellMar>
        </w:tblPrEx>
        <w:trPr>
          <w:trHeight w:val="731" w:hRule="atLeast"/>
        </w:trPr>
        <w:tc>
          <w:tcPr>
            <w:tcW w:w="4653" w:type="dxa"/>
          </w:tcPr>
          <w:p>
            <w:pPr>
              <w:pStyle w:val="25"/>
              <w:tabs>
                <w:tab w:val="left" w:pos="3241"/>
              </w:tabs>
              <w:spacing w:before="227"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u w:val="single"/>
              </w:rPr>
              <w:tab/>
            </w:r>
          </w:p>
        </w:tc>
        <w:tc>
          <w:tcPr>
            <w:tcW w:w="4253" w:type="dxa"/>
          </w:tcPr>
          <w:p>
            <w:pPr>
              <w:pStyle w:val="25"/>
              <w:tabs>
                <w:tab w:val="left" w:pos="4108"/>
              </w:tabs>
              <w:spacing w:before="227"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r>
              <w:rPr>
                <w:rFonts w:hint="eastAsia" w:asciiTheme="minorEastAsia" w:hAnsiTheme="minorEastAsia" w:eastAsiaTheme="minorEastAsia" w:cstheme="minorEastAsia"/>
                <w:sz w:val="24"/>
                <w:u w:val="single"/>
              </w:rPr>
              <w:tab/>
            </w:r>
          </w:p>
        </w:tc>
      </w:tr>
      <w:tr>
        <w:tblPrEx>
          <w:tblCellMar>
            <w:top w:w="0" w:type="dxa"/>
            <w:left w:w="0" w:type="dxa"/>
            <w:bottom w:w="0" w:type="dxa"/>
            <w:right w:w="0" w:type="dxa"/>
          </w:tblCellMar>
        </w:tblPrEx>
        <w:trPr>
          <w:trHeight w:val="481" w:hRule="atLeast"/>
        </w:trPr>
        <w:tc>
          <w:tcPr>
            <w:tcW w:w="4653" w:type="dxa"/>
          </w:tcPr>
          <w:p>
            <w:pPr>
              <w:pStyle w:val="25"/>
              <w:tabs>
                <w:tab w:val="left" w:pos="3228"/>
              </w:tabs>
              <w:spacing w:before="190"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法定代表人姓名：</w:t>
            </w:r>
            <w:r>
              <w:rPr>
                <w:rFonts w:hint="eastAsia" w:asciiTheme="minorEastAsia" w:hAnsiTheme="minorEastAsia" w:eastAsiaTheme="minorEastAsia" w:cstheme="minorEastAsia"/>
                <w:sz w:val="24"/>
                <w:u w:val="single"/>
              </w:rPr>
              <w:tab/>
            </w:r>
          </w:p>
        </w:tc>
        <w:tc>
          <w:tcPr>
            <w:tcW w:w="4253" w:type="dxa"/>
          </w:tcPr>
          <w:p>
            <w:pPr>
              <w:pStyle w:val="25"/>
              <w:tabs>
                <w:tab w:val="left" w:pos="3976"/>
              </w:tabs>
              <w:spacing w:before="190"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ab/>
            </w:r>
          </w:p>
        </w:tc>
      </w:tr>
    </w:tbl>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10"/>
          <w:szCs w:val="15"/>
        </w:rPr>
      </w:pPr>
    </w:p>
    <w:p>
      <w:pPr>
        <w:pStyle w:val="6"/>
        <w:spacing w:line="360" w:lineRule="auto"/>
        <w:rPr>
          <w:rFonts w:hint="eastAsia" w:asciiTheme="minorEastAsia" w:hAnsiTheme="minorEastAsia" w:eastAsiaTheme="minorEastAsia" w:cstheme="minorEastAsia"/>
          <w:sz w:val="10"/>
          <w:szCs w:val="15"/>
        </w:rPr>
      </w:pPr>
    </w:p>
    <w:p>
      <w:pPr>
        <w:pStyle w:val="6"/>
        <w:spacing w:before="11" w:line="360" w:lineRule="auto"/>
        <w:rPr>
          <w:rFonts w:hint="eastAsia" w:asciiTheme="minorEastAsia" w:hAnsiTheme="minorEastAsia" w:eastAsiaTheme="minorEastAsia" w:cstheme="minorEastAsia"/>
          <w:sz w:val="8"/>
          <w:szCs w:val="15"/>
        </w:rPr>
      </w:pPr>
    </w:p>
    <w:p>
      <w:pPr>
        <w:tabs>
          <w:tab w:val="left" w:pos="8360"/>
        </w:tabs>
        <w:spacing w:before="193" w:line="360" w:lineRule="auto"/>
        <w:ind w:right="1099" w:firstLine="4368" w:firstLineChars="1813"/>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80" w:name="_bookmark43"/>
      <w:bookmarkEnd w:id="80"/>
      <w:r>
        <w:rPr>
          <w:rFonts w:hint="eastAsia" w:asciiTheme="minorEastAsia" w:hAnsiTheme="minorEastAsia" w:eastAsiaTheme="minorEastAsia" w:cstheme="minorEastAsia"/>
          <w:b/>
          <w:sz w:val="28"/>
        </w:rPr>
        <w:t>法定代表人证明书</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法定代表人证明书</w:t>
      </w:r>
    </w:p>
    <w:p>
      <w:pPr>
        <w:pStyle w:val="6"/>
        <w:spacing w:before="6"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9" w:line="360" w:lineRule="auto"/>
        <w:rPr>
          <w:rFonts w:hint="eastAsia" w:asciiTheme="minorEastAsia" w:hAnsiTheme="minorEastAsia" w:eastAsiaTheme="minorEastAsia" w:cstheme="minorEastAsia"/>
          <w:b/>
        </w:rPr>
      </w:pPr>
    </w:p>
    <w:p>
      <w:pPr>
        <w:pStyle w:val="6"/>
        <w:tabs>
          <w:tab w:val="left" w:pos="4588"/>
        </w:tabs>
        <w:spacing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现任我单位</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职务，为法定代表人，特此证明。</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before="20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法定代表人基本情况：</w:t>
      </w:r>
    </w:p>
    <w:p>
      <w:pPr>
        <w:pStyle w:val="6"/>
        <w:spacing w:before="6" w:line="360" w:lineRule="auto"/>
        <w:rPr>
          <w:rFonts w:hint="eastAsia" w:asciiTheme="minorEastAsia" w:hAnsiTheme="minorEastAsia" w:eastAsiaTheme="minorEastAsia" w:cstheme="minorEastAsia"/>
        </w:rPr>
      </w:pPr>
    </w:p>
    <w:p>
      <w:pPr>
        <w:pStyle w:val="6"/>
        <w:tabs>
          <w:tab w:val="left" w:pos="2548"/>
          <w:tab w:val="left" w:pos="4643"/>
          <w:tab w:val="left" w:pos="6564"/>
        </w:tabs>
        <w:spacing w:before="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民族：</w:t>
      </w:r>
      <w:r>
        <w:rPr>
          <w:rFonts w:hint="eastAsia" w:asciiTheme="minorEastAsia" w:hAnsiTheme="minorEastAsia" w:eastAsiaTheme="minorEastAsia" w:cstheme="minorEastAsia"/>
          <w:u w:val="single"/>
        </w:rPr>
        <w:tab/>
      </w:r>
    </w:p>
    <w:p>
      <w:pPr>
        <w:pStyle w:val="6"/>
        <w:spacing w:before="1" w:line="360" w:lineRule="auto"/>
        <w:rPr>
          <w:rFonts w:hint="eastAsia" w:asciiTheme="minorEastAsia" w:hAnsiTheme="minorEastAsia" w:eastAsiaTheme="minorEastAsia" w:cstheme="minorEastAsia"/>
          <w:sz w:val="21"/>
        </w:rPr>
      </w:pPr>
    </w:p>
    <w:p>
      <w:pPr>
        <w:pStyle w:val="6"/>
        <w:tabs>
          <w:tab w:val="left" w:pos="65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u w:val="single"/>
        </w:rPr>
        <w:tab/>
      </w:r>
    </w:p>
    <w:p>
      <w:pPr>
        <w:pStyle w:val="6"/>
        <w:spacing w:before="10" w:line="360" w:lineRule="auto"/>
        <w:rPr>
          <w:rFonts w:hint="eastAsia" w:asciiTheme="minorEastAsia" w:hAnsiTheme="minorEastAsia" w:eastAsiaTheme="minorEastAsia" w:cstheme="minorEastAsia"/>
          <w:sz w:val="20"/>
        </w:rPr>
      </w:pPr>
    </w:p>
    <w:p>
      <w:pPr>
        <w:pStyle w:val="6"/>
        <w:tabs>
          <w:tab w:val="left" w:pos="65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身</w:t>
      </w:r>
      <w:r>
        <w:rPr>
          <w:rFonts w:hint="eastAsia" w:asciiTheme="minorEastAsia" w:hAnsiTheme="minorEastAsia" w:eastAsiaTheme="minorEastAsia" w:cstheme="minorEastAsia"/>
        </w:rPr>
        <w:t>份证号码：</w:t>
      </w:r>
      <w:r>
        <w:rPr>
          <w:rFonts w:hint="eastAsia" w:asciiTheme="minorEastAsia" w:hAnsiTheme="minorEastAsia" w:eastAsiaTheme="minorEastAsia" w:cstheme="minorEastAsia"/>
          <w:u w:val="single"/>
        </w:rPr>
        <w:tab/>
      </w: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before="9" w:line="360" w:lineRule="auto"/>
        <w:rPr>
          <w:rFonts w:hint="eastAsia" w:asciiTheme="minorEastAsia" w:hAnsiTheme="minorEastAsia" w:eastAsiaTheme="minorEastAsia" w:cstheme="minorEastAsia"/>
          <w:sz w:val="29"/>
        </w:rPr>
      </w:pPr>
    </w:p>
    <w:p>
      <w:pPr>
        <w:pStyle w:val="6"/>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附法定代表人第二代身份证双面扫描（或复印）件</w:t>
      </w: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tabs>
          <w:tab w:val="left" w:pos="8360"/>
        </w:tabs>
        <w:spacing w:before="193" w:line="360" w:lineRule="auto"/>
        <w:ind w:right="1099" w:firstLine="4337" w:firstLineChars="1800"/>
        <w:rPr>
          <w:rFonts w:hint="eastAsia" w:asciiTheme="minorEastAsia" w:hAnsiTheme="minorEastAsia" w:eastAsiaTheme="minorEastAsia" w:cstheme="minorEastAsia"/>
          <w:b/>
          <w:spacing w:val="-14"/>
          <w:sz w:val="24"/>
        </w:rPr>
      </w:pPr>
      <w:bookmarkStart w:id="81" w:name="_bookmark44"/>
      <w:bookmarkEnd w:id="81"/>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126"/>
        </w:tabs>
        <w:spacing w:before="117" w:line="360" w:lineRule="auto"/>
        <w:ind w:left="1125" w:hanging="617"/>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法定代表人授权书</w:t>
      </w:r>
    </w:p>
    <w:p>
      <w:pPr>
        <w:pStyle w:val="6"/>
        <w:spacing w:before="1" w:line="360" w:lineRule="auto"/>
        <w:rPr>
          <w:rFonts w:hint="eastAsia" w:asciiTheme="minorEastAsia" w:hAnsiTheme="minorEastAsia" w:eastAsiaTheme="minorEastAsia" w:cstheme="minorEastAsia"/>
          <w:b/>
          <w:sz w:val="25"/>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法定代表人授权书</w:t>
      </w:r>
    </w:p>
    <w:p>
      <w:pPr>
        <w:pStyle w:val="6"/>
        <w:spacing w:before="9"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6" w:line="360" w:lineRule="auto"/>
        <w:rPr>
          <w:rFonts w:hint="eastAsia" w:asciiTheme="minorEastAsia" w:hAnsiTheme="minorEastAsia" w:eastAsiaTheme="minorEastAsia" w:cstheme="minorEastAsia"/>
          <w:b/>
        </w:rPr>
      </w:pPr>
    </w:p>
    <w:p>
      <w:pPr>
        <w:pStyle w:val="6"/>
        <w:tabs>
          <w:tab w:val="left" w:pos="8403"/>
        </w:tabs>
        <w:spacing w:before="1" w:line="360" w:lineRule="auto"/>
        <w:ind w:left="99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u w:val="single"/>
        </w:rPr>
        <w:t>（</w:t>
      </w:r>
      <w:r>
        <w:rPr>
          <w:rFonts w:hint="eastAsia" w:asciiTheme="minorEastAsia" w:hAnsiTheme="minorEastAsia" w:eastAsiaTheme="minorEastAsia" w:cstheme="minorEastAsia"/>
          <w:u w:val="single"/>
          <w:lang w:val="en-US"/>
        </w:rPr>
        <w:t>供应商</w:t>
      </w:r>
      <w:r>
        <w:rPr>
          <w:rFonts w:hint="eastAsia" w:asciiTheme="minorEastAsia" w:hAnsiTheme="minorEastAsia" w:eastAsiaTheme="minorEastAsia" w:cstheme="minorEastAsia"/>
          <w:u w:val="single"/>
        </w:rPr>
        <w:t>名称）</w:t>
      </w:r>
      <w:r>
        <w:rPr>
          <w:rFonts w:hint="eastAsia" w:asciiTheme="minorEastAsia" w:hAnsiTheme="minorEastAsia" w:eastAsiaTheme="minorEastAsia" w:cstheme="minorEastAsia"/>
        </w:rPr>
        <w:t>系中华人民共和国合法企业，法定地址</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p>
    <w:p>
      <w:pPr>
        <w:pStyle w:val="6"/>
        <w:spacing w:before="6" w:line="360" w:lineRule="auto"/>
        <w:rPr>
          <w:rFonts w:hint="eastAsia" w:asciiTheme="minorEastAsia" w:hAnsiTheme="minorEastAsia" w:eastAsiaTheme="minorEastAsia" w:cstheme="minorEastAsia"/>
        </w:rPr>
      </w:pPr>
    </w:p>
    <w:p>
      <w:pPr>
        <w:pStyle w:val="6"/>
        <w:tabs>
          <w:tab w:val="left" w:pos="4763"/>
          <w:tab w:val="left" w:pos="8964"/>
        </w:tabs>
        <w:spacing w:line="360" w:lineRule="auto"/>
        <w:ind w:left="508"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特授权</w:t>
      </w:r>
      <w:r>
        <w:rPr>
          <w:rFonts w:hint="eastAsia" w:asciiTheme="minorEastAsia" w:hAnsiTheme="minorEastAsia" w:eastAsiaTheme="minorEastAsia" w:cstheme="minorEastAsia"/>
          <w:u w:val="single"/>
        </w:rPr>
        <w:t>（委托代理人姓名）</w:t>
      </w:r>
      <w:r>
        <w:rPr>
          <w:rFonts w:hint="eastAsia" w:asciiTheme="minorEastAsia" w:hAnsiTheme="minorEastAsia" w:eastAsiaTheme="minorEastAsia" w:cstheme="minorEastAsia"/>
        </w:rPr>
        <w:t>代表我单位全权办理项目的响应、答疑等具体工作，并签署全部有关的文件、资料。我单位对被授权人的签名负全部责任。</w:t>
      </w:r>
    </w:p>
    <w:p>
      <w:pPr>
        <w:pStyle w:val="6"/>
        <w:spacing w:before="3"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被授权人联系电话：</w:t>
      </w:r>
    </w:p>
    <w:p>
      <w:pPr>
        <w:pStyle w:val="6"/>
        <w:spacing w:before="7" w:line="360" w:lineRule="auto"/>
        <w:rPr>
          <w:rFonts w:hint="eastAsia" w:asciiTheme="minorEastAsia" w:hAnsiTheme="minorEastAsia" w:eastAsiaTheme="minorEastAsia" w:cstheme="minorEastAsia"/>
        </w:rPr>
      </w:pPr>
    </w:p>
    <w:p>
      <w:pPr>
        <w:pStyle w:val="6"/>
        <w:tabs>
          <w:tab w:val="left" w:pos="4763"/>
          <w:tab w:val="left" w:pos="8964"/>
        </w:tabs>
        <w:spacing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被授权人（委托代理人）签字：</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授权人（法定代表人）签字：</w:t>
      </w:r>
      <w:r>
        <w:rPr>
          <w:rFonts w:hint="eastAsia" w:asciiTheme="minorEastAsia" w:hAnsiTheme="minorEastAsia" w:eastAsiaTheme="minorEastAsia" w:cstheme="minorEastAsia"/>
          <w:u w:val="single"/>
        </w:rPr>
        <w:tab/>
      </w:r>
    </w:p>
    <w:p>
      <w:pPr>
        <w:pStyle w:val="6"/>
        <w:spacing w:before="10" w:line="360" w:lineRule="auto"/>
        <w:rPr>
          <w:rFonts w:hint="eastAsia" w:asciiTheme="minorEastAsia" w:hAnsiTheme="minorEastAsia" w:eastAsiaTheme="minorEastAsia" w:cstheme="minorEastAsia"/>
          <w:sz w:val="20"/>
        </w:rPr>
      </w:pPr>
    </w:p>
    <w:p>
      <w:pPr>
        <w:pStyle w:val="6"/>
        <w:tabs>
          <w:tab w:val="left" w:pos="4763"/>
          <w:tab w:val="left" w:pos="89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ab/>
      </w: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before="9" w:line="360" w:lineRule="auto"/>
        <w:rPr>
          <w:rFonts w:hint="eastAsia" w:asciiTheme="minorEastAsia" w:hAnsiTheme="minorEastAsia" w:eastAsiaTheme="minorEastAsia" w:cstheme="minorEastAsia"/>
          <w:sz w:val="29"/>
        </w:rPr>
      </w:pPr>
    </w:p>
    <w:p>
      <w:pPr>
        <w:pStyle w:val="6"/>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附被授权人第二代身份证双面扫描（或复印）件</w:t>
      </w: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tabs>
          <w:tab w:val="left" w:pos="8360"/>
        </w:tabs>
        <w:spacing w:before="193" w:line="360" w:lineRule="auto"/>
        <w:ind w:right="1099" w:firstLine="4368" w:firstLineChars="1813"/>
        <w:rPr>
          <w:rFonts w:hint="eastAsia" w:asciiTheme="minorEastAsia" w:hAnsiTheme="minorEastAsia" w:eastAsiaTheme="minorEastAsia" w:cstheme="minorEastAsia"/>
          <w:b/>
          <w:spacing w:val="-14"/>
          <w:sz w:val="24"/>
        </w:rPr>
      </w:pPr>
      <w:bookmarkStart w:id="82" w:name="_bookmark45"/>
      <w:bookmarkEnd w:id="82"/>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lang w:val="en-US"/>
        </w:rPr>
        <w:t>供应商</w:t>
      </w:r>
      <w:r>
        <w:rPr>
          <w:rFonts w:hint="eastAsia" w:asciiTheme="minorEastAsia" w:hAnsiTheme="minorEastAsia" w:eastAsiaTheme="minorEastAsia" w:cstheme="minorEastAsia"/>
          <w:b/>
          <w:sz w:val="28"/>
        </w:rPr>
        <w:t>承诺函</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rPr>
        <w:t>供应商</w:t>
      </w:r>
      <w:r>
        <w:rPr>
          <w:rFonts w:hint="eastAsia" w:asciiTheme="minorEastAsia" w:hAnsiTheme="minorEastAsia" w:eastAsiaTheme="minorEastAsia" w:cstheme="minorEastAsia"/>
          <w:b/>
          <w:sz w:val="32"/>
        </w:rPr>
        <w:t>承诺函</w:t>
      </w:r>
    </w:p>
    <w:p>
      <w:pPr>
        <w:pStyle w:val="6"/>
        <w:spacing w:before="6"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9" w:line="360" w:lineRule="auto"/>
        <w:rPr>
          <w:rFonts w:hint="eastAsia" w:asciiTheme="minorEastAsia" w:hAnsiTheme="minorEastAsia" w:eastAsiaTheme="minorEastAsia" w:cstheme="minorEastAsia"/>
          <w:b/>
        </w:rPr>
      </w:pPr>
    </w:p>
    <w:p>
      <w:pPr>
        <w:pStyle w:val="6"/>
        <w:tabs>
          <w:tab w:val="left" w:pos="2440"/>
          <w:tab w:val="left" w:pos="3165"/>
          <w:tab w:val="left" w:pos="3892"/>
          <w:tab w:val="left" w:pos="5345"/>
        </w:tabs>
        <w:spacing w:line="360"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关于贵方</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采购项目，本签字人愿意参加响应</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提供采购一览表中要求的所有服务项目</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并证实提交的所有资料是准确的和真实的</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rPr>
        <w:t>同时，我代表（</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名称），在此作如下承诺：</w:t>
      </w:r>
    </w:p>
    <w:p>
      <w:pPr>
        <w:pStyle w:val="23"/>
        <w:numPr>
          <w:ilvl w:val="0"/>
          <w:numId w:val="9"/>
        </w:numPr>
        <w:tabs>
          <w:tab w:val="left" w:pos="1191"/>
        </w:tabs>
        <w:spacing w:before="5"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完全理解和接受谈判文件的一切规定和要求；</w:t>
      </w:r>
    </w:p>
    <w:p>
      <w:pPr>
        <w:pStyle w:val="6"/>
        <w:spacing w:before="6" w:line="360" w:lineRule="auto"/>
        <w:rPr>
          <w:rFonts w:hint="eastAsia" w:asciiTheme="minorEastAsia" w:hAnsiTheme="minorEastAsia" w:eastAsiaTheme="minorEastAsia" w:cstheme="minorEastAsia"/>
        </w:rPr>
      </w:pPr>
    </w:p>
    <w:p>
      <w:pPr>
        <w:pStyle w:val="23"/>
        <w:numPr>
          <w:ilvl w:val="0"/>
          <w:numId w:val="9"/>
        </w:numPr>
        <w:tabs>
          <w:tab w:val="left" w:pos="1193"/>
        </w:tabs>
        <w:spacing w:before="0" w:line="360" w:lineRule="auto"/>
        <w:ind w:left="508" w:right="621"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若中标，我方将按照谈判文件的具体规定与采购人签订采购合同，并且严格履行合</w:t>
      </w:r>
      <w:r>
        <w:rPr>
          <w:rFonts w:hint="eastAsia" w:asciiTheme="minorEastAsia" w:hAnsiTheme="minorEastAsia" w:eastAsiaTheme="minorEastAsia" w:cstheme="minorEastAsia"/>
          <w:spacing w:val="-1"/>
          <w:sz w:val="24"/>
        </w:rPr>
        <w:t>同义务，按时交货，提供优质的产品和服务。如果在合同执行过程中，发现质量、数量出</w:t>
      </w:r>
      <w:r>
        <w:rPr>
          <w:rFonts w:hint="eastAsia" w:asciiTheme="minorEastAsia" w:hAnsiTheme="minorEastAsia" w:eastAsiaTheme="minorEastAsia" w:cstheme="minorEastAsia"/>
          <w:sz w:val="24"/>
        </w:rPr>
        <w:t>现问题，我方一定尽快更换或补退货，并承担相应的经济责任；</w:t>
      </w:r>
    </w:p>
    <w:p>
      <w:pPr>
        <w:pStyle w:val="23"/>
        <w:numPr>
          <w:ilvl w:val="0"/>
          <w:numId w:val="9"/>
        </w:numPr>
        <w:tabs>
          <w:tab w:val="left" w:pos="1193"/>
        </w:tabs>
        <w:spacing w:before="0" w:line="360" w:lineRule="auto"/>
        <w:ind w:left="508" w:right="621"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在整个谈判过程中我方若有违规行为，贵方可按谈判文件之规定给予处罚，我方完全接受。</w:t>
      </w:r>
    </w:p>
    <w:p>
      <w:pPr>
        <w:pStyle w:val="23"/>
        <w:numPr>
          <w:ilvl w:val="0"/>
          <w:numId w:val="9"/>
        </w:numPr>
        <w:tabs>
          <w:tab w:val="left" w:pos="1191"/>
        </w:tabs>
        <w:spacing w:before="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若中标，本承诺将成为合同不可分割的一部分，与合同具有同等的法律效力。</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457" w:firstLineChars="1850"/>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83" w:name="_bookmark46"/>
      <w:bookmarkEnd w:id="83"/>
      <w:r>
        <w:rPr>
          <w:rFonts w:hint="eastAsia" w:asciiTheme="minorEastAsia" w:hAnsiTheme="minorEastAsia" w:eastAsiaTheme="minorEastAsia" w:cstheme="minorEastAsia"/>
          <w:b/>
          <w:sz w:val="28"/>
          <w:lang w:val="en-US"/>
        </w:rPr>
        <w:t>供应商</w:t>
      </w:r>
      <w:r>
        <w:rPr>
          <w:rFonts w:hint="eastAsia" w:asciiTheme="minorEastAsia" w:hAnsiTheme="minorEastAsia" w:eastAsiaTheme="minorEastAsia" w:cstheme="minorEastAsia"/>
          <w:b/>
          <w:sz w:val="28"/>
        </w:rPr>
        <w:t>诚信承诺书</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rPr>
        <w:t>供应商</w:t>
      </w:r>
      <w:r>
        <w:rPr>
          <w:rFonts w:hint="eastAsia" w:asciiTheme="minorEastAsia" w:hAnsiTheme="minorEastAsia" w:eastAsiaTheme="minorEastAsia" w:cstheme="minorEastAsia"/>
          <w:b/>
          <w:sz w:val="32"/>
        </w:rPr>
        <w:t>诚信承诺书</w:t>
      </w: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9" w:line="360" w:lineRule="auto"/>
        <w:rPr>
          <w:rFonts w:hint="eastAsia" w:asciiTheme="minorEastAsia" w:hAnsiTheme="minorEastAsia" w:eastAsiaTheme="minorEastAsia" w:cstheme="minorEastAsia"/>
          <w:b/>
        </w:rPr>
      </w:pPr>
    </w:p>
    <w:p>
      <w:pPr>
        <w:pStyle w:val="6"/>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为了诚实、客观、有序地参与青海省政府采购活动，愿就以下内容作出承诺：</w:t>
      </w:r>
    </w:p>
    <w:p>
      <w:pPr>
        <w:pStyle w:val="6"/>
        <w:spacing w:before="159"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一、自觉遵守各项法律、法规、规章、制度以及社会公德，维护廉洁环境，与同场竞争的其他</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平等参加政府采购活动。</w:t>
      </w:r>
    </w:p>
    <w:p>
      <w:pPr>
        <w:pStyle w:val="6"/>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二、参加采购代理机构组织的政府采购活动时，严格按照谈判文件的规定和要求提供所需的相关材料，并对所提供的各类资料的真实性负责，不虚假应标，不虚列业绩。</w:t>
      </w:r>
    </w:p>
    <w:p>
      <w:pPr>
        <w:pStyle w:val="6"/>
        <w:spacing w:line="360"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三、尊重参与政府采购活动各相关方的合法行为，接受政府采购活动依法形成的意见、</w:t>
      </w:r>
      <w:r>
        <w:rPr>
          <w:rFonts w:hint="eastAsia" w:asciiTheme="minorEastAsia" w:hAnsiTheme="minorEastAsia" w:eastAsiaTheme="minorEastAsia" w:cstheme="minorEastAsia"/>
        </w:rPr>
        <w:t>结果。</w:t>
      </w:r>
    </w:p>
    <w:p>
      <w:pPr>
        <w:pStyle w:val="6"/>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四、依法参加政府采购活动，不围标、串标，维护市场秩序，不提供“三无”产品、以次充好。</w:t>
      </w:r>
    </w:p>
    <w:p>
      <w:pPr>
        <w:pStyle w:val="6"/>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五、积极推动政府采购活动健康开展，对采购活动有疑问、异议时，按法律规定的程序实名反映情况，不恶意中伤、无事生非，以和谐、平等的心态参加政府采购活动。</w:t>
      </w:r>
    </w:p>
    <w:p>
      <w:pPr>
        <w:pStyle w:val="6"/>
        <w:spacing w:before="3"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六、认真履行成交人应承担的责任和义务，全面执行采购合同规定的各项内容，保质保量地按时提供采购物品。</w:t>
      </w:r>
    </w:p>
    <w:p>
      <w:pPr>
        <w:pStyle w:val="6"/>
        <w:spacing w:before="5"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若本企业（单位）发生有悖于上述承诺的行为，愿意接受《中华人民共和国政府采购法》和《政府采购法实施条例》中对投标人的相关处理。</w:t>
      </w:r>
    </w:p>
    <w:p>
      <w:pPr>
        <w:pStyle w:val="6"/>
        <w:spacing w:before="6"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本承诺是采购项目响应文件的组成部分。</w:t>
      </w:r>
    </w:p>
    <w:p>
      <w:pPr>
        <w:tabs>
          <w:tab w:val="left" w:pos="8955"/>
        </w:tabs>
        <w:spacing w:before="193" w:line="360" w:lineRule="auto"/>
        <w:ind w:right="1099"/>
        <w:jc w:val="right"/>
        <w:rPr>
          <w:rFonts w:hint="eastAsia" w:asciiTheme="minorEastAsia" w:hAnsiTheme="minorEastAsia" w:eastAsiaTheme="minorEastAsia" w:cstheme="minorEastAsia"/>
          <w:b/>
          <w:spacing w:val="-14"/>
          <w:sz w:val="24"/>
        </w:rPr>
      </w:pPr>
      <w:bookmarkStart w:id="84" w:name="_bookmark47"/>
      <w:bookmarkEnd w:id="84"/>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资格证明材料</w:t>
      </w:r>
    </w:p>
    <w:p>
      <w:pPr>
        <w:pStyle w:val="6"/>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资格证明材料</w:t>
      </w:r>
    </w:p>
    <w:p>
      <w:pPr>
        <w:pStyle w:val="6"/>
        <w:spacing w:before="6" w:line="360" w:lineRule="auto"/>
        <w:rPr>
          <w:rFonts w:hint="eastAsia" w:asciiTheme="minorEastAsia" w:hAnsiTheme="minorEastAsia" w:eastAsiaTheme="minorEastAsia" w:cstheme="minorEastAsia"/>
          <w:b/>
          <w:sz w:val="27"/>
        </w:rPr>
      </w:pPr>
    </w:p>
    <w:p>
      <w:pPr>
        <w:pStyle w:val="6"/>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资格证明材料包括：</w:t>
      </w:r>
    </w:p>
    <w:p>
      <w:pPr>
        <w:pStyle w:val="6"/>
        <w:spacing w:before="9" w:line="360" w:lineRule="auto"/>
        <w:rPr>
          <w:rFonts w:hint="eastAsia" w:asciiTheme="minorEastAsia" w:hAnsiTheme="minorEastAsia" w:eastAsiaTheme="minorEastAsia" w:cstheme="minorEastAsia"/>
        </w:rPr>
      </w:pPr>
    </w:p>
    <w:p>
      <w:pPr>
        <w:pStyle w:val="23"/>
        <w:numPr>
          <w:ilvl w:val="0"/>
          <w:numId w:val="10"/>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的营业执照；</w:t>
      </w:r>
    </w:p>
    <w:p>
      <w:pPr>
        <w:pStyle w:val="6"/>
        <w:spacing w:before="7" w:line="360" w:lineRule="auto"/>
        <w:rPr>
          <w:rFonts w:hint="eastAsia" w:asciiTheme="minorEastAsia" w:hAnsiTheme="minorEastAsia" w:eastAsiaTheme="minorEastAsia" w:cstheme="minorEastAsia"/>
        </w:rPr>
      </w:pPr>
    </w:p>
    <w:p>
      <w:pPr>
        <w:pStyle w:val="23"/>
        <w:numPr>
          <w:ilvl w:val="0"/>
          <w:numId w:val="10"/>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谈判文件规定的有关资格证书、许可证书、认证等；</w:t>
      </w:r>
    </w:p>
    <w:p>
      <w:pPr>
        <w:pStyle w:val="6"/>
        <w:spacing w:before="7" w:line="360" w:lineRule="auto"/>
        <w:rPr>
          <w:rFonts w:hint="eastAsia" w:asciiTheme="minorEastAsia" w:hAnsiTheme="minorEastAsia" w:eastAsiaTheme="minorEastAsia" w:cstheme="minorEastAsia"/>
        </w:rPr>
      </w:pPr>
    </w:p>
    <w:p>
      <w:pPr>
        <w:pStyle w:val="23"/>
        <w:numPr>
          <w:ilvl w:val="0"/>
          <w:numId w:val="10"/>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响应企业简介及获得相关证书证明文件；</w:t>
      </w:r>
    </w:p>
    <w:p>
      <w:pPr>
        <w:pStyle w:val="6"/>
        <w:spacing w:before="9" w:line="360" w:lineRule="auto"/>
        <w:rPr>
          <w:rFonts w:hint="eastAsia" w:asciiTheme="minorEastAsia" w:hAnsiTheme="minorEastAsia" w:eastAsiaTheme="minorEastAsia" w:cstheme="minorEastAsia"/>
        </w:rPr>
      </w:pPr>
    </w:p>
    <w:p>
      <w:pPr>
        <w:pStyle w:val="23"/>
        <w:numPr>
          <w:ilvl w:val="0"/>
          <w:numId w:val="10"/>
        </w:numPr>
        <w:tabs>
          <w:tab w:val="left" w:pos="1549"/>
        </w:tabs>
        <w:spacing w:before="0" w:line="360" w:lineRule="auto"/>
        <w:ind w:left="933" w:right="58" w:firstLine="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lang w:val="en-US"/>
        </w:rPr>
        <w:t>供应商</w:t>
      </w:r>
      <w:r>
        <w:rPr>
          <w:rFonts w:hint="eastAsia" w:asciiTheme="minorEastAsia" w:hAnsiTheme="minorEastAsia" w:eastAsiaTheme="minorEastAsia" w:cstheme="minorEastAsia"/>
          <w:spacing w:val="-1"/>
          <w:sz w:val="24"/>
        </w:rPr>
        <w:t>认为有必要提供的其他资格证明文件。</w:t>
      </w:r>
      <w:r>
        <w:rPr>
          <w:rFonts w:hint="eastAsia" w:asciiTheme="minorEastAsia" w:hAnsiTheme="minorEastAsia" w:eastAsiaTheme="minorEastAsia" w:cstheme="minorEastAsia"/>
          <w:sz w:val="24"/>
        </w:rPr>
        <w:t>如果是非法人资格的供应商，须提供身份证明。</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pStyle w:val="23"/>
        <w:numPr>
          <w:ilvl w:val="0"/>
          <w:numId w:val="8"/>
        </w:numPr>
        <w:tabs>
          <w:tab w:val="left" w:pos="1228"/>
        </w:tabs>
        <w:spacing w:before="135" w:line="360" w:lineRule="auto"/>
        <w:ind w:left="1227" w:right="58"/>
        <w:rPr>
          <w:rFonts w:hint="eastAsia" w:asciiTheme="minorEastAsia" w:hAnsiTheme="minorEastAsia" w:eastAsiaTheme="minorEastAsia" w:cstheme="minorEastAsia"/>
          <w:b/>
          <w:sz w:val="26"/>
        </w:rPr>
      </w:pPr>
      <w:bookmarkStart w:id="85" w:name="_bookmark48"/>
      <w:bookmarkEnd w:id="85"/>
      <w:r>
        <w:rPr>
          <w:rFonts w:hint="eastAsia" w:asciiTheme="minorEastAsia" w:hAnsiTheme="minorEastAsia" w:eastAsiaTheme="minorEastAsia" w:cstheme="minorEastAsia"/>
          <w:b/>
          <w:sz w:val="28"/>
        </w:rPr>
        <w:t>财务状况报告，依法缴纳税收和社会保障资金的相关材料</w:t>
      </w:r>
    </w:p>
    <w:p>
      <w:pPr>
        <w:pStyle w:val="6"/>
        <w:spacing w:before="8" w:line="360" w:lineRule="auto"/>
        <w:rPr>
          <w:rFonts w:hint="eastAsia" w:asciiTheme="minorEastAsia" w:hAnsiTheme="minorEastAsia" w:eastAsiaTheme="minorEastAsia" w:cstheme="minorEastAsia"/>
          <w:b/>
          <w:sz w:val="30"/>
        </w:rPr>
      </w:pPr>
    </w:p>
    <w:p>
      <w:pPr>
        <w:spacing w:line="360" w:lineRule="auto"/>
        <w:jc w:val="center"/>
        <w:rPr>
          <w:rFonts w:hint="eastAsia" w:asciiTheme="minorEastAsia" w:hAnsiTheme="minorEastAsia" w:eastAsiaTheme="minorEastAsia" w:cstheme="minorEastAsia"/>
          <w:b/>
          <w:sz w:val="28"/>
        </w:rPr>
      </w:pPr>
      <w:bookmarkStart w:id="86" w:name="_Toc2173_WPSOffice_Level3"/>
      <w:r>
        <w:rPr>
          <w:rFonts w:hint="eastAsia" w:asciiTheme="minorEastAsia" w:hAnsiTheme="minorEastAsia" w:eastAsiaTheme="minorEastAsia" w:cstheme="minorEastAsia"/>
          <w:b/>
          <w:sz w:val="28"/>
        </w:rPr>
        <w:t>财务状况报告，依法缴纳税收和社会保障资金的相关材料</w:t>
      </w:r>
      <w:bookmarkEnd w:id="86"/>
    </w:p>
    <w:p>
      <w:pPr>
        <w:pStyle w:val="6"/>
        <w:spacing w:before="6" w:line="360" w:lineRule="auto"/>
        <w:rPr>
          <w:rFonts w:hint="eastAsia" w:asciiTheme="minorEastAsia" w:hAnsiTheme="minorEastAsia" w:eastAsiaTheme="minorEastAsia" w:cstheme="minorEastAsia"/>
          <w:b/>
          <w:sz w:val="28"/>
        </w:rPr>
      </w:pPr>
    </w:p>
    <w:p>
      <w:pPr>
        <w:pStyle w:val="6"/>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按照谈判文件第2.2款（1）中第&lt;2&gt;条规定提供以下相关材料。</w:t>
      </w:r>
    </w:p>
    <w:p>
      <w:pPr>
        <w:pStyle w:val="6"/>
        <w:spacing w:before="7" w:line="360" w:lineRule="auto"/>
        <w:rPr>
          <w:rFonts w:hint="eastAsia" w:asciiTheme="minorEastAsia" w:hAnsiTheme="minorEastAsia" w:eastAsiaTheme="minorEastAsia" w:cstheme="minorEastAsia"/>
        </w:rPr>
      </w:pPr>
    </w:p>
    <w:p>
      <w:pPr>
        <w:pStyle w:val="6"/>
        <w:spacing w:before="4" w:line="360" w:lineRule="auto"/>
        <w:ind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rPr>
        <w:t>供应商2018年度</w:t>
      </w:r>
      <w:r>
        <w:rPr>
          <w:rFonts w:hint="eastAsia" w:asciiTheme="minorEastAsia" w:hAnsiTheme="minorEastAsia" w:eastAsiaTheme="minorEastAsia" w:cstheme="minorEastAsia"/>
          <w:lang w:val="en-US" w:eastAsia="zh-CN"/>
        </w:rPr>
        <w:t>或2019年度</w:t>
      </w:r>
      <w:r>
        <w:rPr>
          <w:rFonts w:hint="eastAsia" w:asciiTheme="minorEastAsia" w:hAnsiTheme="minorEastAsia" w:eastAsiaTheme="minorEastAsia" w:cstheme="minorEastAsia"/>
          <w:lang w:val="en-US"/>
        </w:rPr>
        <w:t>财务审计报告或近三个月内银行出具的资信证明材料</w:t>
      </w:r>
      <w:r>
        <w:rPr>
          <w:rFonts w:hint="eastAsia" w:asciiTheme="minorEastAsia" w:hAnsiTheme="minorEastAsia" w:eastAsiaTheme="minorEastAsia" w:cstheme="minorEastAsia"/>
        </w:rPr>
        <w:t>（扫描或复印件应全面、完整、清晰），包括资产负债表、现金流量表、利润表和财务（会计）报表附注，并提供第三方机构的营业执照、执业证书。</w:t>
      </w:r>
    </w:p>
    <w:p>
      <w:pPr>
        <w:pStyle w:val="6"/>
        <w:spacing w:before="4" w:line="360" w:lineRule="auto"/>
        <w:ind w:right="58"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2、供应商提供</w:t>
      </w:r>
      <w:r>
        <w:rPr>
          <w:rFonts w:hint="eastAsia" w:asciiTheme="minorEastAsia" w:hAnsiTheme="minorEastAsia" w:eastAsiaTheme="minorEastAsia" w:cstheme="minorEastAsia"/>
          <w:lang w:val="en-US" w:eastAsia="zh-CN"/>
        </w:rPr>
        <w:t>近半年内任意三个月的</w:t>
      </w:r>
      <w:r>
        <w:rPr>
          <w:rFonts w:hint="eastAsia" w:asciiTheme="minorEastAsia" w:hAnsiTheme="minorEastAsia" w:eastAsiaTheme="minorEastAsia" w:cstheme="minorEastAsia"/>
        </w:rPr>
        <w:t>依法缴纳税收和社会保障资金记录的证明材料；依法免税或不需要缴纳社会保障资金的</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须提供相应文件证明其依法免税或不需要缴纳社会保障资金。</w:t>
      </w:r>
    </w:p>
    <w:p>
      <w:pPr>
        <w:pStyle w:val="6"/>
        <w:spacing w:before="4" w:line="360" w:lineRule="auto"/>
        <w:ind w:right="58" w:firstLine="480" w:firstLineChars="200"/>
        <w:jc w:val="both"/>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pStyle w:val="23"/>
        <w:numPr>
          <w:ilvl w:val="0"/>
          <w:numId w:val="8"/>
        </w:numPr>
        <w:tabs>
          <w:tab w:val="left" w:pos="1228"/>
        </w:tabs>
        <w:spacing w:before="135" w:line="360" w:lineRule="auto"/>
        <w:ind w:left="1227"/>
        <w:rPr>
          <w:rFonts w:hint="eastAsia" w:asciiTheme="minorEastAsia" w:hAnsiTheme="minorEastAsia" w:eastAsiaTheme="minorEastAsia" w:cstheme="minorEastAsia"/>
          <w:b/>
          <w:sz w:val="26"/>
        </w:rPr>
      </w:pPr>
      <w:bookmarkStart w:id="87" w:name="_bookmark49"/>
      <w:bookmarkEnd w:id="87"/>
      <w:r>
        <w:rPr>
          <w:rFonts w:hint="eastAsia" w:asciiTheme="minorEastAsia" w:hAnsiTheme="minorEastAsia" w:eastAsiaTheme="minorEastAsia" w:cstheme="minorEastAsia"/>
          <w:b/>
          <w:sz w:val="28"/>
        </w:rPr>
        <w:t>具备履行合同所必须的设备和专业技术能力的证明材料</w:t>
      </w:r>
    </w:p>
    <w:p>
      <w:pPr>
        <w:spacing w:line="360" w:lineRule="auto"/>
        <w:rPr>
          <w:rFonts w:hint="eastAsia" w:asciiTheme="minorEastAsia" w:hAnsiTheme="minorEastAsia" w:eastAsiaTheme="minorEastAsia" w:cstheme="minorEastAsia"/>
          <w:b/>
          <w:sz w:val="28"/>
        </w:rPr>
      </w:pPr>
      <w:bookmarkStart w:id="88" w:name="_Toc10547_WPSOffice_Level3"/>
    </w:p>
    <w:p>
      <w:pPr>
        <w:spacing w:line="360" w:lineRule="auto"/>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具备履行合同所必须的设备和专业技术能力的证明材料</w:t>
      </w:r>
      <w:bookmarkEnd w:id="88"/>
    </w:p>
    <w:p>
      <w:pPr>
        <w:pStyle w:val="6"/>
        <w:spacing w:before="11" w:line="360" w:lineRule="auto"/>
        <w:rPr>
          <w:rFonts w:hint="eastAsia" w:asciiTheme="minorEastAsia" w:hAnsiTheme="minorEastAsia" w:eastAsiaTheme="minorEastAsia" w:cstheme="minorEastAsia"/>
          <w:b/>
          <w:sz w:val="40"/>
        </w:rPr>
      </w:pPr>
    </w:p>
    <w:p>
      <w:pPr>
        <w:pStyle w:val="6"/>
        <w:spacing w:line="360" w:lineRule="auto"/>
        <w:ind w:left="508" w:right="915" w:firstLine="480"/>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为保证本项目合同的顺利履行，供应商必须具备履行合同的设备和专业技术能力，须提供必须具备履行合同的设备和专业技术能力的承诺函（格式自拟）</w:t>
      </w:r>
      <w:r>
        <w:rPr>
          <w:rFonts w:hint="eastAsia" w:asciiTheme="minorEastAsia" w:hAnsiTheme="minorEastAsia" w:eastAsiaTheme="minorEastAsia" w:cstheme="minorEastAsia"/>
          <w:lang w:eastAsia="zh-CN"/>
        </w:rPr>
        <w:t>。</w:t>
      </w:r>
    </w:p>
    <w:p>
      <w:pPr>
        <w:pStyle w:val="6"/>
        <w:spacing w:line="360" w:lineRule="auto"/>
        <w:ind w:left="508" w:right="915" w:firstLine="480"/>
        <w:jc w:val="both"/>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pStyle w:val="23"/>
        <w:numPr>
          <w:ilvl w:val="0"/>
          <w:numId w:val="8"/>
        </w:numPr>
        <w:tabs>
          <w:tab w:val="left" w:pos="1126"/>
        </w:tabs>
        <w:spacing w:before="117" w:line="360" w:lineRule="auto"/>
        <w:ind w:left="1125" w:hanging="617"/>
        <w:rPr>
          <w:rFonts w:hint="eastAsia" w:asciiTheme="minorEastAsia" w:hAnsiTheme="minorEastAsia" w:eastAsiaTheme="minorEastAsia" w:cstheme="minorEastAsia"/>
          <w:b/>
        </w:rPr>
      </w:pPr>
      <w:bookmarkStart w:id="89" w:name="_bookmark50"/>
      <w:bookmarkEnd w:id="89"/>
      <w:bookmarkStart w:id="90" w:name="_Toc22163_WPSOffice_Level3"/>
      <w:r>
        <w:rPr>
          <w:rFonts w:hint="eastAsia" w:asciiTheme="minorEastAsia" w:hAnsiTheme="minorEastAsia" w:eastAsiaTheme="minorEastAsia" w:cstheme="minorEastAsia"/>
          <w:b/>
          <w:sz w:val="24"/>
        </w:rPr>
        <w:t>无重大违法记录声明</w:t>
      </w:r>
      <w:bookmarkEnd w:id="90"/>
    </w:p>
    <w:p>
      <w:pPr>
        <w:pStyle w:val="6"/>
        <w:spacing w:before="1" w:line="360" w:lineRule="auto"/>
        <w:rPr>
          <w:rFonts w:hint="eastAsia" w:asciiTheme="minorEastAsia" w:hAnsiTheme="minorEastAsia" w:eastAsiaTheme="minorEastAsia" w:cstheme="minorEastAsia"/>
          <w:b/>
          <w:sz w:val="25"/>
        </w:rPr>
      </w:pPr>
    </w:p>
    <w:p>
      <w:pPr>
        <w:spacing w:before="55" w:line="360" w:lineRule="auto"/>
        <w:ind w:left="3768"/>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无重大非法记录声明</w:t>
      </w:r>
    </w:p>
    <w:p>
      <w:pPr>
        <w:pStyle w:val="6"/>
        <w:spacing w:before="11" w:line="360" w:lineRule="auto"/>
        <w:rPr>
          <w:rFonts w:hint="eastAsia" w:asciiTheme="minorEastAsia" w:hAnsiTheme="minorEastAsia" w:eastAsiaTheme="minorEastAsia" w:cstheme="minorEastAsia"/>
          <w:b/>
          <w:sz w:val="32"/>
        </w:rPr>
      </w:pPr>
    </w:p>
    <w:p>
      <w:pPr>
        <w:spacing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line="360" w:lineRule="auto"/>
        <w:rPr>
          <w:rFonts w:hint="eastAsia" w:asciiTheme="minorEastAsia" w:hAnsiTheme="minorEastAsia" w:eastAsiaTheme="minorEastAsia" w:cstheme="minorEastAsia"/>
          <w:b/>
        </w:rPr>
      </w:pPr>
    </w:p>
    <w:p>
      <w:pPr>
        <w:pStyle w:val="6"/>
        <w:spacing w:before="165" w:line="360" w:lineRule="auto"/>
        <w:ind w:left="508" w:right="915"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我单位参加本次政府采购项目活动前三年内，在经营活动中无重大违法活动记录，符合《政府采购法》规定的供应商资格条件。我方对此声明负全部法律责任。</w:t>
      </w:r>
    </w:p>
    <w:p>
      <w:pPr>
        <w:pStyle w:val="6"/>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before="5" w:line="360" w:lineRule="auto"/>
        <w:rPr>
          <w:rFonts w:hint="eastAsia" w:asciiTheme="minorEastAsia" w:hAnsiTheme="minorEastAsia" w:eastAsiaTheme="minorEastAsia" w:cstheme="minorEastAsia"/>
          <w:sz w:val="25"/>
        </w:rPr>
      </w:pPr>
    </w:p>
    <w:p>
      <w:pPr>
        <w:pStyle w:val="6"/>
        <w:spacing w:line="360" w:lineRule="auto"/>
        <w:ind w:left="988"/>
        <w:rPr>
          <w:rFonts w:hint="eastAsia" w:asciiTheme="minorEastAsia" w:hAnsiTheme="minorEastAsia" w:eastAsiaTheme="minorEastAsia" w:cstheme="minorEastAsia"/>
          <w:sz w:val="26"/>
        </w:rPr>
      </w:pPr>
      <w:r>
        <w:rPr>
          <w:rFonts w:hint="eastAsia" w:asciiTheme="minorEastAsia" w:hAnsiTheme="minorEastAsia" w:eastAsiaTheme="minorEastAsia" w:cstheme="minorEastAsia"/>
        </w:rPr>
        <w:t>附</w:t>
      </w:r>
      <w:r>
        <w:rPr>
          <w:rFonts w:hint="eastAsia" w:asciiTheme="minorEastAsia" w:hAnsiTheme="minorEastAsia" w:eastAsiaTheme="minorEastAsia" w:cstheme="minorEastAsia"/>
          <w:color w:val="000000"/>
        </w:rPr>
        <w:t>信用中国（www.creditchina.gov.cn）、中国政府采购网（www.ccgp.gov.cn）</w:t>
      </w:r>
      <w:r>
        <w:rPr>
          <w:rFonts w:hint="eastAsia" w:asciiTheme="minorEastAsia" w:hAnsiTheme="minorEastAsia" w:eastAsiaTheme="minorEastAsia" w:cstheme="minorEastAsia"/>
        </w:rPr>
        <w:t>网站查询截图，时间为投标截止时间前</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天内。</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486" w:firstLineChars="1862"/>
        <w:rPr>
          <w:rFonts w:hint="eastAsia" w:asciiTheme="minorEastAsia" w:hAnsiTheme="minorEastAsia" w:eastAsiaTheme="minorEastAsia" w:cstheme="minorEastAsia"/>
          <w:b/>
          <w:spacing w:val="-14"/>
          <w:sz w:val="24"/>
        </w:rPr>
      </w:pPr>
      <w:bookmarkStart w:id="91" w:name="_bookmark51"/>
      <w:bookmarkEnd w:id="91"/>
      <w:bookmarkStart w:id="92" w:name="_Toc7578_WPSOffice_Level3"/>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8"/>
        </w:numPr>
        <w:tabs>
          <w:tab w:val="left" w:pos="1259"/>
        </w:tabs>
        <w:spacing w:before="117" w:line="360" w:lineRule="auto"/>
        <w:ind w:left="1258" w:hanging="750"/>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谈判保证金证明</w:t>
      </w:r>
      <w:bookmarkEnd w:id="92"/>
    </w:p>
    <w:p>
      <w:pPr>
        <w:pStyle w:val="6"/>
        <w:spacing w:before="1" w:line="360" w:lineRule="auto"/>
        <w:rPr>
          <w:rFonts w:hint="eastAsia" w:asciiTheme="minorEastAsia" w:hAnsiTheme="minorEastAsia" w:eastAsiaTheme="minorEastAsia" w:cstheme="minorEastAsia"/>
          <w:b/>
          <w:sz w:val="25"/>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谈判保证金证明</w:t>
      </w:r>
    </w:p>
    <w:p>
      <w:pPr>
        <w:pStyle w:val="6"/>
        <w:spacing w:before="9"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before="6" w:line="360" w:lineRule="auto"/>
        <w:rPr>
          <w:rFonts w:hint="eastAsia" w:asciiTheme="minorEastAsia" w:hAnsiTheme="minorEastAsia" w:eastAsiaTheme="minorEastAsia" w:cstheme="minorEastAsia"/>
          <w:b/>
        </w:rPr>
      </w:pPr>
    </w:p>
    <w:p>
      <w:pPr>
        <w:pStyle w:val="6"/>
        <w:tabs>
          <w:tab w:val="left" w:pos="7654"/>
        </w:tabs>
        <w:spacing w:before="1" w:line="360" w:lineRule="auto"/>
        <w:ind w:left="6" w:firstLine="536" w:firstLineChars="200"/>
        <w:jc w:val="both"/>
        <w:rPr>
          <w:rFonts w:hint="eastAsia" w:asciiTheme="minorEastAsia" w:hAnsiTheme="minorEastAsia" w:eastAsiaTheme="minorEastAsia" w:cstheme="minorEastAsia"/>
          <w:spacing w:val="-19"/>
        </w:rPr>
      </w:pPr>
      <w:r>
        <w:rPr>
          <w:rFonts w:hint="eastAsia" w:asciiTheme="minorEastAsia" w:hAnsiTheme="minorEastAsia" w:eastAsiaTheme="minorEastAsia" w:cstheme="minorEastAsia"/>
          <w:spacing w:val="14"/>
        </w:rPr>
        <w:t>我方为（</w:t>
      </w:r>
      <w:r>
        <w:rPr>
          <w:rFonts w:hint="eastAsia" w:asciiTheme="minorEastAsia" w:hAnsiTheme="minorEastAsia" w:eastAsiaTheme="minorEastAsia" w:cstheme="minorEastAsia"/>
          <w:spacing w:val="14"/>
          <w:u w:val="single"/>
        </w:rPr>
        <w:t>采购项目</w:t>
      </w:r>
      <w:r>
        <w:rPr>
          <w:rFonts w:hint="eastAsia" w:asciiTheme="minorEastAsia" w:hAnsiTheme="minorEastAsia" w:eastAsiaTheme="minorEastAsia" w:cstheme="minorEastAsia"/>
          <w:spacing w:val="12"/>
          <w:u w:val="single"/>
        </w:rPr>
        <w:t>名</w:t>
      </w:r>
      <w:r>
        <w:rPr>
          <w:rFonts w:hint="eastAsia" w:asciiTheme="minorEastAsia" w:hAnsiTheme="minorEastAsia" w:eastAsiaTheme="minorEastAsia" w:cstheme="minorEastAsia"/>
          <w:spacing w:val="14"/>
          <w:u w:val="single"/>
        </w:rPr>
        <w:t>称</w:t>
      </w:r>
      <w:r>
        <w:rPr>
          <w:rFonts w:hint="eastAsia" w:asciiTheme="minorEastAsia" w:hAnsiTheme="minorEastAsia" w:eastAsiaTheme="minorEastAsia" w:cstheme="minorEastAsia"/>
          <w:spacing w:val="14"/>
        </w:rPr>
        <w:t>）项目（采购项</w:t>
      </w:r>
      <w:r>
        <w:rPr>
          <w:rFonts w:hint="eastAsia" w:asciiTheme="minorEastAsia" w:hAnsiTheme="minorEastAsia" w:eastAsiaTheme="minorEastAsia" w:cstheme="minorEastAsia"/>
          <w:spacing w:val="12"/>
        </w:rPr>
        <w:t>目</w:t>
      </w:r>
      <w:r>
        <w:rPr>
          <w:rFonts w:hint="eastAsia" w:asciiTheme="minorEastAsia" w:hAnsiTheme="minorEastAsia" w:eastAsiaTheme="minorEastAsia" w:cstheme="minorEastAsia"/>
          <w:spacing w:val="14"/>
        </w:rPr>
        <w:t>编号为</w:t>
      </w:r>
      <w:r>
        <w:rPr>
          <w:rFonts w:hint="eastAsia" w:asciiTheme="minorEastAsia" w:hAnsiTheme="minorEastAsia" w:eastAsiaTheme="minorEastAsia" w:cstheme="minorEastAsia"/>
          <w:spacing w:val="15"/>
        </w:rPr>
        <w:t>：</w:t>
      </w:r>
      <w:r>
        <w:rPr>
          <w:rFonts w:hint="eastAsia" w:asciiTheme="minorEastAsia" w:hAnsiTheme="minorEastAsia" w:eastAsiaTheme="minorEastAsia" w:cstheme="minorEastAsia"/>
          <w:spacing w:val="15"/>
          <w:u w:val="single"/>
          <w:lang w:val="en-US" w:eastAsia="zh-CN"/>
        </w:rPr>
        <w:t xml:space="preserve">           </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递交保证金人</w:t>
      </w:r>
      <w:r>
        <w:rPr>
          <w:rFonts w:hint="eastAsia" w:asciiTheme="minorEastAsia" w:hAnsiTheme="minorEastAsia" w:eastAsiaTheme="minorEastAsia" w:cstheme="minorEastAsia"/>
          <w:spacing w:val="11"/>
        </w:rPr>
        <w:t>民</w:t>
      </w:r>
      <w:r>
        <w:rPr>
          <w:rFonts w:hint="eastAsia" w:asciiTheme="minorEastAsia" w:hAnsiTheme="minorEastAsia" w:eastAsiaTheme="minorEastAsia" w:cstheme="minorEastAsia"/>
        </w:rPr>
        <w:t>币</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val="en-US"/>
        </w:rPr>
        <w:t>元</w:t>
      </w: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人民币元）已于</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日以基本户转账方式汇入你方账户</w:t>
      </w:r>
      <w:r>
        <w:rPr>
          <w:rFonts w:hint="eastAsia" w:asciiTheme="minorEastAsia" w:hAnsiTheme="minorEastAsia" w:eastAsiaTheme="minorEastAsia" w:cstheme="minorEastAsia"/>
          <w:spacing w:val="-19"/>
        </w:rPr>
        <w:t>。</w:t>
      </w:r>
    </w:p>
    <w:p>
      <w:pPr>
        <w:pStyle w:val="6"/>
        <w:tabs>
          <w:tab w:val="left" w:pos="7654"/>
        </w:tabs>
        <w:spacing w:before="1" w:line="360" w:lineRule="auto"/>
        <w:ind w:left="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附件：保证金交款证明</w:t>
      </w:r>
      <w:r>
        <w:rPr>
          <w:rFonts w:hint="eastAsia" w:asciiTheme="minorEastAsia" w:hAnsiTheme="minorEastAsia" w:eastAsiaTheme="minorEastAsia" w:cstheme="minorEastAsia"/>
          <w:lang w:val="en-US"/>
        </w:rPr>
        <w:t>及开户许可证</w:t>
      </w:r>
      <w:r>
        <w:rPr>
          <w:rFonts w:hint="eastAsia" w:asciiTheme="minorEastAsia" w:hAnsiTheme="minorEastAsia" w:eastAsiaTheme="minorEastAsia" w:cstheme="minorEastAsia"/>
        </w:rPr>
        <w:t>复印件（加盖公章）</w:t>
      </w:r>
    </w:p>
    <w:p>
      <w:pPr>
        <w:pStyle w:val="6"/>
        <w:tabs>
          <w:tab w:val="left" w:pos="7654"/>
        </w:tabs>
        <w:spacing w:before="1" w:line="360" w:lineRule="auto"/>
        <w:ind w:left="6" w:firstLine="536" w:firstLineChars="200"/>
        <w:jc w:val="both"/>
        <w:rPr>
          <w:rFonts w:hint="eastAsia" w:asciiTheme="minorEastAsia" w:hAnsiTheme="minorEastAsia" w:eastAsiaTheme="minorEastAsia" w:cstheme="minorEastAsia"/>
          <w:spacing w:val="14"/>
        </w:rPr>
      </w:pPr>
      <w:r>
        <w:rPr>
          <w:rFonts w:hint="eastAsia" w:asciiTheme="minorEastAsia" w:hAnsiTheme="minorEastAsia" w:eastAsiaTheme="minorEastAsia" w:cstheme="minorEastAsia"/>
          <w:spacing w:val="14"/>
        </w:rPr>
        <w:t>退还保证金时请按以下内容汇入至我方账户（同递交保证金账户）。若因提供内容不全、错误等原因导致该项目保证金未能及时退还或退还过程中发生错误，我方将承担全部责任和损失。</w:t>
      </w:r>
    </w:p>
    <w:p>
      <w:pPr>
        <w:pStyle w:val="6"/>
        <w:tabs>
          <w:tab w:val="left" w:pos="1588"/>
          <w:tab w:val="left" w:pos="4763"/>
        </w:tabs>
        <w:spacing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名：</w:t>
      </w:r>
      <w:r>
        <w:rPr>
          <w:rFonts w:hint="eastAsia" w:asciiTheme="minorEastAsia" w:hAnsiTheme="minorEastAsia" w:eastAsiaTheme="minorEastAsia" w:cstheme="minorEastAsia"/>
          <w:u w:val="single"/>
        </w:rPr>
        <w:tab/>
      </w:r>
    </w:p>
    <w:p>
      <w:pPr>
        <w:pStyle w:val="6"/>
        <w:spacing w:before="11" w:line="360" w:lineRule="auto"/>
        <w:rPr>
          <w:rFonts w:hint="eastAsia" w:asciiTheme="minorEastAsia" w:hAnsiTheme="minorEastAsia" w:eastAsiaTheme="minorEastAsia" w:cstheme="minorEastAsia"/>
          <w:sz w:val="20"/>
        </w:rPr>
      </w:pPr>
    </w:p>
    <w:p>
      <w:pPr>
        <w:pStyle w:val="6"/>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户银行：</w:t>
      </w:r>
      <w:r>
        <w:rPr>
          <w:rFonts w:hint="eastAsia" w:asciiTheme="minorEastAsia" w:hAnsiTheme="minorEastAsia" w:eastAsiaTheme="minorEastAsia" w:cstheme="minorEastAsia"/>
          <w:u w:val="single"/>
        </w:rPr>
        <w:tab/>
      </w:r>
    </w:p>
    <w:p>
      <w:pPr>
        <w:pStyle w:val="6"/>
        <w:spacing w:before="10" w:line="360" w:lineRule="auto"/>
        <w:rPr>
          <w:rFonts w:hint="eastAsia" w:asciiTheme="minorEastAsia" w:hAnsiTheme="minorEastAsia" w:eastAsiaTheme="minorEastAsia" w:cstheme="minorEastAsia"/>
          <w:sz w:val="20"/>
        </w:rPr>
      </w:pPr>
    </w:p>
    <w:p>
      <w:pPr>
        <w:pStyle w:val="6"/>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户帐号：</w:t>
      </w:r>
      <w:r>
        <w:rPr>
          <w:rFonts w:hint="eastAsia" w:asciiTheme="minorEastAsia" w:hAnsiTheme="minorEastAsia" w:eastAsiaTheme="minorEastAsia" w:cstheme="minorEastAsia"/>
          <w:u w:val="single"/>
        </w:rPr>
        <w:tab/>
      </w:r>
    </w:p>
    <w:p>
      <w:pPr>
        <w:pStyle w:val="6"/>
        <w:spacing w:before="7" w:line="360" w:lineRule="auto"/>
        <w:rPr>
          <w:rFonts w:hint="eastAsia" w:asciiTheme="minorEastAsia" w:hAnsiTheme="minorEastAsia" w:eastAsiaTheme="minorEastAsia" w:cstheme="minorEastAsia"/>
          <w:sz w:val="20"/>
        </w:rPr>
      </w:pPr>
    </w:p>
    <w:p>
      <w:pPr>
        <w:pStyle w:val="6"/>
        <w:spacing w:before="77"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注：通过银行转账的，必须由供应商从其基本账户汇（转）入8.1条规定的账户。</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11"/>
        </w:numPr>
        <w:tabs>
          <w:tab w:val="left" w:pos="1384"/>
        </w:tabs>
        <w:spacing w:before="135" w:line="360" w:lineRule="auto"/>
        <w:ind w:left="1383" w:hanging="875"/>
        <w:rPr>
          <w:rFonts w:hint="eastAsia" w:asciiTheme="minorEastAsia" w:hAnsiTheme="minorEastAsia" w:eastAsiaTheme="minorEastAsia" w:cstheme="minorEastAsia"/>
          <w:b/>
          <w:sz w:val="26"/>
        </w:rPr>
      </w:pPr>
      <w:bookmarkStart w:id="93" w:name="_bookmark54"/>
      <w:bookmarkEnd w:id="93"/>
      <w:bookmarkStart w:id="94" w:name="_bookmark55"/>
      <w:bookmarkEnd w:id="94"/>
      <w:r>
        <w:rPr>
          <w:rFonts w:hint="eastAsia" w:asciiTheme="minorEastAsia" w:hAnsiTheme="minorEastAsia" w:eastAsiaTheme="minorEastAsia" w:cstheme="minorEastAsia"/>
          <w:b/>
          <w:sz w:val="28"/>
          <w:lang w:val="en-US"/>
        </w:rPr>
        <w:t>首次报价</w:t>
      </w:r>
      <w:r>
        <w:rPr>
          <w:rFonts w:hint="eastAsia" w:asciiTheme="minorEastAsia" w:hAnsiTheme="minorEastAsia" w:eastAsiaTheme="minorEastAsia" w:cstheme="minorEastAsia"/>
          <w:b/>
          <w:sz w:val="28"/>
        </w:rPr>
        <w:t>一览表（报价表）</w:t>
      </w:r>
    </w:p>
    <w:p>
      <w:pPr>
        <w:pStyle w:val="6"/>
        <w:spacing w:before="8" w:line="360" w:lineRule="auto"/>
        <w:rPr>
          <w:rFonts w:hint="eastAsia" w:asciiTheme="minorEastAsia" w:hAnsiTheme="minorEastAsia" w:eastAsiaTheme="minorEastAsia" w:cstheme="minorEastAsia"/>
          <w:b/>
          <w:sz w:val="30"/>
        </w:rPr>
      </w:pPr>
    </w:p>
    <w:p>
      <w:pPr>
        <w:spacing w:line="360" w:lineRule="auto"/>
        <w:ind w:left="872" w:right="988"/>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val="en-US"/>
        </w:rPr>
        <w:t>首次报价</w:t>
      </w:r>
      <w:r>
        <w:rPr>
          <w:rFonts w:hint="eastAsia" w:asciiTheme="minorEastAsia" w:hAnsiTheme="minorEastAsia" w:eastAsiaTheme="minorEastAsia" w:cstheme="minorEastAsia"/>
          <w:b/>
          <w:sz w:val="28"/>
        </w:rPr>
        <w:t>一览表（报价表）</w:t>
      </w:r>
    </w:p>
    <w:p>
      <w:pPr>
        <w:pStyle w:val="6"/>
        <w:spacing w:before="6" w:line="360" w:lineRule="auto"/>
        <w:rPr>
          <w:rFonts w:hint="eastAsia" w:asciiTheme="minorEastAsia" w:hAnsiTheme="minorEastAsia" w:eastAsiaTheme="minorEastAsia" w:cstheme="minorEastAsia"/>
          <w:b/>
          <w:sz w:val="28"/>
        </w:rPr>
      </w:pPr>
    </w:p>
    <w:tbl>
      <w:tblPr>
        <w:tblStyle w:val="16"/>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09"/>
        <w:gridCol w:w="66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bottom w:val="single" w:color="000000" w:sz="6" w:space="0"/>
              <w:right w:val="single" w:color="000000" w:sz="6" w:space="0"/>
            </w:tcBorders>
            <w:vAlign w:val="center"/>
          </w:tcPr>
          <w:p>
            <w:pPr>
              <w:pStyle w:val="25"/>
              <w:spacing w:before="1"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val="en-US"/>
              </w:rPr>
              <w:t>名称</w:t>
            </w:r>
          </w:p>
        </w:tc>
        <w:tc>
          <w:tcPr>
            <w:tcW w:w="6618" w:type="dxa"/>
            <w:tcBorders>
              <w:left w:val="single" w:color="000000" w:sz="6" w:space="0"/>
              <w:bottom w:val="single" w:color="000000" w:sz="6" w:space="0"/>
            </w:tcBorders>
            <w:vAlign w:val="center"/>
          </w:tcPr>
          <w:p>
            <w:pPr>
              <w:pStyle w:val="25"/>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2909" w:type="dxa"/>
            <w:tcBorders>
              <w:top w:val="single" w:color="000000" w:sz="6" w:space="0"/>
              <w:bottom w:val="single" w:color="000000" w:sz="6" w:space="0"/>
              <w:right w:val="single" w:color="000000" w:sz="6" w:space="0"/>
            </w:tcBorders>
            <w:vAlign w:val="center"/>
          </w:tcPr>
          <w:p>
            <w:pPr>
              <w:pStyle w:val="25"/>
              <w:spacing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名称</w:t>
            </w:r>
          </w:p>
        </w:tc>
        <w:tc>
          <w:tcPr>
            <w:tcW w:w="6618" w:type="dxa"/>
            <w:tcBorders>
              <w:top w:val="single" w:color="000000" w:sz="6" w:space="0"/>
              <w:left w:val="single" w:color="000000" w:sz="6" w:space="0"/>
              <w:bottom w:val="single" w:color="000000" w:sz="6" w:space="0"/>
            </w:tcBorders>
            <w:vAlign w:val="center"/>
          </w:tcPr>
          <w:p>
            <w:pPr>
              <w:pStyle w:val="25"/>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5" w:hRule="atLeast"/>
          <w:jc w:val="center"/>
        </w:trPr>
        <w:tc>
          <w:tcPr>
            <w:tcW w:w="2909" w:type="dxa"/>
            <w:tcBorders>
              <w:top w:val="single" w:color="000000" w:sz="6" w:space="0"/>
              <w:bottom w:val="single" w:color="000000" w:sz="6" w:space="0"/>
              <w:right w:val="single" w:color="000000" w:sz="6" w:space="0"/>
            </w:tcBorders>
            <w:vAlign w:val="center"/>
          </w:tcPr>
          <w:p>
            <w:pPr>
              <w:pStyle w:val="25"/>
              <w:spacing w:before="1"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w:t>
            </w:r>
          </w:p>
        </w:tc>
        <w:tc>
          <w:tcPr>
            <w:tcW w:w="6618" w:type="dxa"/>
            <w:tcBorders>
              <w:top w:val="single" w:color="000000" w:sz="6" w:space="0"/>
              <w:left w:val="single" w:color="000000" w:sz="6" w:space="0"/>
              <w:bottom w:val="single" w:color="000000" w:sz="6" w:space="0"/>
            </w:tcBorders>
            <w:vAlign w:val="center"/>
          </w:tcPr>
          <w:p>
            <w:pPr>
              <w:pStyle w:val="25"/>
              <w:spacing w:line="360" w:lineRule="auto"/>
              <w:ind w:left="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25"/>
              <w:spacing w:before="7" w:line="360" w:lineRule="auto"/>
              <w:rPr>
                <w:rFonts w:hint="eastAsia" w:asciiTheme="minorEastAsia" w:hAnsiTheme="minorEastAsia" w:eastAsiaTheme="minorEastAsia" w:cstheme="minorEastAsia"/>
                <w:b/>
                <w:sz w:val="24"/>
              </w:rPr>
            </w:pPr>
          </w:p>
          <w:p>
            <w:pPr>
              <w:pStyle w:val="25"/>
              <w:spacing w:line="360" w:lineRule="auto"/>
              <w:ind w:left="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25"/>
              <w:spacing w:line="360" w:lineRule="auto"/>
              <w:ind w:left="833" w:right="813"/>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供货期</w:t>
            </w:r>
          </w:p>
        </w:tc>
        <w:tc>
          <w:tcPr>
            <w:tcW w:w="6618" w:type="dxa"/>
            <w:tcBorders>
              <w:top w:val="single" w:color="000000" w:sz="6" w:space="0"/>
              <w:left w:val="single" w:color="000000" w:sz="6" w:space="0"/>
              <w:bottom w:val="single" w:color="000000" w:sz="6" w:space="0"/>
            </w:tcBorders>
            <w:vAlign w:val="center"/>
          </w:tcPr>
          <w:p>
            <w:pPr>
              <w:pStyle w:val="25"/>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jc w:val="center"/>
        </w:trPr>
        <w:tc>
          <w:tcPr>
            <w:tcW w:w="2909" w:type="dxa"/>
            <w:tcBorders>
              <w:top w:val="single" w:color="000000" w:sz="6" w:space="0"/>
              <w:bottom w:val="single" w:color="000000" w:sz="6" w:space="0"/>
              <w:right w:val="single" w:color="000000" w:sz="6" w:space="0"/>
            </w:tcBorders>
            <w:vAlign w:val="center"/>
          </w:tcPr>
          <w:p>
            <w:pPr>
              <w:pStyle w:val="25"/>
              <w:spacing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c>
          <w:tcPr>
            <w:tcW w:w="6618" w:type="dxa"/>
            <w:tcBorders>
              <w:top w:val="single" w:color="000000" w:sz="6" w:space="0"/>
              <w:left w:val="single" w:color="000000" w:sz="6" w:space="0"/>
              <w:bottom w:val="single" w:color="000000" w:sz="6" w:space="0"/>
            </w:tcBorders>
            <w:vAlign w:val="center"/>
          </w:tcPr>
          <w:p>
            <w:pPr>
              <w:pStyle w:val="25"/>
              <w:spacing w:line="360" w:lineRule="auto"/>
              <w:jc w:val="center"/>
              <w:rPr>
                <w:rFonts w:hint="eastAsia" w:asciiTheme="minorEastAsia" w:hAnsiTheme="minorEastAsia" w:eastAsiaTheme="minorEastAsia" w:cstheme="minorEastAsia"/>
                <w:sz w:val="24"/>
              </w:rPr>
            </w:pPr>
          </w:p>
        </w:tc>
      </w:tr>
    </w:tbl>
    <w:p>
      <w:pPr>
        <w:pStyle w:val="6"/>
        <w:tabs>
          <w:tab w:val="left" w:pos="8849"/>
        </w:tabs>
        <w:spacing w:beforeLines="100" w:line="360" w:lineRule="auto"/>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b/>
        </w:rPr>
        <w:t>注：</w:t>
      </w:r>
      <w:r>
        <w:rPr>
          <w:rFonts w:hint="eastAsia" w:asciiTheme="minorEastAsia" w:hAnsiTheme="minorEastAsia" w:eastAsiaTheme="minorEastAsia" w:cstheme="minorEastAsia"/>
          <w:spacing w:val="-6"/>
        </w:rPr>
        <w:t>1、填写此表时不得改变表格形式。</w:t>
      </w:r>
    </w:p>
    <w:p>
      <w:pPr>
        <w:pStyle w:val="6"/>
        <w:numPr>
          <w:ilvl w:val="0"/>
          <w:numId w:val="12"/>
        </w:numPr>
        <w:tabs>
          <w:tab w:val="left" w:pos="8849"/>
        </w:tabs>
        <w:spacing w:beforeLines="100" w:line="360" w:lineRule="auto"/>
        <w:ind w:firstLine="456"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“谈判报价”为谈判总价。投标报价必须包括：</w:t>
      </w:r>
      <w:r>
        <w:rPr>
          <w:rFonts w:hint="eastAsia" w:asciiTheme="minorEastAsia" w:hAnsiTheme="minorEastAsia" w:eastAsiaTheme="minorEastAsia" w:cstheme="minorEastAsia"/>
        </w:rPr>
        <w:t>产品费、运输费、保险费、验收费、检验费、售前、售中、售后服务费、招标代理费、税金及不可预见费等全部费用。</w:t>
      </w:r>
    </w:p>
    <w:p>
      <w:pPr>
        <w:pStyle w:val="6"/>
        <w:tabs>
          <w:tab w:val="left" w:pos="8849"/>
        </w:tabs>
        <w:spacing w:beforeLines="100" w:line="360" w:lineRule="auto"/>
        <w:ind w:left="440" w:leftChars="2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lang w:val="en-US"/>
        </w:rPr>
        <w:t>3、</w:t>
      </w:r>
      <w:r>
        <w:rPr>
          <w:rFonts w:hint="eastAsia" w:asciiTheme="minorEastAsia" w:hAnsiTheme="minorEastAsia" w:eastAsiaTheme="minorEastAsia" w:cstheme="minorEastAsia"/>
          <w:spacing w:val="-6"/>
        </w:rPr>
        <w:t>“交货时间”是指产品能够交付使用的具体时间。</w:t>
      </w:r>
    </w:p>
    <w:p>
      <w:pPr>
        <w:pStyle w:val="6"/>
        <w:tabs>
          <w:tab w:val="left" w:pos="8849"/>
        </w:tabs>
        <w:spacing w:beforeLines="100" w:line="360" w:lineRule="auto"/>
        <w:ind w:firstLine="456" w:firstLineChars="2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lang w:val="en-US"/>
        </w:rPr>
        <w:t>4、</w:t>
      </w:r>
      <w:r>
        <w:rPr>
          <w:rFonts w:hint="eastAsia" w:asciiTheme="minorEastAsia" w:hAnsiTheme="minorEastAsia" w:eastAsiaTheme="minorEastAsia" w:cstheme="minorEastAsia"/>
          <w:spacing w:val="-6"/>
        </w:rPr>
        <w:t>投标报价不能有两个或两个以上的报价方案，否则投标无效。</w:t>
      </w:r>
    </w:p>
    <w:p>
      <w:pPr>
        <w:pStyle w:val="6"/>
        <w:tabs>
          <w:tab w:val="left" w:pos="8849"/>
        </w:tabs>
        <w:spacing w:beforeLines="100" w:line="360" w:lineRule="auto"/>
        <w:ind w:firstLine="456" w:firstLineChars="200"/>
        <w:rPr>
          <w:rFonts w:hint="eastAsia" w:asciiTheme="minorEastAsia" w:hAnsiTheme="minorEastAsia" w:eastAsiaTheme="minorEastAsia" w:cstheme="minorEastAsia"/>
          <w:spacing w:val="-6"/>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95" w:name="_bookmark56"/>
      <w:bookmarkEnd w:id="95"/>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11"/>
        </w:numPr>
        <w:tabs>
          <w:tab w:val="left" w:pos="1384"/>
        </w:tabs>
        <w:spacing w:before="135" w:line="360" w:lineRule="auto"/>
        <w:ind w:left="1383" w:hanging="875"/>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分项报价表</w:t>
      </w:r>
    </w:p>
    <w:p>
      <w:pPr>
        <w:pStyle w:val="6"/>
        <w:spacing w:line="360" w:lineRule="auto"/>
        <w:rPr>
          <w:rFonts w:hint="eastAsia" w:asciiTheme="minorEastAsia" w:hAnsiTheme="minorEastAsia" w:eastAsiaTheme="minorEastAsia" w:cstheme="minorEastAsia"/>
          <w:b/>
          <w:sz w:val="20"/>
        </w:rPr>
      </w:pPr>
    </w:p>
    <w:p>
      <w:pPr>
        <w:spacing w:before="217" w:line="360" w:lineRule="auto"/>
        <w:ind w:left="431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分项报价表</w:t>
      </w:r>
    </w:p>
    <w:p>
      <w:pPr>
        <w:pStyle w:val="6"/>
        <w:spacing w:line="360" w:lineRule="auto"/>
        <w:rPr>
          <w:rFonts w:hint="eastAsia" w:asciiTheme="minorEastAsia" w:hAnsiTheme="minorEastAsia" w:eastAsiaTheme="minorEastAsia" w:cstheme="minorEastAsia"/>
          <w:b/>
          <w:sz w:val="13"/>
          <w:szCs w:val="8"/>
        </w:rPr>
      </w:pPr>
    </w:p>
    <w:p>
      <w:pPr>
        <w:tabs>
          <w:tab w:val="left" w:pos="7496"/>
        </w:tabs>
        <w:spacing w:before="323"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名称：</w:t>
      </w:r>
      <w:r>
        <w:rPr>
          <w:rFonts w:hint="eastAsia" w:asciiTheme="minorEastAsia" w:hAnsiTheme="minorEastAsia" w:eastAsiaTheme="minorEastAsia" w:cstheme="minorEastAsia"/>
          <w:b/>
          <w:sz w:val="24"/>
        </w:rPr>
        <w:tab/>
      </w:r>
    </w:p>
    <w:p>
      <w:pPr>
        <w:pStyle w:val="6"/>
        <w:spacing w:before="4" w:line="360" w:lineRule="auto"/>
        <w:rPr>
          <w:rFonts w:hint="eastAsia" w:asciiTheme="minorEastAsia" w:hAnsiTheme="minorEastAsia" w:eastAsiaTheme="minorEastAsia" w:cstheme="minorEastAsia"/>
          <w:b/>
          <w:sz w:val="6"/>
        </w:rPr>
      </w:pPr>
    </w:p>
    <w:tbl>
      <w:tblPr>
        <w:tblStyle w:val="16"/>
        <w:tblW w:w="9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120"/>
        <w:gridCol w:w="855"/>
        <w:gridCol w:w="1426"/>
        <w:gridCol w:w="1416"/>
        <w:gridCol w:w="1399"/>
        <w:gridCol w:w="868"/>
        <w:gridCol w:w="993"/>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5"/>
              <w:spacing w:before="127" w:line="360" w:lineRule="auto"/>
              <w:ind w:left="147" w:right="14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20" w:type="dxa"/>
          </w:tcPr>
          <w:p>
            <w:pPr>
              <w:pStyle w:val="25"/>
              <w:spacing w:before="127" w:line="360" w:lineRule="auto"/>
              <w:ind w:left="1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产品名称</w:t>
            </w:r>
          </w:p>
        </w:tc>
        <w:tc>
          <w:tcPr>
            <w:tcW w:w="855" w:type="dxa"/>
          </w:tcPr>
          <w:p>
            <w:pPr>
              <w:pStyle w:val="25"/>
              <w:spacing w:before="127" w:line="360" w:lineRule="auto"/>
              <w:ind w:left="184"/>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1426" w:type="dxa"/>
          </w:tcPr>
          <w:p>
            <w:pPr>
              <w:pStyle w:val="25"/>
              <w:spacing w:before="127" w:line="360" w:lineRule="auto"/>
              <w:ind w:left="299"/>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型号规格</w:t>
            </w:r>
          </w:p>
        </w:tc>
        <w:tc>
          <w:tcPr>
            <w:tcW w:w="1416" w:type="dxa"/>
          </w:tcPr>
          <w:p>
            <w:pPr>
              <w:pStyle w:val="25"/>
              <w:spacing w:before="127" w:line="360" w:lineRule="auto"/>
              <w:ind w:left="22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w:t>
            </w:r>
          </w:p>
        </w:tc>
        <w:tc>
          <w:tcPr>
            <w:tcW w:w="1399" w:type="dxa"/>
          </w:tcPr>
          <w:p>
            <w:pPr>
              <w:pStyle w:val="25"/>
              <w:spacing w:before="127" w:line="360" w:lineRule="auto"/>
              <w:ind w:left="9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数量及单位</w:t>
            </w:r>
          </w:p>
        </w:tc>
        <w:tc>
          <w:tcPr>
            <w:tcW w:w="868" w:type="dxa"/>
          </w:tcPr>
          <w:p>
            <w:pPr>
              <w:pStyle w:val="25"/>
              <w:spacing w:before="127" w:line="360" w:lineRule="auto"/>
              <w:ind w:left="192"/>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993" w:type="dxa"/>
          </w:tcPr>
          <w:p>
            <w:pPr>
              <w:pStyle w:val="25"/>
              <w:spacing w:before="127" w:line="360" w:lineRule="auto"/>
              <w:ind w:left="25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956" w:type="dxa"/>
          </w:tcPr>
          <w:p>
            <w:pPr>
              <w:pStyle w:val="25"/>
              <w:spacing w:before="127" w:line="360" w:lineRule="auto"/>
              <w:ind w:left="5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5"/>
              <w:spacing w:before="142"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120" w:type="dxa"/>
          </w:tcPr>
          <w:p>
            <w:pPr>
              <w:pStyle w:val="25"/>
              <w:spacing w:line="360" w:lineRule="auto"/>
              <w:rPr>
                <w:rFonts w:hint="eastAsia" w:asciiTheme="minorEastAsia" w:hAnsiTheme="minorEastAsia" w:eastAsiaTheme="minorEastAsia" w:cstheme="minorEastAsia"/>
                <w:sz w:val="24"/>
              </w:rPr>
            </w:pPr>
          </w:p>
        </w:tc>
        <w:tc>
          <w:tcPr>
            <w:tcW w:w="855" w:type="dxa"/>
          </w:tcPr>
          <w:p>
            <w:pPr>
              <w:pStyle w:val="25"/>
              <w:spacing w:line="360" w:lineRule="auto"/>
              <w:rPr>
                <w:rFonts w:hint="eastAsia" w:asciiTheme="minorEastAsia" w:hAnsiTheme="minorEastAsia" w:eastAsiaTheme="minorEastAsia" w:cstheme="minorEastAsia"/>
                <w:sz w:val="24"/>
              </w:rPr>
            </w:pPr>
          </w:p>
        </w:tc>
        <w:tc>
          <w:tcPr>
            <w:tcW w:w="1426" w:type="dxa"/>
          </w:tcPr>
          <w:p>
            <w:pPr>
              <w:pStyle w:val="25"/>
              <w:spacing w:line="360" w:lineRule="auto"/>
              <w:rPr>
                <w:rFonts w:hint="eastAsia" w:asciiTheme="minorEastAsia" w:hAnsiTheme="minorEastAsia" w:eastAsiaTheme="minorEastAsia" w:cstheme="minorEastAsia"/>
                <w:sz w:val="24"/>
              </w:rPr>
            </w:pPr>
          </w:p>
        </w:tc>
        <w:tc>
          <w:tcPr>
            <w:tcW w:w="1416" w:type="dxa"/>
          </w:tcPr>
          <w:p>
            <w:pPr>
              <w:pStyle w:val="25"/>
              <w:spacing w:line="360" w:lineRule="auto"/>
              <w:rPr>
                <w:rFonts w:hint="eastAsia" w:asciiTheme="minorEastAsia" w:hAnsiTheme="minorEastAsia" w:eastAsiaTheme="minorEastAsia" w:cstheme="minorEastAsia"/>
                <w:sz w:val="24"/>
              </w:rPr>
            </w:pPr>
          </w:p>
        </w:tc>
        <w:tc>
          <w:tcPr>
            <w:tcW w:w="1399" w:type="dxa"/>
          </w:tcPr>
          <w:p>
            <w:pPr>
              <w:pStyle w:val="25"/>
              <w:spacing w:line="360" w:lineRule="auto"/>
              <w:rPr>
                <w:rFonts w:hint="eastAsia" w:asciiTheme="minorEastAsia" w:hAnsiTheme="minorEastAsia" w:eastAsiaTheme="minorEastAsia" w:cstheme="minorEastAsia"/>
                <w:sz w:val="24"/>
              </w:rPr>
            </w:pPr>
          </w:p>
        </w:tc>
        <w:tc>
          <w:tcPr>
            <w:tcW w:w="868" w:type="dxa"/>
          </w:tcPr>
          <w:p>
            <w:pPr>
              <w:pStyle w:val="25"/>
              <w:spacing w:line="360" w:lineRule="auto"/>
              <w:rPr>
                <w:rFonts w:hint="eastAsia" w:asciiTheme="minorEastAsia" w:hAnsiTheme="minorEastAsia" w:eastAsiaTheme="minorEastAsia" w:cstheme="minorEastAsia"/>
                <w:sz w:val="24"/>
              </w:rPr>
            </w:pPr>
          </w:p>
        </w:tc>
        <w:tc>
          <w:tcPr>
            <w:tcW w:w="993" w:type="dxa"/>
          </w:tcPr>
          <w:p>
            <w:pPr>
              <w:pStyle w:val="25"/>
              <w:spacing w:line="360" w:lineRule="auto"/>
              <w:rPr>
                <w:rFonts w:hint="eastAsia" w:asciiTheme="minorEastAsia" w:hAnsiTheme="minorEastAsia" w:eastAsiaTheme="minorEastAsia" w:cstheme="minorEastAsia"/>
                <w:sz w:val="24"/>
              </w:rPr>
            </w:pPr>
          </w:p>
        </w:tc>
        <w:tc>
          <w:tcPr>
            <w:tcW w:w="956"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5"/>
              <w:spacing w:before="144"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120" w:type="dxa"/>
          </w:tcPr>
          <w:p>
            <w:pPr>
              <w:pStyle w:val="25"/>
              <w:spacing w:line="360" w:lineRule="auto"/>
              <w:rPr>
                <w:rFonts w:hint="eastAsia" w:asciiTheme="minorEastAsia" w:hAnsiTheme="minorEastAsia" w:eastAsiaTheme="minorEastAsia" w:cstheme="minorEastAsia"/>
                <w:sz w:val="24"/>
              </w:rPr>
            </w:pPr>
          </w:p>
        </w:tc>
        <w:tc>
          <w:tcPr>
            <w:tcW w:w="855" w:type="dxa"/>
          </w:tcPr>
          <w:p>
            <w:pPr>
              <w:pStyle w:val="25"/>
              <w:spacing w:line="360" w:lineRule="auto"/>
              <w:rPr>
                <w:rFonts w:hint="eastAsia" w:asciiTheme="minorEastAsia" w:hAnsiTheme="minorEastAsia" w:eastAsiaTheme="minorEastAsia" w:cstheme="minorEastAsia"/>
                <w:sz w:val="24"/>
              </w:rPr>
            </w:pPr>
          </w:p>
        </w:tc>
        <w:tc>
          <w:tcPr>
            <w:tcW w:w="1426" w:type="dxa"/>
          </w:tcPr>
          <w:p>
            <w:pPr>
              <w:pStyle w:val="25"/>
              <w:spacing w:line="360" w:lineRule="auto"/>
              <w:rPr>
                <w:rFonts w:hint="eastAsia" w:asciiTheme="minorEastAsia" w:hAnsiTheme="minorEastAsia" w:eastAsiaTheme="minorEastAsia" w:cstheme="minorEastAsia"/>
                <w:sz w:val="24"/>
              </w:rPr>
            </w:pPr>
          </w:p>
        </w:tc>
        <w:tc>
          <w:tcPr>
            <w:tcW w:w="1416" w:type="dxa"/>
          </w:tcPr>
          <w:p>
            <w:pPr>
              <w:pStyle w:val="25"/>
              <w:spacing w:line="360" w:lineRule="auto"/>
              <w:rPr>
                <w:rFonts w:hint="eastAsia" w:asciiTheme="minorEastAsia" w:hAnsiTheme="minorEastAsia" w:eastAsiaTheme="minorEastAsia" w:cstheme="minorEastAsia"/>
                <w:sz w:val="24"/>
              </w:rPr>
            </w:pPr>
          </w:p>
        </w:tc>
        <w:tc>
          <w:tcPr>
            <w:tcW w:w="1399" w:type="dxa"/>
          </w:tcPr>
          <w:p>
            <w:pPr>
              <w:pStyle w:val="25"/>
              <w:spacing w:line="360" w:lineRule="auto"/>
              <w:rPr>
                <w:rFonts w:hint="eastAsia" w:asciiTheme="minorEastAsia" w:hAnsiTheme="minorEastAsia" w:eastAsiaTheme="minorEastAsia" w:cstheme="minorEastAsia"/>
                <w:sz w:val="24"/>
              </w:rPr>
            </w:pPr>
          </w:p>
        </w:tc>
        <w:tc>
          <w:tcPr>
            <w:tcW w:w="868" w:type="dxa"/>
          </w:tcPr>
          <w:p>
            <w:pPr>
              <w:pStyle w:val="25"/>
              <w:spacing w:line="360" w:lineRule="auto"/>
              <w:rPr>
                <w:rFonts w:hint="eastAsia" w:asciiTheme="minorEastAsia" w:hAnsiTheme="minorEastAsia" w:eastAsiaTheme="minorEastAsia" w:cstheme="minorEastAsia"/>
                <w:sz w:val="24"/>
              </w:rPr>
            </w:pPr>
          </w:p>
        </w:tc>
        <w:tc>
          <w:tcPr>
            <w:tcW w:w="993" w:type="dxa"/>
          </w:tcPr>
          <w:p>
            <w:pPr>
              <w:pStyle w:val="25"/>
              <w:spacing w:line="360" w:lineRule="auto"/>
              <w:rPr>
                <w:rFonts w:hint="eastAsia" w:asciiTheme="minorEastAsia" w:hAnsiTheme="minorEastAsia" w:eastAsiaTheme="minorEastAsia" w:cstheme="minorEastAsia"/>
                <w:sz w:val="24"/>
              </w:rPr>
            </w:pPr>
          </w:p>
        </w:tc>
        <w:tc>
          <w:tcPr>
            <w:tcW w:w="956"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5"/>
              <w:spacing w:before="142"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3</w:t>
            </w:r>
          </w:p>
        </w:tc>
        <w:tc>
          <w:tcPr>
            <w:tcW w:w="1120" w:type="dxa"/>
          </w:tcPr>
          <w:p>
            <w:pPr>
              <w:pStyle w:val="25"/>
              <w:spacing w:line="360" w:lineRule="auto"/>
              <w:rPr>
                <w:rFonts w:hint="eastAsia" w:asciiTheme="minorEastAsia" w:hAnsiTheme="minorEastAsia" w:eastAsiaTheme="minorEastAsia" w:cstheme="minorEastAsia"/>
                <w:sz w:val="24"/>
              </w:rPr>
            </w:pPr>
          </w:p>
        </w:tc>
        <w:tc>
          <w:tcPr>
            <w:tcW w:w="855" w:type="dxa"/>
          </w:tcPr>
          <w:p>
            <w:pPr>
              <w:pStyle w:val="25"/>
              <w:spacing w:line="360" w:lineRule="auto"/>
              <w:rPr>
                <w:rFonts w:hint="eastAsia" w:asciiTheme="minorEastAsia" w:hAnsiTheme="minorEastAsia" w:eastAsiaTheme="minorEastAsia" w:cstheme="minorEastAsia"/>
                <w:sz w:val="24"/>
              </w:rPr>
            </w:pPr>
          </w:p>
        </w:tc>
        <w:tc>
          <w:tcPr>
            <w:tcW w:w="1426" w:type="dxa"/>
          </w:tcPr>
          <w:p>
            <w:pPr>
              <w:pStyle w:val="25"/>
              <w:spacing w:line="360" w:lineRule="auto"/>
              <w:rPr>
                <w:rFonts w:hint="eastAsia" w:asciiTheme="minorEastAsia" w:hAnsiTheme="minorEastAsia" w:eastAsiaTheme="minorEastAsia" w:cstheme="minorEastAsia"/>
                <w:sz w:val="24"/>
              </w:rPr>
            </w:pPr>
          </w:p>
        </w:tc>
        <w:tc>
          <w:tcPr>
            <w:tcW w:w="1416" w:type="dxa"/>
          </w:tcPr>
          <w:p>
            <w:pPr>
              <w:pStyle w:val="25"/>
              <w:spacing w:line="360" w:lineRule="auto"/>
              <w:rPr>
                <w:rFonts w:hint="eastAsia" w:asciiTheme="minorEastAsia" w:hAnsiTheme="minorEastAsia" w:eastAsiaTheme="minorEastAsia" w:cstheme="minorEastAsia"/>
                <w:sz w:val="24"/>
              </w:rPr>
            </w:pPr>
          </w:p>
        </w:tc>
        <w:tc>
          <w:tcPr>
            <w:tcW w:w="1399" w:type="dxa"/>
          </w:tcPr>
          <w:p>
            <w:pPr>
              <w:pStyle w:val="25"/>
              <w:spacing w:line="360" w:lineRule="auto"/>
              <w:rPr>
                <w:rFonts w:hint="eastAsia" w:asciiTheme="minorEastAsia" w:hAnsiTheme="minorEastAsia" w:eastAsiaTheme="minorEastAsia" w:cstheme="minorEastAsia"/>
                <w:sz w:val="24"/>
              </w:rPr>
            </w:pPr>
          </w:p>
        </w:tc>
        <w:tc>
          <w:tcPr>
            <w:tcW w:w="868" w:type="dxa"/>
          </w:tcPr>
          <w:p>
            <w:pPr>
              <w:pStyle w:val="25"/>
              <w:spacing w:line="360" w:lineRule="auto"/>
              <w:rPr>
                <w:rFonts w:hint="eastAsia" w:asciiTheme="minorEastAsia" w:hAnsiTheme="minorEastAsia" w:eastAsiaTheme="minorEastAsia" w:cstheme="minorEastAsia"/>
                <w:sz w:val="24"/>
              </w:rPr>
            </w:pPr>
          </w:p>
        </w:tc>
        <w:tc>
          <w:tcPr>
            <w:tcW w:w="993" w:type="dxa"/>
          </w:tcPr>
          <w:p>
            <w:pPr>
              <w:pStyle w:val="25"/>
              <w:spacing w:line="360" w:lineRule="auto"/>
              <w:rPr>
                <w:rFonts w:hint="eastAsia" w:asciiTheme="minorEastAsia" w:hAnsiTheme="minorEastAsia" w:eastAsiaTheme="minorEastAsia" w:cstheme="minorEastAsia"/>
                <w:sz w:val="24"/>
              </w:rPr>
            </w:pPr>
          </w:p>
        </w:tc>
        <w:tc>
          <w:tcPr>
            <w:tcW w:w="956"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5"/>
              <w:spacing w:before="142" w:line="360" w:lineRule="auto"/>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0" w:type="dxa"/>
          </w:tcPr>
          <w:p>
            <w:pPr>
              <w:pStyle w:val="25"/>
              <w:spacing w:line="360" w:lineRule="auto"/>
              <w:rPr>
                <w:rFonts w:hint="eastAsia" w:asciiTheme="minorEastAsia" w:hAnsiTheme="minorEastAsia" w:eastAsiaTheme="minorEastAsia" w:cstheme="minorEastAsia"/>
                <w:sz w:val="24"/>
              </w:rPr>
            </w:pPr>
          </w:p>
        </w:tc>
        <w:tc>
          <w:tcPr>
            <w:tcW w:w="855" w:type="dxa"/>
          </w:tcPr>
          <w:p>
            <w:pPr>
              <w:pStyle w:val="25"/>
              <w:spacing w:line="360" w:lineRule="auto"/>
              <w:rPr>
                <w:rFonts w:hint="eastAsia" w:asciiTheme="minorEastAsia" w:hAnsiTheme="minorEastAsia" w:eastAsiaTheme="minorEastAsia" w:cstheme="minorEastAsia"/>
                <w:sz w:val="24"/>
              </w:rPr>
            </w:pPr>
          </w:p>
        </w:tc>
        <w:tc>
          <w:tcPr>
            <w:tcW w:w="1426" w:type="dxa"/>
          </w:tcPr>
          <w:p>
            <w:pPr>
              <w:pStyle w:val="25"/>
              <w:spacing w:line="360" w:lineRule="auto"/>
              <w:rPr>
                <w:rFonts w:hint="eastAsia" w:asciiTheme="minorEastAsia" w:hAnsiTheme="minorEastAsia" w:eastAsiaTheme="minorEastAsia" w:cstheme="minorEastAsia"/>
                <w:sz w:val="24"/>
              </w:rPr>
            </w:pPr>
          </w:p>
        </w:tc>
        <w:tc>
          <w:tcPr>
            <w:tcW w:w="1416" w:type="dxa"/>
          </w:tcPr>
          <w:p>
            <w:pPr>
              <w:pStyle w:val="25"/>
              <w:spacing w:line="360" w:lineRule="auto"/>
              <w:rPr>
                <w:rFonts w:hint="eastAsia" w:asciiTheme="minorEastAsia" w:hAnsiTheme="minorEastAsia" w:eastAsiaTheme="minorEastAsia" w:cstheme="minorEastAsia"/>
                <w:sz w:val="24"/>
              </w:rPr>
            </w:pPr>
          </w:p>
        </w:tc>
        <w:tc>
          <w:tcPr>
            <w:tcW w:w="1399" w:type="dxa"/>
          </w:tcPr>
          <w:p>
            <w:pPr>
              <w:pStyle w:val="25"/>
              <w:spacing w:line="360" w:lineRule="auto"/>
              <w:rPr>
                <w:rFonts w:hint="eastAsia" w:asciiTheme="minorEastAsia" w:hAnsiTheme="minorEastAsia" w:eastAsiaTheme="minorEastAsia" w:cstheme="minorEastAsia"/>
                <w:sz w:val="24"/>
              </w:rPr>
            </w:pPr>
          </w:p>
        </w:tc>
        <w:tc>
          <w:tcPr>
            <w:tcW w:w="868" w:type="dxa"/>
          </w:tcPr>
          <w:p>
            <w:pPr>
              <w:pStyle w:val="25"/>
              <w:spacing w:line="360" w:lineRule="auto"/>
              <w:rPr>
                <w:rFonts w:hint="eastAsia" w:asciiTheme="minorEastAsia" w:hAnsiTheme="minorEastAsia" w:eastAsiaTheme="minorEastAsia" w:cstheme="minorEastAsia"/>
                <w:sz w:val="24"/>
              </w:rPr>
            </w:pPr>
          </w:p>
        </w:tc>
        <w:tc>
          <w:tcPr>
            <w:tcW w:w="993" w:type="dxa"/>
          </w:tcPr>
          <w:p>
            <w:pPr>
              <w:pStyle w:val="25"/>
              <w:spacing w:line="360" w:lineRule="auto"/>
              <w:rPr>
                <w:rFonts w:hint="eastAsia" w:asciiTheme="minorEastAsia" w:hAnsiTheme="minorEastAsia" w:eastAsiaTheme="minorEastAsia" w:cstheme="minorEastAsia"/>
                <w:sz w:val="24"/>
              </w:rPr>
            </w:pPr>
          </w:p>
        </w:tc>
        <w:tc>
          <w:tcPr>
            <w:tcW w:w="956"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824" w:type="dxa"/>
          </w:tcPr>
          <w:p>
            <w:pPr>
              <w:pStyle w:val="25"/>
              <w:spacing w:before="79" w:line="360" w:lineRule="auto"/>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w:t>
            </w:r>
          </w:p>
          <w:p>
            <w:pPr>
              <w:pStyle w:val="25"/>
              <w:spacing w:before="160" w:line="360" w:lineRule="auto"/>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9033" w:type="dxa"/>
            <w:gridSpan w:val="8"/>
          </w:tcPr>
          <w:p>
            <w:pPr>
              <w:pStyle w:val="25"/>
              <w:spacing w:before="79" w:line="360" w:lineRule="auto"/>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25"/>
              <w:spacing w:before="160" w:line="360" w:lineRule="auto"/>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bl>
    <w:p>
      <w:pPr>
        <w:pStyle w:val="6"/>
        <w:spacing w:before="80" w:line="360" w:lineRule="auto"/>
        <w:ind w:left="508" w:right="619"/>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注：1.本表应依照每包采购一览表中的产品序号按顺序逐项填写，不得遗漏。否则，按无效投标处理。</w:t>
      </w:r>
    </w:p>
    <w:p>
      <w:pPr>
        <w:pStyle w:val="6"/>
        <w:spacing w:before="1" w:line="360" w:lineRule="auto"/>
        <w:ind w:left="976"/>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2.投标报价不能有两个或两个以上的报价方案。</w:t>
      </w: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96" w:name="_bookmark57"/>
      <w:bookmarkEnd w:id="96"/>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11"/>
        </w:numPr>
        <w:tabs>
          <w:tab w:val="left" w:pos="1384"/>
        </w:tabs>
        <w:spacing w:before="135" w:line="360" w:lineRule="auto"/>
        <w:ind w:left="1383" w:hanging="875"/>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技术规格响应表</w:t>
      </w:r>
    </w:p>
    <w:p>
      <w:pPr>
        <w:pStyle w:val="6"/>
        <w:spacing w:line="360" w:lineRule="auto"/>
        <w:rPr>
          <w:rFonts w:hint="eastAsia" w:asciiTheme="minorEastAsia" w:hAnsiTheme="minorEastAsia" w:eastAsiaTheme="minorEastAsia" w:cstheme="minorEastAsia"/>
          <w:b/>
          <w:sz w:val="20"/>
        </w:rPr>
      </w:pPr>
    </w:p>
    <w:p>
      <w:pPr>
        <w:spacing w:before="217" w:line="360" w:lineRule="auto"/>
        <w:ind w:left="3948"/>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技术规格响应表</w:t>
      </w:r>
    </w:p>
    <w:p>
      <w:pPr>
        <w:tabs>
          <w:tab w:val="left" w:pos="7496"/>
        </w:tabs>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供应商名称：</w:t>
      </w:r>
      <w:r>
        <w:rPr>
          <w:rFonts w:hint="eastAsia" w:asciiTheme="minorEastAsia" w:hAnsiTheme="minorEastAsia" w:eastAsiaTheme="minorEastAsia" w:cstheme="minorEastAsia"/>
          <w:b/>
          <w:sz w:val="24"/>
        </w:rPr>
        <w:tab/>
      </w:r>
    </w:p>
    <w:p>
      <w:pPr>
        <w:pStyle w:val="6"/>
        <w:spacing w:before="5" w:line="360" w:lineRule="auto"/>
        <w:rPr>
          <w:rFonts w:hint="eastAsia" w:asciiTheme="minorEastAsia" w:hAnsiTheme="minorEastAsia" w:eastAsiaTheme="minorEastAsia" w:cstheme="minorEastAsia"/>
          <w:b/>
          <w:sz w:val="6"/>
        </w:rPr>
      </w:pPr>
    </w:p>
    <w:tbl>
      <w:tblPr>
        <w:tblStyle w:val="16"/>
        <w:tblW w:w="94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7"/>
        <w:gridCol w:w="1984"/>
        <w:gridCol w:w="1984"/>
        <w:gridCol w:w="1789"/>
        <w:gridCol w:w="1789"/>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5"/>
              <w:spacing w:line="360" w:lineRule="auto"/>
              <w:rPr>
                <w:rFonts w:hint="eastAsia" w:asciiTheme="minorEastAsia" w:hAnsiTheme="minorEastAsia" w:eastAsiaTheme="minorEastAsia" w:cstheme="minorEastAsia"/>
                <w:sz w:val="24"/>
              </w:rPr>
            </w:pPr>
          </w:p>
        </w:tc>
        <w:tc>
          <w:tcPr>
            <w:tcW w:w="3968" w:type="dxa"/>
            <w:gridSpan w:val="2"/>
            <w:vAlign w:val="center"/>
          </w:tcPr>
          <w:p>
            <w:pPr>
              <w:pStyle w:val="25"/>
              <w:spacing w:before="127" w:line="360" w:lineRule="auto"/>
              <w:ind w:left="6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p>
        </w:tc>
        <w:tc>
          <w:tcPr>
            <w:tcW w:w="3578" w:type="dxa"/>
            <w:gridSpan w:val="2"/>
            <w:vAlign w:val="center"/>
          </w:tcPr>
          <w:p>
            <w:pPr>
              <w:pStyle w:val="25"/>
              <w:spacing w:before="127" w:line="360" w:lineRule="auto"/>
              <w:ind w:left="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w:t>
            </w:r>
          </w:p>
        </w:tc>
        <w:tc>
          <w:tcPr>
            <w:tcW w:w="1247" w:type="dxa"/>
          </w:tcPr>
          <w:p>
            <w:pPr>
              <w:pStyle w:val="25"/>
              <w:spacing w:before="127" w:line="360" w:lineRule="auto"/>
              <w:ind w:left="12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响应程度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25"/>
              <w:spacing w:before="127" w:line="360" w:lineRule="auto"/>
              <w:ind w:left="78" w:right="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984" w:type="dxa"/>
          </w:tcPr>
          <w:p>
            <w:pPr>
              <w:pStyle w:val="25"/>
              <w:spacing w:before="127" w:line="360" w:lineRule="auto"/>
              <w:ind w:left="4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货物</w:t>
            </w:r>
            <w:r>
              <w:rPr>
                <w:rFonts w:hint="eastAsia" w:asciiTheme="minorEastAsia" w:hAnsiTheme="minorEastAsia" w:eastAsiaTheme="minorEastAsia" w:cstheme="minorEastAsia"/>
                <w:sz w:val="24"/>
              </w:rPr>
              <w:t>名称</w:t>
            </w:r>
          </w:p>
        </w:tc>
        <w:tc>
          <w:tcPr>
            <w:tcW w:w="1984" w:type="dxa"/>
          </w:tcPr>
          <w:p>
            <w:pPr>
              <w:pStyle w:val="25"/>
              <w:spacing w:before="127" w:line="360" w:lineRule="auto"/>
              <w:ind w:left="463"/>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数量</w:t>
            </w:r>
          </w:p>
        </w:tc>
        <w:tc>
          <w:tcPr>
            <w:tcW w:w="1789" w:type="dxa"/>
          </w:tcPr>
          <w:p>
            <w:pPr>
              <w:pStyle w:val="25"/>
              <w:spacing w:before="127" w:line="360" w:lineRule="auto"/>
              <w:ind w:left="44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货物</w:t>
            </w:r>
            <w:r>
              <w:rPr>
                <w:rFonts w:hint="eastAsia" w:asciiTheme="minorEastAsia" w:hAnsiTheme="minorEastAsia" w:eastAsiaTheme="minorEastAsia" w:cstheme="minorEastAsia"/>
                <w:sz w:val="24"/>
              </w:rPr>
              <w:t>名称</w:t>
            </w:r>
          </w:p>
        </w:tc>
        <w:tc>
          <w:tcPr>
            <w:tcW w:w="1789" w:type="dxa"/>
          </w:tcPr>
          <w:p>
            <w:pPr>
              <w:pStyle w:val="25"/>
              <w:spacing w:before="127" w:line="360" w:lineRule="auto"/>
              <w:ind w:left="514"/>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数量</w:t>
            </w:r>
          </w:p>
        </w:tc>
        <w:tc>
          <w:tcPr>
            <w:tcW w:w="1247"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5"/>
              <w:spacing w:before="141" w:line="360" w:lineRule="auto"/>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984" w:type="dxa"/>
          </w:tcPr>
          <w:p>
            <w:pPr>
              <w:pStyle w:val="25"/>
              <w:spacing w:line="360" w:lineRule="auto"/>
              <w:rPr>
                <w:rFonts w:hint="eastAsia" w:asciiTheme="minorEastAsia" w:hAnsiTheme="minorEastAsia" w:eastAsiaTheme="minorEastAsia" w:cstheme="minorEastAsia"/>
                <w:sz w:val="24"/>
              </w:rPr>
            </w:pPr>
          </w:p>
        </w:tc>
        <w:tc>
          <w:tcPr>
            <w:tcW w:w="1984" w:type="dxa"/>
          </w:tcPr>
          <w:p>
            <w:pPr>
              <w:pStyle w:val="25"/>
              <w:spacing w:line="360" w:lineRule="auto"/>
              <w:rPr>
                <w:rFonts w:hint="eastAsia" w:asciiTheme="minorEastAsia" w:hAnsiTheme="minorEastAsia" w:eastAsiaTheme="minorEastAsia" w:cstheme="minorEastAsia"/>
                <w:sz w:val="24"/>
              </w:rPr>
            </w:pPr>
          </w:p>
        </w:tc>
        <w:tc>
          <w:tcPr>
            <w:tcW w:w="1789" w:type="dxa"/>
          </w:tcPr>
          <w:p>
            <w:pPr>
              <w:pStyle w:val="25"/>
              <w:spacing w:line="360" w:lineRule="auto"/>
              <w:rPr>
                <w:rFonts w:hint="eastAsia" w:asciiTheme="minorEastAsia" w:hAnsiTheme="minorEastAsia" w:eastAsiaTheme="minorEastAsia" w:cstheme="minorEastAsia"/>
                <w:sz w:val="24"/>
              </w:rPr>
            </w:pPr>
          </w:p>
        </w:tc>
        <w:tc>
          <w:tcPr>
            <w:tcW w:w="1789" w:type="dxa"/>
          </w:tcPr>
          <w:p>
            <w:pPr>
              <w:pStyle w:val="25"/>
              <w:spacing w:line="360" w:lineRule="auto"/>
              <w:rPr>
                <w:rFonts w:hint="eastAsia" w:asciiTheme="minorEastAsia" w:hAnsiTheme="minorEastAsia" w:eastAsiaTheme="minorEastAsia" w:cstheme="minorEastAsia"/>
                <w:sz w:val="24"/>
              </w:rPr>
            </w:pPr>
          </w:p>
        </w:tc>
        <w:tc>
          <w:tcPr>
            <w:tcW w:w="1247"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25"/>
              <w:spacing w:before="141" w:line="360" w:lineRule="auto"/>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984" w:type="dxa"/>
          </w:tcPr>
          <w:p>
            <w:pPr>
              <w:pStyle w:val="25"/>
              <w:spacing w:line="360" w:lineRule="auto"/>
              <w:rPr>
                <w:rFonts w:hint="eastAsia" w:asciiTheme="minorEastAsia" w:hAnsiTheme="minorEastAsia" w:eastAsiaTheme="minorEastAsia" w:cstheme="minorEastAsia"/>
                <w:sz w:val="24"/>
              </w:rPr>
            </w:pPr>
          </w:p>
        </w:tc>
        <w:tc>
          <w:tcPr>
            <w:tcW w:w="1984" w:type="dxa"/>
          </w:tcPr>
          <w:p>
            <w:pPr>
              <w:pStyle w:val="25"/>
              <w:spacing w:line="360" w:lineRule="auto"/>
              <w:rPr>
                <w:rFonts w:hint="eastAsia" w:asciiTheme="minorEastAsia" w:hAnsiTheme="minorEastAsia" w:eastAsiaTheme="minorEastAsia" w:cstheme="minorEastAsia"/>
                <w:sz w:val="24"/>
              </w:rPr>
            </w:pPr>
          </w:p>
        </w:tc>
        <w:tc>
          <w:tcPr>
            <w:tcW w:w="1789" w:type="dxa"/>
          </w:tcPr>
          <w:p>
            <w:pPr>
              <w:pStyle w:val="25"/>
              <w:spacing w:line="360" w:lineRule="auto"/>
              <w:rPr>
                <w:rFonts w:hint="eastAsia" w:asciiTheme="minorEastAsia" w:hAnsiTheme="minorEastAsia" w:eastAsiaTheme="minorEastAsia" w:cstheme="minorEastAsia"/>
                <w:sz w:val="24"/>
              </w:rPr>
            </w:pPr>
          </w:p>
        </w:tc>
        <w:tc>
          <w:tcPr>
            <w:tcW w:w="1789" w:type="dxa"/>
          </w:tcPr>
          <w:p>
            <w:pPr>
              <w:pStyle w:val="25"/>
              <w:spacing w:line="360" w:lineRule="auto"/>
              <w:rPr>
                <w:rFonts w:hint="eastAsia" w:asciiTheme="minorEastAsia" w:hAnsiTheme="minorEastAsia" w:eastAsiaTheme="minorEastAsia" w:cstheme="minorEastAsia"/>
                <w:sz w:val="24"/>
              </w:rPr>
            </w:pPr>
          </w:p>
        </w:tc>
        <w:tc>
          <w:tcPr>
            <w:tcW w:w="1247" w:type="dxa"/>
          </w:tcPr>
          <w:p>
            <w:pPr>
              <w:pStyle w:val="25"/>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5"/>
              <w:spacing w:before="141" w:line="360" w:lineRule="auto"/>
              <w:ind w:left="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984" w:type="dxa"/>
          </w:tcPr>
          <w:p>
            <w:pPr>
              <w:pStyle w:val="25"/>
              <w:spacing w:line="360" w:lineRule="auto"/>
              <w:rPr>
                <w:rFonts w:hint="eastAsia" w:asciiTheme="minorEastAsia" w:hAnsiTheme="minorEastAsia" w:eastAsiaTheme="minorEastAsia" w:cstheme="minorEastAsia"/>
                <w:sz w:val="24"/>
              </w:rPr>
            </w:pPr>
          </w:p>
        </w:tc>
        <w:tc>
          <w:tcPr>
            <w:tcW w:w="1984" w:type="dxa"/>
          </w:tcPr>
          <w:p>
            <w:pPr>
              <w:pStyle w:val="25"/>
              <w:spacing w:line="360" w:lineRule="auto"/>
              <w:rPr>
                <w:rFonts w:hint="eastAsia" w:asciiTheme="minorEastAsia" w:hAnsiTheme="minorEastAsia" w:eastAsiaTheme="minorEastAsia" w:cstheme="minorEastAsia"/>
                <w:sz w:val="24"/>
              </w:rPr>
            </w:pPr>
          </w:p>
        </w:tc>
        <w:tc>
          <w:tcPr>
            <w:tcW w:w="1789" w:type="dxa"/>
          </w:tcPr>
          <w:p>
            <w:pPr>
              <w:pStyle w:val="25"/>
              <w:spacing w:line="360" w:lineRule="auto"/>
              <w:rPr>
                <w:rFonts w:hint="eastAsia" w:asciiTheme="minorEastAsia" w:hAnsiTheme="minorEastAsia" w:eastAsiaTheme="minorEastAsia" w:cstheme="minorEastAsia"/>
                <w:sz w:val="24"/>
              </w:rPr>
            </w:pPr>
          </w:p>
        </w:tc>
        <w:tc>
          <w:tcPr>
            <w:tcW w:w="1789" w:type="dxa"/>
          </w:tcPr>
          <w:p>
            <w:pPr>
              <w:pStyle w:val="25"/>
              <w:spacing w:line="360" w:lineRule="auto"/>
              <w:rPr>
                <w:rFonts w:hint="eastAsia" w:asciiTheme="minorEastAsia" w:hAnsiTheme="minorEastAsia" w:eastAsiaTheme="minorEastAsia" w:cstheme="minorEastAsia"/>
                <w:sz w:val="24"/>
              </w:rPr>
            </w:pPr>
          </w:p>
        </w:tc>
        <w:tc>
          <w:tcPr>
            <w:tcW w:w="1247" w:type="dxa"/>
          </w:tcPr>
          <w:p>
            <w:pPr>
              <w:pStyle w:val="25"/>
              <w:spacing w:line="360" w:lineRule="auto"/>
              <w:rPr>
                <w:rFonts w:hint="eastAsia" w:asciiTheme="minorEastAsia" w:hAnsiTheme="minorEastAsia" w:eastAsiaTheme="minorEastAsia" w:cstheme="minorEastAsia"/>
                <w:sz w:val="24"/>
              </w:rPr>
            </w:pPr>
          </w:p>
        </w:tc>
      </w:tr>
    </w:tbl>
    <w:p>
      <w:pPr>
        <w:pStyle w:val="6"/>
        <w:spacing w:before="79" w:line="360" w:lineRule="auto"/>
        <w:ind w:left="508" w:right="5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注：1.本表应按照“</w:t>
      </w:r>
      <w:r>
        <w:rPr>
          <w:rFonts w:hint="eastAsia" w:asciiTheme="minorEastAsia" w:hAnsiTheme="minorEastAsia" w:eastAsiaTheme="minorEastAsia" w:cstheme="minorEastAsia"/>
          <w:lang w:val="en-US" w:eastAsia="zh-CN"/>
        </w:rPr>
        <w:t>采购清单</w:t>
      </w:r>
      <w:r>
        <w:rPr>
          <w:rFonts w:hint="eastAsia" w:asciiTheme="minorEastAsia" w:hAnsiTheme="minorEastAsia" w:eastAsiaTheme="minorEastAsia" w:cstheme="minorEastAsia"/>
        </w:rPr>
        <w:t>”中产品序号的指标逐项填写，不得遗漏，否则，按无效投标处理。</w:t>
      </w:r>
    </w:p>
    <w:p>
      <w:pPr>
        <w:pStyle w:val="23"/>
        <w:numPr>
          <w:ilvl w:val="0"/>
          <w:numId w:val="13"/>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“投标产品”必须与</w:t>
      </w:r>
      <w:r>
        <w:rPr>
          <w:rFonts w:hint="eastAsia" w:asciiTheme="minorEastAsia" w:hAnsiTheme="minorEastAsia" w:eastAsiaTheme="minorEastAsia" w:cstheme="minorEastAsia"/>
          <w:sz w:val="24"/>
          <w:lang w:val="en-US"/>
        </w:rPr>
        <w:t>响应</w:t>
      </w:r>
      <w:r>
        <w:rPr>
          <w:rFonts w:hint="eastAsia" w:asciiTheme="minorEastAsia" w:hAnsiTheme="minorEastAsia" w:eastAsiaTheme="minorEastAsia" w:cstheme="minorEastAsia"/>
          <w:sz w:val="24"/>
        </w:rPr>
        <w:t>文件中提供的产品</w:t>
      </w:r>
      <w:r>
        <w:rPr>
          <w:rFonts w:hint="eastAsia" w:asciiTheme="minorEastAsia" w:hAnsiTheme="minorEastAsia" w:eastAsiaTheme="minorEastAsia" w:cstheme="minorEastAsia"/>
          <w:sz w:val="24"/>
          <w:lang w:val="en-US" w:eastAsia="zh-CN"/>
        </w:rPr>
        <w:t>照片</w:t>
      </w:r>
      <w:r>
        <w:rPr>
          <w:rFonts w:hint="eastAsia" w:asciiTheme="minorEastAsia" w:hAnsiTheme="minorEastAsia" w:eastAsiaTheme="minorEastAsia" w:cstheme="minorEastAsia"/>
          <w:sz w:val="24"/>
        </w:rPr>
        <w:t>等</w:t>
      </w:r>
      <w:r>
        <w:rPr>
          <w:rFonts w:hint="eastAsia" w:asciiTheme="minorEastAsia" w:hAnsiTheme="minorEastAsia" w:eastAsiaTheme="minorEastAsia" w:cstheme="minorEastAsia"/>
          <w:spacing w:val="-6"/>
          <w:sz w:val="24"/>
        </w:rPr>
        <w:t>材料的实质性响应情况相一致。若在评标环节发现该项与</w:t>
      </w:r>
      <w:r>
        <w:rPr>
          <w:rFonts w:hint="eastAsia" w:asciiTheme="minorEastAsia" w:hAnsiTheme="minorEastAsia" w:eastAsiaTheme="minorEastAsia" w:cstheme="minorEastAsia"/>
          <w:spacing w:val="-6"/>
          <w:sz w:val="24"/>
          <w:lang w:val="en-US"/>
        </w:rPr>
        <w:t>响应</w:t>
      </w:r>
      <w:r>
        <w:rPr>
          <w:rFonts w:hint="eastAsia" w:asciiTheme="minorEastAsia" w:hAnsiTheme="minorEastAsia" w:eastAsiaTheme="minorEastAsia" w:cstheme="minorEastAsia"/>
          <w:spacing w:val="-6"/>
          <w:sz w:val="24"/>
        </w:rPr>
        <w:t>文件中提供的产品</w:t>
      </w:r>
      <w:r>
        <w:rPr>
          <w:rFonts w:hint="eastAsia" w:asciiTheme="minorEastAsia" w:hAnsiTheme="minorEastAsia" w:eastAsiaTheme="minorEastAsia" w:cstheme="minorEastAsia"/>
          <w:spacing w:val="-6"/>
          <w:sz w:val="24"/>
          <w:lang w:val="en-US" w:eastAsia="zh-CN"/>
        </w:rPr>
        <w:t>照片</w:t>
      </w:r>
      <w:r>
        <w:rPr>
          <w:rFonts w:hint="eastAsia" w:asciiTheme="minorEastAsia" w:hAnsiTheme="minorEastAsia" w:eastAsiaTheme="minorEastAsia" w:cstheme="minorEastAsia"/>
          <w:sz w:val="24"/>
        </w:rPr>
        <w:t>等证明材料的实质性响应情况不一致，按无效投标处理。</w:t>
      </w:r>
    </w:p>
    <w:p>
      <w:pPr>
        <w:pStyle w:val="23"/>
        <w:numPr>
          <w:ilvl w:val="0"/>
          <w:numId w:val="13"/>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填写此表时以招标项目</w:t>
      </w:r>
      <w:r>
        <w:rPr>
          <w:rFonts w:hint="eastAsia" w:asciiTheme="minorEastAsia" w:hAnsiTheme="minorEastAsia" w:eastAsiaTheme="minorEastAsia" w:cstheme="minorEastAsia"/>
          <w:sz w:val="24"/>
          <w:lang w:val="en-US" w:eastAsia="zh-CN"/>
        </w:rPr>
        <w:t>采购需求</w:t>
      </w:r>
      <w:r>
        <w:rPr>
          <w:rFonts w:hint="eastAsia" w:asciiTheme="minorEastAsia" w:hAnsiTheme="minorEastAsia" w:eastAsiaTheme="minorEastAsia" w:cstheme="minorEastAsia"/>
          <w:sz w:val="24"/>
        </w:rPr>
        <w:t>为基本投标要求，满足招标项目</w:t>
      </w:r>
      <w:r>
        <w:rPr>
          <w:rFonts w:hint="eastAsia" w:asciiTheme="minorEastAsia" w:hAnsiTheme="minorEastAsia" w:eastAsiaTheme="minorEastAsia" w:cstheme="minorEastAsia"/>
          <w:sz w:val="24"/>
          <w:lang w:val="en-US" w:eastAsia="zh-CN"/>
        </w:rPr>
        <w:t>采购需求</w:t>
      </w:r>
      <w:r>
        <w:rPr>
          <w:rFonts w:hint="eastAsia" w:asciiTheme="minorEastAsia" w:hAnsiTheme="minorEastAsia" w:eastAsiaTheme="minorEastAsia" w:cstheme="minorEastAsia"/>
          <w:sz w:val="24"/>
        </w:rPr>
        <w:t>的指标需</w:t>
      </w:r>
      <w:r>
        <w:rPr>
          <w:rFonts w:hint="eastAsia" w:asciiTheme="minorEastAsia" w:hAnsiTheme="minorEastAsia" w:eastAsiaTheme="minorEastAsia" w:cstheme="minorEastAsia"/>
          <w:spacing w:val="-4"/>
          <w:sz w:val="24"/>
        </w:rPr>
        <w:t>列出“</w:t>
      </w:r>
      <w:r>
        <w:rPr>
          <w:rFonts w:hint="eastAsia" w:asciiTheme="minorEastAsia" w:hAnsiTheme="minorEastAsia" w:eastAsiaTheme="minorEastAsia" w:cstheme="minorEastAsia"/>
          <w:spacing w:val="-4"/>
          <w:sz w:val="24"/>
          <w:lang w:val="en-US" w:eastAsia="zh-CN"/>
        </w:rPr>
        <w:t>完全响应</w:t>
      </w:r>
      <w:r>
        <w:rPr>
          <w:rFonts w:hint="eastAsia" w:asciiTheme="minorEastAsia" w:hAnsiTheme="minorEastAsia" w:eastAsiaTheme="minorEastAsia" w:cstheme="minorEastAsia"/>
          <w:spacing w:val="-5"/>
          <w:sz w:val="24"/>
        </w:rPr>
        <w:t>”；</w:t>
      </w:r>
      <w:r>
        <w:rPr>
          <w:rFonts w:hint="eastAsia" w:asciiTheme="minorEastAsia" w:hAnsiTheme="minorEastAsia" w:eastAsiaTheme="minorEastAsia" w:cstheme="minorEastAsia"/>
          <w:spacing w:val="-4"/>
          <w:sz w:val="24"/>
        </w:rPr>
        <w:t>如果</w:t>
      </w:r>
      <w:r>
        <w:rPr>
          <w:rFonts w:hint="eastAsia" w:asciiTheme="minorEastAsia" w:hAnsiTheme="minorEastAsia" w:eastAsiaTheme="minorEastAsia" w:cstheme="minorEastAsia"/>
          <w:spacing w:val="-4"/>
          <w:sz w:val="24"/>
          <w:lang w:val="en-US" w:eastAsia="zh-CN"/>
        </w:rPr>
        <w:t>未完全响应</w:t>
      </w:r>
      <w:r>
        <w:rPr>
          <w:rFonts w:hint="eastAsia" w:asciiTheme="minorEastAsia" w:hAnsiTheme="minorEastAsia" w:eastAsiaTheme="minorEastAsia" w:cstheme="minorEastAsia"/>
          <w:spacing w:val="-4"/>
          <w:sz w:val="24"/>
        </w:rPr>
        <w:t>，将视为该项指标不响应。</w:t>
      </w:r>
    </w:p>
    <w:p>
      <w:pPr>
        <w:pStyle w:val="23"/>
        <w:numPr>
          <w:ilvl w:val="0"/>
          <w:numId w:val="13"/>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响应采购需求应具体、明确，含糊不清、不确切或伪造、编造证明材料的， 按照实质性不响应处理。对伪造、编造证明材料的，将报告本级财政部门。</w:t>
      </w:r>
    </w:p>
    <w:p>
      <w:pPr>
        <w:pStyle w:val="6"/>
        <w:spacing w:line="360" w:lineRule="auto"/>
        <w:jc w:val="both"/>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sz w:val="2"/>
          <w:szCs w:val="8"/>
        </w:rPr>
      </w:pPr>
    </w:p>
    <w:p>
      <w:pPr>
        <w:pStyle w:val="6"/>
        <w:spacing w:before="10" w:line="360" w:lineRule="auto"/>
        <w:rPr>
          <w:rFonts w:hint="eastAsia" w:asciiTheme="minorEastAsia" w:hAnsiTheme="minorEastAsia" w:eastAsiaTheme="minorEastAsia" w:cstheme="minorEastAsia"/>
          <w:sz w:val="2"/>
          <w:szCs w:val="8"/>
        </w:rPr>
      </w:pPr>
    </w:p>
    <w:p>
      <w:pPr>
        <w:pStyle w:val="6"/>
        <w:spacing w:line="360" w:lineRule="auto"/>
        <w:rPr>
          <w:rFonts w:hint="eastAsia" w:asciiTheme="minorEastAsia" w:hAnsiTheme="minorEastAsia" w:eastAsiaTheme="minorEastAsia" w:cstheme="minorEastAsia"/>
          <w:sz w:val="10"/>
          <w:szCs w:val="8"/>
        </w:rPr>
      </w:pPr>
      <w:bookmarkStart w:id="97" w:name="_bookmark58"/>
      <w:bookmarkEnd w:id="97"/>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3"/>
        <w:numPr>
          <w:ilvl w:val="0"/>
          <w:numId w:val="11"/>
        </w:numPr>
        <w:tabs>
          <w:tab w:val="left" w:pos="1259"/>
        </w:tabs>
        <w:spacing w:before="2" w:line="360" w:lineRule="auto"/>
        <w:ind w:left="1258" w:hanging="750"/>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投标产品相关资料</w:t>
      </w:r>
    </w:p>
    <w:p>
      <w:pPr>
        <w:pStyle w:val="6"/>
        <w:spacing w:line="360" w:lineRule="auto"/>
        <w:rPr>
          <w:rFonts w:hint="eastAsia" w:asciiTheme="minorEastAsia" w:hAnsiTheme="minorEastAsia" w:eastAsiaTheme="minorEastAsia" w:cstheme="minorEastAsia"/>
          <w:b/>
          <w:sz w:val="20"/>
        </w:rPr>
      </w:pPr>
    </w:p>
    <w:p>
      <w:pPr>
        <w:pStyle w:val="6"/>
        <w:spacing w:line="360" w:lineRule="auto"/>
        <w:rPr>
          <w:rFonts w:hint="eastAsia" w:asciiTheme="minorEastAsia" w:hAnsiTheme="minorEastAsia" w:eastAsiaTheme="minorEastAsia" w:cstheme="minorEastAsia"/>
          <w:b/>
          <w:sz w:val="20"/>
        </w:rPr>
      </w:pPr>
    </w:p>
    <w:p>
      <w:pPr>
        <w:pStyle w:val="6"/>
        <w:spacing w:line="360" w:lineRule="auto"/>
        <w:rPr>
          <w:rFonts w:hint="eastAsia" w:asciiTheme="minorEastAsia" w:hAnsiTheme="minorEastAsia" w:eastAsiaTheme="minorEastAsia" w:cstheme="minorEastAsia"/>
          <w:b/>
          <w:sz w:val="20"/>
        </w:rPr>
      </w:pPr>
    </w:p>
    <w:p>
      <w:pPr>
        <w:spacing w:before="201" w:line="360" w:lineRule="auto"/>
        <w:ind w:left="3768"/>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投标产品相关资料</w:t>
      </w:r>
    </w:p>
    <w:p>
      <w:pPr>
        <w:pStyle w:val="6"/>
        <w:spacing w:line="360" w:lineRule="auto"/>
        <w:rPr>
          <w:rFonts w:hint="eastAsia" w:asciiTheme="minorEastAsia" w:hAnsiTheme="minorEastAsia" w:eastAsiaTheme="minorEastAsia" w:cstheme="minorEastAsia"/>
          <w:b/>
          <w:color w:val="FF0000"/>
          <w:sz w:val="49"/>
        </w:rPr>
      </w:pPr>
    </w:p>
    <w:p>
      <w:pPr>
        <w:spacing w:line="360" w:lineRule="auto"/>
        <w:rPr>
          <w:rFonts w:hint="default" w:asciiTheme="minorEastAsia" w:hAnsiTheme="minorEastAsia" w:eastAsiaTheme="minorEastAsia" w:cstheme="minorEastAsia"/>
          <w:lang w:val="en-US" w:eastAsia="zh-CN"/>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lang w:val="en-US" w:eastAsia="zh-CN"/>
        </w:rPr>
        <w:t>提供相关货物的照片。</w:t>
      </w:r>
    </w:p>
    <w:p>
      <w:pPr>
        <w:pStyle w:val="23"/>
        <w:numPr>
          <w:ilvl w:val="0"/>
          <w:numId w:val="11"/>
        </w:numPr>
        <w:tabs>
          <w:tab w:val="left" w:pos="1259"/>
        </w:tabs>
        <w:spacing w:before="2" w:line="360" w:lineRule="auto"/>
        <w:ind w:left="1258" w:hanging="750"/>
        <w:rPr>
          <w:rFonts w:hint="eastAsia" w:asciiTheme="minorEastAsia" w:hAnsiTheme="minorEastAsia" w:eastAsiaTheme="minorEastAsia" w:cstheme="minorEastAsia"/>
          <w:b/>
        </w:rPr>
      </w:pPr>
      <w:bookmarkStart w:id="98" w:name="_bookmark59"/>
      <w:bookmarkEnd w:id="98"/>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的类似业绩证明材料</w:t>
      </w:r>
    </w:p>
    <w:p>
      <w:pPr>
        <w:pStyle w:val="6"/>
        <w:spacing w:line="360" w:lineRule="auto"/>
        <w:rPr>
          <w:rFonts w:hint="eastAsia" w:asciiTheme="minorEastAsia" w:hAnsiTheme="minorEastAsia" w:eastAsiaTheme="minorEastAsia" w:cstheme="minorEastAsia"/>
          <w:b/>
          <w:sz w:val="26"/>
        </w:rPr>
      </w:pPr>
    </w:p>
    <w:p>
      <w:pPr>
        <w:pStyle w:val="6"/>
        <w:spacing w:line="360" w:lineRule="auto"/>
        <w:rPr>
          <w:rFonts w:hint="eastAsia" w:asciiTheme="minorEastAsia" w:hAnsiTheme="minorEastAsia" w:eastAsiaTheme="minorEastAsia" w:cstheme="minorEastAsia"/>
          <w:b/>
          <w:sz w:val="26"/>
        </w:rPr>
      </w:pPr>
    </w:p>
    <w:p>
      <w:pPr>
        <w:pStyle w:val="6"/>
        <w:spacing w:before="8" w:line="360" w:lineRule="auto"/>
        <w:rPr>
          <w:rFonts w:hint="eastAsia" w:asciiTheme="minorEastAsia" w:hAnsiTheme="minorEastAsia" w:eastAsiaTheme="minorEastAsia" w:cstheme="minorEastAsia"/>
          <w:b/>
          <w:sz w:val="23"/>
        </w:rPr>
      </w:pPr>
    </w:p>
    <w:p>
      <w:pPr>
        <w:spacing w:line="360" w:lineRule="auto"/>
        <w:ind w:left="3045"/>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rPr>
        <w:t>供应商</w:t>
      </w:r>
      <w:r>
        <w:rPr>
          <w:rFonts w:hint="eastAsia" w:asciiTheme="minorEastAsia" w:hAnsiTheme="minorEastAsia" w:eastAsiaTheme="minorEastAsia" w:cstheme="minorEastAsia"/>
          <w:b/>
          <w:sz w:val="36"/>
        </w:rPr>
        <w:t>的类似业绩证明材料</w:t>
      </w:r>
    </w:p>
    <w:p>
      <w:pPr>
        <w:pStyle w:val="6"/>
        <w:spacing w:before="1" w:line="360" w:lineRule="auto"/>
        <w:rPr>
          <w:rFonts w:hint="eastAsia" w:asciiTheme="minorEastAsia" w:hAnsiTheme="minorEastAsia" w:eastAsiaTheme="minorEastAsia" w:cstheme="minorEastAsia"/>
          <w:b/>
          <w:sz w:val="49"/>
        </w:rPr>
      </w:pPr>
    </w:p>
    <w:p>
      <w:pPr>
        <w:pStyle w:val="6"/>
        <w:spacing w:line="360" w:lineRule="auto"/>
        <w:ind w:left="508" w:right="620"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提供自</w:t>
      </w:r>
      <w:r>
        <w:rPr>
          <w:rFonts w:hint="eastAsia" w:asciiTheme="minorEastAsia" w:hAnsiTheme="minorEastAsia" w:eastAsiaTheme="minorEastAsia" w:cstheme="minorEastAsia"/>
          <w:u w:val="single"/>
        </w:rPr>
        <w:t>20</w:t>
      </w:r>
      <w:r>
        <w:rPr>
          <w:rFonts w:hint="eastAsia" w:asciiTheme="minorEastAsia" w:hAnsiTheme="minorEastAsia" w:eastAsiaTheme="minorEastAsia" w:cstheme="minorEastAsia"/>
          <w:u w:val="single"/>
          <w:lang w:val="en-US" w:eastAsia="zh-CN"/>
        </w:rPr>
        <w:t>18</w:t>
      </w:r>
      <w:r>
        <w:rPr>
          <w:rFonts w:hint="eastAsia" w:asciiTheme="minorEastAsia" w:hAnsiTheme="minorEastAsia" w:eastAsiaTheme="minorEastAsia" w:cstheme="minorEastAsia"/>
        </w:rPr>
        <w:t>年以来的类似业绩证明材料。类似业绩是指与采购项目在产品类型、使用功能、合同规模等方面相同或相近的项目。需提供包含合同首页</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供货合同签字盖章页的扫描（或复印）件。</w:t>
      </w:r>
    </w:p>
    <w:p>
      <w:pPr>
        <w:spacing w:line="360" w:lineRule="auto"/>
        <w:jc w:val="both"/>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spacing w:before="2"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rPr>
        <w:t>6</w:t>
      </w:r>
      <w:r>
        <w:rPr>
          <w:rFonts w:hint="eastAsia" w:asciiTheme="minorEastAsia" w:hAnsiTheme="minorEastAsia" w:eastAsiaTheme="minorEastAsia" w:cstheme="minorEastAsia"/>
          <w:b/>
          <w:sz w:val="24"/>
        </w:rPr>
        <w:t>.1）制造（生产）企业小型、微型企业声明函</w:t>
      </w:r>
    </w:p>
    <w:p>
      <w:pPr>
        <w:pStyle w:val="6"/>
        <w:spacing w:line="360" w:lineRule="auto"/>
        <w:rPr>
          <w:rFonts w:hint="eastAsia" w:asciiTheme="minorEastAsia" w:hAnsiTheme="minorEastAsia" w:eastAsiaTheme="minorEastAsia" w:cstheme="minorEastAsia"/>
          <w:b/>
          <w:sz w:val="26"/>
        </w:rPr>
      </w:pPr>
    </w:p>
    <w:p>
      <w:pPr>
        <w:pStyle w:val="6"/>
        <w:spacing w:before="4" w:line="360" w:lineRule="auto"/>
        <w:rPr>
          <w:rFonts w:hint="eastAsia" w:asciiTheme="minorEastAsia" w:hAnsiTheme="minorEastAsia" w:eastAsiaTheme="minorEastAsia" w:cstheme="minorEastAsia"/>
          <w:b/>
          <w:sz w:val="25"/>
        </w:rPr>
      </w:pPr>
    </w:p>
    <w:p>
      <w:pPr>
        <w:spacing w:line="360" w:lineRule="auto"/>
        <w:ind w:left="196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制造（生产）企业小型、微型企业声明函</w:t>
      </w:r>
    </w:p>
    <w:p>
      <w:pPr>
        <w:spacing w:before="323"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line="360" w:lineRule="auto"/>
        <w:rPr>
          <w:rFonts w:hint="eastAsia" w:asciiTheme="minorEastAsia" w:hAnsiTheme="minorEastAsia" w:eastAsiaTheme="minorEastAsia" w:cstheme="minorEastAsia"/>
          <w:b/>
        </w:rPr>
      </w:pPr>
    </w:p>
    <w:p>
      <w:pPr>
        <w:pStyle w:val="6"/>
        <w:spacing w:before="1" w:line="360" w:lineRule="auto"/>
        <w:rPr>
          <w:rFonts w:hint="eastAsia" w:asciiTheme="minorEastAsia" w:hAnsiTheme="minorEastAsia" w:eastAsiaTheme="minorEastAsia" w:cstheme="minorEastAsia"/>
          <w:b/>
          <w:sz w:val="25"/>
        </w:rPr>
      </w:pPr>
    </w:p>
    <w:p>
      <w:pPr>
        <w:pStyle w:val="6"/>
        <w:tabs>
          <w:tab w:val="left" w:pos="3225"/>
        </w:tabs>
        <w:spacing w:line="360" w:lineRule="auto"/>
        <w:ind w:left="508" w:right="496" w:firstLine="36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根</w:t>
      </w:r>
      <w:r>
        <w:rPr>
          <w:rFonts w:hint="eastAsia" w:asciiTheme="minorEastAsia" w:hAnsiTheme="minorEastAsia" w:eastAsiaTheme="minorEastAsia" w:cstheme="minorEastAsia"/>
          <w:spacing w:val="-27"/>
        </w:rPr>
        <w:t>据</w:t>
      </w:r>
      <w:r>
        <w:rPr>
          <w:rFonts w:hint="eastAsia" w:asciiTheme="minorEastAsia" w:hAnsiTheme="minorEastAsia" w:eastAsiaTheme="minorEastAsia" w:cstheme="minorEastAsia"/>
        </w:rPr>
        <w:t>《政府采购促进中小企业发展暂行办法</w:t>
      </w:r>
      <w:r>
        <w:rPr>
          <w:rFonts w:hint="eastAsia" w:asciiTheme="minorEastAsia" w:hAnsiTheme="minorEastAsia" w:eastAsiaTheme="minorEastAsia" w:cstheme="minorEastAsia"/>
          <w:spacing w:val="-53"/>
        </w:rPr>
        <w:t>》</w:t>
      </w:r>
      <w:r>
        <w:rPr>
          <w:rFonts w:hint="eastAsia" w:asciiTheme="minorEastAsia" w:hAnsiTheme="minorEastAsia" w:eastAsiaTheme="minorEastAsia" w:cstheme="minorEastAsia"/>
        </w:rPr>
        <w:t>（财</w:t>
      </w:r>
      <w:r>
        <w:rPr>
          <w:rFonts w:hint="eastAsia" w:asciiTheme="minorEastAsia" w:hAnsiTheme="minorEastAsia" w:eastAsiaTheme="minorEastAsia" w:cstheme="minorEastAsia"/>
          <w:spacing w:val="-27"/>
        </w:rPr>
        <w:t>库</w:t>
      </w:r>
      <w:r>
        <w:rPr>
          <w:rFonts w:hint="eastAsia" w:asciiTheme="minorEastAsia" w:hAnsiTheme="minorEastAsia" w:eastAsiaTheme="minorEastAsia" w:cstheme="minorEastAsia"/>
        </w:rPr>
        <w:t>〔2011</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181号） 的规定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本公司为</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（请填写</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小</w:t>
      </w:r>
      <w:r>
        <w:rPr>
          <w:rFonts w:hint="eastAsia" w:asciiTheme="minorEastAsia" w:hAnsiTheme="minorEastAsia" w:eastAsiaTheme="minorEastAsia" w:cstheme="minorEastAsia"/>
          <w:spacing w:val="-3"/>
        </w:rPr>
        <w:t>型、微</w:t>
      </w:r>
      <w:r>
        <w:rPr>
          <w:rFonts w:hint="eastAsia" w:asciiTheme="minorEastAsia" w:hAnsiTheme="minorEastAsia" w:eastAsiaTheme="minorEastAsia" w:cstheme="minorEastAsia"/>
        </w:rPr>
        <w:t>型</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企业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即</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w:t>
      </w:r>
      <w:r>
        <w:rPr>
          <w:rFonts w:hint="eastAsia" w:asciiTheme="minorEastAsia" w:hAnsiTheme="minorEastAsia" w:eastAsiaTheme="minorEastAsia" w:cstheme="minorEastAsia"/>
          <w:spacing w:val="-3"/>
        </w:rPr>
        <w:t>司</w:t>
      </w:r>
      <w:r>
        <w:rPr>
          <w:rFonts w:hint="eastAsia" w:asciiTheme="minorEastAsia" w:hAnsiTheme="minorEastAsia" w:eastAsiaTheme="minorEastAsia" w:cstheme="minorEastAsia"/>
        </w:rPr>
        <w:t>满足以下条件</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《工业和信息化部、国家统计局、国家发展和改革委员会、财政部关于印发中小企业划型标准规定的通知》（工信部联企业〔2011</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300</w:t>
      </w:r>
      <w:r>
        <w:rPr>
          <w:rFonts w:hint="eastAsia" w:asciiTheme="minorEastAsia" w:hAnsiTheme="minorEastAsia" w:eastAsiaTheme="minorEastAsia" w:cstheme="minorEastAsia"/>
          <w:spacing w:val="-3"/>
        </w:rPr>
        <w:t>号</w:t>
      </w:r>
      <w:r>
        <w:rPr>
          <w:rFonts w:hint="eastAsia" w:asciiTheme="minorEastAsia" w:hAnsiTheme="minorEastAsia" w:eastAsiaTheme="minorEastAsia" w:cstheme="minorEastAsia"/>
        </w:rPr>
        <w:t>）规定的划分标准。</w:t>
      </w:r>
    </w:p>
    <w:p>
      <w:pPr>
        <w:pStyle w:val="6"/>
        <w:spacing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6"/>
        <w:spacing w:before="16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注：1、此函需声明参与本次投标的货物（产品）名称、规格、型号等相关资料；</w:t>
      </w:r>
    </w:p>
    <w:p>
      <w:pPr>
        <w:pStyle w:val="6"/>
        <w:spacing w:before="160" w:line="360" w:lineRule="auto"/>
        <w:ind w:left="508" w:right="54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2、此函须由投标产品的制造（生产）企业提供并声明，且加盖供应商公章。同时附制造（生产）企业上一年度的财务状况审计报告；</w:t>
      </w:r>
    </w:p>
    <w:p>
      <w:pPr>
        <w:pStyle w:val="6"/>
        <w:spacing w:before="2" w:line="360" w:lineRule="auto"/>
        <w:ind w:left="508" w:right="1021"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3、此函若出现多家制造（生产）企业的货物（产品）投标时，可按制造（生产） 企业分别声明，一家制造（生产）企业填写一张。</w:t>
      </w:r>
    </w:p>
    <w:p>
      <w:pPr>
        <w:pStyle w:val="6"/>
        <w:spacing w:before="1"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rPr>
        <w:t>需提供相关证明，</w:t>
      </w:r>
      <w:r>
        <w:rPr>
          <w:rFonts w:hint="eastAsia" w:asciiTheme="minorEastAsia" w:hAnsiTheme="minorEastAsia" w:eastAsiaTheme="minorEastAsia" w:cstheme="minorEastAsia"/>
        </w:rPr>
        <w:t>若无此项内容，可不提供此函。</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6"/>
        </w:rPr>
      </w:pPr>
    </w:p>
    <w:p>
      <w:pPr>
        <w:tabs>
          <w:tab w:val="left" w:pos="9063"/>
        </w:tabs>
        <w:spacing w:line="360" w:lineRule="auto"/>
        <w:ind w:right="502" w:firstLine="3954" w:firstLineChars="164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制造（生产）企业名称：           （公章）</w:t>
      </w:r>
    </w:p>
    <w:p>
      <w:pPr>
        <w:tabs>
          <w:tab w:val="left" w:pos="9063"/>
        </w:tabs>
        <w:spacing w:line="360" w:lineRule="auto"/>
        <w:ind w:right="502"/>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   （签字或盖章</w:t>
      </w:r>
      <w:r>
        <w:rPr>
          <w:rFonts w:hint="eastAsia" w:asciiTheme="minorEastAsia" w:hAnsiTheme="minorEastAsia" w:eastAsiaTheme="minorEastAsia" w:cstheme="minorEastAsia"/>
          <w:b/>
          <w:spacing w:val="-16"/>
          <w:sz w:val="24"/>
        </w:rPr>
        <w:t>）</w:t>
      </w:r>
    </w:p>
    <w:p>
      <w:pPr>
        <w:tabs>
          <w:tab w:val="left" w:pos="7623"/>
          <w:tab w:val="left" w:pos="8345"/>
        </w:tabs>
        <w:spacing w:before="1" w:line="360" w:lineRule="auto"/>
        <w:ind w:left="69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spacing w:before="2"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rPr>
        <w:t>6</w:t>
      </w:r>
      <w:r>
        <w:rPr>
          <w:rFonts w:hint="eastAsia" w:asciiTheme="minorEastAsia" w:hAnsiTheme="minorEastAsia" w:eastAsiaTheme="minorEastAsia" w:cstheme="minorEastAsia"/>
          <w:b/>
          <w:sz w:val="24"/>
        </w:rPr>
        <w:t>.2）从业人员声明函</w:t>
      </w:r>
    </w:p>
    <w:p>
      <w:pPr>
        <w:pStyle w:val="6"/>
        <w:spacing w:line="360" w:lineRule="auto"/>
        <w:rPr>
          <w:rFonts w:hint="eastAsia" w:asciiTheme="minorEastAsia" w:hAnsiTheme="minorEastAsia" w:eastAsiaTheme="minorEastAsia" w:cstheme="minorEastAsia"/>
          <w:b/>
          <w:sz w:val="20"/>
        </w:rPr>
      </w:pPr>
    </w:p>
    <w:p>
      <w:pPr>
        <w:pStyle w:val="6"/>
        <w:spacing w:line="360" w:lineRule="auto"/>
        <w:rPr>
          <w:rFonts w:hint="eastAsia" w:asciiTheme="minorEastAsia" w:hAnsiTheme="minorEastAsia" w:eastAsiaTheme="minorEastAsia" w:cstheme="minorEastAsia"/>
          <w:b/>
          <w:sz w:val="20"/>
        </w:rPr>
      </w:pPr>
    </w:p>
    <w:p>
      <w:pPr>
        <w:spacing w:before="183" w:line="360" w:lineRule="auto"/>
        <w:ind w:left="869" w:right="988"/>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从业人员声明函</w:t>
      </w:r>
    </w:p>
    <w:p>
      <w:pPr>
        <w:pStyle w:val="6"/>
        <w:spacing w:line="360" w:lineRule="auto"/>
        <w:rPr>
          <w:rFonts w:hint="eastAsia" w:asciiTheme="minorEastAsia" w:hAnsiTheme="minorEastAsia" w:eastAsiaTheme="minorEastAsia" w:cstheme="minorEastAsia"/>
          <w:b/>
          <w:sz w:val="20"/>
        </w:rPr>
      </w:pPr>
    </w:p>
    <w:p>
      <w:pPr>
        <w:pStyle w:val="6"/>
        <w:spacing w:before="4" w:line="360" w:lineRule="auto"/>
        <w:rPr>
          <w:rFonts w:hint="eastAsia" w:asciiTheme="minorEastAsia" w:hAnsiTheme="minorEastAsia" w:eastAsiaTheme="minorEastAsia" w:cstheme="minorEastAsia"/>
          <w:b/>
          <w:sz w:val="14"/>
        </w:rPr>
      </w:pPr>
    </w:p>
    <w:p>
      <w:pPr>
        <w:spacing w:before="67"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line="360" w:lineRule="auto"/>
        <w:rPr>
          <w:rFonts w:hint="eastAsia" w:asciiTheme="minorEastAsia" w:hAnsiTheme="minorEastAsia" w:eastAsiaTheme="minorEastAsia" w:cstheme="minorEastAsia"/>
          <w:b/>
        </w:rPr>
      </w:pPr>
    </w:p>
    <w:p>
      <w:pPr>
        <w:pStyle w:val="6"/>
        <w:tabs>
          <w:tab w:val="left" w:pos="9020"/>
        </w:tabs>
        <w:spacing w:before="213" w:line="360" w:lineRule="auto"/>
        <w:ind w:left="440" w:leftChars="200" w:right="497" w:rightChars="226" w:firstLine="439" w:firstLineChars="18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本公司郑重声明：根据《政府采购促进中小企业发展暂行办法》（财库[2011]181 号）、《工业和信息部、国家统计局、国家发展和改革委员会、财政部关于印发中小企业划型</w:t>
      </w:r>
      <w:r>
        <w:rPr>
          <w:rFonts w:hint="eastAsia" w:asciiTheme="minorEastAsia" w:hAnsiTheme="minorEastAsia" w:eastAsiaTheme="minorEastAsia" w:cstheme="minorEastAsia"/>
          <w:spacing w:val="-13"/>
        </w:rPr>
        <w:t>标</w:t>
      </w:r>
      <w:r>
        <w:rPr>
          <w:rFonts w:hint="eastAsia" w:asciiTheme="minorEastAsia" w:hAnsiTheme="minorEastAsia" w:eastAsiaTheme="minorEastAsia" w:cstheme="minorEastAsia"/>
        </w:rPr>
        <w:t>准规定的通知》（工信部联企业</w:t>
      </w:r>
      <w:r>
        <w:rPr>
          <w:rFonts w:hint="eastAsia" w:asciiTheme="minorEastAsia" w:hAnsiTheme="minorEastAsia" w:eastAsiaTheme="minorEastAsia" w:cstheme="minorEastAsia"/>
          <w:spacing w:val="-3"/>
        </w:rPr>
        <w:t>[2011]300号</w:t>
      </w:r>
      <w:r>
        <w:rPr>
          <w:rFonts w:hint="eastAsia" w:asciiTheme="minorEastAsia" w:hAnsiTheme="minorEastAsia" w:eastAsiaTheme="minorEastAsia" w:cstheme="minorEastAsia"/>
        </w:rPr>
        <w:t>）规定，本公司从业人员数为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人。</w:t>
      </w:r>
    </w:p>
    <w:p>
      <w:pPr>
        <w:pStyle w:val="6"/>
        <w:tabs>
          <w:tab w:val="left" w:pos="9020"/>
        </w:tabs>
        <w:spacing w:line="360" w:lineRule="auto"/>
        <w:ind w:left="440" w:leftChars="200" w:right="497" w:rightChars="226" w:firstLine="439" w:firstLineChars="18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pStyle w:val="6"/>
        <w:spacing w:line="360" w:lineRule="auto"/>
        <w:rPr>
          <w:rFonts w:hint="eastAsia" w:asciiTheme="minorEastAsia" w:hAnsiTheme="minorEastAsia" w:eastAsiaTheme="minorEastAsia" w:cstheme="minorEastAsia"/>
        </w:rPr>
      </w:pPr>
    </w:p>
    <w:p>
      <w:pPr>
        <w:tabs>
          <w:tab w:val="left" w:pos="9063"/>
        </w:tabs>
        <w:spacing w:line="360" w:lineRule="auto"/>
        <w:ind w:right="502" w:firstLine="3954" w:firstLineChars="164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制造（生产）企业名称：           （公章）</w:t>
      </w:r>
    </w:p>
    <w:p>
      <w:pPr>
        <w:tabs>
          <w:tab w:val="left" w:pos="9063"/>
        </w:tabs>
        <w:spacing w:line="360" w:lineRule="auto"/>
        <w:ind w:right="502"/>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   （签字或盖章</w:t>
      </w:r>
      <w:r>
        <w:rPr>
          <w:rFonts w:hint="eastAsia" w:asciiTheme="minorEastAsia" w:hAnsiTheme="minorEastAsia" w:eastAsiaTheme="minorEastAsia" w:cstheme="minorEastAsia"/>
          <w:b/>
          <w:spacing w:val="-16"/>
          <w:sz w:val="24"/>
        </w:rPr>
        <w:t>）</w:t>
      </w:r>
    </w:p>
    <w:p>
      <w:pPr>
        <w:spacing w:line="360" w:lineRule="auto"/>
        <w:ind w:firstLine="5542" w:firstLineChars="2300"/>
        <w:rPr>
          <w:rFonts w:hint="eastAsia" w:asciiTheme="minorEastAsia" w:hAnsiTheme="minorEastAsia" w:eastAsiaTheme="minorEastAsia" w:cstheme="minorEastAsia"/>
          <w:sz w:val="21"/>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pStyle w:val="23"/>
        <w:tabs>
          <w:tab w:val="left" w:pos="1259"/>
        </w:tabs>
        <w:spacing w:before="2" w:line="360" w:lineRule="auto"/>
        <w:ind w:firstLine="0"/>
        <w:rPr>
          <w:rFonts w:hint="eastAsia" w:asciiTheme="minorEastAsia" w:hAnsiTheme="minorEastAsia" w:eastAsiaTheme="minorEastAsia" w:cstheme="minorEastAsia"/>
          <w:b/>
        </w:rPr>
      </w:pPr>
      <w:bookmarkStart w:id="99" w:name="_bookmark62"/>
      <w:bookmarkEnd w:id="99"/>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17</w:t>
      </w:r>
      <w:r>
        <w:rPr>
          <w:rFonts w:hint="eastAsia" w:asciiTheme="minorEastAsia" w:hAnsiTheme="minorEastAsia" w:eastAsiaTheme="minorEastAsia" w:cstheme="minorEastAsia"/>
          <w:b/>
          <w:sz w:val="24"/>
        </w:rPr>
        <w:t>）残疾人福利性单位声明函</w:t>
      </w:r>
    </w:p>
    <w:p>
      <w:pPr>
        <w:spacing w:line="360" w:lineRule="auto"/>
        <w:ind w:left="3225"/>
        <w:rPr>
          <w:rFonts w:hint="eastAsia" w:asciiTheme="minorEastAsia" w:hAnsiTheme="minorEastAsia" w:eastAsiaTheme="minorEastAsia" w:cstheme="minorEastAsia"/>
          <w:b/>
          <w:sz w:val="36"/>
        </w:rPr>
      </w:pPr>
    </w:p>
    <w:p>
      <w:pPr>
        <w:spacing w:line="360" w:lineRule="auto"/>
        <w:ind w:left="3225"/>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残疾人福利性单位声明函</w:t>
      </w:r>
    </w:p>
    <w:p>
      <w:pPr>
        <w:pStyle w:val="6"/>
        <w:spacing w:line="360" w:lineRule="auto"/>
        <w:rPr>
          <w:rFonts w:hint="eastAsia" w:asciiTheme="minorEastAsia" w:hAnsiTheme="minorEastAsia" w:eastAsiaTheme="minorEastAsia" w:cstheme="minorEastAsia"/>
          <w:b/>
          <w:sz w:val="36"/>
        </w:rPr>
      </w:pPr>
    </w:p>
    <w:p>
      <w:pPr>
        <w:pStyle w:val="6"/>
        <w:spacing w:before="3" w:line="360" w:lineRule="auto"/>
        <w:rPr>
          <w:rFonts w:hint="eastAsia" w:asciiTheme="minorEastAsia" w:hAnsiTheme="minorEastAsia" w:eastAsiaTheme="minorEastAsia" w:cstheme="minorEastAsia"/>
          <w:b/>
          <w:sz w:val="37"/>
        </w:rPr>
      </w:pPr>
    </w:p>
    <w:p>
      <w:pPr>
        <w:spacing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玉树藏族自治州财政局</w:t>
      </w:r>
    </w:p>
    <w:p>
      <w:pPr>
        <w:pStyle w:val="6"/>
        <w:spacing w:line="360" w:lineRule="auto"/>
        <w:rPr>
          <w:rFonts w:hint="eastAsia" w:asciiTheme="minorEastAsia" w:hAnsiTheme="minorEastAsia" w:eastAsiaTheme="minorEastAsia" w:cstheme="minorEastAsia"/>
          <w:b/>
        </w:rPr>
      </w:pPr>
    </w:p>
    <w:p>
      <w:pPr>
        <w:pStyle w:val="6"/>
        <w:spacing w:before="11" w:line="360" w:lineRule="auto"/>
        <w:rPr>
          <w:rFonts w:hint="eastAsia" w:asciiTheme="minorEastAsia" w:hAnsiTheme="minorEastAsia" w:eastAsiaTheme="minorEastAsia" w:cstheme="minorEastAsia"/>
          <w:b/>
          <w:sz w:val="22"/>
        </w:rPr>
      </w:pPr>
    </w:p>
    <w:p>
      <w:pPr>
        <w:pStyle w:val="6"/>
        <w:tabs>
          <w:tab w:val="left" w:pos="4660"/>
          <w:tab w:val="left" w:pos="7935"/>
        </w:tabs>
        <w:spacing w:line="360" w:lineRule="auto"/>
        <w:ind w:left="508" w:right="612"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本公司郑重声明，根据《财政部、民政部、中国残疾人联合会关于促进残疾人就业政府采购政策的通知》（财库〔2017〕141号）的规定，本单位为符合条件的残疾人福利性</w:t>
      </w:r>
      <w:r>
        <w:rPr>
          <w:rFonts w:hint="eastAsia" w:asciiTheme="minorEastAsia" w:hAnsiTheme="minorEastAsia" w:eastAsiaTheme="minorEastAsia" w:cstheme="minorEastAsia"/>
          <w:spacing w:val="9"/>
        </w:rPr>
        <w:t>单位，本单位在职职工人数</w:t>
      </w:r>
      <w:r>
        <w:rPr>
          <w:rFonts w:hint="eastAsia" w:asciiTheme="minorEastAsia" w:hAnsiTheme="minorEastAsia" w:eastAsiaTheme="minorEastAsia" w:cstheme="minorEastAsia"/>
          <w:spacing w:val="10"/>
        </w:rPr>
        <w:t>为</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人，安置的残疾人人</w:t>
      </w:r>
      <w:r>
        <w:rPr>
          <w:rFonts w:hint="eastAsia" w:asciiTheme="minorEastAsia" w:hAnsiTheme="minorEastAsia" w:eastAsiaTheme="minorEastAsia" w:cstheme="minorEastAsia"/>
          <w:spacing w:val="10"/>
        </w:rPr>
        <w:t>数</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人。且本单位参</w:t>
      </w:r>
      <w:r>
        <w:rPr>
          <w:rFonts w:hint="eastAsia" w:asciiTheme="minorEastAsia" w:hAnsiTheme="minorEastAsia" w:eastAsiaTheme="minorEastAsia" w:cstheme="minorEastAsia"/>
          <w:spacing w:val="-4"/>
        </w:rPr>
        <w:t>加</w:t>
      </w:r>
    </w:p>
    <w:p>
      <w:pPr>
        <w:pStyle w:val="6"/>
        <w:tabs>
          <w:tab w:val="left" w:pos="1319"/>
          <w:tab w:val="left" w:pos="2877"/>
        </w:tabs>
        <w:spacing w:before="2" w:line="360" w:lineRule="auto"/>
        <w:ind w:left="508" w:right="61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9"/>
        </w:rPr>
        <w:t>单位的</w:t>
      </w:r>
      <w:r>
        <w:rPr>
          <w:rFonts w:hint="eastAsia" w:asciiTheme="minorEastAsia" w:hAnsiTheme="minorEastAsia" w:eastAsiaTheme="minorEastAsia" w:cstheme="minorEastAsia"/>
          <w:spacing w:val="9"/>
          <w:u w:val="single"/>
        </w:rPr>
        <w:tab/>
      </w:r>
      <w:r>
        <w:rPr>
          <w:rFonts w:hint="eastAsia" w:asciiTheme="minorEastAsia" w:hAnsiTheme="minorEastAsia" w:eastAsiaTheme="minorEastAsia" w:cstheme="minorEastAsia"/>
          <w:spacing w:val="9"/>
        </w:rPr>
        <w:t>项目采购活动提供</w:t>
      </w:r>
      <w:r>
        <w:rPr>
          <w:rFonts w:hint="eastAsia" w:asciiTheme="minorEastAsia" w:hAnsiTheme="minorEastAsia" w:eastAsiaTheme="minorEastAsia" w:cstheme="minorEastAsia"/>
          <w:spacing w:val="7"/>
        </w:rPr>
        <w:t>本</w:t>
      </w:r>
      <w:r>
        <w:rPr>
          <w:rFonts w:hint="eastAsia" w:asciiTheme="minorEastAsia" w:hAnsiTheme="minorEastAsia" w:eastAsiaTheme="minorEastAsia" w:cstheme="minorEastAsia"/>
          <w:spacing w:val="9"/>
        </w:rPr>
        <w:t>单位制造的货物（</w:t>
      </w:r>
      <w:r>
        <w:rPr>
          <w:rFonts w:hint="eastAsia" w:asciiTheme="minorEastAsia" w:hAnsiTheme="minorEastAsia" w:eastAsiaTheme="minorEastAsia" w:cstheme="minorEastAsia"/>
          <w:spacing w:val="7"/>
        </w:rPr>
        <w:t>由</w:t>
      </w:r>
      <w:r>
        <w:rPr>
          <w:rFonts w:hint="eastAsia" w:asciiTheme="minorEastAsia" w:hAnsiTheme="minorEastAsia" w:eastAsiaTheme="minorEastAsia" w:cstheme="minorEastAsia"/>
          <w:spacing w:val="9"/>
        </w:rPr>
        <w:t>本单位承担工</w:t>
      </w:r>
      <w:r>
        <w:rPr>
          <w:rFonts w:hint="eastAsia" w:asciiTheme="minorEastAsia" w:hAnsiTheme="minorEastAsia" w:eastAsiaTheme="minorEastAsia" w:cstheme="minorEastAsia"/>
          <w:spacing w:val="10"/>
        </w:rPr>
        <w:t>程</w:t>
      </w:r>
      <w:r>
        <w:rPr>
          <w:rFonts w:hint="eastAsia" w:asciiTheme="minorEastAsia" w:hAnsiTheme="minorEastAsia" w:eastAsiaTheme="minorEastAsia" w:cstheme="minorEastAsia"/>
          <w:spacing w:val="8"/>
        </w:rPr>
        <w:t>/</w:t>
      </w:r>
      <w:r>
        <w:rPr>
          <w:rFonts w:hint="eastAsia" w:asciiTheme="minorEastAsia" w:hAnsiTheme="minorEastAsia" w:eastAsiaTheme="minorEastAsia" w:cstheme="minorEastAsia"/>
          <w:spacing w:val="9"/>
        </w:rPr>
        <w:t>提</w:t>
      </w:r>
      <w:r>
        <w:rPr>
          <w:rFonts w:hint="eastAsia" w:asciiTheme="minorEastAsia" w:hAnsiTheme="minorEastAsia" w:eastAsiaTheme="minorEastAsia" w:cstheme="minorEastAsia"/>
          <w:spacing w:val="6"/>
        </w:rPr>
        <w:t>供</w:t>
      </w:r>
      <w:r>
        <w:rPr>
          <w:rFonts w:hint="eastAsia" w:asciiTheme="minorEastAsia" w:hAnsiTheme="minorEastAsia" w:eastAsiaTheme="minorEastAsia" w:cstheme="minorEastAsia"/>
        </w:rPr>
        <w:t>服务），或者提供其他残疾人福利性单位制造的货物（不包括使用非残疾人福利性单位注册商标的货物）。</w:t>
      </w:r>
    </w:p>
    <w:p>
      <w:pPr>
        <w:pStyle w:val="6"/>
        <w:spacing w:before="2"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6"/>
        <w:spacing w:line="360" w:lineRule="auto"/>
        <w:rPr>
          <w:rFonts w:hint="eastAsia" w:asciiTheme="minorEastAsia" w:hAnsiTheme="minorEastAsia" w:eastAsiaTheme="minorEastAsia" w:cstheme="minorEastAsia"/>
        </w:rPr>
      </w:pPr>
    </w:p>
    <w:p>
      <w:pPr>
        <w:pStyle w:val="6"/>
        <w:spacing w:before="1" w:line="360" w:lineRule="auto"/>
        <w:rPr>
          <w:rFonts w:hint="eastAsia" w:asciiTheme="minorEastAsia" w:hAnsiTheme="minorEastAsia" w:eastAsiaTheme="minorEastAsia" w:cstheme="minorEastAsia"/>
          <w:sz w:val="25"/>
        </w:rPr>
      </w:pPr>
    </w:p>
    <w:p>
      <w:pPr>
        <w:pStyle w:val="6"/>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注：若无此项内容，可不提供此函。</w:t>
      </w:r>
    </w:p>
    <w:p>
      <w:pPr>
        <w:pStyle w:val="6"/>
        <w:spacing w:line="360" w:lineRule="auto"/>
        <w:rPr>
          <w:rFonts w:hint="eastAsia" w:asciiTheme="minorEastAsia" w:hAnsiTheme="minorEastAsia" w:eastAsiaTheme="minorEastAsia" w:cstheme="minorEastAsia"/>
          <w:sz w:val="20"/>
        </w:rPr>
      </w:pPr>
    </w:p>
    <w:p>
      <w:pPr>
        <w:pStyle w:val="6"/>
        <w:spacing w:line="360" w:lineRule="auto"/>
        <w:rPr>
          <w:rFonts w:hint="eastAsia" w:asciiTheme="minorEastAsia" w:hAnsiTheme="minorEastAsia" w:eastAsiaTheme="minorEastAsia" w:cstheme="minorEastAsia"/>
          <w:b/>
          <w:lang w:val="en-US"/>
        </w:rPr>
      </w:pPr>
    </w:p>
    <w:p>
      <w:pPr>
        <w:pStyle w:val="6"/>
        <w:spacing w:line="360" w:lineRule="auto"/>
        <w:jc w:val="center"/>
        <w:rPr>
          <w:rFonts w:hint="eastAsia" w:asciiTheme="minorEastAsia" w:hAnsiTheme="minorEastAsia" w:eastAsiaTheme="minorEastAsia" w:cstheme="minorEastAsia"/>
          <w:b/>
          <w:lang w:val="en-US"/>
        </w:rPr>
      </w:pPr>
    </w:p>
    <w:p>
      <w:pPr>
        <w:pStyle w:val="6"/>
        <w:spacing w:line="360" w:lineRule="auto"/>
        <w:ind w:firstLine="4578" w:firstLineChars="190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企业名称：                </w:t>
      </w:r>
      <w:r>
        <w:rPr>
          <w:rFonts w:hint="eastAsia" w:asciiTheme="minorEastAsia" w:hAnsiTheme="minorEastAsia" w:eastAsiaTheme="minorEastAsia" w:cstheme="minorEastAsia"/>
          <w:b/>
          <w:u w:val="single"/>
        </w:rPr>
        <w:t>（</w:t>
      </w:r>
      <w:r>
        <w:rPr>
          <w:rFonts w:hint="eastAsia" w:asciiTheme="minorEastAsia" w:hAnsiTheme="minorEastAsia" w:eastAsiaTheme="minorEastAsia" w:cstheme="minorEastAsia"/>
          <w:b/>
        </w:rPr>
        <w:t>公章）</w:t>
      </w:r>
    </w:p>
    <w:p>
      <w:pPr>
        <w:pStyle w:val="6"/>
        <w:spacing w:line="360" w:lineRule="auto"/>
        <w:ind w:right="480" w:firstLine="4250" w:firstLineChars="1764"/>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企业法定代表人：         （签字或盖章）</w:t>
      </w:r>
    </w:p>
    <w:p>
      <w:pPr>
        <w:pStyle w:val="6"/>
        <w:spacing w:line="360" w:lineRule="auto"/>
        <w:ind w:firstLine="5247" w:firstLineChars="2205"/>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w w:val="99"/>
        </w:rPr>
        <w:t>年   月    日</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p>
    <w:p>
      <w:pPr>
        <w:pStyle w:val="23"/>
        <w:numPr>
          <w:ilvl w:val="0"/>
          <w:numId w:val="14"/>
        </w:numPr>
        <w:tabs>
          <w:tab w:val="left" w:pos="1259"/>
        </w:tabs>
        <w:spacing w:before="2" w:line="360" w:lineRule="auto"/>
        <w:ind w:left="1258"/>
        <w:rPr>
          <w:rFonts w:hint="eastAsia" w:asciiTheme="minorEastAsia" w:hAnsiTheme="minorEastAsia" w:eastAsiaTheme="minorEastAsia" w:cstheme="minorEastAsia"/>
          <w:b/>
        </w:rPr>
      </w:pPr>
      <w:bookmarkStart w:id="100" w:name="_bookmark63"/>
      <w:bookmarkEnd w:id="100"/>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认为在其他方面有必要说明的事项</w:t>
      </w:r>
    </w:p>
    <w:p>
      <w:pPr>
        <w:pStyle w:val="6"/>
        <w:spacing w:line="360" w:lineRule="auto"/>
        <w:rPr>
          <w:rFonts w:hint="eastAsia" w:asciiTheme="minorEastAsia" w:hAnsiTheme="minorEastAsia" w:eastAsiaTheme="minorEastAsia" w:cstheme="minorEastAsia"/>
          <w:b/>
          <w:sz w:val="26"/>
        </w:rPr>
      </w:pPr>
    </w:p>
    <w:p>
      <w:pPr>
        <w:pStyle w:val="6"/>
        <w:spacing w:before="6" w:line="360" w:lineRule="auto"/>
        <w:rPr>
          <w:rFonts w:hint="eastAsia" w:asciiTheme="minorEastAsia" w:hAnsiTheme="minorEastAsia" w:eastAsiaTheme="minorEastAsia" w:cstheme="minorEastAsia"/>
          <w:b/>
          <w:sz w:val="37"/>
        </w:rPr>
      </w:pPr>
    </w:p>
    <w:p>
      <w:pPr>
        <w:spacing w:line="360" w:lineRule="auto"/>
        <w:ind w:left="196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rPr>
        <w:t>供应商</w:t>
      </w:r>
      <w:r>
        <w:rPr>
          <w:rFonts w:hint="eastAsia" w:asciiTheme="minorEastAsia" w:hAnsiTheme="minorEastAsia" w:eastAsiaTheme="minorEastAsia" w:cstheme="minorEastAsia"/>
          <w:b/>
          <w:sz w:val="36"/>
        </w:rPr>
        <w:t>认为在其他方面有必要说明的事项</w:t>
      </w:r>
    </w:p>
    <w:p>
      <w:pPr>
        <w:pStyle w:val="6"/>
        <w:spacing w:before="16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格式自定</w:t>
      </w:r>
    </w:p>
    <w:p>
      <w:pPr>
        <w:spacing w:line="360" w:lineRule="auto"/>
        <w:rPr>
          <w:rFonts w:hint="eastAsia" w:asciiTheme="minorEastAsia" w:hAnsiTheme="minorEastAsia" w:eastAsiaTheme="minorEastAsia" w:cstheme="minorEastAsia"/>
        </w:rPr>
        <w:sectPr>
          <w:pgSz w:w="11910" w:h="16840"/>
          <w:pgMar w:top="1440" w:right="1196" w:bottom="1440" w:left="1196" w:header="679" w:footer="686" w:gutter="0"/>
          <w:cols w:space="720" w:num="1"/>
        </w:sectPr>
      </w:pPr>
    </w:p>
    <w:p>
      <w:pPr>
        <w:pStyle w:val="23"/>
        <w:numPr>
          <w:ilvl w:val="0"/>
          <w:numId w:val="14"/>
        </w:numPr>
        <w:tabs>
          <w:tab w:val="left" w:pos="1384"/>
        </w:tabs>
        <w:spacing w:before="135" w:line="360" w:lineRule="auto"/>
        <w:ind w:left="1383" w:hanging="875"/>
        <w:rPr>
          <w:rFonts w:hint="eastAsia" w:asciiTheme="minorEastAsia" w:hAnsiTheme="minorEastAsia" w:eastAsiaTheme="minorEastAsia" w:cstheme="minorEastAsia"/>
          <w:b/>
          <w:sz w:val="26"/>
        </w:rPr>
      </w:pPr>
      <w:bookmarkStart w:id="101" w:name="_bookmark64"/>
      <w:bookmarkEnd w:id="101"/>
      <w:r>
        <w:rPr>
          <w:rFonts w:hint="eastAsia" w:asciiTheme="minorEastAsia" w:hAnsiTheme="minorEastAsia" w:eastAsiaTheme="minorEastAsia" w:cstheme="minorEastAsia"/>
          <w:b/>
          <w:sz w:val="28"/>
        </w:rPr>
        <w:t>最终报价表</w:t>
      </w:r>
    </w:p>
    <w:p>
      <w:pPr>
        <w:pStyle w:val="6"/>
        <w:spacing w:before="3" w:line="360" w:lineRule="auto"/>
        <w:rPr>
          <w:rFonts w:hint="eastAsia" w:asciiTheme="minorEastAsia" w:hAnsiTheme="minorEastAsia" w:eastAsiaTheme="minorEastAsia" w:cstheme="minorEastAsia"/>
          <w:b/>
          <w:sz w:val="20"/>
        </w:rPr>
      </w:pPr>
    </w:p>
    <w:p>
      <w:pPr>
        <w:spacing w:before="62" w:line="360" w:lineRule="auto"/>
        <w:jc w:val="center"/>
        <w:rPr>
          <w:rFonts w:hint="eastAsia" w:asciiTheme="minorEastAsia" w:hAnsiTheme="minorEastAsia" w:eastAsiaTheme="minorEastAsia" w:cstheme="minorEastAsia"/>
          <w:b/>
          <w:sz w:val="32"/>
          <w:szCs w:val="24"/>
        </w:rPr>
      </w:pPr>
      <w:bookmarkStart w:id="102" w:name="_Toc29553_WPSOffice_Level3"/>
      <w:r>
        <w:rPr>
          <w:rFonts w:hint="eastAsia" w:asciiTheme="minorEastAsia" w:hAnsiTheme="minorEastAsia" w:eastAsiaTheme="minorEastAsia" w:cstheme="minorEastAsia"/>
          <w:b/>
          <w:sz w:val="32"/>
          <w:szCs w:val="24"/>
        </w:rPr>
        <w:t>最终报价表</w:t>
      </w:r>
      <w:bookmarkEnd w:id="102"/>
    </w:p>
    <w:p>
      <w:pPr>
        <w:pStyle w:val="6"/>
        <w:spacing w:before="8" w:line="360" w:lineRule="auto"/>
        <w:rPr>
          <w:rFonts w:hint="eastAsia" w:asciiTheme="minorEastAsia" w:hAnsiTheme="minorEastAsia" w:eastAsiaTheme="minorEastAsia" w:cstheme="minorEastAsia"/>
          <w:b/>
          <w:sz w:val="40"/>
        </w:rPr>
      </w:pPr>
    </w:p>
    <w:p>
      <w:pPr>
        <w:pStyle w:val="6"/>
        <w:tabs>
          <w:tab w:val="left" w:pos="6510"/>
          <w:tab w:val="left" w:pos="8844"/>
        </w:tabs>
        <w:spacing w:line="360" w:lineRule="auto"/>
        <w:ind w:left="1466" w:leftChars="230" w:right="58" w:hanging="960" w:hangingChars="4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 xml:space="preserve">名称：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报价单位：元（</w:t>
      </w:r>
      <w:r>
        <w:rPr>
          <w:rFonts w:hint="eastAsia" w:asciiTheme="minorEastAsia" w:hAnsiTheme="minorEastAsia" w:eastAsiaTheme="minorEastAsia" w:cstheme="minorEastAsia"/>
          <w:lang w:val="en-US"/>
        </w:rPr>
        <w:t>人民币</w:t>
      </w:r>
      <w:r>
        <w:rPr>
          <w:rFonts w:hint="eastAsia" w:asciiTheme="minorEastAsia" w:hAnsiTheme="minorEastAsia" w:eastAsiaTheme="minorEastAsia" w:cstheme="minorEastAsia"/>
        </w:rPr>
        <w:t>）</w:t>
      </w:r>
    </w:p>
    <w:tbl>
      <w:tblPr>
        <w:tblStyle w:val="16"/>
        <w:tblpPr w:leftFromText="180" w:rightFromText="180" w:vertAnchor="text" w:horzAnchor="page" w:tblpXSpec="center" w:tblpY="79"/>
        <w:tblOverlap w:val="never"/>
        <w:tblW w:w="965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1717"/>
        <w:gridCol w:w="1663"/>
        <w:gridCol w:w="1650"/>
        <w:gridCol w:w="1567"/>
        <w:gridCol w:w="155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1500"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717"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最初报价</w:t>
            </w:r>
          </w:p>
        </w:tc>
        <w:tc>
          <w:tcPr>
            <w:tcW w:w="1663"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调整因素</w:t>
            </w:r>
          </w:p>
        </w:tc>
        <w:tc>
          <w:tcPr>
            <w:tcW w:w="1650"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最终报价</w:t>
            </w:r>
          </w:p>
        </w:tc>
        <w:tc>
          <w:tcPr>
            <w:tcW w:w="1567" w:type="dxa"/>
            <w:vAlign w:val="center"/>
          </w:tcPr>
          <w:p>
            <w:pPr>
              <w:pStyle w:val="25"/>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供货期</w:t>
            </w:r>
          </w:p>
        </w:tc>
        <w:tc>
          <w:tcPr>
            <w:tcW w:w="1559" w:type="dxa"/>
            <w:vAlign w:val="center"/>
          </w:tcPr>
          <w:p>
            <w:pPr>
              <w:pStyle w:val="25"/>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97" w:hRule="atLeast"/>
          <w:jc w:val="center"/>
        </w:trPr>
        <w:tc>
          <w:tcPr>
            <w:tcW w:w="1500" w:type="dxa"/>
          </w:tcPr>
          <w:p>
            <w:pPr>
              <w:pStyle w:val="25"/>
              <w:spacing w:before="165" w:line="360" w:lineRule="auto"/>
              <w:ind w:left="453"/>
              <w:rPr>
                <w:rFonts w:hint="eastAsia" w:asciiTheme="minorEastAsia" w:hAnsiTheme="minorEastAsia" w:eastAsiaTheme="minorEastAsia" w:cstheme="minorEastAsia"/>
                <w:sz w:val="24"/>
              </w:rPr>
            </w:pPr>
          </w:p>
        </w:tc>
        <w:tc>
          <w:tcPr>
            <w:tcW w:w="1717" w:type="dxa"/>
          </w:tcPr>
          <w:p>
            <w:pPr>
              <w:pStyle w:val="25"/>
              <w:spacing w:before="165" w:line="360" w:lineRule="auto"/>
              <w:ind w:left="453"/>
              <w:rPr>
                <w:rFonts w:hint="eastAsia" w:asciiTheme="minorEastAsia" w:hAnsiTheme="minorEastAsia" w:eastAsiaTheme="minorEastAsia" w:cstheme="minorEastAsia"/>
                <w:sz w:val="24"/>
              </w:rPr>
            </w:pPr>
          </w:p>
        </w:tc>
        <w:tc>
          <w:tcPr>
            <w:tcW w:w="1663" w:type="dxa"/>
          </w:tcPr>
          <w:p>
            <w:pPr>
              <w:pStyle w:val="25"/>
              <w:spacing w:before="165" w:line="360" w:lineRule="auto"/>
              <w:ind w:left="453"/>
              <w:rPr>
                <w:rFonts w:hint="eastAsia" w:asciiTheme="minorEastAsia" w:hAnsiTheme="minorEastAsia" w:eastAsiaTheme="minorEastAsia" w:cstheme="minorEastAsia"/>
                <w:sz w:val="24"/>
              </w:rPr>
            </w:pPr>
          </w:p>
        </w:tc>
        <w:tc>
          <w:tcPr>
            <w:tcW w:w="1650" w:type="dxa"/>
          </w:tcPr>
          <w:p>
            <w:pPr>
              <w:pStyle w:val="25"/>
              <w:spacing w:before="165" w:line="360" w:lineRule="auto"/>
              <w:ind w:left="453"/>
              <w:rPr>
                <w:rFonts w:hint="eastAsia" w:asciiTheme="minorEastAsia" w:hAnsiTheme="minorEastAsia" w:eastAsiaTheme="minorEastAsia" w:cstheme="minorEastAsia"/>
                <w:sz w:val="24"/>
              </w:rPr>
            </w:pPr>
          </w:p>
        </w:tc>
        <w:tc>
          <w:tcPr>
            <w:tcW w:w="1567" w:type="dxa"/>
          </w:tcPr>
          <w:p>
            <w:pPr>
              <w:pStyle w:val="25"/>
              <w:spacing w:before="165" w:line="360" w:lineRule="auto"/>
              <w:ind w:left="453"/>
              <w:rPr>
                <w:rFonts w:hint="eastAsia" w:asciiTheme="minorEastAsia" w:hAnsiTheme="minorEastAsia" w:eastAsiaTheme="minorEastAsia" w:cstheme="minorEastAsia"/>
                <w:sz w:val="24"/>
              </w:rPr>
            </w:pPr>
          </w:p>
        </w:tc>
        <w:tc>
          <w:tcPr>
            <w:tcW w:w="1559" w:type="dxa"/>
          </w:tcPr>
          <w:p>
            <w:pPr>
              <w:pStyle w:val="25"/>
              <w:spacing w:before="165" w:line="360" w:lineRule="auto"/>
              <w:ind w:left="453"/>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3217" w:type="dxa"/>
            <w:gridSpan w:val="2"/>
            <w:vAlign w:val="center"/>
          </w:tcPr>
          <w:p>
            <w:pPr>
              <w:pStyle w:val="25"/>
              <w:spacing w:line="360" w:lineRule="auto"/>
              <w:ind w:left="454"/>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大写（人民币）</w:t>
            </w:r>
          </w:p>
        </w:tc>
        <w:tc>
          <w:tcPr>
            <w:tcW w:w="6439" w:type="dxa"/>
            <w:gridSpan w:val="4"/>
            <w:vAlign w:val="center"/>
          </w:tcPr>
          <w:p>
            <w:pPr>
              <w:pStyle w:val="25"/>
              <w:spacing w:before="165" w:line="360" w:lineRule="auto"/>
              <w:ind w:left="453"/>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18" w:hRule="atLeast"/>
          <w:jc w:val="center"/>
        </w:trPr>
        <w:tc>
          <w:tcPr>
            <w:tcW w:w="9656" w:type="dxa"/>
            <w:gridSpan w:val="6"/>
          </w:tcPr>
          <w:p>
            <w:pPr>
              <w:pStyle w:val="25"/>
              <w:spacing w:line="360" w:lineRule="auto"/>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最终确定的质量保证及服务承诺（优惠条件）：</w:t>
            </w:r>
          </w:p>
        </w:tc>
      </w:tr>
    </w:tbl>
    <w:p>
      <w:pPr>
        <w:autoSpaceDE/>
        <w:autoSpaceDN/>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注：此表不需装订在《响应文件》中,由供应商在参加谈判前先将供应商公章盖好、法人代表或授权代表签字，待递交时当场填写此表。</w:t>
      </w:r>
    </w:p>
    <w:p>
      <w:pPr>
        <w:autoSpaceDE/>
        <w:autoSpaceDN/>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促进中小企业发展暂行办法》、《关于促进残疾人就业政府采购政策的通知》的相关规定，对残疾人福利性单位、小型和微型企业制造（生产）产品的价格给予6%的扣除，用扣除后的价格参与评审。残疾人福利性单位属于小型、微型企业的，不重复享受政策。</w:t>
      </w:r>
    </w:p>
    <w:p>
      <w:pPr>
        <w:pStyle w:val="6"/>
        <w:spacing w:line="360" w:lineRule="auto"/>
        <w:rPr>
          <w:rFonts w:hint="eastAsia" w:asciiTheme="minorEastAsia" w:hAnsiTheme="minorEastAsia" w:eastAsiaTheme="minorEastAsia" w:cstheme="minorEastAsia"/>
          <w:sz w:val="26"/>
        </w:rPr>
      </w:pPr>
    </w:p>
    <w:p>
      <w:pPr>
        <w:pStyle w:val="6"/>
        <w:spacing w:line="360" w:lineRule="auto"/>
        <w:rPr>
          <w:rFonts w:hint="eastAsia" w:asciiTheme="minorEastAsia" w:hAnsiTheme="minorEastAsia" w:eastAsiaTheme="minorEastAsia" w:cstheme="minorEastAsia"/>
          <w:sz w:val="20"/>
        </w:rPr>
      </w:pPr>
    </w:p>
    <w:p>
      <w:pPr>
        <w:pStyle w:val="6"/>
        <w:spacing w:before="4" w:line="360" w:lineRule="auto"/>
        <w:rPr>
          <w:rFonts w:hint="eastAsia" w:asciiTheme="minorEastAsia" w:hAnsiTheme="minorEastAsia" w:eastAsiaTheme="minorEastAsia" w:cstheme="minorEastAsia"/>
          <w:sz w:val="12"/>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103" w:name="_Toc27574_WPSOffice_Level1"/>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spacing w:before="10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第五部分 采购项目要求及技术参数</w:t>
      </w:r>
      <w:bookmarkEnd w:id="103"/>
    </w:p>
    <w:p>
      <w:pPr>
        <w:spacing w:before="241" w:line="360" w:lineRule="auto"/>
        <w:ind w:left="875" w:right="988"/>
        <w:jc w:val="center"/>
        <w:rPr>
          <w:rFonts w:hint="eastAsia" w:asciiTheme="minorEastAsia" w:hAnsiTheme="minorEastAsia" w:eastAsiaTheme="minorEastAsia" w:cstheme="minorEastAsia"/>
          <w:b/>
          <w:sz w:val="28"/>
        </w:rPr>
      </w:pPr>
      <w:bookmarkStart w:id="104" w:name="_Toc1122_WPSOffice_Level2"/>
      <w:r>
        <w:rPr>
          <w:rFonts w:hint="eastAsia" w:asciiTheme="minorEastAsia" w:hAnsiTheme="minorEastAsia" w:eastAsiaTheme="minorEastAsia" w:cstheme="minorEastAsia"/>
          <w:b/>
          <w:sz w:val="28"/>
        </w:rPr>
        <w:t>（一）响应要求</w:t>
      </w:r>
      <w:bookmarkEnd w:id="104"/>
    </w:p>
    <w:p>
      <w:pPr>
        <w:pStyle w:val="23"/>
        <w:numPr>
          <w:ilvl w:val="1"/>
          <w:numId w:val="14"/>
        </w:numPr>
        <w:spacing w:before="212" w:line="360" w:lineRule="auto"/>
        <w:ind w:left="13" w:leftChars="6" w:right="57" w:rightChars="26" w:firstLine="287" w:firstLineChars="102"/>
        <w:rPr>
          <w:rFonts w:hint="eastAsia" w:asciiTheme="minorEastAsia" w:hAnsiTheme="minorEastAsia" w:eastAsiaTheme="minorEastAsia" w:cstheme="minorEastAsia"/>
          <w:b/>
          <w:sz w:val="28"/>
          <w:szCs w:val="24"/>
        </w:rPr>
      </w:pPr>
      <w:bookmarkStart w:id="105" w:name="_bookmark67"/>
      <w:bookmarkEnd w:id="105"/>
      <w:bookmarkStart w:id="106" w:name="_Toc24980_WPSOffice_Level3"/>
      <w:r>
        <w:rPr>
          <w:rFonts w:hint="eastAsia" w:asciiTheme="minorEastAsia" w:hAnsiTheme="minorEastAsia" w:eastAsiaTheme="minorEastAsia" w:cstheme="minorEastAsia"/>
          <w:b/>
          <w:sz w:val="28"/>
          <w:szCs w:val="24"/>
        </w:rPr>
        <w:t>投标说明</w:t>
      </w:r>
      <w:bookmarkEnd w:id="106"/>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供应商可以按照谈判文件规定的项目选择响应，但必须对所投项目中的所有内容作为一个整体进行响应，不能拆分或少报。否则，响应无效。</w:t>
      </w:r>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供应商必须如实填写“技术规格响应表”，在“技术规格响应表”中列出所投项目的</w:t>
      </w:r>
      <w:r>
        <w:rPr>
          <w:rFonts w:hint="eastAsia" w:asciiTheme="minorEastAsia" w:hAnsiTheme="minorEastAsia" w:eastAsiaTheme="minorEastAsia" w:cstheme="minorEastAsia"/>
          <w:sz w:val="24"/>
          <w:lang w:val="en-US" w:eastAsia="zh-CN"/>
        </w:rPr>
        <w:t>产品、数量</w:t>
      </w:r>
      <w:r>
        <w:rPr>
          <w:rFonts w:hint="eastAsia" w:asciiTheme="minorEastAsia" w:hAnsiTheme="minorEastAsia" w:eastAsiaTheme="minorEastAsia" w:cstheme="minorEastAsia"/>
          <w:sz w:val="24"/>
        </w:rPr>
        <w:t>；以采购人需求为最低指标要求，供应商对超出或不满足最低指标要求的指标需列出“+、-”偏差。如果与响应文件中提供的</w:t>
      </w:r>
      <w:r>
        <w:rPr>
          <w:rFonts w:hint="eastAsia" w:asciiTheme="minorEastAsia" w:hAnsiTheme="minorEastAsia" w:eastAsiaTheme="minorEastAsia" w:cstheme="minorEastAsia"/>
          <w:sz w:val="24"/>
          <w:lang w:val="en-US" w:eastAsia="zh-CN"/>
        </w:rPr>
        <w:t>产品和数量</w:t>
      </w:r>
      <w:r>
        <w:rPr>
          <w:rFonts w:hint="eastAsia" w:asciiTheme="minorEastAsia" w:hAnsiTheme="minorEastAsia" w:eastAsiaTheme="minorEastAsia" w:cstheme="minorEastAsia"/>
          <w:sz w:val="24"/>
        </w:rPr>
        <w:t>的实质性响应情况不一致的，按无效投标处理。</w:t>
      </w:r>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项目中标后分包情况：不允许。</w:t>
      </w:r>
    </w:p>
    <w:p>
      <w:pPr>
        <w:pStyle w:val="23"/>
        <w:numPr>
          <w:ilvl w:val="1"/>
          <w:numId w:val="14"/>
        </w:numPr>
        <w:spacing w:before="212" w:line="360" w:lineRule="auto"/>
        <w:ind w:left="13" w:leftChars="6" w:right="57" w:rightChars="26" w:firstLine="287" w:firstLineChars="102"/>
        <w:rPr>
          <w:rFonts w:hint="eastAsia" w:asciiTheme="minorEastAsia" w:hAnsiTheme="minorEastAsia" w:eastAsiaTheme="minorEastAsia" w:cstheme="minorEastAsia"/>
          <w:b/>
          <w:sz w:val="28"/>
          <w:szCs w:val="24"/>
        </w:rPr>
      </w:pPr>
      <w:bookmarkStart w:id="107" w:name="_bookmark68"/>
      <w:bookmarkEnd w:id="107"/>
      <w:bookmarkStart w:id="108" w:name="_Toc13471_WPSOffice_Level3"/>
      <w:r>
        <w:rPr>
          <w:rFonts w:hint="eastAsia" w:asciiTheme="minorEastAsia" w:hAnsiTheme="minorEastAsia" w:eastAsiaTheme="minorEastAsia" w:cstheme="minorEastAsia"/>
          <w:b/>
          <w:sz w:val="28"/>
          <w:szCs w:val="24"/>
        </w:rPr>
        <w:t>重要指标</w:t>
      </w:r>
      <w:bookmarkEnd w:id="108"/>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谈判文件在</w:t>
      </w:r>
      <w:r>
        <w:rPr>
          <w:rFonts w:hint="eastAsia" w:asciiTheme="minorEastAsia" w:hAnsiTheme="minorEastAsia" w:eastAsiaTheme="minorEastAsia" w:cstheme="minorEastAsia"/>
          <w:sz w:val="24"/>
          <w:lang w:val="en-US" w:eastAsia="zh-CN"/>
        </w:rPr>
        <w:t>采购清单</w:t>
      </w:r>
      <w:r>
        <w:rPr>
          <w:rFonts w:hint="eastAsia" w:asciiTheme="minorEastAsia" w:hAnsiTheme="minorEastAsia" w:eastAsiaTheme="minorEastAsia" w:cstheme="minorEastAsia"/>
          <w:sz w:val="24"/>
        </w:rPr>
        <w:t>中列出了采购人可以接受的最低技术指标，供应商必须对技术规格响应表中各项指标进行实质性响应。</w:t>
      </w:r>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若有谈判文件未提及或变更内容的，请及时与采购代理机构联系。</w:t>
      </w:r>
    </w:p>
    <w:p>
      <w:pPr>
        <w:pStyle w:val="23"/>
        <w:numPr>
          <w:ilvl w:val="1"/>
          <w:numId w:val="14"/>
        </w:numPr>
        <w:spacing w:before="212" w:line="360" w:lineRule="auto"/>
        <w:ind w:left="13" w:leftChars="6" w:right="57" w:rightChars="26" w:firstLine="287" w:firstLineChars="102"/>
        <w:rPr>
          <w:rFonts w:hint="eastAsia" w:asciiTheme="minorEastAsia" w:hAnsiTheme="minorEastAsia" w:eastAsiaTheme="minorEastAsia" w:cstheme="minorEastAsia"/>
          <w:b/>
          <w:sz w:val="28"/>
          <w:szCs w:val="24"/>
        </w:rPr>
      </w:pPr>
      <w:bookmarkStart w:id="109" w:name="_bookmark69"/>
      <w:bookmarkEnd w:id="109"/>
      <w:bookmarkStart w:id="110" w:name="_Toc21779_WPSOffice_Level3"/>
      <w:r>
        <w:rPr>
          <w:rFonts w:hint="eastAsia" w:asciiTheme="minorEastAsia" w:hAnsiTheme="minorEastAsia" w:eastAsiaTheme="minorEastAsia" w:cstheme="minorEastAsia"/>
          <w:b/>
          <w:sz w:val="28"/>
          <w:szCs w:val="24"/>
        </w:rPr>
        <w:t>商务要求</w:t>
      </w:r>
      <w:bookmarkEnd w:id="110"/>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供货期</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FF0000"/>
          <w:sz w:val="24"/>
          <w:szCs w:val="24"/>
          <w:lang w:val="en-US" w:eastAsia="zh-CN"/>
        </w:rPr>
        <w:t>2020年06月01日至2021年03月01日，共计274日历天</w:t>
      </w:r>
      <w:r>
        <w:rPr>
          <w:rFonts w:hint="eastAsia" w:asciiTheme="minorEastAsia" w:hAnsiTheme="minorEastAsia" w:eastAsiaTheme="minorEastAsia" w:cstheme="minorEastAsia"/>
          <w:color w:val="auto"/>
          <w:sz w:val="24"/>
        </w:rPr>
        <w:t>；</w:t>
      </w:r>
    </w:p>
    <w:p>
      <w:pPr>
        <w:pStyle w:val="23"/>
        <w:numPr>
          <w:ilvl w:val="2"/>
          <w:numId w:val="14"/>
        </w:numPr>
        <w:spacing w:before="81" w:line="360" w:lineRule="auto"/>
        <w:ind w:left="11" w:leftChars="5" w:right="57" w:rightChars="26" w:firstLine="388" w:firstLineChars="16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交货地点：甲方指定地点</w:t>
      </w:r>
      <w:r>
        <w:rPr>
          <w:rFonts w:hint="eastAsia" w:asciiTheme="minorEastAsia" w:hAnsiTheme="minorEastAsia" w:eastAsiaTheme="minorEastAsia" w:cstheme="minorEastAsia"/>
          <w:color w:val="auto"/>
          <w:sz w:val="24"/>
        </w:rPr>
        <w:t>；</w:t>
      </w:r>
    </w:p>
    <w:p>
      <w:pPr>
        <w:pStyle w:val="4"/>
        <w:spacing w:before="0" w:line="360" w:lineRule="auto"/>
        <w:ind w:left="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付款方式：一次性结清；</w:t>
      </w: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rPr>
      </w:pPr>
    </w:p>
    <w:p>
      <w:pPr>
        <w:pStyle w:val="4"/>
        <w:spacing w:before="0" w:line="360" w:lineRule="auto"/>
        <w:ind w:left="0"/>
        <w:rPr>
          <w:rFonts w:hint="eastAsia" w:asciiTheme="minorEastAsia" w:hAnsiTheme="minorEastAsia" w:eastAsiaTheme="minorEastAsia" w:cstheme="minorEastAsia"/>
          <w:color w:val="auto"/>
          <w:sz w:val="34"/>
          <w:lang w:val="en-US" w:eastAsia="zh-CN"/>
        </w:rPr>
      </w:pPr>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color w:val="auto"/>
          <w:lang w:val="en-US" w:eastAsia="zh-CN"/>
        </w:rPr>
        <w:t>采购清单</w:t>
      </w:r>
    </w:p>
    <w:p>
      <w:pPr>
        <w:pStyle w:val="5"/>
        <w:spacing w:before="0" w:line="360" w:lineRule="auto"/>
        <w:ind w:left="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rPr>
        <w:t>1、招标要求</w:t>
      </w:r>
    </w:p>
    <w:p>
      <w:pPr>
        <w:spacing w:line="360" w:lineRule="auto"/>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8"/>
          <w:szCs w:val="28"/>
          <w:lang w:val="en-US"/>
        </w:rPr>
        <w:t xml:space="preserve">   </w:t>
      </w:r>
      <w:r>
        <w:rPr>
          <w:rFonts w:hint="eastAsia" w:asciiTheme="minorEastAsia" w:hAnsiTheme="minorEastAsia" w:eastAsiaTheme="minorEastAsia" w:cstheme="minorEastAsia"/>
          <w:color w:val="auto"/>
          <w:sz w:val="24"/>
          <w:szCs w:val="24"/>
          <w:lang w:val="en-US"/>
        </w:rPr>
        <w:t>主要内容：详见《竞争性谈判文件》第五部分采购项目要求</w:t>
      </w:r>
    </w:p>
    <w:p>
      <w:pPr>
        <w:numPr>
          <w:ilvl w:val="0"/>
          <w:numId w:val="0"/>
        </w:numPr>
        <w:spacing w:line="360" w:lineRule="auto"/>
        <w:rPr>
          <w:rFonts w:hint="eastAsia" w:asciiTheme="minorEastAsia" w:hAnsiTheme="minorEastAsia" w:eastAsiaTheme="minorEastAsia" w:cstheme="minorEastAsia"/>
          <w:b/>
          <w:bCs/>
          <w:color w:val="auto"/>
          <w:sz w:val="27"/>
          <w:szCs w:val="27"/>
        </w:rPr>
      </w:pPr>
      <w:r>
        <w:rPr>
          <w:rFonts w:hint="eastAsia" w:asciiTheme="minorEastAsia" w:hAnsiTheme="minorEastAsia" w:eastAsiaTheme="minorEastAsia" w:cstheme="minorEastAsia"/>
          <w:b/>
          <w:bCs/>
          <w:color w:val="auto"/>
          <w:sz w:val="27"/>
          <w:szCs w:val="27"/>
          <w:lang w:val="en-US" w:eastAsia="zh-CN"/>
        </w:rPr>
        <w:t>2、供货期</w:t>
      </w:r>
      <w:r>
        <w:rPr>
          <w:rFonts w:hint="eastAsia" w:asciiTheme="minorEastAsia" w:hAnsiTheme="minorEastAsia" w:eastAsiaTheme="minorEastAsia" w:cstheme="minorEastAsia"/>
          <w:b/>
          <w:bCs/>
          <w:color w:val="auto"/>
          <w:sz w:val="27"/>
          <w:szCs w:val="27"/>
        </w:rPr>
        <w:t>：</w:t>
      </w:r>
    </w:p>
    <w:p>
      <w:pPr>
        <w:pStyle w:val="23"/>
        <w:numPr>
          <w:ilvl w:val="0"/>
          <w:numId w:val="0"/>
        </w:numPr>
        <w:spacing w:before="81" w:line="360" w:lineRule="auto"/>
        <w:ind w:leftChars="167" w:right="57" w:rightChars="26"/>
        <w:rPr>
          <w:rFonts w:hint="eastAsia" w:asciiTheme="minorEastAsia" w:hAnsiTheme="minorEastAsia" w:eastAsiaTheme="minorEastAsia" w:cstheme="minorEastAsia"/>
          <w:b/>
          <w:bCs/>
          <w:color w:val="0000FF"/>
          <w:sz w:val="27"/>
          <w:szCs w:val="27"/>
        </w:rPr>
      </w:pPr>
      <w:r>
        <w:rPr>
          <w:rFonts w:hint="eastAsia" w:asciiTheme="minorEastAsia" w:hAnsiTheme="minorEastAsia" w:eastAsiaTheme="minorEastAsia" w:cstheme="minorEastAsia"/>
          <w:color w:val="FF0000"/>
          <w:sz w:val="24"/>
          <w:szCs w:val="24"/>
          <w:lang w:val="en-US" w:eastAsia="zh-CN"/>
        </w:rPr>
        <w:t>2020年06月01日至2021年03月01日，共计274日历天</w:t>
      </w:r>
      <w:r>
        <w:rPr>
          <w:rFonts w:hint="eastAsia" w:asciiTheme="minorEastAsia" w:hAnsiTheme="minorEastAsia" w:eastAsiaTheme="minorEastAsia" w:cstheme="minorEastAsia"/>
          <w:color w:val="auto"/>
          <w:sz w:val="24"/>
        </w:rPr>
        <w:t>；</w:t>
      </w:r>
    </w:p>
    <w:p>
      <w:pPr>
        <w:pStyle w:val="5"/>
        <w:spacing w:before="61" w:line="360" w:lineRule="auto"/>
        <w:ind w:left="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技术参数</w:t>
      </w:r>
    </w:p>
    <w:p>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bCs/>
        </w:rPr>
        <w:t>（本采购清单中所列品牌号或型号仅起说明作用，无任何指代性。各供应商可就该项目采购内容自行投标，但需满足基本参数，使采购人满意。）</w:t>
      </w:r>
    </w:p>
    <w:p>
      <w:pPr>
        <w:wordWrap w:val="0"/>
        <w:spacing w:line="312"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玉树藏族自治州财政局</w:t>
      </w:r>
      <w:r>
        <w:rPr>
          <w:rFonts w:hint="eastAsia" w:asciiTheme="minorEastAsia" w:hAnsiTheme="minorEastAsia" w:eastAsiaTheme="minorEastAsia" w:cstheme="minorEastAsia"/>
          <w:b/>
          <w:sz w:val="36"/>
          <w:szCs w:val="36"/>
        </w:rPr>
        <w:t>采购清单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3653"/>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序号</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品名</w:t>
            </w:r>
          </w:p>
        </w:tc>
        <w:tc>
          <w:tcPr>
            <w:tcW w:w="3653"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青椒</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520斤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丝瓜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黄瓜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560斤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龙椒</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油茄</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360斤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白萝卜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820斤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蒜台</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8</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娃娃菜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560斤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9</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胡萝卜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冬瓜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11</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韭台</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12</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香菇</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13</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南瓜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14</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韭黄</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240斤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15</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生姜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120斤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16</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甘兰</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860斤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17</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荷兰豆</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195斤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18</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独蒜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90斤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19</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江豆</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410斤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菜心</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21</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西红柿</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22</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四季豆</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450斤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23</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塔菜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320斤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24</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土豆</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1200斤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25</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青笋</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360斤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26</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空心菜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27</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五花肉</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490斤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28</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蒜苗</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29</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韭菜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30</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后腿肉</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485斤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31</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大葱</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32</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油麦菜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33</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排骨</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465斤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34</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小葱</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208斤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35</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生菜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660斤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36</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鸡腿</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860斤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37</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山药</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183斤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38</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黄白</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490斤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39</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活鸡</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40</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土鸡蛋</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41</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上海青</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650斤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42</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翅中</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420袋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43</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散花菜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44</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小白菜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630斤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45</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活鸭子</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326斤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46</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西芹</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47</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菠菜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48</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毛勤</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560斤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49</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莲藕</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390斤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50</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西兰花</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490斤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51</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红薯</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52</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羊排</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428斤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53</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苦瓜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196斤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54</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菜瓜</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680斤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55</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活鱼</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326.5斤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56</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腊肉</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403斤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57</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散称调味品</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58</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恒顺料酒</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59</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海天蚝油</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360瓶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60</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白醋</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490瓶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61</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花椒油</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180瓶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62</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恒顺香醋</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460瓶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63</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建华香油</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190瓶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64</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盐</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360包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65</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黄豆酱</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66</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香辣酱</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240瓶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67</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十三香</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68</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鹌鹑蛋</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69</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川丰豆瓣</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30桶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70</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年糕</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300包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71</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辣鲜露</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72</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沙麦鸡精</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73</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菜籽油</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80桶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74</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大米</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100袋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12"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75</w:t>
            </w:r>
          </w:p>
        </w:tc>
        <w:tc>
          <w:tcPr>
            <w:tcW w:w="3653"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面粉</w:t>
            </w:r>
          </w:p>
        </w:tc>
        <w:tc>
          <w:tcPr>
            <w:tcW w:w="3653" w:type="dxa"/>
            <w:vAlign w:val="top"/>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82袋</w:t>
            </w:r>
          </w:p>
        </w:tc>
      </w:tr>
    </w:tbl>
    <w:p>
      <w:pPr>
        <w:tabs>
          <w:tab w:val="left" w:pos="7950"/>
        </w:tabs>
        <w:spacing w:line="360" w:lineRule="auto"/>
        <w:rPr>
          <w:rFonts w:hint="eastAsia" w:asciiTheme="minorEastAsia" w:hAnsiTheme="minorEastAsia" w:eastAsiaTheme="minorEastAsia" w:cstheme="minorEastAsia"/>
        </w:rPr>
      </w:pPr>
    </w:p>
    <w:sectPr>
      <w:pgSz w:w="11910" w:h="16840"/>
      <w:pgMar w:top="1160" w:right="860" w:bottom="1160" w:left="1480" w:header="882"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18"/>
        <w:szCs w:val="18"/>
        <w:lang w:val="en-US"/>
      </w:rPr>
    </w:pPr>
    <w:r>
      <w:rPr>
        <w:sz w:val="18"/>
        <w:szCs w:val="18"/>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10055225</wp:posOffset>
              </wp:positionV>
              <wp:extent cx="1386205" cy="19621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386205" cy="196215"/>
                      </a:xfrm>
                      <a:prstGeom prst="rect">
                        <a:avLst/>
                      </a:prstGeom>
                      <a:noFill/>
                      <a:ln w="9525">
                        <a:noFill/>
                      </a:ln>
                      <a:effectLst/>
                    </wps:spPr>
                    <wps:txbx>
                      <w:txbxContent>
                        <w:p>
                          <w:pPr>
                            <w:pStyle w:val="6"/>
                            <w:spacing w:line="305" w:lineRule="exact"/>
                            <w:ind w:left="20"/>
                            <w:jc w:val="center"/>
                          </w:pPr>
                          <w:r>
                            <w:rPr>
                              <w:rFonts w:hint="eastAsia"/>
                              <w:spacing w:val="-31"/>
                              <w:sz w:val="18"/>
                              <w:szCs w:val="18"/>
                            </w:rPr>
                            <w:t>第</w:t>
                          </w:r>
                          <w:r>
                            <w:rPr>
                              <w:rFonts w:hint="eastAsia"/>
                              <w:sz w:val="18"/>
                              <w:szCs w:val="18"/>
                            </w:rPr>
                            <w:fldChar w:fldCharType="begin"/>
                          </w:r>
                          <w:r>
                            <w:rPr>
                              <w:rFonts w:hint="eastAsia"/>
                              <w:sz w:val="18"/>
                              <w:szCs w:val="18"/>
                            </w:rPr>
                            <w:instrText xml:space="preserve"> PAGE </w:instrText>
                          </w:r>
                          <w:r>
                            <w:rPr>
                              <w:rFonts w:hint="eastAsia"/>
                              <w:sz w:val="18"/>
                              <w:szCs w:val="18"/>
                            </w:rPr>
                            <w:fldChar w:fldCharType="separate"/>
                          </w:r>
                          <w:r>
                            <w:rPr>
                              <w:sz w:val="18"/>
                              <w:szCs w:val="18"/>
                            </w:rPr>
                            <w:t>54</w:t>
                          </w:r>
                          <w:r>
                            <w:rPr>
                              <w:rFonts w:hint="eastAsia"/>
                              <w:sz w:val="18"/>
                              <w:szCs w:val="18"/>
                            </w:rPr>
                            <w:fldChar w:fldCharType="end"/>
                          </w:r>
                          <w:r>
                            <w:rPr>
                              <w:rFonts w:hint="eastAsia"/>
                              <w:spacing w:val="-15"/>
                              <w:sz w:val="18"/>
                              <w:szCs w:val="18"/>
                            </w:rPr>
                            <w:t>页，共</w:t>
                          </w:r>
                          <w:r>
                            <w:rPr>
                              <w:rFonts w:hint="eastAsia"/>
                              <w:spacing w:val="-15"/>
                              <w:sz w:val="18"/>
                              <w:szCs w:val="18"/>
                              <w:lang w:val="en-US"/>
                            </w:rPr>
                            <w:t>5</w:t>
                          </w:r>
                          <w:r>
                            <w:rPr>
                              <w:spacing w:val="-15"/>
                              <w:sz w:val="18"/>
                              <w:szCs w:val="18"/>
                              <w:lang w:val="en-US"/>
                            </w:rPr>
                            <w:t>6</w:t>
                          </w:r>
                          <w:r>
                            <w:rPr>
                              <w:rFonts w:hint="eastAsia"/>
                              <w:sz w:val="18"/>
                              <w:szCs w:val="18"/>
                            </w:rPr>
                            <w:t>页</w:t>
                          </w:r>
                        </w:p>
                      </w:txbxContent>
                    </wps:txbx>
                    <wps:bodyPr lIns="0" tIns="0" rIns="0" bIns="0" upright="1"/>
                  </wps:wsp>
                </a:graphicData>
              </a:graphic>
            </wp:anchor>
          </w:drawing>
        </mc:Choice>
        <mc:Fallback>
          <w:pict>
            <v:shape id="文本框 1" o:spid="_x0000_s1026" o:spt="202" type="#_x0000_t202" style="position:absolute;left:0pt;margin-top:791.75pt;height:15.45pt;width:109.15pt;mso-position-horizontal:center;mso-position-horizontal-relative:margin;mso-position-vertical-relative:page;z-index:251658240;mso-width-relative:page;mso-height-relative:page;" filled="f" stroked="f" coordsize="21600,21600" o:gfxdata="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xdm22QAA&#10;AAoBAAAPAAAAAAAAAAEAIAAAACIAAABkcnMvZG93bnJldi54bWxQSwECFAAUAAAACACHTuJAufgw&#10;e6sBAAA7AwAADgAAAAAAAAABACAAAAAoAQAAZHJzL2Uyb0RvYy54bWxQSwUGAAAAAAYABgBZAQAA&#10;RQUAAAAA&#10;">
              <v:fill on="f" focussize="0,0"/>
              <v:stroke on="f"/>
              <v:imagedata o:title=""/>
              <o:lock v:ext="edit" aspectratio="f"/>
              <v:textbox inset="0mm,0mm,0mm,0mm">
                <w:txbxContent>
                  <w:p>
                    <w:pPr>
                      <w:pStyle w:val="6"/>
                      <w:spacing w:line="305" w:lineRule="exact"/>
                      <w:ind w:left="20"/>
                      <w:jc w:val="center"/>
                    </w:pPr>
                    <w:r>
                      <w:rPr>
                        <w:rFonts w:hint="eastAsia"/>
                        <w:spacing w:val="-31"/>
                        <w:sz w:val="18"/>
                        <w:szCs w:val="18"/>
                      </w:rPr>
                      <w:t>第</w:t>
                    </w:r>
                    <w:r>
                      <w:rPr>
                        <w:rFonts w:hint="eastAsia"/>
                        <w:sz w:val="18"/>
                        <w:szCs w:val="18"/>
                      </w:rPr>
                      <w:fldChar w:fldCharType="begin"/>
                    </w:r>
                    <w:r>
                      <w:rPr>
                        <w:rFonts w:hint="eastAsia"/>
                        <w:sz w:val="18"/>
                        <w:szCs w:val="18"/>
                      </w:rPr>
                      <w:instrText xml:space="preserve"> PAGE </w:instrText>
                    </w:r>
                    <w:r>
                      <w:rPr>
                        <w:rFonts w:hint="eastAsia"/>
                        <w:sz w:val="18"/>
                        <w:szCs w:val="18"/>
                      </w:rPr>
                      <w:fldChar w:fldCharType="separate"/>
                    </w:r>
                    <w:r>
                      <w:rPr>
                        <w:sz w:val="18"/>
                        <w:szCs w:val="18"/>
                      </w:rPr>
                      <w:t>54</w:t>
                    </w:r>
                    <w:r>
                      <w:rPr>
                        <w:rFonts w:hint="eastAsia"/>
                        <w:sz w:val="18"/>
                        <w:szCs w:val="18"/>
                      </w:rPr>
                      <w:fldChar w:fldCharType="end"/>
                    </w:r>
                    <w:r>
                      <w:rPr>
                        <w:rFonts w:hint="eastAsia"/>
                        <w:spacing w:val="-15"/>
                        <w:sz w:val="18"/>
                        <w:szCs w:val="18"/>
                      </w:rPr>
                      <w:t>页，共</w:t>
                    </w:r>
                    <w:r>
                      <w:rPr>
                        <w:rFonts w:hint="eastAsia"/>
                        <w:spacing w:val="-15"/>
                        <w:sz w:val="18"/>
                        <w:szCs w:val="18"/>
                        <w:lang w:val="en-US"/>
                      </w:rPr>
                      <w:t>5</w:t>
                    </w:r>
                    <w:r>
                      <w:rPr>
                        <w:spacing w:val="-15"/>
                        <w:sz w:val="18"/>
                        <w:szCs w:val="18"/>
                        <w:lang w:val="en-US"/>
                      </w:rPr>
                      <w:t>6</w:t>
                    </w:r>
                    <w:r>
                      <w:rPr>
                        <w:rFonts w:hint="eastAsia"/>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0"/>
      </w:pBdr>
      <w:jc w:val="both"/>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C45"/>
    <w:multiLevelType w:val="multilevel"/>
    <w:tmpl w:val="9377BC45"/>
    <w:lvl w:ilvl="0" w:tentative="0">
      <w:start w:val="18"/>
      <w:numFmt w:val="decimal"/>
      <w:lvlText w:val="（%1）"/>
      <w:lvlJc w:val="left"/>
      <w:pPr>
        <w:ind w:left="2109" w:hanging="750"/>
      </w:pPr>
      <w:rPr>
        <w:rFonts w:hint="default"/>
        <w:b/>
        <w:bCs/>
        <w:spacing w:val="-2"/>
        <w:w w:val="99"/>
        <w:lang w:val="zh-CN" w:eastAsia="zh-CN" w:bidi="zh-CN"/>
      </w:rPr>
    </w:lvl>
    <w:lvl w:ilvl="1" w:tentative="0">
      <w:start w:val="1"/>
      <w:numFmt w:val="decimal"/>
      <w:lvlText w:val="%2."/>
      <w:lvlJc w:val="left"/>
      <w:pPr>
        <w:ind w:left="2043"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359" w:hanging="459"/>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3271" w:hanging="459"/>
      </w:pPr>
      <w:rPr>
        <w:rFonts w:hint="default"/>
        <w:lang w:val="zh-CN" w:eastAsia="zh-CN" w:bidi="zh-CN"/>
      </w:rPr>
    </w:lvl>
    <w:lvl w:ilvl="4" w:tentative="0">
      <w:start w:val="0"/>
      <w:numFmt w:val="bullet"/>
      <w:lvlText w:val="•"/>
      <w:lvlJc w:val="left"/>
      <w:pPr>
        <w:ind w:left="4432" w:hanging="459"/>
      </w:pPr>
      <w:rPr>
        <w:rFonts w:hint="default"/>
        <w:lang w:val="zh-CN" w:eastAsia="zh-CN" w:bidi="zh-CN"/>
      </w:rPr>
    </w:lvl>
    <w:lvl w:ilvl="5" w:tentative="0">
      <w:start w:val="0"/>
      <w:numFmt w:val="bullet"/>
      <w:lvlText w:val="•"/>
      <w:lvlJc w:val="left"/>
      <w:pPr>
        <w:ind w:left="5593" w:hanging="459"/>
      </w:pPr>
      <w:rPr>
        <w:rFonts w:hint="default"/>
        <w:lang w:val="zh-CN" w:eastAsia="zh-CN" w:bidi="zh-CN"/>
      </w:rPr>
    </w:lvl>
    <w:lvl w:ilvl="6" w:tentative="0">
      <w:start w:val="0"/>
      <w:numFmt w:val="bullet"/>
      <w:lvlText w:val="•"/>
      <w:lvlJc w:val="left"/>
      <w:pPr>
        <w:ind w:left="6754" w:hanging="459"/>
      </w:pPr>
      <w:rPr>
        <w:rFonts w:hint="default"/>
        <w:lang w:val="zh-CN" w:eastAsia="zh-CN" w:bidi="zh-CN"/>
      </w:rPr>
    </w:lvl>
    <w:lvl w:ilvl="7" w:tentative="0">
      <w:start w:val="0"/>
      <w:numFmt w:val="bullet"/>
      <w:lvlText w:val="•"/>
      <w:lvlJc w:val="left"/>
      <w:pPr>
        <w:ind w:left="7915" w:hanging="459"/>
      </w:pPr>
      <w:rPr>
        <w:rFonts w:hint="default"/>
        <w:lang w:val="zh-CN" w:eastAsia="zh-CN" w:bidi="zh-CN"/>
      </w:rPr>
    </w:lvl>
    <w:lvl w:ilvl="8" w:tentative="0">
      <w:start w:val="0"/>
      <w:numFmt w:val="bullet"/>
      <w:lvlText w:val="•"/>
      <w:lvlJc w:val="left"/>
      <w:pPr>
        <w:ind w:left="9075" w:hanging="459"/>
      </w:pPr>
      <w:rPr>
        <w:rFonts w:hint="default"/>
        <w:lang w:val="zh-CN" w:eastAsia="zh-CN" w:bidi="zh-CN"/>
      </w:rPr>
    </w:lvl>
  </w:abstractNum>
  <w:abstractNum w:abstractNumId="1">
    <w:nsid w:val="95D008D5"/>
    <w:multiLevelType w:val="singleLevel"/>
    <w:tmpl w:val="95D008D5"/>
    <w:lvl w:ilvl="0" w:tentative="0">
      <w:start w:val="1"/>
      <w:numFmt w:val="chineseCounting"/>
      <w:suff w:val="space"/>
      <w:lvlText w:val="第%1部分"/>
      <w:lvlJc w:val="left"/>
      <w:rPr>
        <w:rFonts w:hint="eastAsia"/>
      </w:rPr>
    </w:lvl>
  </w:abstractNum>
  <w:abstractNum w:abstractNumId="2">
    <w:nsid w:val="9ACF65A0"/>
    <w:multiLevelType w:val="multilevel"/>
    <w:tmpl w:val="9ACF65A0"/>
    <w:lvl w:ilvl="0" w:tentative="0">
      <w:start w:val="1"/>
      <w:numFmt w:val="decimal"/>
      <w:lvlText w:val="（%1）"/>
      <w:lvlJc w:val="left"/>
      <w:pPr>
        <w:ind w:left="1548" w:hanging="616"/>
      </w:pPr>
      <w:rPr>
        <w:rFonts w:hint="default" w:ascii="宋体" w:hAnsi="宋体" w:eastAsia="宋体" w:cs="宋体"/>
        <w:w w:val="99"/>
        <w:sz w:val="22"/>
        <w:szCs w:val="22"/>
        <w:lang w:val="zh-CN" w:eastAsia="zh-CN" w:bidi="zh-CN"/>
      </w:rPr>
    </w:lvl>
    <w:lvl w:ilvl="1" w:tentative="0">
      <w:start w:val="0"/>
      <w:numFmt w:val="bullet"/>
      <w:lvlText w:val="•"/>
      <w:lvlJc w:val="left"/>
      <w:pPr>
        <w:ind w:left="2440" w:hanging="616"/>
      </w:pPr>
      <w:rPr>
        <w:rFonts w:hint="default"/>
        <w:lang w:val="zh-CN" w:eastAsia="zh-CN" w:bidi="zh-CN"/>
      </w:rPr>
    </w:lvl>
    <w:lvl w:ilvl="2" w:tentative="0">
      <w:start w:val="0"/>
      <w:numFmt w:val="bullet"/>
      <w:lvlText w:val="•"/>
      <w:lvlJc w:val="left"/>
      <w:pPr>
        <w:ind w:left="3341" w:hanging="616"/>
      </w:pPr>
      <w:rPr>
        <w:rFonts w:hint="default"/>
        <w:lang w:val="zh-CN" w:eastAsia="zh-CN" w:bidi="zh-CN"/>
      </w:rPr>
    </w:lvl>
    <w:lvl w:ilvl="3" w:tentative="0">
      <w:start w:val="0"/>
      <w:numFmt w:val="bullet"/>
      <w:lvlText w:val="•"/>
      <w:lvlJc w:val="left"/>
      <w:pPr>
        <w:ind w:left="4241" w:hanging="616"/>
      </w:pPr>
      <w:rPr>
        <w:rFonts w:hint="default"/>
        <w:lang w:val="zh-CN" w:eastAsia="zh-CN" w:bidi="zh-CN"/>
      </w:rPr>
    </w:lvl>
    <w:lvl w:ilvl="4" w:tentative="0">
      <w:start w:val="0"/>
      <w:numFmt w:val="bullet"/>
      <w:lvlText w:val="•"/>
      <w:lvlJc w:val="left"/>
      <w:pPr>
        <w:ind w:left="5142" w:hanging="616"/>
      </w:pPr>
      <w:rPr>
        <w:rFonts w:hint="default"/>
        <w:lang w:val="zh-CN" w:eastAsia="zh-CN" w:bidi="zh-CN"/>
      </w:rPr>
    </w:lvl>
    <w:lvl w:ilvl="5" w:tentative="0">
      <w:start w:val="0"/>
      <w:numFmt w:val="bullet"/>
      <w:lvlText w:val="•"/>
      <w:lvlJc w:val="left"/>
      <w:pPr>
        <w:ind w:left="6043" w:hanging="616"/>
      </w:pPr>
      <w:rPr>
        <w:rFonts w:hint="default"/>
        <w:lang w:val="zh-CN" w:eastAsia="zh-CN" w:bidi="zh-CN"/>
      </w:rPr>
    </w:lvl>
    <w:lvl w:ilvl="6" w:tentative="0">
      <w:start w:val="0"/>
      <w:numFmt w:val="bullet"/>
      <w:lvlText w:val="•"/>
      <w:lvlJc w:val="left"/>
      <w:pPr>
        <w:ind w:left="6943" w:hanging="616"/>
      </w:pPr>
      <w:rPr>
        <w:rFonts w:hint="default"/>
        <w:lang w:val="zh-CN" w:eastAsia="zh-CN" w:bidi="zh-CN"/>
      </w:rPr>
    </w:lvl>
    <w:lvl w:ilvl="7" w:tentative="0">
      <w:start w:val="0"/>
      <w:numFmt w:val="bullet"/>
      <w:lvlText w:val="•"/>
      <w:lvlJc w:val="left"/>
      <w:pPr>
        <w:ind w:left="7844" w:hanging="616"/>
      </w:pPr>
      <w:rPr>
        <w:rFonts w:hint="default"/>
        <w:lang w:val="zh-CN" w:eastAsia="zh-CN" w:bidi="zh-CN"/>
      </w:rPr>
    </w:lvl>
    <w:lvl w:ilvl="8" w:tentative="0">
      <w:start w:val="0"/>
      <w:numFmt w:val="bullet"/>
      <w:lvlText w:val="•"/>
      <w:lvlJc w:val="left"/>
      <w:pPr>
        <w:ind w:left="8745" w:hanging="616"/>
      </w:pPr>
      <w:rPr>
        <w:rFonts w:hint="default"/>
        <w:lang w:val="zh-CN" w:eastAsia="zh-CN" w:bidi="zh-CN"/>
      </w:rPr>
    </w:lvl>
  </w:abstractNum>
  <w:abstractNum w:abstractNumId="3">
    <w:nsid w:val="B0ED9BEA"/>
    <w:multiLevelType w:val="multilevel"/>
    <w:tmpl w:val="B0ED9BEA"/>
    <w:lvl w:ilvl="0" w:tentative="0">
      <w:start w:val="2"/>
      <w:numFmt w:val="decimal"/>
      <w:lvlText w:val="%1."/>
      <w:lvlJc w:val="left"/>
      <w:pPr>
        <w:ind w:left="508" w:hanging="204"/>
      </w:pPr>
      <w:rPr>
        <w:rFonts w:hint="default" w:ascii="Arial" w:hAnsi="Arial" w:eastAsia="Arial" w:cs="Arial"/>
        <w:w w:val="100"/>
        <w:sz w:val="22"/>
        <w:szCs w:val="22"/>
        <w:lang w:val="zh-CN" w:eastAsia="zh-CN" w:bidi="zh-CN"/>
      </w:rPr>
    </w:lvl>
    <w:lvl w:ilvl="1" w:tentative="0">
      <w:start w:val="0"/>
      <w:numFmt w:val="bullet"/>
      <w:lvlText w:val="•"/>
      <w:lvlJc w:val="left"/>
      <w:pPr>
        <w:ind w:left="1504" w:hanging="204"/>
      </w:pPr>
      <w:rPr>
        <w:rFonts w:hint="default"/>
        <w:lang w:val="zh-CN" w:eastAsia="zh-CN" w:bidi="zh-CN"/>
      </w:rPr>
    </w:lvl>
    <w:lvl w:ilvl="2" w:tentative="0">
      <w:start w:val="0"/>
      <w:numFmt w:val="bullet"/>
      <w:lvlText w:val="•"/>
      <w:lvlJc w:val="left"/>
      <w:pPr>
        <w:ind w:left="2509" w:hanging="204"/>
      </w:pPr>
      <w:rPr>
        <w:rFonts w:hint="default"/>
        <w:lang w:val="zh-CN" w:eastAsia="zh-CN" w:bidi="zh-CN"/>
      </w:rPr>
    </w:lvl>
    <w:lvl w:ilvl="3" w:tentative="0">
      <w:start w:val="0"/>
      <w:numFmt w:val="bullet"/>
      <w:lvlText w:val="•"/>
      <w:lvlJc w:val="left"/>
      <w:pPr>
        <w:ind w:left="3513" w:hanging="204"/>
      </w:pPr>
      <w:rPr>
        <w:rFonts w:hint="default"/>
        <w:lang w:val="zh-CN" w:eastAsia="zh-CN" w:bidi="zh-CN"/>
      </w:rPr>
    </w:lvl>
    <w:lvl w:ilvl="4" w:tentative="0">
      <w:start w:val="0"/>
      <w:numFmt w:val="bullet"/>
      <w:lvlText w:val="•"/>
      <w:lvlJc w:val="left"/>
      <w:pPr>
        <w:ind w:left="4518" w:hanging="204"/>
      </w:pPr>
      <w:rPr>
        <w:rFonts w:hint="default"/>
        <w:lang w:val="zh-CN" w:eastAsia="zh-CN" w:bidi="zh-CN"/>
      </w:rPr>
    </w:lvl>
    <w:lvl w:ilvl="5" w:tentative="0">
      <w:start w:val="0"/>
      <w:numFmt w:val="bullet"/>
      <w:lvlText w:val="•"/>
      <w:lvlJc w:val="left"/>
      <w:pPr>
        <w:ind w:left="5523" w:hanging="204"/>
      </w:pPr>
      <w:rPr>
        <w:rFonts w:hint="default"/>
        <w:lang w:val="zh-CN" w:eastAsia="zh-CN" w:bidi="zh-CN"/>
      </w:rPr>
    </w:lvl>
    <w:lvl w:ilvl="6" w:tentative="0">
      <w:start w:val="0"/>
      <w:numFmt w:val="bullet"/>
      <w:lvlText w:val="•"/>
      <w:lvlJc w:val="left"/>
      <w:pPr>
        <w:ind w:left="6527" w:hanging="204"/>
      </w:pPr>
      <w:rPr>
        <w:rFonts w:hint="default"/>
        <w:lang w:val="zh-CN" w:eastAsia="zh-CN" w:bidi="zh-CN"/>
      </w:rPr>
    </w:lvl>
    <w:lvl w:ilvl="7" w:tentative="0">
      <w:start w:val="0"/>
      <w:numFmt w:val="bullet"/>
      <w:lvlText w:val="•"/>
      <w:lvlJc w:val="left"/>
      <w:pPr>
        <w:ind w:left="7532" w:hanging="204"/>
      </w:pPr>
      <w:rPr>
        <w:rFonts w:hint="default"/>
        <w:lang w:val="zh-CN" w:eastAsia="zh-CN" w:bidi="zh-CN"/>
      </w:rPr>
    </w:lvl>
    <w:lvl w:ilvl="8" w:tentative="0">
      <w:start w:val="0"/>
      <w:numFmt w:val="bullet"/>
      <w:lvlText w:val="•"/>
      <w:lvlJc w:val="left"/>
      <w:pPr>
        <w:ind w:left="8537" w:hanging="204"/>
      </w:pPr>
      <w:rPr>
        <w:rFonts w:hint="default"/>
        <w:lang w:val="zh-CN" w:eastAsia="zh-CN" w:bidi="zh-CN"/>
      </w:rPr>
    </w:lvl>
  </w:abstractNum>
  <w:abstractNum w:abstractNumId="4">
    <w:nsid w:val="B5E306ED"/>
    <w:multiLevelType w:val="multilevel"/>
    <w:tmpl w:val="B5E306ED"/>
    <w:lvl w:ilvl="0" w:tentative="0">
      <w:start w:val="1"/>
      <w:numFmt w:val="decimal"/>
      <w:lvlText w:val="%1."/>
      <w:lvlJc w:val="left"/>
      <w:pPr>
        <w:ind w:left="710" w:hanging="203"/>
      </w:pPr>
      <w:rPr>
        <w:rFonts w:hint="default" w:ascii="Arial" w:hAnsi="Arial" w:eastAsia="Arial" w:cs="Arial"/>
        <w:w w:val="100"/>
        <w:sz w:val="22"/>
        <w:szCs w:val="22"/>
        <w:lang w:val="zh-CN" w:eastAsia="zh-CN" w:bidi="zh-CN"/>
      </w:rPr>
    </w:lvl>
    <w:lvl w:ilvl="1" w:tentative="0">
      <w:start w:val="1"/>
      <w:numFmt w:val="decimal"/>
      <w:lvlText w:val="%2."/>
      <w:lvlJc w:val="left"/>
      <w:pPr>
        <w:ind w:left="629"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129" w:hanging="562"/>
      </w:pPr>
      <w:rPr>
        <w:rFonts w:hint="default"/>
        <w:spacing w:val="-2"/>
        <w:w w:val="99"/>
        <w:lang w:val="zh-CN" w:eastAsia="zh-CN" w:bidi="zh-CN"/>
      </w:rPr>
    </w:lvl>
    <w:lvl w:ilvl="3" w:tentative="0">
      <w:start w:val="1"/>
      <w:numFmt w:val="decimal"/>
      <w:lvlText w:val="%2.%3.%4"/>
      <w:lvlJc w:val="left"/>
      <w:pPr>
        <w:ind w:left="508" w:hanging="562"/>
      </w:pPr>
      <w:rPr>
        <w:rFonts w:hint="default" w:ascii="Arial" w:hAnsi="Arial" w:eastAsia="Arial" w:cs="Arial"/>
        <w:spacing w:val="-26"/>
        <w:w w:val="99"/>
        <w:sz w:val="24"/>
        <w:szCs w:val="24"/>
        <w:lang w:val="zh-CN" w:eastAsia="zh-CN" w:bidi="zh-CN"/>
      </w:rPr>
    </w:lvl>
    <w:lvl w:ilvl="4" w:tentative="0">
      <w:start w:val="0"/>
      <w:numFmt w:val="bullet"/>
      <w:lvlText w:val="•"/>
      <w:lvlJc w:val="left"/>
      <w:pPr>
        <w:ind w:left="1380" w:hanging="562"/>
      </w:pPr>
      <w:rPr>
        <w:rFonts w:hint="default"/>
        <w:lang w:val="zh-CN" w:eastAsia="zh-CN" w:bidi="zh-CN"/>
      </w:rPr>
    </w:lvl>
    <w:lvl w:ilvl="5" w:tentative="0">
      <w:start w:val="0"/>
      <w:numFmt w:val="bullet"/>
      <w:lvlText w:val="•"/>
      <w:lvlJc w:val="left"/>
      <w:pPr>
        <w:ind w:left="1500" w:hanging="562"/>
      </w:pPr>
      <w:rPr>
        <w:rFonts w:hint="default"/>
        <w:lang w:val="zh-CN" w:eastAsia="zh-CN" w:bidi="zh-CN"/>
      </w:rPr>
    </w:lvl>
    <w:lvl w:ilvl="6" w:tentative="0">
      <w:start w:val="0"/>
      <w:numFmt w:val="bullet"/>
      <w:lvlText w:val="•"/>
      <w:lvlJc w:val="left"/>
      <w:pPr>
        <w:ind w:left="1520" w:hanging="562"/>
      </w:pPr>
      <w:rPr>
        <w:rFonts w:hint="default"/>
        <w:lang w:val="zh-CN" w:eastAsia="zh-CN" w:bidi="zh-CN"/>
      </w:rPr>
    </w:lvl>
    <w:lvl w:ilvl="7" w:tentative="0">
      <w:start w:val="0"/>
      <w:numFmt w:val="bullet"/>
      <w:lvlText w:val="•"/>
      <w:lvlJc w:val="left"/>
      <w:pPr>
        <w:ind w:left="3776" w:hanging="562"/>
      </w:pPr>
      <w:rPr>
        <w:rFonts w:hint="default"/>
        <w:lang w:val="zh-CN" w:eastAsia="zh-CN" w:bidi="zh-CN"/>
      </w:rPr>
    </w:lvl>
    <w:lvl w:ilvl="8" w:tentative="0">
      <w:start w:val="0"/>
      <w:numFmt w:val="bullet"/>
      <w:lvlText w:val="•"/>
      <w:lvlJc w:val="left"/>
      <w:pPr>
        <w:ind w:left="6033" w:hanging="562"/>
      </w:pPr>
      <w:rPr>
        <w:rFonts w:hint="default"/>
        <w:lang w:val="zh-CN" w:eastAsia="zh-CN" w:bidi="zh-CN"/>
      </w:rPr>
    </w:lvl>
  </w:abstractNum>
  <w:abstractNum w:abstractNumId="5">
    <w:nsid w:val="B88D21A8"/>
    <w:multiLevelType w:val="multilevel"/>
    <w:tmpl w:val="B88D21A8"/>
    <w:lvl w:ilvl="0" w:tentative="0">
      <w:start w:val="1"/>
      <w:numFmt w:val="decimal"/>
      <w:lvlText w:val="（%1）"/>
      <w:lvlJc w:val="left"/>
      <w:pPr>
        <w:ind w:left="1123" w:hanging="616"/>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062" w:hanging="616"/>
      </w:pPr>
      <w:rPr>
        <w:rFonts w:hint="default"/>
        <w:lang w:val="zh-CN" w:eastAsia="zh-CN" w:bidi="zh-CN"/>
      </w:rPr>
    </w:lvl>
    <w:lvl w:ilvl="2" w:tentative="0">
      <w:start w:val="0"/>
      <w:numFmt w:val="bullet"/>
      <w:lvlText w:val="•"/>
      <w:lvlJc w:val="left"/>
      <w:pPr>
        <w:ind w:left="3005" w:hanging="616"/>
      </w:pPr>
      <w:rPr>
        <w:rFonts w:hint="default"/>
        <w:lang w:val="zh-CN" w:eastAsia="zh-CN" w:bidi="zh-CN"/>
      </w:rPr>
    </w:lvl>
    <w:lvl w:ilvl="3" w:tentative="0">
      <w:start w:val="0"/>
      <w:numFmt w:val="bullet"/>
      <w:lvlText w:val="•"/>
      <w:lvlJc w:val="left"/>
      <w:pPr>
        <w:ind w:left="3947" w:hanging="616"/>
      </w:pPr>
      <w:rPr>
        <w:rFonts w:hint="default"/>
        <w:lang w:val="zh-CN" w:eastAsia="zh-CN" w:bidi="zh-CN"/>
      </w:rPr>
    </w:lvl>
    <w:lvl w:ilvl="4" w:tentative="0">
      <w:start w:val="0"/>
      <w:numFmt w:val="bullet"/>
      <w:lvlText w:val="•"/>
      <w:lvlJc w:val="left"/>
      <w:pPr>
        <w:ind w:left="4890" w:hanging="616"/>
      </w:pPr>
      <w:rPr>
        <w:rFonts w:hint="default"/>
        <w:lang w:val="zh-CN" w:eastAsia="zh-CN" w:bidi="zh-CN"/>
      </w:rPr>
    </w:lvl>
    <w:lvl w:ilvl="5" w:tentative="0">
      <w:start w:val="0"/>
      <w:numFmt w:val="bullet"/>
      <w:lvlText w:val="•"/>
      <w:lvlJc w:val="left"/>
      <w:pPr>
        <w:ind w:left="5833" w:hanging="616"/>
      </w:pPr>
      <w:rPr>
        <w:rFonts w:hint="default"/>
        <w:lang w:val="zh-CN" w:eastAsia="zh-CN" w:bidi="zh-CN"/>
      </w:rPr>
    </w:lvl>
    <w:lvl w:ilvl="6" w:tentative="0">
      <w:start w:val="0"/>
      <w:numFmt w:val="bullet"/>
      <w:lvlText w:val="•"/>
      <w:lvlJc w:val="left"/>
      <w:pPr>
        <w:ind w:left="6775" w:hanging="616"/>
      </w:pPr>
      <w:rPr>
        <w:rFonts w:hint="default"/>
        <w:lang w:val="zh-CN" w:eastAsia="zh-CN" w:bidi="zh-CN"/>
      </w:rPr>
    </w:lvl>
    <w:lvl w:ilvl="7" w:tentative="0">
      <w:start w:val="0"/>
      <w:numFmt w:val="bullet"/>
      <w:lvlText w:val="•"/>
      <w:lvlJc w:val="left"/>
      <w:pPr>
        <w:ind w:left="7718" w:hanging="616"/>
      </w:pPr>
      <w:rPr>
        <w:rFonts w:hint="default"/>
        <w:lang w:val="zh-CN" w:eastAsia="zh-CN" w:bidi="zh-CN"/>
      </w:rPr>
    </w:lvl>
    <w:lvl w:ilvl="8" w:tentative="0">
      <w:start w:val="0"/>
      <w:numFmt w:val="bullet"/>
      <w:lvlText w:val="•"/>
      <w:lvlJc w:val="left"/>
      <w:pPr>
        <w:ind w:left="8661" w:hanging="616"/>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1087" w:hanging="203"/>
      </w:pPr>
      <w:rPr>
        <w:rFonts w:hint="default" w:ascii="Arial" w:hAnsi="Arial" w:eastAsia="Arial" w:cs="Arial"/>
        <w:w w:val="100"/>
        <w:sz w:val="22"/>
        <w:szCs w:val="22"/>
        <w:lang w:val="zh-CN" w:eastAsia="zh-CN" w:bidi="zh-CN"/>
      </w:rPr>
    </w:lvl>
    <w:lvl w:ilvl="1" w:tentative="0">
      <w:start w:val="1"/>
      <w:numFmt w:val="decimal"/>
      <w:lvlText w:val="%2."/>
      <w:lvlJc w:val="left"/>
      <w:pPr>
        <w:ind w:left="508" w:hanging="203"/>
      </w:pPr>
      <w:rPr>
        <w:rFonts w:hint="default" w:ascii="Arial" w:hAnsi="Arial" w:eastAsia="Arial" w:cs="Arial"/>
        <w:w w:val="100"/>
        <w:sz w:val="22"/>
        <w:szCs w:val="22"/>
        <w:lang w:val="zh-CN" w:eastAsia="zh-CN" w:bidi="zh-CN"/>
      </w:rPr>
    </w:lvl>
    <w:lvl w:ilvl="2" w:tentative="0">
      <w:start w:val="0"/>
      <w:numFmt w:val="bullet"/>
      <w:lvlText w:val="•"/>
      <w:lvlJc w:val="left"/>
      <w:pPr>
        <w:ind w:left="2131" w:hanging="203"/>
      </w:pPr>
      <w:rPr>
        <w:rFonts w:hint="default"/>
        <w:lang w:val="zh-CN" w:eastAsia="zh-CN" w:bidi="zh-CN"/>
      </w:rPr>
    </w:lvl>
    <w:lvl w:ilvl="3" w:tentative="0">
      <w:start w:val="0"/>
      <w:numFmt w:val="bullet"/>
      <w:lvlText w:val="•"/>
      <w:lvlJc w:val="left"/>
      <w:pPr>
        <w:ind w:left="3183" w:hanging="203"/>
      </w:pPr>
      <w:rPr>
        <w:rFonts w:hint="default"/>
        <w:lang w:val="zh-CN" w:eastAsia="zh-CN" w:bidi="zh-CN"/>
      </w:rPr>
    </w:lvl>
    <w:lvl w:ilvl="4" w:tentative="0">
      <w:start w:val="0"/>
      <w:numFmt w:val="bullet"/>
      <w:lvlText w:val="•"/>
      <w:lvlJc w:val="left"/>
      <w:pPr>
        <w:ind w:left="4235" w:hanging="203"/>
      </w:pPr>
      <w:rPr>
        <w:rFonts w:hint="default"/>
        <w:lang w:val="zh-CN" w:eastAsia="zh-CN" w:bidi="zh-CN"/>
      </w:rPr>
    </w:lvl>
    <w:lvl w:ilvl="5" w:tentative="0">
      <w:start w:val="0"/>
      <w:numFmt w:val="bullet"/>
      <w:lvlText w:val="•"/>
      <w:lvlJc w:val="left"/>
      <w:pPr>
        <w:ind w:left="5287" w:hanging="203"/>
      </w:pPr>
      <w:rPr>
        <w:rFonts w:hint="default"/>
        <w:lang w:val="zh-CN" w:eastAsia="zh-CN" w:bidi="zh-CN"/>
      </w:rPr>
    </w:lvl>
    <w:lvl w:ilvl="6" w:tentative="0">
      <w:start w:val="0"/>
      <w:numFmt w:val="bullet"/>
      <w:lvlText w:val="•"/>
      <w:lvlJc w:val="left"/>
      <w:pPr>
        <w:ind w:left="6339" w:hanging="203"/>
      </w:pPr>
      <w:rPr>
        <w:rFonts w:hint="default"/>
        <w:lang w:val="zh-CN" w:eastAsia="zh-CN" w:bidi="zh-CN"/>
      </w:rPr>
    </w:lvl>
    <w:lvl w:ilvl="7" w:tentative="0">
      <w:start w:val="0"/>
      <w:numFmt w:val="bullet"/>
      <w:lvlText w:val="•"/>
      <w:lvlJc w:val="left"/>
      <w:pPr>
        <w:ind w:left="7390" w:hanging="203"/>
      </w:pPr>
      <w:rPr>
        <w:rFonts w:hint="default"/>
        <w:lang w:val="zh-CN" w:eastAsia="zh-CN" w:bidi="zh-CN"/>
      </w:rPr>
    </w:lvl>
    <w:lvl w:ilvl="8" w:tentative="0">
      <w:start w:val="0"/>
      <w:numFmt w:val="bullet"/>
      <w:lvlText w:val="•"/>
      <w:lvlJc w:val="left"/>
      <w:pPr>
        <w:ind w:left="8442" w:hanging="203"/>
      </w:pPr>
      <w:rPr>
        <w:rFonts w:hint="default"/>
        <w:lang w:val="zh-CN" w:eastAsia="zh-CN" w:bidi="zh-CN"/>
      </w:rPr>
    </w:lvl>
  </w:abstractNum>
  <w:abstractNum w:abstractNumId="7">
    <w:nsid w:val="E7B27C5B"/>
    <w:multiLevelType w:val="multilevel"/>
    <w:tmpl w:val="E7B27C5B"/>
    <w:lvl w:ilvl="0" w:tentative="0">
      <w:start w:val="1"/>
      <w:numFmt w:val="decimal"/>
      <w:lvlText w:val="%1."/>
      <w:lvlJc w:val="left"/>
      <w:pPr>
        <w:ind w:left="1190"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abstractNum w:abstractNumId="8">
    <w:nsid w:val="03D04F92"/>
    <w:multiLevelType w:val="singleLevel"/>
    <w:tmpl w:val="03D04F92"/>
    <w:lvl w:ilvl="0" w:tentative="0">
      <w:start w:val="2"/>
      <w:numFmt w:val="decimal"/>
      <w:suff w:val="nothing"/>
      <w:lvlText w:val="%1、"/>
      <w:lvlJc w:val="left"/>
    </w:lvl>
  </w:abstractNum>
  <w:abstractNum w:abstractNumId="9">
    <w:nsid w:val="2F2D79CE"/>
    <w:multiLevelType w:val="multilevel"/>
    <w:tmpl w:val="2F2D79CE"/>
    <w:lvl w:ilvl="0" w:tentative="0">
      <w:start w:val="1"/>
      <w:numFmt w:val="decimal"/>
      <w:lvlText w:val="（%1）"/>
      <w:lvlJc w:val="left"/>
      <w:pPr>
        <w:ind w:left="861" w:hanging="719"/>
      </w:pPr>
      <w:rPr>
        <w:rFonts w:hint="default"/>
        <w:b/>
        <w:bCs/>
        <w:spacing w:val="-3"/>
        <w:w w:val="99"/>
        <w:lang w:val="zh-CN" w:eastAsia="zh-CN" w:bidi="zh-CN"/>
      </w:rPr>
    </w:lvl>
    <w:lvl w:ilvl="1" w:tentative="0">
      <w:start w:val="1"/>
      <w:numFmt w:val="decimal"/>
      <w:lvlText w:val="%2."/>
      <w:lvlJc w:val="left"/>
      <w:pPr>
        <w:ind w:left="650" w:hanging="204"/>
      </w:pPr>
      <w:rPr>
        <w:rFonts w:hint="default" w:ascii="Arial" w:hAnsi="Arial" w:eastAsia="Arial" w:cs="Arial"/>
        <w:w w:val="100"/>
        <w:sz w:val="22"/>
        <w:szCs w:val="22"/>
        <w:lang w:val="zh-CN" w:eastAsia="zh-CN" w:bidi="zh-CN"/>
      </w:rPr>
    </w:lvl>
    <w:lvl w:ilvl="2" w:tentative="0">
      <w:start w:val="0"/>
      <w:numFmt w:val="bullet"/>
      <w:lvlText w:val="•"/>
      <w:lvlJc w:val="left"/>
      <w:pPr>
        <w:ind w:left="2398" w:hanging="204"/>
      </w:pPr>
      <w:rPr>
        <w:rFonts w:hint="default"/>
        <w:lang w:val="zh-CN" w:eastAsia="zh-CN" w:bidi="zh-CN"/>
      </w:rPr>
    </w:lvl>
    <w:lvl w:ilvl="3" w:tentative="0">
      <w:start w:val="0"/>
      <w:numFmt w:val="bullet"/>
      <w:lvlText w:val="•"/>
      <w:lvlJc w:val="left"/>
      <w:pPr>
        <w:ind w:left="3434" w:hanging="204"/>
      </w:pPr>
      <w:rPr>
        <w:rFonts w:hint="default"/>
        <w:lang w:val="zh-CN" w:eastAsia="zh-CN" w:bidi="zh-CN"/>
      </w:rPr>
    </w:lvl>
    <w:lvl w:ilvl="4" w:tentative="0">
      <w:start w:val="0"/>
      <w:numFmt w:val="bullet"/>
      <w:lvlText w:val="•"/>
      <w:lvlJc w:val="left"/>
      <w:pPr>
        <w:ind w:left="4470" w:hanging="204"/>
      </w:pPr>
      <w:rPr>
        <w:rFonts w:hint="default"/>
        <w:lang w:val="zh-CN" w:eastAsia="zh-CN" w:bidi="zh-CN"/>
      </w:rPr>
    </w:lvl>
    <w:lvl w:ilvl="5" w:tentative="0">
      <w:start w:val="0"/>
      <w:numFmt w:val="bullet"/>
      <w:lvlText w:val="•"/>
      <w:lvlJc w:val="left"/>
      <w:pPr>
        <w:ind w:left="5507" w:hanging="204"/>
      </w:pPr>
      <w:rPr>
        <w:rFonts w:hint="default"/>
        <w:lang w:val="zh-CN" w:eastAsia="zh-CN" w:bidi="zh-CN"/>
      </w:rPr>
    </w:lvl>
    <w:lvl w:ilvl="6" w:tentative="0">
      <w:start w:val="0"/>
      <w:numFmt w:val="bullet"/>
      <w:lvlText w:val="•"/>
      <w:lvlJc w:val="left"/>
      <w:pPr>
        <w:ind w:left="6543" w:hanging="204"/>
      </w:pPr>
      <w:rPr>
        <w:rFonts w:hint="default"/>
        <w:lang w:val="zh-CN" w:eastAsia="zh-CN" w:bidi="zh-CN"/>
      </w:rPr>
    </w:lvl>
    <w:lvl w:ilvl="7" w:tentative="0">
      <w:start w:val="0"/>
      <w:numFmt w:val="bullet"/>
      <w:lvlText w:val="•"/>
      <w:lvlJc w:val="left"/>
      <w:pPr>
        <w:ind w:left="7579" w:hanging="204"/>
      </w:pPr>
      <w:rPr>
        <w:rFonts w:hint="default"/>
        <w:lang w:val="zh-CN" w:eastAsia="zh-CN" w:bidi="zh-CN"/>
      </w:rPr>
    </w:lvl>
    <w:lvl w:ilvl="8" w:tentative="0">
      <w:start w:val="0"/>
      <w:numFmt w:val="bullet"/>
      <w:lvlText w:val="•"/>
      <w:lvlJc w:val="left"/>
      <w:pPr>
        <w:ind w:left="8615" w:hanging="204"/>
      </w:pPr>
      <w:rPr>
        <w:rFonts w:hint="default"/>
        <w:lang w:val="zh-CN" w:eastAsia="zh-CN" w:bidi="zh-CN"/>
      </w:rPr>
    </w:lvl>
  </w:abstractNum>
  <w:abstractNum w:abstractNumId="10">
    <w:nsid w:val="3C9899FD"/>
    <w:multiLevelType w:val="singleLevel"/>
    <w:tmpl w:val="3C9899FD"/>
    <w:lvl w:ilvl="0" w:tentative="0">
      <w:start w:val="4"/>
      <w:numFmt w:val="chineseCounting"/>
      <w:suff w:val="space"/>
      <w:lvlText w:val="第%1部分"/>
      <w:lvlJc w:val="left"/>
      <w:rPr>
        <w:rFonts w:hint="eastAsia"/>
      </w:rPr>
    </w:lvl>
  </w:abstractNum>
  <w:abstractNum w:abstractNumId="11">
    <w:nsid w:val="59EEFD2A"/>
    <w:multiLevelType w:val="multilevel"/>
    <w:tmpl w:val="59EEFD2A"/>
    <w:lvl w:ilvl="0" w:tentative="0">
      <w:start w:val="11"/>
      <w:numFmt w:val="decimal"/>
      <w:lvlText w:val="（%1）"/>
      <w:lvlJc w:val="left"/>
      <w:pPr>
        <w:ind w:left="1368" w:hanging="861"/>
      </w:pPr>
      <w:rPr>
        <w:rFonts w:hint="default"/>
        <w:b/>
        <w:bCs/>
        <w:spacing w:val="-17"/>
        <w:w w:val="99"/>
        <w:lang w:val="zh-CN" w:eastAsia="zh-CN" w:bidi="zh-CN"/>
      </w:rPr>
    </w:lvl>
    <w:lvl w:ilvl="1" w:tentative="0">
      <w:start w:val="0"/>
      <w:numFmt w:val="bullet"/>
      <w:lvlText w:val="•"/>
      <w:lvlJc w:val="left"/>
      <w:pPr>
        <w:ind w:left="2278" w:hanging="861"/>
      </w:pPr>
      <w:rPr>
        <w:rFonts w:hint="default"/>
        <w:lang w:val="zh-CN" w:eastAsia="zh-CN" w:bidi="zh-CN"/>
      </w:rPr>
    </w:lvl>
    <w:lvl w:ilvl="2" w:tentative="0">
      <w:start w:val="0"/>
      <w:numFmt w:val="bullet"/>
      <w:lvlText w:val="•"/>
      <w:lvlJc w:val="left"/>
      <w:pPr>
        <w:ind w:left="3197" w:hanging="861"/>
      </w:pPr>
      <w:rPr>
        <w:rFonts w:hint="default"/>
        <w:lang w:val="zh-CN" w:eastAsia="zh-CN" w:bidi="zh-CN"/>
      </w:rPr>
    </w:lvl>
    <w:lvl w:ilvl="3" w:tentative="0">
      <w:start w:val="0"/>
      <w:numFmt w:val="bullet"/>
      <w:lvlText w:val="•"/>
      <w:lvlJc w:val="left"/>
      <w:pPr>
        <w:ind w:left="4115" w:hanging="861"/>
      </w:pPr>
      <w:rPr>
        <w:rFonts w:hint="default"/>
        <w:lang w:val="zh-CN" w:eastAsia="zh-CN" w:bidi="zh-CN"/>
      </w:rPr>
    </w:lvl>
    <w:lvl w:ilvl="4" w:tentative="0">
      <w:start w:val="0"/>
      <w:numFmt w:val="bullet"/>
      <w:lvlText w:val="•"/>
      <w:lvlJc w:val="left"/>
      <w:pPr>
        <w:ind w:left="5034" w:hanging="861"/>
      </w:pPr>
      <w:rPr>
        <w:rFonts w:hint="default"/>
        <w:lang w:val="zh-CN" w:eastAsia="zh-CN" w:bidi="zh-CN"/>
      </w:rPr>
    </w:lvl>
    <w:lvl w:ilvl="5" w:tentative="0">
      <w:start w:val="0"/>
      <w:numFmt w:val="bullet"/>
      <w:lvlText w:val="•"/>
      <w:lvlJc w:val="left"/>
      <w:pPr>
        <w:ind w:left="5953" w:hanging="861"/>
      </w:pPr>
      <w:rPr>
        <w:rFonts w:hint="default"/>
        <w:lang w:val="zh-CN" w:eastAsia="zh-CN" w:bidi="zh-CN"/>
      </w:rPr>
    </w:lvl>
    <w:lvl w:ilvl="6" w:tentative="0">
      <w:start w:val="0"/>
      <w:numFmt w:val="bullet"/>
      <w:lvlText w:val="•"/>
      <w:lvlJc w:val="left"/>
      <w:pPr>
        <w:ind w:left="6871" w:hanging="861"/>
      </w:pPr>
      <w:rPr>
        <w:rFonts w:hint="default"/>
        <w:lang w:val="zh-CN" w:eastAsia="zh-CN" w:bidi="zh-CN"/>
      </w:rPr>
    </w:lvl>
    <w:lvl w:ilvl="7" w:tentative="0">
      <w:start w:val="0"/>
      <w:numFmt w:val="bullet"/>
      <w:lvlText w:val="•"/>
      <w:lvlJc w:val="left"/>
      <w:pPr>
        <w:ind w:left="7790" w:hanging="861"/>
      </w:pPr>
      <w:rPr>
        <w:rFonts w:hint="default"/>
        <w:lang w:val="zh-CN" w:eastAsia="zh-CN" w:bidi="zh-CN"/>
      </w:rPr>
    </w:lvl>
    <w:lvl w:ilvl="8" w:tentative="0">
      <w:start w:val="0"/>
      <w:numFmt w:val="bullet"/>
      <w:lvlText w:val="•"/>
      <w:lvlJc w:val="left"/>
      <w:pPr>
        <w:ind w:left="8709" w:hanging="861"/>
      </w:pPr>
      <w:rPr>
        <w:rFonts w:hint="default"/>
        <w:lang w:val="zh-CN" w:eastAsia="zh-CN" w:bidi="zh-CN"/>
      </w:rPr>
    </w:lvl>
  </w:abstractNum>
  <w:abstractNum w:abstractNumId="12">
    <w:nsid w:val="735E319E"/>
    <w:multiLevelType w:val="multilevel"/>
    <w:tmpl w:val="735E319E"/>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7ECEA79"/>
    <w:multiLevelType w:val="multilevel"/>
    <w:tmpl w:val="77ECEA79"/>
    <w:lvl w:ilvl="0" w:tentative="0">
      <w:start w:val="1"/>
      <w:numFmt w:val="decimal"/>
      <w:lvlText w:val="%1."/>
      <w:lvlJc w:val="left"/>
      <w:pPr>
        <w:ind w:left="1195"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num w:numId="1">
    <w:abstractNumId w:val="1"/>
  </w:num>
  <w:num w:numId="2">
    <w:abstractNumId w:val="4"/>
  </w:num>
  <w:num w:numId="3">
    <w:abstractNumId w:val="12"/>
  </w:num>
  <w:num w:numId="4">
    <w:abstractNumId w:val="13"/>
  </w:num>
  <w:num w:numId="5">
    <w:abstractNumId w:val="6"/>
  </w:num>
  <w:num w:numId="6">
    <w:abstractNumId w:val="10"/>
  </w:num>
  <w:num w:numId="7">
    <w:abstractNumId w:val="5"/>
  </w:num>
  <w:num w:numId="8">
    <w:abstractNumId w:val="9"/>
  </w:num>
  <w:num w:numId="9">
    <w:abstractNumId w:val="7"/>
  </w:num>
  <w:num w:numId="10">
    <w:abstractNumId w:val="2"/>
  </w:num>
  <w:num w:numId="11">
    <w:abstractNumId w:val="11"/>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F1"/>
    <w:rsid w:val="00000F62"/>
    <w:rsid w:val="000135A0"/>
    <w:rsid w:val="000206AB"/>
    <w:rsid w:val="000E4303"/>
    <w:rsid w:val="000E6A83"/>
    <w:rsid w:val="001D6C44"/>
    <w:rsid w:val="001E4553"/>
    <w:rsid w:val="001E6256"/>
    <w:rsid w:val="001E7A18"/>
    <w:rsid w:val="00251CC9"/>
    <w:rsid w:val="00285CC2"/>
    <w:rsid w:val="00293527"/>
    <w:rsid w:val="00296F33"/>
    <w:rsid w:val="002D37F1"/>
    <w:rsid w:val="002F513B"/>
    <w:rsid w:val="002F55CE"/>
    <w:rsid w:val="00327A00"/>
    <w:rsid w:val="00361B00"/>
    <w:rsid w:val="0039276B"/>
    <w:rsid w:val="00393F5F"/>
    <w:rsid w:val="003A3DD9"/>
    <w:rsid w:val="003A6F8D"/>
    <w:rsid w:val="003E4417"/>
    <w:rsid w:val="0043206D"/>
    <w:rsid w:val="004B6B42"/>
    <w:rsid w:val="004C35C3"/>
    <w:rsid w:val="004D4726"/>
    <w:rsid w:val="004D5104"/>
    <w:rsid w:val="004F300B"/>
    <w:rsid w:val="00516D4F"/>
    <w:rsid w:val="00526159"/>
    <w:rsid w:val="00577443"/>
    <w:rsid w:val="005A3CEE"/>
    <w:rsid w:val="00626939"/>
    <w:rsid w:val="006734D0"/>
    <w:rsid w:val="006C148A"/>
    <w:rsid w:val="006E0AA3"/>
    <w:rsid w:val="006E26C0"/>
    <w:rsid w:val="006E4C3B"/>
    <w:rsid w:val="00717721"/>
    <w:rsid w:val="00737D09"/>
    <w:rsid w:val="00774434"/>
    <w:rsid w:val="00783D2E"/>
    <w:rsid w:val="00787808"/>
    <w:rsid w:val="007C4637"/>
    <w:rsid w:val="007E1FB7"/>
    <w:rsid w:val="008757D0"/>
    <w:rsid w:val="008A10EC"/>
    <w:rsid w:val="008A1A79"/>
    <w:rsid w:val="008B01E8"/>
    <w:rsid w:val="008B272B"/>
    <w:rsid w:val="008B525A"/>
    <w:rsid w:val="008D4BC1"/>
    <w:rsid w:val="008E5518"/>
    <w:rsid w:val="008F7F87"/>
    <w:rsid w:val="009207F6"/>
    <w:rsid w:val="00957D8A"/>
    <w:rsid w:val="00973674"/>
    <w:rsid w:val="00973FB8"/>
    <w:rsid w:val="009E2A25"/>
    <w:rsid w:val="009F4365"/>
    <w:rsid w:val="00A20F40"/>
    <w:rsid w:val="00A35EB2"/>
    <w:rsid w:val="00A55EC6"/>
    <w:rsid w:val="00A85A42"/>
    <w:rsid w:val="00AA65C0"/>
    <w:rsid w:val="00AF298B"/>
    <w:rsid w:val="00B60DAF"/>
    <w:rsid w:val="00B64FA5"/>
    <w:rsid w:val="00B82146"/>
    <w:rsid w:val="00BD21A3"/>
    <w:rsid w:val="00BF1F1C"/>
    <w:rsid w:val="00C05241"/>
    <w:rsid w:val="00C12C2A"/>
    <w:rsid w:val="00C1794F"/>
    <w:rsid w:val="00C87FD3"/>
    <w:rsid w:val="00CB1339"/>
    <w:rsid w:val="00CD5213"/>
    <w:rsid w:val="00CD5ACB"/>
    <w:rsid w:val="00D26D6D"/>
    <w:rsid w:val="00D457A5"/>
    <w:rsid w:val="00DA3F2A"/>
    <w:rsid w:val="00DE0A08"/>
    <w:rsid w:val="00DE33C2"/>
    <w:rsid w:val="00E105A5"/>
    <w:rsid w:val="00F06485"/>
    <w:rsid w:val="00F25BE6"/>
    <w:rsid w:val="00F4608F"/>
    <w:rsid w:val="00F4770D"/>
    <w:rsid w:val="00F83E99"/>
    <w:rsid w:val="00FD3891"/>
    <w:rsid w:val="00FE79FF"/>
    <w:rsid w:val="00FF4CF5"/>
    <w:rsid w:val="010C0B89"/>
    <w:rsid w:val="01243A9C"/>
    <w:rsid w:val="01406313"/>
    <w:rsid w:val="01B207A4"/>
    <w:rsid w:val="01C70391"/>
    <w:rsid w:val="01EA50E5"/>
    <w:rsid w:val="02176DA3"/>
    <w:rsid w:val="02464F7B"/>
    <w:rsid w:val="02925E30"/>
    <w:rsid w:val="03115CBF"/>
    <w:rsid w:val="03127A98"/>
    <w:rsid w:val="033F307B"/>
    <w:rsid w:val="03912376"/>
    <w:rsid w:val="03A638C8"/>
    <w:rsid w:val="03CB1897"/>
    <w:rsid w:val="03DB4A3A"/>
    <w:rsid w:val="04056846"/>
    <w:rsid w:val="04115A59"/>
    <w:rsid w:val="04202422"/>
    <w:rsid w:val="042753E2"/>
    <w:rsid w:val="044622BE"/>
    <w:rsid w:val="04787DFC"/>
    <w:rsid w:val="0484358A"/>
    <w:rsid w:val="04880BFC"/>
    <w:rsid w:val="051567A5"/>
    <w:rsid w:val="054A2A8E"/>
    <w:rsid w:val="0567012C"/>
    <w:rsid w:val="0569216B"/>
    <w:rsid w:val="05B622BC"/>
    <w:rsid w:val="05E92807"/>
    <w:rsid w:val="05F8602A"/>
    <w:rsid w:val="05FD064B"/>
    <w:rsid w:val="066974DB"/>
    <w:rsid w:val="0681571E"/>
    <w:rsid w:val="0684081A"/>
    <w:rsid w:val="068D138D"/>
    <w:rsid w:val="06F74E26"/>
    <w:rsid w:val="071743B8"/>
    <w:rsid w:val="07180C4D"/>
    <w:rsid w:val="07283D0F"/>
    <w:rsid w:val="073338B4"/>
    <w:rsid w:val="07475204"/>
    <w:rsid w:val="07B63940"/>
    <w:rsid w:val="07BB6F86"/>
    <w:rsid w:val="08353518"/>
    <w:rsid w:val="08BD680F"/>
    <w:rsid w:val="09337B60"/>
    <w:rsid w:val="09B24BA8"/>
    <w:rsid w:val="09F839DB"/>
    <w:rsid w:val="0A0200B1"/>
    <w:rsid w:val="0A18142A"/>
    <w:rsid w:val="0A2F4A2C"/>
    <w:rsid w:val="0A5363B0"/>
    <w:rsid w:val="0A8E2B84"/>
    <w:rsid w:val="0AAD0F6B"/>
    <w:rsid w:val="0AE67462"/>
    <w:rsid w:val="0B1B18FF"/>
    <w:rsid w:val="0B6E2D92"/>
    <w:rsid w:val="0B7279AA"/>
    <w:rsid w:val="0BE329E6"/>
    <w:rsid w:val="0C030485"/>
    <w:rsid w:val="0C062DB7"/>
    <w:rsid w:val="0C701284"/>
    <w:rsid w:val="0C7244D4"/>
    <w:rsid w:val="0D0B350C"/>
    <w:rsid w:val="0D0B760F"/>
    <w:rsid w:val="0D4968BD"/>
    <w:rsid w:val="0D5E0808"/>
    <w:rsid w:val="0D7441CC"/>
    <w:rsid w:val="0D766097"/>
    <w:rsid w:val="0D962DD7"/>
    <w:rsid w:val="0DAD563A"/>
    <w:rsid w:val="0DAE0319"/>
    <w:rsid w:val="0E033323"/>
    <w:rsid w:val="0E76231A"/>
    <w:rsid w:val="0E780A31"/>
    <w:rsid w:val="0F022744"/>
    <w:rsid w:val="0F026F6E"/>
    <w:rsid w:val="0F7B6641"/>
    <w:rsid w:val="0F983FA9"/>
    <w:rsid w:val="0FDB30B2"/>
    <w:rsid w:val="103705F6"/>
    <w:rsid w:val="10635D75"/>
    <w:rsid w:val="107524CB"/>
    <w:rsid w:val="10810622"/>
    <w:rsid w:val="108E40BE"/>
    <w:rsid w:val="10A561F2"/>
    <w:rsid w:val="10A60737"/>
    <w:rsid w:val="10BD1D55"/>
    <w:rsid w:val="1104319B"/>
    <w:rsid w:val="11237CFD"/>
    <w:rsid w:val="11332BD4"/>
    <w:rsid w:val="113C655C"/>
    <w:rsid w:val="116A570F"/>
    <w:rsid w:val="11771DCB"/>
    <w:rsid w:val="11AA41A3"/>
    <w:rsid w:val="11EB17D1"/>
    <w:rsid w:val="11FE08EA"/>
    <w:rsid w:val="120034EC"/>
    <w:rsid w:val="12760CAA"/>
    <w:rsid w:val="12762A08"/>
    <w:rsid w:val="128E20B0"/>
    <w:rsid w:val="12B415CB"/>
    <w:rsid w:val="12D14A27"/>
    <w:rsid w:val="12DA4090"/>
    <w:rsid w:val="13021BBE"/>
    <w:rsid w:val="13377B0B"/>
    <w:rsid w:val="133B7C06"/>
    <w:rsid w:val="134324B0"/>
    <w:rsid w:val="13AD3549"/>
    <w:rsid w:val="13CE2319"/>
    <w:rsid w:val="13DD3E4E"/>
    <w:rsid w:val="14053D39"/>
    <w:rsid w:val="14112620"/>
    <w:rsid w:val="144F0F9C"/>
    <w:rsid w:val="14816051"/>
    <w:rsid w:val="149B7D2F"/>
    <w:rsid w:val="149C677B"/>
    <w:rsid w:val="15395ABB"/>
    <w:rsid w:val="154557D8"/>
    <w:rsid w:val="154960C9"/>
    <w:rsid w:val="15DB3BAB"/>
    <w:rsid w:val="15DD231B"/>
    <w:rsid w:val="15DD3468"/>
    <w:rsid w:val="15DE56C1"/>
    <w:rsid w:val="1604195B"/>
    <w:rsid w:val="163D0697"/>
    <w:rsid w:val="16431E2E"/>
    <w:rsid w:val="164626F3"/>
    <w:rsid w:val="1669628A"/>
    <w:rsid w:val="166B012A"/>
    <w:rsid w:val="16791B07"/>
    <w:rsid w:val="167A7F7F"/>
    <w:rsid w:val="16A8639F"/>
    <w:rsid w:val="16BD262D"/>
    <w:rsid w:val="17893009"/>
    <w:rsid w:val="1790605D"/>
    <w:rsid w:val="1826462B"/>
    <w:rsid w:val="184E695C"/>
    <w:rsid w:val="18667F7F"/>
    <w:rsid w:val="19076D4E"/>
    <w:rsid w:val="19300B20"/>
    <w:rsid w:val="19576DDC"/>
    <w:rsid w:val="199E3705"/>
    <w:rsid w:val="19A659E5"/>
    <w:rsid w:val="19AC4418"/>
    <w:rsid w:val="19E663A7"/>
    <w:rsid w:val="1A1A23F2"/>
    <w:rsid w:val="1A701410"/>
    <w:rsid w:val="1A9E26EB"/>
    <w:rsid w:val="1AC00A16"/>
    <w:rsid w:val="1B1C6C55"/>
    <w:rsid w:val="1B355A17"/>
    <w:rsid w:val="1B371D0C"/>
    <w:rsid w:val="1B490738"/>
    <w:rsid w:val="1B511AD1"/>
    <w:rsid w:val="1B786266"/>
    <w:rsid w:val="1BA93E0F"/>
    <w:rsid w:val="1BE11C38"/>
    <w:rsid w:val="1C1556F5"/>
    <w:rsid w:val="1C760B47"/>
    <w:rsid w:val="1C820332"/>
    <w:rsid w:val="1D1E1075"/>
    <w:rsid w:val="1D2F4BB4"/>
    <w:rsid w:val="1D562528"/>
    <w:rsid w:val="1D671185"/>
    <w:rsid w:val="1D7253F2"/>
    <w:rsid w:val="1DB744A7"/>
    <w:rsid w:val="1E222F29"/>
    <w:rsid w:val="1EA00E00"/>
    <w:rsid w:val="1EB0736B"/>
    <w:rsid w:val="1ECF4E09"/>
    <w:rsid w:val="1ED303F7"/>
    <w:rsid w:val="1F3E5071"/>
    <w:rsid w:val="1F4574BC"/>
    <w:rsid w:val="1F4A005E"/>
    <w:rsid w:val="2071380D"/>
    <w:rsid w:val="208B59E0"/>
    <w:rsid w:val="20A33D7F"/>
    <w:rsid w:val="20CC3348"/>
    <w:rsid w:val="20D20786"/>
    <w:rsid w:val="20E34A76"/>
    <w:rsid w:val="21126D66"/>
    <w:rsid w:val="21202B15"/>
    <w:rsid w:val="213959F3"/>
    <w:rsid w:val="214D38F0"/>
    <w:rsid w:val="21642055"/>
    <w:rsid w:val="217C447B"/>
    <w:rsid w:val="21A35AE8"/>
    <w:rsid w:val="21CF7903"/>
    <w:rsid w:val="21D062A8"/>
    <w:rsid w:val="21E83556"/>
    <w:rsid w:val="21F55323"/>
    <w:rsid w:val="21FD475C"/>
    <w:rsid w:val="220A78E1"/>
    <w:rsid w:val="22201A6B"/>
    <w:rsid w:val="2237172B"/>
    <w:rsid w:val="228A708E"/>
    <w:rsid w:val="22917B1A"/>
    <w:rsid w:val="2310029D"/>
    <w:rsid w:val="23275F61"/>
    <w:rsid w:val="2348677A"/>
    <w:rsid w:val="234D1CA4"/>
    <w:rsid w:val="237025D3"/>
    <w:rsid w:val="23EE1619"/>
    <w:rsid w:val="24064B50"/>
    <w:rsid w:val="242B75F6"/>
    <w:rsid w:val="24D51332"/>
    <w:rsid w:val="2594168C"/>
    <w:rsid w:val="25EA1686"/>
    <w:rsid w:val="267249CC"/>
    <w:rsid w:val="26931276"/>
    <w:rsid w:val="269B6822"/>
    <w:rsid w:val="26CE6463"/>
    <w:rsid w:val="26D81C0C"/>
    <w:rsid w:val="26FA6927"/>
    <w:rsid w:val="271366E8"/>
    <w:rsid w:val="27202EDE"/>
    <w:rsid w:val="27AA205E"/>
    <w:rsid w:val="284260BD"/>
    <w:rsid w:val="284F103E"/>
    <w:rsid w:val="2867045E"/>
    <w:rsid w:val="28C727A5"/>
    <w:rsid w:val="28DB1A35"/>
    <w:rsid w:val="28E60861"/>
    <w:rsid w:val="28F10BC6"/>
    <w:rsid w:val="29205132"/>
    <w:rsid w:val="2950734A"/>
    <w:rsid w:val="296E0F6E"/>
    <w:rsid w:val="298D49D3"/>
    <w:rsid w:val="29AE1F4C"/>
    <w:rsid w:val="29B61ADF"/>
    <w:rsid w:val="2A460EA6"/>
    <w:rsid w:val="2A51573F"/>
    <w:rsid w:val="2AA10893"/>
    <w:rsid w:val="2ADB3BB8"/>
    <w:rsid w:val="2ADC6996"/>
    <w:rsid w:val="2AE55B7B"/>
    <w:rsid w:val="2B035137"/>
    <w:rsid w:val="2B4517D2"/>
    <w:rsid w:val="2B5F60FB"/>
    <w:rsid w:val="2B7217FF"/>
    <w:rsid w:val="2B79705D"/>
    <w:rsid w:val="2BD01B41"/>
    <w:rsid w:val="2BD20E81"/>
    <w:rsid w:val="2C077314"/>
    <w:rsid w:val="2C3203BC"/>
    <w:rsid w:val="2C410160"/>
    <w:rsid w:val="2C5339C6"/>
    <w:rsid w:val="2C8221B6"/>
    <w:rsid w:val="2CD24F93"/>
    <w:rsid w:val="2CE12DB5"/>
    <w:rsid w:val="2CF87258"/>
    <w:rsid w:val="2D0C6333"/>
    <w:rsid w:val="2D216EE9"/>
    <w:rsid w:val="2D264376"/>
    <w:rsid w:val="2D4E4D05"/>
    <w:rsid w:val="2D6B32BE"/>
    <w:rsid w:val="2DBC356C"/>
    <w:rsid w:val="2DF14282"/>
    <w:rsid w:val="2E356041"/>
    <w:rsid w:val="2ECF53C2"/>
    <w:rsid w:val="2EE17E83"/>
    <w:rsid w:val="2F0B0D9F"/>
    <w:rsid w:val="2F1B46EA"/>
    <w:rsid w:val="2F2B182D"/>
    <w:rsid w:val="2F7F3A80"/>
    <w:rsid w:val="2FF929F0"/>
    <w:rsid w:val="30021F9E"/>
    <w:rsid w:val="305045FE"/>
    <w:rsid w:val="30632ACA"/>
    <w:rsid w:val="30851272"/>
    <w:rsid w:val="308771B1"/>
    <w:rsid w:val="30975F76"/>
    <w:rsid w:val="30D4707C"/>
    <w:rsid w:val="310706B7"/>
    <w:rsid w:val="312C5780"/>
    <w:rsid w:val="316044E5"/>
    <w:rsid w:val="31CE1A44"/>
    <w:rsid w:val="31D449A4"/>
    <w:rsid w:val="31E91DE5"/>
    <w:rsid w:val="320474E3"/>
    <w:rsid w:val="325602A1"/>
    <w:rsid w:val="32F90B5D"/>
    <w:rsid w:val="331F0A9F"/>
    <w:rsid w:val="33411D18"/>
    <w:rsid w:val="334637C6"/>
    <w:rsid w:val="33A8798A"/>
    <w:rsid w:val="33E85E17"/>
    <w:rsid w:val="34055E6A"/>
    <w:rsid w:val="340615FF"/>
    <w:rsid w:val="34206494"/>
    <w:rsid w:val="34643704"/>
    <w:rsid w:val="346E57B5"/>
    <w:rsid w:val="34A64140"/>
    <w:rsid w:val="354F57C7"/>
    <w:rsid w:val="355A27C6"/>
    <w:rsid w:val="35A50DCF"/>
    <w:rsid w:val="35A80123"/>
    <w:rsid w:val="35D01960"/>
    <w:rsid w:val="35FF6194"/>
    <w:rsid w:val="36496834"/>
    <w:rsid w:val="364A4C59"/>
    <w:rsid w:val="36804EE4"/>
    <w:rsid w:val="36A1352C"/>
    <w:rsid w:val="36A24BDB"/>
    <w:rsid w:val="36E972B6"/>
    <w:rsid w:val="372A1B75"/>
    <w:rsid w:val="373D4721"/>
    <w:rsid w:val="37F30146"/>
    <w:rsid w:val="381F50D0"/>
    <w:rsid w:val="382F1D5B"/>
    <w:rsid w:val="38737061"/>
    <w:rsid w:val="38945EEE"/>
    <w:rsid w:val="392D2871"/>
    <w:rsid w:val="392D4E02"/>
    <w:rsid w:val="39366BDE"/>
    <w:rsid w:val="39842531"/>
    <w:rsid w:val="3A02247A"/>
    <w:rsid w:val="3A1E24C8"/>
    <w:rsid w:val="3A451AEE"/>
    <w:rsid w:val="3AA13B65"/>
    <w:rsid w:val="3AE54C4A"/>
    <w:rsid w:val="3AF26CCE"/>
    <w:rsid w:val="3AFF3646"/>
    <w:rsid w:val="3B0634A8"/>
    <w:rsid w:val="3B0B42CE"/>
    <w:rsid w:val="3B154D28"/>
    <w:rsid w:val="3B480B0A"/>
    <w:rsid w:val="3B5845B4"/>
    <w:rsid w:val="3B5D3C18"/>
    <w:rsid w:val="3B683D44"/>
    <w:rsid w:val="3B6A1C2C"/>
    <w:rsid w:val="3B6B1BB5"/>
    <w:rsid w:val="3B852EA4"/>
    <w:rsid w:val="3BBE545D"/>
    <w:rsid w:val="3C023DBA"/>
    <w:rsid w:val="3C0904F7"/>
    <w:rsid w:val="3C250E20"/>
    <w:rsid w:val="3CAC4E82"/>
    <w:rsid w:val="3D01085C"/>
    <w:rsid w:val="3D412AAD"/>
    <w:rsid w:val="3D6B6669"/>
    <w:rsid w:val="3D767E24"/>
    <w:rsid w:val="3D8766E7"/>
    <w:rsid w:val="3DCE43BD"/>
    <w:rsid w:val="3E0150B4"/>
    <w:rsid w:val="3E1A339C"/>
    <w:rsid w:val="3E2B0A73"/>
    <w:rsid w:val="3E8B402B"/>
    <w:rsid w:val="3E8E4C85"/>
    <w:rsid w:val="3ED5671A"/>
    <w:rsid w:val="3EED0838"/>
    <w:rsid w:val="3F2D1C7E"/>
    <w:rsid w:val="3F9E29EE"/>
    <w:rsid w:val="3FB84837"/>
    <w:rsid w:val="3FD700B5"/>
    <w:rsid w:val="400E7B64"/>
    <w:rsid w:val="40401539"/>
    <w:rsid w:val="40566ED8"/>
    <w:rsid w:val="40595907"/>
    <w:rsid w:val="40626CDB"/>
    <w:rsid w:val="406C7DA1"/>
    <w:rsid w:val="408A1D2E"/>
    <w:rsid w:val="40EB670B"/>
    <w:rsid w:val="412850F1"/>
    <w:rsid w:val="41461A2D"/>
    <w:rsid w:val="41472230"/>
    <w:rsid w:val="4176542E"/>
    <w:rsid w:val="41B0095E"/>
    <w:rsid w:val="41E86F7B"/>
    <w:rsid w:val="41F67085"/>
    <w:rsid w:val="42262B71"/>
    <w:rsid w:val="423C1190"/>
    <w:rsid w:val="427D50B7"/>
    <w:rsid w:val="42866086"/>
    <w:rsid w:val="42926133"/>
    <w:rsid w:val="42D776A2"/>
    <w:rsid w:val="43900C57"/>
    <w:rsid w:val="439F1792"/>
    <w:rsid w:val="43A70314"/>
    <w:rsid w:val="43B73149"/>
    <w:rsid w:val="43B844A8"/>
    <w:rsid w:val="444302ED"/>
    <w:rsid w:val="44510CA5"/>
    <w:rsid w:val="44935BF2"/>
    <w:rsid w:val="44FB2F41"/>
    <w:rsid w:val="45083E74"/>
    <w:rsid w:val="452730A4"/>
    <w:rsid w:val="45584B7E"/>
    <w:rsid w:val="45682D30"/>
    <w:rsid w:val="457E1488"/>
    <w:rsid w:val="45AF71F1"/>
    <w:rsid w:val="45BC13E0"/>
    <w:rsid w:val="45C85433"/>
    <w:rsid w:val="45D2580C"/>
    <w:rsid w:val="45D55621"/>
    <w:rsid w:val="466D3067"/>
    <w:rsid w:val="469552E7"/>
    <w:rsid w:val="46CE178B"/>
    <w:rsid w:val="46FA22D8"/>
    <w:rsid w:val="46FC5B4B"/>
    <w:rsid w:val="47327055"/>
    <w:rsid w:val="474C1B54"/>
    <w:rsid w:val="47530D56"/>
    <w:rsid w:val="47550485"/>
    <w:rsid w:val="47A60750"/>
    <w:rsid w:val="482855BA"/>
    <w:rsid w:val="48496781"/>
    <w:rsid w:val="48D873DC"/>
    <w:rsid w:val="48DF46D7"/>
    <w:rsid w:val="492A606B"/>
    <w:rsid w:val="49364DCA"/>
    <w:rsid w:val="49544756"/>
    <w:rsid w:val="49577495"/>
    <w:rsid w:val="49B50846"/>
    <w:rsid w:val="49D075BF"/>
    <w:rsid w:val="49F02E22"/>
    <w:rsid w:val="49FD3E22"/>
    <w:rsid w:val="4A1202B5"/>
    <w:rsid w:val="4A582B47"/>
    <w:rsid w:val="4AA05408"/>
    <w:rsid w:val="4AAB39B2"/>
    <w:rsid w:val="4AB06DBF"/>
    <w:rsid w:val="4AFB21E5"/>
    <w:rsid w:val="4B1A228D"/>
    <w:rsid w:val="4B282E57"/>
    <w:rsid w:val="4B4153CE"/>
    <w:rsid w:val="4B76070C"/>
    <w:rsid w:val="4BA35C86"/>
    <w:rsid w:val="4BB1160D"/>
    <w:rsid w:val="4BBB2480"/>
    <w:rsid w:val="4BD96290"/>
    <w:rsid w:val="4C5902E6"/>
    <w:rsid w:val="4C606C5F"/>
    <w:rsid w:val="4C94182B"/>
    <w:rsid w:val="4C96115E"/>
    <w:rsid w:val="4CB9263C"/>
    <w:rsid w:val="4D1542E7"/>
    <w:rsid w:val="4D266C72"/>
    <w:rsid w:val="4D58251E"/>
    <w:rsid w:val="4D872B57"/>
    <w:rsid w:val="4DA27F8D"/>
    <w:rsid w:val="4DB9776C"/>
    <w:rsid w:val="4E4D2C20"/>
    <w:rsid w:val="4E52718A"/>
    <w:rsid w:val="4E6D70A4"/>
    <w:rsid w:val="4EBD68E1"/>
    <w:rsid w:val="4EC639E3"/>
    <w:rsid w:val="4F003031"/>
    <w:rsid w:val="4F03537B"/>
    <w:rsid w:val="4F0D0B2B"/>
    <w:rsid w:val="4F5101D8"/>
    <w:rsid w:val="4FEA7662"/>
    <w:rsid w:val="501D3BDA"/>
    <w:rsid w:val="505F5CA4"/>
    <w:rsid w:val="50673A56"/>
    <w:rsid w:val="5081043B"/>
    <w:rsid w:val="50F20C73"/>
    <w:rsid w:val="50F3479C"/>
    <w:rsid w:val="515C735F"/>
    <w:rsid w:val="51AD0B2C"/>
    <w:rsid w:val="51E77DC0"/>
    <w:rsid w:val="5206204F"/>
    <w:rsid w:val="52262EB3"/>
    <w:rsid w:val="524E386A"/>
    <w:rsid w:val="527948A6"/>
    <w:rsid w:val="52950CB0"/>
    <w:rsid w:val="52E12C88"/>
    <w:rsid w:val="52F82358"/>
    <w:rsid w:val="52F8776C"/>
    <w:rsid w:val="52FF2891"/>
    <w:rsid w:val="52FF293E"/>
    <w:rsid w:val="534A74FF"/>
    <w:rsid w:val="536B11C6"/>
    <w:rsid w:val="53903D27"/>
    <w:rsid w:val="54041562"/>
    <w:rsid w:val="544369C2"/>
    <w:rsid w:val="546522CA"/>
    <w:rsid w:val="54D45470"/>
    <w:rsid w:val="54E041A7"/>
    <w:rsid w:val="54F32EC3"/>
    <w:rsid w:val="554D034D"/>
    <w:rsid w:val="55C91491"/>
    <w:rsid w:val="55D110B9"/>
    <w:rsid w:val="55DA48B5"/>
    <w:rsid w:val="561147BF"/>
    <w:rsid w:val="5680521F"/>
    <w:rsid w:val="56BB6D54"/>
    <w:rsid w:val="56DB76B9"/>
    <w:rsid w:val="56DE5EAC"/>
    <w:rsid w:val="56F2240D"/>
    <w:rsid w:val="56F94153"/>
    <w:rsid w:val="57040946"/>
    <w:rsid w:val="577238D5"/>
    <w:rsid w:val="578818DC"/>
    <w:rsid w:val="578E094A"/>
    <w:rsid w:val="57945650"/>
    <w:rsid w:val="57C92FB3"/>
    <w:rsid w:val="57CC0334"/>
    <w:rsid w:val="57F640F9"/>
    <w:rsid w:val="582F34AD"/>
    <w:rsid w:val="583B73F5"/>
    <w:rsid w:val="587237C0"/>
    <w:rsid w:val="589E5C8A"/>
    <w:rsid w:val="58B854A7"/>
    <w:rsid w:val="58FD0906"/>
    <w:rsid w:val="591E5A75"/>
    <w:rsid w:val="593056C6"/>
    <w:rsid w:val="59AC122F"/>
    <w:rsid w:val="59CF5234"/>
    <w:rsid w:val="59E624DA"/>
    <w:rsid w:val="59F11B8B"/>
    <w:rsid w:val="5A234471"/>
    <w:rsid w:val="5A2B65EE"/>
    <w:rsid w:val="5A41180A"/>
    <w:rsid w:val="5A5C0D49"/>
    <w:rsid w:val="5A7D2131"/>
    <w:rsid w:val="5A8140F1"/>
    <w:rsid w:val="5AA672D0"/>
    <w:rsid w:val="5B5B35E0"/>
    <w:rsid w:val="5B7315A9"/>
    <w:rsid w:val="5C225BDB"/>
    <w:rsid w:val="5C3D5AA4"/>
    <w:rsid w:val="5C4B34CF"/>
    <w:rsid w:val="5D030C6F"/>
    <w:rsid w:val="5DDD3C45"/>
    <w:rsid w:val="5DF05E76"/>
    <w:rsid w:val="5E1A26B7"/>
    <w:rsid w:val="5E3410CA"/>
    <w:rsid w:val="5E6961F7"/>
    <w:rsid w:val="5E702D89"/>
    <w:rsid w:val="5E915308"/>
    <w:rsid w:val="5E96450F"/>
    <w:rsid w:val="5FF54B71"/>
    <w:rsid w:val="60647F4E"/>
    <w:rsid w:val="60A91F84"/>
    <w:rsid w:val="60AB2E29"/>
    <w:rsid w:val="60CC12AD"/>
    <w:rsid w:val="60FF3D0A"/>
    <w:rsid w:val="610054F4"/>
    <w:rsid w:val="610152A4"/>
    <w:rsid w:val="614742AD"/>
    <w:rsid w:val="61535EB9"/>
    <w:rsid w:val="61CA2799"/>
    <w:rsid w:val="61CE7DC8"/>
    <w:rsid w:val="621C2BE9"/>
    <w:rsid w:val="62766C85"/>
    <w:rsid w:val="6328378A"/>
    <w:rsid w:val="63380306"/>
    <w:rsid w:val="635C6F67"/>
    <w:rsid w:val="63676C64"/>
    <w:rsid w:val="63754EF7"/>
    <w:rsid w:val="6401261C"/>
    <w:rsid w:val="642C7422"/>
    <w:rsid w:val="64325624"/>
    <w:rsid w:val="64571E9E"/>
    <w:rsid w:val="64C71CD9"/>
    <w:rsid w:val="64D82208"/>
    <w:rsid w:val="657A6338"/>
    <w:rsid w:val="65940E03"/>
    <w:rsid w:val="66092800"/>
    <w:rsid w:val="668C0AE8"/>
    <w:rsid w:val="6690027B"/>
    <w:rsid w:val="66947D33"/>
    <w:rsid w:val="66A46877"/>
    <w:rsid w:val="66A479C9"/>
    <w:rsid w:val="66F8118A"/>
    <w:rsid w:val="670A399D"/>
    <w:rsid w:val="67625612"/>
    <w:rsid w:val="678E0E8F"/>
    <w:rsid w:val="679A2998"/>
    <w:rsid w:val="67B266AC"/>
    <w:rsid w:val="67BF2E98"/>
    <w:rsid w:val="680A2C30"/>
    <w:rsid w:val="685243A6"/>
    <w:rsid w:val="68653C6B"/>
    <w:rsid w:val="68764F55"/>
    <w:rsid w:val="689D21B0"/>
    <w:rsid w:val="68E47331"/>
    <w:rsid w:val="69022082"/>
    <w:rsid w:val="692552D3"/>
    <w:rsid w:val="697C3348"/>
    <w:rsid w:val="69A96BD7"/>
    <w:rsid w:val="69C7314E"/>
    <w:rsid w:val="69C8174F"/>
    <w:rsid w:val="69D36577"/>
    <w:rsid w:val="69FA04DA"/>
    <w:rsid w:val="6A246A33"/>
    <w:rsid w:val="6A3233B4"/>
    <w:rsid w:val="6AD55B66"/>
    <w:rsid w:val="6AD6367C"/>
    <w:rsid w:val="6B3F697F"/>
    <w:rsid w:val="6B7A2773"/>
    <w:rsid w:val="6B9868E0"/>
    <w:rsid w:val="6BB11C15"/>
    <w:rsid w:val="6BF7374E"/>
    <w:rsid w:val="6BFA4852"/>
    <w:rsid w:val="6C0A731C"/>
    <w:rsid w:val="6C2D21FD"/>
    <w:rsid w:val="6C7270B7"/>
    <w:rsid w:val="6CA60408"/>
    <w:rsid w:val="6CF56D3F"/>
    <w:rsid w:val="6D0D56D4"/>
    <w:rsid w:val="6D4F2FDD"/>
    <w:rsid w:val="6D641B02"/>
    <w:rsid w:val="6E6B2591"/>
    <w:rsid w:val="6EE35630"/>
    <w:rsid w:val="6F496358"/>
    <w:rsid w:val="6FA53571"/>
    <w:rsid w:val="70127D4F"/>
    <w:rsid w:val="701F285F"/>
    <w:rsid w:val="70474E51"/>
    <w:rsid w:val="70A65003"/>
    <w:rsid w:val="70B35962"/>
    <w:rsid w:val="70CA22E5"/>
    <w:rsid w:val="70FD061A"/>
    <w:rsid w:val="710D0E9D"/>
    <w:rsid w:val="714D0F73"/>
    <w:rsid w:val="71682424"/>
    <w:rsid w:val="716A3C65"/>
    <w:rsid w:val="71703480"/>
    <w:rsid w:val="71A14E0E"/>
    <w:rsid w:val="71B57A45"/>
    <w:rsid w:val="71DF562F"/>
    <w:rsid w:val="71F114D4"/>
    <w:rsid w:val="72024577"/>
    <w:rsid w:val="720617E1"/>
    <w:rsid w:val="722C504E"/>
    <w:rsid w:val="724F2859"/>
    <w:rsid w:val="727B3E01"/>
    <w:rsid w:val="72842608"/>
    <w:rsid w:val="72FF5B38"/>
    <w:rsid w:val="731E0E45"/>
    <w:rsid w:val="732C317B"/>
    <w:rsid w:val="736042D5"/>
    <w:rsid w:val="73CC792D"/>
    <w:rsid w:val="73DB38A6"/>
    <w:rsid w:val="73E33B13"/>
    <w:rsid w:val="745C1E56"/>
    <w:rsid w:val="74D2104A"/>
    <w:rsid w:val="751C0818"/>
    <w:rsid w:val="75443BD3"/>
    <w:rsid w:val="7563065E"/>
    <w:rsid w:val="7564350E"/>
    <w:rsid w:val="75741A42"/>
    <w:rsid w:val="757844F5"/>
    <w:rsid w:val="759E009A"/>
    <w:rsid w:val="7664749A"/>
    <w:rsid w:val="76A63082"/>
    <w:rsid w:val="76FF7F0E"/>
    <w:rsid w:val="773365FA"/>
    <w:rsid w:val="778A17AF"/>
    <w:rsid w:val="77962AA4"/>
    <w:rsid w:val="77BE69E1"/>
    <w:rsid w:val="77D8271A"/>
    <w:rsid w:val="78383B30"/>
    <w:rsid w:val="791C676D"/>
    <w:rsid w:val="793226E1"/>
    <w:rsid w:val="7964482B"/>
    <w:rsid w:val="79D6748F"/>
    <w:rsid w:val="7A3437F1"/>
    <w:rsid w:val="7A5066DC"/>
    <w:rsid w:val="7AA53B4C"/>
    <w:rsid w:val="7B01039C"/>
    <w:rsid w:val="7B203493"/>
    <w:rsid w:val="7B527EC1"/>
    <w:rsid w:val="7B6C5650"/>
    <w:rsid w:val="7BA941B2"/>
    <w:rsid w:val="7BC95E33"/>
    <w:rsid w:val="7BD83FA3"/>
    <w:rsid w:val="7BFF6847"/>
    <w:rsid w:val="7C0F3B8B"/>
    <w:rsid w:val="7CA3219D"/>
    <w:rsid w:val="7CC82C94"/>
    <w:rsid w:val="7CE314D5"/>
    <w:rsid w:val="7D3B3893"/>
    <w:rsid w:val="7D42437E"/>
    <w:rsid w:val="7D6E4356"/>
    <w:rsid w:val="7D844AA4"/>
    <w:rsid w:val="7D935CCB"/>
    <w:rsid w:val="7DE31970"/>
    <w:rsid w:val="7DEC7C42"/>
    <w:rsid w:val="7E1202C3"/>
    <w:rsid w:val="7E795F61"/>
    <w:rsid w:val="7EAE7BB5"/>
    <w:rsid w:val="7EDB22D8"/>
    <w:rsid w:val="7F355FE6"/>
    <w:rsid w:val="7F395DB5"/>
    <w:rsid w:val="7F5D5405"/>
    <w:rsid w:val="7F6F1485"/>
    <w:rsid w:val="7F710CE2"/>
    <w:rsid w:val="7FAF2CFA"/>
    <w:rsid w:val="7FB5118D"/>
    <w:rsid w:val="7FC90D2E"/>
    <w:rsid w:val="7FFB7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508"/>
      <w:outlineLvl w:val="0"/>
    </w:pPr>
    <w:rPr>
      <w:b/>
      <w:bCs/>
      <w:sz w:val="36"/>
      <w:szCs w:val="36"/>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1"/>
    <w:pPr>
      <w:spacing w:before="181"/>
      <w:ind w:left="3"/>
      <w:jc w:val="center"/>
      <w:outlineLvl w:val="2"/>
    </w:pPr>
    <w:rPr>
      <w:b/>
      <w:bCs/>
      <w:sz w:val="36"/>
      <w:szCs w:val="36"/>
    </w:rPr>
  </w:style>
  <w:style w:type="paragraph" w:styleId="5">
    <w:name w:val="heading 7"/>
    <w:basedOn w:val="1"/>
    <w:next w:val="1"/>
    <w:qFormat/>
    <w:uiPriority w:val="1"/>
    <w:pPr>
      <w:spacing w:before="30"/>
      <w:ind w:left="987"/>
      <w:outlineLvl w:val="6"/>
    </w:pPr>
    <w:rPr>
      <w:b/>
      <w:bCs/>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toc 3"/>
    <w:basedOn w:val="1"/>
    <w:next w:val="1"/>
    <w:qFormat/>
    <w:uiPriority w:val="39"/>
    <w:pPr>
      <w:ind w:left="840" w:leftChars="400"/>
    </w:pPr>
  </w:style>
  <w:style w:type="paragraph" w:styleId="8">
    <w:name w:val="Plain Text"/>
    <w:basedOn w:val="1"/>
    <w:link w:val="27"/>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39"/>
    <w:pPr>
      <w:spacing w:before="161"/>
      <w:ind w:left="508"/>
    </w:pPr>
    <w:rPr>
      <w:sz w:val="24"/>
      <w:szCs w:val="24"/>
    </w:rPr>
  </w:style>
  <w:style w:type="paragraph" w:styleId="12">
    <w:name w:val="toc 2"/>
    <w:basedOn w:val="1"/>
    <w:next w:val="1"/>
    <w:qFormat/>
    <w:uiPriority w:val="39"/>
    <w:pPr>
      <w:ind w:left="420" w:leftChars="200"/>
    </w:p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semiHidden/>
    <w:unhideWhenUsed/>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styleId="15">
    <w:name w:val="Body Text First Indent"/>
    <w:basedOn w:val="6"/>
    <w:qFormat/>
    <w:uiPriority w:val="0"/>
    <w:pPr>
      <w:ind w:firstLine="420" w:firstLineChars="100"/>
    </w:pPr>
    <w:rPr>
      <w:rFonts w:ascii="Times New Roman" w:hAnsi="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paragraph" w:customStyle="1" w:styleId="2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styleId="23">
    <w:name w:val="List Paragraph"/>
    <w:basedOn w:val="1"/>
    <w:qFormat/>
    <w:uiPriority w:val="1"/>
    <w:pPr>
      <w:spacing w:before="161"/>
      <w:ind w:left="508" w:firstLine="480"/>
    </w:pPr>
  </w:style>
  <w:style w:type="paragraph" w:customStyle="1" w:styleId="24">
    <w:name w:val="样式 首行缩进:  2 字符"/>
    <w:basedOn w:val="1"/>
    <w:qFormat/>
    <w:uiPriority w:val="0"/>
    <w:pPr>
      <w:ind w:firstLine="560"/>
    </w:pPr>
    <w:rPr>
      <w:rFonts w:eastAsia="仿宋_GB2312"/>
      <w:sz w:val="24"/>
      <w:szCs w:val="20"/>
    </w:rPr>
  </w:style>
  <w:style w:type="paragraph" w:customStyle="1" w:styleId="25">
    <w:name w:val="Table Paragraph"/>
    <w:basedOn w:val="1"/>
    <w:qFormat/>
    <w:uiPriority w:val="1"/>
  </w:style>
  <w:style w:type="table" w:customStyle="1" w:styleId="26">
    <w:name w:val="Table Normal"/>
    <w:unhideWhenUsed/>
    <w:qFormat/>
    <w:uiPriority w:val="2"/>
    <w:tblPr>
      <w:tblCellMar>
        <w:top w:w="0" w:type="dxa"/>
        <w:left w:w="0" w:type="dxa"/>
        <w:bottom w:w="0" w:type="dxa"/>
        <w:right w:w="0" w:type="dxa"/>
      </w:tblCellMar>
    </w:tblPr>
  </w:style>
  <w:style w:type="character" w:customStyle="1" w:styleId="27">
    <w:name w:val="纯文本 Char"/>
    <w:basedOn w:val="18"/>
    <w:link w:val="8"/>
    <w:qFormat/>
    <w:uiPriority w:val="0"/>
    <w:rPr>
      <w:rFonts w:ascii="宋体" w:hAnsi="Courier New" w:cs="Courier New"/>
      <w:sz w:val="21"/>
      <w:szCs w:val="21"/>
      <w:lang w:val="zh-CN" w:bidi="zh-CN"/>
    </w:rPr>
  </w:style>
  <w:style w:type="paragraph" w:customStyle="1" w:styleId="28">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2E75B6" w:themeColor="accent1" w:themeShade="BF"/>
      <w:sz w:val="32"/>
      <w:szCs w:val="32"/>
      <w:lang w:val="en-US" w:bidi="ar-SA"/>
    </w:rPr>
  </w:style>
  <w:style w:type="character" w:customStyle="1" w:styleId="29">
    <w:name w:val="font1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D8717-D1DF-49F6-A09E-59EA9D8CD8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3884</Words>
  <Characters>22145</Characters>
  <Lines>184</Lines>
  <Paragraphs>51</Paragraphs>
  <TotalTime>1</TotalTime>
  <ScaleCrop>false</ScaleCrop>
  <LinksUpToDate>false</LinksUpToDate>
  <CharactersWithSpaces>25978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2019-05-21T08:29:00Z</dcterms:created>
  <dc:creator>20160321</dc:creator>
  <cp:lastModifiedBy>小船不翻</cp:lastModifiedBy>
  <cp:lastPrinted>2020-05-21T07:36:00Z</cp:lastPrinted>
  <dcterms:modified xsi:type="dcterms:W3CDTF">2020-05-21T08:39:37Z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2018-08-06T16:00:00Z</vt:filetime>
  </property>
  <property fmtid="{D5CDD505-2E9C-101B-9397-08002B2CF9AE}" pid="3" name="Creator">
    <vt:lpwstr>Microsoft® Office Word 2007</vt:lpwstr>
  </property>
  <property fmtid="{D5CDD505-2E9C-101B-9397-08002B2CF9AE}" pid="4" name="LastSaved">
    <vt:filetime>2018-09-02T16:00:00Z</vt:filetime>
  </property>
  <property fmtid="{D5CDD505-2E9C-101B-9397-08002B2CF9AE}" pid="5" name="KSOProductBuildVer">
    <vt:lpwstr>2052-11.1.0.9584</vt:lpwstr>
  </property>
</Properties>
</file>