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40" w:lineRule="exact"/>
        <w:ind w:firstLine="482"/>
        <w:jc w:val="left"/>
        <w:rPr>
          <w:rFonts w:ascii="宋体" w:hAnsi="宋体"/>
          <w:b/>
        </w:rPr>
      </w:pPr>
      <w:r>
        <w:rPr>
          <w:rFonts w:hint="eastAsia" w:ascii="宋体" w:hAnsi="宋体"/>
          <w:b/>
        </w:rPr>
        <w:t>特别提示：</w:t>
      </w:r>
    </w:p>
    <w:p>
      <w:pPr>
        <w:spacing w:line="440" w:lineRule="exact"/>
        <w:ind w:firstLine="480"/>
        <w:rPr>
          <w:rFonts w:ascii="宋体" w:hAnsi="宋体"/>
        </w:rPr>
      </w:pPr>
      <w:r>
        <w:rPr>
          <w:rFonts w:hint="eastAsia" w:ascii="宋体" w:hAnsi="宋体"/>
        </w:rPr>
        <w:t>1、该项目报名及网上投标需在青海省政府采购电子化平台上操作，具体相关操作事宜请务必提前与青海省政府采购电子化平台的技术支持部门联系。</w:t>
      </w:r>
    </w:p>
    <w:p>
      <w:pPr>
        <w:spacing w:line="440" w:lineRule="exact"/>
        <w:ind w:firstLine="480"/>
        <w:rPr>
          <w:rFonts w:ascii="宋体" w:hAnsi="宋体"/>
        </w:rPr>
      </w:pPr>
      <w:r>
        <w:rPr>
          <w:rFonts w:hint="eastAsia" w:ascii="宋体" w:hAnsi="宋体"/>
        </w:rPr>
        <w:t>2、参与投标的供应商必须在青海省政府采购中心登记。（省政务服务监督管理局二楼，联系电话：0971-5115646）</w:t>
      </w:r>
    </w:p>
    <w:p>
      <w:pPr>
        <w:spacing w:line="440" w:lineRule="exact"/>
        <w:ind w:firstLine="480"/>
        <w:rPr>
          <w:rFonts w:ascii="宋体" w:hAnsi="宋体"/>
        </w:rPr>
      </w:pPr>
      <w:r>
        <w:rPr>
          <w:rFonts w:hint="eastAsia" w:ascii="宋体" w:hAnsi="宋体"/>
        </w:rPr>
        <w:t>3、参与投标的供应商须办理青海省政府采购电子化平台投标的相关手续，且具备在青海省政府采购电子化平台上投标的能力。（技术咨询：王女士，联系电话：0971-8224398）</w:t>
      </w:r>
    </w:p>
    <w:p>
      <w:pPr>
        <w:spacing w:line="440" w:lineRule="exact"/>
        <w:ind w:firstLine="480"/>
        <w:rPr>
          <w:rFonts w:ascii="宋体" w:hAnsi="宋体"/>
        </w:rPr>
      </w:pPr>
      <w:r>
        <w:rPr>
          <w:rFonts w:hint="eastAsia" w:ascii="宋体" w:hAnsi="宋体"/>
        </w:rPr>
        <w:t>4、为了给投标人提供更好的服务，请办理注册、获取“安全证书”、电子标书制作等业务的供应商，务必统一加入青海省政府采购中心官方网站（http://118.213.59.178:8088/login?cloudid=104）QQ群（156765251、235610913、295834281、437762380、809415646）进行技术支持及业务咨询。</w:t>
      </w:r>
    </w:p>
    <w:p>
      <w:pPr>
        <w:spacing w:line="440" w:lineRule="exact"/>
        <w:ind w:firstLine="480"/>
        <w:rPr>
          <w:rFonts w:ascii="宋体" w:hAnsi="宋体"/>
        </w:rPr>
      </w:pPr>
      <w:r>
        <w:rPr>
          <w:rFonts w:hint="eastAsia" w:ascii="宋体" w:hAnsi="宋体"/>
        </w:rPr>
        <w:t>5、供应商应充分考虑到网上投标可能会发生的故障和风险，应尽早上传投标文件及数据文件。如果电子平台操作遇到困难，或因网上不能如期上传投标文件的，请提前在上班时间及时与技术支持部门联系，到采购中心设置的供应商服务处办理。（技术支持部门联系人及电话：邹先生 0971-6105230）</w:t>
      </w:r>
    </w:p>
    <w:p>
      <w:pPr>
        <w:spacing w:line="440" w:lineRule="exact"/>
        <w:ind w:firstLine="480"/>
        <w:rPr>
          <w:rFonts w:ascii="宋体" w:hAnsi="宋体"/>
        </w:rPr>
      </w:pPr>
      <w:r>
        <w:rPr>
          <w:rFonts w:hint="eastAsia" w:ascii="宋体" w:hAnsi="宋体"/>
        </w:rPr>
        <w:t>6、投标保证金务必于投标截止时间前，按采购文件的要求足额存入指定账户。考虑跨行转账可能延迟到账时间，请提前办理相关手续，转账、退还过程中如遇问题，请及时与财务部门联系（联系电话：0971-6151685）。</w:t>
      </w:r>
    </w:p>
    <w:p>
      <w:pPr>
        <w:spacing w:line="440" w:lineRule="exact"/>
        <w:ind w:firstLine="480"/>
      </w:pPr>
      <w:r>
        <w:rPr>
          <w:rFonts w:hint="eastAsia" w:ascii="宋体" w:hAnsi="宋体"/>
        </w:rPr>
        <w:t>（本提示不作为采购文件的组成部分）</w:t>
      </w:r>
    </w:p>
    <w:p>
      <w:pPr>
        <w:ind w:firstLine="0" w:firstLineChars="0"/>
        <w:jc w:val="left"/>
        <w:rPr>
          <w:sz w:val="28"/>
          <w:szCs w:val="28"/>
        </w:rPr>
      </w:pPr>
      <w:r>
        <w:rPr>
          <w:i/>
          <w:sz w:val="28"/>
          <w:szCs w:val="28"/>
        </w:rPr>
        <w:br w:type="page"/>
      </w:r>
    </w:p>
    <w:p>
      <w:pPr>
        <w:ind w:firstLine="0" w:firstLineChars="0"/>
        <w:jc w:val="left"/>
        <w:rPr>
          <w:sz w:val="28"/>
          <w:szCs w:val="28"/>
        </w:rPr>
      </w:pPr>
    </w:p>
    <w:p>
      <w:pPr>
        <w:ind w:firstLine="0" w:firstLineChars="0"/>
        <w:jc w:val="left"/>
        <w:rPr>
          <w:sz w:val="28"/>
          <w:szCs w:val="28"/>
        </w:rPr>
      </w:pPr>
    </w:p>
    <w:p>
      <w:pPr>
        <w:autoSpaceDE w:val="0"/>
        <w:autoSpaceDN w:val="0"/>
        <w:adjustRightInd w:val="0"/>
        <w:spacing w:line="360" w:lineRule="auto"/>
        <w:ind w:firstLine="2341" w:firstLineChars="450"/>
        <w:rPr>
          <w:rFonts w:ascii="方正行楷简体" w:hAnsi="新宋体" w:eastAsia="方正行楷简体"/>
          <w:b/>
          <w:sz w:val="52"/>
          <w:szCs w:val="52"/>
        </w:rPr>
      </w:pPr>
      <w:r>
        <w:rPr>
          <w:rFonts w:hint="eastAsia" w:ascii="方正行楷简体" w:hAnsi="新宋体" w:eastAsia="方正行楷简体" w:cs="华文行楷"/>
          <w:b/>
          <w:sz w:val="52"/>
          <w:szCs w:val="52"/>
          <w:lang w:val="zh-CN"/>
        </w:rPr>
        <w:t>青海省政府采购</w:t>
      </w:r>
    </w:p>
    <w:p>
      <w:pPr>
        <w:autoSpaceDE w:val="0"/>
        <w:autoSpaceDN w:val="0"/>
        <w:adjustRightInd w:val="0"/>
        <w:spacing w:line="360" w:lineRule="auto"/>
        <w:ind w:firstLine="0" w:firstLineChars="0"/>
        <w:rPr>
          <w:rFonts w:ascii="方正楷体_GBK" w:hAnsi="宋体" w:eastAsia="方正楷体_GBK" w:cs="华文中宋"/>
          <w:b/>
          <w:sz w:val="36"/>
          <w:szCs w:val="36"/>
          <w:lang w:val="zh-CN"/>
        </w:rPr>
      </w:pPr>
    </w:p>
    <w:p>
      <w:pPr>
        <w:autoSpaceDE w:val="0"/>
        <w:autoSpaceDN w:val="0"/>
        <w:adjustRightInd w:val="0"/>
        <w:spacing w:line="360" w:lineRule="auto"/>
        <w:ind w:firstLine="0" w:firstLineChars="0"/>
        <w:rPr>
          <w:rFonts w:ascii="方正楷体_GBK" w:hAnsi="宋体" w:eastAsia="方正楷体_GBK" w:cs="华文中宋"/>
          <w:b/>
          <w:sz w:val="36"/>
          <w:szCs w:val="36"/>
          <w:lang w:val="zh-CN"/>
        </w:rPr>
      </w:pPr>
    </w:p>
    <w:p>
      <w:pPr>
        <w:autoSpaceDE w:val="0"/>
        <w:autoSpaceDN w:val="0"/>
        <w:adjustRightInd w:val="0"/>
        <w:spacing w:line="360" w:lineRule="auto"/>
        <w:ind w:firstLine="2108" w:firstLineChars="250"/>
        <w:rPr>
          <w:rFonts w:ascii="方正楷体_GBK" w:hAnsi="宋体" w:eastAsia="方正楷体_GBK"/>
          <w:b/>
          <w:sz w:val="84"/>
          <w:szCs w:val="84"/>
        </w:rPr>
      </w:pPr>
      <w:r>
        <w:rPr>
          <w:rFonts w:hint="eastAsia" w:ascii="方正楷体_GBK" w:hAnsi="宋体" w:eastAsia="方正楷体_GBK" w:cs="华文中宋"/>
          <w:b/>
          <w:sz w:val="84"/>
          <w:szCs w:val="84"/>
          <w:lang w:val="zh-CN"/>
        </w:rPr>
        <w:t>招 标</w:t>
      </w:r>
      <w:r>
        <w:rPr>
          <w:rFonts w:hint="eastAsia" w:ascii="方正楷体_GBK" w:hAnsi="宋体" w:eastAsia="方正楷体_GBK"/>
          <w:b/>
          <w:sz w:val="84"/>
          <w:szCs w:val="84"/>
        </w:rPr>
        <w:t xml:space="preserve"> </w:t>
      </w:r>
      <w:r>
        <w:rPr>
          <w:rFonts w:hint="eastAsia" w:ascii="方正楷体_GBK" w:hAnsi="宋体" w:eastAsia="方正楷体_GBK" w:cs="华文中宋"/>
          <w:b/>
          <w:sz w:val="84"/>
          <w:szCs w:val="84"/>
          <w:lang w:val="zh-CN"/>
        </w:rPr>
        <w:t>文</w:t>
      </w:r>
      <w:r>
        <w:rPr>
          <w:rFonts w:hint="eastAsia" w:ascii="方正楷体_GBK" w:hAnsi="宋体" w:eastAsia="方正楷体_GBK"/>
          <w:b/>
          <w:sz w:val="84"/>
          <w:szCs w:val="84"/>
        </w:rPr>
        <w:t xml:space="preserve"> </w:t>
      </w:r>
      <w:r>
        <w:rPr>
          <w:rFonts w:hint="eastAsia" w:ascii="方正楷体_GBK" w:hAnsi="宋体" w:eastAsia="方正楷体_GBK" w:cs="华文中宋"/>
          <w:b/>
          <w:sz w:val="84"/>
          <w:szCs w:val="84"/>
          <w:lang w:val="zh-CN"/>
        </w:rPr>
        <w:t>件</w:t>
      </w:r>
    </w:p>
    <w:p>
      <w:pPr>
        <w:adjustRightInd w:val="0"/>
        <w:spacing w:line="360" w:lineRule="auto"/>
        <w:ind w:firstLine="0" w:firstLineChars="0"/>
        <w:textAlignment w:val="baseline"/>
        <w:rPr>
          <w:rFonts w:ascii="仿宋_GB2312" w:hAnsi="宋体" w:eastAsia="仿宋_GB2312"/>
          <w:b/>
          <w:sz w:val="36"/>
          <w:szCs w:val="36"/>
        </w:rPr>
      </w:pPr>
    </w:p>
    <w:p>
      <w:pPr>
        <w:adjustRightInd w:val="0"/>
        <w:spacing w:line="360" w:lineRule="auto"/>
        <w:ind w:firstLine="0" w:firstLineChars="0"/>
        <w:textAlignment w:val="baseline"/>
        <w:rPr>
          <w:rFonts w:ascii="宋体" w:hAnsi="宋体"/>
          <w:b/>
          <w:sz w:val="36"/>
          <w:szCs w:val="36"/>
        </w:rPr>
      </w:pPr>
      <w:r>
        <w:rPr>
          <w:rFonts w:hint="eastAsia" w:ascii="宋体" w:hAnsi="宋体"/>
          <w:b/>
          <w:sz w:val="36"/>
          <w:szCs w:val="36"/>
        </w:rPr>
        <w:t>采购项目编号：青政采公招（货物）2022-055号</w:t>
      </w:r>
    </w:p>
    <w:p>
      <w:pPr>
        <w:adjustRightInd w:val="0"/>
        <w:spacing w:line="360" w:lineRule="auto"/>
        <w:ind w:left="2512" w:hanging="2512" w:hangingChars="695"/>
        <w:textAlignment w:val="baseline"/>
        <w:rPr>
          <w:rFonts w:ascii="宋体" w:hAnsi="宋体"/>
          <w:b/>
          <w:sz w:val="36"/>
          <w:szCs w:val="36"/>
        </w:rPr>
      </w:pPr>
      <w:r>
        <w:rPr>
          <w:rFonts w:hint="eastAsia" w:ascii="宋体" w:hAnsi="宋体"/>
          <w:b/>
          <w:sz w:val="36"/>
          <w:szCs w:val="36"/>
        </w:rPr>
        <w:t>采购项目名称：青海大学教学基本条件改善采购项目</w:t>
      </w:r>
    </w:p>
    <w:p>
      <w:pPr>
        <w:adjustRightInd w:val="0"/>
        <w:spacing w:line="360" w:lineRule="auto"/>
        <w:ind w:right="77" w:rightChars="32" w:firstLine="0" w:firstLineChars="0"/>
        <w:textAlignment w:val="baseline"/>
        <w:rPr>
          <w:b/>
        </w:rPr>
      </w:pPr>
      <w:r>
        <w:rPr>
          <w:rFonts w:hint="eastAsia"/>
          <w:b/>
          <w:sz w:val="36"/>
          <w:szCs w:val="36"/>
        </w:rPr>
        <w:t>采  购 单 位：青海大学</w:t>
      </w:r>
    </w:p>
    <w:p>
      <w:pPr>
        <w:adjustRightInd w:val="0"/>
        <w:spacing w:line="360" w:lineRule="auto"/>
        <w:ind w:firstLine="0" w:firstLineChars="0"/>
        <w:textAlignment w:val="baseline"/>
        <w:rPr>
          <w:b/>
        </w:rPr>
      </w:pPr>
    </w:p>
    <w:p>
      <w:pPr>
        <w:adjustRightInd w:val="0"/>
        <w:spacing w:line="360" w:lineRule="auto"/>
        <w:ind w:firstLine="0" w:firstLineChars="0"/>
        <w:textAlignment w:val="baseline"/>
        <w:rPr>
          <w:b/>
        </w:rPr>
      </w:pPr>
    </w:p>
    <w:p>
      <w:pPr>
        <w:adjustRightInd w:val="0"/>
        <w:spacing w:line="360" w:lineRule="auto"/>
        <w:ind w:firstLine="0" w:firstLineChars="0"/>
        <w:textAlignment w:val="baseline"/>
        <w:rPr>
          <w:b/>
        </w:rPr>
      </w:pPr>
    </w:p>
    <w:p>
      <w:pPr>
        <w:adjustRightInd w:val="0"/>
        <w:spacing w:line="360" w:lineRule="auto"/>
        <w:ind w:firstLine="0" w:firstLineChars="0"/>
        <w:textAlignment w:val="baseline"/>
        <w:rPr>
          <w:b/>
        </w:rPr>
      </w:pPr>
    </w:p>
    <w:p>
      <w:pPr>
        <w:adjustRightInd w:val="0"/>
        <w:spacing w:line="360" w:lineRule="auto"/>
        <w:ind w:firstLine="0" w:firstLineChars="0"/>
        <w:textAlignment w:val="baseline"/>
        <w:rPr>
          <w:b/>
        </w:rPr>
      </w:pPr>
    </w:p>
    <w:p>
      <w:pPr>
        <w:adjustRightInd w:val="0"/>
        <w:spacing w:line="360" w:lineRule="auto"/>
        <w:ind w:firstLine="0" w:firstLineChars="0"/>
        <w:jc w:val="center"/>
        <w:textAlignment w:val="baseline"/>
        <w:rPr>
          <w:rFonts w:ascii="宋体" w:hAnsi="宋体"/>
          <w:b/>
          <w:sz w:val="32"/>
          <w:szCs w:val="32"/>
        </w:rPr>
      </w:pPr>
      <w:r>
        <w:rPr>
          <w:rFonts w:hint="eastAsia" w:ascii="宋体" w:hAnsi="宋体"/>
          <w:b/>
          <w:sz w:val="32"/>
          <w:szCs w:val="32"/>
        </w:rPr>
        <w:t>青海省政府采购中心编制</w:t>
      </w:r>
    </w:p>
    <w:p>
      <w:pPr>
        <w:tabs>
          <w:tab w:val="left" w:pos="1256"/>
          <w:tab w:val="center" w:pos="4479"/>
        </w:tabs>
        <w:adjustRightInd w:val="0"/>
        <w:spacing w:line="360" w:lineRule="auto"/>
        <w:ind w:firstLine="0" w:firstLineChars="0"/>
        <w:jc w:val="center"/>
        <w:textAlignment w:val="baseline"/>
        <w:rPr>
          <w:rFonts w:ascii="宋体" w:hAnsi="宋体"/>
          <w:b/>
          <w:sz w:val="40"/>
          <w:szCs w:val="30"/>
        </w:rPr>
      </w:pPr>
      <w:r>
        <w:rPr>
          <w:rFonts w:hint="eastAsia" w:ascii="宋体" w:hAnsi="宋体"/>
          <w:b/>
          <w:sz w:val="32"/>
          <w:szCs w:val="32"/>
        </w:rPr>
        <w:t>2022年5月</w:t>
      </w:r>
    </w:p>
    <w:p>
      <w:pPr>
        <w:adjustRightInd w:val="0"/>
        <w:spacing w:line="280" w:lineRule="exact"/>
        <w:ind w:firstLine="0" w:firstLineChars="0"/>
        <w:jc w:val="center"/>
        <w:textAlignment w:val="baseline"/>
        <w:rPr>
          <w:rFonts w:ascii="宋体" w:hAnsi="宋体"/>
          <w:b/>
          <w:sz w:val="32"/>
          <w:szCs w:val="32"/>
        </w:rPr>
      </w:pPr>
      <w:r>
        <w:rPr>
          <w:rFonts w:ascii="宋体" w:hAnsi="宋体"/>
          <w:b/>
          <w:sz w:val="40"/>
          <w:szCs w:val="30"/>
        </w:rPr>
        <w:br w:type="page"/>
      </w:r>
      <w:r>
        <w:rPr>
          <w:rFonts w:hint="eastAsia" w:ascii="宋体" w:hAnsi="宋体"/>
          <w:b/>
          <w:sz w:val="32"/>
          <w:szCs w:val="32"/>
        </w:rPr>
        <w:t>目  录</w:t>
      </w:r>
    </w:p>
    <w:p>
      <w:pPr>
        <w:pStyle w:val="40"/>
        <w:tabs>
          <w:tab w:val="right" w:leader="dot" w:pos="8948"/>
        </w:tabs>
        <w:spacing w:line="260" w:lineRule="exact"/>
        <w:ind w:firstLine="480"/>
        <w:rPr>
          <w:rFonts w:ascii="宋体" w:hAnsi="宋体"/>
          <w:b w:val="0"/>
          <w:bCs w:val="0"/>
          <w:caps w:val="0"/>
          <w:sz w:val="24"/>
          <w:szCs w:val="24"/>
        </w:rPr>
      </w:pPr>
      <w:r>
        <w:rPr>
          <w:rFonts w:hint="eastAsia" w:ascii="宋体" w:hAnsi="宋体" w:cs="宋体"/>
          <w:b w:val="0"/>
          <w:bCs w:val="0"/>
          <w:kern w:val="0"/>
          <w:sz w:val="24"/>
          <w:szCs w:val="24"/>
        </w:rPr>
        <w:fldChar w:fldCharType="begin"/>
      </w:r>
      <w:r>
        <w:rPr>
          <w:rStyle w:val="72"/>
          <w:rFonts w:hint="eastAsia" w:ascii="宋体" w:hAnsi="宋体" w:cs="宋体"/>
          <w:b w:val="0"/>
          <w:bCs w:val="0"/>
          <w:color w:val="auto"/>
          <w:kern w:val="0"/>
          <w:sz w:val="24"/>
          <w:szCs w:val="24"/>
        </w:rPr>
        <w:instrText xml:space="preserve"> TOC \o "1-3" \h \z \u </w:instrText>
      </w:r>
      <w:r>
        <w:rPr>
          <w:rFonts w:hint="eastAsia" w:ascii="宋体" w:hAnsi="宋体" w:cs="宋体"/>
          <w:b w:val="0"/>
          <w:bCs w:val="0"/>
          <w:kern w:val="0"/>
          <w:sz w:val="24"/>
          <w:szCs w:val="24"/>
        </w:rPr>
        <w:fldChar w:fldCharType="separate"/>
      </w:r>
      <w:r>
        <w:fldChar w:fldCharType="begin"/>
      </w:r>
      <w:r>
        <w:instrText xml:space="preserve"> HYPERLINK \l "_Toc82441578" </w:instrText>
      </w:r>
      <w:r>
        <w:fldChar w:fldCharType="separate"/>
      </w:r>
      <w:r>
        <w:rPr>
          <w:rStyle w:val="72"/>
          <w:rFonts w:hint="eastAsia" w:ascii="宋体" w:hAnsi="宋体"/>
          <w:b w:val="0"/>
          <w:color w:val="auto"/>
          <w:sz w:val="24"/>
          <w:szCs w:val="24"/>
        </w:rPr>
        <w:t>第一部分  投标人须知前附表</w:t>
      </w:r>
      <w:r>
        <w:rPr>
          <w:rFonts w:hint="eastAsia" w:ascii="宋体" w:hAnsi="宋体"/>
          <w:b w:val="0"/>
          <w:sz w:val="24"/>
          <w:szCs w:val="24"/>
        </w:rPr>
        <w:tab/>
      </w:r>
      <w:r>
        <w:rPr>
          <w:rFonts w:hint="eastAsia" w:ascii="宋体" w:hAnsi="宋体"/>
          <w:b w:val="0"/>
          <w:sz w:val="24"/>
          <w:szCs w:val="24"/>
        </w:rPr>
        <w:fldChar w:fldCharType="begin"/>
      </w:r>
      <w:r>
        <w:rPr>
          <w:rFonts w:hint="eastAsia" w:ascii="宋体" w:hAnsi="宋体"/>
          <w:b w:val="0"/>
          <w:sz w:val="24"/>
          <w:szCs w:val="24"/>
        </w:rPr>
        <w:instrText xml:space="preserve"> </w:instrText>
      </w:r>
      <w:r>
        <w:rPr>
          <w:rFonts w:ascii="宋体" w:hAnsi="宋体"/>
          <w:b w:val="0"/>
          <w:sz w:val="24"/>
          <w:szCs w:val="24"/>
        </w:rPr>
        <w:instrText xml:space="preserve">PAGEREF _Toc82441578 \h</w:instrText>
      </w:r>
      <w:r>
        <w:rPr>
          <w:rFonts w:hint="eastAsia" w:ascii="宋体" w:hAnsi="宋体"/>
          <w:b w:val="0"/>
          <w:sz w:val="24"/>
          <w:szCs w:val="24"/>
        </w:rPr>
        <w:instrText xml:space="preserve"> </w:instrText>
      </w:r>
      <w:r>
        <w:rPr>
          <w:rFonts w:hint="eastAsia" w:ascii="宋体" w:hAnsi="宋体"/>
          <w:b w:val="0"/>
          <w:sz w:val="24"/>
          <w:szCs w:val="24"/>
        </w:rPr>
        <w:fldChar w:fldCharType="separate"/>
      </w:r>
      <w:r>
        <w:rPr>
          <w:rFonts w:ascii="宋体" w:hAnsi="宋体"/>
          <w:b w:val="0"/>
          <w:sz w:val="24"/>
          <w:szCs w:val="24"/>
        </w:rPr>
        <w:t>4</w:t>
      </w:r>
      <w:r>
        <w:rPr>
          <w:rFonts w:hint="eastAsia" w:ascii="宋体" w:hAnsi="宋体"/>
          <w:b w:val="0"/>
          <w:sz w:val="24"/>
          <w:szCs w:val="24"/>
        </w:rPr>
        <w:fldChar w:fldCharType="end"/>
      </w:r>
      <w:r>
        <w:rPr>
          <w:rFonts w:hint="eastAsia" w:ascii="宋体" w:hAnsi="宋体"/>
          <w:b w:val="0"/>
          <w:sz w:val="24"/>
          <w:szCs w:val="24"/>
        </w:rPr>
        <w:fldChar w:fldCharType="end"/>
      </w:r>
    </w:p>
    <w:p>
      <w:pPr>
        <w:pStyle w:val="40"/>
        <w:tabs>
          <w:tab w:val="right" w:leader="dot" w:pos="8948"/>
        </w:tabs>
        <w:spacing w:line="260" w:lineRule="exact"/>
        <w:ind w:firstLine="402"/>
        <w:rPr>
          <w:rFonts w:ascii="宋体" w:hAnsi="宋体"/>
          <w:b w:val="0"/>
          <w:bCs w:val="0"/>
          <w:caps w:val="0"/>
          <w:sz w:val="24"/>
          <w:szCs w:val="24"/>
        </w:rPr>
      </w:pPr>
      <w:r>
        <w:fldChar w:fldCharType="begin"/>
      </w:r>
      <w:r>
        <w:instrText xml:space="preserve"> HYPERLINK \l "_Toc82441579" </w:instrText>
      </w:r>
      <w:r>
        <w:fldChar w:fldCharType="separate"/>
      </w:r>
      <w:r>
        <w:rPr>
          <w:rStyle w:val="72"/>
          <w:rFonts w:hint="eastAsia" w:ascii="宋体" w:hAnsi="宋体"/>
          <w:b w:val="0"/>
          <w:color w:val="auto"/>
          <w:kern w:val="28"/>
          <w:sz w:val="24"/>
          <w:szCs w:val="24"/>
        </w:rPr>
        <w:t>第二部分  投标人须知</w:t>
      </w:r>
      <w:r>
        <w:rPr>
          <w:rFonts w:hint="eastAsia" w:ascii="宋体" w:hAnsi="宋体"/>
          <w:b w:val="0"/>
          <w:sz w:val="24"/>
          <w:szCs w:val="24"/>
        </w:rPr>
        <w:tab/>
      </w:r>
      <w:r>
        <w:rPr>
          <w:rFonts w:hint="eastAsia" w:ascii="宋体" w:hAnsi="宋体"/>
          <w:b w:val="0"/>
          <w:sz w:val="24"/>
          <w:szCs w:val="24"/>
        </w:rPr>
        <w:fldChar w:fldCharType="begin"/>
      </w:r>
      <w:r>
        <w:rPr>
          <w:rFonts w:hint="eastAsia" w:ascii="宋体" w:hAnsi="宋体"/>
          <w:b w:val="0"/>
          <w:sz w:val="24"/>
          <w:szCs w:val="24"/>
        </w:rPr>
        <w:instrText xml:space="preserve"> </w:instrText>
      </w:r>
      <w:r>
        <w:rPr>
          <w:rFonts w:ascii="宋体" w:hAnsi="宋体"/>
          <w:b w:val="0"/>
          <w:sz w:val="24"/>
          <w:szCs w:val="24"/>
        </w:rPr>
        <w:instrText xml:space="preserve">PAGEREF _Toc82441579 \h</w:instrText>
      </w:r>
      <w:r>
        <w:rPr>
          <w:rFonts w:hint="eastAsia" w:ascii="宋体" w:hAnsi="宋体"/>
          <w:b w:val="0"/>
          <w:sz w:val="24"/>
          <w:szCs w:val="24"/>
        </w:rPr>
        <w:instrText xml:space="preserve"> </w:instrText>
      </w:r>
      <w:r>
        <w:rPr>
          <w:rFonts w:hint="eastAsia" w:ascii="宋体" w:hAnsi="宋体"/>
          <w:b w:val="0"/>
          <w:sz w:val="24"/>
          <w:szCs w:val="24"/>
        </w:rPr>
        <w:fldChar w:fldCharType="separate"/>
      </w:r>
      <w:r>
        <w:rPr>
          <w:rFonts w:ascii="宋体" w:hAnsi="宋体"/>
          <w:b w:val="0"/>
          <w:sz w:val="24"/>
          <w:szCs w:val="24"/>
        </w:rPr>
        <w:t>7</w:t>
      </w:r>
      <w:r>
        <w:rPr>
          <w:rFonts w:hint="eastAsia" w:ascii="宋体" w:hAnsi="宋体"/>
          <w:b w:val="0"/>
          <w:sz w:val="24"/>
          <w:szCs w:val="24"/>
        </w:rPr>
        <w:fldChar w:fldCharType="end"/>
      </w:r>
      <w:r>
        <w:rPr>
          <w:rFonts w:hint="eastAsia" w:ascii="宋体" w:hAnsi="宋体"/>
          <w:b w:val="0"/>
          <w:sz w:val="24"/>
          <w:szCs w:val="24"/>
        </w:rPr>
        <w:fldChar w:fldCharType="end"/>
      </w:r>
    </w:p>
    <w:p>
      <w:pPr>
        <w:pStyle w:val="52"/>
        <w:spacing w:line="260" w:lineRule="exact"/>
        <w:ind w:firstLine="472"/>
        <w:rPr>
          <w:rFonts w:ascii="宋体" w:hAnsi="宋体"/>
          <w:smallCaps w:val="0"/>
          <w:sz w:val="24"/>
          <w:szCs w:val="24"/>
        </w:rPr>
      </w:pPr>
      <w:r>
        <w:fldChar w:fldCharType="begin"/>
      </w:r>
      <w:r>
        <w:instrText xml:space="preserve"> HYPERLINK \l "_Toc82441580" </w:instrText>
      </w:r>
      <w:r>
        <w:fldChar w:fldCharType="separate"/>
      </w:r>
      <w:r>
        <w:rPr>
          <w:rStyle w:val="72"/>
          <w:rFonts w:hint="eastAsia" w:ascii="宋体" w:hAnsi="宋体"/>
          <w:bCs/>
          <w:color w:val="auto"/>
          <w:kern w:val="0"/>
          <w:sz w:val="24"/>
          <w:szCs w:val="24"/>
        </w:rPr>
        <w:t>一、说  明</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_Toc82441580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7</w:t>
      </w:r>
      <w:r>
        <w:rPr>
          <w:rFonts w:hint="eastAsia" w:ascii="宋体" w:hAnsi="宋体"/>
          <w:sz w:val="24"/>
          <w:szCs w:val="24"/>
        </w:rPr>
        <w:fldChar w:fldCharType="end"/>
      </w:r>
      <w:r>
        <w:rPr>
          <w:rFonts w:hint="eastAsia" w:ascii="宋体" w:hAnsi="宋体"/>
          <w:sz w:val="24"/>
          <w:szCs w:val="24"/>
        </w:rPr>
        <w:fldChar w:fldCharType="end"/>
      </w:r>
    </w:p>
    <w:p>
      <w:pPr>
        <w:pStyle w:val="31"/>
        <w:spacing w:line="260" w:lineRule="exact"/>
        <w:ind w:firstLine="86"/>
        <w:rPr>
          <w:rFonts w:ascii="宋体" w:hAnsi="宋体"/>
          <w:i w:val="0"/>
          <w:iCs w:val="0"/>
          <w:sz w:val="24"/>
          <w:szCs w:val="24"/>
        </w:rPr>
      </w:pPr>
      <w:r>
        <w:fldChar w:fldCharType="begin"/>
      </w:r>
      <w:r>
        <w:instrText xml:space="preserve"> HYPERLINK \l "_Toc82441581" </w:instrText>
      </w:r>
      <w:r>
        <w:fldChar w:fldCharType="separate"/>
      </w:r>
      <w:r>
        <w:rPr>
          <w:rStyle w:val="72"/>
          <w:rFonts w:hint="eastAsia" w:ascii="宋体" w:hAnsi="宋体"/>
          <w:bCs/>
          <w:i w:val="0"/>
          <w:color w:val="auto"/>
          <w:kern w:val="0"/>
          <w:sz w:val="24"/>
          <w:szCs w:val="24"/>
        </w:rPr>
        <w:t>1.适用范围</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_Toc82441581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7</w:t>
      </w:r>
      <w:r>
        <w:rPr>
          <w:rFonts w:hint="eastAsia" w:ascii="宋体" w:hAnsi="宋体"/>
          <w:i w:val="0"/>
          <w:sz w:val="24"/>
          <w:szCs w:val="24"/>
        </w:rPr>
        <w:fldChar w:fldCharType="end"/>
      </w:r>
      <w:r>
        <w:rPr>
          <w:rFonts w:hint="eastAsia" w:ascii="宋体" w:hAnsi="宋体"/>
          <w:i w:val="0"/>
          <w:sz w:val="24"/>
          <w:szCs w:val="24"/>
        </w:rPr>
        <w:fldChar w:fldCharType="end"/>
      </w:r>
    </w:p>
    <w:p>
      <w:pPr>
        <w:pStyle w:val="31"/>
        <w:spacing w:line="260" w:lineRule="exact"/>
        <w:ind w:firstLine="86"/>
        <w:rPr>
          <w:rFonts w:ascii="宋体" w:hAnsi="宋体"/>
          <w:i w:val="0"/>
          <w:iCs w:val="0"/>
          <w:sz w:val="24"/>
          <w:szCs w:val="24"/>
        </w:rPr>
      </w:pPr>
      <w:r>
        <w:fldChar w:fldCharType="begin"/>
      </w:r>
      <w:r>
        <w:instrText xml:space="preserve"> HYPERLINK \l "_Toc82441582" </w:instrText>
      </w:r>
      <w:r>
        <w:fldChar w:fldCharType="separate"/>
      </w:r>
      <w:r>
        <w:rPr>
          <w:rStyle w:val="72"/>
          <w:rFonts w:hint="eastAsia" w:ascii="宋体" w:hAnsi="宋体"/>
          <w:bCs/>
          <w:i w:val="0"/>
          <w:color w:val="auto"/>
          <w:kern w:val="0"/>
          <w:sz w:val="24"/>
          <w:szCs w:val="24"/>
        </w:rPr>
        <w:t>2.招标方式、合格的投标人</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_Toc82441582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7</w:t>
      </w:r>
      <w:r>
        <w:rPr>
          <w:rFonts w:hint="eastAsia" w:ascii="宋体" w:hAnsi="宋体"/>
          <w:i w:val="0"/>
          <w:sz w:val="24"/>
          <w:szCs w:val="24"/>
        </w:rPr>
        <w:fldChar w:fldCharType="end"/>
      </w:r>
      <w:r>
        <w:rPr>
          <w:rFonts w:hint="eastAsia" w:ascii="宋体" w:hAnsi="宋体"/>
          <w:i w:val="0"/>
          <w:sz w:val="24"/>
          <w:szCs w:val="24"/>
        </w:rPr>
        <w:fldChar w:fldCharType="end"/>
      </w:r>
    </w:p>
    <w:p>
      <w:pPr>
        <w:pStyle w:val="31"/>
        <w:spacing w:line="260" w:lineRule="exact"/>
        <w:ind w:firstLine="86"/>
        <w:rPr>
          <w:rFonts w:ascii="宋体" w:hAnsi="宋体"/>
          <w:i w:val="0"/>
          <w:iCs w:val="0"/>
          <w:sz w:val="24"/>
          <w:szCs w:val="24"/>
        </w:rPr>
      </w:pPr>
      <w:r>
        <w:fldChar w:fldCharType="begin"/>
      </w:r>
      <w:r>
        <w:instrText xml:space="preserve"> HYPERLINK \l "_Toc82441583" </w:instrText>
      </w:r>
      <w:r>
        <w:fldChar w:fldCharType="separate"/>
      </w:r>
      <w:r>
        <w:rPr>
          <w:rStyle w:val="72"/>
          <w:rFonts w:hint="eastAsia" w:ascii="宋体" w:hAnsi="宋体"/>
          <w:bCs/>
          <w:i w:val="0"/>
          <w:color w:val="auto"/>
          <w:kern w:val="0"/>
          <w:sz w:val="24"/>
          <w:szCs w:val="24"/>
        </w:rPr>
        <w:t>3.投标费用</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_Toc82441583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7</w:t>
      </w:r>
      <w:r>
        <w:rPr>
          <w:rFonts w:hint="eastAsia" w:ascii="宋体" w:hAnsi="宋体"/>
          <w:i w:val="0"/>
          <w:sz w:val="24"/>
          <w:szCs w:val="24"/>
        </w:rPr>
        <w:fldChar w:fldCharType="end"/>
      </w:r>
      <w:r>
        <w:rPr>
          <w:rFonts w:hint="eastAsia" w:ascii="宋体" w:hAnsi="宋体"/>
          <w:i w:val="0"/>
          <w:sz w:val="24"/>
          <w:szCs w:val="24"/>
        </w:rPr>
        <w:fldChar w:fldCharType="end"/>
      </w:r>
    </w:p>
    <w:p>
      <w:pPr>
        <w:pStyle w:val="52"/>
        <w:spacing w:line="260" w:lineRule="exact"/>
        <w:ind w:firstLine="472"/>
        <w:rPr>
          <w:rFonts w:ascii="宋体" w:hAnsi="宋体"/>
          <w:smallCaps w:val="0"/>
          <w:sz w:val="24"/>
          <w:szCs w:val="24"/>
        </w:rPr>
      </w:pPr>
      <w:r>
        <w:fldChar w:fldCharType="begin"/>
      </w:r>
      <w:r>
        <w:instrText xml:space="preserve"> HYPERLINK \l "_Toc82441584" </w:instrText>
      </w:r>
      <w:r>
        <w:fldChar w:fldCharType="separate"/>
      </w:r>
      <w:r>
        <w:rPr>
          <w:rStyle w:val="72"/>
          <w:rFonts w:hint="eastAsia" w:ascii="宋体" w:hAnsi="宋体"/>
          <w:bCs/>
          <w:color w:val="auto"/>
          <w:kern w:val="0"/>
          <w:sz w:val="24"/>
          <w:szCs w:val="24"/>
        </w:rPr>
        <w:t>二、招标文件说明</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_Toc82441584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7</w:t>
      </w:r>
      <w:r>
        <w:rPr>
          <w:rFonts w:hint="eastAsia" w:ascii="宋体" w:hAnsi="宋体"/>
          <w:sz w:val="24"/>
          <w:szCs w:val="24"/>
        </w:rPr>
        <w:fldChar w:fldCharType="end"/>
      </w:r>
      <w:r>
        <w:rPr>
          <w:rFonts w:hint="eastAsia" w:ascii="宋体" w:hAnsi="宋体"/>
          <w:sz w:val="24"/>
          <w:szCs w:val="24"/>
        </w:rPr>
        <w:fldChar w:fldCharType="end"/>
      </w:r>
    </w:p>
    <w:p>
      <w:pPr>
        <w:pStyle w:val="31"/>
        <w:spacing w:line="260" w:lineRule="exact"/>
        <w:ind w:firstLine="86"/>
        <w:rPr>
          <w:rFonts w:ascii="宋体" w:hAnsi="宋体"/>
          <w:i w:val="0"/>
          <w:iCs w:val="0"/>
          <w:sz w:val="24"/>
          <w:szCs w:val="24"/>
        </w:rPr>
      </w:pPr>
      <w:r>
        <w:fldChar w:fldCharType="begin"/>
      </w:r>
      <w:r>
        <w:instrText xml:space="preserve"> HYPERLINK \l "_Toc82441585" </w:instrText>
      </w:r>
      <w:r>
        <w:fldChar w:fldCharType="separate"/>
      </w:r>
      <w:r>
        <w:rPr>
          <w:rStyle w:val="72"/>
          <w:rFonts w:hint="eastAsia" w:ascii="宋体" w:hAnsi="宋体"/>
          <w:bCs/>
          <w:i w:val="0"/>
          <w:color w:val="auto"/>
          <w:kern w:val="0"/>
          <w:sz w:val="24"/>
          <w:szCs w:val="24"/>
        </w:rPr>
        <w:t>4.招标文件的构成</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_Toc82441585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7</w:t>
      </w:r>
      <w:r>
        <w:rPr>
          <w:rFonts w:hint="eastAsia" w:ascii="宋体" w:hAnsi="宋体"/>
          <w:i w:val="0"/>
          <w:sz w:val="24"/>
          <w:szCs w:val="24"/>
        </w:rPr>
        <w:fldChar w:fldCharType="end"/>
      </w:r>
      <w:r>
        <w:rPr>
          <w:rFonts w:hint="eastAsia" w:ascii="宋体" w:hAnsi="宋体"/>
          <w:i w:val="0"/>
          <w:sz w:val="24"/>
          <w:szCs w:val="24"/>
        </w:rPr>
        <w:fldChar w:fldCharType="end"/>
      </w:r>
    </w:p>
    <w:p>
      <w:pPr>
        <w:pStyle w:val="31"/>
        <w:spacing w:line="260" w:lineRule="exact"/>
        <w:ind w:firstLine="86"/>
        <w:rPr>
          <w:rFonts w:ascii="宋体" w:hAnsi="宋体"/>
          <w:i w:val="0"/>
          <w:iCs w:val="0"/>
          <w:sz w:val="24"/>
          <w:szCs w:val="24"/>
        </w:rPr>
      </w:pPr>
      <w:r>
        <w:fldChar w:fldCharType="begin"/>
      </w:r>
      <w:r>
        <w:instrText xml:space="preserve"> HYPERLINK \l "_Toc82441586" </w:instrText>
      </w:r>
      <w:r>
        <w:fldChar w:fldCharType="separate"/>
      </w:r>
      <w:r>
        <w:rPr>
          <w:rStyle w:val="72"/>
          <w:rFonts w:hint="eastAsia" w:ascii="宋体" w:hAnsi="宋体"/>
          <w:bCs/>
          <w:i w:val="0"/>
          <w:color w:val="auto"/>
          <w:kern w:val="0"/>
          <w:sz w:val="24"/>
          <w:szCs w:val="24"/>
        </w:rPr>
        <w:t>5.招标文件的质疑</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_Toc82441586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8</w:t>
      </w:r>
      <w:r>
        <w:rPr>
          <w:rFonts w:hint="eastAsia" w:ascii="宋体" w:hAnsi="宋体"/>
          <w:i w:val="0"/>
          <w:sz w:val="24"/>
          <w:szCs w:val="24"/>
        </w:rPr>
        <w:fldChar w:fldCharType="end"/>
      </w:r>
      <w:r>
        <w:rPr>
          <w:rFonts w:hint="eastAsia" w:ascii="宋体" w:hAnsi="宋体"/>
          <w:i w:val="0"/>
          <w:sz w:val="24"/>
          <w:szCs w:val="24"/>
        </w:rPr>
        <w:fldChar w:fldCharType="end"/>
      </w:r>
    </w:p>
    <w:p>
      <w:pPr>
        <w:pStyle w:val="31"/>
        <w:spacing w:line="260" w:lineRule="exact"/>
        <w:ind w:firstLine="86"/>
        <w:rPr>
          <w:rFonts w:ascii="宋体" w:hAnsi="宋体"/>
          <w:i w:val="0"/>
          <w:iCs w:val="0"/>
          <w:sz w:val="24"/>
          <w:szCs w:val="24"/>
        </w:rPr>
      </w:pPr>
      <w:r>
        <w:fldChar w:fldCharType="begin"/>
      </w:r>
      <w:r>
        <w:instrText xml:space="preserve"> HYPERLINK \l "_Toc82441587" </w:instrText>
      </w:r>
      <w:r>
        <w:fldChar w:fldCharType="separate"/>
      </w:r>
      <w:r>
        <w:rPr>
          <w:rStyle w:val="72"/>
          <w:rFonts w:hint="eastAsia" w:ascii="宋体" w:hAnsi="宋体"/>
          <w:bCs/>
          <w:i w:val="0"/>
          <w:color w:val="auto"/>
          <w:kern w:val="0"/>
          <w:sz w:val="24"/>
          <w:szCs w:val="24"/>
        </w:rPr>
        <w:t>6.招标文件的修改</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_Toc82441587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8</w:t>
      </w:r>
      <w:r>
        <w:rPr>
          <w:rFonts w:hint="eastAsia" w:ascii="宋体" w:hAnsi="宋体"/>
          <w:i w:val="0"/>
          <w:sz w:val="24"/>
          <w:szCs w:val="24"/>
        </w:rPr>
        <w:fldChar w:fldCharType="end"/>
      </w:r>
      <w:r>
        <w:rPr>
          <w:rFonts w:hint="eastAsia" w:ascii="宋体" w:hAnsi="宋体"/>
          <w:i w:val="0"/>
          <w:sz w:val="24"/>
          <w:szCs w:val="24"/>
        </w:rPr>
        <w:fldChar w:fldCharType="end"/>
      </w:r>
    </w:p>
    <w:p>
      <w:pPr>
        <w:pStyle w:val="52"/>
        <w:spacing w:line="260" w:lineRule="exact"/>
        <w:ind w:firstLine="472"/>
        <w:rPr>
          <w:rFonts w:ascii="宋体" w:hAnsi="宋体"/>
          <w:smallCaps w:val="0"/>
          <w:sz w:val="24"/>
          <w:szCs w:val="24"/>
        </w:rPr>
      </w:pPr>
      <w:r>
        <w:fldChar w:fldCharType="begin"/>
      </w:r>
      <w:r>
        <w:instrText xml:space="preserve"> HYPERLINK \l "_Toc82441588" </w:instrText>
      </w:r>
      <w:r>
        <w:fldChar w:fldCharType="separate"/>
      </w:r>
      <w:r>
        <w:rPr>
          <w:rStyle w:val="72"/>
          <w:rFonts w:hint="eastAsia" w:ascii="宋体" w:hAnsi="宋体"/>
          <w:bCs/>
          <w:color w:val="auto"/>
          <w:kern w:val="0"/>
          <w:sz w:val="24"/>
          <w:szCs w:val="24"/>
        </w:rPr>
        <w:t>三、投标文件的编制</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_Toc82441588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9</w:t>
      </w:r>
      <w:r>
        <w:rPr>
          <w:rFonts w:hint="eastAsia" w:ascii="宋体" w:hAnsi="宋体"/>
          <w:sz w:val="24"/>
          <w:szCs w:val="24"/>
        </w:rPr>
        <w:fldChar w:fldCharType="end"/>
      </w:r>
      <w:r>
        <w:rPr>
          <w:rFonts w:hint="eastAsia" w:ascii="宋体" w:hAnsi="宋体"/>
          <w:sz w:val="24"/>
          <w:szCs w:val="24"/>
        </w:rPr>
        <w:fldChar w:fldCharType="end"/>
      </w:r>
    </w:p>
    <w:p>
      <w:pPr>
        <w:pStyle w:val="31"/>
        <w:spacing w:line="260" w:lineRule="exact"/>
        <w:ind w:firstLine="86"/>
        <w:rPr>
          <w:rFonts w:ascii="宋体" w:hAnsi="宋体"/>
          <w:i w:val="0"/>
          <w:iCs w:val="0"/>
          <w:sz w:val="24"/>
          <w:szCs w:val="24"/>
        </w:rPr>
      </w:pPr>
      <w:r>
        <w:fldChar w:fldCharType="begin"/>
      </w:r>
      <w:r>
        <w:instrText xml:space="preserve"> HYPERLINK \l "_Toc82441589" </w:instrText>
      </w:r>
      <w:r>
        <w:fldChar w:fldCharType="separate"/>
      </w:r>
      <w:r>
        <w:rPr>
          <w:rStyle w:val="72"/>
          <w:rFonts w:hint="eastAsia" w:ascii="宋体" w:hAnsi="宋体"/>
          <w:bCs/>
          <w:i w:val="0"/>
          <w:color w:val="auto"/>
          <w:kern w:val="0"/>
          <w:sz w:val="24"/>
          <w:szCs w:val="24"/>
        </w:rPr>
        <w:t>7.投标文件的语言及度量衡单位</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_Toc82441589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9</w:t>
      </w:r>
      <w:r>
        <w:rPr>
          <w:rFonts w:hint="eastAsia" w:ascii="宋体" w:hAnsi="宋体"/>
          <w:i w:val="0"/>
          <w:sz w:val="24"/>
          <w:szCs w:val="24"/>
        </w:rPr>
        <w:fldChar w:fldCharType="end"/>
      </w:r>
      <w:r>
        <w:rPr>
          <w:rFonts w:hint="eastAsia" w:ascii="宋体" w:hAnsi="宋体"/>
          <w:i w:val="0"/>
          <w:sz w:val="24"/>
          <w:szCs w:val="24"/>
        </w:rPr>
        <w:fldChar w:fldCharType="end"/>
      </w:r>
    </w:p>
    <w:p>
      <w:pPr>
        <w:pStyle w:val="31"/>
        <w:spacing w:line="260" w:lineRule="exact"/>
        <w:ind w:firstLine="86"/>
        <w:rPr>
          <w:rFonts w:ascii="宋体" w:hAnsi="宋体"/>
          <w:i w:val="0"/>
          <w:iCs w:val="0"/>
          <w:sz w:val="24"/>
          <w:szCs w:val="24"/>
        </w:rPr>
      </w:pPr>
      <w:r>
        <w:fldChar w:fldCharType="begin"/>
      </w:r>
      <w:r>
        <w:instrText xml:space="preserve"> HYPERLINK \l "_Toc82441590" </w:instrText>
      </w:r>
      <w:r>
        <w:fldChar w:fldCharType="separate"/>
      </w:r>
      <w:r>
        <w:rPr>
          <w:rStyle w:val="72"/>
          <w:rFonts w:hint="eastAsia" w:ascii="宋体" w:hAnsi="宋体"/>
          <w:bCs/>
          <w:i w:val="0"/>
          <w:color w:val="auto"/>
          <w:kern w:val="0"/>
          <w:sz w:val="24"/>
          <w:szCs w:val="24"/>
        </w:rPr>
        <w:t>8.投标报价及币种</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_Toc82441590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9</w:t>
      </w:r>
      <w:r>
        <w:rPr>
          <w:rFonts w:hint="eastAsia" w:ascii="宋体" w:hAnsi="宋体"/>
          <w:i w:val="0"/>
          <w:sz w:val="24"/>
          <w:szCs w:val="24"/>
        </w:rPr>
        <w:fldChar w:fldCharType="end"/>
      </w:r>
      <w:r>
        <w:rPr>
          <w:rFonts w:hint="eastAsia" w:ascii="宋体" w:hAnsi="宋体"/>
          <w:i w:val="0"/>
          <w:sz w:val="24"/>
          <w:szCs w:val="24"/>
        </w:rPr>
        <w:fldChar w:fldCharType="end"/>
      </w:r>
    </w:p>
    <w:p>
      <w:pPr>
        <w:pStyle w:val="31"/>
        <w:spacing w:line="260" w:lineRule="exact"/>
        <w:ind w:firstLine="86"/>
        <w:rPr>
          <w:rFonts w:ascii="宋体" w:hAnsi="宋体"/>
          <w:i w:val="0"/>
          <w:iCs w:val="0"/>
          <w:sz w:val="24"/>
          <w:szCs w:val="24"/>
        </w:rPr>
      </w:pPr>
      <w:r>
        <w:fldChar w:fldCharType="begin"/>
      </w:r>
      <w:r>
        <w:instrText xml:space="preserve"> HYPERLINK \l "_Toc82441591" </w:instrText>
      </w:r>
      <w:r>
        <w:fldChar w:fldCharType="separate"/>
      </w:r>
      <w:r>
        <w:rPr>
          <w:rStyle w:val="72"/>
          <w:rFonts w:hint="eastAsia" w:ascii="宋体" w:hAnsi="宋体"/>
          <w:bCs/>
          <w:i w:val="0"/>
          <w:color w:val="auto"/>
          <w:kern w:val="0"/>
          <w:sz w:val="24"/>
          <w:szCs w:val="24"/>
        </w:rPr>
        <w:t>9.投标保证金</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_Toc82441591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9</w:t>
      </w:r>
      <w:r>
        <w:rPr>
          <w:rFonts w:hint="eastAsia" w:ascii="宋体" w:hAnsi="宋体"/>
          <w:i w:val="0"/>
          <w:sz w:val="24"/>
          <w:szCs w:val="24"/>
        </w:rPr>
        <w:fldChar w:fldCharType="end"/>
      </w:r>
      <w:r>
        <w:rPr>
          <w:rFonts w:hint="eastAsia" w:ascii="宋体" w:hAnsi="宋体"/>
          <w:i w:val="0"/>
          <w:sz w:val="24"/>
          <w:szCs w:val="24"/>
        </w:rPr>
        <w:fldChar w:fldCharType="end"/>
      </w:r>
    </w:p>
    <w:p>
      <w:pPr>
        <w:pStyle w:val="31"/>
        <w:spacing w:line="260" w:lineRule="exact"/>
        <w:ind w:firstLine="86"/>
        <w:rPr>
          <w:rFonts w:ascii="宋体" w:hAnsi="宋体"/>
          <w:i w:val="0"/>
          <w:iCs w:val="0"/>
          <w:sz w:val="24"/>
          <w:szCs w:val="24"/>
        </w:rPr>
      </w:pPr>
      <w:r>
        <w:fldChar w:fldCharType="begin"/>
      </w:r>
      <w:r>
        <w:instrText xml:space="preserve"> HYPERLINK \l "_Toc82441592" </w:instrText>
      </w:r>
      <w:r>
        <w:fldChar w:fldCharType="separate"/>
      </w:r>
      <w:r>
        <w:rPr>
          <w:rStyle w:val="72"/>
          <w:rFonts w:hint="eastAsia" w:ascii="宋体" w:hAnsi="宋体"/>
          <w:bCs/>
          <w:i w:val="0"/>
          <w:color w:val="auto"/>
          <w:kern w:val="0"/>
          <w:sz w:val="24"/>
          <w:szCs w:val="24"/>
        </w:rPr>
        <w:t>10.投标有效期</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_Toc82441592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9</w:t>
      </w:r>
      <w:r>
        <w:rPr>
          <w:rFonts w:hint="eastAsia" w:ascii="宋体" w:hAnsi="宋体"/>
          <w:i w:val="0"/>
          <w:sz w:val="24"/>
          <w:szCs w:val="24"/>
        </w:rPr>
        <w:fldChar w:fldCharType="end"/>
      </w:r>
      <w:r>
        <w:rPr>
          <w:rFonts w:hint="eastAsia" w:ascii="宋体" w:hAnsi="宋体"/>
          <w:i w:val="0"/>
          <w:sz w:val="24"/>
          <w:szCs w:val="24"/>
        </w:rPr>
        <w:fldChar w:fldCharType="end"/>
      </w:r>
    </w:p>
    <w:p>
      <w:pPr>
        <w:pStyle w:val="31"/>
        <w:spacing w:line="260" w:lineRule="exact"/>
        <w:ind w:firstLine="86"/>
        <w:rPr>
          <w:rFonts w:ascii="宋体" w:hAnsi="宋体"/>
          <w:i w:val="0"/>
          <w:iCs w:val="0"/>
          <w:sz w:val="24"/>
          <w:szCs w:val="24"/>
        </w:rPr>
      </w:pPr>
      <w:r>
        <w:fldChar w:fldCharType="begin"/>
      </w:r>
      <w:r>
        <w:instrText xml:space="preserve"> HYPERLINK \l "_Toc82441593" </w:instrText>
      </w:r>
      <w:r>
        <w:fldChar w:fldCharType="separate"/>
      </w:r>
      <w:r>
        <w:rPr>
          <w:rStyle w:val="72"/>
          <w:rFonts w:hint="eastAsia" w:ascii="宋体" w:hAnsi="宋体"/>
          <w:bCs/>
          <w:i w:val="0"/>
          <w:color w:val="auto"/>
          <w:kern w:val="0"/>
          <w:sz w:val="24"/>
          <w:szCs w:val="24"/>
        </w:rPr>
        <w:t>11.投标文件构成</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_Toc82441593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10</w:t>
      </w:r>
      <w:r>
        <w:rPr>
          <w:rFonts w:hint="eastAsia" w:ascii="宋体" w:hAnsi="宋体"/>
          <w:i w:val="0"/>
          <w:sz w:val="24"/>
          <w:szCs w:val="24"/>
        </w:rPr>
        <w:fldChar w:fldCharType="end"/>
      </w:r>
      <w:r>
        <w:rPr>
          <w:rFonts w:hint="eastAsia" w:ascii="宋体" w:hAnsi="宋体"/>
          <w:i w:val="0"/>
          <w:sz w:val="24"/>
          <w:szCs w:val="24"/>
        </w:rPr>
        <w:fldChar w:fldCharType="end"/>
      </w:r>
    </w:p>
    <w:p>
      <w:pPr>
        <w:pStyle w:val="31"/>
        <w:spacing w:line="260" w:lineRule="exact"/>
        <w:ind w:firstLine="86"/>
        <w:rPr>
          <w:rFonts w:ascii="宋体" w:hAnsi="宋体"/>
          <w:i w:val="0"/>
          <w:iCs w:val="0"/>
          <w:sz w:val="24"/>
          <w:szCs w:val="24"/>
        </w:rPr>
      </w:pPr>
      <w:r>
        <w:fldChar w:fldCharType="begin"/>
      </w:r>
      <w:r>
        <w:instrText xml:space="preserve"> HYPERLINK \l "_Toc82441594" </w:instrText>
      </w:r>
      <w:r>
        <w:fldChar w:fldCharType="separate"/>
      </w:r>
      <w:r>
        <w:rPr>
          <w:rStyle w:val="72"/>
          <w:rFonts w:hint="eastAsia" w:ascii="宋体" w:hAnsi="宋体"/>
          <w:bCs/>
          <w:i w:val="0"/>
          <w:color w:val="auto"/>
          <w:kern w:val="0"/>
          <w:sz w:val="24"/>
          <w:szCs w:val="24"/>
        </w:rPr>
        <w:t>12. 投标文件的格式及编制要求</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_Toc82441594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10</w:t>
      </w:r>
      <w:r>
        <w:rPr>
          <w:rFonts w:hint="eastAsia" w:ascii="宋体" w:hAnsi="宋体"/>
          <w:i w:val="0"/>
          <w:sz w:val="24"/>
          <w:szCs w:val="24"/>
        </w:rPr>
        <w:fldChar w:fldCharType="end"/>
      </w:r>
      <w:r>
        <w:rPr>
          <w:rFonts w:hint="eastAsia" w:ascii="宋体" w:hAnsi="宋体"/>
          <w:i w:val="0"/>
          <w:sz w:val="24"/>
          <w:szCs w:val="24"/>
        </w:rPr>
        <w:fldChar w:fldCharType="end"/>
      </w:r>
    </w:p>
    <w:p>
      <w:pPr>
        <w:pStyle w:val="52"/>
        <w:spacing w:line="260" w:lineRule="exact"/>
        <w:ind w:firstLine="472"/>
        <w:rPr>
          <w:rFonts w:ascii="宋体" w:hAnsi="宋体"/>
          <w:smallCaps w:val="0"/>
          <w:sz w:val="24"/>
          <w:szCs w:val="24"/>
        </w:rPr>
      </w:pPr>
      <w:r>
        <w:fldChar w:fldCharType="begin"/>
      </w:r>
      <w:r>
        <w:instrText xml:space="preserve"> HYPERLINK \l "_Toc82441595" </w:instrText>
      </w:r>
      <w:r>
        <w:fldChar w:fldCharType="separate"/>
      </w:r>
      <w:r>
        <w:rPr>
          <w:rStyle w:val="72"/>
          <w:rFonts w:hint="eastAsia" w:ascii="宋体" w:hAnsi="宋体"/>
          <w:bCs/>
          <w:color w:val="auto"/>
          <w:kern w:val="0"/>
          <w:sz w:val="24"/>
          <w:szCs w:val="24"/>
        </w:rPr>
        <w:t>四、 网上投标</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_Toc82441595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11</w:t>
      </w:r>
      <w:r>
        <w:rPr>
          <w:rFonts w:hint="eastAsia" w:ascii="宋体" w:hAnsi="宋体"/>
          <w:sz w:val="24"/>
          <w:szCs w:val="24"/>
        </w:rPr>
        <w:fldChar w:fldCharType="end"/>
      </w:r>
      <w:r>
        <w:rPr>
          <w:rFonts w:hint="eastAsia" w:ascii="宋体" w:hAnsi="宋体"/>
          <w:sz w:val="24"/>
          <w:szCs w:val="24"/>
        </w:rPr>
        <w:fldChar w:fldCharType="end"/>
      </w:r>
    </w:p>
    <w:p>
      <w:pPr>
        <w:pStyle w:val="31"/>
        <w:spacing w:line="260" w:lineRule="exact"/>
        <w:ind w:firstLine="86"/>
        <w:rPr>
          <w:rFonts w:ascii="宋体" w:hAnsi="宋体"/>
          <w:i w:val="0"/>
          <w:iCs w:val="0"/>
          <w:sz w:val="24"/>
          <w:szCs w:val="24"/>
        </w:rPr>
      </w:pPr>
      <w:r>
        <w:fldChar w:fldCharType="begin"/>
      </w:r>
      <w:r>
        <w:instrText xml:space="preserve"> HYPERLINK \l "_Toc82441596" </w:instrText>
      </w:r>
      <w:r>
        <w:fldChar w:fldCharType="separate"/>
      </w:r>
      <w:r>
        <w:rPr>
          <w:rStyle w:val="72"/>
          <w:rFonts w:hint="eastAsia" w:ascii="宋体" w:hAnsi="宋体"/>
          <w:bCs/>
          <w:i w:val="0"/>
          <w:color w:val="auto"/>
          <w:kern w:val="0"/>
          <w:sz w:val="24"/>
          <w:szCs w:val="24"/>
        </w:rPr>
        <w:t>13.网上投标</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_Toc82441596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11</w:t>
      </w:r>
      <w:r>
        <w:rPr>
          <w:rFonts w:hint="eastAsia" w:ascii="宋体" w:hAnsi="宋体"/>
          <w:i w:val="0"/>
          <w:sz w:val="24"/>
          <w:szCs w:val="24"/>
        </w:rPr>
        <w:fldChar w:fldCharType="end"/>
      </w:r>
      <w:r>
        <w:rPr>
          <w:rFonts w:hint="eastAsia" w:ascii="宋体" w:hAnsi="宋体"/>
          <w:i w:val="0"/>
          <w:sz w:val="24"/>
          <w:szCs w:val="24"/>
        </w:rPr>
        <w:fldChar w:fldCharType="end"/>
      </w:r>
    </w:p>
    <w:p>
      <w:pPr>
        <w:pStyle w:val="31"/>
        <w:spacing w:line="260" w:lineRule="exact"/>
        <w:ind w:firstLine="86"/>
        <w:rPr>
          <w:rFonts w:ascii="宋体" w:hAnsi="宋体"/>
          <w:i w:val="0"/>
          <w:iCs w:val="0"/>
          <w:sz w:val="24"/>
          <w:szCs w:val="24"/>
        </w:rPr>
      </w:pPr>
      <w:r>
        <w:fldChar w:fldCharType="begin"/>
      </w:r>
      <w:r>
        <w:instrText xml:space="preserve"> HYPERLINK \l "_Toc82441597" </w:instrText>
      </w:r>
      <w:r>
        <w:fldChar w:fldCharType="separate"/>
      </w:r>
      <w:r>
        <w:rPr>
          <w:rStyle w:val="72"/>
          <w:rFonts w:hint="eastAsia" w:ascii="宋体" w:hAnsi="宋体"/>
          <w:bCs/>
          <w:i w:val="0"/>
          <w:color w:val="auto"/>
          <w:kern w:val="0"/>
          <w:sz w:val="24"/>
          <w:szCs w:val="24"/>
        </w:rPr>
        <w:t>14.投标截止日期</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_Toc82441597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11</w:t>
      </w:r>
      <w:r>
        <w:rPr>
          <w:rFonts w:hint="eastAsia" w:ascii="宋体" w:hAnsi="宋体"/>
          <w:i w:val="0"/>
          <w:sz w:val="24"/>
          <w:szCs w:val="24"/>
        </w:rPr>
        <w:fldChar w:fldCharType="end"/>
      </w:r>
      <w:r>
        <w:rPr>
          <w:rFonts w:hint="eastAsia" w:ascii="宋体" w:hAnsi="宋体"/>
          <w:i w:val="0"/>
          <w:sz w:val="24"/>
          <w:szCs w:val="24"/>
        </w:rPr>
        <w:fldChar w:fldCharType="end"/>
      </w:r>
    </w:p>
    <w:p>
      <w:pPr>
        <w:pStyle w:val="31"/>
        <w:spacing w:line="260" w:lineRule="exact"/>
        <w:ind w:firstLine="86"/>
        <w:rPr>
          <w:rFonts w:ascii="宋体" w:hAnsi="宋体"/>
          <w:i w:val="0"/>
          <w:iCs w:val="0"/>
          <w:sz w:val="24"/>
          <w:szCs w:val="24"/>
        </w:rPr>
      </w:pPr>
      <w:r>
        <w:fldChar w:fldCharType="begin"/>
      </w:r>
      <w:r>
        <w:instrText xml:space="preserve"> HYPERLINK \l "_Toc82441598" </w:instrText>
      </w:r>
      <w:r>
        <w:fldChar w:fldCharType="separate"/>
      </w:r>
      <w:r>
        <w:rPr>
          <w:rStyle w:val="72"/>
          <w:rFonts w:hint="eastAsia" w:ascii="宋体" w:hAnsi="宋体"/>
          <w:bCs/>
          <w:i w:val="0"/>
          <w:color w:val="auto"/>
          <w:kern w:val="0"/>
          <w:sz w:val="24"/>
          <w:szCs w:val="24"/>
        </w:rPr>
        <w:t>15.投标文件的撤回</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_Toc82441598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11</w:t>
      </w:r>
      <w:r>
        <w:rPr>
          <w:rFonts w:hint="eastAsia" w:ascii="宋体" w:hAnsi="宋体"/>
          <w:i w:val="0"/>
          <w:sz w:val="24"/>
          <w:szCs w:val="24"/>
        </w:rPr>
        <w:fldChar w:fldCharType="end"/>
      </w:r>
      <w:r>
        <w:rPr>
          <w:rFonts w:hint="eastAsia" w:ascii="宋体" w:hAnsi="宋体"/>
          <w:i w:val="0"/>
          <w:sz w:val="24"/>
          <w:szCs w:val="24"/>
        </w:rPr>
        <w:fldChar w:fldCharType="end"/>
      </w:r>
    </w:p>
    <w:p>
      <w:pPr>
        <w:pStyle w:val="52"/>
        <w:spacing w:line="260" w:lineRule="exact"/>
        <w:ind w:firstLine="472"/>
        <w:rPr>
          <w:rFonts w:ascii="宋体" w:hAnsi="宋体"/>
          <w:smallCaps w:val="0"/>
          <w:sz w:val="24"/>
          <w:szCs w:val="24"/>
        </w:rPr>
      </w:pPr>
      <w:r>
        <w:fldChar w:fldCharType="begin"/>
      </w:r>
      <w:r>
        <w:instrText xml:space="preserve"> HYPERLINK \l "_Toc82441599" </w:instrText>
      </w:r>
      <w:r>
        <w:fldChar w:fldCharType="separate"/>
      </w:r>
      <w:r>
        <w:rPr>
          <w:rStyle w:val="72"/>
          <w:rFonts w:hint="eastAsia" w:ascii="宋体" w:hAnsi="宋体"/>
          <w:bCs/>
          <w:color w:val="auto"/>
          <w:kern w:val="0"/>
          <w:sz w:val="24"/>
          <w:szCs w:val="24"/>
        </w:rPr>
        <w:t>五、开标</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_Toc82441599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11</w:t>
      </w:r>
      <w:r>
        <w:rPr>
          <w:rFonts w:hint="eastAsia" w:ascii="宋体" w:hAnsi="宋体"/>
          <w:sz w:val="24"/>
          <w:szCs w:val="24"/>
        </w:rPr>
        <w:fldChar w:fldCharType="end"/>
      </w:r>
      <w:r>
        <w:rPr>
          <w:rFonts w:hint="eastAsia" w:ascii="宋体" w:hAnsi="宋体"/>
          <w:sz w:val="24"/>
          <w:szCs w:val="24"/>
        </w:rPr>
        <w:fldChar w:fldCharType="end"/>
      </w:r>
    </w:p>
    <w:p>
      <w:pPr>
        <w:pStyle w:val="31"/>
        <w:spacing w:line="260" w:lineRule="exact"/>
        <w:ind w:firstLine="86"/>
        <w:rPr>
          <w:rFonts w:ascii="宋体" w:hAnsi="宋体"/>
          <w:i w:val="0"/>
          <w:iCs w:val="0"/>
          <w:sz w:val="24"/>
          <w:szCs w:val="24"/>
        </w:rPr>
      </w:pPr>
      <w:r>
        <w:fldChar w:fldCharType="begin"/>
      </w:r>
      <w:r>
        <w:instrText xml:space="preserve"> HYPERLINK \l "_Toc82441600" </w:instrText>
      </w:r>
      <w:r>
        <w:fldChar w:fldCharType="separate"/>
      </w:r>
      <w:r>
        <w:rPr>
          <w:rStyle w:val="72"/>
          <w:rFonts w:hint="eastAsia" w:ascii="宋体" w:hAnsi="宋体"/>
          <w:bCs/>
          <w:i w:val="0"/>
          <w:color w:val="auto"/>
          <w:kern w:val="0"/>
          <w:sz w:val="24"/>
          <w:szCs w:val="24"/>
        </w:rPr>
        <w:t>16.开标</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_Toc82441600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11</w:t>
      </w:r>
      <w:r>
        <w:rPr>
          <w:rFonts w:hint="eastAsia" w:ascii="宋体" w:hAnsi="宋体"/>
          <w:i w:val="0"/>
          <w:sz w:val="24"/>
          <w:szCs w:val="24"/>
        </w:rPr>
        <w:fldChar w:fldCharType="end"/>
      </w:r>
      <w:r>
        <w:rPr>
          <w:rFonts w:hint="eastAsia" w:ascii="宋体" w:hAnsi="宋体"/>
          <w:i w:val="0"/>
          <w:sz w:val="24"/>
          <w:szCs w:val="24"/>
        </w:rPr>
        <w:fldChar w:fldCharType="end"/>
      </w:r>
    </w:p>
    <w:p>
      <w:pPr>
        <w:pStyle w:val="52"/>
        <w:spacing w:line="260" w:lineRule="exact"/>
        <w:ind w:firstLine="472"/>
        <w:rPr>
          <w:rFonts w:ascii="宋体" w:hAnsi="宋体"/>
          <w:smallCaps w:val="0"/>
          <w:sz w:val="24"/>
          <w:szCs w:val="24"/>
        </w:rPr>
      </w:pPr>
      <w:r>
        <w:fldChar w:fldCharType="begin"/>
      </w:r>
      <w:r>
        <w:instrText xml:space="preserve"> HYPERLINK \l "_Toc82441601" </w:instrText>
      </w:r>
      <w:r>
        <w:fldChar w:fldCharType="separate"/>
      </w:r>
      <w:r>
        <w:rPr>
          <w:rStyle w:val="72"/>
          <w:rFonts w:hint="eastAsia" w:ascii="宋体" w:hAnsi="宋体"/>
          <w:bCs/>
          <w:color w:val="auto"/>
          <w:kern w:val="0"/>
          <w:sz w:val="24"/>
          <w:szCs w:val="24"/>
        </w:rPr>
        <w:t>六、资格审查程序及方法</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_Toc82441601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12</w:t>
      </w:r>
      <w:r>
        <w:rPr>
          <w:rFonts w:hint="eastAsia" w:ascii="宋体" w:hAnsi="宋体"/>
          <w:sz w:val="24"/>
          <w:szCs w:val="24"/>
        </w:rPr>
        <w:fldChar w:fldCharType="end"/>
      </w:r>
      <w:r>
        <w:rPr>
          <w:rFonts w:hint="eastAsia" w:ascii="宋体" w:hAnsi="宋体"/>
          <w:sz w:val="24"/>
          <w:szCs w:val="24"/>
        </w:rPr>
        <w:fldChar w:fldCharType="end"/>
      </w:r>
    </w:p>
    <w:p>
      <w:pPr>
        <w:pStyle w:val="31"/>
        <w:spacing w:line="260" w:lineRule="exact"/>
        <w:ind w:firstLine="86"/>
        <w:rPr>
          <w:rFonts w:ascii="宋体" w:hAnsi="宋体"/>
          <w:i w:val="0"/>
          <w:iCs w:val="0"/>
          <w:sz w:val="24"/>
          <w:szCs w:val="24"/>
        </w:rPr>
      </w:pPr>
      <w:r>
        <w:fldChar w:fldCharType="begin"/>
      </w:r>
      <w:r>
        <w:instrText xml:space="preserve"> HYPERLINK \l "_Toc82441602" </w:instrText>
      </w:r>
      <w:r>
        <w:fldChar w:fldCharType="separate"/>
      </w:r>
      <w:r>
        <w:rPr>
          <w:rStyle w:val="72"/>
          <w:rFonts w:hint="eastAsia" w:ascii="宋体" w:hAnsi="宋体"/>
          <w:bCs/>
          <w:i w:val="0"/>
          <w:color w:val="auto"/>
          <w:kern w:val="0"/>
          <w:sz w:val="24"/>
          <w:szCs w:val="24"/>
        </w:rPr>
        <w:t>17. 资格审查程序</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_Toc82441602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12</w:t>
      </w:r>
      <w:r>
        <w:rPr>
          <w:rFonts w:hint="eastAsia" w:ascii="宋体" w:hAnsi="宋体"/>
          <w:i w:val="0"/>
          <w:sz w:val="24"/>
          <w:szCs w:val="24"/>
        </w:rPr>
        <w:fldChar w:fldCharType="end"/>
      </w:r>
      <w:r>
        <w:rPr>
          <w:rFonts w:hint="eastAsia" w:ascii="宋体" w:hAnsi="宋体"/>
          <w:i w:val="0"/>
          <w:sz w:val="24"/>
          <w:szCs w:val="24"/>
        </w:rPr>
        <w:fldChar w:fldCharType="end"/>
      </w:r>
    </w:p>
    <w:p>
      <w:pPr>
        <w:pStyle w:val="31"/>
        <w:spacing w:line="260" w:lineRule="exact"/>
        <w:ind w:firstLine="86"/>
        <w:rPr>
          <w:rFonts w:ascii="宋体" w:hAnsi="宋体"/>
          <w:i w:val="0"/>
          <w:iCs w:val="0"/>
          <w:sz w:val="24"/>
          <w:szCs w:val="24"/>
        </w:rPr>
      </w:pPr>
      <w:r>
        <w:fldChar w:fldCharType="begin"/>
      </w:r>
      <w:r>
        <w:instrText xml:space="preserve"> HYPERLINK \l "_Toc82441603" </w:instrText>
      </w:r>
      <w:r>
        <w:fldChar w:fldCharType="separate"/>
      </w:r>
      <w:r>
        <w:rPr>
          <w:rStyle w:val="72"/>
          <w:rFonts w:hint="eastAsia" w:ascii="宋体" w:hAnsi="宋体"/>
          <w:bCs/>
          <w:i w:val="0"/>
          <w:color w:val="auto"/>
          <w:kern w:val="0"/>
          <w:sz w:val="24"/>
          <w:szCs w:val="24"/>
        </w:rPr>
        <w:t>18.资格审查不通过的情形</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_Toc82441603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12</w:t>
      </w:r>
      <w:r>
        <w:rPr>
          <w:rFonts w:hint="eastAsia" w:ascii="宋体" w:hAnsi="宋体"/>
          <w:i w:val="0"/>
          <w:sz w:val="24"/>
          <w:szCs w:val="24"/>
        </w:rPr>
        <w:fldChar w:fldCharType="end"/>
      </w:r>
      <w:r>
        <w:rPr>
          <w:rFonts w:hint="eastAsia" w:ascii="宋体" w:hAnsi="宋体"/>
          <w:i w:val="0"/>
          <w:sz w:val="24"/>
          <w:szCs w:val="24"/>
        </w:rPr>
        <w:fldChar w:fldCharType="end"/>
      </w:r>
    </w:p>
    <w:p>
      <w:pPr>
        <w:pStyle w:val="52"/>
        <w:spacing w:line="260" w:lineRule="exact"/>
        <w:ind w:firstLine="472"/>
        <w:rPr>
          <w:rFonts w:ascii="宋体" w:hAnsi="宋体"/>
          <w:smallCaps w:val="0"/>
          <w:sz w:val="24"/>
          <w:szCs w:val="24"/>
        </w:rPr>
      </w:pPr>
      <w:r>
        <w:fldChar w:fldCharType="begin"/>
      </w:r>
      <w:r>
        <w:instrText xml:space="preserve"> HYPERLINK \l "_Toc82441604" </w:instrText>
      </w:r>
      <w:r>
        <w:fldChar w:fldCharType="separate"/>
      </w:r>
      <w:r>
        <w:rPr>
          <w:rStyle w:val="72"/>
          <w:rFonts w:hint="eastAsia" w:ascii="宋体" w:hAnsi="宋体"/>
          <w:bCs/>
          <w:color w:val="auto"/>
          <w:kern w:val="0"/>
          <w:sz w:val="24"/>
          <w:szCs w:val="24"/>
        </w:rPr>
        <w:t>七、评标程序及方法</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_Toc82441604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13</w:t>
      </w:r>
      <w:r>
        <w:rPr>
          <w:rFonts w:hint="eastAsia" w:ascii="宋体" w:hAnsi="宋体"/>
          <w:sz w:val="24"/>
          <w:szCs w:val="24"/>
        </w:rPr>
        <w:fldChar w:fldCharType="end"/>
      </w:r>
      <w:r>
        <w:rPr>
          <w:rFonts w:hint="eastAsia" w:ascii="宋体" w:hAnsi="宋体"/>
          <w:sz w:val="24"/>
          <w:szCs w:val="24"/>
        </w:rPr>
        <w:fldChar w:fldCharType="end"/>
      </w:r>
    </w:p>
    <w:p>
      <w:pPr>
        <w:pStyle w:val="31"/>
        <w:spacing w:line="260" w:lineRule="exact"/>
        <w:ind w:firstLine="86"/>
        <w:rPr>
          <w:rFonts w:ascii="宋体" w:hAnsi="宋体"/>
          <w:i w:val="0"/>
          <w:iCs w:val="0"/>
          <w:sz w:val="24"/>
          <w:szCs w:val="24"/>
        </w:rPr>
      </w:pPr>
      <w:r>
        <w:fldChar w:fldCharType="begin"/>
      </w:r>
      <w:r>
        <w:instrText xml:space="preserve"> HYPERLINK \l "_Toc82441605" </w:instrText>
      </w:r>
      <w:r>
        <w:fldChar w:fldCharType="separate"/>
      </w:r>
      <w:r>
        <w:rPr>
          <w:rStyle w:val="72"/>
          <w:rFonts w:hint="eastAsia" w:ascii="宋体" w:hAnsi="宋体"/>
          <w:bCs/>
          <w:i w:val="0"/>
          <w:color w:val="auto"/>
          <w:kern w:val="0"/>
          <w:sz w:val="24"/>
          <w:szCs w:val="24"/>
        </w:rPr>
        <w:t>19.评标委员会</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_Toc82441605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13</w:t>
      </w:r>
      <w:r>
        <w:rPr>
          <w:rFonts w:hint="eastAsia" w:ascii="宋体" w:hAnsi="宋体"/>
          <w:i w:val="0"/>
          <w:sz w:val="24"/>
          <w:szCs w:val="24"/>
        </w:rPr>
        <w:fldChar w:fldCharType="end"/>
      </w:r>
      <w:r>
        <w:rPr>
          <w:rFonts w:hint="eastAsia" w:ascii="宋体" w:hAnsi="宋体"/>
          <w:i w:val="0"/>
          <w:sz w:val="24"/>
          <w:szCs w:val="24"/>
        </w:rPr>
        <w:fldChar w:fldCharType="end"/>
      </w:r>
    </w:p>
    <w:p>
      <w:pPr>
        <w:pStyle w:val="31"/>
        <w:spacing w:line="260" w:lineRule="exact"/>
        <w:ind w:firstLine="86"/>
        <w:rPr>
          <w:rFonts w:ascii="宋体" w:hAnsi="宋体"/>
          <w:i w:val="0"/>
          <w:iCs w:val="0"/>
          <w:sz w:val="24"/>
          <w:szCs w:val="24"/>
        </w:rPr>
      </w:pPr>
      <w:r>
        <w:fldChar w:fldCharType="begin"/>
      </w:r>
      <w:r>
        <w:instrText xml:space="preserve"> HYPERLINK \l "_Toc82441606" </w:instrText>
      </w:r>
      <w:r>
        <w:fldChar w:fldCharType="separate"/>
      </w:r>
      <w:r>
        <w:rPr>
          <w:rStyle w:val="72"/>
          <w:rFonts w:hint="eastAsia" w:ascii="宋体" w:hAnsi="宋体"/>
          <w:bCs/>
          <w:i w:val="0"/>
          <w:color w:val="auto"/>
          <w:kern w:val="0"/>
          <w:sz w:val="24"/>
          <w:szCs w:val="24"/>
        </w:rPr>
        <w:t>20.评标工作程序</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_Toc82441606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14</w:t>
      </w:r>
      <w:r>
        <w:rPr>
          <w:rFonts w:hint="eastAsia" w:ascii="宋体" w:hAnsi="宋体"/>
          <w:i w:val="0"/>
          <w:sz w:val="24"/>
          <w:szCs w:val="24"/>
        </w:rPr>
        <w:fldChar w:fldCharType="end"/>
      </w:r>
      <w:r>
        <w:rPr>
          <w:rFonts w:hint="eastAsia" w:ascii="宋体" w:hAnsi="宋体"/>
          <w:i w:val="0"/>
          <w:sz w:val="24"/>
          <w:szCs w:val="24"/>
        </w:rPr>
        <w:fldChar w:fldCharType="end"/>
      </w:r>
    </w:p>
    <w:p>
      <w:pPr>
        <w:pStyle w:val="31"/>
        <w:spacing w:line="260" w:lineRule="exact"/>
        <w:ind w:firstLine="86"/>
        <w:rPr>
          <w:rFonts w:ascii="宋体" w:hAnsi="宋体"/>
          <w:i w:val="0"/>
          <w:iCs w:val="0"/>
          <w:sz w:val="24"/>
          <w:szCs w:val="24"/>
        </w:rPr>
      </w:pPr>
      <w:r>
        <w:fldChar w:fldCharType="begin"/>
      </w:r>
      <w:r>
        <w:instrText xml:space="preserve"> HYPERLINK \l "_Toc82441607" </w:instrText>
      </w:r>
      <w:r>
        <w:fldChar w:fldCharType="separate"/>
      </w:r>
      <w:r>
        <w:rPr>
          <w:rStyle w:val="72"/>
          <w:rFonts w:hint="eastAsia" w:ascii="宋体" w:hAnsi="宋体"/>
          <w:bCs/>
          <w:i w:val="0"/>
          <w:color w:val="auto"/>
          <w:kern w:val="0"/>
          <w:sz w:val="24"/>
          <w:szCs w:val="24"/>
        </w:rPr>
        <w:t>21.答疑的方式和情形</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_Toc82441607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15</w:t>
      </w:r>
      <w:r>
        <w:rPr>
          <w:rFonts w:hint="eastAsia" w:ascii="宋体" w:hAnsi="宋体"/>
          <w:i w:val="0"/>
          <w:sz w:val="24"/>
          <w:szCs w:val="24"/>
        </w:rPr>
        <w:fldChar w:fldCharType="end"/>
      </w:r>
      <w:r>
        <w:rPr>
          <w:rFonts w:hint="eastAsia" w:ascii="宋体" w:hAnsi="宋体"/>
          <w:i w:val="0"/>
          <w:sz w:val="24"/>
          <w:szCs w:val="24"/>
        </w:rPr>
        <w:fldChar w:fldCharType="end"/>
      </w:r>
    </w:p>
    <w:p>
      <w:pPr>
        <w:pStyle w:val="31"/>
        <w:spacing w:line="260" w:lineRule="exact"/>
        <w:ind w:firstLine="86"/>
        <w:rPr>
          <w:rFonts w:ascii="宋体" w:hAnsi="宋体"/>
          <w:i w:val="0"/>
          <w:iCs w:val="0"/>
          <w:sz w:val="24"/>
          <w:szCs w:val="24"/>
        </w:rPr>
      </w:pPr>
      <w:r>
        <w:fldChar w:fldCharType="begin"/>
      </w:r>
      <w:r>
        <w:instrText xml:space="preserve"> HYPERLINK \l "_Toc82441608" </w:instrText>
      </w:r>
      <w:r>
        <w:fldChar w:fldCharType="separate"/>
      </w:r>
      <w:r>
        <w:rPr>
          <w:rStyle w:val="72"/>
          <w:rFonts w:hint="eastAsia" w:ascii="宋体" w:hAnsi="宋体"/>
          <w:bCs/>
          <w:i w:val="0"/>
          <w:color w:val="auto"/>
          <w:kern w:val="0"/>
          <w:sz w:val="24"/>
          <w:szCs w:val="24"/>
        </w:rPr>
        <w:t>22.评标办法</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_Toc82441608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15</w:t>
      </w:r>
      <w:r>
        <w:rPr>
          <w:rFonts w:hint="eastAsia" w:ascii="宋体" w:hAnsi="宋体"/>
          <w:i w:val="0"/>
          <w:sz w:val="24"/>
          <w:szCs w:val="24"/>
        </w:rPr>
        <w:fldChar w:fldCharType="end"/>
      </w:r>
      <w:r>
        <w:rPr>
          <w:rFonts w:hint="eastAsia" w:ascii="宋体" w:hAnsi="宋体"/>
          <w:i w:val="0"/>
          <w:sz w:val="24"/>
          <w:szCs w:val="24"/>
        </w:rPr>
        <w:fldChar w:fldCharType="end"/>
      </w:r>
    </w:p>
    <w:p>
      <w:pPr>
        <w:pStyle w:val="52"/>
        <w:spacing w:line="260" w:lineRule="exact"/>
        <w:ind w:firstLine="472"/>
        <w:rPr>
          <w:rFonts w:ascii="宋体" w:hAnsi="宋体"/>
          <w:smallCaps w:val="0"/>
          <w:sz w:val="24"/>
          <w:szCs w:val="24"/>
        </w:rPr>
      </w:pPr>
      <w:r>
        <w:fldChar w:fldCharType="begin"/>
      </w:r>
      <w:r>
        <w:instrText xml:space="preserve"> HYPERLINK \l "_Toc82441609" </w:instrText>
      </w:r>
      <w:r>
        <w:fldChar w:fldCharType="separate"/>
      </w:r>
      <w:r>
        <w:rPr>
          <w:rStyle w:val="72"/>
          <w:rFonts w:hint="eastAsia" w:ascii="宋体" w:hAnsi="宋体"/>
          <w:bCs/>
          <w:color w:val="auto"/>
          <w:kern w:val="0"/>
          <w:sz w:val="24"/>
          <w:szCs w:val="24"/>
        </w:rPr>
        <w:t>八、定 标</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_Toc82441609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17</w:t>
      </w:r>
      <w:r>
        <w:rPr>
          <w:rFonts w:hint="eastAsia" w:ascii="宋体" w:hAnsi="宋体"/>
          <w:sz w:val="24"/>
          <w:szCs w:val="24"/>
        </w:rPr>
        <w:fldChar w:fldCharType="end"/>
      </w:r>
      <w:r>
        <w:rPr>
          <w:rFonts w:hint="eastAsia" w:ascii="宋体" w:hAnsi="宋体"/>
          <w:sz w:val="24"/>
          <w:szCs w:val="24"/>
        </w:rPr>
        <w:fldChar w:fldCharType="end"/>
      </w:r>
    </w:p>
    <w:p>
      <w:pPr>
        <w:pStyle w:val="31"/>
        <w:spacing w:line="260" w:lineRule="exact"/>
        <w:ind w:firstLine="86"/>
        <w:rPr>
          <w:rFonts w:ascii="宋体" w:hAnsi="宋体"/>
          <w:i w:val="0"/>
          <w:iCs w:val="0"/>
          <w:sz w:val="24"/>
          <w:szCs w:val="24"/>
        </w:rPr>
      </w:pPr>
      <w:r>
        <w:fldChar w:fldCharType="begin"/>
      </w:r>
      <w:r>
        <w:instrText xml:space="preserve"> HYPERLINK \l "_Toc82441610" </w:instrText>
      </w:r>
      <w:r>
        <w:fldChar w:fldCharType="separate"/>
      </w:r>
      <w:r>
        <w:rPr>
          <w:rStyle w:val="72"/>
          <w:rFonts w:hint="eastAsia" w:ascii="宋体" w:hAnsi="宋体"/>
          <w:bCs/>
          <w:i w:val="0"/>
          <w:color w:val="auto"/>
          <w:kern w:val="0"/>
          <w:sz w:val="24"/>
          <w:szCs w:val="24"/>
        </w:rPr>
        <w:t>23.推荐并确定中标供应商</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_Toc82441610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17</w:t>
      </w:r>
      <w:r>
        <w:rPr>
          <w:rFonts w:hint="eastAsia" w:ascii="宋体" w:hAnsi="宋体"/>
          <w:i w:val="0"/>
          <w:sz w:val="24"/>
          <w:szCs w:val="24"/>
        </w:rPr>
        <w:fldChar w:fldCharType="end"/>
      </w:r>
      <w:r>
        <w:rPr>
          <w:rFonts w:hint="eastAsia" w:ascii="宋体" w:hAnsi="宋体"/>
          <w:i w:val="0"/>
          <w:sz w:val="24"/>
          <w:szCs w:val="24"/>
        </w:rPr>
        <w:fldChar w:fldCharType="end"/>
      </w:r>
    </w:p>
    <w:p>
      <w:pPr>
        <w:pStyle w:val="31"/>
        <w:spacing w:line="260" w:lineRule="exact"/>
        <w:ind w:firstLine="86"/>
        <w:rPr>
          <w:rFonts w:ascii="宋体" w:hAnsi="宋体"/>
          <w:i w:val="0"/>
          <w:iCs w:val="0"/>
          <w:sz w:val="24"/>
          <w:szCs w:val="24"/>
        </w:rPr>
      </w:pPr>
      <w:r>
        <w:fldChar w:fldCharType="begin"/>
      </w:r>
      <w:r>
        <w:instrText xml:space="preserve"> HYPERLINK \l "_Toc82441611" </w:instrText>
      </w:r>
      <w:r>
        <w:fldChar w:fldCharType="separate"/>
      </w:r>
      <w:r>
        <w:rPr>
          <w:rStyle w:val="72"/>
          <w:rFonts w:hint="eastAsia" w:ascii="宋体" w:hAnsi="宋体"/>
          <w:bCs/>
          <w:i w:val="0"/>
          <w:color w:val="auto"/>
          <w:kern w:val="0"/>
          <w:sz w:val="24"/>
          <w:szCs w:val="24"/>
        </w:rPr>
        <w:t>24.中标通知</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_Toc82441611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17</w:t>
      </w:r>
      <w:r>
        <w:rPr>
          <w:rFonts w:hint="eastAsia" w:ascii="宋体" w:hAnsi="宋体"/>
          <w:i w:val="0"/>
          <w:sz w:val="24"/>
          <w:szCs w:val="24"/>
        </w:rPr>
        <w:fldChar w:fldCharType="end"/>
      </w:r>
      <w:r>
        <w:rPr>
          <w:rFonts w:hint="eastAsia" w:ascii="宋体" w:hAnsi="宋体"/>
          <w:i w:val="0"/>
          <w:sz w:val="24"/>
          <w:szCs w:val="24"/>
        </w:rPr>
        <w:fldChar w:fldCharType="end"/>
      </w:r>
    </w:p>
    <w:p>
      <w:pPr>
        <w:pStyle w:val="52"/>
        <w:spacing w:line="260" w:lineRule="exact"/>
        <w:ind w:firstLine="472"/>
        <w:rPr>
          <w:rFonts w:ascii="宋体" w:hAnsi="宋体"/>
          <w:smallCaps w:val="0"/>
          <w:sz w:val="24"/>
          <w:szCs w:val="24"/>
        </w:rPr>
      </w:pPr>
      <w:r>
        <w:fldChar w:fldCharType="begin"/>
      </w:r>
      <w:r>
        <w:instrText xml:space="preserve"> HYPERLINK \l "_Toc82441612" </w:instrText>
      </w:r>
      <w:r>
        <w:fldChar w:fldCharType="separate"/>
      </w:r>
      <w:r>
        <w:rPr>
          <w:rStyle w:val="72"/>
          <w:rFonts w:hint="eastAsia" w:ascii="宋体" w:hAnsi="宋体"/>
          <w:bCs/>
          <w:color w:val="auto"/>
          <w:kern w:val="0"/>
          <w:sz w:val="24"/>
          <w:szCs w:val="24"/>
        </w:rPr>
        <w:t>九、授予合同</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_Toc82441612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18</w:t>
      </w:r>
      <w:r>
        <w:rPr>
          <w:rFonts w:hint="eastAsia" w:ascii="宋体" w:hAnsi="宋体"/>
          <w:sz w:val="24"/>
          <w:szCs w:val="24"/>
        </w:rPr>
        <w:fldChar w:fldCharType="end"/>
      </w:r>
      <w:r>
        <w:rPr>
          <w:rFonts w:hint="eastAsia" w:ascii="宋体" w:hAnsi="宋体"/>
          <w:sz w:val="24"/>
          <w:szCs w:val="24"/>
        </w:rPr>
        <w:fldChar w:fldCharType="end"/>
      </w:r>
    </w:p>
    <w:p>
      <w:pPr>
        <w:pStyle w:val="31"/>
        <w:spacing w:line="260" w:lineRule="exact"/>
        <w:ind w:firstLine="86"/>
        <w:rPr>
          <w:rFonts w:ascii="宋体" w:hAnsi="宋体"/>
          <w:i w:val="0"/>
          <w:iCs w:val="0"/>
          <w:sz w:val="24"/>
          <w:szCs w:val="24"/>
        </w:rPr>
      </w:pPr>
      <w:r>
        <w:fldChar w:fldCharType="begin"/>
      </w:r>
      <w:r>
        <w:instrText xml:space="preserve"> HYPERLINK \l "_Toc82441613" </w:instrText>
      </w:r>
      <w:r>
        <w:fldChar w:fldCharType="separate"/>
      </w:r>
      <w:r>
        <w:rPr>
          <w:rStyle w:val="72"/>
          <w:rFonts w:hint="eastAsia" w:ascii="宋体" w:hAnsi="宋体"/>
          <w:bCs/>
          <w:i w:val="0"/>
          <w:color w:val="auto"/>
          <w:kern w:val="0"/>
          <w:sz w:val="24"/>
          <w:szCs w:val="24"/>
        </w:rPr>
        <w:t>25.签订合同</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_Toc82441613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18</w:t>
      </w:r>
      <w:r>
        <w:rPr>
          <w:rFonts w:hint="eastAsia" w:ascii="宋体" w:hAnsi="宋体"/>
          <w:i w:val="0"/>
          <w:sz w:val="24"/>
          <w:szCs w:val="24"/>
        </w:rPr>
        <w:fldChar w:fldCharType="end"/>
      </w:r>
      <w:r>
        <w:rPr>
          <w:rFonts w:hint="eastAsia" w:ascii="宋体" w:hAnsi="宋体"/>
          <w:i w:val="0"/>
          <w:sz w:val="24"/>
          <w:szCs w:val="24"/>
        </w:rPr>
        <w:fldChar w:fldCharType="end"/>
      </w:r>
    </w:p>
    <w:p>
      <w:pPr>
        <w:pStyle w:val="52"/>
        <w:spacing w:line="260" w:lineRule="exact"/>
        <w:ind w:firstLine="472"/>
        <w:rPr>
          <w:rFonts w:ascii="宋体" w:hAnsi="宋体"/>
          <w:smallCaps w:val="0"/>
          <w:sz w:val="24"/>
          <w:szCs w:val="24"/>
        </w:rPr>
      </w:pPr>
      <w:r>
        <w:fldChar w:fldCharType="begin"/>
      </w:r>
      <w:r>
        <w:instrText xml:space="preserve"> HYPERLINK \l "_Toc82441614" </w:instrText>
      </w:r>
      <w:r>
        <w:fldChar w:fldCharType="separate"/>
      </w:r>
      <w:r>
        <w:rPr>
          <w:rStyle w:val="72"/>
          <w:rFonts w:hint="eastAsia" w:ascii="宋体" w:hAnsi="宋体"/>
          <w:bCs/>
          <w:color w:val="auto"/>
          <w:kern w:val="0"/>
          <w:sz w:val="24"/>
          <w:szCs w:val="24"/>
        </w:rPr>
        <w:t>十、串通投标的认定及处理办法</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_Toc82441614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19</w:t>
      </w:r>
      <w:r>
        <w:rPr>
          <w:rFonts w:hint="eastAsia" w:ascii="宋体" w:hAnsi="宋体"/>
          <w:sz w:val="24"/>
          <w:szCs w:val="24"/>
        </w:rPr>
        <w:fldChar w:fldCharType="end"/>
      </w:r>
      <w:r>
        <w:rPr>
          <w:rFonts w:hint="eastAsia" w:ascii="宋体" w:hAnsi="宋体"/>
          <w:sz w:val="24"/>
          <w:szCs w:val="24"/>
        </w:rPr>
        <w:fldChar w:fldCharType="end"/>
      </w:r>
    </w:p>
    <w:p>
      <w:pPr>
        <w:pStyle w:val="31"/>
        <w:spacing w:line="260" w:lineRule="exact"/>
        <w:ind w:firstLine="86"/>
        <w:rPr>
          <w:rFonts w:ascii="宋体" w:hAnsi="宋体"/>
          <w:i w:val="0"/>
          <w:iCs w:val="0"/>
          <w:sz w:val="24"/>
          <w:szCs w:val="24"/>
        </w:rPr>
      </w:pPr>
      <w:r>
        <w:fldChar w:fldCharType="begin"/>
      </w:r>
      <w:r>
        <w:instrText xml:space="preserve"> HYPERLINK \l "_Toc82441615" </w:instrText>
      </w:r>
      <w:r>
        <w:fldChar w:fldCharType="separate"/>
      </w:r>
      <w:r>
        <w:rPr>
          <w:rStyle w:val="72"/>
          <w:rFonts w:hint="eastAsia" w:ascii="宋体" w:hAnsi="宋体"/>
          <w:bCs/>
          <w:i w:val="0"/>
          <w:color w:val="auto"/>
          <w:kern w:val="0"/>
          <w:sz w:val="24"/>
          <w:szCs w:val="24"/>
        </w:rPr>
        <w:t>26.串通投标的情形</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_Toc82441615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19</w:t>
      </w:r>
      <w:r>
        <w:rPr>
          <w:rFonts w:hint="eastAsia" w:ascii="宋体" w:hAnsi="宋体"/>
          <w:i w:val="0"/>
          <w:sz w:val="24"/>
          <w:szCs w:val="24"/>
        </w:rPr>
        <w:fldChar w:fldCharType="end"/>
      </w:r>
      <w:r>
        <w:rPr>
          <w:rFonts w:hint="eastAsia" w:ascii="宋体" w:hAnsi="宋体"/>
          <w:i w:val="0"/>
          <w:sz w:val="24"/>
          <w:szCs w:val="24"/>
        </w:rPr>
        <w:fldChar w:fldCharType="end"/>
      </w:r>
    </w:p>
    <w:p>
      <w:pPr>
        <w:pStyle w:val="52"/>
        <w:spacing w:line="260" w:lineRule="exact"/>
        <w:ind w:firstLine="472"/>
        <w:rPr>
          <w:rFonts w:ascii="宋体" w:hAnsi="宋体"/>
          <w:smallCaps w:val="0"/>
          <w:sz w:val="24"/>
          <w:szCs w:val="24"/>
        </w:rPr>
      </w:pPr>
      <w:r>
        <w:fldChar w:fldCharType="begin"/>
      </w:r>
      <w:r>
        <w:instrText xml:space="preserve"> HYPERLINK \l "_Toc82441616" </w:instrText>
      </w:r>
      <w:r>
        <w:fldChar w:fldCharType="separate"/>
      </w:r>
      <w:r>
        <w:rPr>
          <w:rStyle w:val="72"/>
          <w:rFonts w:hint="eastAsia" w:ascii="宋体" w:hAnsi="宋体"/>
          <w:bCs/>
          <w:color w:val="auto"/>
          <w:kern w:val="0"/>
          <w:sz w:val="24"/>
          <w:szCs w:val="24"/>
        </w:rPr>
        <w:t>十一、废标</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_Toc82441616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19</w:t>
      </w:r>
      <w:r>
        <w:rPr>
          <w:rFonts w:hint="eastAsia" w:ascii="宋体" w:hAnsi="宋体"/>
          <w:sz w:val="24"/>
          <w:szCs w:val="24"/>
        </w:rPr>
        <w:fldChar w:fldCharType="end"/>
      </w:r>
      <w:r>
        <w:rPr>
          <w:rFonts w:hint="eastAsia" w:ascii="宋体" w:hAnsi="宋体"/>
          <w:sz w:val="24"/>
          <w:szCs w:val="24"/>
        </w:rPr>
        <w:fldChar w:fldCharType="end"/>
      </w:r>
    </w:p>
    <w:p>
      <w:pPr>
        <w:pStyle w:val="31"/>
        <w:spacing w:line="260" w:lineRule="exact"/>
        <w:ind w:firstLine="86"/>
        <w:rPr>
          <w:rFonts w:ascii="宋体" w:hAnsi="宋体"/>
          <w:i w:val="0"/>
          <w:iCs w:val="0"/>
          <w:sz w:val="24"/>
          <w:szCs w:val="24"/>
        </w:rPr>
      </w:pPr>
      <w:r>
        <w:fldChar w:fldCharType="begin"/>
      </w:r>
      <w:r>
        <w:instrText xml:space="preserve"> HYPERLINK \l "_Toc82441617" </w:instrText>
      </w:r>
      <w:r>
        <w:fldChar w:fldCharType="separate"/>
      </w:r>
      <w:r>
        <w:rPr>
          <w:rStyle w:val="72"/>
          <w:rFonts w:hint="eastAsia" w:ascii="宋体" w:hAnsi="宋体"/>
          <w:bCs/>
          <w:i w:val="0"/>
          <w:color w:val="auto"/>
          <w:kern w:val="0"/>
          <w:sz w:val="24"/>
          <w:szCs w:val="24"/>
        </w:rPr>
        <w:t>27. 废标情形</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_Toc82441617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19</w:t>
      </w:r>
      <w:r>
        <w:rPr>
          <w:rFonts w:hint="eastAsia" w:ascii="宋体" w:hAnsi="宋体"/>
          <w:i w:val="0"/>
          <w:sz w:val="24"/>
          <w:szCs w:val="24"/>
        </w:rPr>
        <w:fldChar w:fldCharType="end"/>
      </w:r>
      <w:r>
        <w:rPr>
          <w:rFonts w:hint="eastAsia" w:ascii="宋体" w:hAnsi="宋体"/>
          <w:i w:val="0"/>
          <w:sz w:val="24"/>
          <w:szCs w:val="24"/>
        </w:rPr>
        <w:fldChar w:fldCharType="end"/>
      </w:r>
    </w:p>
    <w:p>
      <w:pPr>
        <w:pStyle w:val="52"/>
        <w:spacing w:line="260" w:lineRule="exact"/>
        <w:ind w:firstLine="472"/>
        <w:rPr>
          <w:rFonts w:ascii="宋体" w:hAnsi="宋体"/>
          <w:smallCaps w:val="0"/>
          <w:sz w:val="24"/>
          <w:szCs w:val="24"/>
        </w:rPr>
      </w:pPr>
      <w:r>
        <w:fldChar w:fldCharType="begin"/>
      </w:r>
      <w:r>
        <w:instrText xml:space="preserve"> HYPERLINK \l "_Toc82441618" </w:instrText>
      </w:r>
      <w:r>
        <w:fldChar w:fldCharType="separate"/>
      </w:r>
      <w:r>
        <w:rPr>
          <w:rStyle w:val="72"/>
          <w:rFonts w:hint="eastAsia" w:ascii="宋体" w:hAnsi="宋体"/>
          <w:bCs/>
          <w:color w:val="auto"/>
          <w:kern w:val="0"/>
          <w:sz w:val="24"/>
          <w:szCs w:val="24"/>
        </w:rPr>
        <w:t>十二、处罚</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_Toc82441618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19</w:t>
      </w:r>
      <w:r>
        <w:rPr>
          <w:rFonts w:hint="eastAsia" w:ascii="宋体" w:hAnsi="宋体"/>
          <w:sz w:val="24"/>
          <w:szCs w:val="24"/>
        </w:rPr>
        <w:fldChar w:fldCharType="end"/>
      </w:r>
      <w:r>
        <w:rPr>
          <w:rFonts w:hint="eastAsia" w:ascii="宋体" w:hAnsi="宋体"/>
          <w:sz w:val="24"/>
          <w:szCs w:val="24"/>
        </w:rPr>
        <w:fldChar w:fldCharType="end"/>
      </w:r>
    </w:p>
    <w:p>
      <w:pPr>
        <w:pStyle w:val="31"/>
        <w:spacing w:line="260" w:lineRule="exact"/>
        <w:ind w:firstLine="86"/>
        <w:rPr>
          <w:rFonts w:ascii="宋体" w:hAnsi="宋体"/>
          <w:i w:val="0"/>
          <w:iCs w:val="0"/>
          <w:sz w:val="24"/>
          <w:szCs w:val="24"/>
        </w:rPr>
      </w:pPr>
      <w:r>
        <w:fldChar w:fldCharType="begin"/>
      </w:r>
      <w:r>
        <w:instrText xml:space="preserve"> HYPERLINK \l "_Toc82441619" </w:instrText>
      </w:r>
      <w:r>
        <w:fldChar w:fldCharType="separate"/>
      </w:r>
      <w:r>
        <w:rPr>
          <w:rStyle w:val="72"/>
          <w:rFonts w:hint="eastAsia" w:ascii="宋体" w:hAnsi="宋体"/>
          <w:bCs/>
          <w:i w:val="0"/>
          <w:color w:val="auto"/>
          <w:kern w:val="0"/>
          <w:sz w:val="24"/>
          <w:szCs w:val="24"/>
        </w:rPr>
        <w:t>28.处罚情形</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_Toc82441619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20</w:t>
      </w:r>
      <w:r>
        <w:rPr>
          <w:rFonts w:hint="eastAsia" w:ascii="宋体" w:hAnsi="宋体"/>
          <w:i w:val="0"/>
          <w:sz w:val="24"/>
          <w:szCs w:val="24"/>
        </w:rPr>
        <w:fldChar w:fldCharType="end"/>
      </w:r>
      <w:r>
        <w:rPr>
          <w:rFonts w:hint="eastAsia" w:ascii="宋体" w:hAnsi="宋体"/>
          <w:i w:val="0"/>
          <w:sz w:val="24"/>
          <w:szCs w:val="24"/>
        </w:rPr>
        <w:fldChar w:fldCharType="end"/>
      </w:r>
    </w:p>
    <w:p>
      <w:pPr>
        <w:pStyle w:val="52"/>
        <w:spacing w:line="260" w:lineRule="exact"/>
        <w:ind w:firstLine="472"/>
        <w:rPr>
          <w:rFonts w:ascii="宋体" w:hAnsi="宋体"/>
          <w:smallCaps w:val="0"/>
          <w:sz w:val="24"/>
          <w:szCs w:val="24"/>
        </w:rPr>
      </w:pPr>
      <w:r>
        <w:fldChar w:fldCharType="begin"/>
      </w:r>
      <w:r>
        <w:instrText xml:space="preserve"> HYPERLINK \l "_Toc82441620" </w:instrText>
      </w:r>
      <w:r>
        <w:fldChar w:fldCharType="separate"/>
      </w:r>
      <w:r>
        <w:rPr>
          <w:rStyle w:val="72"/>
          <w:rFonts w:hint="eastAsia" w:ascii="宋体" w:hAnsi="宋体"/>
          <w:bCs/>
          <w:color w:val="auto"/>
          <w:kern w:val="0"/>
          <w:sz w:val="24"/>
          <w:szCs w:val="24"/>
        </w:rPr>
        <w:t>十三、其他</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_Toc82441620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20</w:t>
      </w:r>
      <w:r>
        <w:rPr>
          <w:rFonts w:hint="eastAsia" w:ascii="宋体" w:hAnsi="宋体"/>
          <w:sz w:val="24"/>
          <w:szCs w:val="24"/>
        </w:rPr>
        <w:fldChar w:fldCharType="end"/>
      </w:r>
      <w:r>
        <w:rPr>
          <w:rFonts w:hint="eastAsia" w:ascii="宋体" w:hAnsi="宋体"/>
          <w:sz w:val="24"/>
          <w:szCs w:val="24"/>
        </w:rPr>
        <w:fldChar w:fldCharType="end"/>
      </w:r>
    </w:p>
    <w:p>
      <w:pPr>
        <w:pStyle w:val="40"/>
        <w:tabs>
          <w:tab w:val="right" w:leader="dot" w:pos="8948"/>
        </w:tabs>
        <w:spacing w:line="260" w:lineRule="exact"/>
        <w:ind w:firstLine="402"/>
        <w:rPr>
          <w:rFonts w:ascii="宋体" w:hAnsi="宋体"/>
          <w:b w:val="0"/>
          <w:bCs w:val="0"/>
          <w:caps w:val="0"/>
          <w:sz w:val="24"/>
          <w:szCs w:val="24"/>
        </w:rPr>
      </w:pPr>
      <w:r>
        <w:fldChar w:fldCharType="begin"/>
      </w:r>
      <w:r>
        <w:instrText xml:space="preserve"> HYPERLINK \l "_Toc82441621" </w:instrText>
      </w:r>
      <w:r>
        <w:fldChar w:fldCharType="separate"/>
      </w:r>
      <w:r>
        <w:rPr>
          <w:rStyle w:val="72"/>
          <w:rFonts w:hint="eastAsia" w:ascii="宋体" w:hAnsi="宋体"/>
          <w:b w:val="0"/>
          <w:color w:val="auto"/>
          <w:sz w:val="24"/>
          <w:szCs w:val="24"/>
        </w:rPr>
        <w:t>青海省政府采购项目合同书</w:t>
      </w:r>
      <w:r>
        <w:rPr>
          <w:rFonts w:hint="eastAsia" w:ascii="宋体" w:hAnsi="宋体"/>
          <w:b w:val="0"/>
          <w:sz w:val="24"/>
          <w:szCs w:val="24"/>
        </w:rPr>
        <w:tab/>
      </w:r>
      <w:r>
        <w:rPr>
          <w:rFonts w:hint="eastAsia" w:ascii="宋体" w:hAnsi="宋体"/>
          <w:b w:val="0"/>
          <w:sz w:val="24"/>
          <w:szCs w:val="24"/>
        </w:rPr>
        <w:fldChar w:fldCharType="begin"/>
      </w:r>
      <w:r>
        <w:rPr>
          <w:rFonts w:hint="eastAsia" w:ascii="宋体" w:hAnsi="宋体"/>
          <w:b w:val="0"/>
          <w:sz w:val="24"/>
          <w:szCs w:val="24"/>
        </w:rPr>
        <w:instrText xml:space="preserve"> </w:instrText>
      </w:r>
      <w:r>
        <w:rPr>
          <w:rFonts w:ascii="宋体" w:hAnsi="宋体"/>
          <w:b w:val="0"/>
          <w:sz w:val="24"/>
          <w:szCs w:val="24"/>
        </w:rPr>
        <w:instrText xml:space="preserve">PAGEREF _Toc82441621 \h</w:instrText>
      </w:r>
      <w:r>
        <w:rPr>
          <w:rFonts w:hint="eastAsia" w:ascii="宋体" w:hAnsi="宋体"/>
          <w:b w:val="0"/>
          <w:sz w:val="24"/>
          <w:szCs w:val="24"/>
        </w:rPr>
        <w:instrText xml:space="preserve"> </w:instrText>
      </w:r>
      <w:r>
        <w:rPr>
          <w:rFonts w:hint="eastAsia" w:ascii="宋体" w:hAnsi="宋体"/>
          <w:b w:val="0"/>
          <w:sz w:val="24"/>
          <w:szCs w:val="24"/>
        </w:rPr>
        <w:fldChar w:fldCharType="separate"/>
      </w:r>
      <w:r>
        <w:rPr>
          <w:rFonts w:ascii="宋体" w:hAnsi="宋体"/>
          <w:b w:val="0"/>
          <w:sz w:val="24"/>
          <w:szCs w:val="24"/>
        </w:rPr>
        <w:t>21</w:t>
      </w:r>
      <w:r>
        <w:rPr>
          <w:rFonts w:hint="eastAsia" w:ascii="宋体" w:hAnsi="宋体"/>
          <w:b w:val="0"/>
          <w:sz w:val="24"/>
          <w:szCs w:val="24"/>
        </w:rPr>
        <w:fldChar w:fldCharType="end"/>
      </w:r>
      <w:r>
        <w:rPr>
          <w:rFonts w:hint="eastAsia" w:ascii="宋体" w:hAnsi="宋体"/>
          <w:b w:val="0"/>
          <w:sz w:val="24"/>
          <w:szCs w:val="24"/>
        </w:rPr>
        <w:fldChar w:fldCharType="end"/>
      </w:r>
    </w:p>
    <w:p>
      <w:pPr>
        <w:pStyle w:val="40"/>
        <w:tabs>
          <w:tab w:val="right" w:leader="dot" w:pos="8948"/>
        </w:tabs>
        <w:spacing w:line="260" w:lineRule="exact"/>
        <w:ind w:firstLine="402"/>
        <w:rPr>
          <w:rFonts w:ascii="宋体" w:hAnsi="宋体"/>
          <w:b w:val="0"/>
          <w:bCs w:val="0"/>
          <w:caps w:val="0"/>
          <w:sz w:val="24"/>
          <w:szCs w:val="24"/>
        </w:rPr>
      </w:pPr>
      <w:r>
        <w:fldChar w:fldCharType="begin"/>
      </w:r>
      <w:r>
        <w:instrText xml:space="preserve"> HYPERLINK \l "_Toc82441622" </w:instrText>
      </w:r>
      <w:r>
        <w:fldChar w:fldCharType="separate"/>
      </w:r>
      <w:r>
        <w:rPr>
          <w:rStyle w:val="72"/>
          <w:rFonts w:hint="eastAsia" w:ascii="宋体" w:hAnsi="宋体"/>
          <w:b w:val="0"/>
          <w:color w:val="auto"/>
          <w:kern w:val="28"/>
          <w:sz w:val="24"/>
          <w:szCs w:val="24"/>
        </w:rPr>
        <w:t>第四部分  投标文件格式</w:t>
      </w:r>
      <w:r>
        <w:rPr>
          <w:rFonts w:hint="eastAsia" w:ascii="宋体" w:hAnsi="宋体"/>
          <w:b w:val="0"/>
          <w:sz w:val="24"/>
          <w:szCs w:val="24"/>
        </w:rPr>
        <w:tab/>
      </w:r>
      <w:r>
        <w:rPr>
          <w:rFonts w:hint="eastAsia" w:ascii="宋体" w:hAnsi="宋体"/>
          <w:b w:val="0"/>
          <w:sz w:val="24"/>
          <w:szCs w:val="24"/>
        </w:rPr>
        <w:fldChar w:fldCharType="begin"/>
      </w:r>
      <w:r>
        <w:rPr>
          <w:rFonts w:hint="eastAsia" w:ascii="宋体" w:hAnsi="宋体"/>
          <w:b w:val="0"/>
          <w:sz w:val="24"/>
          <w:szCs w:val="24"/>
        </w:rPr>
        <w:instrText xml:space="preserve"> </w:instrText>
      </w:r>
      <w:r>
        <w:rPr>
          <w:rFonts w:ascii="宋体" w:hAnsi="宋体"/>
          <w:b w:val="0"/>
          <w:sz w:val="24"/>
          <w:szCs w:val="24"/>
        </w:rPr>
        <w:instrText xml:space="preserve">PAGEREF _Toc82441622 \h</w:instrText>
      </w:r>
      <w:r>
        <w:rPr>
          <w:rFonts w:hint="eastAsia" w:ascii="宋体" w:hAnsi="宋体"/>
          <w:b w:val="0"/>
          <w:sz w:val="24"/>
          <w:szCs w:val="24"/>
        </w:rPr>
        <w:instrText xml:space="preserve"> </w:instrText>
      </w:r>
      <w:r>
        <w:rPr>
          <w:rFonts w:hint="eastAsia" w:ascii="宋体" w:hAnsi="宋体"/>
          <w:b w:val="0"/>
          <w:sz w:val="24"/>
          <w:szCs w:val="24"/>
        </w:rPr>
        <w:fldChar w:fldCharType="separate"/>
      </w:r>
      <w:r>
        <w:rPr>
          <w:rFonts w:ascii="宋体" w:hAnsi="宋体"/>
          <w:b w:val="0"/>
          <w:sz w:val="24"/>
          <w:szCs w:val="24"/>
        </w:rPr>
        <w:t>34</w:t>
      </w:r>
      <w:r>
        <w:rPr>
          <w:rFonts w:hint="eastAsia" w:ascii="宋体" w:hAnsi="宋体"/>
          <w:b w:val="0"/>
          <w:sz w:val="24"/>
          <w:szCs w:val="24"/>
        </w:rPr>
        <w:fldChar w:fldCharType="end"/>
      </w:r>
      <w:r>
        <w:rPr>
          <w:rFonts w:hint="eastAsia" w:ascii="宋体" w:hAnsi="宋体"/>
          <w:b w:val="0"/>
          <w:sz w:val="24"/>
          <w:szCs w:val="24"/>
        </w:rPr>
        <w:fldChar w:fldCharType="end"/>
      </w:r>
    </w:p>
    <w:p>
      <w:pPr>
        <w:pStyle w:val="40"/>
        <w:tabs>
          <w:tab w:val="right" w:leader="dot" w:pos="8948"/>
        </w:tabs>
        <w:spacing w:line="260" w:lineRule="exact"/>
        <w:ind w:firstLine="402"/>
        <w:rPr>
          <w:rFonts w:ascii="宋体" w:hAnsi="宋体"/>
          <w:b w:val="0"/>
          <w:bCs w:val="0"/>
          <w:caps w:val="0"/>
          <w:sz w:val="24"/>
          <w:szCs w:val="24"/>
        </w:rPr>
      </w:pPr>
      <w:r>
        <w:fldChar w:fldCharType="begin"/>
      </w:r>
      <w:r>
        <w:instrText xml:space="preserve"> HYPERLINK \l "_Toc82441623" </w:instrText>
      </w:r>
      <w:r>
        <w:fldChar w:fldCharType="separate"/>
      </w:r>
      <w:r>
        <w:rPr>
          <w:rStyle w:val="72"/>
          <w:rFonts w:hint="eastAsia" w:ascii="宋体" w:hAnsi="宋体"/>
          <w:b w:val="0"/>
          <w:color w:val="auto"/>
          <w:kern w:val="28"/>
          <w:sz w:val="24"/>
          <w:szCs w:val="24"/>
        </w:rPr>
        <w:t>投标文件的组成</w:t>
      </w:r>
      <w:r>
        <w:rPr>
          <w:rFonts w:hint="eastAsia" w:ascii="宋体" w:hAnsi="宋体"/>
          <w:b w:val="0"/>
          <w:sz w:val="24"/>
          <w:szCs w:val="24"/>
        </w:rPr>
        <w:tab/>
      </w:r>
      <w:r>
        <w:rPr>
          <w:rFonts w:hint="eastAsia" w:ascii="宋体" w:hAnsi="宋体"/>
          <w:b w:val="0"/>
          <w:sz w:val="24"/>
          <w:szCs w:val="24"/>
        </w:rPr>
        <w:fldChar w:fldCharType="begin"/>
      </w:r>
      <w:r>
        <w:rPr>
          <w:rFonts w:hint="eastAsia" w:ascii="宋体" w:hAnsi="宋体"/>
          <w:b w:val="0"/>
          <w:sz w:val="24"/>
          <w:szCs w:val="24"/>
        </w:rPr>
        <w:instrText xml:space="preserve"> </w:instrText>
      </w:r>
      <w:r>
        <w:rPr>
          <w:rFonts w:ascii="宋体" w:hAnsi="宋体"/>
          <w:b w:val="0"/>
          <w:sz w:val="24"/>
          <w:szCs w:val="24"/>
        </w:rPr>
        <w:instrText xml:space="preserve">PAGEREF _Toc82441623 \h</w:instrText>
      </w:r>
      <w:r>
        <w:rPr>
          <w:rFonts w:hint="eastAsia" w:ascii="宋体" w:hAnsi="宋体"/>
          <w:b w:val="0"/>
          <w:sz w:val="24"/>
          <w:szCs w:val="24"/>
        </w:rPr>
        <w:instrText xml:space="preserve"> </w:instrText>
      </w:r>
      <w:r>
        <w:rPr>
          <w:rFonts w:hint="eastAsia" w:ascii="宋体" w:hAnsi="宋体"/>
          <w:b w:val="0"/>
          <w:sz w:val="24"/>
          <w:szCs w:val="24"/>
        </w:rPr>
        <w:fldChar w:fldCharType="separate"/>
      </w:r>
      <w:r>
        <w:rPr>
          <w:rFonts w:ascii="宋体" w:hAnsi="宋体"/>
          <w:b w:val="0"/>
          <w:sz w:val="24"/>
          <w:szCs w:val="24"/>
        </w:rPr>
        <w:t>34</w:t>
      </w:r>
      <w:r>
        <w:rPr>
          <w:rFonts w:hint="eastAsia" w:ascii="宋体" w:hAnsi="宋体"/>
          <w:b w:val="0"/>
          <w:sz w:val="24"/>
          <w:szCs w:val="24"/>
        </w:rPr>
        <w:fldChar w:fldCharType="end"/>
      </w:r>
      <w:r>
        <w:rPr>
          <w:rFonts w:hint="eastAsia" w:ascii="宋体" w:hAnsi="宋体"/>
          <w:b w:val="0"/>
          <w:sz w:val="24"/>
          <w:szCs w:val="24"/>
        </w:rPr>
        <w:fldChar w:fldCharType="end"/>
      </w:r>
    </w:p>
    <w:p>
      <w:pPr>
        <w:pStyle w:val="52"/>
        <w:spacing w:line="260" w:lineRule="exact"/>
        <w:ind w:firstLine="472"/>
        <w:rPr>
          <w:rFonts w:ascii="宋体" w:hAnsi="宋体"/>
          <w:smallCaps w:val="0"/>
          <w:sz w:val="24"/>
          <w:szCs w:val="24"/>
        </w:rPr>
      </w:pPr>
      <w:r>
        <w:fldChar w:fldCharType="begin"/>
      </w:r>
      <w:r>
        <w:instrText xml:space="preserve"> HYPERLINK \l "_Toc82441624" </w:instrText>
      </w:r>
      <w:r>
        <w:fldChar w:fldCharType="separate"/>
      </w:r>
      <w:r>
        <w:rPr>
          <w:rStyle w:val="72"/>
          <w:rFonts w:hint="eastAsia" w:ascii="宋体" w:hAnsi="宋体"/>
          <w:color w:val="auto"/>
          <w:sz w:val="24"/>
          <w:szCs w:val="24"/>
        </w:rPr>
        <w:t>（投标文件封面）</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_Toc82441624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35</w:t>
      </w:r>
      <w:r>
        <w:rPr>
          <w:rFonts w:hint="eastAsia" w:ascii="宋体" w:hAnsi="宋体"/>
          <w:sz w:val="24"/>
          <w:szCs w:val="24"/>
        </w:rPr>
        <w:fldChar w:fldCharType="end"/>
      </w:r>
      <w:r>
        <w:rPr>
          <w:rFonts w:hint="eastAsia" w:ascii="宋体" w:hAnsi="宋体"/>
          <w:sz w:val="24"/>
          <w:szCs w:val="24"/>
        </w:rPr>
        <w:fldChar w:fldCharType="end"/>
      </w:r>
    </w:p>
    <w:p>
      <w:pPr>
        <w:pStyle w:val="52"/>
        <w:spacing w:line="260" w:lineRule="exact"/>
        <w:ind w:firstLine="472"/>
        <w:rPr>
          <w:rFonts w:ascii="宋体" w:hAnsi="宋体"/>
          <w:smallCaps w:val="0"/>
          <w:sz w:val="24"/>
          <w:szCs w:val="24"/>
        </w:rPr>
      </w:pPr>
      <w:r>
        <w:fldChar w:fldCharType="begin"/>
      </w:r>
      <w:r>
        <w:instrText xml:space="preserve"> HYPERLINK \l "_Toc82441625" </w:instrText>
      </w:r>
      <w:r>
        <w:fldChar w:fldCharType="separate"/>
      </w:r>
      <w:r>
        <w:rPr>
          <w:rStyle w:val="72"/>
          <w:rFonts w:hint="eastAsia" w:ascii="宋体" w:hAnsi="宋体"/>
          <w:color w:val="auto"/>
          <w:sz w:val="24"/>
          <w:szCs w:val="24"/>
        </w:rPr>
        <w:t>附件1：投 标 函</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_Toc82441625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36</w:t>
      </w:r>
      <w:r>
        <w:rPr>
          <w:rFonts w:hint="eastAsia" w:ascii="宋体" w:hAnsi="宋体"/>
          <w:sz w:val="24"/>
          <w:szCs w:val="24"/>
        </w:rPr>
        <w:fldChar w:fldCharType="end"/>
      </w:r>
      <w:r>
        <w:rPr>
          <w:rFonts w:hint="eastAsia" w:ascii="宋体" w:hAnsi="宋体"/>
          <w:sz w:val="24"/>
          <w:szCs w:val="24"/>
        </w:rPr>
        <w:fldChar w:fldCharType="end"/>
      </w:r>
    </w:p>
    <w:p>
      <w:pPr>
        <w:pStyle w:val="52"/>
        <w:spacing w:line="260" w:lineRule="exact"/>
        <w:ind w:firstLine="472"/>
        <w:rPr>
          <w:rFonts w:ascii="宋体" w:hAnsi="宋体"/>
          <w:smallCaps w:val="0"/>
          <w:sz w:val="24"/>
          <w:szCs w:val="24"/>
        </w:rPr>
      </w:pPr>
      <w:r>
        <w:fldChar w:fldCharType="begin"/>
      </w:r>
      <w:r>
        <w:instrText xml:space="preserve"> HYPERLINK \l "_Toc82441626" </w:instrText>
      </w:r>
      <w:r>
        <w:fldChar w:fldCharType="separate"/>
      </w:r>
      <w:r>
        <w:rPr>
          <w:rStyle w:val="72"/>
          <w:rFonts w:hint="eastAsia" w:ascii="宋体" w:hAnsi="宋体"/>
          <w:color w:val="auto"/>
          <w:sz w:val="24"/>
          <w:szCs w:val="24"/>
        </w:rPr>
        <w:t>附件2：法定代表人证明书</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_Toc82441626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37</w:t>
      </w:r>
      <w:r>
        <w:rPr>
          <w:rFonts w:hint="eastAsia" w:ascii="宋体" w:hAnsi="宋体"/>
          <w:sz w:val="24"/>
          <w:szCs w:val="24"/>
        </w:rPr>
        <w:fldChar w:fldCharType="end"/>
      </w:r>
      <w:r>
        <w:rPr>
          <w:rFonts w:hint="eastAsia" w:ascii="宋体" w:hAnsi="宋体"/>
          <w:sz w:val="24"/>
          <w:szCs w:val="24"/>
        </w:rPr>
        <w:fldChar w:fldCharType="end"/>
      </w:r>
    </w:p>
    <w:p>
      <w:pPr>
        <w:pStyle w:val="52"/>
        <w:spacing w:line="260" w:lineRule="exact"/>
        <w:ind w:firstLine="472"/>
        <w:rPr>
          <w:rFonts w:ascii="宋体" w:hAnsi="宋体"/>
          <w:smallCaps w:val="0"/>
          <w:sz w:val="24"/>
          <w:szCs w:val="24"/>
        </w:rPr>
      </w:pPr>
      <w:r>
        <w:fldChar w:fldCharType="begin"/>
      </w:r>
      <w:r>
        <w:instrText xml:space="preserve"> HYPERLINK \l "_Toc82441627" </w:instrText>
      </w:r>
      <w:r>
        <w:fldChar w:fldCharType="separate"/>
      </w:r>
      <w:r>
        <w:rPr>
          <w:rStyle w:val="72"/>
          <w:rFonts w:hint="eastAsia" w:ascii="宋体" w:hAnsi="宋体"/>
          <w:color w:val="auto"/>
          <w:sz w:val="24"/>
          <w:szCs w:val="24"/>
        </w:rPr>
        <w:t>附件3：法定代表人授权书</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_Toc82441627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38</w:t>
      </w:r>
      <w:r>
        <w:rPr>
          <w:rFonts w:hint="eastAsia" w:ascii="宋体" w:hAnsi="宋体"/>
          <w:sz w:val="24"/>
          <w:szCs w:val="24"/>
        </w:rPr>
        <w:fldChar w:fldCharType="end"/>
      </w:r>
      <w:r>
        <w:rPr>
          <w:rFonts w:hint="eastAsia" w:ascii="宋体" w:hAnsi="宋体"/>
          <w:sz w:val="24"/>
          <w:szCs w:val="24"/>
        </w:rPr>
        <w:fldChar w:fldCharType="end"/>
      </w:r>
    </w:p>
    <w:p>
      <w:pPr>
        <w:pStyle w:val="52"/>
        <w:spacing w:line="260" w:lineRule="exact"/>
        <w:ind w:firstLine="472"/>
        <w:rPr>
          <w:rFonts w:ascii="宋体" w:hAnsi="宋体"/>
          <w:smallCaps w:val="0"/>
          <w:sz w:val="24"/>
          <w:szCs w:val="24"/>
        </w:rPr>
      </w:pPr>
      <w:r>
        <w:fldChar w:fldCharType="begin"/>
      </w:r>
      <w:r>
        <w:instrText xml:space="preserve"> HYPERLINK \l "_Toc82441628" </w:instrText>
      </w:r>
      <w:r>
        <w:fldChar w:fldCharType="separate"/>
      </w:r>
      <w:r>
        <w:rPr>
          <w:rStyle w:val="72"/>
          <w:rFonts w:hint="eastAsia" w:ascii="宋体" w:hAnsi="宋体"/>
          <w:color w:val="auto"/>
          <w:sz w:val="24"/>
          <w:szCs w:val="24"/>
        </w:rPr>
        <w:t>附件4：投标人承诺函</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_Toc82441628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39</w:t>
      </w:r>
      <w:r>
        <w:rPr>
          <w:rFonts w:hint="eastAsia" w:ascii="宋体" w:hAnsi="宋体"/>
          <w:sz w:val="24"/>
          <w:szCs w:val="24"/>
        </w:rPr>
        <w:fldChar w:fldCharType="end"/>
      </w:r>
      <w:r>
        <w:rPr>
          <w:rFonts w:hint="eastAsia" w:ascii="宋体" w:hAnsi="宋体"/>
          <w:sz w:val="24"/>
          <w:szCs w:val="24"/>
        </w:rPr>
        <w:fldChar w:fldCharType="end"/>
      </w:r>
    </w:p>
    <w:p>
      <w:pPr>
        <w:pStyle w:val="52"/>
        <w:spacing w:line="260" w:lineRule="exact"/>
        <w:ind w:firstLine="472"/>
        <w:rPr>
          <w:rFonts w:ascii="宋体" w:hAnsi="宋体"/>
          <w:smallCaps w:val="0"/>
          <w:sz w:val="24"/>
          <w:szCs w:val="24"/>
        </w:rPr>
      </w:pPr>
      <w:r>
        <w:fldChar w:fldCharType="begin"/>
      </w:r>
      <w:r>
        <w:instrText xml:space="preserve"> HYPERLINK \l "_Toc82441629" </w:instrText>
      </w:r>
      <w:r>
        <w:fldChar w:fldCharType="separate"/>
      </w:r>
      <w:r>
        <w:rPr>
          <w:rStyle w:val="72"/>
          <w:rFonts w:hint="eastAsia" w:ascii="宋体" w:hAnsi="宋体"/>
          <w:color w:val="auto"/>
          <w:sz w:val="24"/>
          <w:szCs w:val="24"/>
        </w:rPr>
        <w:t>附件5：供应商诚信承诺书</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_Toc82441629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40</w:t>
      </w:r>
      <w:r>
        <w:rPr>
          <w:rFonts w:hint="eastAsia" w:ascii="宋体" w:hAnsi="宋体"/>
          <w:sz w:val="24"/>
          <w:szCs w:val="24"/>
        </w:rPr>
        <w:fldChar w:fldCharType="end"/>
      </w:r>
      <w:r>
        <w:rPr>
          <w:rFonts w:hint="eastAsia" w:ascii="宋体" w:hAnsi="宋体"/>
          <w:sz w:val="24"/>
          <w:szCs w:val="24"/>
        </w:rPr>
        <w:fldChar w:fldCharType="end"/>
      </w:r>
    </w:p>
    <w:p>
      <w:pPr>
        <w:pStyle w:val="52"/>
        <w:spacing w:line="260" w:lineRule="exact"/>
        <w:ind w:firstLine="472"/>
        <w:rPr>
          <w:rFonts w:ascii="宋体" w:hAnsi="宋体"/>
          <w:smallCaps w:val="0"/>
          <w:sz w:val="24"/>
          <w:szCs w:val="24"/>
        </w:rPr>
      </w:pPr>
      <w:r>
        <w:fldChar w:fldCharType="begin"/>
      </w:r>
      <w:r>
        <w:instrText xml:space="preserve"> HYPERLINK \l "_Toc82441630" </w:instrText>
      </w:r>
      <w:r>
        <w:fldChar w:fldCharType="separate"/>
      </w:r>
      <w:r>
        <w:rPr>
          <w:rStyle w:val="72"/>
          <w:rFonts w:hint="eastAsia" w:ascii="宋体" w:hAnsi="宋体"/>
          <w:color w:val="auto"/>
          <w:sz w:val="24"/>
          <w:szCs w:val="24"/>
        </w:rPr>
        <w:t>附件6：投标人资格证明文件</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_Toc82441630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41</w:t>
      </w:r>
      <w:r>
        <w:rPr>
          <w:rFonts w:hint="eastAsia" w:ascii="宋体" w:hAnsi="宋体"/>
          <w:sz w:val="24"/>
          <w:szCs w:val="24"/>
        </w:rPr>
        <w:fldChar w:fldCharType="end"/>
      </w:r>
      <w:r>
        <w:rPr>
          <w:rFonts w:hint="eastAsia" w:ascii="宋体" w:hAnsi="宋体"/>
          <w:sz w:val="24"/>
          <w:szCs w:val="24"/>
        </w:rPr>
        <w:fldChar w:fldCharType="end"/>
      </w:r>
    </w:p>
    <w:p>
      <w:pPr>
        <w:pStyle w:val="52"/>
        <w:spacing w:line="260" w:lineRule="exact"/>
        <w:ind w:firstLine="472"/>
        <w:rPr>
          <w:rFonts w:ascii="宋体" w:hAnsi="宋体"/>
          <w:smallCaps w:val="0"/>
          <w:sz w:val="24"/>
          <w:szCs w:val="24"/>
        </w:rPr>
      </w:pPr>
      <w:r>
        <w:fldChar w:fldCharType="begin"/>
      </w:r>
      <w:r>
        <w:instrText xml:space="preserve"> HYPERLINK \l "_Toc82441631" </w:instrText>
      </w:r>
      <w:r>
        <w:fldChar w:fldCharType="separate"/>
      </w:r>
      <w:r>
        <w:rPr>
          <w:rStyle w:val="72"/>
          <w:rFonts w:hint="eastAsia" w:ascii="宋体" w:hAnsi="宋体"/>
          <w:color w:val="auto"/>
          <w:sz w:val="24"/>
          <w:szCs w:val="24"/>
        </w:rPr>
        <w:t>附件7：财务状况、缴纳税收和社会保障资金证明</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_Toc82441631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42</w:t>
      </w:r>
      <w:r>
        <w:rPr>
          <w:rFonts w:hint="eastAsia" w:ascii="宋体" w:hAnsi="宋体"/>
          <w:sz w:val="24"/>
          <w:szCs w:val="24"/>
        </w:rPr>
        <w:fldChar w:fldCharType="end"/>
      </w:r>
      <w:r>
        <w:rPr>
          <w:rFonts w:hint="eastAsia" w:ascii="宋体" w:hAnsi="宋体"/>
          <w:sz w:val="24"/>
          <w:szCs w:val="24"/>
        </w:rPr>
        <w:fldChar w:fldCharType="end"/>
      </w:r>
    </w:p>
    <w:p>
      <w:pPr>
        <w:pStyle w:val="52"/>
        <w:spacing w:line="260" w:lineRule="exact"/>
        <w:ind w:firstLine="472"/>
        <w:rPr>
          <w:rFonts w:ascii="宋体" w:hAnsi="宋体"/>
          <w:smallCaps w:val="0"/>
          <w:sz w:val="24"/>
          <w:szCs w:val="24"/>
        </w:rPr>
      </w:pPr>
      <w:r>
        <w:fldChar w:fldCharType="begin"/>
      </w:r>
      <w:r>
        <w:instrText xml:space="preserve"> HYPERLINK \l "_Toc82441632" </w:instrText>
      </w:r>
      <w:r>
        <w:fldChar w:fldCharType="separate"/>
      </w:r>
      <w:r>
        <w:rPr>
          <w:rStyle w:val="72"/>
          <w:rFonts w:hint="eastAsia" w:ascii="宋体" w:hAnsi="宋体"/>
          <w:color w:val="auto"/>
          <w:sz w:val="24"/>
          <w:szCs w:val="24"/>
        </w:rPr>
        <w:t>附件8：无重大违法记录声明</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_Toc82441632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43</w:t>
      </w:r>
      <w:r>
        <w:rPr>
          <w:rFonts w:hint="eastAsia" w:ascii="宋体" w:hAnsi="宋体"/>
          <w:sz w:val="24"/>
          <w:szCs w:val="24"/>
        </w:rPr>
        <w:fldChar w:fldCharType="end"/>
      </w:r>
      <w:r>
        <w:rPr>
          <w:rFonts w:hint="eastAsia" w:ascii="宋体" w:hAnsi="宋体"/>
          <w:sz w:val="24"/>
          <w:szCs w:val="24"/>
        </w:rPr>
        <w:fldChar w:fldCharType="end"/>
      </w:r>
    </w:p>
    <w:p>
      <w:pPr>
        <w:pStyle w:val="52"/>
        <w:spacing w:line="260" w:lineRule="exact"/>
        <w:ind w:firstLine="472"/>
        <w:rPr>
          <w:rFonts w:ascii="宋体" w:hAnsi="宋体"/>
          <w:smallCaps w:val="0"/>
          <w:sz w:val="24"/>
          <w:szCs w:val="24"/>
        </w:rPr>
      </w:pPr>
      <w:r>
        <w:fldChar w:fldCharType="begin"/>
      </w:r>
      <w:r>
        <w:instrText xml:space="preserve"> HYPERLINK \l "_Toc82441634" </w:instrText>
      </w:r>
      <w:r>
        <w:fldChar w:fldCharType="separate"/>
      </w:r>
      <w:r>
        <w:rPr>
          <w:rStyle w:val="72"/>
          <w:rFonts w:hint="eastAsia" w:ascii="宋体" w:hAnsi="宋体"/>
          <w:color w:val="auto"/>
          <w:sz w:val="24"/>
          <w:szCs w:val="24"/>
        </w:rPr>
        <w:t>附件9：投标保证金证明</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_Toc82441634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44</w:t>
      </w:r>
      <w:r>
        <w:rPr>
          <w:rFonts w:hint="eastAsia" w:ascii="宋体" w:hAnsi="宋体"/>
          <w:sz w:val="24"/>
          <w:szCs w:val="24"/>
        </w:rPr>
        <w:fldChar w:fldCharType="end"/>
      </w:r>
      <w:r>
        <w:rPr>
          <w:rFonts w:hint="eastAsia" w:ascii="宋体" w:hAnsi="宋体"/>
          <w:sz w:val="24"/>
          <w:szCs w:val="24"/>
        </w:rPr>
        <w:fldChar w:fldCharType="end"/>
      </w:r>
    </w:p>
    <w:p>
      <w:pPr>
        <w:pStyle w:val="52"/>
        <w:spacing w:line="260" w:lineRule="exact"/>
        <w:ind w:firstLine="472"/>
        <w:rPr>
          <w:rFonts w:ascii="宋体" w:hAnsi="宋体"/>
          <w:smallCaps w:val="0"/>
          <w:sz w:val="24"/>
          <w:szCs w:val="24"/>
        </w:rPr>
      </w:pPr>
      <w:r>
        <w:fldChar w:fldCharType="begin"/>
      </w:r>
      <w:r>
        <w:instrText xml:space="preserve"> HYPERLINK \l "_Toc82441637" </w:instrText>
      </w:r>
      <w:r>
        <w:fldChar w:fldCharType="separate"/>
      </w:r>
      <w:r>
        <w:rPr>
          <w:rStyle w:val="72"/>
          <w:rFonts w:hint="eastAsia" w:ascii="宋体" w:hAnsi="宋体"/>
          <w:color w:val="auto"/>
          <w:sz w:val="24"/>
          <w:szCs w:val="24"/>
        </w:rPr>
        <w:t>（投标文件封面）</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_Toc82441637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45</w:t>
      </w:r>
      <w:r>
        <w:rPr>
          <w:rFonts w:hint="eastAsia" w:ascii="宋体" w:hAnsi="宋体"/>
          <w:sz w:val="24"/>
          <w:szCs w:val="24"/>
        </w:rPr>
        <w:fldChar w:fldCharType="end"/>
      </w:r>
      <w:r>
        <w:rPr>
          <w:rFonts w:hint="eastAsia" w:ascii="宋体" w:hAnsi="宋体"/>
          <w:sz w:val="24"/>
          <w:szCs w:val="24"/>
        </w:rPr>
        <w:fldChar w:fldCharType="end"/>
      </w:r>
    </w:p>
    <w:p>
      <w:pPr>
        <w:pStyle w:val="52"/>
        <w:spacing w:line="260" w:lineRule="exact"/>
        <w:ind w:firstLine="472"/>
        <w:rPr>
          <w:rFonts w:ascii="宋体" w:hAnsi="宋体"/>
          <w:smallCaps w:val="0"/>
          <w:sz w:val="24"/>
          <w:szCs w:val="24"/>
        </w:rPr>
      </w:pPr>
      <w:r>
        <w:fldChar w:fldCharType="begin"/>
      </w:r>
      <w:r>
        <w:instrText xml:space="preserve"> HYPERLINK \l "_Toc82441638" </w:instrText>
      </w:r>
      <w:r>
        <w:fldChar w:fldCharType="separate"/>
      </w:r>
      <w:r>
        <w:rPr>
          <w:rStyle w:val="72"/>
          <w:rFonts w:hint="eastAsia" w:ascii="宋体" w:hAnsi="宋体"/>
          <w:color w:val="auto"/>
          <w:sz w:val="24"/>
          <w:szCs w:val="24"/>
        </w:rPr>
        <w:t>附件10：报价一览表</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_Toc82441638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46</w:t>
      </w:r>
      <w:r>
        <w:rPr>
          <w:rFonts w:hint="eastAsia" w:ascii="宋体" w:hAnsi="宋体"/>
          <w:sz w:val="24"/>
          <w:szCs w:val="24"/>
        </w:rPr>
        <w:fldChar w:fldCharType="end"/>
      </w:r>
      <w:r>
        <w:rPr>
          <w:rFonts w:hint="eastAsia" w:ascii="宋体" w:hAnsi="宋体"/>
          <w:sz w:val="24"/>
          <w:szCs w:val="24"/>
        </w:rPr>
        <w:fldChar w:fldCharType="end"/>
      </w:r>
    </w:p>
    <w:p>
      <w:pPr>
        <w:pStyle w:val="52"/>
        <w:spacing w:line="260" w:lineRule="exact"/>
        <w:ind w:firstLine="472"/>
        <w:rPr>
          <w:rFonts w:ascii="宋体" w:hAnsi="宋体"/>
          <w:smallCaps w:val="0"/>
          <w:sz w:val="24"/>
          <w:szCs w:val="24"/>
        </w:rPr>
      </w:pPr>
      <w:r>
        <w:fldChar w:fldCharType="begin"/>
      </w:r>
      <w:r>
        <w:instrText xml:space="preserve"> HYPERLINK \l "_Toc82441639" </w:instrText>
      </w:r>
      <w:r>
        <w:fldChar w:fldCharType="separate"/>
      </w:r>
      <w:r>
        <w:rPr>
          <w:rStyle w:val="72"/>
          <w:rFonts w:hint="eastAsia" w:ascii="宋体" w:hAnsi="宋体"/>
          <w:color w:val="auto"/>
          <w:sz w:val="24"/>
          <w:szCs w:val="24"/>
        </w:rPr>
        <w:t>附件11：分项报价表</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_Toc82441639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47</w:t>
      </w:r>
      <w:r>
        <w:rPr>
          <w:rFonts w:hint="eastAsia" w:ascii="宋体" w:hAnsi="宋体"/>
          <w:sz w:val="24"/>
          <w:szCs w:val="24"/>
        </w:rPr>
        <w:fldChar w:fldCharType="end"/>
      </w:r>
      <w:r>
        <w:rPr>
          <w:rFonts w:hint="eastAsia" w:ascii="宋体" w:hAnsi="宋体"/>
          <w:sz w:val="24"/>
          <w:szCs w:val="24"/>
        </w:rPr>
        <w:fldChar w:fldCharType="end"/>
      </w:r>
    </w:p>
    <w:p>
      <w:pPr>
        <w:pStyle w:val="52"/>
        <w:spacing w:line="260" w:lineRule="exact"/>
        <w:ind w:firstLine="472"/>
        <w:rPr>
          <w:rFonts w:ascii="宋体" w:hAnsi="宋体"/>
          <w:smallCaps w:val="0"/>
          <w:sz w:val="24"/>
          <w:szCs w:val="24"/>
        </w:rPr>
      </w:pPr>
      <w:r>
        <w:fldChar w:fldCharType="begin"/>
      </w:r>
      <w:r>
        <w:instrText xml:space="preserve"> HYPERLINK \l "_Toc82441640" </w:instrText>
      </w:r>
      <w:r>
        <w:fldChar w:fldCharType="separate"/>
      </w:r>
      <w:r>
        <w:rPr>
          <w:rStyle w:val="72"/>
          <w:rFonts w:hint="eastAsia" w:ascii="宋体" w:hAnsi="宋体"/>
          <w:color w:val="auto"/>
          <w:sz w:val="24"/>
          <w:szCs w:val="24"/>
        </w:rPr>
        <w:t>附件12：技术规格响应表</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_Toc82441640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48</w:t>
      </w:r>
      <w:r>
        <w:rPr>
          <w:rFonts w:hint="eastAsia" w:ascii="宋体" w:hAnsi="宋体"/>
          <w:sz w:val="24"/>
          <w:szCs w:val="24"/>
        </w:rPr>
        <w:fldChar w:fldCharType="end"/>
      </w:r>
      <w:r>
        <w:rPr>
          <w:rFonts w:hint="eastAsia" w:ascii="宋体" w:hAnsi="宋体"/>
          <w:sz w:val="24"/>
          <w:szCs w:val="24"/>
        </w:rPr>
        <w:fldChar w:fldCharType="end"/>
      </w:r>
    </w:p>
    <w:p>
      <w:pPr>
        <w:pStyle w:val="52"/>
        <w:spacing w:line="260" w:lineRule="exact"/>
        <w:ind w:firstLine="472"/>
        <w:rPr>
          <w:rFonts w:ascii="宋体" w:hAnsi="宋体"/>
          <w:smallCaps w:val="0"/>
          <w:sz w:val="24"/>
          <w:szCs w:val="24"/>
        </w:rPr>
      </w:pPr>
      <w:r>
        <w:fldChar w:fldCharType="begin"/>
      </w:r>
      <w:r>
        <w:instrText xml:space="preserve"> HYPERLINK \l "_Toc82441641" </w:instrText>
      </w:r>
      <w:r>
        <w:fldChar w:fldCharType="separate"/>
      </w:r>
      <w:r>
        <w:rPr>
          <w:rStyle w:val="72"/>
          <w:rFonts w:hint="eastAsia" w:ascii="宋体" w:hAnsi="宋体"/>
          <w:color w:val="auto"/>
          <w:sz w:val="24"/>
          <w:szCs w:val="24"/>
        </w:rPr>
        <w:t>附件13：其他资格证明材料</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_Toc82441641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49</w:t>
      </w:r>
      <w:r>
        <w:rPr>
          <w:rFonts w:hint="eastAsia" w:ascii="宋体" w:hAnsi="宋体"/>
          <w:sz w:val="24"/>
          <w:szCs w:val="24"/>
        </w:rPr>
        <w:fldChar w:fldCharType="end"/>
      </w:r>
      <w:r>
        <w:rPr>
          <w:rFonts w:hint="eastAsia" w:ascii="宋体" w:hAnsi="宋体"/>
          <w:sz w:val="24"/>
          <w:szCs w:val="24"/>
        </w:rPr>
        <w:fldChar w:fldCharType="end"/>
      </w:r>
    </w:p>
    <w:p>
      <w:pPr>
        <w:pStyle w:val="52"/>
        <w:spacing w:line="260" w:lineRule="exact"/>
        <w:ind w:firstLine="472"/>
        <w:rPr>
          <w:rFonts w:ascii="宋体" w:hAnsi="宋体"/>
          <w:smallCaps w:val="0"/>
          <w:sz w:val="24"/>
          <w:szCs w:val="24"/>
        </w:rPr>
      </w:pPr>
      <w:r>
        <w:fldChar w:fldCharType="begin"/>
      </w:r>
      <w:r>
        <w:instrText xml:space="preserve"> HYPERLINK \l "_Toc82441642" </w:instrText>
      </w:r>
      <w:r>
        <w:fldChar w:fldCharType="separate"/>
      </w:r>
      <w:r>
        <w:rPr>
          <w:rStyle w:val="72"/>
          <w:rFonts w:hint="eastAsia" w:ascii="宋体" w:hAnsi="宋体"/>
          <w:color w:val="auto"/>
          <w:sz w:val="24"/>
          <w:szCs w:val="24"/>
        </w:rPr>
        <w:t>附件14：投标产品相关资料</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_Toc82441642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50</w:t>
      </w:r>
      <w:r>
        <w:rPr>
          <w:rFonts w:hint="eastAsia" w:ascii="宋体" w:hAnsi="宋体"/>
          <w:sz w:val="24"/>
          <w:szCs w:val="24"/>
        </w:rPr>
        <w:fldChar w:fldCharType="end"/>
      </w:r>
      <w:r>
        <w:rPr>
          <w:rFonts w:hint="eastAsia" w:ascii="宋体" w:hAnsi="宋体"/>
          <w:sz w:val="24"/>
          <w:szCs w:val="24"/>
        </w:rPr>
        <w:fldChar w:fldCharType="end"/>
      </w:r>
    </w:p>
    <w:p>
      <w:pPr>
        <w:pStyle w:val="52"/>
        <w:spacing w:line="260" w:lineRule="exact"/>
        <w:ind w:firstLine="472"/>
        <w:rPr>
          <w:rFonts w:ascii="宋体" w:hAnsi="宋体"/>
          <w:smallCaps w:val="0"/>
          <w:sz w:val="24"/>
          <w:szCs w:val="24"/>
        </w:rPr>
      </w:pPr>
      <w:r>
        <w:fldChar w:fldCharType="begin"/>
      </w:r>
      <w:r>
        <w:instrText xml:space="preserve"> HYPERLINK \l "_Toc82441643" </w:instrText>
      </w:r>
      <w:r>
        <w:fldChar w:fldCharType="separate"/>
      </w:r>
      <w:r>
        <w:rPr>
          <w:rStyle w:val="72"/>
          <w:rFonts w:hint="eastAsia" w:ascii="宋体" w:hAnsi="宋体"/>
          <w:color w:val="auto"/>
          <w:sz w:val="24"/>
          <w:szCs w:val="24"/>
        </w:rPr>
        <w:t>附件15：投标人类似业绩证明材料</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_Toc82441643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51</w:t>
      </w:r>
      <w:r>
        <w:rPr>
          <w:rFonts w:hint="eastAsia" w:ascii="宋体" w:hAnsi="宋体"/>
          <w:sz w:val="24"/>
          <w:szCs w:val="24"/>
        </w:rPr>
        <w:fldChar w:fldCharType="end"/>
      </w:r>
      <w:r>
        <w:rPr>
          <w:rFonts w:hint="eastAsia" w:ascii="宋体" w:hAnsi="宋体"/>
          <w:sz w:val="24"/>
          <w:szCs w:val="24"/>
        </w:rPr>
        <w:fldChar w:fldCharType="end"/>
      </w:r>
    </w:p>
    <w:p>
      <w:pPr>
        <w:pStyle w:val="52"/>
        <w:spacing w:line="260" w:lineRule="exact"/>
        <w:ind w:firstLine="472"/>
        <w:rPr>
          <w:rFonts w:ascii="宋体" w:hAnsi="宋体"/>
          <w:smallCaps w:val="0"/>
          <w:sz w:val="24"/>
          <w:szCs w:val="24"/>
        </w:rPr>
      </w:pPr>
      <w:r>
        <w:fldChar w:fldCharType="begin"/>
      </w:r>
      <w:r>
        <w:instrText xml:space="preserve"> HYPERLINK \l "_Toc82441644" </w:instrText>
      </w:r>
      <w:r>
        <w:fldChar w:fldCharType="separate"/>
      </w:r>
      <w:r>
        <w:rPr>
          <w:rStyle w:val="72"/>
          <w:rFonts w:hint="eastAsia" w:ascii="宋体" w:hAnsi="宋体"/>
          <w:color w:val="auto"/>
          <w:sz w:val="24"/>
          <w:szCs w:val="24"/>
        </w:rPr>
        <w:t>附件16：中小企业声明函</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_Toc82441644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52</w:t>
      </w:r>
      <w:r>
        <w:rPr>
          <w:rFonts w:hint="eastAsia" w:ascii="宋体" w:hAnsi="宋体"/>
          <w:sz w:val="24"/>
          <w:szCs w:val="24"/>
        </w:rPr>
        <w:fldChar w:fldCharType="end"/>
      </w:r>
      <w:r>
        <w:rPr>
          <w:rFonts w:hint="eastAsia" w:ascii="宋体" w:hAnsi="宋体"/>
          <w:sz w:val="24"/>
          <w:szCs w:val="24"/>
        </w:rPr>
        <w:fldChar w:fldCharType="end"/>
      </w:r>
    </w:p>
    <w:p>
      <w:pPr>
        <w:pStyle w:val="52"/>
        <w:spacing w:line="260" w:lineRule="exact"/>
        <w:ind w:firstLine="472"/>
        <w:rPr>
          <w:rFonts w:ascii="宋体" w:hAnsi="宋体"/>
          <w:smallCaps w:val="0"/>
          <w:sz w:val="24"/>
          <w:szCs w:val="24"/>
        </w:rPr>
      </w:pPr>
      <w:r>
        <w:fldChar w:fldCharType="begin"/>
      </w:r>
      <w:r>
        <w:instrText xml:space="preserve"> HYPERLINK \l "_Toc82441645" </w:instrText>
      </w:r>
      <w:r>
        <w:fldChar w:fldCharType="separate"/>
      </w:r>
      <w:r>
        <w:rPr>
          <w:rStyle w:val="72"/>
          <w:rFonts w:hint="eastAsia" w:ascii="宋体" w:hAnsi="宋体"/>
          <w:color w:val="auto"/>
          <w:sz w:val="24"/>
          <w:szCs w:val="24"/>
        </w:rPr>
        <w:t>附件17：残疾人福利性单位声明函</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_Toc82441645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53</w:t>
      </w:r>
      <w:r>
        <w:rPr>
          <w:rFonts w:hint="eastAsia" w:ascii="宋体" w:hAnsi="宋体"/>
          <w:sz w:val="24"/>
          <w:szCs w:val="24"/>
        </w:rPr>
        <w:fldChar w:fldCharType="end"/>
      </w:r>
      <w:r>
        <w:rPr>
          <w:rFonts w:hint="eastAsia" w:ascii="宋体" w:hAnsi="宋体"/>
          <w:sz w:val="24"/>
          <w:szCs w:val="24"/>
        </w:rPr>
        <w:fldChar w:fldCharType="end"/>
      </w:r>
    </w:p>
    <w:p>
      <w:pPr>
        <w:pStyle w:val="52"/>
        <w:spacing w:line="260" w:lineRule="exact"/>
        <w:ind w:firstLine="472"/>
        <w:rPr>
          <w:rFonts w:ascii="宋体" w:hAnsi="宋体"/>
          <w:smallCaps w:val="0"/>
          <w:sz w:val="24"/>
          <w:szCs w:val="24"/>
        </w:rPr>
      </w:pPr>
      <w:r>
        <w:fldChar w:fldCharType="begin"/>
      </w:r>
      <w:r>
        <w:instrText xml:space="preserve"> HYPERLINK \l "_Toc82441646" </w:instrText>
      </w:r>
      <w:r>
        <w:fldChar w:fldCharType="separate"/>
      </w:r>
      <w:r>
        <w:rPr>
          <w:rStyle w:val="72"/>
          <w:rFonts w:hint="eastAsia" w:ascii="宋体" w:hAnsi="宋体"/>
          <w:color w:val="auto"/>
          <w:sz w:val="24"/>
          <w:szCs w:val="24"/>
        </w:rPr>
        <w:t>附件18：项目管理实施方案及售后服务</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_Toc82441646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54</w:t>
      </w:r>
      <w:r>
        <w:rPr>
          <w:rFonts w:hint="eastAsia" w:ascii="宋体" w:hAnsi="宋体"/>
          <w:sz w:val="24"/>
          <w:szCs w:val="24"/>
        </w:rPr>
        <w:fldChar w:fldCharType="end"/>
      </w:r>
      <w:r>
        <w:rPr>
          <w:rFonts w:hint="eastAsia" w:ascii="宋体" w:hAnsi="宋体"/>
          <w:sz w:val="24"/>
          <w:szCs w:val="24"/>
        </w:rPr>
        <w:fldChar w:fldCharType="end"/>
      </w:r>
    </w:p>
    <w:p>
      <w:pPr>
        <w:pStyle w:val="52"/>
        <w:spacing w:line="260" w:lineRule="exact"/>
        <w:ind w:firstLine="472"/>
        <w:rPr>
          <w:rFonts w:ascii="宋体" w:hAnsi="宋体"/>
          <w:smallCaps w:val="0"/>
          <w:sz w:val="24"/>
          <w:szCs w:val="24"/>
        </w:rPr>
      </w:pPr>
      <w:r>
        <w:fldChar w:fldCharType="begin"/>
      </w:r>
      <w:r>
        <w:instrText xml:space="preserve"> HYPERLINK \l "_Toc82441647" </w:instrText>
      </w:r>
      <w:r>
        <w:fldChar w:fldCharType="separate"/>
      </w:r>
      <w:r>
        <w:rPr>
          <w:rStyle w:val="72"/>
          <w:rFonts w:hint="eastAsia" w:ascii="宋体" w:hAnsi="宋体"/>
          <w:color w:val="auto"/>
          <w:sz w:val="24"/>
          <w:szCs w:val="24"/>
        </w:rPr>
        <w:t>附件19：投标人认为在其他方面有必要说明的事项</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_Toc82441647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55</w:t>
      </w:r>
      <w:r>
        <w:rPr>
          <w:rFonts w:hint="eastAsia" w:ascii="宋体" w:hAnsi="宋体"/>
          <w:sz w:val="24"/>
          <w:szCs w:val="24"/>
        </w:rPr>
        <w:fldChar w:fldCharType="end"/>
      </w:r>
      <w:r>
        <w:rPr>
          <w:rFonts w:hint="eastAsia" w:ascii="宋体" w:hAnsi="宋体"/>
          <w:sz w:val="24"/>
          <w:szCs w:val="24"/>
        </w:rPr>
        <w:fldChar w:fldCharType="end"/>
      </w:r>
    </w:p>
    <w:p>
      <w:pPr>
        <w:pStyle w:val="40"/>
        <w:tabs>
          <w:tab w:val="right" w:leader="dot" w:pos="8948"/>
        </w:tabs>
        <w:spacing w:line="260" w:lineRule="exact"/>
        <w:ind w:firstLine="402"/>
        <w:rPr>
          <w:rFonts w:ascii="宋体" w:hAnsi="宋体"/>
          <w:b w:val="0"/>
          <w:bCs w:val="0"/>
          <w:caps w:val="0"/>
          <w:sz w:val="24"/>
          <w:szCs w:val="24"/>
        </w:rPr>
      </w:pPr>
      <w:r>
        <w:fldChar w:fldCharType="begin"/>
      </w:r>
      <w:r>
        <w:instrText xml:space="preserve"> HYPERLINK \l "_Toc82441648" </w:instrText>
      </w:r>
      <w:r>
        <w:fldChar w:fldCharType="separate"/>
      </w:r>
      <w:r>
        <w:rPr>
          <w:rStyle w:val="72"/>
          <w:rFonts w:hint="eastAsia" w:ascii="宋体" w:hAnsi="宋体"/>
          <w:b w:val="0"/>
          <w:color w:val="auto"/>
          <w:kern w:val="28"/>
          <w:sz w:val="24"/>
          <w:szCs w:val="24"/>
        </w:rPr>
        <w:t>第五部分  采购项目要求及技术参数</w:t>
      </w:r>
      <w:r>
        <w:rPr>
          <w:rFonts w:hint="eastAsia" w:ascii="宋体" w:hAnsi="宋体"/>
          <w:b w:val="0"/>
          <w:sz w:val="24"/>
          <w:szCs w:val="24"/>
        </w:rPr>
        <w:tab/>
      </w:r>
      <w:r>
        <w:rPr>
          <w:rFonts w:hint="eastAsia" w:ascii="宋体" w:hAnsi="宋体"/>
          <w:b w:val="0"/>
          <w:sz w:val="24"/>
          <w:szCs w:val="24"/>
        </w:rPr>
        <w:fldChar w:fldCharType="begin"/>
      </w:r>
      <w:r>
        <w:rPr>
          <w:rFonts w:hint="eastAsia" w:ascii="宋体" w:hAnsi="宋体"/>
          <w:b w:val="0"/>
          <w:sz w:val="24"/>
          <w:szCs w:val="24"/>
        </w:rPr>
        <w:instrText xml:space="preserve"> </w:instrText>
      </w:r>
      <w:r>
        <w:rPr>
          <w:rFonts w:ascii="宋体" w:hAnsi="宋体"/>
          <w:b w:val="0"/>
          <w:sz w:val="24"/>
          <w:szCs w:val="24"/>
        </w:rPr>
        <w:instrText xml:space="preserve">PAGEREF _Toc82441648 \h</w:instrText>
      </w:r>
      <w:r>
        <w:rPr>
          <w:rFonts w:hint="eastAsia" w:ascii="宋体" w:hAnsi="宋体"/>
          <w:b w:val="0"/>
          <w:sz w:val="24"/>
          <w:szCs w:val="24"/>
        </w:rPr>
        <w:instrText xml:space="preserve"> </w:instrText>
      </w:r>
      <w:r>
        <w:rPr>
          <w:rFonts w:hint="eastAsia" w:ascii="宋体" w:hAnsi="宋体"/>
          <w:b w:val="0"/>
          <w:sz w:val="24"/>
          <w:szCs w:val="24"/>
        </w:rPr>
        <w:fldChar w:fldCharType="separate"/>
      </w:r>
      <w:r>
        <w:rPr>
          <w:rFonts w:ascii="宋体" w:hAnsi="宋体"/>
          <w:b w:val="0"/>
          <w:sz w:val="24"/>
          <w:szCs w:val="24"/>
        </w:rPr>
        <w:t>56</w:t>
      </w:r>
      <w:r>
        <w:rPr>
          <w:rFonts w:hint="eastAsia" w:ascii="宋体" w:hAnsi="宋体"/>
          <w:b w:val="0"/>
          <w:sz w:val="24"/>
          <w:szCs w:val="24"/>
        </w:rPr>
        <w:fldChar w:fldCharType="end"/>
      </w:r>
      <w:r>
        <w:rPr>
          <w:rFonts w:hint="eastAsia" w:ascii="宋体" w:hAnsi="宋体"/>
          <w:b w:val="0"/>
          <w:sz w:val="24"/>
          <w:szCs w:val="24"/>
        </w:rPr>
        <w:fldChar w:fldCharType="end"/>
      </w:r>
    </w:p>
    <w:p>
      <w:pPr>
        <w:pStyle w:val="52"/>
        <w:spacing w:line="260" w:lineRule="exact"/>
        <w:ind w:firstLine="472"/>
        <w:rPr>
          <w:rFonts w:ascii="宋体" w:hAnsi="宋体"/>
          <w:smallCaps w:val="0"/>
          <w:sz w:val="24"/>
          <w:szCs w:val="24"/>
        </w:rPr>
      </w:pPr>
      <w:r>
        <w:fldChar w:fldCharType="begin"/>
      </w:r>
      <w:r>
        <w:instrText xml:space="preserve"> HYPERLINK \l "_Toc82441649" </w:instrText>
      </w:r>
      <w:r>
        <w:fldChar w:fldCharType="separate"/>
      </w:r>
      <w:r>
        <w:rPr>
          <w:rStyle w:val="72"/>
          <w:rFonts w:hint="eastAsia" w:ascii="宋体" w:hAnsi="宋体"/>
          <w:bCs/>
          <w:color w:val="auto"/>
          <w:kern w:val="0"/>
          <w:sz w:val="24"/>
          <w:szCs w:val="24"/>
        </w:rPr>
        <w:t>一、投标要求</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_Toc82441649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56</w:t>
      </w:r>
      <w:r>
        <w:rPr>
          <w:rFonts w:hint="eastAsia" w:ascii="宋体" w:hAnsi="宋体"/>
          <w:sz w:val="24"/>
          <w:szCs w:val="24"/>
        </w:rPr>
        <w:fldChar w:fldCharType="end"/>
      </w:r>
      <w:r>
        <w:rPr>
          <w:rFonts w:hint="eastAsia" w:ascii="宋体" w:hAnsi="宋体"/>
          <w:sz w:val="24"/>
          <w:szCs w:val="24"/>
        </w:rPr>
        <w:fldChar w:fldCharType="end"/>
      </w:r>
    </w:p>
    <w:p>
      <w:pPr>
        <w:pStyle w:val="31"/>
        <w:spacing w:line="260" w:lineRule="exact"/>
        <w:ind w:firstLine="86"/>
        <w:rPr>
          <w:rFonts w:ascii="宋体" w:hAnsi="宋体"/>
          <w:i w:val="0"/>
          <w:iCs w:val="0"/>
          <w:sz w:val="24"/>
          <w:szCs w:val="24"/>
        </w:rPr>
      </w:pPr>
      <w:r>
        <w:fldChar w:fldCharType="begin"/>
      </w:r>
      <w:r>
        <w:instrText xml:space="preserve"> HYPERLINK \l "_Toc82441650" </w:instrText>
      </w:r>
      <w:r>
        <w:fldChar w:fldCharType="separate"/>
      </w:r>
      <w:r>
        <w:rPr>
          <w:rStyle w:val="72"/>
          <w:rFonts w:hint="eastAsia" w:ascii="宋体" w:hAnsi="宋体"/>
          <w:bCs/>
          <w:i w:val="0"/>
          <w:color w:val="auto"/>
          <w:kern w:val="0"/>
          <w:sz w:val="24"/>
          <w:szCs w:val="24"/>
        </w:rPr>
        <w:t>1、投标说明</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_Toc82441650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56</w:t>
      </w:r>
      <w:r>
        <w:rPr>
          <w:rFonts w:hint="eastAsia" w:ascii="宋体" w:hAnsi="宋体"/>
          <w:i w:val="0"/>
          <w:sz w:val="24"/>
          <w:szCs w:val="24"/>
        </w:rPr>
        <w:fldChar w:fldCharType="end"/>
      </w:r>
      <w:r>
        <w:rPr>
          <w:rFonts w:hint="eastAsia" w:ascii="宋体" w:hAnsi="宋体"/>
          <w:i w:val="0"/>
          <w:sz w:val="24"/>
          <w:szCs w:val="24"/>
        </w:rPr>
        <w:fldChar w:fldCharType="end"/>
      </w:r>
    </w:p>
    <w:p>
      <w:pPr>
        <w:pStyle w:val="31"/>
        <w:spacing w:line="260" w:lineRule="exact"/>
        <w:ind w:firstLine="86"/>
        <w:rPr>
          <w:rFonts w:ascii="宋体" w:hAnsi="宋体"/>
          <w:i w:val="0"/>
          <w:iCs w:val="0"/>
          <w:sz w:val="24"/>
          <w:szCs w:val="24"/>
        </w:rPr>
      </w:pPr>
      <w:r>
        <w:fldChar w:fldCharType="begin"/>
      </w:r>
      <w:r>
        <w:instrText xml:space="preserve"> HYPERLINK \l "_Toc82441651" </w:instrText>
      </w:r>
      <w:r>
        <w:fldChar w:fldCharType="separate"/>
      </w:r>
      <w:r>
        <w:rPr>
          <w:rStyle w:val="72"/>
          <w:rFonts w:hint="eastAsia" w:ascii="宋体" w:hAnsi="宋体"/>
          <w:bCs/>
          <w:i w:val="0"/>
          <w:color w:val="auto"/>
          <w:kern w:val="0"/>
          <w:sz w:val="24"/>
          <w:szCs w:val="24"/>
        </w:rPr>
        <w:t>2、报价说明</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_Toc82441651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56</w:t>
      </w:r>
      <w:r>
        <w:rPr>
          <w:rFonts w:hint="eastAsia" w:ascii="宋体" w:hAnsi="宋体"/>
          <w:i w:val="0"/>
          <w:sz w:val="24"/>
          <w:szCs w:val="24"/>
        </w:rPr>
        <w:fldChar w:fldCharType="end"/>
      </w:r>
      <w:r>
        <w:rPr>
          <w:rFonts w:hint="eastAsia" w:ascii="宋体" w:hAnsi="宋体"/>
          <w:i w:val="0"/>
          <w:sz w:val="24"/>
          <w:szCs w:val="24"/>
        </w:rPr>
        <w:fldChar w:fldCharType="end"/>
      </w:r>
    </w:p>
    <w:p>
      <w:pPr>
        <w:pStyle w:val="31"/>
        <w:spacing w:line="260" w:lineRule="exact"/>
        <w:ind w:firstLine="86"/>
        <w:rPr>
          <w:rFonts w:ascii="宋体" w:hAnsi="宋体"/>
          <w:i w:val="0"/>
          <w:iCs w:val="0"/>
          <w:sz w:val="24"/>
          <w:szCs w:val="24"/>
        </w:rPr>
      </w:pPr>
      <w:r>
        <w:fldChar w:fldCharType="begin"/>
      </w:r>
      <w:r>
        <w:instrText xml:space="preserve"> HYPERLINK \l "_Toc82441652" </w:instrText>
      </w:r>
      <w:r>
        <w:fldChar w:fldCharType="separate"/>
      </w:r>
      <w:r>
        <w:rPr>
          <w:rStyle w:val="72"/>
          <w:rFonts w:hint="eastAsia" w:ascii="宋体" w:hAnsi="宋体"/>
          <w:bCs/>
          <w:i w:val="0"/>
          <w:color w:val="auto"/>
          <w:kern w:val="0"/>
          <w:sz w:val="24"/>
          <w:szCs w:val="24"/>
        </w:rPr>
        <w:t>3、重要指标</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_Toc82441652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56</w:t>
      </w:r>
      <w:r>
        <w:rPr>
          <w:rFonts w:hint="eastAsia" w:ascii="宋体" w:hAnsi="宋体"/>
          <w:i w:val="0"/>
          <w:sz w:val="24"/>
          <w:szCs w:val="24"/>
        </w:rPr>
        <w:fldChar w:fldCharType="end"/>
      </w:r>
      <w:r>
        <w:rPr>
          <w:rFonts w:hint="eastAsia" w:ascii="宋体" w:hAnsi="宋体"/>
          <w:i w:val="0"/>
          <w:sz w:val="24"/>
          <w:szCs w:val="24"/>
        </w:rPr>
        <w:fldChar w:fldCharType="end"/>
      </w:r>
    </w:p>
    <w:p>
      <w:pPr>
        <w:pStyle w:val="52"/>
        <w:spacing w:line="260" w:lineRule="exact"/>
        <w:ind w:firstLine="472"/>
        <w:rPr>
          <w:rFonts w:ascii="宋体" w:hAnsi="宋体"/>
          <w:smallCaps w:val="0"/>
          <w:sz w:val="24"/>
          <w:szCs w:val="24"/>
        </w:rPr>
      </w:pPr>
      <w:r>
        <w:fldChar w:fldCharType="begin"/>
      </w:r>
      <w:r>
        <w:instrText xml:space="preserve"> HYPERLINK \l "_Toc82441653" </w:instrText>
      </w:r>
      <w:r>
        <w:fldChar w:fldCharType="separate"/>
      </w:r>
      <w:r>
        <w:rPr>
          <w:rStyle w:val="72"/>
          <w:rFonts w:hint="eastAsia" w:ascii="宋体" w:hAnsi="宋体"/>
          <w:bCs/>
          <w:color w:val="auto"/>
          <w:kern w:val="0"/>
          <w:sz w:val="24"/>
          <w:szCs w:val="24"/>
        </w:rPr>
        <w:t>二、项目概况及技术参数</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_Toc82441653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57</w:t>
      </w:r>
      <w:r>
        <w:rPr>
          <w:rFonts w:hint="eastAsia" w:ascii="宋体" w:hAnsi="宋体"/>
          <w:sz w:val="24"/>
          <w:szCs w:val="24"/>
        </w:rPr>
        <w:fldChar w:fldCharType="end"/>
      </w:r>
      <w:r>
        <w:rPr>
          <w:rFonts w:hint="eastAsia" w:ascii="宋体" w:hAnsi="宋体"/>
          <w:sz w:val="24"/>
          <w:szCs w:val="24"/>
        </w:rPr>
        <w:fldChar w:fldCharType="end"/>
      </w:r>
    </w:p>
    <w:p>
      <w:pPr>
        <w:pStyle w:val="31"/>
        <w:spacing w:line="260" w:lineRule="exact"/>
        <w:ind w:firstLine="86"/>
        <w:rPr>
          <w:rFonts w:ascii="宋体" w:hAnsi="宋体"/>
          <w:i w:val="0"/>
          <w:iCs w:val="0"/>
          <w:sz w:val="24"/>
          <w:szCs w:val="24"/>
        </w:rPr>
      </w:pPr>
      <w:r>
        <w:fldChar w:fldCharType="begin"/>
      </w:r>
      <w:r>
        <w:instrText xml:space="preserve"> HYPERLINK \l "_Toc82441654" </w:instrText>
      </w:r>
      <w:r>
        <w:fldChar w:fldCharType="separate"/>
      </w:r>
      <w:r>
        <w:rPr>
          <w:rStyle w:val="72"/>
          <w:rFonts w:hint="eastAsia" w:ascii="宋体" w:hAnsi="宋体"/>
          <w:bCs/>
          <w:i w:val="0"/>
          <w:color w:val="auto"/>
          <w:kern w:val="0"/>
          <w:sz w:val="24"/>
          <w:szCs w:val="24"/>
        </w:rPr>
        <w:t>1、项目概况</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_Toc82441654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57</w:t>
      </w:r>
      <w:r>
        <w:rPr>
          <w:rFonts w:hint="eastAsia" w:ascii="宋体" w:hAnsi="宋体"/>
          <w:i w:val="0"/>
          <w:sz w:val="24"/>
          <w:szCs w:val="24"/>
        </w:rPr>
        <w:fldChar w:fldCharType="end"/>
      </w:r>
      <w:r>
        <w:rPr>
          <w:rFonts w:hint="eastAsia" w:ascii="宋体" w:hAnsi="宋体"/>
          <w:i w:val="0"/>
          <w:sz w:val="24"/>
          <w:szCs w:val="24"/>
        </w:rPr>
        <w:fldChar w:fldCharType="end"/>
      </w:r>
    </w:p>
    <w:p>
      <w:pPr>
        <w:pStyle w:val="31"/>
        <w:spacing w:line="260" w:lineRule="exact"/>
        <w:ind w:firstLine="86"/>
        <w:rPr>
          <w:rFonts w:ascii="宋体" w:hAnsi="宋体"/>
          <w:i w:val="0"/>
          <w:iCs w:val="0"/>
          <w:sz w:val="24"/>
          <w:szCs w:val="24"/>
        </w:rPr>
      </w:pPr>
      <w:r>
        <w:fldChar w:fldCharType="begin"/>
      </w:r>
      <w:r>
        <w:instrText xml:space="preserve"> HYPERLINK \l "_Toc82441655" </w:instrText>
      </w:r>
      <w:r>
        <w:fldChar w:fldCharType="separate"/>
      </w:r>
      <w:r>
        <w:rPr>
          <w:rStyle w:val="72"/>
          <w:rFonts w:hint="eastAsia" w:ascii="宋体" w:hAnsi="宋体"/>
          <w:bCs/>
          <w:i w:val="0"/>
          <w:color w:val="auto"/>
          <w:kern w:val="0"/>
          <w:sz w:val="24"/>
          <w:szCs w:val="24"/>
        </w:rPr>
        <w:t>2、产品交付说明</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_Toc82441655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57</w:t>
      </w:r>
      <w:r>
        <w:rPr>
          <w:rFonts w:hint="eastAsia" w:ascii="宋体" w:hAnsi="宋体"/>
          <w:i w:val="0"/>
          <w:sz w:val="24"/>
          <w:szCs w:val="24"/>
        </w:rPr>
        <w:fldChar w:fldCharType="end"/>
      </w:r>
      <w:r>
        <w:rPr>
          <w:rFonts w:hint="eastAsia" w:ascii="宋体" w:hAnsi="宋体"/>
          <w:i w:val="0"/>
          <w:sz w:val="24"/>
          <w:szCs w:val="24"/>
        </w:rPr>
        <w:fldChar w:fldCharType="end"/>
      </w:r>
    </w:p>
    <w:p>
      <w:pPr>
        <w:pStyle w:val="31"/>
        <w:spacing w:line="260" w:lineRule="exact"/>
        <w:ind w:firstLine="86"/>
        <w:rPr>
          <w:rFonts w:ascii="宋体" w:hAnsi="宋体"/>
          <w:i w:val="0"/>
          <w:iCs w:val="0"/>
          <w:sz w:val="24"/>
          <w:szCs w:val="24"/>
        </w:rPr>
      </w:pPr>
      <w:r>
        <w:fldChar w:fldCharType="begin"/>
      </w:r>
      <w:r>
        <w:instrText xml:space="preserve"> HYPERLINK \l "_Toc82441656" </w:instrText>
      </w:r>
      <w:r>
        <w:fldChar w:fldCharType="separate"/>
      </w:r>
      <w:r>
        <w:rPr>
          <w:rStyle w:val="72"/>
          <w:rFonts w:hint="eastAsia" w:ascii="宋体" w:hAnsi="宋体"/>
          <w:bCs/>
          <w:i w:val="0"/>
          <w:color w:val="auto"/>
          <w:kern w:val="0"/>
          <w:sz w:val="24"/>
          <w:szCs w:val="24"/>
        </w:rPr>
        <w:t>3、产品验收</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_Toc82441656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57</w:t>
      </w:r>
      <w:r>
        <w:rPr>
          <w:rFonts w:hint="eastAsia" w:ascii="宋体" w:hAnsi="宋体"/>
          <w:i w:val="0"/>
          <w:sz w:val="24"/>
          <w:szCs w:val="24"/>
        </w:rPr>
        <w:fldChar w:fldCharType="end"/>
      </w:r>
      <w:r>
        <w:rPr>
          <w:rFonts w:hint="eastAsia" w:ascii="宋体" w:hAnsi="宋体"/>
          <w:i w:val="0"/>
          <w:sz w:val="24"/>
          <w:szCs w:val="24"/>
        </w:rPr>
        <w:fldChar w:fldCharType="end"/>
      </w:r>
    </w:p>
    <w:p>
      <w:pPr>
        <w:pStyle w:val="31"/>
        <w:spacing w:line="260" w:lineRule="exact"/>
        <w:ind w:firstLine="86"/>
        <w:rPr>
          <w:rFonts w:ascii="宋体" w:hAnsi="宋体"/>
          <w:i w:val="0"/>
          <w:iCs w:val="0"/>
          <w:sz w:val="24"/>
          <w:szCs w:val="24"/>
        </w:rPr>
      </w:pPr>
      <w:r>
        <w:fldChar w:fldCharType="begin"/>
      </w:r>
      <w:r>
        <w:instrText xml:space="preserve"> HYPERLINK \l "_Toc82441657" </w:instrText>
      </w:r>
      <w:r>
        <w:fldChar w:fldCharType="separate"/>
      </w:r>
      <w:r>
        <w:rPr>
          <w:rStyle w:val="72"/>
          <w:rFonts w:hint="eastAsia" w:ascii="宋体" w:hAnsi="宋体"/>
          <w:bCs/>
          <w:i w:val="0"/>
          <w:color w:val="auto"/>
          <w:kern w:val="0"/>
          <w:sz w:val="24"/>
          <w:szCs w:val="24"/>
        </w:rPr>
        <w:t>4、安装、调试</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_Toc82441657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57</w:t>
      </w:r>
      <w:r>
        <w:rPr>
          <w:rFonts w:hint="eastAsia" w:ascii="宋体" w:hAnsi="宋体"/>
          <w:i w:val="0"/>
          <w:sz w:val="24"/>
          <w:szCs w:val="24"/>
        </w:rPr>
        <w:fldChar w:fldCharType="end"/>
      </w:r>
      <w:r>
        <w:rPr>
          <w:rFonts w:hint="eastAsia" w:ascii="宋体" w:hAnsi="宋体"/>
          <w:i w:val="0"/>
          <w:sz w:val="24"/>
          <w:szCs w:val="24"/>
        </w:rPr>
        <w:fldChar w:fldCharType="end"/>
      </w:r>
    </w:p>
    <w:p>
      <w:pPr>
        <w:pStyle w:val="31"/>
        <w:spacing w:line="260" w:lineRule="exact"/>
        <w:ind w:firstLine="86"/>
        <w:rPr>
          <w:rFonts w:ascii="宋体" w:hAnsi="宋体"/>
          <w:i w:val="0"/>
          <w:iCs w:val="0"/>
          <w:sz w:val="24"/>
          <w:szCs w:val="24"/>
        </w:rPr>
      </w:pPr>
      <w:r>
        <w:fldChar w:fldCharType="begin"/>
      </w:r>
      <w:r>
        <w:instrText xml:space="preserve"> HYPERLINK \l "_Toc82441658" </w:instrText>
      </w:r>
      <w:r>
        <w:fldChar w:fldCharType="separate"/>
      </w:r>
      <w:r>
        <w:rPr>
          <w:rStyle w:val="72"/>
          <w:rFonts w:hint="eastAsia" w:ascii="宋体" w:hAnsi="宋体"/>
          <w:bCs/>
          <w:i w:val="0"/>
          <w:color w:val="auto"/>
          <w:kern w:val="0"/>
          <w:sz w:val="24"/>
          <w:szCs w:val="24"/>
        </w:rPr>
        <w:t>5、维护服务和技术支持</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_Toc82441658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58</w:t>
      </w:r>
      <w:r>
        <w:rPr>
          <w:rFonts w:hint="eastAsia" w:ascii="宋体" w:hAnsi="宋体"/>
          <w:i w:val="0"/>
          <w:sz w:val="24"/>
          <w:szCs w:val="24"/>
        </w:rPr>
        <w:fldChar w:fldCharType="end"/>
      </w:r>
      <w:r>
        <w:rPr>
          <w:rFonts w:hint="eastAsia" w:ascii="宋体" w:hAnsi="宋体"/>
          <w:i w:val="0"/>
          <w:sz w:val="24"/>
          <w:szCs w:val="24"/>
        </w:rPr>
        <w:fldChar w:fldCharType="end"/>
      </w:r>
    </w:p>
    <w:p>
      <w:pPr>
        <w:pStyle w:val="31"/>
        <w:spacing w:line="260" w:lineRule="exact"/>
        <w:ind w:firstLine="86"/>
        <w:rPr>
          <w:rFonts w:ascii="宋体" w:hAnsi="宋体"/>
          <w:i w:val="0"/>
          <w:iCs w:val="0"/>
          <w:sz w:val="24"/>
          <w:szCs w:val="24"/>
        </w:rPr>
      </w:pPr>
      <w:r>
        <w:fldChar w:fldCharType="begin"/>
      </w:r>
      <w:r>
        <w:instrText xml:space="preserve"> HYPERLINK \l "_Toc82441659" </w:instrText>
      </w:r>
      <w:r>
        <w:fldChar w:fldCharType="separate"/>
      </w:r>
      <w:r>
        <w:rPr>
          <w:rStyle w:val="72"/>
          <w:rFonts w:hint="eastAsia" w:ascii="宋体" w:hAnsi="宋体"/>
          <w:bCs/>
          <w:i w:val="0"/>
          <w:color w:val="auto"/>
          <w:kern w:val="0"/>
          <w:sz w:val="24"/>
          <w:szCs w:val="24"/>
        </w:rPr>
        <w:t>6、其他要求</w:t>
      </w:r>
      <w:r>
        <w:rPr>
          <w:rFonts w:hint="eastAsia" w:ascii="宋体" w:hAnsi="宋体"/>
          <w:i w:val="0"/>
          <w:sz w:val="24"/>
          <w:szCs w:val="24"/>
        </w:rPr>
        <w:tab/>
      </w:r>
      <w:r>
        <w:rPr>
          <w:rFonts w:hint="eastAsia" w:ascii="宋体" w:hAnsi="宋体"/>
          <w:i w:val="0"/>
          <w:sz w:val="24"/>
          <w:szCs w:val="24"/>
        </w:rPr>
        <w:fldChar w:fldCharType="begin"/>
      </w:r>
      <w:r>
        <w:rPr>
          <w:rFonts w:hint="eastAsia" w:ascii="宋体" w:hAnsi="宋体"/>
          <w:i w:val="0"/>
          <w:sz w:val="24"/>
          <w:szCs w:val="24"/>
        </w:rPr>
        <w:instrText xml:space="preserve"> </w:instrText>
      </w:r>
      <w:r>
        <w:rPr>
          <w:rFonts w:ascii="宋体" w:hAnsi="宋体"/>
          <w:i w:val="0"/>
          <w:sz w:val="24"/>
          <w:szCs w:val="24"/>
        </w:rPr>
        <w:instrText xml:space="preserve">PAGEREF _Toc82441659 \h</w:instrText>
      </w:r>
      <w:r>
        <w:rPr>
          <w:rFonts w:hint="eastAsia" w:ascii="宋体" w:hAnsi="宋体"/>
          <w:i w:val="0"/>
          <w:sz w:val="24"/>
          <w:szCs w:val="24"/>
        </w:rPr>
        <w:instrText xml:space="preserve"> </w:instrText>
      </w:r>
      <w:r>
        <w:rPr>
          <w:rFonts w:hint="eastAsia" w:ascii="宋体" w:hAnsi="宋体"/>
          <w:i w:val="0"/>
          <w:sz w:val="24"/>
          <w:szCs w:val="24"/>
        </w:rPr>
        <w:fldChar w:fldCharType="separate"/>
      </w:r>
      <w:r>
        <w:rPr>
          <w:rFonts w:ascii="宋体" w:hAnsi="宋体"/>
          <w:i w:val="0"/>
          <w:sz w:val="24"/>
          <w:szCs w:val="24"/>
        </w:rPr>
        <w:t>58</w:t>
      </w:r>
      <w:r>
        <w:rPr>
          <w:rFonts w:hint="eastAsia" w:ascii="宋体" w:hAnsi="宋体"/>
          <w:i w:val="0"/>
          <w:sz w:val="24"/>
          <w:szCs w:val="24"/>
        </w:rPr>
        <w:fldChar w:fldCharType="end"/>
      </w:r>
      <w:r>
        <w:rPr>
          <w:rFonts w:hint="eastAsia" w:ascii="宋体" w:hAnsi="宋体"/>
          <w:i w:val="0"/>
          <w:sz w:val="24"/>
          <w:szCs w:val="24"/>
        </w:rPr>
        <w:fldChar w:fldCharType="end"/>
      </w:r>
    </w:p>
    <w:p>
      <w:pPr>
        <w:pStyle w:val="52"/>
        <w:spacing w:line="260" w:lineRule="exact"/>
        <w:ind w:firstLine="472"/>
        <w:rPr>
          <w:rFonts w:ascii="宋体" w:hAnsi="宋体"/>
          <w:smallCaps w:val="0"/>
          <w:sz w:val="24"/>
          <w:szCs w:val="24"/>
        </w:rPr>
      </w:pPr>
      <w:r>
        <w:fldChar w:fldCharType="begin"/>
      </w:r>
      <w:r>
        <w:instrText xml:space="preserve"> HYPERLINK \l "_Toc82441660" </w:instrText>
      </w:r>
      <w:r>
        <w:fldChar w:fldCharType="separate"/>
      </w:r>
      <w:r>
        <w:rPr>
          <w:rStyle w:val="72"/>
          <w:rFonts w:hint="eastAsia" w:ascii="宋体" w:hAnsi="宋体"/>
          <w:bCs/>
          <w:color w:val="auto"/>
          <w:kern w:val="0"/>
          <w:sz w:val="24"/>
          <w:szCs w:val="24"/>
        </w:rPr>
        <w:t>采购一览表及技术参数</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_Toc82441660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60</w:t>
      </w:r>
      <w:r>
        <w:rPr>
          <w:rFonts w:hint="eastAsia" w:ascii="宋体" w:hAnsi="宋体"/>
          <w:sz w:val="24"/>
          <w:szCs w:val="24"/>
        </w:rPr>
        <w:fldChar w:fldCharType="end"/>
      </w:r>
      <w:r>
        <w:rPr>
          <w:rFonts w:hint="eastAsia" w:ascii="宋体" w:hAnsi="宋体"/>
          <w:sz w:val="24"/>
          <w:szCs w:val="24"/>
        </w:rPr>
        <w:fldChar w:fldCharType="end"/>
      </w:r>
    </w:p>
    <w:p>
      <w:pPr>
        <w:pStyle w:val="31"/>
        <w:spacing w:line="260" w:lineRule="exact"/>
        <w:rPr>
          <w:rStyle w:val="72"/>
          <w:rFonts w:ascii="宋体" w:hAnsi="宋体" w:cs="宋体"/>
          <w:i w:val="0"/>
          <w:iCs w:val="0"/>
          <w:color w:val="auto"/>
          <w:kern w:val="0"/>
          <w:sz w:val="24"/>
          <w:szCs w:val="24"/>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2041" w:left="1474" w:header="1021" w:footer="1021" w:gutter="0"/>
          <w:pgNumType w:start="0"/>
          <w:cols w:space="720" w:num="1"/>
          <w:titlePg/>
          <w:docGrid w:linePitch="312" w:charSpace="0"/>
        </w:sectPr>
      </w:pPr>
      <w:r>
        <w:rPr>
          <w:rFonts w:hint="eastAsia" w:ascii="宋体" w:hAnsi="宋体" w:cs="宋体"/>
          <w:i w:val="0"/>
          <w:iCs w:val="0"/>
          <w:kern w:val="0"/>
          <w:sz w:val="24"/>
          <w:szCs w:val="24"/>
        </w:rPr>
        <w:fldChar w:fldCharType="end"/>
      </w:r>
    </w:p>
    <w:p>
      <w:pPr>
        <w:pStyle w:val="516"/>
        <w:ind w:firstLine="0" w:firstLineChars="0"/>
      </w:pPr>
      <w:bookmarkStart w:id="0" w:name="_Toc325725996"/>
    </w:p>
    <w:p>
      <w:pPr>
        <w:pStyle w:val="4"/>
      </w:pPr>
      <w:bookmarkStart w:id="1" w:name="_Toc82441578"/>
      <w:r>
        <w:rPr>
          <w:rFonts w:hint="eastAsia"/>
        </w:rPr>
        <w:t>第一部分  投标人须知前附表</w:t>
      </w:r>
      <w:bookmarkEnd w:id="1"/>
    </w:p>
    <w:bookmarkEnd w:id="0"/>
    <w:tbl>
      <w:tblPr>
        <w:tblStyle w:val="64"/>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127" w:type="dxa"/>
            <w:vAlign w:val="center"/>
          </w:tcPr>
          <w:p>
            <w:pPr>
              <w:widowControl/>
              <w:spacing w:line="360" w:lineRule="exact"/>
              <w:ind w:firstLine="0" w:firstLineChars="0"/>
              <w:rPr>
                <w:rFonts w:ascii="宋体" w:hAnsi="宋体" w:cs="宋体"/>
                <w:kern w:val="0"/>
              </w:rPr>
            </w:pPr>
            <w:r>
              <w:rPr>
                <w:rFonts w:ascii="宋体" w:hAnsi="宋体" w:cs="宋体"/>
                <w:kern w:val="0"/>
              </w:rPr>
              <w:t>采购项目名称</w:t>
            </w:r>
          </w:p>
        </w:tc>
        <w:tc>
          <w:tcPr>
            <w:tcW w:w="7654" w:type="dxa"/>
            <w:vAlign w:val="center"/>
          </w:tcPr>
          <w:p>
            <w:pPr>
              <w:widowControl/>
              <w:spacing w:line="360" w:lineRule="exact"/>
              <w:ind w:firstLine="0" w:firstLineChars="0"/>
              <w:rPr>
                <w:rFonts w:ascii="宋体" w:hAnsi="宋体" w:cs="宋体"/>
                <w:kern w:val="0"/>
              </w:rPr>
            </w:pPr>
            <w:r>
              <w:rPr>
                <w:rFonts w:hint="eastAsia" w:ascii="宋体" w:hAnsi="宋体" w:cs="宋体"/>
                <w:kern w:val="0"/>
              </w:rPr>
              <w:t>青海大学教学基本条件改善采购项目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27" w:type="dxa"/>
            <w:vAlign w:val="center"/>
          </w:tcPr>
          <w:p>
            <w:pPr>
              <w:widowControl/>
              <w:spacing w:line="360" w:lineRule="exact"/>
              <w:ind w:firstLine="0" w:firstLineChars="0"/>
              <w:rPr>
                <w:rFonts w:ascii="宋体" w:hAnsi="宋体" w:cs="宋体"/>
                <w:kern w:val="0"/>
              </w:rPr>
            </w:pPr>
            <w:r>
              <w:rPr>
                <w:rFonts w:ascii="宋体" w:hAnsi="宋体" w:cs="宋体"/>
                <w:kern w:val="0"/>
              </w:rPr>
              <w:t>采购项目编号</w:t>
            </w:r>
          </w:p>
        </w:tc>
        <w:tc>
          <w:tcPr>
            <w:tcW w:w="7654" w:type="dxa"/>
            <w:vAlign w:val="center"/>
          </w:tcPr>
          <w:p>
            <w:pPr>
              <w:widowControl/>
              <w:spacing w:line="360" w:lineRule="exact"/>
              <w:ind w:firstLine="0" w:firstLineChars="0"/>
              <w:rPr>
                <w:rFonts w:ascii="宋体" w:hAnsi="宋体" w:cs="宋体"/>
                <w:kern w:val="0"/>
              </w:rPr>
            </w:pPr>
            <w:r>
              <w:rPr>
                <w:rFonts w:hint="eastAsia" w:ascii="宋体" w:hAnsi="宋体"/>
                <w:spacing w:val="-2"/>
                <w:kern w:val="16"/>
              </w:rPr>
              <w:t>青政采公招（货物）2022-055号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127" w:type="dxa"/>
            <w:vAlign w:val="center"/>
          </w:tcPr>
          <w:p>
            <w:pPr>
              <w:widowControl/>
              <w:spacing w:line="360" w:lineRule="exact"/>
              <w:ind w:firstLine="0" w:firstLineChars="0"/>
              <w:rPr>
                <w:rFonts w:ascii="宋体" w:hAnsi="宋体" w:cs="宋体"/>
                <w:kern w:val="0"/>
              </w:rPr>
            </w:pPr>
            <w:r>
              <w:rPr>
                <w:rFonts w:ascii="宋体" w:hAnsi="宋体" w:cs="宋体"/>
                <w:kern w:val="0"/>
              </w:rPr>
              <w:t>采购方式</w:t>
            </w:r>
          </w:p>
        </w:tc>
        <w:tc>
          <w:tcPr>
            <w:tcW w:w="7654" w:type="dxa"/>
            <w:vAlign w:val="center"/>
          </w:tcPr>
          <w:p>
            <w:pPr>
              <w:widowControl/>
              <w:spacing w:line="360" w:lineRule="exact"/>
              <w:ind w:firstLine="0" w:firstLineChars="0"/>
              <w:rPr>
                <w:rFonts w:ascii="宋体" w:hAnsi="宋体" w:cs="宋体"/>
                <w:kern w:val="0"/>
              </w:rPr>
            </w:pPr>
            <w:r>
              <w:rPr>
                <w:rFonts w:ascii="宋体" w:hAnsi="宋体" w:cs="宋体"/>
                <w:kern w:val="0"/>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127" w:type="dxa"/>
            <w:vAlign w:val="center"/>
          </w:tcPr>
          <w:p>
            <w:pPr>
              <w:widowControl/>
              <w:spacing w:line="360" w:lineRule="exact"/>
              <w:ind w:firstLine="0" w:firstLineChars="0"/>
              <w:rPr>
                <w:rFonts w:hint="eastAsia" w:ascii="宋体" w:hAnsi="宋体" w:eastAsia="宋体" w:cs="宋体"/>
                <w:kern w:val="0"/>
                <w:lang w:eastAsia="zh-CN"/>
              </w:rPr>
            </w:pPr>
            <w:r>
              <w:rPr>
                <w:rFonts w:hint="eastAsia" w:ascii="宋体" w:hAnsi="宋体" w:cs="宋体"/>
                <w:kern w:val="0"/>
                <w:lang w:eastAsia="zh-CN"/>
              </w:rPr>
              <w:t>采购预算</w:t>
            </w:r>
          </w:p>
        </w:tc>
        <w:tc>
          <w:tcPr>
            <w:tcW w:w="7654" w:type="dxa"/>
            <w:vAlign w:val="center"/>
          </w:tcPr>
          <w:p>
            <w:pPr>
              <w:widowControl/>
              <w:spacing w:line="360" w:lineRule="exact"/>
              <w:ind w:firstLine="0" w:firstLineChars="0"/>
              <w:rPr>
                <w:rFonts w:ascii="宋体" w:hAnsi="宋体"/>
                <w:spacing w:val="-2"/>
                <w:kern w:val="16"/>
              </w:rPr>
            </w:pPr>
            <w:r>
              <w:rPr>
                <w:rFonts w:hint="eastAsia" w:ascii="宋体" w:hAnsi="宋体" w:cs="宋体"/>
                <w:kern w:val="0"/>
              </w:rPr>
              <w:t>包1：480万元</w:t>
            </w:r>
            <w:r>
              <w:rPr>
                <w:rFonts w:hint="eastAsia" w:ascii="宋体" w:hAnsi="宋体"/>
                <w:spacing w:val="-2"/>
                <w:kern w:val="16"/>
              </w:rPr>
              <w:t>（人民币）；</w:t>
            </w:r>
          </w:p>
          <w:p>
            <w:pPr>
              <w:widowControl/>
              <w:spacing w:line="360" w:lineRule="exact"/>
              <w:ind w:firstLine="0" w:firstLineChars="0"/>
              <w:rPr>
                <w:rFonts w:ascii="宋体" w:hAnsi="宋体"/>
                <w:spacing w:val="-2"/>
                <w:kern w:val="16"/>
              </w:rPr>
            </w:pPr>
            <w:r>
              <w:rPr>
                <w:rFonts w:hint="eastAsia" w:ascii="宋体" w:hAnsi="宋体" w:cs="宋体"/>
                <w:kern w:val="0"/>
              </w:rPr>
              <w:t>包2：50万元</w:t>
            </w:r>
            <w:r>
              <w:rPr>
                <w:rFonts w:hint="eastAsia" w:ascii="宋体" w:hAnsi="宋体"/>
                <w:spacing w:val="-2"/>
                <w:kern w:val="16"/>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127" w:type="dxa"/>
            <w:vAlign w:val="center"/>
          </w:tcPr>
          <w:p>
            <w:pPr>
              <w:widowControl/>
              <w:spacing w:line="360" w:lineRule="exact"/>
              <w:ind w:firstLine="0" w:firstLineChars="0"/>
              <w:rPr>
                <w:rFonts w:ascii="宋体" w:hAnsi="宋体" w:cs="宋体"/>
                <w:kern w:val="0"/>
              </w:rPr>
            </w:pPr>
            <w:r>
              <w:rPr>
                <w:rFonts w:ascii="宋体" w:hAnsi="宋体" w:cs="宋体"/>
                <w:kern w:val="0"/>
              </w:rPr>
              <w:t>项目分包个数</w:t>
            </w:r>
          </w:p>
        </w:tc>
        <w:tc>
          <w:tcPr>
            <w:tcW w:w="7654" w:type="dxa"/>
            <w:vAlign w:val="center"/>
          </w:tcPr>
          <w:p>
            <w:pPr>
              <w:widowControl/>
              <w:spacing w:line="360" w:lineRule="exact"/>
              <w:ind w:firstLine="0" w:firstLineChars="0"/>
              <w:rPr>
                <w:rFonts w:ascii="宋体" w:hAnsi="宋体" w:cs="宋体"/>
                <w:kern w:val="0"/>
              </w:rPr>
            </w:pPr>
            <w:r>
              <w:rPr>
                <w:rFonts w:hint="eastAsia" w:ascii="宋体" w:hAnsi="宋体" w:cs="宋体"/>
                <w:kern w:val="0"/>
              </w:rPr>
              <w:t>2个包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127" w:type="dxa"/>
            <w:vAlign w:val="center"/>
          </w:tcPr>
          <w:p>
            <w:pPr>
              <w:widowControl/>
              <w:spacing w:line="360" w:lineRule="exact"/>
              <w:ind w:firstLine="0" w:firstLineChars="0"/>
              <w:rPr>
                <w:rFonts w:ascii="宋体" w:hAnsi="宋体" w:cs="宋体"/>
                <w:kern w:val="0"/>
              </w:rPr>
            </w:pPr>
            <w:r>
              <w:rPr>
                <w:rFonts w:hint="eastAsia" w:ascii="宋体" w:hAnsi="宋体" w:cs="宋体"/>
                <w:kern w:val="0"/>
              </w:rPr>
              <w:t>采购要求</w:t>
            </w:r>
          </w:p>
        </w:tc>
        <w:tc>
          <w:tcPr>
            <w:tcW w:w="7654" w:type="dxa"/>
          </w:tcPr>
          <w:p>
            <w:pPr>
              <w:pStyle w:val="435"/>
              <w:spacing w:before="156" w:after="156" w:line="360" w:lineRule="exact"/>
              <w:ind w:firstLine="0" w:firstLineChars="0"/>
              <w:jc w:val="both"/>
              <w:rPr>
                <w:kern w:val="16"/>
                <w:lang w:eastAsia="zh-CN"/>
              </w:rPr>
            </w:pPr>
            <w:r>
              <w:rPr>
                <w:rFonts w:hint="eastAsia"/>
                <w:kern w:val="16"/>
                <w:lang w:eastAsia="zh-CN"/>
              </w:rPr>
              <w:t>具体要求详见《招标文件》。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127" w:type="dxa"/>
            <w:vAlign w:val="center"/>
          </w:tcPr>
          <w:p>
            <w:pPr>
              <w:widowControl/>
              <w:spacing w:line="360" w:lineRule="exact"/>
              <w:ind w:firstLine="0" w:firstLineChars="0"/>
              <w:rPr>
                <w:rFonts w:ascii="宋体" w:hAnsi="宋体" w:cs="宋体"/>
                <w:kern w:val="0"/>
              </w:rPr>
            </w:pPr>
            <w:r>
              <w:rPr>
                <w:rFonts w:ascii="宋体" w:hAnsi="宋体" w:cs="宋体"/>
                <w:kern w:val="0"/>
              </w:rPr>
              <w:t>供应商资格条件</w:t>
            </w:r>
          </w:p>
        </w:tc>
        <w:tc>
          <w:tcPr>
            <w:tcW w:w="7654" w:type="dxa"/>
            <w:vAlign w:val="center"/>
          </w:tcPr>
          <w:p>
            <w:pPr>
              <w:widowControl/>
              <w:spacing w:line="360" w:lineRule="exact"/>
              <w:ind w:firstLine="0" w:firstLineChars="0"/>
              <w:jc w:val="left"/>
              <w:rPr>
                <w:rFonts w:ascii="宋体" w:hAnsi="宋体" w:cs="宋体"/>
                <w:kern w:val="0"/>
              </w:rPr>
            </w:pPr>
            <w:r>
              <w:rPr>
                <w:rFonts w:hint="eastAsia" w:ascii="宋体" w:hAnsi="宋体" w:cs="宋体"/>
                <w:kern w:val="0"/>
              </w:rPr>
              <w:t>1、应具备《政府采购法》第22条所规定的条件：</w:t>
            </w:r>
          </w:p>
          <w:p>
            <w:pPr>
              <w:widowControl/>
              <w:spacing w:line="360" w:lineRule="exact"/>
              <w:ind w:firstLine="0" w:firstLineChars="0"/>
              <w:jc w:val="left"/>
              <w:rPr>
                <w:rFonts w:ascii="宋体" w:hAnsi="宋体" w:cs="宋体"/>
                <w:kern w:val="0"/>
              </w:rPr>
            </w:pPr>
            <w:r>
              <w:rPr>
                <w:rFonts w:hint="eastAsia" w:ascii="宋体" w:hAnsi="宋体" w:cs="宋体"/>
                <w:kern w:val="0"/>
              </w:rPr>
              <w:t>（1）投标人的营业执照等证明文件，自然人的身份证明；</w:t>
            </w:r>
          </w:p>
          <w:p>
            <w:pPr>
              <w:widowControl/>
              <w:spacing w:line="360" w:lineRule="exact"/>
              <w:ind w:firstLine="0" w:firstLineChars="0"/>
              <w:jc w:val="left"/>
              <w:rPr>
                <w:rFonts w:ascii="宋体" w:hAnsi="宋体" w:cs="宋体"/>
                <w:kern w:val="0"/>
              </w:rPr>
            </w:pPr>
            <w:r>
              <w:rPr>
                <w:rFonts w:hint="eastAsia" w:ascii="宋体" w:hAnsi="宋体" w:cs="宋体"/>
                <w:kern w:val="0"/>
              </w:rPr>
              <w:t>（2）财务状况报告和依法缴纳税收和社会保障资金的相关材料；</w:t>
            </w:r>
          </w:p>
          <w:p>
            <w:pPr>
              <w:widowControl/>
              <w:spacing w:line="360" w:lineRule="exact"/>
              <w:ind w:firstLine="0" w:firstLineChars="0"/>
              <w:jc w:val="left"/>
              <w:rPr>
                <w:rFonts w:ascii="宋体" w:hAnsi="宋体" w:cs="宋体"/>
                <w:kern w:val="0"/>
              </w:rPr>
            </w:pPr>
            <w:r>
              <w:rPr>
                <w:rFonts w:hint="eastAsia" w:ascii="宋体" w:hAnsi="宋体" w:cs="宋体"/>
                <w:kern w:val="0"/>
              </w:rPr>
              <w:t>（3）具备履行合同所必须的设备和专业技术能力的证明材料；</w:t>
            </w:r>
          </w:p>
          <w:p>
            <w:pPr>
              <w:widowControl/>
              <w:spacing w:line="360" w:lineRule="exact"/>
              <w:ind w:firstLine="0" w:firstLineChars="0"/>
              <w:jc w:val="left"/>
              <w:rPr>
                <w:rFonts w:ascii="宋体" w:hAnsi="宋体" w:cs="宋体"/>
                <w:kern w:val="0"/>
              </w:rPr>
            </w:pPr>
            <w:r>
              <w:rPr>
                <w:rFonts w:hint="eastAsia" w:ascii="宋体" w:hAnsi="宋体" w:cs="宋体"/>
                <w:kern w:val="0"/>
              </w:rPr>
              <w:t>（4）参加政府采购活动前3年内在经营活动中没有重大违法记录的书面声明；</w:t>
            </w:r>
          </w:p>
          <w:p>
            <w:pPr>
              <w:widowControl/>
              <w:spacing w:line="360" w:lineRule="exact"/>
              <w:ind w:firstLine="0" w:firstLineChars="0"/>
              <w:jc w:val="left"/>
              <w:rPr>
                <w:rFonts w:ascii="宋体" w:hAnsi="宋体" w:cs="宋体"/>
                <w:kern w:val="0"/>
              </w:rPr>
            </w:pPr>
            <w:r>
              <w:rPr>
                <w:rFonts w:hint="eastAsia" w:ascii="宋体" w:hAnsi="宋体" w:cs="宋体"/>
                <w:kern w:val="0"/>
              </w:rPr>
              <w:t>（5）具备法律、行政法规规定的其他条件的证明材料。</w:t>
            </w:r>
          </w:p>
          <w:p>
            <w:pPr>
              <w:widowControl/>
              <w:spacing w:line="360" w:lineRule="exact"/>
              <w:ind w:firstLine="0" w:firstLineChars="0"/>
              <w:jc w:val="left"/>
              <w:rPr>
                <w:rFonts w:ascii="宋体" w:hAnsi="宋体" w:cs="宋体"/>
                <w:kern w:val="0"/>
              </w:rPr>
            </w:pPr>
            <w:r>
              <w:rPr>
                <w:rFonts w:hint="eastAsia" w:ascii="宋体" w:hAnsi="宋体" w:cs="宋体"/>
                <w:kern w:val="0"/>
              </w:rPr>
              <w:t>2、经信用中国（www.creditchina.gov.cn）、中国政府采购网（www.ccgp.gov.cn）等渠道查询后，列入失信被执行人、重大税收违法案件当事人名单、政府采购严重违法失信行为记录名单的，取消投标资格。</w:t>
            </w:r>
          </w:p>
          <w:p>
            <w:pPr>
              <w:widowControl/>
              <w:spacing w:line="360" w:lineRule="exact"/>
              <w:ind w:firstLine="0" w:firstLineChars="0"/>
              <w:jc w:val="left"/>
              <w:rPr>
                <w:rFonts w:ascii="宋体" w:hAnsi="宋体" w:cs="宋体"/>
                <w:kern w:val="0"/>
              </w:rPr>
            </w:pPr>
            <w:r>
              <w:rPr>
                <w:rFonts w:hint="eastAsia" w:ascii="宋体" w:hAnsi="宋体" w:cs="宋体"/>
                <w:kern w:val="0"/>
              </w:rPr>
              <w:t>3、单位负责人为同一人或者存在直接控股、管理关系的不同供应商，不得参加同一合同项下的政府采购活动。否则，皆取消投标资格。</w:t>
            </w:r>
          </w:p>
          <w:p>
            <w:pPr>
              <w:widowControl/>
              <w:spacing w:line="360" w:lineRule="exact"/>
              <w:ind w:firstLine="0" w:firstLineChars="0"/>
              <w:jc w:val="left"/>
              <w:rPr>
                <w:rFonts w:ascii="宋体" w:hAnsi="宋体" w:cs="宋体"/>
                <w:kern w:val="0"/>
              </w:rPr>
            </w:pPr>
            <w:r>
              <w:rPr>
                <w:rFonts w:hint="eastAsia" w:ascii="宋体" w:hAnsi="宋体" w:cs="宋体"/>
                <w:kern w:val="0"/>
              </w:rPr>
              <w:t>4、为本采购项目提供整体设计、规范编制或者项目管理、监理、检测等服务的供应商，不得再参加该采购项目的其他采购活动。</w:t>
            </w:r>
          </w:p>
          <w:p>
            <w:pPr>
              <w:widowControl/>
              <w:spacing w:line="360" w:lineRule="exact"/>
              <w:ind w:firstLine="0" w:firstLineChars="0"/>
              <w:jc w:val="left"/>
              <w:rPr>
                <w:rFonts w:ascii="宋体" w:hAnsi="宋体" w:cs="宋体"/>
                <w:kern w:val="0"/>
              </w:rPr>
            </w:pPr>
            <w:r>
              <w:rPr>
                <w:rFonts w:hint="eastAsia" w:ascii="宋体" w:hAnsi="宋体" w:cs="宋体"/>
                <w:kern w:val="0"/>
              </w:rPr>
              <w:t>5、本项目不接受供应商以联合体方式进行投标。</w:t>
            </w:r>
          </w:p>
          <w:p>
            <w:pPr>
              <w:widowControl/>
              <w:spacing w:line="360" w:lineRule="exact"/>
              <w:ind w:firstLine="0" w:firstLineChars="0"/>
              <w:jc w:val="left"/>
              <w:rPr>
                <w:rFonts w:ascii="宋体" w:hAnsi="宋体" w:cs="宋体"/>
                <w:kern w:val="0"/>
              </w:rPr>
            </w:pPr>
            <w:r>
              <w:rPr>
                <w:rFonts w:hint="eastAsia" w:ascii="宋体" w:hAnsi="宋体" w:cs="宋体"/>
                <w:kern w:val="0"/>
              </w:rPr>
              <w:t>6、招标文件中规定的其他资质条件。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127" w:type="dxa"/>
            <w:vAlign w:val="center"/>
          </w:tcPr>
          <w:p>
            <w:pPr>
              <w:widowControl/>
              <w:spacing w:line="360" w:lineRule="exact"/>
              <w:ind w:firstLine="0" w:firstLineChars="0"/>
              <w:rPr>
                <w:rFonts w:ascii="宋体" w:hAnsi="宋体" w:cs="宋体"/>
                <w:kern w:val="0"/>
              </w:rPr>
            </w:pPr>
            <w:r>
              <w:rPr>
                <w:rFonts w:ascii="宋体" w:hAnsi="宋体" w:cs="宋体"/>
                <w:kern w:val="0"/>
              </w:rPr>
              <w:t>公告发布时间</w:t>
            </w:r>
          </w:p>
        </w:tc>
        <w:tc>
          <w:tcPr>
            <w:tcW w:w="7654" w:type="dxa"/>
            <w:vAlign w:val="center"/>
          </w:tcPr>
          <w:p>
            <w:pPr>
              <w:widowControl/>
              <w:spacing w:line="360" w:lineRule="exact"/>
              <w:ind w:firstLine="0" w:firstLineChars="0"/>
              <w:rPr>
                <w:rFonts w:ascii="宋体" w:hAnsi="宋体" w:cs="宋体"/>
                <w:kern w:val="0"/>
              </w:rPr>
            </w:pPr>
            <w:r>
              <w:rPr>
                <w:rFonts w:ascii="宋体" w:hAnsi="宋体" w:cs="宋体"/>
                <w:kern w:val="0"/>
              </w:rPr>
              <w:t>20</w:t>
            </w:r>
            <w:r>
              <w:rPr>
                <w:rFonts w:hint="eastAsia" w:ascii="宋体" w:hAnsi="宋体" w:cs="宋体"/>
                <w:kern w:val="0"/>
              </w:rPr>
              <w:t>22</w:t>
            </w:r>
            <w:r>
              <w:rPr>
                <w:rFonts w:ascii="宋体" w:hAnsi="宋体" w:cs="宋体"/>
                <w:kern w:val="0"/>
              </w:rPr>
              <w:t>年</w:t>
            </w:r>
            <w:r>
              <w:rPr>
                <w:rFonts w:hint="eastAsia" w:ascii="宋体" w:hAnsi="宋体" w:cs="宋体"/>
                <w:kern w:val="0"/>
                <w:lang w:val="en-US" w:eastAsia="zh-CN"/>
              </w:rPr>
              <w:t>6</w:t>
            </w:r>
            <w:r>
              <w:rPr>
                <w:rFonts w:ascii="宋体" w:hAnsi="宋体" w:cs="宋体"/>
                <w:kern w:val="0"/>
              </w:rPr>
              <w:t>月</w:t>
            </w:r>
            <w:r>
              <w:rPr>
                <w:rFonts w:hint="eastAsia" w:ascii="宋体" w:hAnsi="宋体" w:cs="宋体"/>
                <w:kern w:val="0"/>
                <w:lang w:val="en-US" w:eastAsia="zh-CN"/>
              </w:rPr>
              <w:t>6</w:t>
            </w:r>
            <w:r>
              <w:rPr>
                <w:rFonts w:ascii="宋体" w:hAnsi="宋体" w:cs="宋体"/>
                <w:kern w:val="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vAlign w:val="center"/>
          </w:tcPr>
          <w:p>
            <w:pPr>
              <w:widowControl/>
              <w:spacing w:line="360" w:lineRule="exact"/>
              <w:ind w:firstLine="0" w:firstLineChars="0"/>
              <w:rPr>
                <w:rFonts w:ascii="宋体" w:hAnsi="宋体" w:cs="宋体"/>
                <w:kern w:val="0"/>
              </w:rPr>
            </w:pPr>
            <w:r>
              <w:rPr>
                <w:rFonts w:hint="eastAsia" w:ascii="宋体" w:hAnsi="宋体" w:cs="宋体"/>
                <w:kern w:val="0"/>
              </w:rPr>
              <w:t>网上报名、获取招标文件时间、方式</w:t>
            </w:r>
          </w:p>
        </w:tc>
        <w:tc>
          <w:tcPr>
            <w:tcW w:w="7654" w:type="dxa"/>
          </w:tcPr>
          <w:p>
            <w:pPr>
              <w:widowControl/>
              <w:spacing w:line="360" w:lineRule="exact"/>
              <w:ind w:firstLine="0" w:firstLineChars="0"/>
              <w:jc w:val="left"/>
              <w:rPr>
                <w:rFonts w:ascii="宋体" w:hAnsi="宋体"/>
              </w:rPr>
            </w:pPr>
            <w:r>
              <w:rPr>
                <w:rFonts w:ascii="宋体" w:hAnsi="宋体" w:cs="宋体"/>
                <w:kern w:val="0"/>
              </w:rPr>
              <w:t>20</w:t>
            </w:r>
            <w:r>
              <w:rPr>
                <w:rFonts w:hint="eastAsia" w:ascii="宋体" w:hAnsi="宋体" w:cs="宋体"/>
                <w:kern w:val="0"/>
              </w:rPr>
              <w:t>22</w:t>
            </w:r>
            <w:r>
              <w:rPr>
                <w:rFonts w:ascii="宋体" w:hAnsi="宋体" w:cs="宋体"/>
                <w:kern w:val="0"/>
              </w:rPr>
              <w:t>年</w:t>
            </w:r>
            <w:r>
              <w:rPr>
                <w:rFonts w:hint="eastAsia" w:ascii="宋体" w:hAnsi="宋体" w:cs="宋体"/>
                <w:kern w:val="0"/>
                <w:lang w:val="en-US" w:eastAsia="zh-CN"/>
              </w:rPr>
              <w:t>6</w:t>
            </w:r>
            <w:r>
              <w:rPr>
                <w:rFonts w:ascii="宋体" w:hAnsi="宋体" w:cs="宋体"/>
                <w:kern w:val="0"/>
              </w:rPr>
              <w:t>月</w:t>
            </w:r>
            <w:r>
              <w:rPr>
                <w:rFonts w:hint="eastAsia" w:ascii="宋体" w:hAnsi="宋体" w:cs="宋体"/>
                <w:kern w:val="0"/>
                <w:lang w:val="en-US" w:eastAsia="zh-CN"/>
              </w:rPr>
              <w:t>7</w:t>
            </w:r>
            <w:r>
              <w:rPr>
                <w:rFonts w:ascii="宋体" w:hAnsi="宋体" w:cs="宋体"/>
                <w:kern w:val="0"/>
              </w:rPr>
              <w:t>日</w:t>
            </w:r>
            <w:r>
              <w:rPr>
                <w:rFonts w:hint="eastAsia" w:ascii="宋体" w:hAnsi="宋体" w:cs="宋体"/>
                <w:kern w:val="0"/>
              </w:rPr>
              <w:t>起，</w:t>
            </w:r>
            <w:r>
              <w:rPr>
                <w:rFonts w:ascii="宋体" w:hAnsi="宋体" w:cs="宋体"/>
                <w:kern w:val="0"/>
              </w:rPr>
              <w:t>至20</w:t>
            </w:r>
            <w:r>
              <w:rPr>
                <w:rFonts w:hint="eastAsia" w:ascii="宋体" w:hAnsi="宋体" w:cs="宋体"/>
                <w:kern w:val="0"/>
              </w:rPr>
              <w:t>22</w:t>
            </w:r>
            <w:r>
              <w:rPr>
                <w:rFonts w:ascii="宋体" w:hAnsi="宋体" w:cs="宋体"/>
                <w:kern w:val="0"/>
              </w:rPr>
              <w:t>年</w:t>
            </w:r>
            <w:r>
              <w:rPr>
                <w:rFonts w:hint="eastAsia" w:ascii="宋体" w:hAnsi="宋体" w:cs="宋体"/>
                <w:kern w:val="0"/>
                <w:lang w:val="en-US" w:eastAsia="zh-CN"/>
              </w:rPr>
              <w:t>6</w:t>
            </w:r>
            <w:r>
              <w:rPr>
                <w:rFonts w:ascii="宋体" w:hAnsi="宋体" w:cs="宋体"/>
                <w:kern w:val="0"/>
              </w:rPr>
              <w:t>月</w:t>
            </w:r>
            <w:r>
              <w:rPr>
                <w:rFonts w:hint="eastAsia" w:ascii="宋体" w:hAnsi="宋体" w:cs="宋体"/>
                <w:kern w:val="0"/>
                <w:lang w:val="en-US" w:eastAsia="zh-CN"/>
              </w:rPr>
              <w:t>13</w:t>
            </w:r>
            <w:r>
              <w:rPr>
                <w:rFonts w:ascii="宋体" w:hAnsi="宋体" w:cs="宋体"/>
                <w:kern w:val="0"/>
              </w:rPr>
              <w:t>日</w:t>
            </w:r>
            <w:r>
              <w:rPr>
                <w:rFonts w:hint="eastAsia" w:ascii="宋体" w:hAnsi="宋体" w:cs="宋体"/>
                <w:kern w:val="0"/>
              </w:rPr>
              <w:t>止；在青海省政府采购电子化平台上自行下载</w:t>
            </w:r>
            <w:r>
              <w:rPr>
                <w:rFonts w:hint="eastAsia" w:ascii="宋体" w:hAnsi="宋体"/>
              </w:rPr>
              <w:t>招标文件（下载的“招标文件”以澄清确定后的版本为准）。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127" w:type="dxa"/>
            <w:vMerge w:val="restart"/>
            <w:vAlign w:val="center"/>
          </w:tcPr>
          <w:p>
            <w:pPr>
              <w:widowControl/>
              <w:spacing w:line="360" w:lineRule="exact"/>
              <w:ind w:firstLine="0" w:firstLineChars="0"/>
              <w:rPr>
                <w:rFonts w:ascii="宋体" w:hAnsi="宋体" w:cs="宋体"/>
              </w:rPr>
            </w:pPr>
            <w:r>
              <w:rPr>
                <w:rFonts w:hint="eastAsia" w:ascii="宋体" w:hAnsi="宋体" w:cs="宋体"/>
              </w:rPr>
              <w:t>投标保证金</w:t>
            </w:r>
          </w:p>
        </w:tc>
        <w:tc>
          <w:tcPr>
            <w:tcW w:w="7654" w:type="dxa"/>
          </w:tcPr>
          <w:p>
            <w:pPr>
              <w:widowControl/>
              <w:spacing w:line="360" w:lineRule="exact"/>
              <w:ind w:firstLine="0" w:firstLineChars="0"/>
              <w:jc w:val="left"/>
              <w:rPr>
                <w:rFonts w:ascii="宋体" w:hAnsi="宋体" w:cs="宋体"/>
              </w:rPr>
            </w:pPr>
            <w:r>
              <w:rPr>
                <w:rFonts w:hint="eastAsia" w:ascii="宋体" w:hAnsi="宋体"/>
              </w:rPr>
              <w:t>投标人在投标截止期前按</w:t>
            </w:r>
            <w:r>
              <w:rPr>
                <w:rFonts w:hint="eastAsia" w:ascii="宋体" w:hAnsi="宋体"/>
                <w:lang w:eastAsia="zh-CN"/>
              </w:rPr>
              <w:t>采购预算</w:t>
            </w:r>
            <w:r>
              <w:rPr>
                <w:rFonts w:hint="eastAsia" w:ascii="宋体" w:hAnsi="宋体"/>
              </w:rPr>
              <w:t>的2%缴纳投标保证金。（具体数额以青海省政府采购电子化平台上确定的数额为准，缴纳投标保证金时需注明：</w:t>
            </w:r>
            <w:r>
              <w:rPr>
                <w:rFonts w:hint="eastAsia" w:ascii="宋体" w:hAnsi="宋体" w:cs="宋体"/>
              </w:rPr>
              <w:t>***项目</w:t>
            </w:r>
            <w:r>
              <w:rPr>
                <w:rFonts w:hint="eastAsia" w:ascii="宋体" w:hAnsi="宋体"/>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127" w:type="dxa"/>
            <w:vMerge w:val="continue"/>
            <w:vAlign w:val="center"/>
          </w:tcPr>
          <w:p>
            <w:pPr>
              <w:widowControl/>
              <w:spacing w:line="360" w:lineRule="exact"/>
              <w:ind w:firstLine="0" w:firstLineChars="0"/>
              <w:rPr>
                <w:rFonts w:ascii="宋体" w:hAnsi="宋体" w:cs="宋体"/>
              </w:rPr>
            </w:pPr>
          </w:p>
        </w:tc>
        <w:tc>
          <w:tcPr>
            <w:tcW w:w="7654" w:type="dxa"/>
          </w:tcPr>
          <w:p>
            <w:pPr>
              <w:widowControl/>
              <w:spacing w:line="360" w:lineRule="exact"/>
              <w:ind w:firstLine="0" w:firstLineChars="0"/>
              <w:jc w:val="left"/>
              <w:rPr>
                <w:rFonts w:ascii="宋体" w:hAnsi="宋体"/>
              </w:rPr>
            </w:pPr>
            <w:r>
              <w:rPr>
                <w:rFonts w:hint="eastAsia" w:ascii="宋体" w:hAnsi="宋体"/>
              </w:rPr>
              <w:t>缴纳投标保证金账户：青海省政务服务监督管理局</w:t>
            </w:r>
          </w:p>
          <w:p>
            <w:pPr>
              <w:widowControl/>
              <w:spacing w:line="360" w:lineRule="exact"/>
              <w:ind w:firstLine="0" w:firstLineChars="0"/>
              <w:jc w:val="left"/>
              <w:rPr>
                <w:rFonts w:ascii="宋体" w:hAnsi="宋体"/>
              </w:rPr>
            </w:pPr>
            <w:r>
              <w:rPr>
                <w:rFonts w:hint="eastAsia" w:ascii="宋体" w:hAnsi="宋体"/>
              </w:rPr>
              <w:t>账号：82010000000018913</w:t>
            </w:r>
          </w:p>
          <w:p>
            <w:pPr>
              <w:widowControl/>
              <w:spacing w:line="360" w:lineRule="exact"/>
              <w:ind w:firstLine="0" w:firstLineChars="0"/>
              <w:jc w:val="left"/>
              <w:rPr>
                <w:rFonts w:ascii="宋体" w:hAnsi="宋体"/>
              </w:rPr>
            </w:pPr>
            <w:r>
              <w:rPr>
                <w:rFonts w:hint="eastAsia" w:ascii="宋体" w:hAnsi="宋体"/>
              </w:rPr>
              <w:t>联行号：402851020201</w:t>
            </w:r>
          </w:p>
          <w:p>
            <w:pPr>
              <w:widowControl/>
              <w:spacing w:line="360" w:lineRule="exact"/>
              <w:ind w:firstLine="0" w:firstLineChars="0"/>
              <w:jc w:val="left"/>
              <w:rPr>
                <w:rFonts w:ascii="宋体" w:hAnsi="宋体"/>
              </w:rPr>
            </w:pPr>
            <w:r>
              <w:rPr>
                <w:rFonts w:hint="eastAsia" w:ascii="宋体" w:hAnsi="宋体"/>
              </w:rPr>
              <w:t>开户行：青海西宁农村商业银行股份有限公司西川南路支行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127" w:type="dxa"/>
            <w:vAlign w:val="center"/>
          </w:tcPr>
          <w:p>
            <w:pPr>
              <w:widowControl/>
              <w:spacing w:line="360" w:lineRule="exact"/>
              <w:ind w:firstLine="0" w:firstLineChars="0"/>
              <w:rPr>
                <w:rFonts w:ascii="宋体" w:hAnsi="宋体" w:cs="宋体"/>
                <w:kern w:val="0"/>
              </w:rPr>
            </w:pPr>
            <w:r>
              <w:rPr>
                <w:rFonts w:hint="eastAsia" w:ascii="宋体" w:hAnsi="宋体" w:cs="宋体"/>
              </w:rPr>
              <w:t>提交投标文件及投标方式</w:t>
            </w:r>
          </w:p>
        </w:tc>
        <w:tc>
          <w:tcPr>
            <w:tcW w:w="7654" w:type="dxa"/>
          </w:tcPr>
          <w:p>
            <w:pPr>
              <w:widowControl/>
              <w:spacing w:line="360" w:lineRule="exact"/>
              <w:ind w:firstLine="0" w:firstLineChars="0"/>
              <w:jc w:val="left"/>
              <w:rPr>
                <w:rFonts w:ascii="宋体" w:hAnsi="宋体"/>
              </w:rPr>
            </w:pPr>
            <w:r>
              <w:rPr>
                <w:rFonts w:hint="eastAsia" w:ascii="宋体" w:hAnsi="宋体" w:cs="宋体"/>
                <w:kern w:val="0"/>
              </w:rPr>
              <w:t>本项目在青海省政府采购电子化平台上提交电子</w:t>
            </w:r>
            <w:r>
              <w:rPr>
                <w:rFonts w:ascii="宋体" w:hAnsi="宋体" w:cs="宋体"/>
                <w:kern w:val="0"/>
              </w:rPr>
              <w:t>投标</w:t>
            </w:r>
            <w:r>
              <w:rPr>
                <w:rFonts w:hint="eastAsia" w:ascii="宋体" w:hAnsi="宋体" w:cs="宋体"/>
                <w:kern w:val="0"/>
              </w:rPr>
              <w:t>文件，逾期未完成提交的，将视为放弃此次投标活动。不需提供纸质投标文件。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127" w:type="dxa"/>
            <w:vAlign w:val="center"/>
          </w:tcPr>
          <w:p>
            <w:pPr>
              <w:widowControl/>
              <w:spacing w:line="360" w:lineRule="exact"/>
              <w:ind w:firstLine="0" w:firstLineChars="0"/>
              <w:rPr>
                <w:rFonts w:ascii="宋体" w:hAnsi="宋体" w:cs="宋体"/>
                <w:kern w:val="0"/>
              </w:rPr>
            </w:pPr>
            <w:r>
              <w:rPr>
                <w:rFonts w:ascii="宋体" w:hAnsi="宋体" w:cs="宋体"/>
                <w:kern w:val="0"/>
              </w:rPr>
              <w:t>投标截止时间</w:t>
            </w:r>
          </w:p>
        </w:tc>
        <w:tc>
          <w:tcPr>
            <w:tcW w:w="7654" w:type="dxa"/>
            <w:vAlign w:val="center"/>
          </w:tcPr>
          <w:p>
            <w:pPr>
              <w:widowControl/>
              <w:spacing w:line="360" w:lineRule="exact"/>
              <w:ind w:firstLine="0" w:firstLineChars="0"/>
              <w:rPr>
                <w:rFonts w:ascii="宋体" w:hAnsi="宋体" w:cs="宋体"/>
                <w:kern w:val="0"/>
              </w:rPr>
            </w:pPr>
            <w:r>
              <w:rPr>
                <w:rFonts w:ascii="宋体" w:hAnsi="宋体" w:cs="宋体"/>
                <w:kern w:val="0"/>
              </w:rPr>
              <w:t>20</w:t>
            </w:r>
            <w:r>
              <w:rPr>
                <w:rFonts w:hint="eastAsia" w:ascii="宋体" w:hAnsi="宋体" w:cs="宋体"/>
                <w:kern w:val="0"/>
              </w:rPr>
              <w:t>22</w:t>
            </w:r>
            <w:r>
              <w:rPr>
                <w:rFonts w:ascii="宋体" w:hAnsi="宋体" w:cs="宋体"/>
                <w:kern w:val="0"/>
              </w:rPr>
              <w:t>年</w:t>
            </w:r>
            <w:r>
              <w:rPr>
                <w:rFonts w:hint="eastAsia" w:ascii="宋体" w:hAnsi="宋体" w:cs="宋体"/>
                <w:kern w:val="0"/>
                <w:lang w:val="en-US" w:eastAsia="zh-CN"/>
              </w:rPr>
              <w:t>6</w:t>
            </w:r>
            <w:r>
              <w:rPr>
                <w:rFonts w:ascii="宋体" w:hAnsi="宋体" w:cs="宋体"/>
                <w:kern w:val="0"/>
              </w:rPr>
              <w:t>月</w:t>
            </w:r>
            <w:r>
              <w:rPr>
                <w:rFonts w:hint="eastAsia" w:ascii="宋体" w:hAnsi="宋体" w:cs="宋体"/>
                <w:kern w:val="0"/>
                <w:lang w:val="en-US" w:eastAsia="zh-CN"/>
              </w:rPr>
              <w:t>28</w:t>
            </w:r>
            <w:r>
              <w:rPr>
                <w:rFonts w:ascii="宋体" w:hAnsi="宋体" w:cs="宋体"/>
                <w:kern w:val="0"/>
              </w:rPr>
              <w:t>日</w:t>
            </w:r>
            <w:r>
              <w:rPr>
                <w:rFonts w:hint="eastAsia" w:ascii="宋体" w:hAnsi="宋体" w:cs="宋体"/>
                <w:kern w:val="0"/>
              </w:rPr>
              <w:t>上午9</w:t>
            </w:r>
            <w:r>
              <w:rPr>
                <w:rFonts w:ascii="宋体" w:hAnsi="宋体" w:cs="宋体"/>
                <w:kern w:val="0"/>
              </w:rPr>
              <w:t>:</w:t>
            </w:r>
            <w:r>
              <w:rPr>
                <w:rFonts w:hint="eastAsia" w:ascii="宋体" w:hAnsi="宋体" w:cs="宋体"/>
                <w:kern w:val="0"/>
              </w:rPr>
              <w:t>0</w:t>
            </w:r>
            <w:r>
              <w:rPr>
                <w:rFonts w:ascii="宋体" w:hAnsi="宋体" w:cs="宋体"/>
                <w:kern w:val="0"/>
              </w:rPr>
              <w:t>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127" w:type="dxa"/>
            <w:vAlign w:val="center"/>
          </w:tcPr>
          <w:p>
            <w:pPr>
              <w:widowControl/>
              <w:spacing w:line="360" w:lineRule="exact"/>
              <w:ind w:firstLine="0" w:firstLineChars="0"/>
              <w:rPr>
                <w:rFonts w:ascii="宋体" w:hAnsi="宋体" w:cs="宋体"/>
                <w:kern w:val="0"/>
              </w:rPr>
            </w:pPr>
            <w:r>
              <w:rPr>
                <w:rFonts w:ascii="宋体" w:hAnsi="宋体" w:cs="宋体"/>
                <w:kern w:val="0"/>
              </w:rPr>
              <w:t>开标时间</w:t>
            </w:r>
          </w:p>
        </w:tc>
        <w:tc>
          <w:tcPr>
            <w:tcW w:w="7654" w:type="dxa"/>
            <w:vAlign w:val="center"/>
          </w:tcPr>
          <w:p>
            <w:pPr>
              <w:widowControl/>
              <w:spacing w:line="360" w:lineRule="exact"/>
              <w:ind w:firstLine="0" w:firstLineChars="0"/>
              <w:rPr>
                <w:rFonts w:ascii="宋体" w:hAnsi="宋体" w:cs="宋体"/>
                <w:kern w:val="0"/>
              </w:rPr>
            </w:pPr>
            <w:r>
              <w:rPr>
                <w:rFonts w:ascii="宋体" w:hAnsi="宋体" w:cs="宋体"/>
                <w:kern w:val="0"/>
              </w:rPr>
              <w:t>20</w:t>
            </w:r>
            <w:r>
              <w:rPr>
                <w:rFonts w:hint="eastAsia" w:ascii="宋体" w:hAnsi="宋体" w:cs="宋体"/>
                <w:kern w:val="0"/>
              </w:rPr>
              <w:t>22</w:t>
            </w:r>
            <w:r>
              <w:rPr>
                <w:rFonts w:ascii="宋体" w:hAnsi="宋体" w:cs="宋体"/>
                <w:kern w:val="0"/>
              </w:rPr>
              <w:t>年</w:t>
            </w:r>
            <w:r>
              <w:rPr>
                <w:rFonts w:hint="eastAsia" w:ascii="宋体" w:hAnsi="宋体" w:cs="宋体"/>
                <w:kern w:val="0"/>
                <w:lang w:val="en-US" w:eastAsia="zh-CN"/>
              </w:rPr>
              <w:t>6</w:t>
            </w:r>
            <w:r>
              <w:rPr>
                <w:rFonts w:ascii="宋体" w:hAnsi="宋体" w:cs="宋体"/>
                <w:kern w:val="0"/>
              </w:rPr>
              <w:t>月</w:t>
            </w:r>
            <w:r>
              <w:rPr>
                <w:rFonts w:hint="eastAsia" w:ascii="宋体" w:hAnsi="宋体" w:cs="宋体"/>
                <w:kern w:val="0"/>
                <w:lang w:val="en-US" w:eastAsia="zh-CN"/>
              </w:rPr>
              <w:t>28</w:t>
            </w:r>
            <w:r>
              <w:rPr>
                <w:rFonts w:ascii="宋体" w:hAnsi="宋体" w:cs="宋体"/>
                <w:kern w:val="0"/>
              </w:rPr>
              <w:t>日</w:t>
            </w:r>
            <w:r>
              <w:rPr>
                <w:rFonts w:hint="eastAsia" w:ascii="宋体" w:hAnsi="宋体" w:cs="宋体"/>
                <w:kern w:val="0"/>
              </w:rPr>
              <w:t>上午9</w:t>
            </w:r>
            <w:r>
              <w:rPr>
                <w:rFonts w:ascii="宋体" w:hAnsi="宋体" w:cs="宋体"/>
                <w:kern w:val="0"/>
              </w:rPr>
              <w:t>:</w:t>
            </w:r>
            <w:r>
              <w:rPr>
                <w:rFonts w:hint="eastAsia" w:ascii="宋体" w:hAnsi="宋体" w:cs="宋体"/>
                <w:kern w:val="0"/>
              </w:rPr>
              <w:t>0</w:t>
            </w:r>
            <w:r>
              <w:rPr>
                <w:rFonts w:ascii="宋体" w:hAnsi="宋体" w:cs="宋体"/>
                <w:kern w:val="0"/>
              </w:rPr>
              <w:t>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vAlign w:val="center"/>
          </w:tcPr>
          <w:p>
            <w:pPr>
              <w:widowControl/>
              <w:spacing w:line="360" w:lineRule="exact"/>
              <w:ind w:firstLine="0" w:firstLineChars="0"/>
              <w:rPr>
                <w:rFonts w:ascii="宋体" w:hAnsi="宋体" w:cs="宋体"/>
                <w:kern w:val="0"/>
              </w:rPr>
            </w:pPr>
            <w:r>
              <w:rPr>
                <w:rFonts w:ascii="宋体" w:hAnsi="宋体" w:cs="宋体"/>
                <w:kern w:val="0"/>
              </w:rPr>
              <w:t>开标地点</w:t>
            </w:r>
          </w:p>
        </w:tc>
        <w:tc>
          <w:tcPr>
            <w:tcW w:w="7654" w:type="dxa"/>
          </w:tcPr>
          <w:p>
            <w:pPr>
              <w:widowControl/>
              <w:spacing w:line="360" w:lineRule="exact"/>
              <w:ind w:firstLine="0" w:firstLineChars="0"/>
              <w:jc w:val="left"/>
              <w:rPr>
                <w:rFonts w:ascii="宋体" w:hAnsi="宋体" w:cs="宋体"/>
                <w:kern w:val="0"/>
              </w:rPr>
            </w:pPr>
            <w:r>
              <w:rPr>
                <w:rFonts w:hint="eastAsia" w:ascii="宋体" w:hAnsi="宋体" w:cs="宋体"/>
                <w:kern w:val="0"/>
              </w:rPr>
              <w:t>青海省政府采购中心开标室（海湖新区海晏路75号地矿综合写字楼15楼）。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2127" w:type="dxa"/>
            <w:vAlign w:val="center"/>
          </w:tcPr>
          <w:p>
            <w:pPr>
              <w:widowControl/>
              <w:spacing w:line="360" w:lineRule="exact"/>
              <w:ind w:firstLine="0" w:firstLineChars="0"/>
              <w:rPr>
                <w:rFonts w:ascii="宋体" w:hAnsi="宋体"/>
                <w:szCs w:val="20"/>
              </w:rPr>
            </w:pPr>
            <w:r>
              <w:rPr>
                <w:rFonts w:hint="eastAsia" w:ascii="宋体" w:hAnsi="宋体"/>
              </w:rPr>
              <w:t>投标文件格式及编制要求</w:t>
            </w:r>
          </w:p>
        </w:tc>
        <w:tc>
          <w:tcPr>
            <w:tcW w:w="7654" w:type="dxa"/>
          </w:tcPr>
          <w:p>
            <w:pPr>
              <w:widowControl/>
              <w:spacing w:line="360" w:lineRule="exact"/>
              <w:ind w:firstLine="0" w:firstLineChars="0"/>
              <w:jc w:val="left"/>
              <w:rPr>
                <w:rFonts w:ascii="宋体" w:hAnsi="宋体" w:cs="宋体"/>
              </w:rPr>
            </w:pPr>
            <w:r>
              <w:rPr>
                <w:rFonts w:hint="eastAsia" w:ascii="宋体" w:hAnsi="宋体" w:cs="宋体"/>
              </w:rPr>
              <w:t>1、投标文件编制格式为word系统签章保存后转换为pdf格式上传，格式须按招标文件第四部分“投标文件格式”要求制作，且目录索引定位到内容。</w:t>
            </w:r>
          </w:p>
          <w:p>
            <w:pPr>
              <w:widowControl/>
              <w:spacing w:line="360" w:lineRule="exact"/>
              <w:ind w:firstLine="0" w:firstLineChars="0"/>
              <w:jc w:val="left"/>
              <w:rPr>
                <w:rFonts w:ascii="宋体" w:hAnsi="宋体" w:cs="宋体"/>
              </w:rPr>
            </w:pPr>
            <w:r>
              <w:rPr>
                <w:rFonts w:hint="eastAsia" w:ascii="宋体" w:hAnsi="宋体" w:cs="宋体"/>
              </w:rPr>
              <w:t>2、投标文件中的扫描或复印件内容应清晰可辨，且要求正向放置。</w:t>
            </w:r>
          </w:p>
          <w:p>
            <w:pPr>
              <w:widowControl/>
              <w:spacing w:line="360" w:lineRule="exact"/>
              <w:ind w:firstLine="0" w:firstLineChars="0"/>
              <w:jc w:val="left"/>
              <w:rPr>
                <w:rFonts w:ascii="宋体" w:hAnsi="宋体" w:cs="宋体"/>
              </w:rPr>
            </w:pPr>
            <w:r>
              <w:rPr>
                <w:rFonts w:hint="eastAsia" w:ascii="宋体" w:hAnsi="宋体" w:cs="宋体"/>
              </w:rPr>
              <w:t>3、</w:t>
            </w:r>
            <w:r>
              <w:rPr>
                <w:rFonts w:hint="eastAsia" w:ascii="宋体" w:hAnsi="宋体"/>
              </w:rPr>
              <w:t>招标文件要求签字、盖章的地方必须由投标人的法定代表人或委托代理人按要求签字、盖章。</w:t>
            </w:r>
          </w:p>
          <w:p>
            <w:pPr>
              <w:widowControl/>
              <w:spacing w:line="360" w:lineRule="exact"/>
              <w:ind w:firstLine="0" w:firstLineChars="0"/>
              <w:jc w:val="left"/>
              <w:rPr>
                <w:rFonts w:ascii="宋体" w:hAnsi="宋体" w:cs="宋体"/>
              </w:rPr>
            </w:pPr>
            <w:r>
              <w:rPr>
                <w:rFonts w:hint="eastAsia" w:ascii="宋体" w:hAnsi="宋体" w:cs="宋体"/>
              </w:rPr>
              <w:t>4、上传的投标文件不得超过100M。</w:t>
            </w:r>
          </w:p>
          <w:p>
            <w:pPr>
              <w:widowControl/>
              <w:spacing w:line="360" w:lineRule="exact"/>
              <w:ind w:firstLine="0" w:firstLineChars="0"/>
              <w:jc w:val="left"/>
              <w:rPr>
                <w:rFonts w:ascii="宋体" w:hAnsi="宋体"/>
              </w:rPr>
            </w:pPr>
            <w:r>
              <w:rPr>
                <w:rFonts w:hint="eastAsia" w:ascii="宋体" w:hAnsi="宋体" w:cs="宋体"/>
              </w:rPr>
              <w:t>5、投标人应在投标截止期前上传投标文件。因目录格式不准确、不能索引定位到内容、文件过大、未提交全部文件内容或文件内容错误、上传效果差等原因导致无法评审的，有可能判定为无效投标。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2127" w:type="dxa"/>
            <w:vAlign w:val="center"/>
          </w:tcPr>
          <w:p>
            <w:pPr>
              <w:widowControl/>
              <w:spacing w:line="360" w:lineRule="exact"/>
              <w:ind w:firstLine="0" w:firstLineChars="0"/>
              <w:rPr>
                <w:rFonts w:ascii="宋体" w:hAnsi="宋体"/>
              </w:rPr>
            </w:pPr>
            <w:r>
              <w:rPr>
                <w:rFonts w:hint="eastAsia" w:ascii="宋体" w:hAnsi="宋体"/>
              </w:rPr>
              <w:t>投标文件编制要求</w:t>
            </w:r>
          </w:p>
        </w:tc>
        <w:tc>
          <w:tcPr>
            <w:tcW w:w="7654" w:type="dxa"/>
          </w:tcPr>
          <w:p>
            <w:pPr>
              <w:widowControl/>
              <w:spacing w:line="360" w:lineRule="exact"/>
              <w:ind w:firstLine="0" w:firstLineChars="0"/>
              <w:jc w:val="left"/>
              <w:rPr>
                <w:rFonts w:ascii="宋体" w:hAnsi="宋体" w:cs="宋体"/>
              </w:rPr>
            </w:pPr>
            <w:r>
              <w:rPr>
                <w:rFonts w:hint="eastAsia" w:ascii="宋体" w:hAnsi="宋体" w:cs="宋体"/>
              </w:rPr>
              <w:t>按照投标人须知11.1项规定的投标文件构成及格式，投标文件按以下要求分两部分编制。分别为：</w:t>
            </w:r>
          </w:p>
          <w:p>
            <w:pPr>
              <w:widowControl/>
              <w:spacing w:line="360" w:lineRule="exact"/>
              <w:ind w:firstLine="0" w:firstLineChars="0"/>
              <w:jc w:val="left"/>
              <w:rPr>
                <w:rFonts w:ascii="宋体" w:hAnsi="宋体" w:cs="宋体"/>
              </w:rPr>
            </w:pPr>
            <w:r>
              <w:rPr>
                <w:rFonts w:hint="eastAsia" w:ascii="宋体" w:hAnsi="宋体" w:cs="宋体"/>
              </w:rPr>
              <w:t>资格审查部分，包括11.1.1（1）至（9）的内容；</w:t>
            </w:r>
          </w:p>
          <w:p>
            <w:pPr>
              <w:widowControl/>
              <w:spacing w:line="360" w:lineRule="exact"/>
              <w:ind w:firstLine="0" w:firstLineChars="0"/>
              <w:jc w:val="left"/>
              <w:rPr>
                <w:rFonts w:ascii="宋体" w:hAnsi="宋体" w:cs="宋体"/>
              </w:rPr>
            </w:pPr>
            <w:r>
              <w:rPr>
                <w:rFonts w:hint="eastAsia" w:ascii="宋体" w:hAnsi="宋体" w:cs="宋体"/>
              </w:rPr>
              <w:t>符合性审查部分，包括11.1.2（10）至（19）的内容；</w:t>
            </w:r>
          </w:p>
          <w:p>
            <w:pPr>
              <w:widowControl/>
              <w:spacing w:line="360" w:lineRule="exact"/>
              <w:ind w:firstLine="0" w:firstLineChars="0"/>
              <w:jc w:val="left"/>
              <w:rPr>
                <w:rFonts w:ascii="宋体" w:hAnsi="宋体" w:cs="宋体"/>
              </w:rPr>
            </w:pPr>
            <w:r>
              <w:rPr>
                <w:rFonts w:hint="eastAsia" w:ascii="宋体" w:hAnsi="宋体" w:cs="宋体"/>
              </w:rPr>
              <w:t>以上两部分投标文件建立在一个文件中，文件名设定为“***投标单位***项目投标文件”，与数据文件一并上传至青海省政府采购电子化平台上。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27" w:type="dxa"/>
            <w:vAlign w:val="center"/>
          </w:tcPr>
          <w:p>
            <w:pPr>
              <w:widowControl/>
              <w:spacing w:line="360" w:lineRule="exact"/>
              <w:ind w:firstLine="0" w:firstLineChars="0"/>
              <w:rPr>
                <w:rFonts w:ascii="宋体" w:hAnsi="宋体"/>
                <w:szCs w:val="20"/>
              </w:rPr>
            </w:pPr>
            <w:r>
              <w:rPr>
                <w:rFonts w:hint="eastAsia" w:ascii="宋体" w:hAnsi="宋体"/>
              </w:rPr>
              <w:t>答疑方式</w:t>
            </w:r>
          </w:p>
        </w:tc>
        <w:tc>
          <w:tcPr>
            <w:tcW w:w="7654" w:type="dxa"/>
          </w:tcPr>
          <w:p>
            <w:pPr>
              <w:widowControl/>
              <w:spacing w:line="360" w:lineRule="exact"/>
              <w:ind w:firstLine="0" w:firstLineChars="0"/>
              <w:jc w:val="left"/>
              <w:rPr>
                <w:rFonts w:ascii="宋体" w:hAnsi="宋体" w:cs="宋体"/>
              </w:rPr>
            </w:pPr>
            <w:r>
              <w:rPr>
                <w:rFonts w:hint="eastAsia" w:ascii="宋体" w:hAnsi="宋体"/>
              </w:rPr>
              <w:t>评标委员会根据投标情况确定答疑时间，答疑或澄清采用电话或在青海省政府采购电子化平台上进行，投标人可在青海省政府采购电子化平台上的“我的澄清”界面了解答疑时间等信息。投标人</w:t>
            </w:r>
            <w:r>
              <w:rPr>
                <w:rFonts w:hint="eastAsia" w:ascii="宋体" w:hAnsi="宋体" w:cs="宋体"/>
              </w:rPr>
              <w:t>须提供准确的联系方式（手机和固定电话），在项目开标、评标时须在线了解开标信息，掌握答疑时间，需由</w:t>
            </w:r>
            <w:r>
              <w:rPr>
                <w:rFonts w:hint="eastAsia" w:ascii="宋体" w:hAnsi="宋体"/>
              </w:rPr>
              <w:t>法定代表人或委托代理人对评标委员会提出的质疑做出应答。如</w:t>
            </w:r>
            <w:r>
              <w:rPr>
                <w:rFonts w:hint="eastAsia" w:ascii="宋体" w:hAnsi="宋体" w:cs="宋体"/>
                <w:lang w:val="zh-CN"/>
              </w:rPr>
              <w:t>在规定的时间内联系无果，无法进行电话或</w:t>
            </w:r>
            <w:r>
              <w:rPr>
                <w:rFonts w:hint="eastAsia" w:ascii="宋体" w:hAnsi="宋体"/>
              </w:rPr>
              <w:t>青海省政府采购电子化平台上</w:t>
            </w:r>
            <w:r>
              <w:rPr>
                <w:rFonts w:hint="eastAsia" w:ascii="宋体" w:hAnsi="宋体" w:cs="宋体"/>
                <w:lang w:val="zh-CN"/>
              </w:rPr>
              <w:t>答疑者，</w:t>
            </w:r>
            <w:r>
              <w:rPr>
                <w:rFonts w:hint="eastAsia" w:ascii="宋体" w:hAnsi="宋体"/>
              </w:rPr>
              <w:t>视同放弃答疑。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2127" w:type="dxa"/>
            <w:vAlign w:val="center"/>
          </w:tcPr>
          <w:p>
            <w:pPr>
              <w:widowControl/>
              <w:spacing w:line="360" w:lineRule="exact"/>
              <w:ind w:firstLine="0" w:firstLineChars="0"/>
              <w:jc w:val="left"/>
              <w:rPr>
                <w:rFonts w:ascii="宋体" w:hAnsi="宋体" w:cs="宋体"/>
                <w:kern w:val="0"/>
              </w:rPr>
            </w:pPr>
            <w:r>
              <w:rPr>
                <w:rFonts w:ascii="宋体" w:hAnsi="宋体" w:cs="宋体"/>
                <w:kern w:val="0"/>
              </w:rPr>
              <w:t>采购单位及联系人</w:t>
            </w:r>
          </w:p>
        </w:tc>
        <w:tc>
          <w:tcPr>
            <w:tcW w:w="7654" w:type="dxa"/>
          </w:tcPr>
          <w:p>
            <w:pPr>
              <w:widowControl/>
              <w:spacing w:line="360" w:lineRule="exact"/>
              <w:ind w:firstLine="0" w:firstLineChars="0"/>
              <w:jc w:val="left"/>
              <w:rPr>
                <w:rFonts w:ascii="宋体" w:hAnsi="宋体" w:cs="宋体"/>
                <w:color w:val="auto"/>
                <w:kern w:val="0"/>
              </w:rPr>
            </w:pPr>
            <w:r>
              <w:rPr>
                <w:rFonts w:hint="eastAsia" w:ascii="宋体" w:hAnsi="宋体" w:cs="宋体"/>
                <w:color w:val="auto"/>
                <w:kern w:val="0"/>
              </w:rPr>
              <w:t>采购单位：青海大学</w:t>
            </w:r>
          </w:p>
          <w:p>
            <w:pPr>
              <w:widowControl/>
              <w:spacing w:line="360" w:lineRule="exact"/>
              <w:ind w:firstLine="0" w:firstLineChars="0"/>
              <w:jc w:val="left"/>
              <w:rPr>
                <w:rFonts w:ascii="宋体" w:hAnsi="宋体" w:cs="宋体"/>
                <w:color w:val="auto"/>
                <w:kern w:val="0"/>
              </w:rPr>
            </w:pPr>
            <w:r>
              <w:rPr>
                <w:rFonts w:hint="eastAsia" w:ascii="宋体" w:hAnsi="宋体" w:cs="宋体"/>
                <w:color w:val="auto"/>
                <w:kern w:val="0"/>
              </w:rPr>
              <w:t>联系人：</w:t>
            </w:r>
            <w:r>
              <w:rPr>
                <w:rFonts w:hint="eastAsia" w:ascii="宋体" w:hAnsi="宋体" w:cs="宋体"/>
                <w:color w:val="auto"/>
                <w:kern w:val="0"/>
                <w:lang w:eastAsia="zh-CN"/>
              </w:rPr>
              <w:t>杨</w:t>
            </w:r>
            <w:r>
              <w:rPr>
                <w:rFonts w:hint="eastAsia" w:ascii="宋体" w:hAnsi="宋体" w:cs="宋体"/>
                <w:color w:val="auto"/>
                <w:kern w:val="0"/>
              </w:rPr>
              <w:t>先生</w:t>
            </w:r>
          </w:p>
          <w:p>
            <w:pPr>
              <w:widowControl/>
              <w:spacing w:line="360" w:lineRule="exact"/>
              <w:ind w:firstLine="0" w:firstLineChars="0"/>
              <w:jc w:val="left"/>
              <w:rPr>
                <w:rFonts w:hint="default" w:ascii="宋体" w:hAnsi="宋体" w:eastAsia="宋体" w:cs="宋体"/>
                <w:kern w:val="0"/>
                <w:lang w:val="en-US" w:eastAsia="zh-CN"/>
              </w:rPr>
            </w:pPr>
            <w:r>
              <w:rPr>
                <w:rFonts w:hint="eastAsia" w:ascii="宋体" w:hAnsi="宋体" w:cs="宋体"/>
                <w:color w:val="auto"/>
                <w:kern w:val="0"/>
              </w:rPr>
              <w:t>联系电话：</w:t>
            </w:r>
            <w:r>
              <w:rPr>
                <w:rFonts w:hint="eastAsia" w:ascii="宋体" w:hAnsi="宋体" w:cs="宋体"/>
                <w:color w:val="auto"/>
                <w:kern w:val="0"/>
                <w:lang w:val="en-US" w:eastAsia="zh-CN"/>
              </w:rPr>
              <w:t>18097076319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vAlign w:val="center"/>
          </w:tcPr>
          <w:p>
            <w:pPr>
              <w:widowControl/>
              <w:spacing w:line="360" w:lineRule="exact"/>
              <w:ind w:firstLine="0" w:firstLineChars="0"/>
              <w:rPr>
                <w:rFonts w:ascii="宋体" w:hAnsi="宋体" w:cs="宋体"/>
                <w:kern w:val="0"/>
              </w:rPr>
            </w:pPr>
            <w:r>
              <w:rPr>
                <w:rFonts w:hint="eastAsia" w:ascii="宋体" w:hAnsi="宋体" w:cs="宋体"/>
                <w:kern w:val="0"/>
              </w:rPr>
              <w:t>集中</w:t>
            </w:r>
            <w:r>
              <w:rPr>
                <w:rFonts w:ascii="宋体" w:hAnsi="宋体" w:cs="宋体"/>
                <w:kern w:val="0"/>
              </w:rPr>
              <w:t>采购机构及联系人</w:t>
            </w:r>
          </w:p>
        </w:tc>
        <w:tc>
          <w:tcPr>
            <w:tcW w:w="7654" w:type="dxa"/>
          </w:tcPr>
          <w:p>
            <w:pPr>
              <w:widowControl/>
              <w:spacing w:line="360" w:lineRule="exact"/>
              <w:ind w:firstLine="0" w:firstLineChars="0"/>
              <w:jc w:val="left"/>
              <w:rPr>
                <w:rFonts w:ascii="宋体" w:hAnsi="宋体"/>
              </w:rPr>
            </w:pPr>
            <w:r>
              <w:rPr>
                <w:rFonts w:hint="eastAsia" w:ascii="宋体" w:hAnsi="宋体" w:cs="宋体"/>
                <w:kern w:val="0"/>
              </w:rPr>
              <w:t>集中</w:t>
            </w:r>
            <w:r>
              <w:rPr>
                <w:rFonts w:ascii="宋体" w:hAnsi="宋体" w:cs="宋体"/>
                <w:kern w:val="0"/>
              </w:rPr>
              <w:t>采购机构：</w:t>
            </w:r>
            <w:r>
              <w:rPr>
                <w:rFonts w:hint="eastAsia" w:ascii="宋体" w:hAnsi="宋体"/>
              </w:rPr>
              <w:t>青海省政府采购中心</w:t>
            </w:r>
          </w:p>
          <w:p>
            <w:pPr>
              <w:widowControl/>
              <w:spacing w:line="360" w:lineRule="exact"/>
              <w:ind w:firstLine="0" w:firstLineChars="0"/>
              <w:jc w:val="left"/>
              <w:rPr>
                <w:rFonts w:ascii="宋体" w:hAnsi="宋体" w:cs="宋体"/>
                <w:kern w:val="0"/>
              </w:rPr>
            </w:pPr>
            <w:r>
              <w:rPr>
                <w:rFonts w:ascii="宋体" w:hAnsi="宋体" w:cs="宋体"/>
                <w:kern w:val="0"/>
              </w:rPr>
              <w:t>联系人：</w:t>
            </w:r>
            <w:r>
              <w:rPr>
                <w:rFonts w:hint="eastAsia" w:ascii="宋体" w:hAnsi="宋体" w:cs="宋体"/>
                <w:kern w:val="0"/>
              </w:rPr>
              <w:t>李女士</w:t>
            </w:r>
          </w:p>
          <w:p>
            <w:pPr>
              <w:widowControl/>
              <w:spacing w:line="360" w:lineRule="exact"/>
              <w:ind w:firstLine="0" w:firstLineChars="0"/>
              <w:jc w:val="left"/>
              <w:rPr>
                <w:rFonts w:ascii="宋体" w:hAnsi="宋体" w:cs="宋体"/>
                <w:kern w:val="0"/>
              </w:rPr>
            </w:pPr>
            <w:r>
              <w:rPr>
                <w:rFonts w:hint="eastAsia" w:ascii="宋体" w:hAnsi="宋体" w:cs="宋体"/>
                <w:kern w:val="0"/>
              </w:rPr>
              <w:t>联系电话：0971-6136730</w:t>
            </w:r>
          </w:p>
          <w:p>
            <w:pPr>
              <w:widowControl/>
              <w:spacing w:line="360" w:lineRule="exact"/>
              <w:ind w:firstLine="0" w:firstLineChars="0"/>
              <w:jc w:val="left"/>
              <w:rPr>
                <w:rFonts w:ascii="宋体" w:hAnsi="宋体"/>
                <w:kern w:val="16"/>
              </w:rPr>
            </w:pPr>
            <w:r>
              <w:rPr>
                <w:rFonts w:hint="eastAsia" w:ascii="宋体" w:hAnsi="宋体"/>
                <w:kern w:val="16"/>
              </w:rPr>
              <w:t>网址：www.ccgp-qinghai.gov.cn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2127" w:type="dxa"/>
            <w:vAlign w:val="center"/>
          </w:tcPr>
          <w:p>
            <w:pPr>
              <w:widowControl/>
              <w:spacing w:line="360" w:lineRule="exact"/>
              <w:ind w:firstLine="0" w:firstLineChars="0"/>
              <w:rPr>
                <w:rFonts w:ascii="宋体" w:hAnsi="宋体" w:cs="宋体"/>
                <w:kern w:val="0"/>
              </w:rPr>
            </w:pPr>
            <w:r>
              <w:rPr>
                <w:rFonts w:ascii="宋体" w:hAnsi="宋体" w:cs="宋体"/>
                <w:kern w:val="0"/>
              </w:rPr>
              <w:t>其他事项</w:t>
            </w:r>
          </w:p>
        </w:tc>
        <w:tc>
          <w:tcPr>
            <w:tcW w:w="7654" w:type="dxa"/>
          </w:tcPr>
          <w:p>
            <w:pPr>
              <w:widowControl/>
              <w:spacing w:line="360" w:lineRule="exact"/>
              <w:ind w:firstLine="0" w:firstLineChars="0"/>
              <w:jc w:val="left"/>
              <w:rPr>
                <w:rFonts w:ascii="宋体" w:hAnsi="宋体" w:cs="宋体"/>
                <w:kern w:val="0"/>
              </w:rPr>
            </w:pPr>
            <w:r>
              <w:rPr>
                <w:rFonts w:hint="eastAsia" w:ascii="宋体" w:hAnsi="宋体" w:cs="宋体"/>
                <w:kern w:val="0"/>
              </w:rPr>
              <w:t>参与本项目的投标人需办理青海省政府采购电子化平台投标的相关手续，具体请点击青海政府采购信息网</w:t>
            </w:r>
            <w:r>
              <w:fldChar w:fldCharType="begin"/>
            </w:r>
            <w:r>
              <w:instrText xml:space="preserve"> HYPERLINK "file:///C:\\Users\\lenovo\\AppData\\Roaming\\Application%20Data\\Microsoft\\Word\\中标通知书申请单.xls" </w:instrText>
            </w:r>
            <w:r>
              <w:fldChar w:fldCharType="separate"/>
            </w:r>
            <w:r>
              <w:rPr>
                <w:rFonts w:hint="eastAsia" w:ascii="Tahoma" w:hAnsi="Tahoma"/>
                <w:szCs w:val="20"/>
              </w:rPr>
              <w:t>《通知》</w:t>
            </w:r>
            <w:r>
              <w:rPr>
                <w:rFonts w:hint="eastAsia" w:ascii="Tahoma" w:hAnsi="Tahoma"/>
                <w:szCs w:val="20"/>
              </w:rPr>
              <w:fldChar w:fldCharType="end"/>
            </w:r>
            <w:r>
              <w:rPr>
                <w:rFonts w:hint="eastAsia" w:ascii="宋体" w:hAnsi="宋体" w:cs="宋体"/>
                <w:kern w:val="0"/>
              </w:rPr>
              <w:t>，并与青海省政府采购电子化平台的技术支持单位——青海公采数通信息技术有限公司联系。</w:t>
            </w:r>
          </w:p>
          <w:p>
            <w:pPr>
              <w:widowControl/>
              <w:spacing w:line="360" w:lineRule="exact"/>
              <w:ind w:firstLine="0" w:firstLineChars="0"/>
              <w:jc w:val="left"/>
              <w:rPr>
                <w:rFonts w:ascii="宋体" w:hAnsi="宋体" w:cs="宋体"/>
                <w:kern w:val="0"/>
              </w:rPr>
            </w:pPr>
            <w:r>
              <w:rPr>
                <w:rFonts w:hint="eastAsia" w:ascii="宋体" w:hAnsi="宋体" w:cs="宋体"/>
                <w:kern w:val="0"/>
              </w:rPr>
              <w:t>联系地址：青海省西宁市生物园区经四路26号孵化楼3楼。</w:t>
            </w:r>
          </w:p>
          <w:p>
            <w:pPr>
              <w:widowControl/>
              <w:spacing w:line="360" w:lineRule="exact"/>
              <w:ind w:firstLine="0" w:firstLineChars="0"/>
              <w:jc w:val="left"/>
              <w:rPr>
                <w:rFonts w:ascii="宋体" w:hAnsi="宋体" w:cs="宋体"/>
                <w:kern w:val="0"/>
              </w:rPr>
            </w:pPr>
            <w:r>
              <w:rPr>
                <w:rFonts w:hint="eastAsia" w:ascii="宋体" w:hAnsi="宋体" w:cs="宋体"/>
                <w:kern w:val="0"/>
              </w:rPr>
              <w:t xml:space="preserve">联系人：王女士     </w:t>
            </w:r>
          </w:p>
          <w:p>
            <w:pPr>
              <w:widowControl/>
              <w:spacing w:line="360" w:lineRule="exact"/>
              <w:ind w:firstLine="0" w:firstLineChars="0"/>
              <w:jc w:val="left"/>
              <w:rPr>
                <w:rFonts w:ascii="宋体" w:hAnsi="宋体" w:cs="宋体"/>
                <w:kern w:val="0"/>
              </w:rPr>
            </w:pPr>
            <w:r>
              <w:rPr>
                <w:rFonts w:hint="eastAsia" w:ascii="宋体" w:hAnsi="宋体" w:cs="宋体"/>
                <w:kern w:val="0"/>
              </w:rPr>
              <w:t>联系电话：0971-8224398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vAlign w:val="center"/>
          </w:tcPr>
          <w:p>
            <w:pPr>
              <w:widowControl/>
              <w:spacing w:line="360" w:lineRule="exact"/>
              <w:ind w:firstLine="0" w:firstLineChars="0"/>
              <w:rPr>
                <w:rFonts w:ascii="宋体" w:hAnsi="宋体" w:cs="宋体"/>
                <w:kern w:val="0"/>
              </w:rPr>
            </w:pPr>
            <w:r>
              <w:rPr>
                <w:rFonts w:ascii="宋体" w:hAnsi="宋体" w:cs="宋体"/>
                <w:kern w:val="0"/>
              </w:rPr>
              <w:t>财政</w:t>
            </w:r>
            <w:r>
              <w:rPr>
                <w:rFonts w:hint="eastAsia" w:ascii="宋体" w:hAnsi="宋体" w:cs="宋体"/>
                <w:kern w:val="0"/>
              </w:rPr>
              <w:t>监管</w:t>
            </w:r>
            <w:r>
              <w:rPr>
                <w:rFonts w:ascii="宋体" w:hAnsi="宋体" w:cs="宋体"/>
                <w:kern w:val="0"/>
              </w:rPr>
              <w:t>部门</w:t>
            </w:r>
            <w:r>
              <w:rPr>
                <w:rFonts w:hint="eastAsia" w:ascii="宋体" w:hAnsi="宋体" w:cs="宋体"/>
                <w:kern w:val="0"/>
              </w:rPr>
              <w:t>及</w:t>
            </w:r>
            <w:r>
              <w:rPr>
                <w:rFonts w:ascii="宋体" w:hAnsi="宋体" w:cs="宋体"/>
                <w:kern w:val="0"/>
              </w:rPr>
              <w:t>电话</w:t>
            </w:r>
          </w:p>
        </w:tc>
        <w:tc>
          <w:tcPr>
            <w:tcW w:w="7654" w:type="dxa"/>
            <w:vAlign w:val="center"/>
          </w:tcPr>
          <w:p>
            <w:pPr>
              <w:widowControl/>
              <w:spacing w:line="360" w:lineRule="exact"/>
              <w:ind w:firstLine="0" w:firstLineChars="0"/>
              <w:rPr>
                <w:rFonts w:ascii="宋体" w:hAnsi="宋体" w:cs="宋体"/>
                <w:kern w:val="0"/>
              </w:rPr>
            </w:pPr>
            <w:r>
              <w:rPr>
                <w:rFonts w:hint="eastAsia" w:ascii="宋体" w:hAnsi="宋体" w:cs="宋体"/>
                <w:kern w:val="0"/>
              </w:rPr>
              <w:t>青海省财政厅   联系电话：</w:t>
            </w:r>
            <w:r>
              <w:rPr>
                <w:rFonts w:ascii="宋体" w:hAnsi="宋体" w:cs="宋体"/>
                <w:kern w:val="0"/>
              </w:rPr>
              <w:t>0971-</w:t>
            </w:r>
            <w:r>
              <w:rPr>
                <w:rFonts w:hint="eastAsia" w:ascii="宋体" w:hAnsi="宋体" w:cs="宋体"/>
                <w:kern w:val="0"/>
              </w:rPr>
              <w:t>3660354</w:t>
            </w:r>
          </w:p>
        </w:tc>
      </w:tr>
    </w:tbl>
    <w:p>
      <w:pPr>
        <w:ind w:firstLine="0" w:firstLineChars="0"/>
        <w:rPr>
          <w:rFonts w:ascii="宋体" w:hAnsi="宋体"/>
          <w:sz w:val="18"/>
          <w:szCs w:val="18"/>
        </w:rPr>
      </w:pPr>
    </w:p>
    <w:p>
      <w:pPr>
        <w:keepNext/>
        <w:keepLines/>
        <w:widowControl/>
        <w:snapToGrid w:val="0"/>
        <w:spacing w:line="400" w:lineRule="atLeast"/>
        <w:ind w:firstLine="0" w:firstLineChars="0"/>
        <w:jc w:val="center"/>
        <w:outlineLvl w:val="0"/>
        <w:rPr>
          <w:rFonts w:ascii="宋体" w:hAnsi="宋体"/>
          <w:sz w:val="18"/>
          <w:szCs w:val="18"/>
        </w:rPr>
      </w:pPr>
      <w:bookmarkStart w:id="2" w:name="_Toc376936727"/>
      <w:r>
        <w:rPr>
          <w:rFonts w:ascii="宋体" w:hAnsi="宋体"/>
          <w:sz w:val="18"/>
          <w:szCs w:val="18"/>
        </w:rPr>
        <w:br w:type="page"/>
      </w:r>
    </w:p>
    <w:p>
      <w:pPr>
        <w:keepNext/>
        <w:keepLines/>
        <w:widowControl/>
        <w:snapToGrid w:val="0"/>
        <w:spacing w:line="400" w:lineRule="atLeast"/>
        <w:ind w:firstLine="0" w:firstLineChars="0"/>
        <w:jc w:val="center"/>
        <w:outlineLvl w:val="0"/>
        <w:rPr>
          <w:rFonts w:ascii="宋体"/>
          <w:b/>
          <w:kern w:val="28"/>
          <w:sz w:val="36"/>
          <w:szCs w:val="20"/>
        </w:rPr>
      </w:pPr>
      <w:bookmarkStart w:id="3" w:name="_Toc82441579"/>
      <w:r>
        <w:rPr>
          <w:rFonts w:hint="eastAsia" w:ascii="宋体"/>
          <w:b/>
          <w:kern w:val="28"/>
          <w:sz w:val="36"/>
          <w:szCs w:val="20"/>
        </w:rPr>
        <w:t>第二部分  投标人须知</w:t>
      </w:r>
      <w:bookmarkEnd w:id="2"/>
      <w:bookmarkEnd w:id="3"/>
      <w:bookmarkStart w:id="4" w:name="_Toc325725997"/>
    </w:p>
    <w:p>
      <w:pPr>
        <w:widowControl/>
        <w:spacing w:beforeLines="200" w:afterLines="200" w:line="240" w:lineRule="auto"/>
        <w:ind w:firstLine="0" w:firstLineChars="0"/>
        <w:jc w:val="center"/>
        <w:outlineLvl w:val="1"/>
        <w:rPr>
          <w:rFonts w:ascii="宋体" w:hAnsi="宋体"/>
          <w:b/>
          <w:bCs/>
          <w:kern w:val="0"/>
          <w:sz w:val="36"/>
          <w:szCs w:val="36"/>
        </w:rPr>
      </w:pPr>
      <w:bookmarkStart w:id="5" w:name="_Toc376936728"/>
      <w:bookmarkStart w:id="6" w:name="_Toc82441580"/>
      <w:r>
        <w:rPr>
          <w:rFonts w:hint="eastAsia" w:ascii="宋体" w:hAnsi="宋体"/>
          <w:b/>
          <w:bCs/>
          <w:kern w:val="0"/>
          <w:sz w:val="36"/>
          <w:szCs w:val="36"/>
        </w:rPr>
        <w:t>一、说  明</w:t>
      </w:r>
      <w:bookmarkEnd w:id="4"/>
      <w:bookmarkEnd w:id="5"/>
      <w:bookmarkEnd w:id="6"/>
    </w:p>
    <w:p>
      <w:pPr>
        <w:widowControl/>
        <w:spacing w:before="100" w:beforeAutospacing="1" w:after="100" w:afterAutospacing="1" w:line="240" w:lineRule="auto"/>
        <w:ind w:firstLine="542"/>
        <w:jc w:val="left"/>
        <w:outlineLvl w:val="2"/>
        <w:rPr>
          <w:rFonts w:ascii="宋体" w:hAnsi="宋体"/>
          <w:b/>
          <w:bCs/>
          <w:kern w:val="0"/>
          <w:sz w:val="27"/>
          <w:szCs w:val="27"/>
        </w:rPr>
      </w:pPr>
      <w:bookmarkStart w:id="7" w:name="_Toc325725998"/>
      <w:bookmarkStart w:id="8" w:name="_Toc376936729"/>
      <w:bookmarkStart w:id="9" w:name="_Toc82441581"/>
      <w:r>
        <w:rPr>
          <w:rFonts w:hint="eastAsia" w:ascii="宋体" w:hAnsi="宋体"/>
          <w:b/>
          <w:bCs/>
          <w:kern w:val="0"/>
          <w:sz w:val="27"/>
          <w:szCs w:val="27"/>
        </w:rPr>
        <w:t>1.适用范围</w:t>
      </w:r>
      <w:bookmarkEnd w:id="7"/>
      <w:bookmarkEnd w:id="8"/>
      <w:bookmarkEnd w:id="9"/>
    </w:p>
    <w:p>
      <w:pPr>
        <w:tabs>
          <w:tab w:val="left" w:pos="840"/>
        </w:tabs>
        <w:ind w:firstLine="360" w:firstLineChars="150"/>
        <w:rPr>
          <w:rFonts w:ascii="宋体" w:hAnsi="宋体"/>
        </w:rPr>
      </w:pPr>
      <w:r>
        <w:rPr>
          <w:rFonts w:hint="eastAsia" w:ascii="宋体" w:hAnsi="宋体"/>
        </w:rPr>
        <w:t>1.1本次招标依据青海省财政厅下达的采购计划，仅适用于本招标文件中所叙述的项目。</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0" w:name="_Toc376936730"/>
      <w:bookmarkStart w:id="11" w:name="_Toc82441582"/>
      <w:bookmarkStart w:id="12" w:name="_Toc325725999"/>
      <w:r>
        <w:rPr>
          <w:rFonts w:hint="eastAsia" w:ascii="宋体" w:hAnsi="宋体"/>
          <w:b/>
          <w:bCs/>
          <w:kern w:val="0"/>
          <w:sz w:val="27"/>
          <w:szCs w:val="27"/>
        </w:rPr>
        <w:t>2.招标方式、合格的投标人</w:t>
      </w:r>
      <w:bookmarkEnd w:id="10"/>
      <w:bookmarkEnd w:id="11"/>
      <w:bookmarkEnd w:id="12"/>
    </w:p>
    <w:p>
      <w:pPr>
        <w:tabs>
          <w:tab w:val="left" w:pos="840"/>
        </w:tabs>
        <w:ind w:firstLine="360" w:firstLineChars="150"/>
        <w:rPr>
          <w:rFonts w:ascii="宋体" w:hAnsi="宋体"/>
        </w:rPr>
      </w:pPr>
      <w:r>
        <w:rPr>
          <w:rFonts w:hint="eastAsia" w:ascii="宋体" w:hAnsi="宋体"/>
        </w:rPr>
        <w:t>2.1本次招标采取公开招标方式。</w:t>
      </w:r>
    </w:p>
    <w:p>
      <w:pPr>
        <w:tabs>
          <w:tab w:val="left" w:pos="840"/>
        </w:tabs>
        <w:ind w:firstLine="360" w:firstLineChars="150"/>
        <w:rPr>
          <w:rFonts w:ascii="宋体" w:hAnsi="宋体"/>
        </w:rPr>
      </w:pPr>
      <w:r>
        <w:rPr>
          <w:rFonts w:hint="eastAsia" w:ascii="宋体" w:hAnsi="宋体"/>
        </w:rPr>
        <w:t>2.2合格的投标人：详见</w:t>
      </w:r>
      <w:r>
        <w:rPr>
          <w:rFonts w:hint="eastAsia"/>
        </w:rPr>
        <w:t>第一部分投标人须知前附表</w:t>
      </w:r>
      <w:r>
        <w:rPr>
          <w:rFonts w:hint="eastAsia" w:ascii="宋体" w:hAnsi="宋体"/>
        </w:rPr>
        <w:t>“</w:t>
      </w:r>
      <w:r>
        <w:rPr>
          <w:rFonts w:ascii="宋体" w:hAnsi="宋体" w:cs="宋体"/>
          <w:kern w:val="0"/>
        </w:rPr>
        <w:t>供应商资格条件</w:t>
      </w:r>
      <w:r>
        <w:rPr>
          <w:rFonts w:hint="eastAsia" w:ascii="宋体" w:hAnsi="宋体"/>
        </w:rPr>
        <w:t>”。</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3" w:name="_Toc82441583"/>
      <w:bookmarkStart w:id="14" w:name="_Toc376936731"/>
      <w:bookmarkStart w:id="15" w:name="_Toc325726000"/>
      <w:r>
        <w:rPr>
          <w:rFonts w:hint="eastAsia" w:ascii="宋体" w:hAnsi="宋体"/>
          <w:b/>
          <w:bCs/>
          <w:kern w:val="0"/>
          <w:sz w:val="27"/>
          <w:szCs w:val="27"/>
        </w:rPr>
        <w:t>3.投标费用</w:t>
      </w:r>
      <w:bookmarkEnd w:id="13"/>
      <w:bookmarkEnd w:id="14"/>
      <w:bookmarkEnd w:id="15"/>
    </w:p>
    <w:p>
      <w:pPr>
        <w:tabs>
          <w:tab w:val="left" w:pos="840"/>
        </w:tabs>
        <w:ind w:firstLine="360" w:firstLineChars="150"/>
        <w:rPr>
          <w:rFonts w:ascii="宋体" w:hAnsi="宋体"/>
        </w:rPr>
      </w:pPr>
      <w:r>
        <w:rPr>
          <w:rFonts w:hint="eastAsia" w:ascii="宋体" w:hAnsi="宋体"/>
        </w:rPr>
        <w:t>投标人应承担准备和参加本次投标有关的所有费用。集中采购机构对投标人发生的费用均不承担任何责任。</w:t>
      </w:r>
    </w:p>
    <w:p>
      <w:pPr>
        <w:widowControl/>
        <w:spacing w:beforeLines="200" w:afterLines="200" w:line="240" w:lineRule="auto"/>
        <w:ind w:firstLine="0" w:firstLineChars="0"/>
        <w:jc w:val="center"/>
        <w:outlineLvl w:val="1"/>
        <w:rPr>
          <w:rFonts w:ascii="宋体" w:hAnsi="宋体"/>
          <w:b/>
          <w:bCs/>
          <w:kern w:val="0"/>
          <w:sz w:val="36"/>
          <w:szCs w:val="36"/>
        </w:rPr>
      </w:pPr>
      <w:bookmarkStart w:id="16" w:name="_Toc376936732"/>
      <w:bookmarkStart w:id="17" w:name="_Toc82441584"/>
      <w:bookmarkStart w:id="18" w:name="_Toc325726001"/>
      <w:r>
        <w:rPr>
          <w:rFonts w:hint="eastAsia" w:ascii="宋体" w:hAnsi="宋体"/>
          <w:b/>
          <w:bCs/>
          <w:kern w:val="0"/>
          <w:sz w:val="36"/>
          <w:szCs w:val="36"/>
        </w:rPr>
        <w:t>二、招标文件说明</w:t>
      </w:r>
      <w:bookmarkEnd w:id="16"/>
      <w:bookmarkEnd w:id="17"/>
      <w:bookmarkEnd w:id="18"/>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9" w:name="_Toc376936733"/>
      <w:bookmarkStart w:id="20" w:name="_Toc325726002"/>
      <w:bookmarkStart w:id="21" w:name="_Toc82441585"/>
      <w:r>
        <w:rPr>
          <w:rFonts w:hint="eastAsia" w:ascii="宋体" w:hAnsi="宋体"/>
          <w:b/>
          <w:bCs/>
          <w:kern w:val="0"/>
          <w:sz w:val="27"/>
          <w:szCs w:val="27"/>
        </w:rPr>
        <w:t>4.招标文件的构成</w:t>
      </w:r>
      <w:bookmarkEnd w:id="19"/>
      <w:bookmarkEnd w:id="20"/>
      <w:bookmarkEnd w:id="21"/>
    </w:p>
    <w:p>
      <w:pPr>
        <w:ind w:firstLine="480"/>
        <w:rPr>
          <w:rFonts w:ascii="宋体" w:hAnsi="宋体"/>
        </w:rPr>
      </w:pPr>
      <w:r>
        <w:rPr>
          <w:rFonts w:hint="eastAsia" w:ascii="宋体" w:hAnsi="宋体"/>
        </w:rPr>
        <w:t>招标文件压缩包电子版文件格式由本文件（word格式）和数据文件（excel格式）构成。</w:t>
      </w:r>
    </w:p>
    <w:p>
      <w:pPr>
        <w:ind w:firstLine="480"/>
        <w:rPr>
          <w:rFonts w:ascii="宋体" w:hAnsi="宋体"/>
        </w:rPr>
      </w:pPr>
      <w:r>
        <w:rPr>
          <w:rFonts w:hint="eastAsia" w:ascii="宋体" w:hAnsi="宋体"/>
        </w:rPr>
        <w:t>4.1招标文件包括：</w:t>
      </w:r>
    </w:p>
    <w:p>
      <w:pPr>
        <w:ind w:firstLine="480"/>
        <w:rPr>
          <w:rFonts w:ascii="宋体" w:hAnsi="宋体"/>
        </w:rPr>
      </w:pPr>
      <w:r>
        <w:rPr>
          <w:rFonts w:hint="eastAsia" w:ascii="宋体" w:hAnsi="宋体"/>
        </w:rPr>
        <w:t>（1）投标人须知前附表</w:t>
      </w:r>
    </w:p>
    <w:p>
      <w:pPr>
        <w:ind w:firstLine="480"/>
        <w:rPr>
          <w:rFonts w:ascii="宋体" w:hAnsi="宋体"/>
        </w:rPr>
      </w:pPr>
      <w:r>
        <w:rPr>
          <w:rFonts w:hint="eastAsia" w:ascii="宋体" w:hAnsi="宋体"/>
        </w:rPr>
        <w:t>（2）投标人须知</w:t>
      </w:r>
    </w:p>
    <w:p>
      <w:pPr>
        <w:ind w:firstLine="480"/>
        <w:rPr>
          <w:rFonts w:ascii="宋体" w:hAnsi="宋体"/>
        </w:rPr>
      </w:pPr>
      <w:r>
        <w:rPr>
          <w:rFonts w:hint="eastAsia" w:ascii="宋体" w:hAnsi="宋体"/>
        </w:rPr>
        <w:t>（3）政府采购项目合同书范本</w:t>
      </w:r>
    </w:p>
    <w:p>
      <w:pPr>
        <w:ind w:firstLine="480"/>
        <w:rPr>
          <w:rFonts w:ascii="宋体" w:hAnsi="宋体"/>
        </w:rPr>
      </w:pPr>
      <w:r>
        <w:rPr>
          <w:rFonts w:hint="eastAsia" w:ascii="宋体" w:hAnsi="宋体"/>
        </w:rPr>
        <w:t>（4）投标文件格式（相关附件）</w:t>
      </w:r>
    </w:p>
    <w:p>
      <w:pPr>
        <w:ind w:firstLine="480"/>
        <w:rPr>
          <w:rFonts w:ascii="宋体" w:hAnsi="宋体"/>
        </w:rPr>
      </w:pPr>
      <w:r>
        <w:rPr>
          <w:rFonts w:hint="eastAsia" w:ascii="宋体" w:hAnsi="宋体"/>
        </w:rPr>
        <w:t>（5）采购项目要求及技术参数</w:t>
      </w:r>
    </w:p>
    <w:p>
      <w:pPr>
        <w:ind w:firstLine="480"/>
        <w:rPr>
          <w:rFonts w:ascii="宋体" w:hAnsi="宋体"/>
        </w:rPr>
      </w:pPr>
      <w:r>
        <w:rPr>
          <w:rFonts w:hint="eastAsia" w:ascii="宋体" w:hAnsi="宋体"/>
        </w:rPr>
        <w:t>（6）采购过程中发生的澄清、变更和补充文件</w:t>
      </w:r>
    </w:p>
    <w:p>
      <w:pPr>
        <w:pStyle w:val="32"/>
        <w:adjustRightInd w:val="0"/>
        <w:ind w:firstLine="600" w:firstLineChars="250"/>
        <w:rPr>
          <w:rFonts w:hAnsi="宋体"/>
        </w:rPr>
      </w:pPr>
      <w:r>
        <w:rPr>
          <w:rFonts w:hint="eastAsia" w:hAnsi="宋体"/>
        </w:rPr>
        <w:t>4</w:t>
      </w:r>
      <w:r>
        <w:rPr>
          <w:rFonts w:hAnsi="宋体"/>
        </w:rPr>
        <w:t>.</w:t>
      </w:r>
      <w:r>
        <w:rPr>
          <w:rFonts w:hint="eastAsia" w:hAnsi="宋体"/>
        </w:rPr>
        <w:t>2</w:t>
      </w:r>
      <w:r>
        <w:rPr>
          <w:rFonts w:hAnsi="宋体"/>
        </w:rPr>
        <w:t xml:space="preserve"> </w:t>
      </w:r>
      <w:r>
        <w:rPr>
          <w:rFonts w:hint="eastAsia" w:hAnsi="宋体"/>
        </w:rPr>
        <w:t>数据文件（excel格式）由下列文件组成：</w:t>
      </w:r>
    </w:p>
    <w:p>
      <w:pPr>
        <w:ind w:firstLine="480"/>
        <w:rPr>
          <w:rFonts w:ascii="宋体" w:hAnsi="宋体"/>
        </w:rPr>
      </w:pPr>
      <w:r>
        <w:rPr>
          <w:rFonts w:hint="eastAsia" w:ascii="宋体" w:hAnsi="宋体"/>
        </w:rPr>
        <w:t>（1）投标一览表</w:t>
      </w:r>
    </w:p>
    <w:p>
      <w:pPr>
        <w:ind w:firstLine="480"/>
        <w:rPr>
          <w:rFonts w:ascii="宋体" w:hAnsi="宋体"/>
        </w:rPr>
      </w:pPr>
      <w:r>
        <w:rPr>
          <w:rFonts w:hint="eastAsia" w:ascii="宋体" w:hAnsi="宋体"/>
        </w:rPr>
        <w:t>（2）分项报价表</w:t>
      </w:r>
    </w:p>
    <w:p>
      <w:pPr>
        <w:ind w:firstLine="480"/>
        <w:rPr>
          <w:rFonts w:ascii="宋体" w:hAnsi="宋体"/>
        </w:rPr>
      </w:pPr>
      <w:r>
        <w:rPr>
          <w:rFonts w:hint="eastAsia" w:ascii="宋体" w:hAnsi="宋体"/>
        </w:rPr>
        <w:t>（3）评审对照表</w:t>
      </w:r>
    </w:p>
    <w:p>
      <w:pPr>
        <w:ind w:firstLine="480"/>
        <w:rPr>
          <w:rFonts w:ascii="宋体" w:hAnsi="宋体"/>
        </w:rPr>
      </w:pPr>
      <w:r>
        <w:rPr>
          <w:rFonts w:hint="eastAsia" w:ascii="宋体" w:hAnsi="宋体"/>
        </w:rPr>
        <w:t>（4）评分对照表（如有）</w:t>
      </w:r>
    </w:p>
    <w:p>
      <w:pPr>
        <w:ind w:firstLine="480"/>
        <w:rPr>
          <w:rFonts w:ascii="宋体" w:hAnsi="宋体"/>
        </w:rPr>
      </w:pPr>
      <w:r>
        <w:rPr>
          <w:rFonts w:hint="eastAsia" w:ascii="宋体" w:hAnsi="宋体"/>
        </w:rPr>
        <w:t>4.3</w:t>
      </w:r>
      <w:r>
        <w:rPr>
          <w:rFonts w:hint="eastAsia" w:ascii="Arial" w:hAnsi="Arial" w:cs="Arial"/>
          <w:kern w:val="0"/>
        </w:rPr>
        <w:t>投标人应当按照招标文件的要求编制投标文件。投标文件应当对招标文件提出的要求和条件作出明确响应。</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22" w:name="_Toc376936734"/>
      <w:bookmarkStart w:id="23" w:name="_Toc325726003"/>
      <w:bookmarkStart w:id="24" w:name="_Toc82441586"/>
      <w:r>
        <w:rPr>
          <w:rFonts w:hint="eastAsia" w:ascii="宋体" w:hAnsi="宋体"/>
          <w:b/>
          <w:bCs/>
          <w:kern w:val="0"/>
          <w:sz w:val="27"/>
          <w:szCs w:val="27"/>
        </w:rPr>
        <w:t>5.招标文件的</w:t>
      </w:r>
      <w:bookmarkEnd w:id="22"/>
      <w:bookmarkEnd w:id="23"/>
      <w:r>
        <w:rPr>
          <w:rFonts w:hint="eastAsia" w:ascii="宋体" w:hAnsi="宋体"/>
          <w:b/>
          <w:bCs/>
          <w:kern w:val="0"/>
          <w:sz w:val="27"/>
          <w:szCs w:val="27"/>
        </w:rPr>
        <w:t>质疑</w:t>
      </w:r>
      <w:bookmarkEnd w:id="24"/>
    </w:p>
    <w:p>
      <w:pPr>
        <w:ind w:firstLine="480"/>
        <w:rPr>
          <w:rFonts w:ascii="宋体" w:hAnsi="宋体"/>
        </w:rPr>
      </w:pPr>
      <w:r>
        <w:rPr>
          <w:rFonts w:hint="eastAsia"/>
        </w:rPr>
        <w:t>投标人认为招标文件</w:t>
      </w:r>
      <w:r>
        <w:rPr>
          <w:rFonts w:ascii="Arial" w:hAnsi="Arial" w:cs="Arial"/>
          <w:kern w:val="0"/>
          <w:szCs w:val="21"/>
        </w:rPr>
        <w:t>使自己的权益受到损害的</w:t>
      </w:r>
      <w:r>
        <w:rPr>
          <w:rFonts w:hint="eastAsia"/>
        </w:rPr>
        <w:t>，应在获取招标文件之日或者招标文件公告期限届满之日</w:t>
      </w:r>
      <w:r>
        <w:rPr>
          <w:rFonts w:hint="eastAsia" w:ascii="宋体" w:hAnsi="宋体"/>
        </w:rPr>
        <w:t>起7个工作日</w:t>
      </w:r>
      <w:r>
        <w:rPr>
          <w:rFonts w:hint="eastAsia"/>
        </w:rPr>
        <w:t>内以书面形式提出质疑（不接受匿名质疑），供应商须在法定质疑期内一次性提出针对同一采购程序环节的质疑。</w:t>
      </w:r>
      <w:bookmarkStart w:id="25" w:name="_Toc376936735"/>
      <w:bookmarkStart w:id="26" w:name="_Toc325726004"/>
      <w:r>
        <w:rPr>
          <w:rFonts w:hint="eastAsia" w:ascii="宋体" w:hAnsi="宋体"/>
        </w:rPr>
        <w:t>采购人、集中采购机构在收到供应商的书面质疑后7个工作日内予以答复，并将变更事宜在青海政府采购信息网上发布公告，告知本项目的所有潜在投标人。</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27" w:name="_Toc82441587"/>
      <w:r>
        <w:rPr>
          <w:rFonts w:hint="eastAsia" w:ascii="宋体" w:hAnsi="宋体"/>
          <w:b/>
          <w:bCs/>
          <w:kern w:val="0"/>
          <w:sz w:val="27"/>
          <w:szCs w:val="27"/>
        </w:rPr>
        <w:t>6.招标文件的修改</w:t>
      </w:r>
      <w:bookmarkEnd w:id="25"/>
      <w:bookmarkEnd w:id="26"/>
      <w:bookmarkEnd w:id="27"/>
    </w:p>
    <w:p>
      <w:pPr>
        <w:ind w:firstLine="480"/>
        <w:rPr>
          <w:rFonts w:ascii="宋体" w:hAnsi="宋体"/>
        </w:rPr>
      </w:pPr>
      <w:r>
        <w:rPr>
          <w:rFonts w:hint="eastAsia" w:ascii="宋体" w:hAnsi="宋体"/>
        </w:rPr>
        <w:t>6.1 在投标截止期前，采购人、集中采购机构可以对招标文件进行必要的修改或者澄清。</w:t>
      </w:r>
    </w:p>
    <w:p>
      <w:pPr>
        <w:ind w:firstLine="480"/>
        <w:rPr>
          <w:rFonts w:ascii="宋体" w:hAnsi="宋体"/>
        </w:rPr>
      </w:pPr>
      <w:r>
        <w:rPr>
          <w:rFonts w:hint="eastAsia" w:ascii="宋体" w:hAnsi="宋体"/>
        </w:rPr>
        <w:t>6.2采购人、集中采购机构对已发出招标文件进行必要的澄清或者修改的，在招标文件要求提交投标文件截止时间15日前，在青海政府采购信息网上发布公告；不足15日的，顺延提交投标文件的截止时间。该澄清或者修改的内容为招标文件的组成部分。</w:t>
      </w:r>
    </w:p>
    <w:p>
      <w:pPr>
        <w:ind w:firstLine="480"/>
        <w:rPr>
          <w:rFonts w:ascii="宋体" w:hAnsi="宋体"/>
        </w:rPr>
      </w:pPr>
      <w:r>
        <w:rPr>
          <w:rFonts w:hint="eastAsia" w:ascii="宋体" w:hAnsi="宋体"/>
        </w:rPr>
        <w:t>6.3 在投标截止时间前，采购人、集中采购机构可以视采购具体情况，延长投标截止时间和开标时间，并在招标文件中要求的投标截止时间和开标时间的3日前，将变更公告发布在青海省政府采购信息网上。</w:t>
      </w:r>
    </w:p>
    <w:p>
      <w:pPr>
        <w:widowControl/>
        <w:spacing w:beforeLines="200" w:afterLines="200" w:line="240" w:lineRule="auto"/>
        <w:ind w:firstLine="0" w:firstLineChars="0"/>
        <w:jc w:val="center"/>
        <w:outlineLvl w:val="1"/>
        <w:rPr>
          <w:rFonts w:ascii="宋体" w:hAnsi="宋体"/>
          <w:b/>
          <w:bCs/>
          <w:kern w:val="0"/>
          <w:sz w:val="36"/>
          <w:szCs w:val="36"/>
        </w:rPr>
      </w:pPr>
      <w:bookmarkStart w:id="28" w:name="_Toc325726005"/>
      <w:bookmarkStart w:id="29" w:name="_Toc82441588"/>
      <w:bookmarkStart w:id="30" w:name="_Toc376936736"/>
    </w:p>
    <w:p>
      <w:pPr>
        <w:widowControl/>
        <w:spacing w:beforeLines="200" w:afterLines="200" w:line="240" w:lineRule="auto"/>
        <w:ind w:firstLine="0" w:firstLineChars="0"/>
        <w:jc w:val="center"/>
        <w:outlineLvl w:val="1"/>
        <w:rPr>
          <w:rFonts w:ascii="宋体" w:hAnsi="宋体"/>
          <w:b/>
          <w:bCs/>
          <w:kern w:val="0"/>
          <w:sz w:val="36"/>
          <w:szCs w:val="36"/>
        </w:rPr>
      </w:pPr>
      <w:r>
        <w:rPr>
          <w:rFonts w:hint="eastAsia" w:ascii="宋体" w:hAnsi="宋体"/>
          <w:b/>
          <w:bCs/>
          <w:kern w:val="0"/>
          <w:sz w:val="36"/>
          <w:szCs w:val="36"/>
        </w:rPr>
        <w:t>三、投标文件的编制</w:t>
      </w:r>
      <w:bookmarkEnd w:id="28"/>
      <w:bookmarkEnd w:id="29"/>
      <w:bookmarkEnd w:id="30"/>
    </w:p>
    <w:p>
      <w:pPr>
        <w:widowControl/>
        <w:spacing w:before="100" w:beforeAutospacing="1" w:after="100" w:afterAutospacing="1" w:line="240" w:lineRule="auto"/>
        <w:ind w:firstLine="542"/>
        <w:jc w:val="left"/>
        <w:outlineLvl w:val="2"/>
        <w:rPr>
          <w:rFonts w:ascii="宋体" w:hAnsi="宋体"/>
          <w:b/>
          <w:bCs/>
          <w:kern w:val="0"/>
          <w:sz w:val="27"/>
          <w:szCs w:val="27"/>
        </w:rPr>
      </w:pPr>
      <w:bookmarkStart w:id="31" w:name="_Toc325726006"/>
      <w:bookmarkStart w:id="32" w:name="_Toc376936737"/>
      <w:bookmarkStart w:id="33" w:name="_Toc82441589"/>
      <w:r>
        <w:rPr>
          <w:rFonts w:hint="eastAsia" w:ascii="宋体" w:hAnsi="宋体"/>
          <w:b/>
          <w:bCs/>
          <w:kern w:val="0"/>
          <w:sz w:val="27"/>
          <w:szCs w:val="27"/>
        </w:rPr>
        <w:t>7.投标文件的语言及度量衡单位</w:t>
      </w:r>
      <w:bookmarkEnd w:id="31"/>
      <w:bookmarkEnd w:id="32"/>
      <w:bookmarkEnd w:id="33"/>
    </w:p>
    <w:p>
      <w:pPr>
        <w:ind w:firstLine="480"/>
        <w:rPr>
          <w:rFonts w:ascii="宋体" w:hAnsi="宋体"/>
        </w:rPr>
      </w:pPr>
      <w:r>
        <w:rPr>
          <w:rFonts w:hint="eastAsia" w:ascii="宋体" w:hAnsi="宋体"/>
        </w:rPr>
        <w:t>7.1投标人提交的投标文件以及投标人与集中采购机构就此投标发生的所有来往函电均应使用简体中文。</w:t>
      </w:r>
      <w:r>
        <w:rPr>
          <w:rFonts w:hint="eastAsia" w:ascii="宋体" w:hAnsi="宋体" w:cs="宋体"/>
        </w:rPr>
        <w:t>除签名、盖章、专用名称等特殊情形外，以中文汉语以外的文字表述的投标文件视同未提供。</w:t>
      </w:r>
    </w:p>
    <w:p>
      <w:pPr>
        <w:ind w:firstLine="480"/>
        <w:rPr>
          <w:rFonts w:ascii="宋体" w:hAnsi="宋体"/>
        </w:rPr>
      </w:pPr>
      <w:r>
        <w:rPr>
          <w:rFonts w:hint="eastAsia" w:ascii="宋体" w:hAnsi="宋体"/>
        </w:rPr>
        <w:t>7.2 除招标文件中另有规定外，投标文件所使用的度量衡单位，均须采用国家法定计量单位。</w:t>
      </w:r>
    </w:p>
    <w:p>
      <w:pPr>
        <w:ind w:firstLine="480"/>
        <w:rPr>
          <w:rFonts w:ascii="宋体" w:hAnsi="宋体"/>
        </w:rPr>
      </w:pPr>
      <w:r>
        <w:rPr>
          <w:rFonts w:hint="eastAsia" w:ascii="宋体" w:hAnsi="宋体"/>
        </w:rPr>
        <w:t>7.3 附有外文资料的，须翻译成中文并加盖投标人公章，如果翻译的中文资料与外文资料存在差异和矛盾时，以中文资料为准。其准确性由投标人负责。</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34" w:name="_Toc376936738"/>
      <w:bookmarkStart w:id="35" w:name="_Toc325726007"/>
      <w:bookmarkStart w:id="36" w:name="_Toc82441590"/>
      <w:r>
        <w:rPr>
          <w:rFonts w:hint="eastAsia" w:ascii="宋体" w:hAnsi="宋体"/>
          <w:b/>
          <w:bCs/>
          <w:kern w:val="0"/>
          <w:sz w:val="27"/>
          <w:szCs w:val="27"/>
        </w:rPr>
        <w:t>8.投标报价及币种</w:t>
      </w:r>
      <w:bookmarkEnd w:id="34"/>
      <w:bookmarkEnd w:id="35"/>
      <w:bookmarkEnd w:id="36"/>
    </w:p>
    <w:p>
      <w:pPr>
        <w:ind w:firstLine="480"/>
        <w:rPr>
          <w:rFonts w:ascii="宋体" w:hAnsi="宋体"/>
        </w:rPr>
      </w:pPr>
      <w:r>
        <w:rPr>
          <w:rFonts w:hint="eastAsia" w:ascii="宋体" w:hAnsi="宋体"/>
        </w:rPr>
        <w:t>8.l 投标总报价必须包括：产品费、检验费、手续费、包装费、运输费、保险费、安装调试费、税金及不可预见费等全部费用。投标人须按“投标报价一览表”格式填写投标总报价，不得出现两个或两个以上的报价方案。</w:t>
      </w:r>
    </w:p>
    <w:p>
      <w:pPr>
        <w:ind w:firstLine="480"/>
        <w:rPr>
          <w:rFonts w:ascii="宋体" w:hAnsi="宋体"/>
        </w:rPr>
      </w:pPr>
      <w:r>
        <w:rPr>
          <w:rFonts w:hint="eastAsia" w:ascii="宋体" w:hAnsi="宋体"/>
        </w:rPr>
        <w:t>8.2 投标函中应注明投标有效期。</w:t>
      </w:r>
    </w:p>
    <w:p>
      <w:pPr>
        <w:ind w:firstLine="480"/>
        <w:rPr>
          <w:rFonts w:ascii="宋体" w:hAnsi="宋体" w:cs="宋体"/>
          <w:kern w:val="0"/>
          <w:shd w:val="pct10" w:color="auto" w:fill="FFFFFF"/>
        </w:rPr>
      </w:pPr>
      <w:r>
        <w:rPr>
          <w:rFonts w:hint="eastAsia" w:ascii="宋体" w:hAnsi="宋体"/>
        </w:rPr>
        <w:t>8.3 投标人应根据招标文件规定的格式完整填写所有内容，</w:t>
      </w:r>
      <w:r>
        <w:rPr>
          <w:rFonts w:hint="eastAsia" w:ascii="宋体" w:hAnsi="宋体" w:cs="宋体"/>
        </w:rPr>
        <w:t>并保证所提供的全部资料真实可信，自愿承担相应责任</w:t>
      </w:r>
      <w:r>
        <w:rPr>
          <w:rFonts w:hint="eastAsia" w:ascii="宋体" w:hAnsi="宋体"/>
        </w:rPr>
        <w:t>。</w:t>
      </w:r>
    </w:p>
    <w:p>
      <w:pPr>
        <w:ind w:firstLine="480"/>
        <w:rPr>
          <w:rFonts w:ascii="宋体" w:hAnsi="宋体"/>
        </w:rPr>
      </w:pPr>
      <w:r>
        <w:rPr>
          <w:rFonts w:hint="eastAsia" w:ascii="宋体" w:hAnsi="宋体"/>
        </w:rPr>
        <w:t>8.4 投标报价为闭口价，即中标后在合同有效期内价格不变。</w:t>
      </w:r>
    </w:p>
    <w:p>
      <w:pPr>
        <w:ind w:firstLine="480"/>
        <w:rPr>
          <w:rFonts w:ascii="宋体" w:hAnsi="宋体"/>
        </w:rPr>
      </w:pPr>
      <w:r>
        <w:rPr>
          <w:rFonts w:hint="eastAsia" w:ascii="宋体" w:hAnsi="宋体"/>
        </w:rPr>
        <w:t>8.5 投标币种为人民币。</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37" w:name="_Toc376936743"/>
      <w:bookmarkStart w:id="38" w:name="_Toc325726012"/>
      <w:bookmarkStart w:id="39" w:name="_Toc82441591"/>
      <w:r>
        <w:rPr>
          <w:rFonts w:hint="eastAsia" w:ascii="宋体" w:hAnsi="宋体"/>
          <w:b/>
          <w:bCs/>
          <w:kern w:val="0"/>
          <w:sz w:val="27"/>
          <w:szCs w:val="27"/>
        </w:rPr>
        <w:t>9.投标保证金</w:t>
      </w:r>
      <w:bookmarkEnd w:id="37"/>
      <w:bookmarkEnd w:id="38"/>
      <w:bookmarkEnd w:id="39"/>
    </w:p>
    <w:p>
      <w:pPr>
        <w:autoSpaceDE w:val="0"/>
        <w:autoSpaceDN w:val="0"/>
        <w:adjustRightInd w:val="0"/>
        <w:ind w:firstLine="530" w:firstLineChars="221"/>
        <w:rPr>
          <w:rFonts w:ascii="宋体" w:hAnsi="宋体" w:cs="宋体"/>
          <w:lang w:val="zh-CN"/>
        </w:rPr>
      </w:pPr>
      <w:r>
        <w:rPr>
          <w:rFonts w:hint="eastAsia" w:ascii="宋体" w:hAnsi="宋体" w:cs="宋体"/>
          <w:lang w:val="zh-CN"/>
        </w:rPr>
        <w:t>投标人须在投标截止期前按采购预算的2%缴纳投标保证金（具体数额以青海省政府采购电子化平台上确定的数额为准</w:t>
      </w:r>
      <w:r>
        <w:rPr>
          <w:rFonts w:hint="eastAsia" w:ascii="宋体" w:hAnsi="宋体"/>
        </w:rPr>
        <w:t>，缴纳投标保证金时需注明：</w:t>
      </w:r>
      <w:r>
        <w:rPr>
          <w:rFonts w:hint="eastAsia" w:ascii="宋体" w:hAnsi="宋体" w:cs="宋体"/>
        </w:rPr>
        <w:t>***项目</w:t>
      </w:r>
      <w:r>
        <w:rPr>
          <w:rFonts w:hint="eastAsia" w:ascii="宋体" w:hAnsi="宋体"/>
        </w:rPr>
        <w:t>投标保证金</w:t>
      </w:r>
      <w:r>
        <w:rPr>
          <w:rFonts w:hint="eastAsia" w:ascii="宋体" w:hAnsi="宋体" w:cs="宋体"/>
          <w:lang w:val="zh-CN"/>
        </w:rPr>
        <w:t>）。本次采购活动中未中标且投标人未发生违规行为的，</w:t>
      </w:r>
      <w:r>
        <w:rPr>
          <w:rFonts w:hint="eastAsia" w:ascii="宋体" w:hAnsi="宋体"/>
          <w:szCs w:val="20"/>
        </w:rPr>
        <w:t>由</w:t>
      </w:r>
      <w:r>
        <w:rPr>
          <w:rFonts w:hint="eastAsia" w:ascii="宋体" w:hAnsi="宋体" w:cs="宋体"/>
          <w:lang w:val="zh-CN"/>
        </w:rPr>
        <w:t>集中采购机构在规定的时间内退还投标保证金；</w:t>
      </w:r>
      <w:r>
        <w:rPr>
          <w:rFonts w:hint="eastAsia" w:ascii="宋体" w:hAnsi="宋体"/>
          <w:szCs w:val="20"/>
        </w:rPr>
        <w:t>中标供应商的</w:t>
      </w:r>
      <w:r>
        <w:rPr>
          <w:rFonts w:hint="eastAsia" w:ascii="宋体" w:hAnsi="宋体" w:cs="宋体"/>
          <w:lang w:val="zh-CN"/>
        </w:rPr>
        <w:t>投标保证金自采购合同签订后</w:t>
      </w:r>
      <w:r>
        <w:rPr>
          <w:rFonts w:hint="eastAsia" w:ascii="宋体" w:hAnsi="宋体"/>
          <w:szCs w:val="20"/>
        </w:rPr>
        <w:t>在规定的时间内予以退还。</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40" w:name="_Toc376936744"/>
      <w:bookmarkStart w:id="41" w:name="_Toc82441592"/>
      <w:bookmarkStart w:id="42" w:name="_Toc325726013"/>
      <w:r>
        <w:rPr>
          <w:rFonts w:hint="eastAsia" w:ascii="宋体" w:hAnsi="宋体"/>
          <w:b/>
          <w:bCs/>
          <w:kern w:val="0"/>
          <w:sz w:val="27"/>
          <w:szCs w:val="27"/>
        </w:rPr>
        <w:t>10.投标有效期</w:t>
      </w:r>
      <w:bookmarkEnd w:id="40"/>
      <w:bookmarkEnd w:id="41"/>
      <w:bookmarkEnd w:id="42"/>
    </w:p>
    <w:p>
      <w:pPr>
        <w:ind w:firstLine="480"/>
        <w:rPr>
          <w:rFonts w:ascii="宋体" w:hAnsi="宋体"/>
        </w:rPr>
      </w:pPr>
      <w:r>
        <w:rPr>
          <w:rFonts w:hint="eastAsia" w:ascii="宋体" w:hAnsi="宋体"/>
        </w:rPr>
        <w:t>投标有效期为自开标之日起60天。</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43" w:name="_Toc376936739"/>
      <w:bookmarkStart w:id="44" w:name="_Toc82441593"/>
      <w:bookmarkStart w:id="45" w:name="_Toc325726008"/>
      <w:r>
        <w:rPr>
          <w:rFonts w:hint="eastAsia" w:ascii="宋体" w:hAnsi="宋体"/>
          <w:b/>
          <w:bCs/>
          <w:kern w:val="0"/>
          <w:sz w:val="27"/>
          <w:szCs w:val="27"/>
        </w:rPr>
        <w:t>11.投标文件构成</w:t>
      </w:r>
      <w:bookmarkEnd w:id="43"/>
      <w:bookmarkEnd w:id="44"/>
      <w:bookmarkEnd w:id="45"/>
    </w:p>
    <w:p>
      <w:pPr>
        <w:ind w:firstLine="480"/>
        <w:rPr>
          <w:rFonts w:ascii="宋体" w:hAnsi="宋体"/>
        </w:rPr>
      </w:pPr>
      <w:r>
        <w:rPr>
          <w:rFonts w:hint="eastAsia" w:ascii="宋体" w:hAnsi="宋体" w:cs="宋体"/>
          <w:lang w:val="zh-CN"/>
        </w:rPr>
        <w:t>11.1</w:t>
      </w:r>
      <w:r>
        <w:rPr>
          <w:rFonts w:hint="eastAsia" w:ascii="宋体" w:hAnsi="宋体"/>
        </w:rPr>
        <w:t>投标人应提交相关证明材料，作为其参加投标和中标后有能力履行合同的证明。编写的投标文件须包括以下内容（格式详见招标文件第四部分内容）：</w:t>
      </w:r>
    </w:p>
    <w:p>
      <w:pPr>
        <w:ind w:left="2" w:firstLine="422" w:firstLineChars="176"/>
        <w:rPr>
          <w:rFonts w:ascii="宋体" w:hAnsi="宋体"/>
        </w:rPr>
      </w:pPr>
      <w:r>
        <w:rPr>
          <w:rFonts w:hint="eastAsia" w:ascii="宋体" w:hAnsi="宋体"/>
        </w:rPr>
        <w:t>11.1.1资格审查部分</w:t>
      </w:r>
    </w:p>
    <w:p>
      <w:pPr>
        <w:ind w:left="2" w:firstLine="422" w:firstLineChars="176"/>
        <w:rPr>
          <w:rFonts w:ascii="宋体" w:hAnsi="宋体"/>
        </w:rPr>
      </w:pPr>
      <w:r>
        <w:rPr>
          <w:rFonts w:hint="eastAsia" w:ascii="宋体" w:hAnsi="宋体"/>
        </w:rPr>
        <w:t>（1）投标函</w:t>
      </w:r>
    </w:p>
    <w:p>
      <w:pPr>
        <w:ind w:left="2" w:firstLine="422" w:firstLineChars="176"/>
        <w:rPr>
          <w:rFonts w:ascii="宋体" w:hAnsi="宋体"/>
        </w:rPr>
      </w:pPr>
      <w:r>
        <w:rPr>
          <w:rFonts w:hint="eastAsia" w:ascii="宋体" w:hAnsi="宋体"/>
        </w:rPr>
        <w:t>（2）法定代表人证明书</w:t>
      </w:r>
    </w:p>
    <w:p>
      <w:pPr>
        <w:ind w:left="2" w:firstLine="422" w:firstLineChars="176"/>
        <w:rPr>
          <w:rFonts w:ascii="宋体" w:hAnsi="宋体"/>
        </w:rPr>
      </w:pPr>
      <w:r>
        <w:rPr>
          <w:rFonts w:hint="eastAsia" w:ascii="宋体" w:hAnsi="宋体"/>
        </w:rPr>
        <w:t>（3）法定代表人授权书</w:t>
      </w:r>
    </w:p>
    <w:p>
      <w:pPr>
        <w:ind w:left="2" w:firstLine="422" w:firstLineChars="176"/>
        <w:rPr>
          <w:rFonts w:ascii="宋体" w:hAnsi="宋体"/>
        </w:rPr>
      </w:pPr>
      <w:r>
        <w:rPr>
          <w:rFonts w:hint="eastAsia" w:ascii="宋体" w:hAnsi="宋体"/>
        </w:rPr>
        <w:t>（4）投标人承诺函</w:t>
      </w:r>
    </w:p>
    <w:p>
      <w:pPr>
        <w:ind w:left="2" w:firstLine="422" w:firstLineChars="176"/>
        <w:rPr>
          <w:rFonts w:ascii="宋体" w:hAnsi="宋体"/>
        </w:rPr>
      </w:pPr>
      <w:r>
        <w:rPr>
          <w:rFonts w:hint="eastAsia" w:ascii="宋体" w:hAnsi="宋体"/>
        </w:rPr>
        <w:t>（5）供应商诚信承诺书</w:t>
      </w:r>
    </w:p>
    <w:p>
      <w:pPr>
        <w:ind w:left="2" w:firstLine="422" w:firstLineChars="176"/>
        <w:rPr>
          <w:rFonts w:ascii="宋体" w:hAnsi="宋体"/>
        </w:rPr>
      </w:pPr>
      <w:r>
        <w:rPr>
          <w:rFonts w:hint="eastAsia" w:ascii="宋体" w:hAnsi="宋体"/>
        </w:rPr>
        <w:t>（6）投标人资格证明文件</w:t>
      </w:r>
    </w:p>
    <w:p>
      <w:pPr>
        <w:ind w:left="2" w:firstLine="422" w:firstLineChars="176"/>
        <w:rPr>
          <w:rFonts w:ascii="宋体" w:hAnsi="宋体"/>
        </w:rPr>
      </w:pPr>
      <w:r>
        <w:rPr>
          <w:rFonts w:hint="eastAsia" w:ascii="宋体" w:hAnsi="宋体"/>
        </w:rPr>
        <w:t>（7）财务状况、缴纳税收和社会保障资金证明</w:t>
      </w:r>
    </w:p>
    <w:p>
      <w:pPr>
        <w:ind w:left="2" w:firstLine="422" w:firstLineChars="176"/>
        <w:rPr>
          <w:rFonts w:ascii="宋体" w:hAnsi="宋体"/>
        </w:rPr>
      </w:pPr>
      <w:r>
        <w:rPr>
          <w:rFonts w:hint="eastAsia" w:ascii="宋体" w:hAnsi="宋体"/>
        </w:rPr>
        <w:t>（8）无重大违法记录声明</w:t>
      </w:r>
    </w:p>
    <w:p>
      <w:pPr>
        <w:ind w:left="2" w:firstLine="422" w:firstLineChars="176"/>
        <w:rPr>
          <w:rFonts w:ascii="宋体" w:hAnsi="宋体"/>
        </w:rPr>
      </w:pPr>
      <w:r>
        <w:rPr>
          <w:rFonts w:hint="eastAsia" w:ascii="宋体" w:hAnsi="宋体"/>
        </w:rPr>
        <w:t>（9）投标保证金证明</w:t>
      </w:r>
    </w:p>
    <w:p>
      <w:pPr>
        <w:ind w:left="2" w:firstLine="422" w:firstLineChars="176"/>
        <w:rPr>
          <w:rFonts w:ascii="宋体" w:hAnsi="宋体"/>
        </w:rPr>
      </w:pPr>
      <w:r>
        <w:rPr>
          <w:rFonts w:hint="eastAsia" w:ascii="宋体" w:hAnsi="宋体"/>
        </w:rPr>
        <w:t>11.1.2符合性审查部分</w:t>
      </w:r>
    </w:p>
    <w:p>
      <w:pPr>
        <w:ind w:left="2" w:firstLine="422" w:firstLineChars="176"/>
        <w:rPr>
          <w:rFonts w:ascii="宋体" w:hAnsi="宋体"/>
        </w:rPr>
      </w:pPr>
      <w:r>
        <w:rPr>
          <w:rFonts w:hint="eastAsia" w:ascii="宋体" w:hAnsi="宋体"/>
        </w:rPr>
        <w:t>（10）投标报价一览表</w:t>
      </w:r>
    </w:p>
    <w:p>
      <w:pPr>
        <w:ind w:left="2" w:firstLine="422" w:firstLineChars="176"/>
        <w:rPr>
          <w:rFonts w:ascii="宋体" w:hAnsi="宋体"/>
        </w:rPr>
      </w:pPr>
      <w:r>
        <w:rPr>
          <w:rFonts w:hint="eastAsia" w:ascii="宋体" w:hAnsi="宋体"/>
        </w:rPr>
        <w:t>（11）分项报价表</w:t>
      </w:r>
    </w:p>
    <w:p>
      <w:pPr>
        <w:ind w:left="2" w:firstLine="422" w:firstLineChars="176"/>
        <w:rPr>
          <w:rFonts w:ascii="宋体" w:hAnsi="宋体"/>
        </w:rPr>
      </w:pPr>
      <w:r>
        <w:rPr>
          <w:rFonts w:hint="eastAsia" w:ascii="宋体" w:hAnsi="宋体"/>
        </w:rPr>
        <w:t>（12）技术规格响应表</w:t>
      </w:r>
    </w:p>
    <w:p>
      <w:pPr>
        <w:ind w:left="2" w:firstLine="422" w:firstLineChars="176"/>
        <w:rPr>
          <w:rFonts w:ascii="宋体" w:hAnsi="宋体"/>
        </w:rPr>
      </w:pPr>
      <w:r>
        <w:rPr>
          <w:rFonts w:hint="eastAsia" w:ascii="宋体" w:hAnsi="宋体"/>
        </w:rPr>
        <w:t>（13）其他资格证明材料</w:t>
      </w:r>
    </w:p>
    <w:p>
      <w:pPr>
        <w:ind w:left="2" w:firstLine="422" w:firstLineChars="176"/>
        <w:rPr>
          <w:rFonts w:ascii="宋体" w:hAnsi="宋体"/>
        </w:rPr>
      </w:pPr>
      <w:r>
        <w:rPr>
          <w:rFonts w:hint="eastAsia" w:ascii="宋体" w:hAnsi="宋体"/>
        </w:rPr>
        <w:t>（14）投标产品相关资料</w:t>
      </w:r>
    </w:p>
    <w:p>
      <w:pPr>
        <w:ind w:left="2" w:firstLine="422" w:firstLineChars="176"/>
        <w:rPr>
          <w:rFonts w:ascii="宋体" w:hAnsi="宋体"/>
        </w:rPr>
      </w:pPr>
      <w:r>
        <w:rPr>
          <w:rFonts w:hint="eastAsia" w:ascii="宋体" w:hAnsi="宋体"/>
        </w:rPr>
        <w:t>（15）投标人类似业绩证明材料</w:t>
      </w:r>
    </w:p>
    <w:p>
      <w:pPr>
        <w:ind w:left="2" w:firstLine="422" w:firstLineChars="176"/>
        <w:rPr>
          <w:rFonts w:ascii="宋体" w:hAnsi="宋体"/>
        </w:rPr>
      </w:pPr>
      <w:r>
        <w:rPr>
          <w:rFonts w:hint="eastAsia" w:ascii="宋体" w:hAnsi="宋体"/>
        </w:rPr>
        <w:t>（16）中小企业声明函</w:t>
      </w:r>
    </w:p>
    <w:p>
      <w:pPr>
        <w:ind w:left="2" w:firstLine="422" w:firstLineChars="176"/>
        <w:rPr>
          <w:rFonts w:ascii="宋体" w:hAnsi="宋体"/>
        </w:rPr>
      </w:pPr>
      <w:r>
        <w:rPr>
          <w:rFonts w:hint="eastAsia" w:ascii="宋体" w:hAnsi="宋体"/>
        </w:rPr>
        <w:t>（17）残疾人福利性单位声明函</w:t>
      </w:r>
    </w:p>
    <w:p>
      <w:pPr>
        <w:ind w:left="2" w:firstLine="422" w:firstLineChars="176"/>
        <w:rPr>
          <w:rFonts w:ascii="宋体" w:hAnsi="宋体"/>
        </w:rPr>
      </w:pPr>
      <w:r>
        <w:rPr>
          <w:rFonts w:hint="eastAsia" w:ascii="宋体" w:hAnsi="宋体"/>
        </w:rPr>
        <w:t>（18）项目管理实施方案及售后服务</w:t>
      </w:r>
    </w:p>
    <w:p>
      <w:pPr>
        <w:ind w:left="2" w:firstLine="422" w:firstLineChars="176"/>
        <w:rPr>
          <w:rFonts w:ascii="宋体" w:hAnsi="宋体"/>
        </w:rPr>
      </w:pPr>
      <w:r>
        <w:rPr>
          <w:rFonts w:hint="eastAsia" w:ascii="宋体" w:hAnsi="宋体"/>
        </w:rPr>
        <w:t>（19）投标人在其他方面有必要说明的事项</w:t>
      </w:r>
    </w:p>
    <w:p>
      <w:pPr>
        <w:ind w:left="2" w:firstLine="422" w:firstLineChars="176"/>
        <w:rPr>
          <w:rFonts w:ascii="宋体" w:hAnsi="宋体"/>
        </w:rPr>
      </w:pPr>
      <w:r>
        <w:rPr>
          <w:rFonts w:hint="eastAsia" w:ascii="宋体" w:hAnsi="宋体"/>
        </w:rPr>
        <w:t>注：投标人须按上述内容、顺序和第12项“投标文件的格式及编制要求”格式编制、</w:t>
      </w:r>
      <w:r>
        <w:rPr>
          <w:rFonts w:hint="eastAsia" w:ascii="宋体" w:hAnsi="宋体" w:cs="宋体"/>
          <w:lang w:val="zh-CN"/>
        </w:rPr>
        <w:t>与数据文件一并上传至青海省政府采购电子化平台</w:t>
      </w:r>
      <w:r>
        <w:rPr>
          <w:rFonts w:hint="eastAsia" w:ascii="宋体" w:hAnsi="宋体"/>
        </w:rPr>
        <w:t>。</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46" w:name="_Toc325726014"/>
      <w:bookmarkStart w:id="47" w:name="_Toc376936745"/>
      <w:bookmarkStart w:id="48" w:name="_Toc82441594"/>
      <w:r>
        <w:rPr>
          <w:rFonts w:hint="eastAsia" w:ascii="宋体" w:hAnsi="宋体"/>
          <w:b/>
          <w:bCs/>
          <w:kern w:val="0"/>
          <w:sz w:val="27"/>
          <w:szCs w:val="27"/>
        </w:rPr>
        <w:t>12.</w:t>
      </w:r>
      <w:bookmarkEnd w:id="46"/>
      <w:bookmarkStart w:id="49" w:name="_Toc325726015"/>
      <w:r>
        <w:rPr>
          <w:rFonts w:hint="eastAsia" w:ascii="宋体" w:hAnsi="宋体"/>
          <w:b/>
          <w:bCs/>
          <w:kern w:val="0"/>
          <w:sz w:val="27"/>
          <w:szCs w:val="27"/>
        </w:rPr>
        <w:t xml:space="preserve"> 投标文件的格式及编制要求</w:t>
      </w:r>
      <w:bookmarkEnd w:id="47"/>
      <w:bookmarkEnd w:id="48"/>
    </w:p>
    <w:p>
      <w:pPr>
        <w:autoSpaceDE w:val="0"/>
        <w:autoSpaceDN w:val="0"/>
        <w:adjustRightInd w:val="0"/>
        <w:ind w:firstLine="530" w:firstLineChars="221"/>
        <w:rPr>
          <w:rFonts w:ascii="宋体" w:hAnsi="宋体" w:cs="宋体"/>
        </w:rPr>
      </w:pPr>
      <w:r>
        <w:rPr>
          <w:rFonts w:hint="eastAsia" w:ascii="宋体" w:hAnsi="宋体" w:cs="宋体"/>
          <w:lang w:val="zh-CN"/>
        </w:rPr>
        <w:t xml:space="preserve">12.1 </w:t>
      </w:r>
      <w:r>
        <w:rPr>
          <w:rFonts w:hint="eastAsia" w:ascii="宋体" w:hAnsi="宋体" w:cs="宋体"/>
        </w:rPr>
        <w:t>投标文件格式及编制要求：详见第一部分投标人须知前附表“投标文件格式及编制要求”。</w:t>
      </w:r>
    </w:p>
    <w:p>
      <w:pPr>
        <w:autoSpaceDE w:val="0"/>
        <w:autoSpaceDN w:val="0"/>
        <w:adjustRightInd w:val="0"/>
        <w:ind w:firstLine="530" w:firstLineChars="221"/>
        <w:rPr>
          <w:rFonts w:ascii="宋体" w:hAnsi="宋体" w:cs="宋体"/>
          <w:lang w:val="zh-CN"/>
        </w:rPr>
      </w:pPr>
      <w:r>
        <w:rPr>
          <w:rFonts w:hint="eastAsia" w:ascii="宋体" w:hAnsi="宋体" w:cs="宋体"/>
        </w:rPr>
        <w:t>12.2 投标文件编制要求：详见第一部分投标人须知前附表“投标文件编制要求”。</w:t>
      </w:r>
    </w:p>
    <w:p>
      <w:pPr>
        <w:autoSpaceDE w:val="0"/>
        <w:autoSpaceDN w:val="0"/>
        <w:adjustRightInd w:val="0"/>
        <w:ind w:firstLine="530" w:firstLineChars="221"/>
        <w:rPr>
          <w:rFonts w:ascii="宋体" w:hAnsi="宋体"/>
        </w:rPr>
      </w:pPr>
      <w:r>
        <w:rPr>
          <w:rFonts w:hint="eastAsia" w:ascii="宋体" w:hAnsi="宋体"/>
        </w:rPr>
        <w:t xml:space="preserve">12.3 </w:t>
      </w:r>
      <w:r>
        <w:rPr>
          <w:rFonts w:hint="eastAsia" w:ascii="宋体" w:hAnsi="宋体" w:cs="宋体"/>
          <w:lang w:val="zh-CN"/>
        </w:rPr>
        <w:t>投标人须在 “法定代表人授权书”中提供被授权人（委托代理人）准确的联系方式（手机或固定电话）</w:t>
      </w:r>
      <w:r>
        <w:rPr>
          <w:rFonts w:hint="eastAsia" w:ascii="宋体" w:hAnsi="宋体"/>
        </w:rPr>
        <w:t>。</w:t>
      </w:r>
    </w:p>
    <w:bookmarkEnd w:id="49"/>
    <w:p>
      <w:pPr>
        <w:widowControl/>
        <w:spacing w:beforeLines="200" w:afterLines="200" w:line="240" w:lineRule="auto"/>
        <w:ind w:firstLine="0" w:firstLineChars="0"/>
        <w:jc w:val="center"/>
        <w:outlineLvl w:val="1"/>
        <w:rPr>
          <w:rFonts w:ascii="宋体" w:hAnsi="宋体"/>
          <w:b/>
          <w:bCs/>
          <w:kern w:val="0"/>
          <w:sz w:val="36"/>
          <w:szCs w:val="36"/>
        </w:rPr>
      </w:pPr>
      <w:bookmarkStart w:id="50" w:name="_Toc376936746"/>
      <w:bookmarkStart w:id="51" w:name="_Toc371090027"/>
      <w:bookmarkStart w:id="52" w:name="_Toc82441595"/>
      <w:r>
        <w:rPr>
          <w:rFonts w:hint="eastAsia" w:ascii="宋体" w:hAnsi="宋体"/>
          <w:b/>
          <w:bCs/>
          <w:kern w:val="0"/>
          <w:sz w:val="36"/>
          <w:szCs w:val="36"/>
        </w:rPr>
        <w:t>四、 网上投标</w:t>
      </w:r>
      <w:bookmarkEnd w:id="50"/>
      <w:bookmarkEnd w:id="51"/>
      <w:bookmarkEnd w:id="52"/>
    </w:p>
    <w:p>
      <w:pPr>
        <w:widowControl/>
        <w:spacing w:before="100" w:beforeAutospacing="1" w:after="100" w:afterAutospacing="1" w:line="240" w:lineRule="auto"/>
        <w:ind w:firstLine="542"/>
        <w:jc w:val="left"/>
        <w:outlineLvl w:val="2"/>
        <w:rPr>
          <w:rFonts w:ascii="宋体" w:hAnsi="宋体"/>
          <w:b/>
          <w:bCs/>
          <w:kern w:val="0"/>
          <w:sz w:val="27"/>
          <w:szCs w:val="27"/>
        </w:rPr>
      </w:pPr>
      <w:bookmarkStart w:id="53" w:name="_Toc82441596"/>
      <w:bookmarkStart w:id="54" w:name="_Toc371090028"/>
      <w:bookmarkStart w:id="55" w:name="_Toc376936747"/>
      <w:r>
        <w:rPr>
          <w:rFonts w:hint="eastAsia" w:ascii="宋体" w:hAnsi="宋体"/>
          <w:b/>
          <w:bCs/>
          <w:kern w:val="0"/>
          <w:sz w:val="27"/>
          <w:szCs w:val="27"/>
        </w:rPr>
        <w:t>13.网上投标</w:t>
      </w:r>
      <w:bookmarkEnd w:id="53"/>
      <w:bookmarkEnd w:id="54"/>
      <w:bookmarkEnd w:id="55"/>
    </w:p>
    <w:p>
      <w:pPr>
        <w:ind w:firstLine="480"/>
        <w:rPr>
          <w:rFonts w:ascii="宋体" w:hAnsi="宋体"/>
        </w:rPr>
      </w:pPr>
      <w:r>
        <w:rPr>
          <w:rFonts w:hint="eastAsia" w:ascii="宋体" w:hAnsi="宋体"/>
        </w:rPr>
        <w:t>13.1 投标人应在青海省政府采购电子化平台上报价并上传电子投标文件。</w:t>
      </w:r>
    </w:p>
    <w:p>
      <w:pPr>
        <w:ind w:firstLine="480"/>
        <w:rPr>
          <w:rFonts w:ascii="宋体" w:hAnsi="宋体"/>
        </w:rPr>
      </w:pPr>
      <w:r>
        <w:rPr>
          <w:rFonts w:hint="eastAsia" w:ascii="宋体" w:hAnsi="宋体"/>
        </w:rPr>
        <w:t>13.2 投标人应按所投包缴纳投标保证金，并按包报价，填写交货期。</w:t>
      </w:r>
    </w:p>
    <w:p>
      <w:pPr>
        <w:ind w:firstLine="480"/>
        <w:rPr>
          <w:rFonts w:ascii="宋体" w:hAnsi="宋体"/>
        </w:rPr>
      </w:pPr>
      <w:r>
        <w:rPr>
          <w:rFonts w:hint="eastAsia" w:ascii="宋体" w:hAnsi="宋体"/>
        </w:rPr>
        <w:t>13.3 开标时的“开标一览表”由各投标人网上报价生成。</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56" w:name="_Toc82441597"/>
      <w:bookmarkStart w:id="57" w:name="_Toc371090029"/>
      <w:bookmarkStart w:id="58" w:name="_Toc376936748"/>
      <w:r>
        <w:rPr>
          <w:rFonts w:hint="eastAsia" w:ascii="宋体" w:hAnsi="宋体"/>
          <w:b/>
          <w:bCs/>
          <w:kern w:val="0"/>
          <w:sz w:val="27"/>
          <w:szCs w:val="27"/>
        </w:rPr>
        <w:t>14.投标截止日期</w:t>
      </w:r>
      <w:bookmarkEnd w:id="56"/>
      <w:bookmarkEnd w:id="57"/>
      <w:bookmarkEnd w:id="58"/>
    </w:p>
    <w:p>
      <w:pPr>
        <w:ind w:firstLine="480"/>
        <w:rPr>
          <w:rFonts w:ascii="宋体" w:hAnsi="宋体"/>
        </w:rPr>
      </w:pPr>
      <w:r>
        <w:rPr>
          <w:rFonts w:hint="eastAsia" w:ascii="宋体" w:hAnsi="宋体"/>
        </w:rPr>
        <w:t>14.1 若采购人、集中采购机构推迟投标截止期，采购人、集中采购机构和投标人受投标截止期约束的所有权利和义务均延长至新的投标截止期。</w:t>
      </w:r>
    </w:p>
    <w:p>
      <w:pPr>
        <w:ind w:firstLine="480"/>
        <w:rPr>
          <w:rFonts w:ascii="宋体" w:hAnsi="宋体"/>
        </w:rPr>
      </w:pPr>
      <w:r>
        <w:rPr>
          <w:rFonts w:hint="eastAsia" w:ascii="宋体" w:hAnsi="宋体"/>
        </w:rPr>
        <w:t>14.2 采购人、集中采购机构按照“投标人须知”第6条规定，通过修改招标文件延长投标截止日期，在此情况下，采购人、集中采购机构、投标人受投标截止时间制约的所有权利和义务均延长至新的截止日期。</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59" w:name="_Toc376936749"/>
      <w:bookmarkStart w:id="60" w:name="_Toc371090030"/>
      <w:bookmarkStart w:id="61" w:name="_Toc82441598"/>
      <w:r>
        <w:rPr>
          <w:rFonts w:hint="eastAsia" w:ascii="宋体" w:hAnsi="宋体"/>
          <w:b/>
          <w:bCs/>
          <w:kern w:val="0"/>
          <w:sz w:val="27"/>
          <w:szCs w:val="27"/>
        </w:rPr>
        <w:t>15.投标文件的撤回</w:t>
      </w:r>
      <w:bookmarkEnd w:id="59"/>
      <w:bookmarkEnd w:id="60"/>
      <w:bookmarkEnd w:id="61"/>
    </w:p>
    <w:p>
      <w:pPr>
        <w:ind w:firstLine="480"/>
        <w:rPr>
          <w:rFonts w:ascii="宋体" w:hAnsi="宋体"/>
        </w:rPr>
      </w:pPr>
      <w:r>
        <w:rPr>
          <w:rFonts w:hint="eastAsia" w:ascii="宋体" w:hAnsi="宋体"/>
        </w:rPr>
        <w:t>允许投标人在投标截止时间前声明撤回投标文件（须以书面形式通知集中采购机构），但投标截止时间后不得撤回其投标，否则其缴纳的投标保证金将不予退还。</w:t>
      </w:r>
    </w:p>
    <w:p>
      <w:pPr>
        <w:widowControl/>
        <w:spacing w:beforeLines="200" w:afterLines="200" w:line="240" w:lineRule="auto"/>
        <w:ind w:firstLine="0" w:firstLineChars="0"/>
        <w:jc w:val="center"/>
        <w:outlineLvl w:val="1"/>
        <w:rPr>
          <w:rFonts w:ascii="宋体" w:hAnsi="宋体"/>
          <w:b/>
          <w:bCs/>
          <w:kern w:val="0"/>
          <w:sz w:val="36"/>
          <w:szCs w:val="36"/>
        </w:rPr>
      </w:pPr>
      <w:bookmarkStart w:id="62" w:name="_Toc325726019"/>
      <w:bookmarkStart w:id="63" w:name="_Toc376936750"/>
      <w:bookmarkStart w:id="64" w:name="_Toc82441599"/>
      <w:r>
        <w:rPr>
          <w:rFonts w:hint="eastAsia" w:ascii="宋体" w:hAnsi="宋体"/>
          <w:b/>
          <w:bCs/>
          <w:kern w:val="0"/>
          <w:sz w:val="36"/>
          <w:szCs w:val="36"/>
        </w:rPr>
        <w:t>五、开标</w:t>
      </w:r>
      <w:bookmarkEnd w:id="62"/>
      <w:bookmarkEnd w:id="63"/>
      <w:bookmarkEnd w:id="64"/>
    </w:p>
    <w:p>
      <w:pPr>
        <w:widowControl/>
        <w:spacing w:before="100" w:beforeAutospacing="1" w:after="100" w:afterAutospacing="1" w:line="240" w:lineRule="auto"/>
        <w:ind w:firstLine="542"/>
        <w:jc w:val="left"/>
        <w:outlineLvl w:val="2"/>
        <w:rPr>
          <w:rFonts w:ascii="宋体" w:hAnsi="宋体"/>
          <w:b/>
          <w:bCs/>
          <w:kern w:val="0"/>
          <w:sz w:val="27"/>
          <w:szCs w:val="27"/>
        </w:rPr>
      </w:pPr>
      <w:bookmarkStart w:id="65" w:name="_Toc82441600"/>
      <w:bookmarkStart w:id="66" w:name="_Toc376936751"/>
      <w:bookmarkStart w:id="67" w:name="_Toc325726020"/>
      <w:r>
        <w:rPr>
          <w:rFonts w:hint="eastAsia" w:ascii="宋体" w:hAnsi="宋体"/>
          <w:b/>
          <w:bCs/>
          <w:kern w:val="0"/>
          <w:sz w:val="27"/>
          <w:szCs w:val="27"/>
        </w:rPr>
        <w:t>16.开标</w:t>
      </w:r>
      <w:bookmarkEnd w:id="65"/>
      <w:bookmarkEnd w:id="66"/>
      <w:bookmarkEnd w:id="67"/>
    </w:p>
    <w:p>
      <w:pPr>
        <w:ind w:firstLine="480"/>
        <w:rPr>
          <w:rFonts w:ascii="宋体" w:hAnsi="宋体"/>
        </w:rPr>
      </w:pPr>
      <w:r>
        <w:rPr>
          <w:rFonts w:hint="eastAsia" w:ascii="宋体" w:hAnsi="宋体"/>
        </w:rPr>
        <w:t>16.1采购人、集中采购机构在青海省政府采购电子化平台上组织开标、评标活动，时间和地点以本招标文件中确定的为准。</w:t>
      </w:r>
    </w:p>
    <w:p>
      <w:pPr>
        <w:ind w:firstLine="480"/>
        <w:rPr>
          <w:rFonts w:ascii="宋体" w:hAnsi="宋体"/>
        </w:rPr>
      </w:pPr>
      <w:r>
        <w:rPr>
          <w:rFonts w:hint="eastAsia" w:ascii="宋体" w:hAnsi="宋体"/>
        </w:rPr>
        <w:t>16.2 投标截止时间投标人不足三家的，不得开标。</w:t>
      </w:r>
    </w:p>
    <w:p>
      <w:pPr>
        <w:ind w:firstLine="480"/>
        <w:rPr>
          <w:rFonts w:ascii="宋体" w:hAnsi="宋体"/>
        </w:rPr>
      </w:pPr>
      <w:r>
        <w:rPr>
          <w:rFonts w:hint="eastAsia" w:ascii="宋体" w:hAnsi="宋体"/>
        </w:rPr>
        <w:t>16.3开标时，潜在投标人未在青海省政府采购电子化平台上报价的，视同未参与投标。</w:t>
      </w:r>
    </w:p>
    <w:p>
      <w:pPr>
        <w:ind w:firstLine="480"/>
        <w:rPr>
          <w:rFonts w:ascii="宋体" w:hAnsi="宋体"/>
        </w:rPr>
      </w:pPr>
      <w:r>
        <w:rPr>
          <w:rFonts w:hint="eastAsia" w:ascii="宋体" w:hAnsi="宋体"/>
        </w:rPr>
        <w:t>16.4开标后，投标人在青海省政府采购电子化平台上报价与投标文件内容不一致的，以网上报价为准。若拒绝接受，其投标无效。若出现投标文件中“投标报价一览表”内容与“分项报价表”内容不一致的，以“投标报价一览表”为准；投标文件中大写金额与小写金额不一致的，以大写金额为准；单价金额小数点或百分比有明显错位的，以“投标报价一览表”的总价为准，并修改单价；总价金额与按单价汇总金额不一致的，以单价金额计算结果为准；对不同文字文本投标文件的解释发生异议的，以中文文本为准。同时出现两种以上不一致的，按照前款规定的顺序修正。修正后的报价经投标人确认后产生约束力。投标人不确认的，其投标无效。</w:t>
      </w:r>
    </w:p>
    <w:p>
      <w:pPr>
        <w:ind w:firstLine="480"/>
        <w:rPr>
          <w:rFonts w:ascii="宋体" w:hAnsi="宋体"/>
        </w:rPr>
      </w:pPr>
      <w:r>
        <w:rPr>
          <w:rFonts w:hint="eastAsia" w:ascii="宋体" w:hAnsi="宋体"/>
        </w:rPr>
        <w:t>16.5开标工作由集中采购机构组织，采购人、采购管理、纪检监察等有关方面代表可根据采购项目的具体情况列席，并对开标过程签字确认。评标委员会成员不得参加开标活动。</w:t>
      </w:r>
    </w:p>
    <w:p>
      <w:pPr>
        <w:ind w:firstLine="480"/>
        <w:rPr>
          <w:rFonts w:ascii="宋体" w:hAnsi="宋体"/>
        </w:rPr>
      </w:pPr>
      <w:r>
        <w:rPr>
          <w:rFonts w:hint="eastAsia" w:ascii="宋体" w:hAnsi="宋体"/>
        </w:rPr>
        <w:t>16.6开标后，投标人可登录青海省政府采购电子化平台同步查看“开标一览表”及开标情况。</w:t>
      </w:r>
    </w:p>
    <w:p>
      <w:pPr>
        <w:ind w:firstLine="480"/>
        <w:rPr>
          <w:rFonts w:ascii="宋体" w:hAnsi="宋体"/>
        </w:rPr>
      </w:pPr>
      <w:bookmarkStart w:id="68" w:name="_Toc325726021"/>
      <w:bookmarkStart w:id="69" w:name="_Toc376936752"/>
      <w:r>
        <w:rPr>
          <w:rFonts w:hint="eastAsia" w:ascii="宋体" w:hAnsi="宋体"/>
        </w:rPr>
        <w:t>16.7 开标后投标人必须在规定的时间内解密文件，因投标人输入密码错误（10次输入机会）、未能按时完成解密、其《数据文件》填写、盖章不规范等原因导致系统无法解析、或上传的投标文件损坏无法正常打开的，将会被视为无效投标。</w:t>
      </w:r>
    </w:p>
    <w:p>
      <w:pPr>
        <w:widowControl/>
        <w:spacing w:beforeLines="200" w:afterLines="200" w:line="240" w:lineRule="auto"/>
        <w:ind w:firstLine="0" w:firstLineChars="0"/>
        <w:jc w:val="center"/>
        <w:outlineLvl w:val="1"/>
        <w:rPr>
          <w:rFonts w:ascii="宋体" w:hAnsi="宋体"/>
          <w:b/>
          <w:bCs/>
          <w:kern w:val="0"/>
          <w:sz w:val="36"/>
          <w:szCs w:val="36"/>
        </w:rPr>
      </w:pPr>
      <w:bookmarkStart w:id="70" w:name="_Toc82441601"/>
      <w:r>
        <w:rPr>
          <w:rFonts w:hint="eastAsia" w:ascii="宋体" w:hAnsi="宋体"/>
          <w:b/>
          <w:bCs/>
          <w:kern w:val="0"/>
          <w:sz w:val="36"/>
          <w:szCs w:val="36"/>
        </w:rPr>
        <w:t>六、资格审查程序及方法</w:t>
      </w:r>
      <w:bookmarkEnd w:id="70"/>
    </w:p>
    <w:p>
      <w:pPr>
        <w:widowControl/>
        <w:spacing w:before="100" w:beforeAutospacing="1" w:after="100" w:afterAutospacing="1" w:line="240" w:lineRule="auto"/>
        <w:ind w:firstLine="542"/>
        <w:jc w:val="left"/>
        <w:outlineLvl w:val="2"/>
        <w:rPr>
          <w:rFonts w:ascii="宋体" w:hAnsi="宋体"/>
          <w:b/>
          <w:bCs/>
          <w:kern w:val="0"/>
          <w:sz w:val="27"/>
          <w:szCs w:val="27"/>
        </w:rPr>
      </w:pPr>
      <w:bookmarkStart w:id="71" w:name="_Toc82441602"/>
      <w:r>
        <w:rPr>
          <w:rFonts w:hint="eastAsia" w:ascii="宋体" w:hAnsi="宋体"/>
          <w:b/>
          <w:bCs/>
          <w:kern w:val="0"/>
          <w:sz w:val="27"/>
          <w:szCs w:val="27"/>
        </w:rPr>
        <w:t>17. 资格审查程序</w:t>
      </w:r>
      <w:bookmarkEnd w:id="71"/>
    </w:p>
    <w:p>
      <w:pPr>
        <w:ind w:firstLine="480"/>
        <w:rPr>
          <w:rFonts w:ascii="宋体" w:hAnsi="宋体"/>
        </w:rPr>
      </w:pPr>
      <w:r>
        <w:rPr>
          <w:rFonts w:hint="eastAsia" w:ascii="宋体" w:hAnsi="宋体"/>
        </w:rPr>
        <w:t>17.1 开标结束后，由采购人、集中采购机构依法对投标人的资格进行审查。</w:t>
      </w:r>
    </w:p>
    <w:p>
      <w:pPr>
        <w:ind w:firstLine="480"/>
        <w:rPr>
          <w:rFonts w:ascii="Arial" w:hAnsi="Arial" w:cs="Arial"/>
          <w:kern w:val="0"/>
        </w:rPr>
      </w:pPr>
      <w:r>
        <w:rPr>
          <w:rFonts w:hint="eastAsia" w:ascii="宋体" w:hAnsi="宋体"/>
        </w:rPr>
        <w:t xml:space="preserve">17.2 </w:t>
      </w:r>
      <w:r>
        <w:rPr>
          <w:rFonts w:ascii="Arial" w:hAnsi="Arial" w:cs="Arial"/>
          <w:kern w:val="0"/>
        </w:rPr>
        <w:t>合格投标人不足</w:t>
      </w:r>
      <w:r>
        <w:rPr>
          <w:rFonts w:hint="eastAsia" w:ascii="Arial" w:hAnsi="Arial" w:cs="Arial"/>
          <w:kern w:val="0"/>
        </w:rPr>
        <w:t>3</w:t>
      </w:r>
      <w:r>
        <w:rPr>
          <w:rFonts w:ascii="Arial" w:hAnsi="Arial" w:cs="Arial"/>
          <w:kern w:val="0"/>
        </w:rPr>
        <w:t>家的，不得评标。</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72" w:name="_Toc82441603"/>
      <w:r>
        <w:rPr>
          <w:rFonts w:hint="eastAsia" w:ascii="宋体" w:hAnsi="宋体"/>
          <w:b/>
          <w:bCs/>
          <w:kern w:val="0"/>
          <w:sz w:val="27"/>
          <w:szCs w:val="27"/>
        </w:rPr>
        <w:t>18.资格审查不通过的情形</w:t>
      </w:r>
      <w:bookmarkEnd w:id="72"/>
    </w:p>
    <w:p>
      <w:pPr>
        <w:ind w:firstLine="480"/>
        <w:jc w:val="left"/>
        <w:rPr>
          <w:rFonts w:ascii="宋体" w:hAnsi="宋体"/>
        </w:rPr>
      </w:pPr>
      <w:r>
        <w:rPr>
          <w:rFonts w:hint="eastAsia" w:ascii="宋体" w:hAnsi="宋体"/>
        </w:rPr>
        <w:t>资格审查时，投标人存在下列情况之一的，按无效投标处理：</w:t>
      </w:r>
    </w:p>
    <w:p>
      <w:pPr>
        <w:ind w:firstLine="480"/>
        <w:jc w:val="left"/>
        <w:rPr>
          <w:rFonts w:ascii="宋体" w:hAnsi="宋体"/>
        </w:rPr>
      </w:pPr>
      <w:r>
        <w:rPr>
          <w:rFonts w:hint="eastAsia" w:ascii="宋体" w:hAnsi="宋体"/>
        </w:rPr>
        <w:t>18.1 不符合招标文件第一部分投标人须知前附表“供应商资格条件”的；</w:t>
      </w:r>
    </w:p>
    <w:p>
      <w:pPr>
        <w:ind w:firstLine="480"/>
        <w:jc w:val="left"/>
        <w:rPr>
          <w:rFonts w:ascii="宋体" w:hAnsi="宋体"/>
        </w:rPr>
      </w:pPr>
      <w:r>
        <w:rPr>
          <w:rFonts w:hint="eastAsia" w:ascii="宋体" w:hAnsi="宋体"/>
        </w:rPr>
        <w:t>18.2 未按招标文件要求缴纳或未足额缴纳投标保证金的；</w:t>
      </w:r>
    </w:p>
    <w:p>
      <w:pPr>
        <w:ind w:firstLine="480"/>
        <w:jc w:val="left"/>
        <w:rPr>
          <w:rFonts w:ascii="宋体" w:hAnsi="宋体"/>
        </w:rPr>
      </w:pPr>
      <w:r>
        <w:rPr>
          <w:rFonts w:hint="eastAsia" w:ascii="宋体" w:hAnsi="宋体"/>
        </w:rPr>
        <w:t>18.3 未按第11.1.1款（1）-（9）要求提供相关资料的；</w:t>
      </w:r>
    </w:p>
    <w:p>
      <w:pPr>
        <w:ind w:firstLine="480"/>
        <w:jc w:val="left"/>
        <w:rPr>
          <w:rFonts w:ascii="宋体" w:hAnsi="宋体"/>
        </w:rPr>
      </w:pPr>
      <w:r>
        <w:rPr>
          <w:rFonts w:hint="eastAsia" w:ascii="宋体" w:hAnsi="宋体"/>
        </w:rPr>
        <w:t>18.4 资格性审查部分没有按招标文件规定和要求签字、盖章的；</w:t>
      </w:r>
    </w:p>
    <w:p>
      <w:pPr>
        <w:ind w:firstLine="480"/>
        <w:jc w:val="left"/>
        <w:rPr>
          <w:rFonts w:ascii="宋体" w:hAnsi="宋体"/>
        </w:rPr>
      </w:pPr>
      <w:r>
        <w:rPr>
          <w:rFonts w:hint="eastAsia" w:ascii="宋体" w:hAnsi="宋体"/>
        </w:rPr>
        <w:t>18.5 擅自修改招标文件规定的投标文件格式以及编制要求的。</w:t>
      </w:r>
    </w:p>
    <w:p>
      <w:pPr>
        <w:widowControl/>
        <w:spacing w:beforeLines="200" w:afterLines="200" w:line="240" w:lineRule="auto"/>
        <w:ind w:firstLine="0" w:firstLineChars="0"/>
        <w:jc w:val="center"/>
        <w:outlineLvl w:val="1"/>
        <w:rPr>
          <w:rFonts w:ascii="宋体" w:hAnsi="宋体"/>
          <w:b/>
          <w:bCs/>
          <w:kern w:val="0"/>
          <w:sz w:val="36"/>
          <w:szCs w:val="36"/>
        </w:rPr>
      </w:pPr>
      <w:bookmarkStart w:id="73" w:name="_Toc82441604"/>
      <w:r>
        <w:rPr>
          <w:rFonts w:hint="eastAsia" w:ascii="宋体" w:hAnsi="宋体"/>
          <w:b/>
          <w:bCs/>
          <w:kern w:val="0"/>
          <w:sz w:val="36"/>
          <w:szCs w:val="36"/>
        </w:rPr>
        <w:t>七、评标程序及方法</w:t>
      </w:r>
      <w:bookmarkEnd w:id="68"/>
      <w:bookmarkEnd w:id="69"/>
      <w:bookmarkEnd w:id="73"/>
    </w:p>
    <w:p>
      <w:pPr>
        <w:widowControl/>
        <w:spacing w:before="100" w:beforeAutospacing="1" w:after="100" w:afterAutospacing="1" w:line="240" w:lineRule="auto"/>
        <w:ind w:firstLine="542"/>
        <w:jc w:val="left"/>
        <w:outlineLvl w:val="2"/>
        <w:rPr>
          <w:rFonts w:ascii="宋体" w:hAnsi="宋体"/>
          <w:b/>
          <w:bCs/>
          <w:kern w:val="0"/>
          <w:sz w:val="27"/>
          <w:szCs w:val="27"/>
        </w:rPr>
      </w:pPr>
      <w:bookmarkStart w:id="74" w:name="_Toc325726022"/>
      <w:bookmarkStart w:id="75" w:name="_Toc82441605"/>
      <w:bookmarkStart w:id="76" w:name="_Toc376936753"/>
      <w:r>
        <w:rPr>
          <w:rFonts w:hint="eastAsia" w:ascii="宋体" w:hAnsi="宋体"/>
          <w:b/>
          <w:bCs/>
          <w:kern w:val="0"/>
          <w:sz w:val="27"/>
          <w:szCs w:val="27"/>
        </w:rPr>
        <w:t>19.评标委员会</w:t>
      </w:r>
      <w:bookmarkEnd w:id="74"/>
      <w:bookmarkEnd w:id="75"/>
      <w:bookmarkEnd w:id="76"/>
    </w:p>
    <w:p>
      <w:pPr>
        <w:ind w:firstLine="480"/>
        <w:jc w:val="left"/>
        <w:rPr>
          <w:rFonts w:ascii="宋体" w:hAnsi="宋体"/>
        </w:rPr>
      </w:pPr>
      <w:r>
        <w:rPr>
          <w:rFonts w:hint="eastAsia" w:ascii="宋体" w:hAnsi="宋体"/>
        </w:rPr>
        <w:t>19.1 采购人、集中采购机构将根据采购项目的特点依法组建评标委员会，其成员由具有一定专业水平的技术、经济等方面的专家和采购人代表等五人以上单数组成。其中技术、经济等方面的专家不少于成员总数的三分之二。</w:t>
      </w:r>
    </w:p>
    <w:p>
      <w:pPr>
        <w:ind w:firstLine="480"/>
        <w:jc w:val="left"/>
        <w:rPr>
          <w:rFonts w:ascii="宋体" w:hAnsi="宋体"/>
        </w:rPr>
      </w:pPr>
      <w:r>
        <w:rPr>
          <w:rFonts w:hint="eastAsia" w:ascii="宋体" w:hAnsi="宋体"/>
        </w:rPr>
        <w:t>19.2评标由采购人、集中采购机构负责组织，具体评标事务由依法组建的评标委员会负责，并独立履行下列职责：</w:t>
      </w:r>
    </w:p>
    <w:p>
      <w:pPr>
        <w:ind w:firstLine="480"/>
        <w:jc w:val="left"/>
        <w:rPr>
          <w:rFonts w:ascii="宋体" w:hAnsi="宋体"/>
        </w:rPr>
      </w:pPr>
      <w:r>
        <w:rPr>
          <w:rFonts w:hint="eastAsia" w:ascii="宋体" w:hAnsi="宋体"/>
        </w:rPr>
        <w:t>（1）审查、评价投标文件是否符合招标文件的商务、技术等实质性要求；</w:t>
      </w:r>
    </w:p>
    <w:p>
      <w:pPr>
        <w:ind w:firstLine="480"/>
        <w:jc w:val="left"/>
        <w:rPr>
          <w:rFonts w:ascii="宋体" w:hAnsi="宋体"/>
        </w:rPr>
      </w:pPr>
      <w:r>
        <w:rPr>
          <w:rFonts w:hint="eastAsia" w:ascii="宋体" w:hAnsi="宋体"/>
        </w:rPr>
        <w:t>（2）要求投标人对投标文件有关事项作出澄清或者说明；</w:t>
      </w:r>
    </w:p>
    <w:p>
      <w:pPr>
        <w:ind w:firstLine="480"/>
        <w:jc w:val="left"/>
        <w:rPr>
          <w:rFonts w:ascii="宋体" w:hAnsi="宋体"/>
        </w:rPr>
      </w:pPr>
      <w:r>
        <w:rPr>
          <w:rFonts w:hint="eastAsia" w:ascii="宋体" w:hAnsi="宋体"/>
        </w:rPr>
        <w:t>（3）对投标文件进行比较和评价；</w:t>
      </w:r>
    </w:p>
    <w:p>
      <w:pPr>
        <w:ind w:firstLine="480"/>
        <w:jc w:val="left"/>
        <w:rPr>
          <w:rFonts w:ascii="宋体" w:hAnsi="宋体"/>
        </w:rPr>
      </w:pPr>
      <w:r>
        <w:rPr>
          <w:rFonts w:hint="eastAsia" w:ascii="宋体" w:hAnsi="宋体"/>
        </w:rPr>
        <w:t>（4）确定中标候选人名单，以及根据采购人委托直接确定中标人；</w:t>
      </w:r>
    </w:p>
    <w:p>
      <w:pPr>
        <w:ind w:firstLine="480"/>
        <w:jc w:val="left"/>
        <w:rPr>
          <w:rFonts w:ascii="宋体" w:hAnsi="宋体"/>
        </w:rPr>
      </w:pPr>
      <w:r>
        <w:rPr>
          <w:rFonts w:hint="eastAsia" w:ascii="宋体" w:hAnsi="宋体"/>
        </w:rPr>
        <w:t>（5）向采购人、集中采购机构或者有关部门报告评标中发现的违法行为。</w:t>
      </w:r>
    </w:p>
    <w:p>
      <w:pPr>
        <w:ind w:firstLine="480"/>
        <w:jc w:val="left"/>
        <w:rPr>
          <w:rFonts w:ascii="宋体" w:hAnsi="宋体"/>
        </w:rPr>
      </w:pPr>
      <w:r>
        <w:rPr>
          <w:rFonts w:hint="eastAsia" w:ascii="宋体" w:hAnsi="宋体"/>
        </w:rPr>
        <w:t>19.3评标委员会应遵守并履行下列义务：</w:t>
      </w:r>
    </w:p>
    <w:p>
      <w:pPr>
        <w:ind w:firstLine="480"/>
        <w:jc w:val="left"/>
        <w:rPr>
          <w:rFonts w:ascii="宋体" w:hAnsi="宋体"/>
        </w:rPr>
      </w:pPr>
      <w:r>
        <w:rPr>
          <w:rFonts w:hint="eastAsia" w:ascii="宋体" w:hAnsi="宋体"/>
        </w:rPr>
        <w:t>（1）遵纪守法，客观、公正、廉洁地履行职责；</w:t>
      </w:r>
    </w:p>
    <w:p>
      <w:pPr>
        <w:ind w:firstLine="480"/>
        <w:jc w:val="left"/>
        <w:rPr>
          <w:rFonts w:ascii="宋体" w:hAnsi="宋体"/>
        </w:rPr>
      </w:pPr>
      <w:r>
        <w:rPr>
          <w:rFonts w:hint="eastAsia" w:ascii="宋体" w:hAnsi="宋体"/>
        </w:rPr>
        <w:t>（2）按照招标文件规定的评标方法和评标标准进行评审，对评审意见承担评标委员会成员责任；</w:t>
      </w:r>
    </w:p>
    <w:p>
      <w:pPr>
        <w:ind w:firstLine="480"/>
        <w:jc w:val="left"/>
        <w:rPr>
          <w:rFonts w:ascii="宋体" w:hAnsi="宋体"/>
        </w:rPr>
      </w:pPr>
      <w:r>
        <w:rPr>
          <w:rFonts w:hint="eastAsia" w:ascii="宋体" w:hAnsi="宋体"/>
        </w:rPr>
        <w:t>（3）对评标文件、评标情况和评标中获悉的商业秘密保密；</w:t>
      </w:r>
    </w:p>
    <w:p>
      <w:pPr>
        <w:ind w:firstLine="480"/>
        <w:jc w:val="left"/>
        <w:rPr>
          <w:rFonts w:ascii="宋体" w:hAnsi="宋体"/>
        </w:rPr>
      </w:pPr>
      <w:r>
        <w:rPr>
          <w:rFonts w:hint="eastAsia" w:ascii="宋体" w:hAnsi="宋体"/>
        </w:rPr>
        <w:t>（4）参与评标报告的起草；</w:t>
      </w:r>
    </w:p>
    <w:p>
      <w:pPr>
        <w:ind w:firstLine="480"/>
        <w:jc w:val="left"/>
        <w:rPr>
          <w:rFonts w:ascii="宋体" w:hAnsi="宋体"/>
        </w:rPr>
      </w:pPr>
      <w:r>
        <w:rPr>
          <w:rFonts w:hint="eastAsia" w:ascii="宋体" w:hAnsi="宋体"/>
        </w:rPr>
        <w:t>（5）解答投标供应商及有关方面的质疑；</w:t>
      </w:r>
    </w:p>
    <w:p>
      <w:pPr>
        <w:ind w:firstLine="480"/>
        <w:jc w:val="left"/>
        <w:rPr>
          <w:rFonts w:ascii="宋体" w:hAnsi="宋体"/>
        </w:rPr>
      </w:pPr>
      <w:r>
        <w:rPr>
          <w:rFonts w:hint="eastAsia" w:ascii="宋体" w:hAnsi="宋体"/>
        </w:rPr>
        <w:t>（6）配合监管部门进行投诉处理工作。</w:t>
      </w:r>
    </w:p>
    <w:p>
      <w:pPr>
        <w:ind w:firstLine="480"/>
        <w:jc w:val="left"/>
        <w:rPr>
          <w:rFonts w:ascii="宋体" w:hAnsi="宋体"/>
        </w:rPr>
      </w:pPr>
      <w:r>
        <w:rPr>
          <w:rFonts w:hint="eastAsia" w:ascii="宋体" w:hAnsi="宋体"/>
        </w:rPr>
        <w:t>19.4评标工作在有关部门的监督下依法开展，任何单位和个人不得非法干预、影响评标工作和评标结果。</w:t>
      </w:r>
    </w:p>
    <w:p>
      <w:pPr>
        <w:autoSpaceDE w:val="0"/>
        <w:autoSpaceDN w:val="0"/>
        <w:adjustRightInd w:val="0"/>
        <w:ind w:firstLine="480"/>
        <w:jc w:val="left"/>
        <w:rPr>
          <w:rFonts w:ascii="宋体" w:hAnsi="宋体"/>
        </w:rPr>
      </w:pPr>
      <w:r>
        <w:rPr>
          <w:rFonts w:hint="eastAsia" w:ascii="宋体" w:hAnsi="宋体"/>
        </w:rPr>
        <w:t>19.5 评标委员会应依据招标文件规定的评标方法和评标标准对其他因素进行客观评审。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adjustRightInd w:val="0"/>
        <w:ind w:firstLine="480"/>
        <w:jc w:val="left"/>
        <w:rPr>
          <w:rFonts w:ascii="宋体" w:hAnsi="宋体"/>
        </w:rPr>
      </w:pPr>
      <w:r>
        <w:rPr>
          <w:rFonts w:hint="eastAsia" w:ascii="宋体" w:hAnsi="宋体" w:cs="宋体"/>
        </w:rPr>
        <w:t>19.6 评标委员会发现招标文件存在歧义、重大缺陷导致评标工作无法进行，或者招标文件内容违反国家有关强制性规定的，应当停止评标工作，与采购人、集中采购机构沟通并作书面记录。采购人、集中采购机构确认后，应当修改招标文件，重新组织采购活动。</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77" w:name="_Toc82441606"/>
      <w:bookmarkStart w:id="78" w:name="_Toc376936754"/>
      <w:bookmarkStart w:id="79" w:name="_Toc325726023"/>
      <w:r>
        <w:rPr>
          <w:rFonts w:hint="eastAsia" w:ascii="宋体" w:hAnsi="宋体"/>
          <w:b/>
          <w:bCs/>
          <w:kern w:val="0"/>
          <w:sz w:val="27"/>
          <w:szCs w:val="27"/>
        </w:rPr>
        <w:t>20.评标工作程序</w:t>
      </w:r>
      <w:bookmarkEnd w:id="77"/>
      <w:bookmarkEnd w:id="78"/>
      <w:bookmarkEnd w:id="79"/>
    </w:p>
    <w:p>
      <w:pPr>
        <w:ind w:firstLine="480"/>
        <w:jc w:val="left"/>
        <w:rPr>
          <w:rFonts w:ascii="宋体" w:hAnsi="宋体"/>
        </w:rPr>
      </w:pPr>
      <w:r>
        <w:rPr>
          <w:rFonts w:hint="eastAsia" w:ascii="宋体" w:hAnsi="Courier New"/>
          <w:szCs w:val="20"/>
        </w:rPr>
        <w:t>20.1</w:t>
      </w:r>
      <w:r>
        <w:rPr>
          <w:rFonts w:hint="eastAsia" w:ascii="宋体" w:hAnsi="宋体"/>
        </w:rPr>
        <w:t>进入符合性评标阶段后，由评标委员会独立开展评标工作，负责审议资格性审查通过的所有投标文件，并对投标文件进行评审、评分。</w:t>
      </w:r>
    </w:p>
    <w:p>
      <w:pPr>
        <w:ind w:firstLine="480"/>
        <w:jc w:val="left"/>
        <w:rPr>
          <w:rFonts w:ascii="宋体" w:hAnsi="宋体"/>
        </w:rPr>
      </w:pPr>
      <w:r>
        <w:rPr>
          <w:rFonts w:hint="eastAsia" w:ascii="宋体" w:hAnsi="宋体"/>
        </w:rPr>
        <w:t>20.2 符合性审查时，存在下列情况之一的，按无效投标处理：</w:t>
      </w:r>
    </w:p>
    <w:p>
      <w:pPr>
        <w:ind w:firstLine="480"/>
        <w:jc w:val="left"/>
        <w:rPr>
          <w:rFonts w:ascii="宋体" w:hAnsi="宋体"/>
        </w:rPr>
      </w:pPr>
      <w:r>
        <w:rPr>
          <w:rFonts w:hint="eastAsia" w:ascii="宋体" w:hAnsi="宋体"/>
        </w:rPr>
        <w:t>（1）</w:t>
      </w:r>
      <w:r>
        <w:rPr>
          <w:rFonts w:hint="eastAsia" w:ascii="宋体" w:hAnsi="宋体" w:cs="楷体_GB2312"/>
          <w:lang w:val="zh-CN"/>
        </w:rPr>
        <w:t>未按第11</w:t>
      </w:r>
      <w:r>
        <w:rPr>
          <w:rFonts w:hint="eastAsia" w:ascii="宋体" w:hAnsi="宋体"/>
        </w:rPr>
        <w:t>.</w:t>
      </w:r>
      <w:r>
        <w:rPr>
          <w:rFonts w:hint="eastAsia" w:ascii="宋体" w:hAnsi="宋体" w:cs="楷体_GB2312"/>
          <w:lang w:val="zh-CN"/>
        </w:rPr>
        <w:t>1.2款（10）-（14）要求提供相关资料的；</w:t>
      </w:r>
    </w:p>
    <w:p>
      <w:pPr>
        <w:ind w:firstLine="480"/>
        <w:jc w:val="left"/>
        <w:rPr>
          <w:rFonts w:ascii="宋体" w:hAnsi="宋体"/>
        </w:rPr>
      </w:pPr>
      <w:r>
        <w:rPr>
          <w:rFonts w:hint="eastAsia" w:ascii="宋体" w:hAnsi="宋体"/>
        </w:rPr>
        <w:t>（2）符合性审查部分没有按招标文件规定和要求签字、盖章的；</w:t>
      </w:r>
    </w:p>
    <w:p>
      <w:pPr>
        <w:ind w:firstLine="480"/>
        <w:jc w:val="left"/>
        <w:rPr>
          <w:rFonts w:ascii="宋体" w:hAnsi="宋体"/>
        </w:rPr>
      </w:pPr>
      <w:r>
        <w:rPr>
          <w:rFonts w:hint="eastAsia" w:ascii="宋体" w:hAnsi="宋体"/>
        </w:rPr>
        <w:t>（3）投标人网上报价与投标文件报价不一致且不接受网上报价的；或出现两个或两个以上报价方案的；</w:t>
      </w:r>
    </w:p>
    <w:p>
      <w:pPr>
        <w:ind w:firstLine="480"/>
        <w:jc w:val="left"/>
        <w:rPr>
          <w:rFonts w:ascii="宋体" w:hAnsi="宋体"/>
        </w:rPr>
      </w:pPr>
      <w:r>
        <w:rPr>
          <w:rFonts w:hint="eastAsia" w:ascii="宋体" w:hAnsi="宋体"/>
        </w:rPr>
        <w:t>（4）产品交货期、质保期、投标有效期不能满足招标文件要求的；</w:t>
      </w:r>
    </w:p>
    <w:p>
      <w:pPr>
        <w:ind w:firstLine="480"/>
        <w:jc w:val="left"/>
        <w:rPr>
          <w:rFonts w:ascii="宋体" w:hAnsi="宋体"/>
          <w:szCs w:val="20"/>
        </w:rPr>
      </w:pPr>
      <w:r>
        <w:rPr>
          <w:rFonts w:hint="eastAsia" w:ascii="宋体" w:hAnsi="宋体"/>
          <w:szCs w:val="20"/>
        </w:rPr>
        <w:t>（5）</w:t>
      </w:r>
      <w:r>
        <w:rPr>
          <w:rFonts w:hint="eastAsia" w:ascii="宋体" w:hAnsi="宋体"/>
        </w:rPr>
        <w:t>投标总报价超过招标文件规定的</w:t>
      </w:r>
      <w:r>
        <w:rPr>
          <w:rFonts w:hint="eastAsia" w:ascii="宋体" w:hAnsi="宋体"/>
          <w:lang w:eastAsia="zh-CN"/>
        </w:rPr>
        <w:t>采购预算</w:t>
      </w:r>
      <w:r>
        <w:rPr>
          <w:rFonts w:hint="eastAsia" w:ascii="宋体" w:hAnsi="宋体"/>
        </w:rPr>
        <w:t>或者最高限价的；</w:t>
      </w:r>
    </w:p>
    <w:p>
      <w:pPr>
        <w:ind w:firstLine="480"/>
        <w:jc w:val="left"/>
        <w:rPr>
          <w:rFonts w:ascii="宋体" w:hAnsi="宋体"/>
        </w:rPr>
      </w:pPr>
      <w:r>
        <w:rPr>
          <w:rFonts w:hint="eastAsia" w:ascii="宋体" w:hAnsi="宋体"/>
        </w:rPr>
        <w:t>（6）投标产品的技术规格、技术标准明显不符合采购项目要求的；</w:t>
      </w:r>
    </w:p>
    <w:p>
      <w:pPr>
        <w:ind w:firstLine="480"/>
        <w:jc w:val="left"/>
        <w:rPr>
          <w:rFonts w:ascii="宋体" w:hAnsi="宋体"/>
        </w:rPr>
      </w:pPr>
      <w:r>
        <w:rPr>
          <w:rFonts w:hint="eastAsia" w:ascii="宋体" w:hAnsi="宋体"/>
        </w:rPr>
        <w:t>（7）投标产品未完全满足招标文件确定的重要技术指标、参数的；</w:t>
      </w:r>
    </w:p>
    <w:p>
      <w:pPr>
        <w:ind w:firstLine="480"/>
        <w:rPr>
          <w:rFonts w:ascii="宋体" w:hAnsi="宋体"/>
        </w:rPr>
      </w:pPr>
      <w:r>
        <w:rPr>
          <w:rFonts w:hint="eastAsia" w:ascii="宋体" w:hAnsi="宋体"/>
        </w:rPr>
        <w:t>（8）</w:t>
      </w:r>
      <w:r>
        <w:rPr>
          <w:rFonts w:hint="eastAsia" w:ascii="宋体" w:hAnsi="宋体"/>
          <w:szCs w:val="20"/>
        </w:rPr>
        <w:t>投标文件含有采购人不能接受的附加条件的；</w:t>
      </w:r>
    </w:p>
    <w:p>
      <w:pPr>
        <w:ind w:firstLine="480"/>
        <w:rPr>
          <w:rFonts w:ascii="宋体" w:hAnsi="宋体"/>
        </w:rPr>
      </w:pPr>
      <w:r>
        <w:rPr>
          <w:rFonts w:hint="eastAsia" w:ascii="宋体" w:hAnsi="宋体"/>
        </w:rPr>
        <w:t>（9）评标委员会认为应按无效投标处理的其他情况；</w:t>
      </w:r>
    </w:p>
    <w:p>
      <w:pPr>
        <w:ind w:firstLine="480"/>
        <w:rPr>
          <w:rFonts w:ascii="宋体" w:hAnsi="宋体"/>
        </w:rPr>
      </w:pPr>
      <w:r>
        <w:rPr>
          <w:rFonts w:hint="eastAsia" w:ascii="宋体" w:hAnsi="宋体"/>
        </w:rPr>
        <w:t>（10）法律、法规规定的其他情形。</w:t>
      </w:r>
    </w:p>
    <w:p>
      <w:pPr>
        <w:autoSpaceDE w:val="0"/>
        <w:autoSpaceDN w:val="0"/>
        <w:adjustRightInd w:val="0"/>
        <w:ind w:firstLine="480"/>
        <w:jc w:val="left"/>
        <w:rPr>
          <w:rFonts w:ascii="宋体" w:hAnsi="宋体"/>
        </w:rPr>
      </w:pPr>
      <w:r>
        <w:rPr>
          <w:rFonts w:hint="eastAsia" w:ascii="宋体" w:hAnsi="宋体"/>
        </w:rPr>
        <w:t>20.3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80"/>
        <w:jc w:val="left"/>
        <w:rPr>
          <w:rFonts w:ascii="Arial"/>
        </w:rPr>
      </w:pPr>
      <w:r>
        <w:rPr>
          <w:rFonts w:hint="eastAsia" w:ascii="宋体" w:hAnsi="宋体"/>
        </w:rPr>
        <w:t>20.4 在项目评标时，单一产品采购项目，</w:t>
      </w:r>
      <w:r>
        <w:rPr>
          <w:rFonts w:ascii="Arial"/>
        </w:rPr>
        <w:t>提供相同品牌产品且通过资格审查、符合性审查的不同投标人参加同一合同项</w:t>
      </w:r>
      <w:r>
        <w:rPr>
          <w:rFonts w:hint="eastAsia" w:ascii="Arial"/>
        </w:rPr>
        <w:t>(或同一包)</w:t>
      </w:r>
      <w:r>
        <w:rPr>
          <w:rFonts w:ascii="Arial"/>
        </w:rPr>
        <w:t>下投标的，按一家投标人计算，评审后得分最高的同品牌投标人获得中标人推荐资格；评审得分相同的</w:t>
      </w:r>
      <w:r>
        <w:rPr>
          <w:rFonts w:hint="eastAsia" w:ascii="Arial"/>
        </w:rPr>
        <w:t>，</w:t>
      </w:r>
      <w:r>
        <w:rPr>
          <w:rFonts w:ascii="Arial"/>
        </w:rPr>
        <w:t>采取</w:t>
      </w:r>
      <w:r>
        <w:rPr>
          <w:rFonts w:hint="eastAsia" w:ascii="Arial"/>
        </w:rPr>
        <w:t>评标委员会</w:t>
      </w:r>
      <w:r>
        <w:rPr>
          <w:rFonts w:ascii="Arial"/>
        </w:rPr>
        <w:t>随机抽取</w:t>
      </w:r>
      <w:r>
        <w:rPr>
          <w:rFonts w:hint="eastAsia" w:ascii="Arial"/>
        </w:rPr>
        <w:t>或推荐的方式确</w:t>
      </w:r>
      <w:r>
        <w:rPr>
          <w:rFonts w:ascii="Arial"/>
        </w:rPr>
        <w:t>定，其他同品牌投标人不作为中标候选人。</w:t>
      </w:r>
    </w:p>
    <w:p>
      <w:pPr>
        <w:ind w:firstLine="480"/>
        <w:jc w:val="left"/>
        <w:rPr>
          <w:rFonts w:ascii="Arial"/>
        </w:rPr>
      </w:pPr>
      <w:r>
        <w:rPr>
          <w:rFonts w:ascii="Arial"/>
        </w:rPr>
        <w:t>非单一产品采购项目，采购人根据采购项目技术构成、产品价格比重等合理确定核心产品</w:t>
      </w:r>
      <w:r>
        <w:rPr>
          <w:rFonts w:hint="eastAsia" w:ascii="Arial"/>
        </w:rPr>
        <w:t>（具体内容详见“采购一览表及技术参数”中规定的核心产品），提供</w:t>
      </w:r>
      <w:r>
        <w:rPr>
          <w:rFonts w:ascii="Arial"/>
        </w:rPr>
        <w:t>核心产品品牌相同且通过资格审查、符合性审查的不同投标人参加同一合同项</w:t>
      </w:r>
      <w:r>
        <w:rPr>
          <w:rFonts w:hint="eastAsia" w:ascii="Arial"/>
        </w:rPr>
        <w:t>(或同一包)</w:t>
      </w:r>
      <w:r>
        <w:rPr>
          <w:rFonts w:ascii="Arial"/>
        </w:rPr>
        <w:t>下投标的，</w:t>
      </w:r>
      <w:r>
        <w:rPr>
          <w:rFonts w:hint="eastAsia" w:ascii="Arial"/>
        </w:rPr>
        <w:t>按一家投标人计算</w:t>
      </w:r>
      <w:r>
        <w:rPr>
          <w:rFonts w:hint="eastAsia" w:ascii="宋体" w:hAnsi="宋体"/>
        </w:rPr>
        <w:t xml:space="preserve"> ，</w:t>
      </w:r>
      <w:r>
        <w:rPr>
          <w:rFonts w:ascii="Arial"/>
        </w:rPr>
        <w:t>评审后得分最高的同核心产品投标人获得中标人推荐资格；评审得分相同的</w:t>
      </w:r>
      <w:r>
        <w:rPr>
          <w:rFonts w:hint="eastAsia" w:ascii="Arial"/>
        </w:rPr>
        <w:t>，</w:t>
      </w:r>
      <w:r>
        <w:rPr>
          <w:rFonts w:ascii="Arial"/>
        </w:rPr>
        <w:t>采取</w:t>
      </w:r>
      <w:r>
        <w:rPr>
          <w:rFonts w:hint="eastAsia" w:ascii="Arial"/>
        </w:rPr>
        <w:t>评标委员会</w:t>
      </w:r>
      <w:r>
        <w:rPr>
          <w:rFonts w:ascii="Arial"/>
        </w:rPr>
        <w:t>随机抽取</w:t>
      </w:r>
      <w:r>
        <w:rPr>
          <w:rFonts w:hint="eastAsia" w:ascii="Arial"/>
        </w:rPr>
        <w:t>或推荐的方式确</w:t>
      </w:r>
      <w:r>
        <w:rPr>
          <w:rFonts w:ascii="Arial"/>
        </w:rPr>
        <w:t>定，其他</w:t>
      </w:r>
      <w:r>
        <w:rPr>
          <w:rFonts w:hint="eastAsia" w:ascii="Arial"/>
        </w:rPr>
        <w:t>核心产品品牌相同的</w:t>
      </w:r>
      <w:r>
        <w:rPr>
          <w:rFonts w:ascii="Arial"/>
        </w:rPr>
        <w:t>投标人不作为中标候选人</w:t>
      </w:r>
      <w:r>
        <w:rPr>
          <w:rFonts w:hint="eastAsia" w:ascii="Arial"/>
        </w:rPr>
        <w:t>。</w:t>
      </w:r>
    </w:p>
    <w:p>
      <w:pPr>
        <w:ind w:firstLine="0" w:firstLineChars="0"/>
        <w:jc w:val="left"/>
        <w:rPr>
          <w:rFonts w:ascii="宋体" w:hAnsi="宋体"/>
        </w:rPr>
      </w:pP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80" w:name="_Toc82441607"/>
      <w:r>
        <w:rPr>
          <w:rFonts w:hint="eastAsia" w:ascii="宋体" w:hAnsi="宋体"/>
          <w:b/>
          <w:bCs/>
          <w:kern w:val="0"/>
          <w:sz w:val="27"/>
          <w:szCs w:val="27"/>
        </w:rPr>
        <w:t>21.答疑的方式和情形</w:t>
      </w:r>
      <w:bookmarkEnd w:id="80"/>
    </w:p>
    <w:p>
      <w:pPr>
        <w:ind w:firstLine="480"/>
        <w:jc w:val="left"/>
        <w:rPr>
          <w:rFonts w:ascii="宋体" w:hAnsi="宋体"/>
        </w:rPr>
      </w:pPr>
      <w:r>
        <w:rPr>
          <w:rFonts w:hint="eastAsia" w:ascii="宋体" w:hAnsi="宋体"/>
        </w:rPr>
        <w:t>21.1 答疑方式：详见第一部分投标人须知前附表“答疑方式”。</w:t>
      </w:r>
    </w:p>
    <w:p>
      <w:pPr>
        <w:ind w:firstLine="480"/>
        <w:jc w:val="left"/>
        <w:rPr>
          <w:rFonts w:ascii="宋体" w:hAnsi="宋体"/>
        </w:rPr>
      </w:pPr>
      <w:r>
        <w:rPr>
          <w:rFonts w:hint="eastAsia" w:ascii="宋体" w:hAnsi="宋体"/>
        </w:rPr>
        <w:t xml:space="preserve">21.2 </w:t>
      </w:r>
      <w:r>
        <w:rPr>
          <w:rFonts w:ascii="宋体" w:hAnsi="宋体"/>
        </w:rPr>
        <w:t>对</w:t>
      </w:r>
      <w:r>
        <w:rPr>
          <w:rFonts w:ascii="Arial" w:hAnsi="Arial" w:cs="Arial"/>
          <w:kern w:val="0"/>
        </w:rPr>
        <w:t>于投标文件中含义不明确、同类问题表述不一致或者有明显文字和计算错误的内容，评标委员会</w:t>
      </w:r>
      <w:r>
        <w:rPr>
          <w:rFonts w:hint="eastAsia" w:ascii="Arial" w:hAnsi="Arial" w:cs="Arial"/>
          <w:kern w:val="0"/>
        </w:rPr>
        <w:t>应当</w:t>
      </w:r>
      <w:r>
        <w:rPr>
          <w:rFonts w:ascii="Arial" w:hAnsi="Arial" w:cs="Arial"/>
          <w:kern w:val="0"/>
        </w:rPr>
        <w:t>要求投标人作出必要的澄清、说明或者补正。投标人的澄清、说明或者补正</w:t>
      </w:r>
      <w:r>
        <w:rPr>
          <w:rFonts w:hint="eastAsia" w:ascii="宋体" w:hAnsi="宋体"/>
        </w:rPr>
        <w:t>不得超出投标文件的范围或者改变投标文件的实质性内容，并作为投标文件的组成部分。</w:t>
      </w:r>
    </w:p>
    <w:p>
      <w:pPr>
        <w:ind w:firstLine="480"/>
        <w:jc w:val="left"/>
        <w:rPr>
          <w:rFonts w:ascii="宋体" w:hAnsi="宋体"/>
        </w:rPr>
      </w:pPr>
      <w:r>
        <w:rPr>
          <w:rFonts w:hint="eastAsia" w:ascii="宋体" w:hAnsi="宋体"/>
        </w:rPr>
        <w:t>21.3 答疑期间，投标人存在以下情况的，</w:t>
      </w:r>
      <w:r>
        <w:rPr>
          <w:rFonts w:ascii="宋体" w:hAnsi="宋体"/>
        </w:rPr>
        <w:t>澄清</w:t>
      </w:r>
      <w:r>
        <w:rPr>
          <w:rFonts w:hint="eastAsia" w:ascii="宋体" w:hAnsi="宋体"/>
        </w:rPr>
        <w:t>、</w:t>
      </w:r>
      <w:r>
        <w:rPr>
          <w:rFonts w:ascii="宋体" w:hAnsi="宋体"/>
        </w:rPr>
        <w:t>说明</w:t>
      </w:r>
      <w:r>
        <w:rPr>
          <w:rFonts w:hint="eastAsia" w:ascii="宋体" w:hAnsi="宋体"/>
        </w:rPr>
        <w:t>的内容将不予接受，评标委员会将按照招标文件的要求对现有的投标资料做出评审意见：</w:t>
      </w:r>
    </w:p>
    <w:p>
      <w:pPr>
        <w:ind w:firstLine="480"/>
        <w:jc w:val="left"/>
        <w:rPr>
          <w:rFonts w:ascii="宋体" w:hAnsi="宋体"/>
        </w:rPr>
      </w:pPr>
      <w:r>
        <w:rPr>
          <w:rFonts w:hint="eastAsia" w:ascii="宋体" w:hAnsi="宋体"/>
        </w:rPr>
        <w:t>（1）拒绝或在规定的时间内未做出澄清、说明；</w:t>
      </w:r>
    </w:p>
    <w:p>
      <w:pPr>
        <w:ind w:firstLine="480"/>
        <w:jc w:val="left"/>
        <w:rPr>
          <w:rFonts w:ascii="宋体" w:hAnsi="宋体"/>
        </w:rPr>
      </w:pPr>
      <w:r>
        <w:rPr>
          <w:rFonts w:hint="eastAsia" w:ascii="宋体" w:hAnsi="宋体"/>
        </w:rPr>
        <w:t>（2）</w:t>
      </w:r>
      <w:r>
        <w:rPr>
          <w:rFonts w:ascii="Arial" w:hAnsi="Arial" w:cs="Arial"/>
          <w:kern w:val="0"/>
        </w:rPr>
        <w:t>投标人的澄清、说明或者补正</w:t>
      </w:r>
      <w:r>
        <w:rPr>
          <w:rFonts w:hint="eastAsia" w:ascii="宋体" w:hAnsi="宋体"/>
        </w:rPr>
        <w:t>超出投标文件的范围或者改变投标文件的实质性内容；</w:t>
      </w:r>
    </w:p>
    <w:p>
      <w:pPr>
        <w:ind w:firstLine="480"/>
        <w:jc w:val="left"/>
        <w:rPr>
          <w:rFonts w:ascii="宋体" w:hAnsi="宋体"/>
        </w:rPr>
      </w:pPr>
      <w:r>
        <w:rPr>
          <w:rFonts w:hint="eastAsia" w:ascii="宋体" w:hAnsi="宋体"/>
        </w:rPr>
        <w:t>（3）澄清、说明的内容仍不能说明问题的；</w:t>
      </w:r>
    </w:p>
    <w:p>
      <w:pPr>
        <w:ind w:firstLine="480"/>
        <w:jc w:val="left"/>
        <w:rPr>
          <w:rFonts w:ascii="宋体" w:hAnsi="宋体"/>
        </w:rPr>
      </w:pPr>
      <w:r>
        <w:rPr>
          <w:rFonts w:hint="eastAsia" w:ascii="宋体" w:hAnsi="宋体"/>
        </w:rPr>
        <w:t>（4）</w:t>
      </w:r>
      <w:r>
        <w:rPr>
          <w:rFonts w:ascii="宋体" w:hAnsi="宋体"/>
        </w:rPr>
        <w:t>投标人主动提出的澄清</w:t>
      </w:r>
      <w:r>
        <w:rPr>
          <w:rFonts w:hint="eastAsia" w:ascii="宋体" w:hAnsi="宋体"/>
        </w:rPr>
        <w:t>、</w:t>
      </w:r>
      <w:r>
        <w:rPr>
          <w:rFonts w:ascii="宋体" w:hAnsi="宋体"/>
        </w:rPr>
        <w:t>说明</w:t>
      </w:r>
      <w:r>
        <w:rPr>
          <w:rFonts w:hint="eastAsia" w:ascii="宋体" w:hAnsi="宋体"/>
        </w:rPr>
        <w:t>的内容；</w:t>
      </w:r>
    </w:p>
    <w:p>
      <w:pPr>
        <w:ind w:firstLine="480"/>
        <w:jc w:val="left"/>
        <w:rPr>
          <w:rFonts w:ascii="宋体" w:hAnsi="宋体"/>
        </w:rPr>
      </w:pPr>
      <w:r>
        <w:rPr>
          <w:rFonts w:hint="eastAsia" w:ascii="宋体" w:hAnsi="宋体"/>
        </w:rPr>
        <w:t>（5）评标委员会认为应不予接受的其他情况。</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81" w:name="_Toc82441608"/>
      <w:bookmarkStart w:id="82" w:name="_Toc376936755"/>
      <w:bookmarkStart w:id="83" w:name="_Toc325726024"/>
      <w:r>
        <w:rPr>
          <w:rFonts w:hint="eastAsia" w:ascii="宋体" w:hAnsi="宋体"/>
          <w:b/>
          <w:bCs/>
          <w:kern w:val="0"/>
          <w:sz w:val="27"/>
          <w:szCs w:val="27"/>
        </w:rPr>
        <w:t>22.评标办法</w:t>
      </w:r>
      <w:bookmarkEnd w:id="81"/>
      <w:bookmarkEnd w:id="82"/>
      <w:bookmarkEnd w:id="83"/>
    </w:p>
    <w:p>
      <w:pPr>
        <w:ind w:firstLine="480"/>
        <w:jc w:val="left"/>
        <w:rPr>
          <w:rFonts w:ascii="宋体" w:hAnsi="宋体"/>
        </w:rPr>
      </w:pPr>
      <w:r>
        <w:rPr>
          <w:rFonts w:hint="eastAsia" w:ascii="宋体" w:hAnsi="宋体"/>
        </w:rPr>
        <w:t>22.1依照《中华人民共和国政府采购法》、《中华人民共和国政府采购法实施条例》、财政部《政府采购货物和服务招标投标管理办法》的规定，结合该项目的特点制定本评标办法，本次评标采用综合评分法。</w:t>
      </w:r>
    </w:p>
    <w:p>
      <w:pPr>
        <w:ind w:firstLine="480"/>
        <w:jc w:val="left"/>
        <w:rPr>
          <w:rFonts w:ascii="宋体" w:hAnsi="宋体"/>
          <w:b/>
        </w:rPr>
      </w:pPr>
      <w:r>
        <w:rPr>
          <w:rFonts w:hint="eastAsia" w:ascii="宋体" w:hAnsi="宋体"/>
        </w:rPr>
        <w:t>本次综合评分的主要因素是：投标报价、技术水平、履约及售后服务能力等。评标过程中，在同等条件下，优先采购具有环境标志、节能、自主创新的产品。</w:t>
      </w:r>
    </w:p>
    <w:p>
      <w:pPr>
        <w:ind w:firstLine="480"/>
        <w:jc w:val="left"/>
        <w:rPr>
          <w:rFonts w:ascii="宋体" w:hAnsi="宋体"/>
          <w:b/>
        </w:rPr>
      </w:pPr>
      <w:r>
        <w:rPr>
          <w:rFonts w:hint="eastAsia" w:ascii="宋体" w:hAnsi="宋体"/>
        </w:rPr>
        <w:t>根据《政府采购促进中小企业发展管理办法》，属中小企业制造的货物（产品），投标人须提供《中小企业声明函》（详见附件16），其划型标准严格按照国家工信部、国家统计局、国家发改委、财政部出台的《中小企业划型标准规定》（工信部联企业[2011]300号）执行。</w:t>
      </w:r>
      <w:r>
        <w:rPr>
          <w:rFonts w:hint="eastAsia" w:ascii="宋体" w:hAnsi="宋体"/>
          <w:b/>
        </w:rPr>
        <w:t>投标人提供的《中小企业声明函》资料必须真实，如有虚假，将依法承担相应责任。</w:t>
      </w:r>
    </w:p>
    <w:p>
      <w:pPr>
        <w:ind w:firstLine="480"/>
        <w:jc w:val="left"/>
        <w:rPr>
          <w:rFonts w:ascii="宋体" w:hAnsi="宋体"/>
          <w:b/>
        </w:rPr>
      </w:pPr>
      <w:r>
        <w:rPr>
          <w:rFonts w:hint="eastAsia" w:ascii="宋体" w:hAnsi="宋体"/>
        </w:rPr>
        <w:t>根据财政部、民政部、中国残疾人联合会出台的《关于促进残疾人就业政府采购政策的通知》（财库[2017]141号），属残疾人福利性单位的，投标人须提供《残疾人福利性单位声明函》（详见附件17），并由投标人加盖公章，残疾人福利性单位视同小微型企业，享受预留份额、评标中价格扣除等促进中小企业发展的政府采购政策。向残疾人福利性单位采购的金额，计入面向中小企业采购的统计数据。</w:t>
      </w:r>
      <w:r>
        <w:rPr>
          <w:rFonts w:hint="eastAsia" w:ascii="宋体" w:hAnsi="宋体"/>
          <w:b/>
        </w:rPr>
        <w:t>投标人提供的《残疾人福利性单位声明函》资料必须真实，如有虚假，将依法承担相应责任。</w:t>
      </w:r>
    </w:p>
    <w:p>
      <w:pPr>
        <w:ind w:firstLine="480"/>
        <w:jc w:val="left"/>
        <w:rPr>
          <w:rFonts w:ascii="宋体" w:hAnsi="宋体"/>
        </w:rPr>
      </w:pPr>
      <w:r>
        <w:rPr>
          <w:rFonts w:hint="eastAsia" w:ascii="宋体" w:hAnsi="宋体" w:cs="宋体"/>
        </w:rPr>
        <w:t>22.2 比较与评价：评标委员会将按招标文件中规定的评标办法和标准，对符合性审查合格的投标文件进行综合比较与评价。即在最大限度地满足招标文件实质性要求的前提下，按照招标文件中规定的各项因素进行综合评审，以评标总得分由高到低排序推荐预中标候选人。若得分相同时，按投标报价由低到高顺序排列；得分相同且报价相同的，按技术指标优劣顺序排列。</w:t>
      </w:r>
    </w:p>
    <w:p>
      <w:pPr>
        <w:ind w:firstLine="480"/>
        <w:jc w:val="left"/>
        <w:rPr>
          <w:rFonts w:ascii="宋体" w:hAnsi="宋体"/>
        </w:rPr>
      </w:pPr>
      <w:r>
        <w:rPr>
          <w:rFonts w:hint="eastAsia" w:ascii="宋体" w:hAnsi="宋体"/>
        </w:rPr>
        <w:t>评标标准和分值分配：</w:t>
      </w:r>
    </w:p>
    <w:tbl>
      <w:tblPr>
        <w:tblStyle w:val="64"/>
        <w:tblW w:w="91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6"/>
        <w:gridCol w:w="1485"/>
        <w:gridCol w:w="736"/>
        <w:gridCol w:w="5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98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sz w:val="21"/>
                <w:szCs w:val="21"/>
              </w:rPr>
            </w:pPr>
            <w:r>
              <w:rPr>
                <w:rFonts w:hint="eastAsia" w:ascii="宋体" w:hAnsi="宋体"/>
                <w:sz w:val="21"/>
                <w:szCs w:val="21"/>
              </w:rPr>
              <w:t>类别</w:t>
            </w:r>
          </w:p>
        </w:tc>
        <w:tc>
          <w:tcPr>
            <w:tcW w:w="14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sz w:val="21"/>
                <w:szCs w:val="21"/>
              </w:rPr>
            </w:pPr>
            <w:r>
              <w:rPr>
                <w:rFonts w:hint="eastAsia" w:ascii="宋体" w:hAnsi="宋体"/>
                <w:sz w:val="21"/>
                <w:szCs w:val="21"/>
              </w:rPr>
              <w:t>项目</w:t>
            </w:r>
          </w:p>
        </w:tc>
        <w:tc>
          <w:tcPr>
            <w:tcW w:w="73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z w:val="21"/>
                <w:szCs w:val="21"/>
              </w:rPr>
            </w:pPr>
            <w:r>
              <w:rPr>
                <w:rFonts w:hint="eastAsia" w:ascii="宋体" w:hAnsi="宋体"/>
                <w:sz w:val="21"/>
                <w:szCs w:val="21"/>
              </w:rPr>
              <w:t>满分 分值</w:t>
            </w:r>
          </w:p>
        </w:tc>
        <w:tc>
          <w:tcPr>
            <w:tcW w:w="598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sz w:val="21"/>
                <w:szCs w:val="21"/>
              </w:rPr>
            </w:pPr>
            <w:r>
              <w:rPr>
                <w:rFonts w:hint="eastAsia" w:ascii="宋体" w:hAnsi="宋体"/>
                <w:sz w:val="21"/>
                <w:szCs w:val="21"/>
              </w:rPr>
              <w:t>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98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sz w:val="21"/>
                <w:szCs w:val="21"/>
              </w:rPr>
            </w:pPr>
            <w:r>
              <w:rPr>
                <w:rFonts w:hint="eastAsia" w:ascii="宋体" w:hAnsi="宋体"/>
                <w:sz w:val="21"/>
                <w:szCs w:val="21"/>
              </w:rPr>
              <w:t>投标报价40分</w:t>
            </w:r>
          </w:p>
        </w:tc>
        <w:tc>
          <w:tcPr>
            <w:tcW w:w="14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sz w:val="21"/>
                <w:szCs w:val="21"/>
              </w:rPr>
            </w:pPr>
            <w:r>
              <w:rPr>
                <w:rFonts w:hint="eastAsia" w:ascii="宋体" w:hAnsi="宋体"/>
                <w:sz w:val="21"/>
                <w:szCs w:val="21"/>
              </w:rPr>
              <w:t>报价分</w:t>
            </w:r>
          </w:p>
        </w:tc>
        <w:tc>
          <w:tcPr>
            <w:tcW w:w="73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z w:val="21"/>
                <w:szCs w:val="21"/>
              </w:rPr>
            </w:pPr>
            <w:r>
              <w:rPr>
                <w:rFonts w:hint="eastAsia" w:ascii="宋体" w:hAnsi="宋体"/>
                <w:sz w:val="21"/>
                <w:szCs w:val="21"/>
              </w:rPr>
              <w:t>40</w:t>
            </w:r>
          </w:p>
        </w:tc>
        <w:tc>
          <w:tcPr>
            <w:tcW w:w="59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sz w:val="21"/>
                <w:szCs w:val="21"/>
              </w:rPr>
            </w:pPr>
            <w:r>
              <w:rPr>
                <w:rFonts w:hint="eastAsia" w:ascii="宋体" w:hAnsi="宋体"/>
                <w:sz w:val="21"/>
                <w:szCs w:val="21"/>
              </w:rPr>
              <w:t>在所有的有效投标报价中，以最低投标报价为基准价，其价格分为满分。其他投标人的报价分统一按下列公式计算：投标报价得分=(评标基准价／投标报价)×价格权值（40%）×100（四舍五入后保留小数点后两位）。</w:t>
            </w:r>
          </w:p>
          <w:p>
            <w:pPr>
              <w:ind w:firstLine="0" w:firstLineChars="0"/>
              <w:rPr>
                <w:rFonts w:ascii="宋体" w:hAnsi="宋体"/>
                <w:sz w:val="21"/>
                <w:szCs w:val="21"/>
              </w:rPr>
            </w:pPr>
            <w:r>
              <w:rPr>
                <w:rFonts w:hint="eastAsia" w:ascii="宋体" w:hAnsi="宋体"/>
                <w:sz w:val="21"/>
                <w:szCs w:val="21"/>
              </w:rPr>
              <w:t>注：根据《政府采购促进中小企业发展管理办法》、《关于促进残疾人就业政府采购政策的通知》的相关规定，对残疾人福利性单位、小型和微型企业制造（生产）产品的价格给予6%的扣除，用扣除后的价格参与评标。</w:t>
            </w:r>
          </w:p>
          <w:p>
            <w:pPr>
              <w:ind w:firstLine="0" w:firstLineChars="0"/>
              <w:rPr>
                <w:rFonts w:ascii="宋体" w:hAnsi="宋体"/>
                <w:sz w:val="21"/>
                <w:szCs w:val="21"/>
              </w:rPr>
            </w:pPr>
            <w:r>
              <w:rPr>
                <w:rFonts w:hint="eastAsia" w:ascii="宋体" w:hAnsi="宋体"/>
                <w:sz w:val="21"/>
                <w:szCs w:val="21"/>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5" w:hRule="atLeast"/>
          <w:jc w:val="center"/>
        </w:trPr>
        <w:tc>
          <w:tcPr>
            <w:tcW w:w="986" w:type="dxa"/>
            <w:vMerge w:val="restart"/>
            <w:tcBorders>
              <w:top w:val="single" w:color="auto" w:sz="4" w:space="0"/>
              <w:left w:val="single" w:color="auto" w:sz="4" w:space="0"/>
              <w:right w:val="single" w:color="auto" w:sz="4" w:space="0"/>
            </w:tcBorders>
            <w:vAlign w:val="center"/>
          </w:tcPr>
          <w:p>
            <w:pPr>
              <w:ind w:firstLine="0" w:firstLineChars="0"/>
              <w:rPr>
                <w:rFonts w:ascii="宋体" w:hAnsi="宋体"/>
                <w:sz w:val="21"/>
                <w:szCs w:val="21"/>
              </w:rPr>
            </w:pPr>
            <w:r>
              <w:rPr>
                <w:rFonts w:hint="eastAsia" w:ascii="宋体" w:hAnsi="宋体"/>
                <w:sz w:val="21"/>
                <w:szCs w:val="21"/>
              </w:rPr>
              <w:t>技术水平45分</w:t>
            </w:r>
          </w:p>
        </w:tc>
        <w:tc>
          <w:tcPr>
            <w:tcW w:w="14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sz w:val="21"/>
                <w:szCs w:val="21"/>
              </w:rPr>
            </w:pPr>
            <w:r>
              <w:rPr>
                <w:rFonts w:hint="eastAsia" w:ascii="宋体" w:hAnsi="宋体"/>
                <w:sz w:val="21"/>
                <w:szCs w:val="21"/>
              </w:rPr>
              <w:t>技术参数</w:t>
            </w:r>
          </w:p>
        </w:tc>
        <w:tc>
          <w:tcPr>
            <w:tcW w:w="73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z w:val="21"/>
                <w:szCs w:val="21"/>
              </w:rPr>
            </w:pPr>
            <w:r>
              <w:rPr>
                <w:rFonts w:hint="eastAsia" w:ascii="宋体" w:hAnsi="宋体"/>
                <w:sz w:val="21"/>
                <w:szCs w:val="21"/>
              </w:rPr>
              <w:t>40</w:t>
            </w:r>
          </w:p>
        </w:tc>
        <w:tc>
          <w:tcPr>
            <w:tcW w:w="59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Ansi="宋体"/>
                <w:sz w:val="21"/>
                <w:szCs w:val="21"/>
                <w:u w:val="single"/>
              </w:rPr>
            </w:pPr>
            <w:r>
              <w:rPr>
                <w:rFonts w:ascii="宋体" w:hAnsi="宋体"/>
                <w:sz w:val="21"/>
                <w:szCs w:val="21"/>
              </w:rPr>
              <w:t>投标产品（含支撑产品）技术参数和功能完全满足或高于招标文件</w:t>
            </w:r>
            <w:r>
              <w:rPr>
                <w:rFonts w:hint="eastAsia" w:ascii="宋体" w:hAnsi="宋体"/>
                <w:sz w:val="21"/>
                <w:szCs w:val="21"/>
              </w:rPr>
              <w:t>要求的，得40分；每有一项负偏离扣5分，扣完为止。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986" w:type="dxa"/>
            <w:vMerge w:val="continue"/>
            <w:tcBorders>
              <w:left w:val="single" w:color="auto" w:sz="4" w:space="0"/>
              <w:right w:val="single" w:color="auto" w:sz="4" w:space="0"/>
            </w:tcBorders>
            <w:vAlign w:val="center"/>
          </w:tcPr>
          <w:p>
            <w:pPr>
              <w:ind w:firstLine="420"/>
              <w:jc w:val="center"/>
              <w:rPr>
                <w:rFonts w:ascii="宋体" w:hAnsi="宋体"/>
                <w:sz w:val="21"/>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sz w:val="21"/>
                <w:szCs w:val="21"/>
              </w:rPr>
            </w:pPr>
            <w:r>
              <w:rPr>
                <w:rFonts w:hint="eastAsia" w:ascii="宋体" w:hAnsi="宋体"/>
                <w:sz w:val="21"/>
                <w:szCs w:val="21"/>
              </w:rPr>
              <w:t>节能和环保</w:t>
            </w:r>
          </w:p>
        </w:tc>
        <w:tc>
          <w:tcPr>
            <w:tcW w:w="73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z w:val="21"/>
                <w:szCs w:val="21"/>
              </w:rPr>
            </w:pPr>
            <w:r>
              <w:rPr>
                <w:rFonts w:hint="eastAsia" w:ascii="宋体" w:hAnsi="宋体"/>
                <w:sz w:val="21"/>
                <w:szCs w:val="21"/>
              </w:rPr>
              <w:t>3</w:t>
            </w:r>
          </w:p>
        </w:tc>
        <w:tc>
          <w:tcPr>
            <w:tcW w:w="59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sz w:val="21"/>
                <w:szCs w:val="21"/>
              </w:rPr>
            </w:pPr>
            <w:r>
              <w:rPr>
                <w:rFonts w:hint="eastAsia" w:ascii="宋体" w:hAnsi="宋体"/>
                <w:sz w:val="21"/>
                <w:szCs w:val="21"/>
              </w:rPr>
              <w:t>投标产品为节能产品得1.5分；投标产品为环保产品得1.5分；未提供不得分。该项得分的认定以《国家节能产品认证证书》、《中国环境标志产品认证证书》和政府部门公布的《节能产品政府采购清单》、《环境标志产品政府采购清单》网页截屏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986" w:type="dxa"/>
            <w:vMerge w:val="continue"/>
            <w:tcBorders>
              <w:left w:val="single" w:color="auto" w:sz="4" w:space="0"/>
              <w:bottom w:val="single" w:color="auto" w:sz="4" w:space="0"/>
              <w:right w:val="single" w:color="auto" w:sz="4" w:space="0"/>
            </w:tcBorders>
            <w:vAlign w:val="center"/>
          </w:tcPr>
          <w:p>
            <w:pPr>
              <w:ind w:firstLine="420"/>
              <w:jc w:val="center"/>
              <w:rPr>
                <w:rFonts w:ascii="宋体" w:hAnsi="宋体"/>
                <w:sz w:val="21"/>
                <w:szCs w:val="21"/>
                <w:shd w:val="pct10" w:color="auto" w:fill="FFFFFF"/>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sz w:val="21"/>
                <w:szCs w:val="21"/>
              </w:rPr>
            </w:pPr>
            <w:r>
              <w:rPr>
                <w:rFonts w:hint="eastAsia" w:ascii="宋体" w:hAnsi="宋体"/>
                <w:sz w:val="21"/>
                <w:szCs w:val="21"/>
              </w:rPr>
              <w:t>自主创新产品</w:t>
            </w:r>
          </w:p>
        </w:tc>
        <w:tc>
          <w:tcPr>
            <w:tcW w:w="73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z w:val="21"/>
                <w:szCs w:val="21"/>
              </w:rPr>
            </w:pPr>
            <w:r>
              <w:rPr>
                <w:rFonts w:hint="eastAsia" w:ascii="宋体" w:hAnsi="宋体"/>
                <w:sz w:val="21"/>
                <w:szCs w:val="21"/>
              </w:rPr>
              <w:t>2</w:t>
            </w:r>
          </w:p>
        </w:tc>
        <w:tc>
          <w:tcPr>
            <w:tcW w:w="59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sz w:val="21"/>
                <w:szCs w:val="21"/>
              </w:rPr>
            </w:pPr>
            <w:r>
              <w:rPr>
                <w:rFonts w:hint="eastAsia" w:ascii="宋体" w:hAnsi="宋体"/>
                <w:sz w:val="21"/>
                <w:szCs w:val="21"/>
              </w:rPr>
              <w:t>投标产品属自主知识产权的，得2分；反之不得分。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986" w:type="dxa"/>
            <w:vMerge w:val="restart"/>
            <w:tcBorders>
              <w:left w:val="single" w:color="auto" w:sz="4" w:space="0"/>
              <w:right w:val="single" w:color="auto" w:sz="4" w:space="0"/>
            </w:tcBorders>
            <w:vAlign w:val="center"/>
          </w:tcPr>
          <w:p>
            <w:pPr>
              <w:ind w:firstLine="0" w:firstLineChars="0"/>
              <w:rPr>
                <w:rFonts w:ascii="宋体" w:hAnsi="宋体"/>
                <w:sz w:val="21"/>
                <w:szCs w:val="21"/>
                <w:shd w:val="pct10" w:color="auto" w:fill="FFFFFF"/>
              </w:rPr>
            </w:pPr>
            <w:r>
              <w:rPr>
                <w:rFonts w:hint="eastAsia" w:ascii="宋体" w:hAnsi="宋体"/>
                <w:sz w:val="21"/>
                <w:szCs w:val="21"/>
              </w:rPr>
              <w:t>履约及售后服务能力15分</w:t>
            </w:r>
          </w:p>
        </w:tc>
        <w:tc>
          <w:tcPr>
            <w:tcW w:w="14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sz w:val="21"/>
                <w:szCs w:val="21"/>
              </w:rPr>
            </w:pPr>
            <w:r>
              <w:rPr>
                <w:rFonts w:hint="eastAsia" w:ascii="宋体" w:hAnsi="宋体"/>
                <w:sz w:val="21"/>
                <w:szCs w:val="21"/>
              </w:rPr>
              <w:t>类似业绩情况</w:t>
            </w:r>
          </w:p>
        </w:tc>
        <w:tc>
          <w:tcPr>
            <w:tcW w:w="73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z w:val="21"/>
                <w:szCs w:val="21"/>
              </w:rPr>
            </w:pPr>
            <w:r>
              <w:rPr>
                <w:rFonts w:hint="eastAsia" w:ascii="宋体" w:hAnsi="宋体"/>
                <w:sz w:val="21"/>
                <w:szCs w:val="21"/>
              </w:rPr>
              <w:t>5</w:t>
            </w:r>
          </w:p>
        </w:tc>
        <w:tc>
          <w:tcPr>
            <w:tcW w:w="59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sz w:val="21"/>
                <w:szCs w:val="21"/>
              </w:rPr>
            </w:pPr>
            <w:r>
              <w:rPr>
                <w:rFonts w:hint="eastAsia" w:ascii="宋体" w:hAnsi="宋体"/>
                <w:sz w:val="21"/>
                <w:szCs w:val="21"/>
              </w:rPr>
              <w:t>提供自2019年以来的类似业绩证明材料。提供5项以上（含5项）的，得5分；提供5项以下的，每提供1项得1分；不提供不得分。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986" w:type="dxa"/>
            <w:vMerge w:val="continue"/>
            <w:tcBorders>
              <w:left w:val="single" w:color="auto" w:sz="4" w:space="0"/>
              <w:right w:val="single" w:color="auto" w:sz="4" w:space="0"/>
            </w:tcBorders>
            <w:vAlign w:val="center"/>
          </w:tcPr>
          <w:p>
            <w:pPr>
              <w:ind w:firstLine="420"/>
              <w:rPr>
                <w:rFonts w:ascii="宋体" w:hAnsi="宋体"/>
                <w:sz w:val="21"/>
                <w:szCs w:val="21"/>
                <w:shd w:val="pct10" w:color="auto" w:fill="FFFFFF"/>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sz w:val="21"/>
                <w:szCs w:val="21"/>
              </w:rPr>
            </w:pPr>
            <w:r>
              <w:rPr>
                <w:rFonts w:hint="eastAsia" w:ascii="宋体" w:hAnsi="宋体"/>
                <w:sz w:val="21"/>
                <w:szCs w:val="21"/>
              </w:rPr>
              <w:t>项目管理及实施方案</w:t>
            </w:r>
          </w:p>
        </w:tc>
        <w:tc>
          <w:tcPr>
            <w:tcW w:w="73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sz w:val="21"/>
                <w:szCs w:val="21"/>
              </w:rPr>
            </w:pPr>
            <w:r>
              <w:rPr>
                <w:rFonts w:hint="eastAsia" w:ascii="宋体" w:hAnsi="宋体"/>
                <w:sz w:val="21"/>
                <w:szCs w:val="21"/>
              </w:rPr>
              <w:t>5</w:t>
            </w:r>
          </w:p>
        </w:tc>
        <w:tc>
          <w:tcPr>
            <w:tcW w:w="59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sz w:val="21"/>
                <w:szCs w:val="21"/>
              </w:rPr>
            </w:pPr>
            <w:r>
              <w:rPr>
                <w:rFonts w:hint="eastAsia" w:ascii="宋体" w:hAnsi="宋体"/>
                <w:sz w:val="21"/>
                <w:szCs w:val="21"/>
              </w:rPr>
              <w:t>设置了项目管理机构，并且有科学、具体的项目管理措施。包含：①实施计划②实施团队③实施进度④质量控制措施⑤安全保障措施。以上因素每实质性响应一项得1分，满分5分，未实质性响应或未提供不得分。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986" w:type="dxa"/>
            <w:vMerge w:val="continue"/>
            <w:tcBorders>
              <w:left w:val="single" w:color="auto" w:sz="4" w:space="0"/>
              <w:right w:val="single" w:color="auto" w:sz="4" w:space="0"/>
            </w:tcBorders>
            <w:vAlign w:val="center"/>
          </w:tcPr>
          <w:p>
            <w:pPr>
              <w:ind w:firstLine="0" w:firstLineChars="0"/>
              <w:rPr>
                <w:rFonts w:ascii="宋体" w:hAnsi="宋体"/>
                <w:sz w:val="21"/>
                <w:szCs w:val="21"/>
                <w:shd w:val="pct10" w:color="auto" w:fill="FFFFFF"/>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sz w:val="21"/>
                <w:szCs w:val="21"/>
              </w:rPr>
            </w:pPr>
            <w:r>
              <w:rPr>
                <w:rFonts w:hint="eastAsia" w:ascii="宋体" w:hAnsi="宋体"/>
                <w:sz w:val="21"/>
                <w:szCs w:val="21"/>
              </w:rPr>
              <w:t>售后服务及相关承诺</w:t>
            </w:r>
          </w:p>
        </w:tc>
        <w:tc>
          <w:tcPr>
            <w:tcW w:w="73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sz w:val="21"/>
                <w:szCs w:val="21"/>
              </w:rPr>
            </w:pPr>
            <w:r>
              <w:rPr>
                <w:rFonts w:hint="eastAsia" w:ascii="宋体" w:hAnsi="宋体"/>
                <w:sz w:val="21"/>
                <w:szCs w:val="21"/>
              </w:rPr>
              <w:t>5</w:t>
            </w:r>
          </w:p>
        </w:tc>
        <w:tc>
          <w:tcPr>
            <w:tcW w:w="59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sz w:val="21"/>
                <w:szCs w:val="21"/>
              </w:rPr>
            </w:pPr>
            <w:r>
              <w:rPr>
                <w:rFonts w:hint="eastAsia" w:ascii="宋体" w:hAnsi="宋体"/>
                <w:sz w:val="21"/>
                <w:szCs w:val="21"/>
              </w:rPr>
              <w:t>1、针对该项目须有完善的售后服务体系。包含：①售后服务机构和人员②售后服务内容和流程③售后服务响应时间和质量④售后服务方式和特色。以上因素每实质性响应一项得1分，满分4分，未实质性响应或未提供不得分。</w:t>
            </w:r>
          </w:p>
          <w:p>
            <w:pPr>
              <w:ind w:firstLine="0" w:firstLineChars="0"/>
              <w:rPr>
                <w:rFonts w:ascii="宋体" w:hAnsi="宋体"/>
                <w:sz w:val="21"/>
                <w:szCs w:val="21"/>
              </w:rPr>
            </w:pPr>
            <w:r>
              <w:rPr>
                <w:rFonts w:hint="eastAsia" w:ascii="宋体" w:hAnsi="宋体"/>
                <w:sz w:val="21"/>
                <w:szCs w:val="21"/>
              </w:rPr>
              <w:t>2、提供售后服务相关承诺的，得1分；未提供不得分。</w:t>
            </w:r>
          </w:p>
        </w:tc>
      </w:tr>
    </w:tbl>
    <w:p>
      <w:pPr>
        <w:ind w:firstLine="480"/>
        <w:jc w:val="left"/>
        <w:rPr>
          <w:rFonts w:ascii="宋体" w:hAnsi="宋体"/>
          <w:lang w:val="zh-CN"/>
        </w:rPr>
      </w:pPr>
    </w:p>
    <w:p>
      <w:pPr>
        <w:widowControl/>
        <w:spacing w:beforeLines="200" w:afterLines="200" w:line="240" w:lineRule="auto"/>
        <w:ind w:firstLine="0" w:firstLineChars="0"/>
        <w:jc w:val="center"/>
        <w:outlineLvl w:val="1"/>
        <w:rPr>
          <w:rFonts w:ascii="宋体" w:hAnsi="宋体"/>
          <w:b/>
          <w:bCs/>
          <w:kern w:val="0"/>
          <w:sz w:val="36"/>
          <w:szCs w:val="36"/>
        </w:rPr>
      </w:pPr>
      <w:bookmarkStart w:id="84" w:name="_Toc325726025"/>
      <w:bookmarkStart w:id="85" w:name="_Toc376936756"/>
      <w:bookmarkStart w:id="86" w:name="_Toc82441609"/>
      <w:r>
        <w:rPr>
          <w:rFonts w:hint="eastAsia" w:ascii="宋体" w:hAnsi="宋体"/>
          <w:b/>
          <w:bCs/>
          <w:kern w:val="0"/>
          <w:sz w:val="36"/>
          <w:szCs w:val="36"/>
        </w:rPr>
        <w:t>八、定 标</w:t>
      </w:r>
      <w:bookmarkEnd w:id="84"/>
      <w:bookmarkEnd w:id="85"/>
      <w:bookmarkEnd w:id="86"/>
    </w:p>
    <w:p>
      <w:pPr>
        <w:widowControl/>
        <w:spacing w:before="100" w:beforeAutospacing="1" w:after="100" w:afterAutospacing="1" w:line="240" w:lineRule="auto"/>
        <w:ind w:firstLine="542"/>
        <w:jc w:val="left"/>
        <w:outlineLvl w:val="2"/>
        <w:rPr>
          <w:rFonts w:ascii="宋体" w:hAnsi="宋体"/>
          <w:b/>
          <w:bCs/>
          <w:kern w:val="0"/>
          <w:sz w:val="27"/>
          <w:szCs w:val="27"/>
        </w:rPr>
      </w:pPr>
      <w:bookmarkStart w:id="87" w:name="_Toc376936757"/>
      <w:bookmarkStart w:id="88" w:name="_Toc325726026"/>
      <w:bookmarkStart w:id="89" w:name="_Toc82441610"/>
      <w:r>
        <w:rPr>
          <w:rFonts w:hint="eastAsia" w:ascii="宋体" w:hAnsi="宋体"/>
          <w:b/>
          <w:bCs/>
          <w:kern w:val="0"/>
          <w:sz w:val="27"/>
          <w:szCs w:val="27"/>
        </w:rPr>
        <w:t>23.推荐并确定中标</w:t>
      </w:r>
      <w:bookmarkEnd w:id="87"/>
      <w:bookmarkEnd w:id="88"/>
      <w:r>
        <w:rPr>
          <w:rFonts w:hint="eastAsia" w:ascii="宋体" w:hAnsi="宋体"/>
          <w:b/>
          <w:bCs/>
          <w:kern w:val="0"/>
          <w:sz w:val="27"/>
          <w:szCs w:val="27"/>
        </w:rPr>
        <w:t>供应商</w:t>
      </w:r>
      <w:bookmarkEnd w:id="89"/>
    </w:p>
    <w:p>
      <w:pPr>
        <w:ind w:firstLine="480"/>
        <w:jc w:val="left"/>
        <w:rPr>
          <w:rFonts w:ascii="宋体" w:hAnsi="宋体"/>
        </w:rPr>
      </w:pPr>
      <w:r>
        <w:rPr>
          <w:rFonts w:hint="eastAsia" w:ascii="宋体" w:hAnsi="宋体"/>
        </w:rPr>
        <w:t>23.1评标委员会根据</w:t>
      </w:r>
      <w:r>
        <w:rPr>
          <w:rFonts w:hint="eastAsia" w:ascii="宋体" w:hAnsi="宋体" w:cs="宋体"/>
        </w:rPr>
        <w:t>评标总得分由高到低排序推荐预中标候选人，并由采购人按顺序确定中标供应商</w:t>
      </w:r>
      <w:r>
        <w:rPr>
          <w:rFonts w:hint="eastAsia" w:ascii="宋体" w:hAnsi="宋体"/>
        </w:rPr>
        <w:t>。为了确保中标供应商及时保障服务质量。</w:t>
      </w:r>
    </w:p>
    <w:p>
      <w:pPr>
        <w:ind w:firstLine="480"/>
        <w:jc w:val="left"/>
        <w:rPr>
          <w:rFonts w:ascii="宋体" w:hAnsi="宋体"/>
        </w:rPr>
      </w:pPr>
      <w:r>
        <w:rPr>
          <w:rFonts w:hint="eastAsia" w:ascii="宋体" w:hAnsi="宋体"/>
        </w:rPr>
        <w:t>23.2中标</w:t>
      </w:r>
      <w:r>
        <w:rPr>
          <w:rFonts w:hint="eastAsia" w:ascii="宋体" w:hAnsi="宋体" w:cs="宋体"/>
        </w:rPr>
        <w:t>供应商</w:t>
      </w:r>
      <w:r>
        <w:rPr>
          <w:rFonts w:hint="eastAsia" w:ascii="宋体" w:hAnsi="宋体"/>
        </w:rPr>
        <w:t>因不可抗力或自身原因不能履行合同时，采购人可以按照评审报告推荐的预中标候选人名单排序，确定下一候选人为中标</w:t>
      </w:r>
      <w:r>
        <w:rPr>
          <w:rFonts w:hint="eastAsia" w:ascii="宋体" w:hAnsi="宋体" w:cs="宋体"/>
        </w:rPr>
        <w:t>供应商</w:t>
      </w:r>
      <w:r>
        <w:rPr>
          <w:rFonts w:hint="eastAsia" w:ascii="宋体" w:hAnsi="宋体"/>
        </w:rPr>
        <w:t>，也可重新开展政府采购活动。</w:t>
      </w:r>
      <w:bookmarkStart w:id="90" w:name="_Toc325726027"/>
    </w:p>
    <w:p>
      <w:pPr>
        <w:widowControl/>
        <w:spacing w:before="100" w:beforeAutospacing="1" w:after="100" w:afterAutospacing="1" w:line="240" w:lineRule="auto"/>
        <w:ind w:firstLine="542"/>
        <w:jc w:val="left"/>
        <w:outlineLvl w:val="2"/>
        <w:rPr>
          <w:rFonts w:ascii="宋体" w:hAnsi="宋体"/>
          <w:b/>
          <w:bCs/>
          <w:kern w:val="0"/>
          <w:sz w:val="27"/>
          <w:szCs w:val="27"/>
        </w:rPr>
      </w:pPr>
      <w:bookmarkStart w:id="91" w:name="_Toc325726028"/>
      <w:bookmarkStart w:id="92" w:name="_Toc376936759"/>
      <w:bookmarkStart w:id="93" w:name="_Toc82441611"/>
      <w:r>
        <w:rPr>
          <w:rFonts w:hint="eastAsia" w:ascii="宋体" w:hAnsi="宋体"/>
          <w:b/>
          <w:bCs/>
          <w:kern w:val="0"/>
          <w:sz w:val="27"/>
          <w:szCs w:val="27"/>
        </w:rPr>
        <w:t>24.中标通知</w:t>
      </w:r>
      <w:bookmarkEnd w:id="91"/>
      <w:bookmarkEnd w:id="92"/>
      <w:bookmarkEnd w:id="93"/>
    </w:p>
    <w:p>
      <w:pPr>
        <w:ind w:firstLine="480"/>
        <w:jc w:val="left"/>
        <w:rPr>
          <w:rFonts w:ascii="宋体" w:hAnsi="宋体"/>
        </w:rPr>
      </w:pPr>
      <w:r>
        <w:rPr>
          <w:rFonts w:hint="eastAsia" w:ascii="宋体" w:hAnsi="宋体"/>
        </w:rPr>
        <w:t xml:space="preserve">24.1集中采购机构自中标供应商确定之日起2个工作日内，在青海政府采购信息网上公告中标结果，公告期限为1个工作日。在公告中标结果的同时，集中采购机构应当向中标人发出中标通知书；对未通过资格审查的供应商，告知其未通过的原因；采用综合评分法的，评审结束后，供应商可自行在青海省政府采购电子化平台上查询本人的评审得分与排序，如有疑问，可致电0971-6150216。     </w:t>
      </w:r>
    </w:p>
    <w:p>
      <w:pPr>
        <w:ind w:firstLine="480"/>
        <w:jc w:val="left"/>
        <w:rPr>
          <w:rFonts w:ascii="宋体" w:hAnsi="宋体"/>
        </w:rPr>
      </w:pPr>
      <w:r>
        <w:rPr>
          <w:rFonts w:hint="eastAsia" w:ascii="宋体" w:hAnsi="宋体"/>
        </w:rPr>
        <w:t>24.2《中标通知书》发出后，采购人改变中标结果的，或者中标供应商无正当理由放弃中标项目的，依法承担法律责任。</w:t>
      </w:r>
    </w:p>
    <w:p>
      <w:pPr>
        <w:widowControl/>
        <w:spacing w:beforeLines="200" w:afterLines="200" w:line="240" w:lineRule="auto"/>
        <w:ind w:firstLine="0" w:firstLineChars="0"/>
        <w:jc w:val="center"/>
        <w:outlineLvl w:val="1"/>
        <w:rPr>
          <w:rFonts w:ascii="宋体" w:hAnsi="宋体"/>
          <w:b/>
          <w:bCs/>
          <w:kern w:val="0"/>
          <w:sz w:val="36"/>
          <w:szCs w:val="36"/>
        </w:rPr>
      </w:pPr>
      <w:bookmarkStart w:id="94" w:name="_Toc82441612"/>
      <w:bookmarkStart w:id="95" w:name="_Toc376936758"/>
      <w:r>
        <w:rPr>
          <w:rFonts w:hint="eastAsia" w:ascii="宋体" w:hAnsi="宋体"/>
          <w:b/>
          <w:bCs/>
          <w:kern w:val="0"/>
          <w:sz w:val="36"/>
          <w:szCs w:val="36"/>
        </w:rPr>
        <w:t>九、授予合同</w:t>
      </w:r>
      <w:bookmarkEnd w:id="90"/>
      <w:bookmarkEnd w:id="94"/>
      <w:bookmarkEnd w:id="95"/>
    </w:p>
    <w:p>
      <w:pPr>
        <w:widowControl/>
        <w:spacing w:before="100" w:beforeAutospacing="1" w:after="100" w:afterAutospacing="1" w:line="240" w:lineRule="auto"/>
        <w:ind w:firstLine="542"/>
        <w:jc w:val="left"/>
        <w:outlineLvl w:val="2"/>
        <w:rPr>
          <w:rFonts w:ascii="宋体" w:hAnsi="宋体"/>
          <w:b/>
          <w:bCs/>
          <w:kern w:val="0"/>
          <w:sz w:val="27"/>
          <w:szCs w:val="27"/>
        </w:rPr>
      </w:pPr>
      <w:bookmarkStart w:id="96" w:name="_Toc82441613"/>
      <w:bookmarkStart w:id="97" w:name="_Toc325726029"/>
      <w:bookmarkStart w:id="98" w:name="_Toc376936760"/>
      <w:r>
        <w:rPr>
          <w:rFonts w:hint="eastAsia" w:ascii="宋体" w:hAnsi="宋体"/>
          <w:b/>
          <w:bCs/>
          <w:kern w:val="0"/>
          <w:sz w:val="27"/>
          <w:szCs w:val="27"/>
        </w:rPr>
        <w:t>25.签订合同</w:t>
      </w:r>
      <w:bookmarkEnd w:id="96"/>
      <w:bookmarkEnd w:id="97"/>
      <w:bookmarkEnd w:id="98"/>
    </w:p>
    <w:p>
      <w:pPr>
        <w:ind w:firstLine="480"/>
        <w:jc w:val="left"/>
        <w:rPr>
          <w:rFonts w:ascii="宋体" w:hAnsi="宋体"/>
        </w:rPr>
      </w:pPr>
      <w:r>
        <w:rPr>
          <w:rFonts w:hint="eastAsia" w:ascii="宋体" w:hAnsi="宋体"/>
        </w:rPr>
        <w:t>25.1采购人与中标供应商双方应当自《中标通知书》发出之日起30日内，按照招标文件确定的合同文本以及采购标的、规格型号、采购金额、采购数量、技术和服务要求等事项签订采购合同，并报青海省政府采购中心审核备案。</w:t>
      </w:r>
    </w:p>
    <w:p>
      <w:pPr>
        <w:ind w:firstLine="480"/>
        <w:rPr>
          <w:rFonts w:ascii="宋体" w:hAnsi="宋体"/>
          <w:szCs w:val="20"/>
        </w:rPr>
      </w:pPr>
      <w:r>
        <w:rPr>
          <w:rFonts w:hint="eastAsia" w:ascii="宋体" w:hAnsi="宋体"/>
        </w:rPr>
        <w:t>25.2</w:t>
      </w:r>
      <w:r>
        <w:rPr>
          <w:rFonts w:hint="eastAsia" w:ascii="宋体" w:hAnsi="宋体"/>
          <w:szCs w:val="20"/>
        </w:rPr>
        <w:t>签订合同时，中标供应商应按规定向采购人提交履约保证金</w:t>
      </w:r>
      <w:r>
        <w:rPr>
          <w:rFonts w:hint="eastAsia" w:ascii="宋体" w:hAnsi="宋体" w:cs="宋体"/>
          <w:lang w:val="zh-CN"/>
        </w:rPr>
        <w:t>（履约保证金的数额由采购人与中标供应商商定，但数额不得超出采购合同总金额的10%）</w:t>
      </w:r>
      <w:r>
        <w:rPr>
          <w:rFonts w:hint="eastAsia" w:ascii="宋体" w:hAnsi="宋体"/>
          <w:szCs w:val="20"/>
        </w:rPr>
        <w:t>，履约保证金须缴纳到采购人指定的账户。</w:t>
      </w:r>
    </w:p>
    <w:p>
      <w:pPr>
        <w:ind w:firstLine="480"/>
        <w:jc w:val="left"/>
        <w:rPr>
          <w:rFonts w:ascii="宋体" w:hAnsi="宋体"/>
        </w:rPr>
      </w:pPr>
      <w:r>
        <w:rPr>
          <w:rFonts w:hint="eastAsia" w:ascii="宋体" w:hAnsi="宋体"/>
        </w:rPr>
        <w:t>25.3中标供应商在法定期限内无正当理由拒签合同的，按违约处理。同时，集中采购机构和采购人可依评标排序重新确定中标供应商，并协调双方签订采购合同。</w:t>
      </w:r>
    </w:p>
    <w:p>
      <w:pPr>
        <w:ind w:firstLine="480"/>
        <w:jc w:val="left"/>
        <w:rPr>
          <w:rFonts w:ascii="宋体" w:hAnsi="宋体"/>
        </w:rPr>
      </w:pPr>
      <w:r>
        <w:rPr>
          <w:rFonts w:hint="eastAsia" w:ascii="宋体" w:hAnsi="宋体"/>
        </w:rPr>
        <w:t>25.4采购人不得向中标供应商提出任何不合理的要求作为订立合同的条件，采购人和中标供应商不得私下订立背离合同实质性内容的协议。</w:t>
      </w:r>
    </w:p>
    <w:p>
      <w:pPr>
        <w:ind w:firstLine="480"/>
        <w:jc w:val="left"/>
        <w:rPr>
          <w:rFonts w:ascii="宋体" w:hAnsi="宋体"/>
        </w:rPr>
      </w:pPr>
      <w:r>
        <w:rPr>
          <w:rFonts w:hint="eastAsia" w:ascii="宋体" w:hAnsi="宋体"/>
        </w:rPr>
        <w:t>25.5招标文件、中标供应商的投标文件、《中标通知书》及其澄清、说明文件等，均为签订采购合同的依据。</w:t>
      </w:r>
      <w:bookmarkStart w:id="99" w:name="_Toc325726030"/>
      <w:bookmarkStart w:id="100" w:name="_Toc376936761"/>
    </w:p>
    <w:p>
      <w:pPr>
        <w:ind w:firstLine="480"/>
        <w:jc w:val="left"/>
        <w:rPr>
          <w:rFonts w:ascii="宋体" w:hAnsi="宋体"/>
        </w:rPr>
      </w:pPr>
      <w:r>
        <w:rPr>
          <w:rFonts w:hint="eastAsia" w:ascii="宋体" w:hAnsi="宋体"/>
        </w:rPr>
        <w:t>25.6采购人或集中采购机构应当自采购合同签订之日起2个工作日内，将采购合同在青海政府采购信息网上公告，但政府采购合同中涉及国家秘密、商业秘密的内容除外。</w:t>
      </w:r>
    </w:p>
    <w:p>
      <w:pPr>
        <w:ind w:firstLine="480"/>
        <w:jc w:val="left"/>
        <w:rPr>
          <w:rFonts w:ascii="宋体" w:hAnsi="宋体"/>
        </w:rPr>
      </w:pPr>
      <w:r>
        <w:rPr>
          <w:rFonts w:hint="eastAsia" w:ascii="宋体" w:hAnsi="宋体"/>
        </w:rPr>
        <w:t>25.7采购人与中标人应当根据合同的约定依法履行合同义务。政府采购合同的履行、违约责任和解决争议的方法等适用《中华人民共和国民法典》。</w:t>
      </w:r>
    </w:p>
    <w:p>
      <w:pPr>
        <w:ind w:firstLine="480"/>
        <w:jc w:val="left"/>
        <w:rPr>
          <w:rFonts w:ascii="宋体" w:hAnsi="宋体"/>
        </w:rPr>
      </w:pPr>
      <w:r>
        <w:rPr>
          <w:rFonts w:hint="eastAsia" w:ascii="宋体" w:hAnsi="宋体"/>
        </w:rPr>
        <w:t>25.8</w:t>
      </w:r>
      <w:r>
        <w:rPr>
          <w:rFonts w:ascii="宋体" w:hAnsi="宋体"/>
        </w:rPr>
        <w:t xml:space="preserve"> </w:t>
      </w:r>
      <w:r>
        <w:rPr>
          <w:rFonts w:hint="eastAsia" w:ascii="宋体" w:hAnsi="宋体"/>
        </w:rPr>
        <w:t>采购人应当按照政府采购合同规定的技术、服务、安全标准组织对供应商履约情况进行验收，并出具验收书。验收书应当包括每一项技术、服务、安全标准的履约情况。</w:t>
      </w:r>
    </w:p>
    <w:p>
      <w:pPr>
        <w:autoSpaceDE w:val="0"/>
        <w:autoSpaceDN w:val="0"/>
        <w:ind w:firstLine="480"/>
        <w:rPr>
          <w:rFonts w:ascii="宋体" w:hAnsi="宋体"/>
        </w:rPr>
      </w:pPr>
      <w:r>
        <w:rPr>
          <w:rFonts w:hint="eastAsia" w:ascii="宋体" w:hAnsi="宋体"/>
        </w:rPr>
        <w:t>25.9</w:t>
      </w:r>
      <w:r>
        <w:rPr>
          <w:rFonts w:ascii="宋体" w:hAnsi="宋体"/>
        </w:rPr>
        <w:t xml:space="preserve"> </w:t>
      </w:r>
      <w:r>
        <w:rPr>
          <w:rFonts w:hint="eastAsia" w:ascii="宋体" w:hAnsi="宋体"/>
        </w:rPr>
        <w:t>采购人应当加强对中标人的履约管理，并按照采购合同约定，及时向中标人支付采购资金。对于中标人违反采购合同约定的行为，采购人应当及时处理，依法追究其违约责任。</w:t>
      </w:r>
    </w:p>
    <w:p>
      <w:pPr>
        <w:widowControl/>
        <w:spacing w:beforeLines="200" w:afterLines="200" w:line="240" w:lineRule="auto"/>
        <w:ind w:firstLine="0" w:firstLineChars="0"/>
        <w:jc w:val="center"/>
        <w:outlineLvl w:val="1"/>
        <w:rPr>
          <w:rFonts w:ascii="宋体" w:hAnsi="宋体"/>
          <w:b/>
          <w:bCs/>
          <w:kern w:val="0"/>
          <w:sz w:val="36"/>
          <w:szCs w:val="36"/>
        </w:rPr>
      </w:pPr>
      <w:bookmarkStart w:id="101" w:name="_Toc82441614"/>
      <w:r>
        <w:rPr>
          <w:rFonts w:hint="eastAsia" w:ascii="宋体" w:hAnsi="宋体"/>
          <w:b/>
          <w:bCs/>
          <w:kern w:val="0"/>
          <w:sz w:val="36"/>
          <w:szCs w:val="36"/>
        </w:rPr>
        <w:t>十、串通投标的认定及处理办法</w:t>
      </w:r>
      <w:bookmarkEnd w:id="101"/>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02" w:name="_Toc82441615"/>
      <w:r>
        <w:rPr>
          <w:rFonts w:hint="eastAsia" w:ascii="宋体" w:hAnsi="宋体"/>
          <w:b/>
          <w:bCs/>
          <w:kern w:val="0"/>
          <w:sz w:val="27"/>
          <w:szCs w:val="27"/>
        </w:rPr>
        <w:t>26.串通投标的情形</w:t>
      </w:r>
      <w:bookmarkEnd w:id="102"/>
    </w:p>
    <w:p>
      <w:pPr>
        <w:ind w:firstLine="480"/>
        <w:jc w:val="left"/>
        <w:rPr>
          <w:rFonts w:ascii="宋体" w:hAnsi="宋体"/>
        </w:rPr>
      </w:pPr>
      <w:r>
        <w:rPr>
          <w:rFonts w:hint="eastAsia" w:ascii="宋体" w:hAnsi="宋体"/>
        </w:rPr>
        <w:t>26.1</w:t>
      </w:r>
      <w:r>
        <w:rPr>
          <w:rFonts w:ascii="宋体" w:hAnsi="宋体"/>
        </w:rPr>
        <w:t>投标人应当遵循公平竞争的原则，不得恶意串通，不得妨碍其他投标人的竞争行为，不得损害采购人或者其他投标人的合法权益。</w:t>
      </w:r>
    </w:p>
    <w:p>
      <w:pPr>
        <w:ind w:firstLine="480"/>
        <w:jc w:val="left"/>
        <w:rPr>
          <w:rFonts w:ascii="宋体" w:hAnsi="宋体"/>
        </w:rPr>
      </w:pPr>
      <w:r>
        <w:rPr>
          <w:rFonts w:hint="eastAsia" w:ascii="宋体" w:hAnsi="宋体"/>
        </w:rPr>
        <w:t xml:space="preserve">26.2 </w:t>
      </w:r>
      <w:r>
        <w:rPr>
          <w:rFonts w:ascii="宋体" w:hAnsi="宋体"/>
        </w:rPr>
        <w:t>有下列情形之一的，视为投标人串通投标，其投标无效：</w:t>
      </w:r>
    </w:p>
    <w:p>
      <w:pPr>
        <w:ind w:firstLine="480"/>
        <w:jc w:val="left"/>
        <w:rPr>
          <w:rFonts w:ascii="宋体" w:hAnsi="宋体"/>
        </w:rPr>
      </w:pPr>
      <w:r>
        <w:rPr>
          <w:rFonts w:hint="eastAsia" w:ascii="宋体" w:hAnsi="宋体"/>
        </w:rPr>
        <w:t>（1）</w:t>
      </w:r>
      <w:r>
        <w:rPr>
          <w:rFonts w:ascii="宋体" w:hAnsi="宋体"/>
        </w:rPr>
        <w:t>不同投标人的投标文件由同一单位或者个人编制；</w:t>
      </w:r>
    </w:p>
    <w:p>
      <w:pPr>
        <w:ind w:firstLine="480"/>
        <w:jc w:val="left"/>
        <w:rPr>
          <w:rFonts w:ascii="宋体" w:hAnsi="宋体"/>
        </w:rPr>
      </w:pPr>
      <w:r>
        <w:rPr>
          <w:rFonts w:hint="eastAsia" w:ascii="宋体" w:hAnsi="宋体"/>
        </w:rPr>
        <w:t>（2）</w:t>
      </w:r>
      <w:r>
        <w:rPr>
          <w:rFonts w:ascii="宋体" w:hAnsi="宋体"/>
        </w:rPr>
        <w:t>不同投标人委托同一单位或者个人办理投标事宜；</w:t>
      </w:r>
    </w:p>
    <w:p>
      <w:pPr>
        <w:ind w:firstLine="480"/>
        <w:jc w:val="left"/>
        <w:rPr>
          <w:rFonts w:ascii="宋体" w:hAnsi="宋体"/>
        </w:rPr>
      </w:pPr>
      <w:r>
        <w:rPr>
          <w:rFonts w:hint="eastAsia" w:ascii="宋体" w:hAnsi="宋体"/>
        </w:rPr>
        <w:t>（3）</w:t>
      </w:r>
      <w:r>
        <w:rPr>
          <w:rFonts w:ascii="宋体" w:hAnsi="宋体"/>
        </w:rPr>
        <w:t>不同投标人的投标文件载明的项目管理成员或者联系人员为同一人；</w:t>
      </w:r>
    </w:p>
    <w:p>
      <w:pPr>
        <w:ind w:firstLine="480"/>
        <w:jc w:val="left"/>
        <w:rPr>
          <w:rFonts w:ascii="宋体" w:hAnsi="宋体"/>
        </w:rPr>
      </w:pPr>
      <w:r>
        <w:rPr>
          <w:rFonts w:hint="eastAsia" w:ascii="宋体" w:hAnsi="宋体"/>
        </w:rPr>
        <w:t>（4）</w:t>
      </w:r>
      <w:r>
        <w:rPr>
          <w:rFonts w:ascii="宋体" w:hAnsi="宋体"/>
        </w:rPr>
        <w:t>不同投标人的投标文件异常一致或者投标报价呈规律性差异；</w:t>
      </w:r>
    </w:p>
    <w:p>
      <w:pPr>
        <w:ind w:firstLine="480"/>
        <w:jc w:val="left"/>
        <w:rPr>
          <w:rFonts w:ascii="宋体" w:hAnsi="宋体"/>
        </w:rPr>
      </w:pPr>
      <w:r>
        <w:rPr>
          <w:rFonts w:hint="eastAsia" w:ascii="宋体" w:hAnsi="宋体"/>
        </w:rPr>
        <w:t>（5）</w:t>
      </w:r>
      <w:r>
        <w:rPr>
          <w:rFonts w:ascii="宋体" w:hAnsi="宋体"/>
        </w:rPr>
        <w:t>不同投标人的投标文件相互混装；</w:t>
      </w:r>
    </w:p>
    <w:p>
      <w:pPr>
        <w:ind w:firstLine="480"/>
        <w:jc w:val="left"/>
        <w:rPr>
          <w:rFonts w:ascii="宋体" w:hAnsi="宋体"/>
        </w:rPr>
      </w:pPr>
      <w:r>
        <w:rPr>
          <w:rFonts w:hint="eastAsia" w:ascii="宋体" w:hAnsi="宋体"/>
        </w:rPr>
        <w:t>（6）</w:t>
      </w:r>
      <w:r>
        <w:rPr>
          <w:rFonts w:ascii="宋体" w:hAnsi="宋体"/>
        </w:rPr>
        <w:t>不同投标人的投标保证金从同一单位或者个人的账户转出。</w:t>
      </w:r>
    </w:p>
    <w:p>
      <w:pPr>
        <w:widowControl/>
        <w:spacing w:beforeLines="200" w:afterLines="200" w:line="240" w:lineRule="auto"/>
        <w:ind w:firstLine="0" w:firstLineChars="0"/>
        <w:jc w:val="center"/>
        <w:outlineLvl w:val="1"/>
        <w:rPr>
          <w:rFonts w:ascii="宋体" w:hAnsi="宋体"/>
          <w:b/>
          <w:bCs/>
          <w:kern w:val="0"/>
          <w:sz w:val="36"/>
          <w:szCs w:val="36"/>
        </w:rPr>
      </w:pPr>
      <w:bookmarkStart w:id="103" w:name="_Toc82441616"/>
      <w:r>
        <w:rPr>
          <w:rFonts w:hint="eastAsia" w:ascii="宋体" w:hAnsi="宋体"/>
          <w:b/>
          <w:bCs/>
          <w:kern w:val="0"/>
          <w:sz w:val="36"/>
          <w:szCs w:val="36"/>
        </w:rPr>
        <w:t>十一、废标</w:t>
      </w:r>
      <w:bookmarkEnd w:id="99"/>
      <w:bookmarkEnd w:id="100"/>
      <w:bookmarkEnd w:id="103"/>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04" w:name="_Toc82441617"/>
      <w:bookmarkStart w:id="105" w:name="_Toc325726031"/>
      <w:bookmarkStart w:id="106" w:name="_Toc376936762"/>
      <w:r>
        <w:rPr>
          <w:rFonts w:hint="eastAsia" w:ascii="宋体" w:hAnsi="宋体"/>
          <w:b/>
          <w:bCs/>
          <w:kern w:val="0"/>
          <w:sz w:val="27"/>
          <w:szCs w:val="27"/>
        </w:rPr>
        <w:t>27. 废标情形</w:t>
      </w:r>
      <w:bookmarkEnd w:id="104"/>
    </w:p>
    <w:p>
      <w:pPr>
        <w:ind w:firstLine="480"/>
        <w:jc w:val="left"/>
        <w:rPr>
          <w:rFonts w:ascii="宋体" w:hAnsi="宋体"/>
        </w:rPr>
      </w:pPr>
      <w:r>
        <w:rPr>
          <w:rFonts w:hint="eastAsia" w:ascii="宋体" w:hAnsi="宋体"/>
        </w:rPr>
        <w:t>27.1在招标采购中，出现下列情形之一的，应予废标：</w:t>
      </w:r>
      <w:bookmarkEnd w:id="105"/>
      <w:bookmarkEnd w:id="106"/>
    </w:p>
    <w:p>
      <w:pPr>
        <w:ind w:firstLine="480"/>
        <w:jc w:val="left"/>
        <w:rPr>
          <w:rFonts w:ascii="宋体" w:hAnsi="宋体"/>
        </w:rPr>
      </w:pPr>
      <w:r>
        <w:rPr>
          <w:rFonts w:hint="eastAsia" w:ascii="宋体" w:hAnsi="宋体"/>
        </w:rPr>
        <w:t>（1）符合投标条件的供应商或者对招标文件作实质响应的供应商不足三家的；</w:t>
      </w:r>
    </w:p>
    <w:p>
      <w:pPr>
        <w:ind w:firstLine="480"/>
        <w:jc w:val="left"/>
        <w:rPr>
          <w:rFonts w:ascii="宋体" w:hAnsi="宋体"/>
        </w:rPr>
      </w:pPr>
      <w:r>
        <w:rPr>
          <w:rFonts w:hint="eastAsia" w:ascii="宋体" w:hAnsi="宋体"/>
        </w:rPr>
        <w:t>（2）出现影响采购活动正常推进的违法、违规行为的；</w:t>
      </w:r>
    </w:p>
    <w:p>
      <w:pPr>
        <w:ind w:firstLine="480"/>
        <w:jc w:val="left"/>
        <w:rPr>
          <w:rFonts w:ascii="宋体" w:hAnsi="宋体"/>
        </w:rPr>
      </w:pPr>
      <w:r>
        <w:rPr>
          <w:rFonts w:hint="eastAsia" w:ascii="宋体" w:hAnsi="宋体"/>
        </w:rPr>
        <w:t>（3）投标人的报价均超出</w:t>
      </w:r>
      <w:r>
        <w:rPr>
          <w:rFonts w:hint="eastAsia" w:ascii="宋体" w:hAnsi="宋体"/>
          <w:lang w:eastAsia="zh-CN"/>
        </w:rPr>
        <w:t>采购预算</w:t>
      </w:r>
      <w:r>
        <w:rPr>
          <w:rFonts w:hint="eastAsia" w:ascii="宋体" w:hAnsi="宋体"/>
        </w:rPr>
        <w:t>，采购人不能支付的；</w:t>
      </w:r>
    </w:p>
    <w:p>
      <w:pPr>
        <w:ind w:firstLine="480"/>
        <w:jc w:val="left"/>
        <w:rPr>
          <w:rFonts w:ascii="宋体" w:hAnsi="宋体"/>
        </w:rPr>
      </w:pPr>
      <w:r>
        <w:rPr>
          <w:rFonts w:hint="eastAsia" w:ascii="宋体" w:hAnsi="宋体"/>
        </w:rPr>
        <w:t>（4）因重大变故，采购任务取消的。</w:t>
      </w:r>
    </w:p>
    <w:p>
      <w:pPr>
        <w:ind w:firstLine="480"/>
        <w:rPr>
          <w:rFonts w:ascii="宋体" w:hAnsi="Courier New"/>
          <w:szCs w:val="20"/>
        </w:rPr>
      </w:pPr>
      <w:r>
        <w:rPr>
          <w:rFonts w:hint="eastAsia" w:ascii="宋体" w:hAnsi="宋体"/>
        </w:rPr>
        <w:t>27.2</w:t>
      </w:r>
      <w:r>
        <w:rPr>
          <w:rFonts w:hint="eastAsia" w:ascii="宋体" w:hAnsi="Courier New"/>
          <w:szCs w:val="20"/>
        </w:rPr>
        <w:t>废标后，由</w:t>
      </w:r>
      <w:r>
        <w:rPr>
          <w:rFonts w:hint="eastAsia" w:ascii="宋体" w:hAnsi="宋体"/>
        </w:rPr>
        <w:t>集中采购机构</w:t>
      </w:r>
      <w:r>
        <w:rPr>
          <w:rFonts w:hint="eastAsia" w:ascii="宋体" w:hAnsi="Courier New" w:cs="宋体"/>
          <w:szCs w:val="20"/>
        </w:rPr>
        <w:t>发布废标公告</w:t>
      </w:r>
      <w:r>
        <w:rPr>
          <w:rFonts w:hint="eastAsia" w:ascii="宋体" w:hAnsi="Courier New"/>
          <w:szCs w:val="20"/>
        </w:rPr>
        <w:t>。</w:t>
      </w:r>
      <w:bookmarkStart w:id="107" w:name="_Toc325726032"/>
    </w:p>
    <w:p>
      <w:pPr>
        <w:widowControl/>
        <w:spacing w:beforeLines="200" w:afterLines="200" w:line="240" w:lineRule="auto"/>
        <w:ind w:firstLine="0" w:firstLineChars="0"/>
        <w:jc w:val="center"/>
        <w:outlineLvl w:val="1"/>
        <w:rPr>
          <w:rFonts w:ascii="宋体" w:hAnsi="宋体"/>
          <w:b/>
          <w:bCs/>
          <w:kern w:val="0"/>
          <w:sz w:val="36"/>
          <w:szCs w:val="36"/>
        </w:rPr>
      </w:pPr>
      <w:bookmarkStart w:id="108" w:name="_Toc376936763"/>
      <w:bookmarkStart w:id="109" w:name="_Toc82441618"/>
      <w:r>
        <w:rPr>
          <w:rFonts w:hint="eastAsia" w:ascii="宋体" w:hAnsi="宋体"/>
          <w:b/>
          <w:bCs/>
          <w:kern w:val="0"/>
          <w:sz w:val="36"/>
          <w:szCs w:val="36"/>
        </w:rPr>
        <w:t>十二、处罚</w:t>
      </w:r>
      <w:bookmarkEnd w:id="107"/>
      <w:bookmarkEnd w:id="108"/>
      <w:bookmarkEnd w:id="109"/>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10" w:name="_Toc325726033"/>
      <w:bookmarkStart w:id="111" w:name="_Toc82441619"/>
      <w:bookmarkStart w:id="112" w:name="_Toc376936764"/>
      <w:r>
        <w:rPr>
          <w:rFonts w:hint="eastAsia" w:ascii="宋体" w:hAnsi="宋体"/>
          <w:b/>
          <w:bCs/>
          <w:kern w:val="0"/>
          <w:sz w:val="27"/>
          <w:szCs w:val="27"/>
        </w:rPr>
        <w:t>28.处罚情形</w:t>
      </w:r>
      <w:bookmarkEnd w:id="110"/>
      <w:bookmarkEnd w:id="111"/>
      <w:bookmarkEnd w:id="112"/>
    </w:p>
    <w:p>
      <w:pPr>
        <w:ind w:firstLine="480"/>
        <w:jc w:val="left"/>
        <w:rPr>
          <w:rFonts w:ascii="宋体" w:hAnsi="宋体"/>
        </w:rPr>
      </w:pPr>
      <w:r>
        <w:rPr>
          <w:rFonts w:hint="eastAsia" w:ascii="宋体" w:hAnsi="宋体"/>
        </w:rPr>
        <w:t>28.1有下列情形之一的，投标人的投标保证金不予退还；中标供应商的中标结果无效，履约保证金不予退还。</w:t>
      </w:r>
    </w:p>
    <w:p>
      <w:pPr>
        <w:ind w:firstLine="480"/>
        <w:jc w:val="left"/>
        <w:rPr>
          <w:rFonts w:ascii="宋体" w:hAnsi="宋体"/>
        </w:rPr>
      </w:pPr>
      <w:r>
        <w:rPr>
          <w:rFonts w:hint="eastAsia" w:ascii="宋体" w:hAnsi="宋体"/>
        </w:rPr>
        <w:t>（1）投标人在投标截止期后撤回其投标的；</w:t>
      </w:r>
    </w:p>
    <w:p>
      <w:pPr>
        <w:ind w:firstLine="480"/>
        <w:jc w:val="left"/>
        <w:rPr>
          <w:rFonts w:ascii="宋体" w:hAnsi="宋体"/>
        </w:rPr>
      </w:pPr>
      <w:r>
        <w:rPr>
          <w:rFonts w:hint="eastAsia" w:ascii="宋体" w:hAnsi="宋体"/>
        </w:rPr>
        <w:t>（2）提供虚假材料谋取中标的；</w:t>
      </w:r>
    </w:p>
    <w:p>
      <w:pPr>
        <w:ind w:firstLine="480"/>
        <w:jc w:val="left"/>
        <w:rPr>
          <w:rFonts w:ascii="宋体" w:hAnsi="宋体"/>
        </w:rPr>
      </w:pPr>
      <w:r>
        <w:rPr>
          <w:rFonts w:hint="eastAsia" w:ascii="宋体" w:hAnsi="宋体"/>
        </w:rPr>
        <w:t>（3）采取不正当手段诋毁、排挤其他供应商的；</w:t>
      </w:r>
    </w:p>
    <w:p>
      <w:pPr>
        <w:ind w:firstLine="439" w:firstLineChars="183"/>
        <w:jc w:val="left"/>
        <w:rPr>
          <w:rFonts w:ascii="宋体" w:hAnsi="宋体"/>
        </w:rPr>
      </w:pPr>
      <w:r>
        <w:rPr>
          <w:rFonts w:hint="eastAsia" w:ascii="宋体" w:hAnsi="宋体"/>
        </w:rPr>
        <w:t>（4）有恶意串通等不正当竞争行为的；</w:t>
      </w:r>
    </w:p>
    <w:p>
      <w:pPr>
        <w:ind w:firstLine="480"/>
        <w:jc w:val="left"/>
        <w:rPr>
          <w:rFonts w:ascii="宋体" w:hAnsi="宋体"/>
        </w:rPr>
      </w:pPr>
      <w:r>
        <w:rPr>
          <w:rFonts w:hint="eastAsia" w:ascii="宋体" w:hAnsi="宋体"/>
        </w:rPr>
        <w:t>（5）中标后无正当理由拒不与采购人签订采购合同的；</w:t>
      </w:r>
    </w:p>
    <w:p>
      <w:pPr>
        <w:ind w:firstLine="480"/>
        <w:jc w:val="left"/>
        <w:rPr>
          <w:rFonts w:ascii="宋体" w:hAnsi="宋体"/>
        </w:rPr>
      </w:pPr>
      <w:r>
        <w:rPr>
          <w:rFonts w:hint="eastAsia" w:ascii="宋体" w:hAnsi="宋体"/>
        </w:rPr>
        <w:t>（6）未按照招、投标文件确定的事项签订采购合同的；</w:t>
      </w:r>
    </w:p>
    <w:p>
      <w:pPr>
        <w:ind w:firstLine="480"/>
        <w:jc w:val="left"/>
        <w:rPr>
          <w:rFonts w:ascii="宋体" w:hAnsi="宋体"/>
        </w:rPr>
      </w:pPr>
      <w:r>
        <w:rPr>
          <w:rFonts w:hint="eastAsia" w:ascii="宋体" w:hAnsi="宋体"/>
        </w:rPr>
        <w:t>（7）将采购合同转包的；</w:t>
      </w:r>
    </w:p>
    <w:p>
      <w:pPr>
        <w:ind w:firstLine="480"/>
        <w:jc w:val="left"/>
        <w:rPr>
          <w:rFonts w:ascii="宋体" w:hAnsi="宋体"/>
        </w:rPr>
      </w:pPr>
      <w:r>
        <w:rPr>
          <w:rFonts w:hint="eastAsia" w:ascii="宋体" w:hAnsi="宋体"/>
        </w:rPr>
        <w:t>（8）提供假冒伪劣产品的；</w:t>
      </w:r>
    </w:p>
    <w:p>
      <w:pPr>
        <w:ind w:firstLine="480"/>
        <w:jc w:val="left"/>
        <w:rPr>
          <w:rFonts w:ascii="宋体" w:hAnsi="宋体"/>
        </w:rPr>
      </w:pPr>
      <w:r>
        <w:rPr>
          <w:rFonts w:hint="eastAsia" w:ascii="宋体" w:hAnsi="宋体"/>
        </w:rPr>
        <w:t>（9）擅自变更、中止或者终止政府采购合同的；</w:t>
      </w:r>
    </w:p>
    <w:p>
      <w:pPr>
        <w:ind w:firstLine="480"/>
        <w:jc w:val="left"/>
        <w:rPr>
          <w:rFonts w:ascii="宋体" w:hAnsi="宋体"/>
        </w:rPr>
      </w:pPr>
      <w:r>
        <w:rPr>
          <w:rFonts w:hint="eastAsia" w:ascii="宋体" w:hAnsi="宋体"/>
        </w:rPr>
        <w:t>（10）中标供应商签订合同后，因种种原因不能履约或无故拖延履约期的；</w:t>
      </w:r>
    </w:p>
    <w:p>
      <w:pPr>
        <w:ind w:firstLine="480"/>
        <w:jc w:val="left"/>
        <w:rPr>
          <w:rFonts w:ascii="宋体" w:hAnsi="宋体"/>
        </w:rPr>
      </w:pPr>
      <w:r>
        <w:rPr>
          <w:rFonts w:hint="eastAsia" w:ascii="宋体" w:hAnsi="宋体"/>
        </w:rPr>
        <w:t>（11）法律、法规规定的其他情形的。</w:t>
      </w:r>
    </w:p>
    <w:p>
      <w:pPr>
        <w:ind w:firstLine="480"/>
        <w:jc w:val="left"/>
        <w:rPr>
          <w:rFonts w:ascii="宋体" w:hAnsi="宋体"/>
        </w:rPr>
      </w:pPr>
      <w:r>
        <w:rPr>
          <w:rFonts w:hint="eastAsia" w:ascii="宋体" w:hAnsi="宋体"/>
        </w:rPr>
        <w:t>28.2出现上述情况，情节严重的，报省财政厅依法进行处理。</w:t>
      </w:r>
    </w:p>
    <w:p>
      <w:pPr>
        <w:widowControl/>
        <w:spacing w:beforeLines="200" w:afterLines="200" w:line="240" w:lineRule="auto"/>
        <w:ind w:firstLine="0" w:firstLineChars="0"/>
        <w:jc w:val="center"/>
        <w:outlineLvl w:val="1"/>
        <w:rPr>
          <w:rFonts w:ascii="宋体" w:hAnsi="宋体"/>
          <w:b/>
          <w:bCs/>
          <w:kern w:val="0"/>
          <w:sz w:val="36"/>
          <w:szCs w:val="36"/>
        </w:rPr>
      </w:pPr>
      <w:bookmarkStart w:id="113" w:name="_Toc325726034"/>
      <w:bookmarkStart w:id="114" w:name="_Toc376936765"/>
      <w:bookmarkStart w:id="115" w:name="_Toc82441620"/>
      <w:r>
        <w:rPr>
          <w:rFonts w:hint="eastAsia" w:ascii="宋体" w:hAnsi="宋体"/>
          <w:b/>
          <w:bCs/>
          <w:kern w:val="0"/>
          <w:sz w:val="36"/>
          <w:szCs w:val="36"/>
        </w:rPr>
        <w:t>十三、其他</w:t>
      </w:r>
      <w:bookmarkEnd w:id="113"/>
      <w:bookmarkEnd w:id="114"/>
      <w:bookmarkEnd w:id="115"/>
    </w:p>
    <w:p>
      <w:pPr>
        <w:ind w:firstLine="480"/>
        <w:jc w:val="left"/>
        <w:rPr>
          <w:rFonts w:ascii="宋体" w:hAnsi="宋体"/>
        </w:rPr>
      </w:pPr>
      <w:r>
        <w:rPr>
          <w:rFonts w:hint="eastAsia" w:ascii="宋体" w:hAnsi="宋体"/>
        </w:rPr>
        <w:t>其他未尽事宜，按照《中华人民共和国政府采购法》、《中华人民共和国民法典》、《中华人民共和国政府采购法实施条例》等法律法规及中华人民共和国财政部《政府采购货物和服务招标投标管理办法》的有关条款执行。</w:t>
      </w:r>
    </w:p>
    <w:p>
      <w:pPr>
        <w:ind w:firstLine="0" w:firstLineChars="0"/>
        <w:jc w:val="center"/>
        <w:rPr>
          <w:rFonts w:ascii="宋体"/>
          <w:b/>
          <w:kern w:val="28"/>
          <w:sz w:val="36"/>
          <w:szCs w:val="20"/>
        </w:rPr>
      </w:pPr>
      <w:bookmarkStart w:id="116" w:name="_Toc376936766"/>
      <w:r>
        <w:rPr>
          <w:rFonts w:ascii="宋体"/>
          <w:b/>
          <w:kern w:val="28"/>
          <w:sz w:val="36"/>
          <w:szCs w:val="20"/>
        </w:rPr>
        <w:br w:type="page"/>
      </w:r>
      <w:r>
        <w:rPr>
          <w:rFonts w:hint="eastAsia" w:ascii="宋体"/>
          <w:b/>
          <w:kern w:val="28"/>
          <w:sz w:val="36"/>
          <w:szCs w:val="20"/>
        </w:rPr>
        <w:t xml:space="preserve">第三部分 </w:t>
      </w:r>
      <w:bookmarkEnd w:id="116"/>
      <w:r>
        <w:rPr>
          <w:rFonts w:hint="eastAsia" w:ascii="宋体"/>
          <w:b/>
          <w:kern w:val="28"/>
          <w:sz w:val="36"/>
          <w:szCs w:val="20"/>
        </w:rPr>
        <w:t>青海省政府采购项目合同书范本（货物类）</w:t>
      </w:r>
    </w:p>
    <w:p>
      <w:pPr>
        <w:ind w:firstLine="0" w:firstLineChars="0"/>
      </w:pPr>
      <w:bookmarkStart w:id="117" w:name="_Toc375576842"/>
      <w:bookmarkStart w:id="118" w:name="_Toc373954603"/>
      <w:bookmarkStart w:id="119" w:name="_Toc373936315"/>
    </w:p>
    <w:p>
      <w:pPr>
        <w:pStyle w:val="4"/>
        <w:ind w:firstLine="686" w:firstLineChars="286"/>
        <w:jc w:val="both"/>
        <w:rPr>
          <w:rFonts w:ascii="Times New Roman"/>
          <w:b w:val="0"/>
          <w:kern w:val="2"/>
          <w:sz w:val="24"/>
          <w:szCs w:val="24"/>
        </w:rPr>
      </w:pPr>
    </w:p>
    <w:p>
      <w:pPr>
        <w:ind w:firstLine="480"/>
      </w:pPr>
    </w:p>
    <w:p>
      <w:pPr>
        <w:ind w:firstLine="480"/>
      </w:pPr>
    </w:p>
    <w:p>
      <w:pPr>
        <w:ind w:firstLine="480"/>
      </w:pPr>
    </w:p>
    <w:p>
      <w:pPr>
        <w:ind w:firstLine="480"/>
      </w:pPr>
    </w:p>
    <w:p>
      <w:pPr>
        <w:ind w:firstLine="480"/>
      </w:pPr>
    </w:p>
    <w:p>
      <w:pPr>
        <w:ind w:firstLine="480"/>
      </w:pPr>
    </w:p>
    <w:p>
      <w:pPr>
        <w:pStyle w:val="4"/>
        <w:ind w:firstLine="1378" w:firstLineChars="286"/>
        <w:jc w:val="both"/>
        <w:rPr>
          <w:sz w:val="48"/>
          <w:szCs w:val="48"/>
        </w:rPr>
      </w:pPr>
      <w:bookmarkStart w:id="120" w:name="_Toc82441621"/>
      <w:r>
        <w:rPr>
          <w:rFonts w:hint="eastAsia"/>
          <w:sz w:val="48"/>
          <w:szCs w:val="48"/>
        </w:rPr>
        <w:t>青海省政府采购项目合同</w:t>
      </w:r>
      <w:bookmarkEnd w:id="117"/>
      <w:bookmarkEnd w:id="118"/>
      <w:bookmarkEnd w:id="119"/>
      <w:r>
        <w:rPr>
          <w:rFonts w:hint="eastAsia"/>
          <w:sz w:val="48"/>
          <w:szCs w:val="48"/>
        </w:rPr>
        <w:t>书</w:t>
      </w:r>
      <w:bookmarkEnd w:id="120"/>
    </w:p>
    <w:p>
      <w:pPr>
        <w:ind w:firstLine="0" w:firstLineChars="0"/>
      </w:pPr>
    </w:p>
    <w:p>
      <w:pPr>
        <w:ind w:firstLine="0" w:firstLineChars="0"/>
      </w:pPr>
    </w:p>
    <w:p>
      <w:pPr>
        <w:ind w:firstLine="0" w:firstLineChars="0"/>
      </w:pPr>
    </w:p>
    <w:p>
      <w:pPr>
        <w:spacing w:line="360" w:lineRule="auto"/>
        <w:ind w:firstLine="602"/>
        <w:rPr>
          <w:b/>
          <w:sz w:val="30"/>
          <w:szCs w:val="30"/>
          <w:u w:val="single"/>
        </w:rPr>
      </w:pPr>
      <w:r>
        <w:rPr>
          <w:rFonts w:hint="eastAsia"/>
          <w:b/>
          <w:sz w:val="30"/>
          <w:szCs w:val="30"/>
        </w:rPr>
        <w:t>采购项目名称：</w:t>
      </w:r>
      <w:r>
        <w:rPr>
          <w:rFonts w:hint="eastAsia"/>
          <w:b/>
          <w:sz w:val="30"/>
          <w:szCs w:val="30"/>
          <w:u w:val="single"/>
        </w:rPr>
        <w:t xml:space="preserve">                                  </w:t>
      </w:r>
    </w:p>
    <w:p>
      <w:pPr>
        <w:spacing w:line="360" w:lineRule="auto"/>
        <w:ind w:firstLine="602"/>
        <w:rPr>
          <w:b/>
          <w:sz w:val="30"/>
          <w:szCs w:val="30"/>
        </w:rPr>
      </w:pPr>
      <w:r>
        <w:rPr>
          <w:rFonts w:hint="eastAsia"/>
          <w:b/>
          <w:sz w:val="30"/>
          <w:szCs w:val="30"/>
        </w:rPr>
        <w:t>采购项目编号：</w:t>
      </w:r>
      <w:r>
        <w:rPr>
          <w:rFonts w:hint="eastAsia"/>
          <w:b/>
          <w:sz w:val="30"/>
          <w:szCs w:val="30"/>
          <w:u w:val="single"/>
        </w:rPr>
        <w:t xml:space="preserve">                                  </w:t>
      </w:r>
      <w:r>
        <w:rPr>
          <w:rFonts w:hint="eastAsia"/>
          <w:b/>
          <w:sz w:val="30"/>
          <w:szCs w:val="30"/>
        </w:rPr>
        <w:t xml:space="preserve"> </w:t>
      </w:r>
    </w:p>
    <w:p>
      <w:pPr>
        <w:spacing w:line="360" w:lineRule="auto"/>
        <w:ind w:firstLine="602"/>
        <w:rPr>
          <w:bCs/>
          <w:sz w:val="22"/>
          <w:szCs w:val="22"/>
          <w:u w:val="thick"/>
        </w:rPr>
      </w:pPr>
      <w:r>
        <w:rPr>
          <w:rFonts w:hint="eastAsia"/>
          <w:b/>
          <w:sz w:val="30"/>
          <w:szCs w:val="30"/>
        </w:rPr>
        <w:t>采购合同编号：</w:t>
      </w:r>
      <w:r>
        <w:rPr>
          <w:rFonts w:hint="eastAsia"/>
          <w:b/>
          <w:sz w:val="30"/>
          <w:szCs w:val="30"/>
          <w:u w:val="single"/>
        </w:rPr>
        <w:t xml:space="preserve">      2022-（货物）-055  (</w:t>
      </w:r>
      <w:r>
        <w:rPr>
          <w:rFonts w:hint="eastAsia"/>
          <w:sz w:val="30"/>
          <w:szCs w:val="30"/>
          <w:u w:val="single"/>
        </w:rPr>
        <w:t>包*</w:t>
      </w:r>
      <w:r>
        <w:rPr>
          <w:rFonts w:hint="eastAsia"/>
          <w:b/>
          <w:sz w:val="30"/>
          <w:szCs w:val="30"/>
          <w:u w:val="single"/>
        </w:rPr>
        <w:t xml:space="preserve">)      </w:t>
      </w:r>
    </w:p>
    <w:p>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p>
    <w:p>
      <w:pPr>
        <w:spacing w:line="360" w:lineRule="auto"/>
        <w:ind w:firstLine="602"/>
        <w:jc w:val="left"/>
        <w:rPr>
          <w:b/>
          <w:sz w:val="30"/>
          <w:szCs w:val="30"/>
        </w:rPr>
      </w:pPr>
      <w:r>
        <w:rPr>
          <w:rFonts w:hint="eastAsia"/>
          <w:b/>
          <w:sz w:val="30"/>
          <w:szCs w:val="30"/>
        </w:rPr>
        <w:t>采购单位（甲方）：</w:t>
      </w:r>
      <w:r>
        <w:rPr>
          <w:rFonts w:hint="eastAsia"/>
          <w:b/>
          <w:sz w:val="30"/>
          <w:szCs w:val="30"/>
          <w:u w:val="single"/>
        </w:rPr>
        <w:t xml:space="preserve">                        </w:t>
      </w:r>
      <w:r>
        <w:rPr>
          <w:rFonts w:hint="eastAsia"/>
          <w:b/>
          <w:sz w:val="30"/>
          <w:szCs w:val="30"/>
        </w:rPr>
        <w:t>（盖章）</w:t>
      </w:r>
    </w:p>
    <w:p>
      <w:pPr>
        <w:spacing w:line="360" w:lineRule="auto"/>
        <w:ind w:firstLine="602"/>
        <w:jc w:val="left"/>
        <w:rPr>
          <w:b/>
          <w:sz w:val="30"/>
          <w:szCs w:val="30"/>
          <w:u w:val="single"/>
        </w:rPr>
      </w:pPr>
      <w:r>
        <w:rPr>
          <w:rFonts w:hint="eastAsia"/>
          <w:b/>
          <w:sz w:val="30"/>
          <w:szCs w:val="30"/>
        </w:rPr>
        <w:t>中标供应商（乙方）：</w:t>
      </w:r>
      <w:r>
        <w:rPr>
          <w:rFonts w:hint="eastAsia"/>
          <w:b/>
          <w:sz w:val="30"/>
          <w:szCs w:val="30"/>
          <w:u w:val="single"/>
        </w:rPr>
        <w:t xml:space="preserve">                      </w:t>
      </w:r>
      <w:r>
        <w:rPr>
          <w:rFonts w:hint="eastAsia"/>
          <w:b/>
          <w:sz w:val="30"/>
          <w:szCs w:val="30"/>
        </w:rPr>
        <w:t>（盖章）</w:t>
      </w:r>
    </w:p>
    <w:p>
      <w:pPr>
        <w:spacing w:line="360" w:lineRule="auto"/>
        <w:ind w:firstLine="602"/>
        <w:rPr>
          <w:b/>
          <w:sz w:val="30"/>
          <w:szCs w:val="30"/>
        </w:rPr>
      </w:pPr>
      <w:r>
        <w:rPr>
          <w:rFonts w:hint="eastAsia"/>
          <w:b/>
          <w:sz w:val="30"/>
          <w:szCs w:val="30"/>
        </w:rPr>
        <w:t>采购日期：</w:t>
      </w:r>
      <w:r>
        <w:rPr>
          <w:rFonts w:hint="eastAsia"/>
          <w:b/>
          <w:sz w:val="30"/>
          <w:szCs w:val="30"/>
          <w:u w:val="single"/>
        </w:rPr>
        <w:t xml:space="preserve">                                      </w:t>
      </w:r>
    </w:p>
    <w:p>
      <w:pPr>
        <w:ind w:firstLine="0" w:firstLineChars="0"/>
        <w:rPr>
          <w:rFonts w:ascii="宋体" w:hAnsi="宋体"/>
          <w:b/>
          <w:bCs/>
        </w:rPr>
      </w:pPr>
    </w:p>
    <w:p>
      <w:pPr>
        <w:ind w:firstLine="0" w:firstLineChars="0"/>
        <w:rPr>
          <w:rFonts w:ascii="宋体" w:hAnsi="宋体"/>
          <w:b/>
          <w:bCs/>
        </w:rPr>
      </w:pPr>
    </w:p>
    <w:p>
      <w:pPr>
        <w:ind w:firstLine="0" w:firstLineChars="0"/>
        <w:rPr>
          <w:rFonts w:ascii="宋体" w:hAnsi="宋体"/>
          <w:b/>
          <w:bCs/>
        </w:rPr>
      </w:pPr>
    </w:p>
    <w:p>
      <w:pPr>
        <w:ind w:firstLine="0" w:firstLineChars="0"/>
        <w:rPr>
          <w:rFonts w:ascii="宋体" w:hAnsi="宋体"/>
          <w:b/>
          <w:bCs/>
        </w:rPr>
      </w:pPr>
    </w:p>
    <w:p>
      <w:pPr>
        <w:ind w:firstLine="0" w:firstLineChars="0"/>
        <w:rPr>
          <w:rFonts w:ascii="宋体" w:hAnsi="宋体"/>
          <w:b/>
          <w:bCs/>
        </w:rPr>
      </w:pPr>
    </w:p>
    <w:p>
      <w:pPr>
        <w:ind w:firstLine="0" w:firstLineChars="0"/>
        <w:rPr>
          <w:rFonts w:ascii="宋体" w:hAnsi="宋体"/>
          <w:b/>
          <w:bCs/>
        </w:rPr>
      </w:pPr>
    </w:p>
    <w:p>
      <w:pPr>
        <w:ind w:firstLine="0" w:firstLineChars="0"/>
        <w:rPr>
          <w:rFonts w:ascii="宋体" w:hAnsi="宋体"/>
          <w:b/>
          <w:bCs/>
        </w:rPr>
      </w:pPr>
    </w:p>
    <w:p>
      <w:pPr>
        <w:ind w:firstLine="0" w:firstLineChars="0"/>
        <w:rPr>
          <w:rFonts w:ascii="宋体" w:hAnsi="宋体"/>
          <w:b/>
          <w:bCs/>
        </w:rPr>
      </w:pPr>
    </w:p>
    <w:p>
      <w:pPr>
        <w:ind w:firstLine="0" w:firstLineChars="0"/>
        <w:rPr>
          <w:rFonts w:ascii="宋体" w:hAnsi="宋体"/>
          <w:b/>
          <w:bCs/>
        </w:rPr>
      </w:pPr>
    </w:p>
    <w:p>
      <w:pPr>
        <w:ind w:firstLine="482"/>
        <w:rPr>
          <w:rFonts w:ascii="宋体" w:hAnsi="宋体"/>
          <w:b/>
          <w:bCs/>
        </w:rPr>
      </w:pPr>
      <w:r>
        <w:rPr>
          <w:rFonts w:hint="eastAsia" w:ascii="宋体" w:hAnsi="宋体"/>
          <w:b/>
          <w:bCs/>
        </w:rPr>
        <w:t>采 购 人（以下简称甲方）：</w:t>
      </w:r>
    </w:p>
    <w:p>
      <w:pPr>
        <w:ind w:firstLine="482"/>
        <w:rPr>
          <w:rFonts w:ascii="宋体" w:hAnsi="宋体"/>
          <w:bCs/>
        </w:rPr>
      </w:pPr>
      <w:r>
        <w:rPr>
          <w:rFonts w:hint="eastAsia" w:ascii="宋体" w:hAnsi="宋体"/>
          <w:b/>
          <w:bCs/>
        </w:rPr>
        <w:t>供 应 商（以下简称乙方）：</w:t>
      </w:r>
    </w:p>
    <w:p>
      <w:pPr>
        <w:ind w:firstLine="720" w:firstLineChars="300"/>
        <w:rPr>
          <w:rFonts w:ascii="宋体" w:hAnsi="宋体"/>
          <w:bCs/>
        </w:rPr>
      </w:pPr>
      <w:r>
        <w:rPr>
          <w:rFonts w:hint="eastAsia" w:ascii="宋体" w:hAnsi="宋体"/>
          <w:bCs/>
        </w:rPr>
        <w:t>甲、乙双方根据2022年*月*日</w:t>
      </w:r>
      <w:r>
        <w:rPr>
          <w:rFonts w:hint="eastAsia" w:ascii="宋体" w:hAnsi="宋体"/>
          <w:bCs/>
          <w:u w:val="single"/>
        </w:rPr>
        <w:t xml:space="preserve">             </w:t>
      </w:r>
      <w:r>
        <w:rPr>
          <w:rFonts w:hint="eastAsia" w:ascii="宋体" w:hAnsi="宋体"/>
          <w:bCs/>
        </w:rPr>
        <w:t>项目（青政采公招（货物）2022-055号）的招标文件要求和采购机构出具的《中标通知书》，并经双方协商一致，达成合同总价款为</w:t>
      </w:r>
      <w:r>
        <w:rPr>
          <w:rFonts w:hint="eastAsia" w:ascii="宋体" w:hAnsi="宋体"/>
          <w:bCs/>
          <w:u w:val="single"/>
        </w:rPr>
        <w:t xml:space="preserve">               </w:t>
      </w:r>
      <w:r>
        <w:rPr>
          <w:rFonts w:hint="eastAsia" w:ascii="宋体" w:hAnsi="宋体"/>
          <w:bCs/>
        </w:rPr>
        <w:t>的</w:t>
      </w:r>
      <w:r>
        <w:rPr>
          <w:rFonts w:hint="eastAsia" w:ascii="宋体" w:hAnsi="宋体"/>
          <w:bCs/>
          <w:u w:val="single"/>
        </w:rPr>
        <w:t xml:space="preserve">          </w:t>
      </w:r>
      <w:r>
        <w:rPr>
          <w:rFonts w:hint="eastAsia" w:ascii="宋体" w:hAnsi="宋体"/>
          <w:bCs/>
        </w:rPr>
        <w:t>项目</w:t>
      </w:r>
      <w:r>
        <w:rPr>
          <w:rFonts w:hint="eastAsia" w:ascii="宋体" w:hAnsi="宋体"/>
        </w:rPr>
        <w:t>采购</w:t>
      </w:r>
      <w:r>
        <w:rPr>
          <w:rFonts w:hint="eastAsia" w:ascii="宋体" w:hAnsi="宋体"/>
          <w:bCs/>
        </w:rPr>
        <w:t>合同：</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一、签订本政府采购合同的依据</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本政府采购合同所附下列文件是构成本政府采购合同不可分割的部分：</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1.招标文件；</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2.招标文件的</w:t>
      </w:r>
      <w:r>
        <w:rPr>
          <w:rFonts w:hint="eastAsia" w:ascii="宋体" w:hAnsi="宋体" w:cs="宋体"/>
          <w:kern w:val="0"/>
          <w:lang w:val="zh-CN"/>
        </w:rPr>
        <w:t>澄清</w:t>
      </w:r>
      <w:r>
        <w:rPr>
          <w:rFonts w:hint="eastAsia" w:ascii="宋体" w:hAnsi="Calibri" w:cs="宋体"/>
          <w:kern w:val="0"/>
          <w:lang w:val="zh-CN"/>
        </w:rPr>
        <w:t>、变更公告；</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3.中标人提交的投标文件；</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4.招标文件中规定的政府采购合同通用条款；</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5.中标通知书；</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6.履约保证金缴费证明；</w:t>
      </w:r>
    </w:p>
    <w:p>
      <w:pPr>
        <w:autoSpaceDE w:val="0"/>
        <w:autoSpaceDN w:val="0"/>
        <w:adjustRightInd w:val="0"/>
        <w:ind w:firstLine="480"/>
        <w:rPr>
          <w:rFonts w:ascii="宋体" w:hAnsi="Calibri" w:cs="宋体"/>
          <w:kern w:val="0"/>
          <w:lang w:val="zh-CN"/>
        </w:rPr>
      </w:pPr>
      <w:r>
        <w:rPr>
          <w:rFonts w:hint="eastAsia" w:ascii="宋体" w:hAnsi="Calibri" w:cs="宋体"/>
          <w:kern w:val="0"/>
        </w:rPr>
        <w:t>7.</w:t>
      </w:r>
      <w:r>
        <w:rPr>
          <w:rFonts w:ascii="宋体" w:hAnsi="Calibri" w:cs="宋体"/>
          <w:kern w:val="0"/>
          <w:lang w:val="zh-CN"/>
        </w:rPr>
        <w:t>省级预算单位政府采购计划备案表</w:t>
      </w:r>
      <w:r>
        <w:rPr>
          <w:rFonts w:hint="eastAsia" w:ascii="宋体" w:hAnsi="Calibri" w:cs="宋体"/>
          <w:kern w:val="0"/>
          <w:lang w:val="zh-CN"/>
        </w:rPr>
        <w:t>。</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二、合同标的及金额                                       单位：元</w:t>
      </w:r>
    </w:p>
    <w:tbl>
      <w:tblPr>
        <w:tblStyle w:val="64"/>
        <w:tblW w:w="891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927"/>
        <w:gridCol w:w="910"/>
        <w:gridCol w:w="1356"/>
        <w:gridCol w:w="953"/>
        <w:gridCol w:w="710"/>
        <w:gridCol w:w="851"/>
        <w:gridCol w:w="8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0" w:firstLineChars="0"/>
              <w:jc w:val="center"/>
              <w:rPr>
                <w:rFonts w:ascii="宋体" w:hAnsi="宋体"/>
              </w:rPr>
            </w:pPr>
            <w:r>
              <w:rPr>
                <w:rFonts w:hint="eastAsia" w:ascii="宋体" w:hAnsi="宋体"/>
              </w:rPr>
              <w:t>序号</w:t>
            </w:r>
          </w:p>
        </w:tc>
        <w:tc>
          <w:tcPr>
            <w:tcW w:w="1704" w:type="dxa"/>
            <w:vAlign w:val="center"/>
          </w:tcPr>
          <w:p>
            <w:pPr>
              <w:ind w:firstLine="0" w:firstLineChars="0"/>
              <w:jc w:val="center"/>
              <w:rPr>
                <w:rFonts w:ascii="宋体" w:hAnsi="宋体"/>
              </w:rPr>
            </w:pPr>
            <w:r>
              <w:rPr>
                <w:rFonts w:hint="eastAsia" w:ascii="宋体" w:hAnsi="宋体"/>
              </w:rPr>
              <w:t>产品名称</w:t>
            </w:r>
          </w:p>
        </w:tc>
        <w:tc>
          <w:tcPr>
            <w:tcW w:w="927" w:type="dxa"/>
            <w:vAlign w:val="center"/>
          </w:tcPr>
          <w:p>
            <w:pPr>
              <w:ind w:firstLine="0" w:firstLineChars="0"/>
              <w:jc w:val="center"/>
              <w:rPr>
                <w:rFonts w:ascii="宋体" w:hAnsi="宋体"/>
              </w:rPr>
            </w:pPr>
            <w:r>
              <w:rPr>
                <w:rFonts w:hint="eastAsia" w:ascii="宋体" w:hAnsi="宋体"/>
              </w:rPr>
              <w:t>品牌</w:t>
            </w:r>
          </w:p>
        </w:tc>
        <w:tc>
          <w:tcPr>
            <w:tcW w:w="910" w:type="dxa"/>
            <w:vAlign w:val="center"/>
          </w:tcPr>
          <w:p>
            <w:pPr>
              <w:ind w:firstLine="0" w:firstLineChars="0"/>
              <w:jc w:val="center"/>
              <w:rPr>
                <w:rFonts w:ascii="宋体" w:hAnsi="宋体"/>
              </w:rPr>
            </w:pPr>
            <w:r>
              <w:rPr>
                <w:rFonts w:hint="eastAsia" w:ascii="宋体" w:hAnsi="宋体"/>
              </w:rPr>
              <w:t>规格或型号</w:t>
            </w:r>
          </w:p>
        </w:tc>
        <w:tc>
          <w:tcPr>
            <w:tcW w:w="1356" w:type="dxa"/>
            <w:vAlign w:val="center"/>
          </w:tcPr>
          <w:p>
            <w:pPr>
              <w:ind w:firstLine="0" w:firstLineChars="0"/>
              <w:jc w:val="center"/>
              <w:rPr>
                <w:rFonts w:ascii="宋体" w:hAnsi="宋体"/>
              </w:rPr>
            </w:pPr>
            <w:r>
              <w:rPr>
                <w:rFonts w:hint="eastAsia" w:ascii="宋体" w:hAnsi="宋体"/>
              </w:rPr>
              <w:t>生产厂家</w:t>
            </w:r>
          </w:p>
        </w:tc>
        <w:tc>
          <w:tcPr>
            <w:tcW w:w="953" w:type="dxa"/>
            <w:vAlign w:val="center"/>
          </w:tcPr>
          <w:p>
            <w:pPr>
              <w:ind w:firstLine="0" w:firstLineChars="0"/>
              <w:jc w:val="center"/>
              <w:rPr>
                <w:rFonts w:ascii="宋体" w:hAnsi="宋体"/>
              </w:rPr>
            </w:pPr>
            <w:r>
              <w:rPr>
                <w:rFonts w:hint="eastAsia" w:ascii="宋体" w:hAnsi="宋体"/>
              </w:rPr>
              <w:t>数量及单位</w:t>
            </w:r>
          </w:p>
        </w:tc>
        <w:tc>
          <w:tcPr>
            <w:tcW w:w="710" w:type="dxa"/>
            <w:vAlign w:val="center"/>
          </w:tcPr>
          <w:p>
            <w:pPr>
              <w:ind w:firstLine="0" w:firstLineChars="0"/>
              <w:jc w:val="center"/>
              <w:rPr>
                <w:rFonts w:ascii="宋体" w:hAnsi="宋体"/>
              </w:rPr>
            </w:pPr>
            <w:r>
              <w:rPr>
                <w:rFonts w:hint="eastAsia" w:ascii="宋体" w:hAnsi="宋体"/>
              </w:rPr>
              <w:t>单价</w:t>
            </w:r>
          </w:p>
        </w:tc>
        <w:tc>
          <w:tcPr>
            <w:tcW w:w="851" w:type="dxa"/>
            <w:vAlign w:val="center"/>
          </w:tcPr>
          <w:p>
            <w:pPr>
              <w:ind w:firstLine="0" w:firstLineChars="0"/>
              <w:jc w:val="center"/>
              <w:rPr>
                <w:rFonts w:ascii="宋体" w:hAnsi="宋体"/>
              </w:rPr>
            </w:pPr>
            <w:r>
              <w:rPr>
                <w:rFonts w:hint="eastAsia" w:ascii="宋体" w:hAnsi="宋体"/>
              </w:rPr>
              <w:t>总价</w:t>
            </w:r>
          </w:p>
        </w:tc>
        <w:tc>
          <w:tcPr>
            <w:tcW w:w="850" w:type="dxa"/>
            <w:vAlign w:val="center"/>
          </w:tcPr>
          <w:p>
            <w:pPr>
              <w:ind w:firstLine="0" w:firstLineChars="0"/>
              <w:jc w:val="center"/>
              <w:rPr>
                <w:rFonts w:ascii="宋体" w:hAnsi="宋体"/>
              </w:rPr>
            </w:pPr>
            <w:r>
              <w:rPr>
                <w:rFonts w:hint="eastAsia" w:ascii="宋体" w:hAnsi="宋体"/>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ascii="宋体" w:hAnsi="宋体"/>
              </w:rPr>
            </w:pPr>
            <w:r>
              <w:rPr>
                <w:rFonts w:hint="eastAsia" w:ascii="宋体" w:hAnsi="宋体"/>
              </w:rPr>
              <w:t>1</w:t>
            </w:r>
          </w:p>
        </w:tc>
        <w:tc>
          <w:tcPr>
            <w:tcW w:w="1704" w:type="dxa"/>
            <w:vAlign w:val="center"/>
          </w:tcPr>
          <w:p>
            <w:pPr>
              <w:ind w:firstLine="480"/>
              <w:jc w:val="center"/>
              <w:rPr>
                <w:rFonts w:ascii="宋体" w:hAnsi="宋体"/>
              </w:rPr>
            </w:pPr>
          </w:p>
        </w:tc>
        <w:tc>
          <w:tcPr>
            <w:tcW w:w="927" w:type="dxa"/>
            <w:vAlign w:val="center"/>
          </w:tcPr>
          <w:p>
            <w:pPr>
              <w:ind w:firstLine="480"/>
              <w:jc w:val="center"/>
              <w:rPr>
                <w:rFonts w:ascii="宋体" w:hAnsi="宋体"/>
              </w:rPr>
            </w:pPr>
          </w:p>
        </w:tc>
        <w:tc>
          <w:tcPr>
            <w:tcW w:w="910" w:type="dxa"/>
            <w:vAlign w:val="center"/>
          </w:tcPr>
          <w:p>
            <w:pPr>
              <w:ind w:firstLine="480"/>
              <w:jc w:val="center"/>
              <w:rPr>
                <w:rFonts w:ascii="宋体" w:hAnsi="宋体"/>
              </w:rPr>
            </w:pPr>
          </w:p>
        </w:tc>
        <w:tc>
          <w:tcPr>
            <w:tcW w:w="1356" w:type="dxa"/>
            <w:vAlign w:val="center"/>
          </w:tcPr>
          <w:p>
            <w:pPr>
              <w:ind w:firstLine="480"/>
              <w:jc w:val="center"/>
              <w:rPr>
                <w:rFonts w:ascii="宋体" w:hAnsi="宋体"/>
              </w:rPr>
            </w:pPr>
          </w:p>
        </w:tc>
        <w:tc>
          <w:tcPr>
            <w:tcW w:w="953" w:type="dxa"/>
            <w:vAlign w:val="center"/>
          </w:tcPr>
          <w:p>
            <w:pPr>
              <w:ind w:firstLine="480"/>
              <w:jc w:val="center"/>
              <w:rPr>
                <w:rFonts w:ascii="宋体" w:hAnsi="宋体"/>
              </w:rPr>
            </w:pPr>
          </w:p>
        </w:tc>
        <w:tc>
          <w:tcPr>
            <w:tcW w:w="710" w:type="dxa"/>
            <w:vAlign w:val="center"/>
          </w:tcPr>
          <w:p>
            <w:pPr>
              <w:ind w:firstLine="480"/>
              <w:jc w:val="center"/>
              <w:rPr>
                <w:rFonts w:ascii="宋体" w:hAnsi="宋体"/>
              </w:rPr>
            </w:pPr>
          </w:p>
        </w:tc>
        <w:tc>
          <w:tcPr>
            <w:tcW w:w="851" w:type="dxa"/>
            <w:vAlign w:val="center"/>
          </w:tcPr>
          <w:p>
            <w:pPr>
              <w:ind w:firstLine="480"/>
              <w:jc w:val="center"/>
              <w:rPr>
                <w:rFonts w:ascii="宋体" w:hAnsi="宋体"/>
              </w:rPr>
            </w:pPr>
          </w:p>
        </w:tc>
        <w:tc>
          <w:tcPr>
            <w:tcW w:w="850" w:type="dxa"/>
            <w:vAlign w:val="center"/>
          </w:tcPr>
          <w:p>
            <w:pPr>
              <w:ind w:firstLine="480"/>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ascii="宋体" w:hAnsi="宋体"/>
              </w:rPr>
            </w:pPr>
            <w:r>
              <w:rPr>
                <w:rFonts w:hint="eastAsia" w:ascii="宋体" w:hAnsi="宋体"/>
              </w:rPr>
              <w:t>2</w:t>
            </w:r>
          </w:p>
        </w:tc>
        <w:tc>
          <w:tcPr>
            <w:tcW w:w="1704" w:type="dxa"/>
            <w:vAlign w:val="center"/>
          </w:tcPr>
          <w:p>
            <w:pPr>
              <w:ind w:firstLine="480"/>
              <w:jc w:val="center"/>
              <w:rPr>
                <w:rFonts w:ascii="宋体" w:hAnsi="宋体"/>
              </w:rPr>
            </w:pPr>
          </w:p>
        </w:tc>
        <w:tc>
          <w:tcPr>
            <w:tcW w:w="927" w:type="dxa"/>
            <w:vAlign w:val="center"/>
          </w:tcPr>
          <w:p>
            <w:pPr>
              <w:ind w:firstLine="480"/>
              <w:jc w:val="center"/>
              <w:rPr>
                <w:rFonts w:ascii="宋体" w:hAnsi="宋体"/>
              </w:rPr>
            </w:pPr>
          </w:p>
        </w:tc>
        <w:tc>
          <w:tcPr>
            <w:tcW w:w="910" w:type="dxa"/>
            <w:vAlign w:val="center"/>
          </w:tcPr>
          <w:p>
            <w:pPr>
              <w:ind w:firstLine="480"/>
              <w:jc w:val="center"/>
              <w:rPr>
                <w:rFonts w:ascii="宋体" w:hAnsi="宋体"/>
              </w:rPr>
            </w:pPr>
          </w:p>
        </w:tc>
        <w:tc>
          <w:tcPr>
            <w:tcW w:w="1356" w:type="dxa"/>
            <w:vAlign w:val="center"/>
          </w:tcPr>
          <w:p>
            <w:pPr>
              <w:ind w:firstLine="480"/>
              <w:jc w:val="center"/>
              <w:rPr>
                <w:rFonts w:ascii="宋体" w:hAnsi="宋体"/>
              </w:rPr>
            </w:pPr>
          </w:p>
        </w:tc>
        <w:tc>
          <w:tcPr>
            <w:tcW w:w="953" w:type="dxa"/>
            <w:vAlign w:val="center"/>
          </w:tcPr>
          <w:p>
            <w:pPr>
              <w:ind w:firstLine="480"/>
              <w:jc w:val="center"/>
              <w:rPr>
                <w:rFonts w:ascii="宋体" w:hAnsi="宋体"/>
              </w:rPr>
            </w:pPr>
          </w:p>
        </w:tc>
        <w:tc>
          <w:tcPr>
            <w:tcW w:w="710" w:type="dxa"/>
            <w:vAlign w:val="center"/>
          </w:tcPr>
          <w:p>
            <w:pPr>
              <w:ind w:firstLine="480"/>
              <w:jc w:val="center"/>
              <w:rPr>
                <w:rFonts w:ascii="宋体" w:hAnsi="宋体"/>
              </w:rPr>
            </w:pPr>
          </w:p>
        </w:tc>
        <w:tc>
          <w:tcPr>
            <w:tcW w:w="851" w:type="dxa"/>
            <w:vAlign w:val="center"/>
          </w:tcPr>
          <w:p>
            <w:pPr>
              <w:ind w:firstLine="480"/>
              <w:jc w:val="center"/>
              <w:rPr>
                <w:rFonts w:ascii="宋体" w:hAnsi="宋体"/>
              </w:rPr>
            </w:pPr>
          </w:p>
        </w:tc>
        <w:tc>
          <w:tcPr>
            <w:tcW w:w="850" w:type="dxa"/>
            <w:vAlign w:val="center"/>
          </w:tcPr>
          <w:p>
            <w:pPr>
              <w:ind w:firstLine="480"/>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ascii="宋体" w:hAnsi="宋体"/>
              </w:rPr>
            </w:pPr>
            <w:r>
              <w:rPr>
                <w:rFonts w:hint="eastAsia" w:ascii="宋体" w:hAnsi="宋体"/>
              </w:rPr>
              <w:t>3</w:t>
            </w:r>
          </w:p>
        </w:tc>
        <w:tc>
          <w:tcPr>
            <w:tcW w:w="1704" w:type="dxa"/>
            <w:vAlign w:val="center"/>
          </w:tcPr>
          <w:p>
            <w:pPr>
              <w:ind w:firstLine="480"/>
              <w:jc w:val="center"/>
              <w:rPr>
                <w:rFonts w:ascii="宋体" w:hAnsi="宋体"/>
              </w:rPr>
            </w:pPr>
          </w:p>
        </w:tc>
        <w:tc>
          <w:tcPr>
            <w:tcW w:w="927" w:type="dxa"/>
            <w:vAlign w:val="center"/>
          </w:tcPr>
          <w:p>
            <w:pPr>
              <w:ind w:firstLine="480"/>
              <w:jc w:val="center"/>
              <w:rPr>
                <w:rFonts w:ascii="宋体" w:hAnsi="宋体"/>
              </w:rPr>
            </w:pPr>
          </w:p>
        </w:tc>
        <w:tc>
          <w:tcPr>
            <w:tcW w:w="910" w:type="dxa"/>
            <w:vAlign w:val="center"/>
          </w:tcPr>
          <w:p>
            <w:pPr>
              <w:ind w:firstLine="480"/>
              <w:jc w:val="center"/>
              <w:rPr>
                <w:rFonts w:ascii="宋体" w:hAnsi="宋体"/>
              </w:rPr>
            </w:pPr>
          </w:p>
        </w:tc>
        <w:tc>
          <w:tcPr>
            <w:tcW w:w="1356" w:type="dxa"/>
            <w:vAlign w:val="center"/>
          </w:tcPr>
          <w:p>
            <w:pPr>
              <w:ind w:firstLine="480"/>
              <w:jc w:val="center"/>
              <w:rPr>
                <w:rFonts w:ascii="宋体" w:hAnsi="宋体"/>
              </w:rPr>
            </w:pPr>
          </w:p>
        </w:tc>
        <w:tc>
          <w:tcPr>
            <w:tcW w:w="953" w:type="dxa"/>
            <w:vAlign w:val="center"/>
          </w:tcPr>
          <w:p>
            <w:pPr>
              <w:ind w:firstLine="480"/>
              <w:jc w:val="center"/>
              <w:rPr>
                <w:rFonts w:ascii="宋体" w:hAnsi="宋体"/>
              </w:rPr>
            </w:pPr>
          </w:p>
        </w:tc>
        <w:tc>
          <w:tcPr>
            <w:tcW w:w="710" w:type="dxa"/>
            <w:vAlign w:val="center"/>
          </w:tcPr>
          <w:p>
            <w:pPr>
              <w:ind w:firstLine="480"/>
              <w:jc w:val="center"/>
              <w:rPr>
                <w:rFonts w:ascii="宋体" w:hAnsi="宋体"/>
              </w:rPr>
            </w:pPr>
          </w:p>
        </w:tc>
        <w:tc>
          <w:tcPr>
            <w:tcW w:w="851" w:type="dxa"/>
            <w:vAlign w:val="center"/>
          </w:tcPr>
          <w:p>
            <w:pPr>
              <w:ind w:firstLine="480"/>
              <w:jc w:val="center"/>
              <w:rPr>
                <w:rFonts w:ascii="宋体" w:hAnsi="宋体"/>
              </w:rPr>
            </w:pPr>
          </w:p>
        </w:tc>
        <w:tc>
          <w:tcPr>
            <w:tcW w:w="850" w:type="dxa"/>
            <w:vAlign w:val="center"/>
          </w:tcPr>
          <w:p>
            <w:pPr>
              <w:ind w:firstLine="480"/>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ascii="宋体" w:hAnsi="宋体"/>
              </w:rPr>
            </w:pPr>
            <w:r>
              <w:rPr>
                <w:rFonts w:hint="eastAsia" w:ascii="宋体" w:hAnsi="宋体"/>
              </w:rPr>
              <w:t>4</w:t>
            </w:r>
          </w:p>
        </w:tc>
        <w:tc>
          <w:tcPr>
            <w:tcW w:w="1704" w:type="dxa"/>
            <w:vAlign w:val="center"/>
          </w:tcPr>
          <w:p>
            <w:pPr>
              <w:ind w:firstLine="480"/>
              <w:jc w:val="center"/>
              <w:rPr>
                <w:rFonts w:ascii="宋体" w:hAnsi="宋体"/>
              </w:rPr>
            </w:pPr>
          </w:p>
        </w:tc>
        <w:tc>
          <w:tcPr>
            <w:tcW w:w="927" w:type="dxa"/>
            <w:vAlign w:val="center"/>
          </w:tcPr>
          <w:p>
            <w:pPr>
              <w:ind w:firstLine="480"/>
              <w:jc w:val="center"/>
              <w:rPr>
                <w:rFonts w:ascii="宋体" w:hAnsi="宋体"/>
              </w:rPr>
            </w:pPr>
          </w:p>
        </w:tc>
        <w:tc>
          <w:tcPr>
            <w:tcW w:w="910" w:type="dxa"/>
            <w:vAlign w:val="center"/>
          </w:tcPr>
          <w:p>
            <w:pPr>
              <w:ind w:firstLine="480"/>
              <w:jc w:val="center"/>
              <w:rPr>
                <w:rFonts w:ascii="宋体" w:hAnsi="宋体"/>
              </w:rPr>
            </w:pPr>
          </w:p>
        </w:tc>
        <w:tc>
          <w:tcPr>
            <w:tcW w:w="1356" w:type="dxa"/>
            <w:vAlign w:val="center"/>
          </w:tcPr>
          <w:p>
            <w:pPr>
              <w:ind w:firstLine="480"/>
              <w:jc w:val="center"/>
              <w:rPr>
                <w:rFonts w:ascii="宋体" w:hAnsi="宋体"/>
              </w:rPr>
            </w:pPr>
          </w:p>
        </w:tc>
        <w:tc>
          <w:tcPr>
            <w:tcW w:w="953" w:type="dxa"/>
            <w:vAlign w:val="center"/>
          </w:tcPr>
          <w:p>
            <w:pPr>
              <w:ind w:firstLine="480"/>
              <w:jc w:val="center"/>
              <w:rPr>
                <w:rFonts w:ascii="宋体" w:hAnsi="宋体"/>
              </w:rPr>
            </w:pPr>
          </w:p>
        </w:tc>
        <w:tc>
          <w:tcPr>
            <w:tcW w:w="710" w:type="dxa"/>
            <w:vAlign w:val="center"/>
          </w:tcPr>
          <w:p>
            <w:pPr>
              <w:ind w:firstLine="480"/>
              <w:jc w:val="center"/>
              <w:rPr>
                <w:rFonts w:ascii="宋体" w:hAnsi="宋体"/>
              </w:rPr>
            </w:pPr>
          </w:p>
        </w:tc>
        <w:tc>
          <w:tcPr>
            <w:tcW w:w="851" w:type="dxa"/>
            <w:vAlign w:val="center"/>
          </w:tcPr>
          <w:p>
            <w:pPr>
              <w:ind w:firstLine="480"/>
              <w:jc w:val="center"/>
              <w:rPr>
                <w:rFonts w:ascii="宋体" w:hAnsi="宋体"/>
              </w:rPr>
            </w:pPr>
          </w:p>
        </w:tc>
        <w:tc>
          <w:tcPr>
            <w:tcW w:w="850" w:type="dxa"/>
            <w:vAlign w:val="center"/>
          </w:tcPr>
          <w:p>
            <w:pPr>
              <w:ind w:firstLine="480"/>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ascii="宋体" w:hAnsi="宋体"/>
              </w:rPr>
            </w:pPr>
            <w:r>
              <w:rPr>
                <w:rFonts w:ascii="宋体" w:hAnsi="宋体"/>
              </w:rPr>
              <w:t>…</w:t>
            </w:r>
          </w:p>
        </w:tc>
        <w:tc>
          <w:tcPr>
            <w:tcW w:w="1704" w:type="dxa"/>
            <w:vAlign w:val="center"/>
          </w:tcPr>
          <w:p>
            <w:pPr>
              <w:ind w:firstLine="480"/>
              <w:jc w:val="center"/>
              <w:rPr>
                <w:rFonts w:ascii="宋体" w:hAnsi="宋体"/>
              </w:rPr>
            </w:pPr>
          </w:p>
        </w:tc>
        <w:tc>
          <w:tcPr>
            <w:tcW w:w="927" w:type="dxa"/>
            <w:vAlign w:val="center"/>
          </w:tcPr>
          <w:p>
            <w:pPr>
              <w:ind w:firstLine="480"/>
              <w:jc w:val="center"/>
              <w:rPr>
                <w:rFonts w:ascii="宋体" w:hAnsi="宋体"/>
              </w:rPr>
            </w:pPr>
          </w:p>
        </w:tc>
        <w:tc>
          <w:tcPr>
            <w:tcW w:w="910" w:type="dxa"/>
            <w:vAlign w:val="center"/>
          </w:tcPr>
          <w:p>
            <w:pPr>
              <w:ind w:firstLine="480"/>
              <w:jc w:val="center"/>
              <w:rPr>
                <w:rFonts w:ascii="宋体" w:hAnsi="宋体"/>
              </w:rPr>
            </w:pPr>
          </w:p>
        </w:tc>
        <w:tc>
          <w:tcPr>
            <w:tcW w:w="1356" w:type="dxa"/>
            <w:vAlign w:val="center"/>
          </w:tcPr>
          <w:p>
            <w:pPr>
              <w:ind w:firstLine="480"/>
              <w:jc w:val="center"/>
              <w:rPr>
                <w:rFonts w:ascii="宋体" w:hAnsi="宋体"/>
              </w:rPr>
            </w:pPr>
          </w:p>
        </w:tc>
        <w:tc>
          <w:tcPr>
            <w:tcW w:w="953" w:type="dxa"/>
            <w:vAlign w:val="center"/>
          </w:tcPr>
          <w:p>
            <w:pPr>
              <w:ind w:firstLine="480"/>
              <w:jc w:val="center"/>
              <w:rPr>
                <w:rFonts w:ascii="宋体" w:hAnsi="宋体"/>
              </w:rPr>
            </w:pPr>
          </w:p>
        </w:tc>
        <w:tc>
          <w:tcPr>
            <w:tcW w:w="710" w:type="dxa"/>
            <w:vAlign w:val="center"/>
          </w:tcPr>
          <w:p>
            <w:pPr>
              <w:ind w:firstLine="480"/>
              <w:jc w:val="center"/>
              <w:rPr>
                <w:rFonts w:ascii="宋体" w:hAnsi="宋体"/>
              </w:rPr>
            </w:pPr>
          </w:p>
        </w:tc>
        <w:tc>
          <w:tcPr>
            <w:tcW w:w="851" w:type="dxa"/>
            <w:vAlign w:val="center"/>
          </w:tcPr>
          <w:p>
            <w:pPr>
              <w:ind w:firstLine="480"/>
              <w:jc w:val="center"/>
              <w:rPr>
                <w:rFonts w:ascii="宋体" w:hAnsi="宋体"/>
              </w:rPr>
            </w:pPr>
          </w:p>
        </w:tc>
        <w:tc>
          <w:tcPr>
            <w:tcW w:w="850" w:type="dxa"/>
            <w:vAlign w:val="center"/>
          </w:tcPr>
          <w:p>
            <w:pPr>
              <w:ind w:firstLine="480"/>
              <w:jc w:val="center"/>
              <w:rPr>
                <w:rFonts w:ascii="宋体" w:hAnsi="宋体"/>
              </w:rPr>
            </w:pPr>
          </w:p>
        </w:tc>
      </w:tr>
    </w:tbl>
    <w:p>
      <w:pPr>
        <w:autoSpaceDE w:val="0"/>
        <w:autoSpaceDN w:val="0"/>
        <w:adjustRightInd w:val="0"/>
        <w:ind w:firstLine="480"/>
        <w:rPr>
          <w:rFonts w:ascii="宋体" w:hAnsi="Calibri" w:cs="宋体"/>
          <w:kern w:val="0"/>
          <w:lang w:val="zh-CN"/>
        </w:rPr>
      </w:pPr>
      <w:r>
        <w:rPr>
          <w:rFonts w:hint="eastAsia" w:ascii="宋体" w:hAnsi="Calibri" w:cs="宋体"/>
          <w:kern w:val="0"/>
          <w:lang w:val="zh-CN"/>
        </w:rPr>
        <w:t>根据上述政府采购合同文件要求，本政府采购合同的总金额为人民币</w:t>
      </w:r>
      <w:r>
        <w:rPr>
          <w:rFonts w:hint="eastAsia" w:ascii="宋体" w:hAnsi="Calibri" w:cs="宋体"/>
          <w:kern w:val="0"/>
          <w:u w:val="single"/>
          <w:lang w:val="zh-CN"/>
        </w:rPr>
        <w:t xml:space="preserve">       </w:t>
      </w:r>
      <w:r>
        <w:rPr>
          <w:rFonts w:hint="eastAsia" w:ascii="宋体" w:hAnsi="Calibri" w:cs="宋体"/>
          <w:kern w:val="0"/>
          <w:lang w:val="zh-CN"/>
        </w:rPr>
        <w:t xml:space="preserve"> （大写）</w:t>
      </w:r>
      <w:r>
        <w:rPr>
          <w:rFonts w:hint="eastAsia" w:ascii="宋体" w:hAnsi="Calibri" w:cs="宋体"/>
          <w:kern w:val="0"/>
          <w:u w:val="single"/>
          <w:lang w:val="zh-CN"/>
        </w:rPr>
        <w:t xml:space="preserve">                 </w:t>
      </w:r>
      <w:r>
        <w:rPr>
          <w:rFonts w:hint="eastAsia" w:ascii="宋体" w:hAnsi="Calibri" w:cs="宋体"/>
          <w:kern w:val="0"/>
          <w:lang w:val="zh-CN"/>
        </w:rPr>
        <w:t>元。</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本合同以人民币进行结算，合同总价包括：产品费、检验费、手续费、包装费、运输费、保险费、安装调试费、税金及不可预见费等全部费用。</w:t>
      </w:r>
    </w:p>
    <w:p>
      <w:pPr>
        <w:autoSpaceDE w:val="0"/>
        <w:autoSpaceDN w:val="0"/>
        <w:adjustRightInd w:val="0"/>
        <w:ind w:firstLine="480"/>
        <w:rPr>
          <w:rFonts w:ascii="Calibri" w:hAnsi="Calibri" w:cs="Calibri"/>
          <w:kern w:val="0"/>
        </w:rPr>
      </w:pPr>
      <w:r>
        <w:rPr>
          <w:rFonts w:hint="eastAsia" w:ascii="宋体" w:hAnsi="Calibri" w:cs="宋体"/>
          <w:kern w:val="0"/>
          <w:lang w:val="zh-CN"/>
        </w:rPr>
        <w:t>三、交付时间、地点和要求</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交货时间：签订合同后</w:t>
      </w:r>
      <w:r>
        <w:rPr>
          <w:rFonts w:hint="eastAsia" w:ascii="宋体" w:hAnsi="Calibri" w:cs="宋体"/>
          <w:kern w:val="0"/>
          <w:u w:val="single"/>
          <w:lang w:val="zh-CN"/>
        </w:rPr>
        <w:t xml:space="preserve">    </w:t>
      </w:r>
      <w:r>
        <w:rPr>
          <w:rFonts w:hint="eastAsia" w:ascii="宋体" w:hAnsi="Calibri" w:cs="宋体"/>
          <w:kern w:val="0"/>
          <w:lang w:val="zh-CN"/>
        </w:rPr>
        <w:t>个工作日交付使用；交货地点：</w:t>
      </w:r>
      <w:r>
        <w:rPr>
          <w:rFonts w:hint="eastAsia" w:ascii="宋体" w:hAnsi="Calibri" w:cs="宋体"/>
          <w:kern w:val="0"/>
          <w:u w:val="single"/>
          <w:lang w:val="zh-CN"/>
        </w:rPr>
        <w:t xml:space="preserve">                 </w:t>
      </w:r>
      <w:r>
        <w:rPr>
          <w:rFonts w:hint="eastAsia" w:ascii="宋体" w:hAnsi="Calibri" w:cs="宋体"/>
          <w:kern w:val="0"/>
          <w:lang w:val="zh-CN"/>
        </w:rPr>
        <w:t>。</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乙方提供不符合招投标文件和本合同规定的产品，甲方有权拒绝接受。</w:t>
      </w:r>
    </w:p>
    <w:p>
      <w:pPr>
        <w:autoSpaceDE w:val="0"/>
        <w:autoSpaceDN w:val="0"/>
        <w:adjustRightInd w:val="0"/>
        <w:ind w:firstLine="480"/>
        <w:rPr>
          <w:rFonts w:ascii="Calibri" w:hAnsi="Calibri" w:cs="Calibri"/>
          <w:kern w:val="0"/>
        </w:rPr>
      </w:pPr>
    </w:p>
    <w:p>
      <w:pPr>
        <w:autoSpaceDE w:val="0"/>
        <w:autoSpaceDN w:val="0"/>
        <w:adjustRightInd w:val="0"/>
        <w:ind w:firstLine="480"/>
        <w:rPr>
          <w:rFonts w:ascii="Calibri" w:hAnsi="Calibri" w:cs="Calibri"/>
          <w:kern w:val="0"/>
        </w:rPr>
      </w:pPr>
      <w:r>
        <w:rPr>
          <w:rFonts w:hint="eastAsia" w:ascii="Calibri" w:hAnsi="Calibri" w:cs="Calibri"/>
          <w:kern w:val="0"/>
        </w:rPr>
        <w:t>3</w:t>
      </w:r>
      <w:r>
        <w:rPr>
          <w:rFonts w:ascii="Calibri" w:hAnsi="Calibri" w:cs="Calibri"/>
          <w:kern w:val="0"/>
        </w:rPr>
        <w:t>.</w:t>
      </w:r>
      <w:r>
        <w:rPr>
          <w:rFonts w:hint="eastAsia" w:ascii="宋体" w:hAnsi="Calibri" w:cs="宋体"/>
          <w:kern w:val="0"/>
          <w:lang w:val="zh-CN"/>
        </w:rPr>
        <w:t>具体验收由甲乙双方商定。</w:t>
      </w:r>
    </w:p>
    <w:p>
      <w:pPr>
        <w:autoSpaceDE w:val="0"/>
        <w:autoSpaceDN w:val="0"/>
        <w:adjustRightInd w:val="0"/>
        <w:ind w:firstLine="480"/>
        <w:rPr>
          <w:rFonts w:ascii="Calibri" w:hAnsi="Calibri" w:cs="Calibri"/>
          <w:kern w:val="0"/>
        </w:rPr>
      </w:pPr>
      <w:r>
        <w:rPr>
          <w:rFonts w:hint="eastAsia" w:ascii="Calibri" w:hAnsi="Calibri" w:cs="Calibri"/>
          <w:kern w:val="0"/>
        </w:rPr>
        <w:t>4</w:t>
      </w:r>
      <w:r>
        <w:rPr>
          <w:rFonts w:ascii="Calibri" w:hAnsi="Calibri" w:cs="Calibri"/>
          <w:kern w:val="0"/>
        </w:rPr>
        <w:t>.</w:t>
      </w:r>
      <w:r>
        <w:rPr>
          <w:rFonts w:hint="eastAsia" w:ascii="宋体" w:hAnsi="Calibri" w:cs="宋体"/>
          <w:kern w:val="0"/>
          <w:lang w:val="zh-CN"/>
        </w:rPr>
        <w:t xml:space="preserve"> 甲方在验收过程中发现乙方有违约问题，可按招、投标文件的规定要求乙方及时予以解决。</w:t>
      </w:r>
    </w:p>
    <w:p>
      <w:pPr>
        <w:ind w:firstLine="480"/>
        <w:rPr>
          <w:rFonts w:ascii="宋体" w:hAnsi="宋体"/>
        </w:rPr>
      </w:pPr>
      <w:r>
        <w:rPr>
          <w:rFonts w:hint="eastAsia" w:ascii="Calibri" w:hAnsi="Calibri" w:cs="Calibri"/>
          <w:kern w:val="0"/>
        </w:rPr>
        <w:t>5</w:t>
      </w:r>
      <w:r>
        <w:rPr>
          <w:rFonts w:ascii="Calibri" w:hAnsi="Calibri" w:cs="Calibri"/>
          <w:kern w:val="0"/>
        </w:rPr>
        <w:t>.</w:t>
      </w:r>
      <w:r>
        <w:rPr>
          <w:rFonts w:hint="eastAsia" w:ascii="宋体" w:hAnsi="Calibri" w:cs="宋体"/>
          <w:kern w:val="0"/>
          <w:lang w:val="zh-CN"/>
        </w:rPr>
        <w:t>乙方向甲方提供产品相关完税销售发票。</w:t>
      </w:r>
    </w:p>
    <w:p>
      <w:pPr>
        <w:ind w:firstLine="480"/>
        <w:rPr>
          <w:rFonts w:ascii="宋体" w:hAnsi="宋体"/>
        </w:rPr>
      </w:pPr>
      <w:r>
        <w:rPr>
          <w:rFonts w:hint="eastAsia" w:ascii="宋体" w:hAnsi="宋体"/>
        </w:rPr>
        <w:t>四、付款方式</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乙方所交付的产品由甲方验收，验收合格后由甲方申请资金拨付，按合同金额向乙方支付合同总价款的100%（付款方式及金额由采购人根据项目情况确定），即人民币（大写）：</w:t>
      </w:r>
      <w:r>
        <w:rPr>
          <w:rFonts w:hint="eastAsia" w:ascii="宋体" w:hAnsi="Calibri" w:cs="宋体"/>
          <w:kern w:val="0"/>
          <w:u w:val="single"/>
          <w:lang w:val="zh-CN"/>
        </w:rPr>
        <w:t xml:space="preserve">            </w:t>
      </w:r>
      <w:r>
        <w:rPr>
          <w:rFonts w:hint="eastAsia" w:ascii="宋体" w:hAnsi="Calibri" w:cs="宋体"/>
          <w:kern w:val="0"/>
          <w:lang w:val="zh-CN"/>
        </w:rPr>
        <w:t xml:space="preserve"> 元。</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 xml:space="preserve">乙方向甲方提交的履约保证金计（大写） </w:t>
      </w:r>
      <w:r>
        <w:rPr>
          <w:rFonts w:hint="eastAsia" w:ascii="宋体" w:hAnsi="Calibri" w:cs="宋体"/>
          <w:kern w:val="0"/>
          <w:u w:val="single"/>
          <w:lang w:val="zh-CN"/>
        </w:rPr>
        <w:t xml:space="preserve">      </w:t>
      </w:r>
      <w:r>
        <w:rPr>
          <w:rFonts w:hint="eastAsia" w:ascii="宋体" w:hAnsi="Calibri" w:cs="宋体"/>
          <w:kern w:val="0"/>
          <w:lang w:val="zh-CN"/>
        </w:rPr>
        <w:t xml:space="preserve"> 元转为质量保证金。质量保证金待约定的免费质保期满 </w:t>
      </w:r>
      <w:r>
        <w:rPr>
          <w:rFonts w:hint="eastAsia" w:ascii="宋体" w:hAnsi="Calibri" w:cs="宋体"/>
          <w:kern w:val="0"/>
          <w:u w:val="single"/>
          <w:lang w:val="zh-CN"/>
        </w:rPr>
        <w:t xml:space="preserve">    </w:t>
      </w:r>
      <w:r>
        <w:rPr>
          <w:rFonts w:hint="eastAsia" w:ascii="宋体" w:hAnsi="Calibri" w:cs="宋体"/>
          <w:kern w:val="0"/>
          <w:lang w:val="zh-CN"/>
        </w:rPr>
        <w:t>（年）且产品无质量问题后，由乙方提出书面申请，甲方以转账方式予以退还。</w:t>
      </w:r>
    </w:p>
    <w:p>
      <w:pPr>
        <w:autoSpaceDE w:val="0"/>
        <w:autoSpaceDN w:val="0"/>
        <w:adjustRightInd w:val="0"/>
        <w:ind w:firstLine="480"/>
        <w:rPr>
          <w:rFonts w:ascii="Calibri" w:hAnsi="Calibri" w:cs="Calibri"/>
          <w:kern w:val="0"/>
        </w:rPr>
      </w:pPr>
      <w:r>
        <w:rPr>
          <w:rFonts w:hint="eastAsia" w:ascii="宋体" w:hAnsi="Calibri" w:cs="宋体"/>
          <w:kern w:val="0"/>
          <w:lang w:val="zh-CN"/>
        </w:rPr>
        <w:t>五、合同的变更、终止与转让</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除《中华人民共和国政府采购法》第</w:t>
      </w:r>
      <w:r>
        <w:rPr>
          <w:rFonts w:ascii="Calibri" w:hAnsi="Calibri" w:cs="Calibri"/>
          <w:kern w:val="0"/>
        </w:rPr>
        <w:t>50</w:t>
      </w:r>
      <w:r>
        <w:rPr>
          <w:rFonts w:hint="eastAsia" w:ascii="宋体" w:hAnsi="Calibri" w:cs="宋体"/>
          <w:kern w:val="0"/>
          <w:lang w:val="zh-CN"/>
        </w:rPr>
        <w:t>条规定的情形外，本合同一经签订，甲乙双方不得擅自变更、中止或终止。</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乙方不得转让其应履行的合同义务。</w:t>
      </w:r>
    </w:p>
    <w:p>
      <w:pPr>
        <w:autoSpaceDE w:val="0"/>
        <w:autoSpaceDN w:val="0"/>
        <w:adjustRightInd w:val="0"/>
        <w:ind w:firstLine="480"/>
        <w:rPr>
          <w:rFonts w:ascii="Calibri" w:hAnsi="Calibri" w:cs="Calibri"/>
          <w:kern w:val="0"/>
        </w:rPr>
      </w:pPr>
      <w:r>
        <w:rPr>
          <w:rFonts w:hint="eastAsia" w:ascii="宋体" w:hAnsi="Calibri" w:cs="宋体"/>
          <w:kern w:val="0"/>
          <w:lang w:val="zh-CN"/>
        </w:rPr>
        <w:t>六、违约责任：</w:t>
      </w:r>
    </w:p>
    <w:p>
      <w:pPr>
        <w:autoSpaceDE w:val="0"/>
        <w:autoSpaceDN w:val="0"/>
        <w:adjustRightInd w:val="0"/>
        <w:ind w:firstLine="480"/>
        <w:rPr>
          <w:rFonts w:ascii="Calibri" w:hAnsi="Calibri" w:cs="Calibri"/>
          <w:kern w:val="0"/>
        </w:rPr>
      </w:pPr>
      <w:r>
        <w:rPr>
          <w:rFonts w:hint="eastAsia" w:ascii="宋体" w:hAnsi="Calibri" w:cs="宋体"/>
          <w:kern w:val="0"/>
          <w:lang w:val="zh-CN"/>
        </w:rPr>
        <w:t>七、不可抗力：</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不可抗力使合同的某些内容有变更必要的，双方应通过协商在</w:t>
      </w:r>
      <w:r>
        <w:rPr>
          <w:rFonts w:ascii="Calibri" w:hAnsi="Calibri" w:cs="Calibri"/>
          <w:kern w:val="0"/>
          <w:u w:val="single"/>
        </w:rPr>
        <w:t xml:space="preserve">   </w:t>
      </w:r>
      <w:r>
        <w:rPr>
          <w:rFonts w:hint="eastAsia" w:ascii="宋体" w:hAnsi="Calibri" w:cs="宋体"/>
          <w:kern w:val="0"/>
          <w:lang w:val="zh-CN"/>
        </w:rPr>
        <w:t>天内达成进一步履行合同的协议，因不可抗力致使合同不能履行的，合同终止。</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除法律、法规规定的不可抗力情形外，双方约定出现</w:t>
      </w:r>
      <w:r>
        <w:rPr>
          <w:rFonts w:ascii="Calibri" w:hAnsi="Calibri" w:cs="Calibri"/>
          <w:kern w:val="0"/>
          <w:u w:val="single"/>
        </w:rPr>
        <w:t xml:space="preserve">         </w:t>
      </w:r>
      <w:r>
        <w:rPr>
          <w:rFonts w:hint="eastAsia" w:ascii="宋体" w:hAnsi="Calibri" w:cs="宋体"/>
          <w:kern w:val="0"/>
          <w:lang w:val="zh-CN"/>
        </w:rPr>
        <w:t>情况亦视为不可抗力。</w:t>
      </w:r>
    </w:p>
    <w:p>
      <w:pPr>
        <w:autoSpaceDE w:val="0"/>
        <w:autoSpaceDN w:val="0"/>
        <w:adjustRightInd w:val="0"/>
        <w:ind w:firstLine="480"/>
        <w:rPr>
          <w:rFonts w:ascii="Calibri" w:hAnsi="Calibri" w:cs="Calibri"/>
          <w:kern w:val="0"/>
        </w:rPr>
      </w:pPr>
      <w:r>
        <w:rPr>
          <w:rFonts w:hint="eastAsia" w:ascii="宋体" w:hAnsi="Calibri" w:cs="宋体"/>
          <w:kern w:val="0"/>
          <w:lang w:val="zh-CN"/>
        </w:rPr>
        <w:t>八、知识产权：</w:t>
      </w:r>
    </w:p>
    <w:p>
      <w:pPr>
        <w:autoSpaceDE w:val="0"/>
        <w:autoSpaceDN w:val="0"/>
        <w:adjustRightInd w:val="0"/>
        <w:ind w:firstLine="480"/>
        <w:rPr>
          <w:rFonts w:ascii="Calibri" w:hAnsi="Calibri" w:cs="Calibri"/>
          <w:kern w:val="0"/>
        </w:rPr>
      </w:pPr>
      <w:r>
        <w:rPr>
          <w:rFonts w:hint="eastAsia" w:ascii="宋体" w:hAnsi="Calibri" w:cs="宋体"/>
          <w:kern w:val="0"/>
          <w:lang w:val="zh-CN"/>
        </w:rPr>
        <w:t>九、其他约定：</w:t>
      </w:r>
    </w:p>
    <w:p>
      <w:pPr>
        <w:autoSpaceDE w:val="0"/>
        <w:autoSpaceDN w:val="0"/>
        <w:adjustRightInd w:val="0"/>
        <w:ind w:firstLine="480"/>
        <w:rPr>
          <w:rFonts w:ascii="Calibri" w:hAnsi="Calibri" w:cs="Calibri"/>
          <w:kern w:val="0"/>
        </w:rPr>
      </w:pPr>
      <w:r>
        <w:rPr>
          <w:rFonts w:hint="eastAsia" w:ascii="宋体" w:hAnsi="Calibri" w:cs="宋体"/>
          <w:kern w:val="0"/>
          <w:lang w:val="zh-CN"/>
        </w:rPr>
        <w:t>十、合同争议解决</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诉讼期间，本合同继续履行。</w:t>
      </w:r>
    </w:p>
    <w:p>
      <w:pPr>
        <w:autoSpaceDE w:val="0"/>
        <w:autoSpaceDN w:val="0"/>
        <w:adjustRightInd w:val="0"/>
        <w:ind w:firstLine="480"/>
        <w:rPr>
          <w:rFonts w:ascii="Calibri" w:hAnsi="Calibri" w:cs="Calibri"/>
          <w:kern w:val="0"/>
        </w:rPr>
      </w:pPr>
      <w:r>
        <w:rPr>
          <w:rFonts w:hint="eastAsia" w:ascii="宋体" w:hAnsi="Calibri" w:cs="宋体"/>
          <w:kern w:val="0"/>
          <w:lang w:val="zh-CN"/>
        </w:rPr>
        <w:t>十一、合同生效及其它</w:t>
      </w:r>
      <w:r>
        <w:rPr>
          <w:rFonts w:hint="eastAsia" w:ascii="宋体" w:hAnsi="Calibri" w:cs="宋体"/>
          <w:kern w:val="0"/>
        </w:rPr>
        <w:t>：</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本合同一式六份，经双方签字，并加盖公章即为生效。</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本合同未尽事宜，按《</w:t>
      </w:r>
      <w:r>
        <w:rPr>
          <w:rFonts w:hint="eastAsia" w:ascii="宋体" w:hAnsi="宋体"/>
        </w:rPr>
        <w:t>中华人民共和国民法典</w:t>
      </w:r>
      <w:r>
        <w:rPr>
          <w:rFonts w:hint="eastAsia" w:ascii="宋体" w:hAnsi="Calibri" w:cs="宋体"/>
          <w:kern w:val="0"/>
          <w:lang w:val="zh-CN"/>
        </w:rPr>
        <w:t>》有关规定处理。</w:t>
      </w:r>
    </w:p>
    <w:p>
      <w:pPr>
        <w:ind w:firstLine="0" w:firstLineChars="0"/>
        <w:rPr>
          <w:rFonts w:ascii="宋体" w:hAnsi="宋体"/>
        </w:rPr>
      </w:pPr>
    </w:p>
    <w:p>
      <w:pPr>
        <w:ind w:firstLine="482"/>
        <w:rPr>
          <w:rFonts w:ascii="宋体" w:hAnsi="宋体"/>
          <w:b/>
        </w:rPr>
      </w:pPr>
      <w:r>
        <w:rPr>
          <w:rFonts w:hint="eastAsia" w:ascii="宋体" w:hAnsi="宋体"/>
          <w:b/>
        </w:rPr>
        <w:t>甲方（盖章）：                       乙方（盖章）：</w:t>
      </w:r>
    </w:p>
    <w:p>
      <w:pPr>
        <w:ind w:firstLine="482"/>
        <w:rPr>
          <w:rFonts w:ascii="宋体" w:hAnsi="宋体"/>
          <w:b/>
        </w:rPr>
      </w:pPr>
      <w:r>
        <w:rPr>
          <w:rFonts w:hint="eastAsia" w:ascii="宋体" w:hAnsi="宋体"/>
          <w:b/>
        </w:rPr>
        <w:t>地址：                              地址：</w:t>
      </w:r>
    </w:p>
    <w:p>
      <w:pPr>
        <w:ind w:firstLine="482"/>
        <w:rPr>
          <w:rFonts w:ascii="宋体" w:hAnsi="宋体"/>
          <w:b/>
        </w:rPr>
      </w:pPr>
      <w:r>
        <w:rPr>
          <w:rFonts w:hint="eastAsia" w:ascii="宋体" w:hAnsi="宋体"/>
          <w:b/>
        </w:rPr>
        <w:t>法定代表人或</w:t>
      </w:r>
      <w:r>
        <w:rPr>
          <w:rFonts w:hint="eastAsia"/>
          <w:b/>
        </w:rPr>
        <w:t>委托代理人</w:t>
      </w:r>
      <w:r>
        <w:rPr>
          <w:rFonts w:hint="eastAsia" w:ascii="宋体" w:hAnsi="宋体"/>
          <w:b/>
        </w:rPr>
        <w:t>：            法定代表人或</w:t>
      </w:r>
      <w:r>
        <w:rPr>
          <w:rFonts w:hint="eastAsia"/>
          <w:b/>
        </w:rPr>
        <w:t>委托代理人</w:t>
      </w:r>
      <w:r>
        <w:rPr>
          <w:rFonts w:hint="eastAsia" w:ascii="宋体" w:hAnsi="宋体"/>
          <w:b/>
        </w:rPr>
        <w:t>：</w:t>
      </w:r>
    </w:p>
    <w:p>
      <w:pPr>
        <w:ind w:firstLine="482"/>
        <w:rPr>
          <w:b/>
        </w:rPr>
      </w:pPr>
      <w:r>
        <w:rPr>
          <w:rFonts w:hint="eastAsia"/>
          <w:b/>
        </w:rPr>
        <w:t xml:space="preserve">                                    开户银行：</w:t>
      </w:r>
    </w:p>
    <w:p>
      <w:pPr>
        <w:ind w:firstLine="482"/>
        <w:rPr>
          <w:b/>
        </w:rPr>
      </w:pPr>
      <w:r>
        <w:rPr>
          <w:rFonts w:hint="eastAsia"/>
          <w:b/>
        </w:rPr>
        <w:t>联系电话：                          账号：</w:t>
      </w:r>
    </w:p>
    <w:p>
      <w:pPr>
        <w:ind w:firstLine="482"/>
        <w:rPr>
          <w:b/>
        </w:rPr>
      </w:pPr>
      <w:r>
        <w:rPr>
          <w:rFonts w:hint="eastAsia"/>
          <w:b/>
        </w:rPr>
        <w:t xml:space="preserve">                                    联系电话：</w:t>
      </w:r>
    </w:p>
    <w:p>
      <w:pPr>
        <w:ind w:firstLine="2650" w:firstLineChars="1100"/>
        <w:rPr>
          <w:b/>
        </w:rPr>
      </w:pPr>
      <w:r>
        <w:rPr>
          <w:rFonts w:hint="eastAsia"/>
          <w:b/>
        </w:rPr>
        <w:t>签订合同时间：  年  月  日</w:t>
      </w:r>
    </w:p>
    <w:p>
      <w:pPr>
        <w:ind w:firstLine="0" w:firstLineChars="0"/>
        <w:rPr>
          <w:b/>
        </w:rPr>
      </w:pPr>
    </w:p>
    <w:p>
      <w:pPr>
        <w:ind w:firstLine="482"/>
        <w:rPr>
          <w:b/>
        </w:rPr>
      </w:pPr>
      <w:r>
        <w:rPr>
          <w:rFonts w:hint="eastAsia"/>
          <w:b/>
        </w:rPr>
        <w:t xml:space="preserve">合同备案部门：青海省政府采购中心       </w:t>
      </w:r>
    </w:p>
    <w:p>
      <w:pPr>
        <w:ind w:firstLine="482"/>
        <w:rPr>
          <w:b/>
        </w:rPr>
      </w:pPr>
      <w:r>
        <w:rPr>
          <w:rFonts w:hint="eastAsia"/>
          <w:b/>
        </w:rPr>
        <w:t>负责人：                                经办人：</w:t>
      </w:r>
    </w:p>
    <w:p>
      <w:pPr>
        <w:adjustRightInd w:val="0"/>
        <w:spacing w:line="360" w:lineRule="auto"/>
        <w:ind w:firstLine="2489" w:firstLineChars="1033"/>
        <w:textAlignment w:val="baseline"/>
        <w:rPr>
          <w:b/>
        </w:rPr>
      </w:pPr>
    </w:p>
    <w:p>
      <w:pPr>
        <w:adjustRightInd w:val="0"/>
        <w:spacing w:line="360" w:lineRule="auto"/>
        <w:ind w:firstLine="2489" w:firstLineChars="1033"/>
        <w:textAlignment w:val="baseline"/>
        <w:rPr>
          <w:rFonts w:ascii="宋体" w:hAnsi="宋体"/>
          <w:b/>
        </w:rPr>
      </w:pPr>
      <w:r>
        <w:rPr>
          <w:rFonts w:hint="eastAsia" w:ascii="宋体" w:hAnsi="宋体"/>
          <w:b/>
        </w:rPr>
        <w:t xml:space="preserve">合同备案时间：     年  </w:t>
      </w:r>
      <w:r>
        <w:rPr>
          <w:rFonts w:hint="eastAsia"/>
          <w:b/>
        </w:rPr>
        <w:t>月  日</w:t>
      </w:r>
    </w:p>
    <w:p>
      <w:pPr>
        <w:ind w:firstLine="3253" w:firstLineChars="900"/>
        <w:rPr>
          <w:rFonts w:ascii="宋体" w:hAnsi="宋体"/>
          <w:b/>
          <w:sz w:val="36"/>
          <w:szCs w:val="36"/>
        </w:rPr>
      </w:pPr>
    </w:p>
    <w:p>
      <w:pPr>
        <w:ind w:firstLine="3253" w:firstLineChars="900"/>
        <w:rPr>
          <w:rFonts w:ascii="宋体" w:hAnsi="宋体"/>
          <w:b/>
          <w:sz w:val="36"/>
          <w:szCs w:val="36"/>
        </w:rPr>
      </w:pPr>
    </w:p>
    <w:p>
      <w:pPr>
        <w:ind w:firstLine="3253" w:firstLineChars="900"/>
        <w:rPr>
          <w:rFonts w:ascii="宋体" w:hAnsi="宋体"/>
          <w:b/>
          <w:sz w:val="36"/>
          <w:szCs w:val="36"/>
        </w:rPr>
      </w:pPr>
    </w:p>
    <w:p>
      <w:pPr>
        <w:ind w:firstLine="3253" w:firstLineChars="900"/>
        <w:rPr>
          <w:rFonts w:ascii="宋体" w:hAnsi="宋体"/>
          <w:b/>
          <w:sz w:val="36"/>
          <w:szCs w:val="36"/>
        </w:rPr>
      </w:pPr>
    </w:p>
    <w:p>
      <w:pPr>
        <w:ind w:firstLine="3253" w:firstLineChars="900"/>
        <w:rPr>
          <w:rFonts w:ascii="宋体" w:hAnsi="宋体"/>
          <w:b/>
          <w:sz w:val="36"/>
          <w:szCs w:val="36"/>
        </w:rPr>
      </w:pPr>
    </w:p>
    <w:p>
      <w:pPr>
        <w:ind w:firstLine="3253" w:firstLineChars="900"/>
        <w:rPr>
          <w:rFonts w:ascii="宋体" w:hAnsi="宋体"/>
          <w:b/>
          <w:sz w:val="36"/>
          <w:szCs w:val="36"/>
        </w:rPr>
      </w:pPr>
    </w:p>
    <w:p>
      <w:pPr>
        <w:ind w:firstLine="3253" w:firstLineChars="900"/>
        <w:rPr>
          <w:rFonts w:ascii="宋体" w:hAnsi="宋体"/>
          <w:b/>
          <w:sz w:val="36"/>
          <w:szCs w:val="36"/>
        </w:rPr>
      </w:pPr>
    </w:p>
    <w:p>
      <w:pPr>
        <w:ind w:firstLine="3253" w:firstLineChars="900"/>
        <w:rPr>
          <w:rFonts w:ascii="宋体" w:hAnsi="宋体"/>
          <w:b/>
          <w:sz w:val="36"/>
          <w:szCs w:val="36"/>
        </w:rPr>
      </w:pPr>
    </w:p>
    <w:p>
      <w:pPr>
        <w:ind w:firstLine="3253" w:firstLineChars="900"/>
        <w:rPr>
          <w:rFonts w:ascii="宋体" w:hAnsi="宋体"/>
          <w:b/>
          <w:sz w:val="36"/>
          <w:szCs w:val="36"/>
        </w:rPr>
      </w:pPr>
    </w:p>
    <w:p>
      <w:pPr>
        <w:ind w:firstLine="3253" w:firstLineChars="900"/>
        <w:rPr>
          <w:rFonts w:ascii="宋体" w:hAnsi="宋体"/>
          <w:b/>
          <w:sz w:val="36"/>
          <w:szCs w:val="36"/>
        </w:rPr>
      </w:pPr>
    </w:p>
    <w:p>
      <w:pPr>
        <w:ind w:firstLine="3253" w:firstLineChars="900"/>
        <w:rPr>
          <w:rFonts w:ascii="宋体" w:hAnsi="宋体"/>
          <w:b/>
          <w:sz w:val="36"/>
          <w:szCs w:val="36"/>
        </w:rPr>
      </w:pPr>
    </w:p>
    <w:p>
      <w:pPr>
        <w:ind w:firstLine="3253" w:firstLineChars="900"/>
        <w:rPr>
          <w:rFonts w:ascii="宋体" w:hAnsi="宋体"/>
          <w:b/>
          <w:sz w:val="36"/>
          <w:szCs w:val="36"/>
        </w:rPr>
      </w:pPr>
    </w:p>
    <w:p>
      <w:pPr>
        <w:ind w:firstLine="3253" w:firstLineChars="900"/>
        <w:rPr>
          <w:rFonts w:ascii="宋体" w:hAnsi="宋体"/>
          <w:b/>
          <w:sz w:val="36"/>
          <w:szCs w:val="36"/>
        </w:rPr>
      </w:pPr>
    </w:p>
    <w:p>
      <w:pPr>
        <w:ind w:firstLine="3253" w:firstLineChars="900"/>
        <w:rPr>
          <w:rFonts w:ascii="宋体" w:hAnsi="宋体"/>
          <w:b/>
          <w:sz w:val="36"/>
          <w:szCs w:val="36"/>
        </w:rPr>
      </w:pPr>
    </w:p>
    <w:p>
      <w:pPr>
        <w:ind w:firstLine="3253" w:firstLineChars="900"/>
        <w:rPr>
          <w:rFonts w:ascii="宋体" w:hAnsi="宋体"/>
          <w:b/>
          <w:sz w:val="36"/>
          <w:szCs w:val="36"/>
        </w:rPr>
      </w:pPr>
    </w:p>
    <w:p>
      <w:pPr>
        <w:ind w:firstLine="3253" w:firstLineChars="900"/>
        <w:rPr>
          <w:rFonts w:ascii="宋体" w:hAnsi="宋体"/>
          <w:b/>
          <w:sz w:val="36"/>
          <w:szCs w:val="36"/>
        </w:rPr>
      </w:pPr>
    </w:p>
    <w:p>
      <w:pPr>
        <w:ind w:firstLine="3253" w:firstLineChars="900"/>
        <w:rPr>
          <w:rFonts w:ascii="宋体" w:hAnsi="宋体"/>
          <w:b/>
          <w:sz w:val="36"/>
          <w:szCs w:val="36"/>
        </w:rPr>
      </w:pPr>
    </w:p>
    <w:p>
      <w:pPr>
        <w:ind w:firstLine="3253" w:firstLineChars="900"/>
        <w:rPr>
          <w:rFonts w:ascii="宋体" w:hAnsi="宋体"/>
          <w:b/>
          <w:sz w:val="36"/>
          <w:szCs w:val="36"/>
        </w:rPr>
      </w:pPr>
    </w:p>
    <w:p>
      <w:pPr>
        <w:ind w:firstLine="3253" w:firstLineChars="900"/>
        <w:rPr>
          <w:rFonts w:ascii="宋体" w:hAnsi="宋体"/>
          <w:b/>
          <w:sz w:val="36"/>
          <w:szCs w:val="36"/>
        </w:rPr>
      </w:pPr>
    </w:p>
    <w:p>
      <w:pPr>
        <w:ind w:firstLine="3253" w:firstLineChars="900"/>
        <w:rPr>
          <w:rFonts w:ascii="宋体" w:hAnsi="宋体"/>
          <w:b/>
          <w:sz w:val="36"/>
          <w:szCs w:val="36"/>
        </w:rPr>
      </w:pPr>
    </w:p>
    <w:p>
      <w:pPr>
        <w:pStyle w:val="2"/>
        <w:ind w:firstLine="723"/>
        <w:rPr>
          <w:rFonts w:ascii="宋体" w:hAnsi="宋体"/>
          <w:b/>
          <w:sz w:val="36"/>
          <w:szCs w:val="36"/>
        </w:rPr>
      </w:pPr>
    </w:p>
    <w:p>
      <w:pPr>
        <w:pStyle w:val="3"/>
        <w:ind w:firstLine="480"/>
      </w:pPr>
    </w:p>
    <w:p>
      <w:pPr>
        <w:ind w:firstLine="3253" w:firstLineChars="900"/>
        <w:rPr>
          <w:rFonts w:ascii="宋体" w:hAnsi="宋体"/>
          <w:b/>
          <w:sz w:val="36"/>
          <w:szCs w:val="36"/>
        </w:rPr>
      </w:pPr>
      <w:r>
        <w:rPr>
          <w:rFonts w:hint="eastAsia" w:ascii="宋体" w:hAnsi="宋体"/>
          <w:b/>
          <w:sz w:val="36"/>
          <w:szCs w:val="36"/>
        </w:rPr>
        <w:t>合同通用条款</w:t>
      </w:r>
    </w:p>
    <w:p>
      <w:pPr>
        <w:spacing w:line="360" w:lineRule="auto"/>
        <w:ind w:firstLine="480"/>
        <w:rPr>
          <w:rFonts w:ascii="宋体" w:hAnsi="宋体"/>
        </w:rPr>
      </w:pPr>
    </w:p>
    <w:p>
      <w:pPr>
        <w:spacing w:line="360" w:lineRule="auto"/>
        <w:ind w:firstLine="480"/>
        <w:rPr>
          <w:rFonts w:ascii="宋体" w:hAnsi="宋体"/>
        </w:rPr>
      </w:pPr>
      <w:r>
        <w:rPr>
          <w:rFonts w:hint="eastAsia" w:ascii="宋体" w:hAnsi="宋体"/>
        </w:rPr>
        <w:t>根据《中华人民共和国民法典》、《中华人民共和国政府采购法》的规定，合同双方经协商达成一致，自愿订立本合同，遵循公平原则明确双方的权利、义务，确保双方诚实守信地履行合同。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rPr>
      </w:pPr>
      <w:r>
        <w:rPr>
          <w:rFonts w:hint="eastAsia" w:ascii="宋体" w:hAnsi="宋体"/>
          <w:b/>
        </w:rPr>
        <w:t>1.定义</w:t>
      </w:r>
    </w:p>
    <w:p>
      <w:pPr>
        <w:spacing w:line="360" w:lineRule="auto"/>
        <w:ind w:firstLine="480"/>
        <w:rPr>
          <w:rFonts w:ascii="宋体" w:hAnsi="宋体"/>
        </w:rPr>
      </w:pPr>
      <w:r>
        <w:rPr>
          <w:rFonts w:ascii="宋体" w:hAnsi="宋体"/>
        </w:rPr>
        <w:t>本合同中的下列术语应解释为：</w:t>
      </w:r>
    </w:p>
    <w:p>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pPr>
        <w:spacing w:line="360" w:lineRule="auto"/>
        <w:ind w:firstLine="480"/>
        <w:rPr>
          <w:rFonts w:ascii="宋体" w:hAnsi="宋体"/>
        </w:rPr>
      </w:pPr>
      <w:r>
        <w:rPr>
          <w:rFonts w:hint="eastAsia" w:ascii="宋体" w:hAnsi="宋体"/>
        </w:rPr>
        <w:t>1.3 “合同条款”指本合同条款。</w:t>
      </w:r>
    </w:p>
    <w:p>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pPr>
        <w:spacing w:line="360" w:lineRule="auto"/>
        <w:ind w:firstLine="480"/>
        <w:rPr>
          <w:rFonts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ascii="宋体" w:hAnsi="宋体"/>
        </w:rPr>
      </w:pPr>
      <w:r>
        <w:rPr>
          <w:rFonts w:hint="eastAsia" w:ascii="宋体" w:hAnsi="宋体"/>
        </w:rPr>
        <w:t>1.11 原产地：指产品的生产地，或提供服务的来源地。</w:t>
      </w:r>
    </w:p>
    <w:p>
      <w:pPr>
        <w:spacing w:line="360" w:lineRule="auto"/>
        <w:ind w:firstLine="480"/>
        <w:rPr>
          <w:rFonts w:ascii="宋体" w:hAnsi="宋体"/>
        </w:rPr>
      </w:pPr>
      <w:r>
        <w:rPr>
          <w:rFonts w:hint="eastAsia" w:ascii="宋体" w:hAnsi="宋体"/>
        </w:rPr>
        <w:t>1.12 “工作日”指国家法定工作日，“天”指日历天数。</w:t>
      </w:r>
    </w:p>
    <w:p>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pPr>
        <w:spacing w:line="360" w:lineRule="auto"/>
        <w:ind w:firstLine="480"/>
        <w:rPr>
          <w:rFonts w:ascii="宋体" w:hAnsi="宋体"/>
        </w:rPr>
      </w:pPr>
      <w:r>
        <w:rPr>
          <w:rFonts w:hint="eastAsia" w:ascii="宋体" w:hAnsi="宋体"/>
        </w:rPr>
        <w:t>2.1 本合同条款下提交货物的技术规格要求应等于或优于招投标文件技术规格要求。若技术规格要求中无相应规定，则应符合相应的国家有关部门最新颁布的相应正式标准。</w:t>
      </w:r>
    </w:p>
    <w:p>
      <w:pPr>
        <w:spacing w:line="360" w:lineRule="auto"/>
        <w:ind w:firstLine="480"/>
        <w:rPr>
          <w:rFonts w:ascii="宋体" w:hAnsi="宋体"/>
        </w:rPr>
      </w:pPr>
      <w:r>
        <w:rPr>
          <w:rFonts w:hint="eastAsia" w:ascii="宋体" w:hAnsi="宋体"/>
        </w:rPr>
        <w:t>2.2 乙方应向甲方提供货物及服务有关的标准的中文文本。</w:t>
      </w:r>
    </w:p>
    <w:p>
      <w:pPr>
        <w:spacing w:line="360" w:lineRule="auto"/>
        <w:ind w:firstLine="480"/>
        <w:rPr>
          <w:rFonts w:ascii="宋体" w:hAnsi="宋体"/>
        </w:rPr>
      </w:pPr>
      <w:r>
        <w:rPr>
          <w:rFonts w:hint="eastAsia" w:ascii="宋体" w:hAnsi="宋体"/>
        </w:rPr>
        <w:t>2.3 除非技术规范中另有规定，计量单位均采用中华人民共和国法定计量单位。</w:t>
      </w:r>
    </w:p>
    <w:p>
      <w:pPr>
        <w:spacing w:line="360" w:lineRule="auto"/>
        <w:ind w:firstLine="482"/>
        <w:rPr>
          <w:rFonts w:ascii="宋体" w:hAnsi="宋体"/>
          <w:b/>
        </w:rPr>
      </w:pPr>
      <w:r>
        <w:rPr>
          <w:rFonts w:hint="eastAsia" w:ascii="宋体" w:hAnsi="宋体"/>
          <w:b/>
        </w:rPr>
        <w:t>3.合同范围</w:t>
      </w:r>
    </w:p>
    <w:p>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ascii="宋体" w:hAnsi="宋体"/>
        </w:rPr>
      </w:pPr>
      <w:r>
        <w:rPr>
          <w:rFonts w:hint="eastAsia" w:ascii="宋体" w:hAnsi="宋体"/>
        </w:rPr>
        <w:t>3.2 乙方应负责培训甲方的技术人员。</w:t>
      </w:r>
    </w:p>
    <w:p>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rPr>
      </w:pPr>
      <w:r>
        <w:rPr>
          <w:rFonts w:hint="eastAsia" w:ascii="宋体" w:hAnsi="宋体"/>
          <w:b/>
        </w:rPr>
        <w:t>4.合同文件和资料</w:t>
      </w:r>
    </w:p>
    <w:p>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rPr>
      </w:pPr>
      <w:r>
        <w:rPr>
          <w:rFonts w:hint="eastAsia" w:ascii="宋体" w:hAnsi="宋体"/>
          <w:b/>
        </w:rPr>
        <w:t>5.</w:t>
      </w:r>
      <w:r>
        <w:rPr>
          <w:rFonts w:ascii="宋体" w:hAnsi="宋体"/>
          <w:b/>
        </w:rPr>
        <w:t>知识产权</w:t>
      </w:r>
    </w:p>
    <w:p>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pPr>
        <w:spacing w:line="360" w:lineRule="auto"/>
        <w:ind w:firstLine="480"/>
        <w:rPr>
          <w:rFonts w:ascii="宋体" w:hAnsi="宋体"/>
        </w:rPr>
      </w:pPr>
      <w:r>
        <w:rPr>
          <w:rFonts w:hint="eastAsia" w:ascii="宋体" w:hAnsi="宋体"/>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spacing w:line="360" w:lineRule="auto"/>
        <w:ind w:firstLine="482"/>
        <w:rPr>
          <w:rFonts w:ascii="宋体" w:hAnsi="宋体"/>
          <w:b/>
        </w:rPr>
      </w:pPr>
      <w:r>
        <w:rPr>
          <w:rFonts w:hint="eastAsia" w:ascii="宋体" w:hAnsi="宋体"/>
          <w:b/>
        </w:rPr>
        <w:t>6.保密</w:t>
      </w:r>
    </w:p>
    <w:p>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pPr>
        <w:spacing w:line="360" w:lineRule="auto"/>
        <w:ind w:firstLine="480"/>
        <w:rPr>
          <w:rFonts w:ascii="宋体" w:hAnsi="宋体"/>
        </w:rPr>
      </w:pPr>
      <w:r>
        <w:rPr>
          <w:rFonts w:hint="eastAsia" w:ascii="宋体" w:hAnsi="宋体"/>
        </w:rPr>
        <w:t>6.2.2任何对方的技术措施、技术方案、软件应用及开发，硬件设备的品种、质量、数量、品牌等；</w:t>
      </w:r>
    </w:p>
    <w:p>
      <w:pPr>
        <w:spacing w:line="360" w:lineRule="auto"/>
        <w:ind w:firstLine="480"/>
        <w:rPr>
          <w:rFonts w:ascii="宋体" w:hAnsi="宋体"/>
        </w:rPr>
      </w:pPr>
      <w:r>
        <w:rPr>
          <w:rFonts w:hint="eastAsia" w:ascii="宋体" w:hAnsi="宋体"/>
        </w:rPr>
        <w:t>6.2.3任何对方的技术秘密或专有知识、文件 、报告、数据、客户软件、流程图、数据库、发明、知识、贸易秘密。</w:t>
      </w:r>
    </w:p>
    <w:p>
      <w:pPr>
        <w:spacing w:line="360" w:lineRule="auto"/>
        <w:ind w:firstLine="480"/>
        <w:rPr>
          <w:rFonts w:ascii="宋体" w:hAnsi="宋体"/>
        </w:rPr>
      </w:pPr>
      <w:r>
        <w:rPr>
          <w:rFonts w:hint="eastAsia" w:ascii="宋体" w:hAnsi="宋体"/>
        </w:rPr>
        <w:t>6.3乙方应根据甲方的要求签署相应的保密协议，保密协议与本条款存在不一致的，以保密协议为准。</w:t>
      </w:r>
    </w:p>
    <w:p>
      <w:pPr>
        <w:spacing w:line="360" w:lineRule="auto"/>
        <w:ind w:firstLine="482"/>
        <w:rPr>
          <w:rFonts w:ascii="宋体" w:hAnsi="宋体"/>
          <w:b/>
        </w:rPr>
      </w:pPr>
      <w:r>
        <w:rPr>
          <w:rFonts w:hint="eastAsia" w:ascii="宋体" w:hAnsi="宋体"/>
          <w:b/>
        </w:rPr>
        <w:t>7.</w:t>
      </w:r>
      <w:r>
        <w:rPr>
          <w:rFonts w:ascii="宋体" w:hAnsi="宋体"/>
          <w:b/>
        </w:rPr>
        <w:t xml:space="preserve"> 质量保证</w:t>
      </w:r>
    </w:p>
    <w:p>
      <w:pPr>
        <w:spacing w:line="360" w:lineRule="auto"/>
        <w:ind w:firstLine="480"/>
        <w:rPr>
          <w:rFonts w:ascii="宋体" w:hAnsi="宋体"/>
        </w:rPr>
      </w:pPr>
      <w:r>
        <w:rPr>
          <w:rFonts w:hint="eastAsia" w:ascii="宋体" w:hAnsi="宋体"/>
        </w:rPr>
        <w:t>7.1货物质量保证</w:t>
      </w:r>
    </w:p>
    <w:p>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pPr>
        <w:spacing w:line="360" w:lineRule="auto"/>
        <w:ind w:firstLine="480"/>
        <w:rPr>
          <w:rFonts w:ascii="宋体" w:hAnsi="宋体"/>
        </w:rPr>
      </w:pPr>
      <w:r>
        <w:rPr>
          <w:rFonts w:hint="eastAsia" w:ascii="宋体" w:hAnsi="宋体"/>
        </w:rPr>
        <w:t>7.1.2乙</w:t>
      </w:r>
      <w:r>
        <w:rPr>
          <w:rFonts w:ascii="宋体" w:hAnsi="宋体"/>
        </w:rPr>
        <w:t>方须保证所提供的货物经正确安装、正常运转和保养，在其使用寿命期内须具有符合质量要求和产品说明书的性能。在货物质量保证期之内，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方须对由于设计、工艺或材料的缺陷而发生的任何不足或故障负责</w:t>
      </w:r>
      <w:r>
        <w:rPr>
          <w:rFonts w:hint="eastAsia" w:ascii="宋体" w:hAnsi="宋体" w:cs="宋体"/>
        </w:rPr>
        <w:t>，并免费予以改进或更换</w:t>
      </w:r>
      <w:r>
        <w:rPr>
          <w:rFonts w:ascii="宋体" w:hAnsi="宋体"/>
        </w:rPr>
        <w:t>。</w:t>
      </w:r>
    </w:p>
    <w:p>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pPr>
        <w:spacing w:line="360" w:lineRule="auto"/>
        <w:ind w:firstLine="480"/>
        <w:rPr>
          <w:rFonts w:ascii="宋体" w:hAnsi="宋体"/>
        </w:rPr>
      </w:pPr>
      <w:r>
        <w:rPr>
          <w:rFonts w:hint="eastAsia" w:ascii="宋体" w:hAnsi="宋体"/>
        </w:rPr>
        <w:t>7.2辅助服务质量保证</w:t>
      </w:r>
    </w:p>
    <w:p>
      <w:pPr>
        <w:spacing w:line="360" w:lineRule="auto"/>
        <w:ind w:firstLine="480"/>
        <w:rPr>
          <w:rFonts w:ascii="宋体" w:hAnsi="宋体"/>
        </w:rPr>
      </w:pPr>
      <w:r>
        <w:rPr>
          <w:rFonts w:hint="eastAsia" w:ascii="宋体" w:hAnsi="宋体"/>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spacing w:line="360" w:lineRule="auto"/>
        <w:ind w:firstLine="480"/>
        <w:rPr>
          <w:rFonts w:ascii="宋体" w:hAnsi="宋体"/>
        </w:rPr>
      </w:pPr>
      <w:r>
        <w:rPr>
          <w:rFonts w:hint="eastAsia" w:ascii="宋体" w:hAnsi="宋体"/>
        </w:rPr>
        <w:t>7.2.2乙方应保证合同条款下所提供的服务包括培训、安装指导、单机调试、系统联调和试验等，按合同规定方式进行，并保证不存在因乙方工作人员的过失、错误或疏忽而产生的缺陷。</w:t>
      </w:r>
    </w:p>
    <w:p>
      <w:pPr>
        <w:spacing w:line="360" w:lineRule="auto"/>
        <w:ind w:firstLine="482"/>
        <w:rPr>
          <w:rFonts w:ascii="宋体" w:hAnsi="宋体"/>
          <w:b/>
        </w:rPr>
      </w:pPr>
      <w:r>
        <w:rPr>
          <w:rFonts w:hint="eastAsia" w:ascii="宋体" w:hAnsi="宋体"/>
          <w:b/>
        </w:rPr>
        <w:t>8.</w:t>
      </w:r>
      <w:r>
        <w:rPr>
          <w:rFonts w:ascii="宋体" w:hAnsi="宋体"/>
          <w:b/>
        </w:rPr>
        <w:t>包装要求</w:t>
      </w:r>
    </w:p>
    <w:p>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w:t>
      </w:r>
      <w:r>
        <w:rPr>
          <w:rFonts w:hint="eastAsia" w:ascii="宋体" w:hAnsi="宋体"/>
        </w:rPr>
        <w:t>，</w:t>
      </w:r>
      <w:r>
        <w:rPr>
          <w:rFonts w:ascii="宋体" w:hAnsi="宋体"/>
        </w:rPr>
        <w:t>均应采用本行业通用的方式进行包装，且该包装应符合国家有关包装的法律、法规的规定。</w:t>
      </w:r>
    </w:p>
    <w:p>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pPr>
        <w:spacing w:line="360" w:lineRule="auto"/>
        <w:ind w:firstLine="480"/>
        <w:rPr>
          <w:rFonts w:ascii="宋体" w:hAnsi="宋体"/>
        </w:rPr>
      </w:pPr>
      <w:r>
        <w:rPr>
          <w:rFonts w:hint="eastAsia" w:ascii="宋体" w:hAnsi="宋体"/>
        </w:rPr>
        <w:t>8.3 乙方所提供的货物包装均为出厂时原包装。</w:t>
      </w:r>
    </w:p>
    <w:p>
      <w:pPr>
        <w:spacing w:line="360" w:lineRule="auto"/>
        <w:ind w:firstLine="480"/>
        <w:rPr>
          <w:rFonts w:ascii="宋体" w:hAnsi="宋体"/>
        </w:rPr>
      </w:pPr>
      <w:r>
        <w:rPr>
          <w:rFonts w:hint="eastAsia" w:ascii="宋体" w:hAnsi="宋体"/>
        </w:rPr>
        <w:t>8.4 乙方所提供货物必须附有</w:t>
      </w:r>
      <w:r>
        <w:rPr>
          <w:rFonts w:hint="eastAsia" w:ascii="宋体" w:hAnsi="宋体" w:cs="宋体"/>
        </w:rPr>
        <w:t>质量合格证，</w:t>
      </w:r>
      <w:r>
        <w:rPr>
          <w:rFonts w:hint="eastAsia" w:ascii="宋体" w:hAnsi="宋体"/>
        </w:rPr>
        <w:t>装箱清单，主机、附件、各种零部件和消耗品，有清楚的与装箱单相对应的名称和编号。</w:t>
      </w:r>
    </w:p>
    <w:p>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pPr>
        <w:spacing w:line="360" w:lineRule="auto"/>
        <w:ind w:firstLine="480"/>
        <w:rPr>
          <w:rFonts w:ascii="宋体" w:hAnsi="宋体"/>
        </w:rPr>
      </w:pPr>
      <w:r>
        <w:rPr>
          <w:rFonts w:hint="eastAsia" w:ascii="宋体" w:hAnsi="宋体"/>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spacing w:line="360" w:lineRule="auto"/>
        <w:ind w:firstLine="480"/>
        <w:rPr>
          <w:rFonts w:ascii="宋体" w:hAnsi="宋体"/>
        </w:rPr>
      </w:pPr>
      <w:r>
        <w:rPr>
          <w:rFonts w:hint="eastAsia" w:ascii="宋体" w:hAnsi="宋体"/>
        </w:rPr>
        <w:t>9.2 本合同价格为固定价格，包括了乙方履行合同全过程产生的所有成本和费用以及乙方应承担的一切税费。</w:t>
      </w:r>
    </w:p>
    <w:p>
      <w:pPr>
        <w:spacing w:line="360" w:lineRule="auto"/>
        <w:ind w:firstLine="480"/>
        <w:rPr>
          <w:rFonts w:ascii="宋体" w:hAnsi="宋体"/>
        </w:rPr>
      </w:pPr>
      <w:r>
        <w:rPr>
          <w:rFonts w:hint="eastAsia" w:ascii="宋体" w:hAnsi="宋体"/>
        </w:rPr>
        <w:t xml:space="preserve">9.3检验费用 </w:t>
      </w:r>
    </w:p>
    <w:p>
      <w:pPr>
        <w:spacing w:line="360" w:lineRule="auto"/>
        <w:ind w:firstLine="480"/>
        <w:rPr>
          <w:rFonts w:ascii="宋体" w:hAnsi="宋体"/>
        </w:rPr>
      </w:pPr>
      <w:r>
        <w:rPr>
          <w:rFonts w:hint="eastAsia" w:ascii="宋体" w:hAnsi="宋体"/>
        </w:rPr>
        <w:t>9.3.1 乙方必须负担本条款下属于乙方负责的检验、测试、调试、试运行和验收的所有费用，并负责乙方派往买方组织的检验、测试和验收人员的所有费用。</w:t>
      </w:r>
    </w:p>
    <w:p>
      <w:pPr>
        <w:spacing w:line="360" w:lineRule="auto"/>
        <w:ind w:firstLine="480"/>
        <w:rPr>
          <w:rFonts w:ascii="宋体" w:hAnsi="宋体"/>
        </w:rPr>
      </w:pPr>
      <w:r>
        <w:rPr>
          <w:rFonts w:hint="eastAsia" w:ascii="宋体" w:hAnsi="宋体"/>
        </w:rPr>
        <w:t>9.3.2 甲方按合同计划参加在乙方工厂所在地检验、测试和验收的费用全部由乙方负责并已包含在合同总价中。</w:t>
      </w:r>
    </w:p>
    <w:p>
      <w:pPr>
        <w:spacing w:line="360" w:lineRule="auto"/>
        <w:ind w:firstLine="480"/>
        <w:rPr>
          <w:rFonts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pPr>
        <w:spacing w:line="360" w:lineRule="auto"/>
        <w:ind w:firstLine="480"/>
        <w:rPr>
          <w:rFonts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pPr>
        <w:spacing w:line="360" w:lineRule="auto"/>
        <w:ind w:firstLine="480"/>
        <w:rPr>
          <w:rFonts w:ascii="宋体" w:hAnsi="宋体"/>
        </w:rPr>
      </w:pPr>
      <w:r>
        <w:rPr>
          <w:rFonts w:hint="eastAsia" w:ascii="宋体" w:hAnsi="宋体"/>
        </w:rPr>
        <w:t>交货日期：所有货物运抵现场并经双方开箱验收合格之日。</w:t>
      </w:r>
    </w:p>
    <w:p>
      <w:pPr>
        <w:spacing w:line="360" w:lineRule="auto"/>
        <w:ind w:firstLine="482"/>
        <w:rPr>
          <w:rFonts w:ascii="宋体" w:hAnsi="宋体"/>
          <w:b/>
        </w:rPr>
      </w:pPr>
      <w:r>
        <w:rPr>
          <w:rFonts w:hint="eastAsia" w:ascii="宋体" w:hAnsi="宋体"/>
          <w:b/>
        </w:rPr>
        <w:t>11.</w:t>
      </w:r>
      <w:r>
        <w:rPr>
          <w:rFonts w:ascii="宋体" w:hAnsi="宋体"/>
          <w:b/>
        </w:rPr>
        <w:t>检验和验收</w:t>
      </w:r>
    </w:p>
    <w:p>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pPr>
        <w:spacing w:line="360" w:lineRule="auto"/>
        <w:ind w:firstLine="480"/>
        <w:rPr>
          <w:rFonts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ascii="宋体" w:hAnsi="宋体"/>
        </w:rPr>
      </w:pPr>
      <w:r>
        <w:rPr>
          <w:rFonts w:hint="eastAsia" w:ascii="宋体" w:hAnsi="宋体"/>
        </w:rPr>
        <w:t>11.2  检验验收</w:t>
      </w:r>
    </w:p>
    <w:p>
      <w:pPr>
        <w:spacing w:line="360" w:lineRule="auto"/>
        <w:ind w:firstLine="480"/>
        <w:rPr>
          <w:rFonts w:ascii="宋体" w:hAnsi="宋体"/>
        </w:rPr>
      </w:pPr>
      <w:r>
        <w:rPr>
          <w:rFonts w:hint="eastAsia" w:ascii="宋体" w:hAnsi="宋体"/>
        </w:rPr>
        <w:t>11.2.1 交货完成后，乙方应及时组装、调试、试运行，按照合同专用条款规定的试运行完成后，双方及时组织对货物检验验收。合同双方均须派人参加合同要求双方参加的试验、检验。</w:t>
      </w:r>
    </w:p>
    <w:p>
      <w:pPr>
        <w:spacing w:line="360" w:lineRule="auto"/>
        <w:ind w:firstLine="480"/>
        <w:rPr>
          <w:rFonts w:ascii="宋体" w:hAnsi="宋体"/>
        </w:rPr>
      </w:pPr>
      <w:r>
        <w:rPr>
          <w:rFonts w:hint="eastAsia" w:ascii="宋体" w:hAnsi="宋体"/>
        </w:rPr>
        <w:t>11.2.2 在具体实施合同规定的检验验收之前，乙方需提前提交相应的测试计划（包括测试程序、测试内容和检验标准、试验时间安排等）供甲方确认。</w:t>
      </w:r>
    </w:p>
    <w:p>
      <w:pPr>
        <w:spacing w:line="360" w:lineRule="auto"/>
        <w:ind w:firstLine="480"/>
        <w:rPr>
          <w:rFonts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pPr>
        <w:spacing w:line="360" w:lineRule="auto"/>
        <w:ind w:firstLine="480"/>
        <w:rPr>
          <w:rFonts w:ascii="宋体" w:hAnsi="宋体"/>
        </w:rPr>
      </w:pPr>
      <w:r>
        <w:rPr>
          <w:rFonts w:hint="eastAsia" w:ascii="宋体" w:hAnsi="宋体"/>
        </w:rPr>
        <w:t>11.2.4  检验测试出现全部或部分未达到本合同所约定的技术指标，甲方有权选择下列任一处理方式：</w:t>
      </w:r>
    </w:p>
    <w:p>
      <w:pPr>
        <w:spacing w:line="360" w:lineRule="auto"/>
        <w:ind w:firstLine="480"/>
        <w:rPr>
          <w:rFonts w:ascii="宋体" w:hAnsi="宋体"/>
        </w:rPr>
      </w:pPr>
      <w:r>
        <w:rPr>
          <w:rFonts w:hint="eastAsia" w:ascii="宋体" w:hAnsi="宋体"/>
        </w:rPr>
        <w:t>a.重新测试直至合格为止；</w:t>
      </w:r>
    </w:p>
    <w:p>
      <w:pPr>
        <w:spacing w:line="360" w:lineRule="auto"/>
        <w:ind w:firstLine="480"/>
        <w:rPr>
          <w:rFonts w:ascii="宋体" w:hAnsi="宋体"/>
        </w:rPr>
      </w:pPr>
      <w:r>
        <w:rPr>
          <w:rFonts w:hint="eastAsia" w:ascii="宋体" w:hAnsi="宋体"/>
        </w:rPr>
        <w:t>b.要求乙方对货物进行免费更换，然后重新测试直至合格为止；</w:t>
      </w:r>
    </w:p>
    <w:p>
      <w:pPr>
        <w:spacing w:line="360" w:lineRule="auto"/>
        <w:ind w:firstLine="480"/>
        <w:rPr>
          <w:rFonts w:ascii="宋体" w:hAnsi="宋体"/>
        </w:rPr>
      </w:pPr>
      <w:r>
        <w:rPr>
          <w:rFonts w:hint="eastAsia" w:ascii="宋体" w:hAnsi="宋体"/>
        </w:rPr>
        <w:t>无论选择何种方式，甲方因此而发生的因卖方原因引起的所有费用均由乙方负担。</w:t>
      </w:r>
    </w:p>
    <w:p>
      <w:pPr>
        <w:spacing w:line="360" w:lineRule="auto"/>
        <w:ind w:firstLine="480"/>
        <w:rPr>
          <w:rFonts w:ascii="宋体" w:hAnsi="宋体"/>
        </w:rPr>
      </w:pPr>
      <w:r>
        <w:rPr>
          <w:rFonts w:hint="eastAsia" w:ascii="宋体" w:hAnsi="宋体"/>
        </w:rPr>
        <w:t>11.3  使用过程检验</w:t>
      </w:r>
    </w:p>
    <w:p>
      <w:pPr>
        <w:spacing w:line="360" w:lineRule="auto"/>
        <w:ind w:firstLine="480"/>
        <w:rPr>
          <w:rFonts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rPr>
      </w:pPr>
      <w:r>
        <w:rPr>
          <w:rFonts w:hint="eastAsia" w:ascii="宋体" w:hAnsi="宋体"/>
          <w:b/>
        </w:rPr>
        <w:t>12.</w:t>
      </w:r>
      <w:r>
        <w:rPr>
          <w:rFonts w:ascii="宋体" w:hAnsi="宋体"/>
          <w:b/>
        </w:rPr>
        <w:t>付款条件</w:t>
      </w:r>
    </w:p>
    <w:p>
      <w:pPr>
        <w:spacing w:line="360" w:lineRule="auto"/>
        <w:ind w:firstLine="480"/>
        <w:rPr>
          <w:rFonts w:ascii="宋体" w:hAnsi="宋体"/>
        </w:rPr>
      </w:pPr>
      <w:r>
        <w:rPr>
          <w:rFonts w:hint="eastAsia" w:ascii="宋体" w:hAnsi="宋体"/>
        </w:rPr>
        <w:t>本合同条款下的付款方法和条件在“合同专用条款”中具体规定。</w:t>
      </w:r>
    </w:p>
    <w:p>
      <w:pPr>
        <w:spacing w:line="360" w:lineRule="auto"/>
        <w:ind w:firstLine="482"/>
        <w:rPr>
          <w:rFonts w:ascii="宋体" w:hAnsi="宋体"/>
          <w:b/>
        </w:rPr>
      </w:pPr>
      <w:r>
        <w:rPr>
          <w:rFonts w:ascii="宋体" w:hAnsi="宋体"/>
          <w:b/>
        </w:rPr>
        <w:t>1</w:t>
      </w:r>
      <w:r>
        <w:rPr>
          <w:rFonts w:hint="eastAsia" w:ascii="宋体" w:hAnsi="宋体"/>
          <w:b/>
        </w:rPr>
        <w:t>3.履约保证金</w:t>
      </w:r>
    </w:p>
    <w:p>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（招标文件中另有约定的除外）</w:t>
      </w:r>
      <w:r>
        <w:rPr>
          <w:rFonts w:ascii="宋体" w:hAnsi="宋体"/>
        </w:rPr>
        <w:t>：</w:t>
      </w:r>
    </w:p>
    <w:p>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pPr>
        <w:spacing w:line="360" w:lineRule="auto"/>
        <w:ind w:firstLine="480"/>
        <w:rPr>
          <w:rFonts w:ascii="宋体" w:hAnsi="宋体"/>
        </w:rPr>
      </w:pPr>
      <w:r>
        <w:rPr>
          <w:rFonts w:hint="eastAsia" w:ascii="宋体" w:hAnsi="宋体"/>
        </w:rPr>
        <w:t>13.3.2</w:t>
      </w:r>
      <w:r>
        <w:rPr>
          <w:rFonts w:ascii="宋体" w:hAnsi="宋体"/>
        </w:rPr>
        <w:t xml:space="preserve"> 支票、汇票、本票或者金融机构、担保机构出具的保函等非现金形式提交。</w:t>
      </w:r>
    </w:p>
    <w:p>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pPr>
        <w:spacing w:line="360" w:lineRule="auto"/>
        <w:ind w:firstLine="482"/>
        <w:rPr>
          <w:rFonts w:ascii="宋体" w:hAnsi="宋体"/>
          <w:b/>
        </w:rPr>
      </w:pPr>
      <w:r>
        <w:rPr>
          <w:rFonts w:hint="eastAsia" w:ascii="宋体" w:hAnsi="宋体"/>
          <w:b/>
        </w:rPr>
        <w:t>14.</w:t>
      </w:r>
      <w:r>
        <w:rPr>
          <w:rFonts w:ascii="宋体" w:hAnsi="宋体"/>
          <w:b/>
        </w:rPr>
        <w:t>索赔</w:t>
      </w:r>
    </w:p>
    <w:p>
      <w:pPr>
        <w:spacing w:line="360" w:lineRule="auto"/>
        <w:ind w:firstLine="480"/>
        <w:rPr>
          <w:rFonts w:ascii="宋体" w:hAnsi="宋体"/>
        </w:rPr>
      </w:pPr>
      <w:r>
        <w:rPr>
          <w:rFonts w:hint="eastAsia" w:ascii="宋体" w:hAnsi="宋体"/>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pPr>
        <w:spacing w:line="360" w:lineRule="auto"/>
        <w:ind w:firstLine="482"/>
        <w:rPr>
          <w:rFonts w:ascii="宋体" w:hAnsi="宋体"/>
          <w:b/>
        </w:rPr>
      </w:pPr>
      <w:r>
        <w:rPr>
          <w:rFonts w:hint="eastAsia" w:ascii="宋体" w:hAnsi="宋体"/>
          <w:b/>
        </w:rPr>
        <w:t>16.</w:t>
      </w:r>
      <w:r>
        <w:rPr>
          <w:rFonts w:ascii="宋体" w:hAnsi="宋体"/>
          <w:b/>
        </w:rPr>
        <w:t>违约赔偿</w:t>
      </w:r>
    </w:p>
    <w:p>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pPr>
        <w:spacing w:line="360" w:lineRule="auto"/>
        <w:ind w:firstLine="482"/>
        <w:rPr>
          <w:rFonts w:ascii="宋体" w:hAnsi="宋体"/>
          <w:b/>
        </w:rPr>
      </w:pPr>
      <w:r>
        <w:rPr>
          <w:rFonts w:hint="eastAsia" w:ascii="宋体" w:hAnsi="宋体"/>
          <w:b/>
        </w:rPr>
        <w:t>17.</w:t>
      </w:r>
      <w:r>
        <w:rPr>
          <w:rFonts w:ascii="宋体" w:hAnsi="宋体"/>
          <w:b/>
        </w:rPr>
        <w:t>不可抗力</w:t>
      </w:r>
    </w:p>
    <w:p>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pPr>
        <w:spacing w:line="360" w:lineRule="auto"/>
        <w:ind w:firstLine="482"/>
        <w:rPr>
          <w:rFonts w:ascii="宋体" w:hAnsi="宋体"/>
          <w:b/>
        </w:rPr>
      </w:pPr>
      <w:r>
        <w:rPr>
          <w:rFonts w:hint="eastAsia" w:ascii="宋体" w:hAnsi="宋体"/>
          <w:b/>
        </w:rPr>
        <w:t>18.</w:t>
      </w:r>
      <w:r>
        <w:rPr>
          <w:rFonts w:ascii="宋体" w:hAnsi="宋体"/>
          <w:b/>
        </w:rPr>
        <w:t>税费</w:t>
      </w:r>
    </w:p>
    <w:p>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pPr>
        <w:spacing w:line="360" w:lineRule="auto"/>
        <w:ind w:firstLine="482"/>
        <w:rPr>
          <w:rFonts w:ascii="宋体" w:hAnsi="宋体"/>
          <w:b/>
        </w:rPr>
      </w:pPr>
      <w:r>
        <w:rPr>
          <w:rFonts w:hint="eastAsia" w:ascii="宋体" w:hAnsi="宋体"/>
          <w:b/>
        </w:rPr>
        <w:t>19.</w:t>
      </w:r>
      <w:r>
        <w:rPr>
          <w:rFonts w:ascii="宋体" w:hAnsi="宋体"/>
          <w:b/>
        </w:rPr>
        <w:t>合同争议的解决</w:t>
      </w:r>
    </w:p>
    <w:p>
      <w:pPr>
        <w:spacing w:line="360" w:lineRule="auto"/>
        <w:ind w:firstLine="480"/>
        <w:rPr>
          <w:rFonts w:ascii="宋体" w:hAnsi="宋体"/>
        </w:rPr>
      </w:pPr>
      <w:r>
        <w:rPr>
          <w:rFonts w:hint="eastAsia" w:ascii="宋体" w:hAnsi="宋体"/>
        </w:rPr>
        <w:t>19.1甲方和乙方由于本合同的履行而发生任何争议时，双方可先通过协商解决。</w:t>
      </w:r>
    </w:p>
    <w:p>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pPr>
        <w:spacing w:line="360" w:lineRule="auto"/>
        <w:ind w:firstLine="482"/>
        <w:rPr>
          <w:rFonts w:ascii="宋体" w:hAnsi="宋体"/>
          <w:b/>
        </w:rPr>
      </w:pPr>
      <w:r>
        <w:rPr>
          <w:rFonts w:hint="eastAsia" w:ascii="宋体" w:hAnsi="宋体"/>
          <w:b/>
        </w:rPr>
        <w:t>20.</w:t>
      </w:r>
      <w:r>
        <w:rPr>
          <w:rFonts w:ascii="宋体" w:hAnsi="宋体"/>
          <w:b/>
        </w:rPr>
        <w:t>违约解除合同</w:t>
      </w:r>
    </w:p>
    <w:p>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pPr>
        <w:spacing w:line="360" w:lineRule="auto"/>
        <w:ind w:firstLine="482"/>
        <w:rPr>
          <w:rFonts w:ascii="宋体" w:hAnsi="宋体"/>
          <w:b/>
        </w:rPr>
      </w:pPr>
      <w:r>
        <w:rPr>
          <w:rFonts w:hint="eastAsia" w:ascii="宋体" w:hAnsi="宋体"/>
          <w:b/>
        </w:rPr>
        <w:t>21.</w:t>
      </w:r>
      <w:r>
        <w:rPr>
          <w:rFonts w:ascii="宋体" w:hAnsi="宋体"/>
          <w:b/>
        </w:rPr>
        <w:t>破产终止合同</w:t>
      </w:r>
    </w:p>
    <w:p>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pPr>
        <w:spacing w:line="360" w:lineRule="auto"/>
        <w:ind w:firstLine="482"/>
        <w:rPr>
          <w:rFonts w:ascii="宋体" w:hAnsi="宋体"/>
          <w:b/>
        </w:rPr>
      </w:pPr>
      <w:r>
        <w:rPr>
          <w:rFonts w:hint="eastAsia" w:ascii="宋体" w:hAnsi="宋体"/>
          <w:b/>
        </w:rPr>
        <w:t>22.</w:t>
      </w:r>
      <w:r>
        <w:rPr>
          <w:rFonts w:ascii="宋体" w:hAnsi="宋体"/>
          <w:b/>
        </w:rPr>
        <w:t>转让和分包</w:t>
      </w:r>
    </w:p>
    <w:p>
      <w:pPr>
        <w:spacing w:line="360" w:lineRule="auto"/>
        <w:ind w:firstLine="480"/>
        <w:rPr>
          <w:rFonts w:ascii="宋体" w:hAnsi="宋体"/>
        </w:rPr>
      </w:pPr>
      <w:r>
        <w:rPr>
          <w:rFonts w:hint="eastAsia" w:ascii="宋体" w:hAnsi="宋体"/>
        </w:rPr>
        <w:t>22.1</w:t>
      </w:r>
      <w:r>
        <w:rPr>
          <w:rFonts w:ascii="宋体" w:hAnsi="宋体"/>
        </w:rPr>
        <w:t>政府采购合同不能转让。</w:t>
      </w:r>
    </w:p>
    <w:p>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pPr>
        <w:spacing w:line="360" w:lineRule="auto"/>
        <w:ind w:firstLine="482"/>
        <w:rPr>
          <w:rFonts w:ascii="宋体" w:hAnsi="宋体"/>
          <w:b/>
        </w:rPr>
      </w:pPr>
      <w:r>
        <w:rPr>
          <w:rFonts w:hint="eastAsia" w:ascii="宋体" w:hAnsi="宋体"/>
          <w:b/>
        </w:rPr>
        <w:t>23.</w:t>
      </w:r>
      <w:r>
        <w:rPr>
          <w:rFonts w:ascii="宋体" w:hAnsi="宋体"/>
          <w:b/>
          <w:u w:color="FF0000"/>
        </w:rPr>
        <w:t>合同修改</w:t>
      </w:r>
    </w:p>
    <w:p>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rPr>
      </w:pPr>
      <w:r>
        <w:rPr>
          <w:rFonts w:hint="eastAsia" w:ascii="宋体" w:hAnsi="宋体"/>
          <w:b/>
        </w:rPr>
        <w:t>24.</w:t>
      </w:r>
      <w:r>
        <w:rPr>
          <w:rFonts w:ascii="宋体" w:hAnsi="宋体"/>
          <w:b/>
        </w:rPr>
        <w:t>通知</w:t>
      </w:r>
    </w:p>
    <w:p>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pPr>
        <w:spacing w:line="360" w:lineRule="auto"/>
        <w:ind w:firstLine="482"/>
        <w:rPr>
          <w:rFonts w:ascii="宋体" w:hAnsi="宋体"/>
          <w:b/>
        </w:rPr>
      </w:pPr>
      <w:r>
        <w:rPr>
          <w:rFonts w:hint="eastAsia" w:ascii="宋体" w:hAnsi="宋体"/>
          <w:b/>
        </w:rPr>
        <w:t>25.</w:t>
      </w:r>
      <w:r>
        <w:rPr>
          <w:rFonts w:ascii="宋体" w:hAnsi="宋体"/>
          <w:b/>
        </w:rPr>
        <w:t>计量单位</w:t>
      </w:r>
    </w:p>
    <w:p>
      <w:pPr>
        <w:spacing w:line="360" w:lineRule="auto"/>
        <w:ind w:firstLine="480"/>
        <w:rPr>
          <w:rFonts w:ascii="宋体" w:hAnsi="宋体"/>
        </w:rPr>
      </w:pPr>
      <w:r>
        <w:rPr>
          <w:rFonts w:ascii="宋体" w:hAnsi="宋体"/>
        </w:rPr>
        <w:t>除技术规范中另有规定外</w:t>
      </w:r>
      <w:r>
        <w:rPr>
          <w:rFonts w:hint="eastAsia" w:ascii="宋体" w:hAnsi="宋体"/>
        </w:rPr>
        <w:t>，</w:t>
      </w:r>
      <w:r>
        <w:rPr>
          <w:rFonts w:ascii="宋体" w:hAnsi="宋体"/>
        </w:rPr>
        <w:t>计量单位均使用国家法定计量单位。</w:t>
      </w:r>
    </w:p>
    <w:p>
      <w:pPr>
        <w:spacing w:line="360" w:lineRule="auto"/>
        <w:ind w:firstLine="482"/>
        <w:rPr>
          <w:rFonts w:ascii="宋体" w:hAnsi="宋体"/>
          <w:b/>
        </w:rPr>
      </w:pPr>
      <w:r>
        <w:rPr>
          <w:rFonts w:hint="eastAsia" w:ascii="宋体" w:hAnsi="宋体"/>
          <w:b/>
        </w:rPr>
        <w:t>26.</w:t>
      </w:r>
      <w:r>
        <w:rPr>
          <w:rFonts w:ascii="宋体" w:hAnsi="宋体"/>
          <w:b/>
        </w:rPr>
        <w:t>适用法律</w:t>
      </w:r>
    </w:p>
    <w:p>
      <w:pPr>
        <w:spacing w:line="360" w:lineRule="auto"/>
        <w:ind w:firstLine="480"/>
        <w:rPr>
          <w:rFonts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pPr>
        <w:keepNext/>
        <w:keepLines/>
        <w:widowControl/>
        <w:snapToGrid w:val="0"/>
        <w:spacing w:line="400" w:lineRule="atLeast"/>
        <w:ind w:firstLine="1452" w:firstLineChars="605"/>
        <w:outlineLvl w:val="0"/>
        <w:rPr>
          <w:rFonts w:ascii="宋体"/>
          <w:b/>
          <w:kern w:val="28"/>
          <w:sz w:val="36"/>
          <w:szCs w:val="20"/>
        </w:rPr>
      </w:pPr>
      <w:bookmarkStart w:id="121" w:name="_Toc376936767"/>
      <w:bookmarkStart w:id="122" w:name="_Toc325726036"/>
      <w:r>
        <w:rPr>
          <w:rFonts w:ascii="宋体" w:hAnsi="宋体"/>
        </w:rPr>
        <w:br w:type="page"/>
      </w:r>
    </w:p>
    <w:p>
      <w:pPr>
        <w:keepNext/>
        <w:keepLines/>
        <w:widowControl/>
        <w:snapToGrid w:val="0"/>
        <w:spacing w:line="400" w:lineRule="atLeast"/>
        <w:ind w:firstLine="2187" w:firstLineChars="605"/>
        <w:outlineLvl w:val="0"/>
        <w:rPr>
          <w:rFonts w:ascii="宋体"/>
          <w:b/>
          <w:kern w:val="28"/>
          <w:sz w:val="36"/>
          <w:szCs w:val="20"/>
        </w:rPr>
      </w:pPr>
      <w:bookmarkStart w:id="123" w:name="_Toc82441622"/>
      <w:r>
        <w:rPr>
          <w:rFonts w:hint="eastAsia" w:ascii="宋体"/>
          <w:b/>
          <w:kern w:val="28"/>
          <w:sz w:val="36"/>
          <w:szCs w:val="20"/>
        </w:rPr>
        <w:t>第四部分</w:t>
      </w:r>
      <w:r>
        <w:rPr>
          <w:rFonts w:ascii="宋体"/>
          <w:b/>
          <w:kern w:val="28"/>
          <w:sz w:val="36"/>
          <w:szCs w:val="20"/>
        </w:rPr>
        <w:t xml:space="preserve">  </w:t>
      </w:r>
      <w:bookmarkEnd w:id="121"/>
      <w:bookmarkEnd w:id="122"/>
      <w:r>
        <w:rPr>
          <w:rFonts w:hint="eastAsia" w:ascii="宋体"/>
          <w:b/>
          <w:kern w:val="28"/>
          <w:sz w:val="36"/>
          <w:szCs w:val="20"/>
        </w:rPr>
        <w:t>投标文件格式</w:t>
      </w:r>
      <w:bookmarkEnd w:id="123"/>
    </w:p>
    <w:p>
      <w:pPr>
        <w:keepNext/>
        <w:keepLines/>
        <w:widowControl/>
        <w:snapToGrid w:val="0"/>
        <w:spacing w:line="400" w:lineRule="atLeast"/>
        <w:ind w:firstLine="0" w:firstLineChars="0"/>
        <w:outlineLvl w:val="0"/>
        <w:rPr>
          <w:rFonts w:ascii="宋体"/>
          <w:b/>
          <w:kern w:val="28"/>
          <w:sz w:val="36"/>
          <w:szCs w:val="20"/>
        </w:rPr>
      </w:pPr>
    </w:p>
    <w:p>
      <w:pPr>
        <w:keepNext/>
        <w:keepLines/>
        <w:widowControl/>
        <w:snapToGrid w:val="0"/>
        <w:spacing w:line="400" w:lineRule="atLeast"/>
        <w:ind w:firstLine="0" w:firstLineChars="0"/>
        <w:jc w:val="center"/>
        <w:outlineLvl w:val="0"/>
        <w:rPr>
          <w:rFonts w:ascii="宋体"/>
          <w:b/>
          <w:kern w:val="28"/>
          <w:sz w:val="36"/>
          <w:szCs w:val="20"/>
        </w:rPr>
      </w:pPr>
      <w:bookmarkStart w:id="124" w:name="_Toc82441623"/>
      <w:r>
        <w:rPr>
          <w:rFonts w:hint="eastAsia" w:ascii="宋体"/>
          <w:b/>
          <w:kern w:val="28"/>
          <w:sz w:val="36"/>
          <w:szCs w:val="20"/>
        </w:rPr>
        <w:t>投标文件的组成</w:t>
      </w:r>
      <w:bookmarkEnd w:id="124"/>
    </w:p>
    <w:p>
      <w:pPr>
        <w:spacing w:line="500" w:lineRule="exact"/>
        <w:ind w:firstLine="480"/>
        <w:rPr>
          <w:rFonts w:ascii="宋体" w:hAnsi="宋体"/>
        </w:rPr>
      </w:pPr>
      <w:r>
        <w:rPr>
          <w:rFonts w:hint="eastAsia" w:ascii="宋体" w:hAnsi="宋体"/>
        </w:rPr>
        <w:t>（一）资格审查部分</w:t>
      </w:r>
    </w:p>
    <w:p>
      <w:pPr>
        <w:spacing w:line="500" w:lineRule="exact"/>
        <w:ind w:firstLine="480"/>
        <w:rPr>
          <w:rFonts w:ascii="宋体" w:hAnsi="宋体"/>
        </w:rPr>
      </w:pPr>
      <w:r>
        <w:rPr>
          <w:rFonts w:hint="eastAsia" w:ascii="宋体" w:hAnsi="宋体"/>
        </w:rPr>
        <w:t>1、投标函……………………………………………………………（附件1）</w:t>
      </w:r>
    </w:p>
    <w:p>
      <w:pPr>
        <w:spacing w:line="500" w:lineRule="exact"/>
        <w:ind w:firstLine="480"/>
        <w:rPr>
          <w:rFonts w:ascii="宋体" w:hAnsi="宋体"/>
        </w:rPr>
      </w:pPr>
      <w:r>
        <w:rPr>
          <w:rFonts w:hint="eastAsia" w:ascii="宋体" w:hAnsi="宋体"/>
        </w:rPr>
        <w:t>2、法定代表人证明书………………………………………………（附件2）</w:t>
      </w:r>
    </w:p>
    <w:p>
      <w:pPr>
        <w:spacing w:line="500" w:lineRule="exact"/>
        <w:ind w:firstLine="480"/>
        <w:rPr>
          <w:rFonts w:ascii="宋体" w:hAnsi="宋体"/>
        </w:rPr>
      </w:pPr>
      <w:r>
        <w:rPr>
          <w:rFonts w:hint="eastAsia" w:ascii="宋体" w:hAnsi="宋体"/>
        </w:rPr>
        <w:t>3、法定代表人授权书………………………………………………（附件3）</w:t>
      </w:r>
    </w:p>
    <w:p>
      <w:pPr>
        <w:spacing w:line="500" w:lineRule="exact"/>
        <w:ind w:firstLine="480"/>
        <w:rPr>
          <w:rFonts w:ascii="宋体" w:hAnsi="宋体"/>
        </w:rPr>
      </w:pPr>
      <w:r>
        <w:rPr>
          <w:rFonts w:hint="eastAsia" w:ascii="宋体" w:hAnsi="宋体"/>
        </w:rPr>
        <w:t>4、投标人承诺函……………………………………………………（附件4）</w:t>
      </w:r>
    </w:p>
    <w:p>
      <w:pPr>
        <w:spacing w:line="500" w:lineRule="exact"/>
        <w:ind w:firstLine="480"/>
        <w:rPr>
          <w:rFonts w:ascii="宋体" w:hAnsi="宋体"/>
        </w:rPr>
      </w:pPr>
      <w:r>
        <w:rPr>
          <w:rFonts w:hint="eastAsia" w:ascii="宋体" w:hAnsi="宋体"/>
        </w:rPr>
        <w:t>5、供应商诚信承诺书………………………………………………（附件5）</w:t>
      </w:r>
    </w:p>
    <w:p>
      <w:pPr>
        <w:spacing w:line="500" w:lineRule="exact"/>
        <w:ind w:firstLine="480"/>
        <w:rPr>
          <w:rFonts w:ascii="宋体" w:hAnsi="宋体"/>
        </w:rPr>
      </w:pPr>
      <w:r>
        <w:rPr>
          <w:rFonts w:hint="eastAsia" w:ascii="宋体" w:hAnsi="宋体"/>
        </w:rPr>
        <w:t>6、投标人资格证明文件……………………………………………（附件6）</w:t>
      </w:r>
    </w:p>
    <w:p>
      <w:pPr>
        <w:spacing w:line="500" w:lineRule="exact"/>
        <w:ind w:firstLine="480"/>
        <w:rPr>
          <w:rFonts w:ascii="宋体" w:hAnsi="宋体"/>
        </w:rPr>
      </w:pPr>
      <w:r>
        <w:rPr>
          <w:rFonts w:hint="eastAsia" w:ascii="宋体" w:hAnsi="宋体"/>
        </w:rPr>
        <w:t>7、财务状况、缴纳税收和社会保障资金证明……………………（附件7）</w:t>
      </w:r>
    </w:p>
    <w:p>
      <w:pPr>
        <w:spacing w:line="500" w:lineRule="exact"/>
        <w:ind w:firstLine="480"/>
        <w:rPr>
          <w:rFonts w:ascii="宋体" w:hAnsi="宋体"/>
        </w:rPr>
      </w:pPr>
      <w:r>
        <w:rPr>
          <w:rFonts w:hint="eastAsia" w:ascii="宋体" w:hAnsi="宋体"/>
        </w:rPr>
        <w:t>8、无重大违法记录声明……………………………………………（附件8）</w:t>
      </w:r>
    </w:p>
    <w:p>
      <w:pPr>
        <w:spacing w:line="500" w:lineRule="exact"/>
        <w:ind w:firstLine="480"/>
        <w:rPr>
          <w:rFonts w:ascii="宋体" w:hAnsi="宋体"/>
        </w:rPr>
      </w:pPr>
      <w:r>
        <w:rPr>
          <w:rFonts w:hint="eastAsia" w:ascii="宋体" w:hAnsi="宋体"/>
        </w:rPr>
        <w:t>9、投标保证金证明…………………………………………………（附件9）</w:t>
      </w:r>
    </w:p>
    <w:p>
      <w:pPr>
        <w:spacing w:line="500" w:lineRule="exact"/>
        <w:ind w:firstLine="480"/>
        <w:rPr>
          <w:rFonts w:ascii="宋体" w:hAnsi="宋体"/>
        </w:rPr>
      </w:pPr>
      <w:r>
        <w:rPr>
          <w:rFonts w:hint="eastAsia" w:ascii="宋体" w:hAnsi="宋体"/>
        </w:rPr>
        <w:t>（二）符合性审查部分</w:t>
      </w:r>
    </w:p>
    <w:p>
      <w:pPr>
        <w:spacing w:line="500" w:lineRule="exact"/>
        <w:ind w:firstLine="480"/>
        <w:rPr>
          <w:rFonts w:ascii="宋体" w:hAnsi="宋体"/>
        </w:rPr>
      </w:pPr>
      <w:r>
        <w:rPr>
          <w:rFonts w:hint="eastAsia" w:ascii="宋体" w:hAnsi="宋体"/>
        </w:rPr>
        <w:t>1、投标报价一览表…………………………………………………（附件10）</w:t>
      </w:r>
    </w:p>
    <w:p>
      <w:pPr>
        <w:spacing w:line="500" w:lineRule="exact"/>
        <w:ind w:firstLine="480"/>
        <w:rPr>
          <w:rFonts w:ascii="宋体" w:hAnsi="宋体"/>
        </w:rPr>
      </w:pPr>
      <w:r>
        <w:rPr>
          <w:rFonts w:hint="eastAsia" w:ascii="宋体" w:hAnsi="宋体"/>
        </w:rPr>
        <w:t>2、分项报价表………………………………………………………（附件11）</w:t>
      </w:r>
    </w:p>
    <w:p>
      <w:pPr>
        <w:spacing w:line="500" w:lineRule="exact"/>
        <w:ind w:firstLine="480"/>
        <w:rPr>
          <w:rFonts w:ascii="宋体" w:hAnsi="宋体"/>
        </w:rPr>
      </w:pPr>
      <w:r>
        <w:rPr>
          <w:rFonts w:hint="eastAsia" w:ascii="宋体" w:hAnsi="宋体"/>
        </w:rPr>
        <w:t>3、技术规格响应表…………………………………………………（附件12）</w:t>
      </w:r>
    </w:p>
    <w:p>
      <w:pPr>
        <w:spacing w:line="500" w:lineRule="exact"/>
        <w:ind w:firstLine="480"/>
        <w:rPr>
          <w:rFonts w:ascii="宋体" w:hAnsi="宋体"/>
        </w:rPr>
      </w:pPr>
      <w:r>
        <w:rPr>
          <w:rFonts w:hint="eastAsia" w:ascii="宋体" w:hAnsi="宋体"/>
        </w:rPr>
        <w:t>4、其他资格证明材料………………………………………………（附件13）</w:t>
      </w:r>
    </w:p>
    <w:p>
      <w:pPr>
        <w:spacing w:line="500" w:lineRule="exact"/>
        <w:ind w:firstLine="480"/>
        <w:rPr>
          <w:rFonts w:ascii="宋体" w:hAnsi="宋体"/>
        </w:rPr>
      </w:pPr>
      <w:r>
        <w:rPr>
          <w:rFonts w:hint="eastAsia" w:ascii="宋体" w:hAnsi="宋体"/>
        </w:rPr>
        <w:t>5、投标产品相关资料………………………………………………（附件14）</w:t>
      </w:r>
    </w:p>
    <w:p>
      <w:pPr>
        <w:spacing w:line="500" w:lineRule="exact"/>
        <w:ind w:firstLine="480"/>
        <w:rPr>
          <w:rFonts w:ascii="宋体" w:hAnsi="宋体"/>
        </w:rPr>
      </w:pPr>
      <w:r>
        <w:rPr>
          <w:rFonts w:hint="eastAsia" w:ascii="宋体" w:hAnsi="宋体"/>
        </w:rPr>
        <w:t>6、投标人类似业绩证明材料………………………………………（附件15）</w:t>
      </w:r>
    </w:p>
    <w:p>
      <w:pPr>
        <w:spacing w:line="500" w:lineRule="exact"/>
        <w:ind w:firstLine="480"/>
        <w:rPr>
          <w:rFonts w:ascii="宋体" w:hAnsi="宋体"/>
        </w:rPr>
      </w:pPr>
      <w:r>
        <w:rPr>
          <w:rFonts w:hint="eastAsia" w:ascii="宋体" w:hAnsi="宋体"/>
        </w:rPr>
        <w:t>7、中小企业声明函……………………………………………………（附件16）</w:t>
      </w:r>
    </w:p>
    <w:p>
      <w:pPr>
        <w:spacing w:line="500" w:lineRule="exact"/>
        <w:ind w:firstLine="480"/>
        <w:rPr>
          <w:rFonts w:ascii="宋体" w:hAnsi="宋体"/>
        </w:rPr>
      </w:pPr>
      <w:r>
        <w:rPr>
          <w:rFonts w:hint="eastAsia" w:ascii="宋体" w:hAnsi="宋体"/>
        </w:rPr>
        <w:t>8、残疾人福利性单位声明函………………………………………（附件17）</w:t>
      </w:r>
    </w:p>
    <w:p>
      <w:pPr>
        <w:spacing w:line="500" w:lineRule="exact"/>
        <w:ind w:firstLine="480"/>
        <w:rPr>
          <w:rFonts w:ascii="宋体" w:hAnsi="宋体"/>
        </w:rPr>
      </w:pPr>
      <w:r>
        <w:rPr>
          <w:rFonts w:hint="eastAsia" w:ascii="宋体" w:hAnsi="宋体"/>
        </w:rPr>
        <w:t>9、项目管理实施方案及售后服务…………………………………（附件18）</w:t>
      </w:r>
    </w:p>
    <w:p>
      <w:pPr>
        <w:spacing w:line="500" w:lineRule="exact"/>
        <w:ind w:firstLine="480"/>
        <w:rPr>
          <w:rFonts w:ascii="宋体" w:hAnsi="宋体"/>
        </w:rPr>
      </w:pPr>
      <w:r>
        <w:rPr>
          <w:rFonts w:hint="eastAsia" w:ascii="宋体" w:hAnsi="宋体"/>
        </w:rPr>
        <w:t>10、投标人认为在其他方面有必要说明的事项……………………（附件19）</w:t>
      </w:r>
    </w:p>
    <w:p>
      <w:pPr>
        <w:widowControl/>
        <w:snapToGrid w:val="0"/>
        <w:spacing w:line="360" w:lineRule="auto"/>
        <w:ind w:firstLine="0" w:firstLineChars="0"/>
        <w:jc w:val="left"/>
        <w:outlineLvl w:val="1"/>
        <w:rPr>
          <w:rFonts w:ascii="宋体"/>
          <w:b/>
          <w:sz w:val="28"/>
          <w:szCs w:val="28"/>
        </w:rPr>
      </w:pPr>
      <w:r>
        <w:rPr>
          <w:rFonts w:ascii="宋体"/>
          <w:b/>
          <w:sz w:val="28"/>
          <w:szCs w:val="28"/>
        </w:rPr>
        <w:br w:type="page"/>
      </w:r>
      <w:bookmarkStart w:id="125" w:name="_Toc82441624"/>
      <w:r>
        <w:rPr>
          <w:rFonts w:hint="eastAsia" w:ascii="宋体"/>
          <w:b/>
          <w:sz w:val="28"/>
          <w:szCs w:val="28"/>
        </w:rPr>
        <w:t>（投标文件封面）</w:t>
      </w:r>
      <w:bookmarkEnd w:id="125"/>
    </w:p>
    <w:p>
      <w:pPr>
        <w:spacing w:line="360" w:lineRule="auto"/>
        <w:ind w:firstLine="2088" w:firstLineChars="400"/>
        <w:rPr>
          <w:rFonts w:ascii="仿宋_GB2312" w:hAnsi="宋体" w:eastAsia="仿宋_GB2312"/>
          <w:b/>
          <w:sz w:val="52"/>
          <w:szCs w:val="52"/>
        </w:rPr>
      </w:pPr>
    </w:p>
    <w:p>
      <w:pPr>
        <w:spacing w:line="360" w:lineRule="auto"/>
        <w:ind w:firstLine="2088" w:firstLineChars="400"/>
        <w:rPr>
          <w:rFonts w:ascii="仿宋_GB2312" w:hAnsi="宋体" w:eastAsia="仿宋_GB2312"/>
          <w:b/>
          <w:sz w:val="52"/>
          <w:szCs w:val="52"/>
        </w:rPr>
      </w:pPr>
      <w:r>
        <w:rPr>
          <w:rFonts w:hint="eastAsia" w:ascii="仿宋_GB2312" w:hAnsi="宋体" w:eastAsia="仿宋_GB2312"/>
          <w:b/>
          <w:sz w:val="52"/>
          <w:szCs w:val="52"/>
        </w:rPr>
        <w:t>青海省政府采购项目</w:t>
      </w:r>
    </w:p>
    <w:p>
      <w:pPr>
        <w:spacing w:line="360" w:lineRule="auto"/>
        <w:ind w:firstLine="2833" w:firstLineChars="392"/>
        <w:rPr>
          <w:rFonts w:ascii="宋体" w:hAnsi="宋体"/>
          <w:b/>
          <w:sz w:val="72"/>
          <w:szCs w:val="72"/>
        </w:rPr>
      </w:pPr>
    </w:p>
    <w:p>
      <w:pPr>
        <w:spacing w:line="360" w:lineRule="auto"/>
        <w:ind w:firstLine="2364" w:firstLineChars="327"/>
        <w:rPr>
          <w:rFonts w:ascii="宋体" w:hAnsi="宋体"/>
          <w:sz w:val="72"/>
          <w:szCs w:val="72"/>
        </w:rPr>
      </w:pPr>
      <w:r>
        <w:rPr>
          <w:rFonts w:hint="eastAsia" w:ascii="宋体" w:hAnsi="宋体"/>
          <w:b/>
          <w:sz w:val="72"/>
          <w:szCs w:val="72"/>
        </w:rPr>
        <w:t>投 标 文 件</w:t>
      </w:r>
    </w:p>
    <w:p>
      <w:pPr>
        <w:adjustRightInd w:val="0"/>
        <w:spacing w:line="360" w:lineRule="auto"/>
        <w:ind w:firstLine="0" w:firstLineChars="0"/>
        <w:jc w:val="center"/>
        <w:textAlignment w:val="baseline"/>
        <w:rPr>
          <w:rFonts w:ascii="宋体" w:hAnsi="宋体"/>
          <w:b/>
          <w:bCs/>
          <w:sz w:val="36"/>
          <w:szCs w:val="36"/>
        </w:rPr>
      </w:pPr>
      <w:r>
        <w:rPr>
          <w:rFonts w:hint="eastAsia" w:ascii="宋体" w:hAnsi="宋体"/>
          <w:b/>
          <w:bCs/>
          <w:sz w:val="36"/>
          <w:szCs w:val="36"/>
        </w:rPr>
        <w:t>（资格审查部分）</w:t>
      </w:r>
    </w:p>
    <w:p>
      <w:pPr>
        <w:adjustRightInd w:val="0"/>
        <w:spacing w:line="360" w:lineRule="auto"/>
        <w:ind w:firstLine="0" w:firstLineChars="0"/>
        <w:textAlignment w:val="baseline"/>
        <w:rPr>
          <w:rFonts w:ascii="宋体" w:hAnsi="宋体"/>
          <w:b/>
          <w:bCs/>
          <w:sz w:val="32"/>
        </w:rPr>
      </w:pPr>
    </w:p>
    <w:p>
      <w:pPr>
        <w:adjustRightInd w:val="0"/>
        <w:spacing w:line="360" w:lineRule="auto"/>
        <w:ind w:firstLine="0" w:firstLineChars="0"/>
        <w:textAlignment w:val="baseline"/>
        <w:rPr>
          <w:rFonts w:ascii="宋体" w:hAnsi="宋体"/>
          <w:b/>
          <w:bCs/>
          <w:sz w:val="32"/>
        </w:rPr>
      </w:pPr>
    </w:p>
    <w:p>
      <w:pPr>
        <w:adjustRightInd w:val="0"/>
        <w:spacing w:line="360" w:lineRule="auto"/>
        <w:ind w:left="-1" w:leftChars="-118" w:hanging="282" w:hangingChars="78"/>
        <w:textAlignment w:val="baseline"/>
        <w:rPr>
          <w:rFonts w:ascii="宋体" w:hAnsi="宋体"/>
          <w:b/>
          <w:bCs/>
          <w:sz w:val="36"/>
          <w:szCs w:val="36"/>
        </w:rPr>
      </w:pPr>
    </w:p>
    <w:p>
      <w:pPr>
        <w:adjustRightInd w:val="0"/>
        <w:spacing w:line="360" w:lineRule="auto"/>
        <w:ind w:left="-1" w:leftChars="-118" w:hanging="282" w:hangingChars="78"/>
        <w:textAlignment w:val="baseline"/>
        <w:rPr>
          <w:rFonts w:ascii="宋体" w:hAnsi="宋体"/>
          <w:b/>
          <w:bCs/>
          <w:sz w:val="36"/>
          <w:szCs w:val="36"/>
        </w:rPr>
      </w:pPr>
    </w:p>
    <w:p>
      <w:pPr>
        <w:adjustRightInd w:val="0"/>
        <w:spacing w:line="360" w:lineRule="auto"/>
        <w:ind w:left="-1" w:leftChars="-118" w:hanging="282" w:hangingChars="78"/>
        <w:textAlignment w:val="baseline"/>
        <w:rPr>
          <w:rFonts w:ascii="宋体" w:hAnsi="宋体"/>
          <w:b/>
          <w:bCs/>
          <w:sz w:val="36"/>
          <w:szCs w:val="36"/>
        </w:rPr>
      </w:pPr>
    </w:p>
    <w:p>
      <w:pPr>
        <w:adjustRightInd w:val="0"/>
        <w:spacing w:line="360" w:lineRule="auto"/>
        <w:ind w:left="-62" w:leftChars="-68" w:hanging="101" w:hangingChars="28"/>
        <w:textAlignment w:val="baseline"/>
        <w:rPr>
          <w:rFonts w:ascii="宋体" w:hAnsi="宋体"/>
          <w:b/>
          <w:sz w:val="36"/>
          <w:szCs w:val="36"/>
        </w:rPr>
      </w:pPr>
      <w:r>
        <w:rPr>
          <w:rFonts w:hint="eastAsia" w:ascii="宋体" w:hAnsi="宋体"/>
          <w:b/>
          <w:bCs/>
          <w:sz w:val="36"/>
          <w:szCs w:val="36"/>
        </w:rPr>
        <w:t>采购项目编号</w:t>
      </w:r>
      <w:r>
        <w:rPr>
          <w:rFonts w:hint="eastAsia" w:ascii="宋体" w:hAnsi="宋体"/>
          <w:b/>
          <w:sz w:val="36"/>
          <w:szCs w:val="36"/>
        </w:rPr>
        <w:t>：青政采公招（货物）2022-055号</w:t>
      </w:r>
    </w:p>
    <w:p>
      <w:pPr>
        <w:adjustRightInd w:val="0"/>
        <w:spacing w:line="360" w:lineRule="auto"/>
        <w:ind w:left="2273" w:leftChars="-68" w:hanging="2436" w:hangingChars="674"/>
        <w:textAlignment w:val="baseline"/>
        <w:rPr>
          <w:rFonts w:ascii="宋体" w:hAnsi="宋体"/>
          <w:b/>
          <w:bCs/>
          <w:sz w:val="36"/>
          <w:szCs w:val="36"/>
        </w:rPr>
      </w:pPr>
      <w:r>
        <w:rPr>
          <w:rFonts w:hint="eastAsia" w:ascii="宋体" w:hAnsi="宋体"/>
          <w:b/>
          <w:bCs/>
          <w:sz w:val="36"/>
          <w:szCs w:val="36"/>
        </w:rPr>
        <w:t>采购项目名称：</w:t>
      </w:r>
      <w:r>
        <w:rPr>
          <w:rFonts w:hint="eastAsia" w:ascii="宋体" w:hAnsi="宋体"/>
          <w:b/>
          <w:sz w:val="36"/>
          <w:szCs w:val="36"/>
        </w:rPr>
        <w:t>青海大学教学基本条件改善采购项目</w:t>
      </w:r>
    </w:p>
    <w:p>
      <w:pPr>
        <w:adjustRightInd w:val="0"/>
        <w:spacing w:line="360" w:lineRule="auto"/>
        <w:ind w:left="-283" w:leftChars="-118" w:firstLine="181" w:firstLineChars="50"/>
        <w:textAlignment w:val="baseline"/>
        <w:rPr>
          <w:rFonts w:ascii="宋体" w:hAnsi="宋体"/>
          <w:b/>
          <w:bCs/>
          <w:sz w:val="36"/>
          <w:szCs w:val="36"/>
        </w:rPr>
      </w:pPr>
      <w:r>
        <w:rPr>
          <w:rFonts w:hint="eastAsia" w:ascii="宋体" w:hAnsi="宋体"/>
          <w:b/>
          <w:bCs/>
          <w:sz w:val="36"/>
          <w:szCs w:val="36"/>
        </w:rPr>
        <w:t>所 投 包 号：</w:t>
      </w:r>
    </w:p>
    <w:p>
      <w:pPr>
        <w:adjustRightInd w:val="0"/>
        <w:spacing w:line="360" w:lineRule="auto"/>
        <w:ind w:firstLine="0" w:firstLineChars="0"/>
        <w:textAlignment w:val="baseline"/>
        <w:rPr>
          <w:rFonts w:ascii="宋体" w:hAnsi="宋体"/>
          <w:b/>
          <w:bCs/>
          <w:sz w:val="36"/>
          <w:szCs w:val="36"/>
        </w:rPr>
      </w:pPr>
    </w:p>
    <w:p>
      <w:pPr>
        <w:adjustRightInd w:val="0"/>
        <w:spacing w:line="360" w:lineRule="auto"/>
        <w:ind w:firstLine="0" w:firstLineChars="0"/>
        <w:textAlignment w:val="baseline"/>
        <w:rPr>
          <w:rFonts w:ascii="宋体" w:hAnsi="宋体"/>
          <w:b/>
          <w:bCs/>
          <w:sz w:val="36"/>
          <w:szCs w:val="36"/>
        </w:rPr>
      </w:pPr>
    </w:p>
    <w:p>
      <w:pPr>
        <w:adjustRightInd w:val="0"/>
        <w:spacing w:line="360" w:lineRule="auto"/>
        <w:ind w:left="-283" w:leftChars="-118" w:firstLine="1" w:firstLineChars="0"/>
        <w:jc w:val="center"/>
        <w:textAlignment w:val="baseline"/>
        <w:rPr>
          <w:rFonts w:ascii="宋体" w:hAnsi="宋体"/>
          <w:b/>
          <w:sz w:val="36"/>
          <w:szCs w:val="36"/>
        </w:rPr>
      </w:pPr>
      <w:r>
        <w:rPr>
          <w:rFonts w:hint="eastAsia" w:ascii="宋体" w:hAnsi="宋体"/>
          <w:b/>
          <w:bCs/>
          <w:sz w:val="36"/>
          <w:szCs w:val="36"/>
        </w:rPr>
        <w:t>投标单位</w:t>
      </w:r>
      <w:r>
        <w:rPr>
          <w:rFonts w:hint="eastAsia" w:ascii="宋体" w:hAnsi="宋体"/>
          <w:b/>
          <w:sz w:val="36"/>
          <w:szCs w:val="36"/>
        </w:rPr>
        <w:t>：</w:t>
      </w:r>
    </w:p>
    <w:p>
      <w:pPr>
        <w:spacing w:line="360" w:lineRule="auto"/>
        <w:ind w:firstLine="3090" w:firstLineChars="962"/>
        <w:rPr>
          <w:rFonts w:ascii="宋体" w:hAnsi="宋体"/>
          <w:b/>
          <w:sz w:val="32"/>
        </w:rPr>
      </w:pPr>
      <w:r>
        <w:rPr>
          <w:rFonts w:hint="eastAsia" w:ascii="宋体" w:hAnsi="宋体"/>
          <w:b/>
          <w:sz w:val="32"/>
        </w:rPr>
        <w:t>年  月  日</w:t>
      </w:r>
    </w:p>
    <w:p>
      <w:pPr>
        <w:widowControl/>
        <w:snapToGrid w:val="0"/>
        <w:spacing w:line="360" w:lineRule="auto"/>
        <w:ind w:firstLine="0" w:firstLineChars="0"/>
        <w:jc w:val="left"/>
        <w:outlineLvl w:val="1"/>
        <w:rPr>
          <w:rFonts w:ascii="宋体"/>
          <w:b/>
          <w:sz w:val="28"/>
          <w:szCs w:val="28"/>
        </w:rPr>
      </w:pPr>
      <w:r>
        <w:rPr>
          <w:rFonts w:ascii="宋体"/>
          <w:b/>
          <w:sz w:val="28"/>
          <w:szCs w:val="28"/>
        </w:rPr>
        <w:br w:type="page"/>
      </w:r>
      <w:bookmarkStart w:id="126" w:name="_Toc82441625"/>
      <w:r>
        <w:rPr>
          <w:rFonts w:hint="eastAsia" w:ascii="宋体"/>
          <w:b/>
          <w:sz w:val="28"/>
          <w:szCs w:val="28"/>
        </w:rPr>
        <w:t>附件</w:t>
      </w:r>
      <w:bookmarkStart w:id="127" w:name="_Toc325726037"/>
      <w:bookmarkStart w:id="128" w:name="_Toc376936768"/>
      <w:r>
        <w:rPr>
          <w:rFonts w:hint="eastAsia" w:ascii="宋体"/>
          <w:b/>
          <w:sz w:val="28"/>
          <w:szCs w:val="28"/>
        </w:rPr>
        <w:t>1：投 标 函</w:t>
      </w:r>
      <w:bookmarkEnd w:id="126"/>
      <w:bookmarkEnd w:id="127"/>
      <w:bookmarkEnd w:id="128"/>
    </w:p>
    <w:p>
      <w:pPr>
        <w:ind w:firstLine="3813" w:firstLineChars="1055"/>
        <w:rPr>
          <w:rFonts w:ascii="宋体" w:hAnsi="宋体"/>
          <w:b/>
          <w:sz w:val="36"/>
          <w:szCs w:val="36"/>
        </w:rPr>
      </w:pPr>
    </w:p>
    <w:p>
      <w:pPr>
        <w:ind w:firstLine="3813" w:firstLineChars="1055"/>
        <w:rPr>
          <w:rFonts w:ascii="宋体" w:hAnsi="宋体"/>
          <w:b/>
          <w:sz w:val="36"/>
          <w:szCs w:val="36"/>
        </w:rPr>
      </w:pPr>
      <w:r>
        <w:rPr>
          <w:rFonts w:hint="eastAsia" w:ascii="宋体" w:hAnsi="宋体"/>
          <w:b/>
          <w:sz w:val="36"/>
          <w:szCs w:val="36"/>
        </w:rPr>
        <w:t>投标函</w:t>
      </w:r>
    </w:p>
    <w:p>
      <w:pPr>
        <w:adjustRightInd w:val="0"/>
        <w:ind w:firstLine="0" w:firstLineChars="0"/>
        <w:textAlignment w:val="baseline"/>
        <w:rPr>
          <w:rFonts w:ascii="宋体" w:hAnsi="宋体"/>
          <w:b/>
        </w:rPr>
      </w:pPr>
      <w:r>
        <w:rPr>
          <w:rFonts w:hint="eastAsia" w:ascii="宋体" w:hAnsi="宋体"/>
          <w:b/>
        </w:rPr>
        <w:t>致：青海省政府采购中心</w:t>
      </w:r>
    </w:p>
    <w:p>
      <w:pPr>
        <w:adjustRightInd w:val="0"/>
        <w:ind w:firstLine="480"/>
        <w:textAlignment w:val="baseline"/>
        <w:rPr>
          <w:rFonts w:ascii="宋体" w:hAnsi="宋体"/>
        </w:rPr>
      </w:pPr>
    </w:p>
    <w:p>
      <w:pPr>
        <w:adjustRightInd w:val="0"/>
        <w:ind w:firstLine="480"/>
        <w:textAlignment w:val="baseline"/>
        <w:rPr>
          <w:rFonts w:ascii="宋体" w:hAnsi="宋体"/>
        </w:rPr>
      </w:pPr>
      <w:r>
        <w:rPr>
          <w:rFonts w:hint="eastAsia" w:ascii="宋体" w:hAnsi="宋体"/>
        </w:rPr>
        <w:t xml:space="preserve">我们收到青政采公招（货物）2022-055号招标文件，经研究，法定代表人（姓名、职务）正式授权（委托代理人姓名、职务）代表投标人（投标人名称、地址）提交投标文件。    </w:t>
      </w:r>
    </w:p>
    <w:p>
      <w:pPr>
        <w:adjustRightInd w:val="0"/>
        <w:ind w:firstLine="424" w:firstLineChars="177"/>
        <w:textAlignment w:val="baseline"/>
        <w:rPr>
          <w:rFonts w:ascii="宋体" w:hAnsi="宋体"/>
        </w:rPr>
      </w:pPr>
      <w:r>
        <w:rPr>
          <w:rFonts w:hint="eastAsia" w:ascii="宋体" w:hAnsi="宋体"/>
        </w:rPr>
        <w:t>据此函，签字代表宣布同意如下：</w:t>
      </w:r>
    </w:p>
    <w:p>
      <w:pPr>
        <w:adjustRightInd w:val="0"/>
        <w:ind w:firstLine="424" w:firstLineChars="177"/>
        <w:textAlignment w:val="baseline"/>
        <w:rPr>
          <w:rFonts w:ascii="宋体" w:hAnsi="宋体"/>
        </w:rPr>
      </w:pPr>
      <w:r>
        <w:rPr>
          <w:rFonts w:hint="eastAsia" w:ascii="宋体" w:hAnsi="宋体"/>
        </w:rPr>
        <w:t>1、我方已详阅招标文件的全部内容，包括澄清、修改条款等有关附件，承诺对其完全理解并接受。</w:t>
      </w:r>
    </w:p>
    <w:p>
      <w:pPr>
        <w:adjustRightInd w:val="0"/>
        <w:ind w:firstLine="424" w:firstLineChars="177"/>
        <w:textAlignment w:val="baseline"/>
        <w:rPr>
          <w:rFonts w:ascii="宋体" w:hAnsi="宋体"/>
        </w:rPr>
      </w:pPr>
      <w:r>
        <w:rPr>
          <w:rFonts w:hint="eastAsia" w:ascii="宋体" w:hAnsi="宋体"/>
        </w:rPr>
        <w:t>2、投标有效期自开标之日起60天内有效。如果在规定的开标时间后，我方在投标有效期内撤回投标或中标后不签订合同时的，投标保证金将被贵方没收。</w:t>
      </w:r>
    </w:p>
    <w:p>
      <w:pPr>
        <w:adjustRightInd w:val="0"/>
        <w:ind w:firstLine="424" w:firstLineChars="177"/>
        <w:textAlignment w:val="baseline"/>
        <w:rPr>
          <w:rFonts w:ascii="宋体" w:hAnsi="宋体"/>
        </w:rPr>
      </w:pPr>
      <w:r>
        <w:rPr>
          <w:rFonts w:hint="eastAsia" w:ascii="宋体" w:hAnsi="宋体"/>
        </w:rPr>
        <w:t>3、我方同意按照贵方要求提供与投标有关的一切数据或资料，理解并接受贵方制定的评标办法。</w:t>
      </w:r>
    </w:p>
    <w:p>
      <w:pPr>
        <w:adjustRightInd w:val="0"/>
        <w:ind w:firstLine="424" w:firstLineChars="177"/>
        <w:textAlignment w:val="baseline"/>
        <w:rPr>
          <w:rFonts w:ascii="宋体" w:hAnsi="宋体"/>
        </w:rPr>
      </w:pPr>
      <w:r>
        <w:rPr>
          <w:rFonts w:hint="eastAsia" w:ascii="宋体" w:hAnsi="宋体"/>
        </w:rPr>
        <w:t>4、与本投标有关的一切正式往来通讯请寄：</w:t>
      </w:r>
    </w:p>
    <w:p>
      <w:pPr>
        <w:adjustRightInd w:val="0"/>
        <w:ind w:firstLine="424" w:firstLineChars="177"/>
        <w:textAlignment w:val="baseline"/>
        <w:rPr>
          <w:rFonts w:ascii="宋体" w:hAnsi="宋体"/>
        </w:rPr>
      </w:pPr>
      <w:r>
        <w:rPr>
          <w:rFonts w:hint="eastAsia" w:ascii="宋体" w:hAnsi="宋体"/>
        </w:rPr>
        <w:t>地址：_______________   邮编：______________</w:t>
      </w:r>
    </w:p>
    <w:p>
      <w:pPr>
        <w:adjustRightInd w:val="0"/>
        <w:ind w:firstLine="424" w:firstLineChars="177"/>
        <w:textAlignment w:val="baseline"/>
        <w:rPr>
          <w:rFonts w:ascii="宋体" w:hAnsi="宋体"/>
        </w:rPr>
      </w:pPr>
      <w:r>
        <w:rPr>
          <w:rFonts w:hint="eastAsia" w:ascii="宋体" w:hAnsi="宋体"/>
        </w:rPr>
        <w:t>电话：_______________   传真：______________</w:t>
      </w:r>
    </w:p>
    <w:p>
      <w:pPr>
        <w:adjustRightInd w:val="0"/>
        <w:ind w:firstLine="424" w:firstLineChars="177"/>
        <w:textAlignment w:val="baseline"/>
        <w:rPr>
          <w:rFonts w:ascii="宋体" w:hAnsi="宋体"/>
        </w:rPr>
      </w:pPr>
      <w:r>
        <w:rPr>
          <w:rFonts w:hint="eastAsia" w:ascii="宋体" w:hAnsi="宋体"/>
        </w:rPr>
        <w:t>法定代表人姓名： ___________ 职务：____________</w:t>
      </w:r>
    </w:p>
    <w:p>
      <w:pPr>
        <w:adjustRightInd w:val="0"/>
        <w:ind w:firstLine="480"/>
        <w:textAlignment w:val="baseline"/>
        <w:rPr>
          <w:rFonts w:ascii="宋体" w:hAnsi="宋体"/>
        </w:rPr>
      </w:pPr>
    </w:p>
    <w:p>
      <w:pPr>
        <w:ind w:firstLine="480"/>
        <w:rPr>
          <w:rFonts w:ascii="宋体" w:hAnsi="宋体"/>
        </w:rPr>
      </w:pPr>
    </w:p>
    <w:p>
      <w:pPr>
        <w:ind w:firstLine="480"/>
        <w:rPr>
          <w:rFonts w:ascii="宋体" w:hAnsi="宋体"/>
        </w:rPr>
      </w:pPr>
    </w:p>
    <w:p>
      <w:pPr>
        <w:ind w:firstLine="560"/>
        <w:rPr>
          <w:rFonts w:ascii="宋体" w:hAnsi="宋体"/>
          <w:sz w:val="28"/>
          <w:szCs w:val="28"/>
        </w:rPr>
      </w:pPr>
    </w:p>
    <w:p>
      <w:pPr>
        <w:adjustRightInd w:val="0"/>
        <w:ind w:firstLine="560"/>
        <w:textAlignment w:val="baseline"/>
        <w:rPr>
          <w:rFonts w:ascii="仿宋_GB2312" w:hAnsi="宋体" w:eastAsia="仿宋_GB2312"/>
          <w:sz w:val="28"/>
          <w:szCs w:val="28"/>
        </w:rPr>
      </w:pPr>
    </w:p>
    <w:p>
      <w:pPr>
        <w:adjustRightInd w:val="0"/>
        <w:ind w:firstLine="560"/>
        <w:textAlignment w:val="baseline"/>
        <w:rPr>
          <w:rFonts w:ascii="仿宋_GB2312" w:hAnsi="宋体" w:eastAsia="仿宋_GB2312"/>
          <w:sz w:val="28"/>
          <w:szCs w:val="28"/>
        </w:rPr>
      </w:pPr>
    </w:p>
    <w:p>
      <w:pPr>
        <w:adjustRightInd w:val="0"/>
        <w:ind w:firstLine="560"/>
        <w:textAlignment w:val="baseline"/>
        <w:rPr>
          <w:rFonts w:ascii="仿宋_GB2312" w:hAnsi="宋体" w:eastAsia="仿宋_GB2312"/>
          <w:sz w:val="28"/>
          <w:szCs w:val="28"/>
        </w:rPr>
      </w:pPr>
    </w:p>
    <w:p>
      <w:pPr>
        <w:adjustRightInd w:val="0"/>
        <w:ind w:firstLine="0" w:firstLineChars="0"/>
        <w:textAlignment w:val="baseline"/>
        <w:rPr>
          <w:rFonts w:ascii="仿宋_GB2312" w:hAnsi="宋体" w:eastAsia="仿宋_GB2312"/>
          <w:sz w:val="28"/>
          <w:szCs w:val="28"/>
        </w:rPr>
      </w:pPr>
    </w:p>
    <w:p>
      <w:pPr>
        <w:adjustRightInd w:val="0"/>
        <w:ind w:firstLine="0" w:firstLineChars="0"/>
        <w:textAlignment w:val="baseline"/>
        <w:rPr>
          <w:rFonts w:ascii="仿宋_GB2312" w:hAnsi="宋体" w:eastAsia="仿宋_GB2312"/>
          <w:sz w:val="28"/>
          <w:szCs w:val="28"/>
        </w:rPr>
      </w:pPr>
    </w:p>
    <w:p>
      <w:pPr>
        <w:ind w:right="480" w:firstLine="482"/>
        <w:jc w:val="right"/>
        <w:rPr>
          <w:rFonts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right="1200" w:firstLine="482"/>
        <w:jc w:val="right"/>
        <w:rPr>
          <w:b/>
        </w:rPr>
      </w:pPr>
      <w:r>
        <w:rPr>
          <w:rFonts w:hint="eastAsia"/>
          <w:b/>
        </w:rPr>
        <w:t>年  月  日</w:t>
      </w:r>
    </w:p>
    <w:p>
      <w:pPr>
        <w:ind w:firstLine="482"/>
        <w:jc w:val="center"/>
        <w:rPr>
          <w:rFonts w:ascii="宋体" w:hAnsi="宋体"/>
          <w:b/>
        </w:rPr>
      </w:pPr>
    </w:p>
    <w:p>
      <w:pPr>
        <w:ind w:firstLine="482"/>
        <w:jc w:val="center"/>
        <w:rPr>
          <w:rFonts w:ascii="宋体" w:hAnsi="宋体"/>
          <w:b/>
        </w:rPr>
      </w:pPr>
    </w:p>
    <w:p>
      <w:pPr>
        <w:widowControl/>
        <w:snapToGrid w:val="0"/>
        <w:spacing w:line="360" w:lineRule="auto"/>
        <w:ind w:firstLine="0" w:firstLineChars="0"/>
        <w:outlineLvl w:val="1"/>
        <w:rPr>
          <w:rFonts w:hint="eastAsia" w:ascii="宋体"/>
          <w:b/>
          <w:sz w:val="28"/>
          <w:szCs w:val="28"/>
        </w:rPr>
      </w:pPr>
      <w:bookmarkStart w:id="129" w:name="_Toc82441626"/>
    </w:p>
    <w:p>
      <w:pPr>
        <w:widowControl/>
        <w:snapToGrid w:val="0"/>
        <w:spacing w:line="360" w:lineRule="auto"/>
        <w:ind w:firstLine="0" w:firstLineChars="0"/>
        <w:outlineLvl w:val="1"/>
        <w:rPr>
          <w:rFonts w:ascii="宋体"/>
          <w:b/>
          <w:sz w:val="28"/>
          <w:szCs w:val="28"/>
        </w:rPr>
      </w:pPr>
      <w:r>
        <w:rPr>
          <w:rFonts w:hint="eastAsia" w:ascii="宋体"/>
          <w:b/>
          <w:sz w:val="28"/>
          <w:szCs w:val="28"/>
        </w:rPr>
        <w:t>附件</w:t>
      </w:r>
      <w:bookmarkStart w:id="130" w:name="_Toc376936774"/>
      <w:bookmarkStart w:id="131" w:name="_Toc325726043"/>
      <w:bookmarkStart w:id="132" w:name="_Toc376936773"/>
      <w:bookmarkStart w:id="133" w:name="_Toc325726042"/>
      <w:r>
        <w:rPr>
          <w:rFonts w:hint="eastAsia" w:ascii="宋体"/>
          <w:b/>
          <w:sz w:val="28"/>
          <w:szCs w:val="28"/>
        </w:rPr>
        <w:t>2：法定代表人证明书</w:t>
      </w:r>
      <w:bookmarkEnd w:id="129"/>
      <w:bookmarkEnd w:id="130"/>
      <w:bookmarkEnd w:id="131"/>
    </w:p>
    <w:p>
      <w:pPr>
        <w:ind w:firstLine="723"/>
        <w:jc w:val="center"/>
        <w:rPr>
          <w:rFonts w:ascii="宋体" w:hAnsi="宋体"/>
          <w:b/>
          <w:bCs/>
          <w:sz w:val="36"/>
          <w:szCs w:val="36"/>
        </w:rPr>
      </w:pPr>
    </w:p>
    <w:p>
      <w:pPr>
        <w:ind w:firstLine="723"/>
        <w:jc w:val="center"/>
        <w:rPr>
          <w:rFonts w:ascii="宋体" w:hAnsi="宋体"/>
          <w:b/>
          <w:bCs/>
          <w:sz w:val="36"/>
          <w:szCs w:val="36"/>
        </w:rPr>
      </w:pPr>
      <w:r>
        <w:rPr>
          <w:rFonts w:hint="eastAsia" w:ascii="宋体" w:hAnsi="宋体"/>
          <w:b/>
          <w:bCs/>
          <w:sz w:val="36"/>
          <w:szCs w:val="36"/>
        </w:rPr>
        <w:t>法定代表人证明书</w:t>
      </w:r>
    </w:p>
    <w:p>
      <w:pPr>
        <w:ind w:firstLine="0" w:firstLineChars="0"/>
        <w:rPr>
          <w:rFonts w:ascii="宋体" w:hAnsi="宋体"/>
          <w:b/>
          <w:bCs/>
        </w:rPr>
      </w:pPr>
      <w:r>
        <w:rPr>
          <w:rFonts w:hint="eastAsia" w:ascii="宋体" w:hAnsi="宋体"/>
          <w:b/>
          <w:bCs/>
        </w:rPr>
        <w:t>致：青海省政府采购中心</w:t>
      </w: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pPr>
        <w:autoSpaceDE w:val="0"/>
        <w:autoSpaceDN w:val="0"/>
        <w:adjustRightInd w:val="0"/>
        <w:ind w:firstLine="480"/>
        <w:jc w:val="left"/>
        <w:rPr>
          <w:rFonts w:ascii="宋体" w:hAnsi="宋体"/>
        </w:rPr>
      </w:pPr>
    </w:p>
    <w:p>
      <w:pPr>
        <w:autoSpaceDE w:val="0"/>
        <w:autoSpaceDN w:val="0"/>
        <w:adjustRightInd w:val="0"/>
        <w:ind w:firstLine="480"/>
        <w:jc w:val="left"/>
        <w:rPr>
          <w:rFonts w:ascii="宋体" w:hAnsi="宋体" w:cs="宋体"/>
          <w:kern w:val="0"/>
        </w:rPr>
      </w:pPr>
      <w:r>
        <w:rPr>
          <w:rFonts w:hint="eastAsia" w:ascii="宋体" w:hAnsi="宋体"/>
        </w:rPr>
        <w:t>法定代表人基本情况：</w:t>
      </w:r>
    </w:p>
    <w:p>
      <w:pPr>
        <w:autoSpaceDE w:val="0"/>
        <w:autoSpaceDN w:val="0"/>
        <w:adjustRightInd w:val="0"/>
        <w:ind w:firstLine="480"/>
        <w:jc w:val="left"/>
        <w:rPr>
          <w:rFonts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pPr>
        <w:autoSpaceDE w:val="0"/>
        <w:autoSpaceDN w:val="0"/>
        <w:adjustRightInd w:val="0"/>
        <w:ind w:firstLine="480"/>
        <w:jc w:val="left"/>
        <w:rPr>
          <w:rFonts w:ascii="宋体" w:hAnsi="宋体" w:cs="宋体"/>
          <w:kern w:val="0"/>
        </w:rPr>
      </w:pPr>
      <w:r>
        <w:rPr>
          <w:rFonts w:hint="eastAsia" w:ascii="宋体" w:hAnsi="宋体" w:cs="宋体"/>
          <w:kern w:val="0"/>
        </w:rPr>
        <w:t>地址：</w:t>
      </w:r>
      <w:r>
        <w:rPr>
          <w:rFonts w:hint="eastAsia" w:ascii="宋体" w:hAnsi="宋体"/>
          <w:u w:val="single"/>
        </w:rPr>
        <w:t xml:space="preserve">                 </w:t>
      </w:r>
    </w:p>
    <w:p>
      <w:pPr>
        <w:autoSpaceDE w:val="0"/>
        <w:autoSpaceDN w:val="0"/>
        <w:adjustRightInd w:val="0"/>
        <w:ind w:firstLine="480"/>
        <w:jc w:val="left"/>
        <w:rPr>
          <w:rFonts w:ascii="宋体" w:hAnsi="宋体"/>
          <w:u w:val="single"/>
        </w:rPr>
      </w:pPr>
      <w:r>
        <w:rPr>
          <w:rFonts w:hint="eastAsia" w:ascii="宋体" w:hAnsi="宋体" w:cs="宋体"/>
          <w:kern w:val="0"/>
        </w:rPr>
        <w:t>身份证号码：</w:t>
      </w:r>
      <w:r>
        <w:rPr>
          <w:rFonts w:hint="eastAsia" w:ascii="宋体" w:hAnsi="宋体"/>
          <w:u w:val="single"/>
        </w:rPr>
        <w:t xml:space="preserve">                 </w:t>
      </w:r>
    </w:p>
    <w:p>
      <w:pPr>
        <w:autoSpaceDE w:val="0"/>
        <w:autoSpaceDN w:val="0"/>
        <w:adjustRightInd w:val="0"/>
        <w:ind w:firstLine="480"/>
        <w:jc w:val="left"/>
        <w:rPr>
          <w:rFonts w:ascii="宋体" w:hAnsi="宋体" w:cs="宋体"/>
          <w:kern w:val="0"/>
        </w:rPr>
      </w:pPr>
      <w:r>
        <w:rPr>
          <w:rFonts w:hint="eastAsia" w:ascii="宋体" w:hAnsi="宋体" w:cs="宋体"/>
          <w:kern w:val="0"/>
        </w:rPr>
        <w:t>附法定代表人第二代身份证双面扫描（或复印）件</w:t>
      </w: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0" w:firstLineChars="0"/>
        <w:jc w:val="left"/>
        <w:rPr>
          <w:rFonts w:ascii="宋体" w:hAnsi="宋体" w:cs="宋体"/>
          <w:kern w:val="0"/>
        </w:rPr>
      </w:pPr>
    </w:p>
    <w:p>
      <w:pPr>
        <w:ind w:right="240" w:firstLine="3614" w:firstLineChars="1500"/>
        <w:jc w:val="right"/>
        <w:rPr>
          <w:rFonts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left"/>
        <w:rPr>
          <w:rFonts w:ascii="宋体" w:hAnsi="宋体"/>
          <w:b/>
        </w:rPr>
      </w:pPr>
    </w:p>
    <w:bookmarkEnd w:id="132"/>
    <w:bookmarkEnd w:id="133"/>
    <w:p>
      <w:pPr>
        <w:ind w:right="1200" w:firstLine="482"/>
        <w:jc w:val="right"/>
        <w:rPr>
          <w:b/>
        </w:rPr>
      </w:pPr>
    </w:p>
    <w:p>
      <w:pPr>
        <w:ind w:right="1200" w:firstLine="482"/>
        <w:jc w:val="right"/>
        <w:rPr>
          <w:b/>
        </w:rPr>
      </w:pPr>
    </w:p>
    <w:p>
      <w:pPr>
        <w:ind w:right="1200" w:firstLine="482"/>
        <w:jc w:val="right"/>
        <w:rPr>
          <w:b/>
        </w:rPr>
      </w:pPr>
      <w:r>
        <w:rPr>
          <w:rFonts w:hint="eastAsia"/>
          <w:b/>
        </w:rPr>
        <w:t>年  月  日</w:t>
      </w:r>
    </w:p>
    <w:p>
      <w:pPr>
        <w:ind w:firstLine="0" w:firstLineChars="0"/>
        <w:rPr>
          <w:rFonts w:ascii="宋体"/>
          <w:b/>
          <w:sz w:val="36"/>
          <w:szCs w:val="36"/>
        </w:rPr>
      </w:pPr>
    </w:p>
    <w:p>
      <w:pPr>
        <w:widowControl/>
        <w:snapToGrid w:val="0"/>
        <w:spacing w:line="360" w:lineRule="auto"/>
        <w:ind w:firstLine="0" w:firstLineChars="0"/>
        <w:outlineLvl w:val="1"/>
        <w:rPr>
          <w:rFonts w:ascii="宋体"/>
          <w:b/>
          <w:sz w:val="28"/>
          <w:szCs w:val="28"/>
        </w:rPr>
      </w:pPr>
      <w:bookmarkStart w:id="134" w:name="_Toc201287639"/>
      <w:bookmarkStart w:id="135" w:name="_Toc324756736"/>
      <w:bookmarkStart w:id="136" w:name="_Toc82441627"/>
      <w:r>
        <w:rPr>
          <w:rFonts w:hint="eastAsia" w:ascii="宋体"/>
          <w:b/>
          <w:sz w:val="28"/>
          <w:szCs w:val="28"/>
        </w:rPr>
        <w:t>附件</w:t>
      </w:r>
      <w:bookmarkEnd w:id="134"/>
      <w:bookmarkEnd w:id="135"/>
      <w:r>
        <w:rPr>
          <w:rFonts w:hint="eastAsia" w:ascii="宋体"/>
          <w:b/>
          <w:sz w:val="28"/>
          <w:szCs w:val="28"/>
        </w:rPr>
        <w:t>3：法定代表人授权书</w:t>
      </w:r>
      <w:bookmarkEnd w:id="136"/>
    </w:p>
    <w:p>
      <w:pPr>
        <w:ind w:firstLine="3813" w:firstLineChars="1055"/>
        <w:rPr>
          <w:rFonts w:ascii="宋体" w:hAnsi="宋体"/>
          <w:b/>
          <w:sz w:val="36"/>
          <w:szCs w:val="36"/>
        </w:rPr>
      </w:pPr>
    </w:p>
    <w:p>
      <w:pPr>
        <w:ind w:firstLine="2909" w:firstLineChars="805"/>
        <w:rPr>
          <w:rFonts w:ascii="宋体" w:hAnsi="宋体"/>
          <w:b/>
          <w:sz w:val="36"/>
          <w:szCs w:val="36"/>
        </w:rPr>
      </w:pPr>
      <w:r>
        <w:rPr>
          <w:rFonts w:hint="eastAsia" w:ascii="宋体" w:hAnsi="宋体"/>
          <w:b/>
          <w:sz w:val="36"/>
          <w:szCs w:val="36"/>
        </w:rPr>
        <w:t>法定代表人授权书</w:t>
      </w:r>
    </w:p>
    <w:p>
      <w:pPr>
        <w:ind w:firstLine="198" w:firstLineChars="82"/>
        <w:rPr>
          <w:rFonts w:ascii="宋体" w:hAnsi="宋体"/>
          <w:b/>
          <w:bCs/>
        </w:rPr>
      </w:pPr>
      <w:r>
        <w:rPr>
          <w:rFonts w:hint="eastAsia" w:ascii="宋体" w:hAnsi="宋体"/>
          <w:b/>
          <w:bCs/>
        </w:rPr>
        <w:t>致：青海省政府采购中心</w:t>
      </w:r>
    </w:p>
    <w:p>
      <w:pPr>
        <w:ind w:firstLine="480"/>
        <w:rPr>
          <w:rFonts w:ascii="宋体" w:hAnsi="宋体"/>
          <w:u w:val="single"/>
        </w:rPr>
      </w:pPr>
    </w:p>
    <w:p>
      <w:pPr>
        <w:spacing w:line="360" w:lineRule="auto"/>
        <w:ind w:firstLine="480"/>
        <w:rPr>
          <w:rFonts w:ascii="宋体" w:hAnsi="宋体"/>
        </w:rPr>
      </w:pPr>
      <w:r>
        <w:rPr>
          <w:rFonts w:hint="eastAsia" w:ascii="宋体" w:hAnsi="宋体"/>
          <w:u w:val="single"/>
        </w:rPr>
        <w:t xml:space="preserve">  （投标人名称）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pPr>
        <w:spacing w:line="360" w:lineRule="auto"/>
        <w:ind w:firstLine="480"/>
        <w:rPr>
          <w:rFonts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项目的投标、答疑等具体工作，并签署全部有关的文件、资料。</w:t>
      </w:r>
    </w:p>
    <w:p>
      <w:pPr>
        <w:spacing w:line="360" w:lineRule="auto"/>
        <w:ind w:firstLine="480"/>
        <w:rPr>
          <w:rFonts w:ascii="宋体" w:hAnsi="宋体"/>
        </w:rPr>
      </w:pPr>
      <w:r>
        <w:rPr>
          <w:rFonts w:hint="eastAsia" w:ascii="宋体" w:hAnsi="宋体"/>
        </w:rPr>
        <w:t>我单位对被授权人的签名负全部责任。</w:t>
      </w:r>
    </w:p>
    <w:p>
      <w:pPr>
        <w:spacing w:line="360" w:lineRule="auto"/>
        <w:ind w:firstLine="480"/>
        <w:rPr>
          <w:rFonts w:ascii="宋体" w:hAnsi="宋体"/>
        </w:rPr>
      </w:pPr>
      <w:r>
        <w:rPr>
          <w:rFonts w:hint="eastAsia" w:ascii="宋体" w:hAnsi="宋体"/>
        </w:rPr>
        <w:t>在撤销授权的书面通知以前，本授权书一直有效，被授权人签署的所有文件（在授权书有效期内签署的）不因授权的撤销而失效。</w:t>
      </w:r>
    </w:p>
    <w:p>
      <w:pPr>
        <w:ind w:firstLine="480"/>
        <w:rPr>
          <w:rFonts w:ascii="宋体" w:hAnsi="宋体"/>
        </w:rPr>
      </w:pPr>
    </w:p>
    <w:p>
      <w:pPr>
        <w:ind w:firstLine="480"/>
        <w:rPr>
          <w:rFonts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pPr>
        <w:ind w:firstLine="480"/>
        <w:rPr>
          <w:rFonts w:ascii="宋体" w:hAnsi="宋体"/>
        </w:rPr>
      </w:pPr>
    </w:p>
    <w:p>
      <w:pPr>
        <w:ind w:firstLine="480"/>
        <w:rPr>
          <w:rFonts w:ascii="宋体" w:hAnsi="宋体"/>
        </w:rPr>
      </w:pPr>
      <w:r>
        <w:rPr>
          <w:rFonts w:hint="eastAsia" w:ascii="宋体" w:hAnsi="宋体"/>
        </w:rPr>
        <w:t>被授权人联系电话：</w:t>
      </w:r>
      <w:r>
        <w:rPr>
          <w:rFonts w:hint="eastAsia" w:ascii="宋体" w:hAnsi="宋体"/>
          <w:u w:val="single"/>
        </w:rPr>
        <w:t xml:space="preserve">           </w:t>
      </w:r>
    </w:p>
    <w:p>
      <w:pPr>
        <w:ind w:firstLine="480"/>
        <w:rPr>
          <w:rFonts w:ascii="宋体" w:hAnsi="宋体"/>
        </w:rPr>
      </w:pPr>
    </w:p>
    <w:p>
      <w:pPr>
        <w:ind w:firstLine="480"/>
        <w:rPr>
          <w:rFonts w:ascii="宋体" w:hAnsi="宋体"/>
        </w:rPr>
      </w:pPr>
    </w:p>
    <w:p>
      <w:pPr>
        <w:ind w:firstLine="480"/>
        <w:rPr>
          <w:rFonts w:ascii="宋体" w:hAnsi="宋体"/>
        </w:rPr>
      </w:pPr>
      <w:r>
        <w:rPr>
          <w:rFonts w:hint="eastAsia" w:ascii="宋体" w:hAnsi="宋体"/>
        </w:rPr>
        <w:t>被授权人（委托代理人）签字或盖章：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ind w:firstLine="480"/>
        <w:rPr>
          <w:rFonts w:ascii="宋体" w:hAnsi="宋体"/>
          <w:u w:val="single"/>
        </w:rPr>
      </w:pPr>
      <w:r>
        <w:rPr>
          <w:rFonts w:hint="eastAsia" w:ascii="宋体" w:hAnsi="宋体"/>
        </w:rPr>
        <w:t>授权人（法定代表人）签字或盖章：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autoSpaceDE w:val="0"/>
        <w:autoSpaceDN w:val="0"/>
        <w:adjustRightInd w:val="0"/>
        <w:ind w:firstLine="480"/>
        <w:jc w:val="left"/>
        <w:rPr>
          <w:rFonts w:ascii="宋体" w:hAnsi="宋体" w:cs="宋体"/>
          <w:kern w:val="0"/>
        </w:rPr>
      </w:pPr>
      <w:r>
        <w:rPr>
          <w:rFonts w:hint="eastAsia" w:ascii="宋体" w:hAnsi="宋体" w:cs="宋体"/>
          <w:kern w:val="0"/>
        </w:rPr>
        <w:t>附被授权人第二代身份证双面扫描（或复印）件</w:t>
      </w:r>
    </w:p>
    <w:p>
      <w:pPr>
        <w:ind w:firstLine="480"/>
        <w:jc w:val="center"/>
        <w:rPr>
          <w:rFonts w:ascii="宋体" w:hAnsi="宋体"/>
        </w:rPr>
      </w:pPr>
    </w:p>
    <w:p>
      <w:pPr>
        <w:ind w:firstLine="480"/>
        <w:jc w:val="center"/>
        <w:rPr>
          <w:rFonts w:ascii="宋体" w:hAnsi="宋体"/>
        </w:rPr>
      </w:pPr>
    </w:p>
    <w:p>
      <w:pPr>
        <w:ind w:firstLine="0" w:firstLineChars="0"/>
        <w:rPr>
          <w:rFonts w:ascii="宋体" w:hAnsi="宋体"/>
        </w:rPr>
      </w:pPr>
    </w:p>
    <w:p>
      <w:pPr>
        <w:ind w:firstLine="4185" w:firstLineChars="1737"/>
        <w:rPr>
          <w:rFonts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4185" w:firstLineChars="1737"/>
        <w:rPr>
          <w:rFonts w:ascii="宋体" w:hAnsi="宋体"/>
          <w:b/>
        </w:rPr>
      </w:pPr>
    </w:p>
    <w:p>
      <w:pPr>
        <w:ind w:right="480" w:firstLine="5028" w:firstLineChars="2087"/>
        <w:rPr>
          <w:rFonts w:ascii="宋体" w:hAnsi="宋体"/>
          <w:b/>
        </w:rPr>
      </w:pPr>
      <w:r>
        <w:rPr>
          <w:rFonts w:hint="eastAsia" w:ascii="宋体" w:hAnsi="宋体"/>
          <w:b/>
        </w:rPr>
        <w:t>年  月  日</w:t>
      </w: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bookmarkStart w:id="137" w:name="_Toc82441628"/>
      <w:r>
        <w:rPr>
          <w:rFonts w:ascii="宋体"/>
          <w:b/>
          <w:sz w:val="28"/>
          <w:szCs w:val="28"/>
        </w:rPr>
        <w:br w:type="page"/>
      </w:r>
      <w:r>
        <w:rPr>
          <w:rFonts w:hint="eastAsia" w:ascii="宋体"/>
          <w:b/>
          <w:sz w:val="28"/>
          <w:szCs w:val="28"/>
        </w:rPr>
        <w:t>附件4：投标人承诺函</w:t>
      </w:r>
      <w:bookmarkEnd w:id="137"/>
    </w:p>
    <w:p>
      <w:pPr>
        <w:ind w:firstLine="723"/>
        <w:jc w:val="center"/>
        <w:rPr>
          <w:rFonts w:ascii="宋体" w:hAnsi="宋体"/>
          <w:b/>
          <w:bCs/>
          <w:sz w:val="36"/>
          <w:szCs w:val="36"/>
        </w:rPr>
      </w:pPr>
    </w:p>
    <w:p>
      <w:pPr>
        <w:ind w:firstLine="3253" w:firstLineChars="900"/>
        <w:rPr>
          <w:rFonts w:ascii="宋体" w:hAnsi="宋体"/>
          <w:b/>
          <w:bCs/>
          <w:sz w:val="36"/>
          <w:szCs w:val="36"/>
        </w:rPr>
      </w:pPr>
      <w:r>
        <w:rPr>
          <w:rFonts w:hint="eastAsia" w:ascii="宋体" w:hAnsi="宋体"/>
          <w:b/>
          <w:bCs/>
          <w:sz w:val="36"/>
          <w:szCs w:val="36"/>
        </w:rPr>
        <w:t>投标人承诺函</w:t>
      </w:r>
    </w:p>
    <w:p>
      <w:pPr>
        <w:ind w:firstLine="0" w:firstLineChars="0"/>
        <w:rPr>
          <w:rFonts w:ascii="宋体" w:hAnsi="宋体"/>
          <w:b/>
          <w:bCs/>
        </w:rPr>
      </w:pPr>
      <w:r>
        <w:rPr>
          <w:rFonts w:hint="eastAsia" w:ascii="宋体" w:hAnsi="宋体"/>
          <w:b/>
          <w:bCs/>
        </w:rPr>
        <w:t>致：青海省政府采购中心</w:t>
      </w:r>
    </w:p>
    <w:p>
      <w:pPr>
        <w:ind w:firstLine="480"/>
        <w:rPr>
          <w:rFonts w:ascii="宋体" w:hAnsi="宋体"/>
        </w:rPr>
      </w:pPr>
    </w:p>
    <w:p>
      <w:pPr>
        <w:ind w:firstLine="480"/>
        <w:rPr>
          <w:rFonts w:ascii="宋体" w:hAnsi="宋体"/>
        </w:rPr>
      </w:pPr>
      <w:r>
        <w:rPr>
          <w:rFonts w:hint="eastAsia" w:ascii="宋体" w:hAnsi="宋体"/>
        </w:rPr>
        <w:t>关于贵方</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日青政采公招（货物）2022-055号采购项目，本签字人愿意参加投标，提供采购一览表中要求的所有产品，并证实提交的所有资料是准确的和真实的。同时，我代表</w:t>
      </w:r>
      <w:r>
        <w:rPr>
          <w:rFonts w:hint="eastAsia" w:ascii="宋体" w:hAnsi="宋体"/>
          <w:u w:val="single"/>
        </w:rPr>
        <w:t>（投标人名称）</w:t>
      </w:r>
      <w:r>
        <w:rPr>
          <w:rFonts w:hint="eastAsia" w:ascii="宋体" w:hAnsi="宋体"/>
        </w:rPr>
        <w:t>，在此作如下承诺：</w:t>
      </w:r>
    </w:p>
    <w:p>
      <w:pPr>
        <w:ind w:firstLine="480"/>
        <w:rPr>
          <w:rFonts w:ascii="宋体" w:hAnsi="宋体"/>
        </w:rPr>
      </w:pPr>
      <w:r>
        <w:rPr>
          <w:rFonts w:hint="eastAsia" w:ascii="宋体" w:hAnsi="宋体"/>
        </w:rPr>
        <w:t xml:space="preserve">  1、完全理解和接受招标文件的一切规定和要求；</w:t>
      </w:r>
    </w:p>
    <w:p>
      <w:pPr>
        <w:ind w:firstLine="480"/>
        <w:rPr>
          <w:rFonts w:ascii="宋体" w:hAnsi="宋体"/>
        </w:rPr>
      </w:pPr>
      <w:r>
        <w:rPr>
          <w:rFonts w:hint="eastAsia" w:ascii="宋体" w:hAnsi="宋体"/>
        </w:rPr>
        <w:t xml:space="preserve">  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ind w:firstLine="720" w:firstLineChars="300"/>
        <w:rPr>
          <w:rFonts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pPr>
        <w:ind w:firstLine="720" w:firstLineChars="300"/>
        <w:rPr>
          <w:rFonts w:ascii="宋体" w:hAnsi="宋体"/>
        </w:rPr>
      </w:pPr>
      <w:r>
        <w:rPr>
          <w:rFonts w:hint="eastAsia" w:ascii="宋体" w:hAnsi="宋体"/>
        </w:rPr>
        <w:t>4、我方承诺，除招标文件中规定的进口产品外，所投的产品均为国产产品，且均符合国家强制性标准。若有不实，愿承担相应的责任。</w:t>
      </w:r>
    </w:p>
    <w:p>
      <w:pPr>
        <w:ind w:firstLine="720" w:firstLineChars="300"/>
        <w:rPr>
          <w:rFonts w:ascii="宋体" w:hAnsi="宋体"/>
        </w:rPr>
      </w:pPr>
      <w:r>
        <w:rPr>
          <w:rFonts w:hint="eastAsia" w:ascii="宋体" w:hAnsi="宋体"/>
        </w:rPr>
        <w:t>5、针对本项目，我方承诺具备履行合同所必需的设备和专业技术能力。</w:t>
      </w:r>
    </w:p>
    <w:p>
      <w:pPr>
        <w:ind w:firstLine="480"/>
        <w:rPr>
          <w:rFonts w:ascii="宋体" w:hAnsi="宋体"/>
        </w:rPr>
      </w:pPr>
      <w:r>
        <w:rPr>
          <w:rFonts w:hint="eastAsia" w:ascii="宋体" w:hAnsi="宋体"/>
        </w:rPr>
        <w:t xml:space="preserve">  6、在整个招标过程中我方若有违规行为，贵方可按招标文件之规定给予处罚，我方完全接受。</w:t>
      </w:r>
    </w:p>
    <w:p>
      <w:pPr>
        <w:ind w:firstLine="720" w:firstLineChars="300"/>
        <w:rPr>
          <w:rFonts w:ascii="宋体" w:hAnsi="宋体"/>
        </w:rPr>
      </w:pPr>
      <w:r>
        <w:rPr>
          <w:rFonts w:hint="eastAsia" w:ascii="宋体" w:hAnsi="宋体"/>
        </w:rPr>
        <w:t>7、若中标，本承诺将成为合同不可分割的一部分，与合同具有同等的法律效力。</w:t>
      </w:r>
    </w:p>
    <w:p>
      <w:pPr>
        <w:ind w:firstLine="480"/>
        <w:rPr>
          <w:rFonts w:ascii="宋体" w:hAnsi="宋体"/>
        </w:rPr>
      </w:pPr>
    </w:p>
    <w:p>
      <w:pPr>
        <w:ind w:firstLine="480"/>
        <w:rPr>
          <w:rFonts w:ascii="宋体" w:hAnsi="宋体"/>
        </w:rPr>
      </w:pPr>
    </w:p>
    <w:p>
      <w:pPr>
        <w:ind w:firstLine="480"/>
        <w:rPr>
          <w:rFonts w:ascii="宋体" w:hAnsi="宋体"/>
        </w:rPr>
      </w:pPr>
    </w:p>
    <w:p>
      <w:pPr>
        <w:ind w:firstLine="0" w:firstLineChars="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787" w:firstLineChars="1987"/>
        <w:rPr>
          <w:rFonts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pPr>
        <w:ind w:right="480" w:firstLine="5028" w:firstLineChars="2087"/>
        <w:rPr>
          <w:rFonts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b/>
          <w:sz w:val="28"/>
          <w:szCs w:val="28"/>
        </w:rPr>
      </w:pPr>
      <w:bookmarkStart w:id="138" w:name="_Toc82441629"/>
    </w:p>
    <w:p>
      <w:pPr>
        <w:widowControl/>
        <w:snapToGrid w:val="0"/>
        <w:spacing w:line="360" w:lineRule="auto"/>
        <w:ind w:firstLine="0" w:firstLineChars="0"/>
        <w:outlineLvl w:val="1"/>
        <w:rPr>
          <w:rFonts w:ascii="宋体"/>
          <w:b/>
          <w:sz w:val="28"/>
          <w:szCs w:val="28"/>
        </w:rPr>
      </w:pPr>
      <w:r>
        <w:rPr>
          <w:rFonts w:hint="eastAsia" w:ascii="宋体"/>
          <w:b/>
          <w:sz w:val="28"/>
          <w:szCs w:val="28"/>
        </w:rPr>
        <w:t>附件</w:t>
      </w:r>
      <w:bookmarkStart w:id="139" w:name="_Toc376936779"/>
      <w:bookmarkStart w:id="140" w:name="_Toc365019584"/>
      <w:bookmarkStart w:id="141" w:name="_Toc351475542"/>
      <w:r>
        <w:rPr>
          <w:rFonts w:hint="eastAsia" w:ascii="宋体"/>
          <w:b/>
          <w:sz w:val="28"/>
          <w:szCs w:val="28"/>
        </w:rPr>
        <w:t>5：供应商诚信承诺书</w:t>
      </w:r>
      <w:bookmarkEnd w:id="138"/>
      <w:bookmarkEnd w:id="139"/>
      <w:bookmarkEnd w:id="140"/>
      <w:bookmarkEnd w:id="141"/>
    </w:p>
    <w:p>
      <w:pPr>
        <w:widowControl/>
        <w:snapToGrid w:val="0"/>
        <w:spacing w:line="360" w:lineRule="auto"/>
        <w:ind w:firstLine="0" w:firstLineChars="0"/>
        <w:outlineLvl w:val="1"/>
        <w:rPr>
          <w:rFonts w:ascii="宋体"/>
          <w:b/>
          <w:sz w:val="28"/>
          <w:szCs w:val="28"/>
        </w:rPr>
      </w:pPr>
    </w:p>
    <w:p>
      <w:pPr>
        <w:ind w:firstLine="2729" w:firstLineChars="755"/>
        <w:rPr>
          <w:rFonts w:ascii="宋体" w:hAnsi="宋体"/>
          <w:b/>
          <w:sz w:val="36"/>
          <w:szCs w:val="36"/>
        </w:rPr>
      </w:pPr>
      <w:r>
        <w:rPr>
          <w:rFonts w:hint="eastAsia" w:ascii="宋体" w:hAnsi="宋体"/>
          <w:b/>
          <w:sz w:val="36"/>
          <w:szCs w:val="36"/>
        </w:rPr>
        <w:t>供应商诚信承诺书</w:t>
      </w:r>
    </w:p>
    <w:p>
      <w:pPr>
        <w:spacing w:afterLines="50"/>
        <w:ind w:firstLine="0" w:firstLineChars="0"/>
        <w:rPr>
          <w:rFonts w:ascii="宋体" w:hAnsi="宋体"/>
          <w:b/>
          <w:bCs/>
        </w:rPr>
      </w:pPr>
      <w:r>
        <w:rPr>
          <w:rFonts w:hint="eastAsia" w:ascii="宋体" w:hAnsi="宋体"/>
          <w:b/>
          <w:bCs/>
        </w:rPr>
        <w:t>致：青海省政府采购中心</w:t>
      </w:r>
    </w:p>
    <w:p>
      <w:pPr>
        <w:ind w:firstLine="480"/>
        <w:rPr>
          <w:rFonts w:ascii="宋体" w:hAnsi="宋体"/>
        </w:rPr>
      </w:pPr>
    </w:p>
    <w:p>
      <w:pPr>
        <w:ind w:firstLine="480"/>
        <w:rPr>
          <w:rFonts w:ascii="宋体" w:hAnsi="宋体"/>
        </w:rPr>
      </w:pPr>
      <w:r>
        <w:rPr>
          <w:rFonts w:hint="eastAsia" w:ascii="宋体" w:hAnsi="宋体"/>
        </w:rPr>
        <w:t>为了诚实、客观、有序地参与青海省政府采购活动，愿就以下内容作出承诺：</w:t>
      </w:r>
    </w:p>
    <w:p>
      <w:pPr>
        <w:ind w:firstLine="480"/>
        <w:rPr>
          <w:rFonts w:ascii="宋体" w:hAnsi="宋体"/>
        </w:rPr>
      </w:pPr>
      <w:r>
        <w:rPr>
          <w:rFonts w:hint="eastAsia" w:ascii="宋体" w:hAnsi="宋体"/>
        </w:rPr>
        <w:t>一、自觉遵守各项法律、法规、规章、制度以及社会公德，维护廉洁环境，与同场竞争的供应商平等参加政府采购活动。</w:t>
      </w:r>
    </w:p>
    <w:p>
      <w:pPr>
        <w:ind w:firstLine="480"/>
        <w:rPr>
          <w:rFonts w:ascii="宋体" w:hAnsi="宋体"/>
        </w:rPr>
      </w:pPr>
      <w:r>
        <w:rPr>
          <w:rFonts w:hint="eastAsia" w:ascii="宋体" w:hAnsi="宋体"/>
        </w:rPr>
        <w:t>二、参加青海省政府采购中心组织的政府采购活动时，严格按照招标文件的规定和要求提供所需的相关材料，并对所提供的各类资料的真实性负责，不虚假应标，不虚列业绩。</w:t>
      </w:r>
    </w:p>
    <w:p>
      <w:pPr>
        <w:ind w:firstLine="480"/>
        <w:rPr>
          <w:rFonts w:ascii="宋体" w:hAnsi="宋体"/>
        </w:rPr>
      </w:pPr>
      <w:r>
        <w:rPr>
          <w:rFonts w:hint="eastAsia" w:ascii="宋体" w:hAnsi="宋体"/>
        </w:rPr>
        <w:t>三、尊重参与政府采购活动各相关方的合法行为，接受政府采购活动依法形成的意见、结果。</w:t>
      </w:r>
    </w:p>
    <w:p>
      <w:pPr>
        <w:ind w:firstLine="480"/>
        <w:rPr>
          <w:rFonts w:ascii="宋体" w:hAnsi="宋体"/>
        </w:rPr>
      </w:pPr>
      <w:r>
        <w:rPr>
          <w:rFonts w:hint="eastAsia" w:ascii="宋体" w:hAnsi="宋体"/>
        </w:rPr>
        <w:t>四、依法参加政府采购活动，不围标、串标，维护市场秩序，不提供“三无”产品、以次充好。</w:t>
      </w:r>
    </w:p>
    <w:p>
      <w:pPr>
        <w:ind w:firstLine="480"/>
        <w:rPr>
          <w:rFonts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ascii="宋体" w:hAnsi="宋体"/>
        </w:rPr>
      </w:pPr>
      <w:r>
        <w:rPr>
          <w:rFonts w:hint="eastAsia" w:ascii="宋体" w:hAnsi="宋体"/>
        </w:rPr>
        <w:t>六、认真履行中标供应商应承担的责任和义务，全面执行采购合同规定的各项内容，保质保量地按时提供采购物品。</w:t>
      </w:r>
    </w:p>
    <w:p>
      <w:pPr>
        <w:ind w:firstLine="480"/>
        <w:rPr>
          <w:rFonts w:ascii="宋体" w:hAnsi="宋体"/>
        </w:rPr>
      </w:pPr>
      <w:r>
        <w:rPr>
          <w:rFonts w:hint="eastAsia" w:ascii="宋体" w:hAnsi="宋体"/>
        </w:rPr>
        <w:t>若本企业（单位）发生有悖于上述承诺的行为，愿意接受《中华人民共和国政府采购法》和《政府采购法实施条例》中对供应商的相关处理。</w:t>
      </w:r>
    </w:p>
    <w:p>
      <w:pPr>
        <w:ind w:firstLine="480"/>
        <w:rPr>
          <w:rFonts w:ascii="宋体" w:hAnsi="宋体"/>
        </w:rPr>
      </w:pPr>
      <w:r>
        <w:rPr>
          <w:rFonts w:hint="eastAsia" w:ascii="宋体" w:hAnsi="宋体"/>
        </w:rPr>
        <w:t>本承诺是采购项目投标文件的组成部分。</w:t>
      </w:r>
    </w:p>
    <w:p>
      <w:pPr>
        <w:spacing w:beforeLines="100"/>
        <w:ind w:firstLine="0" w:firstLineChars="0"/>
        <w:jc w:val="left"/>
        <w:rPr>
          <w:rFonts w:ascii="宋体" w:hAnsi="宋体"/>
        </w:rPr>
      </w:pPr>
    </w:p>
    <w:p>
      <w:pPr>
        <w:spacing w:line="360" w:lineRule="auto"/>
        <w:ind w:firstLine="3735" w:firstLineChars="1550"/>
        <w:rPr>
          <w:rFonts w:ascii="宋体" w:hAnsi="宋体"/>
          <w:b/>
        </w:rPr>
      </w:pPr>
    </w:p>
    <w:p>
      <w:pPr>
        <w:spacing w:line="360" w:lineRule="auto"/>
        <w:ind w:firstLine="3735" w:firstLineChars="1550"/>
        <w:rPr>
          <w:rFonts w:ascii="宋体" w:hAnsi="宋体"/>
          <w:b/>
        </w:rPr>
      </w:pPr>
    </w:p>
    <w:p>
      <w:pPr>
        <w:spacing w:line="360" w:lineRule="auto"/>
        <w:ind w:firstLine="3735" w:firstLineChars="1550"/>
        <w:rPr>
          <w:rFonts w:ascii="宋体" w:hAnsi="宋体"/>
          <w:b/>
        </w:rPr>
      </w:pPr>
    </w:p>
    <w:p>
      <w:pPr>
        <w:spacing w:line="360" w:lineRule="auto"/>
        <w:ind w:firstLine="3735" w:firstLineChars="1550"/>
        <w:rPr>
          <w:rFonts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right="480" w:firstLine="5028" w:firstLineChars="2087"/>
        <w:rPr>
          <w:rFonts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b/>
          <w:sz w:val="28"/>
          <w:szCs w:val="28"/>
        </w:rPr>
      </w:pPr>
      <w:bookmarkStart w:id="142" w:name="_Toc82441630"/>
    </w:p>
    <w:p>
      <w:pPr>
        <w:widowControl/>
        <w:snapToGrid w:val="0"/>
        <w:spacing w:line="360" w:lineRule="auto"/>
        <w:ind w:firstLine="0" w:firstLineChars="0"/>
        <w:outlineLvl w:val="1"/>
        <w:rPr>
          <w:rFonts w:ascii="宋体"/>
          <w:b/>
          <w:sz w:val="28"/>
          <w:szCs w:val="28"/>
        </w:rPr>
      </w:pPr>
      <w:r>
        <w:rPr>
          <w:rFonts w:hint="eastAsia" w:ascii="宋体"/>
          <w:b/>
          <w:sz w:val="28"/>
          <w:szCs w:val="28"/>
        </w:rPr>
        <w:t>附件6：投标人资格证明文件</w:t>
      </w:r>
      <w:bookmarkEnd w:id="142"/>
    </w:p>
    <w:p>
      <w:pPr>
        <w:widowControl/>
        <w:snapToGrid w:val="0"/>
        <w:spacing w:line="360" w:lineRule="auto"/>
        <w:ind w:firstLine="0" w:firstLineChars="0"/>
        <w:outlineLvl w:val="1"/>
        <w:rPr>
          <w:rFonts w:ascii="宋体"/>
          <w:b/>
          <w:sz w:val="28"/>
          <w:szCs w:val="28"/>
        </w:rPr>
      </w:pPr>
    </w:p>
    <w:p>
      <w:pPr>
        <w:ind w:firstLine="0" w:firstLineChars="0"/>
        <w:jc w:val="center"/>
        <w:rPr>
          <w:rFonts w:ascii="宋体" w:hAnsi="宋体"/>
          <w:b/>
          <w:sz w:val="36"/>
          <w:szCs w:val="36"/>
        </w:rPr>
      </w:pPr>
      <w:r>
        <w:rPr>
          <w:rFonts w:hint="eastAsia" w:ascii="宋体" w:hAnsi="宋体"/>
          <w:b/>
          <w:sz w:val="36"/>
          <w:szCs w:val="36"/>
        </w:rPr>
        <w:t>投标人资格证明文件</w:t>
      </w:r>
    </w:p>
    <w:p>
      <w:pPr>
        <w:ind w:firstLine="480"/>
        <w:rPr>
          <w:rFonts w:ascii="宋体" w:hAnsi="宋体"/>
        </w:rPr>
      </w:pPr>
    </w:p>
    <w:p>
      <w:pPr>
        <w:ind w:firstLine="480"/>
        <w:rPr>
          <w:rFonts w:ascii="宋体" w:hAnsi="宋体"/>
        </w:rPr>
      </w:pPr>
      <w:r>
        <w:rPr>
          <w:rFonts w:hint="eastAsia" w:ascii="宋体" w:hAnsi="宋体"/>
        </w:rPr>
        <w:t>资格证明材料包括：提供有效的营业执照、税务登记证、机构代码证或三证（五证）合一统一社会代码证及其他资格证明文件（扫描或复印件）。</w:t>
      </w:r>
    </w:p>
    <w:p>
      <w:pPr>
        <w:ind w:firstLine="480"/>
        <w:rPr>
          <w:rFonts w:ascii="宋体" w:hAnsi="宋体"/>
        </w:rPr>
      </w:pPr>
      <w:r>
        <w:rPr>
          <w:rFonts w:hint="eastAsia" w:ascii="宋体" w:hAnsi="宋体"/>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ind w:firstLine="480"/>
        <w:rPr>
          <w:rFonts w:ascii="宋体" w:hAnsi="宋体"/>
        </w:rPr>
      </w:pPr>
      <w:r>
        <w:rPr>
          <w:rFonts w:hint="eastAsia" w:ascii="宋体" w:hAnsi="宋体"/>
        </w:rPr>
        <w:t>2、根据采购项目内容，提供投标人的相关资质证书、许可证书、认证等。</w:t>
      </w:r>
    </w:p>
    <w:p>
      <w:pPr>
        <w:widowControl/>
        <w:snapToGrid w:val="0"/>
        <w:spacing w:line="360" w:lineRule="auto"/>
        <w:ind w:firstLine="0" w:firstLineChars="0"/>
        <w:outlineLvl w:val="1"/>
        <w:rPr>
          <w:rFonts w:ascii="宋体"/>
          <w:b/>
          <w:sz w:val="28"/>
          <w:szCs w:val="28"/>
        </w:rPr>
      </w:pPr>
      <w:r>
        <w:rPr>
          <w:rFonts w:ascii="宋体" w:hAnsi="宋体"/>
        </w:rPr>
        <w:br w:type="page"/>
      </w:r>
      <w:bookmarkStart w:id="143" w:name="_Toc82441631"/>
      <w:r>
        <w:rPr>
          <w:rFonts w:hint="eastAsia" w:ascii="宋体"/>
          <w:b/>
          <w:sz w:val="28"/>
          <w:szCs w:val="28"/>
        </w:rPr>
        <w:t>附件7：财务状况、缴纳税收和社会保障资金证明</w:t>
      </w:r>
      <w:bookmarkEnd w:id="143"/>
    </w:p>
    <w:p>
      <w:pPr>
        <w:autoSpaceDE w:val="0"/>
        <w:autoSpaceDN w:val="0"/>
        <w:adjustRightInd w:val="0"/>
        <w:ind w:firstLine="904" w:firstLineChars="250"/>
        <w:jc w:val="center"/>
        <w:rPr>
          <w:rFonts w:ascii="宋体" w:hAnsi="宋体"/>
          <w:b/>
          <w:sz w:val="36"/>
          <w:szCs w:val="36"/>
        </w:rPr>
      </w:pPr>
    </w:p>
    <w:p>
      <w:pPr>
        <w:autoSpaceDE w:val="0"/>
        <w:autoSpaceDN w:val="0"/>
        <w:adjustRightInd w:val="0"/>
        <w:ind w:firstLine="904" w:firstLineChars="250"/>
        <w:rPr>
          <w:rFonts w:ascii="宋体" w:hAnsi="宋体"/>
          <w:b/>
          <w:sz w:val="36"/>
          <w:szCs w:val="36"/>
        </w:rPr>
      </w:pPr>
      <w:r>
        <w:rPr>
          <w:rFonts w:hint="eastAsia" w:ascii="宋体" w:hAnsi="宋体"/>
          <w:b/>
          <w:sz w:val="36"/>
          <w:szCs w:val="36"/>
        </w:rPr>
        <w:t>财务状况、缴纳税收和社会保障资金证明</w:t>
      </w:r>
    </w:p>
    <w:p>
      <w:pPr>
        <w:autoSpaceDE w:val="0"/>
        <w:autoSpaceDN w:val="0"/>
        <w:adjustRightInd w:val="0"/>
        <w:ind w:firstLine="904" w:firstLineChars="250"/>
        <w:jc w:val="center"/>
        <w:rPr>
          <w:rFonts w:ascii="宋体" w:hAnsi="宋体"/>
          <w:b/>
          <w:sz w:val="36"/>
          <w:szCs w:val="36"/>
        </w:rPr>
      </w:pPr>
    </w:p>
    <w:p>
      <w:pPr>
        <w:autoSpaceDE w:val="0"/>
        <w:autoSpaceDN w:val="0"/>
        <w:adjustRightInd w:val="0"/>
        <w:ind w:firstLine="600" w:firstLineChars="250"/>
        <w:jc w:val="left"/>
        <w:rPr>
          <w:rFonts w:ascii="宋体" w:hAnsi="宋体"/>
        </w:rPr>
      </w:pPr>
      <w:r>
        <w:rPr>
          <w:rFonts w:hint="eastAsia" w:ascii="宋体" w:hAnsi="宋体"/>
        </w:rPr>
        <w:t>按照《政府采购法》第22条规定提供以下相关材料：</w:t>
      </w:r>
    </w:p>
    <w:p>
      <w:pPr>
        <w:autoSpaceDE w:val="0"/>
        <w:autoSpaceDN w:val="0"/>
        <w:adjustRightInd w:val="0"/>
        <w:ind w:firstLine="600" w:firstLineChars="250"/>
        <w:jc w:val="left"/>
        <w:rPr>
          <w:rFonts w:ascii="宋体" w:hAnsi="宋体"/>
        </w:rPr>
      </w:pPr>
      <w:r>
        <w:rPr>
          <w:rFonts w:hint="eastAsia" w:ascii="宋体" w:hAnsi="宋体"/>
        </w:rPr>
        <w:t>1、投标人是法人的，提供2020或2021年度经审计的财务状况报告，包括资产负债表、利润表、现金流量表及其附注，或其基本开户银行出具的资信证明（同时提供基本存款账户开户许可证或基本存款账户信息），或专业担保机构出具的投标担保函；投标人是其他组织和自然人，没有经审计的财务报告，可以提供基本开户银行出具的资信证明（同时提供基本存款账户开户许可证或基本存款账户信息），或专业担保机构出具的投标担保函。</w:t>
      </w:r>
    </w:p>
    <w:p>
      <w:pPr>
        <w:tabs>
          <w:tab w:val="left" w:pos="168"/>
        </w:tabs>
        <w:adjustRightInd w:val="0"/>
        <w:ind w:firstLine="480"/>
        <w:textAlignment w:val="baseline"/>
        <w:rPr>
          <w:rFonts w:ascii="宋体" w:hAnsi="宋体"/>
        </w:rPr>
      </w:pPr>
      <w:r>
        <w:rPr>
          <w:rFonts w:hint="eastAsia" w:ascii="宋体" w:hAnsi="宋体"/>
        </w:rPr>
        <w:t>2、近三个月依法缴纳税收和社会保障资金记录的证明材料。依法免税或不需要缴纳社会保障资金的投标人，应提供相应文件证明其依法免税或不需要缴纳社会保障资金。</w:t>
      </w:r>
    </w:p>
    <w:p>
      <w:pPr>
        <w:widowControl/>
        <w:snapToGrid w:val="0"/>
        <w:spacing w:line="360" w:lineRule="auto"/>
        <w:ind w:firstLine="0" w:firstLineChars="0"/>
        <w:outlineLvl w:val="1"/>
        <w:rPr>
          <w:rFonts w:ascii="宋体"/>
          <w:b/>
          <w:sz w:val="28"/>
          <w:szCs w:val="28"/>
        </w:rPr>
      </w:pPr>
      <w:r>
        <w:rPr>
          <w:rFonts w:ascii="宋体" w:hAnsi="宋体"/>
        </w:rPr>
        <w:br w:type="page"/>
      </w:r>
      <w:bookmarkStart w:id="144" w:name="_Toc82441632"/>
      <w:r>
        <w:rPr>
          <w:rFonts w:hint="eastAsia" w:ascii="宋体"/>
          <w:b/>
          <w:sz w:val="28"/>
          <w:szCs w:val="28"/>
        </w:rPr>
        <w:t>附件8：无重大违法记录声明</w:t>
      </w:r>
      <w:bookmarkEnd w:id="144"/>
    </w:p>
    <w:p>
      <w:pPr>
        <w:ind w:firstLine="2909" w:firstLineChars="805"/>
        <w:rPr>
          <w:rFonts w:ascii="宋体" w:hAnsi="宋体"/>
          <w:b/>
          <w:sz w:val="36"/>
          <w:szCs w:val="36"/>
        </w:rPr>
      </w:pPr>
    </w:p>
    <w:p>
      <w:pPr>
        <w:ind w:firstLine="2909" w:firstLineChars="805"/>
        <w:rPr>
          <w:rFonts w:ascii="宋体" w:hAnsi="宋体"/>
          <w:b/>
          <w:sz w:val="36"/>
          <w:szCs w:val="36"/>
        </w:rPr>
      </w:pPr>
      <w:r>
        <w:rPr>
          <w:rFonts w:hint="eastAsia" w:ascii="宋体" w:hAnsi="宋体"/>
          <w:b/>
          <w:sz w:val="36"/>
          <w:szCs w:val="36"/>
        </w:rPr>
        <w:t>无重大违法记录声明</w:t>
      </w:r>
    </w:p>
    <w:p>
      <w:pPr>
        <w:tabs>
          <w:tab w:val="left" w:pos="168"/>
        </w:tabs>
        <w:adjustRightInd w:val="0"/>
        <w:ind w:firstLine="2530" w:firstLineChars="700"/>
        <w:textAlignment w:val="baseline"/>
        <w:rPr>
          <w:rFonts w:ascii="宋体"/>
          <w:b/>
          <w:sz w:val="36"/>
          <w:szCs w:val="36"/>
        </w:rPr>
      </w:pPr>
    </w:p>
    <w:p>
      <w:pPr>
        <w:widowControl/>
        <w:snapToGrid w:val="0"/>
        <w:spacing w:line="360" w:lineRule="auto"/>
        <w:ind w:firstLine="480"/>
        <w:outlineLvl w:val="1"/>
        <w:rPr>
          <w:rFonts w:ascii="宋体" w:hAnsi="宋体"/>
        </w:rPr>
      </w:pPr>
      <w:bookmarkStart w:id="145" w:name="_Toc82441633"/>
      <w:bookmarkStart w:id="146" w:name="_Toc82441343"/>
      <w:bookmarkStart w:id="147" w:name="_Toc36569325"/>
      <w:bookmarkStart w:id="148" w:name="_Toc36567478"/>
      <w:bookmarkStart w:id="149" w:name="_Toc37147848"/>
      <w:bookmarkStart w:id="150" w:name="_Toc67558046"/>
      <w:r>
        <w:rPr>
          <w:rFonts w:hint="eastAsia" w:ascii="宋体" w:hAnsi="宋体"/>
        </w:rPr>
        <w:t>提供参加政府采购活动前3年内在经营活动中没有重大违法记录的书面声明（格式可自定）。</w:t>
      </w:r>
      <w:bookmarkEnd w:id="145"/>
      <w:bookmarkEnd w:id="146"/>
    </w:p>
    <w:p>
      <w:pPr>
        <w:widowControl/>
        <w:snapToGrid w:val="0"/>
        <w:spacing w:line="360" w:lineRule="auto"/>
        <w:ind w:firstLine="0" w:firstLineChars="0"/>
        <w:outlineLvl w:val="1"/>
        <w:rPr>
          <w:rFonts w:ascii="宋体"/>
          <w:b/>
          <w:sz w:val="28"/>
          <w:szCs w:val="28"/>
        </w:rPr>
      </w:pPr>
      <w:r>
        <w:rPr>
          <w:rFonts w:ascii="宋体" w:hAnsi="宋体"/>
        </w:rPr>
        <w:br w:type="page"/>
      </w:r>
      <w:bookmarkStart w:id="151" w:name="_Toc82441634"/>
      <w:r>
        <w:rPr>
          <w:rFonts w:hint="eastAsia" w:ascii="宋体"/>
          <w:b/>
          <w:sz w:val="28"/>
          <w:szCs w:val="28"/>
        </w:rPr>
        <w:t>附件9：投标保证金证明</w:t>
      </w:r>
      <w:bookmarkEnd w:id="151"/>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jc w:val="center"/>
        <w:outlineLvl w:val="1"/>
        <w:rPr>
          <w:rFonts w:ascii="宋体" w:hAnsi="宋体"/>
          <w:b/>
          <w:sz w:val="36"/>
          <w:szCs w:val="36"/>
        </w:rPr>
      </w:pPr>
      <w:bookmarkStart w:id="152" w:name="_Toc82441635"/>
      <w:bookmarkStart w:id="153" w:name="_Toc82441345"/>
      <w:r>
        <w:rPr>
          <w:rFonts w:hint="eastAsia" w:ascii="宋体" w:hAnsi="宋体"/>
          <w:b/>
          <w:sz w:val="36"/>
          <w:szCs w:val="36"/>
        </w:rPr>
        <w:t>投标保证金证明</w:t>
      </w:r>
      <w:bookmarkEnd w:id="152"/>
      <w:bookmarkEnd w:id="153"/>
    </w:p>
    <w:p>
      <w:pPr>
        <w:spacing w:afterLines="50"/>
        <w:ind w:firstLine="0" w:firstLineChars="0"/>
        <w:rPr>
          <w:rFonts w:ascii="宋体" w:hAnsi="宋体"/>
          <w:b/>
          <w:bCs/>
        </w:rPr>
      </w:pPr>
    </w:p>
    <w:p>
      <w:pPr>
        <w:spacing w:afterLines="50"/>
        <w:ind w:firstLine="0" w:firstLineChars="0"/>
        <w:rPr>
          <w:rFonts w:ascii="宋体" w:hAnsi="宋体"/>
          <w:b/>
          <w:bCs/>
        </w:rPr>
      </w:pPr>
      <w:r>
        <w:rPr>
          <w:rFonts w:hint="eastAsia" w:ascii="宋体" w:hAnsi="宋体"/>
          <w:b/>
          <w:bCs/>
        </w:rPr>
        <w:t>致：青海省政府采购中心</w:t>
      </w:r>
    </w:p>
    <w:p>
      <w:pPr>
        <w:widowControl/>
        <w:snapToGrid w:val="0"/>
        <w:ind w:firstLine="465" w:firstLineChars="0"/>
        <w:jc w:val="left"/>
        <w:outlineLvl w:val="1"/>
        <w:rPr>
          <w:rFonts w:ascii="宋体" w:hAnsi="宋体"/>
        </w:rPr>
      </w:pPr>
      <w:bookmarkStart w:id="154" w:name="_Toc82441636"/>
      <w:bookmarkStart w:id="155" w:name="_Toc82441346"/>
      <w:r>
        <w:rPr>
          <w:rFonts w:hint="eastAsia" w:ascii="宋体" w:hAnsi="宋体"/>
        </w:rPr>
        <w:t>我方为项目名称</w:t>
      </w:r>
      <w:r>
        <w:rPr>
          <w:rFonts w:hint="eastAsia" w:ascii="宋体" w:hAnsi="宋体"/>
          <w:u w:val="single"/>
        </w:rPr>
        <w:t xml:space="preserve">                             </w:t>
      </w:r>
      <w:r>
        <w:rPr>
          <w:rFonts w:hint="eastAsia" w:ascii="宋体" w:hAnsi="宋体"/>
        </w:rPr>
        <w:t>（招标文件编号：</w:t>
      </w:r>
      <w:r>
        <w:rPr>
          <w:rFonts w:hint="eastAsia" w:ascii="宋体" w:hAnsi="宋体"/>
          <w:u w:val="single"/>
        </w:rPr>
        <w:t>青政采公招（货物）2022-055号</w:t>
      </w:r>
      <w:r>
        <w:rPr>
          <w:rFonts w:hint="eastAsia" w:ascii="宋体" w:hAnsi="宋体"/>
        </w:rPr>
        <w:t>）投标所提交的投标保证金（大写）</w:t>
      </w:r>
      <w:r>
        <w:rPr>
          <w:rFonts w:hint="eastAsia" w:ascii="宋体" w:hAnsi="宋体"/>
          <w:u w:val="single"/>
        </w:rPr>
        <w:t xml:space="preserve">             </w:t>
      </w:r>
      <w:r>
        <w:rPr>
          <w:rFonts w:hint="eastAsia" w:ascii="宋体" w:hAnsi="宋体"/>
        </w:rPr>
        <w:t>，已按招标文件要求于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日以汇款方式汇入指定账户。</w:t>
      </w:r>
      <w:bookmarkEnd w:id="154"/>
      <w:bookmarkEnd w:id="155"/>
    </w:p>
    <w:p>
      <w:pPr>
        <w:autoSpaceDE w:val="0"/>
        <w:autoSpaceDN w:val="0"/>
        <w:ind w:firstLine="199" w:firstLineChars="83"/>
        <w:rPr>
          <w:rFonts w:ascii="新宋体" w:hAnsi="新宋体" w:eastAsia="新宋体" w:cs="新宋体"/>
          <w:bCs/>
        </w:rPr>
      </w:pPr>
    </w:p>
    <w:tbl>
      <w:tblPr>
        <w:tblStyle w:val="64"/>
        <w:tblpPr w:leftFromText="180" w:rightFromText="180" w:vertAnchor="text" w:horzAnchor="margin" w:tblpY="133"/>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4" w:hRule="atLeast"/>
        </w:trPr>
        <w:tc>
          <w:tcPr>
            <w:tcW w:w="8868" w:type="dxa"/>
          </w:tcPr>
          <w:p>
            <w:pPr>
              <w:widowControl/>
              <w:snapToGrid w:val="0"/>
              <w:spacing w:line="360" w:lineRule="auto"/>
              <w:ind w:firstLine="0" w:firstLineChars="0"/>
              <w:jc w:val="left"/>
              <w:outlineLvl w:val="1"/>
              <w:rPr>
                <w:rFonts w:ascii="宋体" w:hAnsi="宋体"/>
                <w:bCs/>
              </w:rPr>
            </w:pPr>
          </w:p>
          <w:p>
            <w:pPr>
              <w:widowControl/>
              <w:snapToGrid w:val="0"/>
              <w:spacing w:line="360" w:lineRule="auto"/>
              <w:ind w:firstLine="0" w:firstLineChars="0"/>
              <w:jc w:val="left"/>
              <w:outlineLvl w:val="1"/>
              <w:rPr>
                <w:rFonts w:ascii="宋体" w:hAnsi="宋体"/>
                <w:bCs/>
              </w:rPr>
            </w:pPr>
          </w:p>
          <w:p>
            <w:pPr>
              <w:widowControl/>
              <w:snapToGrid w:val="0"/>
              <w:spacing w:line="360" w:lineRule="auto"/>
              <w:ind w:firstLine="0" w:firstLineChars="0"/>
              <w:jc w:val="left"/>
              <w:outlineLvl w:val="1"/>
              <w:rPr>
                <w:rFonts w:ascii="宋体" w:hAnsi="宋体"/>
                <w:bCs/>
              </w:rPr>
            </w:pPr>
          </w:p>
          <w:p>
            <w:pPr>
              <w:widowControl/>
              <w:snapToGrid w:val="0"/>
              <w:spacing w:line="360" w:lineRule="auto"/>
              <w:ind w:firstLine="0" w:firstLineChars="0"/>
              <w:jc w:val="left"/>
              <w:outlineLvl w:val="1"/>
              <w:rPr>
                <w:rFonts w:ascii="宋体" w:hAnsi="宋体"/>
                <w:bCs/>
              </w:rPr>
            </w:pPr>
          </w:p>
          <w:p>
            <w:pPr>
              <w:widowControl/>
              <w:snapToGrid w:val="0"/>
              <w:spacing w:line="360" w:lineRule="auto"/>
              <w:ind w:firstLine="0" w:firstLineChars="0"/>
              <w:jc w:val="left"/>
              <w:outlineLvl w:val="1"/>
              <w:rPr>
                <w:rFonts w:ascii="宋体" w:hAnsi="宋体"/>
                <w:bCs/>
              </w:rPr>
            </w:pPr>
          </w:p>
          <w:p>
            <w:pPr>
              <w:widowControl/>
              <w:snapToGrid w:val="0"/>
              <w:spacing w:line="360" w:lineRule="auto"/>
              <w:ind w:firstLine="2520" w:firstLineChars="1050"/>
              <w:jc w:val="left"/>
              <w:outlineLvl w:val="1"/>
              <w:rPr>
                <w:rFonts w:ascii="宋体" w:hAnsi="宋体"/>
                <w:b/>
                <w:bCs/>
              </w:rPr>
            </w:pPr>
            <w:r>
              <w:rPr>
                <w:rFonts w:hint="eastAsia" w:ascii="宋体" w:hAnsi="宋体"/>
                <w:bCs/>
              </w:rPr>
              <w:t>投标保证金缴款证明（</w:t>
            </w:r>
            <w:r>
              <w:rPr>
                <w:rFonts w:hint="eastAsia" w:ascii="新宋体" w:hAnsi="新宋体" w:eastAsia="新宋体" w:cs="新宋体"/>
                <w:kern w:val="0"/>
                <w:lang w:val="zh-CN"/>
              </w:rPr>
              <w:t>加盖公章）</w:t>
            </w:r>
          </w:p>
          <w:p>
            <w:pPr>
              <w:widowControl/>
              <w:snapToGrid w:val="0"/>
              <w:spacing w:line="360" w:lineRule="auto"/>
              <w:ind w:firstLine="0" w:firstLineChars="0"/>
              <w:jc w:val="left"/>
              <w:outlineLvl w:val="1"/>
              <w:rPr>
                <w:rFonts w:ascii="宋体" w:hAnsi="宋体"/>
                <w:b/>
                <w:bCs/>
              </w:rPr>
            </w:pPr>
          </w:p>
        </w:tc>
      </w:tr>
    </w:tbl>
    <w:p>
      <w:pPr>
        <w:ind w:right="720" w:firstLine="482"/>
        <w:jc w:val="right"/>
        <w:rPr>
          <w:rFonts w:ascii="宋体" w:hAnsi="宋体"/>
          <w:b/>
        </w:rPr>
      </w:pPr>
    </w:p>
    <w:p>
      <w:pPr>
        <w:ind w:right="1200" w:firstLine="0" w:firstLineChars="0"/>
        <w:rPr>
          <w:rFonts w:ascii="宋体" w:hAnsi="宋体"/>
          <w:b/>
        </w:rPr>
      </w:pPr>
    </w:p>
    <w:p>
      <w:pPr>
        <w:ind w:right="720" w:firstLine="482"/>
        <w:jc w:val="right"/>
        <w:rPr>
          <w:rFonts w:ascii="宋体" w:hAnsi="宋体"/>
          <w:b/>
        </w:rPr>
      </w:pPr>
    </w:p>
    <w:p>
      <w:pPr>
        <w:ind w:right="720" w:firstLine="482"/>
        <w:jc w:val="right"/>
        <w:rPr>
          <w:rFonts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right="480" w:firstLine="5421" w:firstLineChars="2250"/>
        <w:rPr>
          <w:rFonts w:ascii="宋体" w:hAnsi="宋体"/>
          <w:b/>
        </w:rPr>
      </w:pPr>
      <w:r>
        <w:rPr>
          <w:rFonts w:hint="eastAsia" w:ascii="宋体" w:hAnsi="宋体"/>
          <w:b/>
        </w:rPr>
        <w:t>年  月  日</w:t>
      </w:r>
    </w:p>
    <w:p>
      <w:pPr>
        <w:widowControl/>
        <w:snapToGrid w:val="0"/>
        <w:spacing w:line="360" w:lineRule="auto"/>
        <w:ind w:firstLine="0" w:firstLineChars="0"/>
        <w:jc w:val="left"/>
        <w:outlineLvl w:val="1"/>
        <w:rPr>
          <w:rFonts w:ascii="宋体" w:hAnsi="宋体"/>
          <w:b/>
          <w:bCs/>
        </w:rPr>
      </w:pPr>
    </w:p>
    <w:p>
      <w:pPr>
        <w:widowControl/>
        <w:snapToGrid w:val="0"/>
        <w:spacing w:line="360" w:lineRule="auto"/>
        <w:ind w:firstLine="465" w:firstLineChars="0"/>
        <w:jc w:val="left"/>
        <w:outlineLvl w:val="1"/>
        <w:rPr>
          <w:rFonts w:ascii="宋体"/>
          <w:b/>
          <w:sz w:val="28"/>
          <w:szCs w:val="28"/>
        </w:rPr>
      </w:pPr>
      <w:r>
        <w:rPr>
          <w:rFonts w:ascii="宋体" w:hAnsi="宋体"/>
          <w:b/>
          <w:bCs/>
        </w:rPr>
        <w:br w:type="page"/>
      </w:r>
      <w:r>
        <w:rPr>
          <w:rFonts w:hint="eastAsia" w:ascii="宋体"/>
          <w:b/>
          <w:sz w:val="28"/>
          <w:szCs w:val="28"/>
        </w:rPr>
        <w:t xml:space="preserve">  </w:t>
      </w:r>
      <w:bookmarkStart w:id="156" w:name="_Toc82441637"/>
      <w:r>
        <w:rPr>
          <w:rFonts w:hint="eastAsia" w:ascii="宋体"/>
          <w:b/>
          <w:sz w:val="28"/>
          <w:szCs w:val="28"/>
        </w:rPr>
        <w:t>（投标文件封面）</w:t>
      </w:r>
      <w:bookmarkEnd w:id="147"/>
      <w:bookmarkEnd w:id="148"/>
      <w:bookmarkEnd w:id="149"/>
      <w:bookmarkEnd w:id="150"/>
      <w:bookmarkEnd w:id="156"/>
    </w:p>
    <w:p>
      <w:pPr>
        <w:spacing w:line="360" w:lineRule="auto"/>
        <w:ind w:firstLine="2088" w:firstLineChars="400"/>
        <w:rPr>
          <w:rFonts w:ascii="仿宋_GB2312" w:hAnsi="宋体" w:eastAsia="仿宋_GB2312"/>
          <w:b/>
          <w:sz w:val="52"/>
          <w:szCs w:val="52"/>
        </w:rPr>
      </w:pPr>
      <w:r>
        <w:rPr>
          <w:rFonts w:hint="eastAsia" w:ascii="仿宋_GB2312" w:hAnsi="宋体" w:eastAsia="仿宋_GB2312"/>
          <w:b/>
          <w:sz w:val="52"/>
          <w:szCs w:val="52"/>
        </w:rPr>
        <w:t>青海省政府采购项目</w:t>
      </w:r>
    </w:p>
    <w:p>
      <w:pPr>
        <w:spacing w:line="360" w:lineRule="auto"/>
        <w:ind w:firstLine="2833" w:firstLineChars="392"/>
        <w:rPr>
          <w:rFonts w:ascii="宋体" w:hAnsi="宋体"/>
          <w:b/>
          <w:sz w:val="72"/>
          <w:szCs w:val="72"/>
        </w:rPr>
      </w:pPr>
    </w:p>
    <w:p>
      <w:pPr>
        <w:spacing w:line="360" w:lineRule="auto"/>
        <w:ind w:firstLine="2364" w:firstLineChars="327"/>
        <w:rPr>
          <w:rFonts w:ascii="宋体" w:hAnsi="宋体"/>
          <w:sz w:val="72"/>
          <w:szCs w:val="72"/>
        </w:rPr>
      </w:pPr>
      <w:r>
        <w:rPr>
          <w:rFonts w:hint="eastAsia" w:ascii="宋体" w:hAnsi="宋体"/>
          <w:b/>
          <w:sz w:val="72"/>
          <w:szCs w:val="72"/>
        </w:rPr>
        <w:t>投 标 文 件</w:t>
      </w:r>
    </w:p>
    <w:p>
      <w:pPr>
        <w:adjustRightInd w:val="0"/>
        <w:spacing w:line="360" w:lineRule="auto"/>
        <w:ind w:firstLine="0" w:firstLineChars="0"/>
        <w:jc w:val="center"/>
        <w:textAlignment w:val="baseline"/>
        <w:rPr>
          <w:rFonts w:ascii="宋体" w:hAnsi="宋体"/>
          <w:b/>
          <w:bCs/>
          <w:sz w:val="36"/>
          <w:szCs w:val="36"/>
        </w:rPr>
      </w:pPr>
      <w:r>
        <w:rPr>
          <w:rFonts w:hint="eastAsia" w:ascii="宋体" w:hAnsi="宋体"/>
          <w:b/>
          <w:bCs/>
          <w:sz w:val="36"/>
          <w:szCs w:val="36"/>
        </w:rPr>
        <w:t>（符合性审查部分）</w:t>
      </w:r>
    </w:p>
    <w:p>
      <w:pPr>
        <w:adjustRightInd w:val="0"/>
        <w:spacing w:line="360" w:lineRule="auto"/>
        <w:ind w:firstLine="0" w:firstLineChars="0"/>
        <w:textAlignment w:val="baseline"/>
        <w:rPr>
          <w:rFonts w:ascii="宋体" w:hAnsi="宋体"/>
          <w:b/>
          <w:bCs/>
          <w:sz w:val="32"/>
        </w:rPr>
      </w:pPr>
    </w:p>
    <w:p>
      <w:pPr>
        <w:adjustRightInd w:val="0"/>
        <w:spacing w:line="360" w:lineRule="auto"/>
        <w:ind w:firstLine="0" w:firstLineChars="0"/>
        <w:textAlignment w:val="baseline"/>
        <w:rPr>
          <w:rFonts w:ascii="宋体" w:hAnsi="宋体"/>
          <w:b/>
          <w:bCs/>
          <w:sz w:val="32"/>
        </w:rPr>
      </w:pPr>
    </w:p>
    <w:p>
      <w:pPr>
        <w:adjustRightInd w:val="0"/>
        <w:spacing w:line="360" w:lineRule="auto"/>
        <w:ind w:firstLine="0" w:firstLineChars="0"/>
        <w:textAlignment w:val="baseline"/>
        <w:rPr>
          <w:rFonts w:ascii="宋体" w:hAnsi="宋体"/>
          <w:b/>
          <w:bCs/>
          <w:sz w:val="32"/>
        </w:rPr>
      </w:pPr>
    </w:p>
    <w:p>
      <w:pPr>
        <w:adjustRightInd w:val="0"/>
        <w:spacing w:line="360" w:lineRule="auto"/>
        <w:ind w:firstLine="0" w:firstLineChars="0"/>
        <w:textAlignment w:val="baseline"/>
        <w:rPr>
          <w:rFonts w:ascii="宋体" w:hAnsi="宋体"/>
          <w:b/>
          <w:bCs/>
          <w:sz w:val="32"/>
        </w:rPr>
      </w:pPr>
    </w:p>
    <w:p>
      <w:pPr>
        <w:adjustRightInd w:val="0"/>
        <w:spacing w:line="360" w:lineRule="auto"/>
        <w:ind w:left="-62" w:leftChars="-68" w:hanging="101" w:hangingChars="28"/>
        <w:textAlignment w:val="baseline"/>
        <w:rPr>
          <w:rFonts w:ascii="宋体" w:hAnsi="宋体"/>
          <w:b/>
          <w:sz w:val="36"/>
          <w:szCs w:val="36"/>
        </w:rPr>
      </w:pPr>
      <w:r>
        <w:rPr>
          <w:rFonts w:hint="eastAsia" w:ascii="宋体" w:hAnsi="宋体"/>
          <w:b/>
          <w:bCs/>
          <w:sz w:val="36"/>
          <w:szCs w:val="36"/>
        </w:rPr>
        <w:t>采购项目编号</w:t>
      </w:r>
      <w:r>
        <w:rPr>
          <w:rFonts w:hint="eastAsia" w:ascii="宋体" w:hAnsi="宋体"/>
          <w:b/>
          <w:sz w:val="36"/>
          <w:szCs w:val="36"/>
        </w:rPr>
        <w:t>：青政采公招（货物）2022-055号</w:t>
      </w:r>
    </w:p>
    <w:p>
      <w:pPr>
        <w:adjustRightInd w:val="0"/>
        <w:spacing w:line="360" w:lineRule="auto"/>
        <w:ind w:left="2454" w:leftChars="-68" w:hanging="2617" w:hangingChars="724"/>
        <w:textAlignment w:val="baseline"/>
        <w:rPr>
          <w:rFonts w:ascii="宋体" w:hAnsi="宋体"/>
          <w:b/>
          <w:sz w:val="32"/>
        </w:rPr>
      </w:pPr>
      <w:r>
        <w:rPr>
          <w:rFonts w:hint="eastAsia" w:ascii="宋体" w:hAnsi="宋体"/>
          <w:b/>
          <w:bCs/>
          <w:sz w:val="36"/>
          <w:szCs w:val="36"/>
        </w:rPr>
        <w:t>采购项目名称：</w:t>
      </w:r>
      <w:r>
        <w:rPr>
          <w:rFonts w:hint="eastAsia" w:ascii="宋体" w:hAnsi="宋体"/>
          <w:b/>
          <w:sz w:val="36"/>
          <w:szCs w:val="36"/>
        </w:rPr>
        <w:t>青海大学教学基本条件改善采购项目</w:t>
      </w:r>
    </w:p>
    <w:p>
      <w:pPr>
        <w:adjustRightInd w:val="0"/>
        <w:spacing w:line="360" w:lineRule="auto"/>
        <w:ind w:left="-283" w:leftChars="-118" w:firstLine="181" w:firstLineChars="50"/>
        <w:textAlignment w:val="baseline"/>
        <w:rPr>
          <w:rFonts w:ascii="宋体" w:hAnsi="宋体"/>
          <w:b/>
          <w:bCs/>
          <w:sz w:val="36"/>
          <w:szCs w:val="36"/>
        </w:rPr>
      </w:pPr>
      <w:r>
        <w:rPr>
          <w:rFonts w:hint="eastAsia" w:ascii="宋体" w:hAnsi="宋体"/>
          <w:b/>
          <w:bCs/>
          <w:sz w:val="36"/>
          <w:szCs w:val="36"/>
        </w:rPr>
        <w:t>所 投 包 号：</w:t>
      </w:r>
    </w:p>
    <w:p>
      <w:pPr>
        <w:adjustRightInd w:val="0"/>
        <w:spacing w:line="360" w:lineRule="auto"/>
        <w:ind w:left="-283" w:leftChars="-118" w:firstLine="1" w:firstLineChars="0"/>
        <w:textAlignment w:val="baseline"/>
        <w:rPr>
          <w:rFonts w:ascii="宋体" w:hAnsi="宋体"/>
          <w:b/>
          <w:bCs/>
          <w:sz w:val="36"/>
          <w:szCs w:val="36"/>
        </w:rPr>
      </w:pPr>
    </w:p>
    <w:p>
      <w:pPr>
        <w:adjustRightInd w:val="0"/>
        <w:spacing w:line="360" w:lineRule="auto"/>
        <w:ind w:left="-283" w:leftChars="-118" w:firstLine="1" w:firstLineChars="0"/>
        <w:textAlignment w:val="baseline"/>
        <w:rPr>
          <w:rFonts w:ascii="宋体" w:hAnsi="宋体"/>
          <w:b/>
          <w:bCs/>
          <w:sz w:val="36"/>
          <w:szCs w:val="36"/>
        </w:rPr>
      </w:pPr>
    </w:p>
    <w:p>
      <w:pPr>
        <w:adjustRightInd w:val="0"/>
        <w:spacing w:line="360" w:lineRule="auto"/>
        <w:ind w:left="-283" w:leftChars="-118" w:firstLine="1" w:firstLineChars="0"/>
        <w:textAlignment w:val="baseline"/>
        <w:rPr>
          <w:rFonts w:ascii="宋体" w:hAnsi="宋体"/>
          <w:b/>
          <w:bCs/>
          <w:sz w:val="36"/>
          <w:szCs w:val="36"/>
        </w:rPr>
      </w:pPr>
    </w:p>
    <w:p>
      <w:pPr>
        <w:adjustRightInd w:val="0"/>
        <w:spacing w:line="360" w:lineRule="auto"/>
        <w:ind w:firstLine="0" w:firstLineChars="0"/>
        <w:textAlignment w:val="baseline"/>
        <w:rPr>
          <w:rFonts w:ascii="宋体" w:hAnsi="宋体"/>
          <w:b/>
          <w:bCs/>
          <w:sz w:val="36"/>
          <w:szCs w:val="36"/>
        </w:rPr>
      </w:pPr>
    </w:p>
    <w:p>
      <w:pPr>
        <w:adjustRightInd w:val="0"/>
        <w:spacing w:line="360" w:lineRule="auto"/>
        <w:ind w:left="-283" w:leftChars="-118" w:firstLine="1" w:firstLineChars="0"/>
        <w:jc w:val="center"/>
        <w:textAlignment w:val="baseline"/>
        <w:rPr>
          <w:rFonts w:ascii="宋体" w:hAnsi="宋体"/>
          <w:b/>
          <w:sz w:val="36"/>
          <w:szCs w:val="36"/>
        </w:rPr>
      </w:pPr>
      <w:r>
        <w:rPr>
          <w:rFonts w:hint="eastAsia" w:ascii="宋体" w:hAnsi="宋体"/>
          <w:b/>
          <w:bCs/>
          <w:sz w:val="36"/>
          <w:szCs w:val="36"/>
        </w:rPr>
        <w:t>投标单位</w:t>
      </w:r>
      <w:r>
        <w:rPr>
          <w:rFonts w:hint="eastAsia" w:ascii="宋体" w:hAnsi="宋体"/>
          <w:b/>
          <w:sz w:val="36"/>
          <w:szCs w:val="36"/>
        </w:rPr>
        <w:t>：</w:t>
      </w:r>
    </w:p>
    <w:p>
      <w:pPr>
        <w:spacing w:line="360" w:lineRule="auto"/>
        <w:ind w:firstLine="3052" w:firstLineChars="950"/>
        <w:rPr>
          <w:rFonts w:ascii="宋体" w:hAnsi="宋体"/>
          <w:b/>
          <w:sz w:val="32"/>
        </w:rPr>
      </w:pPr>
      <w:r>
        <w:rPr>
          <w:rFonts w:hint="eastAsia" w:ascii="宋体" w:hAnsi="宋体"/>
          <w:b/>
          <w:sz w:val="32"/>
        </w:rPr>
        <w:t>年  月  日</w:t>
      </w:r>
    </w:p>
    <w:p>
      <w:pPr>
        <w:spacing w:line="360" w:lineRule="auto"/>
        <w:ind w:firstLine="0" w:firstLineChars="0"/>
        <w:jc w:val="center"/>
        <w:rPr>
          <w:rFonts w:ascii="宋体" w:hAnsi="宋体"/>
          <w:b/>
          <w:sz w:val="32"/>
        </w:rPr>
      </w:pPr>
    </w:p>
    <w:p>
      <w:pPr>
        <w:widowControl/>
        <w:snapToGrid w:val="0"/>
        <w:spacing w:line="360" w:lineRule="auto"/>
        <w:ind w:firstLine="0" w:firstLineChars="0"/>
        <w:outlineLvl w:val="1"/>
        <w:rPr>
          <w:rFonts w:ascii="宋体"/>
          <w:b/>
          <w:sz w:val="28"/>
          <w:szCs w:val="28"/>
        </w:rPr>
      </w:pPr>
      <w:r>
        <w:rPr>
          <w:rFonts w:ascii="宋体"/>
          <w:b/>
          <w:sz w:val="28"/>
          <w:szCs w:val="28"/>
        </w:rPr>
        <w:br w:type="page"/>
      </w:r>
      <w:bookmarkStart w:id="157" w:name="_Toc82441638"/>
      <w:r>
        <w:rPr>
          <w:rFonts w:hint="eastAsia" w:ascii="宋体"/>
          <w:b/>
          <w:sz w:val="28"/>
          <w:szCs w:val="28"/>
        </w:rPr>
        <w:t>附件</w:t>
      </w:r>
      <w:bookmarkStart w:id="158" w:name="_Toc325726038"/>
      <w:bookmarkStart w:id="159" w:name="_Toc376936769"/>
      <w:r>
        <w:rPr>
          <w:rFonts w:hint="eastAsia" w:ascii="宋体"/>
          <w:b/>
          <w:sz w:val="28"/>
          <w:szCs w:val="28"/>
        </w:rPr>
        <w:t>10：报价一览表</w:t>
      </w:r>
      <w:bookmarkEnd w:id="157"/>
      <w:bookmarkEnd w:id="158"/>
      <w:bookmarkEnd w:id="159"/>
    </w:p>
    <w:p>
      <w:pPr>
        <w:widowControl/>
        <w:snapToGrid w:val="0"/>
        <w:spacing w:line="360" w:lineRule="auto"/>
        <w:ind w:firstLine="0" w:firstLineChars="0"/>
        <w:jc w:val="center"/>
        <w:outlineLvl w:val="1"/>
        <w:rPr>
          <w:rFonts w:ascii="宋体"/>
          <w:b/>
          <w:sz w:val="36"/>
          <w:szCs w:val="36"/>
        </w:rPr>
      </w:pPr>
    </w:p>
    <w:p>
      <w:pPr>
        <w:ind w:firstLine="199" w:firstLineChars="55"/>
        <w:jc w:val="center"/>
        <w:rPr>
          <w:rFonts w:ascii="宋体" w:hAnsi="宋体"/>
          <w:b/>
          <w:sz w:val="36"/>
          <w:szCs w:val="36"/>
        </w:rPr>
      </w:pPr>
      <w:r>
        <w:rPr>
          <w:rFonts w:hint="eastAsia" w:ascii="宋体" w:hAnsi="宋体"/>
          <w:b/>
          <w:sz w:val="36"/>
          <w:szCs w:val="36"/>
        </w:rPr>
        <w:t>投标报价一览表</w:t>
      </w:r>
    </w:p>
    <w:p>
      <w:pPr>
        <w:ind w:firstLine="0" w:firstLineChars="0"/>
        <w:rPr>
          <w:rFonts w:ascii="宋体" w:hAnsi="宋体"/>
          <w:b/>
          <w:bCs/>
        </w:rPr>
      </w:pPr>
      <w:r>
        <w:rPr>
          <w:rFonts w:hint="eastAsia" w:ascii="宋体" w:hAnsi="宋体"/>
          <w:b/>
        </w:rPr>
        <w:t>投标单位名称：</w:t>
      </w:r>
    </w:p>
    <w:p>
      <w:pPr>
        <w:ind w:firstLine="0" w:firstLineChars="0"/>
        <w:jc w:val="right"/>
        <w:rPr>
          <w:rFonts w:ascii="宋体" w:hAnsi="宋体"/>
          <w:b/>
        </w:rPr>
      </w:pPr>
      <w:r>
        <w:rPr>
          <w:rFonts w:hint="eastAsia" w:ascii="宋体" w:hAnsi="宋体"/>
        </w:rPr>
        <w:t>单位：</w:t>
      </w:r>
      <w:r>
        <w:rPr>
          <w:rFonts w:hint="eastAsia" w:ascii="宋体" w:hAnsi="宋体"/>
          <w:bCs/>
        </w:rPr>
        <w:t>人民币(元)</w:t>
      </w:r>
    </w:p>
    <w:tbl>
      <w:tblPr>
        <w:tblStyle w:val="64"/>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827"/>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pPr>
              <w:adjustRightInd w:val="0"/>
              <w:ind w:firstLine="0" w:firstLineChars="0"/>
              <w:jc w:val="center"/>
              <w:textAlignment w:val="baseline"/>
              <w:rPr>
                <w:rFonts w:ascii="宋体" w:hAnsi="宋体"/>
                <w:b/>
              </w:rPr>
            </w:pPr>
            <w:r>
              <w:rPr>
                <w:rFonts w:hint="eastAsia" w:ascii="宋体" w:hAnsi="宋体"/>
                <w:b/>
              </w:rPr>
              <w:t>项目名称</w:t>
            </w:r>
          </w:p>
          <w:p>
            <w:pPr>
              <w:adjustRightInd w:val="0"/>
              <w:ind w:firstLine="0" w:firstLineChars="0"/>
              <w:jc w:val="center"/>
              <w:textAlignment w:val="baseline"/>
              <w:rPr>
                <w:rFonts w:ascii="宋体" w:hAnsi="宋体"/>
                <w:b/>
              </w:rPr>
            </w:pPr>
            <w:r>
              <w:rPr>
                <w:rFonts w:hint="eastAsia" w:ascii="宋体" w:hAnsi="宋体"/>
                <w:b/>
              </w:rPr>
              <w:t>（所投包号）</w:t>
            </w:r>
          </w:p>
        </w:tc>
        <w:tc>
          <w:tcPr>
            <w:tcW w:w="3827" w:type="dxa"/>
            <w:vAlign w:val="center"/>
          </w:tcPr>
          <w:p>
            <w:pPr>
              <w:adjustRightInd w:val="0"/>
              <w:ind w:firstLine="482"/>
              <w:jc w:val="center"/>
              <w:textAlignment w:val="baseline"/>
              <w:rPr>
                <w:rFonts w:ascii="宋体" w:hAnsi="宋体"/>
                <w:b/>
              </w:rPr>
            </w:pPr>
            <w:r>
              <w:rPr>
                <w:rFonts w:hint="eastAsia" w:ascii="宋体" w:hAnsi="宋体"/>
                <w:b/>
              </w:rPr>
              <w:t>投标总报价</w:t>
            </w:r>
          </w:p>
        </w:tc>
        <w:tc>
          <w:tcPr>
            <w:tcW w:w="1560" w:type="dxa"/>
            <w:vAlign w:val="center"/>
          </w:tcPr>
          <w:p>
            <w:pPr>
              <w:adjustRightInd w:val="0"/>
              <w:ind w:firstLine="120" w:firstLineChars="50"/>
              <w:textAlignment w:val="baseline"/>
              <w:rPr>
                <w:rFonts w:ascii="宋体" w:hAnsi="宋体"/>
                <w:b/>
              </w:rPr>
            </w:pPr>
            <w:r>
              <w:rPr>
                <w:rFonts w:hint="eastAsia" w:ascii="宋体" w:hAnsi="宋体"/>
                <w:b/>
              </w:rPr>
              <w:t>交 货 期</w:t>
            </w:r>
          </w:p>
        </w:tc>
        <w:tc>
          <w:tcPr>
            <w:tcW w:w="1560" w:type="dxa"/>
            <w:vAlign w:val="center"/>
          </w:tcPr>
          <w:p>
            <w:pPr>
              <w:adjustRightInd w:val="0"/>
              <w:ind w:left="279" w:leftChars="16" w:hanging="241" w:hangingChars="100"/>
              <w:jc w:val="center"/>
              <w:textAlignment w:val="baseline"/>
              <w:rPr>
                <w:rFonts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pPr>
              <w:adjustRightInd w:val="0"/>
              <w:ind w:firstLine="482"/>
              <w:textAlignment w:val="baseline"/>
              <w:rPr>
                <w:rFonts w:ascii="宋体" w:hAnsi="宋体"/>
                <w:b/>
                <w:bCs/>
              </w:rPr>
            </w:pPr>
          </w:p>
        </w:tc>
        <w:tc>
          <w:tcPr>
            <w:tcW w:w="3827" w:type="dxa"/>
          </w:tcPr>
          <w:p>
            <w:pPr>
              <w:adjustRightInd w:val="0"/>
              <w:ind w:firstLine="0" w:firstLineChars="0"/>
              <w:textAlignment w:val="baseline"/>
              <w:rPr>
                <w:rFonts w:ascii="宋体" w:hAnsi="宋体"/>
                <w:b/>
              </w:rPr>
            </w:pPr>
            <w:r>
              <w:rPr>
                <w:rFonts w:hint="eastAsia" w:ascii="宋体" w:hAnsi="宋体"/>
                <w:b/>
              </w:rPr>
              <w:t>大写：</w:t>
            </w:r>
          </w:p>
        </w:tc>
        <w:tc>
          <w:tcPr>
            <w:tcW w:w="1560" w:type="dxa"/>
            <w:vMerge w:val="restart"/>
          </w:tcPr>
          <w:p>
            <w:pPr>
              <w:adjustRightInd w:val="0"/>
              <w:ind w:firstLine="198" w:firstLineChars="82"/>
              <w:textAlignment w:val="baseline"/>
              <w:rPr>
                <w:rFonts w:ascii="宋体" w:hAnsi="宋体"/>
                <w:b/>
              </w:rPr>
            </w:pPr>
          </w:p>
        </w:tc>
        <w:tc>
          <w:tcPr>
            <w:tcW w:w="1560" w:type="dxa"/>
            <w:vMerge w:val="restart"/>
          </w:tcPr>
          <w:p>
            <w:pPr>
              <w:adjustRightInd w:val="0"/>
              <w:ind w:firstLine="0" w:firstLineChars="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vAlign w:val="center"/>
          </w:tcPr>
          <w:p>
            <w:pPr>
              <w:adjustRightInd w:val="0"/>
              <w:ind w:firstLine="482"/>
              <w:textAlignment w:val="baseline"/>
              <w:rPr>
                <w:rFonts w:ascii="宋体" w:hAnsi="宋体"/>
                <w:b/>
                <w:bCs/>
              </w:rPr>
            </w:pPr>
          </w:p>
        </w:tc>
        <w:tc>
          <w:tcPr>
            <w:tcW w:w="3827" w:type="dxa"/>
          </w:tcPr>
          <w:p>
            <w:pPr>
              <w:adjustRightInd w:val="0"/>
              <w:ind w:firstLine="0" w:firstLineChars="0"/>
              <w:textAlignment w:val="baseline"/>
              <w:rPr>
                <w:rFonts w:ascii="宋体" w:hAnsi="宋体"/>
                <w:b/>
              </w:rPr>
            </w:pPr>
            <w:r>
              <w:rPr>
                <w:rFonts w:hint="eastAsia" w:ascii="宋体" w:hAnsi="宋体"/>
                <w:b/>
              </w:rPr>
              <w:t>小写：</w:t>
            </w:r>
          </w:p>
        </w:tc>
        <w:tc>
          <w:tcPr>
            <w:tcW w:w="1560" w:type="dxa"/>
            <w:vMerge w:val="continue"/>
          </w:tcPr>
          <w:p>
            <w:pPr>
              <w:adjustRightInd w:val="0"/>
              <w:ind w:firstLine="482"/>
              <w:textAlignment w:val="baseline"/>
              <w:rPr>
                <w:rFonts w:ascii="宋体" w:hAnsi="宋体"/>
                <w:b/>
              </w:rPr>
            </w:pPr>
          </w:p>
        </w:tc>
        <w:tc>
          <w:tcPr>
            <w:tcW w:w="1560" w:type="dxa"/>
            <w:vMerge w:val="continue"/>
          </w:tcPr>
          <w:p>
            <w:pPr>
              <w:adjustRightInd w:val="0"/>
              <w:ind w:firstLine="0" w:firstLineChars="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vAlign w:val="center"/>
          </w:tcPr>
          <w:p>
            <w:pPr>
              <w:adjustRightInd w:val="0"/>
              <w:ind w:firstLine="0" w:firstLineChars="0"/>
              <w:textAlignment w:val="baseline"/>
              <w:rPr>
                <w:rFonts w:ascii="宋体" w:hAnsi="宋体"/>
                <w:b/>
              </w:rPr>
            </w:pPr>
            <w:r>
              <w:rPr>
                <w:rFonts w:hint="eastAsia" w:ascii="宋体" w:hAnsi="宋体"/>
                <w:b/>
              </w:rPr>
              <w:t>其他承诺及需要说明的事项：</w:t>
            </w:r>
          </w:p>
        </w:tc>
      </w:tr>
    </w:tbl>
    <w:p>
      <w:pPr>
        <w:adjustRightInd w:val="0"/>
        <w:spacing w:line="276" w:lineRule="auto"/>
        <w:ind w:firstLine="0" w:firstLineChars="0"/>
        <w:textAlignment w:val="baseline"/>
        <w:rPr>
          <w:rFonts w:ascii="宋体" w:hAnsi="宋体"/>
        </w:rPr>
      </w:pPr>
      <w:r>
        <w:rPr>
          <w:rFonts w:hint="eastAsia" w:ascii="宋体" w:hAnsi="宋体"/>
          <w:b/>
        </w:rPr>
        <w:t>注：</w:t>
      </w:r>
      <w:r>
        <w:rPr>
          <w:rFonts w:hint="eastAsia" w:ascii="宋体" w:hAnsi="宋体"/>
        </w:rPr>
        <w:t>1、填写此表时不得改变表格形式。</w:t>
      </w:r>
    </w:p>
    <w:p>
      <w:pPr>
        <w:adjustRightInd w:val="0"/>
        <w:spacing w:line="276" w:lineRule="auto"/>
        <w:ind w:firstLine="480"/>
        <w:textAlignment w:val="baseline"/>
        <w:rPr>
          <w:rFonts w:ascii="宋体" w:hAnsi="宋体"/>
        </w:rPr>
      </w:pPr>
      <w:r>
        <w:rPr>
          <w:rFonts w:hint="eastAsia" w:ascii="宋体" w:hAnsi="宋体"/>
        </w:rPr>
        <w:t>2、投标总报价包括产品费、检验费、手续费、包装费、运输费、保险费、安装调试费、税金及不可预见费等全部费用。</w:t>
      </w:r>
    </w:p>
    <w:p>
      <w:pPr>
        <w:adjustRightInd w:val="0"/>
        <w:spacing w:line="276" w:lineRule="auto"/>
        <w:ind w:firstLine="480"/>
        <w:textAlignment w:val="baseline"/>
        <w:rPr>
          <w:rFonts w:ascii="宋体" w:hAnsi="宋体"/>
        </w:rPr>
      </w:pPr>
      <w:r>
        <w:rPr>
          <w:rFonts w:hint="eastAsia" w:ascii="宋体" w:hAnsi="宋体"/>
        </w:rPr>
        <w:t>3、“交货期”是指产品能够交付使用的具体时间。</w:t>
      </w:r>
    </w:p>
    <w:p>
      <w:pPr>
        <w:adjustRightInd w:val="0"/>
        <w:spacing w:line="276" w:lineRule="auto"/>
        <w:ind w:firstLine="480"/>
        <w:textAlignment w:val="baseline"/>
        <w:rPr>
          <w:rFonts w:ascii="宋体" w:hAnsi="宋体"/>
        </w:rPr>
      </w:pPr>
      <w:r>
        <w:rPr>
          <w:rFonts w:hint="eastAsia" w:ascii="宋体" w:hAnsi="宋体"/>
        </w:rPr>
        <w:t>4、除在投标文件中编制此表以外，投标人应在青海省政府采购电子化平台中进行网上报价，网上报价应和此表报价一致，否则以网上报价为准，不接受者投标无效。</w:t>
      </w:r>
    </w:p>
    <w:p>
      <w:pPr>
        <w:adjustRightInd w:val="0"/>
        <w:spacing w:line="276" w:lineRule="auto"/>
        <w:ind w:firstLine="480"/>
        <w:textAlignment w:val="baseline"/>
        <w:rPr>
          <w:rFonts w:ascii="宋体" w:hAnsi="宋体"/>
        </w:rPr>
      </w:pPr>
      <w:r>
        <w:rPr>
          <w:rFonts w:hint="eastAsia" w:ascii="宋体" w:hAnsi="宋体"/>
        </w:rPr>
        <w:t>5、投标总报价不能有两个或两个以上的报价方案，否则，投标无效。</w:t>
      </w:r>
    </w:p>
    <w:p>
      <w:pPr>
        <w:adjustRightInd w:val="0"/>
        <w:spacing w:line="276" w:lineRule="auto"/>
        <w:ind w:firstLine="480"/>
        <w:textAlignment w:val="baseline"/>
        <w:rPr>
          <w:rFonts w:ascii="宋体" w:hAnsi="宋体"/>
        </w:rPr>
      </w:pPr>
      <w:r>
        <w:rPr>
          <w:rFonts w:hint="eastAsia" w:ascii="宋体" w:hAnsi="宋体"/>
        </w:rPr>
        <w:t>6、投标人应及时关注开标过程，查看开标结果并在报价一览表上进行电子签署。若投标人不进行相关签署，将被视为其对报价一览表中所载内容无异议。</w:t>
      </w:r>
    </w:p>
    <w:p>
      <w:pPr>
        <w:adjustRightInd w:val="0"/>
        <w:ind w:firstLine="0" w:firstLineChars="0"/>
        <w:textAlignment w:val="baseline"/>
        <w:rPr>
          <w:rFonts w:ascii="宋体" w:hAnsi="宋体"/>
        </w:rPr>
      </w:pPr>
    </w:p>
    <w:p>
      <w:pPr>
        <w:adjustRightInd w:val="0"/>
        <w:ind w:firstLine="0" w:firstLineChars="0"/>
        <w:textAlignment w:val="baseline"/>
        <w:rPr>
          <w:rFonts w:ascii="宋体" w:hAnsi="宋体"/>
        </w:rPr>
      </w:pPr>
    </w:p>
    <w:p>
      <w:pPr>
        <w:adjustRightInd w:val="0"/>
        <w:ind w:firstLine="0" w:firstLineChars="0"/>
        <w:textAlignment w:val="baseline"/>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right="720" w:firstLine="482"/>
        <w:jc w:val="right"/>
        <w:rPr>
          <w:rFonts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right="480" w:firstLine="5421" w:firstLineChars="2250"/>
        <w:rPr>
          <w:rFonts w:ascii="宋体" w:hAnsi="宋体"/>
          <w:b/>
        </w:rPr>
      </w:pPr>
      <w:r>
        <w:rPr>
          <w:rFonts w:hint="eastAsia" w:ascii="宋体" w:hAnsi="宋体"/>
          <w:b/>
        </w:rPr>
        <w:t>年  月  日</w:t>
      </w:r>
    </w:p>
    <w:p>
      <w:pPr>
        <w:widowControl/>
        <w:snapToGrid w:val="0"/>
        <w:spacing w:line="360" w:lineRule="auto"/>
        <w:ind w:firstLine="0" w:firstLineChars="0"/>
        <w:outlineLvl w:val="1"/>
        <w:rPr>
          <w:rFonts w:ascii="宋体"/>
          <w:b/>
          <w:sz w:val="28"/>
          <w:szCs w:val="28"/>
        </w:rPr>
      </w:pPr>
      <w:r>
        <w:rPr>
          <w:rFonts w:ascii="宋体"/>
          <w:b/>
          <w:sz w:val="28"/>
          <w:szCs w:val="28"/>
        </w:rPr>
        <w:br w:type="page"/>
      </w:r>
      <w:bookmarkStart w:id="160" w:name="_Toc82441639"/>
      <w:r>
        <w:rPr>
          <w:rFonts w:hint="eastAsia" w:ascii="宋体"/>
          <w:b/>
          <w:sz w:val="28"/>
          <w:szCs w:val="28"/>
        </w:rPr>
        <w:t>附件</w:t>
      </w:r>
      <w:bookmarkStart w:id="161" w:name="_Toc325726039"/>
      <w:bookmarkStart w:id="162" w:name="_Toc376936770"/>
      <w:r>
        <w:rPr>
          <w:rFonts w:hint="eastAsia" w:ascii="宋体"/>
          <w:b/>
          <w:sz w:val="28"/>
          <w:szCs w:val="28"/>
        </w:rPr>
        <w:t>11：分项报价表</w:t>
      </w:r>
      <w:bookmarkEnd w:id="160"/>
      <w:bookmarkEnd w:id="161"/>
      <w:bookmarkEnd w:id="162"/>
    </w:p>
    <w:p>
      <w:pPr>
        <w:widowControl/>
        <w:snapToGrid w:val="0"/>
        <w:spacing w:line="360" w:lineRule="auto"/>
        <w:ind w:firstLine="0" w:firstLineChars="0"/>
        <w:jc w:val="center"/>
        <w:outlineLvl w:val="1"/>
        <w:rPr>
          <w:rFonts w:ascii="宋体"/>
          <w:b/>
          <w:sz w:val="36"/>
          <w:szCs w:val="36"/>
        </w:rPr>
      </w:pPr>
    </w:p>
    <w:p>
      <w:pPr>
        <w:ind w:firstLine="3813" w:firstLineChars="1055"/>
        <w:rPr>
          <w:rFonts w:ascii="宋体" w:hAnsi="宋体"/>
          <w:b/>
          <w:sz w:val="36"/>
          <w:szCs w:val="36"/>
        </w:rPr>
      </w:pPr>
      <w:r>
        <w:rPr>
          <w:rFonts w:hint="eastAsia" w:ascii="宋体" w:hAnsi="宋体"/>
          <w:b/>
          <w:sz w:val="36"/>
          <w:szCs w:val="36"/>
        </w:rPr>
        <w:t>分项报价表</w:t>
      </w:r>
    </w:p>
    <w:p>
      <w:pPr>
        <w:ind w:firstLine="0" w:firstLineChars="0"/>
        <w:rPr>
          <w:rFonts w:ascii="宋体" w:hAnsi="宋体"/>
          <w:b/>
        </w:rPr>
      </w:pPr>
      <w:r>
        <w:rPr>
          <w:rFonts w:hint="eastAsia" w:ascii="宋体" w:hAnsi="宋体"/>
          <w:b/>
        </w:rPr>
        <w:t>投标单位名称:</w:t>
      </w:r>
    </w:p>
    <w:p>
      <w:pPr>
        <w:pStyle w:val="2"/>
        <w:ind w:firstLine="0" w:firstLineChars="0"/>
        <w:rPr>
          <w:rFonts w:ascii="宋体" w:hAnsi="宋体"/>
          <w:b/>
          <w:sz w:val="24"/>
        </w:rPr>
      </w:pPr>
      <w:r>
        <w:rPr>
          <w:rFonts w:hint="eastAsia" w:ascii="宋体" w:hAnsi="宋体"/>
          <w:b/>
          <w:sz w:val="24"/>
        </w:rPr>
        <w:t>所投包号：</w:t>
      </w:r>
    </w:p>
    <w:p>
      <w:pPr>
        <w:ind w:firstLine="0" w:firstLineChars="0"/>
        <w:jc w:val="right"/>
        <w:rPr>
          <w:rFonts w:ascii="宋体" w:hAnsi="宋体"/>
        </w:rPr>
      </w:pPr>
      <w:r>
        <w:rPr>
          <w:rFonts w:hint="eastAsia" w:ascii="宋体" w:hAnsi="宋体"/>
        </w:rPr>
        <w:t>单位：人民币（元）</w:t>
      </w:r>
    </w:p>
    <w:tbl>
      <w:tblPr>
        <w:tblStyle w:val="64"/>
        <w:tblW w:w="891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58"/>
        <w:gridCol w:w="1497"/>
        <w:gridCol w:w="1134"/>
        <w:gridCol w:w="910"/>
        <w:gridCol w:w="1356"/>
        <w:gridCol w:w="953"/>
        <w:gridCol w:w="710"/>
        <w:gridCol w:w="851"/>
        <w:gridCol w:w="8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0" w:firstLineChars="0"/>
              <w:jc w:val="center"/>
              <w:rPr>
                <w:rFonts w:ascii="宋体" w:hAnsi="宋体"/>
              </w:rPr>
            </w:pPr>
            <w:r>
              <w:rPr>
                <w:rFonts w:hint="eastAsia" w:ascii="宋体" w:hAnsi="宋体"/>
              </w:rPr>
              <w:t>序号</w:t>
            </w:r>
          </w:p>
        </w:tc>
        <w:tc>
          <w:tcPr>
            <w:tcW w:w="1497" w:type="dxa"/>
            <w:vAlign w:val="center"/>
          </w:tcPr>
          <w:p>
            <w:pPr>
              <w:ind w:firstLine="0" w:firstLineChars="0"/>
              <w:jc w:val="center"/>
              <w:rPr>
                <w:rFonts w:ascii="宋体" w:hAnsi="宋体"/>
              </w:rPr>
            </w:pPr>
            <w:r>
              <w:rPr>
                <w:rFonts w:hint="eastAsia" w:ascii="宋体" w:hAnsi="宋体"/>
              </w:rPr>
              <w:t>产品名称</w:t>
            </w:r>
          </w:p>
        </w:tc>
        <w:tc>
          <w:tcPr>
            <w:tcW w:w="1134" w:type="dxa"/>
            <w:vAlign w:val="center"/>
          </w:tcPr>
          <w:p>
            <w:pPr>
              <w:ind w:firstLine="0" w:firstLineChars="0"/>
              <w:jc w:val="center"/>
              <w:rPr>
                <w:rFonts w:ascii="宋体" w:hAnsi="宋体"/>
              </w:rPr>
            </w:pPr>
            <w:r>
              <w:rPr>
                <w:rFonts w:hint="eastAsia" w:ascii="宋体" w:hAnsi="宋体"/>
              </w:rPr>
              <w:t>品牌</w:t>
            </w:r>
          </w:p>
        </w:tc>
        <w:tc>
          <w:tcPr>
            <w:tcW w:w="910" w:type="dxa"/>
            <w:vAlign w:val="center"/>
          </w:tcPr>
          <w:p>
            <w:pPr>
              <w:ind w:firstLine="0" w:firstLineChars="0"/>
              <w:jc w:val="center"/>
              <w:rPr>
                <w:rFonts w:ascii="宋体" w:hAnsi="宋体"/>
              </w:rPr>
            </w:pPr>
            <w:r>
              <w:rPr>
                <w:rFonts w:hint="eastAsia" w:ascii="宋体" w:hAnsi="宋体"/>
              </w:rPr>
              <w:t>规格或型号</w:t>
            </w:r>
          </w:p>
        </w:tc>
        <w:tc>
          <w:tcPr>
            <w:tcW w:w="1356" w:type="dxa"/>
            <w:vAlign w:val="center"/>
          </w:tcPr>
          <w:p>
            <w:pPr>
              <w:ind w:firstLine="0" w:firstLineChars="0"/>
              <w:jc w:val="center"/>
              <w:rPr>
                <w:rFonts w:ascii="宋体" w:hAnsi="宋体"/>
              </w:rPr>
            </w:pPr>
            <w:r>
              <w:rPr>
                <w:rFonts w:hint="eastAsia" w:ascii="宋体" w:hAnsi="宋体"/>
              </w:rPr>
              <w:t>生产厂家</w:t>
            </w:r>
          </w:p>
        </w:tc>
        <w:tc>
          <w:tcPr>
            <w:tcW w:w="953" w:type="dxa"/>
            <w:vAlign w:val="center"/>
          </w:tcPr>
          <w:p>
            <w:pPr>
              <w:ind w:firstLine="0" w:firstLineChars="0"/>
              <w:jc w:val="center"/>
              <w:rPr>
                <w:rFonts w:ascii="宋体" w:hAnsi="宋体"/>
              </w:rPr>
            </w:pPr>
            <w:r>
              <w:rPr>
                <w:rFonts w:hint="eastAsia" w:ascii="宋体" w:hAnsi="宋体"/>
              </w:rPr>
              <w:t>数量及单位</w:t>
            </w:r>
          </w:p>
        </w:tc>
        <w:tc>
          <w:tcPr>
            <w:tcW w:w="710" w:type="dxa"/>
            <w:vAlign w:val="center"/>
          </w:tcPr>
          <w:p>
            <w:pPr>
              <w:ind w:firstLine="0" w:firstLineChars="0"/>
              <w:jc w:val="center"/>
              <w:rPr>
                <w:rFonts w:ascii="宋体" w:hAnsi="宋体"/>
              </w:rPr>
            </w:pPr>
            <w:r>
              <w:rPr>
                <w:rFonts w:hint="eastAsia" w:ascii="宋体" w:hAnsi="宋体"/>
              </w:rPr>
              <w:t>单价</w:t>
            </w:r>
          </w:p>
        </w:tc>
        <w:tc>
          <w:tcPr>
            <w:tcW w:w="851" w:type="dxa"/>
            <w:vAlign w:val="center"/>
          </w:tcPr>
          <w:p>
            <w:pPr>
              <w:ind w:firstLine="0" w:firstLineChars="0"/>
              <w:jc w:val="center"/>
              <w:rPr>
                <w:rFonts w:ascii="宋体" w:hAnsi="宋体"/>
              </w:rPr>
            </w:pPr>
            <w:r>
              <w:rPr>
                <w:rFonts w:hint="eastAsia" w:ascii="宋体" w:hAnsi="宋体"/>
              </w:rPr>
              <w:t>合计</w:t>
            </w:r>
          </w:p>
        </w:tc>
        <w:tc>
          <w:tcPr>
            <w:tcW w:w="850" w:type="dxa"/>
            <w:vAlign w:val="center"/>
          </w:tcPr>
          <w:p>
            <w:pPr>
              <w:ind w:firstLine="0" w:firstLineChars="0"/>
              <w:jc w:val="center"/>
              <w:rPr>
                <w:rFonts w:ascii="宋体" w:hAnsi="宋体"/>
              </w:rPr>
            </w:pPr>
            <w:r>
              <w:rPr>
                <w:rFonts w:hint="eastAsia" w:ascii="宋体" w:hAnsi="宋体"/>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ascii="宋体" w:hAnsi="宋体"/>
              </w:rPr>
            </w:pPr>
            <w:r>
              <w:rPr>
                <w:rFonts w:hint="eastAsia" w:ascii="宋体" w:hAnsi="宋体"/>
              </w:rPr>
              <w:t>1</w:t>
            </w:r>
          </w:p>
        </w:tc>
        <w:tc>
          <w:tcPr>
            <w:tcW w:w="1497" w:type="dxa"/>
            <w:vAlign w:val="center"/>
          </w:tcPr>
          <w:p>
            <w:pPr>
              <w:ind w:firstLine="480"/>
              <w:jc w:val="center"/>
              <w:rPr>
                <w:rFonts w:ascii="宋体" w:hAnsi="宋体"/>
              </w:rPr>
            </w:pPr>
          </w:p>
        </w:tc>
        <w:tc>
          <w:tcPr>
            <w:tcW w:w="1134" w:type="dxa"/>
            <w:vAlign w:val="center"/>
          </w:tcPr>
          <w:p>
            <w:pPr>
              <w:ind w:firstLine="480"/>
              <w:jc w:val="center"/>
              <w:rPr>
                <w:rFonts w:ascii="宋体" w:hAnsi="宋体"/>
              </w:rPr>
            </w:pPr>
          </w:p>
        </w:tc>
        <w:tc>
          <w:tcPr>
            <w:tcW w:w="910" w:type="dxa"/>
            <w:vAlign w:val="center"/>
          </w:tcPr>
          <w:p>
            <w:pPr>
              <w:ind w:firstLine="480"/>
              <w:jc w:val="center"/>
              <w:rPr>
                <w:rFonts w:ascii="宋体" w:hAnsi="宋体"/>
              </w:rPr>
            </w:pPr>
          </w:p>
        </w:tc>
        <w:tc>
          <w:tcPr>
            <w:tcW w:w="1356" w:type="dxa"/>
            <w:vAlign w:val="center"/>
          </w:tcPr>
          <w:p>
            <w:pPr>
              <w:ind w:firstLine="480"/>
              <w:jc w:val="center"/>
              <w:rPr>
                <w:rFonts w:ascii="宋体" w:hAnsi="宋体"/>
              </w:rPr>
            </w:pPr>
          </w:p>
        </w:tc>
        <w:tc>
          <w:tcPr>
            <w:tcW w:w="953" w:type="dxa"/>
            <w:vAlign w:val="center"/>
          </w:tcPr>
          <w:p>
            <w:pPr>
              <w:ind w:firstLine="480"/>
              <w:jc w:val="center"/>
              <w:rPr>
                <w:rFonts w:ascii="宋体" w:hAnsi="宋体"/>
              </w:rPr>
            </w:pPr>
          </w:p>
        </w:tc>
        <w:tc>
          <w:tcPr>
            <w:tcW w:w="710" w:type="dxa"/>
            <w:vAlign w:val="center"/>
          </w:tcPr>
          <w:p>
            <w:pPr>
              <w:ind w:firstLine="480"/>
              <w:jc w:val="center"/>
              <w:rPr>
                <w:rFonts w:ascii="宋体" w:hAnsi="宋体"/>
              </w:rPr>
            </w:pPr>
          </w:p>
        </w:tc>
        <w:tc>
          <w:tcPr>
            <w:tcW w:w="851" w:type="dxa"/>
            <w:vAlign w:val="center"/>
          </w:tcPr>
          <w:p>
            <w:pPr>
              <w:ind w:firstLine="480"/>
              <w:jc w:val="center"/>
              <w:rPr>
                <w:rFonts w:ascii="宋体" w:hAnsi="宋体"/>
              </w:rPr>
            </w:pPr>
          </w:p>
        </w:tc>
        <w:tc>
          <w:tcPr>
            <w:tcW w:w="850" w:type="dxa"/>
            <w:vAlign w:val="center"/>
          </w:tcPr>
          <w:p>
            <w:pPr>
              <w:ind w:firstLine="480"/>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ascii="宋体" w:hAnsi="宋体"/>
              </w:rPr>
            </w:pPr>
            <w:r>
              <w:rPr>
                <w:rFonts w:hint="eastAsia" w:ascii="宋体" w:hAnsi="宋体"/>
              </w:rPr>
              <w:t>2</w:t>
            </w:r>
          </w:p>
        </w:tc>
        <w:tc>
          <w:tcPr>
            <w:tcW w:w="1497" w:type="dxa"/>
            <w:vAlign w:val="center"/>
          </w:tcPr>
          <w:p>
            <w:pPr>
              <w:ind w:firstLine="480"/>
              <w:jc w:val="center"/>
              <w:rPr>
                <w:rFonts w:ascii="宋体" w:hAnsi="宋体"/>
              </w:rPr>
            </w:pPr>
          </w:p>
        </w:tc>
        <w:tc>
          <w:tcPr>
            <w:tcW w:w="1134" w:type="dxa"/>
            <w:vAlign w:val="center"/>
          </w:tcPr>
          <w:p>
            <w:pPr>
              <w:ind w:firstLine="480"/>
              <w:jc w:val="center"/>
              <w:rPr>
                <w:rFonts w:ascii="宋体" w:hAnsi="宋体"/>
              </w:rPr>
            </w:pPr>
          </w:p>
        </w:tc>
        <w:tc>
          <w:tcPr>
            <w:tcW w:w="910" w:type="dxa"/>
            <w:vAlign w:val="center"/>
          </w:tcPr>
          <w:p>
            <w:pPr>
              <w:ind w:firstLine="480"/>
              <w:jc w:val="center"/>
              <w:rPr>
                <w:rFonts w:ascii="宋体" w:hAnsi="宋体"/>
              </w:rPr>
            </w:pPr>
          </w:p>
        </w:tc>
        <w:tc>
          <w:tcPr>
            <w:tcW w:w="1356" w:type="dxa"/>
            <w:vAlign w:val="center"/>
          </w:tcPr>
          <w:p>
            <w:pPr>
              <w:ind w:firstLine="480"/>
              <w:jc w:val="center"/>
              <w:rPr>
                <w:rFonts w:ascii="宋体" w:hAnsi="宋体"/>
              </w:rPr>
            </w:pPr>
          </w:p>
        </w:tc>
        <w:tc>
          <w:tcPr>
            <w:tcW w:w="953" w:type="dxa"/>
            <w:vAlign w:val="center"/>
          </w:tcPr>
          <w:p>
            <w:pPr>
              <w:ind w:firstLine="480"/>
              <w:jc w:val="center"/>
              <w:rPr>
                <w:rFonts w:ascii="宋体" w:hAnsi="宋体"/>
              </w:rPr>
            </w:pPr>
          </w:p>
        </w:tc>
        <w:tc>
          <w:tcPr>
            <w:tcW w:w="710" w:type="dxa"/>
            <w:vAlign w:val="center"/>
          </w:tcPr>
          <w:p>
            <w:pPr>
              <w:ind w:firstLine="480"/>
              <w:jc w:val="center"/>
              <w:rPr>
                <w:rFonts w:ascii="宋体" w:hAnsi="宋体"/>
              </w:rPr>
            </w:pPr>
          </w:p>
        </w:tc>
        <w:tc>
          <w:tcPr>
            <w:tcW w:w="851" w:type="dxa"/>
            <w:vAlign w:val="center"/>
          </w:tcPr>
          <w:p>
            <w:pPr>
              <w:ind w:firstLine="480"/>
              <w:jc w:val="center"/>
              <w:rPr>
                <w:rFonts w:ascii="宋体" w:hAnsi="宋体"/>
              </w:rPr>
            </w:pPr>
          </w:p>
        </w:tc>
        <w:tc>
          <w:tcPr>
            <w:tcW w:w="850" w:type="dxa"/>
            <w:vAlign w:val="center"/>
          </w:tcPr>
          <w:p>
            <w:pPr>
              <w:ind w:firstLine="480"/>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ascii="宋体" w:hAnsi="宋体"/>
              </w:rPr>
            </w:pPr>
            <w:r>
              <w:rPr>
                <w:rFonts w:hint="eastAsia" w:ascii="宋体" w:hAnsi="宋体"/>
              </w:rPr>
              <w:t>3</w:t>
            </w:r>
          </w:p>
        </w:tc>
        <w:tc>
          <w:tcPr>
            <w:tcW w:w="1497" w:type="dxa"/>
            <w:vAlign w:val="center"/>
          </w:tcPr>
          <w:p>
            <w:pPr>
              <w:ind w:firstLine="480"/>
              <w:jc w:val="center"/>
              <w:rPr>
                <w:rFonts w:ascii="宋体" w:hAnsi="宋体"/>
              </w:rPr>
            </w:pPr>
          </w:p>
        </w:tc>
        <w:tc>
          <w:tcPr>
            <w:tcW w:w="1134" w:type="dxa"/>
            <w:vAlign w:val="center"/>
          </w:tcPr>
          <w:p>
            <w:pPr>
              <w:ind w:firstLine="480"/>
              <w:jc w:val="center"/>
              <w:rPr>
                <w:rFonts w:ascii="宋体" w:hAnsi="宋体"/>
              </w:rPr>
            </w:pPr>
          </w:p>
        </w:tc>
        <w:tc>
          <w:tcPr>
            <w:tcW w:w="910" w:type="dxa"/>
            <w:vAlign w:val="center"/>
          </w:tcPr>
          <w:p>
            <w:pPr>
              <w:ind w:firstLine="480"/>
              <w:jc w:val="center"/>
              <w:rPr>
                <w:rFonts w:ascii="宋体" w:hAnsi="宋体"/>
              </w:rPr>
            </w:pPr>
          </w:p>
        </w:tc>
        <w:tc>
          <w:tcPr>
            <w:tcW w:w="1356" w:type="dxa"/>
            <w:vAlign w:val="center"/>
          </w:tcPr>
          <w:p>
            <w:pPr>
              <w:ind w:firstLine="480"/>
              <w:jc w:val="center"/>
              <w:rPr>
                <w:rFonts w:ascii="宋体" w:hAnsi="宋体"/>
              </w:rPr>
            </w:pPr>
          </w:p>
        </w:tc>
        <w:tc>
          <w:tcPr>
            <w:tcW w:w="953" w:type="dxa"/>
            <w:vAlign w:val="center"/>
          </w:tcPr>
          <w:p>
            <w:pPr>
              <w:ind w:firstLine="480"/>
              <w:jc w:val="center"/>
              <w:rPr>
                <w:rFonts w:ascii="宋体" w:hAnsi="宋体"/>
              </w:rPr>
            </w:pPr>
          </w:p>
        </w:tc>
        <w:tc>
          <w:tcPr>
            <w:tcW w:w="710" w:type="dxa"/>
            <w:vAlign w:val="center"/>
          </w:tcPr>
          <w:p>
            <w:pPr>
              <w:ind w:firstLine="480"/>
              <w:jc w:val="center"/>
              <w:rPr>
                <w:rFonts w:ascii="宋体" w:hAnsi="宋体"/>
              </w:rPr>
            </w:pPr>
          </w:p>
        </w:tc>
        <w:tc>
          <w:tcPr>
            <w:tcW w:w="851" w:type="dxa"/>
            <w:vAlign w:val="center"/>
          </w:tcPr>
          <w:p>
            <w:pPr>
              <w:ind w:firstLine="480"/>
              <w:jc w:val="center"/>
              <w:rPr>
                <w:rFonts w:ascii="宋体" w:hAnsi="宋体"/>
              </w:rPr>
            </w:pPr>
          </w:p>
        </w:tc>
        <w:tc>
          <w:tcPr>
            <w:tcW w:w="850" w:type="dxa"/>
            <w:vAlign w:val="center"/>
          </w:tcPr>
          <w:p>
            <w:pPr>
              <w:ind w:firstLine="480"/>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ascii="宋体" w:hAnsi="宋体"/>
              </w:rPr>
            </w:pPr>
            <w:r>
              <w:rPr>
                <w:rFonts w:hint="eastAsia" w:ascii="宋体" w:hAnsi="宋体"/>
              </w:rPr>
              <w:t>4</w:t>
            </w:r>
          </w:p>
        </w:tc>
        <w:tc>
          <w:tcPr>
            <w:tcW w:w="1497" w:type="dxa"/>
            <w:vAlign w:val="center"/>
          </w:tcPr>
          <w:p>
            <w:pPr>
              <w:ind w:firstLine="480"/>
              <w:jc w:val="center"/>
              <w:rPr>
                <w:rFonts w:ascii="宋体" w:hAnsi="宋体"/>
              </w:rPr>
            </w:pPr>
          </w:p>
        </w:tc>
        <w:tc>
          <w:tcPr>
            <w:tcW w:w="1134" w:type="dxa"/>
            <w:vAlign w:val="center"/>
          </w:tcPr>
          <w:p>
            <w:pPr>
              <w:ind w:firstLine="480"/>
              <w:jc w:val="center"/>
              <w:rPr>
                <w:rFonts w:ascii="宋体" w:hAnsi="宋体"/>
              </w:rPr>
            </w:pPr>
          </w:p>
        </w:tc>
        <w:tc>
          <w:tcPr>
            <w:tcW w:w="910" w:type="dxa"/>
            <w:vAlign w:val="center"/>
          </w:tcPr>
          <w:p>
            <w:pPr>
              <w:ind w:firstLine="480"/>
              <w:jc w:val="center"/>
              <w:rPr>
                <w:rFonts w:ascii="宋体" w:hAnsi="宋体"/>
              </w:rPr>
            </w:pPr>
          </w:p>
        </w:tc>
        <w:tc>
          <w:tcPr>
            <w:tcW w:w="1356" w:type="dxa"/>
            <w:vAlign w:val="center"/>
          </w:tcPr>
          <w:p>
            <w:pPr>
              <w:ind w:firstLine="480"/>
              <w:jc w:val="center"/>
              <w:rPr>
                <w:rFonts w:ascii="宋体" w:hAnsi="宋体"/>
              </w:rPr>
            </w:pPr>
          </w:p>
        </w:tc>
        <w:tc>
          <w:tcPr>
            <w:tcW w:w="953" w:type="dxa"/>
            <w:vAlign w:val="center"/>
          </w:tcPr>
          <w:p>
            <w:pPr>
              <w:ind w:firstLine="480"/>
              <w:jc w:val="center"/>
              <w:rPr>
                <w:rFonts w:ascii="宋体" w:hAnsi="宋体"/>
              </w:rPr>
            </w:pPr>
          </w:p>
        </w:tc>
        <w:tc>
          <w:tcPr>
            <w:tcW w:w="710" w:type="dxa"/>
            <w:vAlign w:val="center"/>
          </w:tcPr>
          <w:p>
            <w:pPr>
              <w:ind w:firstLine="480"/>
              <w:jc w:val="center"/>
              <w:rPr>
                <w:rFonts w:ascii="宋体" w:hAnsi="宋体"/>
              </w:rPr>
            </w:pPr>
          </w:p>
        </w:tc>
        <w:tc>
          <w:tcPr>
            <w:tcW w:w="851" w:type="dxa"/>
            <w:vAlign w:val="center"/>
          </w:tcPr>
          <w:p>
            <w:pPr>
              <w:ind w:firstLine="480"/>
              <w:jc w:val="center"/>
              <w:rPr>
                <w:rFonts w:ascii="宋体" w:hAnsi="宋体"/>
              </w:rPr>
            </w:pPr>
          </w:p>
        </w:tc>
        <w:tc>
          <w:tcPr>
            <w:tcW w:w="850" w:type="dxa"/>
            <w:vAlign w:val="center"/>
          </w:tcPr>
          <w:p>
            <w:pPr>
              <w:ind w:firstLine="480"/>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ascii="宋体" w:hAnsi="宋体"/>
              </w:rPr>
            </w:pPr>
            <w:r>
              <w:rPr>
                <w:rFonts w:ascii="宋体" w:hAnsi="宋体"/>
              </w:rPr>
              <w:t>…</w:t>
            </w:r>
          </w:p>
        </w:tc>
        <w:tc>
          <w:tcPr>
            <w:tcW w:w="1497" w:type="dxa"/>
            <w:vAlign w:val="center"/>
          </w:tcPr>
          <w:p>
            <w:pPr>
              <w:ind w:firstLine="480"/>
              <w:jc w:val="center"/>
              <w:rPr>
                <w:rFonts w:ascii="宋体" w:hAnsi="宋体"/>
              </w:rPr>
            </w:pPr>
          </w:p>
        </w:tc>
        <w:tc>
          <w:tcPr>
            <w:tcW w:w="1134" w:type="dxa"/>
            <w:vAlign w:val="center"/>
          </w:tcPr>
          <w:p>
            <w:pPr>
              <w:ind w:firstLine="480"/>
              <w:jc w:val="center"/>
              <w:rPr>
                <w:rFonts w:ascii="宋体" w:hAnsi="宋体"/>
              </w:rPr>
            </w:pPr>
          </w:p>
        </w:tc>
        <w:tc>
          <w:tcPr>
            <w:tcW w:w="910" w:type="dxa"/>
            <w:vAlign w:val="center"/>
          </w:tcPr>
          <w:p>
            <w:pPr>
              <w:ind w:firstLine="480"/>
              <w:jc w:val="center"/>
              <w:rPr>
                <w:rFonts w:ascii="宋体" w:hAnsi="宋体"/>
              </w:rPr>
            </w:pPr>
          </w:p>
        </w:tc>
        <w:tc>
          <w:tcPr>
            <w:tcW w:w="1356" w:type="dxa"/>
            <w:vAlign w:val="center"/>
          </w:tcPr>
          <w:p>
            <w:pPr>
              <w:ind w:firstLine="480"/>
              <w:jc w:val="center"/>
              <w:rPr>
                <w:rFonts w:ascii="宋体" w:hAnsi="宋体"/>
              </w:rPr>
            </w:pPr>
          </w:p>
        </w:tc>
        <w:tc>
          <w:tcPr>
            <w:tcW w:w="953" w:type="dxa"/>
            <w:vAlign w:val="center"/>
          </w:tcPr>
          <w:p>
            <w:pPr>
              <w:ind w:firstLine="480"/>
              <w:jc w:val="center"/>
              <w:rPr>
                <w:rFonts w:ascii="宋体" w:hAnsi="宋体"/>
              </w:rPr>
            </w:pPr>
          </w:p>
        </w:tc>
        <w:tc>
          <w:tcPr>
            <w:tcW w:w="710" w:type="dxa"/>
            <w:vAlign w:val="center"/>
          </w:tcPr>
          <w:p>
            <w:pPr>
              <w:ind w:firstLine="480"/>
              <w:jc w:val="center"/>
              <w:rPr>
                <w:rFonts w:ascii="宋体" w:hAnsi="宋体"/>
              </w:rPr>
            </w:pPr>
          </w:p>
        </w:tc>
        <w:tc>
          <w:tcPr>
            <w:tcW w:w="851" w:type="dxa"/>
            <w:vAlign w:val="center"/>
          </w:tcPr>
          <w:p>
            <w:pPr>
              <w:ind w:firstLine="480"/>
              <w:jc w:val="center"/>
              <w:rPr>
                <w:rFonts w:ascii="宋体" w:hAnsi="宋体"/>
              </w:rPr>
            </w:pPr>
          </w:p>
        </w:tc>
        <w:tc>
          <w:tcPr>
            <w:tcW w:w="850" w:type="dxa"/>
            <w:vAlign w:val="center"/>
          </w:tcPr>
          <w:p>
            <w:pPr>
              <w:ind w:firstLine="480"/>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vAlign w:val="center"/>
          </w:tcPr>
          <w:p>
            <w:pPr>
              <w:ind w:firstLine="0" w:firstLineChars="0"/>
              <w:rPr>
                <w:rFonts w:ascii="宋体" w:hAnsi="宋体"/>
              </w:rPr>
            </w:pPr>
            <w:r>
              <w:rPr>
                <w:rFonts w:hint="eastAsia" w:ascii="宋体" w:hAnsi="宋体"/>
                <w:b/>
              </w:rPr>
              <w:t>其他承诺及需要说明的事项：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155" w:type="dxa"/>
            <w:gridSpan w:val="2"/>
            <w:vAlign w:val="center"/>
          </w:tcPr>
          <w:p>
            <w:pPr>
              <w:ind w:firstLine="480"/>
              <w:rPr>
                <w:rFonts w:ascii="宋体" w:hAnsi="宋体"/>
              </w:rPr>
            </w:pPr>
            <w:r>
              <w:rPr>
                <w:rFonts w:hint="eastAsia" w:ascii="宋体" w:hAnsi="宋体"/>
              </w:rPr>
              <w:t>投标总价</w:t>
            </w:r>
          </w:p>
        </w:tc>
        <w:tc>
          <w:tcPr>
            <w:tcW w:w="6764" w:type="dxa"/>
            <w:gridSpan w:val="7"/>
            <w:vAlign w:val="center"/>
          </w:tcPr>
          <w:p>
            <w:pPr>
              <w:ind w:firstLine="480"/>
              <w:rPr>
                <w:rFonts w:ascii="宋体" w:hAnsi="宋体"/>
              </w:rPr>
            </w:pPr>
            <w:r>
              <w:rPr>
                <w:rFonts w:hint="eastAsia" w:ascii="宋体" w:hAnsi="宋体"/>
              </w:rPr>
              <w:t>大写：                      小写：</w:t>
            </w:r>
          </w:p>
        </w:tc>
      </w:tr>
    </w:tbl>
    <w:p>
      <w:pPr>
        <w:spacing w:line="276" w:lineRule="auto"/>
        <w:ind w:firstLine="352" w:firstLineChars="147"/>
        <w:rPr>
          <w:rFonts w:ascii="宋体" w:hAnsi="宋体"/>
        </w:rPr>
      </w:pPr>
      <w:r>
        <w:rPr>
          <w:rFonts w:hint="eastAsia" w:ascii="宋体" w:hAnsi="宋体"/>
        </w:rPr>
        <w:t>注：本表应依照采购一览表中的产品序号按顺序逐项填写，不得遗漏，否则</w:t>
      </w:r>
      <w:r>
        <w:rPr>
          <w:rFonts w:hint="eastAsia" w:ascii="宋体" w:hAnsi="宋体"/>
          <w:kern w:val="0"/>
          <w:szCs w:val="20"/>
        </w:rPr>
        <w:t>，按无效投标处理</w:t>
      </w:r>
      <w:r>
        <w:rPr>
          <w:rFonts w:hint="eastAsia" w:ascii="宋体" w:hAnsi="宋体"/>
        </w:rPr>
        <w:t>。</w:t>
      </w:r>
    </w:p>
    <w:p>
      <w:pPr>
        <w:adjustRightInd w:val="0"/>
        <w:ind w:firstLine="480"/>
        <w:textAlignment w:val="baseline"/>
        <w:rPr>
          <w:rFonts w:ascii="宋体" w:hAnsi="宋体"/>
        </w:rPr>
      </w:pPr>
    </w:p>
    <w:p>
      <w:pPr>
        <w:adjustRightInd w:val="0"/>
        <w:ind w:firstLine="480"/>
        <w:textAlignment w:val="baseline"/>
        <w:rPr>
          <w:rFonts w:ascii="宋体" w:hAnsi="宋体"/>
        </w:rPr>
      </w:pPr>
    </w:p>
    <w:p>
      <w:pPr>
        <w:adjustRightInd w:val="0"/>
        <w:ind w:firstLine="480"/>
        <w:textAlignment w:val="baseline"/>
        <w:rPr>
          <w:rFonts w:ascii="宋体" w:hAnsi="宋体"/>
        </w:rPr>
      </w:pPr>
    </w:p>
    <w:p>
      <w:pPr>
        <w:adjustRightInd w:val="0"/>
        <w:ind w:firstLine="480"/>
        <w:textAlignment w:val="baseline"/>
        <w:rPr>
          <w:rFonts w:ascii="宋体" w:hAnsi="宋体"/>
        </w:rPr>
      </w:pPr>
    </w:p>
    <w:p>
      <w:pPr>
        <w:adjustRightInd w:val="0"/>
        <w:ind w:firstLine="480"/>
        <w:textAlignment w:val="baseline"/>
        <w:rPr>
          <w:rFonts w:ascii="宋体" w:hAnsi="宋体"/>
        </w:rPr>
      </w:pPr>
    </w:p>
    <w:p>
      <w:pPr>
        <w:adjustRightInd w:val="0"/>
        <w:ind w:firstLine="480"/>
        <w:textAlignment w:val="baseline"/>
        <w:rPr>
          <w:rFonts w:ascii="宋体" w:hAnsi="宋体"/>
        </w:rPr>
      </w:pPr>
    </w:p>
    <w:p>
      <w:pPr>
        <w:ind w:firstLine="199" w:firstLineChars="83"/>
        <w:rPr>
          <w:rFonts w:ascii="宋体" w:hAnsi="宋体"/>
        </w:rPr>
      </w:pPr>
    </w:p>
    <w:p>
      <w:pPr>
        <w:ind w:firstLine="199" w:firstLineChars="83"/>
        <w:rPr>
          <w:rFonts w:ascii="宋体" w:hAnsi="宋体"/>
        </w:rPr>
      </w:pPr>
    </w:p>
    <w:p>
      <w:pPr>
        <w:ind w:firstLine="199" w:firstLineChars="83"/>
        <w:rPr>
          <w:rFonts w:ascii="宋体" w:hAnsi="宋体"/>
        </w:rPr>
      </w:pPr>
    </w:p>
    <w:p>
      <w:pPr>
        <w:ind w:firstLine="4566" w:firstLineChars="1895"/>
        <w:rPr>
          <w:rFonts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pPr>
        <w:ind w:right="480" w:firstLine="5542" w:firstLineChars="2300"/>
        <w:rPr>
          <w:b/>
        </w:rPr>
      </w:pPr>
      <w:r>
        <w:rPr>
          <w:rFonts w:hint="eastAsia"/>
          <w:b/>
        </w:rPr>
        <w:t>年  月  日</w:t>
      </w:r>
    </w:p>
    <w:p>
      <w:pPr>
        <w:widowControl/>
        <w:snapToGrid w:val="0"/>
        <w:spacing w:line="360" w:lineRule="auto"/>
        <w:ind w:firstLine="0" w:firstLineChars="0"/>
        <w:outlineLvl w:val="1"/>
        <w:rPr>
          <w:rFonts w:ascii="宋体"/>
          <w:b/>
          <w:sz w:val="28"/>
          <w:szCs w:val="28"/>
        </w:rPr>
      </w:pPr>
      <w:bookmarkStart w:id="163" w:name="_Toc82441640"/>
      <w:r>
        <w:rPr>
          <w:rFonts w:hint="eastAsia" w:ascii="宋体"/>
          <w:b/>
          <w:sz w:val="28"/>
          <w:szCs w:val="28"/>
        </w:rPr>
        <w:t>附件</w:t>
      </w:r>
      <w:bookmarkStart w:id="164" w:name="_Toc376936771"/>
      <w:bookmarkStart w:id="165" w:name="_Toc325726040"/>
      <w:r>
        <w:rPr>
          <w:rFonts w:hint="eastAsia" w:ascii="宋体"/>
          <w:b/>
          <w:sz w:val="28"/>
          <w:szCs w:val="28"/>
        </w:rPr>
        <w:t>12：技术规格响应表</w:t>
      </w:r>
      <w:bookmarkEnd w:id="163"/>
      <w:bookmarkEnd w:id="164"/>
      <w:bookmarkEnd w:id="165"/>
    </w:p>
    <w:p>
      <w:pPr>
        <w:ind w:firstLine="0" w:firstLineChars="0"/>
        <w:jc w:val="center"/>
        <w:rPr>
          <w:rFonts w:ascii="宋体" w:hAnsi="宋体"/>
          <w:b/>
          <w:sz w:val="36"/>
          <w:szCs w:val="36"/>
        </w:rPr>
      </w:pPr>
    </w:p>
    <w:p>
      <w:pPr>
        <w:ind w:firstLine="0" w:firstLineChars="0"/>
        <w:jc w:val="center"/>
        <w:rPr>
          <w:rFonts w:ascii="宋体" w:hAnsi="宋体"/>
          <w:b/>
          <w:sz w:val="36"/>
          <w:szCs w:val="36"/>
        </w:rPr>
      </w:pPr>
      <w:r>
        <w:rPr>
          <w:rFonts w:hint="eastAsia" w:ascii="宋体" w:hAnsi="宋体"/>
          <w:b/>
          <w:sz w:val="36"/>
          <w:szCs w:val="36"/>
        </w:rPr>
        <w:t>技术规格响应表</w:t>
      </w:r>
    </w:p>
    <w:p>
      <w:pPr>
        <w:ind w:firstLine="0" w:firstLineChars="0"/>
        <w:rPr>
          <w:rFonts w:ascii="宋体" w:hAnsi="宋体"/>
          <w:b/>
        </w:rPr>
      </w:pPr>
      <w:r>
        <w:rPr>
          <w:rFonts w:hint="eastAsia" w:ascii="宋体" w:hAnsi="宋体"/>
          <w:b/>
        </w:rPr>
        <w:t>投标单位名称:</w:t>
      </w:r>
    </w:p>
    <w:p>
      <w:pPr>
        <w:ind w:firstLine="0" w:firstLineChars="0"/>
        <w:rPr>
          <w:rFonts w:ascii="宋体" w:hAnsi="宋体"/>
          <w:b/>
        </w:rPr>
      </w:pPr>
      <w:r>
        <w:rPr>
          <w:rFonts w:hint="eastAsia" w:ascii="宋体" w:hAnsi="宋体"/>
          <w:b/>
        </w:rPr>
        <w:t>所投包号：</w:t>
      </w:r>
    </w:p>
    <w:tbl>
      <w:tblPr>
        <w:tblStyle w:val="64"/>
        <w:tblW w:w="895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32"/>
        <w:gridCol w:w="667"/>
        <w:gridCol w:w="2551"/>
        <w:gridCol w:w="567"/>
        <w:gridCol w:w="1418"/>
        <w:gridCol w:w="2551"/>
        <w:gridCol w:w="5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tcPr>
          <w:p>
            <w:pPr>
              <w:spacing w:before="40" w:after="40"/>
              <w:ind w:firstLine="480"/>
              <w:jc w:val="center"/>
              <w:rPr>
                <w:rFonts w:ascii="宋体" w:hAnsi="宋体"/>
              </w:rPr>
            </w:pPr>
            <w:r>
              <w:rPr>
                <w:rFonts w:hint="eastAsia" w:ascii="宋体" w:hAnsi="宋体"/>
              </w:rPr>
              <w:t xml:space="preserve">  </w:t>
            </w:r>
          </w:p>
        </w:tc>
        <w:tc>
          <w:tcPr>
            <w:tcW w:w="3218" w:type="dxa"/>
            <w:gridSpan w:val="2"/>
          </w:tcPr>
          <w:p>
            <w:pPr>
              <w:spacing w:before="40" w:after="40"/>
              <w:ind w:firstLine="120" w:firstLineChars="50"/>
              <w:rPr>
                <w:rFonts w:ascii="宋体" w:hAnsi="宋体"/>
              </w:rPr>
            </w:pPr>
            <w:r>
              <w:rPr>
                <w:rFonts w:hint="eastAsia" w:ascii="宋体" w:hAnsi="宋体"/>
              </w:rPr>
              <w:t>采购需求技术参数、指标</w:t>
            </w:r>
          </w:p>
        </w:tc>
        <w:tc>
          <w:tcPr>
            <w:tcW w:w="4536" w:type="dxa"/>
            <w:gridSpan w:val="3"/>
          </w:tcPr>
          <w:p>
            <w:pPr>
              <w:spacing w:before="40" w:after="40"/>
              <w:ind w:firstLine="480"/>
              <w:rPr>
                <w:rFonts w:ascii="宋体" w:hAnsi="宋体"/>
              </w:rPr>
            </w:pPr>
            <w:r>
              <w:rPr>
                <w:rFonts w:hint="eastAsia" w:ascii="宋体" w:hAnsi="宋体"/>
              </w:rPr>
              <w:t>投标产品技术参数、指标</w:t>
            </w:r>
          </w:p>
        </w:tc>
        <w:tc>
          <w:tcPr>
            <w:tcW w:w="567" w:type="dxa"/>
            <w:vAlign w:val="center"/>
          </w:tcPr>
          <w:p>
            <w:pPr>
              <w:spacing w:before="40" w:after="40"/>
              <w:ind w:firstLine="0" w:firstLineChars="0"/>
              <w:jc w:val="center"/>
              <w:rPr>
                <w:rFonts w:ascii="宋体" w:hAnsi="宋体"/>
              </w:rPr>
            </w:pPr>
            <w:r>
              <w:rPr>
                <w:rFonts w:hint="eastAsia" w:ascii="宋体" w:hAnsi="宋体"/>
              </w:rPr>
              <w:t>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tcPr>
          <w:p>
            <w:pPr>
              <w:spacing w:before="40" w:after="40"/>
              <w:ind w:firstLine="0" w:firstLineChars="0"/>
              <w:rPr>
                <w:rFonts w:ascii="宋体" w:hAnsi="宋体"/>
              </w:rPr>
            </w:pPr>
            <w:r>
              <w:rPr>
                <w:rFonts w:hint="eastAsia" w:ascii="宋体" w:hAnsi="宋体"/>
              </w:rPr>
              <w:t>序号</w:t>
            </w:r>
          </w:p>
        </w:tc>
        <w:tc>
          <w:tcPr>
            <w:tcW w:w="667" w:type="dxa"/>
            <w:vAlign w:val="center"/>
          </w:tcPr>
          <w:p>
            <w:pPr>
              <w:spacing w:before="40" w:after="40"/>
              <w:ind w:firstLine="0" w:firstLineChars="0"/>
              <w:rPr>
                <w:rFonts w:ascii="宋体" w:hAnsi="宋体"/>
              </w:rPr>
            </w:pPr>
            <w:r>
              <w:rPr>
                <w:rFonts w:hint="eastAsia" w:ascii="宋体" w:hAnsi="宋体"/>
              </w:rPr>
              <w:t>名称</w:t>
            </w:r>
          </w:p>
        </w:tc>
        <w:tc>
          <w:tcPr>
            <w:tcW w:w="2551" w:type="dxa"/>
            <w:vAlign w:val="center"/>
          </w:tcPr>
          <w:p>
            <w:pPr>
              <w:spacing w:before="40" w:after="40"/>
              <w:ind w:firstLine="0" w:firstLineChars="0"/>
              <w:rPr>
                <w:rFonts w:ascii="宋体" w:hAnsi="宋体"/>
              </w:rPr>
            </w:pPr>
            <w:r>
              <w:rPr>
                <w:rFonts w:hint="eastAsia" w:ascii="宋体" w:hAnsi="宋体"/>
              </w:rPr>
              <w:t>技术参数、指标及配置</w:t>
            </w:r>
          </w:p>
        </w:tc>
        <w:tc>
          <w:tcPr>
            <w:tcW w:w="567" w:type="dxa"/>
            <w:vAlign w:val="center"/>
          </w:tcPr>
          <w:p>
            <w:pPr>
              <w:spacing w:before="40" w:after="40"/>
              <w:ind w:firstLine="0" w:firstLineChars="0"/>
              <w:rPr>
                <w:rFonts w:ascii="宋体" w:hAnsi="宋体"/>
              </w:rPr>
            </w:pPr>
            <w:r>
              <w:rPr>
                <w:rFonts w:hint="eastAsia" w:ascii="宋体" w:hAnsi="宋体"/>
              </w:rPr>
              <w:t>名称</w:t>
            </w:r>
          </w:p>
        </w:tc>
        <w:tc>
          <w:tcPr>
            <w:tcW w:w="1418" w:type="dxa"/>
            <w:vAlign w:val="center"/>
          </w:tcPr>
          <w:p>
            <w:pPr>
              <w:spacing w:before="40" w:after="40"/>
              <w:ind w:firstLine="0" w:firstLineChars="0"/>
              <w:jc w:val="center"/>
              <w:rPr>
                <w:rFonts w:ascii="宋体" w:hAnsi="宋体"/>
              </w:rPr>
            </w:pPr>
            <w:r>
              <w:rPr>
                <w:rFonts w:hint="eastAsia" w:ascii="宋体" w:hAnsi="宋体"/>
              </w:rPr>
              <w:t>规格或型号</w:t>
            </w:r>
          </w:p>
        </w:tc>
        <w:tc>
          <w:tcPr>
            <w:tcW w:w="2551" w:type="dxa"/>
            <w:vAlign w:val="center"/>
          </w:tcPr>
          <w:p>
            <w:pPr>
              <w:spacing w:before="40" w:after="40"/>
              <w:ind w:left="94" w:firstLine="0" w:firstLineChars="0"/>
              <w:jc w:val="center"/>
              <w:rPr>
                <w:rFonts w:ascii="宋体" w:hAnsi="宋体"/>
              </w:rPr>
            </w:pPr>
            <w:r>
              <w:rPr>
                <w:rFonts w:hint="eastAsia" w:ascii="宋体" w:hAnsi="宋体"/>
              </w:rPr>
              <w:t>技术参数、指标及配置</w:t>
            </w:r>
          </w:p>
        </w:tc>
        <w:tc>
          <w:tcPr>
            <w:tcW w:w="567" w:type="dxa"/>
          </w:tcPr>
          <w:p>
            <w:pPr>
              <w:spacing w:before="40" w:after="40"/>
              <w:ind w:firstLine="480"/>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before="40" w:after="40"/>
              <w:ind w:firstLine="199" w:firstLineChars="83"/>
              <w:jc w:val="center"/>
              <w:rPr>
                <w:rFonts w:ascii="宋体" w:hAnsi="宋体"/>
              </w:rPr>
            </w:pPr>
            <w:r>
              <w:rPr>
                <w:rFonts w:hint="eastAsia" w:ascii="宋体" w:hAnsi="宋体"/>
              </w:rPr>
              <w:t>1</w:t>
            </w:r>
          </w:p>
        </w:tc>
        <w:tc>
          <w:tcPr>
            <w:tcW w:w="667" w:type="dxa"/>
          </w:tcPr>
          <w:p>
            <w:pPr>
              <w:spacing w:before="40" w:after="40"/>
              <w:ind w:firstLine="480"/>
              <w:jc w:val="center"/>
              <w:rPr>
                <w:rFonts w:ascii="宋体" w:hAnsi="宋体"/>
              </w:rPr>
            </w:pPr>
          </w:p>
        </w:tc>
        <w:tc>
          <w:tcPr>
            <w:tcW w:w="2551" w:type="dxa"/>
          </w:tcPr>
          <w:p>
            <w:pPr>
              <w:spacing w:before="40" w:after="40"/>
              <w:ind w:firstLine="480"/>
              <w:jc w:val="center"/>
              <w:rPr>
                <w:rFonts w:ascii="宋体" w:hAnsi="宋体"/>
              </w:rPr>
            </w:pPr>
          </w:p>
        </w:tc>
        <w:tc>
          <w:tcPr>
            <w:tcW w:w="567" w:type="dxa"/>
          </w:tcPr>
          <w:p>
            <w:pPr>
              <w:spacing w:before="40" w:after="40"/>
              <w:ind w:firstLine="480"/>
              <w:jc w:val="center"/>
              <w:rPr>
                <w:rFonts w:ascii="宋体" w:hAnsi="宋体"/>
              </w:rPr>
            </w:pPr>
          </w:p>
        </w:tc>
        <w:tc>
          <w:tcPr>
            <w:tcW w:w="1418" w:type="dxa"/>
          </w:tcPr>
          <w:p>
            <w:pPr>
              <w:spacing w:before="40" w:after="40"/>
              <w:ind w:firstLine="480"/>
              <w:jc w:val="center"/>
              <w:rPr>
                <w:rFonts w:ascii="宋体" w:hAnsi="宋体"/>
              </w:rPr>
            </w:pPr>
          </w:p>
        </w:tc>
        <w:tc>
          <w:tcPr>
            <w:tcW w:w="2551" w:type="dxa"/>
          </w:tcPr>
          <w:p>
            <w:pPr>
              <w:spacing w:before="40" w:after="40"/>
              <w:ind w:firstLine="480"/>
              <w:jc w:val="center"/>
              <w:rPr>
                <w:rFonts w:ascii="宋体" w:hAnsi="宋体"/>
              </w:rPr>
            </w:pPr>
          </w:p>
        </w:tc>
        <w:tc>
          <w:tcPr>
            <w:tcW w:w="567" w:type="dxa"/>
          </w:tcPr>
          <w:p>
            <w:pPr>
              <w:spacing w:before="40" w:after="40"/>
              <w:ind w:firstLine="480"/>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before="40" w:after="40"/>
              <w:ind w:firstLine="199" w:firstLineChars="83"/>
              <w:jc w:val="center"/>
              <w:rPr>
                <w:rFonts w:ascii="宋体" w:hAnsi="宋体"/>
              </w:rPr>
            </w:pPr>
            <w:r>
              <w:rPr>
                <w:rFonts w:hint="eastAsia" w:ascii="宋体" w:hAnsi="宋体"/>
              </w:rPr>
              <w:t>2</w:t>
            </w:r>
          </w:p>
        </w:tc>
        <w:tc>
          <w:tcPr>
            <w:tcW w:w="667" w:type="dxa"/>
          </w:tcPr>
          <w:p>
            <w:pPr>
              <w:spacing w:before="40" w:after="40"/>
              <w:ind w:firstLine="480"/>
              <w:jc w:val="center"/>
              <w:rPr>
                <w:rFonts w:ascii="宋体" w:hAnsi="宋体"/>
              </w:rPr>
            </w:pPr>
          </w:p>
        </w:tc>
        <w:tc>
          <w:tcPr>
            <w:tcW w:w="2551" w:type="dxa"/>
          </w:tcPr>
          <w:p>
            <w:pPr>
              <w:spacing w:before="40" w:after="40"/>
              <w:ind w:firstLine="480"/>
              <w:jc w:val="center"/>
              <w:rPr>
                <w:rFonts w:ascii="宋体" w:hAnsi="宋体"/>
              </w:rPr>
            </w:pPr>
          </w:p>
        </w:tc>
        <w:tc>
          <w:tcPr>
            <w:tcW w:w="567" w:type="dxa"/>
          </w:tcPr>
          <w:p>
            <w:pPr>
              <w:spacing w:before="40" w:after="40"/>
              <w:ind w:firstLine="480"/>
              <w:jc w:val="center"/>
              <w:rPr>
                <w:rFonts w:ascii="宋体" w:hAnsi="宋体"/>
              </w:rPr>
            </w:pPr>
          </w:p>
        </w:tc>
        <w:tc>
          <w:tcPr>
            <w:tcW w:w="1418" w:type="dxa"/>
          </w:tcPr>
          <w:p>
            <w:pPr>
              <w:spacing w:before="40" w:after="40"/>
              <w:ind w:firstLine="480"/>
              <w:jc w:val="center"/>
              <w:rPr>
                <w:rFonts w:ascii="宋体" w:hAnsi="宋体"/>
              </w:rPr>
            </w:pPr>
          </w:p>
        </w:tc>
        <w:tc>
          <w:tcPr>
            <w:tcW w:w="2551" w:type="dxa"/>
          </w:tcPr>
          <w:p>
            <w:pPr>
              <w:spacing w:before="40" w:after="40"/>
              <w:ind w:firstLine="480"/>
              <w:jc w:val="center"/>
              <w:rPr>
                <w:rFonts w:ascii="宋体" w:hAnsi="宋体"/>
              </w:rPr>
            </w:pPr>
          </w:p>
        </w:tc>
        <w:tc>
          <w:tcPr>
            <w:tcW w:w="567" w:type="dxa"/>
          </w:tcPr>
          <w:p>
            <w:pPr>
              <w:spacing w:before="40" w:after="40"/>
              <w:ind w:firstLine="480"/>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before="40" w:after="40"/>
              <w:ind w:firstLine="199" w:firstLineChars="83"/>
              <w:jc w:val="center"/>
              <w:rPr>
                <w:rFonts w:ascii="宋体" w:hAnsi="宋体"/>
              </w:rPr>
            </w:pPr>
            <w:r>
              <w:rPr>
                <w:rFonts w:hint="eastAsia" w:ascii="宋体" w:hAnsi="宋体"/>
              </w:rPr>
              <w:t>3</w:t>
            </w:r>
          </w:p>
        </w:tc>
        <w:tc>
          <w:tcPr>
            <w:tcW w:w="667" w:type="dxa"/>
          </w:tcPr>
          <w:p>
            <w:pPr>
              <w:spacing w:before="40" w:after="40"/>
              <w:ind w:firstLine="480"/>
              <w:jc w:val="center"/>
              <w:rPr>
                <w:rFonts w:ascii="宋体" w:hAnsi="宋体"/>
              </w:rPr>
            </w:pPr>
          </w:p>
        </w:tc>
        <w:tc>
          <w:tcPr>
            <w:tcW w:w="2551" w:type="dxa"/>
          </w:tcPr>
          <w:p>
            <w:pPr>
              <w:spacing w:before="40" w:after="40"/>
              <w:ind w:firstLine="480"/>
              <w:jc w:val="center"/>
              <w:rPr>
                <w:rFonts w:ascii="宋体" w:hAnsi="宋体"/>
              </w:rPr>
            </w:pPr>
          </w:p>
        </w:tc>
        <w:tc>
          <w:tcPr>
            <w:tcW w:w="567" w:type="dxa"/>
          </w:tcPr>
          <w:p>
            <w:pPr>
              <w:spacing w:before="40" w:after="40"/>
              <w:ind w:firstLine="480"/>
              <w:jc w:val="center"/>
              <w:rPr>
                <w:rFonts w:ascii="宋体" w:hAnsi="宋体"/>
              </w:rPr>
            </w:pPr>
          </w:p>
        </w:tc>
        <w:tc>
          <w:tcPr>
            <w:tcW w:w="1418" w:type="dxa"/>
          </w:tcPr>
          <w:p>
            <w:pPr>
              <w:spacing w:before="40" w:after="40"/>
              <w:ind w:firstLine="480"/>
              <w:jc w:val="center"/>
              <w:rPr>
                <w:rFonts w:ascii="宋体" w:hAnsi="宋体"/>
              </w:rPr>
            </w:pPr>
          </w:p>
        </w:tc>
        <w:tc>
          <w:tcPr>
            <w:tcW w:w="2551" w:type="dxa"/>
          </w:tcPr>
          <w:p>
            <w:pPr>
              <w:spacing w:before="40" w:after="40"/>
              <w:ind w:firstLine="480"/>
              <w:jc w:val="center"/>
              <w:rPr>
                <w:rFonts w:ascii="宋体" w:hAnsi="宋体"/>
              </w:rPr>
            </w:pPr>
          </w:p>
        </w:tc>
        <w:tc>
          <w:tcPr>
            <w:tcW w:w="567" w:type="dxa"/>
          </w:tcPr>
          <w:p>
            <w:pPr>
              <w:spacing w:before="40" w:after="40"/>
              <w:ind w:firstLine="480"/>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before="40" w:after="40"/>
              <w:ind w:firstLine="199" w:firstLineChars="83"/>
              <w:jc w:val="center"/>
              <w:rPr>
                <w:rFonts w:ascii="宋体" w:hAnsi="宋体"/>
              </w:rPr>
            </w:pPr>
            <w:r>
              <w:rPr>
                <w:rFonts w:hint="eastAsia" w:ascii="宋体" w:hAnsi="宋体"/>
              </w:rPr>
              <w:t>4</w:t>
            </w:r>
          </w:p>
        </w:tc>
        <w:tc>
          <w:tcPr>
            <w:tcW w:w="667" w:type="dxa"/>
          </w:tcPr>
          <w:p>
            <w:pPr>
              <w:spacing w:before="40" w:after="40"/>
              <w:ind w:firstLine="480"/>
              <w:jc w:val="center"/>
              <w:rPr>
                <w:rFonts w:ascii="宋体" w:hAnsi="宋体"/>
              </w:rPr>
            </w:pPr>
          </w:p>
        </w:tc>
        <w:tc>
          <w:tcPr>
            <w:tcW w:w="2551" w:type="dxa"/>
          </w:tcPr>
          <w:p>
            <w:pPr>
              <w:spacing w:before="40" w:after="40"/>
              <w:ind w:firstLine="480"/>
              <w:jc w:val="center"/>
              <w:rPr>
                <w:rFonts w:ascii="宋体" w:hAnsi="宋体"/>
              </w:rPr>
            </w:pPr>
          </w:p>
        </w:tc>
        <w:tc>
          <w:tcPr>
            <w:tcW w:w="567" w:type="dxa"/>
          </w:tcPr>
          <w:p>
            <w:pPr>
              <w:spacing w:before="40" w:after="40"/>
              <w:ind w:firstLine="480"/>
              <w:jc w:val="center"/>
              <w:rPr>
                <w:rFonts w:ascii="宋体" w:hAnsi="宋体"/>
              </w:rPr>
            </w:pPr>
          </w:p>
        </w:tc>
        <w:tc>
          <w:tcPr>
            <w:tcW w:w="1418" w:type="dxa"/>
          </w:tcPr>
          <w:p>
            <w:pPr>
              <w:spacing w:before="40" w:after="40"/>
              <w:ind w:firstLine="480"/>
              <w:jc w:val="center"/>
              <w:rPr>
                <w:rFonts w:ascii="宋体" w:hAnsi="宋体"/>
              </w:rPr>
            </w:pPr>
          </w:p>
        </w:tc>
        <w:tc>
          <w:tcPr>
            <w:tcW w:w="2551" w:type="dxa"/>
          </w:tcPr>
          <w:p>
            <w:pPr>
              <w:spacing w:before="40" w:after="40"/>
              <w:ind w:firstLine="480"/>
              <w:jc w:val="center"/>
              <w:rPr>
                <w:rFonts w:ascii="宋体" w:hAnsi="宋体"/>
              </w:rPr>
            </w:pPr>
          </w:p>
        </w:tc>
        <w:tc>
          <w:tcPr>
            <w:tcW w:w="567" w:type="dxa"/>
          </w:tcPr>
          <w:p>
            <w:pPr>
              <w:spacing w:before="40" w:after="40"/>
              <w:ind w:firstLine="480"/>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before="40" w:after="40"/>
              <w:ind w:firstLine="199" w:firstLineChars="83"/>
              <w:jc w:val="center"/>
              <w:rPr>
                <w:rFonts w:ascii="宋体" w:hAnsi="宋体"/>
              </w:rPr>
            </w:pPr>
            <w:r>
              <w:rPr>
                <w:rFonts w:ascii="宋体" w:hAnsi="宋体"/>
              </w:rPr>
              <w:t>…</w:t>
            </w:r>
          </w:p>
        </w:tc>
        <w:tc>
          <w:tcPr>
            <w:tcW w:w="667" w:type="dxa"/>
          </w:tcPr>
          <w:p>
            <w:pPr>
              <w:spacing w:before="40" w:after="40"/>
              <w:ind w:firstLine="480"/>
              <w:jc w:val="center"/>
              <w:rPr>
                <w:rFonts w:ascii="宋体" w:hAnsi="宋体"/>
              </w:rPr>
            </w:pPr>
          </w:p>
        </w:tc>
        <w:tc>
          <w:tcPr>
            <w:tcW w:w="2551" w:type="dxa"/>
          </w:tcPr>
          <w:p>
            <w:pPr>
              <w:spacing w:before="40" w:after="40"/>
              <w:ind w:firstLine="480"/>
              <w:jc w:val="center"/>
              <w:rPr>
                <w:rFonts w:ascii="宋体" w:hAnsi="宋体"/>
              </w:rPr>
            </w:pPr>
          </w:p>
        </w:tc>
        <w:tc>
          <w:tcPr>
            <w:tcW w:w="567" w:type="dxa"/>
          </w:tcPr>
          <w:p>
            <w:pPr>
              <w:spacing w:before="40" w:after="40"/>
              <w:ind w:firstLine="480"/>
              <w:jc w:val="center"/>
              <w:rPr>
                <w:rFonts w:ascii="宋体" w:hAnsi="宋体"/>
              </w:rPr>
            </w:pPr>
          </w:p>
        </w:tc>
        <w:tc>
          <w:tcPr>
            <w:tcW w:w="1418" w:type="dxa"/>
          </w:tcPr>
          <w:p>
            <w:pPr>
              <w:spacing w:before="40" w:after="40"/>
              <w:ind w:firstLine="480"/>
              <w:jc w:val="center"/>
              <w:rPr>
                <w:rFonts w:ascii="宋体" w:hAnsi="宋体"/>
              </w:rPr>
            </w:pPr>
          </w:p>
        </w:tc>
        <w:tc>
          <w:tcPr>
            <w:tcW w:w="2551" w:type="dxa"/>
          </w:tcPr>
          <w:p>
            <w:pPr>
              <w:spacing w:before="40" w:after="40"/>
              <w:ind w:firstLine="480"/>
              <w:jc w:val="center"/>
              <w:rPr>
                <w:rFonts w:ascii="宋体" w:hAnsi="宋体"/>
              </w:rPr>
            </w:pPr>
          </w:p>
        </w:tc>
        <w:tc>
          <w:tcPr>
            <w:tcW w:w="567" w:type="dxa"/>
          </w:tcPr>
          <w:p>
            <w:pPr>
              <w:spacing w:before="40" w:after="40"/>
              <w:ind w:firstLine="480"/>
              <w:jc w:val="center"/>
              <w:rPr>
                <w:rFonts w:ascii="宋体" w:hAnsi="宋体"/>
              </w:rPr>
            </w:pPr>
          </w:p>
        </w:tc>
      </w:tr>
    </w:tbl>
    <w:p>
      <w:pPr>
        <w:spacing w:line="360" w:lineRule="exact"/>
        <w:ind w:firstLine="352" w:firstLineChars="147"/>
        <w:rPr>
          <w:rFonts w:ascii="宋体" w:hAnsi="宋体"/>
        </w:rPr>
      </w:pPr>
      <w:r>
        <w:rPr>
          <w:rFonts w:hint="eastAsia" w:ascii="宋体" w:hAnsi="宋体"/>
        </w:rPr>
        <w:t>注：1、本表应按照采购分项报价表中“产品名称”及采购一览表中产品序号的指标逐项填写，不得遗漏，否则</w:t>
      </w:r>
      <w:r>
        <w:rPr>
          <w:rFonts w:hint="eastAsia" w:ascii="宋体" w:hAnsi="宋体"/>
          <w:kern w:val="0"/>
          <w:szCs w:val="20"/>
        </w:rPr>
        <w:t>，按无效投标处理</w:t>
      </w:r>
      <w:r>
        <w:rPr>
          <w:rFonts w:hint="eastAsia" w:ascii="宋体" w:hAnsi="宋体"/>
        </w:rPr>
        <w:t>。</w:t>
      </w:r>
    </w:p>
    <w:p>
      <w:pPr>
        <w:widowControl/>
        <w:numPr>
          <w:ilvl w:val="0"/>
          <w:numId w:val="1"/>
        </w:numPr>
        <w:spacing w:line="360" w:lineRule="exact"/>
        <w:ind w:firstLine="840" w:firstLineChars="350"/>
        <w:jc w:val="left"/>
        <w:rPr>
          <w:rFonts w:ascii="宋体" w:hAnsi="宋体" w:cs="宋体"/>
          <w:kern w:val="0"/>
          <w:lang w:val="zh-CN"/>
        </w:rPr>
      </w:pPr>
      <w:r>
        <w:rPr>
          <w:rFonts w:hint="eastAsia" w:ascii="宋体" w:hAnsi="宋体"/>
          <w:kern w:val="0"/>
          <w:szCs w:val="20"/>
        </w:rPr>
        <w:t>“投标产品技术参数、指标”必须与投标文件中提供的产品检测报告（测试报告）、生产厂家出具的产品彩页等证明材料的实质性响应情况相一致。若在评标环节发现该项与投标文件中提供的产品检测报告（测试报告）、生产厂家出具的产品彩页（生产厂家公开发布的资料参数）等证明材料的实质性响应情况不一致或直接复制招标文件“</w:t>
      </w:r>
      <w:r>
        <w:rPr>
          <w:rFonts w:hint="eastAsia" w:ascii="宋体" w:hAnsi="宋体"/>
        </w:rPr>
        <w:t>采购需求技术参数、指标</w:t>
      </w:r>
      <w:r>
        <w:rPr>
          <w:rFonts w:hint="eastAsia" w:ascii="宋体" w:hAnsi="宋体"/>
          <w:kern w:val="0"/>
          <w:szCs w:val="20"/>
        </w:rPr>
        <w:t>”内容的，按无效投标处理。</w:t>
      </w:r>
    </w:p>
    <w:p>
      <w:pPr>
        <w:widowControl/>
        <w:numPr>
          <w:ilvl w:val="0"/>
          <w:numId w:val="1"/>
        </w:numPr>
        <w:spacing w:line="360" w:lineRule="exact"/>
        <w:ind w:firstLine="840" w:firstLineChars="350"/>
        <w:jc w:val="left"/>
        <w:rPr>
          <w:rFonts w:ascii="宋体" w:hAnsi="宋体"/>
        </w:rPr>
      </w:pPr>
      <w:r>
        <w:rPr>
          <w:rFonts w:hint="eastAsia" w:ascii="宋体" w:hAnsi="宋体" w:cs="宋体"/>
          <w:kern w:val="0"/>
          <w:lang w:val="zh-CN"/>
        </w:rPr>
        <w:t>填写此表时以招标项目参数要求为基本投标要求，满足招标项目参数要求的指标需在“偏离”中列出“</w:t>
      </w:r>
      <w:r>
        <w:rPr>
          <w:rFonts w:hint="eastAsia" w:ascii="宋体" w:hAnsi="宋体" w:cs="宋体"/>
          <w:kern w:val="0"/>
        </w:rPr>
        <w:t>0</w:t>
      </w:r>
      <w:r>
        <w:rPr>
          <w:rFonts w:hint="eastAsia" w:ascii="宋体" w:hAnsi="宋体" w:cs="宋体"/>
          <w:kern w:val="0"/>
          <w:lang w:val="zh-CN"/>
        </w:rPr>
        <w:t>”；超出、不满足招标项目参数要求的指标需在“偏离”中列出“+”、“-”偏差，并做出详细说明；如果只注明“+”、“-”或未填写，将视为该项指标不响应。</w:t>
      </w: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4566" w:firstLineChars="1895"/>
        <w:rPr>
          <w:rFonts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pPr>
        <w:ind w:right="480" w:firstLine="5542" w:firstLineChars="2300"/>
        <w:rPr>
          <w:b/>
        </w:rPr>
      </w:pPr>
      <w:r>
        <w:rPr>
          <w:rFonts w:hint="eastAsia"/>
          <w:b/>
        </w:rPr>
        <w:t>年  月  日</w:t>
      </w:r>
    </w:p>
    <w:p>
      <w:pPr>
        <w:widowControl/>
        <w:snapToGrid w:val="0"/>
        <w:spacing w:line="360" w:lineRule="auto"/>
        <w:ind w:firstLine="0" w:firstLineChars="0"/>
        <w:outlineLvl w:val="1"/>
        <w:rPr>
          <w:rFonts w:hint="eastAsia" w:ascii="宋体"/>
          <w:b/>
          <w:sz w:val="28"/>
          <w:szCs w:val="28"/>
        </w:rPr>
      </w:pPr>
      <w:bookmarkStart w:id="166" w:name="_Toc82441641"/>
    </w:p>
    <w:p>
      <w:pPr>
        <w:widowControl/>
        <w:snapToGrid w:val="0"/>
        <w:spacing w:line="360" w:lineRule="auto"/>
        <w:ind w:firstLine="0" w:firstLineChars="0"/>
        <w:outlineLvl w:val="1"/>
        <w:rPr>
          <w:rFonts w:ascii="宋体"/>
          <w:b/>
          <w:sz w:val="28"/>
          <w:szCs w:val="28"/>
        </w:rPr>
      </w:pPr>
      <w:r>
        <w:rPr>
          <w:rFonts w:hint="eastAsia" w:ascii="宋体"/>
          <w:b/>
          <w:sz w:val="28"/>
          <w:szCs w:val="28"/>
        </w:rPr>
        <w:t>附件13：其他资格证明材料</w:t>
      </w:r>
      <w:bookmarkEnd w:id="166"/>
    </w:p>
    <w:p>
      <w:pPr>
        <w:ind w:firstLine="2909" w:firstLineChars="805"/>
        <w:rPr>
          <w:rFonts w:ascii="宋体"/>
          <w:b/>
          <w:sz w:val="36"/>
          <w:szCs w:val="36"/>
        </w:rPr>
      </w:pPr>
    </w:p>
    <w:p>
      <w:pPr>
        <w:ind w:firstLine="2909" w:firstLineChars="805"/>
        <w:rPr>
          <w:rFonts w:ascii="宋体" w:hAnsi="宋体"/>
          <w:b/>
          <w:sz w:val="36"/>
          <w:szCs w:val="36"/>
        </w:rPr>
      </w:pPr>
      <w:r>
        <w:rPr>
          <w:rFonts w:hint="eastAsia" w:ascii="宋体" w:hAnsi="宋体"/>
          <w:b/>
          <w:sz w:val="36"/>
          <w:szCs w:val="36"/>
        </w:rPr>
        <w:t>其他资格证明材料</w:t>
      </w:r>
    </w:p>
    <w:p>
      <w:pPr>
        <w:ind w:firstLine="470" w:firstLineChars="196"/>
        <w:rPr>
          <w:rFonts w:ascii="宋体" w:hAnsi="宋体"/>
          <w:bCs/>
        </w:rPr>
      </w:pPr>
    </w:p>
    <w:p>
      <w:pPr>
        <w:ind w:firstLine="480"/>
        <w:rPr>
          <w:rFonts w:ascii="宋体" w:hAnsi="宋体"/>
        </w:rPr>
      </w:pPr>
      <w:r>
        <w:rPr>
          <w:rFonts w:hint="eastAsia" w:ascii="宋体" w:hAnsi="宋体"/>
          <w:bCs/>
        </w:rPr>
        <w:t>根据采购项目内容，投标时按招标文件要求提供</w:t>
      </w:r>
      <w:r>
        <w:rPr>
          <w:rFonts w:hint="eastAsia" w:ascii="宋体" w:hAnsi="宋体"/>
        </w:rPr>
        <w:t>投标产品的相关认证、合格证等材料，生产厂家的相关资质、相关认证和投标人认为有必要提供的其他资格证明文件等材料。</w:t>
      </w:r>
    </w:p>
    <w:p>
      <w:pPr>
        <w:ind w:firstLine="0" w:firstLineChars="0"/>
        <w:rPr>
          <w:rFonts w:ascii="宋体" w:hAnsi="宋体"/>
          <w:bCs/>
        </w:rPr>
      </w:pPr>
    </w:p>
    <w:p>
      <w:pPr>
        <w:widowControl/>
        <w:snapToGrid w:val="0"/>
        <w:spacing w:line="360" w:lineRule="auto"/>
        <w:ind w:firstLine="0" w:firstLineChars="0"/>
        <w:outlineLvl w:val="1"/>
        <w:rPr>
          <w:rFonts w:ascii="宋体"/>
          <w:b/>
          <w:sz w:val="28"/>
          <w:szCs w:val="28"/>
        </w:rPr>
      </w:pPr>
      <w:r>
        <w:rPr>
          <w:rFonts w:ascii="宋体"/>
          <w:b/>
          <w:sz w:val="28"/>
          <w:szCs w:val="28"/>
        </w:rPr>
        <w:br w:type="page"/>
      </w:r>
      <w:bookmarkStart w:id="167" w:name="_Toc82441642"/>
      <w:r>
        <w:rPr>
          <w:rFonts w:hint="eastAsia" w:ascii="宋体"/>
          <w:b/>
          <w:sz w:val="28"/>
          <w:szCs w:val="28"/>
        </w:rPr>
        <w:t>附件1</w:t>
      </w:r>
      <w:bookmarkStart w:id="168" w:name="_Toc325726045"/>
      <w:bookmarkStart w:id="169" w:name="_Toc376936780"/>
      <w:bookmarkStart w:id="170" w:name="_Toc365019586"/>
      <w:r>
        <w:rPr>
          <w:rFonts w:hint="eastAsia" w:ascii="宋体"/>
          <w:b/>
          <w:sz w:val="28"/>
          <w:szCs w:val="28"/>
        </w:rPr>
        <w:t>4：投标产品相关资料</w:t>
      </w:r>
      <w:bookmarkEnd w:id="167"/>
    </w:p>
    <w:p>
      <w:pPr>
        <w:ind w:firstLine="2909" w:firstLineChars="805"/>
        <w:rPr>
          <w:rFonts w:ascii="宋体"/>
          <w:b/>
          <w:sz w:val="36"/>
          <w:szCs w:val="36"/>
        </w:rPr>
      </w:pPr>
    </w:p>
    <w:p>
      <w:pPr>
        <w:ind w:firstLine="2909" w:firstLineChars="805"/>
        <w:rPr>
          <w:rFonts w:ascii="宋体" w:hAnsi="宋体"/>
          <w:b/>
          <w:sz w:val="36"/>
          <w:szCs w:val="36"/>
        </w:rPr>
      </w:pPr>
      <w:r>
        <w:rPr>
          <w:rFonts w:hint="eastAsia" w:ascii="宋体" w:hAnsi="宋体"/>
          <w:b/>
          <w:sz w:val="36"/>
          <w:szCs w:val="36"/>
        </w:rPr>
        <w:t>投标产品相关资料</w:t>
      </w:r>
    </w:p>
    <w:p>
      <w:pPr>
        <w:ind w:firstLine="470" w:firstLineChars="196"/>
        <w:rPr>
          <w:rFonts w:ascii="宋体" w:hAnsi="宋体"/>
          <w:bCs/>
        </w:rPr>
      </w:pPr>
    </w:p>
    <w:p>
      <w:pPr>
        <w:ind w:firstLine="480"/>
        <w:rPr>
          <w:rFonts w:ascii="宋体" w:hAnsi="宋体"/>
          <w:bCs/>
        </w:rPr>
      </w:pPr>
      <w:r>
        <w:rPr>
          <w:rFonts w:hint="eastAsia" w:ascii="宋体" w:hAnsi="宋体"/>
          <w:bCs/>
        </w:rPr>
        <w:t>根据采购项目内容，投标时提供</w:t>
      </w:r>
      <w:r>
        <w:rPr>
          <w:rFonts w:hint="eastAsia" w:hAnsi="宋体"/>
        </w:rPr>
        <w:t>国家认可</w:t>
      </w:r>
      <w:r>
        <w:rPr>
          <w:rFonts w:hint="eastAsia" w:ascii="宋体" w:hAnsi="宋体"/>
        </w:rPr>
        <w:t>质检机构出具的投标产品的产品检验报告</w:t>
      </w:r>
      <w:r>
        <w:rPr>
          <w:rFonts w:hint="eastAsia" w:ascii="宋体" w:hAnsi="宋体"/>
          <w:kern w:val="0"/>
          <w:szCs w:val="20"/>
        </w:rPr>
        <w:t>(测试报告)</w:t>
      </w:r>
      <w:r>
        <w:rPr>
          <w:rFonts w:hint="eastAsia" w:ascii="宋体" w:hAnsi="宋体"/>
          <w:bCs/>
        </w:rPr>
        <w:t>，或提供能够证明技术参数响应的产品</w:t>
      </w:r>
      <w:r>
        <w:rPr>
          <w:rFonts w:hint="eastAsia" w:ascii="宋体" w:hAnsi="宋体"/>
          <w:kern w:val="0"/>
          <w:szCs w:val="20"/>
        </w:rPr>
        <w:t>彩页</w:t>
      </w:r>
      <w:r>
        <w:rPr>
          <w:rFonts w:hint="eastAsia" w:ascii="宋体" w:hAnsi="宋体"/>
          <w:bCs/>
        </w:rPr>
        <w:t>（生产</w:t>
      </w:r>
      <w:r>
        <w:rPr>
          <w:rFonts w:hint="eastAsia" w:ascii="宋体" w:hAnsi="宋体" w:cs="宋体"/>
          <w:kern w:val="0"/>
          <w:lang w:val="zh-CN"/>
        </w:rPr>
        <w:t>厂家公开发布的资料参数</w:t>
      </w:r>
      <w:r>
        <w:rPr>
          <w:rFonts w:hint="eastAsia" w:ascii="宋体" w:hAnsi="宋体"/>
          <w:bCs/>
        </w:rPr>
        <w:t>）等相关资料。</w:t>
      </w:r>
    </w:p>
    <w:p>
      <w:pPr>
        <w:ind w:firstLine="480"/>
        <w:rPr>
          <w:rFonts w:ascii="宋体" w:hAnsi="宋体"/>
          <w:bCs/>
        </w:rPr>
      </w:pPr>
    </w:p>
    <w:bookmarkEnd w:id="168"/>
    <w:bookmarkEnd w:id="169"/>
    <w:bookmarkEnd w:id="170"/>
    <w:p>
      <w:pPr>
        <w:widowControl/>
        <w:snapToGrid w:val="0"/>
        <w:spacing w:line="360" w:lineRule="auto"/>
        <w:ind w:firstLine="0" w:firstLineChars="0"/>
        <w:outlineLvl w:val="1"/>
        <w:rPr>
          <w:rFonts w:ascii="宋体"/>
          <w:b/>
          <w:sz w:val="28"/>
          <w:szCs w:val="28"/>
        </w:rPr>
      </w:pPr>
      <w:r>
        <w:rPr>
          <w:rFonts w:ascii="宋体" w:hAnsi="宋体"/>
        </w:rPr>
        <w:br w:type="page"/>
      </w:r>
      <w:bookmarkStart w:id="171" w:name="_Toc82441643"/>
      <w:r>
        <w:rPr>
          <w:rFonts w:hint="eastAsia" w:ascii="宋体"/>
          <w:b/>
          <w:sz w:val="28"/>
          <w:szCs w:val="28"/>
        </w:rPr>
        <w:t>附件15：投标人类似业绩证明材料</w:t>
      </w:r>
      <w:bookmarkEnd w:id="171"/>
    </w:p>
    <w:p>
      <w:pPr>
        <w:ind w:firstLine="2909" w:firstLineChars="805"/>
        <w:rPr>
          <w:rFonts w:ascii="宋体" w:hAnsi="宋体"/>
          <w:b/>
          <w:sz w:val="36"/>
          <w:szCs w:val="36"/>
        </w:rPr>
      </w:pPr>
    </w:p>
    <w:p>
      <w:pPr>
        <w:ind w:firstLine="0" w:firstLineChars="0"/>
        <w:jc w:val="center"/>
        <w:rPr>
          <w:rFonts w:ascii="宋体" w:hAnsi="宋体"/>
          <w:b/>
          <w:sz w:val="36"/>
          <w:szCs w:val="36"/>
        </w:rPr>
      </w:pPr>
      <w:r>
        <w:rPr>
          <w:rFonts w:hint="eastAsia" w:ascii="宋体" w:hAnsi="宋体"/>
          <w:b/>
          <w:sz w:val="36"/>
          <w:szCs w:val="36"/>
        </w:rPr>
        <w:t>投标人类似业绩证明材料</w:t>
      </w:r>
    </w:p>
    <w:p>
      <w:pPr>
        <w:tabs>
          <w:tab w:val="left" w:pos="168"/>
        </w:tabs>
        <w:adjustRightInd w:val="0"/>
        <w:ind w:firstLine="2530" w:firstLineChars="700"/>
        <w:textAlignment w:val="baseline"/>
        <w:rPr>
          <w:rFonts w:ascii="宋体"/>
          <w:b/>
          <w:sz w:val="36"/>
          <w:szCs w:val="36"/>
        </w:rPr>
      </w:pPr>
    </w:p>
    <w:p>
      <w:pPr>
        <w:tabs>
          <w:tab w:val="left" w:pos="168"/>
        </w:tabs>
        <w:adjustRightInd w:val="0"/>
        <w:ind w:firstLine="480"/>
        <w:textAlignment w:val="baseline"/>
        <w:rPr>
          <w:rFonts w:ascii="宋体" w:hAnsi="宋体"/>
        </w:rPr>
      </w:pPr>
      <w:r>
        <w:rPr>
          <w:rFonts w:hint="eastAsia" w:ascii="宋体" w:hAnsi="宋体"/>
        </w:rPr>
        <w:t>提供自2019年以来的类似业绩证明材料。类似业绩是指与采购项目在产品类型、使用功能、合同规模等方面相同或相近的项目。需提供包含合同首页、标的及金额所在页、供货合同签字盖章页的扫描（或复印）件。</w:t>
      </w:r>
    </w:p>
    <w:p>
      <w:pPr>
        <w:widowControl/>
        <w:snapToGrid w:val="0"/>
        <w:spacing w:line="360" w:lineRule="auto"/>
        <w:ind w:firstLine="0" w:firstLineChars="0"/>
        <w:outlineLvl w:val="1"/>
        <w:rPr>
          <w:rFonts w:ascii="宋体"/>
          <w:b/>
          <w:sz w:val="28"/>
          <w:szCs w:val="28"/>
        </w:rPr>
      </w:pPr>
      <w:r>
        <w:rPr>
          <w:rFonts w:ascii="宋体" w:hAnsi="宋体"/>
          <w:b/>
        </w:rPr>
        <w:br w:type="page"/>
      </w:r>
      <w:bookmarkStart w:id="172" w:name="_Toc82441644"/>
      <w:r>
        <w:rPr>
          <w:rFonts w:hint="eastAsia" w:ascii="宋体"/>
          <w:b/>
          <w:sz w:val="28"/>
          <w:szCs w:val="28"/>
        </w:rPr>
        <w:t>附件16：</w:t>
      </w:r>
      <w:bookmarkStart w:id="173" w:name="_Toc474913501"/>
      <w:bookmarkStart w:id="174" w:name="_Toc460486440"/>
      <w:r>
        <w:rPr>
          <w:rFonts w:hint="eastAsia" w:ascii="宋体"/>
          <w:b/>
          <w:sz w:val="28"/>
          <w:szCs w:val="28"/>
        </w:rPr>
        <w:t>中小企业声明函</w:t>
      </w:r>
      <w:bookmarkEnd w:id="172"/>
    </w:p>
    <w:p>
      <w:pPr>
        <w:ind w:firstLine="2367" w:firstLineChars="655"/>
        <w:rPr>
          <w:rFonts w:ascii="宋体"/>
          <w:b/>
          <w:sz w:val="36"/>
          <w:szCs w:val="36"/>
        </w:rPr>
      </w:pPr>
    </w:p>
    <w:p>
      <w:pPr>
        <w:ind w:firstLine="0" w:firstLineChars="0"/>
        <w:jc w:val="center"/>
        <w:rPr>
          <w:rFonts w:ascii="宋体" w:hAnsi="宋体"/>
          <w:b/>
          <w:sz w:val="36"/>
          <w:szCs w:val="36"/>
        </w:rPr>
      </w:pPr>
      <w:r>
        <w:rPr>
          <w:rFonts w:hint="eastAsia" w:ascii="宋体" w:hAnsi="宋体"/>
          <w:b/>
          <w:sz w:val="36"/>
          <w:szCs w:val="36"/>
        </w:rPr>
        <w:t>中小企业声明函（货物）</w:t>
      </w:r>
    </w:p>
    <w:p>
      <w:pPr>
        <w:ind w:firstLine="2367" w:firstLineChars="655"/>
        <w:rPr>
          <w:rFonts w:ascii="宋体" w:hAnsi="宋体"/>
          <w:b/>
          <w:sz w:val="36"/>
          <w:szCs w:val="36"/>
        </w:rPr>
      </w:pPr>
    </w:p>
    <w:p>
      <w:pPr>
        <w:spacing w:afterLines="50"/>
        <w:ind w:firstLine="0" w:firstLineChars="0"/>
        <w:rPr>
          <w:rFonts w:ascii="宋体" w:hAnsi="宋体"/>
          <w:b/>
          <w:bCs/>
        </w:rPr>
      </w:pPr>
      <w:r>
        <w:rPr>
          <w:rFonts w:hint="eastAsia" w:ascii="宋体" w:hAnsi="宋体"/>
          <w:b/>
          <w:bCs/>
        </w:rPr>
        <w:t>致：青海省政府采购中心</w:t>
      </w:r>
    </w:p>
    <w:p>
      <w:pPr>
        <w:spacing w:line="360" w:lineRule="auto"/>
        <w:ind w:firstLine="0" w:firstLineChars="0"/>
      </w:pPr>
    </w:p>
    <w:p>
      <w:pPr>
        <w:spacing w:line="360" w:lineRule="auto"/>
        <w:ind w:firstLine="480"/>
      </w:pPr>
      <w:r>
        <w:rPr>
          <w:rFonts w:hint="eastAsia"/>
        </w:rPr>
        <w:t>本公司（联合体） 郑重声明， 根据《政府采购促进中小企业发展管理办法》（财库﹝2020﹞46 号） 的规定， 本公司（联合体） 参加</w:t>
      </w:r>
      <w:r>
        <w:rPr>
          <w:rFonts w:hint="eastAsia"/>
          <w:u w:val="single"/>
        </w:rPr>
        <w:t>（单位名称）</w:t>
      </w:r>
      <w:r>
        <w:rPr>
          <w:rFonts w:hint="eastAsia"/>
        </w:rPr>
        <w:t xml:space="preserve"> 的</w:t>
      </w:r>
      <w:r>
        <w:rPr>
          <w:rFonts w:hint="eastAsia"/>
          <w:u w:val="single"/>
        </w:rPr>
        <w:t xml:space="preserve">（项目名称） </w:t>
      </w:r>
      <w:r>
        <w:rPr>
          <w:rFonts w:hint="eastAsia"/>
        </w:rPr>
        <w:t>采购活动，提供的货物全部由符合政策要求的中小企业制造。 相关企业（含联合体中的中小企业、 签订分包意向协议的中小企业）的具体情况如下：</w:t>
      </w:r>
    </w:p>
    <w:p>
      <w:pPr>
        <w:spacing w:line="360" w:lineRule="auto"/>
        <w:ind w:firstLine="480"/>
      </w:pPr>
      <w:r>
        <w:rPr>
          <w:rFonts w:hint="eastAsia"/>
        </w:rPr>
        <w:t xml:space="preserve">1. </w:t>
      </w:r>
      <w:r>
        <w:rPr>
          <w:rFonts w:hint="eastAsia"/>
          <w:u w:val="single"/>
        </w:rPr>
        <w:t>（标的名称）</w:t>
      </w:r>
      <w:r>
        <w:rPr>
          <w:rFonts w:hint="eastAsia"/>
        </w:rPr>
        <w:t xml:space="preserve"> ，属于</w:t>
      </w:r>
      <w:r>
        <w:rPr>
          <w:rFonts w:hint="eastAsia"/>
          <w:u w:val="single"/>
        </w:rPr>
        <w:t xml:space="preserve">    （采购文件中明确的所属行业）     </w:t>
      </w:r>
      <w:r>
        <w:rPr>
          <w:rFonts w:hint="eastAsia"/>
        </w:rPr>
        <w:t>行业； 制造商为</w:t>
      </w:r>
      <w:r>
        <w:rPr>
          <w:rFonts w:hint="eastAsia"/>
          <w:u w:val="single"/>
        </w:rPr>
        <w:t>（ 企业名称）</w:t>
      </w:r>
      <w:r>
        <w:rPr>
          <w:rFonts w:hint="eastAsia"/>
        </w:rPr>
        <w:t>， 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pPr>
        <w:spacing w:line="360" w:lineRule="auto"/>
        <w:ind w:firstLine="480"/>
      </w:pPr>
      <w:r>
        <w:rPr>
          <w:rFonts w:hint="eastAsia"/>
        </w:rPr>
        <w:t xml:space="preserve">2. </w:t>
      </w:r>
      <w:r>
        <w:rPr>
          <w:rFonts w:hint="eastAsia"/>
          <w:u w:val="single"/>
        </w:rPr>
        <w:t xml:space="preserve">（标的名称） </w:t>
      </w:r>
      <w:r>
        <w:rPr>
          <w:rFonts w:hint="eastAsia"/>
        </w:rPr>
        <w:t>，属于</w:t>
      </w:r>
      <w:r>
        <w:rPr>
          <w:rFonts w:hint="eastAsia"/>
          <w:u w:val="single"/>
        </w:rPr>
        <w:t xml:space="preserve">  （采购文件中明确的所属行业）    </w:t>
      </w:r>
      <w:r>
        <w:rPr>
          <w:rFonts w:hint="eastAsia"/>
        </w:rPr>
        <w:t>行业； 制造商为</w:t>
      </w:r>
      <w:r>
        <w:rPr>
          <w:rFonts w:hint="eastAsia"/>
          <w:u w:val="single"/>
        </w:rPr>
        <w:t>（ 企业名称）</w:t>
      </w:r>
      <w:r>
        <w:rPr>
          <w:rFonts w:hint="eastAsia"/>
        </w:rPr>
        <w:t>，从业人员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pPr>
        <w:spacing w:line="360" w:lineRule="auto"/>
        <w:ind w:firstLine="480"/>
      </w:pPr>
      <w:r>
        <w:rPr>
          <w:rFonts w:hint="eastAsia"/>
        </w:rPr>
        <w:t>……</w:t>
      </w:r>
    </w:p>
    <w:p>
      <w:pPr>
        <w:spacing w:line="360" w:lineRule="auto"/>
        <w:ind w:firstLine="480"/>
      </w:pPr>
      <w:r>
        <w:rPr>
          <w:rFonts w:hint="eastAsia"/>
        </w:rPr>
        <w:t>以上企业，不属于大企业的分支机构， 不存在控股股东为大企业的情形， 也不存在与大企业的负责人为同一人的情形。</w:t>
      </w:r>
    </w:p>
    <w:p>
      <w:pPr>
        <w:spacing w:line="360" w:lineRule="auto"/>
        <w:ind w:firstLine="480"/>
      </w:pPr>
      <w:r>
        <w:rPr>
          <w:rFonts w:hint="eastAsia"/>
        </w:rPr>
        <w:t>本企业对上述声明内容的真实性负责。 如有虚假， 将依法承担相应责任。</w:t>
      </w:r>
    </w:p>
    <w:p>
      <w:pPr>
        <w:spacing w:line="360" w:lineRule="auto"/>
        <w:ind w:firstLine="480"/>
      </w:pPr>
    </w:p>
    <w:p>
      <w:pPr>
        <w:spacing w:line="360" w:lineRule="auto"/>
        <w:ind w:firstLine="0" w:firstLineChars="0"/>
      </w:pPr>
      <w:r>
        <w:rPr>
          <w:rFonts w:hint="eastAsia"/>
        </w:rPr>
        <w:t>注：1、从业人员、营业收入、资产总额填报上一年度数据，无上一年度数据的新成立企业可不填报。</w:t>
      </w:r>
    </w:p>
    <w:p>
      <w:pPr>
        <w:spacing w:line="360" w:lineRule="auto"/>
        <w:ind w:firstLine="480"/>
      </w:pPr>
      <w:r>
        <w:rPr>
          <w:rFonts w:hint="eastAsia"/>
        </w:rPr>
        <w:t>2、</w:t>
      </w:r>
      <w:r>
        <w:rPr>
          <w:rFonts w:hint="eastAsia" w:ascii="宋体" w:hAnsi="宋体"/>
        </w:rPr>
        <w:t>若无此项内容，可不提供此函。</w:t>
      </w:r>
    </w:p>
    <w:p>
      <w:pPr>
        <w:spacing w:line="360" w:lineRule="auto"/>
        <w:ind w:firstLine="0" w:firstLineChars="0"/>
      </w:pPr>
    </w:p>
    <w:p>
      <w:pPr>
        <w:spacing w:line="360" w:lineRule="auto"/>
        <w:ind w:right="480" w:firstLine="0" w:firstLineChars="0"/>
        <w:jc w:val="right"/>
        <w:rPr>
          <w:rFonts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right="480" w:firstLine="6023" w:firstLineChars="2500"/>
        <w:rPr>
          <w:rFonts w:ascii="宋体" w:hAnsi="宋体"/>
          <w:b/>
        </w:rPr>
      </w:pPr>
      <w:r>
        <w:rPr>
          <w:rFonts w:hint="eastAsia" w:ascii="宋体" w:hAnsi="宋体"/>
          <w:b/>
        </w:rPr>
        <w:t>年  月  日</w:t>
      </w: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bookmarkStart w:id="175" w:name="_Toc82441645"/>
      <w:r>
        <w:rPr>
          <w:rFonts w:hint="eastAsia" w:ascii="宋体"/>
          <w:b/>
          <w:sz w:val="28"/>
          <w:szCs w:val="28"/>
        </w:rPr>
        <w:t>附件17：残疾人福利性单位声明函</w:t>
      </w:r>
      <w:bookmarkEnd w:id="175"/>
    </w:p>
    <w:p>
      <w:pPr>
        <w:ind w:firstLine="0" w:firstLineChars="0"/>
        <w:jc w:val="center"/>
        <w:rPr>
          <w:rFonts w:ascii="宋体" w:hAnsi="宋体"/>
          <w:b/>
          <w:sz w:val="36"/>
          <w:szCs w:val="36"/>
        </w:rPr>
      </w:pPr>
      <w:bookmarkStart w:id="176" w:name="OLE_LINK14"/>
      <w:bookmarkStart w:id="177" w:name="OLE_LINK13"/>
    </w:p>
    <w:p>
      <w:pPr>
        <w:ind w:firstLine="0" w:firstLineChars="0"/>
        <w:jc w:val="center"/>
        <w:rPr>
          <w:rFonts w:ascii="宋体" w:hAnsi="宋体"/>
          <w:b/>
          <w:sz w:val="36"/>
          <w:szCs w:val="36"/>
        </w:rPr>
      </w:pPr>
      <w:r>
        <w:rPr>
          <w:rFonts w:hint="eastAsia" w:ascii="宋体" w:hAnsi="宋体"/>
          <w:b/>
          <w:sz w:val="36"/>
          <w:szCs w:val="36"/>
        </w:rPr>
        <w:t>残疾人福利性单位声明函</w:t>
      </w:r>
    </w:p>
    <w:bookmarkEnd w:id="176"/>
    <w:bookmarkEnd w:id="177"/>
    <w:p>
      <w:pPr>
        <w:spacing w:afterLines="50"/>
        <w:ind w:firstLine="0" w:firstLineChars="0"/>
        <w:rPr>
          <w:rFonts w:ascii="宋体" w:hAnsi="宋体"/>
          <w:bCs/>
        </w:rPr>
      </w:pPr>
    </w:p>
    <w:p>
      <w:pPr>
        <w:spacing w:afterLines="50"/>
        <w:ind w:firstLine="0" w:firstLineChars="0"/>
        <w:rPr>
          <w:rFonts w:ascii="宋体" w:hAnsi="宋体"/>
          <w:b/>
          <w:bCs/>
        </w:rPr>
      </w:pPr>
      <w:r>
        <w:rPr>
          <w:rFonts w:hint="eastAsia" w:ascii="宋体" w:hAnsi="宋体"/>
          <w:b/>
          <w:bCs/>
        </w:rPr>
        <w:t>致：青海省政府采购中心</w:t>
      </w:r>
    </w:p>
    <w:p>
      <w:pPr>
        <w:spacing w:line="360" w:lineRule="auto"/>
        <w:ind w:firstLine="480"/>
      </w:pPr>
    </w:p>
    <w:p>
      <w:pPr>
        <w:spacing w:line="360" w:lineRule="auto"/>
        <w:ind w:firstLine="480"/>
      </w:pPr>
      <w:r>
        <w:rPr>
          <w:rFonts w:hint="eastAsia"/>
        </w:rPr>
        <w:t>本单位郑重声明，根据《财政部、民政部、中国残疾人联合会关于促进残疾人就业政府采购政策的通知》（财库〔2017〕141号）的规定，本公司为符合条件的残疾人福利性单位，本公司在职职工人数为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人。且本单位参加______单位的______项目采购活动提供本单位制造的货物（由本单位承担工程/提供服务），或者提供其他残疾人福利性公司制造的货物（不包括使用非残疾人福利性公司注册商标的货物）。</w:t>
      </w:r>
    </w:p>
    <w:p>
      <w:pPr>
        <w:spacing w:line="360" w:lineRule="auto"/>
        <w:ind w:firstLine="480"/>
      </w:pPr>
      <w:r>
        <w:rPr>
          <w:rFonts w:hint="eastAsia"/>
        </w:rPr>
        <w:t>本公司对上述声明的真实性负责。如有虚假，将依法承担相应责任。</w:t>
      </w:r>
    </w:p>
    <w:p>
      <w:pPr>
        <w:spacing w:line="360" w:lineRule="auto"/>
        <w:ind w:firstLine="480"/>
      </w:pPr>
    </w:p>
    <w:p>
      <w:pPr>
        <w:spacing w:line="360" w:lineRule="auto"/>
        <w:ind w:firstLine="0" w:firstLineChars="0"/>
      </w:pPr>
      <w:r>
        <w:rPr>
          <w:rFonts w:hint="eastAsia"/>
        </w:rPr>
        <w:t>注：</w:t>
      </w:r>
      <w:r>
        <w:rPr>
          <w:rFonts w:hint="eastAsia" w:ascii="宋体" w:hAnsi="宋体"/>
        </w:rPr>
        <w:t>若无此项内容，可不提供此函。</w:t>
      </w: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0" w:firstLineChars="0"/>
      </w:pPr>
    </w:p>
    <w:p>
      <w:pPr>
        <w:spacing w:line="360" w:lineRule="auto"/>
        <w:ind w:firstLine="0" w:firstLineChars="0"/>
        <w:jc w:val="right"/>
        <w:rPr>
          <w:rFonts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right="1080" w:firstLine="482"/>
        <w:jc w:val="right"/>
        <w:rPr>
          <w:rFonts w:ascii="宋体" w:hAnsi="宋体"/>
          <w:b/>
        </w:rPr>
      </w:pPr>
      <w:r>
        <w:rPr>
          <w:rFonts w:hint="eastAsia" w:ascii="宋体" w:hAnsi="宋体"/>
          <w:b/>
        </w:rPr>
        <w:t>年  月  日</w:t>
      </w:r>
    </w:p>
    <w:p>
      <w:pPr>
        <w:widowControl/>
        <w:snapToGrid w:val="0"/>
        <w:spacing w:line="360" w:lineRule="auto"/>
        <w:ind w:firstLine="0" w:firstLineChars="0"/>
        <w:outlineLvl w:val="1"/>
        <w:rPr>
          <w:rFonts w:ascii="宋体"/>
          <w:b/>
          <w:sz w:val="28"/>
          <w:szCs w:val="28"/>
        </w:rPr>
      </w:pPr>
      <w:r>
        <w:rPr>
          <w:rFonts w:ascii="宋体"/>
          <w:b/>
          <w:sz w:val="28"/>
          <w:szCs w:val="28"/>
        </w:rPr>
        <w:br w:type="page"/>
      </w:r>
      <w:bookmarkStart w:id="178" w:name="_Toc82441646"/>
      <w:r>
        <w:rPr>
          <w:rFonts w:hint="eastAsia" w:ascii="宋体"/>
          <w:b/>
          <w:sz w:val="28"/>
          <w:szCs w:val="28"/>
        </w:rPr>
        <w:t>附件18：</w:t>
      </w:r>
      <w:bookmarkEnd w:id="173"/>
      <w:r>
        <w:rPr>
          <w:rFonts w:hint="eastAsia" w:ascii="宋体"/>
          <w:b/>
          <w:sz w:val="28"/>
          <w:szCs w:val="28"/>
        </w:rPr>
        <w:t>项目管理实施方案及售后服务</w:t>
      </w:r>
      <w:bookmarkEnd w:id="178"/>
    </w:p>
    <w:p>
      <w:pPr>
        <w:ind w:firstLine="723"/>
        <w:jc w:val="center"/>
        <w:rPr>
          <w:rFonts w:ascii="宋体" w:hAnsi="宋体"/>
          <w:b/>
          <w:sz w:val="36"/>
          <w:szCs w:val="36"/>
        </w:rPr>
      </w:pPr>
    </w:p>
    <w:p>
      <w:pPr>
        <w:ind w:firstLine="723"/>
        <w:jc w:val="center"/>
        <w:rPr>
          <w:rFonts w:ascii="宋体" w:hAnsi="宋体"/>
          <w:b/>
          <w:sz w:val="36"/>
          <w:szCs w:val="36"/>
        </w:rPr>
      </w:pPr>
      <w:r>
        <w:rPr>
          <w:rFonts w:hint="eastAsia" w:ascii="宋体" w:hAnsi="宋体"/>
          <w:b/>
          <w:sz w:val="36"/>
          <w:szCs w:val="36"/>
        </w:rPr>
        <w:t>项目管理实施方案及售后服务</w:t>
      </w:r>
    </w:p>
    <w:p>
      <w:pPr>
        <w:ind w:firstLine="480"/>
        <w:rPr>
          <w:rFonts w:ascii="宋体" w:hAnsi="宋体"/>
        </w:rPr>
      </w:pPr>
    </w:p>
    <w:p>
      <w:pPr>
        <w:ind w:firstLine="480"/>
        <w:rPr>
          <w:rFonts w:ascii="宋体" w:hAnsi="宋体"/>
        </w:rPr>
      </w:pPr>
      <w:r>
        <w:rPr>
          <w:rFonts w:hint="eastAsia" w:ascii="宋体" w:hAnsi="宋体"/>
        </w:rPr>
        <w:t>按照招标文件评标标准中的相关要求，提供：</w:t>
      </w:r>
    </w:p>
    <w:p>
      <w:pPr>
        <w:ind w:firstLine="480"/>
        <w:rPr>
          <w:rFonts w:ascii="宋体" w:hAnsi="宋体"/>
        </w:rPr>
      </w:pPr>
      <w:r>
        <w:rPr>
          <w:rFonts w:hint="eastAsia" w:ascii="宋体" w:hAnsi="宋体"/>
        </w:rPr>
        <w:t>1、详细的项目管理方案。包含实施计划、实施团队、实施进度、质量控制措施和安全保障措施。</w:t>
      </w:r>
    </w:p>
    <w:p>
      <w:pPr>
        <w:ind w:firstLine="480"/>
        <w:rPr>
          <w:rFonts w:ascii="宋体" w:hAnsi="宋体"/>
          <w:shd w:val="pct10" w:color="auto" w:fill="FFFFFF"/>
        </w:rPr>
      </w:pPr>
      <w:r>
        <w:rPr>
          <w:rFonts w:hint="eastAsia" w:ascii="宋体" w:hAnsi="宋体"/>
        </w:rPr>
        <w:t>2、完善的售后服务体系。包含售后服务机构和人员、售后服务内容和流程、售后服务响应时间和质量、售后服务方式和特色。</w:t>
      </w:r>
    </w:p>
    <w:p>
      <w:pPr>
        <w:ind w:firstLine="480"/>
        <w:rPr>
          <w:rFonts w:ascii="宋体" w:hAnsi="宋体"/>
        </w:rPr>
      </w:pPr>
      <w:r>
        <w:rPr>
          <w:rFonts w:hint="eastAsia" w:ascii="宋体" w:hAnsi="宋体"/>
        </w:rPr>
        <w:t>3、售后服务相关承诺。</w:t>
      </w:r>
    </w:p>
    <w:p>
      <w:pPr>
        <w:ind w:firstLine="0" w:firstLineChars="0"/>
        <w:rPr>
          <w:rFonts w:ascii="宋体" w:hAnsi="宋体"/>
        </w:rPr>
      </w:pPr>
    </w:p>
    <w:p>
      <w:pPr>
        <w:widowControl/>
        <w:snapToGrid w:val="0"/>
        <w:spacing w:line="360" w:lineRule="auto"/>
        <w:ind w:firstLine="0" w:firstLineChars="0"/>
        <w:outlineLvl w:val="1"/>
        <w:rPr>
          <w:rFonts w:ascii="宋体"/>
          <w:b/>
          <w:sz w:val="28"/>
          <w:szCs w:val="28"/>
        </w:rPr>
      </w:pPr>
      <w:r>
        <w:rPr>
          <w:rFonts w:ascii="宋体" w:hAnsi="宋体"/>
        </w:rPr>
        <w:br w:type="page"/>
      </w:r>
      <w:bookmarkStart w:id="179" w:name="_Toc82441647"/>
      <w:bookmarkStart w:id="180" w:name="_Toc67558057"/>
      <w:r>
        <w:rPr>
          <w:rFonts w:hint="eastAsia" w:ascii="宋体"/>
          <w:b/>
          <w:sz w:val="28"/>
          <w:szCs w:val="28"/>
        </w:rPr>
        <w:t>附件19：投标人认为在其他方面有必要说明的事项</w:t>
      </w:r>
      <w:bookmarkEnd w:id="179"/>
      <w:bookmarkEnd w:id="180"/>
    </w:p>
    <w:p>
      <w:pPr>
        <w:ind w:firstLine="723"/>
        <w:jc w:val="center"/>
        <w:rPr>
          <w:rFonts w:ascii="宋体" w:hAnsi="宋体"/>
          <w:b/>
          <w:sz w:val="36"/>
          <w:szCs w:val="36"/>
        </w:rPr>
      </w:pPr>
    </w:p>
    <w:p>
      <w:pPr>
        <w:ind w:firstLine="723"/>
        <w:jc w:val="center"/>
        <w:rPr>
          <w:rFonts w:ascii="宋体" w:hAnsi="宋体"/>
          <w:b/>
          <w:sz w:val="36"/>
          <w:szCs w:val="36"/>
        </w:rPr>
      </w:pPr>
      <w:r>
        <w:rPr>
          <w:rFonts w:hint="eastAsia" w:ascii="宋体" w:hAnsi="宋体"/>
          <w:b/>
          <w:sz w:val="36"/>
          <w:szCs w:val="36"/>
        </w:rPr>
        <w:t>投标人认为在其他方面有必要说明的事项</w:t>
      </w:r>
    </w:p>
    <w:p>
      <w:pPr>
        <w:ind w:firstLine="723"/>
        <w:jc w:val="center"/>
        <w:rPr>
          <w:rFonts w:ascii="宋体" w:hAnsi="宋体"/>
          <w:b/>
          <w:sz w:val="36"/>
          <w:szCs w:val="36"/>
        </w:rPr>
      </w:pPr>
      <w:r>
        <w:rPr>
          <w:rFonts w:hint="eastAsia" w:ascii="宋体" w:hAnsi="宋体"/>
          <w:b/>
          <w:sz w:val="36"/>
          <w:szCs w:val="36"/>
        </w:rPr>
        <w:t>（格式自定）</w:t>
      </w:r>
    </w:p>
    <w:p>
      <w:pPr>
        <w:ind w:firstLine="0" w:firstLineChars="0"/>
        <w:rPr>
          <w:rFonts w:ascii="宋体" w:hAnsi="宋体"/>
        </w:rPr>
      </w:pPr>
    </w:p>
    <w:bookmarkEnd w:id="174"/>
    <w:p>
      <w:pPr>
        <w:tabs>
          <w:tab w:val="left" w:pos="168"/>
        </w:tabs>
        <w:adjustRightInd w:val="0"/>
        <w:ind w:firstLine="0" w:firstLineChars="0"/>
        <w:jc w:val="center"/>
        <w:textAlignment w:val="baseline"/>
        <w:rPr>
          <w:rFonts w:ascii="宋体" w:hAnsi="宋体"/>
          <w:b/>
          <w:bCs/>
        </w:rPr>
      </w:pPr>
      <w:r>
        <w:rPr>
          <w:rFonts w:ascii="宋体" w:hAnsi="宋体"/>
          <w:b/>
        </w:rPr>
        <w:br w:type="page"/>
      </w:r>
    </w:p>
    <w:p>
      <w:pPr>
        <w:keepNext/>
        <w:keepLines/>
        <w:widowControl/>
        <w:snapToGrid w:val="0"/>
        <w:spacing w:line="400" w:lineRule="atLeast"/>
        <w:ind w:firstLine="0" w:firstLineChars="0"/>
        <w:jc w:val="center"/>
        <w:outlineLvl w:val="0"/>
        <w:rPr>
          <w:rFonts w:ascii="宋体"/>
          <w:b/>
          <w:kern w:val="28"/>
          <w:sz w:val="36"/>
          <w:szCs w:val="20"/>
        </w:rPr>
      </w:pPr>
      <w:bookmarkStart w:id="181" w:name="_Toc325726051"/>
      <w:bookmarkStart w:id="182" w:name="_Toc82441648"/>
      <w:bookmarkStart w:id="183" w:name="_Toc376936782"/>
      <w:r>
        <w:rPr>
          <w:rFonts w:hint="eastAsia" w:ascii="宋体"/>
          <w:b/>
          <w:kern w:val="28"/>
          <w:sz w:val="36"/>
          <w:szCs w:val="20"/>
        </w:rPr>
        <w:t>第五部分  采购项目要求及技术参数</w:t>
      </w:r>
      <w:bookmarkEnd w:id="181"/>
      <w:bookmarkEnd w:id="182"/>
      <w:bookmarkEnd w:id="183"/>
    </w:p>
    <w:p>
      <w:pPr>
        <w:widowControl/>
        <w:spacing w:beforeLines="200" w:afterLines="200" w:line="240" w:lineRule="auto"/>
        <w:ind w:firstLine="0" w:firstLineChars="0"/>
        <w:jc w:val="center"/>
        <w:outlineLvl w:val="1"/>
        <w:rPr>
          <w:rFonts w:ascii="宋体" w:hAnsi="宋体"/>
          <w:b/>
          <w:bCs/>
          <w:kern w:val="0"/>
          <w:sz w:val="36"/>
          <w:szCs w:val="36"/>
        </w:rPr>
      </w:pPr>
      <w:bookmarkStart w:id="184" w:name="_Toc376936783"/>
      <w:bookmarkStart w:id="185" w:name="_Toc325726052"/>
      <w:bookmarkStart w:id="186" w:name="_Toc82441649"/>
      <w:r>
        <w:rPr>
          <w:rFonts w:hint="eastAsia" w:ascii="宋体" w:hAnsi="宋体"/>
          <w:b/>
          <w:bCs/>
          <w:kern w:val="0"/>
          <w:sz w:val="36"/>
          <w:szCs w:val="36"/>
        </w:rPr>
        <w:t>一、投标要求</w:t>
      </w:r>
      <w:bookmarkEnd w:id="184"/>
      <w:bookmarkEnd w:id="185"/>
      <w:bookmarkEnd w:id="186"/>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87" w:name="_Toc82441650"/>
      <w:bookmarkStart w:id="188" w:name="_Toc325726053"/>
      <w:bookmarkStart w:id="189" w:name="_Toc376936784"/>
      <w:r>
        <w:rPr>
          <w:rFonts w:hint="eastAsia" w:ascii="宋体" w:hAnsi="宋体"/>
          <w:b/>
          <w:bCs/>
          <w:kern w:val="0"/>
          <w:sz w:val="27"/>
          <w:szCs w:val="27"/>
        </w:rPr>
        <w:t>1、投标说明</w:t>
      </w:r>
      <w:bookmarkEnd w:id="187"/>
      <w:bookmarkEnd w:id="188"/>
      <w:bookmarkEnd w:id="189"/>
    </w:p>
    <w:p>
      <w:pPr>
        <w:ind w:firstLine="470" w:firstLineChars="196"/>
      </w:pPr>
      <w:r>
        <w:rPr>
          <w:rFonts w:hint="eastAsia" w:ascii="宋体" w:hAnsi="宋体"/>
        </w:rPr>
        <w:t>1.1</w:t>
      </w:r>
      <w:r>
        <w:rPr>
          <w:rFonts w:hint="eastAsia"/>
        </w:rPr>
        <w:t>投标人可以按照招标文件规定的包号选择投标，但必须对所投包号中的所有内容作为一个整体进行投标，不能拆分或少报。否则，投标无效。</w:t>
      </w:r>
    </w:p>
    <w:p>
      <w:pPr>
        <w:ind w:firstLine="470" w:firstLineChars="196"/>
        <w:rPr>
          <w:rFonts w:ascii="宋体" w:hAnsi="宋体"/>
        </w:rPr>
      </w:pPr>
      <w:r>
        <w:rPr>
          <w:rFonts w:hint="eastAsia" w:ascii="宋体" w:hAnsi="宋体"/>
        </w:rPr>
        <w:t>1.2投标报价为投标总价。包括产品费、检验费、手续费、包装费、运输费、保险费、安装调试费、税金及不可预见费等全部费用。若投标报价不能完全包括上述内容，按无效投标处理。</w:t>
      </w:r>
    </w:p>
    <w:p>
      <w:pPr>
        <w:ind w:firstLine="470" w:firstLineChars="196"/>
        <w:rPr>
          <w:rFonts w:ascii="宋体" w:hAnsi="宋体"/>
        </w:rPr>
      </w:pPr>
      <w:r>
        <w:rPr>
          <w:rFonts w:hint="eastAsia" w:ascii="宋体" w:hAnsi="宋体"/>
        </w:rPr>
        <w:t>1.3本次采购产品均为国产产品，所投产品必须符合国家的强制性标准。</w:t>
      </w:r>
    </w:p>
    <w:p>
      <w:pPr>
        <w:ind w:firstLine="470" w:firstLineChars="196"/>
        <w:rPr>
          <w:rFonts w:ascii="宋体" w:hAnsi="宋体"/>
        </w:rPr>
      </w:pPr>
      <w:r>
        <w:rPr>
          <w:rFonts w:hint="eastAsia" w:ascii="宋体" w:hAnsi="宋体"/>
        </w:rPr>
        <w:t>1.4所投产品或其任何一部分不得侵犯专利权、著作权、商标权和工业设计权等知识产权。</w:t>
      </w:r>
    </w:p>
    <w:p>
      <w:pPr>
        <w:ind w:firstLine="470" w:firstLineChars="196"/>
        <w:rPr>
          <w:rFonts w:ascii="宋体" w:hAnsi="宋体"/>
        </w:rPr>
      </w:pPr>
      <w:r>
        <w:rPr>
          <w:rFonts w:hint="eastAsia" w:ascii="宋体" w:hAnsi="宋体"/>
        </w:rPr>
        <w:t>1.5交货时间、地点：</w:t>
      </w:r>
      <w:bookmarkStart w:id="190" w:name="_Toc325726054"/>
      <w:r>
        <w:rPr>
          <w:rFonts w:hint="eastAsia" w:ascii="宋体" w:hAnsi="宋体"/>
        </w:rPr>
        <w:t>按采购人指定的时间、地点交货并安装交付使用。</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91" w:name="_Toc82441651"/>
      <w:bookmarkStart w:id="192" w:name="_Toc376936785"/>
      <w:r>
        <w:rPr>
          <w:rFonts w:hint="eastAsia" w:ascii="宋体" w:hAnsi="宋体"/>
          <w:b/>
          <w:bCs/>
          <w:kern w:val="0"/>
          <w:sz w:val="27"/>
          <w:szCs w:val="27"/>
        </w:rPr>
        <w:t>2、报价说明</w:t>
      </w:r>
      <w:bookmarkEnd w:id="191"/>
      <w:bookmarkEnd w:id="192"/>
    </w:p>
    <w:p>
      <w:pPr>
        <w:ind w:firstLine="470" w:firstLineChars="196"/>
        <w:rPr>
          <w:rFonts w:ascii="宋体" w:hAnsi="宋体"/>
        </w:rPr>
      </w:pPr>
      <w:r>
        <w:rPr>
          <w:rFonts w:hint="eastAsia" w:ascii="宋体" w:hAnsi="宋体"/>
        </w:rPr>
        <w:t>本次招标文件中规定的</w:t>
      </w:r>
      <w:r>
        <w:rPr>
          <w:rFonts w:hint="eastAsia" w:ascii="宋体" w:hAnsi="宋体"/>
          <w:lang w:eastAsia="zh-CN"/>
        </w:rPr>
        <w:t>采购预算</w:t>
      </w:r>
      <w:r>
        <w:rPr>
          <w:rFonts w:hint="eastAsia" w:ascii="宋体" w:hAnsi="宋体"/>
        </w:rPr>
        <w:t>为招标最高限价，投标单位的投标报价不得超出此</w:t>
      </w:r>
      <w:r>
        <w:rPr>
          <w:rFonts w:hint="eastAsia" w:ascii="宋体" w:hAnsi="宋体"/>
          <w:lang w:val="en-US" w:eastAsia="zh-CN"/>
        </w:rPr>
        <w:t>预算</w:t>
      </w:r>
      <w:bookmarkStart w:id="218" w:name="_GoBack"/>
      <w:bookmarkEnd w:id="218"/>
      <w:r>
        <w:rPr>
          <w:rFonts w:hint="eastAsia" w:ascii="宋体" w:hAnsi="宋体"/>
        </w:rPr>
        <w:t>。否则，投标无效。</w:t>
      </w:r>
    </w:p>
    <w:p>
      <w:pPr>
        <w:widowControl/>
        <w:spacing w:before="100" w:beforeAutospacing="1" w:after="100" w:afterAutospacing="1" w:line="240" w:lineRule="auto"/>
        <w:ind w:firstLine="542"/>
        <w:jc w:val="left"/>
        <w:outlineLvl w:val="2"/>
        <w:rPr>
          <w:rFonts w:ascii="宋体" w:hAnsi="宋体"/>
          <w:b/>
          <w:bCs/>
          <w:color w:val="000000" w:themeColor="text1"/>
          <w:kern w:val="0"/>
          <w:sz w:val="27"/>
          <w:szCs w:val="27"/>
        </w:rPr>
      </w:pPr>
      <w:bookmarkStart w:id="193" w:name="_Toc82441652"/>
      <w:bookmarkStart w:id="194" w:name="_Toc376936786"/>
      <w:r>
        <w:rPr>
          <w:rFonts w:hint="eastAsia" w:ascii="宋体" w:hAnsi="宋体"/>
          <w:b/>
          <w:bCs/>
          <w:color w:val="000000" w:themeColor="text1"/>
          <w:kern w:val="0"/>
          <w:sz w:val="27"/>
          <w:szCs w:val="27"/>
        </w:rPr>
        <w:t>3、重要指标</w:t>
      </w:r>
      <w:bookmarkEnd w:id="190"/>
      <w:bookmarkEnd w:id="193"/>
      <w:bookmarkEnd w:id="194"/>
    </w:p>
    <w:p>
      <w:pPr>
        <w:ind w:firstLine="470" w:firstLineChars="196"/>
        <w:rPr>
          <w:rFonts w:ascii="宋体" w:hAnsi="宋体"/>
          <w:color w:val="000000" w:themeColor="text1"/>
        </w:rPr>
      </w:pPr>
      <w:r>
        <w:rPr>
          <w:rFonts w:hint="eastAsia" w:ascii="宋体" w:hAnsi="宋体"/>
          <w:color w:val="000000" w:themeColor="text1"/>
        </w:rPr>
        <w:t>3.1招标文件在技术参数中列出了招标人可以接受的最低技术指标，投标人必须对技术参数一览表中各项产品和指标进行实质性响应，所提供的每一项技术指标不能低于所列的各项指标。</w:t>
      </w:r>
    </w:p>
    <w:p>
      <w:pPr>
        <w:ind w:firstLine="480"/>
        <w:rPr>
          <w:rFonts w:ascii="宋体" w:hAnsi="宋体"/>
          <w:color w:val="000000" w:themeColor="text1"/>
        </w:rPr>
      </w:pPr>
      <w:r>
        <w:rPr>
          <w:rFonts w:hint="eastAsia" w:ascii="宋体" w:hAnsi="宋体"/>
          <w:color w:val="000000" w:themeColor="text1"/>
        </w:rPr>
        <w:t>3.2招标文件中凡需与原有设备、系统并机、兼容、匹配、对接等要求的，请主动和采购人联系，取得原有设备、系统相关资料。若有招标文件未提及或变更内容的，请及时与集中采购机构联系。</w:t>
      </w:r>
    </w:p>
    <w:p>
      <w:pPr>
        <w:widowControl/>
        <w:spacing w:beforeLines="200" w:afterLines="200" w:line="240" w:lineRule="auto"/>
        <w:ind w:firstLine="0" w:firstLineChars="0"/>
        <w:jc w:val="center"/>
        <w:outlineLvl w:val="1"/>
        <w:rPr>
          <w:rFonts w:hint="eastAsia" w:ascii="宋体" w:hAnsi="宋体"/>
          <w:b/>
          <w:bCs/>
          <w:kern w:val="0"/>
          <w:sz w:val="36"/>
          <w:szCs w:val="36"/>
        </w:rPr>
      </w:pPr>
      <w:bookmarkStart w:id="195" w:name="_Toc325726061"/>
      <w:bookmarkStart w:id="196" w:name="_Toc82441653"/>
      <w:bookmarkStart w:id="197" w:name="_Toc376936787"/>
    </w:p>
    <w:p>
      <w:pPr>
        <w:widowControl/>
        <w:spacing w:beforeLines="200" w:afterLines="200" w:line="240" w:lineRule="auto"/>
        <w:ind w:firstLine="0" w:firstLineChars="0"/>
        <w:jc w:val="center"/>
        <w:outlineLvl w:val="1"/>
        <w:rPr>
          <w:rFonts w:ascii="宋体" w:hAnsi="宋体"/>
          <w:b/>
          <w:bCs/>
          <w:kern w:val="0"/>
          <w:sz w:val="36"/>
          <w:szCs w:val="36"/>
        </w:rPr>
      </w:pPr>
      <w:r>
        <w:rPr>
          <w:rFonts w:hint="eastAsia" w:ascii="宋体" w:hAnsi="宋体"/>
          <w:b/>
          <w:bCs/>
          <w:kern w:val="0"/>
          <w:sz w:val="36"/>
          <w:szCs w:val="36"/>
        </w:rPr>
        <w:t>二</w:t>
      </w:r>
      <w:bookmarkEnd w:id="195"/>
      <w:r>
        <w:rPr>
          <w:rFonts w:hint="eastAsia" w:ascii="宋体" w:hAnsi="宋体"/>
          <w:b/>
          <w:bCs/>
          <w:kern w:val="0"/>
          <w:sz w:val="36"/>
          <w:szCs w:val="36"/>
        </w:rPr>
        <w:t>、项目概况及技术参数</w:t>
      </w:r>
      <w:bookmarkEnd w:id="196"/>
      <w:bookmarkEnd w:id="197"/>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98" w:name="_Toc82441654"/>
      <w:bookmarkStart w:id="199" w:name="_Toc376936788"/>
      <w:r>
        <w:rPr>
          <w:rFonts w:hint="eastAsia" w:ascii="宋体" w:hAnsi="宋体"/>
          <w:b/>
          <w:bCs/>
          <w:kern w:val="0"/>
          <w:sz w:val="27"/>
          <w:szCs w:val="27"/>
        </w:rPr>
        <w:t>1、项目概况</w:t>
      </w:r>
      <w:bookmarkEnd w:id="198"/>
      <w:bookmarkEnd w:id="199"/>
    </w:p>
    <w:p>
      <w:pPr>
        <w:ind w:firstLine="480"/>
        <w:rPr>
          <w:rFonts w:ascii="宋体" w:hAnsi="宋体"/>
        </w:rPr>
      </w:pPr>
      <w:bookmarkStart w:id="200" w:name="_Toc376936789"/>
      <w:r>
        <w:rPr>
          <w:rFonts w:hint="eastAsia" w:ascii="宋体" w:hAnsi="宋体"/>
          <w:color w:val="000000" w:themeColor="text1"/>
        </w:rPr>
        <w:t>青海大学教学基本条件改善采购项目共</w:t>
      </w:r>
      <w:r>
        <w:rPr>
          <w:rFonts w:ascii="宋体" w:hAnsi="宋体"/>
        </w:rPr>
        <w:t>2</w:t>
      </w:r>
      <w:r>
        <w:rPr>
          <w:rFonts w:hint="eastAsia" w:ascii="宋体" w:hAnsi="宋体"/>
        </w:rPr>
        <w:t>个包。</w:t>
      </w:r>
      <w:r>
        <w:rPr>
          <w:rFonts w:hint="eastAsia" w:ascii="宋体" w:hAnsi="宋体"/>
          <w:color w:val="auto"/>
        </w:rPr>
        <w:t>主要采购</w:t>
      </w:r>
      <w:r>
        <w:rPr>
          <w:rFonts w:hint="eastAsia" w:ascii="宋体" w:hAnsi="宋体"/>
          <w:color w:val="auto"/>
          <w:lang w:val="en-US" w:eastAsia="zh-CN"/>
        </w:rPr>
        <w:t>信息化</w:t>
      </w:r>
      <w:r>
        <w:rPr>
          <w:rFonts w:hint="eastAsia" w:ascii="宋体" w:hAnsi="宋体"/>
          <w:color w:val="auto"/>
        </w:rPr>
        <w:t>设备一批，</w:t>
      </w:r>
      <w:r>
        <w:rPr>
          <w:rFonts w:hint="eastAsia" w:ascii="宋体" w:hAnsi="宋体"/>
          <w:lang w:eastAsia="zh-CN"/>
        </w:rPr>
        <w:t>采购预算</w:t>
      </w:r>
      <w:r>
        <w:rPr>
          <w:rFonts w:hint="eastAsia" w:ascii="宋体" w:hAnsi="宋体"/>
        </w:rPr>
        <w:t>为</w:t>
      </w:r>
      <w:r>
        <w:rPr>
          <w:rFonts w:ascii="宋体" w:hAnsi="宋体"/>
        </w:rPr>
        <w:t>530</w:t>
      </w:r>
      <w:r>
        <w:rPr>
          <w:rFonts w:hint="eastAsia" w:ascii="宋体" w:hAnsi="宋体"/>
        </w:rPr>
        <w:t>万元。采购标的经采购人确定属于</w:t>
      </w:r>
      <w:r>
        <w:rPr>
          <w:rFonts w:hint="eastAsia" w:ascii="宋体" w:hAnsi="宋体"/>
          <w:u w:val="single"/>
        </w:rPr>
        <w:t xml:space="preserve"> </w:t>
      </w:r>
      <w:r>
        <w:rPr>
          <w:rFonts w:hint="eastAsia" w:ascii="宋体" w:hAnsi="宋体"/>
          <w:u w:val="single"/>
          <w:lang w:val="en-US" w:eastAsia="zh-CN"/>
        </w:rPr>
        <w:t xml:space="preserve">其他未列明 </w:t>
      </w:r>
      <w:r>
        <w:rPr>
          <w:rFonts w:hint="eastAsia" w:ascii="宋体" w:hAnsi="宋体"/>
        </w:rPr>
        <w:t>行业。技术参数详见招标文件《采购一览表及技术参数》内容。各包具体情况如下：</w:t>
      </w:r>
    </w:p>
    <w:tbl>
      <w:tblPr>
        <w:tblStyle w:val="64"/>
        <w:tblW w:w="8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3088"/>
        <w:gridCol w:w="3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659" w:type="dxa"/>
            <w:vAlign w:val="center"/>
          </w:tcPr>
          <w:p>
            <w:pPr>
              <w:ind w:firstLine="0" w:firstLineChars="0"/>
              <w:jc w:val="center"/>
              <w:rPr>
                <w:rFonts w:ascii="宋体" w:hAnsi="宋体"/>
              </w:rPr>
            </w:pPr>
            <w:r>
              <w:rPr>
                <w:rFonts w:hint="eastAsia" w:ascii="宋体" w:hAnsi="宋体"/>
              </w:rPr>
              <w:t>包号</w:t>
            </w:r>
          </w:p>
        </w:tc>
        <w:tc>
          <w:tcPr>
            <w:tcW w:w="3088" w:type="dxa"/>
          </w:tcPr>
          <w:p>
            <w:pPr>
              <w:ind w:firstLine="0" w:firstLineChars="0"/>
              <w:jc w:val="center"/>
              <w:rPr>
                <w:rFonts w:hint="default" w:ascii="宋体" w:hAnsi="宋体" w:eastAsia="宋体"/>
                <w:lang w:val="en-US" w:eastAsia="zh-CN"/>
              </w:rPr>
            </w:pPr>
            <w:r>
              <w:rPr>
                <w:rFonts w:hint="eastAsia" w:ascii="宋体" w:hAnsi="宋体"/>
                <w:lang w:val="en-US" w:eastAsia="zh-CN"/>
              </w:rPr>
              <w:t>包号名称</w:t>
            </w:r>
          </w:p>
        </w:tc>
        <w:tc>
          <w:tcPr>
            <w:tcW w:w="3418" w:type="dxa"/>
          </w:tcPr>
          <w:p>
            <w:pPr>
              <w:ind w:firstLine="0" w:firstLineChars="0"/>
              <w:jc w:val="center"/>
              <w:rPr>
                <w:rFonts w:hint="eastAsia" w:ascii="宋体" w:hAnsi="宋体" w:eastAsia="宋体"/>
                <w:lang w:eastAsia="zh-CN"/>
              </w:rPr>
            </w:pPr>
            <w:r>
              <w:rPr>
                <w:rFonts w:hint="eastAsia" w:ascii="宋体" w:hAnsi="宋体"/>
                <w:lang w:eastAsia="zh-CN"/>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659" w:type="dxa"/>
            <w:vAlign w:val="center"/>
          </w:tcPr>
          <w:p>
            <w:pPr>
              <w:ind w:firstLine="0" w:firstLineChars="0"/>
              <w:jc w:val="center"/>
              <w:rPr>
                <w:rFonts w:ascii="宋体" w:hAnsi="宋体"/>
              </w:rPr>
            </w:pPr>
            <w:r>
              <w:rPr>
                <w:rFonts w:hint="eastAsia" w:ascii="宋体" w:hAnsi="宋体"/>
              </w:rPr>
              <w:t>1</w:t>
            </w:r>
          </w:p>
        </w:tc>
        <w:tc>
          <w:tcPr>
            <w:tcW w:w="3088" w:type="dxa"/>
          </w:tcPr>
          <w:p>
            <w:pPr>
              <w:ind w:firstLine="0" w:firstLineChars="0"/>
              <w:jc w:val="center"/>
              <w:rPr>
                <w:rFonts w:hint="default" w:ascii="宋体" w:hAnsi="宋体" w:eastAsia="宋体"/>
                <w:lang w:val="en-US" w:eastAsia="zh-CN"/>
              </w:rPr>
            </w:pPr>
            <w:r>
              <w:rPr>
                <w:rFonts w:hint="eastAsia" w:ascii="宋体" w:hAnsi="宋体"/>
                <w:lang w:val="en-US" w:eastAsia="zh-CN"/>
              </w:rPr>
              <w:t>信息设备及应用</w:t>
            </w:r>
          </w:p>
        </w:tc>
        <w:tc>
          <w:tcPr>
            <w:tcW w:w="3418" w:type="dxa"/>
          </w:tcPr>
          <w:p>
            <w:pPr>
              <w:ind w:firstLine="0" w:firstLineChars="0"/>
              <w:jc w:val="center"/>
              <w:rPr>
                <w:rFonts w:ascii="宋体" w:hAnsi="宋体"/>
              </w:rPr>
            </w:pPr>
            <w:r>
              <w:rPr>
                <w:rFonts w:ascii="宋体" w:hAnsi="宋体"/>
              </w:rPr>
              <w:t>480</w:t>
            </w:r>
            <w:r>
              <w:rPr>
                <w:rFonts w:hint="eastAsia" w:ascii="宋体" w:hAnsi="宋体"/>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659" w:type="dxa"/>
            <w:vAlign w:val="center"/>
          </w:tcPr>
          <w:p>
            <w:pPr>
              <w:ind w:firstLine="0" w:firstLineChars="0"/>
              <w:jc w:val="center"/>
              <w:rPr>
                <w:rFonts w:ascii="宋体" w:hAnsi="宋体"/>
              </w:rPr>
            </w:pPr>
            <w:r>
              <w:rPr>
                <w:rFonts w:hint="eastAsia" w:ascii="宋体" w:hAnsi="宋体"/>
              </w:rPr>
              <w:t>2</w:t>
            </w:r>
          </w:p>
        </w:tc>
        <w:tc>
          <w:tcPr>
            <w:tcW w:w="3088" w:type="dxa"/>
          </w:tcPr>
          <w:p>
            <w:pPr>
              <w:ind w:firstLine="0" w:firstLineChars="0"/>
              <w:jc w:val="center"/>
              <w:rPr>
                <w:rFonts w:hint="default" w:ascii="宋体" w:hAnsi="宋体" w:eastAsia="宋体"/>
                <w:lang w:val="en-US" w:eastAsia="zh-CN"/>
              </w:rPr>
            </w:pPr>
            <w:r>
              <w:rPr>
                <w:rFonts w:hint="eastAsia" w:ascii="宋体" w:hAnsi="宋体"/>
                <w:lang w:val="en-US" w:eastAsia="zh-CN"/>
              </w:rPr>
              <w:t>信息化设备</w:t>
            </w:r>
          </w:p>
        </w:tc>
        <w:tc>
          <w:tcPr>
            <w:tcW w:w="3418" w:type="dxa"/>
          </w:tcPr>
          <w:p>
            <w:pPr>
              <w:ind w:firstLine="0" w:firstLineChars="0"/>
              <w:jc w:val="center"/>
              <w:rPr>
                <w:rFonts w:ascii="宋体" w:hAnsi="宋体"/>
              </w:rPr>
            </w:pPr>
            <w:r>
              <w:rPr>
                <w:rFonts w:ascii="宋体" w:hAnsi="宋体"/>
              </w:rPr>
              <w:t>50</w:t>
            </w:r>
            <w:r>
              <w:rPr>
                <w:rFonts w:hint="eastAsia" w:ascii="宋体" w:hAnsi="宋体"/>
              </w:rPr>
              <w:t>万元（人民币）</w:t>
            </w:r>
          </w:p>
        </w:tc>
      </w:tr>
    </w:tbl>
    <w:p>
      <w:pPr>
        <w:widowControl/>
        <w:spacing w:before="100" w:beforeAutospacing="1" w:after="100" w:afterAutospacing="1" w:line="240" w:lineRule="auto"/>
        <w:ind w:firstLine="542"/>
        <w:jc w:val="left"/>
        <w:outlineLvl w:val="2"/>
        <w:rPr>
          <w:rFonts w:ascii="宋体" w:hAnsi="宋体"/>
          <w:b/>
          <w:bCs/>
          <w:kern w:val="0"/>
          <w:sz w:val="27"/>
          <w:szCs w:val="27"/>
        </w:rPr>
      </w:pPr>
      <w:bookmarkStart w:id="201" w:name="_Toc82441655"/>
      <w:r>
        <w:rPr>
          <w:rFonts w:hint="eastAsia" w:ascii="宋体" w:hAnsi="宋体"/>
          <w:b/>
          <w:bCs/>
          <w:kern w:val="0"/>
          <w:sz w:val="27"/>
          <w:szCs w:val="27"/>
        </w:rPr>
        <w:t>2、</w:t>
      </w:r>
      <w:bookmarkStart w:id="202" w:name="_Toc352076750"/>
      <w:bookmarkStart w:id="203" w:name="_Toc325726055"/>
      <w:r>
        <w:rPr>
          <w:rFonts w:hint="eastAsia" w:ascii="宋体" w:hAnsi="宋体"/>
          <w:b/>
          <w:bCs/>
          <w:kern w:val="0"/>
          <w:sz w:val="27"/>
          <w:szCs w:val="27"/>
        </w:rPr>
        <w:t>产品交付说明</w:t>
      </w:r>
      <w:bookmarkEnd w:id="200"/>
      <w:bookmarkEnd w:id="201"/>
      <w:bookmarkEnd w:id="202"/>
      <w:bookmarkEnd w:id="203"/>
    </w:p>
    <w:p>
      <w:pPr>
        <w:ind w:firstLine="480"/>
        <w:rPr>
          <w:rFonts w:ascii="宋体" w:hAnsi="宋体"/>
        </w:rPr>
      </w:pPr>
      <w:r>
        <w:rPr>
          <w:rFonts w:hint="eastAsia" w:ascii="宋体" w:hAnsi="宋体"/>
        </w:rPr>
        <w:t>投标人所交付的硬件产品，其所有部件必须都是原厂原装部件，而且产品应是交付前最新生产且未被使用过的全新产品，同时必须具有在中国境内的合法使用权。</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204" w:name="_Toc82441656"/>
      <w:bookmarkStart w:id="205" w:name="_Toc376936791"/>
      <w:bookmarkStart w:id="206" w:name="_Toc352076752"/>
      <w:r>
        <w:rPr>
          <w:rFonts w:hint="eastAsia" w:ascii="宋体" w:hAnsi="宋体"/>
          <w:b/>
          <w:bCs/>
          <w:kern w:val="0"/>
          <w:sz w:val="27"/>
          <w:szCs w:val="27"/>
        </w:rPr>
        <w:t>3、产品验收</w:t>
      </w:r>
      <w:bookmarkEnd w:id="204"/>
    </w:p>
    <w:p>
      <w:pPr>
        <w:ind w:firstLine="480"/>
        <w:rPr>
          <w:rFonts w:ascii="宋体" w:hAnsi="宋体"/>
        </w:rPr>
      </w:pPr>
      <w:r>
        <w:rPr>
          <w:rFonts w:hint="eastAsia" w:ascii="宋体" w:hAnsi="宋体"/>
        </w:rPr>
        <w:t>开箱检验。投标人中标后，应在招标文件中规定的供货地点完成所有产品的供货和产品初始验收及最终验收工作。初始验收将由中标供应商、产品提供商（如果需要）、采购人共同完成。产品开箱后，初步检查产品外观应无损伤；核对产品清单，检查交付产品的规格型号、数量以及相关配件。产品外观受损、附件与合同产品清单或装箱单不符的视为检验不合格。</w:t>
      </w:r>
    </w:p>
    <w:bookmarkEnd w:id="205"/>
    <w:bookmarkEnd w:id="206"/>
    <w:p>
      <w:pPr>
        <w:widowControl/>
        <w:spacing w:before="100" w:beforeAutospacing="1" w:after="100" w:afterAutospacing="1" w:line="240" w:lineRule="auto"/>
        <w:ind w:firstLine="542"/>
        <w:jc w:val="left"/>
        <w:outlineLvl w:val="2"/>
        <w:rPr>
          <w:rFonts w:ascii="宋体" w:hAnsi="宋体"/>
          <w:b/>
          <w:bCs/>
          <w:kern w:val="0"/>
          <w:sz w:val="27"/>
          <w:szCs w:val="27"/>
        </w:rPr>
      </w:pPr>
      <w:bookmarkStart w:id="207" w:name="_Toc352076753"/>
      <w:bookmarkStart w:id="208" w:name="_Toc376936792"/>
      <w:bookmarkStart w:id="209" w:name="_Toc82441657"/>
      <w:r>
        <w:rPr>
          <w:rFonts w:hint="eastAsia" w:ascii="宋体" w:hAnsi="宋体"/>
          <w:b/>
          <w:bCs/>
          <w:kern w:val="0"/>
          <w:sz w:val="27"/>
          <w:szCs w:val="27"/>
        </w:rPr>
        <w:t>4、</w:t>
      </w:r>
      <w:bookmarkEnd w:id="207"/>
      <w:bookmarkEnd w:id="208"/>
      <w:r>
        <w:rPr>
          <w:rFonts w:hint="eastAsia" w:ascii="宋体" w:hAnsi="宋体"/>
          <w:b/>
          <w:bCs/>
          <w:kern w:val="0"/>
          <w:sz w:val="27"/>
          <w:szCs w:val="27"/>
        </w:rPr>
        <w:t>安装、调试</w:t>
      </w:r>
      <w:bookmarkEnd w:id="209"/>
    </w:p>
    <w:p>
      <w:pPr>
        <w:ind w:firstLine="480"/>
        <w:rPr>
          <w:rFonts w:ascii="宋体" w:hAnsi="宋体"/>
        </w:rPr>
      </w:pPr>
      <w:r>
        <w:rPr>
          <w:rFonts w:hint="eastAsia" w:ascii="宋体" w:hAnsi="宋体"/>
        </w:rPr>
        <w:t>4.1中标供应商应在规定的时间和地点内向采购人提供产品和服务，在配送方案设计、产品供货、安装调试、技术支持、运行维护等方面，采购人有权裁决中标供应商的责任范围，各中标供应商必须执行，并在规定的时间内解决问题。如果中标供应商不能按时解决问题，采购人有权退货、索赔或拒付款项。</w:t>
      </w:r>
    </w:p>
    <w:p>
      <w:pPr>
        <w:ind w:firstLine="480"/>
        <w:rPr>
          <w:rFonts w:ascii="宋体" w:hAnsi="宋体"/>
        </w:rPr>
      </w:pPr>
      <w:r>
        <w:t>4.2</w:t>
      </w:r>
      <w:r>
        <w:rPr>
          <w:rFonts w:hint="eastAsia"/>
        </w:rPr>
        <w:t>中标</w:t>
      </w:r>
      <w:r>
        <w:t>供应商应按合同规定的交货期要求，在采购人指定的安装地点（不超过</w:t>
      </w:r>
      <w:r>
        <w:rPr>
          <w:rFonts w:hint="eastAsia"/>
        </w:rPr>
        <w:t>招标</w:t>
      </w:r>
      <w:r>
        <w:t>文件规定的供货地）进行产品安装调试。对于有特殊安装场地要求的产品，</w:t>
      </w:r>
      <w:r>
        <w:rPr>
          <w:rFonts w:hint="eastAsia"/>
        </w:rPr>
        <w:t>中标</w:t>
      </w:r>
      <w:r>
        <w:t>供应商应在安装前20天内以书面形式通知采购人，以便进行场地准备。所提供的所有产品必须在安装后，进行加电测试运行正常，并经有关检测部门检测取得相关合格证。</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210" w:name="_Toc82441658"/>
      <w:bookmarkStart w:id="211" w:name="_Toc376936793"/>
      <w:bookmarkStart w:id="212" w:name="_Toc352076754"/>
      <w:r>
        <w:rPr>
          <w:rFonts w:hint="eastAsia" w:ascii="宋体" w:hAnsi="宋体"/>
          <w:b/>
          <w:bCs/>
          <w:kern w:val="0"/>
          <w:sz w:val="27"/>
          <w:szCs w:val="27"/>
        </w:rPr>
        <w:t>5、维护服务和技术支持</w:t>
      </w:r>
      <w:bookmarkEnd w:id="210"/>
      <w:bookmarkEnd w:id="211"/>
      <w:bookmarkEnd w:id="212"/>
    </w:p>
    <w:p>
      <w:pPr>
        <w:ind w:firstLine="480"/>
        <w:rPr>
          <w:rFonts w:ascii="宋体" w:hAnsi="宋体"/>
        </w:rPr>
      </w:pPr>
      <w:r>
        <w:rPr>
          <w:rFonts w:hint="eastAsia" w:ascii="宋体" w:hAnsi="宋体"/>
        </w:rPr>
        <w:t>5.1自最终采购人验收签字之日起，开始计算免费保修期，免费保修期参照国家及产品参数中的规定。</w:t>
      </w:r>
    </w:p>
    <w:p>
      <w:pPr>
        <w:ind w:firstLine="480"/>
        <w:rPr>
          <w:rFonts w:ascii="宋体" w:hAnsi="宋体"/>
        </w:rPr>
      </w:pPr>
      <w:r>
        <w:rPr>
          <w:rFonts w:hint="eastAsia" w:ascii="宋体" w:hAnsi="宋体"/>
        </w:rPr>
        <w:t>5.2在免费保修期内，所有服务不能包含任何费用，包括备件费、差旅费等。</w:t>
      </w:r>
    </w:p>
    <w:p>
      <w:pPr>
        <w:ind w:firstLine="480"/>
        <w:rPr>
          <w:rFonts w:ascii="宋体" w:hAnsi="宋体"/>
        </w:rPr>
      </w:pPr>
      <w:r>
        <w:rPr>
          <w:rFonts w:hint="eastAsia" w:ascii="宋体" w:hAnsi="宋体"/>
        </w:rPr>
        <w:t>5.3投标人在保修期内更换的任何零配件，必须是其原产品厂家生产的或是经其认可的。</w:t>
      </w:r>
    </w:p>
    <w:p>
      <w:pPr>
        <w:ind w:firstLine="480"/>
        <w:rPr>
          <w:rFonts w:ascii="宋体" w:hAnsi="宋体"/>
        </w:rPr>
      </w:pPr>
      <w:r>
        <w:rPr>
          <w:rFonts w:hint="eastAsia" w:ascii="宋体" w:hAnsi="宋体"/>
        </w:rPr>
        <w:t>5.4紧急故障处理：市区内</w:t>
      </w:r>
      <w:r>
        <w:rPr>
          <w:rFonts w:ascii="宋体" w:hAnsi="宋体"/>
        </w:rPr>
        <w:t>1</w:t>
      </w:r>
      <w:r>
        <w:rPr>
          <w:rFonts w:hint="eastAsia" w:ascii="宋体" w:hAnsi="宋体"/>
        </w:rPr>
        <w:t>小时赶到现场，接到外地故障报告即刻动身实行短时间内抢修服务。</w:t>
      </w:r>
    </w:p>
    <w:p>
      <w:pPr>
        <w:ind w:firstLine="480"/>
        <w:rPr>
          <w:rFonts w:ascii="宋体" w:hAnsi="宋体"/>
        </w:rPr>
      </w:pPr>
      <w:r>
        <w:rPr>
          <w:rFonts w:hint="eastAsia" w:ascii="宋体" w:hAnsi="宋体"/>
        </w:rPr>
        <w:t>5.5每台产品均设专门的维修档案，维修的时间、内容、质量及服务态度、技术水平等需用户在维保卡上签署意见，以确保售后服务工作的高质量与可靠性。每季度与用户进行一次书面意见交换，实行用户意见调查表制度，直接接受用户监督。</w:t>
      </w:r>
    </w:p>
    <w:p>
      <w:pPr>
        <w:ind w:firstLine="480"/>
        <w:rPr>
          <w:rFonts w:ascii="宋体" w:hAnsi="宋体"/>
        </w:rPr>
      </w:pPr>
      <w:r>
        <w:rPr>
          <w:rFonts w:hint="eastAsia" w:ascii="宋体" w:hAnsi="宋体"/>
        </w:rPr>
        <w:t>5.6组织人员负责提供对使用人员的免费培训工作，直至使用人员能独立管理、操作、维护。免费培训包括：免费提供相应的培训教室、教师授课等费用。</w:t>
      </w:r>
    </w:p>
    <w:p>
      <w:pPr>
        <w:ind w:firstLine="480"/>
        <w:rPr>
          <w:rFonts w:ascii="宋体" w:hAnsi="宋体"/>
        </w:rPr>
      </w:pPr>
      <w:r>
        <w:rPr>
          <w:rFonts w:hint="eastAsia" w:ascii="宋体" w:hAnsi="宋体"/>
        </w:rPr>
        <w:t xml:space="preserve">5.7保证365×24小时正常运行，如产品发生故障，中标供应商在接到采购人报修通知后3小时内派专业技术人员到达现场进行维修，并提供免费服务。 </w:t>
      </w:r>
    </w:p>
    <w:p>
      <w:pPr>
        <w:ind w:firstLine="480"/>
        <w:rPr>
          <w:rFonts w:ascii="宋体" w:hAnsi="宋体"/>
        </w:rPr>
      </w:pPr>
      <w:r>
        <w:rPr>
          <w:rFonts w:hint="eastAsia" w:ascii="宋体" w:hAnsi="宋体"/>
        </w:rPr>
        <w:t>5.8投标产品选用的基础软件必须是正版软件。</w:t>
      </w:r>
    </w:p>
    <w:p>
      <w:pPr>
        <w:ind w:firstLine="480"/>
        <w:rPr>
          <w:rFonts w:ascii="宋体" w:hAnsi="宋体"/>
        </w:rPr>
      </w:pPr>
      <w:r>
        <w:rPr>
          <w:rFonts w:hint="eastAsia" w:ascii="宋体" w:hAnsi="宋体"/>
        </w:rPr>
        <w:t>5.9所有产品的配送、培训、安装、调试等费用均包含在中标价格中。</w:t>
      </w:r>
    </w:p>
    <w:p>
      <w:pPr>
        <w:ind w:firstLine="480"/>
        <w:rPr>
          <w:rFonts w:ascii="宋体" w:hAnsi="宋体"/>
        </w:rPr>
      </w:pPr>
      <w:r>
        <w:rPr>
          <w:rFonts w:hint="eastAsia" w:ascii="宋体" w:hAnsi="宋体"/>
        </w:rPr>
        <w:t>5.10其他事项见项目具体要求。</w:t>
      </w:r>
    </w:p>
    <w:p>
      <w:pPr>
        <w:widowControl/>
        <w:numPr>
          <w:ilvl w:val="0"/>
          <w:numId w:val="2"/>
        </w:numPr>
        <w:spacing w:before="100" w:beforeAutospacing="1" w:after="100" w:afterAutospacing="1" w:line="240" w:lineRule="auto"/>
        <w:ind w:firstLine="542"/>
        <w:jc w:val="left"/>
        <w:outlineLvl w:val="2"/>
        <w:rPr>
          <w:rFonts w:ascii="宋体" w:hAnsi="宋体"/>
          <w:b/>
          <w:bCs/>
          <w:kern w:val="0"/>
          <w:sz w:val="27"/>
          <w:szCs w:val="27"/>
        </w:rPr>
      </w:pPr>
      <w:bookmarkStart w:id="213" w:name="_Toc352076755"/>
      <w:bookmarkStart w:id="214" w:name="_Toc376936794"/>
      <w:bookmarkStart w:id="215" w:name="_Toc82441659"/>
      <w:r>
        <w:rPr>
          <w:rFonts w:hint="eastAsia" w:ascii="宋体" w:hAnsi="宋体"/>
          <w:b/>
          <w:bCs/>
          <w:kern w:val="0"/>
          <w:sz w:val="27"/>
          <w:szCs w:val="27"/>
        </w:rPr>
        <w:t>其他要求</w:t>
      </w:r>
      <w:bookmarkEnd w:id="213"/>
      <w:bookmarkEnd w:id="214"/>
      <w:bookmarkEnd w:id="215"/>
    </w:p>
    <w:p>
      <w:pPr>
        <w:ind w:firstLine="480"/>
        <w:rPr>
          <w:rFonts w:hint="eastAsia" w:ascii="宋体" w:hAnsi="宋体"/>
        </w:rPr>
      </w:pPr>
      <w:r>
        <w:rPr>
          <w:rFonts w:hint="eastAsia" w:ascii="宋体" w:hAnsi="宋体"/>
        </w:rPr>
        <w:t>6.1本次采购活动中，所投产品应优先采用“环境标志产品政府采购清单”中有效期内的产品和“节能产品政府采购清单” 中有效期内的产品以及通过国家强制性产品认证（即国家CCC质量认证）的产品。投标文件中须列明所投产品主要部件清单（主要产品必须注明品牌、产地、型号，否则不予受理）、随机所带附件及配件清单和产品彩页等资料。所投产品参数若与产品彩页不一致，必须有生产厂商对每一项产品修改的参数作出的说明并承担民事责任，否则不予受理；投标人提供的产品网页须是该产品生产厂家已公布的原始网页（含技术参数截图），自行制作的网页不予受理；投标产品参数若与招标文件不符，属于产品核心内容的，视为未实质性响应招标文件，属于产品非核心内容的，生产厂商须对每一项参数出具说明。否则，视为响应招标文件不足。</w:t>
      </w:r>
    </w:p>
    <w:p>
      <w:pPr>
        <w:ind w:firstLine="480"/>
        <w:rPr>
          <w:rFonts w:ascii="宋体" w:hAnsi="宋体"/>
        </w:rPr>
      </w:pPr>
      <w:r>
        <w:rPr>
          <w:rFonts w:hint="eastAsia" w:ascii="宋体" w:hAnsi="宋体"/>
        </w:rPr>
        <w:t>6.2 技术参数中除注明供货时提供的资料以外，其余相关资料在投标时必须附在投标文件中。</w:t>
      </w:r>
      <w:bookmarkStart w:id="216" w:name="_Toc493512670"/>
    </w:p>
    <w:p>
      <w:pPr>
        <w:widowControl/>
        <w:spacing w:before="100" w:beforeAutospacing="1" w:after="100" w:afterAutospacing="1"/>
        <w:ind w:firstLine="723"/>
        <w:jc w:val="center"/>
        <w:outlineLvl w:val="1"/>
        <w:rPr>
          <w:rFonts w:ascii="宋体" w:hAnsi="宋体"/>
          <w:b/>
          <w:bCs/>
          <w:kern w:val="0"/>
          <w:sz w:val="36"/>
          <w:szCs w:val="36"/>
        </w:rPr>
      </w:pPr>
      <w:r>
        <w:rPr>
          <w:rFonts w:ascii="宋体" w:hAnsi="宋体"/>
          <w:b/>
          <w:bCs/>
          <w:kern w:val="0"/>
          <w:sz w:val="36"/>
          <w:szCs w:val="36"/>
        </w:rPr>
        <w:br w:type="page"/>
      </w:r>
      <w:bookmarkStart w:id="217" w:name="_Toc82441660"/>
      <w:r>
        <w:rPr>
          <w:rFonts w:hint="eastAsia" w:ascii="宋体" w:hAnsi="宋体"/>
          <w:b/>
          <w:bCs/>
          <w:kern w:val="0"/>
          <w:sz w:val="36"/>
          <w:szCs w:val="36"/>
        </w:rPr>
        <w:t>采购一览表及技术参数</w:t>
      </w:r>
      <w:bookmarkEnd w:id="217"/>
    </w:p>
    <w:p>
      <w:pPr>
        <w:pStyle w:val="2"/>
        <w:ind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包</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信息设备及应用</w:t>
      </w:r>
      <w:r>
        <w:rPr>
          <w:rFonts w:hint="eastAsia" w:asciiTheme="majorEastAsia" w:hAnsiTheme="majorEastAsia" w:eastAsiaTheme="majorEastAsia" w:cstheme="majorEastAsia"/>
          <w:sz w:val="24"/>
          <w:szCs w:val="24"/>
        </w:rPr>
        <w:t xml:space="preserve">                                 采购预算：480万元</w:t>
      </w:r>
    </w:p>
    <w:tbl>
      <w:tblPr>
        <w:tblStyle w:val="64"/>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114"/>
        <w:gridCol w:w="5812"/>
        <w:gridCol w:w="708"/>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07"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113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名称</w:t>
            </w:r>
          </w:p>
        </w:tc>
        <w:tc>
          <w:tcPr>
            <w:tcW w:w="5812"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技术参数</w:t>
            </w:r>
          </w:p>
        </w:tc>
        <w:tc>
          <w:tcPr>
            <w:tcW w:w="708"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单位</w:t>
            </w:r>
          </w:p>
        </w:tc>
        <w:tc>
          <w:tcPr>
            <w:tcW w:w="71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07"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130"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SIP转发管理三合一服务器</w:t>
            </w:r>
          </w:p>
        </w:tc>
        <w:tc>
          <w:tcPr>
            <w:tcW w:w="5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1.符合《国家教育考试网上巡查系统视频标准技术规范（2017版）》相关技术规范；</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2.具备实时操作系统Linux-CentOS7.3，本身具有抗病毒和抗攻击能力，支持标准SIP2.0；</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3.支持网上巡查系统的平台及前端设备管理，实现统一管理、统一控制、统一解码上墙；</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4.SIP URI统一命名规则、分级命名、联合定位；SIP URI组、用户、树形列表管理；SIP URI地址解析；</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5.能实现核心数据库的备份；采用基于B/S架构的管理模式；查看系统内设备的在线信息；支持多码流选取；远程云台/镜头控制；支持SIP向上级的主动注册与多级注册管理；支持IP、UDP、RTP、RTCP、SIP、TCP/IP、DHCP、PPPOE等网络协议；支持点播、组播、广播；</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6.支持转发干线传输协议：在巡查系统中转发服务器与转发服务器之间建立一个双向视频传输通道，实现最底层巡查系统（学校级巡查系统）不需要外网IP(或NAT映射)就可实现和上级巡查系统的对接；</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7.视频路由控制；视频传输优先级控制；音/视频数据压缩及封装；客户端远程登录实现实时图像预览、历史数据回放下载设置；</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8.支持学校机构考前准备，包括考试计划接收、一键参数设置、考场绑定、一键设备巡检及巡检结果查看；支持学校机构考后收尾，包括OSD恢复、录像锁定检查；支持上级机构考前准备，包括考试计划制定及自动收发、一键考点巡检及巡检结果查看；</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9.支持图形化机构拓扑呈现、设备拓扑呈现；</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10.投标产品为嵌入式，具备实时操作系统，支持Linux系统、微软嵌入式系统；</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11.支持对数据库进行测试，验证数据库配置正确性与连通状态，支持远维连接；</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12.支持SIP信令直传控制功能，支持SIP连接、认证状态实时追踪；</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13.支持对上级平台、域名、端口、注册状态检测及诊断，支持系统内添加智能小工具，对所处网络进行网络测试；</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14.支持客户端与前端摄像机进行实时语音，云台控制（包含云台旋转、步长设置）及色彩参数设置；</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15.支持对SIP连接、认证状态实时追踪，支持SIP向上级的主动注册及同时向多个上级同时注册管理；</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lang w:val="en-US" w:eastAsia="zh-CN"/>
              </w:rPr>
              <w:t>16.</w:t>
            </w:r>
            <w:r>
              <w:rPr>
                <w:rFonts w:hint="eastAsia" w:ascii="宋体" w:hAnsi="宋体" w:eastAsia="宋体" w:cs="宋体"/>
                <w:color w:val="000000"/>
                <w:kern w:val="0"/>
                <w:sz w:val="21"/>
                <w:szCs w:val="21"/>
              </w:rPr>
              <w:t>保证能与青海省级国家考试综合管理平台、考试中心指挥平台标考高清中心巡查系统管理、注册、转发三合一管理平台无缝连接。</w:t>
            </w: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0" w:hRule="atLeast"/>
        </w:trPr>
        <w:tc>
          <w:tcPr>
            <w:tcW w:w="707"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13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标考高清媒体转发平台</w:t>
            </w:r>
          </w:p>
        </w:tc>
        <w:tc>
          <w:tcPr>
            <w:tcW w:w="5812"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1.符合《国家教育考试网上巡查系统视频标准技术规范（2017版）》相关技术规范；</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2.支持IP、UDP、RTP、RTCP、SIP、TCP/IP、DHCP、PPPOE等网络协议；媒体流分发；</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3.支持用户与考场进行实时语音对讲；</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4.支持点播、组播、广播；支持网络拥塞控制等功能；支持视频多路复用；视频路由控制；视频传输优先级控制；音/视频数据压缩及封装；</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5.投标产品支持Linux系统、微软嵌入式系统；</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6.视频同源：IPC注册到平台，平台取流的分辨率与IPC一致；</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7.支持不少于600mbps的高清视频流转发；</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8.支持对数据库进行测试，验证数据库配置正确性与连通状态，支持远维连接</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9.支持媒体流分发、汇聚，支持多转发分布式部署和多级转发级联；</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10.支持对上级平台、域名、端口、注册状态检测及诊断，支持系统内添加智能小工具，对所处网络进行网络测试；</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11.支持用户与考场实时语音对讲控制，摄像机远程云台控制及参数设置。</w:t>
            </w:r>
          </w:p>
        </w:tc>
        <w:tc>
          <w:tcPr>
            <w:tcW w:w="708"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716"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7"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13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标考网络流媒体存储平台</w:t>
            </w:r>
          </w:p>
        </w:tc>
        <w:tc>
          <w:tcPr>
            <w:tcW w:w="5812"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1.符合《国家教育考试网上巡查系统视频标准技术规范（2017版）》相关技术规范；</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2.支持嵌入式Linux系统，工业级嵌入式微控制器；支持WEB、本地GUI界面操作；</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3.支持最大64路网络视频接入，网络性能接入384Mbps，储存384Mbps，转发384Mbps；</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4.支持12M/4K/5M/3M/1080P/UXGA/1.3M/720P IPC分辨率接入；支持2×12M/4×4K/6×5M/8×4M/11×3M/16×1080P/32×720P解码；</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5.最大支持16路视频回放；</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6.支持1路VGA输出，2路HDMI输出，支持VGA和HDMI1同源输出，双HDMI 4K分辨率异源输出；</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7.支持4K分屏功能，支持单通道的全屏、1+3和1+5预览分屏模式，Web端支持4K分屏回放；</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8.支持普通IPC场景变更侦测，区域入侵侦测，绊线入侵侦测，物品看护，音频检测，人脸检测，人流统计，热度图等多种智能侦测接入与联动；</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9.支持考试录像本机同步双备份，通过存储设备的ESATA接口外接硬盘对考试期间的视频图像进行同步备份，考试结束后可以直接将外接硬盘上交，上交的硬盘可直接在PC电脑上进行图像回放查看；</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10.支持16个SATA接口，1个eSATA接口，1个miniSAS接口；支持独立的eSATA扩展，支持录像和备份；支持ISCSI扩展存储，以及支持iSCSI方式对接IPSAN设备，实现扩容存储；</w:t>
            </w:r>
            <w:r>
              <w:rPr>
                <w:rFonts w:hint="eastAsia" w:ascii="宋体" w:hAnsi="宋体" w:eastAsia="宋体" w:cs="宋体"/>
                <w:color w:val="000000"/>
                <w:kern w:val="0"/>
                <w:sz w:val="21"/>
                <w:szCs w:val="21"/>
              </w:rPr>
              <w:br w:type="page"/>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11.4个RJ45 10/100/1000Mbps自适应以太网口，支持容错、负载均衡和双网分离，可用作前端接入；2个千兆光口，支持容错、负载均衡和双网分离，可用作远程传输；</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12.支持对前端IPC管理和远程批量升级，以及远程对IPC的编码配置等操作；</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13.支持N+M集群管理功能，当主机发生故障时，备机可替换故障主机继续录像，故障恢复后，备机可将存储的录像回传至故障主机；</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14.支持远程零通道预览功能，可将接入的多路视频图像多画面显示在一路视频图像上；</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15.支持IPC复合音频1路输入，支持语音对讲1路输出，支持PC通过存储平台与网络摄像机进行语音对讲；</w:t>
            </w:r>
            <w:r>
              <w:rPr>
                <w:rFonts w:hint="eastAsia" w:ascii="宋体" w:hAnsi="宋体" w:eastAsia="宋体" w:cs="宋体"/>
                <w:color w:val="000000"/>
                <w:kern w:val="0"/>
                <w:sz w:val="21"/>
                <w:szCs w:val="21"/>
              </w:rPr>
              <w:br w:type="page"/>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16.支持16路报警输入、8路报警输出，支持开关量输入输出模式；</w:t>
            </w:r>
            <w:r>
              <w:rPr>
                <w:rFonts w:hint="eastAsia" w:ascii="宋体" w:hAnsi="宋体" w:eastAsia="宋体" w:cs="宋体"/>
                <w:color w:val="000000"/>
                <w:kern w:val="0"/>
                <w:sz w:val="21"/>
                <w:szCs w:val="21"/>
              </w:rPr>
              <w:br w:type="page"/>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17.支持IPv4、IPv6、HTTP、UPnP、NTP、SNMP、PPPOE、DNS、FTP、SIP、RTP、RTCP；</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18.支持视频质量诊断（条纹干扰、视频偏色、视频噪声、视频虚焦、视频过曝）当检测到视频质量异常时，进行告警上报并进行联动处理；</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19.可自适应接入H.265、H.264、MPEG4视频编码格式的网络视频并解码。</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716"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7"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13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硬盘</w:t>
            </w:r>
          </w:p>
        </w:tc>
        <w:tc>
          <w:tcPr>
            <w:tcW w:w="5812"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SATA 硬盘，支持7*24小时工作，4T容量；</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块</w:t>
            </w:r>
          </w:p>
        </w:tc>
        <w:tc>
          <w:tcPr>
            <w:tcW w:w="716" w:type="dxa"/>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7"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13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大屏中控管理平台</w:t>
            </w:r>
          </w:p>
        </w:tc>
        <w:tc>
          <w:tcPr>
            <w:tcW w:w="5812"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1.符合《国家教育考试网上巡查系统视频标准技术规范（2017版）》相关技术规范；</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2.嵌入式设备，具备实时操作系统，本身具有抗病毒和抗攻击能力；</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3.通过配置电视墙布局及视频源连接关系，实现所见即所得，即屏幕上的布局和控制可完美的与电视墙的显示同步；</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4.提供电视墙局部显示进行放大、缩小或全局查看，可查看每个窗口、通道图像的状态信息；</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5.支持GIS地图信息查看；支持灵活的屏幕、窗口控制特性；</w:t>
            </w:r>
            <w:r>
              <w:rPr>
                <w:rFonts w:hint="eastAsia" w:ascii="宋体" w:hAnsi="宋体" w:eastAsia="宋体" w:cs="宋体"/>
                <w:color w:val="000000"/>
                <w:kern w:val="0"/>
                <w:sz w:val="21"/>
                <w:szCs w:val="21"/>
              </w:rPr>
              <w:br w:type="page"/>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6.支持输出屏幕的自由绑定、自由开窗、窗口放缩融合拼接以及漫游等功能；</w:t>
            </w:r>
            <w:r>
              <w:rPr>
                <w:rFonts w:hint="eastAsia" w:ascii="宋体" w:hAnsi="宋体" w:eastAsia="宋体" w:cs="宋体"/>
                <w:color w:val="000000"/>
                <w:kern w:val="0"/>
                <w:sz w:val="21"/>
                <w:szCs w:val="21"/>
              </w:rPr>
              <w:br w:type="page"/>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7.支持远程控制解码矩阵和电视墙管理平台对音视频图像以及编码图像的上墙解码和管理；支持设置多种自定义的轮巡设置；</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8.大屏融合：支持屏幕的拼接融合；</w:t>
            </w:r>
            <w:r>
              <w:rPr>
                <w:rFonts w:hint="eastAsia" w:ascii="宋体" w:hAnsi="宋体" w:eastAsia="宋体" w:cs="宋体"/>
                <w:color w:val="000000"/>
                <w:kern w:val="0"/>
                <w:sz w:val="21"/>
                <w:szCs w:val="21"/>
              </w:rPr>
              <w:br w:type="page"/>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报警功能：具有接收视频丢失、遮挡、动检、报警器报警、系统资源过高报警、视频质量诊断报警、人脸检测报警、音频检测报警、区域入侵报警等智能报警，系统自诊断和网络中断报警等，并可及时控制其报警图像上墙以及弹窗或者蜂鸣提示；并支持报警联动；</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10.关注列表：查看上级行政机构关注列表信息；预选列表：根据平台巡检预选列表信息一键查看；考务列表：支持与考务平台对接获取考务列表进行上墙显示；订制列表：支持手动自定义巡查列表，启用该列表可以进行获取轮巡上墙操作；搜索功能：对其展开的节点列表或导入的历史节点列表可以进行模糊搜索、精确定位；视频预览功能：支持本地窗口滚动预览实时图像；</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11.智能传输：根据前端与后端网络情况，智能选择最佳网络路径进行拉流传输；根据网络使用环境及解码性能，可自动切换为相应码率的音视频图像；本级中心可根据网络带宽条件，可主动选择调取主辅码流的音视频图像；</w:t>
            </w:r>
            <w:r>
              <w:rPr>
                <w:rFonts w:hint="eastAsia" w:ascii="宋体" w:hAnsi="宋体" w:eastAsia="宋体" w:cs="宋体"/>
                <w:color w:val="000000"/>
                <w:kern w:val="0"/>
                <w:sz w:val="21"/>
                <w:szCs w:val="21"/>
              </w:rPr>
              <w:br w:type="page"/>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12.分屏窗口数量大于9时，可自动切换为低码率的视频，支持同时对多个设备进行远程控制，并可随意切换控制设备；</w:t>
            </w:r>
            <w:r>
              <w:rPr>
                <w:rFonts w:hint="eastAsia" w:ascii="宋体" w:hAnsi="宋体" w:eastAsia="宋体" w:cs="宋体"/>
                <w:color w:val="000000"/>
                <w:kern w:val="0"/>
                <w:sz w:val="21"/>
                <w:szCs w:val="21"/>
              </w:rPr>
              <w:br w:type="page"/>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13.可将巡查系统实时图像进行快速上墙，可对上墙图像进行图像冻结、暂停播放、恢复播放等操作。</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716"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707"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13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标考高清电视墙管理平台</w:t>
            </w:r>
          </w:p>
        </w:tc>
        <w:tc>
          <w:tcPr>
            <w:tcW w:w="58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1.符合《国家教育考试网上巡查系统视频标准技术规范（2017版）》（JY/T-KS-JS-2017-1）技术规范；</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2.标准19"的4U机架设计，电信运营级系统机箱；插卡式模块设计；双通道冗余电源设计，支持直流/交流电源，适应于机房等应用环境；</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3.支持4K点对点输出显示；支持300W/500W/800W/1200W解码；支持4路3840*2160@30fps/320路1080p@30fps及以下标清视频解码能力；支持12路H.265的1080P解码输出；支持解码SVAC和非标码流；</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4.支持60个显示屏的任意拼接；支持液晶屏/DLP屏/小间距LED屏显示；支持30个预设场景，用户可以自定义每个场景电视墙布局；支持网络级联；支持TCP/IP协议，支持RTP/RTSP/RTCP/</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TCP/UDP/DHCP等网络协议；支持远程控制模拟、数字视频切换上墙；</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5.支持H.265、H.264、MPEG4等格式的视频解码，支持MPEG LayerⅡ、G711a、G711u、AAC格式的音频解码，支持Program Stream（系统流）和Transition Stream（传输流）封装格式的视频流解码；</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6.支持调用主码流、辅码流、三码流解码，支持远程录像文件的解码上墙，并支持选择实时/流畅的解码策略；</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7.支持解码透雾功能设置，支持通过网络将远端电脑操作界面投射到电视墙；</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8.支持接入4000*3000、3296*2472、2592*2048、2048*1536、1920*1080、1280*720等分辨率的视频，支持60帧/秒视频解码，且支持100路视频（码率不低于8Mbps）同时进行接收和转发；</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9.不少于4个千兆网口，具有多网口绑定功能，并支持容错网络模式、多网络模式、负载均衡网络模式、链路聚合网络模式；</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10.采用嵌入式设备，Linux操作系统，采用模块化设计，并支持双风扇、双电源冗余设计；</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11.支持实时监测设备运作情况，可在本地界面实时显示机箱温度、风扇转速、子板信息、电源模块信息、网络使用信息，发生IP/MAC地址冲突时，可在本地界面上进行提示。</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716"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07"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113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智能视频监考软件</w:t>
            </w:r>
          </w:p>
        </w:tc>
        <w:tc>
          <w:tcPr>
            <w:tcW w:w="58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面向考试计划的管理，场所启用与通道关联，列表分类管理与面向业务排序，支持监巡考权限统一管理，支持对通道相关信息的搜索，提供智能推荐列表监考更有针对性，支持3D定位可显示考场、考生、考务人员相关数据，提供对现场监考员行为的监督和上报，提供摄像机状态管理，提供考生、现场监考员违规的上报，支持指令推送与处理。</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716"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707"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13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巡查指挥终端（一体式）</w:t>
            </w:r>
          </w:p>
        </w:tc>
        <w:tc>
          <w:tcPr>
            <w:tcW w:w="58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1.整机采用嵌入式操作系统及嵌入式DSP硬件设计（非PC架构及非工控机架构），具有极强的稳定性，该设备包含高清会议摄像机；</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2.视频显示能力具备4K分辨率图像解码显示输出，能够提供更突出的图像效果；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3.设备支持双流1080 60fps图像传输；</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4.设备具备前置LED显示屏，可显示IP地址等信息；</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5.视频编解码协议满足H.265、H.264HP、H.264SVC、H.264 MP等主流视频编解码协议；</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6.音频支持Opus、G.711、AAC-LD、AAC-LC、G.719、G.722、G.729A、G.722.1等音频编解码协议,满足达到20KHz以上的宽频语音效果；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7.硬件终端支持提供直接接入鼠标、键盘进行方便快捷的控制，方便用户在不同场景灵活使用；</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8.支持1080p50/60fps、1080p25/30fps、720p50/60fps、720p 25/30fps高清图像格式，并向下兼容4CIF、CIF标清图像格式；</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9.自带高清摄像头支持1080P60fps视频图像采集，支持12倍光学变焦；</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10.能与省教育考试院MCU对接。</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716"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707"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113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作弊防控管理平台</w:t>
            </w:r>
          </w:p>
        </w:tc>
        <w:tc>
          <w:tcPr>
            <w:tcW w:w="58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1.作弊信号查看：可对考点作弊信号信息进行查看和回放；</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2.作弊信号展示：可统计本次考试作弊信号频点分布情况并进行展示；</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3.设备状态查看：可对系统设备的运行状态、开关状态、网络情况等信息进行查看；</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4.日志查询：可记录和管理关键日志，提供日志查询、浏览等管理功能；</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5.黑白名单：在专业作弊信号频段内，可任意设置黑白名单频点/频段。在黑名单频点/频段上作弊信号出现时优先发射阻断信号；在白名单频点/频段上不主动发射阻断信号，不干扰其正常通信；</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6.黑白名单同步：各级管理平台之间和黑白名单能够进行同步；</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7.考试计划：可设置考试计划，在考试计划时间开始时系统自动进入工作状态，考试计划时间结束时系统自动停止工作，提供考前、考中及考后自动工作模式，实现无人值守式管理；</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8.考试计划同步：考试计划能够集中管理，各级管理平台之间考试计划能够进行同步；</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9.系统自检：可检测当前所辖设备的工作状态并输出自检结果信息；</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10.设备升级：可通过平台对侦测服务器、高科技屏蔽终端和作弊防控管理平台相关软件进行集中升级；</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11.安全加密：作弊信号答案文件存储和传输时均经过加密处理，文件脱离本系统后采用通用播放工具无法正确播放，保证涉密数据安全；</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12.集中控制：支持对系统设备进行集中调试、查看和管理；</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13.远程控制：支持对高科技屏蔽终端进行远程开关工作模块等操作。支持集中、分组、单台等多种方式对高科技屏蔽终端进行远程控制；</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14.数据接口：RJ-45接口，支持与侦测服务器及高科技屏蔽终端组网；</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15.可靠性：MTBF≥3000小时；</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16.登录安全机制：设置密码输入错误次数上限，达到上限后将短时间内禁止登录；</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17.系统备份：支持对系统关键信息进行备份。</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18.保证能与省级教育考试中心作弊防控系统和综合考务平台无缝连接。</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716"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707"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13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管理计算机</w:t>
            </w:r>
          </w:p>
        </w:tc>
        <w:tc>
          <w:tcPr>
            <w:tcW w:w="58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hint="eastAsia" w:ascii="宋体" w:hAnsi="宋体" w:eastAsia="宋体" w:cs="宋体"/>
                <w:color w:val="000000" w:themeColor="text1"/>
                <w:kern w:val="0"/>
                <w:sz w:val="21"/>
                <w:szCs w:val="21"/>
              </w:rPr>
              <w:t>.CPU：Intel 第十二代CPU 酷睿十二核i7-12700处理器；（或同级别产品）</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2.内存：标配16G DDR4，频率2666MHz；</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3.硬盘：标配256GB SSD硬盘；</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4.网卡：集成千兆网卡；</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5.显卡：集成显卡；</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6.操作系统：原厂预装Windows 10 home操作系统；</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7.显示器：23.8英寸显示器；最佳分辨率1920*1080；屏幕比例16:9（宽屏）。</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716"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707"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113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数字音频矩阵</w:t>
            </w:r>
          </w:p>
        </w:tc>
        <w:tc>
          <w:tcPr>
            <w:tcW w:w="5812"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1.支持不少于8路输入；支持MIC/LINE切换，MIC增益≥0-40dB,数字增益≥±12dB；支持输入自动混音；</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br w:type="page"/>
            </w:r>
            <w:r>
              <w:rPr>
                <w:rFonts w:hint="eastAsia" w:ascii="宋体" w:hAnsi="宋体" w:eastAsia="宋体" w:cs="宋体"/>
                <w:kern w:val="0"/>
                <w:sz w:val="21"/>
                <w:szCs w:val="21"/>
              </w:rPr>
              <w:t>2.输入通道支持48V幻象供电；</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br w:type="page"/>
            </w:r>
            <w:r>
              <w:rPr>
                <w:rFonts w:hint="eastAsia" w:ascii="宋体" w:hAnsi="宋体" w:eastAsia="宋体" w:cs="宋体"/>
                <w:kern w:val="0"/>
                <w:sz w:val="21"/>
                <w:szCs w:val="21"/>
              </w:rPr>
              <w:t>3.8个平衡线路输出；</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br w:type="page"/>
            </w:r>
            <w:r>
              <w:rPr>
                <w:rFonts w:hint="eastAsia" w:ascii="宋体" w:hAnsi="宋体" w:eastAsia="宋体" w:cs="宋体"/>
                <w:kern w:val="0"/>
                <w:sz w:val="21"/>
                <w:szCs w:val="21"/>
              </w:rPr>
              <w:t>4.每个输入输出具备独立DSP处理能力，采样频率/量化 48 kHz，24Bi t ADC，24Bi t DAC</w:t>
            </w:r>
            <w:r>
              <w:rPr>
                <w:rFonts w:hint="eastAsia" w:ascii="宋体" w:hAnsi="宋体" w:eastAsia="宋体" w:cs="宋体"/>
                <w:kern w:val="0"/>
                <w:sz w:val="21"/>
                <w:szCs w:val="21"/>
              </w:rPr>
              <w:br w:type="page"/>
            </w:r>
            <w:r>
              <w:rPr>
                <w:rFonts w:hint="eastAsia" w:ascii="宋体" w:hAnsi="宋体" w:eastAsia="宋体" w:cs="宋体"/>
                <w:kern w:val="0"/>
                <w:sz w:val="21"/>
                <w:szCs w:val="21"/>
              </w:rPr>
              <w:t>5、输入通道均有独立增益（步进0.1dB）、反馈抑制器、噪声门、高通滤波、低通滤波、1s延时器（步进0.01ms）、压限器、16段均衡（PEQ/ Hi ghShel f / LowShel f）；</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.每个输出通道具有独立增益（步进0.1dB）、高通滤波、低通滤波、16段均衡（PEQ/ H-Shel f / L-Shel f）、压限器、2s延时器（步进0.01ms）；</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.全功能矩阵混音；</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.具有内置正弦波、粉红噪声、白噪声信号发生器；</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.不少于30个场景预设，可自定义标签；</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w:t>
            </w:r>
            <w:r>
              <w:rPr>
                <w:rFonts w:hint="eastAsia" w:ascii="宋体" w:hAnsi="宋体" w:eastAsia="宋体" w:cs="宋体"/>
                <w:kern w:val="0"/>
                <w:sz w:val="21"/>
                <w:szCs w:val="21"/>
              </w:rPr>
              <w:t>.前面板带LCD显示屏显示I P地址、当前预设状态、当前运行时间；</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kern w:val="0"/>
                <w:sz w:val="21"/>
                <w:szCs w:val="21"/>
              </w:rPr>
              <w:br w:type="page"/>
            </w: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.支持墙面控制面板操控</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 xml:space="preserve">产品3C认证。                                                               </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716"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707"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13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功率放大器</w:t>
            </w:r>
          </w:p>
        </w:tc>
        <w:tc>
          <w:tcPr>
            <w:tcW w:w="58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1U标准机架式功率放大器</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功放类型：CLASS D类 效率≥90%</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1.保护功能：电路通断识别、数字短路保护、直流风机控制系统、宽电压自适应压缩、动态限幅保护；</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2.开机软启动延时静噪；</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3.输入灵敏度：0.9-1.1v(0+/-dBv)；</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4.输出功率（RMS）不小于500W*4/4Ω，300W*4/8Ω；</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5.RMS输出电压(THD=1%,1kHz)≥48V；</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6.总谐波失真小于0.1%；</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7.频率响应：20Hz-20kHz；</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8.信噪比不小于95dB(A记权，20Hz～20kHz)；</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9.具备4*4输入输出DSP矩阵处理；</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10.动态范围≥114dB；</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11.支持状态监测：模块温度、各通道电压、电流、故障；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12.每通道8段参量EQ，滤波器可选择：直通/低通/带通/高通，支持电子分频。</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716"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707"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113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音箱</w:t>
            </w:r>
          </w:p>
        </w:tc>
        <w:tc>
          <w:tcPr>
            <w:tcW w:w="58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1.4*3.5"全频单元；</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2.额定功率不低于150W/8Ω；</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3.特性灵敏度不低于93dB/W/m（有效频率带通平均）；</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4.输出声压级不低于115dB/W/m(Continues)；121dB/W/m(Peak)；</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5.低频截止频率不高于：110Hz；高频截止频率不低于：18KHz；</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6.单只水平覆盖范围：120°；单只垂直覆盖范围：60°。</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只</w:t>
            </w:r>
          </w:p>
        </w:tc>
        <w:tc>
          <w:tcPr>
            <w:tcW w:w="716"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07"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113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会议麦克风</w:t>
            </w:r>
          </w:p>
        </w:tc>
        <w:tc>
          <w:tcPr>
            <w:tcW w:w="5812"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1、金属材质的1U机箱，四通道接收机；</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2、采用PLL锁相环频率合成技术和芯片化线路，单机400个信道。通道配备独立ID号，该型产品同场支持40个通道共用；</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3、内置高效噪声抑制电路，防啸叫功能显著；</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4、每个通道独立LCD屏显示、独立电源开关控制、独立参数调整按键，各通道可独立管理；</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5、本系列产品具备自动静音及冲击消除电路，消除开关机冲击声；</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频率范围：500.00MHz～599.75MHz（定制）;600.00MHz～699.75MHz（常规）;</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频率稳定性：±0.001%;信噪比：&gt;60dB;失真度：&lt;0.5%@1KHz; 音频输出：独立：0～400mV ；</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混合：0～300mV;发射器电源：3XAA碱性电池;最大频偏：±30KHz;信噪比：&gt;60dB;邻频干扰比：&gt;80dB;动态范围：≥100dB;</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频率响应：50Hz～13KHz;</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话筒灵敏度：-43±3dB@1KHz;</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功率：10MW。</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716"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07"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113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视音频线缆</w:t>
            </w:r>
          </w:p>
        </w:tc>
        <w:tc>
          <w:tcPr>
            <w:tcW w:w="5812"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1.HDMI-DVI高清视频缆,20m,黑色；</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2.端子镀金，耐氧化，阻抗小，信号传输稳定；</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3.环保加厚外被，耐磨不易破裂。</w:t>
            </w:r>
          </w:p>
        </w:tc>
        <w:tc>
          <w:tcPr>
            <w:tcW w:w="70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条</w:t>
            </w:r>
          </w:p>
        </w:tc>
        <w:tc>
          <w:tcPr>
            <w:tcW w:w="71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0" w:hRule="atLeast"/>
        </w:trPr>
        <w:tc>
          <w:tcPr>
            <w:tcW w:w="707"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113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网络视频解码器</w:t>
            </w:r>
          </w:p>
        </w:tc>
        <w:tc>
          <w:tcPr>
            <w:tcW w:w="58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1.符合《国家教育考试网上巡查系统视频标准技术规范（2017版）》相关技术规范；</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2.支持≥4路本地信号采集（最大支持4K音视频采集），提供≥9路HDMI解码输出接口；</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3.本地采集信号和网络信号在融合屏上墙，整体图像完整，无错位；</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4.输出接口支持3840*2160,2560*1600;1920*1080,1280*1024,</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1280*720,1024*768等多种显示分辨率，其中不少于6个输出接口最大支持3840*2160；</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5.支持H.265/ H.264/ MPEG4/ MPEG2 /MJPEG/SVAC标准网络视频流解码，支持各种码流混合解码显示，H.265解码性能与H.264相同；</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6.支持≥144个通道同时解码，支持通道任意开窗、漫游、图层叠加功能，支持预案轮巡；</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7.支持1/4/9/16画面分割，支持2*2，2*3，3*2，3*3等电视墙拼接；</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8.支持主动解码模式，支持远程录像文件的解码输出；</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9.支持通过串口控制屏幕开关，亮度，饱和度，对比度调节，支持底色选择；</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10.支持跨浏览器的WEB 3.0，同时对WEB上的配置进行调整；</w:t>
            </w:r>
            <w:r>
              <w:rPr>
                <w:rFonts w:hint="eastAsia" w:ascii="宋体" w:hAnsi="宋体" w:eastAsia="宋体" w:cs="宋体"/>
                <w:color w:val="000000"/>
                <w:kern w:val="0"/>
                <w:sz w:val="21"/>
                <w:szCs w:val="21"/>
              </w:rPr>
              <w:br w:type="page"/>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11.支持≥2个10M/100M/1000M自适应以太网接口；</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12.支持web端解码信息显示，包含每个通道的通道状态、分辨率、帧率、数据和解码流量；</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13.任意一路信号可在整屏的任意位置上与其他信号源拼接漫游缩放叠加显示，图层≥18层；</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14.支持远程回放功能，能通过网络获取存储设备的音视频数据并解码输出。</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716"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07"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w:t>
            </w:r>
          </w:p>
        </w:tc>
        <w:tc>
          <w:tcPr>
            <w:tcW w:w="113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电视机</w:t>
            </w:r>
          </w:p>
        </w:tc>
        <w:tc>
          <w:tcPr>
            <w:tcW w:w="58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屏幕尺寸 85英寸；分辨率 4K（3840*2160）；屏幕比例 16:9；操作系统 Android；刷新率 60Hz；扫描方式（隐藏） 逐行扫描；图像技术 U+超画质引擎，Care+舒适视觉；扬声器 6通道扬声器；安装方式：吊装，配吊装架。</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716"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07"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113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红外高清半球摄像机</w:t>
            </w:r>
          </w:p>
        </w:tc>
        <w:tc>
          <w:tcPr>
            <w:tcW w:w="58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1.符合《国家教育考试网上巡查系统视频标准技术规范（2017版）》相关技术规范；</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2.采用高性能两百万像素1/2.8英寸CMOS图像传感器，低照度效果好，图像清晰度高；</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3.可输出200万（1920×1080）@25fps；</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4.支持H.265编码，压缩比高，超低码流；</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5.最大红外监控距离30米；</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6.支持走廊模式，宽动态，3D降噪，强光抑制，背光补偿，数字水印，适用不同监控环境；</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7.支持ROI，SMART H.264/H.265，灵活编码，适用不同带宽和存储环境；</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8.无SD卡；SD卡空间不足；SD卡出错；网络断开；IP冲突；移动检测；视频遮挡；区域入侵；绊线入侵；场景变更；音频异常侦测；非法访问；电压检测；安全异常；外部报警；</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9.支持报警2进2出，音频1进1出，256G SD卡；</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10.支持DC12V/POE供电方式，支持DC12V电源返送，最大电流165mA，电压值12V方便工程安装；</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11.支持IP67，IK10防护等级；</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12.支持人脸区域自动曝光，根据场景和光照自动调节曝光参数，支持人脸增强功能。</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716"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707"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w:t>
            </w:r>
          </w:p>
        </w:tc>
        <w:tc>
          <w:tcPr>
            <w:tcW w:w="113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高清网络球机</w:t>
            </w:r>
          </w:p>
        </w:tc>
        <w:tc>
          <w:tcPr>
            <w:tcW w:w="58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1.符合《国家教育考试网上巡查系统视频标准技术规范（2017版）》相关技术规范；</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2.23倍光学变倍，16倍数字变倍；</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3.内置150米红外灯补光，采用倍率与红外灯功率匹配算法，补光效果更均匀；</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4.支持24V±25%宽电压输入；</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5.支持人脸检测，支持单场景/多场景/全景设置,支持目标过滤和灵敏度设置；</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6.水平方向360°连续旋转，垂直方向-15°～90°自动翻转180°后连续监视,无监视盲区；</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7.水平键控速度0.1°～160°/s，垂直键控速度0.1°～120°/s，云台定位可精确到0.1°；</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8.可以按照所设置的预置位完成8条巡航路径；可设置5条巡迹路径，每条路径的记录时间大于15分钟；</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9.最低照度：彩色≤0.0031x，能分辨反射式视频矩阵测试卡中彩色色块，黑白≤0.00011x能分辨反射式视频矩阵测试卡中彩色色块；</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10.因各种原因导致与网络链接断开，当与网络恢复链接时，应能自动侦测到网络状态的恢复，并自动重新建立连接；</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11.支持SD卡热拔插，最大支持128GB SD卡；</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12.在IE浏览器下，具有感兴趣区域(ROI)设置选项，主码流、子码流和第三码流分别可设置8块感兴趣区域；</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13.可对经过设定区域的行人进行人脸检测和人脸跟踪，当检测到人脸后，可抓拍人脸图片、联动聚焦、目标跟踪、报警上传、发送邮件、联动录像、辅助输出等，抓拍图片可设；</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14.可分别对在监视画面中进入和离开的人数进行统计，通过IE浏览器可配置进入、离开人数报警阈值，并可在监视画面上显示当前统计人数，并联动抓图、录像；</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15.在丢包率设置为5%的网络环境下，可正常显示监视画面；</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16.可最多同时开启20个视频窗口进行画面浏览；</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17.在IE浏览器下，具有人脸增强设置选项。</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716"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7"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113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全向拾音器</w:t>
            </w:r>
          </w:p>
        </w:tc>
        <w:tc>
          <w:tcPr>
            <w:tcW w:w="5812"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拾音范围：5-100平方米；音频传输距离：3000米；</w:t>
            </w:r>
            <w:r>
              <w:rPr>
                <w:rFonts w:hint="eastAsia" w:ascii="宋体" w:hAnsi="宋体" w:eastAsia="宋体" w:cs="宋体"/>
                <w:color w:val="000000"/>
                <w:kern w:val="0"/>
                <w:sz w:val="21"/>
                <w:szCs w:val="21"/>
                <w:lang w:val="en-US" w:eastAsia="zh-CN"/>
              </w:rPr>
              <w:t>灵敏度：≧-30dB；</w:t>
            </w:r>
            <w:r>
              <w:rPr>
                <w:rFonts w:hint="eastAsia" w:ascii="宋体" w:hAnsi="宋体" w:eastAsia="宋体" w:cs="宋体"/>
                <w:color w:val="000000"/>
                <w:kern w:val="0"/>
                <w:sz w:val="21"/>
                <w:szCs w:val="21"/>
              </w:rPr>
              <w:t>指向特性：全指向性；麦克风：震膜防潮电容咪头。</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716"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7"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w:t>
            </w:r>
          </w:p>
        </w:tc>
        <w:tc>
          <w:tcPr>
            <w:tcW w:w="113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电源适配器</w:t>
            </w:r>
          </w:p>
        </w:tc>
        <w:tc>
          <w:tcPr>
            <w:tcW w:w="58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输出电压 ：12V；输出电流 ：2A；输入电压 ：100-240V AC；12V/2A电源适配器。</w:t>
            </w:r>
          </w:p>
        </w:tc>
        <w:tc>
          <w:tcPr>
            <w:tcW w:w="70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71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0" w:hRule="atLeast"/>
        </w:trPr>
        <w:tc>
          <w:tcPr>
            <w:tcW w:w="707"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22</w:t>
            </w:r>
          </w:p>
        </w:tc>
        <w:tc>
          <w:tcPr>
            <w:tcW w:w="113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考点级作弊侦测服务器</w:t>
            </w:r>
          </w:p>
        </w:tc>
        <w:tc>
          <w:tcPr>
            <w:tcW w:w="5812" w:type="dxa"/>
            <w:shd w:val="clear" w:color="auto" w:fill="FFFFFF"/>
            <w:vAlign w:val="center"/>
          </w:tcPr>
          <w:p>
            <w:pPr>
              <w:keepNext w:val="0"/>
              <w:keepLines w:val="0"/>
              <w:pageBreakBefore w:val="0"/>
              <w:widowControl/>
              <w:numPr>
                <w:ilvl w:val="0"/>
                <w:numId w:val="3"/>
              </w:numPr>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侦测频率范围：无缝覆盖30MHz-3000MHz；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2.侦测引导阻断频率范围：50MHz-1800MHz；</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3.扩展升级：支持频段扩展，应对将来新型无线电作弊信号；</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4.工作模式：支持无人值守式侦测引导阻断工作模式，可完成无线电信号实时侦测、可疑信号自动采集还原和自动引导阻断；支持自动保存捕获信号文件和还原内容生成；</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5.双通道：采用双通道技术，侦测扫描/引导阻断和作弊信号还原并行工作,互不影响；</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6.语音信号还原能力：支持对语音类作弊信号的内容还原，包含广播电台、对讲机信号和语音作弊信号等；</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7.数传信号还原能力：支持对数传类作弊信号的内容还原，包含采用FSK、LoRa等调制方式的数传作弊信号；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8.实时监听：在持续开展频谱扫描和侦测引导阻断的同时能对语音作弊信号进行实时监听；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9.背景学习：系统自动进行无线电频谱背景采集分析，并可存储多个无线电频谱背景模板供作弊信号分析使用；</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10.频谱显示：可实时显示侦测频率范围内的频谱图，支持频谱显示放大缩小、测量频率与强度等操作；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11.安全加密：作弊信号答案文件存储和传输时均经过加密处理，文件脱离本系统后采用通用播放工具无法正确播放，保证涉密数据安全；</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12.黑白名单：可手动设置黑白名单，也可接收考点级管理平台下发的黑白名单库，在黑名单频点/频段上作弊信号出现时优先发射阻断信号；在白名单频点/频段上不主动发射阻断信号，不干扰其正常通信；</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13.故障检测：支持运行过程中故障自动检测并实时反馈至考点级管理平台；</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14.远程管理：支持平台远程管理，查看工作状态等；</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15.数据接口：RJ-45接口，支持与考点级管理平台及高科技屏蔽终端组网；</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16.可靠性：MTBF≥3000小时。</w:t>
            </w:r>
          </w:p>
        </w:tc>
        <w:tc>
          <w:tcPr>
            <w:tcW w:w="70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71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0" w:hRule="atLeast"/>
        </w:trPr>
        <w:tc>
          <w:tcPr>
            <w:tcW w:w="707"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23</w:t>
            </w:r>
          </w:p>
        </w:tc>
        <w:tc>
          <w:tcPr>
            <w:tcW w:w="113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屏蔽终端</w:t>
            </w:r>
          </w:p>
        </w:tc>
        <w:tc>
          <w:tcPr>
            <w:tcW w:w="58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1.阻断工作频率范围：50MHz-5850MHz；</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2.侦测引导阻断频率范围：无缝覆盖50MHz-1800MHz（支持扩展）；</w:t>
            </w: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3.手机信号屏蔽：能够屏蔽电信、移动、联通的2G/3G/4G/5G手机信号(视当地环境手机基站＞300米时，可有效屏蔽；</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4.蓝牙/WIFI信号屏蔽：能够屏蔽2400MHz-2483.5MHz（2.4G）蓝牙信号以及2400MHz-2483.5MHz（2.4G）、5725MHz-5850MHz（5.8G）WIFI信号；</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5.阻断方式：对侦测引导阻断频率范围内的专业作弊信号，采用侦测引导阻断方式，对专业作弊信号实现点对点的精准阻断；对2G/3G/4G各种制式的手机信号和蓝牙/WIFI信号采用直接阻断方式；</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6.智能绿色阻断控制：根据专业作弊信号的带宽、调制方式及功率等特征自动调整阻断信号带宽和功率，确保对作弊信号的有效阻断。根据作弊信号持续时间，自动调整屏蔽时长，减少非必要辐射，符合节能环保要求；</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7.预设频点模式：无需侦测引导，可预置至少22路专业作弊干扰频点（手机信号/WIFI/蓝牙信号除外）进行实时阻断；</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8.欺骗式干扰：具备数传作弊设备接收答案的远程清除功能；</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9.批量升级：支持通过考点级管理平台对高科技屏蔽终端软件进行一键式集中批量升级；</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10.远程管理：支持通过考点级管理平台实现远程集中控制，可根据需要实现分组、单台设备的远程开关控制；可远程对工作模块进行开关控制；</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11.状态上报：可向考点级管理平台上报设备工作状态、故障状态等信息；</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12.扩展机制：设备具备扩展模块插槽，通过扩展模块可对系统功能和性能进行扩展升级；</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13.一体化设计：天线和电源内置，避免触电、烫伤等风险；</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14.状态显示：前面板有工作指示灯，可直观指示设备上电、模块开关、网络连通等状态；</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15.隐藏式接口设计：设备开关、电源接口、网络接口均采用隐蔽式设计，设备安装完成后可视表面无任何接口、开关；</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16.数据接口：RJ-45接口，支持与考点级管理平台及侦测服务器组网；</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17.可靠性：MTBF≥3000小时；</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18.符合国家《电磁环境控制限值(GB8702-2014)》标准；符合国家《声环境质量标准（GB3096-2008）》中的零类标准。</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716"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0" w:hRule="atLeast"/>
        </w:trPr>
        <w:tc>
          <w:tcPr>
            <w:tcW w:w="707"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24</w:t>
            </w:r>
          </w:p>
        </w:tc>
        <w:tc>
          <w:tcPr>
            <w:tcW w:w="113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核心交换机</w:t>
            </w:r>
          </w:p>
        </w:tc>
        <w:tc>
          <w:tcPr>
            <w:tcW w:w="5812"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1.交换容量≥76Tbps、包转发率≥8640Mpps；</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2.主控引擎≥2；整机业务板槽位数≥6；</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3.为保证设备散热效果和可靠性，要求设备支持模块化风扇框，可热插拔，独立风扇框数≥2；</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4.支持颗粒化电源，整机电源槽位数≥3；</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5.为适应机柜并排部署，设备机箱（包括业务板卡区）采用后出风风道设计，提供设备散热气流流向截图；</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6.支持独立的硬件监控模块, 控制平面和监控平面物理槽位分离，支持1+1备份，能集中监控板卡、风扇、电源、环境，调节能耗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7.支持整机MAC地址≥1M；MAC学习速率&gt;8000/s；</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8.支持静态路由、RIP、RIPng、OSPF、OSPFv3、BGP、BGP4+、ISIS、ISISv6；</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9.支持MPLS L3VPN、MPLS L2VPN(VPLS，VLL)、MPLS-TE、MPLS QoS；</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10.支持真实业务流的实时检测技术，秒级快速故障定位；</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11.支持SNMP V1/V2/V3、Telnet、RMON、SSHV2；支持通过命令行、中文图形化配置软件等方式进行配置和管理；</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12.配置：双主控、双电源、千兆光口≥24、万兆光口≥24、千兆电口模块≥24、千兆单模模块≥12、万兆多模模块≥12、IPV6功能授权、独立硬件监控板≥1。</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716"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707"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w:t>
            </w:r>
          </w:p>
        </w:tc>
        <w:tc>
          <w:tcPr>
            <w:tcW w:w="113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OLT汇聚交换机</w:t>
            </w:r>
          </w:p>
        </w:tc>
        <w:tc>
          <w:tcPr>
            <w:tcW w:w="5812" w:type="dxa"/>
            <w:vAlign w:val="center"/>
          </w:tcPr>
          <w:p>
            <w:pPr>
              <w:keepNext w:val="0"/>
              <w:keepLines w:val="0"/>
              <w:pageBreakBefore w:val="0"/>
              <w:widowControl/>
              <w:numPr>
                <w:ilvl w:val="0"/>
                <w:numId w:val="4"/>
              </w:numPr>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交换容量≥8Tbit/s、包转发率≥5298 Mpps，</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2.主控引擎≥2；整机业务板槽位数≥7；</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3.MAC地址≥250k，ARP≥130k，单槽位背板带宽≥200Gbit/s；</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4.整机最大支持112个GPON/XGPON/XGSPON接口；</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5.上行配置8个10GE光口，含8个10GE单模光模块；</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6.下行配置32个XGSPON口，满配class B+光模块；</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7.与ONU、交换机同一品牌</w:t>
            </w:r>
            <w:r>
              <w:rPr>
                <w:rFonts w:hint="eastAsia" w:ascii="宋体" w:hAnsi="宋体" w:eastAsia="宋体" w:cs="宋体"/>
                <w:color w:val="000000"/>
                <w:kern w:val="0"/>
                <w:sz w:val="21"/>
                <w:szCs w:val="21"/>
                <w:lang w:val="en-US" w:eastAsia="zh-CN"/>
              </w:rPr>
              <w:t>或相匹配</w:t>
            </w:r>
            <w:r>
              <w:rPr>
                <w:rFonts w:hint="eastAsia" w:ascii="宋体" w:hAnsi="宋体" w:eastAsia="宋体" w:cs="宋体"/>
                <w:color w:val="000000"/>
                <w:kern w:val="0"/>
                <w:sz w:val="21"/>
                <w:szCs w:val="21"/>
              </w:rPr>
              <w:t>，须与ONU、交换机设备纳入统一网管系统进行管理；</w:t>
            </w:r>
          </w:p>
        </w:tc>
        <w:tc>
          <w:tcPr>
            <w:tcW w:w="708"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71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07"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26</w:t>
            </w:r>
          </w:p>
        </w:tc>
        <w:tc>
          <w:tcPr>
            <w:tcW w:w="113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8口 ONU交换机</w:t>
            </w:r>
          </w:p>
        </w:tc>
        <w:tc>
          <w:tcPr>
            <w:tcW w:w="5812"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1.PON口支持XGSPON接口；</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2.下行GE电口≥8、端口均支持POE/POE+供电、支持10/100/1000 Mbit/s 接口速率自适应；</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3.与OLT匹配对接，且纳入统一网管平台进行管理。</w:t>
            </w:r>
          </w:p>
        </w:tc>
        <w:tc>
          <w:tcPr>
            <w:tcW w:w="708"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71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7"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27</w:t>
            </w:r>
          </w:p>
        </w:tc>
        <w:tc>
          <w:tcPr>
            <w:tcW w:w="113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双上联分光器</w:t>
            </w:r>
          </w:p>
        </w:tc>
        <w:tc>
          <w:tcPr>
            <w:tcW w:w="5812"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插卡式光分路器2:8/SC；支持2：8分光，可向下提供≥8个ONU接入链路。</w:t>
            </w:r>
          </w:p>
        </w:tc>
        <w:tc>
          <w:tcPr>
            <w:tcW w:w="708"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71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0" w:hRule="atLeast"/>
        </w:trPr>
        <w:tc>
          <w:tcPr>
            <w:tcW w:w="707"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28</w:t>
            </w:r>
          </w:p>
        </w:tc>
        <w:tc>
          <w:tcPr>
            <w:tcW w:w="113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统一网管平台</w:t>
            </w:r>
          </w:p>
        </w:tc>
        <w:tc>
          <w:tcPr>
            <w:tcW w:w="5812"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1.系统使用B/S架构，支持组件化安装，可以根据业务需要按需选择安装。浏览器支持IE、FireFox、Chrome等主流浏览器；</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2.系统使用Windows Server 2012 R2、Windows Server 2008 R2、Novell SUSE Linux Enterprise Server 11 SP3等业界主流的操作系统；</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3.系统使用SQL Server 2012、SQL Server 2008 R2、MySQL 5.6、Oracle 11g等业界主流的数据库；</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4.系统支持大规模网络管理能力，单套可以管理≥20000台设备；</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5.系统提供用户的分权分域功能，为不同的用户分配不同的设备管理范围和操作权限；提供用户账号和密码的设置策略；提供登录IP地址段和登录时间的设置；支持在线用户查询，并能够强制在线用户退出；</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6.系统需要提供丰富的北向接口（如SNMP北向接口、FTP北向接口等），以及Open API接口，提供告警、性能、资料等数据给上层OSS系统；</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7.系统需要提供拓扑管理，能够以拓扑图方式显示设备以及设备间的连接关系，拓扑上能够提供设备、链路的状态显示和刷新，能够提供设备和链路的信息，如：设备名称、设备IP、接口速率、带宽利用率等；</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8.系统支持拓扑图全屏、放大、缩放、鸟瞰图，支持拓扑背景图为GIS地图，支持拓扑图自动布局，支持拓扑对象按名称、IP、类型的快速查找；</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9.系统提供常用的告警、性能、资源等报表查询；报表支持立即或者周期生成，可以通过Email发送；报表支持excel、pdf、word等形式的导出；支持忙时报表，忙时时间段支持用户自定义；</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10.系统提供报表自定义功能，通过在页面上拖拽快速生成报表，并提供多种数据展示和分析能力；</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11.配置：软硬一体化配置、配置网络授权≥1、PON授权≥176。</w:t>
            </w:r>
          </w:p>
        </w:tc>
        <w:tc>
          <w:tcPr>
            <w:tcW w:w="708"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71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707"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29</w:t>
            </w:r>
          </w:p>
        </w:tc>
        <w:tc>
          <w:tcPr>
            <w:tcW w:w="113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UPS电源</w:t>
            </w:r>
          </w:p>
        </w:tc>
        <w:tc>
          <w:tcPr>
            <w:tcW w:w="58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标称容量（KVA）：单进单出10KVA；含16节100AH铅酸蓄电池。工作方式：工频双变换纯在线式；相数：单相输入功率因数≥0.9 ；整流器：输入标称电压220；范围：±25%；输入标称频率：50Hz±10%，60Hz±10%；输入谐波电流：6脉冲整流＜30%；12脉冲整流器加滤波器＜5%；输出纹波＜2％；软启动0～100% ：5sec；充电充电模式：先恒流后恒压，带温度补偿充电自动均浮充转换；电池：电池类型免维护铅酸蓄电池；电池容量：7～999AH可设定（根据不同功率容量范围不同）；电池节数：12V类型16节；变器输出：相数：单相L+N；额定功率：额定容量×0.9；标称电压：220VAC； 输出电压稳定度：±1%（稳态负载），±3%（负载波动）；频率稳定度：50Hz，60Hz＜±0. 5%（不同步时）。</w:t>
            </w:r>
          </w:p>
        </w:tc>
        <w:tc>
          <w:tcPr>
            <w:tcW w:w="708"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71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07"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w:t>
            </w:r>
          </w:p>
        </w:tc>
        <w:tc>
          <w:tcPr>
            <w:tcW w:w="113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阀控式免维护铅酸蓄电池</w:t>
            </w:r>
          </w:p>
        </w:tc>
        <w:tc>
          <w:tcPr>
            <w:tcW w:w="58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V100AH免维护铅酸蓄电池组;浮充电压13.5-13.8V（25℃）,均充电压14.4-14.8V（25℃）;免维护铅酸蓄电池密封性：需采用电池槽盖,极柱双重密封设计,防止漏液,可靠安全阀可防止外部空气和尘埃进入.电池内部免维护：水再生能力强,密封反应效率高;设计寿命：计算机精设计的耐腐蚀高锡含量合金板栅,使用ABS耐腐蚀材料</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具有</w:t>
            </w:r>
            <w:r>
              <w:rPr>
                <w:rFonts w:hint="eastAsia" w:ascii="宋体" w:hAnsi="宋体" w:eastAsia="宋体" w:cs="宋体"/>
                <w:color w:val="000000"/>
                <w:kern w:val="0"/>
                <w:sz w:val="21"/>
                <w:szCs w:val="21"/>
              </w:rPr>
              <w:t>极高的密封反应效率。</w:t>
            </w:r>
          </w:p>
        </w:tc>
        <w:tc>
          <w:tcPr>
            <w:tcW w:w="708"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节</w:t>
            </w:r>
          </w:p>
        </w:tc>
        <w:tc>
          <w:tcPr>
            <w:tcW w:w="71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07"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31</w:t>
            </w:r>
          </w:p>
        </w:tc>
        <w:tc>
          <w:tcPr>
            <w:tcW w:w="113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设备箱</w:t>
            </w:r>
          </w:p>
        </w:tc>
        <w:tc>
          <w:tcPr>
            <w:tcW w:w="5812"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尺寸：600mm*500mm*20mm(长*宽*高)；采用冷轧钢板，单开门，内配镀锌安装板一件。</w:t>
            </w:r>
          </w:p>
        </w:tc>
        <w:tc>
          <w:tcPr>
            <w:tcW w:w="708"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71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7"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32</w:t>
            </w:r>
          </w:p>
        </w:tc>
        <w:tc>
          <w:tcPr>
            <w:tcW w:w="113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光纤盒</w:t>
            </w:r>
          </w:p>
        </w:tc>
        <w:tc>
          <w:tcPr>
            <w:tcW w:w="5812"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4孔光纤熔接盒；配4个法兰。</w:t>
            </w:r>
          </w:p>
        </w:tc>
        <w:tc>
          <w:tcPr>
            <w:tcW w:w="708"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71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7"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33</w:t>
            </w:r>
          </w:p>
        </w:tc>
        <w:tc>
          <w:tcPr>
            <w:tcW w:w="113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光纤配线架</w:t>
            </w:r>
          </w:p>
        </w:tc>
        <w:tc>
          <w:tcPr>
            <w:tcW w:w="5812"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48口光纤ODF单元体；内含法兰、尾纤。</w:t>
            </w:r>
          </w:p>
        </w:tc>
        <w:tc>
          <w:tcPr>
            <w:tcW w:w="708"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71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707"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34</w:t>
            </w:r>
          </w:p>
        </w:tc>
        <w:tc>
          <w:tcPr>
            <w:tcW w:w="113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光纤跳线</w:t>
            </w:r>
          </w:p>
        </w:tc>
        <w:tc>
          <w:tcPr>
            <w:tcW w:w="5812"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连接器材料：采用优质的A级陶瓷插芯，外壳为阻燃PEI新料或更好的材料，符合ROHS环保要求；</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外护套材料：环保阻燃PVC外被；</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连接器类型：SC/FC/LC/双工LC卡扣式；</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连接方式：插拔式锁紧/螺纹式锁紧（FC）；</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米长：1.5米；</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插入损耗：≤0.35db；</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回波损耗：UPC≥50db，APC≥55db；</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工作温度范围：-40℃～+80℃；</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插拔寿命：≥1000次。</w:t>
            </w:r>
          </w:p>
        </w:tc>
        <w:tc>
          <w:tcPr>
            <w:tcW w:w="708"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条</w:t>
            </w:r>
          </w:p>
        </w:tc>
        <w:tc>
          <w:tcPr>
            <w:tcW w:w="71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35</w:t>
            </w:r>
          </w:p>
        </w:tc>
        <w:tc>
          <w:tcPr>
            <w:tcW w:w="113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光纤尾纤</w:t>
            </w:r>
          </w:p>
        </w:tc>
        <w:tc>
          <w:tcPr>
            <w:tcW w:w="5812"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连接器材料：采用优质的A级陶瓷插芯，外壳为阻燃材料</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环保阻燃PVC外被</w:t>
            </w: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连接器类型：SC/FC/LC/双工LC卡扣式</w:t>
            </w: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连接方式：插拔式锁紧/螺纹式锁紧（FC）</w:t>
            </w: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米长：3米</w:t>
            </w: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插入损耗：≤0.35db</w:t>
            </w: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回波损耗：UPC≥50db，APC≥55db</w:t>
            </w: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工作温度范围：-40℃～+80℃</w:t>
            </w: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插拔寿命：≥1000次。</w:t>
            </w:r>
          </w:p>
        </w:tc>
        <w:tc>
          <w:tcPr>
            <w:tcW w:w="708"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条</w:t>
            </w:r>
          </w:p>
        </w:tc>
        <w:tc>
          <w:tcPr>
            <w:tcW w:w="71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07"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36</w:t>
            </w:r>
          </w:p>
        </w:tc>
        <w:tc>
          <w:tcPr>
            <w:tcW w:w="113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单模光纤</w:t>
            </w:r>
          </w:p>
        </w:tc>
        <w:tc>
          <w:tcPr>
            <w:tcW w:w="5812"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产品类型单模光纤：波长1300nm、850nm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纤芯数量4 损耗850/3.5dB/km，1300/1.0dB/km，1550/0.26dB/km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规格50/125；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环境参数：工作温度(℃)-40~70 工作湿度（%）0 ~90。</w:t>
            </w:r>
          </w:p>
        </w:tc>
        <w:tc>
          <w:tcPr>
            <w:tcW w:w="70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米</w:t>
            </w:r>
          </w:p>
        </w:tc>
        <w:tc>
          <w:tcPr>
            <w:tcW w:w="71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707"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37</w:t>
            </w:r>
          </w:p>
        </w:tc>
        <w:tc>
          <w:tcPr>
            <w:tcW w:w="113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六类双绞线</w:t>
            </w:r>
          </w:p>
        </w:tc>
        <w:tc>
          <w:tcPr>
            <w:tcW w:w="5812"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六类分屏蔽双绞线；产品标准：ISO_IEC11801-A1-2008、TIA/EIA</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-568、IEEE802.3an10GBASE-T、YD/T926.(1～3)-2009和YD/T10</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-2013产品特性：六类非屏蔽数字电缆完全符合和优于六类相关标准要求，传输带宽≥250MHz，满足1000兆数据传输，采用中心十字架结构以减少线对信号干扰和增加物理机械抗拉性；铜芯材料采用优质无氧铜，满足线规23AWG；绝缘材料采用优质高密度聚乙烯（HDPE），厚度≥0.22mm，护套材料采用优质PVC料，厚度为≥0.6mm,；防火，铜缆外径为≥6.3mm；整箱/305米。工作温度范围：-20~60度。电缆电气性能和传输特性：直流电阻：＜8Ω/100m；直流电阻不平衡：≤2.5%；工作电容：≤5.6nF/100m；绝缘电阻：＞5000MΩ·km；导体间介电强度：1.0KV·1min；阻抗:100ohms+15%。</w:t>
            </w:r>
          </w:p>
        </w:tc>
        <w:tc>
          <w:tcPr>
            <w:tcW w:w="70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箱</w:t>
            </w:r>
          </w:p>
        </w:tc>
        <w:tc>
          <w:tcPr>
            <w:tcW w:w="71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7"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38</w:t>
            </w:r>
          </w:p>
        </w:tc>
        <w:tc>
          <w:tcPr>
            <w:tcW w:w="113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电源线</w:t>
            </w:r>
          </w:p>
        </w:tc>
        <w:tc>
          <w:tcPr>
            <w:tcW w:w="5812"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RVV3*2.5电源线，完全符合和</w:t>
            </w:r>
            <w:r>
              <w:rPr>
                <w:rFonts w:hint="eastAsia" w:ascii="宋体" w:hAnsi="宋体" w:eastAsia="宋体" w:cs="宋体"/>
                <w:color w:val="auto"/>
                <w:kern w:val="0"/>
                <w:sz w:val="21"/>
                <w:szCs w:val="21"/>
              </w:rPr>
              <w:t>优于</w:t>
            </w:r>
            <w:r>
              <w:rPr>
                <w:rFonts w:hint="eastAsia" w:ascii="宋体" w:hAnsi="宋体" w:eastAsia="宋体" w:cs="宋体"/>
                <w:color w:val="000000"/>
                <w:kern w:val="0"/>
                <w:sz w:val="21"/>
                <w:szCs w:val="21"/>
              </w:rPr>
              <w:t>国家相关标准要求，导体采用优质无氧铜，RVV线采用PP绳填充，麦拉包覆，增加物理机械抗拉性；其中RVVP线屏蔽层采用0.11无氧铜编织网；护套料和绝缘料均采用优质PVC（其中护套料为H-70\绝缘料为JR-70），厚度、椭圆度、芯线外径、护套外径、导体电阻、耐电压等均</w:t>
            </w:r>
            <w:r>
              <w:rPr>
                <w:rFonts w:hint="eastAsia" w:ascii="宋体" w:hAnsi="宋体" w:eastAsia="宋体" w:cs="宋体"/>
                <w:color w:val="auto"/>
                <w:kern w:val="0"/>
                <w:sz w:val="21"/>
                <w:szCs w:val="21"/>
                <w:lang w:eastAsia="zh-CN"/>
              </w:rPr>
              <w:t>符合</w:t>
            </w:r>
            <w:r>
              <w:rPr>
                <w:rFonts w:hint="eastAsia" w:ascii="宋体" w:hAnsi="宋体" w:eastAsia="宋体" w:cs="宋体"/>
                <w:color w:val="000000"/>
                <w:kern w:val="0"/>
                <w:sz w:val="21"/>
                <w:szCs w:val="21"/>
              </w:rPr>
              <w:t>国家标准规定；绝缘芯线100%导通试验和火花试验；200m/卷。</w:t>
            </w:r>
          </w:p>
        </w:tc>
        <w:tc>
          <w:tcPr>
            <w:tcW w:w="70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米</w:t>
            </w:r>
          </w:p>
        </w:tc>
        <w:tc>
          <w:tcPr>
            <w:tcW w:w="71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707"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39</w:t>
            </w:r>
          </w:p>
        </w:tc>
        <w:tc>
          <w:tcPr>
            <w:tcW w:w="113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电源线</w:t>
            </w:r>
          </w:p>
        </w:tc>
        <w:tc>
          <w:tcPr>
            <w:tcW w:w="5812"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RVV3*1.5电源线，完全符合和</w:t>
            </w:r>
            <w:r>
              <w:rPr>
                <w:rFonts w:hint="eastAsia" w:ascii="宋体" w:hAnsi="宋体" w:eastAsia="宋体" w:cs="宋体"/>
                <w:color w:val="auto"/>
                <w:kern w:val="0"/>
                <w:sz w:val="21"/>
                <w:szCs w:val="21"/>
              </w:rPr>
              <w:t>优于</w:t>
            </w:r>
            <w:r>
              <w:rPr>
                <w:rFonts w:hint="eastAsia" w:ascii="宋体" w:hAnsi="宋体" w:eastAsia="宋体" w:cs="宋体"/>
                <w:color w:val="000000"/>
                <w:kern w:val="0"/>
                <w:sz w:val="21"/>
                <w:szCs w:val="21"/>
              </w:rPr>
              <w:t>国家相关标准要求，导体采用优质无氧铜，RVV线采用PP绳填充，麦拉包覆，增加物理机械抗拉性；其中RVVP线屏蔽层采用0.11无氧铜编织网；护套料和绝缘料均采用优质PVC（其中护套料为H-70\绝缘料为JR-70），厚度、椭圆度、芯线外径、护套外径、导体电阻、耐电压等均超过国家标准规定；绝缘芯线100%导通试验和火花试验；200m/卷。</w:t>
            </w:r>
          </w:p>
        </w:tc>
        <w:tc>
          <w:tcPr>
            <w:tcW w:w="70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米</w:t>
            </w:r>
          </w:p>
        </w:tc>
        <w:tc>
          <w:tcPr>
            <w:tcW w:w="71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07"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40</w:t>
            </w:r>
          </w:p>
        </w:tc>
        <w:tc>
          <w:tcPr>
            <w:tcW w:w="113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配电箱</w:t>
            </w:r>
          </w:p>
        </w:tc>
        <w:tc>
          <w:tcPr>
            <w:tcW w:w="5812"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规格：300mm*250mm*200mm；含两个64A 2P空气开关。</w:t>
            </w:r>
          </w:p>
        </w:tc>
        <w:tc>
          <w:tcPr>
            <w:tcW w:w="70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71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7"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41</w:t>
            </w:r>
          </w:p>
        </w:tc>
        <w:tc>
          <w:tcPr>
            <w:tcW w:w="113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PVC线槽管</w:t>
            </w:r>
          </w:p>
        </w:tc>
        <w:tc>
          <w:tcPr>
            <w:tcW w:w="5812"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#80*40规格，抗阻燃PVC线槽</w:t>
            </w:r>
          </w:p>
        </w:tc>
        <w:tc>
          <w:tcPr>
            <w:tcW w:w="70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米</w:t>
            </w:r>
          </w:p>
        </w:tc>
        <w:tc>
          <w:tcPr>
            <w:tcW w:w="71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7"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w:t>
            </w:r>
          </w:p>
        </w:tc>
        <w:tc>
          <w:tcPr>
            <w:tcW w:w="113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PVC线槽管</w:t>
            </w:r>
          </w:p>
        </w:tc>
        <w:tc>
          <w:tcPr>
            <w:tcW w:w="5812"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#39*18规格，抗阻燃PVC线槽</w:t>
            </w:r>
          </w:p>
        </w:tc>
        <w:tc>
          <w:tcPr>
            <w:tcW w:w="70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米</w:t>
            </w:r>
          </w:p>
        </w:tc>
        <w:tc>
          <w:tcPr>
            <w:tcW w:w="71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7"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43</w:t>
            </w:r>
          </w:p>
        </w:tc>
        <w:tc>
          <w:tcPr>
            <w:tcW w:w="113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辅材</w:t>
            </w:r>
          </w:p>
        </w:tc>
        <w:tc>
          <w:tcPr>
            <w:tcW w:w="5812"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螺丝、胶带、接线盒、插座、插线板、PVC扣件、光纤熔接材料、RJ45头等。</w:t>
            </w:r>
          </w:p>
        </w:tc>
        <w:tc>
          <w:tcPr>
            <w:tcW w:w="708"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批</w:t>
            </w:r>
          </w:p>
        </w:tc>
        <w:tc>
          <w:tcPr>
            <w:tcW w:w="716"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9073" w:type="dxa"/>
            <w:gridSpan w:val="5"/>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其他要求：</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1.交</w:t>
            </w:r>
            <w:r>
              <w:rPr>
                <w:rFonts w:hint="eastAsia" w:ascii="宋体" w:hAnsi="宋体" w:cs="宋体"/>
                <w:color w:val="000000"/>
                <w:kern w:val="0"/>
                <w:sz w:val="21"/>
                <w:szCs w:val="21"/>
                <w:lang w:val="en-US" w:eastAsia="zh-CN"/>
              </w:rPr>
              <w:t>付及实施期限</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签订合同后2个月内；</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rPr>
              <w:t>2.交货地点：</w:t>
            </w:r>
            <w:r>
              <w:rPr>
                <w:rFonts w:hint="eastAsia" w:ascii="宋体" w:hAnsi="宋体" w:eastAsia="宋体" w:cs="宋体"/>
                <w:color w:val="000000"/>
                <w:kern w:val="0"/>
                <w:sz w:val="21"/>
                <w:szCs w:val="21"/>
                <w:lang w:val="en-US" w:eastAsia="zh-CN"/>
              </w:rPr>
              <w:t>青海大学。</w:t>
            </w:r>
          </w:p>
        </w:tc>
      </w:tr>
    </w:tbl>
    <w:p>
      <w:pPr>
        <w:pStyle w:val="2"/>
        <w:ind w:firstLine="0" w:firstLineChars="0"/>
      </w:pPr>
    </w:p>
    <w:bookmarkEnd w:id="216"/>
    <w:p>
      <w:pPr>
        <w:widowControl/>
        <w:spacing w:beforeLines="200" w:afterLines="200" w:line="14" w:lineRule="exact"/>
        <w:ind w:firstLine="0" w:firstLineChars="0"/>
        <w:outlineLvl w:val="1"/>
        <w:rPr>
          <w:rFonts w:ascii="宋体" w:hAnsi="宋体"/>
        </w:rPr>
      </w:pPr>
      <w:r>
        <w:rPr>
          <w:rFonts w:ascii="宋体" w:hAnsi="宋体"/>
        </w:rPr>
        <w:br w:type="page"/>
      </w:r>
    </w:p>
    <w:p>
      <w:pPr>
        <w:pStyle w:val="2"/>
        <w:ind w:firstLine="0" w:firstLineChars="0"/>
        <w:jc w:val="left"/>
        <w:rPr>
          <w:rFonts w:ascii="宋体" w:hAnsi="宋体" w:cs="宋体"/>
          <w:sz w:val="24"/>
          <w:szCs w:val="24"/>
        </w:rPr>
      </w:pPr>
      <w:r>
        <w:rPr>
          <w:rFonts w:hint="eastAsia" w:ascii="宋体" w:hAnsi="宋体" w:cs="宋体"/>
          <w:sz w:val="24"/>
          <w:szCs w:val="24"/>
        </w:rPr>
        <w:t>包2</w:t>
      </w:r>
      <w:r>
        <w:rPr>
          <w:rFonts w:hint="eastAsia" w:ascii="宋体" w:hAnsi="宋体" w:cs="宋体"/>
          <w:sz w:val="24"/>
          <w:szCs w:val="24"/>
          <w:lang w:eastAsia="zh-CN"/>
        </w:rPr>
        <w:t>：</w:t>
      </w:r>
      <w:r>
        <w:rPr>
          <w:rFonts w:hint="eastAsia" w:ascii="宋体" w:hAnsi="宋体" w:cs="宋体"/>
          <w:sz w:val="24"/>
          <w:szCs w:val="24"/>
          <w:lang w:val="en-US" w:eastAsia="zh-CN"/>
        </w:rPr>
        <w:t>信息化设备</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采购预算：</w:t>
      </w:r>
      <w:r>
        <w:rPr>
          <w:rFonts w:hint="eastAsia" w:ascii="宋体" w:hAnsi="宋体" w:cs="宋体"/>
          <w:b/>
          <w:bCs/>
          <w:color w:val="000000"/>
          <w:kern w:val="0"/>
          <w:sz w:val="24"/>
          <w:szCs w:val="24"/>
        </w:rPr>
        <w:t>50万元</w:t>
      </w:r>
    </w:p>
    <w:tbl>
      <w:tblPr>
        <w:tblStyle w:val="64"/>
        <w:tblW w:w="9081" w:type="dxa"/>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157"/>
        <w:gridCol w:w="5754"/>
        <w:gridCol w:w="696"/>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11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名称</w:t>
            </w:r>
          </w:p>
        </w:tc>
        <w:tc>
          <w:tcPr>
            <w:tcW w:w="575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422"/>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技术参数</w:t>
            </w:r>
          </w:p>
        </w:tc>
        <w:tc>
          <w:tcPr>
            <w:tcW w:w="6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单位</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trPr>
        <w:tc>
          <w:tcPr>
            <w:tcW w:w="70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1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高清激光投影机</w:t>
            </w:r>
          </w:p>
        </w:tc>
        <w:tc>
          <w:tcPr>
            <w:tcW w:w="575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1.要求采用激光固态光源DLP显示技术DMD芯片尺寸≥0.65"，亮度</w:t>
            </w:r>
            <w:r>
              <w:rPr>
                <w:rFonts w:hint="eastAsia" w:ascii="宋体" w:hAnsi="宋体" w:eastAsia="宋体" w:cs="宋体"/>
                <w:color w:val="000000" w:themeColor="text1"/>
                <w:kern w:val="0"/>
                <w:sz w:val="21"/>
                <w:szCs w:val="21"/>
              </w:rPr>
              <w:t>(符合ISO21118标准)</w:t>
            </w:r>
            <w:r>
              <w:rPr>
                <w:rFonts w:hint="eastAsia" w:ascii="宋体" w:hAnsi="宋体" w:eastAsia="宋体" w:cs="宋体"/>
                <w:color w:val="000000"/>
                <w:kern w:val="0"/>
                <w:sz w:val="21"/>
                <w:szCs w:val="21"/>
              </w:rPr>
              <w:t>≥5200lm，对比度≥500000:1，分辨率≥1280*800(兼容1920*1080) 画面显示比例16:10(向下兼容4:3,16:9)；</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2.镜头支持垂直方向位移(物理/手动)±15°，变焦比≥1.6X，投射比1.47～2.35，具备数码变焦功能，支持几何校正(四角校正)及梯形校正(垂直/水平)，4S(RGBY) brilliant color极致色轮，具备时钟频率调节功能，色彩管理系统(色相/色度/饱和度)调整；</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3.内置测试图案，独立12V电源输出，支持上信号自动开机、以及上电直接开机功能，可自定义开机logo、信号源自动搜索，解决输入信号微弱出现的闪烁，整机防尘IP5X，光源组件防尘IP6X，支持墙面色校正≥5种，USB-A支持5V/1.8A输出；</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4.接口要求： 输入：VGA≥1，HDMI≥2，USB≥1，RJ45≥1，RS-232≥1，Audio≥1，Video≥1；输出：VGA≥1，Audio≥1,(DC)12V≥1；</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5.遥控器按键中文标识、自带一键遮屏功能，DLP-Link3D,支持格式：上下/左右/帧连续，帧封装（蓝光3D），任意角度安装,支持垂直安装；</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6.支持网络集中控制功能，运行状态实时监控，投影机远程控制，可实现远程联动控制，实现一键开关机，控制端自动搜索同网络上的所有投影机进行列表，根据用户需求选择一台或多台连接；IE网页控制整机功率≤350W；                                                                    7.要求提供5年质保服务；投标产品提供CCC,节能</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环保认证。</w:t>
            </w:r>
          </w:p>
        </w:tc>
        <w:tc>
          <w:tcPr>
            <w:tcW w:w="6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210" w:firstLineChars="1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0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1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幕布</w:t>
            </w:r>
          </w:p>
        </w:tc>
        <w:tc>
          <w:tcPr>
            <w:tcW w:w="575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120寸电动玻珠幕布，画面比例16:10。</w:t>
            </w:r>
          </w:p>
        </w:tc>
        <w:tc>
          <w:tcPr>
            <w:tcW w:w="6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210" w:firstLineChars="10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幅</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0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1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多媒体讲桌</w:t>
            </w:r>
            <w:r>
              <w:rPr>
                <w:rFonts w:hint="eastAsia" w:ascii="宋体" w:hAnsi="宋体" w:eastAsia="宋体" w:cs="宋体"/>
                <w:color w:val="000000" w:themeColor="text1"/>
                <w:kern w:val="0"/>
                <w:sz w:val="21"/>
                <w:szCs w:val="21"/>
              </w:rPr>
              <w:t>（定制）</w:t>
            </w:r>
          </w:p>
        </w:tc>
        <w:tc>
          <w:tcPr>
            <w:tcW w:w="575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1.整体采用分体式结构，上下两部分采用分体组装；</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上面外形规格：左右1100*前后680*高度310（mm）；</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下面外形规格：左右850*前后640*高度640（mm）；</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总体外形规格：左右1100*前后680*高度950（mm）；</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2.国标19英寸机架；</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3.钢木结合材料一体成型；木质扶手；桌面木质花纹转印技术；全封闭式结构，保障了多媒体设备的安全性；</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4.液晶显示器采用开放式，桌面有钢化玻璃保护，关闭后所有设备都隐藏在讲台内；</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5.键盘采用抽屉式操作，显示器、中央控制系统、键盘互不影响独立操作；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6.右侧采用隐藏抽拉式设计，安装视频展示台；</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7.桌面设置电源插座，USB，HDMI等接口；                                                           8.具有：ISO 9001质量体系认证、ISO14001环保认证； </w:t>
            </w:r>
          </w:p>
        </w:tc>
        <w:tc>
          <w:tcPr>
            <w:tcW w:w="6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张</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0" w:hRule="atLeast"/>
        </w:trPr>
        <w:tc>
          <w:tcPr>
            <w:tcW w:w="70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1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教学计算机</w:t>
            </w:r>
          </w:p>
        </w:tc>
        <w:tc>
          <w:tcPr>
            <w:tcW w:w="575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商用台式计算机，节能环保清单产品</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1.CPU：Intel 第十一代CPU 酷睿六核I5-11400处理器及以上产品；</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2.主板：英特尔B560或以上，单路供电(不接受H系列主板)；</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3.内存：标配8G DDR4，频率≥2666MHz；</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4.硬盘：标配256GB SSD硬盘；</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5.电源：≤180W，单路12V输出，PFC100-127V/220V-240V节能电源；</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6.键鼠：电光抗菌鼠标及防水抗菌键盘；</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7.网卡：集成千兆网卡；</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8.接口及特性：1个PCIe x16、2个PCIe x1、1个PCI，2个M.2；前置6个USB 3.2 Gen1， 1个麦克风插孔，1个耳机/麦克风combo插孔；后置2个USB 2.0，2个USB 3.2 Gen1，2个PS/2，1个串口，1个VGA，1个HDMI，1个DP，1个RJ-45，1个耳机插孔，1个麦克风插孔，1个Line-in插孔。机箱不大于15L，前面板有可拆洗防尘罩，后面板有串并口专用扩展位，顶置提手、开关键、Reset键及资产管理标签位</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9.显卡：集成显卡；</w:t>
            </w:r>
          </w:p>
          <w:p>
            <w:pPr>
              <w:keepNext w:val="0"/>
              <w:keepLines w:val="0"/>
              <w:pageBreakBefore w:val="0"/>
              <w:widowControl/>
              <w:numPr>
                <w:ilvl w:val="0"/>
                <w:numId w:val="5"/>
              </w:numPr>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操作系统：原厂预装Windows 10 home操作系统；</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11.显示器：20寸低蓝光，低辐射LED</w:t>
            </w:r>
            <w:r>
              <w:rPr>
                <w:rFonts w:hint="eastAsia" w:ascii="宋体" w:hAnsi="宋体" w:cs="宋体"/>
                <w:color w:val="000000"/>
                <w:kern w:val="0"/>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12.随机安装管理软件：（1）主板集成硬盘保护（非硬件卡），具备增量传输功、断线续传等功能，支持动态显示网络故障点；（2）支持GPT分区格式下，Win10 系统复制功能，方便创建多系统环境；（3）支持双硬盘保护，支持不同接口硬盘混用，单块硬盘容量最大可支持2TB；支持GPT与MBR双分区格式；（4）具备进度排程功能，机房模式下可设置恢复排程；个人模式下可设置创建进度排程；（5）具备虚拟磁盘功能，可将进度点数据加载至虚拟磁盘，并拷贝至不保护分区或移动设备上，方便操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13.产品可靠性要求：提供产品3C，节能</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绿色环保认证；产品通过阻燃试验，达到外壳V-0，印制板V-0级别，噪音声压级≤5dB，提供认证证书；产品对人体的低频电磁辐射＜0.65%。</w:t>
            </w:r>
          </w:p>
        </w:tc>
        <w:tc>
          <w:tcPr>
            <w:tcW w:w="6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0" w:hRule="atLeast"/>
        </w:trPr>
        <w:tc>
          <w:tcPr>
            <w:tcW w:w="70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1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多功能网络音箱</w:t>
            </w:r>
          </w:p>
        </w:tc>
        <w:tc>
          <w:tcPr>
            <w:tcW w:w="5754" w:type="dxa"/>
            <w:shd w:val="clear" w:color="000000" w:fill="FFFFFF"/>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专业一体化壁挂式设计，木质箱体；</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配置IP网络广播解码模块，与校内原有IP广播系统无缝对接；                                                                                                                          3.带两路受控的24V输出接口，可以实现声光同步输出，可用于特殊教育学校；</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内置D类数字功放，带2*15W功率输出( 8欧定阻)输出，完美音质，发热小，功效更高；</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5.带本地线路输入一路，音量可调；话筒输入一路，音量、高低音可调；</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6.可以选配巡检模块，可以实现终端远程故障诊断，在机房通过远程巡检快速判断音箱的工作状态是否正常、高低音喇叭单元工作是否正常、音质是否正常；</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7.带信息推送功能，系统崩溃或网络瘫痪后，也可以独立执行定时任务，保证系统的平稳运行（选配）；</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8.预留蓝牙天线接口，选配蓝牙接收模块和蓝牙话筒，可以实现蓝牙语音扩声；</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9.带100V定压保障接口，可以选配定压保障模块，实现定压保障功能；</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10.带音频应急保障功能，和100V定压保障功能一起组成网络信号的双重保障功能；</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11.灵敏度：≥90dB±3dB；</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12.网络接入口：RJ45*1；</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13.内置数字功放：≥2*15W/8Ω；</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14.单元规格：4.5寸宽频音扬声单元×1；2.75寸高音扬声单元×1；</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15.3C认证；                                                                                                                                                                                                                     16.提供检测报告</w:t>
            </w:r>
            <w:r>
              <w:rPr>
                <w:rFonts w:hint="eastAsia" w:ascii="宋体" w:hAnsi="宋体" w:eastAsia="宋体" w:cs="宋体"/>
                <w:color w:val="000000"/>
                <w:kern w:val="0"/>
                <w:sz w:val="21"/>
                <w:szCs w:val="21"/>
                <w:lang w:eastAsia="zh-CN"/>
              </w:rPr>
              <w:t>。</w:t>
            </w:r>
          </w:p>
        </w:tc>
        <w:tc>
          <w:tcPr>
            <w:tcW w:w="6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只</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0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1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副音箱</w:t>
            </w:r>
          </w:p>
        </w:tc>
        <w:tc>
          <w:tcPr>
            <w:tcW w:w="575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1.额定功率：≥15W；</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2.灵敏度：≥90dB；</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3.阻抗：8Ω；</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4.频响：不低于90Hz-17KHz；</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5.单元规格：LF:4吋，HF：2吋</w:t>
            </w:r>
            <w:r>
              <w:rPr>
                <w:rFonts w:hint="eastAsia" w:ascii="宋体" w:hAnsi="宋体" w:eastAsia="宋体" w:cs="宋体"/>
                <w:color w:val="000000"/>
                <w:kern w:val="0"/>
                <w:sz w:val="21"/>
                <w:szCs w:val="21"/>
                <w:lang w:eastAsia="zh-CN"/>
              </w:rPr>
              <w:t>。</w:t>
            </w:r>
          </w:p>
        </w:tc>
        <w:tc>
          <w:tcPr>
            <w:tcW w:w="6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只</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0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11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视频线</w:t>
            </w:r>
          </w:p>
        </w:tc>
        <w:tc>
          <w:tcPr>
            <w:tcW w:w="575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HDMI高清视频线缆；长度：15米</w:t>
            </w:r>
          </w:p>
        </w:tc>
        <w:tc>
          <w:tcPr>
            <w:tcW w:w="6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条</w:t>
            </w:r>
          </w:p>
        </w:tc>
        <w:tc>
          <w:tcPr>
            <w:tcW w:w="7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081" w:type="dxa"/>
            <w:gridSpan w:val="5"/>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其他要求：</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1.交</w:t>
            </w:r>
            <w:r>
              <w:rPr>
                <w:rFonts w:hint="eastAsia" w:ascii="宋体" w:hAnsi="宋体" w:cs="宋体"/>
                <w:color w:val="000000"/>
                <w:kern w:val="0"/>
                <w:sz w:val="21"/>
                <w:szCs w:val="21"/>
                <w:lang w:val="en-US" w:eastAsia="zh-CN"/>
              </w:rPr>
              <w:t>付及实施期限</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签订合同后2个月内；</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rPr>
              <w:t>2.交货地点：</w:t>
            </w:r>
            <w:r>
              <w:rPr>
                <w:rFonts w:hint="eastAsia" w:ascii="宋体" w:hAnsi="宋体" w:eastAsia="宋体" w:cs="宋体"/>
                <w:color w:val="000000"/>
                <w:kern w:val="0"/>
                <w:sz w:val="21"/>
                <w:szCs w:val="21"/>
                <w:lang w:val="en-US" w:eastAsia="zh-CN"/>
              </w:rPr>
              <w:t>青海大学。</w:t>
            </w:r>
          </w:p>
        </w:tc>
      </w:tr>
    </w:tbl>
    <w:p>
      <w:pPr>
        <w:ind w:right="480" w:firstLine="0" w:firstLineChars="0"/>
        <w:rPr>
          <w:rFonts w:ascii="宋体" w:hAnsi="宋体" w:cs="宋体"/>
          <w:szCs w:val="21"/>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alatino Linotype">
    <w:panose1 w:val="02040502050505030304"/>
    <w:charset w:val="00"/>
    <w:family w:val="roman"/>
    <w:pitch w:val="default"/>
    <w:sig w:usb0="E0000287" w:usb1="40000013" w:usb2="00000000" w:usb3="00000000" w:csb0="2000019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长城仿宋">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Baskerville">
    <w:altName w:val="Times New Roman"/>
    <w:panose1 w:val="00000000000000000000"/>
    <w:charset w:val="00"/>
    <w:family w:val="auto"/>
    <w:pitch w:val="default"/>
    <w:sig w:usb0="00000000" w:usb1="00000000" w:usb2="00000000" w:usb3="00000000" w:csb0="00000001" w:csb1="00000000"/>
  </w:font>
  <w:font w:name="ヒラギノ角ゴ Pro W3">
    <w:altName w:val="Malgun Gothic Semilight"/>
    <w:panose1 w:val="00000000000000000000"/>
    <w:charset w:val="8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Narrow">
    <w:altName w:val="Arial"/>
    <w:panose1 w:val="020B0606020202030204"/>
    <w:charset w:val="00"/>
    <w:family w:val="swiss"/>
    <w:pitch w:val="default"/>
    <w:sig w:usb0="00000000" w:usb1="00000000" w:usb2="00000000" w:usb3="00000000" w:csb0="2000009F" w:csb1="DFD70000"/>
  </w:font>
  <w:font w:name="Arial Black">
    <w:panose1 w:val="020B0A04020102020204"/>
    <w:charset w:val="00"/>
    <w:family w:val="swiss"/>
    <w:pitch w:val="default"/>
    <w:sig w:usb0="A00002AF" w:usb1="400078FB" w:usb2="00000000" w:usb3="00000000" w:csb0="6000009F" w:csb1="DFD70000"/>
  </w:font>
  <w:font w:name="Arial Unicode MS">
    <w:altName w:val="宋体"/>
    <w:panose1 w:val="020B0604020202020204"/>
    <w:charset w:val="86"/>
    <w:family w:val="auto"/>
    <w:pitch w:val="default"/>
    <w:sig w:usb0="00000000" w:usb1="00000000" w:usb2="0000003F" w:usb3="00000000" w:csb0="603F01FF" w:csb1="FFFF0000"/>
  </w:font>
  <w:font w:name="昆仑楷体">
    <w:altName w:val="黑体"/>
    <w:panose1 w:val="00000000000000000000"/>
    <w:charset w:val="86"/>
    <w:family w:val="auto"/>
    <w:pitch w:val="default"/>
    <w:sig w:usb0="00000000" w:usb1="00000000" w:usb2="00000010" w:usb3="00000000" w:csb0="00040000" w:csb1="00000000"/>
  </w:font>
  <w:font w:name="ˎ̥">
    <w:altName w:val="微软雅黑"/>
    <w:panose1 w:val="00000000000000000000"/>
    <w:charset w:val="01"/>
    <w:family w:val="roman"/>
    <w:pitch w:val="default"/>
    <w:sig w:usb0="00000000" w:usb1="00000000" w:usb2="00000000" w:usb3="00000000" w:csb0="00040001" w:csb1="00000000"/>
  </w:font>
  <w:font w:name="Adobe Heiti Std R">
    <w:altName w:val="宋体"/>
    <w:panose1 w:val="00000000000000000000"/>
    <w:charset w:val="86"/>
    <w:family w:val="auto"/>
    <w:pitch w:val="default"/>
    <w:sig w:usb0="00000000" w:usb1="00000000" w:usb2="00000010" w:usb3="00000000" w:csb0="00040000" w:csb1="00000000"/>
  </w:font>
  <w:font w:name="小标宋">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文鼎粗黑">
    <w:altName w:val="黑体"/>
    <w:panose1 w:val="00000000000000000000"/>
    <w:charset w:val="86"/>
    <w:family w:val="auto"/>
    <w:pitch w:val="default"/>
    <w:sig w:usb0="00000000" w:usb1="00000000" w:usb2="00000010" w:usb3="00000000" w:csb0="00040000" w:csb1="00000000"/>
  </w:font>
  <w:font w:name="Georgia">
    <w:panose1 w:val="02040502050405020303"/>
    <w:charset w:val="00"/>
    <w:family w:val="roman"/>
    <w:pitch w:val="default"/>
    <w:sig w:usb0="00000287" w:usb1="00000000" w:usb2="00000000" w:usb3="00000000" w:csb0="2000009F" w:csb1="00000000"/>
  </w:font>
  <w:font w:name="方正行楷简体">
    <w:altName w:val="微软雅黑"/>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方正楷体_GBK">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firstLine="360"/>
      <w:jc w:val="center"/>
    </w:pPr>
    <w:r>
      <w:fldChar w:fldCharType="begin"/>
    </w:r>
    <w:r>
      <w:instrText xml:space="preserve"> PAGE   \* MERGEFORMAT </w:instrText>
    </w:r>
    <w:r>
      <w:fldChar w:fldCharType="separate"/>
    </w:r>
    <w: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y="1"/>
      <w:ind w:firstLine="360"/>
      <w:rPr>
        <w:rStyle w:val="69"/>
      </w:rPr>
    </w:pPr>
    <w:r>
      <w:fldChar w:fldCharType="begin"/>
    </w:r>
    <w:r>
      <w:rPr>
        <w:rStyle w:val="69"/>
      </w:rPr>
      <w:instrText xml:space="preserve">PAGE  </w:instrText>
    </w:r>
    <w:r>
      <w:fldChar w:fldCharType="separate"/>
    </w:r>
    <w:r>
      <w:rPr>
        <w:rStyle w:val="69"/>
      </w:rPr>
      <w:t>93</w:t>
    </w:r>
    <w:r>
      <w:fldChar w:fldCharType="end"/>
    </w:r>
  </w:p>
  <w:p>
    <w:pPr>
      <w:pStyle w:val="3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ind w:firstLine="0" w:firstLineChars="0"/>
      <w:rPr>
        <w:rFonts w:ascii="仿宋_GB2312" w:eastAsia="仿宋_GB2312"/>
        <w:b/>
        <w:i/>
        <w:sz w:val="24"/>
        <w:szCs w:val="24"/>
        <w:u w:val="single"/>
      </w:rPr>
    </w:pPr>
  </w:p>
  <w:p>
    <w:pPr>
      <w:pStyle w:val="39"/>
      <w:pBdr>
        <w:bottom w:val="none" w:color="auto" w:sz="0" w:space="0"/>
      </w:pBdr>
      <w:ind w:firstLine="0" w:firstLineChars="0"/>
      <w:rPr>
        <w:rFonts w:ascii="仿宋_GB2312" w:eastAsia="仿宋_GB2312"/>
        <w:b/>
        <w:i/>
        <w:sz w:val="24"/>
        <w:szCs w:val="24"/>
        <w:u w:val="single"/>
      </w:rPr>
    </w:pPr>
    <w:r>
      <w:rPr>
        <w:rFonts w:hint="eastAsia" w:ascii="仿宋_GB2312" w:eastAsia="仿宋_GB2312"/>
        <w:b/>
        <w:i/>
        <w:sz w:val="24"/>
        <w:szCs w:val="24"/>
        <w:u w:val="single"/>
      </w:rPr>
      <w:t>青海省政府采购招标文件                  青政采公招（货物）2022-055号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ind w:firstLine="0" w:firstLineChars="0"/>
      <w:rPr>
        <w:rFonts w:ascii="仿宋_GB2312" w:eastAsia="仿宋_GB2312"/>
        <w:b/>
        <w:i/>
        <w:sz w:val="24"/>
        <w:szCs w:val="24"/>
        <w:u w:val="single"/>
      </w:rPr>
    </w:pPr>
  </w:p>
  <w:p>
    <w:pPr>
      <w:pStyle w:val="39"/>
      <w:pBdr>
        <w:bottom w:val="none" w:color="auto" w:sz="0" w:space="0"/>
      </w:pBdr>
      <w:ind w:firstLine="0" w:firstLineChars="0"/>
      <w:rPr>
        <w:rFonts w:ascii="仿宋_GB2312" w:eastAsia="仿宋_GB2312"/>
        <w:b/>
        <w:i/>
        <w:sz w:val="24"/>
        <w:szCs w:val="24"/>
        <w:u w:val="single"/>
      </w:rPr>
    </w:pPr>
    <w:r>
      <w:rPr>
        <w:rFonts w:hint="eastAsia" w:ascii="仿宋_GB2312" w:eastAsia="仿宋_GB2312"/>
        <w:b/>
        <w:i/>
        <w:sz w:val="24"/>
        <w:szCs w:val="24"/>
        <w:u w:val="single"/>
      </w:rPr>
      <w:t>青海省政府采购招标文件                青政采公招（货物）2022-055号</w:t>
    </w:r>
  </w:p>
  <w:p>
    <w:pPr>
      <w:ind w:left="48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19EC15"/>
    <w:multiLevelType w:val="singleLevel"/>
    <w:tmpl w:val="8719EC15"/>
    <w:lvl w:ilvl="0" w:tentative="0">
      <w:start w:val="6"/>
      <w:numFmt w:val="decimal"/>
      <w:suff w:val="nothing"/>
      <w:lvlText w:val="%1、"/>
      <w:lvlJc w:val="left"/>
    </w:lvl>
  </w:abstractNum>
  <w:abstractNum w:abstractNumId="1">
    <w:nsid w:val="B898D22E"/>
    <w:multiLevelType w:val="singleLevel"/>
    <w:tmpl w:val="B898D22E"/>
    <w:lvl w:ilvl="0" w:tentative="0">
      <w:start w:val="1"/>
      <w:numFmt w:val="decimal"/>
      <w:lvlText w:val="%1."/>
      <w:lvlJc w:val="left"/>
      <w:pPr>
        <w:tabs>
          <w:tab w:val="left" w:pos="312"/>
        </w:tabs>
      </w:pPr>
    </w:lvl>
  </w:abstractNum>
  <w:abstractNum w:abstractNumId="2">
    <w:nsid w:val="EA8308CC"/>
    <w:multiLevelType w:val="singleLevel"/>
    <w:tmpl w:val="EA8308CC"/>
    <w:lvl w:ilvl="0" w:tentative="0">
      <w:start w:val="2"/>
      <w:numFmt w:val="decimal"/>
      <w:suff w:val="nothing"/>
      <w:lvlText w:val="%1、"/>
      <w:lvlJc w:val="left"/>
    </w:lvl>
  </w:abstractNum>
  <w:abstractNum w:abstractNumId="3">
    <w:nsid w:val="1C5FA00A"/>
    <w:multiLevelType w:val="singleLevel"/>
    <w:tmpl w:val="1C5FA00A"/>
    <w:lvl w:ilvl="0" w:tentative="0">
      <w:start w:val="1"/>
      <w:numFmt w:val="decimal"/>
      <w:lvlText w:val="%1."/>
      <w:lvlJc w:val="left"/>
      <w:pPr>
        <w:tabs>
          <w:tab w:val="left" w:pos="312"/>
        </w:tabs>
      </w:pPr>
    </w:lvl>
  </w:abstractNum>
  <w:abstractNum w:abstractNumId="4">
    <w:nsid w:val="3309805B"/>
    <w:multiLevelType w:val="singleLevel"/>
    <w:tmpl w:val="3309805B"/>
    <w:lvl w:ilvl="0" w:tentative="0">
      <w:start w:val="10"/>
      <w:numFmt w:val="decimal"/>
      <w:lvlText w:val="%1."/>
      <w:lvlJc w:val="left"/>
      <w:pPr>
        <w:tabs>
          <w:tab w:val="left" w:pos="312"/>
        </w:tabs>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5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Y4NGFjMTJiZWQwMGRlOTk2YzkyNGEyMzk1OTE3MDIifQ=="/>
  </w:docVars>
  <w:rsids>
    <w:rsidRoot w:val="00172A27"/>
    <w:rsid w:val="00002063"/>
    <w:rsid w:val="00003067"/>
    <w:rsid w:val="00004380"/>
    <w:rsid w:val="000045AA"/>
    <w:rsid w:val="00007203"/>
    <w:rsid w:val="00007DCD"/>
    <w:rsid w:val="00015457"/>
    <w:rsid w:val="00021D32"/>
    <w:rsid w:val="00022E7E"/>
    <w:rsid w:val="00024739"/>
    <w:rsid w:val="000250CA"/>
    <w:rsid w:val="000270C7"/>
    <w:rsid w:val="00027692"/>
    <w:rsid w:val="000354B0"/>
    <w:rsid w:val="000375CA"/>
    <w:rsid w:val="00042A12"/>
    <w:rsid w:val="000479BD"/>
    <w:rsid w:val="00052AA1"/>
    <w:rsid w:val="00053CAC"/>
    <w:rsid w:val="00054BE6"/>
    <w:rsid w:val="00057E10"/>
    <w:rsid w:val="00064CF4"/>
    <w:rsid w:val="000721C4"/>
    <w:rsid w:val="00072C7C"/>
    <w:rsid w:val="000735C8"/>
    <w:rsid w:val="00073C24"/>
    <w:rsid w:val="00074928"/>
    <w:rsid w:val="000808AD"/>
    <w:rsid w:val="000836BA"/>
    <w:rsid w:val="00085ED0"/>
    <w:rsid w:val="00090492"/>
    <w:rsid w:val="0009799A"/>
    <w:rsid w:val="000A09D5"/>
    <w:rsid w:val="000A2948"/>
    <w:rsid w:val="000A2AC4"/>
    <w:rsid w:val="000A411C"/>
    <w:rsid w:val="000A5AB3"/>
    <w:rsid w:val="000B1F23"/>
    <w:rsid w:val="000B22FD"/>
    <w:rsid w:val="000B432E"/>
    <w:rsid w:val="000C0D78"/>
    <w:rsid w:val="000C5EC5"/>
    <w:rsid w:val="000C72E8"/>
    <w:rsid w:val="000C7944"/>
    <w:rsid w:val="000D3B39"/>
    <w:rsid w:val="000D3EEE"/>
    <w:rsid w:val="000D424F"/>
    <w:rsid w:val="000D45DB"/>
    <w:rsid w:val="000D69C8"/>
    <w:rsid w:val="000E2F9A"/>
    <w:rsid w:val="000E5323"/>
    <w:rsid w:val="000E658F"/>
    <w:rsid w:val="000F0FBA"/>
    <w:rsid w:val="000F51CC"/>
    <w:rsid w:val="001000A7"/>
    <w:rsid w:val="00101C97"/>
    <w:rsid w:val="00103989"/>
    <w:rsid w:val="00103D50"/>
    <w:rsid w:val="0010797E"/>
    <w:rsid w:val="00111F1D"/>
    <w:rsid w:val="00113FF3"/>
    <w:rsid w:val="00114244"/>
    <w:rsid w:val="0011657C"/>
    <w:rsid w:val="001166D7"/>
    <w:rsid w:val="001177FC"/>
    <w:rsid w:val="001208EB"/>
    <w:rsid w:val="00120DC4"/>
    <w:rsid w:val="00123A86"/>
    <w:rsid w:val="00130813"/>
    <w:rsid w:val="00136A19"/>
    <w:rsid w:val="001401F6"/>
    <w:rsid w:val="00140DB6"/>
    <w:rsid w:val="00143A5B"/>
    <w:rsid w:val="0014542A"/>
    <w:rsid w:val="00147E11"/>
    <w:rsid w:val="0015243B"/>
    <w:rsid w:val="00154300"/>
    <w:rsid w:val="00155093"/>
    <w:rsid w:val="0015528D"/>
    <w:rsid w:val="00156FE5"/>
    <w:rsid w:val="001601B9"/>
    <w:rsid w:val="00161544"/>
    <w:rsid w:val="00165CC1"/>
    <w:rsid w:val="00167A30"/>
    <w:rsid w:val="00172A27"/>
    <w:rsid w:val="001738BA"/>
    <w:rsid w:val="00173B24"/>
    <w:rsid w:val="0017457F"/>
    <w:rsid w:val="00174990"/>
    <w:rsid w:val="00174D4A"/>
    <w:rsid w:val="00175EAC"/>
    <w:rsid w:val="0017725D"/>
    <w:rsid w:val="0017768D"/>
    <w:rsid w:val="00182168"/>
    <w:rsid w:val="00182AAA"/>
    <w:rsid w:val="00182D45"/>
    <w:rsid w:val="00184AB0"/>
    <w:rsid w:val="00185638"/>
    <w:rsid w:val="001A3919"/>
    <w:rsid w:val="001A712C"/>
    <w:rsid w:val="001A718C"/>
    <w:rsid w:val="001A7209"/>
    <w:rsid w:val="001B18AA"/>
    <w:rsid w:val="001B3558"/>
    <w:rsid w:val="001B5265"/>
    <w:rsid w:val="001B680F"/>
    <w:rsid w:val="001B6BC0"/>
    <w:rsid w:val="001C2BE5"/>
    <w:rsid w:val="001C3E55"/>
    <w:rsid w:val="001E3AAC"/>
    <w:rsid w:val="001E41AB"/>
    <w:rsid w:val="001E4BF9"/>
    <w:rsid w:val="001E7727"/>
    <w:rsid w:val="001F27C4"/>
    <w:rsid w:val="001F29D1"/>
    <w:rsid w:val="001F39AE"/>
    <w:rsid w:val="001F53C0"/>
    <w:rsid w:val="00201A01"/>
    <w:rsid w:val="002027A6"/>
    <w:rsid w:val="0020786F"/>
    <w:rsid w:val="00211E53"/>
    <w:rsid w:val="002125CA"/>
    <w:rsid w:val="00226230"/>
    <w:rsid w:val="00227C0C"/>
    <w:rsid w:val="002316D1"/>
    <w:rsid w:val="00231CC8"/>
    <w:rsid w:val="00237C5E"/>
    <w:rsid w:val="00240981"/>
    <w:rsid w:val="00241620"/>
    <w:rsid w:val="00242DA7"/>
    <w:rsid w:val="002454DF"/>
    <w:rsid w:val="00245DCF"/>
    <w:rsid w:val="00246E9E"/>
    <w:rsid w:val="002515D2"/>
    <w:rsid w:val="0025206F"/>
    <w:rsid w:val="00257216"/>
    <w:rsid w:val="0026119C"/>
    <w:rsid w:val="0027300F"/>
    <w:rsid w:val="00276943"/>
    <w:rsid w:val="002808FF"/>
    <w:rsid w:val="0028783E"/>
    <w:rsid w:val="00290119"/>
    <w:rsid w:val="0029078C"/>
    <w:rsid w:val="0029392F"/>
    <w:rsid w:val="00293B36"/>
    <w:rsid w:val="00295287"/>
    <w:rsid w:val="002A0B26"/>
    <w:rsid w:val="002A2CDF"/>
    <w:rsid w:val="002A5CE5"/>
    <w:rsid w:val="002A620D"/>
    <w:rsid w:val="002B1A05"/>
    <w:rsid w:val="002B5234"/>
    <w:rsid w:val="002B64C0"/>
    <w:rsid w:val="002C0459"/>
    <w:rsid w:val="002C1558"/>
    <w:rsid w:val="002C1CB0"/>
    <w:rsid w:val="002C2840"/>
    <w:rsid w:val="002C7C34"/>
    <w:rsid w:val="002C7C8F"/>
    <w:rsid w:val="002D3FB1"/>
    <w:rsid w:val="002D5940"/>
    <w:rsid w:val="002E6A90"/>
    <w:rsid w:val="002E734F"/>
    <w:rsid w:val="002E79FA"/>
    <w:rsid w:val="002F1882"/>
    <w:rsid w:val="002F438A"/>
    <w:rsid w:val="002F5449"/>
    <w:rsid w:val="002F5C5F"/>
    <w:rsid w:val="00301FBE"/>
    <w:rsid w:val="0030772F"/>
    <w:rsid w:val="00311B33"/>
    <w:rsid w:val="0031237F"/>
    <w:rsid w:val="003139CB"/>
    <w:rsid w:val="00314DAC"/>
    <w:rsid w:val="003159E0"/>
    <w:rsid w:val="00316D55"/>
    <w:rsid w:val="00316FCC"/>
    <w:rsid w:val="0032299C"/>
    <w:rsid w:val="0032481E"/>
    <w:rsid w:val="00324AE3"/>
    <w:rsid w:val="00325723"/>
    <w:rsid w:val="00330C0B"/>
    <w:rsid w:val="0033533C"/>
    <w:rsid w:val="003357B2"/>
    <w:rsid w:val="00340A0E"/>
    <w:rsid w:val="003416A8"/>
    <w:rsid w:val="00344FF7"/>
    <w:rsid w:val="003453E9"/>
    <w:rsid w:val="00346FB9"/>
    <w:rsid w:val="00350CD8"/>
    <w:rsid w:val="0035360E"/>
    <w:rsid w:val="00354935"/>
    <w:rsid w:val="00360DEE"/>
    <w:rsid w:val="00362D56"/>
    <w:rsid w:val="00364662"/>
    <w:rsid w:val="003678D8"/>
    <w:rsid w:val="00370430"/>
    <w:rsid w:val="00370D52"/>
    <w:rsid w:val="00372C51"/>
    <w:rsid w:val="00377427"/>
    <w:rsid w:val="00381338"/>
    <w:rsid w:val="0038443A"/>
    <w:rsid w:val="003864BE"/>
    <w:rsid w:val="00386FA5"/>
    <w:rsid w:val="003872B8"/>
    <w:rsid w:val="00391477"/>
    <w:rsid w:val="00395855"/>
    <w:rsid w:val="00396D63"/>
    <w:rsid w:val="003979F8"/>
    <w:rsid w:val="003A06FF"/>
    <w:rsid w:val="003A5466"/>
    <w:rsid w:val="003A692E"/>
    <w:rsid w:val="003B0936"/>
    <w:rsid w:val="003B523F"/>
    <w:rsid w:val="003B7392"/>
    <w:rsid w:val="003C204C"/>
    <w:rsid w:val="003E1863"/>
    <w:rsid w:val="003E425D"/>
    <w:rsid w:val="003E5ACD"/>
    <w:rsid w:val="003E6D8C"/>
    <w:rsid w:val="003E7DE3"/>
    <w:rsid w:val="003F58F5"/>
    <w:rsid w:val="003F7B95"/>
    <w:rsid w:val="00401008"/>
    <w:rsid w:val="00406144"/>
    <w:rsid w:val="004133F5"/>
    <w:rsid w:val="00415BB2"/>
    <w:rsid w:val="00421B58"/>
    <w:rsid w:val="00422504"/>
    <w:rsid w:val="0043043F"/>
    <w:rsid w:val="004318FB"/>
    <w:rsid w:val="00431ED9"/>
    <w:rsid w:val="00436AC6"/>
    <w:rsid w:val="00437CE8"/>
    <w:rsid w:val="0044026B"/>
    <w:rsid w:val="00441BB5"/>
    <w:rsid w:val="004426CC"/>
    <w:rsid w:val="0044683B"/>
    <w:rsid w:val="004472DE"/>
    <w:rsid w:val="00451BE9"/>
    <w:rsid w:val="00452EB3"/>
    <w:rsid w:val="0045786B"/>
    <w:rsid w:val="004640C2"/>
    <w:rsid w:val="00467BF6"/>
    <w:rsid w:val="00472340"/>
    <w:rsid w:val="00472A11"/>
    <w:rsid w:val="00474C9F"/>
    <w:rsid w:val="00474FCB"/>
    <w:rsid w:val="00483918"/>
    <w:rsid w:val="00483BDE"/>
    <w:rsid w:val="00483E0E"/>
    <w:rsid w:val="00484F30"/>
    <w:rsid w:val="00487A7D"/>
    <w:rsid w:val="00490F84"/>
    <w:rsid w:val="0049231B"/>
    <w:rsid w:val="004A01BE"/>
    <w:rsid w:val="004A5B14"/>
    <w:rsid w:val="004B156F"/>
    <w:rsid w:val="004B26DE"/>
    <w:rsid w:val="004B2DD7"/>
    <w:rsid w:val="004C05BA"/>
    <w:rsid w:val="004C2A41"/>
    <w:rsid w:val="004C2A6A"/>
    <w:rsid w:val="004C54F6"/>
    <w:rsid w:val="004C60ED"/>
    <w:rsid w:val="004C7664"/>
    <w:rsid w:val="004D3A95"/>
    <w:rsid w:val="004E22AE"/>
    <w:rsid w:val="004E52E2"/>
    <w:rsid w:val="004E5A88"/>
    <w:rsid w:val="004F0874"/>
    <w:rsid w:val="004F0CD0"/>
    <w:rsid w:val="004F29CE"/>
    <w:rsid w:val="004F7161"/>
    <w:rsid w:val="00502E7E"/>
    <w:rsid w:val="00505485"/>
    <w:rsid w:val="00510F9A"/>
    <w:rsid w:val="00511C9B"/>
    <w:rsid w:val="0052022A"/>
    <w:rsid w:val="00523FD4"/>
    <w:rsid w:val="00525C44"/>
    <w:rsid w:val="00526722"/>
    <w:rsid w:val="005270EC"/>
    <w:rsid w:val="0052739F"/>
    <w:rsid w:val="00531FFE"/>
    <w:rsid w:val="0053250F"/>
    <w:rsid w:val="00537612"/>
    <w:rsid w:val="00540289"/>
    <w:rsid w:val="00553BB0"/>
    <w:rsid w:val="0055498F"/>
    <w:rsid w:val="00562ECC"/>
    <w:rsid w:val="00566085"/>
    <w:rsid w:val="0057249A"/>
    <w:rsid w:val="00576C20"/>
    <w:rsid w:val="00576F7F"/>
    <w:rsid w:val="00577279"/>
    <w:rsid w:val="00585978"/>
    <w:rsid w:val="00586A12"/>
    <w:rsid w:val="00592C4C"/>
    <w:rsid w:val="005A4CB6"/>
    <w:rsid w:val="005A635E"/>
    <w:rsid w:val="005B10BA"/>
    <w:rsid w:val="005B1913"/>
    <w:rsid w:val="005B560A"/>
    <w:rsid w:val="005B73C4"/>
    <w:rsid w:val="005C2514"/>
    <w:rsid w:val="005C360C"/>
    <w:rsid w:val="005C5906"/>
    <w:rsid w:val="005C5AEB"/>
    <w:rsid w:val="005C7822"/>
    <w:rsid w:val="005E0F2B"/>
    <w:rsid w:val="005E1B80"/>
    <w:rsid w:val="005E2C09"/>
    <w:rsid w:val="005E3AA2"/>
    <w:rsid w:val="005E3D2A"/>
    <w:rsid w:val="005F422D"/>
    <w:rsid w:val="006007D9"/>
    <w:rsid w:val="00604328"/>
    <w:rsid w:val="006064AF"/>
    <w:rsid w:val="006157D9"/>
    <w:rsid w:val="00616BC5"/>
    <w:rsid w:val="00617DA0"/>
    <w:rsid w:val="00621C41"/>
    <w:rsid w:val="006224A9"/>
    <w:rsid w:val="00622579"/>
    <w:rsid w:val="006259A4"/>
    <w:rsid w:val="00626366"/>
    <w:rsid w:val="00631E63"/>
    <w:rsid w:val="00637557"/>
    <w:rsid w:val="00642F24"/>
    <w:rsid w:val="00643DE9"/>
    <w:rsid w:val="006442AE"/>
    <w:rsid w:val="00655FCB"/>
    <w:rsid w:val="006572E9"/>
    <w:rsid w:val="006635FB"/>
    <w:rsid w:val="00665B7C"/>
    <w:rsid w:val="00665BC3"/>
    <w:rsid w:val="00674B57"/>
    <w:rsid w:val="006807A2"/>
    <w:rsid w:val="006818AA"/>
    <w:rsid w:val="0068331E"/>
    <w:rsid w:val="00683A55"/>
    <w:rsid w:val="00683DC6"/>
    <w:rsid w:val="00692791"/>
    <w:rsid w:val="006A0AB7"/>
    <w:rsid w:val="006A0E32"/>
    <w:rsid w:val="006A16A9"/>
    <w:rsid w:val="006A1EEF"/>
    <w:rsid w:val="006A7601"/>
    <w:rsid w:val="006A7996"/>
    <w:rsid w:val="006B604D"/>
    <w:rsid w:val="006B647A"/>
    <w:rsid w:val="006B7CE3"/>
    <w:rsid w:val="006B7F05"/>
    <w:rsid w:val="006C3F87"/>
    <w:rsid w:val="006C6B6B"/>
    <w:rsid w:val="006C733C"/>
    <w:rsid w:val="006D0602"/>
    <w:rsid w:val="006D3BF5"/>
    <w:rsid w:val="006D5B81"/>
    <w:rsid w:val="006E4348"/>
    <w:rsid w:val="006F19A4"/>
    <w:rsid w:val="006F2839"/>
    <w:rsid w:val="006F558C"/>
    <w:rsid w:val="006F7A50"/>
    <w:rsid w:val="00702A3E"/>
    <w:rsid w:val="00704A74"/>
    <w:rsid w:val="007067A6"/>
    <w:rsid w:val="007071A9"/>
    <w:rsid w:val="0071029B"/>
    <w:rsid w:val="00711AD0"/>
    <w:rsid w:val="007137B5"/>
    <w:rsid w:val="00714710"/>
    <w:rsid w:val="00715AA0"/>
    <w:rsid w:val="0072003F"/>
    <w:rsid w:val="00720A03"/>
    <w:rsid w:val="00721B25"/>
    <w:rsid w:val="0072292A"/>
    <w:rsid w:val="007308C1"/>
    <w:rsid w:val="00730F68"/>
    <w:rsid w:val="0073495A"/>
    <w:rsid w:val="00736633"/>
    <w:rsid w:val="00742654"/>
    <w:rsid w:val="00753915"/>
    <w:rsid w:val="007622BF"/>
    <w:rsid w:val="007642E7"/>
    <w:rsid w:val="00767BA2"/>
    <w:rsid w:val="007718E6"/>
    <w:rsid w:val="00776437"/>
    <w:rsid w:val="00780A2A"/>
    <w:rsid w:val="00783059"/>
    <w:rsid w:val="00784AEB"/>
    <w:rsid w:val="00785820"/>
    <w:rsid w:val="00790D20"/>
    <w:rsid w:val="00793E36"/>
    <w:rsid w:val="007943E8"/>
    <w:rsid w:val="00796B64"/>
    <w:rsid w:val="007A734F"/>
    <w:rsid w:val="007B03DE"/>
    <w:rsid w:val="007B29A2"/>
    <w:rsid w:val="007B365B"/>
    <w:rsid w:val="007B6C26"/>
    <w:rsid w:val="007C0C76"/>
    <w:rsid w:val="007C1064"/>
    <w:rsid w:val="007C1913"/>
    <w:rsid w:val="007C4B9A"/>
    <w:rsid w:val="007C65D7"/>
    <w:rsid w:val="007C6CAB"/>
    <w:rsid w:val="007C7970"/>
    <w:rsid w:val="007D35D2"/>
    <w:rsid w:val="007D438D"/>
    <w:rsid w:val="007D4C14"/>
    <w:rsid w:val="007E18B9"/>
    <w:rsid w:val="007E5DB9"/>
    <w:rsid w:val="007F27A7"/>
    <w:rsid w:val="007F5D41"/>
    <w:rsid w:val="007F613E"/>
    <w:rsid w:val="007F63E4"/>
    <w:rsid w:val="007F742C"/>
    <w:rsid w:val="00800B7E"/>
    <w:rsid w:val="008028CF"/>
    <w:rsid w:val="00820B3B"/>
    <w:rsid w:val="00821588"/>
    <w:rsid w:val="008221E6"/>
    <w:rsid w:val="00826883"/>
    <w:rsid w:val="0083260E"/>
    <w:rsid w:val="0083298D"/>
    <w:rsid w:val="00834326"/>
    <w:rsid w:val="00834454"/>
    <w:rsid w:val="00834EB1"/>
    <w:rsid w:val="00842E43"/>
    <w:rsid w:val="00843AF8"/>
    <w:rsid w:val="00844116"/>
    <w:rsid w:val="00844EBD"/>
    <w:rsid w:val="00851797"/>
    <w:rsid w:val="00854C69"/>
    <w:rsid w:val="0085747B"/>
    <w:rsid w:val="00866AA7"/>
    <w:rsid w:val="0087147B"/>
    <w:rsid w:val="008734BB"/>
    <w:rsid w:val="00875DB8"/>
    <w:rsid w:val="00882A69"/>
    <w:rsid w:val="00882D46"/>
    <w:rsid w:val="00883298"/>
    <w:rsid w:val="00887027"/>
    <w:rsid w:val="0089059E"/>
    <w:rsid w:val="00890C39"/>
    <w:rsid w:val="00891167"/>
    <w:rsid w:val="008937F0"/>
    <w:rsid w:val="00893F9D"/>
    <w:rsid w:val="008A3D44"/>
    <w:rsid w:val="008B0D6A"/>
    <w:rsid w:val="008B11C8"/>
    <w:rsid w:val="008B66E9"/>
    <w:rsid w:val="008B6799"/>
    <w:rsid w:val="008C0A41"/>
    <w:rsid w:val="008C5373"/>
    <w:rsid w:val="008C5B4B"/>
    <w:rsid w:val="008C6B1A"/>
    <w:rsid w:val="008D139C"/>
    <w:rsid w:val="008D33E1"/>
    <w:rsid w:val="008E4115"/>
    <w:rsid w:val="008E4B52"/>
    <w:rsid w:val="008E7F10"/>
    <w:rsid w:val="008F2654"/>
    <w:rsid w:val="008F6980"/>
    <w:rsid w:val="008F6DBD"/>
    <w:rsid w:val="00900657"/>
    <w:rsid w:val="00900A70"/>
    <w:rsid w:val="00901872"/>
    <w:rsid w:val="00901D3C"/>
    <w:rsid w:val="00902464"/>
    <w:rsid w:val="009045EF"/>
    <w:rsid w:val="00906C19"/>
    <w:rsid w:val="0091223A"/>
    <w:rsid w:val="00916746"/>
    <w:rsid w:val="00920791"/>
    <w:rsid w:val="00921E8C"/>
    <w:rsid w:val="00925C55"/>
    <w:rsid w:val="00925F78"/>
    <w:rsid w:val="00927498"/>
    <w:rsid w:val="00932C5B"/>
    <w:rsid w:val="00932D4E"/>
    <w:rsid w:val="009360D0"/>
    <w:rsid w:val="00942D3B"/>
    <w:rsid w:val="00947ED0"/>
    <w:rsid w:val="009502BB"/>
    <w:rsid w:val="009511AB"/>
    <w:rsid w:val="009522E4"/>
    <w:rsid w:val="009545C2"/>
    <w:rsid w:val="009577A9"/>
    <w:rsid w:val="00960E1B"/>
    <w:rsid w:val="0096274F"/>
    <w:rsid w:val="00963512"/>
    <w:rsid w:val="009650CA"/>
    <w:rsid w:val="00965412"/>
    <w:rsid w:val="0097160C"/>
    <w:rsid w:val="00975068"/>
    <w:rsid w:val="0097582C"/>
    <w:rsid w:val="009768E5"/>
    <w:rsid w:val="009810D6"/>
    <w:rsid w:val="00983444"/>
    <w:rsid w:val="00983D80"/>
    <w:rsid w:val="0098428F"/>
    <w:rsid w:val="009842CD"/>
    <w:rsid w:val="00984E85"/>
    <w:rsid w:val="00984F15"/>
    <w:rsid w:val="00986379"/>
    <w:rsid w:val="0098653B"/>
    <w:rsid w:val="0098799F"/>
    <w:rsid w:val="00990D54"/>
    <w:rsid w:val="00991C9C"/>
    <w:rsid w:val="009928A9"/>
    <w:rsid w:val="00997A80"/>
    <w:rsid w:val="009A2100"/>
    <w:rsid w:val="009A22CA"/>
    <w:rsid w:val="009A328D"/>
    <w:rsid w:val="009A3973"/>
    <w:rsid w:val="009B22BA"/>
    <w:rsid w:val="009B2D78"/>
    <w:rsid w:val="009C0725"/>
    <w:rsid w:val="009C1F72"/>
    <w:rsid w:val="009C4706"/>
    <w:rsid w:val="009C70D0"/>
    <w:rsid w:val="009D21E6"/>
    <w:rsid w:val="009D2357"/>
    <w:rsid w:val="009D3EF3"/>
    <w:rsid w:val="009D48A0"/>
    <w:rsid w:val="009D5E34"/>
    <w:rsid w:val="009E4F6F"/>
    <w:rsid w:val="009F09CA"/>
    <w:rsid w:val="00A062A2"/>
    <w:rsid w:val="00A1276D"/>
    <w:rsid w:val="00A12961"/>
    <w:rsid w:val="00A13971"/>
    <w:rsid w:val="00A148A4"/>
    <w:rsid w:val="00A2104D"/>
    <w:rsid w:val="00A238BA"/>
    <w:rsid w:val="00A26765"/>
    <w:rsid w:val="00A27A20"/>
    <w:rsid w:val="00A324D6"/>
    <w:rsid w:val="00A34081"/>
    <w:rsid w:val="00A342C2"/>
    <w:rsid w:val="00A36313"/>
    <w:rsid w:val="00A366A4"/>
    <w:rsid w:val="00A36F4A"/>
    <w:rsid w:val="00A40B78"/>
    <w:rsid w:val="00A42179"/>
    <w:rsid w:val="00A433E8"/>
    <w:rsid w:val="00A434AC"/>
    <w:rsid w:val="00A43BDE"/>
    <w:rsid w:val="00A5047E"/>
    <w:rsid w:val="00A63520"/>
    <w:rsid w:val="00A6388B"/>
    <w:rsid w:val="00A645C5"/>
    <w:rsid w:val="00A648DA"/>
    <w:rsid w:val="00A65135"/>
    <w:rsid w:val="00A719CA"/>
    <w:rsid w:val="00A83A62"/>
    <w:rsid w:val="00A83CA1"/>
    <w:rsid w:val="00A85500"/>
    <w:rsid w:val="00A87DF2"/>
    <w:rsid w:val="00A919F4"/>
    <w:rsid w:val="00A9670B"/>
    <w:rsid w:val="00AA0266"/>
    <w:rsid w:val="00AA1F25"/>
    <w:rsid w:val="00AA1FB1"/>
    <w:rsid w:val="00AA33DF"/>
    <w:rsid w:val="00AA3486"/>
    <w:rsid w:val="00AA59AC"/>
    <w:rsid w:val="00AA5C07"/>
    <w:rsid w:val="00AA64C0"/>
    <w:rsid w:val="00AA7458"/>
    <w:rsid w:val="00AA781B"/>
    <w:rsid w:val="00AB2D50"/>
    <w:rsid w:val="00AB5264"/>
    <w:rsid w:val="00AB6CED"/>
    <w:rsid w:val="00AB7759"/>
    <w:rsid w:val="00AC42A1"/>
    <w:rsid w:val="00AC4CD2"/>
    <w:rsid w:val="00AC5FBA"/>
    <w:rsid w:val="00AD3A98"/>
    <w:rsid w:val="00AD58B1"/>
    <w:rsid w:val="00AD6316"/>
    <w:rsid w:val="00AD66EA"/>
    <w:rsid w:val="00AD7197"/>
    <w:rsid w:val="00AD7BB3"/>
    <w:rsid w:val="00AE7008"/>
    <w:rsid w:val="00AF0BBC"/>
    <w:rsid w:val="00B04898"/>
    <w:rsid w:val="00B07D0B"/>
    <w:rsid w:val="00B1293A"/>
    <w:rsid w:val="00B150DA"/>
    <w:rsid w:val="00B15E12"/>
    <w:rsid w:val="00B17750"/>
    <w:rsid w:val="00B20AD0"/>
    <w:rsid w:val="00B32F5D"/>
    <w:rsid w:val="00B35453"/>
    <w:rsid w:val="00B37B32"/>
    <w:rsid w:val="00B400F4"/>
    <w:rsid w:val="00B40ABB"/>
    <w:rsid w:val="00B4310B"/>
    <w:rsid w:val="00B45D17"/>
    <w:rsid w:val="00B5047D"/>
    <w:rsid w:val="00B563BD"/>
    <w:rsid w:val="00B600E6"/>
    <w:rsid w:val="00B60CDA"/>
    <w:rsid w:val="00B60F1A"/>
    <w:rsid w:val="00B62221"/>
    <w:rsid w:val="00B63EE0"/>
    <w:rsid w:val="00B6469B"/>
    <w:rsid w:val="00B70E65"/>
    <w:rsid w:val="00B726C5"/>
    <w:rsid w:val="00B81564"/>
    <w:rsid w:val="00B84049"/>
    <w:rsid w:val="00B8518F"/>
    <w:rsid w:val="00B948AA"/>
    <w:rsid w:val="00BA175D"/>
    <w:rsid w:val="00BA2F77"/>
    <w:rsid w:val="00BA31C9"/>
    <w:rsid w:val="00BA3DBC"/>
    <w:rsid w:val="00BA4420"/>
    <w:rsid w:val="00BA6707"/>
    <w:rsid w:val="00BA7C41"/>
    <w:rsid w:val="00BA7C99"/>
    <w:rsid w:val="00BB005F"/>
    <w:rsid w:val="00BB21FE"/>
    <w:rsid w:val="00BB735A"/>
    <w:rsid w:val="00BC44F6"/>
    <w:rsid w:val="00BC4DC6"/>
    <w:rsid w:val="00BC707E"/>
    <w:rsid w:val="00BC736F"/>
    <w:rsid w:val="00BD105E"/>
    <w:rsid w:val="00BD6F6A"/>
    <w:rsid w:val="00BD7327"/>
    <w:rsid w:val="00BE6BF9"/>
    <w:rsid w:val="00BF06C5"/>
    <w:rsid w:val="00BF1BA9"/>
    <w:rsid w:val="00BF2F1B"/>
    <w:rsid w:val="00BF34BA"/>
    <w:rsid w:val="00BF3E78"/>
    <w:rsid w:val="00BF4302"/>
    <w:rsid w:val="00BF5E2C"/>
    <w:rsid w:val="00C0214F"/>
    <w:rsid w:val="00C03ABF"/>
    <w:rsid w:val="00C04FC6"/>
    <w:rsid w:val="00C05F90"/>
    <w:rsid w:val="00C10806"/>
    <w:rsid w:val="00C13ABB"/>
    <w:rsid w:val="00C1425E"/>
    <w:rsid w:val="00C143A5"/>
    <w:rsid w:val="00C1473B"/>
    <w:rsid w:val="00C15136"/>
    <w:rsid w:val="00C17C5D"/>
    <w:rsid w:val="00C24236"/>
    <w:rsid w:val="00C24EA3"/>
    <w:rsid w:val="00C25EAB"/>
    <w:rsid w:val="00C36001"/>
    <w:rsid w:val="00C40E39"/>
    <w:rsid w:val="00C42FD6"/>
    <w:rsid w:val="00C4313E"/>
    <w:rsid w:val="00C450C6"/>
    <w:rsid w:val="00C46785"/>
    <w:rsid w:val="00C500B2"/>
    <w:rsid w:val="00C53543"/>
    <w:rsid w:val="00C5424F"/>
    <w:rsid w:val="00C549ED"/>
    <w:rsid w:val="00C60C25"/>
    <w:rsid w:val="00C636AE"/>
    <w:rsid w:val="00C64A97"/>
    <w:rsid w:val="00C64EB9"/>
    <w:rsid w:val="00C74BE1"/>
    <w:rsid w:val="00C76090"/>
    <w:rsid w:val="00C76F98"/>
    <w:rsid w:val="00C808D7"/>
    <w:rsid w:val="00C832A9"/>
    <w:rsid w:val="00C848A5"/>
    <w:rsid w:val="00C970D7"/>
    <w:rsid w:val="00CA3B58"/>
    <w:rsid w:val="00CA596A"/>
    <w:rsid w:val="00CA6AC1"/>
    <w:rsid w:val="00CA78BD"/>
    <w:rsid w:val="00CC6B10"/>
    <w:rsid w:val="00CD3B88"/>
    <w:rsid w:val="00CD4026"/>
    <w:rsid w:val="00CD6119"/>
    <w:rsid w:val="00CD79AE"/>
    <w:rsid w:val="00CE0D0A"/>
    <w:rsid w:val="00CE3760"/>
    <w:rsid w:val="00CE3E37"/>
    <w:rsid w:val="00CE5014"/>
    <w:rsid w:val="00CE50A0"/>
    <w:rsid w:val="00CE56BF"/>
    <w:rsid w:val="00CE5E38"/>
    <w:rsid w:val="00CF0E8E"/>
    <w:rsid w:val="00CF1034"/>
    <w:rsid w:val="00CF1C7D"/>
    <w:rsid w:val="00CF48C6"/>
    <w:rsid w:val="00D000A7"/>
    <w:rsid w:val="00D00B02"/>
    <w:rsid w:val="00D017E5"/>
    <w:rsid w:val="00D0196E"/>
    <w:rsid w:val="00D07772"/>
    <w:rsid w:val="00D07EDC"/>
    <w:rsid w:val="00D104B0"/>
    <w:rsid w:val="00D1315D"/>
    <w:rsid w:val="00D17506"/>
    <w:rsid w:val="00D205C9"/>
    <w:rsid w:val="00D26D83"/>
    <w:rsid w:val="00D27126"/>
    <w:rsid w:val="00D336F7"/>
    <w:rsid w:val="00D352D4"/>
    <w:rsid w:val="00D36F58"/>
    <w:rsid w:val="00D4539F"/>
    <w:rsid w:val="00D4573C"/>
    <w:rsid w:val="00D464BC"/>
    <w:rsid w:val="00D55BEB"/>
    <w:rsid w:val="00D60A04"/>
    <w:rsid w:val="00D61A76"/>
    <w:rsid w:val="00D65AAE"/>
    <w:rsid w:val="00D713CC"/>
    <w:rsid w:val="00D727F2"/>
    <w:rsid w:val="00D72FC3"/>
    <w:rsid w:val="00D77516"/>
    <w:rsid w:val="00D818CF"/>
    <w:rsid w:val="00D850F5"/>
    <w:rsid w:val="00D862C9"/>
    <w:rsid w:val="00D95243"/>
    <w:rsid w:val="00D97495"/>
    <w:rsid w:val="00DA161E"/>
    <w:rsid w:val="00DA3BAE"/>
    <w:rsid w:val="00DA43B6"/>
    <w:rsid w:val="00DA4FE5"/>
    <w:rsid w:val="00DA52C8"/>
    <w:rsid w:val="00DA77CE"/>
    <w:rsid w:val="00DA7AAC"/>
    <w:rsid w:val="00DB1A15"/>
    <w:rsid w:val="00DB2451"/>
    <w:rsid w:val="00DB2729"/>
    <w:rsid w:val="00DB3F96"/>
    <w:rsid w:val="00DC6ECD"/>
    <w:rsid w:val="00DC7906"/>
    <w:rsid w:val="00DD1012"/>
    <w:rsid w:val="00DD5311"/>
    <w:rsid w:val="00DD6295"/>
    <w:rsid w:val="00DD76F0"/>
    <w:rsid w:val="00DE05DF"/>
    <w:rsid w:val="00DE0BD7"/>
    <w:rsid w:val="00DE381E"/>
    <w:rsid w:val="00DF0ECB"/>
    <w:rsid w:val="00DF188C"/>
    <w:rsid w:val="00DF665C"/>
    <w:rsid w:val="00E006F5"/>
    <w:rsid w:val="00E00C15"/>
    <w:rsid w:val="00E02FF3"/>
    <w:rsid w:val="00E070A5"/>
    <w:rsid w:val="00E07C09"/>
    <w:rsid w:val="00E12463"/>
    <w:rsid w:val="00E12B58"/>
    <w:rsid w:val="00E13372"/>
    <w:rsid w:val="00E1575B"/>
    <w:rsid w:val="00E159F6"/>
    <w:rsid w:val="00E163B9"/>
    <w:rsid w:val="00E16F44"/>
    <w:rsid w:val="00E21C01"/>
    <w:rsid w:val="00E23496"/>
    <w:rsid w:val="00E23779"/>
    <w:rsid w:val="00E259E5"/>
    <w:rsid w:val="00E25D86"/>
    <w:rsid w:val="00E32C05"/>
    <w:rsid w:val="00E32EE9"/>
    <w:rsid w:val="00E35904"/>
    <w:rsid w:val="00E4289F"/>
    <w:rsid w:val="00E43B5C"/>
    <w:rsid w:val="00E44ADB"/>
    <w:rsid w:val="00E45410"/>
    <w:rsid w:val="00E506DD"/>
    <w:rsid w:val="00E513AC"/>
    <w:rsid w:val="00E5303D"/>
    <w:rsid w:val="00E54420"/>
    <w:rsid w:val="00E55CFB"/>
    <w:rsid w:val="00E5781A"/>
    <w:rsid w:val="00E607D5"/>
    <w:rsid w:val="00E62470"/>
    <w:rsid w:val="00E62CA1"/>
    <w:rsid w:val="00E64E6A"/>
    <w:rsid w:val="00E73D1B"/>
    <w:rsid w:val="00E763D5"/>
    <w:rsid w:val="00E818B5"/>
    <w:rsid w:val="00E82FB7"/>
    <w:rsid w:val="00E862FF"/>
    <w:rsid w:val="00E870E0"/>
    <w:rsid w:val="00EA1BB6"/>
    <w:rsid w:val="00EA7E06"/>
    <w:rsid w:val="00EB6692"/>
    <w:rsid w:val="00EB6B3C"/>
    <w:rsid w:val="00EC06E1"/>
    <w:rsid w:val="00EC3DE8"/>
    <w:rsid w:val="00EC3F25"/>
    <w:rsid w:val="00ED393B"/>
    <w:rsid w:val="00ED4DB5"/>
    <w:rsid w:val="00ED4EBD"/>
    <w:rsid w:val="00ED79F2"/>
    <w:rsid w:val="00EE1998"/>
    <w:rsid w:val="00EE2FD6"/>
    <w:rsid w:val="00EE4704"/>
    <w:rsid w:val="00EF074A"/>
    <w:rsid w:val="00EF2C89"/>
    <w:rsid w:val="00EF317A"/>
    <w:rsid w:val="00EF60E6"/>
    <w:rsid w:val="00EF7598"/>
    <w:rsid w:val="00F00BEC"/>
    <w:rsid w:val="00F01566"/>
    <w:rsid w:val="00F01853"/>
    <w:rsid w:val="00F039DF"/>
    <w:rsid w:val="00F04FBA"/>
    <w:rsid w:val="00F075D6"/>
    <w:rsid w:val="00F10EBC"/>
    <w:rsid w:val="00F111E1"/>
    <w:rsid w:val="00F13D2E"/>
    <w:rsid w:val="00F14B29"/>
    <w:rsid w:val="00F153CA"/>
    <w:rsid w:val="00F15DF0"/>
    <w:rsid w:val="00F1740C"/>
    <w:rsid w:val="00F23DE3"/>
    <w:rsid w:val="00F23E03"/>
    <w:rsid w:val="00F25B57"/>
    <w:rsid w:val="00F26436"/>
    <w:rsid w:val="00F32CF6"/>
    <w:rsid w:val="00F338B4"/>
    <w:rsid w:val="00F35D5F"/>
    <w:rsid w:val="00F36CF9"/>
    <w:rsid w:val="00F37480"/>
    <w:rsid w:val="00F37D3E"/>
    <w:rsid w:val="00F37DFB"/>
    <w:rsid w:val="00F40492"/>
    <w:rsid w:val="00F45616"/>
    <w:rsid w:val="00F47CF6"/>
    <w:rsid w:val="00F51937"/>
    <w:rsid w:val="00F51AF0"/>
    <w:rsid w:val="00F5543F"/>
    <w:rsid w:val="00F55DC6"/>
    <w:rsid w:val="00F63880"/>
    <w:rsid w:val="00F732B9"/>
    <w:rsid w:val="00F738B4"/>
    <w:rsid w:val="00F74294"/>
    <w:rsid w:val="00F761B6"/>
    <w:rsid w:val="00F8037E"/>
    <w:rsid w:val="00F80F77"/>
    <w:rsid w:val="00F8589A"/>
    <w:rsid w:val="00F91D1F"/>
    <w:rsid w:val="00F93A7E"/>
    <w:rsid w:val="00FA180E"/>
    <w:rsid w:val="00FA2C8C"/>
    <w:rsid w:val="00FA2CDF"/>
    <w:rsid w:val="00FA2D1F"/>
    <w:rsid w:val="00FA52D7"/>
    <w:rsid w:val="00FA7794"/>
    <w:rsid w:val="00FB08CA"/>
    <w:rsid w:val="00FB311E"/>
    <w:rsid w:val="00FB44D5"/>
    <w:rsid w:val="00FC0452"/>
    <w:rsid w:val="00FC35F4"/>
    <w:rsid w:val="00FC391F"/>
    <w:rsid w:val="00FD00CD"/>
    <w:rsid w:val="00FD1135"/>
    <w:rsid w:val="00FD4001"/>
    <w:rsid w:val="00FD7A4B"/>
    <w:rsid w:val="00FE086D"/>
    <w:rsid w:val="00FF32B2"/>
    <w:rsid w:val="00FF41E7"/>
    <w:rsid w:val="00FF4539"/>
    <w:rsid w:val="00FF5961"/>
    <w:rsid w:val="00FF74AD"/>
    <w:rsid w:val="00FF7E74"/>
    <w:rsid w:val="02DD22C9"/>
    <w:rsid w:val="036208AE"/>
    <w:rsid w:val="042A60FE"/>
    <w:rsid w:val="08A75300"/>
    <w:rsid w:val="093806A1"/>
    <w:rsid w:val="093C394F"/>
    <w:rsid w:val="0956247D"/>
    <w:rsid w:val="097356AA"/>
    <w:rsid w:val="098350DA"/>
    <w:rsid w:val="0ABB6C8F"/>
    <w:rsid w:val="0DD47955"/>
    <w:rsid w:val="12600917"/>
    <w:rsid w:val="165C0EE2"/>
    <w:rsid w:val="171F210A"/>
    <w:rsid w:val="1779082B"/>
    <w:rsid w:val="180F3CA3"/>
    <w:rsid w:val="19762565"/>
    <w:rsid w:val="1D620625"/>
    <w:rsid w:val="1FE326A0"/>
    <w:rsid w:val="203E7B55"/>
    <w:rsid w:val="22F82D38"/>
    <w:rsid w:val="28740FEB"/>
    <w:rsid w:val="298F1421"/>
    <w:rsid w:val="2A3648B5"/>
    <w:rsid w:val="2BE86B8C"/>
    <w:rsid w:val="2E237493"/>
    <w:rsid w:val="2F317F4C"/>
    <w:rsid w:val="2FC040E2"/>
    <w:rsid w:val="326A2A2B"/>
    <w:rsid w:val="351A4E53"/>
    <w:rsid w:val="3740742F"/>
    <w:rsid w:val="383C2D99"/>
    <w:rsid w:val="3BE854EC"/>
    <w:rsid w:val="3CBE5E4E"/>
    <w:rsid w:val="3E515BC2"/>
    <w:rsid w:val="3EC55271"/>
    <w:rsid w:val="3FDA356A"/>
    <w:rsid w:val="3FED36D9"/>
    <w:rsid w:val="4181615C"/>
    <w:rsid w:val="423C589B"/>
    <w:rsid w:val="43FE561E"/>
    <w:rsid w:val="44C36593"/>
    <w:rsid w:val="451E467C"/>
    <w:rsid w:val="459024F9"/>
    <w:rsid w:val="45D25D77"/>
    <w:rsid w:val="4AE178D7"/>
    <w:rsid w:val="4C402697"/>
    <w:rsid w:val="4DFA03E0"/>
    <w:rsid w:val="5277467D"/>
    <w:rsid w:val="52B0756C"/>
    <w:rsid w:val="53231681"/>
    <w:rsid w:val="559F4616"/>
    <w:rsid w:val="56381138"/>
    <w:rsid w:val="57FB5D50"/>
    <w:rsid w:val="584916C7"/>
    <w:rsid w:val="58922210"/>
    <w:rsid w:val="5A2D5978"/>
    <w:rsid w:val="5BA01D5A"/>
    <w:rsid w:val="5DA8204C"/>
    <w:rsid w:val="6300421A"/>
    <w:rsid w:val="63923ACC"/>
    <w:rsid w:val="69AD0D8A"/>
    <w:rsid w:val="6CDE73AA"/>
    <w:rsid w:val="6D1A0593"/>
    <w:rsid w:val="75227ABC"/>
    <w:rsid w:val="758E4AB4"/>
    <w:rsid w:val="77235BC9"/>
    <w:rsid w:val="7C5C650E"/>
    <w:rsid w:val="7EDF6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4">
    <w:name w:val="heading 1"/>
    <w:next w:val="1"/>
    <w:link w:val="76"/>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paragraph" w:styleId="5">
    <w:name w:val="heading 2"/>
    <w:next w:val="1"/>
    <w:link w:val="77"/>
    <w:qFormat/>
    <w:uiPriority w:val="0"/>
    <w:pPr>
      <w:snapToGrid w:val="0"/>
      <w:spacing w:line="360" w:lineRule="auto"/>
      <w:jc w:val="center"/>
      <w:outlineLvl w:val="1"/>
    </w:pPr>
    <w:rPr>
      <w:rFonts w:ascii="宋体" w:hAnsi="Times New Roman" w:eastAsia="宋体" w:cs="Times New Roman"/>
      <w:b/>
      <w:kern w:val="2"/>
      <w:sz w:val="28"/>
      <w:lang w:val="en-US" w:eastAsia="zh-CN" w:bidi="ar-SA"/>
    </w:rPr>
  </w:style>
  <w:style w:type="paragraph" w:styleId="6">
    <w:name w:val="heading 3"/>
    <w:next w:val="1"/>
    <w:link w:val="78"/>
    <w:qFormat/>
    <w:uiPriority w:val="0"/>
    <w:pPr>
      <w:outlineLvl w:val="2"/>
    </w:pPr>
    <w:rPr>
      <w:rFonts w:ascii="宋体" w:hAnsi="Times New Roman" w:eastAsia="宋体" w:cs="Times New Roman"/>
      <w:b/>
      <w:kern w:val="2"/>
      <w:sz w:val="24"/>
      <w:lang w:val="en-US" w:eastAsia="zh-CN" w:bidi="ar-SA"/>
    </w:rPr>
  </w:style>
  <w:style w:type="paragraph" w:styleId="7">
    <w:name w:val="heading 4"/>
    <w:basedOn w:val="1"/>
    <w:next w:val="1"/>
    <w:link w:val="79"/>
    <w:qFormat/>
    <w:uiPriority w:val="0"/>
    <w:pPr>
      <w:keepNext/>
      <w:keepLines/>
      <w:spacing w:before="280" w:after="290" w:line="372" w:lineRule="auto"/>
      <w:outlineLvl w:val="3"/>
    </w:pPr>
    <w:rPr>
      <w:rFonts w:ascii="Arial" w:hAnsi="Arial" w:eastAsia="黑体"/>
      <w:b/>
      <w:bCs/>
      <w:sz w:val="28"/>
      <w:szCs w:val="28"/>
    </w:rPr>
  </w:style>
  <w:style w:type="paragraph" w:styleId="8">
    <w:name w:val="heading 5"/>
    <w:basedOn w:val="1"/>
    <w:next w:val="9"/>
    <w:link w:val="80"/>
    <w:qFormat/>
    <w:uiPriority w:val="0"/>
    <w:pPr>
      <w:keepNext/>
      <w:keepLines/>
      <w:adjustRightInd w:val="0"/>
      <w:snapToGrid w:val="0"/>
      <w:spacing w:before="120" w:after="60"/>
      <w:ind w:left="284" w:hanging="284"/>
      <w:textAlignment w:val="baseline"/>
      <w:outlineLvl w:val="4"/>
    </w:pPr>
    <w:rPr>
      <w:rFonts w:ascii="Arial" w:hAnsi="Arial" w:eastAsia="楷体_GB2312"/>
      <w:b/>
      <w:kern w:val="0"/>
    </w:rPr>
  </w:style>
  <w:style w:type="paragraph" w:styleId="10">
    <w:name w:val="heading 6"/>
    <w:basedOn w:val="1"/>
    <w:next w:val="1"/>
    <w:link w:val="81"/>
    <w:qFormat/>
    <w:uiPriority w:val="0"/>
    <w:pPr>
      <w:keepNext/>
      <w:keepLines/>
      <w:tabs>
        <w:tab w:val="left" w:pos="1152"/>
      </w:tabs>
      <w:spacing w:before="240" w:after="64" w:line="317" w:lineRule="auto"/>
      <w:ind w:left="1134" w:hanging="1134"/>
      <w:outlineLvl w:val="5"/>
    </w:pPr>
    <w:rPr>
      <w:rFonts w:ascii="Arial" w:hAnsi="Arial" w:eastAsia="黑体"/>
      <w:b/>
      <w:szCs w:val="20"/>
    </w:rPr>
  </w:style>
  <w:style w:type="paragraph" w:styleId="11">
    <w:name w:val="heading 7"/>
    <w:basedOn w:val="1"/>
    <w:next w:val="1"/>
    <w:link w:val="82"/>
    <w:qFormat/>
    <w:uiPriority w:val="0"/>
    <w:pPr>
      <w:keepNext/>
      <w:keepLines/>
      <w:tabs>
        <w:tab w:val="left" w:pos="1296"/>
      </w:tabs>
      <w:spacing w:before="240" w:after="64" w:line="317" w:lineRule="auto"/>
      <w:ind w:left="1276" w:hanging="1276"/>
      <w:outlineLvl w:val="6"/>
    </w:pPr>
    <w:rPr>
      <w:b/>
      <w:szCs w:val="20"/>
    </w:rPr>
  </w:style>
  <w:style w:type="paragraph" w:styleId="12">
    <w:name w:val="heading 8"/>
    <w:basedOn w:val="1"/>
    <w:next w:val="1"/>
    <w:link w:val="83"/>
    <w:qFormat/>
    <w:uiPriority w:val="0"/>
    <w:pPr>
      <w:keepNext/>
      <w:keepLines/>
      <w:tabs>
        <w:tab w:val="left" w:pos="1440"/>
      </w:tabs>
      <w:spacing w:before="240" w:after="64" w:line="317" w:lineRule="auto"/>
      <w:ind w:left="1418" w:hanging="1418"/>
      <w:outlineLvl w:val="7"/>
    </w:pPr>
    <w:rPr>
      <w:rFonts w:ascii="Arial" w:hAnsi="Arial" w:eastAsia="黑体"/>
      <w:szCs w:val="20"/>
    </w:rPr>
  </w:style>
  <w:style w:type="paragraph" w:styleId="13">
    <w:name w:val="heading 9"/>
    <w:basedOn w:val="1"/>
    <w:next w:val="1"/>
    <w:link w:val="84"/>
    <w:qFormat/>
    <w:uiPriority w:val="0"/>
    <w:pPr>
      <w:keepNext/>
      <w:keepLines/>
      <w:tabs>
        <w:tab w:val="left" w:pos="1584"/>
      </w:tabs>
      <w:spacing w:before="240" w:after="64" w:line="317" w:lineRule="auto"/>
      <w:ind w:left="1559" w:hanging="1559"/>
      <w:outlineLvl w:val="8"/>
    </w:pPr>
    <w:rPr>
      <w:rFonts w:ascii="Arial" w:hAnsi="Arial" w:eastAsia="黑体"/>
      <w:szCs w:val="20"/>
    </w:rPr>
  </w:style>
  <w:style w:type="character" w:default="1" w:styleId="66">
    <w:name w:val="Default Paragraph Font"/>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5"/>
    <w:qFormat/>
    <w:uiPriority w:val="0"/>
    <w:pPr>
      <w:spacing w:after="120"/>
    </w:pPr>
    <w:rPr>
      <w:sz w:val="21"/>
    </w:rPr>
  </w:style>
  <w:style w:type="paragraph" w:customStyle="1" w:styleId="3">
    <w:name w:val="纯文本1"/>
    <w:basedOn w:val="1"/>
    <w:qFormat/>
    <w:uiPriority w:val="0"/>
    <w:rPr>
      <w:rFonts w:ascii="宋体" w:hAnsi="Courier New"/>
      <w:szCs w:val="21"/>
    </w:rPr>
  </w:style>
  <w:style w:type="paragraph" w:customStyle="1" w:styleId="9">
    <w:name w:val="Text"/>
    <w:qFormat/>
    <w:uiPriority w:val="0"/>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styleId="14">
    <w:name w:val="List 3"/>
    <w:basedOn w:val="1"/>
    <w:qFormat/>
    <w:uiPriority w:val="0"/>
    <w:pPr>
      <w:adjustRightInd w:val="0"/>
      <w:snapToGrid w:val="0"/>
      <w:spacing w:line="360" w:lineRule="auto"/>
      <w:ind w:left="100" w:leftChars="400" w:hanging="200" w:hangingChars="200"/>
    </w:pPr>
    <w:rPr>
      <w:szCs w:val="20"/>
    </w:rPr>
  </w:style>
  <w:style w:type="paragraph" w:styleId="15">
    <w:name w:val="toc 7"/>
    <w:basedOn w:val="1"/>
    <w:next w:val="1"/>
    <w:qFormat/>
    <w:uiPriority w:val="0"/>
    <w:pPr>
      <w:ind w:left="1440"/>
      <w:jc w:val="left"/>
    </w:pPr>
    <w:rPr>
      <w:rFonts w:ascii="Calibri" w:hAnsi="Calibri"/>
      <w:sz w:val="18"/>
      <w:szCs w:val="18"/>
    </w:rPr>
  </w:style>
  <w:style w:type="paragraph" w:styleId="16">
    <w:name w:val="Note Heading"/>
    <w:basedOn w:val="1"/>
    <w:next w:val="1"/>
    <w:link w:val="85"/>
    <w:qFormat/>
    <w:uiPriority w:val="0"/>
    <w:pPr>
      <w:spacing w:line="240" w:lineRule="auto"/>
      <w:ind w:firstLine="0" w:firstLineChars="0"/>
      <w:jc w:val="center"/>
    </w:pPr>
    <w:rPr>
      <w:sz w:val="21"/>
    </w:rPr>
  </w:style>
  <w:style w:type="paragraph" w:styleId="17">
    <w:name w:val="List Bullet 4"/>
    <w:basedOn w:val="1"/>
    <w:qFormat/>
    <w:uiPriority w:val="0"/>
    <w:pPr>
      <w:widowControl/>
      <w:tabs>
        <w:tab w:val="left" w:pos="1134"/>
      </w:tabs>
      <w:adjustRightInd w:val="0"/>
      <w:snapToGrid w:val="0"/>
      <w:spacing w:before="120" w:line="280" w:lineRule="atLeast"/>
      <w:ind w:left="1418" w:hanging="284" w:firstLineChars="0"/>
      <w:jc w:val="left"/>
    </w:pPr>
    <w:rPr>
      <w:rFonts w:ascii="宋体"/>
      <w:kern w:val="0"/>
      <w:sz w:val="22"/>
      <w:szCs w:val="20"/>
    </w:rPr>
  </w:style>
  <w:style w:type="paragraph" w:styleId="18">
    <w:name w:val="Normal Indent"/>
    <w:basedOn w:val="1"/>
    <w:link w:val="86"/>
    <w:qFormat/>
    <w:uiPriority w:val="0"/>
    <w:pPr>
      <w:ind w:firstLine="420"/>
    </w:pPr>
    <w:rPr>
      <w:sz w:val="21"/>
    </w:rPr>
  </w:style>
  <w:style w:type="paragraph" w:styleId="19">
    <w:name w:val="caption"/>
    <w:basedOn w:val="1"/>
    <w:next w:val="1"/>
    <w:link w:val="87"/>
    <w:qFormat/>
    <w:uiPriority w:val="0"/>
    <w:pPr>
      <w:adjustRightInd w:val="0"/>
      <w:snapToGrid w:val="0"/>
      <w:spacing w:before="152" w:after="160" w:line="312" w:lineRule="atLeast"/>
      <w:jc w:val="center"/>
      <w:textAlignment w:val="baseline"/>
    </w:pPr>
    <w:rPr>
      <w:rFonts w:ascii="Palatino Linotype" w:hAnsi="Palatino Linotype" w:eastAsia="楷体_GB2312"/>
      <w:b/>
      <w:kern w:val="0"/>
      <w:szCs w:val="21"/>
    </w:rPr>
  </w:style>
  <w:style w:type="paragraph" w:styleId="20">
    <w:name w:val="List Bullet"/>
    <w:basedOn w:val="1"/>
    <w:qFormat/>
    <w:uiPriority w:val="0"/>
    <w:pPr>
      <w:autoSpaceDE w:val="0"/>
      <w:autoSpaceDN w:val="0"/>
      <w:adjustRightInd w:val="0"/>
      <w:spacing w:line="240" w:lineRule="auto"/>
      <w:ind w:left="510" w:leftChars="150" w:firstLine="0" w:firstLineChars="0"/>
      <w:jc w:val="left"/>
    </w:pPr>
    <w:rPr>
      <w:rFonts w:ascii="宋体"/>
      <w:kern w:val="0"/>
    </w:rPr>
  </w:style>
  <w:style w:type="paragraph" w:styleId="21">
    <w:name w:val="Document Map"/>
    <w:basedOn w:val="1"/>
    <w:link w:val="88"/>
    <w:qFormat/>
    <w:uiPriority w:val="0"/>
    <w:pPr>
      <w:shd w:val="clear" w:color="auto" w:fill="000080"/>
    </w:pPr>
    <w:rPr>
      <w:sz w:val="21"/>
      <w:shd w:val="clear" w:color="auto" w:fill="000080"/>
    </w:rPr>
  </w:style>
  <w:style w:type="paragraph" w:styleId="22">
    <w:name w:val="annotation text"/>
    <w:basedOn w:val="1"/>
    <w:link w:val="89"/>
    <w:qFormat/>
    <w:uiPriority w:val="0"/>
    <w:pPr>
      <w:jc w:val="left"/>
    </w:pPr>
    <w:rPr>
      <w:sz w:val="21"/>
    </w:rPr>
  </w:style>
  <w:style w:type="paragraph" w:styleId="23">
    <w:name w:val="Body Text 3"/>
    <w:basedOn w:val="1"/>
    <w:link w:val="90"/>
    <w:qFormat/>
    <w:uiPriority w:val="0"/>
    <w:pPr>
      <w:jc w:val="center"/>
    </w:pPr>
    <w:rPr>
      <w:sz w:val="18"/>
      <w:szCs w:val="20"/>
    </w:rPr>
  </w:style>
  <w:style w:type="paragraph" w:styleId="24">
    <w:name w:val="List Bullet 3"/>
    <w:basedOn w:val="1"/>
    <w:qFormat/>
    <w:uiPriority w:val="0"/>
    <w:pPr>
      <w:tabs>
        <w:tab w:val="left" w:pos="1200"/>
      </w:tabs>
      <w:adjustRightInd w:val="0"/>
      <w:snapToGrid w:val="0"/>
      <w:spacing w:line="360" w:lineRule="auto"/>
      <w:ind w:left="360" w:firstLine="0" w:firstLineChars="0"/>
    </w:pPr>
    <w:rPr>
      <w:szCs w:val="20"/>
    </w:rPr>
  </w:style>
  <w:style w:type="paragraph" w:styleId="25">
    <w:name w:val="Body Text Indent"/>
    <w:basedOn w:val="1"/>
    <w:link w:val="91"/>
    <w:qFormat/>
    <w:uiPriority w:val="99"/>
    <w:pPr>
      <w:tabs>
        <w:tab w:val="left" w:pos="2160"/>
      </w:tabs>
      <w:ind w:left="2159" w:leftChars="1028" w:firstLine="1"/>
    </w:pPr>
    <w:rPr>
      <w:rFonts w:ascii="宋体" w:hAnsi="宋体"/>
      <w:sz w:val="21"/>
      <w:szCs w:val="21"/>
    </w:rPr>
  </w:style>
  <w:style w:type="paragraph" w:styleId="26">
    <w:name w:val="List Number 3"/>
    <w:basedOn w:val="1"/>
    <w:qFormat/>
    <w:uiPriority w:val="0"/>
    <w:pPr>
      <w:tabs>
        <w:tab w:val="left" w:pos="840"/>
      </w:tabs>
      <w:adjustRightInd w:val="0"/>
      <w:snapToGrid w:val="0"/>
      <w:spacing w:line="360" w:lineRule="auto"/>
      <w:ind w:left="360" w:firstLine="0" w:firstLineChars="0"/>
    </w:pPr>
  </w:style>
  <w:style w:type="paragraph" w:styleId="27">
    <w:name w:val="List 2"/>
    <w:basedOn w:val="1"/>
    <w:qFormat/>
    <w:uiPriority w:val="0"/>
    <w:pPr>
      <w:ind w:left="100" w:leftChars="200" w:hanging="200" w:hangingChars="200"/>
    </w:pPr>
    <w:rPr>
      <w:szCs w:val="20"/>
    </w:rPr>
  </w:style>
  <w:style w:type="paragraph" w:styleId="28">
    <w:name w:val="List Continue"/>
    <w:basedOn w:val="1"/>
    <w:qFormat/>
    <w:uiPriority w:val="0"/>
    <w:pPr>
      <w:adjustRightInd w:val="0"/>
      <w:snapToGrid w:val="0"/>
      <w:spacing w:after="120" w:line="360" w:lineRule="auto"/>
      <w:ind w:left="420" w:leftChars="200" w:firstLine="0" w:firstLineChars="0"/>
    </w:pPr>
    <w:rPr>
      <w:szCs w:val="20"/>
    </w:rPr>
  </w:style>
  <w:style w:type="paragraph" w:styleId="29">
    <w:name w:val="List Bullet 2"/>
    <w:basedOn w:val="1"/>
    <w:qFormat/>
    <w:uiPriority w:val="0"/>
    <w:pPr>
      <w:tabs>
        <w:tab w:val="left" w:pos="780"/>
      </w:tabs>
      <w:adjustRightInd w:val="0"/>
      <w:snapToGrid w:val="0"/>
      <w:spacing w:line="360" w:lineRule="auto"/>
      <w:ind w:left="360" w:firstLine="0" w:firstLineChars="0"/>
    </w:pPr>
    <w:rPr>
      <w:szCs w:val="20"/>
    </w:rPr>
  </w:style>
  <w:style w:type="paragraph" w:styleId="30">
    <w:name w:val="toc 5"/>
    <w:basedOn w:val="1"/>
    <w:next w:val="1"/>
    <w:qFormat/>
    <w:uiPriority w:val="0"/>
    <w:pPr>
      <w:ind w:left="960"/>
      <w:jc w:val="left"/>
    </w:pPr>
    <w:rPr>
      <w:rFonts w:ascii="Calibri" w:hAnsi="Calibri"/>
      <w:sz w:val="18"/>
      <w:szCs w:val="18"/>
    </w:rPr>
  </w:style>
  <w:style w:type="paragraph" w:styleId="31">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32">
    <w:name w:val="Plain Text"/>
    <w:basedOn w:val="1"/>
    <w:link w:val="92"/>
    <w:qFormat/>
    <w:uiPriority w:val="0"/>
    <w:rPr>
      <w:rFonts w:ascii="宋体" w:hAnsi="Courier New"/>
      <w:szCs w:val="20"/>
    </w:rPr>
  </w:style>
  <w:style w:type="paragraph" w:styleId="33">
    <w:name w:val="toc 8"/>
    <w:basedOn w:val="1"/>
    <w:next w:val="1"/>
    <w:qFormat/>
    <w:uiPriority w:val="0"/>
    <w:pPr>
      <w:ind w:left="1680"/>
      <w:jc w:val="left"/>
    </w:pPr>
    <w:rPr>
      <w:rFonts w:ascii="Calibri" w:hAnsi="Calibri"/>
      <w:sz w:val="18"/>
      <w:szCs w:val="18"/>
    </w:rPr>
  </w:style>
  <w:style w:type="paragraph" w:styleId="34">
    <w:name w:val="Date"/>
    <w:basedOn w:val="1"/>
    <w:next w:val="1"/>
    <w:link w:val="93"/>
    <w:qFormat/>
    <w:uiPriority w:val="0"/>
    <w:rPr>
      <w:rFonts w:ascii="宋体"/>
      <w:szCs w:val="20"/>
    </w:rPr>
  </w:style>
  <w:style w:type="paragraph" w:styleId="35">
    <w:name w:val="Body Text Indent 2"/>
    <w:basedOn w:val="1"/>
    <w:link w:val="94"/>
    <w:qFormat/>
    <w:uiPriority w:val="0"/>
    <w:pPr>
      <w:spacing w:after="120" w:line="480" w:lineRule="auto"/>
      <w:ind w:left="420" w:leftChars="200"/>
    </w:pPr>
    <w:rPr>
      <w:sz w:val="21"/>
      <w:szCs w:val="20"/>
    </w:rPr>
  </w:style>
  <w:style w:type="paragraph" w:styleId="36">
    <w:name w:val="endnote text"/>
    <w:basedOn w:val="1"/>
    <w:link w:val="95"/>
    <w:qFormat/>
    <w:uiPriority w:val="0"/>
    <w:pPr>
      <w:snapToGrid w:val="0"/>
      <w:spacing w:line="240" w:lineRule="auto"/>
      <w:ind w:firstLine="0" w:firstLineChars="0"/>
      <w:jc w:val="left"/>
    </w:pPr>
    <w:rPr>
      <w:sz w:val="21"/>
    </w:rPr>
  </w:style>
  <w:style w:type="paragraph" w:styleId="37">
    <w:name w:val="Balloon Text"/>
    <w:basedOn w:val="1"/>
    <w:link w:val="96"/>
    <w:qFormat/>
    <w:uiPriority w:val="0"/>
    <w:rPr>
      <w:sz w:val="18"/>
      <w:szCs w:val="18"/>
    </w:rPr>
  </w:style>
  <w:style w:type="paragraph" w:styleId="38">
    <w:name w:val="footer"/>
    <w:basedOn w:val="1"/>
    <w:link w:val="97"/>
    <w:qFormat/>
    <w:uiPriority w:val="0"/>
    <w:pPr>
      <w:tabs>
        <w:tab w:val="center" w:pos="4153"/>
        <w:tab w:val="right" w:pos="8306"/>
      </w:tabs>
      <w:snapToGrid w:val="0"/>
      <w:jc w:val="left"/>
    </w:pPr>
    <w:rPr>
      <w:sz w:val="18"/>
      <w:szCs w:val="20"/>
    </w:rPr>
  </w:style>
  <w:style w:type="paragraph" w:styleId="39">
    <w:name w:val="header"/>
    <w:basedOn w:val="1"/>
    <w:link w:val="98"/>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39"/>
    <w:pPr>
      <w:spacing w:before="120" w:after="120"/>
      <w:jc w:val="left"/>
    </w:pPr>
    <w:rPr>
      <w:rFonts w:ascii="Calibri" w:hAnsi="Calibri"/>
      <w:b/>
      <w:bCs/>
      <w:caps/>
      <w:sz w:val="20"/>
      <w:szCs w:val="20"/>
    </w:rPr>
  </w:style>
  <w:style w:type="paragraph" w:styleId="41">
    <w:name w:val="List Continue 4"/>
    <w:basedOn w:val="1"/>
    <w:qFormat/>
    <w:uiPriority w:val="0"/>
    <w:pPr>
      <w:adjustRightInd w:val="0"/>
      <w:snapToGrid w:val="0"/>
      <w:spacing w:after="120" w:line="360" w:lineRule="auto"/>
      <w:ind w:left="1680" w:leftChars="800" w:firstLine="0" w:firstLineChars="0"/>
    </w:pPr>
    <w:rPr>
      <w:szCs w:val="20"/>
    </w:rPr>
  </w:style>
  <w:style w:type="paragraph" w:styleId="42">
    <w:name w:val="toc 4"/>
    <w:basedOn w:val="1"/>
    <w:next w:val="1"/>
    <w:qFormat/>
    <w:uiPriority w:val="0"/>
    <w:pPr>
      <w:ind w:left="720"/>
      <w:jc w:val="left"/>
    </w:pPr>
    <w:rPr>
      <w:rFonts w:ascii="Calibri" w:hAnsi="Calibri"/>
      <w:sz w:val="18"/>
      <w:szCs w:val="18"/>
    </w:rPr>
  </w:style>
  <w:style w:type="paragraph" w:styleId="43">
    <w:name w:val="index heading"/>
    <w:basedOn w:val="1"/>
    <w:next w:val="44"/>
    <w:qFormat/>
    <w:uiPriority w:val="0"/>
    <w:pPr>
      <w:spacing w:line="240" w:lineRule="auto"/>
      <w:ind w:firstLine="0" w:firstLineChars="0"/>
    </w:pPr>
    <w:rPr>
      <w:sz w:val="21"/>
      <w:szCs w:val="20"/>
    </w:rPr>
  </w:style>
  <w:style w:type="paragraph" w:styleId="44">
    <w:name w:val="index 1"/>
    <w:basedOn w:val="1"/>
    <w:next w:val="1"/>
    <w:qFormat/>
    <w:uiPriority w:val="0"/>
    <w:rPr>
      <w:szCs w:val="20"/>
    </w:rPr>
  </w:style>
  <w:style w:type="paragraph" w:styleId="45">
    <w:name w:val="Subtitle"/>
    <w:basedOn w:val="1"/>
    <w:next w:val="1"/>
    <w:link w:val="99"/>
    <w:qFormat/>
    <w:uiPriority w:val="0"/>
    <w:pPr>
      <w:spacing w:before="240" w:after="60" w:line="312" w:lineRule="auto"/>
      <w:jc w:val="center"/>
      <w:outlineLvl w:val="1"/>
    </w:pPr>
    <w:rPr>
      <w:rFonts w:ascii="Cambria" w:hAnsi="Cambria"/>
      <w:b/>
      <w:bCs/>
      <w:kern w:val="28"/>
      <w:sz w:val="32"/>
      <w:szCs w:val="32"/>
    </w:rPr>
  </w:style>
  <w:style w:type="paragraph" w:styleId="46">
    <w:name w:val="List"/>
    <w:basedOn w:val="1"/>
    <w:qFormat/>
    <w:uiPriority w:val="0"/>
    <w:pPr>
      <w:spacing w:line="240" w:lineRule="auto"/>
      <w:ind w:left="200" w:hanging="200" w:hangingChars="200"/>
    </w:pPr>
    <w:rPr>
      <w:sz w:val="21"/>
      <w:szCs w:val="20"/>
    </w:rPr>
  </w:style>
  <w:style w:type="paragraph" w:styleId="47">
    <w:name w:val="footnote text"/>
    <w:basedOn w:val="1"/>
    <w:link w:val="100"/>
    <w:qFormat/>
    <w:uiPriority w:val="0"/>
    <w:pPr>
      <w:spacing w:line="360" w:lineRule="auto"/>
      <w:ind w:firstLine="0" w:firstLineChars="0"/>
    </w:pPr>
    <w:rPr>
      <w:sz w:val="18"/>
    </w:rPr>
  </w:style>
  <w:style w:type="paragraph" w:styleId="48">
    <w:name w:val="toc 6"/>
    <w:basedOn w:val="1"/>
    <w:next w:val="1"/>
    <w:qFormat/>
    <w:uiPriority w:val="0"/>
    <w:pPr>
      <w:ind w:left="1200"/>
      <w:jc w:val="left"/>
    </w:pPr>
    <w:rPr>
      <w:rFonts w:ascii="Calibri" w:hAnsi="Calibri"/>
      <w:sz w:val="18"/>
      <w:szCs w:val="18"/>
    </w:rPr>
  </w:style>
  <w:style w:type="paragraph" w:styleId="49">
    <w:name w:val="List 5"/>
    <w:basedOn w:val="1"/>
    <w:qFormat/>
    <w:uiPriority w:val="0"/>
    <w:pPr>
      <w:adjustRightInd w:val="0"/>
      <w:snapToGrid w:val="0"/>
      <w:spacing w:line="360" w:lineRule="auto"/>
      <w:ind w:left="100" w:leftChars="800" w:hanging="200" w:hangingChars="200"/>
    </w:pPr>
    <w:rPr>
      <w:szCs w:val="20"/>
    </w:rPr>
  </w:style>
  <w:style w:type="paragraph" w:styleId="50">
    <w:name w:val="Body Text Indent 3"/>
    <w:basedOn w:val="1"/>
    <w:link w:val="101"/>
    <w:qFormat/>
    <w:uiPriority w:val="0"/>
    <w:pPr>
      <w:spacing w:after="120"/>
      <w:ind w:left="420" w:leftChars="200"/>
    </w:pPr>
    <w:rPr>
      <w:sz w:val="16"/>
      <w:szCs w:val="20"/>
    </w:rPr>
  </w:style>
  <w:style w:type="paragraph" w:styleId="51">
    <w:name w:val="table of figures"/>
    <w:basedOn w:val="1"/>
    <w:next w:val="1"/>
    <w:qFormat/>
    <w:uiPriority w:val="0"/>
    <w:pPr>
      <w:tabs>
        <w:tab w:val="right" w:leader="dot" w:pos="8640"/>
      </w:tabs>
      <w:spacing w:line="360" w:lineRule="auto"/>
      <w:ind w:left="400" w:hanging="400" w:firstLineChars="0"/>
    </w:pPr>
  </w:style>
  <w:style w:type="paragraph" w:styleId="52">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53">
    <w:name w:val="toc 9"/>
    <w:basedOn w:val="1"/>
    <w:next w:val="1"/>
    <w:qFormat/>
    <w:uiPriority w:val="0"/>
    <w:pPr>
      <w:ind w:left="1920"/>
      <w:jc w:val="left"/>
    </w:pPr>
    <w:rPr>
      <w:rFonts w:ascii="Calibri" w:hAnsi="Calibri"/>
      <w:sz w:val="18"/>
      <w:szCs w:val="18"/>
    </w:rPr>
  </w:style>
  <w:style w:type="paragraph" w:styleId="54">
    <w:name w:val="Body Text 2"/>
    <w:basedOn w:val="1"/>
    <w:link w:val="102"/>
    <w:qFormat/>
    <w:uiPriority w:val="0"/>
    <w:pPr>
      <w:spacing w:after="120" w:line="480" w:lineRule="auto"/>
    </w:pPr>
    <w:rPr>
      <w:sz w:val="21"/>
      <w:szCs w:val="20"/>
    </w:rPr>
  </w:style>
  <w:style w:type="paragraph" w:styleId="55">
    <w:name w:val="List 4"/>
    <w:basedOn w:val="1"/>
    <w:qFormat/>
    <w:uiPriority w:val="0"/>
    <w:pPr>
      <w:adjustRightInd w:val="0"/>
      <w:snapToGrid w:val="0"/>
      <w:spacing w:line="360" w:lineRule="auto"/>
      <w:ind w:left="100" w:leftChars="600" w:hanging="200" w:hangingChars="200"/>
    </w:pPr>
    <w:rPr>
      <w:szCs w:val="20"/>
    </w:rPr>
  </w:style>
  <w:style w:type="paragraph" w:styleId="56">
    <w:name w:val="List Continue 2"/>
    <w:basedOn w:val="1"/>
    <w:qFormat/>
    <w:uiPriority w:val="0"/>
    <w:pPr>
      <w:adjustRightInd w:val="0"/>
      <w:snapToGrid w:val="0"/>
      <w:spacing w:after="120" w:line="360" w:lineRule="auto"/>
      <w:ind w:left="840" w:leftChars="400" w:firstLine="0" w:firstLineChars="0"/>
    </w:pPr>
    <w:rPr>
      <w:szCs w:val="20"/>
    </w:rPr>
  </w:style>
  <w:style w:type="paragraph" w:styleId="57">
    <w:name w:val="HTML Preformatted"/>
    <w:basedOn w:val="1"/>
    <w:link w:val="1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58">
    <w:name w:val="Normal (Web)"/>
    <w:basedOn w:val="1"/>
    <w:qFormat/>
    <w:uiPriority w:val="0"/>
  </w:style>
  <w:style w:type="paragraph" w:styleId="59">
    <w:name w:val="List Continue 3"/>
    <w:basedOn w:val="1"/>
    <w:qFormat/>
    <w:uiPriority w:val="0"/>
    <w:pPr>
      <w:spacing w:after="120"/>
      <w:ind w:left="1260" w:leftChars="600"/>
    </w:pPr>
    <w:rPr>
      <w:szCs w:val="20"/>
    </w:rPr>
  </w:style>
  <w:style w:type="paragraph" w:styleId="60">
    <w:name w:val="Title"/>
    <w:basedOn w:val="1"/>
    <w:link w:val="104"/>
    <w:qFormat/>
    <w:uiPriority w:val="0"/>
    <w:pPr>
      <w:widowControl/>
      <w:spacing w:after="240" w:line="360" w:lineRule="auto"/>
      <w:jc w:val="center"/>
    </w:pPr>
    <w:rPr>
      <w:rFonts w:ascii="Arial" w:hAnsi="Arial"/>
      <w:b/>
      <w:smallCaps/>
      <w:kern w:val="28"/>
      <w:sz w:val="36"/>
      <w:szCs w:val="20"/>
      <w:lang w:eastAsia="en-US"/>
    </w:rPr>
  </w:style>
  <w:style w:type="paragraph" w:styleId="61">
    <w:name w:val="annotation subject"/>
    <w:basedOn w:val="22"/>
    <w:next w:val="22"/>
    <w:link w:val="105"/>
    <w:qFormat/>
    <w:uiPriority w:val="0"/>
    <w:rPr>
      <w:b/>
      <w:bCs/>
    </w:rPr>
  </w:style>
  <w:style w:type="paragraph" w:styleId="62">
    <w:name w:val="Body Text First Indent"/>
    <w:basedOn w:val="2"/>
    <w:link w:val="106"/>
    <w:qFormat/>
    <w:uiPriority w:val="0"/>
    <w:pPr>
      <w:ind w:firstLine="420" w:firstLineChars="100"/>
    </w:pPr>
  </w:style>
  <w:style w:type="paragraph" w:styleId="63">
    <w:name w:val="Body Text First Indent 2"/>
    <w:basedOn w:val="25"/>
    <w:link w:val="107"/>
    <w:qFormat/>
    <w:uiPriority w:val="0"/>
    <w:pPr>
      <w:tabs>
        <w:tab w:val="clear" w:pos="2160"/>
      </w:tabs>
      <w:spacing w:after="120" w:line="480" w:lineRule="auto"/>
      <w:ind w:left="418" w:leftChars="0" w:firstLine="216"/>
    </w:pPr>
    <w:rPr>
      <w:rFonts w:eastAsia="仿宋_GB2312"/>
      <w:sz w:val="24"/>
    </w:rPr>
  </w:style>
  <w:style w:type="table" w:styleId="65">
    <w:name w:val="Table Grid"/>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7">
    <w:name w:val="Strong"/>
    <w:qFormat/>
    <w:uiPriority w:val="0"/>
    <w:rPr>
      <w:b/>
      <w:bCs/>
    </w:rPr>
  </w:style>
  <w:style w:type="character" w:styleId="68">
    <w:name w:val="endnote reference"/>
    <w:qFormat/>
    <w:uiPriority w:val="0"/>
    <w:rPr>
      <w:vertAlign w:val="superscript"/>
    </w:rPr>
  </w:style>
  <w:style w:type="character" w:styleId="69">
    <w:name w:val="page number"/>
    <w:basedOn w:val="66"/>
    <w:qFormat/>
    <w:uiPriority w:val="0"/>
  </w:style>
  <w:style w:type="character" w:styleId="70">
    <w:name w:val="FollowedHyperlink"/>
    <w:qFormat/>
    <w:uiPriority w:val="99"/>
    <w:rPr>
      <w:color w:val="0000FF"/>
      <w:u w:val="single"/>
    </w:rPr>
  </w:style>
  <w:style w:type="character" w:styleId="71">
    <w:name w:val="Emphasis"/>
    <w:qFormat/>
    <w:uiPriority w:val="0"/>
    <w:rPr>
      <w:i/>
    </w:rPr>
  </w:style>
  <w:style w:type="character" w:styleId="72">
    <w:name w:val="Hyperlink"/>
    <w:qFormat/>
    <w:uiPriority w:val="99"/>
    <w:rPr>
      <w:color w:val="000099"/>
      <w:u w:val="none"/>
    </w:rPr>
  </w:style>
  <w:style w:type="character" w:styleId="73">
    <w:name w:val="annotation reference"/>
    <w:qFormat/>
    <w:uiPriority w:val="0"/>
    <w:rPr>
      <w:sz w:val="21"/>
      <w:szCs w:val="21"/>
    </w:rPr>
  </w:style>
  <w:style w:type="character" w:styleId="74">
    <w:name w:val="footnote reference"/>
    <w:qFormat/>
    <w:uiPriority w:val="0"/>
    <w:rPr>
      <w:position w:val="6"/>
      <w:sz w:val="14"/>
      <w:vertAlign w:val="superscript"/>
    </w:rPr>
  </w:style>
  <w:style w:type="character" w:customStyle="1" w:styleId="75">
    <w:name w:val="正文文本 Char1"/>
    <w:link w:val="2"/>
    <w:qFormat/>
    <w:uiPriority w:val="0"/>
    <w:rPr>
      <w:kern w:val="2"/>
      <w:sz w:val="21"/>
      <w:szCs w:val="24"/>
    </w:rPr>
  </w:style>
  <w:style w:type="character" w:customStyle="1" w:styleId="76">
    <w:name w:val="标题 1 Char1"/>
    <w:link w:val="4"/>
    <w:qFormat/>
    <w:uiPriority w:val="0"/>
    <w:rPr>
      <w:rFonts w:ascii="宋体"/>
      <w:b/>
      <w:kern w:val="28"/>
      <w:sz w:val="36"/>
      <w:lang w:val="en-US" w:eastAsia="zh-CN" w:bidi="ar-SA"/>
    </w:rPr>
  </w:style>
  <w:style w:type="character" w:customStyle="1" w:styleId="77">
    <w:name w:val="标题 2 Char"/>
    <w:link w:val="5"/>
    <w:qFormat/>
    <w:uiPriority w:val="0"/>
    <w:rPr>
      <w:rFonts w:ascii="宋体"/>
      <w:b/>
      <w:kern w:val="2"/>
      <w:sz w:val="28"/>
      <w:lang w:val="en-US" w:eastAsia="zh-CN" w:bidi="ar-SA"/>
    </w:rPr>
  </w:style>
  <w:style w:type="character" w:customStyle="1" w:styleId="78">
    <w:name w:val="标题 3 Char1"/>
    <w:link w:val="6"/>
    <w:qFormat/>
    <w:uiPriority w:val="0"/>
    <w:rPr>
      <w:rFonts w:ascii="宋体"/>
      <w:b/>
      <w:kern w:val="2"/>
      <w:sz w:val="24"/>
      <w:lang w:val="en-US" w:eastAsia="zh-CN" w:bidi="ar-SA"/>
    </w:rPr>
  </w:style>
  <w:style w:type="character" w:customStyle="1" w:styleId="79">
    <w:name w:val="标题 4 Char"/>
    <w:link w:val="7"/>
    <w:qFormat/>
    <w:uiPriority w:val="0"/>
    <w:rPr>
      <w:rFonts w:ascii="Arial" w:hAnsi="Arial" w:eastAsia="黑体"/>
      <w:b/>
      <w:bCs/>
      <w:kern w:val="2"/>
      <w:sz w:val="28"/>
      <w:szCs w:val="28"/>
    </w:rPr>
  </w:style>
  <w:style w:type="character" w:customStyle="1" w:styleId="80">
    <w:name w:val="标题 5 Char"/>
    <w:link w:val="8"/>
    <w:qFormat/>
    <w:uiPriority w:val="0"/>
    <w:rPr>
      <w:rFonts w:ascii="Arial" w:hAnsi="Arial" w:eastAsia="楷体_GB2312"/>
      <w:b/>
      <w:sz w:val="24"/>
      <w:szCs w:val="24"/>
    </w:rPr>
  </w:style>
  <w:style w:type="character" w:customStyle="1" w:styleId="81">
    <w:name w:val="标题 6 Char1"/>
    <w:link w:val="10"/>
    <w:qFormat/>
    <w:uiPriority w:val="0"/>
    <w:rPr>
      <w:rFonts w:ascii="Arial" w:hAnsi="Arial" w:eastAsia="黑体"/>
      <w:b/>
      <w:kern w:val="2"/>
      <w:sz w:val="24"/>
    </w:rPr>
  </w:style>
  <w:style w:type="character" w:customStyle="1" w:styleId="82">
    <w:name w:val="标题 7 Char1"/>
    <w:link w:val="11"/>
    <w:qFormat/>
    <w:uiPriority w:val="0"/>
    <w:rPr>
      <w:b/>
      <w:kern w:val="2"/>
      <w:sz w:val="24"/>
    </w:rPr>
  </w:style>
  <w:style w:type="character" w:customStyle="1" w:styleId="83">
    <w:name w:val="标题 8 Char1"/>
    <w:link w:val="12"/>
    <w:qFormat/>
    <w:uiPriority w:val="0"/>
    <w:rPr>
      <w:rFonts w:ascii="Arial" w:hAnsi="Arial" w:eastAsia="黑体"/>
      <w:kern w:val="2"/>
      <w:sz w:val="24"/>
    </w:rPr>
  </w:style>
  <w:style w:type="character" w:customStyle="1" w:styleId="84">
    <w:name w:val="标题 9 Char1"/>
    <w:link w:val="13"/>
    <w:qFormat/>
    <w:uiPriority w:val="0"/>
    <w:rPr>
      <w:rFonts w:ascii="Arial" w:hAnsi="Arial" w:eastAsia="黑体"/>
      <w:kern w:val="2"/>
      <w:sz w:val="24"/>
    </w:rPr>
  </w:style>
  <w:style w:type="character" w:customStyle="1" w:styleId="85">
    <w:name w:val="注释标题 Char"/>
    <w:link w:val="16"/>
    <w:qFormat/>
    <w:uiPriority w:val="0"/>
    <w:rPr>
      <w:kern w:val="2"/>
      <w:sz w:val="21"/>
      <w:szCs w:val="24"/>
      <w:lang w:bidi="ar-SA"/>
    </w:rPr>
  </w:style>
  <w:style w:type="character" w:customStyle="1" w:styleId="86">
    <w:name w:val="正文缩进 Char"/>
    <w:link w:val="18"/>
    <w:qFormat/>
    <w:uiPriority w:val="0"/>
    <w:rPr>
      <w:kern w:val="2"/>
      <w:sz w:val="21"/>
      <w:szCs w:val="24"/>
    </w:rPr>
  </w:style>
  <w:style w:type="character" w:customStyle="1" w:styleId="87">
    <w:name w:val="题注 Char"/>
    <w:link w:val="19"/>
    <w:qFormat/>
    <w:uiPriority w:val="0"/>
    <w:rPr>
      <w:rFonts w:ascii="Palatino Linotype" w:hAnsi="Palatino Linotype" w:eastAsia="楷体_GB2312" w:cs="Arial"/>
      <w:b/>
      <w:sz w:val="24"/>
      <w:szCs w:val="21"/>
    </w:rPr>
  </w:style>
  <w:style w:type="character" w:customStyle="1" w:styleId="88">
    <w:name w:val="文档结构图 Char1"/>
    <w:link w:val="21"/>
    <w:qFormat/>
    <w:uiPriority w:val="0"/>
    <w:rPr>
      <w:kern w:val="2"/>
      <w:sz w:val="21"/>
      <w:szCs w:val="24"/>
      <w:shd w:val="clear" w:color="auto" w:fill="000080"/>
    </w:rPr>
  </w:style>
  <w:style w:type="character" w:customStyle="1" w:styleId="89">
    <w:name w:val="批注文字 Char1"/>
    <w:link w:val="22"/>
    <w:qFormat/>
    <w:uiPriority w:val="0"/>
    <w:rPr>
      <w:kern w:val="2"/>
      <w:sz w:val="21"/>
      <w:szCs w:val="24"/>
    </w:rPr>
  </w:style>
  <w:style w:type="character" w:customStyle="1" w:styleId="90">
    <w:name w:val="正文文本 3 Char1"/>
    <w:link w:val="23"/>
    <w:qFormat/>
    <w:uiPriority w:val="0"/>
    <w:rPr>
      <w:kern w:val="2"/>
      <w:sz w:val="18"/>
    </w:rPr>
  </w:style>
  <w:style w:type="character" w:customStyle="1" w:styleId="91">
    <w:name w:val="正文文本缩进 Char"/>
    <w:link w:val="25"/>
    <w:qFormat/>
    <w:uiPriority w:val="99"/>
    <w:rPr>
      <w:rFonts w:ascii="宋体" w:hAnsi="宋体"/>
      <w:kern w:val="2"/>
      <w:sz w:val="21"/>
      <w:szCs w:val="21"/>
    </w:rPr>
  </w:style>
  <w:style w:type="character" w:customStyle="1" w:styleId="92">
    <w:name w:val="纯文本 Char2"/>
    <w:link w:val="32"/>
    <w:qFormat/>
    <w:uiPriority w:val="0"/>
    <w:rPr>
      <w:rFonts w:ascii="宋体" w:hAnsi="Courier New"/>
      <w:kern w:val="2"/>
      <w:sz w:val="24"/>
    </w:rPr>
  </w:style>
  <w:style w:type="character" w:customStyle="1" w:styleId="93">
    <w:name w:val="日期 Char2"/>
    <w:link w:val="34"/>
    <w:qFormat/>
    <w:uiPriority w:val="0"/>
    <w:rPr>
      <w:rFonts w:ascii="宋体"/>
      <w:kern w:val="2"/>
      <w:sz w:val="24"/>
    </w:rPr>
  </w:style>
  <w:style w:type="character" w:customStyle="1" w:styleId="94">
    <w:name w:val="正文文本缩进 2 Char1"/>
    <w:link w:val="35"/>
    <w:qFormat/>
    <w:uiPriority w:val="0"/>
    <w:rPr>
      <w:kern w:val="2"/>
      <w:sz w:val="21"/>
    </w:rPr>
  </w:style>
  <w:style w:type="character" w:customStyle="1" w:styleId="95">
    <w:name w:val="尾注文本 Char"/>
    <w:link w:val="36"/>
    <w:qFormat/>
    <w:uiPriority w:val="0"/>
    <w:rPr>
      <w:kern w:val="2"/>
      <w:sz w:val="21"/>
      <w:szCs w:val="24"/>
    </w:rPr>
  </w:style>
  <w:style w:type="character" w:customStyle="1" w:styleId="96">
    <w:name w:val="批注框文本 Char1"/>
    <w:link w:val="37"/>
    <w:qFormat/>
    <w:uiPriority w:val="0"/>
    <w:rPr>
      <w:kern w:val="2"/>
      <w:sz w:val="18"/>
      <w:szCs w:val="18"/>
    </w:rPr>
  </w:style>
  <w:style w:type="character" w:customStyle="1" w:styleId="97">
    <w:name w:val="页脚 Char3"/>
    <w:link w:val="38"/>
    <w:qFormat/>
    <w:uiPriority w:val="0"/>
    <w:rPr>
      <w:rFonts w:eastAsia="宋体"/>
      <w:kern w:val="2"/>
      <w:sz w:val="18"/>
      <w:lang w:val="en-US" w:eastAsia="zh-CN" w:bidi="ar-SA"/>
    </w:rPr>
  </w:style>
  <w:style w:type="character" w:customStyle="1" w:styleId="98">
    <w:name w:val="页眉 Char1"/>
    <w:link w:val="39"/>
    <w:qFormat/>
    <w:uiPriority w:val="0"/>
    <w:rPr>
      <w:kern w:val="2"/>
      <w:sz w:val="18"/>
      <w:szCs w:val="18"/>
    </w:rPr>
  </w:style>
  <w:style w:type="character" w:customStyle="1" w:styleId="99">
    <w:name w:val="副标题 Char1"/>
    <w:link w:val="45"/>
    <w:qFormat/>
    <w:uiPriority w:val="0"/>
    <w:rPr>
      <w:rFonts w:ascii="Cambria" w:hAnsi="Cambria"/>
      <w:b/>
      <w:bCs/>
      <w:kern w:val="28"/>
      <w:sz w:val="32"/>
      <w:szCs w:val="32"/>
    </w:rPr>
  </w:style>
  <w:style w:type="character" w:customStyle="1" w:styleId="100">
    <w:name w:val="脚注文本 Char"/>
    <w:link w:val="47"/>
    <w:qFormat/>
    <w:uiPriority w:val="0"/>
    <w:rPr>
      <w:kern w:val="2"/>
      <w:sz w:val="18"/>
      <w:szCs w:val="24"/>
      <w:lang w:bidi="ar-SA"/>
    </w:rPr>
  </w:style>
  <w:style w:type="character" w:customStyle="1" w:styleId="101">
    <w:name w:val="正文文本缩进 3 Char1"/>
    <w:link w:val="50"/>
    <w:qFormat/>
    <w:uiPriority w:val="0"/>
    <w:rPr>
      <w:kern w:val="2"/>
      <w:sz w:val="16"/>
    </w:rPr>
  </w:style>
  <w:style w:type="character" w:customStyle="1" w:styleId="102">
    <w:name w:val="正文文本 2 Char1"/>
    <w:link w:val="54"/>
    <w:qFormat/>
    <w:uiPriority w:val="0"/>
    <w:rPr>
      <w:kern w:val="2"/>
      <w:sz w:val="21"/>
    </w:rPr>
  </w:style>
  <w:style w:type="character" w:customStyle="1" w:styleId="103">
    <w:name w:val="HTML 预设格式 Char1"/>
    <w:link w:val="57"/>
    <w:qFormat/>
    <w:uiPriority w:val="0"/>
    <w:rPr>
      <w:rFonts w:ascii="宋体" w:hAnsi="宋体" w:cs="宋体"/>
      <w:sz w:val="24"/>
      <w:szCs w:val="24"/>
    </w:rPr>
  </w:style>
  <w:style w:type="character" w:customStyle="1" w:styleId="104">
    <w:name w:val="标题 Char1"/>
    <w:link w:val="60"/>
    <w:qFormat/>
    <w:uiPriority w:val="0"/>
    <w:rPr>
      <w:rFonts w:ascii="Arial" w:hAnsi="Arial"/>
      <w:b/>
      <w:smallCaps/>
      <w:kern w:val="28"/>
      <w:sz w:val="36"/>
      <w:lang w:eastAsia="en-US"/>
    </w:rPr>
  </w:style>
  <w:style w:type="character" w:customStyle="1" w:styleId="105">
    <w:name w:val="批注主题 Char1"/>
    <w:link w:val="61"/>
    <w:qFormat/>
    <w:uiPriority w:val="0"/>
    <w:rPr>
      <w:b/>
      <w:bCs/>
      <w:kern w:val="2"/>
      <w:sz w:val="21"/>
      <w:szCs w:val="24"/>
    </w:rPr>
  </w:style>
  <w:style w:type="character" w:customStyle="1" w:styleId="106">
    <w:name w:val="正文首行缩进 Char2"/>
    <w:link w:val="62"/>
    <w:qFormat/>
    <w:uiPriority w:val="0"/>
    <w:rPr>
      <w:rFonts w:eastAsia="宋体"/>
      <w:kern w:val="2"/>
      <w:sz w:val="21"/>
      <w:szCs w:val="24"/>
      <w:lang w:val="en-US" w:eastAsia="zh-CN" w:bidi="ar-SA"/>
    </w:rPr>
  </w:style>
  <w:style w:type="character" w:customStyle="1" w:styleId="107">
    <w:name w:val="正文首行缩进 2 Char1"/>
    <w:link w:val="63"/>
    <w:qFormat/>
    <w:uiPriority w:val="0"/>
    <w:rPr>
      <w:rFonts w:ascii="宋体" w:hAnsi="宋体" w:eastAsia="仿宋_GB2312"/>
      <w:kern w:val="2"/>
      <w:sz w:val="24"/>
      <w:szCs w:val="21"/>
    </w:rPr>
  </w:style>
  <w:style w:type="character" w:customStyle="1" w:styleId="108">
    <w:name w:val="标题 2 Char2"/>
    <w:qFormat/>
    <w:uiPriority w:val="0"/>
    <w:rPr>
      <w:rFonts w:ascii="宋体"/>
      <w:kern w:val="2"/>
      <w:sz w:val="28"/>
    </w:rPr>
  </w:style>
  <w:style w:type="character" w:customStyle="1" w:styleId="109">
    <w:name w:val="h Char Char"/>
    <w:qFormat/>
    <w:uiPriority w:val="0"/>
    <w:rPr>
      <w:kern w:val="2"/>
      <w:sz w:val="18"/>
      <w:szCs w:val="18"/>
    </w:rPr>
  </w:style>
  <w:style w:type="character" w:customStyle="1" w:styleId="110">
    <w:name w:val="param-name param-explain"/>
    <w:basedOn w:val="66"/>
    <w:qFormat/>
    <w:uiPriority w:val="0"/>
  </w:style>
  <w:style w:type="character" w:customStyle="1" w:styleId="111">
    <w:name w:val="明显引用 Char"/>
    <w:link w:val="112"/>
    <w:qFormat/>
    <w:uiPriority w:val="0"/>
    <w:rPr>
      <w:rFonts w:ascii="Calibri" w:hAnsi="Calibri"/>
      <w:b/>
      <w:bCs/>
      <w:i/>
      <w:iCs/>
      <w:sz w:val="22"/>
      <w:szCs w:val="22"/>
      <w:lang w:eastAsia="en-US" w:bidi="en-US"/>
    </w:rPr>
  </w:style>
  <w:style w:type="paragraph" w:styleId="112">
    <w:name w:val="Intense Quote"/>
    <w:basedOn w:val="1"/>
    <w:next w:val="1"/>
    <w:link w:val="111"/>
    <w:qFormat/>
    <w:uiPriority w:val="0"/>
    <w:pPr>
      <w:widowControl/>
      <w:pBdr>
        <w:bottom w:val="single" w:color="auto" w:sz="4" w:space="1"/>
      </w:pBdr>
      <w:spacing w:before="200" w:after="280" w:line="276" w:lineRule="auto"/>
      <w:ind w:left="1008" w:right="1152" w:firstLine="0" w:firstLineChars="0"/>
    </w:pPr>
    <w:rPr>
      <w:rFonts w:ascii="Calibri" w:hAnsi="Calibri"/>
      <w:b/>
      <w:bCs/>
      <w:i/>
      <w:iCs/>
      <w:kern w:val="0"/>
      <w:sz w:val="22"/>
      <w:szCs w:val="22"/>
      <w:lang w:eastAsia="en-US" w:bidi="en-US"/>
    </w:rPr>
  </w:style>
  <w:style w:type="character" w:customStyle="1" w:styleId="113">
    <w:name w:val="style21"/>
    <w:qFormat/>
    <w:uiPriority w:val="0"/>
    <w:rPr>
      <w:sz w:val="21"/>
      <w:szCs w:val="21"/>
    </w:rPr>
  </w:style>
  <w:style w:type="character" w:customStyle="1" w:styleId="114">
    <w:name w:val="Char Char6"/>
    <w:qFormat/>
    <w:uiPriority w:val="0"/>
    <w:rPr>
      <w:rFonts w:ascii="Arial" w:hAnsi="Arial" w:eastAsia="黑体"/>
      <w:b/>
      <w:bCs/>
      <w:kern w:val="2"/>
      <w:sz w:val="32"/>
      <w:szCs w:val="32"/>
      <w:lang w:val="en-US" w:eastAsia="zh-CN" w:bidi="ar-SA"/>
    </w:rPr>
  </w:style>
  <w:style w:type="character" w:customStyle="1" w:styleId="115">
    <w:name w:val="批注主题 Char"/>
    <w:qFormat/>
    <w:uiPriority w:val="99"/>
    <w:rPr>
      <w:rFonts w:eastAsia="宋体"/>
      <w:b/>
      <w:bCs/>
      <w:kern w:val="2"/>
      <w:sz w:val="21"/>
      <w:szCs w:val="24"/>
      <w:lang w:val="en-US" w:eastAsia="zh-CN" w:bidi="ar-SA"/>
    </w:rPr>
  </w:style>
  <w:style w:type="character" w:customStyle="1" w:styleId="116">
    <w:name w:val="font81"/>
    <w:qFormat/>
    <w:uiPriority w:val="0"/>
    <w:rPr>
      <w:rFonts w:hint="eastAsia" w:ascii="宋体" w:hAnsi="宋体" w:eastAsia="宋体" w:cs="宋体"/>
      <w:color w:val="000000"/>
      <w:sz w:val="28"/>
      <w:szCs w:val="28"/>
      <w:u w:val="none"/>
      <w:vertAlign w:val="superscript"/>
    </w:rPr>
  </w:style>
  <w:style w:type="character" w:customStyle="1" w:styleId="117">
    <w:name w:val="ca-82"/>
    <w:basedOn w:val="66"/>
    <w:qFormat/>
    <w:uiPriority w:val="0"/>
  </w:style>
  <w:style w:type="character" w:customStyle="1" w:styleId="118">
    <w:name w:val="Char Char2"/>
    <w:qFormat/>
    <w:uiPriority w:val="0"/>
    <w:rPr>
      <w:rFonts w:eastAsia="宋体"/>
      <w:kern w:val="2"/>
      <w:sz w:val="18"/>
      <w:szCs w:val="18"/>
      <w:lang w:val="en-US" w:eastAsia="zh-CN" w:bidi="ar-SA"/>
    </w:rPr>
  </w:style>
  <w:style w:type="character" w:customStyle="1" w:styleId="119">
    <w:name w:val="标题5 Char"/>
    <w:link w:val="120"/>
    <w:qFormat/>
    <w:uiPriority w:val="0"/>
    <w:rPr>
      <w:rFonts w:ascii="宋体"/>
      <w:sz w:val="21"/>
      <w:szCs w:val="21"/>
      <w:lang w:bidi="ar-SA"/>
    </w:rPr>
  </w:style>
  <w:style w:type="paragraph" w:customStyle="1" w:styleId="120">
    <w:name w:val="标题5"/>
    <w:basedOn w:val="1"/>
    <w:link w:val="119"/>
    <w:qFormat/>
    <w:uiPriority w:val="0"/>
    <w:pPr>
      <w:tabs>
        <w:tab w:val="left" w:pos="0"/>
      </w:tabs>
      <w:autoSpaceDE w:val="0"/>
      <w:autoSpaceDN w:val="0"/>
      <w:adjustRightInd w:val="0"/>
      <w:snapToGrid w:val="0"/>
      <w:spacing w:line="320" w:lineRule="atLeast"/>
      <w:ind w:firstLine="0" w:firstLineChars="0"/>
    </w:pPr>
    <w:rPr>
      <w:rFonts w:ascii="宋体"/>
      <w:kern w:val="0"/>
      <w:sz w:val="21"/>
      <w:szCs w:val="21"/>
    </w:rPr>
  </w:style>
  <w:style w:type="character" w:customStyle="1" w:styleId="121">
    <w:name w:val="无间隔 Char"/>
    <w:link w:val="122"/>
    <w:qFormat/>
    <w:uiPriority w:val="0"/>
    <w:rPr>
      <w:rFonts w:ascii="Calibri" w:hAnsi="Calibri"/>
      <w:sz w:val="24"/>
      <w:szCs w:val="32"/>
      <w:lang w:eastAsia="en-US" w:bidi="en-US"/>
    </w:rPr>
  </w:style>
  <w:style w:type="paragraph" w:styleId="122">
    <w:name w:val="No Spacing"/>
    <w:basedOn w:val="1"/>
    <w:link w:val="121"/>
    <w:qFormat/>
    <w:uiPriority w:val="0"/>
    <w:pPr>
      <w:widowControl/>
      <w:spacing w:line="240" w:lineRule="auto"/>
      <w:ind w:firstLine="0" w:firstLineChars="0"/>
      <w:jc w:val="left"/>
    </w:pPr>
    <w:rPr>
      <w:rFonts w:ascii="Calibri" w:hAnsi="Calibri"/>
      <w:kern w:val="0"/>
      <w:szCs w:val="32"/>
      <w:lang w:eastAsia="en-US" w:bidi="en-US"/>
    </w:rPr>
  </w:style>
  <w:style w:type="character" w:customStyle="1" w:styleId="123">
    <w:name w:val="正文 + 三号 Char"/>
    <w:link w:val="124"/>
    <w:qFormat/>
    <w:uiPriority w:val="0"/>
    <w:rPr>
      <w:kern w:val="2"/>
      <w:sz w:val="21"/>
      <w:szCs w:val="24"/>
      <w:lang w:bidi="ar-SA"/>
    </w:rPr>
  </w:style>
  <w:style w:type="paragraph" w:customStyle="1" w:styleId="124">
    <w:name w:val="正文 + 三号"/>
    <w:basedOn w:val="1"/>
    <w:link w:val="123"/>
    <w:qFormat/>
    <w:uiPriority w:val="0"/>
    <w:pPr>
      <w:spacing w:line="240" w:lineRule="auto"/>
      <w:ind w:firstLine="0" w:firstLineChars="0"/>
    </w:pPr>
    <w:rPr>
      <w:sz w:val="21"/>
    </w:rPr>
  </w:style>
  <w:style w:type="character" w:customStyle="1" w:styleId="125">
    <w:name w:val="newsbg"/>
    <w:basedOn w:val="66"/>
    <w:qFormat/>
    <w:uiPriority w:val="0"/>
  </w:style>
  <w:style w:type="character" w:customStyle="1" w:styleId="126">
    <w:name w:val="Char Char23"/>
    <w:qFormat/>
    <w:uiPriority w:val="0"/>
    <w:rPr>
      <w:rFonts w:eastAsia="宋体"/>
      <w:kern w:val="2"/>
      <w:sz w:val="18"/>
      <w:szCs w:val="18"/>
      <w:lang w:val="en-US" w:eastAsia="zh-CN" w:bidi="ar-SA"/>
    </w:rPr>
  </w:style>
  <w:style w:type="character" w:customStyle="1" w:styleId="127">
    <w:name w:val="apple-converted-space"/>
    <w:basedOn w:val="66"/>
    <w:qFormat/>
    <w:uiPriority w:val="0"/>
  </w:style>
  <w:style w:type="character" w:customStyle="1" w:styleId="128">
    <w:name w:val="PIM 6 Char1"/>
    <w:qFormat/>
    <w:uiPriority w:val="0"/>
    <w:rPr>
      <w:rFonts w:ascii="Arial" w:hAnsi="Arial" w:eastAsia="黑体"/>
      <w:b/>
      <w:kern w:val="2"/>
      <w:sz w:val="24"/>
    </w:rPr>
  </w:style>
  <w:style w:type="character" w:customStyle="1" w:styleId="129">
    <w:name w:val="正文首行缩进 Char"/>
    <w:qFormat/>
    <w:uiPriority w:val="99"/>
    <w:rPr>
      <w:rFonts w:eastAsia="宋体"/>
      <w:kern w:val="2"/>
      <w:sz w:val="21"/>
      <w:szCs w:val="24"/>
      <w:lang w:val="en-US" w:eastAsia="zh-CN" w:bidi="ar-SA"/>
    </w:rPr>
  </w:style>
  <w:style w:type="character" w:customStyle="1" w:styleId="130">
    <w:name w:val="marklong"/>
    <w:qFormat/>
    <w:uiPriority w:val="0"/>
    <w:rPr>
      <w:rFonts w:ascii="宋体" w:hAnsi="宋体" w:eastAsia="宋体"/>
      <w:kern w:val="2"/>
      <w:sz w:val="28"/>
      <w:szCs w:val="28"/>
      <w:lang w:val="en-US" w:eastAsia="zh-CN" w:bidi="ar-SA"/>
    </w:rPr>
  </w:style>
  <w:style w:type="character" w:customStyle="1" w:styleId="131">
    <w:name w:val="content-white1"/>
    <w:qFormat/>
    <w:uiPriority w:val="0"/>
    <w:rPr>
      <w:color w:val="auto"/>
      <w:sz w:val="18"/>
      <w:szCs w:val="18"/>
      <w:u w:val="none"/>
    </w:rPr>
  </w:style>
  <w:style w:type="character" w:customStyle="1" w:styleId="132">
    <w:name w:val="正文文本缩进 3 Char"/>
    <w:qFormat/>
    <w:uiPriority w:val="0"/>
    <w:rPr>
      <w:kern w:val="2"/>
      <w:sz w:val="16"/>
      <w:lang w:bidi="ar-SA"/>
    </w:rPr>
  </w:style>
  <w:style w:type="character" w:customStyle="1" w:styleId="133">
    <w:name w:val="textcontents"/>
    <w:basedOn w:val="66"/>
    <w:qFormat/>
    <w:uiPriority w:val="0"/>
  </w:style>
  <w:style w:type="character" w:customStyle="1" w:styleId="134">
    <w:name w:val="正文文本 3 Char"/>
    <w:qFormat/>
    <w:uiPriority w:val="0"/>
    <w:rPr>
      <w:kern w:val="2"/>
      <w:sz w:val="18"/>
      <w:lang w:bidi="ar-SA"/>
    </w:rPr>
  </w:style>
  <w:style w:type="character" w:customStyle="1" w:styleId="135">
    <w:name w:val="正文首行缩进 Char Char Char Char Char3"/>
    <w:qFormat/>
    <w:uiPriority w:val="0"/>
    <w:rPr>
      <w:rFonts w:eastAsia="宋体"/>
      <w:kern w:val="2"/>
      <w:sz w:val="21"/>
      <w:szCs w:val="24"/>
      <w:lang w:val="en-US" w:eastAsia="zh-CN" w:bidi="ar-SA"/>
    </w:rPr>
  </w:style>
  <w:style w:type="character" w:customStyle="1" w:styleId="136">
    <w:name w:val="Header Char"/>
    <w:qFormat/>
    <w:uiPriority w:val="0"/>
    <w:rPr>
      <w:rFonts w:ascii="Calibri" w:hAnsi="Calibri" w:eastAsia="宋体"/>
      <w:sz w:val="18"/>
      <w:szCs w:val="18"/>
      <w:lang w:val="en-US" w:eastAsia="zh-CN" w:bidi="ar-SA"/>
    </w:rPr>
  </w:style>
  <w:style w:type="character" w:customStyle="1" w:styleId="137">
    <w:name w:val="param-name"/>
    <w:basedOn w:val="66"/>
    <w:qFormat/>
    <w:uiPriority w:val="0"/>
  </w:style>
  <w:style w:type="character" w:customStyle="1" w:styleId="138">
    <w:name w:val="表格文字 Char"/>
    <w:link w:val="139"/>
    <w:qFormat/>
    <w:uiPriority w:val="0"/>
    <w:rPr>
      <w:kern w:val="2"/>
      <w:sz w:val="21"/>
      <w:szCs w:val="24"/>
    </w:rPr>
  </w:style>
  <w:style w:type="paragraph" w:customStyle="1" w:styleId="139">
    <w:name w:val="表格文字"/>
    <w:basedOn w:val="1"/>
    <w:link w:val="138"/>
    <w:qFormat/>
    <w:uiPriority w:val="0"/>
    <w:pPr>
      <w:spacing w:line="360" w:lineRule="auto"/>
      <w:ind w:firstLine="0" w:firstLineChars="0"/>
      <w:jc w:val="left"/>
    </w:pPr>
    <w:rPr>
      <w:sz w:val="21"/>
    </w:rPr>
  </w:style>
  <w:style w:type="character" w:customStyle="1" w:styleId="140">
    <w:name w:val="页脚 Char2"/>
    <w:qFormat/>
    <w:uiPriority w:val="0"/>
    <w:rPr>
      <w:rFonts w:eastAsia="宋体"/>
      <w:kern w:val="2"/>
      <w:sz w:val="18"/>
      <w:lang w:val="en-US" w:eastAsia="zh-CN" w:bidi="ar-SA"/>
    </w:rPr>
  </w:style>
  <w:style w:type="character" w:customStyle="1" w:styleId="141">
    <w:name w:val="Char Char62"/>
    <w:qFormat/>
    <w:uiPriority w:val="0"/>
    <w:rPr>
      <w:rFonts w:ascii="Arial" w:hAnsi="Arial" w:eastAsia="黑体"/>
      <w:b/>
      <w:bCs/>
      <w:kern w:val="2"/>
      <w:sz w:val="32"/>
      <w:szCs w:val="32"/>
      <w:lang w:val="en-US" w:eastAsia="zh-CN" w:bidi="ar-SA"/>
    </w:rPr>
  </w:style>
  <w:style w:type="character" w:customStyle="1" w:styleId="142">
    <w:name w:val="正文首行缩进 Char1"/>
    <w:basedOn w:val="75"/>
    <w:qFormat/>
    <w:uiPriority w:val="0"/>
    <w:rPr>
      <w:kern w:val="2"/>
      <w:sz w:val="21"/>
      <w:szCs w:val="24"/>
    </w:rPr>
  </w:style>
  <w:style w:type="character" w:customStyle="1" w:styleId="143">
    <w:name w:val="市检方案标题3 Char1"/>
    <w:qFormat/>
    <w:uiPriority w:val="0"/>
    <w:rPr>
      <w:rFonts w:ascii="宋体"/>
      <w:b/>
      <w:kern w:val="2"/>
      <w:sz w:val="24"/>
      <w:lang w:val="en-US" w:eastAsia="zh-CN" w:bidi="ar-SA"/>
    </w:rPr>
  </w:style>
  <w:style w:type="character" w:customStyle="1" w:styleId="144">
    <w:name w:val="Footer-Even Char2"/>
    <w:qFormat/>
    <w:uiPriority w:val="0"/>
    <w:rPr>
      <w:rFonts w:eastAsia="宋体"/>
      <w:kern w:val="2"/>
      <w:sz w:val="18"/>
      <w:lang w:val="en-US" w:eastAsia="zh-CN" w:bidi="ar-SA"/>
    </w:rPr>
  </w:style>
  <w:style w:type="character" w:customStyle="1" w:styleId="145">
    <w:name w:val="列出段落 Char"/>
    <w:link w:val="146"/>
    <w:qFormat/>
    <w:uiPriority w:val="0"/>
    <w:rPr>
      <w:kern w:val="2"/>
      <w:sz w:val="24"/>
      <w:szCs w:val="24"/>
    </w:rPr>
  </w:style>
  <w:style w:type="paragraph" w:styleId="146">
    <w:name w:val="List Paragraph"/>
    <w:basedOn w:val="1"/>
    <w:link w:val="145"/>
    <w:qFormat/>
    <w:uiPriority w:val="0"/>
    <w:pPr>
      <w:ind w:firstLine="420"/>
    </w:pPr>
  </w:style>
  <w:style w:type="character" w:customStyle="1" w:styleId="147">
    <w:name w:val="标题 1 Char"/>
    <w:qFormat/>
    <w:uiPriority w:val="0"/>
    <w:rPr>
      <w:rFonts w:ascii="宋体" w:eastAsia="黑体"/>
      <w:kern w:val="28"/>
      <w:sz w:val="28"/>
    </w:rPr>
  </w:style>
  <w:style w:type="character" w:customStyle="1" w:styleId="148">
    <w:name w:val="grame"/>
    <w:basedOn w:val="66"/>
    <w:qFormat/>
    <w:uiPriority w:val="0"/>
  </w:style>
  <w:style w:type="character" w:customStyle="1" w:styleId="149">
    <w:name w:val="标题 8 Char"/>
    <w:qFormat/>
    <w:uiPriority w:val="0"/>
    <w:rPr>
      <w:rFonts w:ascii="Arial" w:hAnsi="Arial" w:eastAsia="黑体"/>
      <w:kern w:val="2"/>
      <w:sz w:val="24"/>
      <w:szCs w:val="24"/>
      <w:lang w:val="en-US" w:eastAsia="zh-CN" w:bidi="ar-SA"/>
    </w:rPr>
  </w:style>
  <w:style w:type="character" w:customStyle="1" w:styleId="150">
    <w:name w:val="delimitor"/>
    <w:qFormat/>
    <w:uiPriority w:val="0"/>
  </w:style>
  <w:style w:type="character" w:customStyle="1" w:styleId="151">
    <w:name w:val="Table Text Char1"/>
    <w:qFormat/>
    <w:uiPriority w:val="0"/>
    <w:rPr>
      <w:rFonts w:ascii="Arial" w:hAnsi="Arial" w:eastAsia="宋体" w:cs="Arial"/>
      <w:sz w:val="18"/>
      <w:szCs w:val="18"/>
      <w:lang w:val="en-US" w:eastAsia="zh-CN" w:bidi="ar-SA"/>
    </w:rPr>
  </w:style>
  <w:style w:type="character" w:customStyle="1" w:styleId="152">
    <w:name w:val="不用8 Char2"/>
    <w:qFormat/>
    <w:uiPriority w:val="0"/>
    <w:rPr>
      <w:rFonts w:ascii="Arial" w:hAnsi="Arial" w:eastAsia="黑体"/>
      <w:kern w:val="2"/>
      <w:sz w:val="24"/>
    </w:rPr>
  </w:style>
  <w:style w:type="character" w:customStyle="1" w:styleId="153">
    <w:name w:val="占位符文本1"/>
    <w:qFormat/>
    <w:uiPriority w:val="0"/>
    <w:rPr>
      <w:color w:val="808080"/>
    </w:rPr>
  </w:style>
  <w:style w:type="character" w:customStyle="1" w:styleId="154">
    <w:name w:val="自定义正文 Char"/>
    <w:link w:val="155"/>
    <w:qFormat/>
    <w:uiPriority w:val="0"/>
    <w:rPr>
      <w:rFonts w:ascii="仿宋_GB2312" w:eastAsia="仿宋_GB2312"/>
      <w:kern w:val="2"/>
      <w:sz w:val="24"/>
      <w:szCs w:val="24"/>
      <w:lang w:bidi="ar-SA"/>
    </w:rPr>
  </w:style>
  <w:style w:type="paragraph" w:customStyle="1" w:styleId="155">
    <w:name w:val="自定义正文"/>
    <w:basedOn w:val="1"/>
    <w:link w:val="154"/>
    <w:qFormat/>
    <w:uiPriority w:val="0"/>
    <w:pPr>
      <w:spacing w:before="120" w:after="60"/>
      <w:jc w:val="left"/>
    </w:pPr>
    <w:rPr>
      <w:rFonts w:ascii="仿宋_GB2312" w:eastAsia="仿宋_GB2312"/>
    </w:rPr>
  </w:style>
  <w:style w:type="character" w:customStyle="1" w:styleId="156">
    <w:name w:val="正文文本 2 Char"/>
    <w:qFormat/>
    <w:uiPriority w:val="0"/>
    <w:rPr>
      <w:kern w:val="2"/>
      <w:sz w:val="21"/>
      <w:lang w:bidi="ar-SA"/>
    </w:rPr>
  </w:style>
  <w:style w:type="character" w:customStyle="1" w:styleId="157">
    <w:name w:val="crowed11"/>
    <w:qFormat/>
    <w:uiPriority w:val="0"/>
    <w:rPr>
      <w:rFonts w:hint="default"/>
      <w:sz w:val="24"/>
      <w:szCs w:val="24"/>
    </w:rPr>
  </w:style>
  <w:style w:type="character" w:customStyle="1" w:styleId="158">
    <w:name w:val="页眉 Char"/>
    <w:qFormat/>
    <w:uiPriority w:val="0"/>
    <w:rPr>
      <w:kern w:val="2"/>
      <w:sz w:val="18"/>
      <w:szCs w:val="18"/>
      <w:lang w:bidi="ar-SA"/>
    </w:rPr>
  </w:style>
  <w:style w:type="character" w:customStyle="1" w:styleId="159">
    <w:name w:val="content1"/>
    <w:qFormat/>
    <w:uiPriority w:val="0"/>
    <w:rPr>
      <w:sz w:val="18"/>
      <w:szCs w:val="18"/>
    </w:rPr>
  </w:style>
  <w:style w:type="character" w:customStyle="1" w:styleId="160">
    <w:name w:val="Table Heading Char Char"/>
    <w:link w:val="161"/>
    <w:qFormat/>
    <w:uiPriority w:val="0"/>
    <w:rPr>
      <w:rFonts w:ascii="Arial" w:hAnsi="Arial" w:eastAsia="黑体"/>
      <w:kern w:val="2"/>
      <w:sz w:val="18"/>
      <w:szCs w:val="18"/>
      <w:lang w:val="en-US" w:eastAsia="zh-CN" w:bidi="ar-SA"/>
    </w:rPr>
  </w:style>
  <w:style w:type="paragraph" w:customStyle="1" w:styleId="161">
    <w:name w:val="Table Heading Char"/>
    <w:link w:val="160"/>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162">
    <w:name w:val="标题 3 Char"/>
    <w:qFormat/>
    <w:uiPriority w:val="0"/>
    <w:rPr>
      <w:rFonts w:ascii="宋体" w:eastAsia="宋体"/>
      <w:kern w:val="2"/>
      <w:sz w:val="28"/>
      <w:szCs w:val="24"/>
      <w:lang w:val="en-US" w:eastAsia="zh-CN" w:bidi="ar-SA"/>
    </w:rPr>
  </w:style>
  <w:style w:type="character" w:customStyle="1" w:styleId="163">
    <w:name w:val="Table Text Char Char Char"/>
    <w:qFormat/>
    <w:uiPriority w:val="0"/>
    <w:rPr>
      <w:rFonts w:ascii="Arial" w:hAnsi="Arial" w:eastAsia="宋体" w:cs="Arial"/>
      <w:sz w:val="18"/>
      <w:szCs w:val="18"/>
      <w:lang w:val="en-US" w:eastAsia="zh-CN" w:bidi="ar-SA"/>
    </w:rPr>
  </w:style>
  <w:style w:type="character" w:customStyle="1" w:styleId="164">
    <w:name w:val="H3 Char1"/>
    <w:qFormat/>
    <w:uiPriority w:val="0"/>
    <w:rPr>
      <w:rFonts w:eastAsia="宋体"/>
      <w:b/>
      <w:bCs/>
      <w:kern w:val="2"/>
      <w:sz w:val="21"/>
      <w:szCs w:val="32"/>
      <w:lang w:val="en-US" w:eastAsia="zh-CN" w:bidi="ar-SA"/>
    </w:rPr>
  </w:style>
  <w:style w:type="character" w:customStyle="1" w:styleId="165">
    <w:name w:val="orange_blod1"/>
    <w:qFormat/>
    <w:uiPriority w:val="0"/>
    <w:rPr>
      <w:rFonts w:hint="default" w:ascii="Verdana" w:hAnsi="Verdana"/>
      <w:b/>
      <w:bCs/>
      <w:color w:val="FF6600"/>
      <w:sz w:val="17"/>
      <w:szCs w:val="17"/>
      <w:u w:val="none"/>
    </w:rPr>
  </w:style>
  <w:style w:type="character" w:customStyle="1" w:styleId="166">
    <w:name w:val="font61"/>
    <w:qFormat/>
    <w:uiPriority w:val="0"/>
    <w:rPr>
      <w:rFonts w:hint="eastAsia" w:ascii="宋体" w:hAnsi="宋体" w:eastAsia="宋体" w:cs="宋体"/>
      <w:color w:val="000000"/>
      <w:sz w:val="28"/>
      <w:szCs w:val="28"/>
      <w:u w:val="none"/>
      <w:vertAlign w:val="superscript"/>
    </w:rPr>
  </w:style>
  <w:style w:type="character" w:customStyle="1" w:styleId="167">
    <w:name w:val="font21"/>
    <w:qFormat/>
    <w:uiPriority w:val="0"/>
    <w:rPr>
      <w:rFonts w:ascii="宋体" w:hAnsi="宋体" w:eastAsia="宋体" w:cs="宋体"/>
      <w:b/>
      <w:color w:val="000000"/>
      <w:sz w:val="20"/>
      <w:szCs w:val="20"/>
      <w:u w:val="none"/>
    </w:rPr>
  </w:style>
  <w:style w:type="character" w:customStyle="1" w:styleId="168">
    <w:name w:val="纯文本 Char"/>
    <w:qFormat/>
    <w:uiPriority w:val="99"/>
    <w:rPr>
      <w:rFonts w:ascii="宋体" w:hAnsi="Courier New" w:eastAsia="宋体"/>
      <w:kern w:val="2"/>
      <w:sz w:val="21"/>
      <w:szCs w:val="28"/>
      <w:lang w:val="en-US" w:eastAsia="zh-CN" w:bidi="ar-SA"/>
    </w:rPr>
  </w:style>
  <w:style w:type="character" w:customStyle="1" w:styleId="169">
    <w:name w:val="ca-22"/>
    <w:basedOn w:val="66"/>
    <w:qFormat/>
    <w:uiPriority w:val="0"/>
  </w:style>
  <w:style w:type="character" w:customStyle="1" w:styleId="170">
    <w:name w:val="样式 标题 6第五层条 + 三号 段前: 0.5 行 Char"/>
    <w:link w:val="171"/>
    <w:qFormat/>
    <w:uiPriority w:val="0"/>
    <w:rPr>
      <w:rFonts w:ascii="Arial" w:hAnsi="Arial" w:eastAsia="黑体" w:cs="宋体"/>
      <w:b/>
      <w:bCs/>
      <w:snapToGrid w:val="0"/>
      <w:kern w:val="24"/>
      <w:sz w:val="28"/>
      <w:szCs w:val="24"/>
      <w:lang w:val="en-US" w:eastAsia="zh-CN" w:bidi="ar-SA"/>
    </w:rPr>
  </w:style>
  <w:style w:type="paragraph" w:customStyle="1" w:styleId="171">
    <w:name w:val="样式 标题 6第五层条 + 三号 段前: 0.5 行"/>
    <w:basedOn w:val="10"/>
    <w:link w:val="170"/>
    <w:qFormat/>
    <w:uiPriority w:val="0"/>
    <w:pPr>
      <w:widowControl/>
      <w:spacing w:beforeLines="50"/>
      <w:ind w:left="1152" w:hanging="1152" w:firstLineChars="0"/>
      <w:jc w:val="left"/>
    </w:pPr>
    <w:rPr>
      <w:rFonts w:cs="宋体"/>
      <w:bCs/>
      <w:snapToGrid w:val="0"/>
      <w:kern w:val="24"/>
      <w:sz w:val="28"/>
      <w:szCs w:val="24"/>
    </w:rPr>
  </w:style>
  <w:style w:type="character" w:customStyle="1" w:styleId="172">
    <w:name w:val="标题 6 Char"/>
    <w:qFormat/>
    <w:uiPriority w:val="0"/>
    <w:rPr>
      <w:rFonts w:ascii="Arial" w:hAnsi="Arial" w:eastAsia="黑体"/>
      <w:b/>
      <w:kern w:val="2"/>
      <w:sz w:val="24"/>
      <w:szCs w:val="24"/>
      <w:lang w:val="en-US" w:eastAsia="zh-CN" w:bidi="ar-SA"/>
    </w:rPr>
  </w:style>
  <w:style w:type="character" w:customStyle="1" w:styleId="173">
    <w:name w:val="正文文本 Char"/>
    <w:qFormat/>
    <w:uiPriority w:val="1"/>
    <w:rPr>
      <w:kern w:val="2"/>
      <w:sz w:val="21"/>
      <w:szCs w:val="24"/>
      <w:lang w:bidi="ar-SA"/>
    </w:rPr>
  </w:style>
  <w:style w:type="character" w:customStyle="1" w:styleId="174">
    <w:name w:val="批注文字 Char"/>
    <w:qFormat/>
    <w:uiPriority w:val="0"/>
    <w:rPr>
      <w:rFonts w:eastAsia="宋体"/>
      <w:kern w:val="2"/>
      <w:sz w:val="21"/>
      <w:szCs w:val="24"/>
      <w:lang w:val="en-US" w:eastAsia="zh-CN" w:bidi="ar-SA"/>
    </w:rPr>
  </w:style>
  <w:style w:type="character" w:customStyle="1" w:styleId="175">
    <w:name w:val="不用8 Char1"/>
    <w:qFormat/>
    <w:uiPriority w:val="0"/>
    <w:rPr>
      <w:rFonts w:ascii="Arial" w:hAnsi="Arial" w:eastAsia="黑体"/>
      <w:kern w:val="2"/>
      <w:sz w:val="24"/>
    </w:rPr>
  </w:style>
  <w:style w:type="character" w:customStyle="1" w:styleId="176">
    <w:name w:val="页脚 Char"/>
    <w:qFormat/>
    <w:uiPriority w:val="99"/>
    <w:rPr>
      <w:rFonts w:eastAsia="宋体"/>
      <w:kern w:val="2"/>
      <w:sz w:val="18"/>
      <w:lang w:val="en-US" w:eastAsia="zh-CN" w:bidi="ar-SA"/>
    </w:rPr>
  </w:style>
  <w:style w:type="character" w:customStyle="1" w:styleId="177">
    <w:name w:val="标题 2 Char Char Char Char"/>
    <w:qFormat/>
    <w:uiPriority w:val="0"/>
    <w:rPr>
      <w:rFonts w:hint="eastAsia" w:ascii="黑体" w:hAnsi="Arial" w:eastAsia="黑体"/>
      <w:b/>
      <w:sz w:val="30"/>
      <w:szCs w:val="30"/>
      <w:lang w:val="en-US" w:eastAsia="zh-CN" w:bidi="ar-SA"/>
    </w:rPr>
  </w:style>
  <w:style w:type="character" w:customStyle="1" w:styleId="178">
    <w:name w:val="Char Char21"/>
    <w:qFormat/>
    <w:uiPriority w:val="0"/>
    <w:rPr>
      <w:rFonts w:ascii="宋体" w:hAnsi="Courier New" w:eastAsia="宋体"/>
      <w:kern w:val="2"/>
      <w:sz w:val="24"/>
      <w:lang w:val="en-US" w:eastAsia="zh-CN" w:bidi="ar-SA"/>
    </w:rPr>
  </w:style>
  <w:style w:type="character" w:customStyle="1" w:styleId="179">
    <w:name w:val="Char Char61"/>
    <w:qFormat/>
    <w:uiPriority w:val="0"/>
    <w:rPr>
      <w:rFonts w:ascii="Arial" w:hAnsi="Arial" w:eastAsia="黑体"/>
      <w:b/>
      <w:bCs/>
      <w:kern w:val="2"/>
      <w:sz w:val="32"/>
      <w:szCs w:val="32"/>
      <w:lang w:val="en-US" w:eastAsia="zh-CN" w:bidi="ar-SA"/>
    </w:rPr>
  </w:style>
  <w:style w:type="character" w:customStyle="1" w:styleId="180">
    <w:name w:val="Table Text Char Char Char Char"/>
    <w:qFormat/>
    <w:uiPriority w:val="0"/>
    <w:rPr>
      <w:rFonts w:ascii="Arial" w:hAnsi="Arial" w:cs="Arial"/>
      <w:kern w:val="2"/>
      <w:sz w:val="18"/>
      <w:szCs w:val="18"/>
      <w:lang w:val="en-US" w:eastAsia="zh-CN" w:bidi="ar-SA"/>
    </w:rPr>
  </w:style>
  <w:style w:type="character" w:customStyle="1" w:styleId="181">
    <w:name w:val="正文首行缩进 Char Char Char Char Char2"/>
    <w:qFormat/>
    <w:uiPriority w:val="0"/>
    <w:rPr>
      <w:rFonts w:eastAsia="宋体"/>
      <w:kern w:val="2"/>
      <w:sz w:val="21"/>
      <w:szCs w:val="24"/>
      <w:lang w:val="en-US" w:eastAsia="zh-CN" w:bidi="ar-SA"/>
    </w:rPr>
  </w:style>
  <w:style w:type="character" w:customStyle="1" w:styleId="182">
    <w:name w:val="不用 Char1"/>
    <w:qFormat/>
    <w:uiPriority w:val="0"/>
    <w:rPr>
      <w:b/>
      <w:kern w:val="2"/>
      <w:sz w:val="24"/>
    </w:rPr>
  </w:style>
  <w:style w:type="character" w:customStyle="1" w:styleId="183">
    <w:name w:val="标题 7 Char"/>
    <w:qFormat/>
    <w:uiPriority w:val="0"/>
    <w:rPr>
      <w:rFonts w:eastAsia="宋体"/>
      <w:b/>
      <w:kern w:val="2"/>
      <w:sz w:val="24"/>
      <w:szCs w:val="24"/>
      <w:lang w:val="en-US" w:eastAsia="zh-CN" w:bidi="ar-SA"/>
    </w:rPr>
  </w:style>
  <w:style w:type="character" w:customStyle="1" w:styleId="184">
    <w:name w:val="h Char Char2"/>
    <w:qFormat/>
    <w:uiPriority w:val="0"/>
    <w:rPr>
      <w:kern w:val="2"/>
      <w:sz w:val="18"/>
      <w:szCs w:val="18"/>
    </w:rPr>
  </w:style>
  <w:style w:type="character" w:customStyle="1" w:styleId="185">
    <w:name w:val="font51"/>
    <w:qFormat/>
    <w:uiPriority w:val="0"/>
    <w:rPr>
      <w:rFonts w:hint="eastAsia" w:ascii="宋体" w:hAnsi="宋体" w:eastAsia="宋体" w:cs="宋体"/>
      <w:color w:val="000000"/>
      <w:sz w:val="21"/>
      <w:szCs w:val="21"/>
      <w:u w:val="none"/>
    </w:rPr>
  </w:style>
  <w:style w:type="character" w:customStyle="1" w:styleId="186">
    <w:name w:val="v151"/>
    <w:qFormat/>
    <w:uiPriority w:val="0"/>
    <w:rPr>
      <w:sz w:val="18"/>
    </w:rPr>
  </w:style>
  <w:style w:type="character" w:customStyle="1" w:styleId="187">
    <w:name w:val="标准文本 Char"/>
    <w:link w:val="188"/>
    <w:qFormat/>
    <w:uiPriority w:val="0"/>
    <w:rPr>
      <w:rFonts w:ascii="Calibri" w:hAnsi="Calibri" w:eastAsia="仿宋_GB2312"/>
      <w:kern w:val="2"/>
      <w:sz w:val="24"/>
    </w:rPr>
  </w:style>
  <w:style w:type="paragraph" w:customStyle="1" w:styleId="188">
    <w:name w:val="标准文本"/>
    <w:basedOn w:val="1"/>
    <w:link w:val="187"/>
    <w:qFormat/>
    <w:uiPriority w:val="0"/>
    <w:pPr>
      <w:spacing w:line="360" w:lineRule="auto"/>
      <w:ind w:firstLine="480"/>
    </w:pPr>
    <w:rPr>
      <w:rFonts w:ascii="Calibri" w:hAnsi="Calibri" w:eastAsia="仿宋_GB2312"/>
      <w:szCs w:val="20"/>
    </w:rPr>
  </w:style>
  <w:style w:type="character" w:customStyle="1" w:styleId="189">
    <w:name w:val="标题1"/>
    <w:basedOn w:val="66"/>
    <w:qFormat/>
    <w:uiPriority w:val="0"/>
  </w:style>
  <w:style w:type="character" w:customStyle="1" w:styleId="190">
    <w:name w:val="protextfont"/>
    <w:basedOn w:val="66"/>
    <w:qFormat/>
    <w:uiPriority w:val="0"/>
  </w:style>
  <w:style w:type="character" w:customStyle="1" w:styleId="191">
    <w:name w:val="未命名11"/>
    <w:qFormat/>
    <w:uiPriority w:val="0"/>
    <w:rPr>
      <w:color w:val="77FFFF"/>
      <w:sz w:val="24"/>
      <w:szCs w:val="24"/>
    </w:rPr>
  </w:style>
  <w:style w:type="character" w:customStyle="1" w:styleId="192">
    <w:name w:val="H2 Char1"/>
    <w:qFormat/>
    <w:uiPriority w:val="0"/>
    <w:rPr>
      <w:rFonts w:ascii="Arial" w:hAnsi="Arial" w:eastAsia="黑体"/>
      <w:b/>
      <w:bCs/>
      <w:kern w:val="2"/>
      <w:sz w:val="32"/>
      <w:szCs w:val="32"/>
      <w:lang w:val="en-US" w:eastAsia="zh-CN" w:bidi="ar-SA"/>
    </w:rPr>
  </w:style>
  <w:style w:type="character" w:customStyle="1" w:styleId="193">
    <w:name w:val="gray121"/>
    <w:qFormat/>
    <w:uiPriority w:val="0"/>
    <w:rPr>
      <w:color w:val="666666"/>
      <w:sz w:val="18"/>
      <w:szCs w:val="18"/>
    </w:rPr>
  </w:style>
  <w:style w:type="character" w:customStyle="1" w:styleId="194">
    <w:name w:val="font1"/>
    <w:qFormat/>
    <w:uiPriority w:val="0"/>
    <w:rPr>
      <w:color w:val="000000"/>
      <w:sz w:val="18"/>
      <w:szCs w:val="18"/>
    </w:rPr>
  </w:style>
  <w:style w:type="character" w:customStyle="1" w:styleId="195">
    <w:name w:val="正文文本缩进 2 Char"/>
    <w:qFormat/>
    <w:uiPriority w:val="0"/>
    <w:rPr>
      <w:kern w:val="2"/>
      <w:sz w:val="21"/>
      <w:lang w:bidi="ar-SA"/>
    </w:rPr>
  </w:style>
  <w:style w:type="character" w:customStyle="1" w:styleId="196">
    <w:name w:val="标题 9 Char"/>
    <w:qFormat/>
    <w:uiPriority w:val="0"/>
    <w:rPr>
      <w:rFonts w:ascii="Arial" w:hAnsi="Arial" w:eastAsia="黑体"/>
      <w:kern w:val="2"/>
      <w:sz w:val="21"/>
      <w:szCs w:val="24"/>
      <w:lang w:val="en-US" w:eastAsia="zh-CN" w:bidi="ar-SA"/>
    </w:rPr>
  </w:style>
  <w:style w:type="character" w:customStyle="1" w:styleId="197">
    <w:name w:val="Table Text Char"/>
    <w:qFormat/>
    <w:uiPriority w:val="0"/>
    <w:rPr>
      <w:rFonts w:ascii="Arial" w:hAnsi="Arial" w:eastAsia="宋体"/>
      <w:sz w:val="18"/>
      <w:lang w:val="en-US" w:eastAsia="zh-CN" w:bidi="ar-SA"/>
    </w:rPr>
  </w:style>
  <w:style w:type="character" w:customStyle="1" w:styleId="198">
    <w:name w:val="blacklink_text1"/>
    <w:qFormat/>
    <w:uiPriority w:val="0"/>
    <w:rPr>
      <w:color w:val="0E0E0E"/>
      <w:sz w:val="18"/>
      <w:szCs w:val="18"/>
    </w:rPr>
  </w:style>
  <w:style w:type="character" w:customStyle="1" w:styleId="199">
    <w:name w:val="日期 Char"/>
    <w:qFormat/>
    <w:uiPriority w:val="0"/>
    <w:rPr>
      <w:rFonts w:ascii="宋体"/>
      <w:kern w:val="2"/>
      <w:sz w:val="24"/>
      <w:lang w:bidi="ar-SA"/>
    </w:rPr>
  </w:style>
  <w:style w:type="character" w:customStyle="1" w:styleId="200">
    <w:name w:val="fy21"/>
    <w:qFormat/>
    <w:uiPriority w:val="0"/>
    <w:rPr>
      <w:rFonts w:hint="default" w:ascii="Verdana" w:hAnsi="Verdana"/>
      <w:color w:val="0063C7"/>
      <w:sz w:val="18"/>
      <w:szCs w:val="18"/>
    </w:rPr>
  </w:style>
  <w:style w:type="character" w:customStyle="1" w:styleId="201">
    <w:name w:val="line"/>
    <w:basedOn w:val="66"/>
    <w:qFormat/>
    <w:uiPriority w:val="0"/>
  </w:style>
  <w:style w:type="character" w:customStyle="1" w:styleId="202">
    <w:name w:val="style81"/>
    <w:qFormat/>
    <w:uiPriority w:val="0"/>
    <w:rPr>
      <w:sz w:val="21"/>
      <w:szCs w:val="21"/>
    </w:rPr>
  </w:style>
  <w:style w:type="character" w:customStyle="1" w:styleId="203">
    <w:name w:val="apple-style-span"/>
    <w:basedOn w:val="66"/>
    <w:qFormat/>
    <w:uiPriority w:val="0"/>
  </w:style>
  <w:style w:type="character" w:customStyle="1" w:styleId="204">
    <w:name w:val="不明显强调1"/>
    <w:qFormat/>
    <w:uiPriority w:val="0"/>
    <w:rPr>
      <w:i/>
      <w:iCs/>
      <w:color w:val="808080"/>
    </w:rPr>
  </w:style>
  <w:style w:type="character" w:customStyle="1" w:styleId="205">
    <w:name w:val="页脚 Char1"/>
    <w:qFormat/>
    <w:uiPriority w:val="0"/>
    <w:rPr>
      <w:kern w:val="2"/>
      <w:sz w:val="18"/>
      <w:szCs w:val="18"/>
    </w:rPr>
  </w:style>
  <w:style w:type="character" w:customStyle="1" w:styleId="206">
    <w:name w:val="正文内容 Char"/>
    <w:link w:val="207"/>
    <w:qFormat/>
    <w:uiPriority w:val="0"/>
    <w:rPr>
      <w:kern w:val="2"/>
      <w:sz w:val="24"/>
      <w:lang w:bidi="ar-SA"/>
    </w:rPr>
  </w:style>
  <w:style w:type="paragraph" w:customStyle="1" w:styleId="207">
    <w:name w:val="正文内容"/>
    <w:basedOn w:val="1"/>
    <w:link w:val="206"/>
    <w:qFormat/>
    <w:uiPriority w:val="0"/>
    <w:pPr>
      <w:spacing w:beforeLines="50" w:afterLines="50" w:line="360" w:lineRule="auto"/>
      <w:ind w:firstLine="480"/>
    </w:pPr>
    <w:rPr>
      <w:szCs w:val="20"/>
    </w:rPr>
  </w:style>
  <w:style w:type="character" w:customStyle="1" w:styleId="208">
    <w:name w:val="正文首行缩进 2 Char"/>
    <w:qFormat/>
    <w:uiPriority w:val="0"/>
    <w:rPr>
      <w:rFonts w:ascii="宋体" w:hAnsi="宋体" w:eastAsia="仿宋_GB2312"/>
      <w:kern w:val="2"/>
      <w:sz w:val="24"/>
      <w:szCs w:val="21"/>
      <w:lang w:bidi="ar-SA"/>
    </w:rPr>
  </w:style>
  <w:style w:type="character" w:customStyle="1" w:styleId="209">
    <w:name w:val="正文文字 Char1"/>
    <w:qFormat/>
    <w:uiPriority w:val="0"/>
    <w:rPr>
      <w:kern w:val="2"/>
      <w:sz w:val="21"/>
      <w:szCs w:val="24"/>
    </w:rPr>
  </w:style>
  <w:style w:type="character" w:customStyle="1" w:styleId="210">
    <w:name w:val="top-det1"/>
    <w:qFormat/>
    <w:uiPriority w:val="0"/>
    <w:rPr>
      <w:b/>
      <w:bCs/>
      <w:color w:val="000000"/>
    </w:rPr>
  </w:style>
  <w:style w:type="character" w:customStyle="1" w:styleId="211">
    <w:name w:val="font71"/>
    <w:qFormat/>
    <w:uiPriority w:val="0"/>
    <w:rPr>
      <w:rFonts w:hint="eastAsia" w:ascii="宋体" w:hAnsi="宋体" w:eastAsia="宋体" w:cs="宋体"/>
      <w:color w:val="000000"/>
      <w:sz w:val="28"/>
      <w:szCs w:val="28"/>
      <w:u w:val="none"/>
    </w:rPr>
  </w:style>
  <w:style w:type="character" w:customStyle="1" w:styleId="212">
    <w:name w:val="文字 Char"/>
    <w:link w:val="213"/>
    <w:qFormat/>
    <w:uiPriority w:val="0"/>
    <w:rPr>
      <w:rFonts w:ascii="宋体" w:hAnsi="宋体"/>
      <w:kern w:val="2"/>
      <w:sz w:val="28"/>
      <w:lang w:bidi="ar-SA"/>
    </w:rPr>
  </w:style>
  <w:style w:type="paragraph" w:customStyle="1" w:styleId="213">
    <w:name w:val="文字"/>
    <w:basedOn w:val="1"/>
    <w:link w:val="212"/>
    <w:qFormat/>
    <w:uiPriority w:val="0"/>
    <w:pPr>
      <w:tabs>
        <w:tab w:val="left" w:pos="8520"/>
      </w:tabs>
      <w:spacing w:line="312" w:lineRule="auto"/>
      <w:ind w:right="-210" w:firstLine="556" w:firstLineChars="0"/>
    </w:pPr>
    <w:rPr>
      <w:rFonts w:ascii="宋体" w:hAnsi="宋体"/>
      <w:sz w:val="28"/>
      <w:szCs w:val="20"/>
    </w:rPr>
  </w:style>
  <w:style w:type="character" w:customStyle="1" w:styleId="214">
    <w:name w:val="biaolan_12"/>
    <w:qFormat/>
    <w:uiPriority w:val="0"/>
  </w:style>
  <w:style w:type="character" w:customStyle="1" w:styleId="215">
    <w:name w:val="z-窗体顶端 字符"/>
    <w:link w:val="216"/>
    <w:qFormat/>
    <w:uiPriority w:val="0"/>
    <w:rPr>
      <w:rFonts w:ascii="Calibri" w:hAnsi="Calibri"/>
      <w:kern w:val="2"/>
      <w:sz w:val="21"/>
      <w:szCs w:val="22"/>
    </w:rPr>
  </w:style>
  <w:style w:type="paragraph" w:customStyle="1" w:styleId="216">
    <w:name w:val="z-窗体顶端1"/>
    <w:basedOn w:val="1"/>
    <w:link w:val="215"/>
    <w:qFormat/>
    <w:uiPriority w:val="0"/>
    <w:pPr>
      <w:spacing w:line="240" w:lineRule="auto"/>
      <w:ind w:firstLine="420"/>
    </w:pPr>
    <w:rPr>
      <w:rFonts w:ascii="Calibri" w:hAnsi="Calibri"/>
      <w:sz w:val="21"/>
      <w:szCs w:val="22"/>
    </w:rPr>
  </w:style>
  <w:style w:type="character" w:customStyle="1" w:styleId="217">
    <w:name w:val="font91"/>
    <w:qFormat/>
    <w:uiPriority w:val="0"/>
    <w:rPr>
      <w:rFonts w:hint="eastAsia" w:ascii="宋体" w:hAnsi="宋体" w:eastAsia="宋体" w:cs="宋体"/>
      <w:color w:val="000000"/>
      <w:sz w:val="24"/>
      <w:szCs w:val="24"/>
      <w:u w:val="none"/>
      <w:vertAlign w:val="superscript"/>
    </w:rPr>
  </w:style>
  <w:style w:type="character" w:customStyle="1" w:styleId="218">
    <w:name w:val="消息标题标签"/>
    <w:qFormat/>
    <w:uiPriority w:val="0"/>
    <w:rPr>
      <w:rFonts w:ascii="Arial" w:hAnsi="Arial"/>
      <w:b/>
      <w:spacing w:val="-4"/>
      <w:sz w:val="18"/>
      <w:lang w:eastAsia="zh-CN"/>
    </w:rPr>
  </w:style>
  <w:style w:type="character" w:customStyle="1" w:styleId="219">
    <w:name w:val="font41"/>
    <w:qFormat/>
    <w:uiPriority w:val="0"/>
    <w:rPr>
      <w:rFonts w:hint="eastAsia" w:ascii="宋体" w:hAnsi="宋体" w:eastAsia="宋体" w:cs="宋体"/>
      <w:color w:val="000000"/>
      <w:sz w:val="28"/>
      <w:szCs w:val="28"/>
      <w:u w:val="none"/>
      <w:vertAlign w:val="superscript"/>
    </w:rPr>
  </w:style>
  <w:style w:type="character" w:customStyle="1" w:styleId="220">
    <w:name w:val="Footer-Even Char1"/>
    <w:qFormat/>
    <w:uiPriority w:val="0"/>
    <w:rPr>
      <w:rFonts w:eastAsia="宋体"/>
      <w:kern w:val="2"/>
      <w:sz w:val="18"/>
      <w:lang w:val="en-US" w:eastAsia="zh-CN" w:bidi="ar-SA"/>
    </w:rPr>
  </w:style>
  <w:style w:type="character" w:customStyle="1" w:styleId="221">
    <w:name w:val="hei16b"/>
    <w:basedOn w:val="66"/>
    <w:qFormat/>
    <w:uiPriority w:val="0"/>
  </w:style>
  <w:style w:type="character" w:customStyle="1" w:styleId="222">
    <w:name w:val="font31"/>
    <w:qFormat/>
    <w:uiPriority w:val="0"/>
    <w:rPr>
      <w:rFonts w:hint="eastAsia" w:ascii="宋体" w:hAnsi="宋体" w:eastAsia="宋体" w:cs="宋体"/>
      <w:color w:val="000000"/>
      <w:sz w:val="18"/>
      <w:szCs w:val="18"/>
      <w:u w:val="none"/>
    </w:rPr>
  </w:style>
  <w:style w:type="character" w:customStyle="1" w:styleId="223">
    <w:name w:val="第三层条 Char"/>
    <w:qFormat/>
    <w:uiPriority w:val="0"/>
    <w:rPr>
      <w:rFonts w:ascii="Arial" w:hAnsi="Arial" w:eastAsia="黑体"/>
      <w:b/>
      <w:bCs/>
      <w:kern w:val="2"/>
      <w:sz w:val="28"/>
      <w:szCs w:val="28"/>
      <w:lang w:val="en-US" w:eastAsia="zh-CN" w:bidi="ar-SA"/>
    </w:rPr>
  </w:style>
  <w:style w:type="character" w:customStyle="1" w:styleId="224">
    <w:name w:val="标题 Char"/>
    <w:qFormat/>
    <w:uiPriority w:val="0"/>
    <w:rPr>
      <w:rFonts w:ascii="Arial" w:hAnsi="Arial"/>
      <w:b/>
      <w:smallCaps/>
      <w:kern w:val="28"/>
      <w:sz w:val="36"/>
      <w:lang w:eastAsia="en-US" w:bidi="ar-SA"/>
    </w:rPr>
  </w:style>
  <w:style w:type="character" w:customStyle="1" w:styleId="225">
    <w:name w:val="正文文字 Char2"/>
    <w:qFormat/>
    <w:uiPriority w:val="0"/>
    <w:rPr>
      <w:kern w:val="2"/>
      <w:sz w:val="21"/>
      <w:szCs w:val="24"/>
    </w:rPr>
  </w:style>
  <w:style w:type="character" w:customStyle="1" w:styleId="226">
    <w:name w:val="font141"/>
    <w:qFormat/>
    <w:uiPriority w:val="0"/>
  </w:style>
  <w:style w:type="character" w:customStyle="1" w:styleId="227">
    <w:name w:val="HTML 预设格式 Char"/>
    <w:qFormat/>
    <w:uiPriority w:val="0"/>
    <w:rPr>
      <w:rFonts w:ascii="宋体" w:hAnsi="宋体"/>
      <w:sz w:val="24"/>
      <w:szCs w:val="24"/>
      <w:lang w:bidi="ar-SA"/>
    </w:rPr>
  </w:style>
  <w:style w:type="character" w:customStyle="1" w:styleId="228">
    <w:name w:val="Char Char20"/>
    <w:qFormat/>
    <w:uiPriority w:val="0"/>
    <w:rPr>
      <w:rFonts w:ascii="宋体" w:hAnsi="Courier New" w:eastAsia="宋体"/>
      <w:kern w:val="2"/>
      <w:sz w:val="24"/>
      <w:szCs w:val="28"/>
      <w:lang w:val="en-US" w:eastAsia="zh-CN" w:bidi="ar-SA"/>
    </w:rPr>
  </w:style>
  <w:style w:type="character" w:customStyle="1" w:styleId="229">
    <w:name w:val="Document Map Char"/>
    <w:qFormat/>
    <w:uiPriority w:val="0"/>
    <w:rPr>
      <w:rFonts w:ascii="宋体" w:hAnsi="Calibri" w:eastAsia="宋体"/>
      <w:kern w:val="2"/>
      <w:sz w:val="18"/>
      <w:szCs w:val="18"/>
      <w:lang w:val="en-US" w:eastAsia="zh-CN" w:bidi="ar-SA"/>
    </w:rPr>
  </w:style>
  <w:style w:type="character" w:customStyle="1" w:styleId="230">
    <w:name w:val="文档结构图 Char"/>
    <w:qFormat/>
    <w:uiPriority w:val="0"/>
    <w:rPr>
      <w:kern w:val="2"/>
      <w:sz w:val="21"/>
      <w:szCs w:val="24"/>
      <w:shd w:val="clear" w:color="auto" w:fill="000080"/>
      <w:lang w:bidi="ar-SA"/>
    </w:rPr>
  </w:style>
  <w:style w:type="character" w:customStyle="1" w:styleId="231">
    <w:name w:val="副标题 Char"/>
    <w:qFormat/>
    <w:uiPriority w:val="0"/>
    <w:rPr>
      <w:rFonts w:ascii="Cambria" w:hAnsi="Cambria"/>
      <w:b/>
      <w:bCs/>
      <w:kern w:val="28"/>
      <w:sz w:val="32"/>
      <w:szCs w:val="32"/>
      <w:lang w:bidi="ar-SA"/>
    </w:rPr>
  </w:style>
  <w:style w:type="character" w:customStyle="1" w:styleId="232">
    <w:name w:val="正文-1 Char"/>
    <w:link w:val="233"/>
    <w:qFormat/>
    <w:uiPriority w:val="0"/>
    <w:rPr>
      <w:rFonts w:eastAsia="仿宋_GB2312"/>
      <w:kern w:val="2"/>
      <w:sz w:val="28"/>
      <w:szCs w:val="28"/>
      <w:lang w:bidi="ar-SA"/>
    </w:rPr>
  </w:style>
  <w:style w:type="paragraph" w:customStyle="1" w:styleId="233">
    <w:name w:val="正文-1"/>
    <w:basedOn w:val="1"/>
    <w:link w:val="232"/>
    <w:qFormat/>
    <w:uiPriority w:val="0"/>
    <w:pPr>
      <w:spacing w:line="360" w:lineRule="auto"/>
      <w:ind w:firstLine="560"/>
    </w:pPr>
    <w:rPr>
      <w:rFonts w:eastAsia="仿宋_GB2312"/>
      <w:sz w:val="28"/>
      <w:szCs w:val="28"/>
    </w:rPr>
  </w:style>
  <w:style w:type="character" w:customStyle="1" w:styleId="234">
    <w:name w:val="章节 Char1"/>
    <w:qFormat/>
    <w:uiPriority w:val="0"/>
    <w:rPr>
      <w:rFonts w:ascii="宋体"/>
      <w:b/>
      <w:kern w:val="28"/>
      <w:sz w:val="36"/>
      <w:lang w:val="en-US" w:eastAsia="zh-CN" w:bidi="ar-SA"/>
    </w:rPr>
  </w:style>
  <w:style w:type="character" w:customStyle="1" w:styleId="235">
    <w:name w:val="ca-31"/>
    <w:qFormat/>
    <w:uiPriority w:val="0"/>
    <w:rPr>
      <w:rFonts w:hint="default" w:ascii="??" w:hAnsi="??"/>
      <w:sz w:val="24"/>
      <w:szCs w:val="24"/>
    </w:rPr>
  </w:style>
  <w:style w:type="character" w:customStyle="1" w:styleId="236">
    <w:name w:val="日期 Char1"/>
    <w:qFormat/>
    <w:uiPriority w:val="0"/>
    <w:rPr>
      <w:rFonts w:ascii="宋体"/>
      <w:kern w:val="2"/>
      <w:sz w:val="24"/>
    </w:rPr>
  </w:style>
  <w:style w:type="character" w:customStyle="1" w:styleId="237">
    <w:name w:val="纯文本 Char1"/>
    <w:qFormat/>
    <w:uiPriority w:val="0"/>
    <w:rPr>
      <w:rFonts w:ascii="宋体" w:hAnsi="Courier New"/>
      <w:kern w:val="2"/>
      <w:sz w:val="24"/>
    </w:rPr>
  </w:style>
  <w:style w:type="character" w:customStyle="1" w:styleId="238">
    <w:name w:val="font101"/>
    <w:qFormat/>
    <w:uiPriority w:val="0"/>
    <w:rPr>
      <w:rFonts w:hint="eastAsia" w:ascii="宋体" w:hAnsi="宋体" w:eastAsia="宋体" w:cs="宋体"/>
      <w:color w:val="FF0000"/>
      <w:sz w:val="24"/>
      <w:szCs w:val="24"/>
      <w:u w:val="none"/>
      <w:vertAlign w:val="superscript"/>
    </w:rPr>
  </w:style>
  <w:style w:type="character" w:customStyle="1" w:styleId="239">
    <w:name w:val="DAS正文 Char"/>
    <w:link w:val="240"/>
    <w:qFormat/>
    <w:uiPriority w:val="0"/>
    <w:rPr>
      <w:rFonts w:ascii="Verdana" w:hAnsi="Verdana"/>
      <w:kern w:val="2"/>
      <w:sz w:val="21"/>
      <w:szCs w:val="21"/>
      <w:lang w:bidi="ar-SA"/>
    </w:rPr>
  </w:style>
  <w:style w:type="paragraph" w:customStyle="1" w:styleId="240">
    <w:name w:val="DAS正文"/>
    <w:basedOn w:val="1"/>
    <w:link w:val="239"/>
    <w:qFormat/>
    <w:uiPriority w:val="0"/>
    <w:pPr>
      <w:spacing w:line="240" w:lineRule="auto"/>
      <w:ind w:right="-2" w:firstLine="360"/>
    </w:pPr>
    <w:rPr>
      <w:rFonts w:ascii="Verdana" w:hAnsi="Verdana"/>
      <w:sz w:val="21"/>
      <w:szCs w:val="21"/>
    </w:rPr>
  </w:style>
  <w:style w:type="character" w:customStyle="1" w:styleId="241">
    <w:name w:val="141"/>
    <w:qFormat/>
    <w:uiPriority w:val="0"/>
    <w:rPr>
      <w:color w:val="333333"/>
      <w:sz w:val="21"/>
      <w:szCs w:val="21"/>
      <w:u w:val="none"/>
    </w:rPr>
  </w:style>
  <w:style w:type="character" w:customStyle="1" w:styleId="242">
    <w:name w:val="卷标题 Char1"/>
    <w:qFormat/>
    <w:uiPriority w:val="0"/>
    <w:rPr>
      <w:rFonts w:eastAsia="宋体"/>
      <w:b/>
      <w:bCs/>
      <w:kern w:val="44"/>
      <w:sz w:val="44"/>
      <w:szCs w:val="44"/>
      <w:lang w:val="en-US" w:eastAsia="zh-CN" w:bidi="ar-SA"/>
    </w:rPr>
  </w:style>
  <w:style w:type="character" w:customStyle="1" w:styleId="243">
    <w:name w:val="ca-21"/>
    <w:qFormat/>
    <w:uiPriority w:val="0"/>
    <w:rPr>
      <w:rFonts w:hint="eastAsia" w:ascii="宋体" w:hAnsi="宋体" w:eastAsia="宋体"/>
      <w:sz w:val="24"/>
      <w:szCs w:val="24"/>
    </w:rPr>
  </w:style>
  <w:style w:type="character" w:customStyle="1" w:styleId="244">
    <w:name w:val="Body Char"/>
    <w:link w:val="245"/>
    <w:qFormat/>
    <w:uiPriority w:val="0"/>
    <w:rPr>
      <w:rFonts w:ascii="宋体" w:hAnsi="宋体"/>
      <w:sz w:val="21"/>
      <w:szCs w:val="21"/>
    </w:rPr>
  </w:style>
  <w:style w:type="paragraph" w:customStyle="1" w:styleId="245">
    <w:name w:val="Body"/>
    <w:basedOn w:val="1"/>
    <w:link w:val="244"/>
    <w:qFormat/>
    <w:uiPriority w:val="0"/>
    <w:pPr>
      <w:widowControl/>
      <w:tabs>
        <w:tab w:val="left" w:pos="420"/>
        <w:tab w:val="left" w:pos="9356"/>
      </w:tabs>
      <w:spacing w:before="80" w:after="80" w:line="360" w:lineRule="auto"/>
      <w:ind w:left="420" w:hanging="420" w:firstLineChars="0"/>
    </w:pPr>
    <w:rPr>
      <w:rFonts w:ascii="宋体" w:hAnsi="宋体"/>
      <w:kern w:val="0"/>
      <w:sz w:val="21"/>
      <w:szCs w:val="21"/>
    </w:rPr>
  </w:style>
  <w:style w:type="character" w:customStyle="1" w:styleId="246">
    <w:name w:val="h Char Char1"/>
    <w:qFormat/>
    <w:uiPriority w:val="0"/>
    <w:rPr>
      <w:kern w:val="2"/>
      <w:sz w:val="18"/>
      <w:szCs w:val="18"/>
    </w:rPr>
  </w:style>
  <w:style w:type="character" w:customStyle="1" w:styleId="247">
    <w:name w:val="Char Char22"/>
    <w:qFormat/>
    <w:uiPriority w:val="0"/>
    <w:rPr>
      <w:rFonts w:eastAsia="宋体"/>
      <w:kern w:val="2"/>
      <w:sz w:val="18"/>
      <w:szCs w:val="18"/>
      <w:lang w:val="en-US" w:eastAsia="zh-CN" w:bidi="ar-SA"/>
    </w:rPr>
  </w:style>
  <w:style w:type="character" w:customStyle="1" w:styleId="248">
    <w:name w:val="三级标题 Char1"/>
    <w:qFormat/>
    <w:uiPriority w:val="0"/>
    <w:rPr>
      <w:rFonts w:ascii="Arial" w:hAnsi="Arial" w:eastAsia="黑体"/>
      <w:kern w:val="2"/>
      <w:sz w:val="21"/>
    </w:rPr>
  </w:style>
  <w:style w:type="character" w:customStyle="1" w:styleId="249">
    <w:name w:val="批注框文本 Char"/>
    <w:qFormat/>
    <w:uiPriority w:val="99"/>
    <w:rPr>
      <w:kern w:val="2"/>
      <w:sz w:val="18"/>
      <w:szCs w:val="18"/>
      <w:lang w:bidi="ar-SA"/>
    </w:rPr>
  </w:style>
  <w:style w:type="character" w:customStyle="1" w:styleId="250">
    <w:name w:val="Footer Char"/>
    <w:qFormat/>
    <w:uiPriority w:val="0"/>
    <w:rPr>
      <w:rFonts w:ascii="Calibri" w:hAnsi="Calibri" w:eastAsia="宋体"/>
      <w:sz w:val="18"/>
      <w:szCs w:val="18"/>
      <w:lang w:val="en-US" w:eastAsia="zh-CN" w:bidi="ar-SA"/>
    </w:rPr>
  </w:style>
  <w:style w:type="character" w:customStyle="1" w:styleId="251">
    <w:name w:val="PIM 6 Char2"/>
    <w:qFormat/>
    <w:uiPriority w:val="0"/>
    <w:rPr>
      <w:rFonts w:ascii="Arial" w:hAnsi="Arial" w:eastAsia="黑体"/>
      <w:b/>
      <w:kern w:val="2"/>
      <w:sz w:val="24"/>
    </w:rPr>
  </w:style>
  <w:style w:type="character" w:customStyle="1" w:styleId="252">
    <w:name w:val="不用 Char2"/>
    <w:qFormat/>
    <w:uiPriority w:val="0"/>
    <w:rPr>
      <w:b/>
      <w:kern w:val="2"/>
      <w:sz w:val="24"/>
    </w:rPr>
  </w:style>
  <w:style w:type="character" w:customStyle="1" w:styleId="253">
    <w:name w:val="mode1"/>
    <w:qFormat/>
    <w:uiPriority w:val="0"/>
    <w:rPr>
      <w:color w:val="444444"/>
      <w:sz w:val="18"/>
      <w:szCs w:val="18"/>
    </w:rPr>
  </w:style>
  <w:style w:type="character" w:customStyle="1" w:styleId="254">
    <w:name w:val="三级标题 Char2"/>
    <w:qFormat/>
    <w:uiPriority w:val="0"/>
    <w:rPr>
      <w:rFonts w:ascii="Arial" w:hAnsi="Arial" w:eastAsia="黑体"/>
      <w:kern w:val="2"/>
      <w:sz w:val="24"/>
    </w:rPr>
  </w:style>
  <w:style w:type="character" w:customStyle="1" w:styleId="255">
    <w:name w:val="文档正文 Char"/>
    <w:link w:val="256"/>
    <w:qFormat/>
    <w:locked/>
    <w:uiPriority w:val="0"/>
    <w:rPr>
      <w:rFonts w:ascii="长城仿宋" w:eastAsia="长城仿宋"/>
      <w:sz w:val="28"/>
    </w:rPr>
  </w:style>
  <w:style w:type="paragraph" w:customStyle="1" w:styleId="256">
    <w:name w:val="文档正文"/>
    <w:basedOn w:val="1"/>
    <w:link w:val="255"/>
    <w:qFormat/>
    <w:uiPriority w:val="0"/>
    <w:pPr>
      <w:adjustRightInd w:val="0"/>
      <w:spacing w:line="312" w:lineRule="atLeast"/>
      <w:ind w:firstLine="567"/>
      <w:textAlignment w:val="baseline"/>
    </w:pPr>
    <w:rPr>
      <w:rFonts w:ascii="长城仿宋" w:eastAsia="长城仿宋"/>
      <w:kern w:val="0"/>
      <w:sz w:val="28"/>
      <w:szCs w:val="20"/>
    </w:rPr>
  </w:style>
  <w:style w:type="character" w:customStyle="1" w:styleId="257">
    <w:name w:val="表 Char"/>
    <w:link w:val="258"/>
    <w:qFormat/>
    <w:locked/>
    <w:uiPriority w:val="0"/>
    <w:rPr>
      <w:rFonts w:eastAsia="黑体"/>
      <w:b/>
      <w:sz w:val="24"/>
    </w:rPr>
  </w:style>
  <w:style w:type="paragraph" w:customStyle="1" w:styleId="258">
    <w:name w:val="表"/>
    <w:basedOn w:val="1"/>
    <w:next w:val="256"/>
    <w:link w:val="257"/>
    <w:qFormat/>
    <w:uiPriority w:val="0"/>
    <w:pPr>
      <w:widowControl/>
      <w:tabs>
        <w:tab w:val="left" w:pos="680"/>
      </w:tabs>
      <w:adjustRightInd w:val="0"/>
      <w:spacing w:before="60" w:after="60" w:line="360" w:lineRule="atLeast"/>
      <w:ind w:left="680" w:firstLine="0" w:firstLineChars="0"/>
      <w:jc w:val="center"/>
      <w:textAlignment w:val="baseline"/>
    </w:pPr>
    <w:rPr>
      <w:rFonts w:eastAsia="黑体"/>
      <w:b/>
      <w:kern w:val="0"/>
      <w:szCs w:val="20"/>
    </w:rPr>
  </w:style>
  <w:style w:type="character" w:customStyle="1" w:styleId="259">
    <w:name w:val="图 Char"/>
    <w:link w:val="260"/>
    <w:qFormat/>
    <w:uiPriority w:val="0"/>
    <w:rPr>
      <w:rFonts w:eastAsia="华文中宋"/>
      <w:b/>
      <w:color w:val="E36C0A"/>
      <w:kern w:val="2"/>
      <w:sz w:val="24"/>
      <w:szCs w:val="24"/>
    </w:rPr>
  </w:style>
  <w:style w:type="paragraph" w:customStyle="1" w:styleId="260">
    <w:name w:val="图"/>
    <w:basedOn w:val="1"/>
    <w:next w:val="1"/>
    <w:link w:val="259"/>
    <w:qFormat/>
    <w:uiPriority w:val="0"/>
    <w:pPr>
      <w:tabs>
        <w:tab w:val="left" w:pos="680"/>
      </w:tabs>
      <w:ind w:left="680" w:hanging="680"/>
      <w:jc w:val="center"/>
    </w:pPr>
    <w:rPr>
      <w:rFonts w:eastAsia="华文中宋"/>
      <w:b/>
      <w:color w:val="E36C0A"/>
    </w:rPr>
  </w:style>
  <w:style w:type="character" w:customStyle="1" w:styleId="261">
    <w:name w:val="图表题注样式 Char"/>
    <w:link w:val="262"/>
    <w:qFormat/>
    <w:uiPriority w:val="0"/>
    <w:rPr>
      <w:rFonts w:ascii="Cambria" w:hAnsi="Cambria" w:eastAsia="黑体" w:cs="宋体"/>
      <w:b/>
      <w:kern w:val="2"/>
      <w:sz w:val="21"/>
      <w:szCs w:val="21"/>
    </w:rPr>
  </w:style>
  <w:style w:type="paragraph" w:customStyle="1" w:styleId="262">
    <w:name w:val="图表题注样式"/>
    <w:basedOn w:val="19"/>
    <w:link w:val="261"/>
    <w:qFormat/>
    <w:uiPriority w:val="0"/>
    <w:pPr>
      <w:adjustRightInd/>
      <w:snapToGrid/>
      <w:spacing w:before="0" w:after="0" w:line="360" w:lineRule="auto"/>
      <w:textAlignment w:val="auto"/>
    </w:pPr>
    <w:rPr>
      <w:rFonts w:ascii="Cambria" w:hAnsi="Cambria" w:eastAsia="黑体"/>
      <w:kern w:val="2"/>
      <w:sz w:val="21"/>
    </w:rPr>
  </w:style>
  <w:style w:type="character" w:customStyle="1" w:styleId="263">
    <w:name w:val="无缩进正文 Char"/>
    <w:link w:val="264"/>
    <w:qFormat/>
    <w:locked/>
    <w:uiPriority w:val="0"/>
    <w:rPr>
      <w:rFonts w:ascii="Calibri" w:hAnsi="Calibri" w:eastAsia="微软雅黑" w:cs="Calibri"/>
      <w:kern w:val="2"/>
      <w:sz w:val="21"/>
      <w:szCs w:val="24"/>
    </w:rPr>
  </w:style>
  <w:style w:type="paragraph" w:customStyle="1" w:styleId="264">
    <w:name w:val="无缩进正文"/>
    <w:basedOn w:val="1"/>
    <w:link w:val="263"/>
    <w:qFormat/>
    <w:uiPriority w:val="0"/>
    <w:pPr>
      <w:snapToGrid w:val="0"/>
    </w:pPr>
    <w:rPr>
      <w:rFonts w:ascii="Calibri" w:hAnsi="Calibri" w:eastAsia="微软雅黑"/>
      <w:sz w:val="21"/>
    </w:rPr>
  </w:style>
  <w:style w:type="character" w:customStyle="1" w:styleId="265">
    <w:name w:val="申报书正文 Char"/>
    <w:link w:val="266"/>
    <w:qFormat/>
    <w:uiPriority w:val="0"/>
    <w:rPr>
      <w:rFonts w:ascii="仿宋_GB2312" w:eastAsia="仿宋_GB2312"/>
      <w:kern w:val="2"/>
      <w:sz w:val="24"/>
      <w:szCs w:val="32"/>
    </w:rPr>
  </w:style>
  <w:style w:type="paragraph" w:customStyle="1" w:styleId="266">
    <w:name w:val="申报书正文"/>
    <w:basedOn w:val="1"/>
    <w:link w:val="265"/>
    <w:qFormat/>
    <w:uiPriority w:val="0"/>
    <w:pPr>
      <w:spacing w:line="560" w:lineRule="exact"/>
      <w:ind w:firstLine="640"/>
    </w:pPr>
    <w:rPr>
      <w:rFonts w:ascii="仿宋_GB2312" w:eastAsia="仿宋_GB2312"/>
      <w:szCs w:val="32"/>
    </w:rPr>
  </w:style>
  <w:style w:type="character" w:customStyle="1" w:styleId="267">
    <w:name w:val="表格字体 Char"/>
    <w:link w:val="268"/>
    <w:qFormat/>
    <w:uiPriority w:val="0"/>
    <w:rPr>
      <w:rFonts w:ascii="仿宋_GB2312" w:hAnsi="Arial" w:eastAsia="仿宋_GB2312"/>
      <w:sz w:val="24"/>
      <w:szCs w:val="24"/>
    </w:rPr>
  </w:style>
  <w:style w:type="paragraph" w:customStyle="1" w:styleId="268">
    <w:name w:val="表格字体"/>
    <w:basedOn w:val="1"/>
    <w:link w:val="267"/>
    <w:qFormat/>
    <w:uiPriority w:val="0"/>
    <w:pPr>
      <w:widowControl/>
      <w:snapToGrid w:val="0"/>
      <w:spacing w:line="360" w:lineRule="auto"/>
      <w:ind w:firstLine="0" w:firstLineChars="0"/>
      <w:jc w:val="left"/>
    </w:pPr>
    <w:rPr>
      <w:rFonts w:ascii="仿宋_GB2312" w:hAnsi="Arial" w:eastAsia="仿宋_GB2312"/>
      <w:kern w:val="0"/>
    </w:rPr>
  </w:style>
  <w:style w:type="character" w:customStyle="1" w:styleId="269">
    <w:name w:val="申请书正文 Char"/>
    <w:link w:val="270"/>
    <w:qFormat/>
    <w:uiPriority w:val="0"/>
    <w:rPr>
      <w:rFonts w:ascii="仿宋_GB2312" w:eastAsia="仿宋_GB2312"/>
      <w:sz w:val="32"/>
      <w:szCs w:val="32"/>
    </w:rPr>
  </w:style>
  <w:style w:type="paragraph" w:customStyle="1" w:styleId="270">
    <w:name w:val="申请书正文"/>
    <w:basedOn w:val="1"/>
    <w:link w:val="269"/>
    <w:qFormat/>
    <w:uiPriority w:val="0"/>
    <w:pPr>
      <w:widowControl/>
      <w:spacing w:line="240" w:lineRule="auto"/>
      <w:ind w:firstLine="640" w:firstLineChars="0"/>
      <w:jc w:val="left"/>
    </w:pPr>
    <w:rPr>
      <w:rFonts w:ascii="仿宋_GB2312" w:eastAsia="仿宋_GB2312"/>
      <w:kern w:val="0"/>
      <w:sz w:val="32"/>
      <w:szCs w:val="32"/>
    </w:rPr>
  </w:style>
  <w:style w:type="character" w:customStyle="1" w:styleId="271">
    <w:name w:val="图形居中 Char"/>
    <w:link w:val="272"/>
    <w:qFormat/>
    <w:uiPriority w:val="0"/>
    <w:rPr>
      <w:rFonts w:eastAsia="仿宋"/>
      <w:sz w:val="32"/>
      <w:lang w:val="en-US" w:eastAsia="zh-CN"/>
    </w:rPr>
  </w:style>
  <w:style w:type="paragraph" w:customStyle="1" w:styleId="272">
    <w:name w:val="图形居中"/>
    <w:basedOn w:val="1"/>
    <w:link w:val="271"/>
    <w:qFormat/>
    <w:uiPriority w:val="0"/>
    <w:pPr>
      <w:widowControl/>
      <w:spacing w:line="240" w:lineRule="auto"/>
      <w:ind w:firstLine="0" w:firstLineChars="0"/>
      <w:jc w:val="center"/>
    </w:pPr>
    <w:rPr>
      <w:rFonts w:eastAsia="仿宋"/>
      <w:kern w:val="0"/>
      <w:sz w:val="32"/>
      <w:szCs w:val="20"/>
    </w:rPr>
  </w:style>
  <w:style w:type="character" w:customStyle="1" w:styleId="273">
    <w:name w:val="正文内序号 Char"/>
    <w:link w:val="274"/>
    <w:qFormat/>
    <w:uiPriority w:val="0"/>
    <w:rPr>
      <w:rFonts w:eastAsia="仿宋"/>
      <w:kern w:val="2"/>
      <w:sz w:val="32"/>
      <w:szCs w:val="22"/>
    </w:rPr>
  </w:style>
  <w:style w:type="paragraph" w:customStyle="1" w:styleId="274">
    <w:name w:val="正文内序号"/>
    <w:basedOn w:val="146"/>
    <w:link w:val="273"/>
    <w:qFormat/>
    <w:uiPriority w:val="0"/>
    <w:pPr>
      <w:widowControl/>
      <w:spacing w:line="240" w:lineRule="auto"/>
      <w:ind w:left="1060" w:hanging="420" w:firstLineChars="0"/>
      <w:jc w:val="left"/>
    </w:pPr>
    <w:rPr>
      <w:rFonts w:eastAsia="仿宋"/>
      <w:sz w:val="32"/>
      <w:szCs w:val="22"/>
    </w:rPr>
  </w:style>
  <w:style w:type="character" w:customStyle="1" w:styleId="275">
    <w:name w:val="正文内符号 Char"/>
    <w:link w:val="276"/>
    <w:qFormat/>
    <w:uiPriority w:val="0"/>
    <w:rPr>
      <w:rFonts w:eastAsia="仿宋"/>
      <w:kern w:val="2"/>
      <w:sz w:val="32"/>
      <w:szCs w:val="22"/>
    </w:rPr>
  </w:style>
  <w:style w:type="paragraph" w:customStyle="1" w:styleId="276">
    <w:name w:val="正文内符号"/>
    <w:basedOn w:val="146"/>
    <w:link w:val="275"/>
    <w:qFormat/>
    <w:uiPriority w:val="0"/>
    <w:pPr>
      <w:widowControl/>
      <w:spacing w:line="240" w:lineRule="auto"/>
      <w:ind w:left="1060" w:hanging="420" w:firstLineChars="0"/>
      <w:jc w:val="left"/>
    </w:pPr>
    <w:rPr>
      <w:rFonts w:eastAsia="仿宋"/>
      <w:sz w:val="32"/>
      <w:szCs w:val="22"/>
    </w:rPr>
  </w:style>
  <w:style w:type="character" w:customStyle="1" w:styleId="277">
    <w:name w:val="正文内二级符号 Char"/>
    <w:link w:val="278"/>
    <w:qFormat/>
    <w:uiPriority w:val="0"/>
    <w:rPr>
      <w:rFonts w:eastAsia="仿宋"/>
      <w:kern w:val="2"/>
      <w:sz w:val="32"/>
      <w:szCs w:val="22"/>
    </w:rPr>
  </w:style>
  <w:style w:type="paragraph" w:customStyle="1" w:styleId="278">
    <w:name w:val="正文内二级符号"/>
    <w:basedOn w:val="276"/>
    <w:link w:val="277"/>
    <w:qFormat/>
    <w:uiPriority w:val="0"/>
    <w:pPr>
      <w:ind w:left="1480"/>
    </w:pPr>
  </w:style>
  <w:style w:type="character" w:customStyle="1" w:styleId="279">
    <w:name w:val="param-explain"/>
    <w:basedOn w:val="66"/>
    <w:qFormat/>
    <w:uiPriority w:val="0"/>
  </w:style>
  <w:style w:type="character" w:customStyle="1" w:styleId="280">
    <w:name w:val="font01"/>
    <w:qFormat/>
    <w:uiPriority w:val="0"/>
    <w:rPr>
      <w:rFonts w:hint="eastAsia" w:ascii="宋体" w:hAnsi="宋体" w:eastAsia="宋体" w:cs="宋体"/>
      <w:color w:val="000000"/>
      <w:sz w:val="18"/>
      <w:szCs w:val="18"/>
      <w:u w:val="none"/>
    </w:rPr>
  </w:style>
  <w:style w:type="character" w:customStyle="1" w:styleId="281">
    <w:name w:val="16"/>
    <w:qFormat/>
    <w:uiPriority w:val="0"/>
    <w:rPr>
      <w:rFonts w:hint="default" w:ascii="Wingdings 2" w:hAnsi="Wingdings 2"/>
      <w:b/>
      <w:bCs/>
      <w:color w:val="000000"/>
      <w:sz w:val="18"/>
      <w:szCs w:val="18"/>
    </w:rPr>
  </w:style>
  <w:style w:type="character" w:customStyle="1" w:styleId="282">
    <w:name w:val="15"/>
    <w:qFormat/>
    <w:uiPriority w:val="0"/>
    <w:rPr>
      <w:rFonts w:hint="eastAsia" w:ascii="宋体" w:hAnsi="宋体" w:eastAsia="宋体"/>
      <w:b/>
      <w:bCs/>
      <w:color w:val="000000"/>
      <w:sz w:val="18"/>
      <w:szCs w:val="18"/>
    </w:rPr>
  </w:style>
  <w:style w:type="character" w:customStyle="1" w:styleId="283">
    <w:name w:val="long_text"/>
    <w:qFormat/>
    <w:uiPriority w:val="0"/>
  </w:style>
  <w:style w:type="paragraph" w:customStyle="1" w:styleId="284">
    <w:name w:val="Char Char Char Char Char Char Char Char Char Char Char Char Char Char"/>
    <w:basedOn w:val="1"/>
    <w:qFormat/>
    <w:uiPriority w:val="0"/>
    <w:rPr>
      <w:rFonts w:ascii="Tahoma" w:hAnsi="Tahoma"/>
      <w:szCs w:val="20"/>
    </w:rPr>
  </w:style>
  <w:style w:type="paragraph" w:customStyle="1" w:styleId="285">
    <w:name w:val="Char1 Char Char Char Char Char Char Char Char Char"/>
    <w:basedOn w:val="1"/>
    <w:qFormat/>
    <w:uiPriority w:val="0"/>
    <w:pPr>
      <w:spacing w:line="240" w:lineRule="auto"/>
      <w:ind w:firstLine="0" w:firstLineChars="0"/>
    </w:pPr>
    <w:rPr>
      <w:rFonts w:ascii="Tahoma" w:hAnsi="Tahoma"/>
      <w:szCs w:val="20"/>
    </w:rPr>
  </w:style>
  <w:style w:type="paragraph" w:customStyle="1" w:styleId="286">
    <w:name w:val="xl210"/>
    <w:basedOn w:val="1"/>
    <w:qFormat/>
    <w:uiPriority w:val="0"/>
    <w:pPr>
      <w:widowControl/>
      <w:pBdr>
        <w:left w:val="single" w:color="auto" w:sz="4" w:space="0"/>
        <w:bottom w:val="single" w:color="auto" w:sz="4" w:space="0"/>
        <w:right w:val="single" w:color="auto" w:sz="4" w:space="0"/>
      </w:pBdr>
      <w:shd w:val="clear" w:color="000000" w:fill="00B0F0"/>
      <w:spacing w:before="100" w:beforeAutospacing="1" w:after="100" w:afterAutospacing="1" w:line="240" w:lineRule="auto"/>
      <w:ind w:firstLine="0" w:firstLineChars="0"/>
      <w:jc w:val="left"/>
    </w:pPr>
    <w:rPr>
      <w:rFonts w:ascii="宋体" w:hAnsi="宋体" w:cs="宋体"/>
      <w:b/>
      <w:bCs/>
      <w:kern w:val="0"/>
      <w:sz w:val="20"/>
      <w:szCs w:val="20"/>
    </w:rPr>
  </w:style>
  <w:style w:type="paragraph" w:customStyle="1" w:styleId="287">
    <w:name w:val="5"/>
    <w:basedOn w:val="1"/>
    <w:next w:val="1"/>
    <w:qFormat/>
    <w:uiPriority w:val="0"/>
    <w:pPr>
      <w:autoSpaceDE w:val="0"/>
      <w:autoSpaceDN w:val="0"/>
      <w:spacing w:line="240" w:lineRule="atLeast"/>
      <w:ind w:left="1008" w:hanging="1008"/>
    </w:pPr>
    <w:rPr>
      <w:rFonts w:ascii="宋体"/>
      <w:b/>
      <w:szCs w:val="32"/>
    </w:rPr>
  </w:style>
  <w:style w:type="paragraph" w:customStyle="1" w:styleId="288">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289">
    <w:name w:val="xl1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90">
    <w:name w:val="Char1"/>
    <w:basedOn w:val="1"/>
    <w:qFormat/>
    <w:uiPriority w:val="0"/>
    <w:pPr>
      <w:adjustRightInd w:val="0"/>
      <w:spacing w:line="360" w:lineRule="auto"/>
    </w:pPr>
    <w:rPr>
      <w:kern w:val="0"/>
      <w:szCs w:val="20"/>
    </w:rPr>
  </w:style>
  <w:style w:type="paragraph" w:customStyle="1" w:styleId="291">
    <w:name w:val="自动更正"/>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2">
    <w:name w:val="xl52"/>
    <w:basedOn w:val="1"/>
    <w:qFormat/>
    <w:uiPriority w:val="0"/>
    <w:pPr>
      <w:widowControl/>
      <w:spacing w:before="100" w:beforeAutospacing="1" w:after="100" w:afterAutospacing="1"/>
      <w:jc w:val="center"/>
      <w:textAlignment w:val="top"/>
    </w:pPr>
    <w:rPr>
      <w:kern w:val="0"/>
      <w:sz w:val="20"/>
      <w:szCs w:val="20"/>
    </w:rPr>
  </w:style>
  <w:style w:type="paragraph" w:customStyle="1" w:styleId="293">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294">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295">
    <w:name w:val="a0"/>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296">
    <w:name w:val="表项"/>
    <w:next w:val="293"/>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29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98">
    <w:name w:val="xl8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99">
    <w:name w:val="_Style 498"/>
    <w:next w:val="1"/>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300">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01">
    <w:name w:val="正文2"/>
    <w:basedOn w:val="1"/>
    <w:qFormat/>
    <w:uiPriority w:val="0"/>
    <w:pPr>
      <w:spacing w:before="156" w:line="360" w:lineRule="auto"/>
      <w:ind w:firstLine="510"/>
    </w:pPr>
    <w:rPr>
      <w:szCs w:val="20"/>
    </w:rPr>
  </w:style>
  <w:style w:type="paragraph" w:customStyle="1" w:styleId="302">
    <w:name w:val="Char Char Char Char Char Char1 Char"/>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303">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04">
    <w:name w:val="xl107"/>
    <w:basedOn w:val="1"/>
    <w:qFormat/>
    <w:uiPriority w:val="0"/>
    <w:pPr>
      <w:widowControl/>
      <w:spacing w:before="100" w:beforeAutospacing="1" w:after="100" w:afterAutospacing="1" w:line="240" w:lineRule="auto"/>
      <w:ind w:firstLine="0" w:firstLineChars="0"/>
      <w:jc w:val="center"/>
    </w:pPr>
    <w:rPr>
      <w:rFonts w:ascii="Arial" w:hAnsi="Arial" w:cs="Arial"/>
      <w:b/>
      <w:bCs/>
      <w:kern w:val="0"/>
    </w:rPr>
  </w:style>
  <w:style w:type="paragraph" w:customStyle="1" w:styleId="305">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6">
    <w:name w:val="（符号）三标题1.1"/>
    <w:basedOn w:val="1"/>
    <w:qFormat/>
    <w:uiPriority w:val="0"/>
    <w:pPr>
      <w:tabs>
        <w:tab w:val="left" w:pos="700"/>
      </w:tabs>
      <w:spacing w:line="500" w:lineRule="exact"/>
      <w:ind w:left="700" w:firstLine="0" w:firstLineChars="0"/>
    </w:pPr>
    <w:rPr>
      <w:rFonts w:ascii="宋体" w:hAnsi="宋体"/>
    </w:rPr>
  </w:style>
  <w:style w:type="paragraph" w:customStyle="1" w:styleId="307">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308">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0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10">
    <w:name w:val="xl96"/>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11">
    <w:name w:val="xl108"/>
    <w:basedOn w:val="1"/>
    <w:qFormat/>
    <w:uiPriority w:val="0"/>
    <w:pPr>
      <w:widowControl/>
      <w:spacing w:before="100" w:beforeAutospacing="1" w:after="100" w:afterAutospacing="1" w:line="240" w:lineRule="auto"/>
      <w:ind w:firstLine="0" w:firstLineChars="0"/>
      <w:jc w:val="left"/>
      <w:textAlignment w:val="bottom"/>
    </w:pPr>
    <w:rPr>
      <w:rFonts w:ascii="Arial" w:hAnsi="Arial" w:cs="Arial"/>
      <w:kern w:val="0"/>
      <w:sz w:val="20"/>
      <w:szCs w:val="20"/>
    </w:rPr>
  </w:style>
  <w:style w:type="paragraph" w:customStyle="1" w:styleId="312">
    <w:name w:val="xl208"/>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13">
    <w:name w:val="默认段落字体 Para Char Char"/>
    <w:basedOn w:val="1"/>
    <w:qFormat/>
    <w:uiPriority w:val="0"/>
    <w:pPr>
      <w:spacing w:line="360" w:lineRule="auto"/>
    </w:pPr>
    <w:rPr>
      <w:color w:val="000000"/>
      <w:sz w:val="21"/>
      <w:szCs w:val="20"/>
    </w:rPr>
  </w:style>
  <w:style w:type="paragraph" w:customStyle="1" w:styleId="314">
    <w:name w:val="p0"/>
    <w:basedOn w:val="1"/>
    <w:qFormat/>
    <w:uiPriority w:val="0"/>
    <w:pPr>
      <w:widowControl/>
    </w:pPr>
    <w:rPr>
      <w:kern w:val="0"/>
      <w:szCs w:val="21"/>
    </w:rPr>
  </w:style>
  <w:style w:type="paragraph" w:customStyle="1" w:styleId="315">
    <w:name w:val="附录1"/>
    <w:basedOn w:val="1"/>
    <w:next w:val="1"/>
    <w:qFormat/>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316">
    <w:name w:val="目录文字"/>
    <w:basedOn w:val="1"/>
    <w:qFormat/>
    <w:uiPriority w:val="0"/>
    <w:pPr>
      <w:widowControl/>
      <w:spacing w:line="480" w:lineRule="auto"/>
      <w:ind w:firstLine="0" w:firstLineChars="0"/>
      <w:jc w:val="left"/>
    </w:pPr>
    <w:rPr>
      <w:rFonts w:ascii="宋体" w:hAnsi="宋体"/>
      <w:kern w:val="0"/>
      <w:szCs w:val="20"/>
    </w:rPr>
  </w:style>
  <w:style w:type="paragraph" w:customStyle="1" w:styleId="317">
    <w:name w:val="附录2"/>
    <w:basedOn w:val="1"/>
    <w:next w:val="1"/>
    <w:qFormat/>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31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319">
    <w:name w:val="摘要"/>
    <w:basedOn w:val="1"/>
    <w:next w:val="5"/>
    <w:qFormat/>
    <w:uiPriority w:val="0"/>
    <w:pPr>
      <w:spacing w:line="360" w:lineRule="auto"/>
      <w:ind w:firstLine="0" w:firstLineChars="0"/>
    </w:pPr>
    <w:rPr>
      <w:rFonts w:eastAsia="黑体"/>
      <w:sz w:val="20"/>
    </w:rPr>
  </w:style>
  <w:style w:type="paragraph" w:customStyle="1" w:styleId="320">
    <w:name w:val="DAS列表二"/>
    <w:basedOn w:val="240"/>
    <w:next w:val="240"/>
    <w:qFormat/>
    <w:uiPriority w:val="0"/>
    <w:pPr>
      <w:tabs>
        <w:tab w:val="left" w:pos="360"/>
      </w:tabs>
      <w:ind w:left="360" w:firstLine="0" w:firstLineChars="0"/>
    </w:pPr>
  </w:style>
  <w:style w:type="paragraph" w:customStyle="1" w:styleId="321">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322">
    <w:name w:val="(符号)五标题1.1.1"/>
    <w:basedOn w:val="1"/>
    <w:qFormat/>
    <w:uiPriority w:val="0"/>
    <w:pPr>
      <w:tabs>
        <w:tab w:val="left" w:pos="1260"/>
      </w:tabs>
      <w:spacing w:line="500" w:lineRule="exact"/>
      <w:ind w:left="1260" w:firstLine="0" w:firstLineChars="0"/>
    </w:pPr>
    <w:rPr>
      <w:rFonts w:ascii="宋体" w:hAnsi="宋体" w:cs="宋体"/>
      <w:color w:val="000000"/>
      <w:szCs w:val="20"/>
    </w:rPr>
  </w:style>
  <w:style w:type="paragraph" w:customStyle="1" w:styleId="323">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24">
    <w:name w:val="xl125"/>
    <w:basedOn w:val="1"/>
    <w:qFormat/>
    <w:uiPriority w:val="0"/>
    <w:pPr>
      <w:widowControl/>
      <w:pBdr>
        <w:bottom w:val="single" w:color="auto" w:sz="4" w:space="0"/>
      </w:pBdr>
      <w:spacing w:before="100" w:beforeAutospacing="1" w:after="100" w:afterAutospacing="1" w:line="240" w:lineRule="auto"/>
      <w:ind w:firstLine="0" w:firstLineChars="0"/>
      <w:jc w:val="right"/>
    </w:pPr>
    <w:rPr>
      <w:rFonts w:ascii="Arial" w:hAnsi="Arial" w:cs="Arial"/>
      <w:kern w:val="0"/>
      <w:sz w:val="20"/>
      <w:szCs w:val="20"/>
    </w:rPr>
  </w:style>
  <w:style w:type="paragraph" w:customStyle="1" w:styleId="325">
    <w:name w:val="xl109"/>
    <w:basedOn w:val="1"/>
    <w:qFormat/>
    <w:uiPriority w:val="0"/>
    <w:pPr>
      <w:widowControl/>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26">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27">
    <w:name w:val="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32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29">
    <w:name w:val="自由格式"/>
    <w:qFormat/>
    <w:uiPriority w:val="0"/>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330">
    <w:name w:val="Char Char"/>
    <w:basedOn w:val="1"/>
    <w:next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331">
    <w:name w:val="标题无"/>
    <w:basedOn w:val="1"/>
    <w:qFormat/>
    <w:uiPriority w:val="0"/>
    <w:pPr>
      <w:spacing w:line="360" w:lineRule="auto"/>
      <w:ind w:firstLine="0" w:firstLineChars="0"/>
    </w:pPr>
  </w:style>
  <w:style w:type="paragraph" w:customStyle="1" w:styleId="332">
    <w:name w:val="xl11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33">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334">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35">
    <w:name w:val="xl111"/>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36">
    <w:name w:val="Char Char Char Char"/>
    <w:basedOn w:val="21"/>
    <w:qFormat/>
    <w:uiPriority w:val="0"/>
    <w:rPr>
      <w:szCs w:val="20"/>
    </w:rPr>
  </w:style>
  <w:style w:type="paragraph" w:customStyle="1" w:styleId="337">
    <w:name w:val="正文编号2"/>
    <w:basedOn w:val="1"/>
    <w:qFormat/>
    <w:uiPriority w:val="0"/>
    <w:pPr>
      <w:spacing w:line="240" w:lineRule="auto"/>
      <w:ind w:firstLine="0" w:firstLineChars="0"/>
    </w:pPr>
    <w:rPr>
      <w:rFonts w:eastAsia="楷体_GB2312"/>
      <w:kern w:val="0"/>
      <w:sz w:val="28"/>
    </w:rPr>
  </w:style>
  <w:style w:type="paragraph" w:customStyle="1" w:styleId="338">
    <w:name w:val="Note"/>
    <w:basedOn w:val="1"/>
    <w:qFormat/>
    <w:uiPriority w:val="0"/>
    <w:pPr>
      <w:pBdr>
        <w:top w:val="single" w:color="auto" w:sz="12" w:space="3"/>
        <w:bottom w:val="single" w:color="auto" w:sz="12" w:space="3"/>
      </w:pBdr>
      <w:spacing w:line="360" w:lineRule="auto"/>
      <w:ind w:firstLine="0" w:firstLineChars="0"/>
    </w:pPr>
    <w:rPr>
      <w:szCs w:val="22"/>
    </w:rPr>
  </w:style>
  <w:style w:type="paragraph" w:customStyle="1" w:styleId="339">
    <w:name w:val="页眉 New New"/>
    <w:basedOn w:val="340"/>
    <w:qFormat/>
    <w:uiPriority w:val="0"/>
    <w:pPr>
      <w:pBdr>
        <w:bottom w:val="single" w:color="auto" w:sz="6" w:space="1"/>
      </w:pBdr>
      <w:tabs>
        <w:tab w:val="center" w:pos="4153"/>
        <w:tab w:val="right" w:pos="8306"/>
      </w:tabs>
      <w:snapToGrid w:val="0"/>
      <w:jc w:val="center"/>
    </w:pPr>
    <w:rPr>
      <w:sz w:val="18"/>
      <w:szCs w:val="18"/>
    </w:rPr>
  </w:style>
  <w:style w:type="paragraph" w:customStyle="1" w:styleId="340">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1">
    <w:name w:val="样式 标题 3列表编号3h33rd level + 段前: 1 行"/>
    <w:basedOn w:val="6"/>
    <w:qFormat/>
    <w:uiPriority w:val="0"/>
    <w:pPr>
      <w:widowControl w:val="0"/>
      <w:adjustRightInd w:val="0"/>
      <w:snapToGrid w:val="0"/>
      <w:spacing w:before="240" w:after="120" w:line="240" w:lineRule="atLeast"/>
      <w:ind w:left="-540" w:leftChars="-257"/>
    </w:pPr>
    <w:rPr>
      <w:kern w:val="0"/>
      <w:sz w:val="28"/>
      <w:szCs w:val="28"/>
    </w:rPr>
  </w:style>
  <w:style w:type="paragraph" w:customStyle="1" w:styleId="342">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43">
    <w:name w:val="font15"/>
    <w:basedOn w:val="1"/>
    <w:qFormat/>
    <w:uiPriority w:val="0"/>
    <w:pPr>
      <w:widowControl/>
      <w:spacing w:before="100" w:beforeAutospacing="1" w:after="100" w:afterAutospacing="1" w:line="240" w:lineRule="auto"/>
      <w:ind w:firstLine="0" w:firstLineChars="0"/>
      <w:jc w:val="left"/>
    </w:pPr>
    <w:rPr>
      <w:kern w:val="0"/>
      <w:sz w:val="18"/>
      <w:szCs w:val="18"/>
    </w:rPr>
  </w:style>
  <w:style w:type="paragraph" w:customStyle="1" w:styleId="344">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345">
    <w:name w:val="xl83"/>
    <w:basedOn w:val="1"/>
    <w:qFormat/>
    <w:uiPriority w:val="0"/>
    <w:pPr>
      <w:widowControl/>
      <w:pBdr>
        <w:top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46">
    <w:name w:val="*正文"/>
    <w:basedOn w:val="1"/>
    <w:qFormat/>
    <w:uiPriority w:val="0"/>
    <w:pPr>
      <w:spacing w:line="240" w:lineRule="auto"/>
      <w:ind w:firstLine="480"/>
    </w:pPr>
    <w:rPr>
      <w:rFonts w:ascii="宋体" w:hAnsi="宋体"/>
      <w:kern w:val="0"/>
      <w:sz w:val="21"/>
      <w:szCs w:val="20"/>
    </w:rPr>
  </w:style>
  <w:style w:type="paragraph" w:customStyle="1" w:styleId="347">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48">
    <w:name w:val="附录4"/>
    <w:basedOn w:val="1"/>
    <w:next w:val="1"/>
    <w:qFormat/>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349">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50">
    <w:name w:val="Title - Revision"/>
    <w:basedOn w:val="60"/>
    <w:qFormat/>
    <w:uiPriority w:val="0"/>
    <w:pPr>
      <w:spacing w:before="720"/>
      <w:ind w:firstLine="0" w:firstLineChars="0"/>
    </w:pPr>
    <w:rPr>
      <w:rFonts w:eastAsia="Times New Roman"/>
    </w:rPr>
  </w:style>
  <w:style w:type="paragraph" w:customStyle="1" w:styleId="351">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52">
    <w:name w:val="Char2"/>
    <w:basedOn w:val="1"/>
    <w:qFormat/>
    <w:uiPriority w:val="0"/>
    <w:pPr>
      <w:adjustRightInd w:val="0"/>
      <w:spacing w:line="360" w:lineRule="auto"/>
    </w:pPr>
    <w:rPr>
      <w:kern w:val="0"/>
      <w:szCs w:val="20"/>
    </w:rPr>
  </w:style>
  <w:style w:type="paragraph" w:customStyle="1" w:styleId="353">
    <w:name w:val="TOC 标题1"/>
    <w:basedOn w:val="4"/>
    <w:next w:val="1"/>
    <w:qFormat/>
    <w:uiPriority w:val="0"/>
    <w:pPr>
      <w:snapToGrid/>
      <w:spacing w:before="480" w:line="276" w:lineRule="auto"/>
      <w:jc w:val="left"/>
      <w:outlineLvl w:val="9"/>
    </w:pPr>
    <w:rPr>
      <w:rFonts w:ascii="Cambria" w:hAnsi="Cambria"/>
      <w:bCs/>
      <w:color w:val="365F91"/>
      <w:kern w:val="0"/>
      <w:sz w:val="28"/>
      <w:szCs w:val="28"/>
    </w:rPr>
  </w:style>
  <w:style w:type="paragraph" w:customStyle="1" w:styleId="354">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55">
    <w:name w:val="Char Char Char Char Char Char Char Char Char Char Char Char Char2"/>
    <w:basedOn w:val="1"/>
    <w:qFormat/>
    <w:uiPriority w:val="0"/>
    <w:pPr>
      <w:spacing w:line="240" w:lineRule="auto"/>
      <w:ind w:firstLine="0" w:firstLineChars="0"/>
    </w:pPr>
    <w:rPr>
      <w:kern w:val="0"/>
      <w:sz w:val="20"/>
      <w:szCs w:val="20"/>
    </w:rPr>
  </w:style>
  <w:style w:type="paragraph" w:customStyle="1" w:styleId="35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57">
    <w:name w:val="xl104"/>
    <w:basedOn w:val="1"/>
    <w:qFormat/>
    <w:uiPriority w:val="0"/>
    <w:pPr>
      <w:widowControl/>
      <w:spacing w:before="100" w:beforeAutospacing="1" w:after="100" w:afterAutospacing="1" w:line="240" w:lineRule="auto"/>
      <w:ind w:firstLine="0" w:firstLineChars="0"/>
      <w:jc w:val="left"/>
    </w:pPr>
    <w:rPr>
      <w:rFonts w:ascii="Arial" w:hAnsi="Arial" w:cs="Arial"/>
      <w:kern w:val="0"/>
    </w:rPr>
  </w:style>
  <w:style w:type="paragraph" w:customStyle="1" w:styleId="358">
    <w:name w:val="列出段落1"/>
    <w:basedOn w:val="1"/>
    <w:qFormat/>
    <w:uiPriority w:val="0"/>
    <w:pPr>
      <w:spacing w:line="240" w:lineRule="auto"/>
      <w:ind w:firstLine="420"/>
    </w:pPr>
    <w:rPr>
      <w:rFonts w:ascii="Calibri" w:hAnsi="Calibri"/>
      <w:sz w:val="21"/>
      <w:szCs w:val="22"/>
    </w:rPr>
  </w:style>
  <w:style w:type="paragraph" w:customStyle="1" w:styleId="359">
    <w:name w:val="xl17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60">
    <w:name w:val="台头"/>
    <w:basedOn w:val="1"/>
    <w:qFormat/>
    <w:uiPriority w:val="0"/>
    <w:pPr>
      <w:spacing w:before="60" w:after="60" w:line="360" w:lineRule="auto"/>
      <w:ind w:firstLine="482" w:firstLineChars="0"/>
    </w:pPr>
    <w:rPr>
      <w:rFonts w:eastAsia="楷体_GB2312"/>
      <w:szCs w:val="20"/>
    </w:rPr>
  </w:style>
  <w:style w:type="paragraph" w:customStyle="1" w:styleId="361">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6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18"/>
      <w:szCs w:val="18"/>
    </w:rPr>
  </w:style>
  <w:style w:type="paragraph" w:customStyle="1" w:styleId="363">
    <w:name w:val="表格1"/>
    <w:basedOn w:val="1"/>
    <w:next w:val="1"/>
    <w:qFormat/>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364">
    <w:name w:val="tb-subtitle"/>
    <w:basedOn w:val="1"/>
    <w:qFormat/>
    <w:uiPriority w:val="0"/>
    <w:pPr>
      <w:widowControl/>
      <w:spacing w:before="100" w:beforeAutospacing="1" w:after="100" w:afterAutospacing="1"/>
      <w:jc w:val="left"/>
    </w:pPr>
    <w:rPr>
      <w:rFonts w:ascii="宋体" w:hAnsi="宋体" w:cs="宋体"/>
      <w:kern w:val="0"/>
    </w:rPr>
  </w:style>
  <w:style w:type="paragraph" w:customStyle="1" w:styleId="365">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66">
    <w:name w:val="表格正文"/>
    <w:basedOn w:val="1"/>
    <w:qFormat/>
    <w:uiPriority w:val="0"/>
    <w:pPr>
      <w:tabs>
        <w:tab w:val="left" w:pos="425"/>
        <w:tab w:val="left" w:pos="851"/>
        <w:tab w:val="left" w:pos="1276"/>
        <w:tab w:val="left" w:pos="1701"/>
        <w:tab w:val="left" w:pos="2126"/>
        <w:tab w:val="left" w:pos="2552"/>
        <w:tab w:val="left" w:pos="2977"/>
      </w:tabs>
      <w:spacing w:before="60" w:after="60"/>
    </w:pPr>
    <w:rPr>
      <w:rFonts w:ascii="Tahoma" w:hAnsi="Tahoma" w:eastAsia="PMingLiU"/>
      <w:kern w:val="0"/>
      <w:sz w:val="22"/>
      <w:szCs w:val="22"/>
    </w:rPr>
  </w:style>
  <w:style w:type="paragraph" w:customStyle="1" w:styleId="367">
    <w:name w:val="Char"/>
    <w:basedOn w:val="21"/>
    <w:qFormat/>
    <w:uiPriority w:val="0"/>
    <w:rPr>
      <w:rFonts w:ascii="Tahoma" w:hAnsi="Tahoma"/>
      <w:sz w:val="24"/>
    </w:rPr>
  </w:style>
  <w:style w:type="paragraph" w:customStyle="1" w:styleId="36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69">
    <w:name w:val="标题2"/>
    <w:basedOn w:val="5"/>
    <w:qFormat/>
    <w:uiPriority w:val="0"/>
    <w:pPr>
      <w:keepNext/>
      <w:keepLines/>
      <w:widowControl w:val="0"/>
      <w:tabs>
        <w:tab w:val="left" w:pos="567"/>
        <w:tab w:val="left" w:pos="720"/>
      </w:tabs>
      <w:snapToGrid/>
      <w:spacing w:beforeLines="100" w:after="120" w:line="300" w:lineRule="auto"/>
      <w:jc w:val="both"/>
      <w:outlineLvl w:val="9"/>
    </w:pPr>
    <w:rPr>
      <w:rFonts w:ascii="Times New Roman" w:eastAsia="黑体"/>
      <w:b w:val="0"/>
      <w:snapToGrid w:val="0"/>
      <w:spacing w:val="6"/>
      <w:kern w:val="0"/>
      <w:sz w:val="32"/>
      <w:szCs w:val="24"/>
    </w:rPr>
  </w:style>
  <w:style w:type="paragraph" w:customStyle="1" w:styleId="370">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371">
    <w:name w:val="font6"/>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72">
    <w:name w:val="my正文"/>
    <w:qFormat/>
    <w:uiPriority w:val="0"/>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373">
    <w:name w:val="正文文本缩进 21"/>
    <w:basedOn w:val="1"/>
    <w:qFormat/>
    <w:uiPriority w:val="0"/>
    <w:pPr>
      <w:adjustRightInd w:val="0"/>
      <w:spacing w:before="120" w:line="240" w:lineRule="auto"/>
      <w:ind w:firstLine="420" w:firstLineChars="0"/>
      <w:textAlignment w:val="baseline"/>
    </w:pPr>
    <w:rPr>
      <w:szCs w:val="20"/>
    </w:rPr>
  </w:style>
  <w:style w:type="paragraph" w:customStyle="1" w:styleId="374">
    <w:name w:val="Char12"/>
    <w:basedOn w:val="1"/>
    <w:qFormat/>
    <w:uiPriority w:val="0"/>
    <w:pPr>
      <w:adjustRightInd w:val="0"/>
      <w:spacing w:line="360" w:lineRule="auto"/>
    </w:pPr>
    <w:rPr>
      <w:kern w:val="0"/>
      <w:szCs w:val="20"/>
    </w:rPr>
  </w:style>
  <w:style w:type="paragraph" w:customStyle="1" w:styleId="375">
    <w:name w:val="xl20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376">
    <w:name w:val="Char Char Char"/>
    <w:basedOn w:val="1"/>
    <w:qFormat/>
    <w:uiPriority w:val="0"/>
    <w:rPr>
      <w:rFonts w:ascii="Tahoma" w:hAnsi="Tahoma"/>
      <w:szCs w:val="20"/>
    </w:rPr>
  </w:style>
  <w:style w:type="paragraph" w:customStyle="1" w:styleId="37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78">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379">
    <w:name w:val="Char Char Char Char Char2 Char2"/>
    <w:basedOn w:val="1"/>
    <w:qFormat/>
    <w:uiPriority w:val="0"/>
    <w:pPr>
      <w:spacing w:line="240" w:lineRule="auto"/>
      <w:ind w:firstLine="0" w:firstLineChars="0"/>
    </w:pPr>
    <w:rPr>
      <w:sz w:val="21"/>
      <w:szCs w:val="20"/>
    </w:rPr>
  </w:style>
  <w:style w:type="paragraph" w:customStyle="1" w:styleId="380">
    <w:name w:val="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1">
    <w:name w:val="Char Char1 Char 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382">
    <w:name w:val="font7"/>
    <w:basedOn w:val="1"/>
    <w:qFormat/>
    <w:uiPriority w:val="0"/>
    <w:pPr>
      <w:widowControl/>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383">
    <w:name w:val="xl89"/>
    <w:basedOn w:val="1"/>
    <w:qFormat/>
    <w:uiPriority w:val="0"/>
    <w:pPr>
      <w:widowControl/>
      <w:pBdr>
        <w:top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84">
    <w:name w:val="项目"/>
    <w:basedOn w:val="1"/>
    <w:qFormat/>
    <w:uiPriority w:val="0"/>
    <w:pPr>
      <w:tabs>
        <w:tab w:val="left" w:pos="840"/>
      </w:tabs>
      <w:spacing w:before="120" w:after="120" w:line="360" w:lineRule="auto"/>
      <w:ind w:left="360" w:firstLine="0" w:firstLineChars="0"/>
      <w:jc w:val="left"/>
      <w:textAlignment w:val="baseline"/>
    </w:pPr>
    <w:rPr>
      <w:rFonts w:ascii="宋体"/>
      <w:kern w:val="0"/>
      <w:szCs w:val="20"/>
    </w:rPr>
  </w:style>
  <w:style w:type="paragraph" w:customStyle="1" w:styleId="385">
    <w:name w:val="xl53"/>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kern w:val="0"/>
    </w:rPr>
  </w:style>
  <w:style w:type="paragraph" w:customStyle="1" w:styleId="386">
    <w:name w:val="正文段"/>
    <w:basedOn w:val="1"/>
    <w:qFormat/>
    <w:uiPriority w:val="0"/>
    <w:pPr>
      <w:spacing w:line="312" w:lineRule="auto"/>
      <w:ind w:firstLine="560" w:firstLineChars="0"/>
    </w:pPr>
    <w:rPr>
      <w:sz w:val="28"/>
      <w:szCs w:val="28"/>
    </w:rPr>
  </w:style>
  <w:style w:type="paragraph" w:customStyle="1" w:styleId="387">
    <w:name w:val="文档正文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388">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89">
    <w:name w:val="删除"/>
    <w:basedOn w:val="390"/>
    <w:qFormat/>
    <w:uiPriority w:val="0"/>
    <w:pPr>
      <w:widowControl w:val="0"/>
      <w:tabs>
        <w:tab w:val="decimal" w:pos="0"/>
      </w:tabs>
      <w:autoSpaceDE/>
      <w:autoSpaceDN/>
      <w:adjustRightInd/>
      <w:snapToGrid w:val="0"/>
      <w:jc w:val="left"/>
    </w:pPr>
    <w:rPr>
      <w:rFonts w:cs="Arial"/>
      <w:strike/>
      <w:color w:val="0000FF"/>
      <w:szCs w:val="18"/>
    </w:rPr>
  </w:style>
  <w:style w:type="paragraph" w:customStyle="1" w:styleId="390">
    <w:name w:val="Table Text"/>
    <w:basedOn w:val="1"/>
    <w:qFormat/>
    <w:uiPriority w:val="0"/>
    <w:pPr>
      <w:widowControl/>
      <w:tabs>
        <w:tab w:val="decimal" w:pos="0"/>
      </w:tabs>
      <w:autoSpaceDE w:val="0"/>
      <w:autoSpaceDN w:val="0"/>
      <w:adjustRightInd w:val="0"/>
      <w:spacing w:before="80" w:after="80"/>
    </w:pPr>
    <w:rPr>
      <w:rFonts w:ascii="Arial" w:hAnsi="Arial"/>
      <w:kern w:val="0"/>
      <w:sz w:val="18"/>
      <w:szCs w:val="20"/>
    </w:rPr>
  </w:style>
  <w:style w:type="paragraph" w:customStyle="1" w:styleId="39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92">
    <w:name w:val="Item Step"/>
    <w:qFormat/>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393">
    <w:name w:val="正文文本 21"/>
    <w:basedOn w:val="1"/>
    <w:qFormat/>
    <w:uiPriority w:val="0"/>
    <w:pPr>
      <w:adjustRightInd w:val="0"/>
      <w:spacing w:before="120" w:line="360" w:lineRule="auto"/>
      <w:ind w:firstLine="480" w:firstLineChars="0"/>
      <w:textAlignment w:val="baseline"/>
    </w:pPr>
    <w:rPr>
      <w:szCs w:val="20"/>
    </w:rPr>
  </w:style>
  <w:style w:type="paragraph" w:customStyle="1" w:styleId="394">
    <w:name w:val="xl31"/>
    <w:basedOn w:val="1"/>
    <w:qFormat/>
    <w:uiPriority w:val="0"/>
    <w:pPr>
      <w:widowControl/>
      <w:spacing w:before="100" w:beforeAutospacing="1" w:after="100" w:afterAutospacing="1" w:line="240" w:lineRule="auto"/>
      <w:ind w:firstLine="0" w:firstLineChars="0"/>
    </w:pPr>
    <w:rPr>
      <w:kern w:val="0"/>
      <w:sz w:val="20"/>
      <w:szCs w:val="20"/>
    </w:rPr>
  </w:style>
  <w:style w:type="paragraph" w:customStyle="1" w:styleId="395">
    <w:name w:val="Char Char Char Char Char Char Char"/>
    <w:basedOn w:val="1"/>
    <w:qFormat/>
    <w:uiPriority w:val="0"/>
    <w:rPr>
      <w:szCs w:val="20"/>
    </w:rPr>
  </w:style>
  <w:style w:type="paragraph" w:customStyle="1" w:styleId="396">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9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8">
    <w:name w:val="黑方框"/>
    <w:basedOn w:val="1"/>
    <w:qFormat/>
    <w:uiPriority w:val="0"/>
    <w:pPr>
      <w:spacing w:before="60" w:after="60" w:line="288" w:lineRule="auto"/>
      <w:ind w:firstLine="0" w:firstLineChars="0"/>
    </w:pPr>
    <w:rPr>
      <w:rFonts w:cs="宋体"/>
      <w:sz w:val="21"/>
      <w:szCs w:val="21"/>
    </w:rPr>
  </w:style>
  <w:style w:type="paragraph" w:customStyle="1" w:styleId="399">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400">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401">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02">
    <w:name w:val="DOT Text"/>
    <w:basedOn w:val="9"/>
    <w:qFormat/>
    <w:uiPriority w:val="0"/>
    <w:pPr>
      <w:tabs>
        <w:tab w:val="left" w:pos="1680"/>
        <w:tab w:val="clear" w:pos="420"/>
        <w:tab w:val="clear" w:pos="840"/>
        <w:tab w:val="clear" w:pos="1260"/>
      </w:tabs>
      <w:spacing w:beforeLines="25" w:afterLines="25"/>
      <w:ind w:left="840" w:firstLine="0" w:firstLineChars="0"/>
    </w:pPr>
  </w:style>
  <w:style w:type="paragraph" w:customStyle="1" w:styleId="403">
    <w:name w:val="Char1 Char Char Char Char Char Char Char Char Char1"/>
    <w:basedOn w:val="1"/>
    <w:qFormat/>
    <w:uiPriority w:val="0"/>
    <w:pPr>
      <w:spacing w:line="240" w:lineRule="auto"/>
      <w:ind w:firstLine="0" w:firstLineChars="0"/>
    </w:pPr>
    <w:rPr>
      <w:rFonts w:ascii="Tahoma" w:hAnsi="Tahoma"/>
      <w:szCs w:val="20"/>
    </w:rPr>
  </w:style>
  <w:style w:type="paragraph" w:customStyle="1" w:styleId="404">
    <w:name w:val="Char Char Char Char Char"/>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405">
    <w:name w:val="样式 标题 2h2sect 1.2H2UNDERRUBRIK 1-2hhHeading TwoProphead 2..."/>
    <w:basedOn w:val="5"/>
    <w:qFormat/>
    <w:uiPriority w:val="0"/>
    <w:pPr>
      <w:keepLines/>
      <w:widowControl w:val="0"/>
      <w:tabs>
        <w:tab w:val="left" w:pos="840"/>
      </w:tabs>
      <w:snapToGrid/>
      <w:spacing w:before="312" w:after="312"/>
      <w:ind w:left="840" w:hanging="420"/>
      <w:jc w:val="left"/>
    </w:pPr>
    <w:rPr>
      <w:rFonts w:ascii="黑体" w:hAnsi="宋体" w:eastAsia="黑体"/>
      <w:bCs/>
      <w:sz w:val="30"/>
      <w:szCs w:val="30"/>
    </w:rPr>
  </w:style>
  <w:style w:type="paragraph" w:customStyle="1" w:styleId="406">
    <w:name w:val="关键词"/>
    <w:basedOn w:val="1"/>
    <w:next w:val="1"/>
    <w:qFormat/>
    <w:uiPriority w:val="0"/>
    <w:pPr>
      <w:spacing w:line="360" w:lineRule="auto"/>
      <w:ind w:firstLine="0" w:firstLineChars="0"/>
    </w:pPr>
    <w:rPr>
      <w:rFonts w:eastAsia="黑体"/>
      <w:sz w:val="20"/>
    </w:rPr>
  </w:style>
  <w:style w:type="paragraph" w:customStyle="1" w:styleId="407">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08">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09">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410">
    <w:name w:val="正文表格"/>
    <w:basedOn w:val="1"/>
    <w:qFormat/>
    <w:uiPriority w:val="0"/>
    <w:pPr>
      <w:adjustRightInd w:val="0"/>
      <w:spacing w:before="40" w:after="40" w:line="240" w:lineRule="auto"/>
      <w:ind w:firstLine="0" w:firstLineChars="0"/>
    </w:pPr>
    <w:rPr>
      <w:szCs w:val="20"/>
    </w:rPr>
  </w:style>
  <w:style w:type="paragraph" w:customStyle="1" w:styleId="411">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412">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3">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14">
    <w:name w:val="_"/>
    <w:basedOn w:val="1"/>
    <w:qFormat/>
    <w:uiPriority w:val="0"/>
    <w:pPr>
      <w:adjustRightInd w:val="0"/>
      <w:spacing w:line="360" w:lineRule="auto"/>
      <w:ind w:left="480"/>
      <w:textAlignment w:val="baseline"/>
    </w:pPr>
    <w:rPr>
      <w:kern w:val="0"/>
      <w:szCs w:val="20"/>
    </w:rPr>
  </w:style>
  <w:style w:type="paragraph" w:customStyle="1" w:styleId="415">
    <w:name w:val="样式 正文文本缩进 + 段前: 2 字符"/>
    <w:basedOn w:val="1"/>
    <w:qFormat/>
    <w:uiPriority w:val="0"/>
    <w:pPr>
      <w:ind w:left="420" w:leftChars="200"/>
      <w:jc w:val="left"/>
    </w:pPr>
    <w:rPr>
      <w:sz w:val="28"/>
      <w:lang w:eastAsia="zh-TW"/>
    </w:rPr>
  </w:style>
  <w:style w:type="paragraph" w:customStyle="1" w:styleId="416">
    <w:name w:val="图片文字"/>
    <w:basedOn w:val="1"/>
    <w:qFormat/>
    <w:uiPriority w:val="0"/>
    <w:pPr>
      <w:spacing w:line="240" w:lineRule="atLeast"/>
      <w:ind w:firstLine="0" w:firstLineChars="0"/>
      <w:jc w:val="center"/>
    </w:pPr>
    <w:rPr>
      <w:sz w:val="21"/>
      <w:szCs w:val="21"/>
    </w:rPr>
  </w:style>
  <w:style w:type="paragraph" w:customStyle="1" w:styleId="417">
    <w:name w:val="Char Char Char Char Char Char1 Char1"/>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418">
    <w:name w:val="style14"/>
    <w:basedOn w:val="1"/>
    <w:qFormat/>
    <w:uiPriority w:val="0"/>
    <w:pPr>
      <w:widowControl/>
      <w:spacing w:line="240" w:lineRule="auto"/>
      <w:ind w:firstLine="0" w:firstLineChars="0"/>
      <w:jc w:val="left"/>
    </w:pPr>
    <w:rPr>
      <w:rFonts w:ascii="宋体" w:hAnsi="宋体" w:cs="宋体"/>
      <w:b/>
      <w:bCs/>
      <w:kern w:val="0"/>
      <w:sz w:val="21"/>
      <w:szCs w:val="21"/>
    </w:rPr>
  </w:style>
  <w:style w:type="paragraph" w:customStyle="1" w:styleId="419">
    <w:name w:val="xl14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20">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21">
    <w:name w:val="font12"/>
    <w:basedOn w:val="1"/>
    <w:qFormat/>
    <w:uiPriority w:val="0"/>
    <w:pPr>
      <w:widowControl/>
      <w:spacing w:before="100" w:beforeAutospacing="1" w:after="100" w:afterAutospacing="1" w:line="240" w:lineRule="auto"/>
      <w:ind w:firstLine="0" w:firstLineChars="0"/>
      <w:jc w:val="left"/>
    </w:pPr>
    <w:rPr>
      <w:kern w:val="0"/>
      <w:sz w:val="20"/>
      <w:szCs w:val="20"/>
    </w:rPr>
  </w:style>
  <w:style w:type="paragraph" w:customStyle="1" w:styleId="422">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23">
    <w:name w:val="(符号)三标题1.1"/>
    <w:basedOn w:val="1"/>
    <w:qFormat/>
    <w:uiPriority w:val="0"/>
    <w:pPr>
      <w:tabs>
        <w:tab w:val="left" w:pos="360"/>
      </w:tabs>
      <w:spacing w:before="140" w:after="140" w:line="500" w:lineRule="exact"/>
      <w:ind w:left="360" w:firstLine="0" w:firstLineChars="0"/>
      <w:outlineLvl w:val="2"/>
    </w:pPr>
    <w:rPr>
      <w:rFonts w:ascii="楷体_GB2312" w:hAnsi="宋体" w:eastAsia="楷体_GB2312" w:cs="宋体"/>
      <w:b/>
      <w:bCs/>
      <w:sz w:val="28"/>
      <w:szCs w:val="20"/>
    </w:rPr>
  </w:style>
  <w:style w:type="paragraph" w:customStyle="1" w:styleId="424">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42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426">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42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42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9">
    <w:name w:val="xl129"/>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430">
    <w:name w:val="xl121"/>
    <w:basedOn w:val="1"/>
    <w:qFormat/>
    <w:uiPriority w:val="0"/>
    <w:pPr>
      <w:widowControl/>
      <w:spacing w:before="100" w:beforeAutospacing="1" w:after="100" w:afterAutospacing="1" w:line="240" w:lineRule="auto"/>
      <w:ind w:firstLine="0" w:firstLineChars="0"/>
      <w:jc w:val="left"/>
    </w:pPr>
    <w:rPr>
      <w:rFonts w:ascii="仿宋_GB2312" w:hAnsi="宋体" w:eastAsia="仿宋_GB2312" w:cs="宋体"/>
      <w:b/>
      <w:bCs/>
      <w:kern w:val="0"/>
      <w:sz w:val="32"/>
      <w:szCs w:val="32"/>
    </w:rPr>
  </w:style>
  <w:style w:type="paragraph" w:customStyle="1" w:styleId="431">
    <w:name w:val="xl5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32">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33">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43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35">
    <w:name w:val="Char4"/>
    <w:basedOn w:val="1"/>
    <w:qFormat/>
    <w:uiPriority w:val="0"/>
    <w:pPr>
      <w:widowControl/>
      <w:spacing w:after="160" w:line="240" w:lineRule="exact"/>
      <w:jc w:val="left"/>
    </w:pPr>
    <w:rPr>
      <w:rFonts w:ascii="Verdana" w:hAnsi="Verdana"/>
      <w:kern w:val="0"/>
      <w:szCs w:val="20"/>
      <w:lang w:eastAsia="en-US"/>
    </w:rPr>
  </w:style>
  <w:style w:type="paragraph" w:customStyle="1" w:styleId="436">
    <w:name w:val="xl5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37">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438">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39">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40">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41">
    <w:name w:val="xl14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42">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43">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44">
    <w:name w:val="样式 普通正文 + 五号 首行缩进:  2 字符"/>
    <w:basedOn w:val="1"/>
    <w:qFormat/>
    <w:uiPriority w:val="0"/>
    <w:pPr>
      <w:spacing w:line="360" w:lineRule="auto"/>
      <w:ind w:firstLine="420"/>
    </w:pPr>
    <w:rPr>
      <w:rFonts w:cs="宋体"/>
      <w:sz w:val="21"/>
      <w:szCs w:val="20"/>
    </w:rPr>
  </w:style>
  <w:style w:type="paragraph" w:customStyle="1" w:styleId="445">
    <w:name w:val="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446">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47">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b/>
      <w:bCs/>
      <w:kern w:val="0"/>
      <w:sz w:val="20"/>
      <w:szCs w:val="20"/>
    </w:rPr>
  </w:style>
  <w:style w:type="paragraph" w:customStyle="1" w:styleId="448">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49">
    <w:name w:val="样式3"/>
    <w:basedOn w:val="450"/>
    <w:qFormat/>
    <w:uiPriority w:val="0"/>
    <w:pPr>
      <w:ind w:firstLine="2080"/>
    </w:pPr>
    <w:rPr>
      <w:szCs w:val="72"/>
    </w:rPr>
  </w:style>
  <w:style w:type="paragraph" w:customStyle="1" w:styleId="450">
    <w:name w:val="样式1"/>
    <w:basedOn w:val="32"/>
    <w:next w:val="25"/>
    <w:qFormat/>
    <w:uiPriority w:val="0"/>
    <w:pPr>
      <w:ind w:firstLine="1958" w:firstLineChars="650"/>
    </w:pPr>
    <w:rPr>
      <w:rFonts w:ascii="仿宋_GB2312" w:hAnsi="仿宋_GB2312" w:eastAsia="仿宋_GB2312"/>
      <w:sz w:val="32"/>
    </w:rPr>
  </w:style>
  <w:style w:type="paragraph" w:customStyle="1" w:styleId="451">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52">
    <w:name w:val="Char Char Char Char Char Char Char Char Char Char"/>
    <w:basedOn w:val="1"/>
    <w:qFormat/>
    <w:uiPriority w:val="0"/>
    <w:pPr>
      <w:widowControl/>
      <w:spacing w:after="160" w:line="240" w:lineRule="exact"/>
      <w:ind w:firstLine="0" w:firstLineChars="0"/>
      <w:jc w:val="left"/>
    </w:pPr>
    <w:rPr>
      <w:rFonts w:ascii="Verdana" w:hAnsi="Verdana" w:cs="Verdana"/>
      <w:kern w:val="0"/>
      <w:sz w:val="20"/>
      <w:szCs w:val="20"/>
      <w:lang w:eastAsia="en-US"/>
    </w:rPr>
  </w:style>
  <w:style w:type="paragraph" w:customStyle="1" w:styleId="453">
    <w:name w:val="@"/>
    <w:basedOn w:val="1"/>
    <w:qFormat/>
    <w:uiPriority w:val="0"/>
    <w:pPr>
      <w:tabs>
        <w:tab w:val="left" w:pos="360"/>
      </w:tabs>
      <w:spacing w:afterLines="50" w:line="360" w:lineRule="auto"/>
      <w:ind w:left="360" w:hanging="360" w:firstLineChars="0"/>
    </w:pPr>
  </w:style>
  <w:style w:type="paragraph" w:customStyle="1" w:styleId="45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5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 w:val="20"/>
      <w:szCs w:val="20"/>
    </w:rPr>
  </w:style>
  <w:style w:type="paragraph" w:customStyle="1" w:styleId="456">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457">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58">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459">
    <w:name w:val="tableheading"/>
    <w:basedOn w:val="1"/>
    <w:qFormat/>
    <w:uiPriority w:val="0"/>
    <w:pPr>
      <w:widowControl/>
      <w:spacing w:before="100" w:beforeAutospacing="1" w:after="100" w:afterAutospacing="1" w:line="200" w:lineRule="atLeast"/>
      <w:jc w:val="left"/>
    </w:pPr>
    <w:rPr>
      <w:rFonts w:ascii="Arial Unicode MS" w:hAnsi="Arial Unicode MS"/>
      <w:kern w:val="0"/>
      <w:sz w:val="15"/>
      <w:szCs w:val="15"/>
    </w:rPr>
  </w:style>
  <w:style w:type="paragraph" w:customStyle="1" w:styleId="460">
    <w:name w:val="Char Char Char Char Char Char Char Char Char Char Char Char Char Char Char Char Char Char Char Char Char Char Char Char Char1"/>
    <w:basedOn w:val="1"/>
    <w:qFormat/>
    <w:uiPriority w:val="0"/>
    <w:rPr>
      <w:rFonts w:ascii="Tahoma" w:hAnsi="Tahoma"/>
      <w:szCs w:val="20"/>
    </w:rPr>
  </w:style>
  <w:style w:type="paragraph" w:customStyle="1" w:styleId="461">
    <w:name w:val="二级列表"/>
    <w:basedOn w:val="462"/>
    <w:next w:val="462"/>
    <w:qFormat/>
    <w:uiPriority w:val="0"/>
    <w:pPr>
      <w:tabs>
        <w:tab w:val="left" w:pos="360"/>
        <w:tab w:val="left" w:pos="840"/>
      </w:tabs>
      <w:ind w:firstLine="0" w:firstLineChars="0"/>
    </w:pPr>
    <w:rPr>
      <w:b/>
    </w:rPr>
  </w:style>
  <w:style w:type="paragraph" w:customStyle="1" w:styleId="462">
    <w:name w:val="段落正文"/>
    <w:basedOn w:val="1"/>
    <w:qFormat/>
    <w:uiPriority w:val="0"/>
    <w:pPr>
      <w:spacing w:beforeLines="50" w:line="360" w:lineRule="auto"/>
    </w:pPr>
    <w:rPr>
      <w:spacing w:val="2"/>
    </w:rPr>
  </w:style>
  <w:style w:type="paragraph" w:customStyle="1" w:styleId="463">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4">
    <w:name w:val="xl4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kern w:val="0"/>
    </w:rPr>
  </w:style>
  <w:style w:type="paragraph" w:customStyle="1" w:styleId="465">
    <w:name w:val="xl23"/>
    <w:basedOn w:val="1"/>
    <w:qFormat/>
    <w:uiPriority w:val="0"/>
    <w:pPr>
      <w:widowControl/>
      <w:spacing w:before="100" w:beforeAutospacing="1" w:after="100" w:afterAutospacing="1" w:line="360" w:lineRule="auto"/>
      <w:ind w:firstLine="0" w:firstLineChars="0"/>
      <w:textAlignment w:val="top"/>
    </w:pPr>
    <w:rPr>
      <w:kern w:val="0"/>
    </w:rPr>
  </w:style>
  <w:style w:type="paragraph" w:customStyle="1" w:styleId="466">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467">
    <w:name w:val="标四"/>
    <w:next w:val="1"/>
    <w:qFormat/>
    <w:uiPriority w:val="0"/>
    <w:pPr>
      <w:tabs>
        <w:tab w:val="left" w:pos="864"/>
      </w:tabs>
      <w:spacing w:line="360" w:lineRule="auto"/>
      <w:ind w:left="851" w:hanging="851"/>
      <w:outlineLvl w:val="3"/>
    </w:pPr>
    <w:rPr>
      <w:rFonts w:ascii="宋体" w:hAnsi="宋体" w:eastAsia="宋体" w:cs="Times New Roman"/>
      <w:b/>
      <w:color w:val="FF0000"/>
      <w:kern w:val="2"/>
      <w:sz w:val="24"/>
      <w:lang w:val="en-US" w:eastAsia="zh-CN" w:bidi="ar-SA"/>
    </w:rPr>
  </w:style>
  <w:style w:type="paragraph" w:customStyle="1" w:styleId="468">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6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0">
    <w:name w:val="样式 小四 行距: 1.5 倍行距 首行缩进:  2 字符"/>
    <w:basedOn w:val="1"/>
    <w:qFormat/>
    <w:uiPriority w:val="0"/>
    <w:pPr>
      <w:spacing w:line="360" w:lineRule="auto"/>
      <w:ind w:firstLine="480"/>
    </w:pPr>
    <w:rPr>
      <w:rFonts w:cs="宋体"/>
      <w:szCs w:val="20"/>
    </w:rPr>
  </w:style>
  <w:style w:type="paragraph" w:customStyle="1" w:styleId="471">
    <w:name w:val="操作步骤"/>
    <w:basedOn w:val="1"/>
    <w:qFormat/>
    <w:uiPriority w:val="0"/>
    <w:pPr>
      <w:tabs>
        <w:tab w:val="left" w:pos="425"/>
      </w:tabs>
      <w:autoSpaceDE w:val="0"/>
      <w:autoSpaceDN w:val="0"/>
      <w:adjustRightInd w:val="0"/>
      <w:snapToGrid w:val="0"/>
      <w:spacing w:line="40" w:lineRule="atLeast"/>
      <w:ind w:left="360" w:firstLine="0" w:firstLineChars="0"/>
      <w:textAlignment w:val="bottom"/>
    </w:pPr>
    <w:rPr>
      <w:rFonts w:ascii="昆仑楷体" w:eastAsia="楷体_GB2312"/>
      <w:kern w:val="0"/>
      <w:sz w:val="21"/>
      <w:szCs w:val="20"/>
    </w:rPr>
  </w:style>
  <w:style w:type="paragraph" w:customStyle="1" w:styleId="472">
    <w:name w:val="xl16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73">
    <w:name w:val="xl110"/>
    <w:basedOn w:val="1"/>
    <w:qFormat/>
    <w:uiPriority w:val="0"/>
    <w:pPr>
      <w:widowControl/>
      <w:spacing w:before="100" w:beforeAutospacing="1" w:after="100" w:afterAutospacing="1" w:line="240" w:lineRule="auto"/>
      <w:ind w:firstLine="0" w:firstLineChars="0"/>
      <w:jc w:val="center"/>
      <w:textAlignment w:val="bottom"/>
    </w:pPr>
    <w:rPr>
      <w:rFonts w:ascii="Arial" w:hAnsi="Arial" w:cs="Arial"/>
      <w:kern w:val="0"/>
      <w:sz w:val="20"/>
      <w:szCs w:val="20"/>
    </w:rPr>
  </w:style>
  <w:style w:type="paragraph" w:customStyle="1" w:styleId="474">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75">
    <w:name w:val="DAS列表一"/>
    <w:basedOn w:val="1"/>
    <w:qFormat/>
    <w:uiPriority w:val="0"/>
    <w:pPr>
      <w:tabs>
        <w:tab w:val="left" w:pos="0"/>
        <w:tab w:val="left" w:pos="709"/>
      </w:tabs>
      <w:spacing w:line="240" w:lineRule="auto"/>
      <w:ind w:right="-2" w:firstLine="426" w:firstLineChars="0"/>
    </w:pPr>
    <w:rPr>
      <w:rFonts w:ascii="黑体" w:hAnsi="Verdana" w:eastAsia="黑体"/>
      <w:sz w:val="21"/>
      <w:szCs w:val="21"/>
    </w:rPr>
  </w:style>
  <w:style w:type="paragraph" w:customStyle="1" w:styleId="476">
    <w:name w:val="标准正文"/>
    <w:qFormat/>
    <w:uiPriority w:val="0"/>
    <w:pPr>
      <w:spacing w:before="60" w:after="60"/>
      <w:ind w:firstLine="482"/>
    </w:pPr>
    <w:rPr>
      <w:rFonts w:ascii="Arial" w:hAnsi="Arial" w:eastAsia="宋体" w:cs="Times New Roman"/>
      <w:lang w:val="en-US" w:eastAsia="zh-CN" w:bidi="ar-SA"/>
    </w:rPr>
  </w:style>
  <w:style w:type="paragraph" w:customStyle="1" w:styleId="477">
    <w:name w:val="普通正文"/>
    <w:basedOn w:val="1"/>
    <w:qFormat/>
    <w:uiPriority w:val="0"/>
    <w:pPr>
      <w:adjustRightInd w:val="0"/>
      <w:spacing w:before="120" w:after="120" w:line="360" w:lineRule="auto"/>
      <w:ind w:firstLine="480" w:firstLineChars="0"/>
      <w:jc w:val="left"/>
      <w:textAlignment w:val="baseline"/>
    </w:pPr>
    <w:rPr>
      <w:rFonts w:ascii="Arial" w:hAnsi="Arial"/>
      <w:kern w:val="0"/>
    </w:rPr>
  </w:style>
  <w:style w:type="paragraph" w:customStyle="1" w:styleId="478">
    <w:name w:val="tabletextchar"/>
    <w:basedOn w:val="1"/>
    <w:qFormat/>
    <w:uiPriority w:val="0"/>
    <w:pPr>
      <w:widowControl/>
      <w:spacing w:before="100" w:beforeAutospacing="1" w:after="100" w:afterAutospacing="1"/>
      <w:jc w:val="left"/>
    </w:pPr>
    <w:rPr>
      <w:rFonts w:ascii="宋体" w:hAnsi="宋体" w:cs="宋体"/>
      <w:kern w:val="0"/>
    </w:rPr>
  </w:style>
  <w:style w:type="paragraph" w:customStyle="1" w:styleId="479">
    <w:name w:val="xl16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80">
    <w:name w:val="xl68"/>
    <w:basedOn w:val="1"/>
    <w:qFormat/>
    <w:uiPriority w:val="0"/>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481">
    <w:name w:val="CSS1级正文 Char"/>
    <w:basedOn w:val="2"/>
    <w:qFormat/>
    <w:uiPriority w:val="0"/>
    <w:pPr>
      <w:adjustRightInd w:val="0"/>
      <w:snapToGrid w:val="0"/>
      <w:spacing w:after="0" w:line="360" w:lineRule="auto"/>
      <w:ind w:firstLine="480" w:firstLineChars="0"/>
    </w:pPr>
    <w:rPr>
      <w:rFonts w:eastAsia="Times New Roman"/>
    </w:rPr>
  </w:style>
  <w:style w:type="paragraph" w:customStyle="1" w:styleId="482">
    <w:name w:val="文本框样式1"/>
    <w:basedOn w:val="1"/>
    <w:qFormat/>
    <w:uiPriority w:val="0"/>
    <w:pPr>
      <w:adjustRightInd w:val="0"/>
      <w:snapToGrid w:val="0"/>
      <w:spacing w:before="60" w:line="180" w:lineRule="exact"/>
      <w:ind w:firstLine="0" w:firstLineChars="0"/>
      <w:jc w:val="center"/>
    </w:pPr>
    <w:rPr>
      <w:sz w:val="21"/>
      <w:szCs w:val="21"/>
    </w:rPr>
  </w:style>
  <w:style w:type="paragraph" w:customStyle="1" w:styleId="483">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8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85">
    <w:name w:val="标题3"/>
    <w:basedOn w:val="6"/>
    <w:qFormat/>
    <w:uiPriority w:val="0"/>
    <w:pPr>
      <w:keepNext/>
      <w:keepLines/>
      <w:widowControl w:val="0"/>
      <w:tabs>
        <w:tab w:val="left" w:pos="113"/>
        <w:tab w:val="left" w:pos="1230"/>
      </w:tabs>
      <w:spacing w:beforeLines="100" w:afterLines="50" w:line="300" w:lineRule="auto"/>
      <w:ind w:firstLine="510"/>
      <w:jc w:val="both"/>
      <w:outlineLvl w:val="9"/>
    </w:pPr>
    <w:rPr>
      <w:rFonts w:ascii="Arial" w:eastAsia="黑体"/>
      <w:b w:val="0"/>
      <w:spacing w:val="6"/>
      <w:kern w:val="0"/>
      <w:szCs w:val="24"/>
      <w:lang w:val="ru-RU"/>
    </w:rPr>
  </w:style>
  <w:style w:type="paragraph" w:customStyle="1" w:styleId="486">
    <w:name w:val="缺省文本"/>
    <w:basedOn w:val="1"/>
    <w:qFormat/>
    <w:uiPriority w:val="0"/>
    <w:pPr>
      <w:tabs>
        <w:tab w:val="left" w:pos="1685"/>
      </w:tabs>
      <w:autoSpaceDE w:val="0"/>
      <w:autoSpaceDN w:val="0"/>
      <w:adjustRightInd w:val="0"/>
      <w:spacing w:line="360" w:lineRule="auto"/>
      <w:ind w:left="709" w:firstLine="0" w:firstLineChars="0"/>
      <w:jc w:val="left"/>
    </w:pPr>
    <w:rPr>
      <w:kern w:val="0"/>
      <w:szCs w:val="20"/>
    </w:rPr>
  </w:style>
  <w:style w:type="paragraph" w:customStyle="1" w:styleId="487">
    <w:name w:val="微软用户"/>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8">
    <w:name w:val="text1"/>
    <w:basedOn w:val="1"/>
    <w:qFormat/>
    <w:uiPriority w:val="0"/>
    <w:pPr>
      <w:widowControl/>
      <w:spacing w:before="100" w:beforeAutospacing="1" w:after="100" w:afterAutospacing="1"/>
      <w:jc w:val="left"/>
    </w:pPr>
    <w:rPr>
      <w:rFonts w:ascii="宋体" w:hAnsi="宋体"/>
      <w:kern w:val="0"/>
    </w:rPr>
  </w:style>
  <w:style w:type="paragraph" w:customStyle="1" w:styleId="489">
    <w:name w:val="样式 样式 正文首行缩进 2 + 左  0 字符 + 首行缩进:  2.57 字符"/>
    <w:basedOn w:val="1"/>
    <w:next w:val="1"/>
    <w:qFormat/>
    <w:uiPriority w:val="0"/>
    <w:pPr>
      <w:adjustRightInd w:val="0"/>
      <w:snapToGrid w:val="0"/>
      <w:spacing w:after="120" w:line="240" w:lineRule="auto"/>
      <w:ind w:firstLine="540" w:firstLineChars="257"/>
    </w:pPr>
    <w:rPr>
      <w:sz w:val="21"/>
      <w:szCs w:val="20"/>
    </w:rPr>
  </w:style>
  <w:style w:type="paragraph" w:customStyle="1" w:styleId="490">
    <w:name w:val="正文首行缩进两字符"/>
    <w:basedOn w:val="1"/>
    <w:qFormat/>
    <w:uiPriority w:val="0"/>
    <w:pPr>
      <w:spacing w:line="360" w:lineRule="auto"/>
    </w:pPr>
    <w:rPr>
      <w:sz w:val="21"/>
    </w:rPr>
  </w:style>
  <w:style w:type="paragraph" w:customStyle="1" w:styleId="491">
    <w:name w:val="È±Ê¡ÎÄ±¾"/>
    <w:basedOn w:val="1"/>
    <w:qFormat/>
    <w:uiPriority w:val="0"/>
    <w:pPr>
      <w:widowControl/>
      <w:overflowPunct w:val="0"/>
      <w:autoSpaceDE w:val="0"/>
      <w:autoSpaceDN w:val="0"/>
      <w:adjustRightInd w:val="0"/>
      <w:jc w:val="left"/>
    </w:pPr>
    <w:rPr>
      <w:kern w:val="0"/>
      <w:szCs w:val="20"/>
    </w:rPr>
  </w:style>
  <w:style w:type="paragraph" w:customStyle="1" w:styleId="492">
    <w:name w:val="编号正文"/>
    <w:basedOn w:val="256"/>
    <w:qFormat/>
    <w:uiPriority w:val="0"/>
    <w:pPr>
      <w:spacing w:line="360" w:lineRule="auto"/>
      <w:ind w:left="1407" w:hanging="1047" w:firstLineChars="0"/>
      <w:jc w:val="left"/>
    </w:pPr>
    <w:rPr>
      <w:rFonts w:ascii="Arial Narrow" w:hAnsi="Arial Narrow" w:eastAsia="仿宋_GB2312"/>
      <w:sz w:val="24"/>
      <w:szCs w:val="24"/>
    </w:rPr>
  </w:style>
  <w:style w:type="paragraph" w:customStyle="1" w:styleId="493">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94">
    <w:name w:val="正文1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495">
    <w:name w:val="样式5"/>
    <w:basedOn w:val="171"/>
    <w:qFormat/>
    <w:uiPriority w:val="0"/>
    <w:pPr>
      <w:tabs>
        <w:tab w:val="clear" w:pos="1152"/>
      </w:tabs>
    </w:pPr>
  </w:style>
  <w:style w:type="paragraph" w:customStyle="1" w:styleId="49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97">
    <w:name w:val="Char Char Char Char Char Char Char Char Char Char Char Char Char Char Char Char"/>
    <w:basedOn w:val="1"/>
    <w:qFormat/>
    <w:uiPriority w:val="0"/>
    <w:pPr>
      <w:widowControl/>
      <w:spacing w:before="100" w:beforeAutospacing="1" w:after="100" w:afterAutospacing="1" w:line="330" w:lineRule="atLeast"/>
      <w:ind w:left="360"/>
      <w:jc w:val="left"/>
    </w:pPr>
    <w:rPr>
      <w:rFonts w:ascii="ˎ̥" w:hAnsi="ˎ̥"/>
      <w:color w:val="51585D"/>
      <w:kern w:val="0"/>
      <w:szCs w:val="20"/>
    </w:rPr>
  </w:style>
  <w:style w:type="paragraph" w:customStyle="1" w:styleId="498">
    <w:name w:val="_Style 198"/>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9">
    <w:name w:val="Item List in Table"/>
    <w:qFormat/>
    <w:uiPriority w:val="0"/>
    <w:pPr>
      <w:tabs>
        <w:tab w:val="left" w:pos="360"/>
      </w:tabs>
      <w:spacing w:before="40" w:after="40"/>
      <w:ind w:left="360" w:hanging="360"/>
      <w:jc w:val="both"/>
    </w:pPr>
    <w:rPr>
      <w:rFonts w:ascii="Arial" w:hAnsi="Arial" w:eastAsia="宋体" w:cs="Arial"/>
      <w:sz w:val="18"/>
      <w:szCs w:val="18"/>
      <w:lang w:val="en-US" w:eastAsia="zh-CN" w:bidi="ar-SA"/>
    </w:rPr>
  </w:style>
  <w:style w:type="paragraph" w:customStyle="1" w:styleId="500">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501">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02">
    <w:name w:val="about_main1"/>
    <w:basedOn w:val="1"/>
    <w:qFormat/>
    <w:uiPriority w:val="0"/>
    <w:pPr>
      <w:widowControl/>
      <w:spacing w:before="30" w:after="100" w:afterAutospacing="1"/>
      <w:jc w:val="left"/>
    </w:pPr>
    <w:rPr>
      <w:rFonts w:ascii="宋体" w:hAnsi="宋体" w:cs="宋体"/>
      <w:kern w:val="0"/>
    </w:rPr>
  </w:style>
  <w:style w:type="paragraph" w:customStyle="1" w:styleId="503">
    <w:name w:val="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504">
    <w:name w:val="样式 正文首行缩进 2 + 行距: 2 倍行距"/>
    <w:basedOn w:val="63"/>
    <w:qFormat/>
    <w:uiPriority w:val="0"/>
    <w:pPr>
      <w:spacing w:after="0" w:line="360" w:lineRule="auto"/>
      <w:ind w:left="200" w:leftChars="200" w:firstLine="200"/>
    </w:pPr>
    <w:rPr>
      <w:rFonts w:eastAsia="宋体"/>
      <w:sz w:val="21"/>
      <w:szCs w:val="24"/>
    </w:rPr>
  </w:style>
  <w:style w:type="paragraph" w:customStyle="1" w:styleId="505">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506">
    <w:name w:val="font14"/>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07">
    <w:name w:val="标题11"/>
    <w:basedOn w:val="4"/>
    <w:qFormat/>
    <w:uiPriority w:val="0"/>
    <w:pPr>
      <w:widowControl w:val="0"/>
      <w:tabs>
        <w:tab w:val="left" w:pos="360"/>
      </w:tabs>
      <w:snapToGrid/>
      <w:spacing w:beforeLines="50" w:after="120" w:line="300" w:lineRule="auto"/>
    </w:pPr>
    <w:rPr>
      <w:rFonts w:ascii="Times New Roman" w:eastAsia="黑体"/>
      <w:b w:val="0"/>
      <w:spacing w:val="6"/>
      <w:kern w:val="44"/>
      <w:szCs w:val="24"/>
    </w:rPr>
  </w:style>
  <w:style w:type="paragraph" w:customStyle="1" w:styleId="508">
    <w:name w:val="样式4"/>
    <w:basedOn w:val="1"/>
    <w:qFormat/>
    <w:uiPriority w:val="0"/>
    <w:pPr>
      <w:keepNext/>
      <w:keepLines/>
      <w:spacing w:line="360" w:lineRule="auto"/>
      <w:ind w:firstLine="601"/>
      <w:outlineLvl w:val="1"/>
    </w:pPr>
    <w:rPr>
      <w:rFonts w:ascii="宋体" w:hAnsi="宋体"/>
      <w:b/>
      <w:bCs/>
      <w:sz w:val="30"/>
      <w:szCs w:val="30"/>
    </w:rPr>
  </w:style>
  <w:style w:type="paragraph" w:customStyle="1" w:styleId="509">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1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11">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12">
    <w:name w:val="正文格式"/>
    <w:basedOn w:val="1"/>
    <w:qFormat/>
    <w:uiPriority w:val="0"/>
    <w:pPr>
      <w:widowControl/>
      <w:adjustRightInd w:val="0"/>
      <w:snapToGrid w:val="0"/>
      <w:spacing w:line="360" w:lineRule="atLeast"/>
      <w:ind w:firstLine="482"/>
      <w:textAlignment w:val="baseline"/>
    </w:pPr>
    <w:rPr>
      <w:kern w:val="0"/>
      <w:szCs w:val="20"/>
    </w:rPr>
  </w:style>
  <w:style w:type="paragraph" w:customStyle="1" w:styleId="513">
    <w:name w:val="xl18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14">
    <w:name w:val="标题3——2"/>
    <w:basedOn w:val="6"/>
    <w:next w:val="62"/>
    <w:qFormat/>
    <w:uiPriority w:val="0"/>
    <w:pPr>
      <w:keepNext/>
      <w:keepLines/>
      <w:widowControl w:val="0"/>
      <w:tabs>
        <w:tab w:val="left" w:pos="425"/>
        <w:tab w:val="right" w:leader="dot" w:pos="8777"/>
      </w:tabs>
      <w:spacing w:beforeLines="100"/>
      <w:ind w:left="851" w:hanging="851"/>
      <w:jc w:val="both"/>
      <w:outlineLvl w:val="9"/>
    </w:pPr>
    <w:rPr>
      <w:rFonts w:ascii="黑体" w:hAnsi="宋体" w:eastAsia="黑体"/>
      <w:bCs/>
      <w:sz w:val="30"/>
      <w:szCs w:val="30"/>
    </w:rPr>
  </w:style>
  <w:style w:type="paragraph" w:customStyle="1" w:styleId="515">
    <w:name w:val="font10"/>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516">
    <w:name w:val="列出段落2"/>
    <w:basedOn w:val="1"/>
    <w:qFormat/>
    <w:uiPriority w:val="0"/>
    <w:pPr>
      <w:spacing w:line="240" w:lineRule="auto"/>
      <w:ind w:firstLine="420"/>
    </w:pPr>
    <w:rPr>
      <w:rFonts w:ascii="Calibri" w:hAnsi="Calibri"/>
      <w:sz w:val="21"/>
      <w:szCs w:val="22"/>
    </w:rPr>
  </w:style>
  <w:style w:type="paragraph" w:customStyle="1" w:styleId="517">
    <w:name w:val="附录3"/>
    <w:basedOn w:val="1"/>
    <w:next w:val="1"/>
    <w:qFormat/>
    <w:uiPriority w:val="0"/>
    <w:pPr>
      <w:tabs>
        <w:tab w:val="left" w:pos="851"/>
      </w:tabs>
      <w:spacing w:line="240" w:lineRule="auto"/>
      <w:ind w:left="425" w:hanging="425" w:firstLineChars="0"/>
      <w:outlineLvl w:val="2"/>
    </w:pPr>
    <w:rPr>
      <w:rFonts w:eastAsia="黑体"/>
      <w:b/>
      <w:bCs/>
      <w:sz w:val="32"/>
    </w:rPr>
  </w:style>
  <w:style w:type="paragraph" w:customStyle="1" w:styleId="518">
    <w:name w:val="xl209"/>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19">
    <w:name w:val="font11"/>
    <w:basedOn w:val="1"/>
    <w:qFormat/>
    <w:uiPriority w:val="0"/>
    <w:pPr>
      <w:widowControl/>
      <w:tabs>
        <w:tab w:val="left" w:pos="1680"/>
      </w:tabs>
      <w:spacing w:before="100" w:beforeAutospacing="1" w:after="100" w:afterAutospacing="1"/>
      <w:ind w:firstLine="0"/>
      <w:jc w:val="left"/>
    </w:pPr>
    <w:rPr>
      <w:rFonts w:eastAsia="Arial Unicode MS"/>
      <w:b/>
      <w:kern w:val="0"/>
      <w:sz w:val="22"/>
      <w:szCs w:val="20"/>
    </w:rPr>
  </w:style>
  <w:style w:type="paragraph" w:customStyle="1" w:styleId="520">
    <w:name w:val="默认段落字体 Para Char Char Char Char Char Char Char"/>
    <w:basedOn w:val="1"/>
    <w:qFormat/>
    <w:uiPriority w:val="0"/>
    <w:rPr>
      <w:rFonts w:ascii="Tahoma" w:hAnsi="Tahoma"/>
      <w:b/>
      <w:szCs w:val="20"/>
    </w:rPr>
  </w:style>
  <w:style w:type="paragraph" w:customStyle="1" w:styleId="521">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22">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23">
    <w:name w:val="xl207"/>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52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25">
    <w:name w:val="xl6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26">
    <w:name w:val="IN Step"/>
    <w:basedOn w:val="1"/>
    <w:qFormat/>
    <w:uiPriority w:val="0"/>
    <w:pPr>
      <w:keepLines/>
      <w:widowControl/>
      <w:tabs>
        <w:tab w:val="left" w:pos="1134"/>
      </w:tabs>
      <w:spacing w:before="80" w:after="80" w:line="300" w:lineRule="auto"/>
      <w:ind w:left="1134" w:hanging="907" w:firstLineChars="0"/>
      <w:outlineLvl w:val="8"/>
    </w:pPr>
    <w:rPr>
      <w:rFonts w:ascii="Arial" w:hAnsi="Arial" w:cs="Arial"/>
      <w:kern w:val="0"/>
      <w:sz w:val="21"/>
      <w:szCs w:val="21"/>
    </w:rPr>
  </w:style>
  <w:style w:type="paragraph" w:customStyle="1" w:styleId="527">
    <w:name w:val="默认段落字体 Para Char Char Char Char Char Char Char Char Char1 Char"/>
    <w:basedOn w:val="1"/>
    <w:qFormat/>
    <w:uiPriority w:val="0"/>
    <w:rPr>
      <w:rFonts w:ascii="Tahoma" w:hAnsi="Tahoma"/>
      <w:szCs w:val="20"/>
    </w:rPr>
  </w:style>
  <w:style w:type="paragraph" w:customStyle="1" w:styleId="528">
    <w:name w:val="Char Char1 Char Char Char Char Char Char Char Char Char Char Char Char Char Char1"/>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52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530">
    <w:name w:val="Char Char Char Char Char Char Char Char Char Char Char Char Char Char Char Char Char Char Char Char Char Char Char Char Char"/>
    <w:basedOn w:val="1"/>
    <w:qFormat/>
    <w:uiPriority w:val="0"/>
    <w:rPr>
      <w:rFonts w:ascii="Tahoma" w:hAnsi="Tahoma"/>
      <w:szCs w:val="20"/>
    </w:rPr>
  </w:style>
  <w:style w:type="paragraph" w:customStyle="1" w:styleId="531">
    <w:name w:val="xl122"/>
    <w:basedOn w:val="1"/>
    <w:qFormat/>
    <w:uiPriority w:val="0"/>
    <w:pPr>
      <w:widowControl/>
      <w:spacing w:before="100" w:beforeAutospacing="1" w:after="100" w:afterAutospacing="1" w:line="240" w:lineRule="auto"/>
      <w:ind w:firstLine="0" w:firstLineChars="0"/>
      <w:jc w:val="left"/>
    </w:pPr>
    <w:rPr>
      <w:rFonts w:ascii="Arial" w:hAnsi="Arial" w:cs="Arial"/>
      <w:kern w:val="0"/>
      <w:sz w:val="32"/>
      <w:szCs w:val="32"/>
    </w:rPr>
  </w:style>
  <w:style w:type="paragraph" w:customStyle="1" w:styleId="532">
    <w:name w:val="样式 左侧:  6 字符 段前: 0.5 行 段后: 0.5 行"/>
    <w:basedOn w:val="1"/>
    <w:qFormat/>
    <w:uiPriority w:val="0"/>
    <w:pPr>
      <w:snapToGrid w:val="0"/>
      <w:spacing w:beforeLines="50" w:afterLines="50" w:line="360" w:lineRule="auto"/>
      <w:ind w:left="1260" w:leftChars="600" w:firstLine="0" w:firstLineChars="0"/>
    </w:pPr>
    <w:rPr>
      <w:rFonts w:cs="宋体"/>
      <w:sz w:val="21"/>
      <w:szCs w:val="20"/>
    </w:rPr>
  </w:style>
  <w:style w:type="paragraph" w:customStyle="1" w:styleId="533">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34">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36">
    <w:name w:val="content"/>
    <w:basedOn w:val="1"/>
    <w:qFormat/>
    <w:uiPriority w:val="0"/>
    <w:pPr>
      <w:widowControl/>
      <w:spacing w:before="100" w:beforeAutospacing="1" w:after="100" w:afterAutospacing="1" w:line="280" w:lineRule="atLeast"/>
      <w:ind w:firstLine="375" w:firstLineChars="0"/>
      <w:jc w:val="left"/>
    </w:pPr>
    <w:rPr>
      <w:rFonts w:ascii="宋体" w:hAnsi="宋体" w:cs="宋体"/>
      <w:color w:val="000000"/>
      <w:kern w:val="0"/>
      <w:sz w:val="18"/>
      <w:szCs w:val="18"/>
    </w:rPr>
  </w:style>
  <w:style w:type="paragraph" w:customStyle="1" w:styleId="537">
    <w:name w:val="xl204"/>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538">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39">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0">
    <w:name w:val="样式 样式 样式 样式 (西文) Arial 首行缩进:  2 字符1 + 首行缩进:  2 字符 + 首行缩进:  2 字符 ..."/>
    <w:basedOn w:val="1"/>
    <w:qFormat/>
    <w:uiPriority w:val="0"/>
    <w:pPr>
      <w:overflowPunct w:val="0"/>
      <w:autoSpaceDE w:val="0"/>
      <w:autoSpaceDN w:val="0"/>
      <w:spacing w:line="360" w:lineRule="auto"/>
      <w:ind w:firstLine="480"/>
    </w:pPr>
    <w:rPr>
      <w:rFonts w:ascii="Arial" w:hAnsi="Arial"/>
    </w:rPr>
  </w:style>
  <w:style w:type="paragraph" w:customStyle="1" w:styleId="541">
    <w:name w:val="Pa0"/>
    <w:basedOn w:val="1"/>
    <w:next w:val="1"/>
    <w:qFormat/>
    <w:uiPriority w:val="0"/>
    <w:pPr>
      <w:autoSpaceDE w:val="0"/>
      <w:autoSpaceDN w:val="0"/>
      <w:adjustRightInd w:val="0"/>
      <w:spacing w:line="241" w:lineRule="atLeast"/>
      <w:ind w:firstLine="0" w:firstLineChars="0"/>
      <w:jc w:val="left"/>
    </w:pPr>
    <w:rPr>
      <w:rFonts w:ascii="Adobe Heiti Std R" w:eastAsia="Adobe Heiti Std R"/>
      <w:kern w:val="0"/>
    </w:rPr>
  </w:style>
  <w:style w:type="paragraph" w:customStyle="1" w:styleId="542">
    <w:name w:val="3"/>
    <w:next w:val="1"/>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43">
    <w:name w:val="xl13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44">
    <w:name w:val="xl80"/>
    <w:basedOn w:val="1"/>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545">
    <w:name w:val="xl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6">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547">
    <w:name w:val="样式 正文文本缩进正文文字首行缩进HD正文1特点标题上海中望标准PI正文普通文字正文小标题正文文字缩进 + 首行..."/>
    <w:basedOn w:val="25"/>
    <w:qFormat/>
    <w:uiPriority w:val="0"/>
    <w:pPr>
      <w:tabs>
        <w:tab w:val="clear" w:pos="2160"/>
      </w:tabs>
      <w:spacing w:line="360" w:lineRule="auto"/>
      <w:ind w:left="0" w:leftChars="0" w:firstLine="480"/>
    </w:pPr>
    <w:rPr>
      <w:rFonts w:eastAsia="Times New Roman" w:cs="宋体"/>
      <w:color w:val="008000"/>
      <w:szCs w:val="20"/>
    </w:rPr>
  </w:style>
  <w:style w:type="paragraph" w:customStyle="1" w:styleId="548">
    <w:name w:val="列表内容"/>
    <w:basedOn w:val="1"/>
    <w:next w:val="1"/>
    <w:qFormat/>
    <w:uiPriority w:val="0"/>
    <w:pPr>
      <w:widowControl/>
      <w:tabs>
        <w:tab w:val="left" w:pos="840"/>
      </w:tabs>
      <w:ind w:left="840" w:hanging="420"/>
      <w:jc w:val="left"/>
    </w:pPr>
    <w:rPr>
      <w:kern w:val="0"/>
      <w:sz w:val="18"/>
    </w:rPr>
  </w:style>
  <w:style w:type="paragraph" w:customStyle="1" w:styleId="549">
    <w:name w:val="font13"/>
    <w:basedOn w:val="1"/>
    <w:qFormat/>
    <w:uiPriority w:val="0"/>
    <w:pPr>
      <w:widowControl/>
      <w:spacing w:before="100" w:beforeAutospacing="1" w:after="100" w:afterAutospacing="1" w:line="240" w:lineRule="auto"/>
      <w:ind w:firstLine="0" w:firstLineChars="0"/>
      <w:jc w:val="left"/>
    </w:pPr>
    <w:rPr>
      <w:rFonts w:ascii="Tahoma" w:hAnsi="Tahoma" w:cs="Tahoma"/>
      <w:kern w:val="0"/>
      <w:sz w:val="20"/>
      <w:szCs w:val="20"/>
    </w:rPr>
  </w:style>
  <w:style w:type="paragraph" w:customStyle="1" w:styleId="550">
    <w:name w:val="图标"/>
    <w:basedOn w:val="1"/>
    <w:next w:val="1"/>
    <w:qFormat/>
    <w:uiPriority w:val="0"/>
    <w:pPr>
      <w:tabs>
        <w:tab w:val="left" w:pos="420"/>
        <w:tab w:val="left" w:pos="567"/>
      </w:tabs>
      <w:autoSpaceDE w:val="0"/>
      <w:autoSpaceDN w:val="0"/>
      <w:adjustRightInd w:val="0"/>
      <w:snapToGrid w:val="0"/>
      <w:spacing w:before="120" w:after="120" w:line="320" w:lineRule="atLeast"/>
      <w:ind w:left="360" w:firstLine="0" w:firstLineChars="0"/>
      <w:jc w:val="center"/>
      <w:textAlignment w:val="baseline"/>
    </w:pPr>
    <w:rPr>
      <w:rFonts w:eastAsia="仿宋_GB2312"/>
      <w:kern w:val="0"/>
      <w:szCs w:val="20"/>
    </w:rPr>
  </w:style>
  <w:style w:type="paragraph" w:customStyle="1" w:styleId="551">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552">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553">
    <w:name w:val="正文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554">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55">
    <w:name w:val="xl95"/>
    <w:basedOn w:val="1"/>
    <w:qFormat/>
    <w:uiPriority w:val="0"/>
    <w:pPr>
      <w:widowControl/>
      <w:pBdr>
        <w:top w:val="single" w:color="auto" w:sz="4" w:space="0"/>
        <w:lef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56">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5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58">
    <w:name w:val="文章正文"/>
    <w:basedOn w:val="1"/>
    <w:qFormat/>
    <w:uiPriority w:val="0"/>
    <w:pPr>
      <w:spacing w:line="240" w:lineRule="auto"/>
      <w:ind w:firstLine="560"/>
    </w:pPr>
    <w:rPr>
      <w:rFonts w:ascii="仿宋_GB2312" w:hAnsi="宋体" w:eastAsia="仿宋_GB2312" w:cs="宋体"/>
      <w:color w:val="000000"/>
      <w:sz w:val="28"/>
      <w:szCs w:val="20"/>
    </w:rPr>
  </w:style>
  <w:style w:type="paragraph" w:customStyle="1" w:styleId="559">
    <w:name w:val="xl20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560">
    <w:name w:val="样式 标题 4 + 宋体 五号 行距: 多倍行距 1.25 字行"/>
    <w:basedOn w:val="7"/>
    <w:qFormat/>
    <w:uiPriority w:val="0"/>
    <w:pPr>
      <w:spacing w:line="300" w:lineRule="auto"/>
      <w:ind w:firstLine="0" w:firstLineChars="0"/>
    </w:pPr>
    <w:rPr>
      <w:rFonts w:hint="eastAsia" w:ascii="宋体" w:hAnsi="宋体" w:eastAsia="宋体"/>
      <w:sz w:val="24"/>
      <w:szCs w:val="20"/>
    </w:rPr>
  </w:style>
  <w:style w:type="paragraph" w:customStyle="1" w:styleId="561">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62">
    <w:name w:val="Char Char1 Char Char Char Char"/>
    <w:basedOn w:val="1"/>
    <w:next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563">
    <w:name w:val="表头样式"/>
    <w:basedOn w:val="1"/>
    <w:qFormat/>
    <w:uiPriority w:val="0"/>
    <w:pPr>
      <w:autoSpaceDE w:val="0"/>
      <w:autoSpaceDN w:val="0"/>
      <w:adjustRightInd w:val="0"/>
      <w:spacing w:line="360" w:lineRule="auto"/>
      <w:ind w:firstLine="0" w:firstLineChars="0"/>
      <w:jc w:val="left"/>
    </w:pPr>
    <w:rPr>
      <w:b/>
      <w:bCs/>
      <w:kern w:val="0"/>
      <w:sz w:val="21"/>
      <w:szCs w:val="21"/>
    </w:rPr>
  </w:style>
  <w:style w:type="paragraph" w:customStyle="1" w:styleId="564">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65">
    <w:name w:val="首行缩进2小四1"/>
    <w:basedOn w:val="1"/>
    <w:next w:val="1"/>
    <w:qFormat/>
    <w:uiPriority w:val="0"/>
    <w:pPr>
      <w:ind w:firstLine="480"/>
    </w:pPr>
    <w:rPr>
      <w:rFonts w:ascii="Verdana" w:hAnsi="Verdana" w:eastAsia="华文细黑" w:cs="宋体"/>
      <w:szCs w:val="20"/>
    </w:rPr>
  </w:style>
  <w:style w:type="paragraph" w:customStyle="1" w:styleId="566">
    <w:name w:val="文本1"/>
    <w:basedOn w:val="1"/>
    <w:qFormat/>
    <w:uiPriority w:val="0"/>
    <w:pPr>
      <w:adjustRightInd w:val="0"/>
      <w:spacing w:line="312" w:lineRule="atLeast"/>
      <w:ind w:firstLine="0" w:firstLineChars="0"/>
      <w:jc w:val="center"/>
      <w:textAlignment w:val="baseline"/>
    </w:pPr>
    <w:rPr>
      <w:kern w:val="0"/>
      <w:sz w:val="18"/>
      <w:szCs w:val="20"/>
    </w:rPr>
  </w:style>
  <w:style w:type="paragraph" w:customStyle="1" w:styleId="567">
    <w:name w:val="表格内文字"/>
    <w:basedOn w:val="32"/>
    <w:qFormat/>
    <w:uiPriority w:val="0"/>
    <w:pPr>
      <w:adjustRightInd w:val="0"/>
      <w:spacing w:line="240" w:lineRule="auto"/>
      <w:ind w:firstLine="0" w:firstLineChars="0"/>
    </w:pPr>
    <w:rPr>
      <w:rFonts w:eastAsia="Times New Roman" w:cs="Courier New"/>
      <w:color w:val="000000"/>
      <w:sz w:val="21"/>
      <w:szCs w:val="21"/>
      <w:lang w:val="en-GB"/>
    </w:rPr>
  </w:style>
  <w:style w:type="paragraph" w:customStyle="1" w:styleId="568">
    <w:name w:val="xl103"/>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69">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70">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71">
    <w:name w:val="正文字缩2字"/>
    <w:basedOn w:val="1"/>
    <w:qFormat/>
    <w:uiPriority w:val="0"/>
    <w:pPr>
      <w:spacing w:before="60" w:after="60" w:line="360" w:lineRule="auto"/>
      <w:ind w:left="200" w:leftChars="200"/>
    </w:pPr>
  </w:style>
  <w:style w:type="paragraph" w:customStyle="1" w:styleId="572">
    <w:name w:val="xl51"/>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textAlignment w:val="center"/>
    </w:pPr>
    <w:rPr>
      <w:rFonts w:ascii="Arial" w:hAnsi="Arial" w:eastAsia="Arial Unicode MS" w:cs="Arial"/>
      <w:kern w:val="0"/>
      <w:sz w:val="21"/>
      <w:szCs w:val="21"/>
    </w:rPr>
  </w:style>
  <w:style w:type="paragraph" w:customStyle="1" w:styleId="573">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74">
    <w:name w:val="1 Char Char Char Char Char"/>
    <w:basedOn w:val="1"/>
    <w:qFormat/>
    <w:uiPriority w:val="0"/>
    <w:pPr>
      <w:tabs>
        <w:tab w:val="left" w:pos="360"/>
      </w:tabs>
      <w:spacing w:line="240" w:lineRule="auto"/>
      <w:ind w:left="360" w:hanging="360" w:hangingChars="200"/>
    </w:pPr>
    <w:rPr>
      <w:sz w:val="21"/>
      <w:szCs w:val="20"/>
    </w:rPr>
  </w:style>
  <w:style w:type="paragraph" w:customStyle="1" w:styleId="57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576">
    <w:name w:val="正文4"/>
    <w:basedOn w:val="1"/>
    <w:qFormat/>
    <w:uiPriority w:val="0"/>
    <w:pPr>
      <w:tabs>
        <w:tab w:val="left" w:pos="425"/>
      </w:tabs>
      <w:spacing w:before="60" w:after="60" w:line="360" w:lineRule="auto"/>
      <w:ind w:left="820" w:leftChars="400" w:firstLine="0" w:firstLineChars="0"/>
    </w:pPr>
  </w:style>
  <w:style w:type="paragraph" w:customStyle="1" w:styleId="577">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78">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7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firstLine="0" w:firstLineChars="0"/>
      <w:jc w:val="center"/>
    </w:pPr>
    <w:rPr>
      <w:b/>
      <w:i/>
    </w:rPr>
  </w:style>
  <w:style w:type="paragraph" w:customStyle="1" w:styleId="580">
    <w:name w:val="AA Numbering"/>
    <w:basedOn w:val="1"/>
    <w:qFormat/>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581">
    <w:name w:val="Char Char Char Char1"/>
    <w:basedOn w:val="21"/>
    <w:qFormat/>
    <w:uiPriority w:val="0"/>
    <w:rPr>
      <w:szCs w:val="20"/>
    </w:rPr>
  </w:style>
  <w:style w:type="paragraph" w:customStyle="1" w:styleId="582">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83">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8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18"/>
      <w:szCs w:val="18"/>
    </w:rPr>
  </w:style>
  <w:style w:type="paragraph" w:customStyle="1" w:styleId="585">
    <w:name w:val="xl18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587">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88">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89">
    <w:name w:val="xl32"/>
    <w:basedOn w:val="1"/>
    <w:qFormat/>
    <w:uiPriority w:val="0"/>
    <w:pPr>
      <w:widowControl/>
      <w:spacing w:before="100" w:beforeAutospacing="1" w:after="100" w:afterAutospacing="1"/>
      <w:jc w:val="center"/>
      <w:textAlignment w:val="center"/>
    </w:pPr>
    <w:rPr>
      <w:rFonts w:ascii="宋体" w:hAnsi="宋体"/>
      <w:color w:val="000000"/>
      <w:kern w:val="0"/>
      <w:sz w:val="40"/>
      <w:szCs w:val="40"/>
    </w:rPr>
  </w:style>
  <w:style w:type="paragraph" w:customStyle="1" w:styleId="590">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1">
    <w:name w:val="reader-word-layer reader-word-s3-15"/>
    <w:basedOn w:val="1"/>
    <w:qFormat/>
    <w:uiPriority w:val="0"/>
    <w:pPr>
      <w:widowControl/>
      <w:spacing w:before="100" w:beforeAutospacing="1" w:after="100" w:afterAutospacing="1"/>
      <w:jc w:val="left"/>
    </w:pPr>
    <w:rPr>
      <w:rFonts w:ascii="宋体" w:hAnsi="宋体" w:cs="宋体"/>
      <w:kern w:val="0"/>
    </w:rPr>
  </w:style>
  <w:style w:type="paragraph" w:customStyle="1" w:styleId="592">
    <w:name w:val="a14"/>
    <w:basedOn w:val="1"/>
    <w:qFormat/>
    <w:uiPriority w:val="0"/>
    <w:pPr>
      <w:widowControl/>
      <w:spacing w:before="100" w:beforeAutospacing="1" w:after="100" w:afterAutospacing="1" w:line="300" w:lineRule="atLeast"/>
      <w:ind w:firstLine="375" w:firstLineChars="0"/>
      <w:jc w:val="left"/>
    </w:pPr>
    <w:rPr>
      <w:rFonts w:ascii="宋体" w:hAnsi="宋体"/>
      <w:kern w:val="0"/>
      <w:sz w:val="21"/>
      <w:szCs w:val="21"/>
    </w:rPr>
  </w:style>
  <w:style w:type="paragraph" w:customStyle="1" w:styleId="593">
    <w:name w:val="样式2"/>
    <w:basedOn w:val="1"/>
    <w:next w:val="1"/>
    <w:qFormat/>
    <w:uiPriority w:val="0"/>
    <w:rPr>
      <w:sz w:val="28"/>
    </w:rPr>
  </w:style>
  <w:style w:type="paragraph" w:customStyle="1" w:styleId="59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95">
    <w:name w:val="表号"/>
    <w:basedOn w:val="1"/>
    <w:qFormat/>
    <w:uiPriority w:val="0"/>
    <w:pPr>
      <w:tabs>
        <w:tab w:val="left" w:pos="648"/>
        <w:tab w:val="left" w:pos="840"/>
      </w:tabs>
      <w:autoSpaceDE w:val="0"/>
      <w:autoSpaceDN w:val="0"/>
      <w:adjustRightInd w:val="0"/>
      <w:spacing w:before="210" w:after="210" w:line="240" w:lineRule="auto"/>
      <w:ind w:left="425" w:hanging="137" w:firstLineChars="0"/>
      <w:jc w:val="center"/>
    </w:pPr>
    <w:rPr>
      <w:kern w:val="0"/>
      <w:sz w:val="21"/>
      <w:szCs w:val="21"/>
      <w:lang w:eastAsia="en-US"/>
    </w:rPr>
  </w:style>
  <w:style w:type="paragraph" w:customStyle="1" w:styleId="596">
    <w:name w:val="_Style 16"/>
    <w:basedOn w:val="1"/>
    <w:qFormat/>
    <w:uiPriority w:val="0"/>
  </w:style>
  <w:style w:type="paragraph" w:customStyle="1" w:styleId="597">
    <w:name w:val="xl124"/>
    <w:basedOn w:val="1"/>
    <w:qFormat/>
    <w:uiPriority w:val="0"/>
    <w:pPr>
      <w:widowControl/>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598">
    <w:name w:val="简单回函地址"/>
    <w:basedOn w:val="1"/>
    <w:qFormat/>
    <w:uiPriority w:val="0"/>
    <w:pPr>
      <w:adjustRightInd w:val="0"/>
      <w:snapToGrid w:val="0"/>
      <w:spacing w:line="360" w:lineRule="auto"/>
      <w:ind w:firstLine="0" w:firstLineChars="0"/>
    </w:pPr>
    <w:rPr>
      <w:szCs w:val="20"/>
    </w:rPr>
  </w:style>
  <w:style w:type="paragraph" w:customStyle="1" w:styleId="599">
    <w:name w:val="xl6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00">
    <w:name w:val="Char Char Char Char Char1"/>
    <w:basedOn w:val="1"/>
    <w:qFormat/>
    <w:uiPriority w:val="0"/>
  </w:style>
  <w:style w:type="paragraph" w:customStyle="1" w:styleId="601">
    <w:name w:val="style1"/>
    <w:basedOn w:val="1"/>
    <w:qFormat/>
    <w:uiPriority w:val="0"/>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602">
    <w:name w:val="小标题 1"/>
    <w:basedOn w:val="1"/>
    <w:qFormat/>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603">
    <w:name w:val="目录标题"/>
    <w:basedOn w:val="1"/>
    <w:qFormat/>
    <w:uiPriority w:val="0"/>
    <w:pPr>
      <w:spacing w:before="120" w:after="120" w:line="320" w:lineRule="atLeast"/>
      <w:jc w:val="center"/>
    </w:pPr>
    <w:rPr>
      <w:b/>
      <w:sz w:val="32"/>
    </w:r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605">
    <w:name w:val="xl1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606">
    <w:name w:val="xl20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607">
    <w:name w:val="正文样式 首行缩进:  0.74 厘米"/>
    <w:basedOn w:val="1"/>
    <w:qFormat/>
    <w:uiPriority w:val="0"/>
    <w:pPr>
      <w:widowControl/>
      <w:tabs>
        <w:tab w:val="right" w:pos="8640"/>
      </w:tabs>
      <w:spacing w:beforeLines="50" w:line="360" w:lineRule="auto"/>
      <w:ind w:firstLine="420" w:firstLineChars="0"/>
    </w:pPr>
    <w:rPr>
      <w:kern w:val="0"/>
      <w:szCs w:val="20"/>
      <w:lang w:bidi="he-IL"/>
    </w:rPr>
  </w:style>
  <w:style w:type="paragraph" w:customStyle="1" w:styleId="608">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609">
    <w:name w:val="1 Char Char Char Char"/>
    <w:basedOn w:val="1"/>
    <w:qFormat/>
    <w:uiPriority w:val="0"/>
    <w:pPr>
      <w:widowControl/>
      <w:spacing w:after="160" w:line="240" w:lineRule="exact"/>
      <w:ind w:firstLine="0" w:firstLineChars="0"/>
      <w:jc w:val="left"/>
    </w:pPr>
    <w:rPr>
      <w:rFonts w:ascii="Tahoma" w:hAnsi="Tahoma" w:eastAsia="Times New Roman"/>
      <w:kern w:val="0"/>
      <w:sz w:val="28"/>
      <w:lang w:eastAsia="en-US"/>
    </w:rPr>
  </w:style>
  <w:style w:type="paragraph" w:customStyle="1" w:styleId="610">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611">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12">
    <w:name w:val="正文文本缩进 211"/>
    <w:basedOn w:val="1"/>
    <w:qFormat/>
    <w:uiPriority w:val="0"/>
    <w:pPr>
      <w:adjustRightInd w:val="0"/>
      <w:spacing w:before="120" w:line="240" w:lineRule="auto"/>
      <w:ind w:firstLine="420" w:firstLineChars="0"/>
      <w:textAlignment w:val="baseline"/>
    </w:pPr>
    <w:rPr>
      <w:szCs w:val="20"/>
    </w:rPr>
  </w:style>
  <w:style w:type="paragraph" w:customStyle="1" w:styleId="613">
    <w:name w:val="Char Char Char Char Char Char Char Char Char Char Char Char Char Char Char Char Char Char Char Char Char Char Char Char Char2"/>
    <w:basedOn w:val="1"/>
    <w:qFormat/>
    <w:uiPriority w:val="0"/>
    <w:rPr>
      <w:rFonts w:ascii="Tahoma" w:hAnsi="Tahoma"/>
      <w:szCs w:val="20"/>
    </w:rPr>
  </w:style>
  <w:style w:type="paragraph" w:customStyle="1" w:styleId="614">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5">
    <w:name w:val="Char Char Char Char Char11"/>
    <w:basedOn w:val="1"/>
    <w:qFormat/>
    <w:uiPriority w:val="0"/>
  </w:style>
  <w:style w:type="paragraph" w:customStyle="1" w:styleId="616">
    <w:name w:val="Title - Date"/>
    <w:basedOn w:val="60"/>
    <w:next w:val="1"/>
    <w:qFormat/>
    <w:uiPriority w:val="0"/>
    <w:pPr>
      <w:spacing w:before="240" w:after="720"/>
      <w:ind w:firstLine="0" w:firstLineChars="0"/>
    </w:pPr>
    <w:rPr>
      <w:rFonts w:eastAsia="Times New Roman"/>
      <w:sz w:val="28"/>
    </w:rPr>
  </w:style>
  <w:style w:type="paragraph" w:customStyle="1" w:styleId="617">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618">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619">
    <w:name w:val="Char Char Char Char Char2"/>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62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621">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622">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623">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24">
    <w:name w:val="xl16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25">
    <w:name w:val="xl13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626">
    <w:name w:val="xl6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27">
    <w:name w:val="Microsoft"/>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8">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629">
    <w:name w:val="样式 正文首行缩进 2 + 首行缩进:  2 字符"/>
    <w:basedOn w:val="1"/>
    <w:qFormat/>
    <w:uiPriority w:val="0"/>
    <w:pPr>
      <w:tabs>
        <w:tab w:val="left" w:pos="987"/>
      </w:tabs>
      <w:adjustRightInd w:val="0"/>
      <w:snapToGrid w:val="0"/>
      <w:spacing w:line="360" w:lineRule="auto"/>
      <w:ind w:left="360" w:firstLine="0" w:firstLineChars="0"/>
    </w:pPr>
    <w:rPr>
      <w:rFonts w:ascii="Arial" w:hAnsi="Arial"/>
      <w:b/>
      <w:bCs/>
    </w:rPr>
  </w:style>
  <w:style w:type="paragraph" w:customStyle="1" w:styleId="630">
    <w:name w:val="正文00"/>
    <w:basedOn w:val="18"/>
    <w:qFormat/>
    <w:uiPriority w:val="0"/>
    <w:pPr>
      <w:tabs>
        <w:tab w:val="left" w:pos="0"/>
      </w:tabs>
      <w:spacing w:line="360" w:lineRule="auto"/>
      <w:ind w:firstLine="480"/>
    </w:pPr>
    <w:rPr>
      <w:rFonts w:hint="eastAsia" w:ascii="宋体" w:hAnsi="宋体" w:eastAsia="Times New Roman"/>
      <w:kern w:val="28"/>
    </w:rPr>
  </w:style>
  <w:style w:type="paragraph" w:customStyle="1" w:styleId="631">
    <w:name w:val="xl19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632">
    <w:name w:val="Char21"/>
    <w:basedOn w:val="1"/>
    <w:qFormat/>
    <w:uiPriority w:val="0"/>
    <w:pPr>
      <w:adjustRightInd w:val="0"/>
      <w:spacing w:line="360" w:lineRule="auto"/>
    </w:pPr>
    <w:rPr>
      <w:kern w:val="0"/>
      <w:szCs w:val="20"/>
    </w:rPr>
  </w:style>
  <w:style w:type="paragraph" w:customStyle="1" w:styleId="633">
    <w:name w:val="xl200"/>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634">
    <w:name w:val="xl81"/>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63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6">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637">
    <w:name w:val="Char11"/>
    <w:basedOn w:val="1"/>
    <w:qFormat/>
    <w:uiPriority w:val="0"/>
    <w:pPr>
      <w:adjustRightInd w:val="0"/>
      <w:spacing w:line="360" w:lineRule="auto"/>
    </w:pPr>
    <w:rPr>
      <w:kern w:val="0"/>
      <w:szCs w:val="20"/>
    </w:rPr>
  </w:style>
  <w:style w:type="paragraph" w:customStyle="1" w:styleId="638">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639">
    <w:name w:val="xl112"/>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40">
    <w:name w:val="样式 标题 2 + 首行缩进:  2 字符"/>
    <w:basedOn w:val="5"/>
    <w:qFormat/>
    <w:uiPriority w:val="0"/>
    <w:pPr>
      <w:keepNext/>
      <w:keepLines/>
      <w:widowControl w:val="0"/>
      <w:tabs>
        <w:tab w:val="left" w:pos="720"/>
      </w:tabs>
      <w:snapToGrid/>
      <w:spacing w:before="240" w:after="140" w:line="240" w:lineRule="auto"/>
      <w:ind w:firstLine="790" w:firstLineChars="246"/>
      <w:jc w:val="both"/>
    </w:pPr>
    <w:rPr>
      <w:rFonts w:ascii="Arial" w:hAnsi="Arial" w:eastAsia="仿宋_GB2312" w:cs="宋体"/>
      <w:bCs/>
      <w:kern w:val="0"/>
      <w:sz w:val="32"/>
      <w:szCs w:val="24"/>
    </w:rPr>
  </w:style>
  <w:style w:type="paragraph" w:customStyle="1" w:styleId="641">
    <w:name w:val="正文编码"/>
    <w:basedOn w:val="62"/>
    <w:qFormat/>
    <w:uiPriority w:val="0"/>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642">
    <w:name w:val="Item List"/>
    <w:qFormat/>
    <w:uiPriority w:val="0"/>
    <w:pPr>
      <w:tabs>
        <w:tab w:val="left" w:pos="1644"/>
      </w:tabs>
      <w:spacing w:line="300" w:lineRule="auto"/>
      <w:ind w:left="360" w:hanging="360"/>
      <w:jc w:val="both"/>
    </w:pPr>
    <w:rPr>
      <w:rFonts w:ascii="Arial" w:hAnsi="Arial" w:eastAsia="宋体" w:cs="Arial"/>
      <w:sz w:val="21"/>
      <w:szCs w:val="21"/>
      <w:lang w:val="en-US" w:eastAsia="zh-CN" w:bidi="ar-SA"/>
    </w:rPr>
  </w:style>
  <w:style w:type="paragraph" w:customStyle="1" w:styleId="643">
    <w:name w:val="样式 样式 首行缩进:  2 字符 + 首行缩进:  2 字符"/>
    <w:basedOn w:val="1"/>
    <w:qFormat/>
    <w:uiPriority w:val="0"/>
    <w:pPr>
      <w:tabs>
        <w:tab w:val="left" w:pos="840"/>
      </w:tabs>
      <w:spacing w:line="360" w:lineRule="auto"/>
      <w:ind w:left="840" w:firstLine="480"/>
    </w:pPr>
    <w:rPr>
      <w:szCs w:val="20"/>
    </w:rPr>
  </w:style>
  <w:style w:type="paragraph" w:customStyle="1" w:styleId="644">
    <w:name w:val="WPS Plain"/>
    <w:qFormat/>
    <w:uiPriority w:val="0"/>
    <w:rPr>
      <w:rFonts w:ascii="Times New Roman" w:hAnsi="Times New Roman" w:eastAsia="宋体" w:cs="Times New Roman"/>
      <w:lang w:val="en-US" w:eastAsia="zh-CN" w:bidi="ar-SA"/>
    </w:rPr>
  </w:style>
  <w:style w:type="paragraph" w:customStyle="1" w:styleId="645">
    <w:name w:val="Char Char Char2"/>
    <w:basedOn w:val="1"/>
    <w:qFormat/>
    <w:uiPriority w:val="0"/>
    <w:rPr>
      <w:rFonts w:ascii="Tahoma" w:hAnsi="Tahoma"/>
      <w:szCs w:val="20"/>
    </w:rPr>
  </w:style>
  <w:style w:type="paragraph" w:customStyle="1" w:styleId="646">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4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648">
    <w:name w:val="样式 标题 1 + 居中 段前: 6 磅 段后: 6 磅 行距: 1.5 倍行距"/>
    <w:basedOn w:val="4"/>
    <w:qFormat/>
    <w:uiPriority w:val="0"/>
    <w:pPr>
      <w:widowControl w:val="0"/>
      <w:tabs>
        <w:tab w:val="left" w:pos="425"/>
      </w:tabs>
      <w:adjustRightInd w:val="0"/>
      <w:spacing w:before="120" w:after="120" w:line="360" w:lineRule="auto"/>
    </w:pPr>
    <w:rPr>
      <w:rFonts w:ascii="Times New Roman"/>
      <w:bCs/>
      <w:kern w:val="44"/>
      <w:sz w:val="32"/>
      <w:szCs w:val="24"/>
    </w:rPr>
  </w:style>
  <w:style w:type="paragraph" w:customStyle="1" w:styleId="649">
    <w:name w:val="内容正文"/>
    <w:basedOn w:val="1"/>
    <w:qFormat/>
    <w:uiPriority w:val="0"/>
    <w:pPr>
      <w:spacing w:line="300" w:lineRule="auto"/>
      <w:ind w:firstLine="482" w:firstLineChars="0"/>
    </w:pPr>
    <w:rPr>
      <w:rFonts w:ascii="Georgia" w:hAnsi="Georgia"/>
      <w:szCs w:val="20"/>
    </w:rPr>
  </w:style>
  <w:style w:type="paragraph" w:customStyle="1" w:styleId="650">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51">
    <w:name w:val="font8"/>
    <w:basedOn w:val="1"/>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652">
    <w:name w:val="font9"/>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653">
    <w:name w:val="xl123"/>
    <w:basedOn w:val="1"/>
    <w:qFormat/>
    <w:uiPriority w:val="0"/>
    <w:pPr>
      <w:widowControl/>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654">
    <w:name w:val="可研正文"/>
    <w:basedOn w:val="2"/>
    <w:qFormat/>
    <w:uiPriority w:val="0"/>
    <w:pPr>
      <w:adjustRightInd w:val="0"/>
      <w:snapToGrid w:val="0"/>
      <w:spacing w:after="0" w:line="440" w:lineRule="exact"/>
      <w:ind w:firstLine="567" w:firstLineChars="0"/>
    </w:pPr>
    <w:rPr>
      <w:rFonts w:ascii="仿宋_GB2312" w:eastAsia="仿宋_GB2312"/>
      <w:sz w:val="28"/>
      <w:szCs w:val="20"/>
    </w:rPr>
  </w:style>
  <w:style w:type="paragraph" w:customStyle="1" w:styleId="655">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56">
    <w:name w:val="正文12"/>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657">
    <w:name w:val="Administrator"/>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8">
    <w:name w:val="正文文本 22"/>
    <w:basedOn w:val="1"/>
    <w:qFormat/>
    <w:uiPriority w:val="0"/>
    <w:pPr>
      <w:adjustRightInd w:val="0"/>
      <w:spacing w:before="120" w:line="360" w:lineRule="auto"/>
      <w:ind w:firstLine="480" w:firstLineChars="0"/>
      <w:textAlignment w:val="baseline"/>
    </w:pPr>
    <w:rPr>
      <w:szCs w:val="20"/>
    </w:rPr>
  </w:style>
  <w:style w:type="paragraph" w:customStyle="1" w:styleId="659">
    <w:name w:val="xl118"/>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660">
    <w:name w:val="表头文本"/>
    <w:qFormat/>
    <w:uiPriority w:val="0"/>
    <w:pPr>
      <w:jc w:val="center"/>
    </w:pPr>
    <w:rPr>
      <w:rFonts w:ascii="Arial" w:hAnsi="Arial" w:eastAsia="宋体" w:cs="Times New Roman"/>
      <w:b/>
      <w:sz w:val="21"/>
      <w:szCs w:val="21"/>
      <w:lang w:val="en-US" w:eastAsia="zh-CN" w:bidi="ar-SA"/>
    </w:rPr>
  </w:style>
  <w:style w:type="paragraph" w:customStyle="1" w:styleId="661">
    <w:name w:val="样式 行距: 1.5 倍行距1"/>
    <w:basedOn w:val="1"/>
    <w:qFormat/>
    <w:uiPriority w:val="0"/>
    <w:pPr>
      <w:snapToGrid w:val="0"/>
      <w:spacing w:line="240" w:lineRule="auto"/>
      <w:ind w:firstLine="0" w:firstLineChars="0"/>
    </w:pPr>
    <w:rPr>
      <w:rFonts w:cs="宋体"/>
      <w:sz w:val="21"/>
      <w:szCs w:val="21"/>
    </w:rPr>
  </w:style>
  <w:style w:type="paragraph" w:customStyle="1" w:styleId="662">
    <w:name w:val="样式 首行缩进:  0.74 厘米"/>
    <w:basedOn w:val="1"/>
    <w:qFormat/>
    <w:uiPriority w:val="0"/>
    <w:pPr>
      <w:spacing w:line="360" w:lineRule="auto"/>
      <w:ind w:firstLine="420" w:firstLineChars="0"/>
    </w:pPr>
    <w:rPr>
      <w:szCs w:val="20"/>
    </w:rPr>
  </w:style>
  <w:style w:type="paragraph" w:customStyle="1" w:styleId="663">
    <w:name w:val="Char Char Char Char Char Char Char Char Char Char Char Char Char1"/>
    <w:basedOn w:val="1"/>
    <w:qFormat/>
    <w:uiPriority w:val="0"/>
    <w:pPr>
      <w:spacing w:line="240" w:lineRule="auto"/>
      <w:ind w:firstLine="0" w:firstLineChars="0"/>
    </w:pPr>
    <w:rPr>
      <w:kern w:val="0"/>
      <w:sz w:val="20"/>
      <w:szCs w:val="20"/>
    </w:rPr>
  </w:style>
  <w:style w:type="paragraph" w:customStyle="1" w:styleId="664">
    <w:name w:val="Char3"/>
    <w:basedOn w:val="1"/>
    <w:qFormat/>
    <w:uiPriority w:val="0"/>
    <w:pPr>
      <w:widowControl/>
      <w:spacing w:after="160" w:line="240" w:lineRule="exact"/>
      <w:jc w:val="left"/>
    </w:pPr>
    <w:rPr>
      <w:rFonts w:ascii="Verdana" w:hAnsi="Verdana"/>
      <w:kern w:val="0"/>
      <w:szCs w:val="20"/>
      <w:lang w:eastAsia="en-US"/>
    </w:rPr>
  </w:style>
  <w:style w:type="paragraph" w:customStyle="1" w:styleId="665">
    <w:name w:val="Char Char Char Char2"/>
    <w:basedOn w:val="21"/>
    <w:qFormat/>
    <w:uiPriority w:val="0"/>
    <w:rPr>
      <w:szCs w:val="20"/>
    </w:rPr>
  </w:style>
  <w:style w:type="paragraph" w:customStyle="1" w:styleId="666">
    <w:name w:val="样式 标题 1章标题Heading 0Section HeadPIM 1H1h11st levell11H1..."/>
    <w:basedOn w:val="4"/>
    <w:qFormat/>
    <w:uiPriority w:val="0"/>
    <w:pPr>
      <w:pageBreakBefore/>
      <w:widowControl w:val="0"/>
      <w:tabs>
        <w:tab w:val="left" w:pos="432"/>
      </w:tabs>
      <w:autoSpaceDE w:val="0"/>
      <w:autoSpaceDN w:val="0"/>
      <w:adjustRightInd w:val="0"/>
      <w:spacing w:before="340" w:after="330" w:line="578" w:lineRule="atLeast"/>
      <w:jc w:val="both"/>
      <w:textAlignment w:val="bottom"/>
    </w:pPr>
    <w:rPr>
      <w:rFonts w:hAnsi="宋体" w:eastAsia="黑体"/>
      <w:bCs/>
      <w:kern w:val="44"/>
      <w:szCs w:val="24"/>
    </w:rPr>
  </w:style>
  <w:style w:type="paragraph" w:customStyle="1" w:styleId="667">
    <w:name w:val="font16"/>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66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69">
    <w:name w:val="(符号)标书正文"/>
    <w:basedOn w:val="1"/>
    <w:qFormat/>
    <w:uiPriority w:val="0"/>
    <w:pPr>
      <w:spacing w:line="420" w:lineRule="exact"/>
      <w:ind w:firstLine="480"/>
      <w:jc w:val="left"/>
    </w:pPr>
    <w:rPr>
      <w:rFonts w:ascii="宋体" w:hAnsi="宋体" w:cs="宋体"/>
      <w:color w:val="000000"/>
    </w:rPr>
  </w:style>
  <w:style w:type="paragraph" w:customStyle="1" w:styleId="670">
    <w:name w:val="样式 正文缩进正文（首行缩进两字）表正文正文非缩进特点标题4段1 + 首行缩进:  2 字符"/>
    <w:basedOn w:val="18"/>
    <w:qFormat/>
    <w:uiPriority w:val="0"/>
    <w:pPr>
      <w:adjustRightInd w:val="0"/>
      <w:snapToGrid w:val="0"/>
      <w:spacing w:line="360" w:lineRule="auto"/>
      <w:ind w:firstLine="480"/>
    </w:pPr>
    <w:rPr>
      <w:rFonts w:eastAsia="Times New Roman"/>
      <w:szCs w:val="20"/>
    </w:rPr>
  </w:style>
  <w:style w:type="paragraph" w:customStyle="1" w:styleId="67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672">
    <w:name w:val="Char Char Char1"/>
    <w:basedOn w:val="1"/>
    <w:qFormat/>
    <w:uiPriority w:val="0"/>
    <w:rPr>
      <w:rFonts w:ascii="Tahoma" w:hAnsi="Tahoma"/>
      <w:szCs w:val="20"/>
    </w:rPr>
  </w:style>
  <w:style w:type="paragraph" w:customStyle="1" w:styleId="673">
    <w:name w:val="文档正文 Char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674">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75">
    <w:name w:val="IN Feature"/>
    <w:next w:val="526"/>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676">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77">
    <w:name w:val="段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78">
    <w:name w:val="首行缩进 1"/>
    <w:basedOn w:val="1"/>
    <w:qFormat/>
    <w:uiPriority w:val="0"/>
    <w:pPr>
      <w:spacing w:after="120" w:line="360" w:lineRule="auto"/>
    </w:pPr>
  </w:style>
  <w:style w:type="paragraph" w:customStyle="1" w:styleId="679">
    <w:name w:val="没有缩进（为图形使用）"/>
    <w:basedOn w:val="1"/>
    <w:qFormat/>
    <w:uiPriority w:val="0"/>
    <w:pPr>
      <w:spacing w:before="120" w:after="120" w:line="360" w:lineRule="auto"/>
      <w:ind w:firstLine="0" w:firstLineChars="0"/>
    </w:pPr>
    <w:rPr>
      <w:szCs w:val="20"/>
    </w:rPr>
  </w:style>
  <w:style w:type="paragraph" w:customStyle="1" w:styleId="680">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81">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82">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683">
    <w:name w:val="!BECC正文"/>
    <w:basedOn w:val="1"/>
    <w:qFormat/>
    <w:uiPriority w:val="0"/>
    <w:pPr>
      <w:tabs>
        <w:tab w:val="left" w:pos="0"/>
      </w:tabs>
      <w:spacing w:beforeLines="50" w:afterLines="50" w:line="360" w:lineRule="auto"/>
    </w:pPr>
  </w:style>
  <w:style w:type="paragraph" w:customStyle="1" w:styleId="684">
    <w:name w:val="正文（首行不缩进）"/>
    <w:basedOn w:val="1"/>
    <w:qFormat/>
    <w:uiPriority w:val="0"/>
    <w:pPr>
      <w:autoSpaceDE w:val="0"/>
      <w:autoSpaceDN w:val="0"/>
      <w:adjustRightInd w:val="0"/>
      <w:spacing w:line="360" w:lineRule="auto"/>
      <w:ind w:firstLine="0" w:firstLineChars="0"/>
      <w:jc w:val="left"/>
    </w:pPr>
    <w:rPr>
      <w:kern w:val="0"/>
      <w:sz w:val="21"/>
      <w:szCs w:val="20"/>
    </w:rPr>
  </w:style>
  <w:style w:type="paragraph" w:customStyle="1" w:styleId="685">
    <w:name w:val="正文xf"/>
    <w:basedOn w:val="1"/>
    <w:qFormat/>
    <w:uiPriority w:val="0"/>
    <w:pPr>
      <w:spacing w:line="440" w:lineRule="exact"/>
      <w:ind w:firstLine="480"/>
    </w:pPr>
  </w:style>
  <w:style w:type="paragraph" w:customStyle="1" w:styleId="686">
    <w:name w:val="表格标题"/>
    <w:basedOn w:val="366"/>
    <w:qFormat/>
    <w:uiPriority w:val="0"/>
    <w:pPr>
      <w:spacing w:before="20"/>
      <w:jc w:val="center"/>
    </w:pPr>
    <w:rPr>
      <w:rFonts w:eastAsia="楷体_GB2312"/>
      <w:b/>
    </w:rPr>
  </w:style>
  <w:style w:type="paragraph" w:customStyle="1" w:styleId="687">
    <w:name w:val="标准正文1"/>
    <w:basedOn w:val="1"/>
    <w:qFormat/>
    <w:uiPriority w:val="0"/>
    <w:pPr>
      <w:spacing w:beforeLines="30" w:afterLines="30" w:line="288" w:lineRule="auto"/>
      <w:ind w:firstLine="420"/>
    </w:pPr>
    <w:rPr>
      <w:rFonts w:cs="宋体"/>
      <w:sz w:val="21"/>
      <w:szCs w:val="20"/>
    </w:rPr>
  </w:style>
  <w:style w:type="paragraph" w:customStyle="1" w:styleId="688">
    <w:name w:val="文档正文+加粗"/>
    <w:basedOn w:val="256"/>
    <w:qFormat/>
    <w:uiPriority w:val="0"/>
    <w:pPr>
      <w:widowControl/>
      <w:spacing w:before="60" w:after="60" w:line="360" w:lineRule="auto"/>
      <w:ind w:firstLine="480" w:firstLineChars="0"/>
    </w:pPr>
    <w:rPr>
      <w:rFonts w:ascii="Times New Roman" w:eastAsia="宋体"/>
      <w:b/>
      <w:sz w:val="24"/>
      <w:szCs w:val="24"/>
    </w:rPr>
  </w:style>
  <w:style w:type="paragraph" w:customStyle="1" w:styleId="689">
    <w:name w:val="Table Paragraph"/>
    <w:basedOn w:val="1"/>
    <w:qFormat/>
    <w:uiPriority w:val="1"/>
    <w:pPr>
      <w:autoSpaceDE w:val="0"/>
      <w:autoSpaceDN w:val="0"/>
      <w:spacing w:before="96" w:line="240" w:lineRule="auto"/>
      <w:ind w:left="70" w:right="37" w:firstLine="0" w:firstLineChars="0"/>
      <w:jc w:val="center"/>
    </w:pPr>
    <w:rPr>
      <w:rFonts w:ascii="楷体" w:hAnsi="楷体" w:eastAsia="楷体" w:cs="楷体"/>
      <w:kern w:val="0"/>
      <w:sz w:val="22"/>
      <w:szCs w:val="22"/>
      <w:lang w:val="zh-CN" w:bidi="zh-CN"/>
    </w:rPr>
  </w:style>
  <w:style w:type="paragraph" w:customStyle="1" w:styleId="690">
    <w:name w:val="xl211"/>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line="240" w:lineRule="auto"/>
      <w:ind w:firstLine="0" w:firstLineChars="0"/>
      <w:jc w:val="right"/>
    </w:pPr>
    <w:rPr>
      <w:rFonts w:ascii="宋体" w:hAnsi="宋体" w:cs="宋体"/>
      <w:b/>
      <w:bCs/>
      <w:kern w:val="0"/>
      <w:sz w:val="20"/>
      <w:szCs w:val="20"/>
    </w:rPr>
  </w:style>
  <w:style w:type="paragraph" w:customStyle="1" w:styleId="691">
    <w:name w:val="abstract"/>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692">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top"/>
    </w:pPr>
    <w:rPr>
      <w:rFonts w:ascii="宋体" w:hAnsi="宋体" w:cs="宋体"/>
      <w:kern w:val="0"/>
      <w:sz w:val="20"/>
      <w:szCs w:val="20"/>
    </w:rPr>
  </w:style>
  <w:style w:type="table" w:customStyle="1" w:styleId="693">
    <w:name w:val="网格型1"/>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94">
    <w:name w:val="一级条标题"/>
    <w:basedOn w:val="695"/>
    <w:next w:val="696"/>
    <w:qFormat/>
    <w:uiPriority w:val="0"/>
    <w:pPr>
      <w:spacing w:line="240" w:lineRule="auto"/>
      <w:ind w:left="420"/>
      <w:outlineLvl w:val="2"/>
    </w:pPr>
  </w:style>
  <w:style w:type="paragraph" w:customStyle="1" w:styleId="695">
    <w:name w:val="章标题"/>
    <w:next w:val="1"/>
    <w:qFormat/>
    <w:uiPriority w:val="0"/>
    <w:pPr>
      <w:spacing w:line="360" w:lineRule="auto"/>
      <w:jc w:val="both"/>
      <w:outlineLvl w:val="1"/>
    </w:pPr>
    <w:rPr>
      <w:rFonts w:ascii="黑体" w:hAnsi="Calibri" w:eastAsia="黑体" w:cs="Times New Roman"/>
      <w:sz w:val="21"/>
      <w:szCs w:val="22"/>
      <w:lang w:val="en-US" w:eastAsia="zh-CN" w:bidi="ar-SA"/>
    </w:rPr>
  </w:style>
  <w:style w:type="paragraph" w:customStyle="1" w:styleId="696">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character" w:customStyle="1" w:styleId="697">
    <w:name w:val="font251"/>
    <w:basedOn w:val="66"/>
    <w:qFormat/>
    <w:uiPriority w:val="0"/>
    <w:rPr>
      <w:rFonts w:hint="eastAsia" w:ascii="宋体" w:hAnsi="宋体" w:eastAsia="宋体" w:cs="宋体"/>
      <w:color w:val="000000"/>
      <w:sz w:val="18"/>
      <w:szCs w:val="18"/>
      <w:u w:val="none"/>
    </w:rPr>
  </w:style>
  <w:style w:type="character" w:customStyle="1" w:styleId="698">
    <w:name w:val="font121"/>
    <w:basedOn w:val="66"/>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79</Pages>
  <Words>40565</Words>
  <Characters>45445</Characters>
  <Lines>390</Lines>
  <Paragraphs>110</Paragraphs>
  <TotalTime>1</TotalTime>
  <ScaleCrop>false</ScaleCrop>
  <LinksUpToDate>false</LinksUpToDate>
  <CharactersWithSpaces>47579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2022-05-30T11:00:00Z</dcterms:created>
  <dc:creator>xtzj</dc:creator>
  <cp:lastModifiedBy>那一抹DawnO_o玲</cp:lastModifiedBy>
  <cp:lastPrinted>2022-05-31T09:13:00Z</cp:lastPrinted>
  <dcterms:modified xsi:type="dcterms:W3CDTF">2022-06-06T03:23:47Z</dcterms:modified>
  <dc:title>青海省政府采购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F2AC0F9BFF1E45F7B019259604EFC383</vt:lpwstr>
  </property>
</Properties>
</file>