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ind w:firstLine="482"/>
        <w:jc w:val="left"/>
        <w:rPr>
          <w:rFonts w:ascii="宋体" w:hAnsi="宋体"/>
          <w:b/>
        </w:rPr>
      </w:pPr>
      <w:r>
        <w:rPr>
          <w:rFonts w:hint="eastAsia" w:ascii="宋体" w:hAnsi="宋体"/>
          <w:b/>
        </w:rPr>
        <w:t>特别提示：</w:t>
      </w:r>
    </w:p>
    <w:p>
      <w:pPr>
        <w:spacing w:line="440" w:lineRule="exact"/>
        <w:ind w:firstLine="480"/>
        <w:rPr>
          <w:rFonts w:hint="eastAsia" w:ascii="宋体" w:hAnsi="宋体"/>
        </w:rPr>
      </w:pPr>
      <w:r>
        <w:rPr>
          <w:rFonts w:hint="eastAsia" w:ascii="宋体" w:hAnsi="宋体"/>
        </w:rPr>
        <w:t>1、该项目报名及网上投标需在青海省政府采购电子化平台上操作，具体相关操作事宜请务必提前与青海省政府采购电子化平台的技术支持部门联系。</w:t>
      </w:r>
    </w:p>
    <w:p>
      <w:pPr>
        <w:spacing w:line="440" w:lineRule="exact"/>
        <w:ind w:firstLine="480"/>
        <w:rPr>
          <w:rFonts w:hint="eastAsia" w:ascii="宋体" w:hAnsi="宋体"/>
        </w:rPr>
      </w:pPr>
      <w:r>
        <w:rPr>
          <w:rFonts w:hint="eastAsia" w:ascii="宋体" w:hAnsi="宋体"/>
        </w:rPr>
        <w:t>2、参与投标的供应商必须在青海省政府采购中心登记。（省政务服务监督管理局二楼，联系电话：0971-5115646）</w:t>
      </w:r>
    </w:p>
    <w:p>
      <w:pPr>
        <w:spacing w:line="440" w:lineRule="exact"/>
        <w:ind w:firstLine="480"/>
        <w:rPr>
          <w:rFonts w:hint="eastAsia" w:ascii="宋体" w:hAnsi="宋体"/>
        </w:rPr>
      </w:pPr>
      <w:r>
        <w:rPr>
          <w:rFonts w:hint="eastAsia" w:ascii="宋体" w:hAnsi="宋体"/>
        </w:rPr>
        <w:t>3、参与投标的供应商须办理青海省政府采购电子化平台投标的相关手续，且具备在青海省政府采购电子化平台上投标的能力。（技术咨询：王女士，联系电话：0971-8224398）</w:t>
      </w:r>
    </w:p>
    <w:p>
      <w:pPr>
        <w:spacing w:line="440" w:lineRule="exact"/>
        <w:ind w:firstLine="480"/>
        <w:rPr>
          <w:rFonts w:hint="eastAsia" w:ascii="宋体" w:hAnsi="宋体"/>
        </w:rPr>
      </w:pPr>
      <w:r>
        <w:rPr>
          <w:rFonts w:hint="eastAsia" w:ascii="宋体" w:hAnsi="宋体"/>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pPr>
        <w:spacing w:line="440" w:lineRule="exact"/>
        <w:ind w:firstLine="480"/>
        <w:rPr>
          <w:rFonts w:hint="eastAsia" w:ascii="宋体" w:hAnsi="宋体"/>
        </w:rPr>
      </w:pPr>
      <w:r>
        <w:rPr>
          <w:rFonts w:hint="eastAsia" w:ascii="宋体" w:hAnsi="宋体"/>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pPr>
        <w:spacing w:line="440" w:lineRule="exact"/>
        <w:ind w:firstLine="480"/>
        <w:rPr>
          <w:rFonts w:hint="eastAsia" w:ascii="宋体" w:hAnsi="宋体"/>
        </w:rPr>
      </w:pPr>
      <w:r>
        <w:rPr>
          <w:rFonts w:hint="eastAsia" w:ascii="宋体" w:hAnsi="宋体"/>
        </w:rPr>
        <w:t>6、投标保证金务必于投标截止时间前，按采购文件的要求足额存入指定账户。考虑跨行转账可能延迟到账时间，请提前办理相关手续，转账、退还过程中如遇问题，请及时与财务部门联系（联系电话：0971-6151685）。</w:t>
      </w:r>
    </w:p>
    <w:p>
      <w:pPr>
        <w:spacing w:line="440" w:lineRule="exact"/>
        <w:ind w:firstLine="480"/>
      </w:pPr>
      <w:r>
        <w:rPr>
          <w:rFonts w:hint="eastAsia" w:ascii="宋体" w:hAnsi="宋体"/>
        </w:rPr>
        <w:t>（本提示不作为采购文件的组成部分）</w:t>
      </w:r>
    </w:p>
    <w:p>
      <w:pPr>
        <w:ind w:firstLine="0" w:firstLineChars="0"/>
        <w:jc w:val="left"/>
        <w:rPr>
          <w:rFonts w:hint="eastAsia"/>
          <w:sz w:val="28"/>
          <w:szCs w:val="28"/>
        </w:rPr>
      </w:pPr>
      <w:r>
        <w:rPr>
          <w:i/>
          <w:sz w:val="28"/>
          <w:szCs w:val="28"/>
        </w:rPr>
        <w:br w:type="page"/>
      </w: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1"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b/>
          <w:sz w:val="36"/>
          <w:szCs w:val="36"/>
        </w:rPr>
      </w:pPr>
      <w:r>
        <w:rPr>
          <w:rFonts w:hint="eastAsia" w:ascii="宋体" w:hAnsi="宋体"/>
          <w:b/>
          <w:sz w:val="36"/>
          <w:szCs w:val="36"/>
        </w:rPr>
        <w:t>采购项目编号：青政采公招（货物）2022-029号</w:t>
      </w:r>
    </w:p>
    <w:p>
      <w:pPr>
        <w:adjustRightInd w:val="0"/>
        <w:spacing w:line="360" w:lineRule="auto"/>
        <w:ind w:left="2512" w:hanging="2512" w:hangingChars="695"/>
        <w:textAlignment w:val="baseline"/>
        <w:rPr>
          <w:rFonts w:hint="eastAsia" w:ascii="宋体" w:hAnsi="宋体"/>
          <w:b/>
          <w:sz w:val="36"/>
          <w:szCs w:val="36"/>
        </w:rPr>
      </w:pPr>
      <w:r>
        <w:rPr>
          <w:rFonts w:hint="eastAsia" w:ascii="宋体" w:hAnsi="宋体"/>
          <w:b/>
          <w:sz w:val="36"/>
          <w:szCs w:val="36"/>
        </w:rPr>
        <w:t>采购项目名称：青海省公安厅刑警总队电子物证实验室建设项目</w:t>
      </w:r>
    </w:p>
    <w:p>
      <w:pPr>
        <w:adjustRightInd w:val="0"/>
        <w:spacing w:line="360" w:lineRule="auto"/>
        <w:ind w:right="77" w:rightChars="32" w:firstLine="0" w:firstLineChars="0"/>
        <w:textAlignment w:val="baseline"/>
        <w:rPr>
          <w:rFonts w:hint="eastAsia"/>
          <w:b/>
        </w:rPr>
      </w:pPr>
      <w:r>
        <w:rPr>
          <w:rFonts w:hint="eastAsia"/>
          <w:b/>
          <w:sz w:val="36"/>
          <w:szCs w:val="36"/>
        </w:rPr>
        <w:t>采  购 单 位：青海省公安厅</w:t>
      </w: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青海省政府采购中心编制</w:t>
      </w:r>
    </w:p>
    <w:p>
      <w:pPr>
        <w:tabs>
          <w:tab w:val="left" w:pos="1256"/>
          <w:tab w:val="center" w:pos="4479"/>
        </w:tabs>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2022年3月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rPr>
          <w:rFonts w:hint="eastAsia" w:ascii="宋体" w:hAnsi="宋体" w:cs="宋体"/>
          <w:b w:val="0"/>
          <w:bCs w:val="0"/>
          <w:kern w:val="0"/>
          <w:sz w:val="24"/>
          <w:szCs w:val="24"/>
          <w:lang w:val="en-US" w:eastAsia="zh-CN"/>
        </w:rPr>
        <w:fldChar w:fldCharType="begin"/>
      </w:r>
      <w:r>
        <w:rPr>
          <w:rStyle w:val="72"/>
          <w:rFonts w:hint="eastAsia" w:ascii="宋体" w:hAnsi="宋体" w:cs="宋体"/>
          <w:b w:val="0"/>
          <w:bCs w:val="0"/>
          <w:kern w:val="0"/>
          <w:sz w:val="24"/>
          <w:szCs w:val="24"/>
          <w:lang w:val="en-US" w:eastAsia="zh-CN"/>
        </w:rPr>
        <w:instrText xml:space="preserve"> TOC \o "1-3" \h \z \u </w:instrText>
      </w:r>
      <w:r>
        <w:rPr>
          <w:rFonts w:hint="eastAsia" w:ascii="宋体" w:hAnsi="宋体" w:cs="宋体"/>
          <w:b w:val="0"/>
          <w:bCs w:val="0"/>
          <w:kern w:val="0"/>
          <w:sz w:val="24"/>
          <w:szCs w:val="24"/>
          <w:lang w:val="en-US" w:eastAsia="zh-CN"/>
        </w:rPr>
        <w:fldChar w:fldCharType="separate"/>
      </w:r>
      <w:r>
        <w:fldChar w:fldCharType="begin"/>
      </w:r>
      <w:r>
        <w:instrText xml:space="preserve"> HYPERLINK \l "_Toc82441578" </w:instrText>
      </w:r>
      <w:r>
        <w:fldChar w:fldCharType="separate"/>
      </w:r>
      <w:r>
        <w:rPr>
          <w:rStyle w:val="72"/>
          <w:rFonts w:hint="eastAsia" w:ascii="宋体" w:hAnsi="宋体"/>
          <w:b w:val="0"/>
          <w:sz w:val="24"/>
          <w:szCs w:val="24"/>
          <w:lang w:val="en-US" w:eastAsia="zh-CN"/>
        </w:rPr>
        <w:t>第一部分  投标人须知前附表</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_Toc82441578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4</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fldChar w:fldCharType="begin"/>
      </w:r>
      <w:r>
        <w:instrText xml:space="preserve"> HYPERLINK \l "_Toc82441579" </w:instrText>
      </w:r>
      <w:r>
        <w:fldChar w:fldCharType="separate"/>
      </w:r>
      <w:r>
        <w:rPr>
          <w:rStyle w:val="72"/>
          <w:rFonts w:hint="eastAsia" w:ascii="宋体" w:hAnsi="宋体"/>
          <w:b w:val="0"/>
          <w:kern w:val="28"/>
          <w:sz w:val="24"/>
          <w:szCs w:val="24"/>
          <w:lang w:val="en-US" w:eastAsia="zh-CN"/>
        </w:rPr>
        <w:t>第二部分  投标人须知</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_Toc82441579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7</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"_Toc82441580" </w:instrText>
      </w:r>
      <w:r>
        <w:fldChar w:fldCharType="separate"/>
      </w:r>
      <w:r>
        <w:rPr>
          <w:rStyle w:val="72"/>
          <w:rFonts w:hint="eastAsia" w:ascii="宋体" w:hAnsi="宋体"/>
          <w:bCs/>
          <w:kern w:val="0"/>
          <w:sz w:val="24"/>
          <w:szCs w:val="24"/>
          <w:lang w:val="en-US" w:eastAsia="zh-CN"/>
        </w:rPr>
        <w:t>一、说  明</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_Toc82441580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"_Toc82441581" </w:instrText>
      </w:r>
      <w:r>
        <w:fldChar w:fldCharType="separate"/>
      </w:r>
      <w:r>
        <w:rPr>
          <w:rStyle w:val="72"/>
          <w:rFonts w:hint="eastAsia" w:ascii="宋体" w:hAnsi="宋体"/>
          <w:bCs/>
          <w:i w:val="0"/>
          <w:kern w:val="0"/>
          <w:sz w:val="24"/>
          <w:szCs w:val="24"/>
          <w:lang w:val="en-US" w:eastAsia="zh-CN"/>
        </w:rPr>
        <w:t>1.适用范围</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_Toc82441581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"_Toc82441582" </w:instrText>
      </w:r>
      <w:r>
        <w:fldChar w:fldCharType="separate"/>
      </w:r>
      <w:r>
        <w:rPr>
          <w:rStyle w:val="72"/>
          <w:rFonts w:hint="eastAsia" w:ascii="宋体" w:hAnsi="宋体"/>
          <w:bCs/>
          <w:i w:val="0"/>
          <w:kern w:val="0"/>
          <w:sz w:val="24"/>
          <w:szCs w:val="24"/>
          <w:lang w:val="en-US" w:eastAsia="zh-CN"/>
        </w:rPr>
        <w:t>2.招标方式、合格的投标人</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_Toc82441582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"_Toc82441583" </w:instrText>
      </w:r>
      <w:r>
        <w:fldChar w:fldCharType="separate"/>
      </w:r>
      <w:r>
        <w:rPr>
          <w:rStyle w:val="72"/>
          <w:rFonts w:hint="eastAsia" w:ascii="宋体" w:hAnsi="宋体"/>
          <w:bCs/>
          <w:i w:val="0"/>
          <w:kern w:val="0"/>
          <w:sz w:val="24"/>
          <w:szCs w:val="24"/>
          <w:lang w:val="en-US" w:eastAsia="zh-CN"/>
        </w:rPr>
        <w:t>3.投标费用</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_Toc82441583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"_Toc82441584" </w:instrText>
      </w:r>
      <w:r>
        <w:fldChar w:fldCharType="separate"/>
      </w:r>
      <w:r>
        <w:rPr>
          <w:rStyle w:val="72"/>
          <w:rFonts w:hint="eastAsia" w:ascii="宋体" w:hAnsi="宋体"/>
          <w:bCs/>
          <w:kern w:val="0"/>
          <w:sz w:val="24"/>
          <w:szCs w:val="24"/>
          <w:lang w:val="en-US" w:eastAsia="zh-CN"/>
        </w:rPr>
        <w:t>二、招标文件说明</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_Toc82441584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"_Toc82441585" </w:instrText>
      </w:r>
      <w:r>
        <w:fldChar w:fldCharType="separate"/>
      </w:r>
      <w:r>
        <w:rPr>
          <w:rStyle w:val="72"/>
          <w:rFonts w:hint="eastAsia" w:ascii="宋体" w:hAnsi="宋体"/>
          <w:bCs/>
          <w:i w:val="0"/>
          <w:kern w:val="0"/>
          <w:sz w:val="24"/>
          <w:szCs w:val="24"/>
          <w:lang w:val="en-US" w:eastAsia="zh-CN"/>
        </w:rPr>
        <w:t>4.招标文件的构成</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_Toc82441585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"_Toc82441586" </w:instrText>
      </w:r>
      <w:r>
        <w:fldChar w:fldCharType="separate"/>
      </w:r>
      <w:r>
        <w:rPr>
          <w:rStyle w:val="72"/>
          <w:rFonts w:hint="eastAsia" w:ascii="宋体" w:hAnsi="宋体"/>
          <w:bCs/>
          <w:i w:val="0"/>
          <w:kern w:val="0"/>
          <w:sz w:val="24"/>
          <w:szCs w:val="24"/>
          <w:lang w:val="en-US" w:eastAsia="zh-CN"/>
        </w:rPr>
        <w:t>5.招标文件的质疑</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_Toc82441586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"_Toc82441587" </w:instrText>
      </w:r>
      <w:r>
        <w:fldChar w:fldCharType="separate"/>
      </w:r>
      <w:r>
        <w:rPr>
          <w:rStyle w:val="72"/>
          <w:rFonts w:hint="eastAsia" w:ascii="宋体" w:hAnsi="宋体"/>
          <w:bCs/>
          <w:i w:val="0"/>
          <w:kern w:val="0"/>
          <w:sz w:val="24"/>
          <w:szCs w:val="24"/>
          <w:lang w:val="en-US" w:eastAsia="zh-CN"/>
        </w:rPr>
        <w:t>6.招标文件的修改</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_Toc82441587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"_Toc82441588" </w:instrText>
      </w:r>
      <w:r>
        <w:fldChar w:fldCharType="separate"/>
      </w:r>
      <w:r>
        <w:rPr>
          <w:rStyle w:val="72"/>
          <w:rFonts w:hint="eastAsia" w:ascii="宋体" w:hAnsi="宋体"/>
          <w:bCs/>
          <w:kern w:val="0"/>
          <w:sz w:val="24"/>
          <w:szCs w:val="24"/>
          <w:lang w:val="en-US" w:eastAsia="zh-CN"/>
        </w:rPr>
        <w:t>三、投标文件的编制</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_Toc82441588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9</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"_Toc82441589" </w:instrText>
      </w:r>
      <w:r>
        <w:fldChar w:fldCharType="separate"/>
      </w:r>
      <w:r>
        <w:rPr>
          <w:rStyle w:val="72"/>
          <w:rFonts w:hint="eastAsia" w:ascii="宋体" w:hAnsi="宋体"/>
          <w:bCs/>
          <w:i w:val="0"/>
          <w:kern w:val="0"/>
          <w:sz w:val="24"/>
          <w:szCs w:val="24"/>
          <w:lang w:val="en-US" w:eastAsia="zh-CN"/>
        </w:rPr>
        <w:t>7.投标文件的语言及度量衡单位</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_Toc82441589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"_Toc82441590" </w:instrText>
      </w:r>
      <w:r>
        <w:fldChar w:fldCharType="separate"/>
      </w:r>
      <w:r>
        <w:rPr>
          <w:rStyle w:val="72"/>
          <w:rFonts w:hint="eastAsia" w:ascii="宋体" w:hAnsi="宋体"/>
          <w:bCs/>
          <w:i w:val="0"/>
          <w:kern w:val="0"/>
          <w:sz w:val="24"/>
          <w:szCs w:val="24"/>
          <w:lang w:val="en-US" w:eastAsia="zh-CN"/>
        </w:rPr>
        <w:t>8.投标报价及币种</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_Toc82441590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"_Toc82441591" </w:instrText>
      </w:r>
      <w:r>
        <w:fldChar w:fldCharType="separate"/>
      </w:r>
      <w:r>
        <w:rPr>
          <w:rStyle w:val="72"/>
          <w:rFonts w:hint="eastAsia" w:ascii="宋体" w:hAnsi="宋体"/>
          <w:bCs/>
          <w:i w:val="0"/>
          <w:kern w:val="0"/>
          <w:sz w:val="24"/>
          <w:szCs w:val="24"/>
          <w:lang w:val="en-US" w:eastAsia="zh-CN"/>
        </w:rPr>
        <w:t>9.投标保证金</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_Toc82441591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"_Toc82441592" </w:instrText>
      </w:r>
      <w:r>
        <w:fldChar w:fldCharType="separate"/>
      </w:r>
      <w:r>
        <w:rPr>
          <w:rStyle w:val="72"/>
          <w:rFonts w:hint="eastAsia" w:ascii="宋体" w:hAnsi="宋体"/>
          <w:bCs/>
          <w:i w:val="0"/>
          <w:kern w:val="0"/>
          <w:sz w:val="24"/>
          <w:szCs w:val="24"/>
          <w:lang w:val="en-US" w:eastAsia="zh-CN"/>
        </w:rPr>
        <w:t>10.投标有效期</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_Toc82441592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"_Toc82441593" </w:instrText>
      </w:r>
      <w:r>
        <w:fldChar w:fldCharType="separate"/>
      </w:r>
      <w:r>
        <w:rPr>
          <w:rStyle w:val="72"/>
          <w:rFonts w:hint="eastAsia" w:ascii="宋体" w:hAnsi="宋体"/>
          <w:bCs/>
          <w:i w:val="0"/>
          <w:kern w:val="0"/>
          <w:sz w:val="24"/>
          <w:szCs w:val="24"/>
          <w:lang w:val="en-US" w:eastAsia="zh-CN"/>
        </w:rPr>
        <w:t>11.投标文件构成</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_Toc82441593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10</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"_Toc82441594" </w:instrText>
      </w:r>
      <w:r>
        <w:fldChar w:fldCharType="separate"/>
      </w:r>
      <w:r>
        <w:rPr>
          <w:rStyle w:val="72"/>
          <w:rFonts w:hint="eastAsia" w:ascii="宋体" w:hAnsi="宋体"/>
          <w:bCs/>
          <w:i w:val="0"/>
          <w:kern w:val="0"/>
          <w:sz w:val="24"/>
          <w:szCs w:val="24"/>
          <w:lang w:val="en-US" w:eastAsia="zh-CN"/>
        </w:rPr>
        <w:t>12. 投标文件的格式及编制要求</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_Toc82441594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10</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"_Toc82441595" </w:instrText>
      </w:r>
      <w:r>
        <w:fldChar w:fldCharType="separate"/>
      </w:r>
      <w:r>
        <w:rPr>
          <w:rStyle w:val="72"/>
          <w:rFonts w:hint="eastAsia" w:ascii="宋体" w:hAnsi="宋体"/>
          <w:bCs/>
          <w:kern w:val="0"/>
          <w:sz w:val="24"/>
          <w:szCs w:val="24"/>
          <w:lang w:val="en-US" w:eastAsia="zh-CN"/>
        </w:rPr>
        <w:t>四、 网上投标</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_Toc82441595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11</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"_Toc82441596" </w:instrText>
      </w:r>
      <w:r>
        <w:fldChar w:fldCharType="separate"/>
      </w:r>
      <w:r>
        <w:rPr>
          <w:rStyle w:val="72"/>
          <w:rFonts w:hint="eastAsia" w:ascii="宋体" w:hAnsi="宋体"/>
          <w:bCs/>
          <w:i w:val="0"/>
          <w:kern w:val="0"/>
          <w:sz w:val="24"/>
          <w:szCs w:val="24"/>
          <w:lang w:val="en-US" w:eastAsia="zh-CN"/>
        </w:rPr>
        <w:t>13.网上投标</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_Toc82441596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11</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"_Toc82441597" </w:instrText>
      </w:r>
      <w:r>
        <w:fldChar w:fldCharType="separate"/>
      </w:r>
      <w:r>
        <w:rPr>
          <w:rStyle w:val="72"/>
          <w:rFonts w:hint="eastAsia" w:ascii="宋体" w:hAnsi="宋体"/>
          <w:bCs/>
          <w:i w:val="0"/>
          <w:kern w:val="0"/>
          <w:sz w:val="24"/>
          <w:szCs w:val="24"/>
          <w:lang w:val="en-US" w:eastAsia="zh-CN"/>
        </w:rPr>
        <w:t>14.投标截止日期</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_Toc82441597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11</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"_Toc82441598" </w:instrText>
      </w:r>
      <w:r>
        <w:fldChar w:fldCharType="separate"/>
      </w:r>
      <w:r>
        <w:rPr>
          <w:rStyle w:val="72"/>
          <w:rFonts w:hint="eastAsia" w:ascii="宋体" w:hAnsi="宋体"/>
          <w:bCs/>
          <w:i w:val="0"/>
          <w:kern w:val="0"/>
          <w:sz w:val="24"/>
          <w:szCs w:val="24"/>
          <w:lang w:val="en-US" w:eastAsia="zh-CN"/>
        </w:rPr>
        <w:t>15.投标文件的撤回</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_Toc82441598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11</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"_Toc82441599" </w:instrText>
      </w:r>
      <w:r>
        <w:fldChar w:fldCharType="separate"/>
      </w:r>
      <w:r>
        <w:rPr>
          <w:rStyle w:val="72"/>
          <w:rFonts w:hint="eastAsia" w:ascii="宋体" w:hAnsi="宋体"/>
          <w:bCs/>
          <w:kern w:val="0"/>
          <w:sz w:val="24"/>
          <w:szCs w:val="24"/>
          <w:lang w:val="en-US" w:eastAsia="zh-CN"/>
        </w:rPr>
        <w:t>五、开标</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_Toc82441599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11</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"_Toc82441600" </w:instrText>
      </w:r>
      <w:r>
        <w:fldChar w:fldCharType="separate"/>
      </w:r>
      <w:r>
        <w:rPr>
          <w:rStyle w:val="72"/>
          <w:rFonts w:hint="eastAsia" w:ascii="宋体" w:hAnsi="宋体"/>
          <w:bCs/>
          <w:i w:val="0"/>
          <w:kern w:val="0"/>
          <w:sz w:val="24"/>
          <w:szCs w:val="24"/>
          <w:lang w:val="en-US" w:eastAsia="zh-CN"/>
        </w:rPr>
        <w:t>16.开标</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_Toc82441600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12</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"_Toc82441601" </w:instrText>
      </w:r>
      <w:r>
        <w:fldChar w:fldCharType="separate"/>
      </w:r>
      <w:r>
        <w:rPr>
          <w:rStyle w:val="72"/>
          <w:rFonts w:hint="eastAsia" w:ascii="宋体" w:hAnsi="宋体"/>
          <w:bCs/>
          <w:kern w:val="0"/>
          <w:sz w:val="24"/>
          <w:szCs w:val="24"/>
          <w:lang w:val="en-US" w:eastAsia="zh-CN"/>
        </w:rPr>
        <w:t>六、资格审查程序及方法</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_Toc82441601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12</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"_Toc82441602" </w:instrText>
      </w:r>
      <w:r>
        <w:fldChar w:fldCharType="separate"/>
      </w:r>
      <w:r>
        <w:rPr>
          <w:rStyle w:val="72"/>
          <w:rFonts w:hint="eastAsia" w:ascii="宋体" w:hAnsi="宋体"/>
          <w:bCs/>
          <w:i w:val="0"/>
          <w:kern w:val="0"/>
          <w:sz w:val="24"/>
          <w:szCs w:val="24"/>
          <w:lang w:val="en-US" w:eastAsia="zh-CN"/>
        </w:rPr>
        <w:t>17. 资格审查程序</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_Toc82441602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12</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"_Toc82441603" </w:instrText>
      </w:r>
      <w:r>
        <w:fldChar w:fldCharType="separate"/>
      </w:r>
      <w:r>
        <w:rPr>
          <w:rStyle w:val="72"/>
          <w:rFonts w:hint="eastAsia" w:ascii="宋体" w:hAnsi="宋体"/>
          <w:bCs/>
          <w:i w:val="0"/>
          <w:kern w:val="0"/>
          <w:sz w:val="24"/>
          <w:szCs w:val="24"/>
          <w:lang w:val="en-US" w:eastAsia="zh-CN"/>
        </w:rPr>
        <w:t>18.资格审查不通过的情形</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_Toc82441603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13</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"_Toc82441604" </w:instrText>
      </w:r>
      <w:r>
        <w:fldChar w:fldCharType="separate"/>
      </w:r>
      <w:r>
        <w:rPr>
          <w:rStyle w:val="72"/>
          <w:rFonts w:hint="eastAsia" w:ascii="宋体" w:hAnsi="宋体"/>
          <w:bCs/>
          <w:kern w:val="0"/>
          <w:sz w:val="24"/>
          <w:szCs w:val="24"/>
          <w:lang w:val="en-US" w:eastAsia="zh-CN"/>
        </w:rPr>
        <w:t>七、评标程序及方法</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_Toc82441604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13</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"_Toc82441605" </w:instrText>
      </w:r>
      <w:r>
        <w:fldChar w:fldCharType="separate"/>
      </w:r>
      <w:r>
        <w:rPr>
          <w:rStyle w:val="72"/>
          <w:rFonts w:hint="eastAsia" w:ascii="宋体" w:hAnsi="宋体"/>
          <w:bCs/>
          <w:i w:val="0"/>
          <w:kern w:val="0"/>
          <w:sz w:val="24"/>
          <w:szCs w:val="24"/>
          <w:lang w:val="en-US" w:eastAsia="zh-CN"/>
        </w:rPr>
        <w:t>19.评标委员会</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_Toc82441605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13</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"_Toc82441606" </w:instrText>
      </w:r>
      <w:r>
        <w:fldChar w:fldCharType="separate"/>
      </w:r>
      <w:r>
        <w:rPr>
          <w:rStyle w:val="72"/>
          <w:rFonts w:hint="eastAsia" w:ascii="宋体" w:hAnsi="宋体"/>
          <w:bCs/>
          <w:i w:val="0"/>
          <w:kern w:val="0"/>
          <w:sz w:val="24"/>
          <w:szCs w:val="24"/>
          <w:lang w:val="en-US" w:eastAsia="zh-CN"/>
        </w:rPr>
        <w:t>20.评标工作程序</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_Toc82441606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14</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"_Toc82441607" </w:instrText>
      </w:r>
      <w:r>
        <w:fldChar w:fldCharType="separate"/>
      </w:r>
      <w:r>
        <w:rPr>
          <w:rStyle w:val="72"/>
          <w:rFonts w:hint="eastAsia" w:ascii="宋体" w:hAnsi="宋体"/>
          <w:bCs/>
          <w:i w:val="0"/>
          <w:kern w:val="0"/>
          <w:sz w:val="24"/>
          <w:szCs w:val="24"/>
          <w:lang w:val="en-US" w:eastAsia="zh-CN"/>
        </w:rPr>
        <w:t>21.答疑的方式和情形</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_Toc82441607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15</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"_Toc82441608" </w:instrText>
      </w:r>
      <w:r>
        <w:fldChar w:fldCharType="separate"/>
      </w:r>
      <w:r>
        <w:rPr>
          <w:rStyle w:val="72"/>
          <w:rFonts w:hint="eastAsia" w:ascii="宋体" w:hAnsi="宋体"/>
          <w:bCs/>
          <w:i w:val="0"/>
          <w:kern w:val="0"/>
          <w:sz w:val="24"/>
          <w:szCs w:val="24"/>
          <w:lang w:val="en-US" w:eastAsia="zh-CN"/>
        </w:rPr>
        <w:t>22.评标办法</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_Toc82441608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15</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"_Toc82441609" </w:instrText>
      </w:r>
      <w:r>
        <w:fldChar w:fldCharType="separate"/>
      </w:r>
      <w:r>
        <w:rPr>
          <w:rStyle w:val="72"/>
          <w:rFonts w:hint="eastAsia" w:ascii="宋体" w:hAnsi="宋体"/>
          <w:bCs/>
          <w:kern w:val="0"/>
          <w:sz w:val="24"/>
          <w:szCs w:val="24"/>
          <w:lang w:val="en-US" w:eastAsia="zh-CN"/>
        </w:rPr>
        <w:t>八、定 标</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_Toc82441609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"_Toc82441610" </w:instrText>
      </w:r>
      <w:r>
        <w:fldChar w:fldCharType="separate"/>
      </w:r>
      <w:r>
        <w:rPr>
          <w:rStyle w:val="72"/>
          <w:rFonts w:hint="eastAsia" w:ascii="宋体" w:hAnsi="宋体"/>
          <w:bCs/>
          <w:i w:val="0"/>
          <w:kern w:val="0"/>
          <w:sz w:val="24"/>
          <w:szCs w:val="24"/>
          <w:lang w:val="en-US" w:eastAsia="zh-CN"/>
        </w:rPr>
        <w:t>23.推荐并确定中标供应商</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_Toc82441610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"_Toc82441611" </w:instrText>
      </w:r>
      <w:r>
        <w:fldChar w:fldCharType="separate"/>
      </w:r>
      <w:r>
        <w:rPr>
          <w:rStyle w:val="72"/>
          <w:rFonts w:hint="eastAsia" w:ascii="宋体" w:hAnsi="宋体"/>
          <w:bCs/>
          <w:i w:val="0"/>
          <w:kern w:val="0"/>
          <w:sz w:val="24"/>
          <w:szCs w:val="24"/>
          <w:lang w:val="en-US" w:eastAsia="zh-CN"/>
        </w:rPr>
        <w:t>24.中标通知</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_Toc82441611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"_Toc82441612" </w:instrText>
      </w:r>
      <w:r>
        <w:fldChar w:fldCharType="separate"/>
      </w:r>
      <w:r>
        <w:rPr>
          <w:rStyle w:val="72"/>
          <w:rFonts w:hint="eastAsia" w:ascii="宋体" w:hAnsi="宋体"/>
          <w:bCs/>
          <w:kern w:val="0"/>
          <w:sz w:val="24"/>
          <w:szCs w:val="24"/>
          <w:lang w:val="en-US" w:eastAsia="zh-CN"/>
        </w:rPr>
        <w:t>九、授予合同</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_Toc82441612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18</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"_Toc82441613" </w:instrText>
      </w:r>
      <w:r>
        <w:fldChar w:fldCharType="separate"/>
      </w:r>
      <w:r>
        <w:rPr>
          <w:rStyle w:val="72"/>
          <w:rFonts w:hint="eastAsia" w:ascii="宋体" w:hAnsi="宋体"/>
          <w:bCs/>
          <w:i w:val="0"/>
          <w:kern w:val="0"/>
          <w:sz w:val="24"/>
          <w:szCs w:val="24"/>
          <w:lang w:val="en-US" w:eastAsia="zh-CN"/>
        </w:rPr>
        <w:t>25.签订合同</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_Toc82441613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"_Toc82441614" </w:instrText>
      </w:r>
      <w:r>
        <w:fldChar w:fldCharType="separate"/>
      </w:r>
      <w:r>
        <w:rPr>
          <w:rStyle w:val="72"/>
          <w:rFonts w:hint="eastAsia" w:ascii="宋体" w:hAnsi="宋体"/>
          <w:bCs/>
          <w:kern w:val="0"/>
          <w:sz w:val="24"/>
          <w:szCs w:val="24"/>
          <w:lang w:val="en-US" w:eastAsia="zh-CN"/>
        </w:rPr>
        <w:t>十、串通投标的认定及处理办法</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_Toc82441614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19</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"_Toc82441615" </w:instrText>
      </w:r>
      <w:r>
        <w:fldChar w:fldCharType="separate"/>
      </w:r>
      <w:r>
        <w:rPr>
          <w:rStyle w:val="72"/>
          <w:rFonts w:hint="eastAsia" w:ascii="宋体" w:hAnsi="宋体"/>
          <w:bCs/>
          <w:i w:val="0"/>
          <w:kern w:val="0"/>
          <w:sz w:val="24"/>
          <w:szCs w:val="24"/>
          <w:lang w:val="en-US" w:eastAsia="zh-CN"/>
        </w:rPr>
        <w:t>26.串通投标的情形</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_Toc82441615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"_Toc82441616" </w:instrText>
      </w:r>
      <w:r>
        <w:fldChar w:fldCharType="separate"/>
      </w:r>
      <w:r>
        <w:rPr>
          <w:rStyle w:val="72"/>
          <w:rFonts w:hint="eastAsia" w:ascii="宋体" w:hAnsi="宋体"/>
          <w:bCs/>
          <w:kern w:val="0"/>
          <w:sz w:val="24"/>
          <w:szCs w:val="24"/>
          <w:lang w:val="en-US" w:eastAsia="zh-CN"/>
        </w:rPr>
        <w:t>十一、废标</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_Toc82441616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19</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"_Toc82441617" </w:instrText>
      </w:r>
      <w:r>
        <w:fldChar w:fldCharType="separate"/>
      </w:r>
      <w:r>
        <w:rPr>
          <w:rStyle w:val="72"/>
          <w:rFonts w:hint="eastAsia" w:ascii="宋体" w:hAnsi="宋体"/>
          <w:bCs/>
          <w:i w:val="0"/>
          <w:kern w:val="0"/>
          <w:sz w:val="24"/>
          <w:szCs w:val="24"/>
          <w:lang w:val="en-US" w:eastAsia="zh-CN"/>
        </w:rPr>
        <w:t>27. 废标情形</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_Toc82441617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19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"_Toc82441618" </w:instrText>
      </w:r>
      <w:r>
        <w:fldChar w:fldCharType="separate"/>
      </w:r>
      <w:r>
        <w:rPr>
          <w:rStyle w:val="72"/>
          <w:rFonts w:hint="eastAsia" w:ascii="宋体" w:hAnsi="宋体"/>
          <w:bCs/>
          <w:kern w:val="0"/>
          <w:sz w:val="24"/>
          <w:szCs w:val="24"/>
          <w:lang w:val="en-US" w:eastAsia="zh-CN"/>
        </w:rPr>
        <w:t>十二、处罚</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_Toc82441618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20</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"_Toc82441619" </w:instrText>
      </w:r>
      <w:r>
        <w:fldChar w:fldCharType="separate"/>
      </w:r>
      <w:r>
        <w:rPr>
          <w:rStyle w:val="72"/>
          <w:rFonts w:hint="eastAsia" w:ascii="宋体" w:hAnsi="宋体"/>
          <w:bCs/>
          <w:i w:val="0"/>
          <w:kern w:val="0"/>
          <w:sz w:val="24"/>
          <w:szCs w:val="24"/>
          <w:lang w:val="en-US" w:eastAsia="zh-CN"/>
        </w:rPr>
        <w:t>28.处罚情形</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_Toc82441619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20</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"_Toc82441620" </w:instrText>
      </w:r>
      <w:r>
        <w:fldChar w:fldCharType="separate"/>
      </w:r>
      <w:r>
        <w:rPr>
          <w:rStyle w:val="72"/>
          <w:rFonts w:hint="eastAsia" w:ascii="宋体" w:hAnsi="宋体"/>
          <w:bCs/>
          <w:kern w:val="0"/>
          <w:sz w:val="24"/>
          <w:szCs w:val="24"/>
          <w:lang w:val="en-US" w:eastAsia="zh-CN"/>
        </w:rPr>
        <w:t>十三、其他</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_Toc82441620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20</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fldChar w:fldCharType="begin"/>
      </w:r>
      <w:r>
        <w:instrText xml:space="preserve"> HYPERLINK \l "_Toc82441621" </w:instrText>
      </w:r>
      <w:r>
        <w:fldChar w:fldCharType="separate"/>
      </w:r>
      <w:r>
        <w:rPr>
          <w:rStyle w:val="72"/>
          <w:rFonts w:hint="eastAsia" w:ascii="宋体" w:hAnsi="宋体"/>
          <w:b w:val="0"/>
          <w:sz w:val="24"/>
          <w:szCs w:val="24"/>
          <w:lang w:val="en-US" w:eastAsia="zh-CN"/>
        </w:rPr>
        <w:t>青海省政府采购项目合同书</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_Toc82441621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21</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fldChar w:fldCharType="begin"/>
      </w:r>
      <w:r>
        <w:instrText xml:space="preserve"> HYPERLINK \l "_Toc82441622" </w:instrText>
      </w:r>
      <w:r>
        <w:fldChar w:fldCharType="separate"/>
      </w:r>
      <w:r>
        <w:rPr>
          <w:rStyle w:val="72"/>
          <w:rFonts w:hint="eastAsia" w:ascii="宋体" w:hAnsi="宋体"/>
          <w:b w:val="0"/>
          <w:kern w:val="28"/>
          <w:sz w:val="24"/>
          <w:szCs w:val="24"/>
          <w:lang w:val="en-US" w:eastAsia="zh-CN"/>
        </w:rPr>
        <w:t>第四部分  投标文件格式</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_Toc82441622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35</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fldChar w:fldCharType="begin"/>
      </w:r>
      <w:r>
        <w:instrText xml:space="preserve"> HYPERLINK \l "_Toc82441623" </w:instrText>
      </w:r>
      <w:r>
        <w:fldChar w:fldCharType="separate"/>
      </w:r>
      <w:r>
        <w:rPr>
          <w:rStyle w:val="72"/>
          <w:rFonts w:hint="eastAsia" w:ascii="宋体" w:hAnsi="宋体"/>
          <w:b w:val="0"/>
          <w:kern w:val="28"/>
          <w:sz w:val="24"/>
          <w:szCs w:val="24"/>
          <w:lang w:val="en-US" w:eastAsia="zh-CN"/>
        </w:rPr>
        <w:t>投标文件的组成</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_Toc82441623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35</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"_Toc82441624" </w:instrText>
      </w:r>
      <w:r>
        <w:fldChar w:fldCharType="separate"/>
      </w:r>
      <w:r>
        <w:rPr>
          <w:rStyle w:val="72"/>
          <w:rFonts w:hint="eastAsia" w:ascii="宋体" w:hAnsi="宋体"/>
          <w:sz w:val="24"/>
          <w:szCs w:val="24"/>
          <w:lang w:val="en-US" w:eastAsia="zh-CN"/>
        </w:rPr>
        <w:t>（投标文件封面）</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_Toc82441624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36</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"_Toc82441625" </w:instrText>
      </w:r>
      <w:r>
        <w:fldChar w:fldCharType="separate"/>
      </w:r>
      <w:r>
        <w:rPr>
          <w:rStyle w:val="72"/>
          <w:rFonts w:hint="eastAsia" w:ascii="宋体" w:hAnsi="宋体"/>
          <w:sz w:val="24"/>
          <w:szCs w:val="24"/>
          <w:lang w:val="en-US" w:eastAsia="zh-CN"/>
        </w:rPr>
        <w:t>附件1：投 标 函</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_Toc82441625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37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"_Toc82441626" </w:instrText>
      </w:r>
      <w:r>
        <w:fldChar w:fldCharType="separate"/>
      </w:r>
      <w:r>
        <w:rPr>
          <w:rStyle w:val="72"/>
          <w:rFonts w:hint="eastAsia" w:ascii="宋体" w:hAnsi="宋体"/>
          <w:sz w:val="24"/>
          <w:szCs w:val="24"/>
          <w:lang w:val="en-US" w:eastAsia="zh-CN"/>
        </w:rPr>
        <w:t>附件2：法定代表人证明书</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_Toc82441626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38</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"_Toc82441627" </w:instrText>
      </w:r>
      <w:r>
        <w:fldChar w:fldCharType="separate"/>
      </w:r>
      <w:r>
        <w:rPr>
          <w:rStyle w:val="72"/>
          <w:rFonts w:hint="eastAsia" w:ascii="宋体" w:hAnsi="宋体"/>
          <w:sz w:val="24"/>
          <w:szCs w:val="24"/>
          <w:lang w:val="en-US" w:eastAsia="zh-CN"/>
        </w:rPr>
        <w:t>附件3：法定代表人授权书</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_Toc82441627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39</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"_Toc82441628" </w:instrText>
      </w:r>
      <w:r>
        <w:fldChar w:fldCharType="separate"/>
      </w:r>
      <w:r>
        <w:rPr>
          <w:rStyle w:val="72"/>
          <w:rFonts w:hint="eastAsia" w:ascii="宋体" w:hAnsi="宋体"/>
          <w:sz w:val="24"/>
          <w:szCs w:val="24"/>
          <w:lang w:val="en-US" w:eastAsia="zh-CN"/>
        </w:rPr>
        <w:t>附件4：投标人承诺函</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_Toc82441628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40</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"_Toc82441629" </w:instrText>
      </w:r>
      <w:r>
        <w:fldChar w:fldCharType="separate"/>
      </w:r>
      <w:r>
        <w:rPr>
          <w:rStyle w:val="72"/>
          <w:rFonts w:hint="eastAsia" w:ascii="宋体" w:hAnsi="宋体"/>
          <w:sz w:val="24"/>
          <w:szCs w:val="24"/>
          <w:lang w:val="en-US" w:eastAsia="zh-CN"/>
        </w:rPr>
        <w:t>附件5：供应商诚信承诺书</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_Toc82441629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41</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"_Toc82441630" </w:instrText>
      </w:r>
      <w:r>
        <w:fldChar w:fldCharType="separate"/>
      </w:r>
      <w:r>
        <w:rPr>
          <w:rStyle w:val="72"/>
          <w:rFonts w:hint="eastAsia" w:ascii="宋体" w:hAnsi="宋体"/>
          <w:sz w:val="24"/>
          <w:szCs w:val="24"/>
          <w:lang w:val="en-US" w:eastAsia="zh-CN"/>
        </w:rPr>
        <w:t>附件6：投标人资格证明文件</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_Toc82441630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42</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"_Toc82441631" </w:instrText>
      </w:r>
      <w:r>
        <w:fldChar w:fldCharType="separate"/>
      </w:r>
      <w:r>
        <w:rPr>
          <w:rStyle w:val="72"/>
          <w:rFonts w:hint="eastAsia" w:ascii="宋体" w:hAnsi="宋体"/>
          <w:sz w:val="24"/>
          <w:szCs w:val="24"/>
          <w:lang w:val="en-US" w:eastAsia="zh-CN"/>
        </w:rPr>
        <w:t>附件7：财务状况、缴纳税收和社会保障资金证明</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_Toc82441631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43</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"_Toc82441632" </w:instrText>
      </w:r>
      <w:r>
        <w:fldChar w:fldCharType="separate"/>
      </w:r>
      <w:r>
        <w:rPr>
          <w:rStyle w:val="72"/>
          <w:rFonts w:hint="eastAsia" w:ascii="宋体" w:hAnsi="宋体"/>
          <w:sz w:val="24"/>
          <w:szCs w:val="24"/>
          <w:lang w:val="en-US" w:eastAsia="zh-CN"/>
        </w:rPr>
        <w:t>附件8：无重大违法记录声明</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_Toc82441632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44</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Style w:val="72"/>
          <w:rFonts w:hint="eastAsia" w:ascii="宋体" w:hAnsi="宋体"/>
          <w:sz w:val="24"/>
          <w:szCs w:val="24"/>
          <w:lang w:val="en-US" w:eastAsia="zh-CN"/>
        </w:rPr>
      </w:pPr>
      <w:r>
        <w:fldChar w:fldCharType="begin"/>
      </w:r>
      <w:r>
        <w:instrText xml:space="preserve"> HYPERLINK \l "_Toc82441634" </w:instrText>
      </w:r>
      <w:r>
        <w:fldChar w:fldCharType="separate"/>
      </w:r>
      <w:r>
        <w:rPr>
          <w:rStyle w:val="72"/>
          <w:rFonts w:hint="eastAsia" w:ascii="宋体" w:hAnsi="宋体"/>
          <w:sz w:val="24"/>
          <w:szCs w:val="24"/>
          <w:lang w:val="en-US" w:eastAsia="zh-CN"/>
        </w:rPr>
        <w:t>附件9：投标保证金证明</w:t>
      </w:r>
      <w:r>
        <w:rPr>
          <w:rStyle w:val="72"/>
          <w:rFonts w:hint="eastAsia" w:ascii="宋体" w:hAnsi="宋体"/>
          <w:sz w:val="24"/>
          <w:szCs w:val="24"/>
          <w:lang w:val="en-US" w:eastAsia="zh-CN"/>
        </w:rPr>
        <w:tab/>
      </w:r>
      <w:r>
        <w:rPr>
          <w:rStyle w:val="72"/>
          <w:rFonts w:hint="eastAsia" w:ascii="宋体" w:hAnsi="宋体"/>
          <w:sz w:val="24"/>
          <w:szCs w:val="24"/>
          <w:lang w:val="en-US" w:eastAsia="zh-CN"/>
        </w:rPr>
        <w:fldChar w:fldCharType="begin"/>
      </w:r>
      <w:r>
        <w:rPr>
          <w:rStyle w:val="72"/>
          <w:rFonts w:hint="eastAsia" w:ascii="宋体" w:hAnsi="宋体"/>
          <w:sz w:val="24"/>
          <w:szCs w:val="24"/>
          <w:lang w:val="en-US" w:eastAsia="zh-CN"/>
        </w:rPr>
        <w:instrText xml:space="preserve"> PAGEREF _Toc82441634 \h </w:instrText>
      </w:r>
      <w:r>
        <w:rPr>
          <w:rStyle w:val="72"/>
          <w:rFonts w:hint="eastAsia" w:ascii="宋体" w:hAnsi="宋体"/>
          <w:sz w:val="24"/>
          <w:szCs w:val="24"/>
          <w:lang w:val="en-US" w:eastAsia="zh-CN"/>
        </w:rPr>
        <w:fldChar w:fldCharType="separate"/>
      </w:r>
      <w:r>
        <w:rPr>
          <w:rStyle w:val="72"/>
          <w:rFonts w:hint="eastAsia" w:ascii="宋体" w:hAnsi="宋体"/>
          <w:sz w:val="24"/>
          <w:szCs w:val="24"/>
          <w:lang w:val="en-US" w:eastAsia="zh-CN"/>
        </w:rPr>
        <w:t>45</w:t>
      </w:r>
      <w:r>
        <w:rPr>
          <w:rStyle w:val="72"/>
          <w:rFonts w:hint="eastAsia" w:ascii="宋体" w:hAnsi="宋体"/>
          <w:sz w:val="24"/>
          <w:szCs w:val="24"/>
          <w:lang w:val="en-US" w:eastAsia="zh-CN"/>
        </w:rPr>
        <w:fldChar w:fldCharType="end"/>
      </w:r>
      <w:r>
        <w:rPr>
          <w:rStyle w:val="72"/>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"_Toc82441637" </w:instrText>
      </w:r>
      <w:r>
        <w:fldChar w:fldCharType="separate"/>
      </w:r>
      <w:r>
        <w:rPr>
          <w:rStyle w:val="72"/>
          <w:rFonts w:hint="eastAsia" w:ascii="宋体" w:hAnsi="宋体"/>
          <w:sz w:val="24"/>
          <w:szCs w:val="24"/>
          <w:lang w:val="en-US" w:eastAsia="zh-CN"/>
        </w:rPr>
        <w:t>（投标文件封面）</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_Toc82441637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46</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"_Toc82441638" </w:instrText>
      </w:r>
      <w:r>
        <w:fldChar w:fldCharType="separate"/>
      </w:r>
      <w:r>
        <w:rPr>
          <w:rStyle w:val="72"/>
          <w:rFonts w:hint="eastAsia" w:ascii="宋体" w:hAnsi="宋体"/>
          <w:sz w:val="24"/>
          <w:szCs w:val="24"/>
          <w:lang w:val="en-US" w:eastAsia="zh-CN"/>
        </w:rPr>
        <w:t>附件10：报价一览表</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_Toc82441638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"_Toc82441639" </w:instrText>
      </w:r>
      <w:r>
        <w:fldChar w:fldCharType="separate"/>
      </w:r>
      <w:r>
        <w:rPr>
          <w:rStyle w:val="72"/>
          <w:rFonts w:hint="eastAsia" w:ascii="宋体" w:hAnsi="宋体"/>
          <w:sz w:val="24"/>
          <w:szCs w:val="24"/>
          <w:lang w:val="en-US" w:eastAsia="zh-CN"/>
        </w:rPr>
        <w:t>附件11：分项报价表</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_Toc82441639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48</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"_Toc82441640" </w:instrText>
      </w:r>
      <w:r>
        <w:fldChar w:fldCharType="separate"/>
      </w:r>
      <w:r>
        <w:rPr>
          <w:rStyle w:val="72"/>
          <w:rFonts w:hint="eastAsia" w:ascii="宋体" w:hAnsi="宋体"/>
          <w:sz w:val="24"/>
          <w:szCs w:val="24"/>
          <w:lang w:val="en-US" w:eastAsia="zh-CN"/>
        </w:rPr>
        <w:t>附件12：技术规格响应表</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_Toc82441640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49</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"_Toc82441641" </w:instrText>
      </w:r>
      <w:r>
        <w:fldChar w:fldCharType="separate"/>
      </w:r>
      <w:r>
        <w:rPr>
          <w:rStyle w:val="72"/>
          <w:rFonts w:hint="eastAsia" w:ascii="宋体" w:hAnsi="宋体"/>
          <w:sz w:val="24"/>
          <w:szCs w:val="24"/>
          <w:lang w:val="en-US" w:eastAsia="zh-CN"/>
        </w:rPr>
        <w:t>附件13：其他资格证明材料</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_Toc82441641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50</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"_Toc82441642" </w:instrText>
      </w:r>
      <w:r>
        <w:fldChar w:fldCharType="separate"/>
      </w:r>
      <w:r>
        <w:rPr>
          <w:rStyle w:val="72"/>
          <w:rFonts w:hint="eastAsia" w:ascii="宋体" w:hAnsi="宋体"/>
          <w:sz w:val="24"/>
          <w:szCs w:val="24"/>
          <w:lang w:val="en-US" w:eastAsia="zh-CN"/>
        </w:rPr>
        <w:t>附件14：投标产品相关资料</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_Toc82441642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51</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"_Toc82441643" </w:instrText>
      </w:r>
      <w:r>
        <w:fldChar w:fldCharType="separate"/>
      </w:r>
      <w:r>
        <w:rPr>
          <w:rStyle w:val="72"/>
          <w:rFonts w:hint="eastAsia" w:ascii="宋体" w:hAnsi="宋体"/>
          <w:sz w:val="24"/>
          <w:szCs w:val="24"/>
          <w:lang w:val="en-US" w:eastAsia="zh-CN"/>
        </w:rPr>
        <w:t>附件15：投标人类似业绩证明材料</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_Toc82441643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52</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"_Toc82441644" </w:instrText>
      </w:r>
      <w:r>
        <w:fldChar w:fldCharType="separate"/>
      </w:r>
      <w:r>
        <w:rPr>
          <w:rStyle w:val="72"/>
          <w:rFonts w:hint="eastAsia" w:ascii="宋体" w:hAnsi="宋体"/>
          <w:sz w:val="24"/>
          <w:szCs w:val="24"/>
          <w:lang w:val="en-US" w:eastAsia="zh-CN"/>
        </w:rPr>
        <w:t>附件16：中小企业声明函</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_Toc82441644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53</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"_Toc82441645" </w:instrText>
      </w:r>
      <w:r>
        <w:fldChar w:fldCharType="separate"/>
      </w:r>
      <w:r>
        <w:rPr>
          <w:rStyle w:val="72"/>
          <w:rFonts w:hint="eastAsia" w:ascii="宋体" w:hAnsi="宋体"/>
          <w:sz w:val="24"/>
          <w:szCs w:val="24"/>
          <w:lang w:val="en-US" w:eastAsia="zh-CN"/>
        </w:rPr>
        <w:t>附件17：残疾人福利性单位声明函</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_Toc82441645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54</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"_Toc82441646" </w:instrText>
      </w:r>
      <w:r>
        <w:fldChar w:fldCharType="separate"/>
      </w:r>
      <w:r>
        <w:rPr>
          <w:rStyle w:val="72"/>
          <w:rFonts w:hint="eastAsia" w:ascii="宋体" w:hAnsi="宋体"/>
          <w:sz w:val="24"/>
          <w:szCs w:val="24"/>
          <w:lang w:val="en-US" w:eastAsia="zh-CN"/>
        </w:rPr>
        <w:t>附件18：项目管理实施方案及售后服务</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_Toc82441646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55</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"_Toc82441647" </w:instrText>
      </w:r>
      <w:r>
        <w:fldChar w:fldCharType="separate"/>
      </w:r>
      <w:r>
        <w:rPr>
          <w:rStyle w:val="72"/>
          <w:rFonts w:hint="eastAsia" w:ascii="宋体" w:hAnsi="宋体"/>
          <w:sz w:val="24"/>
          <w:szCs w:val="24"/>
          <w:lang w:val="en-US" w:eastAsia="zh-CN"/>
        </w:rPr>
        <w:t>附件19：投标人认为在其他方面有必要说明的事项</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_Toc82441647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56</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40"/>
        <w:tabs>
          <w:tab w:val="right" w:leader="dot" w:pos="8948"/>
        </w:tabs>
        <w:spacing w:line="260" w:lineRule="exact"/>
        <w:ind w:firstLine="480"/>
        <w:rPr>
          <w:rFonts w:hint="eastAsia" w:ascii="宋体" w:hAnsi="宋体"/>
          <w:b w:val="0"/>
          <w:bCs w:val="0"/>
          <w:caps w:val="0"/>
          <w:sz w:val="24"/>
          <w:szCs w:val="24"/>
          <w:lang w:val="en-US" w:eastAsia="zh-CN"/>
        </w:rPr>
      </w:pPr>
      <w:r>
        <w:fldChar w:fldCharType="begin"/>
      </w:r>
      <w:r>
        <w:instrText xml:space="preserve"> HYPERLINK \l "_Toc82441648" </w:instrText>
      </w:r>
      <w:r>
        <w:fldChar w:fldCharType="separate"/>
      </w:r>
      <w:r>
        <w:rPr>
          <w:rStyle w:val="72"/>
          <w:rFonts w:hint="eastAsia" w:ascii="宋体" w:hAnsi="宋体"/>
          <w:b w:val="0"/>
          <w:kern w:val="28"/>
          <w:sz w:val="24"/>
          <w:szCs w:val="24"/>
          <w:lang w:val="en-US" w:eastAsia="zh-CN"/>
        </w:rPr>
        <w:t>第五部分  采购项目要求及技术参数</w:t>
      </w:r>
      <w:r>
        <w:rPr>
          <w:rFonts w:hint="eastAsia" w:ascii="宋体" w:hAnsi="宋体"/>
          <w:b w:val="0"/>
          <w:sz w:val="24"/>
          <w:szCs w:val="24"/>
          <w:lang w:val="en-US" w:eastAsia="zh-CN"/>
        </w:rPr>
        <w:tab/>
      </w:r>
      <w:r>
        <w:rPr>
          <w:rFonts w:hint="eastAsia" w:ascii="宋体" w:hAnsi="宋体"/>
          <w:b w:val="0"/>
          <w:sz w:val="24"/>
          <w:szCs w:val="24"/>
          <w:lang w:val="en-US" w:eastAsia="zh-CN"/>
        </w:rPr>
        <w:fldChar w:fldCharType="begin"/>
      </w:r>
      <w:r>
        <w:rPr>
          <w:rFonts w:hint="eastAsia" w:ascii="宋体" w:hAnsi="宋体"/>
          <w:b w:val="0"/>
          <w:sz w:val="24"/>
          <w:szCs w:val="24"/>
          <w:lang w:val="en-US" w:eastAsia="zh-CN"/>
        </w:rPr>
        <w:instrText xml:space="preserve"> </w:instrText>
      </w:r>
      <w:r>
        <w:rPr>
          <w:rFonts w:ascii="宋体" w:hAnsi="宋体"/>
          <w:b w:val="0"/>
          <w:sz w:val="24"/>
          <w:szCs w:val="24"/>
          <w:lang w:val="en-US" w:eastAsia="zh-CN"/>
        </w:rPr>
        <w:instrText xml:space="preserve">PAGEREF _Toc82441648 \h</w:instrText>
      </w:r>
      <w:r>
        <w:rPr>
          <w:rFonts w:hint="eastAsia" w:ascii="宋体" w:hAnsi="宋体"/>
          <w:b w:val="0"/>
          <w:sz w:val="24"/>
          <w:szCs w:val="24"/>
          <w:lang w:val="en-US" w:eastAsia="zh-CN"/>
        </w:rPr>
        <w:instrText xml:space="preserve"> </w:instrText>
      </w:r>
      <w:r>
        <w:rPr>
          <w:rFonts w:hint="eastAsia" w:ascii="宋体" w:hAnsi="宋体"/>
          <w:b w:val="0"/>
          <w:sz w:val="24"/>
          <w:szCs w:val="24"/>
          <w:lang w:val="en-US" w:eastAsia="zh-CN"/>
        </w:rPr>
        <w:fldChar w:fldCharType="separate"/>
      </w:r>
      <w:r>
        <w:rPr>
          <w:rFonts w:ascii="宋体" w:hAnsi="宋体"/>
          <w:b w:val="0"/>
          <w:sz w:val="24"/>
          <w:szCs w:val="24"/>
          <w:lang w:val="en-US" w:eastAsia="zh-CN"/>
        </w:rPr>
        <w:t>57</w:t>
      </w:r>
      <w:r>
        <w:rPr>
          <w:rFonts w:hint="eastAsia" w:ascii="宋体" w:hAnsi="宋体"/>
          <w:b w:val="0"/>
          <w:sz w:val="24"/>
          <w:szCs w:val="24"/>
          <w:lang w:val="en-US" w:eastAsia="zh-CN"/>
        </w:rPr>
        <w:fldChar w:fldCharType="end"/>
      </w:r>
      <w:r>
        <w:rPr>
          <w:rFonts w:hint="eastAsia" w:ascii="宋体" w:hAnsi="宋体"/>
          <w:b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"_Toc82441649" </w:instrText>
      </w:r>
      <w:r>
        <w:fldChar w:fldCharType="separate"/>
      </w:r>
      <w:r>
        <w:rPr>
          <w:rStyle w:val="72"/>
          <w:rFonts w:hint="eastAsia" w:ascii="宋体" w:hAnsi="宋体"/>
          <w:bCs/>
          <w:kern w:val="0"/>
          <w:sz w:val="24"/>
          <w:szCs w:val="24"/>
          <w:lang w:val="en-US" w:eastAsia="zh-CN"/>
        </w:rPr>
        <w:t>一、投标要求</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_Toc82441649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57</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"_Toc82441650" </w:instrText>
      </w:r>
      <w:r>
        <w:fldChar w:fldCharType="separate"/>
      </w:r>
      <w:r>
        <w:rPr>
          <w:rStyle w:val="72"/>
          <w:rFonts w:hint="eastAsia" w:ascii="宋体" w:hAnsi="宋体"/>
          <w:bCs/>
          <w:i w:val="0"/>
          <w:kern w:val="0"/>
          <w:sz w:val="24"/>
          <w:szCs w:val="24"/>
          <w:lang w:val="en-US" w:eastAsia="zh-CN"/>
        </w:rPr>
        <w:t>1、投标说明</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_Toc82441650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"_Toc82441651" </w:instrText>
      </w:r>
      <w:r>
        <w:fldChar w:fldCharType="separate"/>
      </w:r>
      <w:r>
        <w:rPr>
          <w:rStyle w:val="72"/>
          <w:rFonts w:hint="eastAsia" w:ascii="宋体" w:hAnsi="宋体"/>
          <w:bCs/>
          <w:i w:val="0"/>
          <w:kern w:val="0"/>
          <w:sz w:val="24"/>
          <w:szCs w:val="24"/>
          <w:lang w:val="en-US" w:eastAsia="zh-CN"/>
        </w:rPr>
        <w:t>2、报价说明</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_Toc82441651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"_Toc82441652" </w:instrText>
      </w:r>
      <w:r>
        <w:fldChar w:fldCharType="separate"/>
      </w:r>
      <w:r>
        <w:rPr>
          <w:rStyle w:val="72"/>
          <w:rFonts w:hint="eastAsia" w:ascii="宋体" w:hAnsi="宋体"/>
          <w:bCs/>
          <w:i w:val="0"/>
          <w:kern w:val="0"/>
          <w:sz w:val="24"/>
          <w:szCs w:val="24"/>
          <w:lang w:val="en-US" w:eastAsia="zh-CN"/>
        </w:rPr>
        <w:t>3、重要指标</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_Toc82441652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57</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"_Toc82441653" </w:instrText>
      </w:r>
      <w:r>
        <w:fldChar w:fldCharType="separate"/>
      </w:r>
      <w:r>
        <w:rPr>
          <w:rStyle w:val="72"/>
          <w:rFonts w:hint="eastAsia" w:ascii="宋体" w:hAnsi="宋体"/>
          <w:bCs/>
          <w:kern w:val="0"/>
          <w:sz w:val="24"/>
          <w:szCs w:val="24"/>
          <w:lang w:val="en-US" w:eastAsia="zh-CN"/>
        </w:rPr>
        <w:t>二、项目概况及技术参数</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_Toc82441653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58</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"_Toc82441654" </w:instrText>
      </w:r>
      <w:r>
        <w:fldChar w:fldCharType="separate"/>
      </w:r>
      <w:r>
        <w:rPr>
          <w:rStyle w:val="72"/>
          <w:rFonts w:hint="eastAsia" w:ascii="宋体" w:hAnsi="宋体"/>
          <w:bCs/>
          <w:i w:val="0"/>
          <w:kern w:val="0"/>
          <w:sz w:val="24"/>
          <w:szCs w:val="24"/>
          <w:lang w:val="en-US" w:eastAsia="zh-CN"/>
        </w:rPr>
        <w:t>1、项目概况</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_Toc82441654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"_Toc82441655" </w:instrText>
      </w:r>
      <w:r>
        <w:fldChar w:fldCharType="separate"/>
      </w:r>
      <w:r>
        <w:rPr>
          <w:rStyle w:val="72"/>
          <w:rFonts w:hint="eastAsia" w:ascii="宋体" w:hAnsi="宋体"/>
          <w:bCs/>
          <w:i w:val="0"/>
          <w:kern w:val="0"/>
          <w:sz w:val="24"/>
          <w:szCs w:val="24"/>
          <w:lang w:val="en-US" w:eastAsia="zh-CN"/>
        </w:rPr>
        <w:t>2、产品交付说明</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_Toc82441655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"_Toc82441656" </w:instrText>
      </w:r>
      <w:r>
        <w:fldChar w:fldCharType="separate"/>
      </w:r>
      <w:r>
        <w:rPr>
          <w:rStyle w:val="72"/>
          <w:rFonts w:hint="eastAsia" w:ascii="宋体" w:hAnsi="宋体"/>
          <w:bCs/>
          <w:i w:val="0"/>
          <w:kern w:val="0"/>
          <w:sz w:val="24"/>
          <w:szCs w:val="24"/>
          <w:lang w:val="en-US" w:eastAsia="zh-CN"/>
        </w:rPr>
        <w:t>3、产品验收</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_Toc82441656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"_Toc82441657" </w:instrText>
      </w:r>
      <w:r>
        <w:fldChar w:fldCharType="separate"/>
      </w:r>
      <w:r>
        <w:rPr>
          <w:rStyle w:val="72"/>
          <w:rFonts w:hint="eastAsia" w:ascii="宋体" w:hAnsi="宋体"/>
          <w:bCs/>
          <w:i w:val="0"/>
          <w:kern w:val="0"/>
          <w:sz w:val="24"/>
          <w:szCs w:val="24"/>
          <w:lang w:val="en-US" w:eastAsia="zh-CN"/>
        </w:rPr>
        <w:t>4、安装、调试</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_Toc82441657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58</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"_Toc82441658" </w:instrText>
      </w:r>
      <w:r>
        <w:fldChar w:fldCharType="separate"/>
      </w:r>
      <w:r>
        <w:rPr>
          <w:rStyle w:val="72"/>
          <w:rFonts w:hint="eastAsia" w:ascii="宋体" w:hAnsi="宋体"/>
          <w:bCs/>
          <w:i w:val="0"/>
          <w:kern w:val="0"/>
          <w:sz w:val="24"/>
          <w:szCs w:val="24"/>
          <w:lang w:val="en-US" w:eastAsia="zh-CN"/>
        </w:rPr>
        <w:t>5、维护服务和技术支持</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_Toc82441658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31"/>
        <w:spacing w:line="260" w:lineRule="exact"/>
        <w:rPr>
          <w:rFonts w:hint="eastAsia" w:ascii="宋体" w:hAnsi="宋体"/>
          <w:i w:val="0"/>
          <w:iCs w:val="0"/>
          <w:sz w:val="24"/>
          <w:szCs w:val="24"/>
          <w:lang w:val="en-US" w:eastAsia="zh-CN"/>
        </w:rPr>
      </w:pPr>
      <w:r>
        <w:fldChar w:fldCharType="begin"/>
      </w:r>
      <w:r>
        <w:instrText xml:space="preserve"> HYPERLINK \l "_Toc82441659" </w:instrText>
      </w:r>
      <w:r>
        <w:fldChar w:fldCharType="separate"/>
      </w:r>
      <w:r>
        <w:rPr>
          <w:rStyle w:val="72"/>
          <w:rFonts w:hint="eastAsia" w:ascii="宋体" w:hAnsi="宋体"/>
          <w:bCs/>
          <w:i w:val="0"/>
          <w:kern w:val="0"/>
          <w:sz w:val="24"/>
          <w:szCs w:val="24"/>
          <w:lang w:val="en-US" w:eastAsia="zh-CN"/>
        </w:rPr>
        <w:t>6、其他要求</w:t>
      </w:r>
      <w:r>
        <w:rPr>
          <w:rFonts w:hint="eastAsia" w:ascii="宋体" w:hAnsi="宋体"/>
          <w:i w:val="0"/>
          <w:sz w:val="24"/>
          <w:szCs w:val="24"/>
          <w:lang w:val="en-US" w:eastAsia="zh-CN"/>
        </w:rPr>
        <w:tab/>
      </w:r>
      <w:r>
        <w:rPr>
          <w:rFonts w:hint="eastAsia" w:ascii="宋体" w:hAnsi="宋体"/>
          <w:i w:val="0"/>
          <w:sz w:val="24"/>
          <w:szCs w:val="24"/>
          <w:lang w:val="en-US" w:eastAsia="zh-CN"/>
        </w:rPr>
        <w:fldChar w:fldCharType="begin"/>
      </w:r>
      <w:r>
        <w:rPr>
          <w:rFonts w:hint="eastAsia" w:ascii="宋体" w:hAnsi="宋体"/>
          <w:i w:val="0"/>
          <w:sz w:val="24"/>
          <w:szCs w:val="24"/>
          <w:lang w:val="en-US" w:eastAsia="zh-CN"/>
        </w:rPr>
        <w:instrText xml:space="preserve"> </w:instrText>
      </w:r>
      <w:r>
        <w:rPr>
          <w:rFonts w:ascii="宋体" w:hAnsi="宋体"/>
          <w:i w:val="0"/>
          <w:sz w:val="24"/>
          <w:szCs w:val="24"/>
          <w:lang w:val="en-US" w:eastAsia="zh-CN"/>
        </w:rPr>
        <w:instrText xml:space="preserve">PAGEREF _Toc82441659 \h</w:instrText>
      </w:r>
      <w:r>
        <w:rPr>
          <w:rFonts w:hint="eastAsia" w:ascii="宋体" w:hAnsi="宋体"/>
          <w:i w:val="0"/>
          <w:sz w:val="24"/>
          <w:szCs w:val="24"/>
          <w:lang w:val="en-US" w:eastAsia="zh-CN"/>
        </w:rPr>
        <w:instrText xml:space="preserve"> </w:instrText>
      </w:r>
      <w:r>
        <w:rPr>
          <w:rFonts w:hint="eastAsia" w:ascii="宋体" w:hAnsi="宋体"/>
          <w:i w:val="0"/>
          <w:sz w:val="24"/>
          <w:szCs w:val="24"/>
          <w:lang w:val="en-US" w:eastAsia="zh-CN"/>
        </w:rPr>
        <w:fldChar w:fldCharType="separate"/>
      </w:r>
      <w:r>
        <w:rPr>
          <w:rFonts w:ascii="宋体" w:hAnsi="宋体"/>
          <w:i w:val="0"/>
          <w:sz w:val="24"/>
          <w:szCs w:val="24"/>
          <w:lang w:val="en-US" w:eastAsia="zh-CN"/>
        </w:rPr>
        <w:t>59</w:t>
      </w:r>
      <w:r>
        <w:rPr>
          <w:rFonts w:hint="eastAsia" w:ascii="宋体" w:hAnsi="宋体"/>
          <w:i w:val="0"/>
          <w:sz w:val="24"/>
          <w:szCs w:val="24"/>
          <w:lang w:val="en-US" w:eastAsia="zh-CN"/>
        </w:rPr>
        <w:fldChar w:fldCharType="end"/>
      </w:r>
      <w:r>
        <w:rPr>
          <w:rFonts w:hint="eastAsia" w:ascii="宋体" w:hAnsi="宋体"/>
          <w:i w:val="0"/>
          <w:sz w:val="24"/>
          <w:szCs w:val="24"/>
          <w:lang w:val="en-US" w:eastAsia="zh-CN"/>
        </w:rPr>
        <w:fldChar w:fldCharType="end"/>
      </w:r>
    </w:p>
    <w:p>
      <w:pPr>
        <w:pStyle w:val="52"/>
        <w:spacing w:line="260" w:lineRule="exact"/>
        <w:rPr>
          <w:rFonts w:hint="eastAsia" w:ascii="宋体" w:hAnsi="宋体"/>
          <w:smallCaps w:val="0"/>
          <w:sz w:val="24"/>
          <w:szCs w:val="24"/>
          <w:lang w:val="en-US" w:eastAsia="zh-CN"/>
        </w:rPr>
      </w:pPr>
      <w:r>
        <w:fldChar w:fldCharType="begin"/>
      </w:r>
      <w:r>
        <w:instrText xml:space="preserve"> HYPERLINK \l "_Toc82441660" </w:instrText>
      </w:r>
      <w:r>
        <w:fldChar w:fldCharType="separate"/>
      </w:r>
      <w:r>
        <w:rPr>
          <w:rStyle w:val="72"/>
          <w:rFonts w:hint="eastAsia" w:ascii="宋体" w:hAnsi="宋体"/>
          <w:bCs/>
          <w:kern w:val="0"/>
          <w:sz w:val="24"/>
          <w:szCs w:val="24"/>
          <w:lang w:val="en-US" w:eastAsia="zh-CN"/>
        </w:rPr>
        <w:t>采购一览表及技术参数</w:t>
      </w:r>
      <w:r>
        <w:rPr>
          <w:rFonts w:hint="eastAsia" w:ascii="宋体" w:hAnsi="宋体"/>
          <w:sz w:val="24"/>
          <w:szCs w:val="24"/>
          <w:lang w:val="en-US" w:eastAsia="zh-CN"/>
        </w:rPr>
        <w:tab/>
      </w: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w:instrText>
      </w:r>
      <w:r>
        <w:rPr>
          <w:rFonts w:ascii="宋体" w:hAnsi="宋体"/>
          <w:sz w:val="24"/>
          <w:szCs w:val="24"/>
          <w:lang w:val="en-US" w:eastAsia="zh-CN"/>
        </w:rPr>
        <w:instrText xml:space="preserve">PAGEREF _Toc82441660 \h</w:instrText>
      </w:r>
      <w:r>
        <w:rPr>
          <w:rFonts w:hint="eastAsia" w:ascii="宋体" w:hAnsi="宋体"/>
          <w:sz w:val="24"/>
          <w:szCs w:val="24"/>
          <w:lang w:val="en-US" w:eastAsia="zh-CN"/>
        </w:rPr>
        <w:instrText xml:space="preserve"> </w:instrText>
      </w:r>
      <w:r>
        <w:rPr>
          <w:rFonts w:hint="eastAsia" w:ascii="宋体" w:hAnsi="宋体"/>
          <w:sz w:val="24"/>
          <w:szCs w:val="24"/>
          <w:lang w:val="en-US" w:eastAsia="zh-CN"/>
        </w:rPr>
        <w:fldChar w:fldCharType="separate"/>
      </w:r>
      <w:r>
        <w:rPr>
          <w:rFonts w:ascii="宋体" w:hAnsi="宋体"/>
          <w:sz w:val="24"/>
          <w:szCs w:val="24"/>
          <w:lang w:val="en-US" w:eastAsia="zh-CN"/>
        </w:rPr>
        <w:t>61</w:t>
      </w:r>
      <w:r>
        <w:rPr>
          <w:rFonts w:hint="eastAsia" w:ascii="宋体" w:hAnsi="宋体"/>
          <w:sz w:val="24"/>
          <w:szCs w:val="24"/>
          <w:lang w:val="en-US" w:eastAsia="zh-CN"/>
        </w:rPr>
        <w:fldChar w:fldCharType="end"/>
      </w:r>
      <w:r>
        <w:rPr>
          <w:rFonts w:hint="eastAsia" w:ascii="宋体" w:hAnsi="宋体"/>
          <w:sz w:val="24"/>
          <w:szCs w:val="24"/>
          <w:lang w:val="en-US" w:eastAsia="zh-CN"/>
        </w:rPr>
        <w:fldChar w:fldCharType="end"/>
      </w:r>
    </w:p>
    <w:p>
      <w:pPr>
        <w:pStyle w:val="31"/>
        <w:spacing w:line="260" w:lineRule="exact"/>
        <w:rPr>
          <w:rStyle w:val="72"/>
          <w:rFonts w:hint="eastAsia" w:ascii="宋体" w:hAnsi="宋体" w:cs="宋体"/>
          <w:i w:val="0"/>
          <w:iCs w:val="0"/>
          <w:kern w:val="0"/>
          <w:sz w:val="24"/>
          <w:szCs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lang w:val="en-US" w:eastAsia="zh-CN"/>
        </w:rPr>
        <w:fldChar w:fldCharType="end"/>
      </w:r>
    </w:p>
    <w:p>
      <w:pPr>
        <w:pStyle w:val="516"/>
        <w:ind w:firstLine="0" w:firstLineChars="0"/>
        <w:rPr>
          <w:rFonts w:hint="eastAsia"/>
        </w:rPr>
      </w:pPr>
      <w:bookmarkStart w:id="0" w:name="_Toc325725996"/>
    </w:p>
    <w:p>
      <w:pPr>
        <w:pStyle w:val="4"/>
        <w:rPr>
          <w:rFonts w:hint="eastAsia"/>
        </w:rPr>
      </w:pPr>
      <w:bookmarkStart w:id="1" w:name="_Toc82441578"/>
      <w:r>
        <w:rPr>
          <w:rFonts w:hint="eastAsia"/>
        </w:rPr>
        <w:t>第一部分  投标人须知前附表</w:t>
      </w:r>
      <w:bookmarkEnd w:id="1"/>
    </w:p>
    <w:bookmarkEnd w:id="0"/>
    <w:tbl>
      <w:tblPr>
        <w:tblStyle w:val="6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采购项目名称</w:t>
            </w:r>
          </w:p>
        </w:tc>
        <w:tc>
          <w:tcPr>
            <w:tcW w:w="7654" w:type="dxa"/>
            <w:vAlign w:val="center"/>
          </w:tcPr>
          <w:p>
            <w:pPr>
              <w:widowControl/>
              <w:spacing w:line="360" w:lineRule="exact"/>
              <w:ind w:firstLine="0" w:firstLineChars="0"/>
              <w:rPr>
                <w:rFonts w:hint="eastAsia" w:ascii="宋体" w:hAnsi="宋体" w:cs="宋体"/>
                <w:kern w:val="0"/>
              </w:rPr>
            </w:pPr>
            <w:r>
              <w:rPr>
                <w:rFonts w:hint="eastAsia" w:ascii="宋体" w:hAnsi="宋体" w:cs="宋体"/>
                <w:kern w:val="0"/>
              </w:rPr>
              <w:t>青海省公安厅刑警总队电子物证实验室建设项目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采购项目编号</w:t>
            </w:r>
          </w:p>
        </w:tc>
        <w:tc>
          <w:tcPr>
            <w:tcW w:w="7654" w:type="dxa"/>
            <w:vAlign w:val="center"/>
          </w:tcPr>
          <w:p>
            <w:pPr>
              <w:widowControl/>
              <w:spacing w:line="360" w:lineRule="exact"/>
              <w:ind w:firstLine="0" w:firstLineChars="0"/>
              <w:rPr>
                <w:rFonts w:hint="eastAsia" w:ascii="宋体" w:hAnsi="宋体" w:cs="宋体"/>
                <w:kern w:val="0"/>
              </w:rPr>
            </w:pPr>
            <w:r>
              <w:rPr>
                <w:rFonts w:hint="eastAsia" w:ascii="宋体" w:hAnsi="宋体"/>
                <w:spacing w:val="-2"/>
                <w:kern w:val="16"/>
              </w:rPr>
              <w:t>青政采公招（货物）2022-029号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采购方式</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采购预算额度</w:t>
            </w:r>
          </w:p>
        </w:tc>
        <w:tc>
          <w:tcPr>
            <w:tcW w:w="7654" w:type="dxa"/>
            <w:vAlign w:val="center"/>
          </w:tcPr>
          <w:p>
            <w:pPr>
              <w:widowControl/>
              <w:spacing w:line="360" w:lineRule="exact"/>
              <w:ind w:firstLine="0" w:firstLineChars="0"/>
              <w:rPr>
                <w:rFonts w:hint="eastAsia" w:ascii="宋体" w:hAnsi="宋体" w:cs="宋体"/>
                <w:kern w:val="0"/>
              </w:rPr>
            </w:pPr>
            <w:r>
              <w:rPr>
                <w:rFonts w:hint="eastAsia" w:ascii="宋体" w:hAnsi="宋体" w:cs="宋体"/>
                <w:szCs w:val="21"/>
              </w:rPr>
              <w:t>716.03万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项目分包个数</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采购要求</w:t>
            </w:r>
          </w:p>
        </w:tc>
        <w:tc>
          <w:tcPr>
            <w:tcW w:w="7654" w:type="dxa"/>
          </w:tcPr>
          <w:p>
            <w:pPr>
              <w:pStyle w:val="435"/>
              <w:spacing w:before="156" w:after="156" w:line="36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供应商资格条件</w:t>
            </w:r>
          </w:p>
        </w:tc>
        <w:tc>
          <w:tcPr>
            <w:tcW w:w="7654" w:type="dxa"/>
            <w:vAlign w:val="center"/>
          </w:tcPr>
          <w:p>
            <w:pPr>
              <w:widowControl/>
              <w:spacing w:line="36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4、为本采购项目提供整体设计、规范编制或者项目管理、监理、检测等服务的供应商，不得再参加该采购项目的其他采购活动。</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5、本项目不接受供应商以联合体方式进行投标。</w:t>
            </w:r>
          </w:p>
          <w:p>
            <w:pPr>
              <w:widowControl/>
              <w:spacing w:line="360" w:lineRule="exact"/>
              <w:ind w:firstLine="0" w:firstLineChars="0"/>
              <w:jc w:val="left"/>
              <w:rPr>
                <w:rFonts w:ascii="宋体" w:hAnsi="宋体" w:cs="宋体"/>
                <w:kern w:val="0"/>
              </w:rPr>
            </w:pPr>
            <w:r>
              <w:rPr>
                <w:rFonts w:hint="eastAsia" w:ascii="宋体" w:hAnsi="宋体" w:cs="宋体"/>
                <w:kern w:val="0"/>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公告发布时间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4</w:t>
            </w:r>
            <w:r>
              <w:rPr>
                <w:rFonts w:ascii="宋体" w:hAnsi="宋体" w:cs="宋体"/>
                <w:kern w:val="0"/>
              </w:rPr>
              <w:t>月</w:t>
            </w:r>
            <w:r>
              <w:rPr>
                <w:rFonts w:hint="eastAsia" w:ascii="宋体" w:hAnsi="宋体" w:cs="宋体"/>
                <w:kern w:val="0"/>
                <w:lang w:val="en-US" w:eastAsia="zh-CN"/>
              </w:rPr>
              <w:t>2</w:t>
            </w:r>
            <w:r>
              <w:rPr>
                <w:rFonts w:ascii="宋体"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网上报名、获取招标文件时间、方式</w:t>
            </w:r>
          </w:p>
        </w:tc>
        <w:tc>
          <w:tcPr>
            <w:tcW w:w="7654" w:type="dxa"/>
          </w:tcPr>
          <w:p>
            <w:pPr>
              <w:widowControl/>
              <w:spacing w:line="360" w:lineRule="exact"/>
              <w:ind w:firstLine="0" w:firstLineChars="0"/>
              <w:jc w:val="left"/>
              <w:rPr>
                <w:rFonts w:ascii="宋体" w:hAnsi="宋体"/>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4</w:t>
            </w:r>
            <w:r>
              <w:rPr>
                <w:rFonts w:ascii="宋体" w:hAnsi="宋体" w:cs="宋体"/>
                <w:kern w:val="0"/>
              </w:rPr>
              <w:t>月</w:t>
            </w:r>
            <w:r>
              <w:rPr>
                <w:rFonts w:hint="eastAsia" w:ascii="宋体" w:hAnsi="宋体" w:cs="宋体"/>
                <w:kern w:val="0"/>
                <w:lang w:val="en-US" w:eastAsia="zh-CN"/>
              </w:rPr>
              <w:t>3</w:t>
            </w:r>
            <w:r>
              <w:rPr>
                <w:rFonts w:ascii="宋体" w:hAnsi="宋体" w:cs="宋体"/>
                <w:kern w:val="0"/>
              </w:rPr>
              <w:t>日</w:t>
            </w:r>
            <w:r>
              <w:rPr>
                <w:rFonts w:hint="eastAsia" w:ascii="宋体" w:hAnsi="宋体" w:cs="宋体"/>
                <w:kern w:val="0"/>
              </w:rPr>
              <w:t>起，</w:t>
            </w:r>
            <w:r>
              <w:rPr>
                <w:rFonts w:ascii="宋体" w:hAnsi="宋体" w:cs="宋体"/>
                <w:kern w:val="0"/>
              </w:rPr>
              <w:t>至20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4</w:t>
            </w:r>
            <w:r>
              <w:rPr>
                <w:rFonts w:ascii="宋体" w:hAnsi="宋体" w:cs="宋体"/>
                <w:kern w:val="0"/>
              </w:rPr>
              <w:t>月</w:t>
            </w:r>
            <w:r>
              <w:rPr>
                <w:rFonts w:hint="eastAsia" w:ascii="宋体" w:hAnsi="宋体" w:cs="宋体"/>
                <w:kern w:val="0"/>
                <w:lang w:val="en-US" w:eastAsia="zh-CN"/>
              </w:rPr>
              <w:t>12</w:t>
            </w:r>
            <w:r>
              <w:rPr>
                <w:rFonts w:ascii="宋体" w:hAnsi="宋体" w:cs="宋体"/>
                <w:kern w:val="0"/>
              </w:rPr>
              <w:t>日</w:t>
            </w:r>
            <w:r>
              <w:rPr>
                <w:rFonts w:hint="eastAsia" w:ascii="宋体" w:hAnsi="宋体" w:cs="宋体"/>
                <w:kern w:val="0"/>
              </w:rPr>
              <w:t>止；在青海省政府采购电子化平台上自行下载</w:t>
            </w:r>
            <w:r>
              <w:rPr>
                <w:rFonts w:hint="eastAsia" w:ascii="宋体" w:hAnsi="宋体"/>
              </w:rPr>
              <w:t>招标文件（下载的“招标文件”以澄清确定后的版本为准）。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restart"/>
            <w:vAlign w:val="center"/>
          </w:tcPr>
          <w:p>
            <w:pPr>
              <w:widowControl/>
              <w:spacing w:line="360" w:lineRule="exact"/>
              <w:ind w:firstLine="0" w:firstLineChars="0"/>
              <w:rPr>
                <w:rFonts w:ascii="宋体" w:hAnsi="宋体" w:cs="宋体"/>
              </w:rPr>
            </w:pPr>
            <w:r>
              <w:rPr>
                <w:rFonts w:hint="eastAsia" w:ascii="宋体" w:hAnsi="宋体" w:cs="宋体"/>
              </w:rPr>
              <w:t>投标保证金</w:t>
            </w:r>
          </w:p>
        </w:tc>
        <w:tc>
          <w:tcPr>
            <w:tcW w:w="7654" w:type="dxa"/>
          </w:tcPr>
          <w:p>
            <w:pPr>
              <w:widowControl/>
              <w:spacing w:line="360" w:lineRule="exact"/>
              <w:ind w:firstLine="0" w:firstLineChars="0"/>
              <w:jc w:val="left"/>
              <w:rPr>
                <w:rFonts w:ascii="宋体" w:hAnsi="宋体" w:cs="宋体"/>
              </w:rPr>
            </w:pPr>
            <w:r>
              <w:rPr>
                <w:rFonts w:hint="eastAsia" w:ascii="宋体" w:hAnsi="宋体"/>
              </w:rPr>
              <w:t>投标人在投标截止期前按采购预算额度的2%缴纳投标保证金。（具体数额以青海省政府采购电子化平台上确定的数额为准，缴纳投标保证金时需注明：</w:t>
            </w:r>
            <w:r>
              <w:rPr>
                <w:rFonts w:hint="eastAsia" w:ascii="宋体" w:hAnsi="宋体" w:cs="宋体"/>
                <w:kern w:val="0"/>
              </w:rPr>
              <w:t>青海省公安厅刑警总队电子物证实验室建设项目</w:t>
            </w:r>
            <w:r>
              <w:rPr>
                <w:rFonts w:hint="eastAsia" w:ascii="宋体" w:hAnsi="宋体"/>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27" w:type="dxa"/>
            <w:vMerge w:val="continue"/>
            <w:vAlign w:val="center"/>
          </w:tcPr>
          <w:p>
            <w:pPr>
              <w:widowControl/>
              <w:spacing w:line="360" w:lineRule="exact"/>
              <w:ind w:firstLine="0" w:firstLineChars="0"/>
              <w:rPr>
                <w:rFonts w:hint="eastAsia" w:ascii="宋体" w:hAnsi="宋体" w:cs="宋体"/>
              </w:rPr>
            </w:pPr>
          </w:p>
        </w:tc>
        <w:tc>
          <w:tcPr>
            <w:tcW w:w="7654" w:type="dxa"/>
          </w:tcPr>
          <w:p>
            <w:pPr>
              <w:widowControl/>
              <w:spacing w:line="360" w:lineRule="exact"/>
              <w:ind w:firstLine="0" w:firstLineChars="0"/>
              <w:jc w:val="left"/>
              <w:rPr>
                <w:rFonts w:hint="eastAsia" w:ascii="宋体" w:hAnsi="宋体"/>
              </w:rPr>
            </w:pPr>
            <w:r>
              <w:rPr>
                <w:rFonts w:hint="eastAsia" w:ascii="宋体" w:hAnsi="宋体"/>
              </w:rPr>
              <w:t>缴纳投标保证金账户：青海省政务服务监督管理局</w:t>
            </w:r>
          </w:p>
          <w:p>
            <w:pPr>
              <w:widowControl/>
              <w:spacing w:line="360" w:lineRule="exact"/>
              <w:ind w:firstLine="0" w:firstLineChars="0"/>
              <w:jc w:val="left"/>
              <w:rPr>
                <w:rFonts w:hint="eastAsia" w:ascii="宋体" w:hAnsi="宋体"/>
              </w:rPr>
            </w:pPr>
            <w:r>
              <w:rPr>
                <w:rFonts w:hint="eastAsia" w:ascii="宋体" w:hAnsi="宋体"/>
              </w:rPr>
              <w:t>账号：82010000000018913</w:t>
            </w:r>
          </w:p>
          <w:p>
            <w:pPr>
              <w:widowControl/>
              <w:spacing w:line="360" w:lineRule="exact"/>
              <w:ind w:firstLine="0" w:firstLineChars="0"/>
              <w:jc w:val="left"/>
              <w:rPr>
                <w:rFonts w:hint="eastAsia" w:ascii="宋体" w:hAnsi="宋体"/>
              </w:rPr>
            </w:pPr>
            <w:r>
              <w:rPr>
                <w:rFonts w:hint="eastAsia" w:ascii="宋体" w:hAnsi="宋体"/>
              </w:rPr>
              <w:t>联行号：402851020201</w:t>
            </w:r>
          </w:p>
          <w:p>
            <w:pPr>
              <w:widowControl/>
              <w:spacing w:line="360" w:lineRule="exact"/>
              <w:ind w:firstLine="0" w:firstLineChars="0"/>
              <w:jc w:val="left"/>
              <w:rPr>
                <w:rFonts w:hint="eastAsia" w:ascii="宋体" w:hAnsi="宋体"/>
              </w:rPr>
            </w:pPr>
            <w:r>
              <w:rPr>
                <w:rFonts w:hint="eastAsia" w:ascii="宋体" w:hAnsi="宋体"/>
              </w:rPr>
              <w:t>开户行：青海西宁农村商业银行股份有限公司西川南路支行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rPr>
              <w:t>提交投标文件及投标方式</w:t>
            </w:r>
          </w:p>
        </w:tc>
        <w:tc>
          <w:tcPr>
            <w:tcW w:w="7654" w:type="dxa"/>
          </w:tcPr>
          <w:p>
            <w:pPr>
              <w:widowControl/>
              <w:spacing w:line="360" w:lineRule="exact"/>
              <w:ind w:firstLine="0" w:firstLineChars="0"/>
              <w:jc w:val="left"/>
              <w:rPr>
                <w:rFonts w:ascii="宋体" w:hAnsi="宋体"/>
              </w:rPr>
            </w:pPr>
            <w:r>
              <w:rPr>
                <w:rFonts w:hint="eastAsia" w:ascii="宋体" w:hAnsi="宋体" w:cs="宋体"/>
                <w:kern w:val="0"/>
              </w:rPr>
              <w:t>本项目在青海省政府采购电子化平台上提交电子</w:t>
            </w:r>
            <w:r>
              <w:rPr>
                <w:rFonts w:ascii="宋体" w:hAnsi="宋体" w:cs="宋体"/>
                <w:kern w:val="0"/>
              </w:rPr>
              <w:t>投标</w:t>
            </w:r>
            <w:r>
              <w:rPr>
                <w:rFonts w:hint="eastAsia" w:ascii="宋体" w:hAnsi="宋体" w:cs="宋体"/>
                <w:kern w:val="0"/>
              </w:rPr>
              <w:t>文件，逾期未完成提交的，将视为放弃此次投标活动。不需提供纸质投标文件。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投标截止时间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4</w:t>
            </w:r>
            <w:r>
              <w:rPr>
                <w:rFonts w:ascii="宋体" w:hAnsi="宋体" w:cs="宋体"/>
                <w:kern w:val="0"/>
              </w:rPr>
              <w:t>月</w:t>
            </w:r>
            <w:r>
              <w:rPr>
                <w:rFonts w:hint="eastAsia" w:ascii="宋体" w:hAnsi="宋体" w:cs="宋体"/>
                <w:kern w:val="0"/>
                <w:lang w:val="en-US" w:eastAsia="zh-CN"/>
              </w:rPr>
              <w:t>26</w:t>
            </w:r>
            <w:r>
              <w:rPr>
                <w:rFonts w:ascii="宋体" w:hAnsi="宋体" w:cs="宋体"/>
                <w:kern w:val="0"/>
              </w:rPr>
              <w:t>日</w:t>
            </w:r>
            <w:r>
              <w:rPr>
                <w:rFonts w:hint="eastAsia" w:ascii="宋体" w:hAnsi="宋体" w:cs="宋体"/>
                <w:kern w:val="0"/>
              </w:rPr>
              <w:t>上午9</w:t>
            </w:r>
            <w:r>
              <w:rPr>
                <w:rFonts w:ascii="宋体" w:hAnsi="宋体" w:cs="宋体"/>
                <w:kern w:val="0"/>
              </w:rPr>
              <w:t>:</w:t>
            </w:r>
            <w:r>
              <w:rPr>
                <w:rFonts w:hint="eastAsia" w:ascii="宋体" w:hAnsi="宋体" w:cs="宋体"/>
                <w:kern w:val="0"/>
              </w:rPr>
              <w:t>0</w:t>
            </w:r>
            <w:r>
              <w:rPr>
                <w:rFonts w:ascii="宋体" w:hAnsi="宋体" w:cs="宋体"/>
                <w:kern w:val="0"/>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开标时间</w:t>
            </w:r>
          </w:p>
        </w:tc>
        <w:tc>
          <w:tcPr>
            <w:tcW w:w="7654" w:type="dxa"/>
            <w:vAlign w:val="center"/>
          </w:tcPr>
          <w:p>
            <w:pPr>
              <w:widowControl/>
              <w:spacing w:line="360" w:lineRule="exact"/>
              <w:ind w:firstLine="0" w:firstLineChars="0"/>
              <w:rPr>
                <w:rFonts w:ascii="宋体" w:hAnsi="宋体" w:cs="宋体"/>
                <w:kern w:val="0"/>
              </w:rPr>
            </w:pPr>
            <w:r>
              <w:rPr>
                <w:rFonts w:ascii="宋体" w:hAnsi="宋体" w:cs="宋体"/>
                <w:kern w:val="0"/>
              </w:rPr>
              <w:t>20</w:t>
            </w:r>
            <w:r>
              <w:rPr>
                <w:rFonts w:hint="eastAsia" w:ascii="宋体" w:hAnsi="宋体" w:cs="宋体"/>
                <w:kern w:val="0"/>
              </w:rPr>
              <w:t>22</w:t>
            </w:r>
            <w:r>
              <w:rPr>
                <w:rFonts w:ascii="宋体" w:hAnsi="宋体" w:cs="宋体"/>
                <w:kern w:val="0"/>
              </w:rPr>
              <w:t>年</w:t>
            </w:r>
            <w:r>
              <w:rPr>
                <w:rFonts w:hint="eastAsia" w:ascii="宋体" w:hAnsi="宋体" w:cs="宋体"/>
                <w:kern w:val="0"/>
                <w:lang w:val="en-US" w:eastAsia="zh-CN"/>
              </w:rPr>
              <w:t>4</w:t>
            </w:r>
            <w:r>
              <w:rPr>
                <w:rFonts w:ascii="宋体" w:hAnsi="宋体" w:cs="宋体"/>
                <w:kern w:val="0"/>
              </w:rPr>
              <w:t>月</w:t>
            </w:r>
            <w:r>
              <w:rPr>
                <w:rFonts w:hint="eastAsia" w:ascii="宋体" w:hAnsi="宋体" w:cs="宋体"/>
                <w:kern w:val="0"/>
                <w:lang w:val="en-US" w:eastAsia="zh-CN"/>
              </w:rPr>
              <w:t>26</w:t>
            </w:r>
            <w:r>
              <w:rPr>
                <w:rFonts w:ascii="宋体" w:hAnsi="宋体" w:cs="宋体"/>
                <w:kern w:val="0"/>
              </w:rPr>
              <w:t>日</w:t>
            </w:r>
            <w:r>
              <w:rPr>
                <w:rFonts w:hint="eastAsia" w:ascii="宋体" w:hAnsi="宋体" w:cs="宋体"/>
                <w:kern w:val="0"/>
              </w:rPr>
              <w:t>上午9</w:t>
            </w:r>
            <w:r>
              <w:rPr>
                <w:rFonts w:ascii="宋体" w:hAnsi="宋体" w:cs="宋体"/>
                <w:kern w:val="0"/>
              </w:rPr>
              <w:t>:</w:t>
            </w:r>
            <w:r>
              <w:rPr>
                <w:rFonts w:hint="eastAsia" w:ascii="宋体" w:hAnsi="宋体" w:cs="宋体"/>
                <w:kern w:val="0"/>
              </w:rPr>
              <w:t>0</w:t>
            </w:r>
            <w:r>
              <w:rPr>
                <w:rFonts w:ascii="宋体" w:hAnsi="宋体" w:cs="宋体"/>
                <w:kern w:val="0"/>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开标地点</w:t>
            </w:r>
          </w:p>
        </w:tc>
        <w:tc>
          <w:tcPr>
            <w:tcW w:w="7654" w:type="dxa"/>
          </w:tcPr>
          <w:p>
            <w:pPr>
              <w:widowControl/>
              <w:spacing w:line="360" w:lineRule="exact"/>
              <w:ind w:firstLine="0" w:firstLineChars="0"/>
              <w:jc w:val="left"/>
              <w:rPr>
                <w:rFonts w:ascii="宋体" w:hAnsi="宋体" w:cs="宋体"/>
                <w:kern w:val="0"/>
              </w:rPr>
            </w:pPr>
            <w:r>
              <w:rPr>
                <w:rFonts w:hint="eastAsia" w:ascii="宋体" w:hAnsi="宋体" w:cs="宋体"/>
                <w:kern w:val="0"/>
              </w:rPr>
              <w:t>青海省政府采购中心开标室（海湖新区海晏路75号地矿综合写字楼15楼）。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2127" w:type="dxa"/>
            <w:vAlign w:val="center"/>
          </w:tcPr>
          <w:p>
            <w:pPr>
              <w:widowControl/>
              <w:spacing w:line="360" w:lineRule="exact"/>
              <w:ind w:firstLine="0" w:firstLineChars="0"/>
              <w:rPr>
                <w:rFonts w:ascii="宋体" w:hAnsi="宋体"/>
                <w:szCs w:val="20"/>
              </w:rPr>
            </w:pPr>
            <w:r>
              <w:rPr>
                <w:rFonts w:hint="eastAsia" w:ascii="宋体" w:hAnsi="宋体"/>
              </w:rPr>
              <w:t>投标文件格式及编制要求</w:t>
            </w:r>
          </w:p>
        </w:tc>
        <w:tc>
          <w:tcPr>
            <w:tcW w:w="7654" w:type="dxa"/>
          </w:tcPr>
          <w:p>
            <w:pPr>
              <w:widowControl/>
              <w:spacing w:line="360" w:lineRule="exact"/>
              <w:ind w:firstLine="0" w:firstLineChars="0"/>
              <w:jc w:val="left"/>
              <w:rPr>
                <w:rFonts w:hint="eastAsia"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pPr>
              <w:widowControl/>
              <w:spacing w:line="360" w:lineRule="exact"/>
              <w:ind w:firstLine="0" w:firstLineChars="0"/>
              <w:jc w:val="left"/>
              <w:rPr>
                <w:rFonts w:hint="eastAsia" w:ascii="宋体" w:hAnsi="宋体" w:cs="宋体"/>
              </w:rPr>
            </w:pPr>
            <w:r>
              <w:rPr>
                <w:rFonts w:hint="eastAsia" w:ascii="宋体" w:hAnsi="宋体" w:cs="宋体"/>
              </w:rPr>
              <w:t>2、投标文件中的扫描或复印件内容应清晰可辨，且要求正向放置。</w:t>
            </w:r>
          </w:p>
          <w:p>
            <w:pPr>
              <w:widowControl/>
              <w:spacing w:line="360" w:lineRule="exact"/>
              <w:ind w:firstLine="0" w:firstLineChars="0"/>
              <w:jc w:val="left"/>
              <w:rPr>
                <w:rFonts w:hint="eastAsia" w:ascii="宋体" w:hAnsi="宋体" w:cs="宋体"/>
              </w:rPr>
            </w:pPr>
            <w:r>
              <w:rPr>
                <w:rFonts w:hint="eastAsia" w:ascii="宋体" w:hAnsi="宋体" w:cs="宋体"/>
              </w:rPr>
              <w:t>3、</w:t>
            </w:r>
            <w:r>
              <w:rPr>
                <w:rFonts w:hint="eastAsia" w:ascii="宋体" w:hAnsi="宋体"/>
              </w:rPr>
              <w:t>招标文件要求签字、盖章的地方必须由投标人的法定代表人或委托代理人按要求签字、盖章。</w:t>
            </w:r>
          </w:p>
          <w:p>
            <w:pPr>
              <w:widowControl/>
              <w:spacing w:line="360" w:lineRule="exact"/>
              <w:ind w:firstLine="0" w:firstLineChars="0"/>
              <w:jc w:val="left"/>
              <w:rPr>
                <w:rFonts w:hint="eastAsia" w:ascii="宋体" w:hAnsi="宋体" w:cs="宋体"/>
              </w:rPr>
            </w:pPr>
            <w:r>
              <w:rPr>
                <w:rFonts w:hint="eastAsia" w:ascii="宋体" w:hAnsi="宋体" w:cs="宋体"/>
              </w:rPr>
              <w:t>4、上传的投标文件不得超过100M。</w:t>
            </w:r>
          </w:p>
          <w:p>
            <w:pPr>
              <w:widowControl/>
              <w:spacing w:line="360" w:lineRule="exact"/>
              <w:ind w:firstLine="0" w:firstLineChars="0"/>
              <w:jc w:val="left"/>
              <w:rPr>
                <w:rFonts w:ascii="宋体" w:hAnsi="宋体"/>
              </w:rPr>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2127" w:type="dxa"/>
            <w:vAlign w:val="center"/>
          </w:tcPr>
          <w:p>
            <w:pPr>
              <w:widowControl/>
              <w:spacing w:line="360" w:lineRule="exact"/>
              <w:ind w:firstLine="0" w:firstLineChars="0"/>
              <w:rPr>
                <w:rFonts w:hint="eastAsia" w:ascii="宋体" w:hAnsi="宋体"/>
              </w:rPr>
            </w:pPr>
            <w:r>
              <w:rPr>
                <w:rFonts w:hint="eastAsia" w:ascii="宋体" w:hAnsi="宋体"/>
              </w:rPr>
              <w:t>投标文件编制要求</w:t>
            </w:r>
          </w:p>
        </w:tc>
        <w:tc>
          <w:tcPr>
            <w:tcW w:w="7654" w:type="dxa"/>
          </w:tcPr>
          <w:p>
            <w:pPr>
              <w:widowControl/>
              <w:spacing w:line="360" w:lineRule="exact"/>
              <w:ind w:firstLine="0" w:firstLineChars="0"/>
              <w:jc w:val="left"/>
              <w:rPr>
                <w:rFonts w:hint="eastAsia" w:ascii="宋体" w:hAnsi="宋体" w:cs="宋体"/>
              </w:rPr>
            </w:pPr>
            <w:r>
              <w:rPr>
                <w:rFonts w:hint="eastAsia" w:ascii="宋体" w:hAnsi="宋体" w:cs="宋体"/>
              </w:rPr>
              <w:t>按照投标人须知11.1项规定的投标文件构成及格式，投标文件按以下要求分两部分编制。分别为：</w:t>
            </w:r>
          </w:p>
          <w:p>
            <w:pPr>
              <w:widowControl/>
              <w:spacing w:line="360" w:lineRule="exact"/>
              <w:ind w:firstLine="0" w:firstLineChars="0"/>
              <w:jc w:val="left"/>
              <w:rPr>
                <w:rFonts w:hint="eastAsia" w:ascii="宋体" w:hAnsi="宋体" w:cs="宋体"/>
              </w:rPr>
            </w:pPr>
            <w:r>
              <w:rPr>
                <w:rFonts w:hint="eastAsia" w:ascii="宋体" w:hAnsi="宋体" w:cs="宋体"/>
              </w:rPr>
              <w:t>资格审查部分，包括11.1.1（1）至（9）的内容；</w:t>
            </w:r>
          </w:p>
          <w:p>
            <w:pPr>
              <w:widowControl/>
              <w:spacing w:line="360" w:lineRule="exact"/>
              <w:ind w:firstLine="0" w:firstLineChars="0"/>
              <w:jc w:val="left"/>
              <w:rPr>
                <w:rFonts w:hint="eastAsia" w:ascii="宋体" w:hAnsi="宋体" w:cs="宋体"/>
              </w:rPr>
            </w:pPr>
            <w:r>
              <w:rPr>
                <w:rFonts w:hint="eastAsia" w:ascii="宋体" w:hAnsi="宋体" w:cs="宋体"/>
              </w:rPr>
              <w:t>符合性审查部分，包括11.1.2（10）至（19）的内容；</w:t>
            </w:r>
          </w:p>
          <w:p>
            <w:pPr>
              <w:widowControl/>
              <w:spacing w:line="360" w:lineRule="exact"/>
              <w:ind w:firstLine="0" w:firstLineChars="0"/>
              <w:jc w:val="left"/>
              <w:rPr>
                <w:rFonts w:hint="eastAsia" w:ascii="宋体" w:hAnsi="宋体" w:cs="宋体"/>
              </w:rPr>
            </w:pPr>
            <w:r>
              <w:rPr>
                <w:rFonts w:hint="eastAsia" w:ascii="宋体" w:hAnsi="宋体" w:cs="宋体"/>
              </w:rPr>
              <w:t>以上两部分投标文件建立在一个文件中，文件名设定为“***投标单位***项目投标文件”，与数据文件一并上传至青海省政府采购电子化平台上。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27" w:type="dxa"/>
            <w:vAlign w:val="center"/>
          </w:tcPr>
          <w:p>
            <w:pPr>
              <w:widowControl/>
              <w:spacing w:line="360" w:lineRule="exact"/>
              <w:ind w:firstLine="0" w:firstLineChars="0"/>
              <w:rPr>
                <w:rFonts w:ascii="宋体" w:hAnsi="宋体"/>
                <w:szCs w:val="20"/>
              </w:rPr>
            </w:pPr>
            <w:r>
              <w:rPr>
                <w:rFonts w:hint="eastAsia" w:ascii="宋体" w:hAnsi="宋体"/>
              </w:rPr>
              <w:t>答疑方式</w:t>
            </w:r>
          </w:p>
        </w:tc>
        <w:tc>
          <w:tcPr>
            <w:tcW w:w="7654" w:type="dxa"/>
          </w:tcPr>
          <w:p>
            <w:pPr>
              <w:widowControl/>
              <w:spacing w:line="360" w:lineRule="exact"/>
              <w:ind w:firstLine="0" w:firstLineChars="0"/>
              <w:jc w:val="left"/>
              <w:rPr>
                <w:rFonts w:ascii="宋体" w:hAnsi="宋体" w:cs="宋体"/>
              </w:rPr>
            </w:pPr>
            <w:r>
              <w:rPr>
                <w:rFonts w:hint="eastAsia" w:ascii="宋体" w:hAnsi="宋体"/>
              </w:rPr>
              <w:t>评标委员会根据投标情况确定答疑时间，答疑或澄清采用电话或在青海省政府采购电子化平台上进行，投标人可在青海省政府采购电子化平台上的“我的澄清”界面了解答疑时间等信息。投标人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rPr>
              <w:t>青海省政府采购电子化平台上</w:t>
            </w:r>
            <w:r>
              <w:rPr>
                <w:rFonts w:hint="eastAsia" w:ascii="宋体" w:hAnsi="宋体" w:cs="宋体"/>
                <w:lang w:val="zh-CN"/>
              </w:rPr>
              <w:t>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jc w:val="left"/>
              <w:rPr>
                <w:rFonts w:ascii="宋体" w:hAnsi="宋体" w:cs="宋体"/>
                <w:kern w:val="0"/>
              </w:rPr>
            </w:pPr>
            <w:r>
              <w:rPr>
                <w:rFonts w:ascii="宋体" w:hAnsi="宋体" w:cs="宋体"/>
                <w:kern w:val="0"/>
              </w:rPr>
              <w:t>采购单位及联系人</w:t>
            </w:r>
          </w:p>
        </w:tc>
        <w:tc>
          <w:tcPr>
            <w:tcW w:w="7654" w:type="dxa"/>
          </w:tcPr>
          <w:p>
            <w:pPr>
              <w:widowControl/>
              <w:spacing w:line="360" w:lineRule="exact"/>
              <w:ind w:firstLine="0" w:firstLineChars="0"/>
              <w:jc w:val="left"/>
              <w:rPr>
                <w:rFonts w:hint="eastAsia" w:ascii="宋体" w:hAnsi="宋体" w:cs="宋体"/>
                <w:kern w:val="0"/>
              </w:rPr>
            </w:pPr>
            <w:r>
              <w:rPr>
                <w:rFonts w:hint="eastAsia" w:ascii="宋体" w:hAnsi="宋体" w:cs="宋体"/>
                <w:kern w:val="0"/>
              </w:rPr>
              <w:t>采购单位：青海省公安厅</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 xml:space="preserve">联系人：马先生        </w:t>
            </w:r>
          </w:p>
          <w:p>
            <w:pPr>
              <w:widowControl/>
              <w:spacing w:line="360" w:lineRule="exact"/>
              <w:ind w:firstLine="0" w:firstLineChars="0"/>
              <w:jc w:val="left"/>
              <w:rPr>
                <w:rFonts w:ascii="宋体" w:hAnsi="宋体" w:cs="宋体"/>
                <w:kern w:val="0"/>
              </w:rPr>
            </w:pPr>
            <w:r>
              <w:rPr>
                <w:rFonts w:hint="eastAsia" w:ascii="宋体" w:hAnsi="宋体" w:cs="宋体"/>
                <w:kern w:val="0"/>
              </w:rPr>
              <w:t>联系电话：0971-8293143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集中</w:t>
            </w:r>
            <w:r>
              <w:rPr>
                <w:rFonts w:ascii="宋体" w:hAnsi="宋体" w:cs="宋体"/>
                <w:kern w:val="0"/>
              </w:rPr>
              <w:t>采购机构及联系人</w:t>
            </w:r>
          </w:p>
        </w:tc>
        <w:tc>
          <w:tcPr>
            <w:tcW w:w="7654" w:type="dxa"/>
          </w:tcPr>
          <w:p>
            <w:pPr>
              <w:widowControl/>
              <w:spacing w:line="360" w:lineRule="exact"/>
              <w:ind w:firstLine="0" w:firstLineChars="0"/>
              <w:jc w:val="left"/>
              <w:rPr>
                <w:rFonts w:ascii="宋体" w:hAnsi="宋体"/>
              </w:rPr>
            </w:pPr>
            <w:r>
              <w:rPr>
                <w:rFonts w:hint="eastAsia" w:ascii="宋体" w:hAnsi="宋体" w:cs="宋体"/>
                <w:kern w:val="0"/>
              </w:rPr>
              <w:t>集中</w:t>
            </w:r>
            <w:r>
              <w:rPr>
                <w:rFonts w:ascii="宋体" w:hAnsi="宋体" w:cs="宋体"/>
                <w:kern w:val="0"/>
              </w:rPr>
              <w:t>采购机构：</w:t>
            </w:r>
            <w:r>
              <w:rPr>
                <w:rFonts w:hint="eastAsia" w:ascii="宋体" w:hAnsi="宋体"/>
              </w:rPr>
              <w:t>青海省政府采购中心</w:t>
            </w:r>
          </w:p>
          <w:p>
            <w:pPr>
              <w:widowControl/>
              <w:spacing w:line="360" w:lineRule="exact"/>
              <w:ind w:firstLine="0" w:firstLineChars="0"/>
              <w:jc w:val="left"/>
              <w:rPr>
                <w:rFonts w:ascii="宋体" w:hAnsi="宋体" w:cs="宋体"/>
                <w:kern w:val="0"/>
              </w:rPr>
            </w:pPr>
            <w:r>
              <w:rPr>
                <w:rFonts w:ascii="宋体" w:hAnsi="宋体" w:cs="宋体"/>
                <w:kern w:val="0"/>
              </w:rPr>
              <w:t>联系人：</w:t>
            </w:r>
            <w:r>
              <w:rPr>
                <w:rFonts w:hint="eastAsia" w:ascii="宋体" w:hAnsi="宋体" w:cs="宋体"/>
                <w:kern w:val="0"/>
              </w:rPr>
              <w:t>李女士</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联系电话：0971-6136730</w:t>
            </w:r>
          </w:p>
          <w:p>
            <w:pPr>
              <w:widowControl/>
              <w:spacing w:line="360" w:lineRule="exact"/>
              <w:ind w:firstLine="0" w:firstLineChars="0"/>
              <w:jc w:val="left"/>
              <w:rPr>
                <w:rFonts w:ascii="宋体" w:hAnsi="宋体"/>
                <w:kern w:val="16"/>
              </w:rPr>
            </w:pPr>
            <w:r>
              <w:rPr>
                <w:rFonts w:hint="eastAsia" w:ascii="宋体" w:hAnsi="宋体"/>
                <w:kern w:val="16"/>
              </w:rPr>
              <w:t>网址：www.ccgp-qinghai.gov.cn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其他事项</w:t>
            </w:r>
          </w:p>
        </w:tc>
        <w:tc>
          <w:tcPr>
            <w:tcW w:w="7654" w:type="dxa"/>
          </w:tcPr>
          <w:p>
            <w:pPr>
              <w:widowControl/>
              <w:spacing w:line="360" w:lineRule="exact"/>
              <w:ind w:firstLine="0" w:firstLineChars="0"/>
              <w:jc w:val="left"/>
              <w:rPr>
                <w:rFonts w:hint="eastAsia" w:ascii="宋体" w:hAnsi="宋体" w:cs="宋体"/>
                <w:kern w:val="0"/>
              </w:rPr>
            </w:pPr>
            <w:r>
              <w:rPr>
                <w:rFonts w:hint="eastAsia" w:ascii="宋体" w:hAnsi="宋体" w:cs="宋体"/>
                <w:kern w:val="0"/>
              </w:rPr>
              <w:t>参与本项目的投标人需办理青海省政府采购电子化平台投标的相关手续，具体请点击青海政府采购信息网</w:t>
            </w:r>
            <w:r>
              <w:fldChar w:fldCharType="begin"/>
            </w:r>
            <w:r>
              <w:instrText xml:space="preserve"> HYPERLINK "file:///C:\\Users\\lenovo\\AppData\\Roaming\\Application%20Data\\Microsoft\\Word\\中标通知书申请单.xls" </w:instrText>
            </w:r>
            <w:r>
              <w:fldChar w:fldCharType="separate"/>
            </w:r>
            <w:r>
              <w:rPr>
                <w:rFonts w:hint="eastAsia" w:ascii="Tahoma" w:hAnsi="Tahoma"/>
                <w:szCs w:val="20"/>
              </w:rPr>
              <w:t>《通知》</w:t>
            </w:r>
            <w:r>
              <w:rPr>
                <w:rFonts w:hint="eastAsia" w:ascii="Tahoma" w:hAnsi="Tahoma"/>
                <w:szCs w:val="20"/>
              </w:rPr>
              <w:fldChar w:fldCharType="end"/>
            </w:r>
            <w:r>
              <w:rPr>
                <w:rFonts w:hint="eastAsia" w:ascii="宋体" w:hAnsi="宋体" w:cs="宋体"/>
                <w:kern w:val="0"/>
              </w:rPr>
              <w:t>，并与青海省政府采购电子化平台的技术支持单位——青海公采数通信息技术有限公司联系。</w:t>
            </w:r>
          </w:p>
          <w:p>
            <w:pPr>
              <w:widowControl/>
              <w:spacing w:line="360" w:lineRule="exact"/>
              <w:ind w:firstLine="0" w:firstLineChars="0"/>
              <w:jc w:val="left"/>
              <w:rPr>
                <w:rFonts w:ascii="宋体" w:hAnsi="宋体" w:cs="宋体"/>
                <w:kern w:val="0"/>
              </w:rPr>
            </w:pPr>
            <w:r>
              <w:rPr>
                <w:rFonts w:hint="eastAsia" w:ascii="宋体" w:hAnsi="宋体" w:cs="宋体"/>
                <w:kern w:val="0"/>
              </w:rPr>
              <w:t>联系地址：青海省西宁市生物园区经四路26号孵化楼3楼。</w:t>
            </w:r>
          </w:p>
          <w:p>
            <w:pPr>
              <w:widowControl/>
              <w:spacing w:line="360" w:lineRule="exact"/>
              <w:ind w:firstLine="0" w:firstLineChars="0"/>
              <w:jc w:val="left"/>
              <w:rPr>
                <w:rFonts w:hint="eastAsia" w:ascii="宋体" w:hAnsi="宋体" w:cs="宋体"/>
                <w:kern w:val="0"/>
              </w:rPr>
            </w:pPr>
            <w:r>
              <w:rPr>
                <w:rFonts w:hint="eastAsia" w:ascii="宋体" w:hAnsi="宋体" w:cs="宋体"/>
                <w:kern w:val="0"/>
              </w:rPr>
              <w:t xml:space="preserve">联系人：王女士     </w:t>
            </w:r>
          </w:p>
          <w:p>
            <w:pPr>
              <w:widowControl/>
              <w:spacing w:line="360" w:lineRule="exact"/>
              <w:ind w:firstLine="0" w:firstLineChars="0"/>
              <w:jc w:val="left"/>
              <w:rPr>
                <w:rFonts w:ascii="宋体" w:hAnsi="宋体" w:cs="宋体"/>
                <w:kern w:val="0"/>
              </w:rPr>
            </w:pPr>
            <w:r>
              <w:rPr>
                <w:rFonts w:hint="eastAsia" w:ascii="宋体" w:hAnsi="宋体" w:cs="宋体"/>
                <w:kern w:val="0"/>
              </w:rPr>
              <w:t>联系电话：0971-8224398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widowControl/>
              <w:spacing w:line="36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654" w:type="dxa"/>
            <w:vAlign w:val="center"/>
          </w:tcPr>
          <w:p>
            <w:pPr>
              <w:widowControl/>
              <w:spacing w:line="360" w:lineRule="exact"/>
              <w:ind w:firstLine="0" w:firstLineChars="0"/>
              <w:rPr>
                <w:rFonts w:ascii="宋体" w:hAnsi="宋体" w:cs="宋体"/>
                <w:kern w:val="0"/>
              </w:rPr>
            </w:pPr>
            <w:r>
              <w:rPr>
                <w:rFonts w:hint="eastAsia" w:ascii="宋体" w:hAnsi="宋体" w:cs="宋体"/>
                <w:kern w:val="0"/>
              </w:rPr>
              <w:t>青海省财政厅   联系电话：</w:t>
            </w:r>
            <w:r>
              <w:rPr>
                <w:rFonts w:ascii="宋体" w:hAnsi="宋体" w:cs="宋体"/>
                <w:kern w:val="0"/>
              </w:rPr>
              <w:t>0971-</w:t>
            </w:r>
            <w:r>
              <w:rPr>
                <w:rFonts w:hint="eastAsia" w:ascii="宋体" w:hAnsi="宋体" w:cs="宋体"/>
                <w:kern w:val="0"/>
              </w:rPr>
              <w:t>3660354</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82441579"/>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82441580"/>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82441581"/>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color w:val="000000"/>
        </w:rPr>
      </w:pPr>
      <w:r>
        <w:rPr>
          <w:rFonts w:hint="eastAsia" w:ascii="宋体" w:hAnsi="宋体"/>
          <w:color w:val="000000"/>
        </w:rPr>
        <w:t>1.1本次招标依据青海省财政厅下达的采购计划，仅适用于本招标文件中所叙述的项目。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82441582"/>
      <w:r>
        <w:rPr>
          <w:rFonts w:hint="eastAsia" w:ascii="宋体" w:hAnsi="宋体"/>
          <w:b/>
          <w:bCs/>
          <w:kern w:val="0"/>
          <w:sz w:val="27"/>
          <w:szCs w:val="27"/>
        </w:rPr>
        <w:t>2.招标方式、合格的投标人</w:t>
      </w:r>
      <w:bookmarkEnd w:id="10"/>
      <w:bookmarkEnd w:id="11"/>
      <w:bookmarkEnd w:id="12"/>
    </w:p>
    <w:p>
      <w:pPr>
        <w:tabs>
          <w:tab w:val="left" w:pos="840"/>
        </w:tabs>
        <w:ind w:firstLine="360"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60"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376936731"/>
      <w:bookmarkStart w:id="15" w:name="_Toc82441583"/>
      <w:r>
        <w:rPr>
          <w:rFonts w:hint="eastAsia" w:ascii="宋体" w:hAnsi="宋体"/>
          <w:b/>
          <w:bCs/>
          <w:kern w:val="0"/>
          <w:sz w:val="27"/>
          <w:szCs w:val="27"/>
        </w:rPr>
        <w:t>3.投标费用</w:t>
      </w:r>
      <w:bookmarkEnd w:id="13"/>
      <w:bookmarkEnd w:id="14"/>
      <w:bookmarkEnd w:id="15"/>
    </w:p>
    <w:p>
      <w:pPr>
        <w:tabs>
          <w:tab w:val="left" w:pos="840"/>
        </w:tabs>
        <w:ind w:firstLine="360"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82441584"/>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82441585"/>
      <w:bookmarkStart w:id="20" w:name="_Toc325726002"/>
      <w:bookmarkStart w:id="21" w:name="_Toc376936733"/>
      <w:r>
        <w:rPr>
          <w:rFonts w:hint="eastAsia" w:ascii="宋体" w:hAnsi="宋体"/>
          <w:b/>
          <w:bCs/>
          <w:kern w:val="0"/>
          <w:sz w:val="27"/>
          <w:szCs w:val="27"/>
        </w:rPr>
        <w:t>4.招标文件的构成</w:t>
      </w:r>
      <w:bookmarkEnd w:id="19"/>
      <w:bookmarkEnd w:id="20"/>
      <w:bookmarkEnd w:id="21"/>
    </w:p>
    <w:p>
      <w:pPr>
        <w:ind w:firstLine="480"/>
        <w:rPr>
          <w:rFonts w:hint="eastAsia" w:ascii="宋体" w:hAnsi="宋体"/>
        </w:rPr>
      </w:pPr>
      <w:r>
        <w:rPr>
          <w:rFonts w:hint="eastAsia" w:ascii="宋体" w:hAnsi="宋体"/>
        </w:rPr>
        <w:t>招标文件压缩包电子版文件格式由本文件（word格式）和数据文件（excel格式）构成。</w:t>
      </w:r>
    </w:p>
    <w:p>
      <w:pPr>
        <w:ind w:firstLine="480"/>
        <w:rPr>
          <w:rFonts w:hint="eastAsia" w:ascii="宋体" w:hAnsi="宋体"/>
        </w:rPr>
      </w:pPr>
      <w:r>
        <w:rPr>
          <w:rFonts w:hint="eastAsia" w:ascii="宋体" w:hAnsi="宋体"/>
        </w:rPr>
        <w:t>4.1招标文件包括：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pStyle w:val="32"/>
        <w:adjustRightInd w:val="0"/>
        <w:ind w:firstLine="600" w:firstLineChars="25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82441586"/>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82441587"/>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82441588"/>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82441589"/>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82441590"/>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376936743"/>
      <w:bookmarkStart w:id="39" w:name="_Toc82441591"/>
      <w:r>
        <w:rPr>
          <w:rFonts w:hint="eastAsia" w:ascii="宋体" w:hAnsi="宋体"/>
          <w:b/>
          <w:bCs/>
          <w:kern w:val="0"/>
          <w:sz w:val="27"/>
          <w:szCs w:val="27"/>
        </w:rPr>
        <w:t>9.投标保证金</w:t>
      </w:r>
      <w:bookmarkEnd w:id="37"/>
      <w:bookmarkEnd w:id="38"/>
      <w:bookmarkEnd w:id="39"/>
    </w:p>
    <w:p>
      <w:pPr>
        <w:autoSpaceDE w:val="0"/>
        <w:autoSpaceDN w:val="0"/>
        <w:adjustRightInd w:val="0"/>
        <w:ind w:firstLine="530" w:firstLineChars="221"/>
        <w:rPr>
          <w:rFonts w:hint="eastAsia" w:ascii="宋体" w:hAnsi="宋体" w:cs="宋体"/>
          <w:lang w:val="zh-CN"/>
        </w:rPr>
      </w:pPr>
      <w:r>
        <w:rPr>
          <w:rFonts w:hint="eastAsia" w:ascii="宋体" w:hAnsi="宋体" w:cs="宋体"/>
          <w:lang w:val="zh-CN"/>
        </w:rPr>
        <w:t>投标人须在投标截止期前按采购预算额度的2%缴纳投标保证金（具体数额以青海省政府采购电子化平台上确定的数额为准</w:t>
      </w:r>
      <w:r>
        <w:rPr>
          <w:rFonts w:hint="eastAsia" w:ascii="宋体" w:hAnsi="宋体"/>
        </w:rPr>
        <w:t>，缴纳投标保证金时需注明：</w:t>
      </w:r>
      <w:r>
        <w:rPr>
          <w:rFonts w:hint="eastAsia" w:ascii="宋体" w:hAnsi="宋体" w:cs="宋体"/>
          <w:kern w:val="0"/>
        </w:rPr>
        <w:t>青海省公安厅刑警总队电子物证实验室建设项目</w:t>
      </w:r>
      <w:r>
        <w:rPr>
          <w:rFonts w:hint="eastAsia" w:ascii="宋体" w:hAnsi="宋体"/>
        </w:rPr>
        <w:t>投标保证金</w:t>
      </w:r>
      <w:r>
        <w:rPr>
          <w:rFonts w:hint="eastAsia" w:ascii="宋体" w:hAnsi="宋体" w:cs="宋体"/>
          <w:lang w:val="zh-CN"/>
        </w:rPr>
        <w:t>）。本次采购活动中未中标且投标人未发生违规行为的，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中标供应商的</w:t>
      </w:r>
      <w:r>
        <w:rPr>
          <w:rFonts w:hint="eastAsia" w:ascii="宋体" w:hAnsi="宋体" w:cs="宋体"/>
          <w:lang w:val="zh-CN"/>
        </w:rPr>
        <w:t>投标保证金自采购合同签订后</w:t>
      </w:r>
      <w:r>
        <w:rPr>
          <w:rFonts w:hint="eastAsia" w:ascii="宋体" w:hAnsi="宋体"/>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376936744"/>
      <w:bookmarkStart w:id="42" w:name="_Toc82441592"/>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376936739"/>
      <w:bookmarkStart w:id="45" w:name="_Toc82441593"/>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422" w:firstLineChars="176"/>
        <w:rPr>
          <w:rFonts w:hint="eastAsia" w:ascii="宋体" w:hAnsi="宋体"/>
        </w:rPr>
      </w:pPr>
      <w:r>
        <w:rPr>
          <w:rFonts w:hint="eastAsia" w:ascii="宋体" w:hAnsi="宋体"/>
        </w:rPr>
        <w:t>11.1.1资格审查部分</w:t>
      </w:r>
    </w:p>
    <w:p>
      <w:pPr>
        <w:ind w:left="2" w:firstLine="422" w:firstLineChars="176"/>
        <w:rPr>
          <w:rFonts w:hint="eastAsia" w:ascii="宋体" w:hAnsi="宋体"/>
        </w:rPr>
      </w:pPr>
      <w:r>
        <w:rPr>
          <w:rFonts w:hint="eastAsia" w:ascii="宋体" w:hAnsi="宋体"/>
        </w:rPr>
        <w:t>（1）投标函</w:t>
      </w:r>
    </w:p>
    <w:p>
      <w:pPr>
        <w:ind w:left="2" w:firstLine="422" w:firstLineChars="176"/>
        <w:rPr>
          <w:rFonts w:hint="eastAsia" w:ascii="宋体" w:hAnsi="宋体"/>
        </w:rPr>
      </w:pPr>
      <w:r>
        <w:rPr>
          <w:rFonts w:hint="eastAsia" w:ascii="宋体" w:hAnsi="宋体"/>
        </w:rPr>
        <w:t>（2）法定代表人证明书</w:t>
      </w:r>
    </w:p>
    <w:p>
      <w:pPr>
        <w:ind w:left="2" w:firstLine="422" w:firstLineChars="176"/>
        <w:rPr>
          <w:rFonts w:hint="eastAsia" w:ascii="宋体" w:hAnsi="宋体"/>
        </w:rPr>
      </w:pPr>
      <w:r>
        <w:rPr>
          <w:rFonts w:hint="eastAsia" w:ascii="宋体" w:hAnsi="宋体"/>
        </w:rPr>
        <w:t>（3）法定代表人授权书</w:t>
      </w:r>
    </w:p>
    <w:p>
      <w:pPr>
        <w:ind w:left="2" w:firstLine="422" w:firstLineChars="176"/>
        <w:rPr>
          <w:rFonts w:hint="eastAsia" w:ascii="宋体" w:hAnsi="宋体"/>
        </w:rPr>
      </w:pPr>
      <w:r>
        <w:rPr>
          <w:rFonts w:hint="eastAsia" w:ascii="宋体" w:hAnsi="宋体"/>
        </w:rPr>
        <w:t>（4）投标人承诺函</w:t>
      </w:r>
    </w:p>
    <w:p>
      <w:pPr>
        <w:ind w:left="2" w:firstLine="422" w:firstLineChars="176"/>
        <w:rPr>
          <w:rFonts w:hint="eastAsia" w:ascii="宋体" w:hAnsi="宋体"/>
        </w:rPr>
      </w:pPr>
      <w:r>
        <w:rPr>
          <w:rFonts w:hint="eastAsia" w:ascii="宋体" w:hAnsi="宋体"/>
        </w:rPr>
        <w:t>（5）供应商诚信承诺书</w:t>
      </w:r>
    </w:p>
    <w:p>
      <w:pPr>
        <w:ind w:left="2" w:firstLine="422" w:firstLineChars="176"/>
        <w:rPr>
          <w:rFonts w:hint="eastAsia" w:ascii="宋体" w:hAnsi="宋体"/>
        </w:rPr>
      </w:pPr>
      <w:r>
        <w:rPr>
          <w:rFonts w:hint="eastAsia" w:ascii="宋体" w:hAnsi="宋体"/>
        </w:rPr>
        <w:t>（6）投标人资格证明文件</w:t>
      </w:r>
    </w:p>
    <w:p>
      <w:pPr>
        <w:ind w:left="2" w:firstLine="422" w:firstLineChars="176"/>
        <w:rPr>
          <w:rFonts w:hint="eastAsia" w:ascii="宋体" w:hAnsi="宋体"/>
        </w:rPr>
      </w:pPr>
      <w:r>
        <w:rPr>
          <w:rFonts w:hint="eastAsia" w:ascii="宋体" w:hAnsi="宋体"/>
        </w:rPr>
        <w:t>（7）财务状况、缴纳税收和社会保障资金证明</w:t>
      </w:r>
    </w:p>
    <w:p>
      <w:pPr>
        <w:ind w:left="2" w:firstLine="422" w:firstLineChars="176"/>
        <w:rPr>
          <w:rFonts w:hint="eastAsia" w:ascii="宋体" w:hAnsi="宋体"/>
        </w:rPr>
      </w:pPr>
      <w:r>
        <w:rPr>
          <w:rFonts w:hint="eastAsia" w:ascii="宋体" w:hAnsi="宋体"/>
        </w:rPr>
        <w:t>（8）无重大违法记录声明</w:t>
      </w:r>
    </w:p>
    <w:p>
      <w:pPr>
        <w:ind w:left="2" w:firstLine="422" w:firstLineChars="176"/>
        <w:rPr>
          <w:rFonts w:hint="eastAsia" w:ascii="宋体" w:hAnsi="宋体"/>
        </w:rPr>
      </w:pPr>
      <w:r>
        <w:rPr>
          <w:rFonts w:hint="eastAsia" w:ascii="宋体" w:hAnsi="宋体"/>
        </w:rPr>
        <w:t>（9）投标保证金证明</w:t>
      </w:r>
    </w:p>
    <w:p>
      <w:pPr>
        <w:ind w:left="2" w:firstLine="422" w:firstLineChars="176"/>
        <w:rPr>
          <w:rFonts w:hint="eastAsia" w:ascii="宋体" w:hAnsi="宋体"/>
        </w:rPr>
      </w:pPr>
      <w:r>
        <w:rPr>
          <w:rFonts w:hint="eastAsia" w:ascii="宋体" w:hAnsi="宋体"/>
        </w:rPr>
        <w:t>11.1.2符合性审查部分</w:t>
      </w:r>
    </w:p>
    <w:p>
      <w:pPr>
        <w:ind w:left="2" w:firstLine="422" w:firstLineChars="176"/>
        <w:rPr>
          <w:rFonts w:hint="eastAsia" w:ascii="宋体" w:hAnsi="宋体"/>
        </w:rPr>
      </w:pPr>
      <w:r>
        <w:rPr>
          <w:rFonts w:hint="eastAsia" w:ascii="宋体" w:hAnsi="宋体"/>
        </w:rPr>
        <w:t>（10）投标报价一览表</w:t>
      </w:r>
    </w:p>
    <w:p>
      <w:pPr>
        <w:ind w:left="2" w:firstLine="422" w:firstLineChars="176"/>
        <w:rPr>
          <w:rFonts w:hint="eastAsia" w:ascii="宋体" w:hAnsi="宋体"/>
        </w:rPr>
      </w:pPr>
      <w:r>
        <w:rPr>
          <w:rFonts w:hint="eastAsia" w:ascii="宋体" w:hAnsi="宋体"/>
        </w:rPr>
        <w:t>（11）分项报价表</w:t>
      </w:r>
    </w:p>
    <w:p>
      <w:pPr>
        <w:ind w:left="2" w:firstLine="422" w:firstLineChars="176"/>
        <w:rPr>
          <w:rFonts w:hint="eastAsia" w:ascii="宋体" w:hAnsi="宋体"/>
        </w:rPr>
      </w:pPr>
      <w:r>
        <w:rPr>
          <w:rFonts w:hint="eastAsia" w:ascii="宋体" w:hAnsi="宋体"/>
        </w:rPr>
        <w:t>（12）技术规格响应表</w:t>
      </w:r>
    </w:p>
    <w:p>
      <w:pPr>
        <w:ind w:left="2" w:firstLine="422" w:firstLineChars="176"/>
        <w:rPr>
          <w:rFonts w:hint="eastAsia" w:ascii="宋体" w:hAnsi="宋体"/>
        </w:rPr>
      </w:pPr>
      <w:r>
        <w:rPr>
          <w:rFonts w:hint="eastAsia" w:ascii="宋体" w:hAnsi="宋体"/>
        </w:rPr>
        <w:t>（13）其他资格证明材料</w:t>
      </w:r>
    </w:p>
    <w:p>
      <w:pPr>
        <w:ind w:left="2" w:firstLine="422" w:firstLineChars="176"/>
        <w:rPr>
          <w:rFonts w:hint="eastAsia" w:ascii="宋体" w:hAnsi="宋体"/>
        </w:rPr>
      </w:pPr>
      <w:r>
        <w:rPr>
          <w:rFonts w:hint="eastAsia" w:ascii="宋体" w:hAnsi="宋体"/>
        </w:rPr>
        <w:t>（14）投标产品相关资料</w:t>
      </w:r>
    </w:p>
    <w:p>
      <w:pPr>
        <w:ind w:left="2" w:firstLine="422" w:firstLineChars="176"/>
        <w:rPr>
          <w:rFonts w:hint="eastAsia" w:ascii="宋体" w:hAnsi="宋体"/>
        </w:rPr>
      </w:pPr>
      <w:r>
        <w:rPr>
          <w:rFonts w:hint="eastAsia" w:ascii="宋体" w:hAnsi="宋体"/>
        </w:rPr>
        <w:t>（15）投标人类似业绩证明材料</w:t>
      </w:r>
    </w:p>
    <w:p>
      <w:pPr>
        <w:ind w:left="2" w:firstLine="422" w:firstLineChars="176"/>
        <w:rPr>
          <w:rFonts w:hint="eastAsia" w:ascii="宋体" w:hAnsi="宋体"/>
        </w:rPr>
      </w:pPr>
      <w:r>
        <w:rPr>
          <w:rFonts w:hint="eastAsia" w:ascii="宋体" w:hAnsi="宋体"/>
        </w:rPr>
        <w:t>（16）中小企业声明函</w:t>
      </w:r>
    </w:p>
    <w:p>
      <w:pPr>
        <w:ind w:left="2" w:firstLine="422" w:firstLineChars="176"/>
        <w:rPr>
          <w:rFonts w:hint="eastAsia" w:ascii="宋体" w:hAnsi="宋体"/>
        </w:rPr>
      </w:pPr>
      <w:r>
        <w:rPr>
          <w:rFonts w:hint="eastAsia" w:ascii="宋体" w:hAnsi="宋体"/>
        </w:rPr>
        <w:t>（17）残疾人福利性单位声明函</w:t>
      </w:r>
    </w:p>
    <w:p>
      <w:pPr>
        <w:ind w:left="2" w:firstLine="422" w:firstLineChars="176"/>
        <w:rPr>
          <w:rFonts w:hint="eastAsia" w:ascii="宋体" w:hAnsi="宋体"/>
        </w:rPr>
      </w:pPr>
      <w:r>
        <w:rPr>
          <w:rFonts w:hint="eastAsia" w:ascii="宋体" w:hAnsi="宋体"/>
        </w:rPr>
        <w:t>（18）项目管理实施方案及售后服务</w:t>
      </w:r>
    </w:p>
    <w:p>
      <w:pPr>
        <w:ind w:left="2" w:firstLine="422" w:firstLineChars="176"/>
        <w:rPr>
          <w:rFonts w:hint="eastAsia" w:ascii="宋体" w:hAnsi="宋体"/>
        </w:rPr>
      </w:pPr>
      <w:r>
        <w:rPr>
          <w:rFonts w:hint="eastAsia" w:ascii="宋体" w:hAnsi="宋体"/>
        </w:rPr>
        <w:t>（19）投标人在其他方面有必要说明的事项</w:t>
      </w:r>
    </w:p>
    <w:p>
      <w:pPr>
        <w:ind w:left="2" w:firstLine="422"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r>
        <w:rPr>
          <w:rFonts w:hint="eastAsia" w:ascii="宋体" w:hAnsi="宋体" w:cs="宋体"/>
          <w:lang w:val="zh-CN"/>
        </w:rPr>
        <w:t>与数据文件一并上传至青海省政府采购电子化平台</w:t>
      </w:r>
      <w:r>
        <w:rPr>
          <w:rFonts w:hint="eastAsia" w:ascii="宋体" w:hAnsi="宋体"/>
        </w:rPr>
        <w:t>。</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376936745"/>
      <w:bookmarkStart w:id="48" w:name="_Toc82441594"/>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p>
      <w:pPr>
        <w:autoSpaceDE w:val="0"/>
        <w:autoSpaceDN w:val="0"/>
        <w:adjustRightInd w:val="0"/>
        <w:ind w:firstLine="530" w:firstLineChars="221"/>
        <w:rPr>
          <w:rFonts w:hint="eastAsia" w:ascii="宋体" w:hAnsi="宋体" w:cs="宋体"/>
        </w:rPr>
      </w:pPr>
      <w:r>
        <w:rPr>
          <w:rFonts w:hint="eastAsia" w:ascii="宋体" w:hAnsi="宋体" w:cs="宋体"/>
          <w:color w:val="000000"/>
          <w:lang w:val="zh-CN"/>
        </w:rPr>
        <w:t xml:space="preserve">12.1 </w:t>
      </w:r>
      <w:r>
        <w:rPr>
          <w:rFonts w:hint="eastAsia" w:ascii="宋体" w:hAnsi="宋体" w:cs="宋体"/>
        </w:rPr>
        <w:t>投标文件格式及编制要求：详见第一部分投标人须知前附表“投标文件格式及编制要求”。</w:t>
      </w:r>
    </w:p>
    <w:p>
      <w:pPr>
        <w:autoSpaceDE w:val="0"/>
        <w:autoSpaceDN w:val="0"/>
        <w:adjustRightInd w:val="0"/>
        <w:ind w:firstLine="530" w:firstLineChars="221"/>
        <w:rPr>
          <w:rFonts w:hint="eastAsia" w:ascii="宋体" w:hAnsi="宋体" w:cs="宋体"/>
          <w:lang w:val="zh-CN"/>
        </w:rPr>
      </w:pPr>
      <w:r>
        <w:rPr>
          <w:rFonts w:hint="eastAsia" w:ascii="宋体" w:hAnsi="宋体" w:cs="宋体"/>
        </w:rPr>
        <w:t>12.2 投标文件编制要求：详见第一部分投标人须知前附表“投标文件编制要求”。</w:t>
      </w:r>
    </w:p>
    <w:p>
      <w:pPr>
        <w:autoSpaceDE w:val="0"/>
        <w:autoSpaceDN w:val="0"/>
        <w:adjustRightInd w:val="0"/>
        <w:ind w:firstLine="530" w:firstLineChars="221"/>
        <w:rPr>
          <w:rFonts w:hint="eastAsia" w:ascii="宋体" w:hAnsi="宋体"/>
        </w:rPr>
      </w:pPr>
      <w:r>
        <w:rPr>
          <w:rFonts w:hint="eastAsia" w:ascii="宋体" w:hAnsi="宋体"/>
        </w:rPr>
        <w:t xml:space="preserve">12.3 </w:t>
      </w:r>
      <w:r>
        <w:rPr>
          <w:rFonts w:hint="eastAsia" w:ascii="宋体" w:hAnsi="宋体" w:cs="宋体"/>
          <w:color w:val="000000"/>
          <w:lang w:val="zh-CN"/>
        </w:rPr>
        <w:t>投标人须在 “法定代表人授</w:t>
      </w:r>
      <w:r>
        <w:rPr>
          <w:rFonts w:hint="eastAsia" w:ascii="宋体" w:hAnsi="宋体" w:cs="宋体"/>
          <w:lang w:val="zh-CN"/>
        </w:rPr>
        <w:t>权书”中提供被授权人（委托代理人）准确的联系方式（手机或固定电话）</w:t>
      </w:r>
      <w:r>
        <w:rPr>
          <w:rFonts w:hint="eastAsia" w:ascii="宋体" w:hAnsi="宋体"/>
        </w:rPr>
        <w:t>。</w:t>
      </w:r>
    </w:p>
    <w:bookmarkEnd w:id="49"/>
    <w:p>
      <w:pPr>
        <w:widowControl/>
        <w:spacing w:beforeLines="200" w:afterLines="200" w:line="240" w:lineRule="auto"/>
        <w:ind w:firstLine="0" w:firstLineChars="0"/>
        <w:jc w:val="center"/>
        <w:outlineLvl w:val="1"/>
        <w:rPr>
          <w:rFonts w:hint="eastAsia" w:ascii="宋体" w:hAnsi="宋体"/>
          <w:b/>
          <w:bCs/>
          <w:kern w:val="0"/>
          <w:sz w:val="36"/>
          <w:szCs w:val="36"/>
        </w:rPr>
      </w:pPr>
      <w:bookmarkStart w:id="50" w:name="_Toc371090027"/>
      <w:bookmarkStart w:id="51" w:name="_Toc376936746"/>
      <w:bookmarkStart w:id="52" w:name="_Toc82441595"/>
      <w:r>
        <w:rPr>
          <w:rFonts w:hint="eastAsia" w:ascii="宋体" w:hAnsi="宋体"/>
          <w:b/>
          <w:bCs/>
          <w:kern w:val="0"/>
          <w:sz w:val="36"/>
          <w:szCs w:val="36"/>
        </w:rPr>
        <w:t>四、 网上投标</w:t>
      </w:r>
      <w:bookmarkEnd w:id="50"/>
      <w:bookmarkEnd w:id="51"/>
      <w:bookmarkEnd w:id="5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3" w:name="_Toc376936747"/>
      <w:bookmarkStart w:id="54" w:name="_Toc371090028"/>
      <w:bookmarkStart w:id="55" w:name="_Toc82441596"/>
      <w:r>
        <w:rPr>
          <w:rFonts w:hint="eastAsia" w:ascii="宋体" w:hAnsi="宋体"/>
          <w:b/>
          <w:bCs/>
          <w:kern w:val="0"/>
          <w:sz w:val="27"/>
          <w:szCs w:val="27"/>
        </w:rPr>
        <w:t>13.网上投标</w:t>
      </w:r>
      <w:bookmarkEnd w:id="53"/>
      <w:bookmarkEnd w:id="54"/>
      <w:bookmarkEnd w:id="55"/>
    </w:p>
    <w:p>
      <w:pPr>
        <w:ind w:firstLine="480"/>
        <w:rPr>
          <w:rFonts w:hint="eastAsia" w:ascii="宋体" w:hAnsi="宋体"/>
          <w:color w:val="000000"/>
        </w:rPr>
      </w:pPr>
      <w:r>
        <w:rPr>
          <w:rFonts w:hint="eastAsia" w:ascii="宋体" w:hAnsi="宋体"/>
          <w:color w:val="000000"/>
        </w:rPr>
        <w:t>13.1 投标人应在青海省政府采购电子化平台上报价并上传电子投标文件。</w:t>
      </w:r>
    </w:p>
    <w:p>
      <w:pPr>
        <w:ind w:firstLine="480"/>
        <w:rPr>
          <w:rFonts w:hint="eastAsia" w:ascii="宋体" w:hAnsi="宋体"/>
          <w:color w:val="000000"/>
        </w:rPr>
      </w:pPr>
      <w:r>
        <w:rPr>
          <w:rFonts w:hint="eastAsia" w:ascii="宋体" w:hAnsi="宋体"/>
          <w:color w:val="000000"/>
        </w:rPr>
        <w:t>13.2 投标人应按所投包缴纳投标保证金，并按包报价，填写交货期。</w:t>
      </w:r>
    </w:p>
    <w:p>
      <w:pPr>
        <w:ind w:firstLine="480"/>
        <w:rPr>
          <w:rFonts w:hint="eastAsia" w:ascii="宋体" w:hAnsi="宋体"/>
        </w:rPr>
      </w:pPr>
      <w:r>
        <w:rPr>
          <w:rFonts w:hint="eastAsia" w:ascii="宋体" w:hAnsi="宋体"/>
          <w:color w:val="000000"/>
        </w:rPr>
        <w:t>13.3 开标时的“开标一览表</w:t>
      </w:r>
      <w:r>
        <w:rPr>
          <w:rFonts w:hint="eastAsia" w:ascii="宋体" w:hAnsi="宋体"/>
        </w:rPr>
        <w:t>”由各投标人网上报价生成。</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6" w:name="_Toc371090029"/>
      <w:bookmarkStart w:id="57" w:name="_Toc376936748"/>
      <w:bookmarkStart w:id="58" w:name="_Toc82441597"/>
      <w:r>
        <w:rPr>
          <w:rFonts w:hint="eastAsia" w:ascii="宋体" w:hAnsi="宋体"/>
          <w:b/>
          <w:bCs/>
          <w:kern w:val="0"/>
          <w:sz w:val="27"/>
          <w:szCs w:val="27"/>
        </w:rPr>
        <w:t>14.投标截止日期</w:t>
      </w:r>
      <w:bookmarkEnd w:id="56"/>
      <w:bookmarkEnd w:id="57"/>
      <w:bookmarkEnd w:id="58"/>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9" w:name="_Toc371090030"/>
      <w:bookmarkStart w:id="60" w:name="_Toc376936749"/>
      <w:bookmarkStart w:id="61" w:name="_Toc82441598"/>
      <w:r>
        <w:rPr>
          <w:rFonts w:hint="eastAsia" w:ascii="宋体" w:hAnsi="宋体"/>
          <w:b/>
          <w:bCs/>
          <w:kern w:val="0"/>
          <w:sz w:val="27"/>
          <w:szCs w:val="27"/>
        </w:rPr>
        <w:t>15.投标文件的撤回</w:t>
      </w:r>
      <w:bookmarkEnd w:id="59"/>
      <w:bookmarkEnd w:id="60"/>
      <w:bookmarkEnd w:id="61"/>
    </w:p>
    <w:p>
      <w:pPr>
        <w:ind w:firstLine="480"/>
        <w:rPr>
          <w:rFonts w:hint="eastAsia" w:ascii="宋体" w:hAnsi="宋体"/>
        </w:rPr>
      </w:pPr>
      <w:r>
        <w:rPr>
          <w:rFonts w:hint="eastAsia" w:ascii="宋体" w:hAnsi="宋体"/>
        </w:rPr>
        <w:t>允许投标人在投标截止时间前声明撤回投标文件（须以书面形式通知集中采购机构），但投标截止时间后不得撤回其投标，否则其缴纳的投标保证金将不予退还。</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62" w:name="_Toc325726019"/>
      <w:bookmarkStart w:id="63" w:name="_Toc376936750"/>
      <w:bookmarkStart w:id="64" w:name="_Toc82441599"/>
      <w:r>
        <w:rPr>
          <w:rFonts w:hint="eastAsia" w:ascii="宋体" w:hAnsi="宋体"/>
          <w:b/>
          <w:bCs/>
          <w:kern w:val="0"/>
          <w:sz w:val="36"/>
          <w:szCs w:val="36"/>
        </w:rPr>
        <w:t>五、开标</w:t>
      </w:r>
      <w:bookmarkEnd w:id="62"/>
      <w:bookmarkEnd w:id="63"/>
      <w:bookmarkEnd w:id="6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376936751"/>
      <w:bookmarkStart w:id="66" w:name="_Toc325726020"/>
      <w:bookmarkStart w:id="67" w:name="_Toc82441600"/>
      <w:r>
        <w:rPr>
          <w:rFonts w:hint="eastAsia" w:ascii="宋体" w:hAnsi="宋体"/>
          <w:b/>
          <w:bCs/>
          <w:kern w:val="0"/>
          <w:sz w:val="27"/>
          <w:szCs w:val="27"/>
        </w:rPr>
        <w:t>16.开标</w:t>
      </w:r>
      <w:bookmarkEnd w:id="65"/>
      <w:bookmarkEnd w:id="66"/>
      <w:bookmarkEnd w:id="67"/>
    </w:p>
    <w:p>
      <w:pPr>
        <w:ind w:firstLine="480"/>
        <w:rPr>
          <w:rFonts w:hint="eastAsia" w:ascii="宋体" w:hAnsi="宋体"/>
        </w:rPr>
      </w:pPr>
      <w:r>
        <w:rPr>
          <w:rFonts w:hint="eastAsia" w:ascii="宋体" w:hAnsi="宋体"/>
        </w:rPr>
        <w:t>16.1采购人、集中采购机构在青海省政府采购电子化平台上组织开标、评标活动，时间和地点以本招标文件中确定的为准。</w:t>
      </w:r>
    </w:p>
    <w:p>
      <w:pPr>
        <w:ind w:firstLine="480"/>
        <w:rPr>
          <w:rFonts w:hint="eastAsia" w:ascii="宋体" w:hAnsi="宋体"/>
        </w:rPr>
      </w:pPr>
      <w:r>
        <w:rPr>
          <w:rFonts w:hint="eastAsia" w:ascii="宋体" w:hAnsi="宋体"/>
        </w:rPr>
        <w:t>16.2 投标截止时间投标人不足三家的，不得开标。</w:t>
      </w:r>
    </w:p>
    <w:p>
      <w:pPr>
        <w:ind w:firstLine="480"/>
        <w:rPr>
          <w:rFonts w:hint="eastAsia" w:ascii="宋体" w:hAnsi="宋体"/>
        </w:rPr>
      </w:pPr>
      <w:r>
        <w:rPr>
          <w:rFonts w:hint="eastAsia" w:ascii="宋体" w:hAnsi="宋体"/>
        </w:rPr>
        <w:t>16.3开标时，潜在投标人未在青海省政府采购电子化平台上报价的，视同未参与投标。</w:t>
      </w:r>
    </w:p>
    <w:p>
      <w:pPr>
        <w:ind w:firstLine="480"/>
        <w:rPr>
          <w:rFonts w:hint="eastAsia" w:ascii="宋体" w:hAnsi="宋体"/>
        </w:rPr>
      </w:pPr>
      <w:r>
        <w:rPr>
          <w:rFonts w:hint="eastAsia" w:ascii="宋体" w:hAnsi="宋体"/>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hint="eastAsia"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pPr>
        <w:ind w:firstLine="480"/>
        <w:rPr>
          <w:rFonts w:hint="eastAsia" w:ascii="宋体" w:hAnsi="宋体"/>
        </w:rPr>
      </w:pPr>
      <w:r>
        <w:rPr>
          <w:rFonts w:hint="eastAsia" w:ascii="宋体" w:hAnsi="宋体"/>
        </w:rPr>
        <w:t>16.6开标后，投标人可登录青海省政府采购电子化平台同步查看“开标一览表”及开标情况。</w:t>
      </w:r>
    </w:p>
    <w:p>
      <w:pPr>
        <w:ind w:firstLine="480"/>
        <w:rPr>
          <w:rFonts w:hint="eastAsia" w:ascii="宋体" w:hAnsi="宋体"/>
        </w:rPr>
      </w:pPr>
      <w:bookmarkStart w:id="68" w:name="_Toc376936752"/>
      <w:bookmarkStart w:id="69" w:name="_Toc325726021"/>
      <w:r>
        <w:rPr>
          <w:rFonts w:hint="eastAsia" w:ascii="宋体" w:hAnsi="宋体"/>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70" w:name="_Toc82441601"/>
      <w:r>
        <w:rPr>
          <w:rFonts w:hint="eastAsia" w:ascii="宋体" w:hAnsi="宋体"/>
          <w:b/>
          <w:bCs/>
          <w:kern w:val="0"/>
          <w:sz w:val="36"/>
          <w:szCs w:val="36"/>
        </w:rPr>
        <w:t>六、资格审查程序及方法</w:t>
      </w:r>
      <w:bookmarkEnd w:id="7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82441602"/>
      <w:r>
        <w:rPr>
          <w:rFonts w:hint="eastAsia" w:ascii="宋体" w:hAnsi="宋体"/>
          <w:b/>
          <w:bCs/>
          <w:kern w:val="0"/>
          <w:sz w:val="27"/>
          <w:szCs w:val="27"/>
        </w:rPr>
        <w:t>17. 资格审查程序</w:t>
      </w:r>
      <w:bookmarkEnd w:id="71"/>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2" w:name="_Toc82441603"/>
      <w:r>
        <w:rPr>
          <w:rFonts w:hint="eastAsia" w:ascii="宋体" w:hAnsi="宋体"/>
          <w:b/>
          <w:bCs/>
          <w:kern w:val="0"/>
          <w:sz w:val="27"/>
          <w:szCs w:val="27"/>
        </w:rPr>
        <w:t>18.资格审查不通过的情形</w:t>
      </w:r>
      <w:bookmarkEnd w:id="72"/>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未按第11.1.1款（1）-（9）要求提供相关资料的；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73" w:name="_Toc82441604"/>
      <w:r>
        <w:rPr>
          <w:rFonts w:hint="eastAsia" w:ascii="宋体" w:hAnsi="宋体"/>
          <w:b/>
          <w:bCs/>
          <w:kern w:val="0"/>
          <w:sz w:val="36"/>
          <w:szCs w:val="36"/>
        </w:rPr>
        <w:t>七、评标程序及方法</w:t>
      </w:r>
      <w:bookmarkEnd w:id="68"/>
      <w:bookmarkEnd w:id="69"/>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25726022"/>
      <w:bookmarkStart w:id="75" w:name="_Toc376936753"/>
      <w:bookmarkStart w:id="76" w:name="_Toc82441605"/>
      <w:r>
        <w:rPr>
          <w:rFonts w:hint="eastAsia" w:ascii="宋体" w:hAnsi="宋体"/>
          <w:b/>
          <w:bCs/>
          <w:kern w:val="0"/>
          <w:sz w:val="27"/>
          <w:szCs w:val="27"/>
        </w:rPr>
        <w:t>19.评标委员会</w:t>
      </w:r>
      <w:bookmarkEnd w:id="74"/>
      <w:bookmarkEnd w:id="75"/>
      <w:bookmarkEnd w:id="76"/>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25726023"/>
      <w:bookmarkStart w:id="78" w:name="_Toc376936754"/>
      <w:bookmarkStart w:id="79" w:name="_Toc82441606"/>
      <w:r>
        <w:rPr>
          <w:rFonts w:hint="eastAsia" w:ascii="宋体" w:hAnsi="宋体"/>
          <w:b/>
          <w:bCs/>
          <w:kern w:val="0"/>
          <w:sz w:val="27"/>
          <w:szCs w:val="27"/>
        </w:rPr>
        <w:t>20.评标工作程序</w:t>
      </w:r>
      <w:bookmarkEnd w:id="77"/>
      <w:bookmarkEnd w:id="78"/>
      <w:bookmarkEnd w:id="79"/>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rPr>
      </w:pPr>
      <w:r>
        <w:rPr>
          <w:rFonts w:hint="eastAsia" w:ascii="宋体" w:hAnsi="宋体"/>
        </w:rPr>
        <w:t>（1）</w:t>
      </w:r>
      <w:r>
        <w:rPr>
          <w:rFonts w:hint="eastAsia" w:ascii="宋体" w:hAnsi="宋体" w:cs="楷体_GB2312"/>
          <w:lang w:val="zh-CN"/>
        </w:rPr>
        <w:t>未按第11</w:t>
      </w:r>
      <w:r>
        <w:rPr>
          <w:rFonts w:hint="eastAsia" w:ascii="宋体" w:hAnsi="宋体"/>
        </w:rPr>
        <w:t>.</w:t>
      </w:r>
      <w:r>
        <w:rPr>
          <w:rFonts w:hint="eastAsia" w:ascii="宋体" w:hAnsi="宋体" w:cs="楷体_GB2312"/>
          <w:lang w:val="zh-CN"/>
        </w:rPr>
        <w:t>1.2款（10）-（14）要求提供相关资料的；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（3）投标人网上报价与投标文件报价不一致且不接受网上报价的；或出现两个或两个以上报价方案的；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0" w:name="_Toc82441607"/>
      <w:r>
        <w:rPr>
          <w:rFonts w:hint="eastAsia" w:ascii="宋体" w:hAnsi="宋体"/>
          <w:b/>
          <w:bCs/>
          <w:kern w:val="0"/>
          <w:sz w:val="27"/>
          <w:szCs w:val="27"/>
        </w:rPr>
        <w:t>21.答疑的方式和情形</w:t>
      </w:r>
      <w:bookmarkEnd w:id="80"/>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5"/>
      <w:bookmarkStart w:id="82" w:name="_Toc82441608"/>
      <w:bookmarkStart w:id="83" w:name="_Toc325726024"/>
      <w:r>
        <w:rPr>
          <w:rFonts w:hint="eastAsia" w:ascii="宋体" w:hAnsi="宋体"/>
          <w:b/>
          <w:bCs/>
          <w:kern w:val="0"/>
          <w:sz w:val="27"/>
          <w:szCs w:val="27"/>
        </w:rPr>
        <w:t>22.评标办法</w:t>
      </w:r>
      <w:bookmarkEnd w:id="81"/>
      <w:bookmarkEnd w:id="82"/>
      <w:bookmarkEnd w:id="83"/>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rPr>
      </w:pPr>
      <w:r>
        <w:rPr>
          <w:rFonts w:hint="eastAsia" w:ascii="宋体" w:hAnsi="宋体"/>
          <w:color w:val="000000"/>
        </w:rPr>
        <w:t>根据《政府采购促进中小企业发展管理办法》，属中小企业制造的货物（产品），投标人须提供《中小企业声明函》</w:t>
      </w:r>
      <w:r>
        <w:rPr>
          <w:rFonts w:hint="eastAsia" w:ascii="宋体" w:hAnsi="宋体"/>
        </w:rPr>
        <w:t>（详见附件16），其划型标准严格按照国家工信部、国家统计局、国家发改委、财政部出台的《中小企业划型标准规定》（工信部联企业[2011]300号）执行。</w:t>
      </w:r>
      <w:r>
        <w:rPr>
          <w:rFonts w:hint="eastAsia" w:ascii="宋体" w:hAnsi="宋体"/>
          <w:b/>
        </w:rPr>
        <w:t>投标人提供的《中小企业声明函》资料必须真实，如有虚假，将依法承担相应责任。</w:t>
      </w:r>
    </w:p>
    <w:p>
      <w:pPr>
        <w:ind w:firstLine="480"/>
        <w:jc w:val="left"/>
        <w:rPr>
          <w:rFonts w:hint="eastAsia" w:ascii="宋体" w:hAnsi="宋体"/>
          <w:b/>
          <w:color w:val="000000"/>
        </w:rPr>
      </w:pPr>
      <w:r>
        <w:rPr>
          <w:rFonts w:hint="eastAsia" w:ascii="宋体" w:hAnsi="宋体"/>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w:t>
      </w:r>
      <w:r>
        <w:rPr>
          <w:rFonts w:hint="eastAsia" w:ascii="宋体" w:hAnsi="宋体"/>
          <w:color w:val="000000"/>
        </w:rPr>
        <w:t>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rPr>
      </w:pPr>
      <w:r>
        <w:rPr>
          <w:rFonts w:hint="eastAsia" w:ascii="宋体" w:hAnsi="宋体"/>
        </w:rPr>
        <w:t>评标标准和分值分配：</w:t>
      </w:r>
    </w:p>
    <w:tbl>
      <w:tblPr>
        <w:tblStyle w:val="64"/>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 w:val="21"/>
                <w:szCs w:val="21"/>
              </w:rPr>
            </w:pPr>
            <w:r>
              <w:rPr>
                <w:rFonts w:hint="eastAsia" w:ascii="宋体" w:hAnsi="宋体"/>
                <w:sz w:val="21"/>
                <w:szCs w:val="21"/>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投标报价40分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pPr>
              <w:ind w:firstLine="0" w:firstLineChars="0"/>
              <w:rPr>
                <w:rFonts w:hint="eastAsia" w:ascii="宋体" w:hAnsi="宋体"/>
                <w:sz w:val="21"/>
                <w:szCs w:val="21"/>
              </w:rPr>
            </w:pPr>
            <w:r>
              <w:rPr>
                <w:rFonts w:hint="eastAsia" w:ascii="宋体" w:hAnsi="宋体"/>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pPr>
              <w:ind w:firstLine="0" w:firstLineChars="0"/>
              <w:rPr>
                <w:rFonts w:hint="eastAsia" w:ascii="宋体" w:hAnsi="宋体"/>
                <w:color w:val="000000"/>
                <w:sz w:val="21"/>
                <w:szCs w:val="21"/>
              </w:rPr>
            </w:pPr>
            <w:r>
              <w:rPr>
                <w:rFonts w:hint="eastAsia" w:ascii="宋体" w:hAnsi="宋体"/>
                <w:color w:val="000000"/>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技术水平45分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hAnsi="宋体"/>
                <w:color w:val="FF0000"/>
                <w:sz w:val="21"/>
                <w:szCs w:val="21"/>
                <w:u w:val="single"/>
              </w:rPr>
            </w:pPr>
            <w:r>
              <w:rPr>
                <w:rFonts w:hint="eastAsia" w:ascii="宋体" w:hAnsi="宋体"/>
                <w:sz w:val="21"/>
                <w:szCs w:val="21"/>
              </w:rPr>
              <w:t>投标产品技术参数和配置完全满足或高于招标文件要求的，得40分；每有一项负偏离扣5分，扣完为止。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节能和环保</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bottom w:val="single" w:color="auto" w:sz="4" w:space="0"/>
              <w:right w:val="single" w:color="auto" w:sz="4" w:space="0"/>
            </w:tcBorders>
            <w:vAlign w:val="center"/>
          </w:tcPr>
          <w:p>
            <w:pPr>
              <w:ind w:firstLine="420"/>
              <w:jc w:val="center"/>
              <w:rPr>
                <w:rFonts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restart"/>
            <w:tcBorders>
              <w:left w:val="single" w:color="auto" w:sz="4" w:space="0"/>
              <w:right w:val="single" w:color="auto" w:sz="4" w:space="0"/>
            </w:tcBorders>
            <w:vAlign w:val="center"/>
          </w:tcPr>
          <w:p>
            <w:pPr>
              <w:ind w:firstLine="0" w:firstLineChars="0"/>
              <w:rPr>
                <w:rFonts w:ascii="宋体" w:hAnsi="宋体"/>
                <w:sz w:val="21"/>
                <w:szCs w:val="21"/>
                <w:shd w:val="pct10" w:color="auto" w:fill="FFFFFF"/>
              </w:rPr>
            </w:pPr>
            <w:r>
              <w:rPr>
                <w:rFonts w:hint="eastAsia" w:ascii="宋体" w:hAnsi="宋体"/>
                <w:sz w:val="21"/>
                <w:szCs w:val="21"/>
              </w:rPr>
              <w:t>履约及售后服务能力15分</w:t>
            </w: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自2019年以来的类似业绩证明材料。提供5项以上（含5项）的，得5分；提供5项以下的，每提供1项得1分；不提供不得分。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ind w:firstLine="420"/>
              <w:rPr>
                <w:rFonts w:hint="eastAsia"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ind w:firstLine="0" w:firstLineChars="0"/>
              <w:rPr>
                <w:rFonts w:hint="eastAsia" w:ascii="宋体" w:hAnsi="宋体"/>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0" w:firstLineChars="0"/>
              <w:rPr>
                <w:rFonts w:hint="eastAsia" w:ascii="宋体" w:hAnsi="宋体"/>
                <w:sz w:val="21"/>
                <w:szCs w:val="21"/>
              </w:rPr>
            </w:pPr>
            <w:r>
              <w:rPr>
                <w:rFonts w:hint="eastAsia" w:ascii="宋体" w:hAnsi="宋体"/>
                <w:sz w:val="21"/>
                <w:szCs w:val="21"/>
              </w:rPr>
              <w:t>2、提供售后服务相关承诺的，得1分；未提供不得分。</w:t>
            </w:r>
          </w:p>
        </w:tc>
      </w:tr>
    </w:tbl>
    <w:p>
      <w:pPr>
        <w:ind w:firstLine="480"/>
        <w:jc w:val="left"/>
        <w:rPr>
          <w:rFonts w:hint="eastAsia" w:ascii="宋体" w:hAnsi="宋体"/>
          <w:lang w:val="zh-CN"/>
        </w:rPr>
      </w:pP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84" w:name="_Toc325726025"/>
      <w:bookmarkStart w:id="85" w:name="_Toc376936756"/>
      <w:bookmarkStart w:id="86" w:name="_Toc82441609"/>
      <w:r>
        <w:rPr>
          <w:rFonts w:hint="eastAsia" w:ascii="宋体" w:hAnsi="宋体"/>
          <w:b/>
          <w:bCs/>
          <w:kern w:val="0"/>
          <w:sz w:val="36"/>
          <w:szCs w:val="36"/>
        </w:rPr>
        <w:t>八、定 标</w:t>
      </w:r>
      <w:bookmarkEnd w:id="84"/>
      <w:bookmarkEnd w:id="85"/>
      <w:bookmarkEnd w:id="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76936757"/>
      <w:bookmarkStart w:id="88" w:name="_Toc325726026"/>
      <w:bookmarkStart w:id="89" w:name="_Toc82441610"/>
      <w:r>
        <w:rPr>
          <w:rFonts w:hint="eastAsia" w:ascii="宋体" w:hAnsi="宋体"/>
          <w:b/>
          <w:bCs/>
          <w:kern w:val="0"/>
          <w:sz w:val="27"/>
          <w:szCs w:val="27"/>
        </w:rPr>
        <w:t>23.推荐并确定中标</w:t>
      </w:r>
      <w:bookmarkEnd w:id="87"/>
      <w:bookmarkEnd w:id="88"/>
      <w:r>
        <w:rPr>
          <w:rFonts w:hint="eastAsia" w:ascii="宋体" w:hAnsi="宋体"/>
          <w:b/>
          <w:bCs/>
          <w:kern w:val="0"/>
          <w:sz w:val="27"/>
          <w:szCs w:val="27"/>
        </w:rPr>
        <w:t>供应商</w:t>
      </w:r>
      <w:bookmarkEnd w:id="89"/>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90"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82441611"/>
      <w:bookmarkStart w:id="92" w:name="_Toc325726028"/>
      <w:bookmarkStart w:id="93" w:name="_Toc376936759"/>
      <w:r>
        <w:rPr>
          <w:rFonts w:hint="eastAsia" w:ascii="宋体" w:hAnsi="宋体"/>
          <w:b/>
          <w:bCs/>
          <w:kern w:val="0"/>
          <w:sz w:val="27"/>
          <w:szCs w:val="27"/>
        </w:rPr>
        <w:t>24.中标通知</w:t>
      </w:r>
      <w:bookmarkEnd w:id="91"/>
      <w:bookmarkEnd w:id="92"/>
      <w:bookmarkEnd w:id="93"/>
    </w:p>
    <w:p>
      <w:pPr>
        <w:ind w:firstLine="480"/>
        <w:jc w:val="left"/>
        <w:rPr>
          <w:rFonts w:hint="eastAsia" w:ascii="宋体" w:hAnsi="宋体"/>
        </w:rPr>
      </w:pPr>
      <w:r>
        <w:rPr>
          <w:rFonts w:hint="eastAsia" w:ascii="宋体" w:hAnsi="宋体"/>
        </w:rPr>
        <w:t xml:space="preserve">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府采购电子化平台上查询本人的评审得分与排序，如有疑问，可致电0971-6150216。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94" w:name="_Toc82441612"/>
      <w:bookmarkStart w:id="95" w:name="_Toc376936758"/>
      <w:r>
        <w:rPr>
          <w:rFonts w:hint="eastAsia" w:ascii="宋体" w:hAnsi="宋体"/>
          <w:b/>
          <w:bCs/>
          <w:kern w:val="0"/>
          <w:sz w:val="36"/>
          <w:szCs w:val="36"/>
        </w:rPr>
        <w:t>九、授予合同</w:t>
      </w:r>
      <w:bookmarkEnd w:id="90"/>
      <w:bookmarkEnd w:id="94"/>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325726029"/>
      <w:bookmarkStart w:id="97" w:name="_Toc82441613"/>
      <w:bookmarkStart w:id="98" w:name="_Toc376936760"/>
      <w:r>
        <w:rPr>
          <w:rFonts w:hint="eastAsia" w:ascii="宋体" w:hAnsi="宋体"/>
          <w:b/>
          <w:bCs/>
          <w:kern w:val="0"/>
          <w:sz w:val="27"/>
          <w:szCs w:val="27"/>
        </w:rPr>
        <w:t>25.签订合同</w:t>
      </w:r>
      <w:bookmarkEnd w:id="96"/>
      <w:bookmarkEnd w:id="97"/>
      <w:bookmarkEnd w:id="98"/>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9" w:name="_Toc325726030"/>
      <w:bookmarkStart w:id="100" w:name="_Toc376936761"/>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01" w:name="_Toc82441614"/>
      <w:r>
        <w:rPr>
          <w:rFonts w:hint="eastAsia" w:ascii="宋体" w:hAnsi="宋体"/>
          <w:b/>
          <w:bCs/>
          <w:kern w:val="0"/>
          <w:sz w:val="36"/>
          <w:szCs w:val="36"/>
        </w:rPr>
        <w:t>十、串通投标的认定及处理办法</w:t>
      </w:r>
      <w:bookmarkEnd w:id="10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2" w:name="_Toc82441615"/>
      <w:r>
        <w:rPr>
          <w:rFonts w:hint="eastAsia" w:ascii="宋体" w:hAnsi="宋体"/>
          <w:b/>
          <w:bCs/>
          <w:kern w:val="0"/>
          <w:sz w:val="27"/>
          <w:szCs w:val="27"/>
        </w:rPr>
        <w:t>26.串通投标的情形</w:t>
      </w:r>
      <w:bookmarkEnd w:id="102"/>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03" w:name="_Toc82441616"/>
      <w:r>
        <w:rPr>
          <w:rFonts w:hint="eastAsia" w:ascii="宋体" w:hAnsi="宋体"/>
          <w:b/>
          <w:bCs/>
          <w:kern w:val="0"/>
          <w:sz w:val="36"/>
          <w:szCs w:val="36"/>
        </w:rPr>
        <w:t>十一、废标</w:t>
      </w:r>
      <w:bookmarkEnd w:id="99"/>
      <w:bookmarkEnd w:id="100"/>
      <w:bookmarkEnd w:id="1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82441617"/>
      <w:bookmarkStart w:id="105" w:name="_Toc376936762"/>
      <w:bookmarkStart w:id="106" w:name="_Toc325726031"/>
      <w:r>
        <w:rPr>
          <w:rFonts w:hint="eastAsia" w:ascii="宋体" w:hAnsi="宋体"/>
          <w:b/>
          <w:bCs/>
          <w:kern w:val="0"/>
          <w:sz w:val="27"/>
          <w:szCs w:val="27"/>
        </w:rPr>
        <w:t>27. 废标情形</w:t>
      </w:r>
      <w:bookmarkEnd w:id="104"/>
    </w:p>
    <w:p>
      <w:pPr>
        <w:ind w:firstLine="480"/>
        <w:jc w:val="left"/>
        <w:rPr>
          <w:rFonts w:hint="eastAsia" w:ascii="宋体" w:hAnsi="宋体"/>
        </w:rPr>
      </w:pPr>
      <w:r>
        <w:rPr>
          <w:rFonts w:hint="eastAsia" w:ascii="宋体" w:hAnsi="宋体"/>
        </w:rPr>
        <w:t>27.1在招标采购中，出现下列情形之一的，应予废标：</w:t>
      </w:r>
      <w:bookmarkEnd w:id="105"/>
      <w:bookmarkEnd w:id="106"/>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7" w:name="_Toc325726032"/>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08" w:name="_Toc82441618"/>
      <w:bookmarkStart w:id="109" w:name="_Toc376936763"/>
      <w:r>
        <w:rPr>
          <w:rFonts w:hint="eastAsia" w:ascii="宋体" w:hAnsi="宋体"/>
          <w:b/>
          <w:bCs/>
          <w:kern w:val="0"/>
          <w:sz w:val="36"/>
          <w:szCs w:val="36"/>
        </w:rPr>
        <w:t>十二、处罚</w:t>
      </w:r>
      <w:bookmarkEnd w:id="107"/>
      <w:bookmarkEnd w:id="108"/>
      <w:bookmarkEnd w:id="10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0" w:name="_Toc82441619"/>
      <w:bookmarkStart w:id="111" w:name="_Toc325726033"/>
      <w:bookmarkStart w:id="112" w:name="_Toc376936764"/>
      <w:r>
        <w:rPr>
          <w:rFonts w:hint="eastAsia" w:ascii="宋体" w:hAnsi="宋体"/>
          <w:b/>
          <w:bCs/>
          <w:kern w:val="0"/>
          <w:sz w:val="27"/>
          <w:szCs w:val="27"/>
        </w:rPr>
        <w:t>28.处罚情形</w:t>
      </w:r>
      <w:bookmarkEnd w:id="110"/>
      <w:bookmarkEnd w:id="111"/>
      <w:bookmarkEnd w:id="112"/>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439"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13" w:name="_Toc325726034"/>
      <w:bookmarkStart w:id="114" w:name="_Toc376936765"/>
      <w:bookmarkStart w:id="115" w:name="_Toc82441620"/>
      <w:r>
        <w:rPr>
          <w:rFonts w:hint="eastAsia" w:ascii="宋体" w:hAnsi="宋体"/>
          <w:b/>
          <w:bCs/>
          <w:kern w:val="0"/>
          <w:sz w:val="36"/>
          <w:szCs w:val="36"/>
        </w:rPr>
        <w:t>十三、其他</w:t>
      </w:r>
      <w:bookmarkEnd w:id="113"/>
      <w:bookmarkEnd w:id="114"/>
      <w:bookmarkEnd w:id="115"/>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6" w:name="_Toc376936766"/>
      <w:r>
        <w:rPr>
          <w:rFonts w:ascii="宋体"/>
          <w:b/>
          <w:kern w:val="28"/>
          <w:sz w:val="36"/>
          <w:szCs w:val="20"/>
        </w:rPr>
        <w:br w:type="page"/>
      </w:r>
      <w:r>
        <w:rPr>
          <w:rFonts w:hint="eastAsia" w:ascii="宋体"/>
          <w:b/>
          <w:kern w:val="28"/>
          <w:sz w:val="36"/>
          <w:szCs w:val="20"/>
        </w:rPr>
        <w:t xml:space="preserve">第三部分 </w:t>
      </w:r>
      <w:bookmarkEnd w:id="116"/>
      <w:r>
        <w:rPr>
          <w:rFonts w:hint="eastAsia" w:ascii="宋体"/>
          <w:b/>
          <w:kern w:val="28"/>
          <w:sz w:val="36"/>
          <w:szCs w:val="20"/>
        </w:rPr>
        <w:t>青海省政府采购项目合同书范本（货物类）</w:t>
      </w:r>
    </w:p>
    <w:p>
      <w:pPr>
        <w:ind w:firstLine="0" w:firstLineChars="0"/>
        <w:rPr>
          <w:rFonts w:hint="eastAsia"/>
        </w:rPr>
      </w:pPr>
      <w:bookmarkStart w:id="117" w:name="_Toc375576842"/>
      <w:bookmarkStart w:id="118" w:name="_Toc373954603"/>
      <w:bookmarkStart w:id="119" w:name="_Toc373936315"/>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20" w:name="_Toc82441621"/>
      <w:r>
        <w:rPr>
          <w:rFonts w:hint="eastAsia"/>
          <w:sz w:val="48"/>
          <w:szCs w:val="48"/>
        </w:rPr>
        <w:t>青海省政府采购项目合同</w:t>
      </w:r>
      <w:bookmarkEnd w:id="117"/>
      <w:bookmarkEnd w:id="118"/>
      <w:bookmarkEnd w:id="119"/>
      <w:r>
        <w:rPr>
          <w:rFonts w:hint="eastAsia"/>
          <w:sz w:val="48"/>
          <w:szCs w:val="48"/>
        </w:rPr>
        <w:t>书</w:t>
      </w:r>
      <w:bookmarkEnd w:id="120"/>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2022-（货物）-029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72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项目（青政采公招（货物）2022-029号）的招标文件要求和采购机构出具的《中标通知书》，并经双方协商一致，达成合同总价款为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64"/>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650"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 xml:space="preserve">合同备案部门：青海省政府采购中心       </w:t>
      </w:r>
    </w:p>
    <w:p>
      <w:pPr>
        <w:ind w:firstLine="482"/>
        <w:rPr>
          <w:rFonts w:hint="eastAsia"/>
          <w:b/>
        </w:rPr>
      </w:pPr>
      <w:r>
        <w:rPr>
          <w:rFonts w:hint="eastAsia"/>
          <w:b/>
        </w:rPr>
        <w:t>负责人：                                经办人：</w:t>
      </w:r>
    </w:p>
    <w:p>
      <w:pPr>
        <w:adjustRightInd w:val="0"/>
        <w:spacing w:line="360" w:lineRule="auto"/>
        <w:ind w:firstLine="2489" w:firstLineChars="1033"/>
        <w:textAlignment w:val="baseline"/>
        <w:rPr>
          <w:rFonts w:hint="eastAsia"/>
          <w:b/>
        </w:rPr>
      </w:pPr>
    </w:p>
    <w:p>
      <w:pPr>
        <w:adjustRightInd w:val="0"/>
        <w:spacing w:line="360" w:lineRule="auto"/>
        <w:ind w:firstLine="2489"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hint="eastAsia" w:ascii="宋体"/>
          <w:b/>
          <w:kern w:val="28"/>
          <w:sz w:val="36"/>
          <w:szCs w:val="20"/>
        </w:rPr>
      </w:pPr>
      <w:bookmarkStart w:id="121" w:name="_Toc325726036"/>
      <w:bookmarkStart w:id="122" w:name="_Toc376936767"/>
      <w:r>
        <w:rPr>
          <w:rFonts w:ascii="宋体" w:hAnsi="宋体"/>
        </w:rPr>
        <w:br w:type="page"/>
      </w:r>
    </w:p>
    <w:p>
      <w:pPr>
        <w:keepNext/>
        <w:keepLines/>
        <w:widowControl/>
        <w:snapToGrid w:val="0"/>
        <w:spacing w:line="400" w:lineRule="atLeast"/>
        <w:ind w:firstLine="2187" w:firstLineChars="605"/>
        <w:outlineLvl w:val="0"/>
        <w:rPr>
          <w:rFonts w:hint="eastAsia" w:ascii="宋体"/>
          <w:b/>
          <w:kern w:val="28"/>
          <w:sz w:val="36"/>
          <w:szCs w:val="20"/>
        </w:rPr>
      </w:pPr>
      <w:bookmarkStart w:id="123" w:name="_Toc82441622"/>
      <w:r>
        <w:rPr>
          <w:rFonts w:hint="eastAsia" w:ascii="宋体"/>
          <w:b/>
          <w:kern w:val="28"/>
          <w:sz w:val="36"/>
          <w:szCs w:val="20"/>
        </w:rPr>
        <w:t>第四部分</w:t>
      </w:r>
      <w:r>
        <w:rPr>
          <w:rFonts w:ascii="宋体"/>
          <w:b/>
          <w:kern w:val="28"/>
          <w:sz w:val="36"/>
          <w:szCs w:val="20"/>
        </w:rPr>
        <w:t xml:space="preserve">  </w:t>
      </w:r>
      <w:bookmarkEnd w:id="121"/>
      <w:bookmarkEnd w:id="122"/>
      <w:r>
        <w:rPr>
          <w:rFonts w:hint="eastAsia" w:ascii="宋体"/>
          <w:b/>
          <w:kern w:val="28"/>
          <w:sz w:val="36"/>
          <w:szCs w:val="20"/>
        </w:rPr>
        <w:t>投标文件格式</w:t>
      </w:r>
      <w:bookmarkEnd w:id="123"/>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4" w:name="_Toc82441623"/>
      <w:r>
        <w:rPr>
          <w:rFonts w:hint="eastAsia" w:ascii="宋体"/>
          <w:b/>
          <w:kern w:val="28"/>
          <w:sz w:val="36"/>
          <w:szCs w:val="20"/>
        </w:rPr>
        <w:t>投标文件的组成</w:t>
      </w:r>
      <w:bookmarkEnd w:id="124"/>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5" w:name="_Toc82441624"/>
      <w:r>
        <w:rPr>
          <w:rFonts w:hint="eastAsia" w:ascii="宋体"/>
          <w:b/>
          <w:sz w:val="28"/>
          <w:szCs w:val="28"/>
        </w:rPr>
        <w:t>（投标文件封面）</w:t>
      </w:r>
      <w:bookmarkEnd w:id="125"/>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1" w:leftChars="-118" w:hanging="282" w:hangingChars="78"/>
        <w:textAlignment w:val="baseline"/>
        <w:rPr>
          <w:rFonts w:hint="eastAsia" w:ascii="宋体" w:hAnsi="宋体"/>
          <w:b/>
          <w:bCs/>
          <w:sz w:val="36"/>
          <w:szCs w:val="36"/>
        </w:rPr>
      </w:pPr>
    </w:p>
    <w:p>
      <w:pPr>
        <w:adjustRightInd w:val="0"/>
        <w:spacing w:line="360" w:lineRule="auto"/>
        <w:ind w:left="-62" w:leftChars="-68" w:hanging="101" w:hangingChars="28"/>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：青政采公招（货物）2022-029号</w:t>
      </w:r>
    </w:p>
    <w:p>
      <w:pPr>
        <w:adjustRightInd w:val="0"/>
        <w:spacing w:line="360" w:lineRule="auto"/>
        <w:ind w:left="2273" w:leftChars="-68" w:hanging="2436" w:hangingChars="674"/>
        <w:textAlignment w:val="baseline"/>
        <w:rPr>
          <w:rFonts w:hint="eastAsia" w:ascii="宋体" w:hAnsi="宋体"/>
          <w:b/>
          <w:bCs/>
          <w:sz w:val="36"/>
          <w:szCs w:val="36"/>
        </w:rPr>
      </w:pPr>
      <w:r>
        <w:rPr>
          <w:rFonts w:hint="eastAsia" w:ascii="宋体" w:hAnsi="宋体"/>
          <w:b/>
          <w:bCs/>
          <w:sz w:val="36"/>
          <w:szCs w:val="36"/>
        </w:rPr>
        <w:t>采购项目名称：</w:t>
      </w:r>
      <w:r>
        <w:rPr>
          <w:rFonts w:hint="eastAsia" w:ascii="宋体" w:hAnsi="宋体"/>
          <w:b/>
          <w:sz w:val="36"/>
          <w:szCs w:val="36"/>
        </w:rPr>
        <w:t>青海省公安厅刑警总队电子物证实验室建设项目</w:t>
      </w: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6" w:name="_Toc82441625"/>
      <w:r>
        <w:rPr>
          <w:rFonts w:hint="eastAsia" w:ascii="宋体"/>
          <w:b/>
          <w:sz w:val="28"/>
          <w:szCs w:val="28"/>
        </w:rPr>
        <w:t>附件</w:t>
      </w:r>
      <w:bookmarkStart w:id="127" w:name="_Toc325726037"/>
      <w:bookmarkStart w:id="128" w:name="_Toc376936768"/>
      <w:r>
        <w:rPr>
          <w:rFonts w:hint="eastAsia" w:ascii="宋体"/>
          <w:b/>
          <w:sz w:val="28"/>
          <w:szCs w:val="28"/>
        </w:rPr>
        <w:t>1：投 标 函</w:t>
      </w:r>
      <w:bookmarkEnd w:id="126"/>
      <w:bookmarkEnd w:id="127"/>
      <w:bookmarkEnd w:id="128"/>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致：青海省政府采购中心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 xml:space="preserve">我们收到青政采公招（货物）2022-029号招标文件，经研究，法定代表人（姓名、职务）正式授权（委托代理人姓名、职务）代表投标人（投标人名称、地址）提交投标文件。    </w:t>
      </w:r>
    </w:p>
    <w:p>
      <w:pPr>
        <w:adjustRightInd w:val="0"/>
        <w:ind w:firstLine="424" w:firstLineChars="177"/>
        <w:textAlignment w:val="baseline"/>
        <w:rPr>
          <w:rFonts w:hint="eastAsia" w:ascii="宋体" w:hAnsi="宋体"/>
        </w:rPr>
      </w:pPr>
      <w:r>
        <w:rPr>
          <w:rFonts w:hint="eastAsia" w:ascii="宋体" w:hAnsi="宋体"/>
        </w:rPr>
        <w:t>据此函，签字代表宣布同意如下：</w:t>
      </w:r>
    </w:p>
    <w:p>
      <w:pPr>
        <w:adjustRightInd w:val="0"/>
        <w:ind w:firstLine="424"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424"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424"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424"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424" w:firstLineChars="177"/>
        <w:textAlignment w:val="baseline"/>
        <w:rPr>
          <w:rFonts w:hint="eastAsia" w:ascii="宋体" w:hAnsi="宋体"/>
        </w:rPr>
      </w:pPr>
      <w:r>
        <w:rPr>
          <w:rFonts w:hint="eastAsia" w:ascii="宋体" w:hAnsi="宋体"/>
        </w:rPr>
        <w:t>地址：_______________   邮编：______________</w:t>
      </w:r>
    </w:p>
    <w:p>
      <w:pPr>
        <w:adjustRightInd w:val="0"/>
        <w:ind w:firstLine="424" w:firstLineChars="177"/>
        <w:textAlignment w:val="baseline"/>
        <w:rPr>
          <w:rFonts w:hint="eastAsia" w:ascii="宋体" w:hAnsi="宋体"/>
        </w:rPr>
      </w:pPr>
      <w:r>
        <w:rPr>
          <w:rFonts w:hint="eastAsia" w:ascii="宋体" w:hAnsi="宋体"/>
        </w:rPr>
        <w:t>电话：_______________   传真：______________</w:t>
      </w:r>
    </w:p>
    <w:p>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ascii="宋体"/>
          <w:b/>
          <w:sz w:val="28"/>
          <w:szCs w:val="28"/>
        </w:rPr>
      </w:pPr>
      <w:bookmarkStart w:id="129" w:name="_Toc82441626"/>
      <w:r>
        <w:rPr>
          <w:rFonts w:hint="eastAsia" w:ascii="宋体"/>
          <w:b/>
          <w:sz w:val="28"/>
          <w:szCs w:val="28"/>
        </w:rPr>
        <w:t>附件</w:t>
      </w:r>
      <w:bookmarkStart w:id="130" w:name="_Toc376936774"/>
      <w:bookmarkStart w:id="131" w:name="_Toc325726043"/>
      <w:bookmarkStart w:id="132" w:name="_Toc325726042"/>
      <w:bookmarkStart w:id="133" w:name="_Toc376936773"/>
      <w:r>
        <w:rPr>
          <w:rFonts w:hint="eastAsia" w:ascii="宋体"/>
          <w:b/>
          <w:sz w:val="28"/>
          <w:szCs w:val="28"/>
        </w:rPr>
        <w:t>2：法定代表人证明书</w:t>
      </w:r>
      <w:bookmarkEnd w:id="129"/>
      <w:bookmarkEnd w:id="130"/>
      <w:bookmarkEnd w:id="131"/>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致：青海省政府采购中心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32"/>
    <w:bookmarkEnd w:id="133"/>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4" w:name="_Toc201287639"/>
      <w:bookmarkStart w:id="135" w:name="_Toc324756736"/>
      <w:bookmarkStart w:id="136" w:name="_Toc82441627"/>
      <w:r>
        <w:rPr>
          <w:rFonts w:hint="eastAsia" w:ascii="宋体"/>
          <w:b/>
          <w:sz w:val="28"/>
          <w:szCs w:val="28"/>
        </w:rPr>
        <w:t>附件</w:t>
      </w:r>
      <w:bookmarkEnd w:id="134"/>
      <w:bookmarkEnd w:id="135"/>
      <w:r>
        <w:rPr>
          <w:rFonts w:hint="eastAsia" w:ascii="宋体"/>
          <w:b/>
          <w:sz w:val="28"/>
          <w:szCs w:val="28"/>
        </w:rPr>
        <w:t>3：法定代表人授权书</w:t>
      </w:r>
      <w:bookmarkEnd w:id="136"/>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r>
        <w:rPr>
          <w:rFonts w:hint="eastAsia" w:ascii="宋体" w:hAnsi="宋体"/>
          <w:b/>
          <w:bCs/>
        </w:rPr>
        <w:t>致：青海省政府采购中心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4185"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p>
    <w:p>
      <w:pPr>
        <w:ind w:right="480" w:firstLine="5028"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7" w:name="_Toc82441628"/>
      <w:r>
        <w:rPr>
          <w:rFonts w:ascii="宋体"/>
          <w:b/>
          <w:sz w:val="28"/>
          <w:szCs w:val="28"/>
        </w:rPr>
        <w:br w:type="page"/>
      </w:r>
      <w:r>
        <w:rPr>
          <w:rFonts w:hint="eastAsia" w:ascii="宋体"/>
          <w:b/>
          <w:sz w:val="28"/>
          <w:szCs w:val="28"/>
        </w:rPr>
        <w:t>附件4：投标人承诺函</w:t>
      </w:r>
      <w:bookmarkEnd w:id="137"/>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致：青海省政府采购中心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日青政采公招（货物）2022-029号采购项目，本签字人愿意参加投标，提供采购一览表中要求的所有产品，并证实提交的所有资料是准确的和真实的。同时，我代表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72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720" w:firstLineChars="300"/>
        <w:rPr>
          <w:rFonts w:hint="eastAsia" w:ascii="宋体" w:hAnsi="宋体"/>
          <w:color w:val="000000"/>
        </w:rPr>
      </w:pPr>
      <w:r>
        <w:rPr>
          <w:rFonts w:hint="eastAsia" w:ascii="宋体" w:hAnsi="宋体"/>
          <w:color w:val="000000"/>
        </w:rPr>
        <w:t>4、我方承诺，除招标文件中规定的进口产品外，所投的产品均为国产产品，且均符合国家强制性标准。若有不实，愿承担相应的责任。</w:t>
      </w:r>
    </w:p>
    <w:p>
      <w:pPr>
        <w:ind w:firstLine="720" w:firstLineChars="300"/>
        <w:rPr>
          <w:rFonts w:hint="eastAsia" w:ascii="宋体" w:hAnsi="宋体"/>
        </w:rPr>
      </w:pPr>
      <w:r>
        <w:rPr>
          <w:rFonts w:hint="eastAsia" w:ascii="宋体" w:hAnsi="宋体"/>
        </w:rPr>
        <w:t>5、针对本项目，我方承诺具备履行合同所必需的设备和专业技术能力。</w:t>
      </w:r>
    </w:p>
    <w:p>
      <w:pPr>
        <w:ind w:firstLine="480"/>
        <w:rPr>
          <w:rFonts w:hint="eastAsia" w:ascii="宋体" w:hAnsi="宋体"/>
          <w:color w:val="000000"/>
        </w:rPr>
      </w:pPr>
      <w:r>
        <w:rPr>
          <w:rFonts w:hint="eastAsia" w:ascii="宋体" w:hAnsi="宋体"/>
          <w:color w:val="000000"/>
        </w:rPr>
        <w:t xml:space="preserve">  6、在整个招标过程中我方若有违规行为，贵方可按招标文件之规定给予处罚，我方完全接受。</w:t>
      </w:r>
    </w:p>
    <w:p>
      <w:pPr>
        <w:ind w:firstLine="720" w:firstLineChars="300"/>
        <w:rPr>
          <w:rFonts w:hint="eastAsia" w:ascii="宋体" w:hAnsi="宋体"/>
        </w:rPr>
      </w:pPr>
      <w:r>
        <w:rPr>
          <w:rFonts w:hint="eastAsia" w:ascii="宋体" w:hAnsi="宋体"/>
          <w:color w:val="000000"/>
        </w:rPr>
        <w:t>7、若中标，本承诺将成为合同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028"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8" w:name="_Toc82441629"/>
      <w:r>
        <w:rPr>
          <w:rFonts w:hint="eastAsia" w:ascii="宋体"/>
          <w:b/>
          <w:sz w:val="28"/>
          <w:szCs w:val="28"/>
        </w:rPr>
        <w:t>附件</w:t>
      </w:r>
      <w:bookmarkStart w:id="139" w:name="_Toc376936779"/>
      <w:bookmarkStart w:id="140" w:name="_Toc365019584"/>
      <w:bookmarkStart w:id="141" w:name="_Toc351475542"/>
      <w:r>
        <w:rPr>
          <w:rFonts w:hint="eastAsia" w:ascii="宋体"/>
          <w:b/>
          <w:sz w:val="28"/>
          <w:szCs w:val="28"/>
        </w:rPr>
        <w:t>5：供应商诚信承诺书</w:t>
      </w:r>
      <w:bookmarkEnd w:id="138"/>
      <w:bookmarkEnd w:id="139"/>
      <w:bookmarkEnd w:id="140"/>
      <w:bookmarkEnd w:id="141"/>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Lines="50"/>
        <w:ind w:firstLine="0" w:firstLineChars="0"/>
        <w:rPr>
          <w:rFonts w:hint="eastAsia" w:ascii="宋体" w:hAnsi="宋体"/>
          <w:b/>
          <w:bCs/>
        </w:rPr>
      </w:pPr>
      <w:r>
        <w:rPr>
          <w:rFonts w:hint="eastAsia" w:ascii="宋体" w:hAnsi="宋体"/>
          <w:b/>
          <w:bCs/>
        </w:rPr>
        <w:t>致：青海省政府采购中心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二、参加青海省政府采购中心组织的政府采购活动时，严格按照招标文件的规定和要求提供所需的相关材料，并对所提供的各类资料的真实性负责，不虚假应标，不虚列业绩。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Lines="100"/>
        <w:ind w:firstLine="0" w:firstLineChars="0"/>
        <w:jc w:val="left"/>
        <w:rPr>
          <w:rFonts w:hint="eastAsia" w:ascii="宋体" w:hAnsi="宋体"/>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p>
    <w:p>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028"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42" w:name="_Toc82441630"/>
      <w:r>
        <w:rPr>
          <w:rFonts w:hint="eastAsia" w:ascii="宋体"/>
          <w:b/>
          <w:sz w:val="28"/>
          <w:szCs w:val="28"/>
        </w:rPr>
        <w:t>附件6：投标人资格证明文件</w:t>
      </w:r>
      <w:bookmarkEnd w:id="142"/>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43" w:name="_Toc82441631"/>
      <w:r>
        <w:rPr>
          <w:rFonts w:hint="eastAsia" w:ascii="宋体"/>
          <w:b/>
          <w:sz w:val="28"/>
          <w:szCs w:val="28"/>
        </w:rPr>
        <w:t>附件7：财务状况、缴纳税收和社会保障资金证明</w:t>
      </w:r>
      <w:bookmarkEnd w:id="143"/>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hint="eastAsia" w:ascii="宋体" w:hAnsi="宋体"/>
        </w:rPr>
      </w:pPr>
      <w:r>
        <w:rPr>
          <w:rFonts w:hint="eastAsia" w:ascii="宋体" w:hAnsi="宋体"/>
        </w:rPr>
        <w:t>1、投标人是法人的，提供2020或2021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44" w:name="_Toc82441632"/>
      <w:r>
        <w:rPr>
          <w:rFonts w:hint="eastAsia" w:ascii="宋体"/>
          <w:b/>
          <w:sz w:val="28"/>
          <w:szCs w:val="28"/>
        </w:rPr>
        <w:t>附件8：无重大违法记录声明</w:t>
      </w:r>
      <w:bookmarkEnd w:id="144"/>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480"/>
        <w:outlineLvl w:val="1"/>
        <w:rPr>
          <w:rFonts w:ascii="宋体" w:hAnsi="宋体"/>
        </w:rPr>
      </w:pPr>
      <w:bookmarkStart w:id="145" w:name="_Toc82441343"/>
      <w:bookmarkStart w:id="146" w:name="_Toc82441633"/>
      <w:bookmarkStart w:id="147" w:name="_Toc67558046"/>
      <w:bookmarkStart w:id="148" w:name="_Toc37147848"/>
      <w:bookmarkStart w:id="149" w:name="_Toc36569325"/>
      <w:bookmarkStart w:id="150" w:name="_Toc36567478"/>
      <w:r>
        <w:rPr>
          <w:rFonts w:hint="eastAsia" w:ascii="宋体" w:hAnsi="宋体"/>
        </w:rPr>
        <w:t>提供参加政府采购活动前3年内在经营活动中没有重大违法记录的书面声明（格式可自定）。</w:t>
      </w:r>
      <w:bookmarkEnd w:id="145"/>
      <w:bookmarkEnd w:id="146"/>
    </w:p>
    <w:p>
      <w:pPr>
        <w:widowControl/>
        <w:snapToGrid w:val="0"/>
        <w:spacing w:line="360" w:lineRule="auto"/>
        <w:ind w:firstLine="0" w:firstLineChars="0"/>
        <w:outlineLvl w:val="1"/>
        <w:rPr>
          <w:rFonts w:hint="eastAsia" w:ascii="宋体"/>
          <w:b/>
          <w:color w:val="FF0000"/>
          <w:sz w:val="28"/>
          <w:szCs w:val="28"/>
        </w:rPr>
      </w:pPr>
      <w:r>
        <w:rPr>
          <w:rFonts w:ascii="宋体" w:hAnsi="宋体"/>
        </w:rPr>
        <w:br w:type="page"/>
      </w:r>
      <w:bookmarkStart w:id="151" w:name="_Toc82441634"/>
      <w:r>
        <w:rPr>
          <w:rFonts w:hint="eastAsia" w:ascii="宋体"/>
          <w:b/>
          <w:sz w:val="28"/>
          <w:szCs w:val="28"/>
        </w:rPr>
        <w:t>附件9：投标保证金证明</w:t>
      </w:r>
      <w:bookmarkEnd w:id="15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52" w:name="_Toc82441345"/>
      <w:bookmarkStart w:id="153" w:name="_Toc82441635"/>
      <w:r>
        <w:rPr>
          <w:rFonts w:hint="eastAsia" w:ascii="宋体" w:hAnsi="宋体"/>
          <w:b/>
          <w:sz w:val="36"/>
          <w:szCs w:val="36"/>
        </w:rPr>
        <w:t>投标保证金证明</w:t>
      </w:r>
      <w:bookmarkEnd w:id="152"/>
      <w:bookmarkEnd w:id="153"/>
    </w:p>
    <w:p>
      <w:pPr>
        <w:spacing w:afterLines="50"/>
        <w:ind w:firstLine="0" w:firstLineChars="0"/>
        <w:rPr>
          <w:rFonts w:hint="eastAsia" w:ascii="宋体" w:hAnsi="宋体"/>
          <w:b/>
          <w:bCs/>
        </w:rPr>
      </w:pPr>
    </w:p>
    <w:p>
      <w:pPr>
        <w:spacing w:afterLines="50"/>
        <w:ind w:firstLine="0" w:firstLineChars="0"/>
        <w:rPr>
          <w:rFonts w:hint="eastAsia" w:ascii="宋体" w:hAnsi="宋体"/>
          <w:b/>
          <w:bCs/>
        </w:rPr>
      </w:pPr>
      <w:r>
        <w:rPr>
          <w:rFonts w:hint="eastAsia" w:ascii="宋体" w:hAnsi="宋体"/>
          <w:b/>
          <w:bCs/>
        </w:rPr>
        <w:t>致：青海省政府采购中心</w:t>
      </w:r>
    </w:p>
    <w:p>
      <w:pPr>
        <w:widowControl/>
        <w:snapToGrid w:val="0"/>
        <w:ind w:firstLine="465" w:firstLineChars="0"/>
        <w:jc w:val="left"/>
        <w:outlineLvl w:val="1"/>
        <w:rPr>
          <w:rFonts w:hint="eastAsia" w:ascii="宋体" w:hAnsi="宋体"/>
        </w:rPr>
      </w:pPr>
      <w:bookmarkStart w:id="154" w:name="_Toc82441346"/>
      <w:bookmarkStart w:id="155" w:name="_Toc82441636"/>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rPr>
        <w:t>青政采公招（货物）2022-029号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4"/>
      <w:bookmarkEnd w:id="155"/>
    </w:p>
    <w:p>
      <w:pPr>
        <w:autoSpaceDE w:val="0"/>
        <w:autoSpaceDN w:val="0"/>
        <w:ind w:firstLine="199" w:firstLineChars="83"/>
        <w:rPr>
          <w:rFonts w:hint="eastAsia" w:ascii="新宋体" w:hAnsi="新宋体" w:eastAsia="新宋体" w:cs="新宋体"/>
          <w:bCs/>
        </w:rPr>
      </w:pPr>
    </w:p>
    <w:tbl>
      <w:tblPr>
        <w:tblStyle w:val="64"/>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520" w:firstLineChars="1050"/>
              <w:jc w:val="left"/>
              <w:outlineLvl w:val="1"/>
              <w:rPr>
                <w:rFonts w:ascii="宋体" w:hAnsi="宋体"/>
                <w:b/>
                <w:bCs/>
              </w:rPr>
            </w:pPr>
            <w:r>
              <w:rPr>
                <w:rFonts w:hint="eastAsia" w:ascii="宋体" w:hAnsi="宋体"/>
                <w:bCs/>
              </w:rPr>
              <w:t>投标保证金缴款证明（</w:t>
            </w:r>
            <w:r>
              <w:rPr>
                <w:rFonts w:hint="eastAsia" w:ascii="新宋体" w:hAnsi="新宋体" w:eastAsia="新宋体" w:cs="新宋体"/>
                <w:color w:val="000000"/>
                <w:kern w:val="0"/>
                <w:lang w:val="zh-CN"/>
              </w:rPr>
              <w:t>加盖公章）</w:t>
            </w:r>
          </w:p>
          <w:p>
            <w:pPr>
              <w:widowControl/>
              <w:snapToGrid w:val="0"/>
              <w:spacing w:line="360" w:lineRule="auto"/>
              <w:ind w:firstLine="0" w:firstLineChars="0"/>
              <w:jc w:val="left"/>
              <w:outlineLvl w:val="1"/>
              <w:rPr>
                <w:rFonts w:hint="eastAsia" w:ascii="宋体" w:hAnsi="宋体"/>
                <w:b/>
                <w:bCs/>
              </w:rPr>
            </w:pPr>
          </w:p>
        </w:tc>
      </w:tr>
    </w:tbl>
    <w:p>
      <w:pPr>
        <w:ind w:right="720" w:firstLine="482"/>
        <w:jc w:val="right"/>
        <w:rPr>
          <w:rFonts w:hint="eastAsia" w:ascii="宋体" w:hAnsi="宋体"/>
          <w:b/>
        </w:rPr>
      </w:pPr>
    </w:p>
    <w:p>
      <w:pPr>
        <w:ind w:right="1200" w:firstLine="0" w:firstLineChars="0"/>
        <w:rPr>
          <w:rFonts w:hint="eastAsia" w:ascii="宋体" w:hAnsi="宋体"/>
          <w:b/>
        </w:rPr>
      </w:pPr>
    </w:p>
    <w:p>
      <w:pPr>
        <w:ind w:right="720" w:firstLine="482"/>
        <w:jc w:val="right"/>
        <w:rPr>
          <w:rFonts w:hint="eastAsia" w:ascii="宋体" w:hAnsi="宋体"/>
          <w:b/>
        </w:rPr>
      </w:pPr>
    </w:p>
    <w:p>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5421" w:firstLineChars="2250"/>
        <w:rPr>
          <w:rFonts w:hint="eastAsia" w:ascii="宋体" w:hAnsi="宋体"/>
          <w:b/>
        </w:rPr>
      </w:pPr>
      <w:r>
        <w:rPr>
          <w:rFonts w:hint="eastAsia" w:ascii="宋体" w:hAnsi="宋体"/>
          <w:b/>
        </w:rPr>
        <w:t>年  月  日</w:t>
      </w:r>
    </w:p>
    <w:p>
      <w:pPr>
        <w:widowControl/>
        <w:snapToGrid w:val="0"/>
        <w:spacing w:line="360" w:lineRule="auto"/>
        <w:ind w:firstLine="0" w:firstLineChars="0"/>
        <w:jc w:val="left"/>
        <w:outlineLvl w:val="1"/>
        <w:rPr>
          <w:rFonts w:hint="eastAsia" w:ascii="宋体" w:hAnsi="宋体"/>
          <w:b/>
          <w:bCs/>
        </w:rPr>
      </w:pPr>
    </w:p>
    <w:p>
      <w:pPr>
        <w:widowControl/>
        <w:snapToGrid w:val="0"/>
        <w:spacing w:line="360" w:lineRule="auto"/>
        <w:ind w:firstLine="465" w:firstLineChars="0"/>
        <w:jc w:val="left"/>
        <w:outlineLvl w:val="1"/>
        <w:rPr>
          <w:rFonts w:hint="eastAsia" w:ascii="宋体"/>
          <w:b/>
          <w:sz w:val="28"/>
          <w:szCs w:val="28"/>
        </w:rPr>
      </w:pPr>
      <w:r>
        <w:rPr>
          <w:rFonts w:ascii="宋体" w:hAnsi="宋体"/>
          <w:b/>
          <w:bCs/>
        </w:rPr>
        <w:br w:type="page"/>
      </w:r>
      <w:r>
        <w:rPr>
          <w:rFonts w:hint="eastAsia" w:ascii="宋体"/>
          <w:b/>
          <w:sz w:val="28"/>
          <w:szCs w:val="28"/>
        </w:rPr>
        <w:t xml:space="preserve">  </w:t>
      </w:r>
      <w:bookmarkStart w:id="156" w:name="_Toc82441637"/>
      <w:r>
        <w:rPr>
          <w:rFonts w:hint="eastAsia" w:ascii="宋体"/>
          <w:b/>
          <w:sz w:val="28"/>
          <w:szCs w:val="28"/>
        </w:rPr>
        <w:t>（投标文件封面）</w:t>
      </w:r>
      <w:bookmarkEnd w:id="147"/>
      <w:bookmarkEnd w:id="148"/>
      <w:bookmarkEnd w:id="149"/>
      <w:bookmarkEnd w:id="150"/>
      <w:bookmarkEnd w:id="156"/>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62" w:leftChars="-68" w:hanging="101" w:hangingChars="28"/>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：青政采公招（货物）2022-029号</w:t>
      </w:r>
    </w:p>
    <w:p>
      <w:pPr>
        <w:adjustRightInd w:val="0"/>
        <w:spacing w:line="360" w:lineRule="auto"/>
        <w:ind w:left="2454" w:leftChars="-68" w:hanging="2617" w:hangingChars="724"/>
        <w:textAlignment w:val="baseline"/>
        <w:rPr>
          <w:rFonts w:hint="eastAsia" w:ascii="宋体" w:hAnsi="宋体"/>
          <w:b/>
          <w:sz w:val="32"/>
        </w:rPr>
      </w:pPr>
      <w:r>
        <w:rPr>
          <w:rFonts w:hint="eastAsia" w:ascii="宋体" w:hAnsi="宋体"/>
          <w:b/>
          <w:bCs/>
          <w:sz w:val="36"/>
          <w:szCs w:val="36"/>
        </w:rPr>
        <w:t>采购项目名称：</w:t>
      </w:r>
      <w:r>
        <w:rPr>
          <w:rFonts w:hint="eastAsia" w:ascii="宋体" w:hAnsi="宋体"/>
          <w:b/>
          <w:sz w:val="36"/>
          <w:szCs w:val="36"/>
        </w:rPr>
        <w:t>青海省公安厅刑警总队电子物证实验室建设项目</w:t>
      </w: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left="-283" w:leftChars="-118" w:firstLine="1"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spacing w:line="360" w:lineRule="auto"/>
        <w:ind w:firstLine="0" w:firstLineChars="0"/>
        <w:jc w:val="center"/>
        <w:rPr>
          <w:rFonts w:hint="eastAsia" w:ascii="宋体" w:hAnsi="宋体"/>
          <w:b/>
          <w:sz w:val="32"/>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7" w:name="_Toc82441638"/>
      <w:r>
        <w:rPr>
          <w:rFonts w:hint="eastAsia" w:ascii="宋体"/>
          <w:b/>
          <w:sz w:val="28"/>
          <w:szCs w:val="28"/>
        </w:rPr>
        <w:t>附件</w:t>
      </w:r>
      <w:bookmarkStart w:id="158" w:name="_Toc325726038"/>
      <w:bookmarkStart w:id="159" w:name="_Toc376936769"/>
      <w:r>
        <w:rPr>
          <w:rFonts w:hint="eastAsia" w:ascii="宋体"/>
          <w:b/>
          <w:sz w:val="28"/>
          <w:szCs w:val="28"/>
        </w:rPr>
        <w:t>10：报价一览表</w:t>
      </w:r>
      <w:bookmarkEnd w:id="157"/>
      <w:bookmarkEnd w:id="158"/>
      <w:bookmarkEnd w:id="159"/>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64"/>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20"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98"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480" w:firstLine="5421" w:firstLineChars="225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0" w:name="_Toc82441639"/>
      <w:r>
        <w:rPr>
          <w:rFonts w:hint="eastAsia" w:ascii="宋体"/>
          <w:b/>
          <w:sz w:val="28"/>
          <w:szCs w:val="28"/>
        </w:rPr>
        <w:t>附件</w:t>
      </w:r>
      <w:bookmarkStart w:id="161" w:name="_Toc376936770"/>
      <w:bookmarkStart w:id="162" w:name="_Toc325726039"/>
      <w:r>
        <w:rPr>
          <w:rFonts w:hint="eastAsia" w:ascii="宋体"/>
          <w:b/>
          <w:sz w:val="28"/>
          <w:szCs w:val="28"/>
        </w:rPr>
        <w:t>11：分项报价表</w:t>
      </w:r>
      <w:bookmarkEnd w:id="160"/>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rPr>
      </w:pPr>
      <w:r>
        <w:rPr>
          <w:rFonts w:hint="eastAsia" w:ascii="宋体" w:hAnsi="宋体"/>
        </w:rPr>
        <w:t>单位：人民币（元）</w:t>
      </w:r>
    </w:p>
    <w:tbl>
      <w:tblPr>
        <w:tblStyle w:val="64"/>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497"/>
        <w:gridCol w:w="1134"/>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497" w:type="dxa"/>
            <w:vAlign w:val="center"/>
          </w:tcPr>
          <w:p>
            <w:pPr>
              <w:ind w:firstLine="0" w:firstLineChars="0"/>
              <w:jc w:val="center"/>
              <w:rPr>
                <w:rFonts w:hint="eastAsia" w:ascii="宋体" w:hAnsi="宋体"/>
              </w:rPr>
            </w:pPr>
            <w:r>
              <w:rPr>
                <w:rFonts w:hint="eastAsia" w:ascii="宋体" w:hAnsi="宋体"/>
              </w:rPr>
              <w:t>产品名称</w:t>
            </w:r>
          </w:p>
        </w:tc>
        <w:tc>
          <w:tcPr>
            <w:tcW w:w="1134"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合计</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1</w:t>
            </w:r>
          </w:p>
        </w:tc>
        <w:tc>
          <w:tcPr>
            <w:tcW w:w="1497" w:type="dxa"/>
            <w:vAlign w:val="center"/>
          </w:tcPr>
          <w:p>
            <w:pPr>
              <w:ind w:firstLine="480"/>
              <w:jc w:val="center"/>
              <w:rPr>
                <w:rFonts w:hint="eastAsia" w:ascii="宋体" w:hAnsi="宋体"/>
              </w:rPr>
            </w:pPr>
          </w:p>
        </w:tc>
        <w:tc>
          <w:tcPr>
            <w:tcW w:w="1134"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2</w:t>
            </w:r>
          </w:p>
        </w:tc>
        <w:tc>
          <w:tcPr>
            <w:tcW w:w="1497" w:type="dxa"/>
            <w:vAlign w:val="center"/>
          </w:tcPr>
          <w:p>
            <w:pPr>
              <w:ind w:firstLine="480"/>
              <w:jc w:val="center"/>
              <w:rPr>
                <w:rFonts w:hint="eastAsia" w:ascii="宋体" w:hAnsi="宋体"/>
              </w:rPr>
            </w:pPr>
          </w:p>
        </w:tc>
        <w:tc>
          <w:tcPr>
            <w:tcW w:w="1134"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3</w:t>
            </w:r>
          </w:p>
        </w:tc>
        <w:tc>
          <w:tcPr>
            <w:tcW w:w="1497" w:type="dxa"/>
            <w:vAlign w:val="center"/>
          </w:tcPr>
          <w:p>
            <w:pPr>
              <w:ind w:firstLine="480"/>
              <w:jc w:val="center"/>
              <w:rPr>
                <w:rFonts w:hint="eastAsia" w:ascii="宋体" w:hAnsi="宋体"/>
              </w:rPr>
            </w:pPr>
          </w:p>
        </w:tc>
        <w:tc>
          <w:tcPr>
            <w:tcW w:w="1134"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hint="eastAsia" w:ascii="宋体" w:hAnsi="宋体"/>
              </w:rPr>
              <w:t>4</w:t>
            </w:r>
          </w:p>
        </w:tc>
        <w:tc>
          <w:tcPr>
            <w:tcW w:w="1497" w:type="dxa"/>
            <w:vAlign w:val="center"/>
          </w:tcPr>
          <w:p>
            <w:pPr>
              <w:ind w:firstLine="480"/>
              <w:jc w:val="center"/>
              <w:rPr>
                <w:rFonts w:hint="eastAsia" w:ascii="宋体" w:hAnsi="宋体"/>
              </w:rPr>
            </w:pPr>
          </w:p>
        </w:tc>
        <w:tc>
          <w:tcPr>
            <w:tcW w:w="1134"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hint="eastAsia" w:ascii="宋体" w:hAnsi="宋体"/>
              </w:rPr>
            </w:pPr>
            <w:r>
              <w:rPr>
                <w:rFonts w:ascii="宋体" w:hAnsi="宋体"/>
              </w:rPr>
              <w:t>…</w:t>
            </w:r>
          </w:p>
        </w:tc>
        <w:tc>
          <w:tcPr>
            <w:tcW w:w="1497" w:type="dxa"/>
            <w:vAlign w:val="center"/>
          </w:tcPr>
          <w:p>
            <w:pPr>
              <w:ind w:firstLine="480"/>
              <w:jc w:val="center"/>
              <w:rPr>
                <w:rFonts w:hint="eastAsia" w:ascii="宋体" w:hAnsi="宋体"/>
              </w:rPr>
            </w:pPr>
          </w:p>
        </w:tc>
        <w:tc>
          <w:tcPr>
            <w:tcW w:w="1134"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155" w:type="dxa"/>
            <w:gridSpan w:val="2"/>
            <w:vAlign w:val="center"/>
          </w:tcPr>
          <w:p>
            <w:pPr>
              <w:ind w:firstLine="480"/>
              <w:rPr>
                <w:rFonts w:hint="eastAsia" w:ascii="宋体" w:hAnsi="宋体"/>
              </w:rPr>
            </w:pPr>
            <w:r>
              <w:rPr>
                <w:rFonts w:hint="eastAsia" w:ascii="宋体" w:hAnsi="宋体"/>
              </w:rPr>
              <w:t>投标总价</w:t>
            </w:r>
          </w:p>
        </w:tc>
        <w:tc>
          <w:tcPr>
            <w:tcW w:w="6764" w:type="dxa"/>
            <w:gridSpan w:val="7"/>
            <w:vAlign w:val="center"/>
          </w:tcPr>
          <w:p>
            <w:pPr>
              <w:ind w:firstLine="480"/>
              <w:rPr>
                <w:rFonts w:hint="eastAsia" w:ascii="宋体" w:hAnsi="宋体"/>
              </w:rPr>
            </w:pPr>
            <w:r>
              <w:rPr>
                <w:rFonts w:hint="eastAsia" w:ascii="宋体" w:hAnsi="宋体"/>
              </w:rPr>
              <w:t>大写：                      小写：</w:t>
            </w:r>
          </w:p>
        </w:tc>
      </w:tr>
    </w:tbl>
    <w:p>
      <w:pPr>
        <w:spacing w:line="276" w:lineRule="auto"/>
        <w:ind w:firstLine="352"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99" w:firstLineChars="83"/>
        <w:rPr>
          <w:rFonts w:hint="eastAsia" w:ascii="宋体" w:hAnsi="宋体"/>
        </w:rPr>
      </w:pPr>
    </w:p>
    <w:p>
      <w:pPr>
        <w:ind w:firstLine="199" w:firstLineChars="83"/>
        <w:rPr>
          <w:rFonts w:hint="eastAsia" w:ascii="宋体" w:hAnsi="宋体"/>
        </w:rPr>
      </w:pPr>
    </w:p>
    <w:p>
      <w:pPr>
        <w:ind w:firstLine="199" w:firstLineChars="83"/>
        <w:rPr>
          <w:rFonts w:hint="eastAsia" w:ascii="宋体" w:hAnsi="宋体"/>
        </w:rPr>
      </w:pPr>
    </w:p>
    <w:p>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rFonts w:hint="eastAsia"/>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63" w:name="_Toc82441640"/>
      <w:r>
        <w:rPr>
          <w:rFonts w:hint="eastAsia" w:ascii="宋体"/>
          <w:b/>
          <w:sz w:val="28"/>
          <w:szCs w:val="28"/>
        </w:rPr>
        <w:t>附件</w:t>
      </w:r>
      <w:bookmarkStart w:id="164" w:name="_Toc376936771"/>
      <w:bookmarkStart w:id="165" w:name="_Toc325726040"/>
      <w:r>
        <w:rPr>
          <w:rFonts w:hint="eastAsia" w:ascii="宋体"/>
          <w:b/>
          <w:sz w:val="28"/>
          <w:szCs w:val="28"/>
        </w:rPr>
        <w:t>12：技术规格响应表</w:t>
      </w:r>
      <w:bookmarkEnd w:id="163"/>
      <w:bookmarkEnd w:id="164"/>
      <w:bookmarkEnd w:id="16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64"/>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20"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52"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2"/>
        </w:numPr>
        <w:spacing w:line="360" w:lineRule="exact"/>
        <w:ind w:firstLine="840"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2"/>
        </w:numPr>
        <w:spacing w:line="360" w:lineRule="exact"/>
        <w:ind w:firstLine="840"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542" w:firstLineChars="2300"/>
        <w:rPr>
          <w:rFonts w:hint="eastAsia"/>
          <w:b/>
        </w:rPr>
      </w:pPr>
      <w:r>
        <w:rPr>
          <w:rFonts w:hint="eastAsia"/>
          <w:b/>
        </w:rPr>
        <w:t>年  月  日</w:t>
      </w:r>
    </w:p>
    <w:p>
      <w:pPr>
        <w:widowControl/>
        <w:snapToGrid w:val="0"/>
        <w:spacing w:line="360" w:lineRule="auto"/>
        <w:ind w:firstLine="0" w:firstLineChars="0"/>
        <w:outlineLvl w:val="1"/>
        <w:rPr>
          <w:rFonts w:hint="eastAsia" w:ascii="宋体"/>
          <w:b/>
          <w:sz w:val="28"/>
          <w:szCs w:val="28"/>
        </w:rPr>
      </w:pPr>
      <w:bookmarkStart w:id="166" w:name="_Toc82441641"/>
      <w:r>
        <w:rPr>
          <w:rFonts w:hint="eastAsia" w:ascii="宋体"/>
          <w:b/>
          <w:sz w:val="28"/>
          <w:szCs w:val="28"/>
        </w:rPr>
        <w:t>附件13：其他资格证明材料</w:t>
      </w:r>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70"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投标产品的相关认证、合格证等材料，生产厂家的相关资质、相关认证和投标人认为有必要提供的其他资格证明文件等材料。</w:t>
      </w: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7" w:name="_Toc82441642"/>
      <w:r>
        <w:rPr>
          <w:rFonts w:hint="eastAsia" w:ascii="宋体"/>
          <w:b/>
          <w:sz w:val="28"/>
          <w:szCs w:val="28"/>
        </w:rPr>
        <w:t>附件1</w:t>
      </w:r>
      <w:bookmarkStart w:id="168" w:name="_Toc376936780"/>
      <w:bookmarkStart w:id="169" w:name="_Toc325726045"/>
      <w:bookmarkStart w:id="170" w:name="_Toc365019586"/>
      <w:r>
        <w:rPr>
          <w:rFonts w:hint="eastAsia" w:ascii="宋体"/>
          <w:b/>
          <w:sz w:val="28"/>
          <w:szCs w:val="28"/>
        </w:rPr>
        <w:t>4：投标产品相关资料</w:t>
      </w:r>
      <w:bookmarkEnd w:id="167"/>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70"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ind w:firstLine="480"/>
        <w:rPr>
          <w:rFonts w:hint="eastAsia" w:ascii="宋体" w:hAnsi="宋体"/>
          <w:bCs/>
        </w:rPr>
      </w:pPr>
    </w:p>
    <w:bookmarkEnd w:id="168"/>
    <w:bookmarkEnd w:id="169"/>
    <w:bookmarkEnd w:id="170"/>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71" w:name="_Toc82441643"/>
      <w:r>
        <w:rPr>
          <w:rFonts w:hint="eastAsia" w:ascii="宋体"/>
          <w:b/>
          <w:sz w:val="28"/>
          <w:szCs w:val="28"/>
        </w:rPr>
        <w:t>附件15：投标人类似业绩证明材料</w:t>
      </w:r>
      <w:bookmarkEnd w:id="17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2019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b/>
          <w:sz w:val="28"/>
          <w:szCs w:val="28"/>
        </w:rPr>
      </w:pPr>
      <w:r>
        <w:rPr>
          <w:rFonts w:ascii="宋体" w:hAnsi="宋体"/>
          <w:b/>
        </w:rPr>
        <w:br w:type="page"/>
      </w:r>
      <w:bookmarkStart w:id="172" w:name="_Toc82441644"/>
      <w:r>
        <w:rPr>
          <w:rFonts w:hint="eastAsia" w:ascii="宋体"/>
          <w:b/>
          <w:sz w:val="28"/>
          <w:szCs w:val="28"/>
        </w:rPr>
        <w:t>附件16：</w:t>
      </w:r>
      <w:bookmarkStart w:id="173" w:name="_Toc474913501"/>
      <w:bookmarkStart w:id="174" w:name="_Toc460486440"/>
      <w:r>
        <w:rPr>
          <w:rFonts w:hint="eastAsia" w:ascii="宋体"/>
          <w:b/>
          <w:sz w:val="28"/>
          <w:szCs w:val="28"/>
        </w:rPr>
        <w:t>中小企业声明函</w:t>
      </w:r>
      <w:bookmarkEnd w:id="17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Lines="50"/>
        <w:ind w:firstLine="0" w:firstLineChars="0"/>
        <w:rPr>
          <w:rFonts w:ascii="宋体" w:hAnsi="宋体"/>
          <w:b/>
          <w:bCs/>
        </w:rPr>
      </w:pPr>
      <w:r>
        <w:rPr>
          <w:rFonts w:hint="eastAsia" w:ascii="宋体" w:hAnsi="宋体"/>
          <w:b/>
          <w:bCs/>
        </w:rPr>
        <w:t>致：青海省政府采购中心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6023"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color w:val="000000"/>
          <w:sz w:val="28"/>
          <w:szCs w:val="28"/>
        </w:rPr>
      </w:pPr>
      <w:bookmarkStart w:id="175" w:name="_Toc82441645"/>
      <w:r>
        <w:rPr>
          <w:rFonts w:hint="eastAsia" w:ascii="宋体"/>
          <w:b/>
          <w:color w:val="000000"/>
          <w:sz w:val="28"/>
          <w:szCs w:val="28"/>
        </w:rPr>
        <w:t>附件17：残疾人福利性单位声明函</w:t>
      </w:r>
      <w:bookmarkEnd w:id="175"/>
    </w:p>
    <w:p>
      <w:pPr>
        <w:ind w:firstLine="0" w:firstLineChars="0"/>
        <w:jc w:val="center"/>
        <w:rPr>
          <w:rFonts w:hint="eastAsia" w:ascii="宋体" w:hAnsi="宋体"/>
          <w:b/>
          <w:sz w:val="36"/>
          <w:szCs w:val="36"/>
        </w:rPr>
      </w:pPr>
      <w:bookmarkStart w:id="176" w:name="OLE_LINK13"/>
      <w:bookmarkStart w:id="177"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6"/>
    <w:bookmarkEnd w:id="177"/>
    <w:p>
      <w:pPr>
        <w:spacing w:afterLines="50"/>
        <w:ind w:firstLine="0" w:firstLineChars="0"/>
        <w:rPr>
          <w:rFonts w:hint="eastAsia" w:ascii="宋体" w:hAnsi="宋体"/>
          <w:bCs/>
        </w:rPr>
      </w:pPr>
    </w:p>
    <w:p>
      <w:pPr>
        <w:spacing w:afterLines="50"/>
        <w:ind w:firstLine="0" w:firstLineChars="0"/>
        <w:rPr>
          <w:rFonts w:ascii="宋体" w:hAnsi="宋体"/>
          <w:b/>
          <w:bCs/>
        </w:rPr>
      </w:pPr>
      <w:r>
        <w:rPr>
          <w:rFonts w:hint="eastAsia" w:ascii="宋体" w:hAnsi="宋体"/>
          <w:b/>
          <w:bCs/>
        </w:rPr>
        <w:t>致：青海省政府采购中心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r>
        <w:rPr>
          <w:rFonts w:ascii="宋体"/>
          <w:b/>
          <w:color w:val="000000"/>
          <w:sz w:val="28"/>
          <w:szCs w:val="28"/>
        </w:rPr>
        <w:br w:type="page"/>
      </w:r>
      <w:bookmarkStart w:id="178" w:name="_Toc82441646"/>
      <w:r>
        <w:rPr>
          <w:rFonts w:hint="eastAsia" w:ascii="宋体"/>
          <w:b/>
          <w:color w:val="000000"/>
          <w:sz w:val="28"/>
          <w:szCs w:val="28"/>
        </w:rPr>
        <w:t>附件18：</w:t>
      </w:r>
      <w:bookmarkEnd w:id="173"/>
      <w:r>
        <w:rPr>
          <w:rFonts w:hint="eastAsia" w:ascii="宋体"/>
          <w:b/>
          <w:color w:val="000000"/>
          <w:sz w:val="28"/>
          <w:szCs w:val="28"/>
        </w:rPr>
        <w:t>项目管理实施方案及售后服务</w:t>
      </w:r>
      <w:bookmarkEnd w:id="178"/>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ascii="宋体" w:hAnsi="宋体"/>
          <w:color w:val="000000"/>
        </w:rPr>
        <w:br w:type="page"/>
      </w:r>
      <w:bookmarkStart w:id="179" w:name="_Toc82441647"/>
      <w:bookmarkStart w:id="180" w:name="_Toc67558057"/>
      <w:r>
        <w:rPr>
          <w:rFonts w:hint="eastAsia" w:ascii="宋体"/>
          <w:b/>
          <w:color w:val="000000"/>
          <w:sz w:val="28"/>
          <w:szCs w:val="28"/>
        </w:rPr>
        <w:t>附件19：投标人认为在其他方面有必要说明的事项</w:t>
      </w:r>
      <w:bookmarkEnd w:id="179"/>
      <w:bookmarkEnd w:id="180"/>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0" w:firstLineChars="0"/>
        <w:rPr>
          <w:rFonts w:hint="eastAsia" w:ascii="宋体" w:hAnsi="宋体"/>
          <w:color w:val="000000"/>
        </w:rPr>
      </w:pPr>
    </w:p>
    <w:bookmarkEnd w:id="174"/>
    <w:p>
      <w:pPr>
        <w:tabs>
          <w:tab w:val="left" w:pos="168"/>
        </w:tabs>
        <w:adjustRightInd w:val="0"/>
        <w:ind w:firstLine="0" w:firstLineChars="0"/>
        <w:jc w:val="center"/>
        <w:textAlignment w:val="baseline"/>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1" w:name="_Toc325726051"/>
      <w:bookmarkStart w:id="182" w:name="_Toc376936782"/>
      <w:bookmarkStart w:id="183" w:name="_Toc82441648"/>
      <w:r>
        <w:rPr>
          <w:rFonts w:hint="eastAsia" w:ascii="宋体"/>
          <w:b/>
          <w:kern w:val="28"/>
          <w:sz w:val="36"/>
          <w:szCs w:val="20"/>
        </w:rPr>
        <w:t>第五部分  采购项目要求及技术参数</w:t>
      </w:r>
      <w:bookmarkEnd w:id="181"/>
      <w:bookmarkEnd w:id="182"/>
      <w:bookmarkEnd w:id="183"/>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84" w:name="_Toc82441649"/>
      <w:bookmarkStart w:id="185" w:name="_Toc376936783"/>
      <w:bookmarkStart w:id="186" w:name="_Toc325726052"/>
      <w:r>
        <w:rPr>
          <w:rFonts w:hint="eastAsia" w:ascii="宋体" w:hAnsi="宋体"/>
          <w:b/>
          <w:bCs/>
          <w:kern w:val="0"/>
          <w:sz w:val="36"/>
          <w:szCs w:val="36"/>
        </w:rPr>
        <w:t>一、投标要求</w:t>
      </w:r>
      <w:bookmarkEnd w:id="184"/>
      <w:bookmarkEnd w:id="185"/>
      <w:bookmarkEnd w:id="1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7" w:name="_Toc376936784"/>
      <w:bookmarkStart w:id="188" w:name="_Toc325726053"/>
      <w:bookmarkStart w:id="189" w:name="_Toc82441650"/>
      <w:r>
        <w:rPr>
          <w:rFonts w:hint="eastAsia" w:ascii="宋体" w:hAnsi="宋体"/>
          <w:b/>
          <w:bCs/>
          <w:kern w:val="0"/>
          <w:sz w:val="27"/>
          <w:szCs w:val="27"/>
        </w:rPr>
        <w:t>1、投标说明</w:t>
      </w:r>
      <w:bookmarkEnd w:id="187"/>
      <w:bookmarkEnd w:id="188"/>
      <w:bookmarkEnd w:id="189"/>
    </w:p>
    <w:p>
      <w:pPr>
        <w:ind w:firstLine="470" w:firstLineChars="196"/>
        <w:rPr>
          <w:rFonts w:hint="eastAsia"/>
        </w:rPr>
      </w:pPr>
      <w:r>
        <w:rPr>
          <w:rFonts w:hint="eastAsia" w:ascii="宋体" w:hAnsi="宋体"/>
        </w:rPr>
        <w:t>1.1</w:t>
      </w:r>
      <w:r>
        <w:rPr>
          <w:rFonts w:hint="eastAsia"/>
        </w:rPr>
        <w:t>投标人必须对招标文件采购一览表中所有内容作为一个整体进行投标，不能拆分或少报。否则，投标无效。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1.2投标报价为投标总价。包括产品费、检验费、手续费、包装费、运输费、保险费、安装调试费、税金及不可预见费等全部费用。若投标报价不能完全包括上述内容，按无效投标处理。</w:t>
      </w:r>
    </w:p>
    <w:p>
      <w:pPr>
        <w:ind w:firstLine="470" w:firstLineChars="196"/>
        <w:rPr>
          <w:rFonts w:hint="eastAsia" w:ascii="宋体" w:hAnsi="宋体"/>
        </w:rPr>
      </w:pPr>
      <w:r>
        <w:rPr>
          <w:rFonts w:hint="eastAsia" w:ascii="宋体" w:hAnsi="宋体"/>
        </w:rPr>
        <w:t>1.3本次采购产品均为国产产品，所投产品必须符合国家的强制性标准。</w:t>
      </w:r>
    </w:p>
    <w:p>
      <w:pPr>
        <w:ind w:firstLine="470" w:firstLineChars="196"/>
        <w:rPr>
          <w:rFonts w:hint="eastAsia" w:ascii="宋体" w:hAnsi="宋体"/>
        </w:rPr>
      </w:pPr>
      <w:r>
        <w:rPr>
          <w:rFonts w:hint="eastAsia" w:ascii="宋体" w:hAnsi="宋体"/>
        </w:rPr>
        <w:t>1.4所投产品或其任何一部分不得侵犯专利权、著作权、商标权和工业设计权等知识产权。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1.5交货时间、地点：</w:t>
      </w:r>
      <w:bookmarkStart w:id="190" w:name="_Toc325726054"/>
      <w:r>
        <w:rPr>
          <w:rFonts w:hint="eastAsia" w:ascii="宋体" w:hAnsi="宋体"/>
        </w:rPr>
        <w:t>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1" w:name="_Toc376936785"/>
      <w:bookmarkStart w:id="192" w:name="_Toc82441651"/>
      <w:r>
        <w:rPr>
          <w:rFonts w:hint="eastAsia" w:ascii="宋体" w:hAnsi="宋体"/>
          <w:b/>
          <w:bCs/>
          <w:kern w:val="0"/>
          <w:sz w:val="27"/>
          <w:szCs w:val="27"/>
        </w:rPr>
        <w:t>2、报价说明</w:t>
      </w:r>
      <w:bookmarkEnd w:id="191"/>
      <w:bookmarkEnd w:id="192"/>
    </w:p>
    <w:p>
      <w:pPr>
        <w:ind w:firstLine="470"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3" w:name="_Toc82441652"/>
      <w:bookmarkStart w:id="194" w:name="_Toc376936786"/>
      <w:r>
        <w:rPr>
          <w:rFonts w:hint="eastAsia" w:ascii="宋体" w:hAnsi="宋体"/>
          <w:b/>
          <w:bCs/>
          <w:kern w:val="0"/>
          <w:sz w:val="27"/>
          <w:szCs w:val="27"/>
        </w:rPr>
        <w:t>3、重要指标</w:t>
      </w:r>
      <w:bookmarkEnd w:id="190"/>
      <w:bookmarkEnd w:id="193"/>
      <w:bookmarkEnd w:id="194"/>
    </w:p>
    <w:p>
      <w:pPr>
        <w:ind w:firstLine="470" w:firstLineChars="196"/>
        <w:rPr>
          <w:rFonts w:hint="eastAsia" w:ascii="宋体" w:hAnsi="宋体"/>
        </w:rPr>
      </w:pPr>
      <w:r>
        <w:rPr>
          <w:rFonts w:hint="eastAsia" w:ascii="宋体" w:hAnsi="宋体"/>
        </w:rPr>
        <w:t>3.1招标文件在技术参数中列出了招标人可以接受的最低技术指标，投标人必须对技术参数一览表中各项产品和指标进行实质性响应，所提供的每一项技术指标不能低于所列的各项指标。</w:t>
      </w:r>
    </w:p>
    <w:p>
      <w:pPr>
        <w:ind w:firstLine="480"/>
        <w:rPr>
          <w:rFonts w:hint="eastAsia" w:ascii="宋体" w:hAnsi="宋体"/>
        </w:rPr>
      </w:pPr>
      <w:r>
        <w:rPr>
          <w:rFonts w:hint="eastAsia" w:ascii="宋体" w:hAnsi="宋体"/>
        </w:rPr>
        <w:t>3.2招标文件中凡需与原有设备、系统并机、兼容、匹配、对接等要求的，请主动和采购人联系，取得原有设备、系统相关资料。若有招标文件未提及或变更内容的，请及时与集中采购机构联系。</w:t>
      </w:r>
    </w:p>
    <w:p>
      <w:pPr>
        <w:widowControl/>
        <w:spacing w:beforeLines="200" w:afterLines="200" w:line="240" w:lineRule="auto"/>
        <w:ind w:firstLine="0" w:firstLineChars="0"/>
        <w:jc w:val="center"/>
        <w:outlineLvl w:val="1"/>
        <w:rPr>
          <w:rFonts w:hint="eastAsia" w:ascii="宋体" w:hAnsi="宋体"/>
          <w:b/>
          <w:bCs/>
          <w:kern w:val="0"/>
          <w:sz w:val="36"/>
          <w:szCs w:val="36"/>
        </w:rPr>
      </w:pPr>
      <w:bookmarkStart w:id="195" w:name="_Toc325726061"/>
      <w:bookmarkStart w:id="196" w:name="_Toc82441653"/>
      <w:bookmarkStart w:id="197" w:name="_Toc376936787"/>
      <w:r>
        <w:rPr>
          <w:rFonts w:hint="eastAsia" w:ascii="宋体" w:hAnsi="宋体"/>
          <w:b/>
          <w:bCs/>
          <w:kern w:val="0"/>
          <w:sz w:val="36"/>
          <w:szCs w:val="36"/>
        </w:rPr>
        <w:t>二</w:t>
      </w:r>
      <w:bookmarkEnd w:id="195"/>
      <w:r>
        <w:rPr>
          <w:rFonts w:hint="eastAsia" w:ascii="宋体" w:hAnsi="宋体"/>
          <w:b/>
          <w:bCs/>
          <w:kern w:val="0"/>
          <w:sz w:val="36"/>
          <w:szCs w:val="36"/>
        </w:rPr>
        <w:t>、项目概况及技术参数</w:t>
      </w:r>
      <w:bookmarkEnd w:id="196"/>
      <w:bookmarkEnd w:id="197"/>
    </w:p>
    <w:p>
      <w:pPr>
        <w:widowControl/>
        <w:spacing w:before="100" w:beforeAutospacing="1" w:after="100" w:afterAutospacing="1" w:line="240" w:lineRule="auto"/>
        <w:ind w:firstLine="0" w:firstLineChars="0"/>
        <w:jc w:val="left"/>
        <w:outlineLvl w:val="2"/>
        <w:rPr>
          <w:rFonts w:hint="eastAsia" w:ascii="宋体" w:hAnsi="宋体"/>
          <w:b/>
          <w:bCs/>
          <w:kern w:val="0"/>
          <w:sz w:val="27"/>
          <w:szCs w:val="27"/>
        </w:rPr>
      </w:pPr>
      <w:bookmarkStart w:id="198" w:name="_Toc82441654"/>
      <w:bookmarkStart w:id="199" w:name="_Toc376936788"/>
      <w:r>
        <w:rPr>
          <w:rFonts w:hint="eastAsia" w:ascii="宋体" w:hAnsi="宋体"/>
          <w:b/>
          <w:bCs/>
          <w:kern w:val="0"/>
          <w:sz w:val="27"/>
          <w:szCs w:val="27"/>
        </w:rPr>
        <w:t>1、项目概况</w:t>
      </w:r>
      <w:bookmarkEnd w:id="198"/>
      <w:bookmarkEnd w:id="199"/>
    </w:p>
    <w:p>
      <w:pPr>
        <w:ind w:firstLine="480"/>
        <w:rPr>
          <w:rFonts w:hint="eastAsia" w:ascii="宋体" w:hAnsi="宋体"/>
          <w:u w:val="single"/>
        </w:rPr>
      </w:pPr>
      <w:bookmarkStart w:id="200" w:name="_Toc376936789"/>
      <w:r>
        <w:rPr>
          <w:rFonts w:hint="eastAsia" w:ascii="宋体" w:hAnsi="宋体"/>
        </w:rPr>
        <w:t xml:space="preserve">青海省公安厅刑警总队电子物证实验室建设项目共1个包。主要采购政法、检测专用设备一批，采购预算额度为716.03万元。采购标的经采购人确定属于          </w:t>
      </w:r>
      <w:r>
        <w:rPr>
          <w:rFonts w:hint="eastAsia" w:ascii="宋体" w:hAnsi="宋体"/>
          <w:u w:val="single"/>
        </w:rPr>
        <w:t xml:space="preserve">      </w:t>
      </w:r>
    </w:p>
    <w:p>
      <w:pPr>
        <w:ind w:firstLine="0" w:firstLineChars="0"/>
        <w:rPr>
          <w:rFonts w:hint="eastAsia" w:ascii="宋体" w:hAnsi="宋体"/>
        </w:rPr>
      </w:pPr>
      <w:r>
        <w:rPr>
          <w:rFonts w:hint="eastAsia" w:ascii="宋体" w:hAnsi="宋体"/>
          <w:u w:val="single"/>
        </w:rPr>
        <w:t xml:space="preserve"> </w:t>
      </w:r>
      <w:r>
        <w:rPr>
          <w:rFonts w:hint="eastAsia" w:ascii="宋体" w:hAnsi="宋体"/>
          <w:u w:val="single"/>
          <w:lang w:eastAsia="zh-CN"/>
        </w:rPr>
        <w:t>其他未列明</w:t>
      </w:r>
      <w:r>
        <w:rPr>
          <w:rFonts w:hint="eastAsia" w:ascii="宋体" w:hAnsi="宋体"/>
          <w:u w:val="single"/>
        </w:rPr>
        <w:t xml:space="preserve"> </w:t>
      </w:r>
      <w:r>
        <w:rPr>
          <w:rFonts w:hint="eastAsia" w:ascii="宋体" w:hAnsi="宋体"/>
        </w:rPr>
        <w:t>行业。技术参数详见招标文件《采购一览表及技术参数》内容。</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01" w:name="_Toc82441655"/>
      <w:r>
        <w:rPr>
          <w:rFonts w:hint="eastAsia" w:ascii="宋体" w:hAnsi="宋体"/>
          <w:b/>
          <w:bCs/>
          <w:kern w:val="0"/>
          <w:sz w:val="27"/>
          <w:szCs w:val="27"/>
        </w:rPr>
        <w:t>2、</w:t>
      </w:r>
      <w:bookmarkStart w:id="202" w:name="_Toc352076750"/>
      <w:bookmarkStart w:id="203" w:name="_Toc325726055"/>
      <w:r>
        <w:rPr>
          <w:rFonts w:hint="eastAsia" w:ascii="宋体" w:hAnsi="宋体"/>
          <w:b/>
          <w:bCs/>
          <w:kern w:val="0"/>
          <w:sz w:val="27"/>
          <w:szCs w:val="27"/>
        </w:rPr>
        <w:t>产品交付说明</w:t>
      </w:r>
      <w:bookmarkEnd w:id="200"/>
      <w:bookmarkEnd w:id="201"/>
      <w:bookmarkEnd w:id="202"/>
      <w:bookmarkEnd w:id="203"/>
      <w:r>
        <w:rPr>
          <w:rFonts w:hint="eastAsia" w:ascii="宋体" w:hAnsi="宋体"/>
          <w:b/>
          <w:bCs/>
          <w:kern w:val="0"/>
          <w:sz w:val="27"/>
          <w:szCs w:val="27"/>
        </w:rPr>
        <w:t xml:space="preserve"> </w:t>
      </w:r>
    </w:p>
    <w:p>
      <w:pPr>
        <w:ind w:firstLine="480"/>
        <w:rPr>
          <w:rFonts w:hint="eastAsia" w:ascii="宋体" w:hAnsi="宋体"/>
        </w:rPr>
      </w:pPr>
      <w:r>
        <w:rPr>
          <w:rFonts w:hint="eastAsia" w:ascii="宋体" w:hAnsi="宋体"/>
        </w:rPr>
        <w:t>投标人所交付的硬件产品，其所有部件必须都是原厂原装部件，而且产品应是交付前最新生产且未被使用过的全新产品，同时必须具有在中国境内的合法使用权。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4" w:name="_Toc82441656"/>
      <w:bookmarkStart w:id="205" w:name="_Toc376936791"/>
      <w:bookmarkStart w:id="206" w:name="_Toc352076752"/>
      <w:r>
        <w:rPr>
          <w:rFonts w:hint="eastAsia" w:ascii="宋体" w:hAnsi="宋体"/>
          <w:b/>
          <w:bCs/>
          <w:kern w:val="0"/>
          <w:sz w:val="27"/>
          <w:szCs w:val="27"/>
        </w:rPr>
        <w:t>3、产品验收</w:t>
      </w:r>
      <w:bookmarkEnd w:id="204"/>
    </w:p>
    <w:p>
      <w:pPr>
        <w:ind w:firstLine="480"/>
        <w:rPr>
          <w:rFonts w:hint="eastAsia" w:ascii="宋体" w:hAnsi="宋体"/>
        </w:rPr>
      </w:pPr>
      <w:r>
        <w:rPr>
          <w:rFonts w:hint="eastAsia" w:ascii="宋体" w:hAnsi="宋体"/>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205"/>
    <w:bookmarkEnd w:id="206"/>
    <w:p>
      <w:pPr>
        <w:widowControl/>
        <w:spacing w:before="100" w:beforeAutospacing="1" w:after="100" w:afterAutospacing="1" w:line="240" w:lineRule="auto"/>
        <w:ind w:firstLine="542"/>
        <w:jc w:val="left"/>
        <w:outlineLvl w:val="2"/>
        <w:rPr>
          <w:rFonts w:ascii="宋体" w:hAnsi="宋体"/>
          <w:b/>
          <w:bCs/>
          <w:kern w:val="0"/>
          <w:sz w:val="27"/>
          <w:szCs w:val="27"/>
        </w:rPr>
      </w:pPr>
      <w:bookmarkStart w:id="207" w:name="_Toc376936792"/>
      <w:bookmarkStart w:id="208" w:name="_Toc352076753"/>
      <w:bookmarkStart w:id="209" w:name="_Toc82441657"/>
      <w:r>
        <w:rPr>
          <w:rFonts w:hint="eastAsia" w:ascii="宋体" w:hAnsi="宋体"/>
          <w:b/>
          <w:bCs/>
          <w:kern w:val="0"/>
          <w:sz w:val="27"/>
          <w:szCs w:val="27"/>
        </w:rPr>
        <w:t>4、</w:t>
      </w:r>
      <w:bookmarkEnd w:id="207"/>
      <w:bookmarkEnd w:id="208"/>
      <w:r>
        <w:rPr>
          <w:rFonts w:hint="eastAsia" w:ascii="宋体" w:hAnsi="宋体"/>
          <w:b/>
          <w:bCs/>
          <w:kern w:val="0"/>
          <w:sz w:val="27"/>
          <w:szCs w:val="27"/>
        </w:rPr>
        <w:t>安装、调试</w:t>
      </w:r>
      <w:bookmarkEnd w:id="209"/>
    </w:p>
    <w:p>
      <w:pPr>
        <w:ind w:firstLine="480"/>
        <w:rPr>
          <w:rFonts w:hint="eastAsia" w:ascii="宋体" w:hAnsi="宋体"/>
        </w:rPr>
      </w:pPr>
      <w:r>
        <w:rPr>
          <w:rFonts w:hint="eastAsia" w:ascii="宋体" w:hAnsi="宋体"/>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ind w:firstLine="480"/>
        <w:rPr>
          <w:rFonts w:ascii="宋体" w:hAnsi="宋体"/>
        </w:rPr>
      </w:pPr>
      <w:r>
        <w:t>4.2</w:t>
      </w:r>
      <w:r>
        <w:rPr>
          <w:rFonts w:hint="eastAsia"/>
        </w:rPr>
        <w:t>中标</w:t>
      </w:r>
      <w:r>
        <w:t>供应商应按合同规定的交货期要求，在采购人指定的安装地点（不超过</w:t>
      </w:r>
      <w:r>
        <w:rPr>
          <w:rFonts w:hint="eastAsia"/>
        </w:rPr>
        <w:t>招标</w:t>
      </w:r>
      <w:r>
        <w:t>文件规定的供货地）进行产品安装调试。对于有特殊安装场地要求的产品，</w:t>
      </w:r>
      <w:r>
        <w:rPr>
          <w:rFonts w:hint="eastAsia"/>
        </w:rPr>
        <w:t>中标</w:t>
      </w:r>
      <w:r>
        <w:t>供应商应在安装前20天内以书面形式通知采购人，以便进行场地准备。所提供的所有产品必须在安装后，进行加电测试运行正常，并经有关检测部门检测取得相关合格证。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10" w:name="_Toc82441658"/>
      <w:bookmarkStart w:id="211" w:name="_Toc376936793"/>
      <w:bookmarkStart w:id="212" w:name="_Toc352076754"/>
      <w:r>
        <w:rPr>
          <w:rFonts w:hint="eastAsia" w:ascii="宋体" w:hAnsi="宋体"/>
          <w:b/>
          <w:bCs/>
          <w:kern w:val="0"/>
          <w:sz w:val="27"/>
          <w:szCs w:val="27"/>
        </w:rPr>
        <w:t>5、维护服务和技术支持</w:t>
      </w:r>
      <w:bookmarkEnd w:id="210"/>
      <w:bookmarkEnd w:id="211"/>
      <w:bookmarkEnd w:id="212"/>
    </w:p>
    <w:p>
      <w:pPr>
        <w:ind w:firstLine="480"/>
        <w:rPr>
          <w:rFonts w:ascii="宋体" w:hAnsi="宋体"/>
        </w:rPr>
      </w:pPr>
      <w:r>
        <w:rPr>
          <w:rFonts w:hint="eastAsia" w:ascii="宋体" w:hAnsi="宋体"/>
        </w:rPr>
        <w:t>5.1自最终采购人验收签字之日起，开始计算免费质保期，免费质保期参照国家及产品参数中的规定。</w:t>
      </w:r>
    </w:p>
    <w:p>
      <w:pPr>
        <w:ind w:firstLine="480"/>
        <w:rPr>
          <w:rFonts w:ascii="宋体" w:hAnsi="宋体"/>
        </w:rPr>
      </w:pPr>
      <w:r>
        <w:rPr>
          <w:rFonts w:hint="eastAsia" w:ascii="宋体" w:hAnsi="宋体"/>
        </w:rPr>
        <w:t>5.2在免费保修期内，所有服务不能包含任何费用，包括备件费、差旅费等。</w:t>
      </w:r>
    </w:p>
    <w:p>
      <w:pPr>
        <w:ind w:firstLine="480"/>
        <w:rPr>
          <w:rFonts w:ascii="宋体" w:hAnsi="宋体"/>
        </w:rPr>
      </w:pPr>
      <w:r>
        <w:rPr>
          <w:rFonts w:hint="eastAsia" w:ascii="宋体" w:hAnsi="宋体"/>
        </w:rPr>
        <w:t>5.3投标人在保修期内更换的任何零配件，必须是其原产品厂家生产的或是经其认可的。</w:t>
      </w:r>
    </w:p>
    <w:p>
      <w:pPr>
        <w:ind w:firstLine="480"/>
        <w:rPr>
          <w:rFonts w:ascii="宋体" w:hAnsi="宋体"/>
        </w:rPr>
      </w:pPr>
      <w:r>
        <w:rPr>
          <w:rFonts w:hint="eastAsia" w:ascii="宋体" w:hAnsi="宋体"/>
        </w:rPr>
        <w:t>5.4紧急故障处理：市区内</w:t>
      </w:r>
      <w:r>
        <w:rPr>
          <w:rFonts w:ascii="宋体" w:hAnsi="宋体"/>
        </w:rPr>
        <w:t>1</w:t>
      </w:r>
      <w:r>
        <w:rPr>
          <w:rFonts w:hint="eastAsia" w:ascii="宋体" w:hAnsi="宋体"/>
        </w:rPr>
        <w:t>小时赶到现场，接到外地故障报告即刻动身实行短时间内抢修服务。</w:t>
      </w:r>
    </w:p>
    <w:p>
      <w:pPr>
        <w:ind w:firstLine="480"/>
        <w:rPr>
          <w:rFonts w:hint="eastAsia" w:ascii="宋体" w:hAnsi="宋体"/>
        </w:rPr>
      </w:pPr>
      <w:r>
        <w:rPr>
          <w:rFonts w:hint="eastAsia" w:ascii="宋体" w:hAnsi="宋体"/>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hint="eastAsia" w:ascii="宋体" w:hAnsi="宋体"/>
        </w:rPr>
      </w:pPr>
      <w:r>
        <w:rPr>
          <w:rFonts w:hint="eastAsia" w:ascii="宋体" w:hAnsi="宋体"/>
        </w:rPr>
        <w:t>5.6组织人员负责提供对使用人员的免费培训工作，直至使用人员能独立管理、操作、维护。免费培训包括：免费提供相应的培训教室、教师授课等费用。</w:t>
      </w:r>
    </w:p>
    <w:p>
      <w:pPr>
        <w:ind w:firstLine="480"/>
        <w:rPr>
          <w:rFonts w:hint="eastAsia" w:ascii="宋体" w:hAnsi="宋体"/>
        </w:rPr>
      </w:pPr>
      <w:r>
        <w:rPr>
          <w:rFonts w:hint="eastAsia" w:ascii="宋体" w:hAnsi="宋体"/>
        </w:rPr>
        <w:t xml:space="preserve">5.7保证365×24小时正常运行，如产品发生故障，中标供应商在接到采购人报修通知后3小时内派专业技术人员到达现场进行维修，并提供免费服务。 </w:t>
      </w:r>
    </w:p>
    <w:p>
      <w:pPr>
        <w:ind w:firstLine="480"/>
        <w:rPr>
          <w:rFonts w:hint="eastAsia" w:ascii="宋体" w:hAnsi="宋体"/>
        </w:rPr>
      </w:pPr>
      <w:r>
        <w:rPr>
          <w:rFonts w:hint="eastAsia" w:ascii="宋体" w:hAnsi="宋体"/>
        </w:rPr>
        <w:t>5.8投标产品选用的基础软件必须是正版软件。</w:t>
      </w:r>
    </w:p>
    <w:p>
      <w:pPr>
        <w:ind w:firstLine="480"/>
        <w:rPr>
          <w:rFonts w:hint="eastAsia" w:ascii="宋体" w:hAnsi="宋体"/>
        </w:rPr>
      </w:pPr>
      <w:r>
        <w:rPr>
          <w:rFonts w:hint="eastAsia" w:ascii="宋体" w:hAnsi="宋体"/>
        </w:rPr>
        <w:t>5.9所有产品的配送、培训、安装、调试等费用均包含在中标价格中。</w:t>
      </w:r>
    </w:p>
    <w:p>
      <w:pPr>
        <w:ind w:firstLine="480"/>
        <w:rPr>
          <w:rFonts w:hint="eastAsia" w:ascii="宋体" w:hAnsi="宋体"/>
        </w:rPr>
      </w:pPr>
      <w:r>
        <w:rPr>
          <w:rFonts w:hint="eastAsia" w:ascii="宋体" w:hAnsi="宋体"/>
        </w:rPr>
        <w:t>5.10其他事项见项目具体要求。</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13" w:name="_Toc376936794"/>
      <w:bookmarkStart w:id="214" w:name="_Toc82441659"/>
      <w:bookmarkStart w:id="215" w:name="_Toc352076755"/>
      <w:r>
        <w:rPr>
          <w:rFonts w:hint="eastAsia" w:ascii="宋体" w:hAnsi="宋体"/>
          <w:b/>
          <w:bCs/>
          <w:kern w:val="0"/>
          <w:sz w:val="27"/>
          <w:szCs w:val="27"/>
        </w:rPr>
        <w:t>6、其他要求</w:t>
      </w:r>
      <w:bookmarkEnd w:id="213"/>
      <w:bookmarkEnd w:id="214"/>
      <w:bookmarkEnd w:id="215"/>
    </w:p>
    <w:p>
      <w:pPr>
        <w:ind w:firstLine="480"/>
        <w:jc w:val="left"/>
        <w:rPr>
          <w:rFonts w:ascii="宋体" w:hAnsi="宋体"/>
        </w:rPr>
      </w:pPr>
      <w:r>
        <w:rPr>
          <w:rFonts w:hint="eastAsia" w:ascii="宋体" w:hAnsi="宋体"/>
        </w:rPr>
        <w:t>6.1本次采购活动中，所投产品应优先采用“</w:t>
      </w:r>
      <w:r>
        <w:rPr>
          <w:rFonts w:hint="eastAsia" w:ascii="宋体" w:hAnsi="宋体"/>
          <w:color w:val="000000"/>
        </w:rPr>
        <w:t>环境标志产品政府采购清单”中有效期内的产品和“节能产品政府采购清单” 中有效期内的产品</w:t>
      </w:r>
      <w:r>
        <w:rPr>
          <w:rFonts w:hint="eastAsia" w:ascii="宋体" w:hAnsi="宋体"/>
        </w:rPr>
        <w:t>以及通过国家强制性产品认证（即国家</w:t>
      </w:r>
      <w:r>
        <w:rPr>
          <w:rFonts w:ascii="宋体" w:hAnsi="宋体"/>
        </w:rPr>
        <w:t>CCC</w:t>
      </w:r>
      <w:r>
        <w:rPr>
          <w:rFonts w:hint="eastAsia" w:ascii="宋体" w:hAnsi="宋体"/>
        </w:rPr>
        <w:t>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pPr>
        <w:ind w:firstLine="480"/>
        <w:rPr>
          <w:rFonts w:hint="eastAsia" w:ascii="宋体" w:hAnsi="宋体"/>
        </w:rPr>
      </w:pPr>
      <w:r>
        <w:rPr>
          <w:rFonts w:hint="eastAsia" w:ascii="宋体" w:hAnsi="宋体"/>
        </w:rPr>
        <w:t>6.2 技术参数中除注明供货时提供的资料以外，其余相关资料在投标时必须附在投标文件中。</w:t>
      </w:r>
      <w:bookmarkStart w:id="216" w:name="_Toc493512670"/>
    </w:p>
    <w:p>
      <w:pPr>
        <w:widowControl/>
        <w:spacing w:before="100" w:beforeAutospacing="1" w:after="100" w:afterAutospacing="1"/>
        <w:ind w:firstLine="723"/>
        <w:jc w:val="center"/>
        <w:outlineLvl w:val="1"/>
        <w:rPr>
          <w:rFonts w:hint="eastAsia" w:ascii="宋体" w:hAnsi="宋体"/>
          <w:b/>
          <w:bCs/>
          <w:kern w:val="0"/>
          <w:sz w:val="36"/>
          <w:szCs w:val="36"/>
        </w:rPr>
      </w:pPr>
      <w:r>
        <w:rPr>
          <w:rFonts w:ascii="宋体" w:hAnsi="宋体"/>
          <w:b/>
          <w:bCs/>
          <w:kern w:val="0"/>
          <w:sz w:val="36"/>
          <w:szCs w:val="36"/>
        </w:rPr>
        <w:br w:type="page"/>
      </w:r>
      <w:bookmarkStart w:id="217" w:name="_Toc82441660"/>
      <w:r>
        <w:rPr>
          <w:rFonts w:hint="eastAsia" w:ascii="宋体" w:hAnsi="宋体"/>
          <w:b/>
          <w:bCs/>
          <w:kern w:val="0"/>
          <w:sz w:val="36"/>
          <w:szCs w:val="36"/>
        </w:rPr>
        <w:t>采购一览表及技术参数</w:t>
      </w:r>
      <w:bookmarkEnd w:id="217"/>
    </w:p>
    <w:p>
      <w:pPr>
        <w:ind w:firstLine="0" w:firstLineChars="0"/>
        <w:jc w:val="right"/>
        <w:rPr>
          <w:rFonts w:hint="eastAsia" w:ascii="宋体" w:hAnsi="宋体" w:cs="宋体"/>
          <w:szCs w:val="21"/>
        </w:rPr>
      </w:pPr>
      <w:bookmarkStart w:id="218" w:name="_Toc489966630"/>
      <w:bookmarkStart w:id="219" w:name="_Toc490053559"/>
      <w:bookmarkStart w:id="220" w:name="_Toc460486455"/>
      <w:bookmarkStart w:id="221" w:name="_Toc475456534"/>
      <w:bookmarkStart w:id="222" w:name="_Toc489967609"/>
      <w:bookmarkStart w:id="223" w:name="_Toc434591430"/>
      <w:r>
        <w:rPr>
          <w:rFonts w:hint="eastAsia" w:ascii="宋体" w:hAnsi="宋体"/>
        </w:rPr>
        <w:t>采购预算额度：</w:t>
      </w:r>
      <w:bookmarkEnd w:id="218"/>
      <w:bookmarkEnd w:id="219"/>
      <w:bookmarkEnd w:id="220"/>
      <w:bookmarkEnd w:id="221"/>
      <w:bookmarkEnd w:id="222"/>
      <w:bookmarkEnd w:id="223"/>
      <w:r>
        <w:rPr>
          <w:rFonts w:hint="eastAsia" w:ascii="宋体" w:hAnsi="宋体" w:cs="宋体"/>
          <w:szCs w:val="21"/>
        </w:rPr>
        <w:t>716.03万元</w:t>
      </w:r>
      <w:bookmarkEnd w:id="216"/>
      <w:bookmarkStart w:id="224" w:name="_Toc511230219"/>
    </w:p>
    <w:bookmarkEnd w:id="224"/>
    <w:tbl>
      <w:tblPr>
        <w:tblStyle w:val="64"/>
        <w:tblW w:w="10825" w:type="dxa"/>
        <w:jc w:val="center"/>
        <w:tblLayout w:type="autofit"/>
        <w:tblCellMar>
          <w:top w:w="0" w:type="dxa"/>
          <w:left w:w="108" w:type="dxa"/>
          <w:bottom w:w="0" w:type="dxa"/>
          <w:right w:w="108" w:type="dxa"/>
        </w:tblCellMar>
      </w:tblPr>
      <w:tblGrid>
        <w:gridCol w:w="834"/>
        <w:gridCol w:w="1135"/>
        <w:gridCol w:w="1161"/>
        <w:gridCol w:w="6275"/>
        <w:gridCol w:w="709"/>
        <w:gridCol w:w="711"/>
      </w:tblGrid>
      <w:tr>
        <w:tblPrEx>
          <w:tblCellMar>
            <w:top w:w="0" w:type="dxa"/>
            <w:left w:w="108" w:type="dxa"/>
            <w:bottom w:w="0" w:type="dxa"/>
            <w:right w:w="108" w:type="dxa"/>
          </w:tblCellMar>
        </w:tblPrEx>
        <w:trPr>
          <w:trHeight w:val="712" w:hRule="atLeast"/>
          <w:tblHeader/>
          <w:jc w:val="center"/>
        </w:trPr>
        <w:tc>
          <w:tcPr>
            <w:tcW w:w="8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135"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配备项目</w:t>
            </w:r>
          </w:p>
        </w:tc>
        <w:tc>
          <w:tcPr>
            <w:tcW w:w="1161"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设备名称</w:t>
            </w:r>
          </w:p>
        </w:tc>
        <w:tc>
          <w:tcPr>
            <w:tcW w:w="6275"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422"/>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采购需求和技术参数</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711"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电子物证现场取证勘查设备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电子数据取证勘查箱</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一、便携式一体化取证设备参数要求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配置不低于：CPU主频≥3.6Ghz，八核十六线程；内存≥64G DDR4、2666MHz；硬盘≥1T SSD；系统：预装Win10 网信版操作系统；显示屏支持触摸，屏幕不大于11.6寸；</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（二）智能取证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需支持自定义取证流程，可固定常用取证方案，一键完成取证工作（需提供软件界面截图）；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（三）硬盘复制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1.硬盘复制功能需支持一对一、一对二、二对二复制，并提供SATA/SAS免接线直插式只读接口；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2.需支持IDE、SATA、SAS、USB等接口硬盘的高速复制，并行复制速度SATAIII硬盘每路不低于57GB/min；</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3.需支持在硬盘复制或镜像时进行关键词搜索，并可将结果直接导入内置取证分析软件进行分析；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4.支持自动识别HPA隐藏区域，并可进行复制、镜像等操作（需提供软件界面截图）；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5.需具备并行工作能力，在硬盘复制的同时支持对数据进行取证分析以及仿真分析。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（四）取证分析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1.需支持Windows系统、Mac OS X系统和Linux系统取证；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2.需支持基本磁盘/动态磁盘、MBR磁盘/GPT磁盘、LDM/LVM磁盘、磁盘阵列重组，支持FAT12、FAT16、FAT32、exFAT、NTFS、CDFS、UDF、Ext2/3/4、HFSX/HFS+ UFS、ReiserFS、XFS、JFS、以及手机上的YAFFS2、ROFS等多种文件系统格式的解析，及多种被删除数据的恢复；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3.需支持E01、Ex01、L01、DD、IMG、001、ISO、DMG、VMDK、VHD、AFF、Lx01、GHO、VDI、DVD、HDD、HDS、QCOW2等镜像文件的加载和分析（需提供软件界面截图）；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4.需支持EFS离线解密；支持BitLocker离线解密(需支持最新Win10 XTS-AES新加密算法)；支持FileVault2离线解密； 需支持VeraCrypt离线解密；需支持Luks离线解密；（需提供软件界面截图）；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5.需支持自定义报告，摘录功能可以将数据片段、文本信息、文件信息、取证结果或其它类型的数据添加到摘录视图中，并可将摘录数据生成报告以自定义模板形式导出（需提供软件界面截图）；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6.需支持单删除文件恢复、格式化后的文件恢复、被删除的磁盘分区恢复、根据文件头尾特征对被删除文件进行恢复；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7.需支持解析QQ聊天记录、好友信息、群组信息；在未保存密码的情况下，也可能解析出聊天记录的内容；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8.需在联网及获取绑定手机的情况下，支持解析电脑版微信聊天记录、好友信息、群组信息；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9.需可提取Foxmail、Office Outlook、UC、QQ、阿里旺旺、飞信、SKYPE、MSN、RTX、飞秋、营销QQ等密码或密钥；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10.需支持iCloud、金山快盘、OneDrive云盘、腾讯微云、360云盘等云存储应用的解析；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11.需支持工具集功能，提供动态取证、QQ密钥获取、内存镜像解析、内存镜像制作、人脸识别、银行卡采集等应用。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12.需提供RAID自盘组自动计算磁盘序列功能，可提供最符合条件的RAID类型建议；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（五）操作系统仿真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1.需支持同时进行多个数据源以及多镜像仿真（需提供软件界面截图）；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2.需支持apfs加密磁盘进行仿真；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3.需支持对全盘镜像或分区镜像（DD镜像、E01镜像、云镜像等）的仿真取证；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4.需支持对Windows 操作系统获取信息不少于：系统信息、易失数据、账号密码、上网痕迹、用户痕迹等五大类重要数据（需提供软件界面截图）；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（六）手机采集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需支持Android、iOS智能手机系统，支持获取手机通讯簿、短信及通话记录信息、手机媒体文件，支持iPhone和Android手机已删除数据的恢复，支持QQ、微信等软件信息的解析。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（七）视频采集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1.提供网络视频采集功能，可支持多台录像机设备同时进行视频采集。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2.需提供硬盘视频采集功能，可安全、快速从硬盘获取视频数据。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3.需提供删除视频恢复功能，可自动恢复已删除视频文件。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（八）计算机在线快速采集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1.需获取系统信息、易失数据、账号及密码、邮件等信息。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2.需支持在数据采集过程中进行屏幕截图、录制。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二、多通道高速获取设备参数要求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1.要求支持在线快速获取Windows硬盘数据，离线获取Windows、Linux、macOS等操作系统硬盘数据；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2.要求支持对在线磁盘阵列数据的镜像文件制作；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3.要求至少具备USB 3.0、2路Type C、2路eSATA等多种数据获取接口4路；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4.要求支持多任务队列操作，支持根据现场情况调整任务优先级；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5.要求支持复制过程的容错功能，多通道并行获取过程中，若其中一路出错，系统仍可继续进行高速获取；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6.要求支持不需要重组直接查看镜像文件内容，并进行分析；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7.要求支持断点续传功能；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8.要求支持导出镜像文件及续点导出功能；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9.获取过程中通道盘满，可以更换通道盘继续获取，可以获取超大容量设备，提高产品使用场景；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10.要求支持四个通道同时进行数据获取，总容量不低于8TB；</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11.硬盘要求支持自由更换，提高设备续航能力；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12.要求支持在开机或关机状态下对计算机进行不拆机镜像获取；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三、视频分析系统设备参数要求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1.要求支持超过500种格式的视频播放；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2.要求支持时间段、跨线、区域、色彩、方向的视频检索；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3.要求支持视频实时增强，能有效地进行图像处理；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4.要求支持视频浓缩，能高效的获取视频关键信息；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5.要求支持通过目标大小、颜色、色差、画面质量、示意图等参数的设置，提高检索精度；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四、计算机快取系统设备参数要求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1.接入设备后可一键完成勘查功能，支持各种Windows操作系统调查；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2.需支持绕过Windows系统启动密码，无痕登陆操作系统进行调查；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3.需支持现场自动勘查、支持内存自动获取；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4.需支持桌面打开窗口自动固定、支持计算机系统信息获取；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5.需支持计算机当前进程、使用端口、网络通讯信息、剪贴板等易失数据获取；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6.需支持U盘、移动硬盘、相机等外部设备使用记录获取；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7.需支持邮箱、浏览器、无线网络等已保存账号密码获取；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8.需支持Windows 登录密码获取、需支持上网记录获取；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9.需支持开关机、最近打开文档、最近访问目录、最近运行程序等用户活动记录获取；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10.需支持本地邮件信息获取、需支持自动保存密码的QQ聊天记录获取；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11.需支持最近使用文档自动导出、需支持特定文件搜索与导出；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12.需支持微信聊天记录、账号信息、群组信息等信息的采集；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13.需支持现场重现功能，可以对指定时间段内的主动操作痕迹进行播放（顺序/倒序）；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14.需支持结果浏览功能，可对勘查结果进行快速浏览及过滤；</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15.需支持无痕浏览功能，可在不留痕迹的情况下浏览目标计算机上的文件存储结构；</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16.需配备专用管理工具对设备进行管理，提供勘查数据管理、上传，勘查策略定制，版本升级等功能：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17.需支持定制现场勘查流程及勘查内容；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18.需支持定制特定文件内容，包括文件名称、类型、时间、排除项等；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19.需支持对接入的设备进行还原或升级；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20.需支持勘查数据的浏览、保存、播放、删除；</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21.需支持配置并上传勘查数据到分析平台进行线索扩线；</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22.需支持无痕浏览功能，可在不留痕迹的情况下浏览目标计算机上的文件存储结构；</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23.需支持日期和时间的校准；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24.需支持Mac系统各种数据采集（离线方式提取，通过WINFE进入系统）；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五、只读接口套件设备参数要求：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1.存储介质写保护设备，该设备可从硬件层阻止写入通道。</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2.即插即用.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3.支持SATAI和SATAII机械硬盘和固态硬盘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4.支持常见的SAS机械硬盘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5.支持多种接口类型，包括SD/MMC/miniSD/RS-MMC、MS/MS PRO/MS PRO Duo、CF、xD/SM卡接口等，支持USB 2.0接口与计算机连接；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6.支持常见的SCSI机械硬盘，支持通过FireWire、eSATA和USB2.0接口与计算机连接。</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在线提取检验设备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电子物证快速勘查系统 </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配置不低于：CPU不低于主频≥1.5GHz 八核、内存≥8GB、内部存储≥1TB、SD卡≥512G、≥5.5寸IPS屏，电容式触摸屏，分辨率不低于1920*1080、后置摄像头：≥1300万像素自动对焦相机，WIFI：802.11a/b/g/n，蓝牙：Bluetoothv4.0+HS，4G上网：支持移动、电信、联通的4G网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USB接口配置不少于：USB接口：1个USB Host接口，用于手机采集、接U盘等；1个USB Device接口，用于充电，进行计算机采集，数据上传等工作；TF卡接口：1个，最大支持256GB的TF卡存储扩展；SIM卡接口，支持联通、移动、电信运营商的2G/3G/ 4G网络；音频接口：1个3.5mm耳机插孔，1个听筒，1个喇叭。</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三、点对点精准采集要求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要求支持扫码式采集微信、QQ、TIMQQ聊天记录，不用接入数据线，快速提取指定账号、指定时间内的聊天记录，可以提取文字、图片、视频、语音、红包、转账记录等各种聊天内容，采集过程只需要几分钟；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 要求支持USB有线提取微信、QQ、企业微信、企业密信、易信、陌陌，选择指定好友的聊天记录信息，包含聊天记录内的所有数据，包含文字、语音、图片、视频等各类信息。选择时，支持通过微信名或QQ号进行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 无线扫码提取APK及通联信息，通过备份工具在受害人手机无线提取APK、通话记录、短信、通话录音，并在受害人手机自动进行抓包分析，获取动态分析数据;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 要求支持通过二维码、URL网址、APK安装包的方式对提取到的安卓应用和苹果应用IPA包进行静态分析，支持通过反诈APP提取涉诈APK的动态分析；获取IP、域名、邮箱信息、apk的打包方式、集成的第三方服务商信息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 要求支持根据应用名或包名选择指定应用的安装记录和apk安装包，支持URL、扫二维码、USB连线多种提取方式；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 要求支持对提取到的安卓应用自动静态分析，获取APP基本信息、IP、域名、邮箱信息、第三方服务信息等;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rPr>
              <w:t>. USB有线提取支持已删除数据的恢复；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 要求支持无线导入图片、视频、apk文件；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 要求支持提取通话录音；</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 要求支持自动滚动截屏生成多图，不需人工手动截取；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11</w:t>
            </w:r>
            <w:r>
              <w:rPr>
                <w:rFonts w:hint="eastAsia" w:ascii="宋体" w:hAnsi="宋体" w:eastAsia="宋体" w:cs="宋体"/>
                <w:color w:val="auto"/>
                <w:kern w:val="0"/>
                <w:sz w:val="21"/>
                <w:szCs w:val="21"/>
              </w:rPr>
              <w:t>. 要求支持导入USB存储介质中的图片、视频文件；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 要求支持USB数据线连接导入受害人手机自带的相册文件；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13</w:t>
            </w:r>
            <w:r>
              <w:rPr>
                <w:rFonts w:hint="eastAsia" w:ascii="宋体" w:hAnsi="宋体" w:eastAsia="宋体" w:cs="宋体"/>
                <w:color w:val="auto"/>
                <w:kern w:val="0"/>
                <w:sz w:val="21"/>
                <w:szCs w:val="21"/>
              </w:rPr>
              <w:t>. 图片和视频文件支持分类归类；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四、现场勘查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要求可快速录入现场基本信息：采集地点、经纬度（内置GPS芯片）、天气、湿度、温度、风力、风向，并可进行现场拍照和摄像。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五、计算机采集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要求可快速对案件现场已开机计算机进行在线勘查，支持获取系统信息、即时通讯、账号密码、常用文件、邮件信息、上网记录、内存镜像等；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要求支持现场一键自动勘查；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要求支持Windows 登录密码、邮箱、浏览器、无线网络等已保存账号密码获取；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要求支持开关机、最近打开文档、最近访问目录、最近运行程序等用户活动记录获取；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要求支持登录状态的QQ、微信聊天记录获取；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要求支持桌面文档、最近使用文档自动导出；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要求支持特定文件搜索与导出；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要求支持现场重现功能，可对指定时间段内的主动操作痕迹进行播放（顺序/倒序）；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要求支持对勘查结果进行快速浏览及过滤；</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要求支持无痕浏览功能，可在不留痕迹的情况下浏览目标计算机上的文件存储结构；</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六、手机采集要求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支持提取手机设备信息、IMEI、IMSI、通讯簿、通话记录、短信、联系人、日程表、应用安装记录、同步账号、位置信息、备忘录、Wi-Fi/蓝牙连接记录、多媒体文件（图片/视频/音频）、系统日志（开关机时间、应用程序使用记录、iOS设备使用过的手机号、iOS设备连接过的主机）和密码密钥等信息，支持恢复已删除的电话簿、短信、通话记录、日程表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支持手机应用程序数据：如QQ、微信、微博、邮件、支付宝、淘宝、旺信、米聊、飞信、Skype、Facebook、Twitter、上网记录、360卫士、航旅纵横、滴滴出行、易信等等几十个应用程序数据；应用程序支持附件和删除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七、Wi-Fi采集要求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要求能够获取WIFI信号的MAC地址、信号强度、名称信息；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要求可标注WIFI信号；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要求支持导出XML格式数据包，手动上传全国现勘系统。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八、路由器采集要求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用管理员账号密码登录路由器的管理员界面，使用截屏方式进行提取。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九、现场报告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要求支持现场生成规范化的数据报告：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《电子物证现场提取笔录》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《电子数据现场固定清单》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《现场勘查报告》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《取证报告》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2.提取笔录支持电子签名。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十、数据管理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要求支持导出语音数据包、BCP包、取证报告包与提取笔录包；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要求支持导出案例文件，通过PC端案件阅读工具进行查看浏览；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3.数据通过设备一键上传，通过光闸或者边界网络，实现现场数据即时进后台系统；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4.使用管理工具同步计算机采集数据。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 物证管理要求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要求支持对现场物证统一录入，并自动生成二维码标签，并可连接蓝牙打印机进行现场打印标示；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 管理工具要求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要求支持将计算机采集数据同步到PC端进行浏览.</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电子证据只读设备</w:t>
            </w:r>
          </w:p>
        </w:tc>
        <w:tc>
          <w:tcPr>
            <w:tcW w:w="11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电子证据只读设备</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需保护存储介质在获取和分析过程中的数据安全，保证司法有效性及数据完整性。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需支持操作系统包括：Windows10、Windows 7等。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需支持标准SATA、SAS硬盘只读读取；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需支持通过转换卡连接IDE接口的存储介质。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需支持USB 3.0接口与计算机连接、兼容USB 2.0 及以下接口的U盘和移动硬盘。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需支持虚拟写。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需支持SD/MMC/miniSD/RS-MMC、MS/MS PRO/MS PRO Duo、CF/MD、xD、TF/M2等存储卡的只读接入。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非只读设备，可通过连接到SAS/SATA电子证据只读设备实现只读功能。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硬盘转换器操作简便，SATA口支持热插拔。</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支持M.2接口(PCIe协议)的硬盘。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支持2013年及2013年之后的苹果SSD硬盘(PCIe协议)。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需支持mSATA硬盘。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需支持NGFF/M.2（SATA协议）硬盘。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 需支持苹果1.8寸LIF SSD。</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数码摄像机</w:t>
            </w:r>
          </w:p>
        </w:tc>
        <w:tc>
          <w:tcPr>
            <w:tcW w:w="11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数码摄像机</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类型：摄相机；动态有效像素不低于829万像素(16:9);静态有效像素不低于829万像素(16:9)/622万像素(4:3)；传感器类型：CMOS；传感器尺寸：1/2.5英寸；光学焦倍数：15-30倍；取景器：有；夜摄功能：支持；对焦：自动；光学防抖功能：支持；存储介质：SD卡；液晶屏尺寸不小于3.5英寸；触摸屏：支持；滤镜直径：62mm；</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数码照像机</w:t>
            </w:r>
          </w:p>
        </w:tc>
        <w:tc>
          <w:tcPr>
            <w:tcW w:w="11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数码照像机</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产品类型为单反数码套机，配有AF-S 24-70mm f/2.8E ED VR镜头；CMOS传感器类型；全幅画；支持4K超高清视频；支持WIFI接口；约3.2英寸触摸液晶屏；光学取景器；连拍速度约7幅/秒；支持SD卡，XQD卡；有效像素：3000-4999万；</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多功能物证翻拍仪</w:t>
            </w:r>
          </w:p>
        </w:tc>
        <w:tc>
          <w:tcPr>
            <w:tcW w:w="116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手机摄像架</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该设备能够轻松完成纸张文件、彩色图片、立体物件的快速拍摄，对无法进行数据传输的手机进行拍照取证。该设备可配合美亚柏科手机取证软件进行拍照取证，也可安装第三方拍照软件单独使用。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一、功能特点：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1、高像素图像实时显示与采集，可拍摄图片或视频。</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2、支持多种图像格式。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3、产品可以拆卸折叠，体积小，重量轻，方便携带。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支持美亚柏科手机取证软件进行拍照取证。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5、支持USB 2.0接口与计算机连接。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二、硬件参数：</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1、镜头：高清晰定焦镜头</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2、接口类型：USB2.0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3、感光元件：CMOS</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4、摄像头像素：1200万以上像素</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5、色彩位数：24位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6、图像存储格式：JPG，TIF，PNG，BMP，PDF等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7、温度：工作温度  0℃～40℃；存储温度  -20℃～60℃；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湿度：工作湿度  10%～90%，无冷凝； 存储湿度  5%～95%，无冷凝；</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屏幕录像软件</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屏幕录像软件</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1、屏幕录像在每秒25帧以上，能够流畅记录所有在屏幕上显示的操作信息；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2、支持抓取图像、文本和影音等多种内容形式，内置强大编辑器，支持捕捉、编辑。</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3、可以轻松地将屏幕上的软件操作过程 、网络教学课件、网络电视、网络电影、聊天视频等录制成FLASH动画、WMV动画、 AVI动画或者自播放的EXE动画；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4、具有长时间录像并保证声音完全同步的能力。</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电子数据恢复软件</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电子数据恢复软件</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产品需提供检测报告的证明材料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要求为一体化设备，方便携带，配置不低于：CPU主频3.6GHz，八核十六线程；内存不低于64G DDR4；硬盘不低于1TB SSD 及2T HDD；预装windows10神州网信政府版操作系统；屏幕不小于17.3寸；</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配置不低于2个SATA/SAS只读硬盘仓，1个SATA/SAS读写盘硬盘仓；（要求硬盘仓集成在一体化设备中，并提供一体化实物图作为</w:t>
            </w:r>
            <w:r>
              <w:rPr>
                <w:rFonts w:hint="eastAsia" w:ascii="宋体" w:hAnsi="宋体" w:cs="宋体"/>
                <w:color w:val="auto"/>
                <w:kern w:val="0"/>
                <w:sz w:val="21"/>
                <w:szCs w:val="21"/>
                <w:lang w:eastAsia="zh-CN"/>
              </w:rPr>
              <w:t>证明</w:t>
            </w:r>
            <w:r>
              <w:rPr>
                <w:rFonts w:hint="eastAsia" w:ascii="宋体" w:hAnsi="宋体" w:eastAsia="宋体" w:cs="宋体"/>
                <w:color w:val="auto"/>
                <w:kern w:val="0"/>
                <w:sz w:val="21"/>
                <w:szCs w:val="21"/>
              </w:rPr>
              <w:t>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配置不少于1个USB3.0只读接口(提供USB转SATA接口配件)，4个USB3.0读写接口，3个USB2.0读写接口，存储卡只读接口，三种SIM卡（标准SIM卡/Micro SIM卡/Nano SIM卡）读写接口,可通过转换卡支持IDE等接口只读；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（一）主要功能点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海康威视、浙江大华、中维世纪、东视电子、领标、智诺、霍尼韦尔、九安、蓝色星际、星网锐捷、英飞拓、爱立视、成宇时代、大唐讯士、德加拉、杭州巨峰、朗视兴、立安达、乔安、荣恒泰、思朗、泰康伟业、天敏、天视达、天天佑、新达共创、英码网络、朗驰、美安、天地伟业、汉邦高科、迈视、安联锐视、波粒、佳信捷、淳洲电子、宇视、金三立等80多家监控视频厂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支持视频恢复、计算机恢复、手机恢复、数据库恢复和损坏文件数据修复；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支持MySQL、SQLServer、SQLite、Access、Oracle、Sybase、PostgreSQL数据库的数据提取及恢复；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支持监控日志恢复；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支持行车记录仪、执法记录仪删除视频文件恢复及残留碎片帧提取；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支持Office、WPS、PDF及压缩文档文件受损的修复；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支持Windows、系统下删除文件及QQ、foxmail数据恢复；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支持Android、iOS系统下短信、通话记录、通讯录、QQ、微信数据恢复；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（二）监控视频恢复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支持DD、001、E01、Ex01、DMG、IMG、VMDK、VHD、VDI、QCOW2、L01、Lx01、ISO、HDS、HDD、AFD格式的镜像类型的数据提取；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支持由于在监控设备上进行磁盘初始化而引起的监控视频数据丢失的恢复；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支持因监控设备循环录制残留的数据恢复；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支持视频的快速检索与分析;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支持海康威视/DS-9104HW-ST、汉邦高科/HB-7016X3-LC、宇视/NVR301-08D-DT、九安/JR-N6006、英飞拓/V3060A-08、锐明视讯/7104NC-C1-A2-STM、雄州/XZ-NVR9425T、蓝色星际/BSR-HR8108NS、星网锐捷/SN6116-LC、金三立/HD8008监控日志提取。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（三）记录仪恢复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1、需支持主流的行车记录仪视频数据恢复及残留数据提取。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2、需支持主流的执法记录仪视频数据恢复及残留数据提取。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（四）视频恢复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1、支持修复MP4、AVI、MOV、3GP、M4V、WMV格式的损坏视频；（须提供软件界面截图）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2、支持MP4视频格式(H264编码)无需参照视频修复；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（五）音频修复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需支持修复OGG、MP3、WAV、ACC、AMR、M4A、WMA格式的损坏音频；（须提供软件界面截图）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（六）图片修复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需支持修复JPG格式的损坏图片；（须提供软件界面截图）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（七）数据库恢复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1、需支持MYSQL5.0/5.5/5.7.19/8.0.13版本；支持SQL SERVER2000/2005/2008/2012/2014/2016/2017版本；支持SQLite3版本；支持Access2003版本；支持Oracle 10g、11g版本；（须提供软件界面截图）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2、需支持快速恢复和深度恢复两种恢复模式；需支持通过自定义表结构的方式对磁盘、镜像等存储进行深度恢复；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3、需支持以HTML、CSV、SQL、XLSX格式导出恢复结果；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（八）计算机恢复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1、需支持DD、001、IMG、E01、Ex01、DMG、AFF、VMDK、VHD等多种格式的镜像类型的数据恢复；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2、需支持微信公众号webp图片、photoshop使用的psd、数码相机CR2图片、 bz2/tar/gz压缩包文件类型签名恢复；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3、需支持卷影副本、动态磁盘的数据恢复；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4、需支持raid0/raid1/raid5/raid5EE/raid6(P+Q)/JBOD六种磁盘阵列的数据提取；支持NTFS、FAT12/16/32、exFAT、ReFS、HFS+、EXT2/3/4等文件系统恢复；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5、需提供快速恢复和深度恢复两种恢复模式，让数据恢复更加灵活高效；支持关键字搜索、过滤，快速定位用户所需文件；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r>
              <w:rPr>
                <w:rFonts w:hint="eastAsia" w:ascii="宋体" w:hAnsi="宋体" w:eastAsia="宋体" w:cs="宋体"/>
                <w:color w:val="auto"/>
                <w:sz w:val="21"/>
                <w:szCs w:val="21"/>
              </w:rPr>
              <w:t>支持手机QQ和计算机QQ的删除数据恢复，包括:账号信息、好友帐号、好友昵称、聊天记录等信息；</w:t>
            </w:r>
            <w:r>
              <w:rPr>
                <w:rFonts w:hint="eastAsia" w:ascii="宋体" w:hAnsi="宋体" w:eastAsia="宋体" w:cs="宋体"/>
                <w:color w:val="auto"/>
                <w:kern w:val="0"/>
                <w:sz w:val="21"/>
                <w:szCs w:val="21"/>
              </w:rPr>
              <w:t xml:space="preserve">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（九）其他功能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1、需支持恢复文件预览与导出；支持恢复结果文件快速搜索；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2、需支持快速恢复和深度恢复两种模式，用户可根据实际需要选择. </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无尘工作台</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100级无尘工作台</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简易无尘工作环境装置，洁净程度局部100级。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1、洁净等级：100级@ ≥0.5um；</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2、平均风速：0.25～0.5m/s（推荐使用风速0.3m/s）；</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3、噪声：≤62dB(A)；</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4、振动半峰值：≤4um；</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照度：≥300Lx；</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外型尺寸：不小于980mm*730mm*1620mm。</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电子物证检验一体化工作站</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一体化智能取证工作站系统</w:t>
            </w:r>
          </w:p>
        </w:tc>
        <w:tc>
          <w:tcPr>
            <w:tcW w:w="6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产品资质要求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产品需为国内自主研发，且具有自主知识产权，无软件潜在泄密风险；（须提供软件著作权证书作为）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需提供产品检测报告的证明材料；</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 硬件配置要求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要求产品为一体化触控工作桌，全方面满足取证工作全流程自动化工作的需求；工作台尺寸：不小于180cm（长）*85cm（宽）*95cm（高），尺寸不包括上方显示器；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配置1个不低于23.8英寸高强度触控显示器；配备2个不低于34英寸宽屏高清显示器；配备1个不低于7英寸的触控显示屏，可用于案件信息显示和硬盘擦除控制等；配置不低于：CPU主频≥3.6Ghz，八核十六线程；内存配置不低于64GB DDR4高速；配置不低于16GB显存的独立显卡；配置不低于4TB的固态硬盘作为系统盘，配置不低于12TB的机械硬盘作为数据存储盘；配置万兆网卡；</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配置不少于4个SATA/SAS硬盘只读仓、4个SATA/SAS硬盘读写仓（可灵活切换到只读）；配置IDE/SATA/USB（2.0/3.0）和各类存储卡等各种存储介质只读接入；</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配置不低于2路的SATA硬盘仓用于硬盘擦除，不低于2路的USB3.0接口用于USB存储介质擦除；</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配置不低于8路带手机网络阻隔功能的手机取证USB3.0接口（内网）、不低于8路直通功能的手机取证USB3.0接口（外网）；不低于4个USB3.0读写接口；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不少于配置2个220V电源接口、4路5V/2.1A USB充电口、1个RJ45千兆网络接口、1个电话接口；配置银行卡取证接口（IC芯片、磁条、NFC三种银行卡）、身份证取证接口、三合一SIM卡取证接口；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配置不少于1个蓝光刻录光驱；配置1个广角摄像头和1个高清摄像头；设备具有自主知识产权，具备专利和著作权证书；预装windows10神州网信政府版操作系统；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提供录屏录像功能，配置广角摄像头可以对取证区域进行录像；同时支持取证日志审计，构建取证过程轨迹，保证取证司法有效性；</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三、主要功能点</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支持不少于8路介质和8路手机并行取证；（需提供软件界面截图）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支持自动取证，接入存储介质后一键完成介质预检、介质固定、取证分析、系统仿真等取证工作，并自动完成工作报告；（需提供软件界面截图）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提供语音交互功能，支持知识问题和语音操作取证；（需提供软件界面截图）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四、计算机取证功能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（一）介质预检要求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硬盘硬件信息检测，包括获取硬盘基本配置信息（型号、固件版本、序列号等不少于11项数据）、硬盘S.M.A.R.T信息（数据读取错误率、主轴旋转次数等不少于15项数据）、盘面健康状况的检测、HPA/DCO情况检测等功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支持USB设备硬件信息检测、闪存卡硬件信息检测；</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（二）硬盘复制要求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需支持不少于4路高速硬盘复制同时工作，支持一对一、一对多、四对四等硬盘复制模式；</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需支持4路读写与8路只读的切换，实现8路同时镜像；（需提供软件界面截图）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需支持IDE、SATA、SAS、USB等接口硬盘的高速复制，并行复制速度SATAIII硬盘每路最高可达50GB/min；</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需支持自动识别HPA隐藏区域，并可进行复制、镜像等操作；</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（三）取证分析要求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需支持Windows系统、Mac OS X系统和Linux系统取证；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需支持基本磁盘/动态磁盘、MBR磁盘/GPT磁盘、LDM/LVM/LVM2磁盘、磁盘阵列重组，支持FAT12、FAT16、FAT32、exFAT、NTFS、CDFS、UDF、Ext2/3/4、HFSX/HFS+ UFS、ReiserFS、XFS、NILFS2、ReFS、VMFS、ZFS、JFS、JFS2、APFS、F2FS、BTRFS、 QNX4FS、QNX6FS、JFFS2以及手机上的YAFFS2、ROFS、黑莓BlackBerryFS等多种文件系统格式的解析，及多种被删除数据的恢复；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需支持E01、Ex01、L01、DD、IMG、001、ISO、DMG、VMDK、VHD、AFF、Lx01、GHO、VDI、DVD、HDD、HDS、QCOW2等镜像文件的加载和分析（需提供软件界面截图）；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需支持EFS离线解密；支持BitLocker离线解密(支持最新Win10 XTS-AES新加密算法)；支持FileVault2离线解密；支持VeraCrypt离线解密；支持Luks离线解密；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需支持JBOD、RAID0、RAID1、RAID5常规左同步、RAID5常规右同步、RAID5常规左异步、RAID5常规右异步的RAID磁盘组加载；支持macOS的RAID0解析；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需支持索引搜索，对设备进行索引后，对文件名和内容可实现秒级搜索相应。</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需支持自定义报告，摘录功能可以将数据片段、文本信息、文件信息、取证结果或其它类型的数据添加到摘录视图中，并可将摘录数据生成报告以自定义模板形式导出（需提供软件界面截图）；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需支持简单删除文件恢复、格式化后的文件恢复、被删除的磁盘分区恢复、根据文件头尾特征对被删除文件进行恢复；</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需支持动态取证功能，获取计算机系统运行状态下的动态信息，包括系统进程、各种通讯及网络服务帐号和密码、上网记录及网络连接信息等（需提供软件界面截图）；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需支持工具集功能，提供动态取证、QQ密钥获取、内存镜像解析、内存镜像制作、人脸识别、银行卡采集等应用；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支持自定义脚本功能；（需提供软件界面截图）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（四）操作系统仿真要求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需支持Windows、Mac、Linux系统仿真，仿真方式包括物理盘系统仿真和系统镜像仿真； 需支持对Windows操作系统（支持微软账户破解）、MAC OS操作系统、Linux多个版本进行仿真取证；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需支持多镜像仿真；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需支持对全盘镜像或分区镜像（DD镜像、E01镜像等）的仿真取证，可直接查看DD、E01镜像中的分区、操作系统及用户等重要信息（需提供软件界面截图）；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需支持对Windows 操作系统获取信息不少于：系统信息、易失数据、账号密码、上网痕迹、用户痕迹等五大类重要数据；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五、手机取证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（一）手机支持能力要求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需支持主流智能机操作系统： Android（含各类定制Android系统，</w:t>
            </w:r>
            <w:r>
              <w:rPr>
                <w:rFonts w:hint="eastAsia" w:ascii="宋体" w:hAnsi="宋体" w:eastAsia="宋体" w:cs="宋体"/>
                <w:color w:val="auto"/>
                <w:sz w:val="21"/>
                <w:szCs w:val="21"/>
              </w:rPr>
              <w:t>支持最新Android 10.0</w:t>
            </w:r>
            <w:r>
              <w:rPr>
                <w:rFonts w:hint="eastAsia" w:ascii="宋体" w:hAnsi="宋体" w:eastAsia="宋体" w:cs="宋体"/>
                <w:color w:val="auto"/>
                <w:kern w:val="0"/>
                <w:sz w:val="21"/>
                <w:szCs w:val="21"/>
              </w:rPr>
              <w:t>）、iOS</w:t>
            </w:r>
            <w:r>
              <w:rPr>
                <w:rFonts w:hint="eastAsia" w:ascii="宋体" w:hAnsi="宋体" w:eastAsia="宋体" w:cs="宋体"/>
                <w:color w:val="auto"/>
                <w:sz w:val="21"/>
                <w:szCs w:val="21"/>
              </w:rPr>
              <w:t>（支持最新iOS 13）</w:t>
            </w:r>
            <w:r>
              <w:rPr>
                <w:rFonts w:hint="eastAsia" w:ascii="宋体" w:hAnsi="宋体" w:eastAsia="宋体" w:cs="宋体"/>
                <w:color w:val="auto"/>
                <w:kern w:val="0"/>
                <w:sz w:val="21"/>
                <w:szCs w:val="21"/>
              </w:rPr>
              <w:t>、Windows Mobile/Phone/CE、塞班、黑莓（含黑莓10）、Linux、Bada等。支持制作或解析Android、iPhone手机逻辑镜像，固定手机数据。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需通过内置镜像采集终端获取镜像并解析取证，平台包括MTK、展讯、Mstar、CoolSand、ADI、英飞凌等平台</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，也包含MTK平台的Android手机。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（二）手机数据提取和恢复要求</w:t>
            </w:r>
          </w:p>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1.需支持Android和iPhone手机基本信息取证，包括系统信息、通讯录、通话记录、短信等；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需支持iOS系统无需越狱，即可绕过备份密码提取数据；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 产品需支持Android系统在取证过程中无需频繁点击授权提示，提高取证效率。</w:t>
            </w:r>
          </w:p>
          <w:p>
            <w:pPr>
              <w:widowControl/>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需支持Android和iPhone 手机微信、QQ、微博信息取证，包括账号信息、好友信息、聊天记录等。</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需支持获取手机IMEI、IMSI、通讯簿、短信、通话记录、位置信息、备忘录、日程表、Wi-Fi/蓝牙连接记录、多媒体文件（图片/视频/音频）、系统日志（开关机时间、应用程序使用卸载记录、电量统计、流量统计、iOS设备使用过的手机号、iOS设备连接过的主机、iOS PushStore推送消息）和密码密钥等信息，支持恢复已删除的电话簿、短信、通话记录、日程表等信息。</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 需支持手机已删除数据的恢复，支持删除数据恢复的平台包括： iPhone手机、Android手机、Symbian手机、MTK及展讯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、诺基亚S40手机、摩托罗拉非智能机、高通平台CDMA功能手机和部分黑莓手机等。其中iPhone手机越狱和未越狱均可实现删除数据恢复，Android手机未ROOT或已ROOT均可进行删除数据恢复。</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需支持手机内存镜像的获取和解析，包括Android手机、iPhone手机、</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（MTK、展讯、Mstar等）、诺基亚S40手机、黑莓手机。</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 需支持Android手机基于镜像的深度数据恢复，可深度恢复微信、短信等删除数据。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（三）手机密码破解及绕过要求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系统需提供Android解锁大师工具。支持 6.x-10.0版本华为系列手机屏幕锁破解，包含高通芯片、MTK芯片以及麒麟990/810980/710/970/960/955/950/659/658/655等，支持MATE30、MATE30PRO、P30、P30PRO、mate20、V20、荣耀V30、荣耀V30 Pro、荣耀20、 Nova6等全版本解锁；支持6.x-8.x版本三星系列手机（含S8/S8+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系列手机R17/R17 PRO系列、Find X、R15系列、K1、A7x、A7、A5、R11s系列、R11系列等屏幕解锁、ROOT破解或镜像下载等，支持OPPO全系列高级备份，支持手机应用程序解析；支持vivo系列手机(含vivo X27 PRO、X23系列、X21系列、X20系列、Y97、Y93、Y95、Z5x、Z3x、Z3/Z3i、Z1/Z1i、U1、S1、Y3等)屏幕解锁等, 最高支持至Android10.0；支持小米系列手机（含小米Max3、小米8 青春版、小米8 SE、小米6x、红米Note7、红米Note5、红米Pro、红米S2等）屏幕解锁，新增小米高级备份，只需一点空间即可完成小米取证，支持Android5.0以上版本所有手机；支持移除全盘加密的魅族手机（如8X、PRO 7/PRO 6、NOTE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开机密码绕过和破解、免ROOT下载镜像或数据包等。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需支持三星、华为、小米、OPPO、vivo、魅族、乐视、HTC等各品牌手机在未ROOT情况下免刷机直接提取镜像并自动解密。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（四）手机应用程序解析要求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针对手机APP种类广、版本多、迭代快等特点，用户可自定义编写Python脚本，实现对新APP数据的快速提取，并支持将提取结果合并到案件数据中。支持手机APK静态分析，快速提取分析APK资源分析。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手机即时通讯类应用程序的痕迹记录解析、社交网络数据的获取、上网日志的获取解析、手机邮件的获取解析、手机行程记录的获取解析、手机电子商务数据的获取解析、手机Wi-Fi、蓝牙连接记录、GPS、Wi-Fi、基站、照片位置信息及部分应用程序位置信息的提取、支持第三方安全软件的获取解析、车载导航记录的获取解析、视听软件的获取解析、支持360安全云盘、易联OVPN、华为手机云、iCloud等应用的获取解析、银行类APP的获取解析、其他应用解析如搜狗输入法、imToken、币牛牛、115网盘、金十数据、豌豆荚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（五）手机取证工具集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Android系列：需提供Android镜像下载工具，支持任意多部手机同时下载镜像；提供Android解锁大师工具，支持按手机型号破解或绕过密码。提供Android一键root工具，支持一键root和一键取消root，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iPhone系列：需提供iPhone屏幕锁破解设备提供iPhone备份浏览工具，可直接加在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设备集成暴恐查缉-暴恐音视频图片电子书查缉工具，在手机取证时对手机进行暴恐文件的检索查缉。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（六）支持数据分析、关联和报告要求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需支持列表、会话等方式的数据浏览，语音、视频、图片等多媒体文件直接播放，红包、分享链接、转账等直观展示，微信、QQ、支付宝等资金往来数据单独归类，全面提升数据浏览效率。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多关键字搜索、时间段搜索、搜索结果溯源以及导出搜索报告；支持对数据添加标签并导出标签报告；支持导出Word、Html、Pdf、CSV等格式的取证报告并进行管理，且Html报告支持会话展示、多浏览器查看以及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支持多重数据分析，刻画人物属性、挖掘身份标识、二维码分析等，对手机持有人的头像、手机号、姓名、身份证号等各类信息进行挖掘，对二维码详细信息进行展示，多方位多角度挖掘有效线索。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集成免费绿色版的案件阅读工具，支持导出案件数据后，使用案件阅读工具进行数据浏览、搜索、分析、添加标签、导出各种格式的取证报告和标签报告，方便进行案件多人分析、跨部门案件协助处理、案件保存等。（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（七）人工智能与取证技术结合要求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语音识别，支持单个或批量语音识别，可将语音文件自动识别成文字内容，且识别结果支持列表展示与会话展示，解决人工听取语音耗时长的问题（需提供软件界面截图）。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涉案分析，专业定位淹没在海量数据中的关键涉案信息，利用基于机器学习的智能分析，快速聚焦黄、赌、毒、诈骗、涉贷等会话数据，攻克海量数据查找分析难题（需提供软件界面截图）。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照片分析，快速识别并分类手机中所有照片，种类包括SH、SB、SJ、SM、SK、证件照片（身份证、银行卡、护照、驾驶证、行驶证、车牌、营业执照、名片等）、二维码、人物照片等，辅助分析嫌疑人及其关系网人物样貌。其中证件照片支持OCR识别文字信息，人脸照片支持人脸搜索与聚类（需提供软件界面截图）。</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电子物证检验一体化工作站</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介质取证塔系统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显示器：不低于34英寸宽屏高清显示器（分辨率≥3440*1440）；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CPU配置不低于：主频≥3.6Ghz，八核十六线程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内存：不低于64GB DDR4；</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硬盘：系统盘不低于企业级SSD 2TB，本地存储硬盘不低于12TB；</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配置不少于4个SATA/SAS硬盘只读仓、4个SATA/SAS硬盘读写仓（可灵活切换到只读）；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配置2个只读锁，可满足IDE、SATA、SCSI、USB（2.0/3.0）和各类存储卡等各种存储介质只读接入；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配置特殊接口转换器，可应对Apple SSD，以及mSATA、M.2/NGFF等特殊SATA协议硬盘接口；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配置特殊接口转换器，支持Apple SSD、M.2等PCIE协议硬盘接口；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功能模块：硬盘复制、取证分析、动态仿真、录屏等功能；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全自主研发，具备完全自主知识产权，具备著作权证书；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预装64位Windows10 网信版操作系统；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二、计算机取证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（一）硬盘复制</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需支持不少于4路高速硬盘并行复制，支持一对一、一对多、四对四等硬盘复制模式；</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需支持4路读写与8路只读的切换，实现8路同时镜像（需提供软件界面截图）；</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需支持IDE、SATA、SAS、USB等接口硬盘的高速复制，SAS硬盘最高不低于50GB/min；</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可通过转换器，支持mSATA、M.2/NGFF等特殊SATA协议硬盘接口；</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可通过转换器，支持Apple SSD、M.2等PCIE协议硬盘接口；</w:t>
            </w:r>
          </w:p>
          <w:p>
            <w:pPr>
              <w:widowControl/>
              <w:spacing w:line="32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支持自动识别HPA隐藏区域，并可进行复制、镜像等操作（需提供软件界面截图）；</w:t>
            </w:r>
          </w:p>
          <w:p>
            <w:pPr>
              <w:widowControl/>
              <w:spacing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支持源盘和目标盘一对一复制，支持用户继续上次未完成的复制操作；</w:t>
            </w:r>
          </w:p>
          <w:p>
            <w:pPr>
              <w:pStyle w:val="2"/>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8.</w:t>
            </w: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rPr>
              <w:t>支持一对一镜像获取，支持将源盘、指定扇区范围内的数据获取成指定格式的镜像文件</w:t>
            </w:r>
            <w:r>
              <w:rPr>
                <w:rFonts w:hint="eastAsia" w:ascii="宋体" w:hAnsi="宋体" w:eastAsia="宋体" w:cs="宋体"/>
                <w:color w:val="auto"/>
                <w:kern w:val="0"/>
                <w:sz w:val="21"/>
                <w:szCs w:val="21"/>
                <w:lang w:eastAsia="zh-CN"/>
              </w:rPr>
              <w:t>。</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（二）取证分析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1、文件系统加载和恢复能力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支持基本磁盘/动态磁盘、MBR磁盘/GPT磁盘、LDM/LVM/LVM2磁盘、磁盘阵列重组，支持FAT12、FAT16、FAT32、exFAT、NTFS、CDFS、UDF、Ext2/3/4、HFSX/HFS+ UFS、ReiserFS、XFS、NILFS2、ReFS、VMFS、ZFS、JFS、JFS2、APFS、F2FS、BTRFS、 QNX4FS、QNX6FS、JFFS2以及手机上的YAFFS2、ROFS、黑莓BlackBerryFS等多种文件系统格式的解析；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支持E01、Ex01、L01、DD、IMG、001、ISO、DMG、VMDK、VHD、AFF、Lx01、GHO、VDI、DVD、HDD、HDS、VHDX、QCOW2等镜像文件的加载和分析；（需提供软件界面截图）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支持简单删除文件恢复、格式化后的文件恢复、被删除的磁盘分区恢复、根据文件头尾特征对被删除文件进行恢复；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支持文件签名分析，快速查找可疑签名文件；并根据文件签名等特征信息，在未分配簇、Pagefile.sys、Hiberfil.sys等位置进行文件签名恢复；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2、复合磁盘结构解析能力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支持LDM/LVM/LVM2磁盘结构；支持Linux的MDADM软RAID解析；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支持win10的 Windows Storage Spaces存储空间解析；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支持macOS的Fusion Drive融合磁盘解析；支持macOS的RAID0解析；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支持JBOD、RAID0、RAID1、RAID5常规左同步、RAID5常规右同步、RAID5常规左异步、RAID5常规右异步的RAID磁盘组加载；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提供RAID自盘组自动计算磁盘序列功能，可提供最符合条件的RAID类型建议；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3、加密数据解密能力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支持EFS离线解密；支持BitLocker离线解密(支持最新Win10 XTS-AES新加密算法)；支持FileVault2离线解密；支持VeraCrypt离线解密；支持Luks离线解密；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支持对苹果系统APFS下的FileVault2加解密数据解密及APFS文件系统加密数据解密；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支持TrueCrypt加密文件/分区的自动检测和加载解密；支持Virtual Box虚拟机加密虚拟磁盘解密功能；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支持KVM虚拟机加密虚拟磁盘解密功能；支持iTunesBackup备份解析以及加密备份的解密功能；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4、文件系统其它功能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支持证据文件镜像挂载成本地磁盘功能；支持检材中虚拟磁盘镜像的解析功能；支持磁盘/镜像检材类型数据源重置功能；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支持卷影副本解析，并可查看文件的历史版本；</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5、取证能力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支持系统痕迹分析，包括USB设备使用记录、应用程序运行痕迹、用户最近访问记录、回收站删除记录、远程桌面、未分配簇中打印记录等；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支持上网记录分析、即时通讯分析、邮件分析、输入法分析、云存储应用分析、下载工具分析；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在联网及获取绑定手机的情况下，支持解析电脑版微信聊天记录、好友信息、群组信息；微信登陆状态下可在线解析无需手机；支持从内存镜像中获取微信密钥进行离线解析；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支持手机微信备份文件解析，可解析备份在电脑上的微信信息；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支持QQ解析，在未保存密码的情况下，也可能解析出聊天记录的内容；支持绕过QQ绑定的手机设备锁，在有绑定手机的情况下也可以直接输入登陆密码进行解密；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支持手机登陆QQ的情况下在电脑端通过二维码扫描进行解密的功能；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可提取Foxmail、DreamMail、Thunderbird、网易闪电邮、Office Outlook、UC、QQ、阿里旺旺、飞信、SKYPE、MSN、RTX、飞秋、营销QQ、GigaTribe、Becky! Mail等密码或密钥；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支持密码/密钥检索功能，包含BitLocker、FileVault2、WiFi密钥的自动检索；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支持Mac内置应用、Mac打印信息、Mac无线连接、Mac蓝牙、Mac远程连接记录等的解析；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支持快速搜索并定位反取证软件、加密文件等功能，支持对文件进行分类，并支持对视频文件进行分帧查看，提高调查速度；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支持照片Exif信息提取和分析；支持快速搜索并解析Windows日志、Apache日志和IIS日志信息；支持注册表被删除键名、键值的恢复，并能显示最后写入时间；</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6、搜索能力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支持索引搜索，对设备进行索引后，对文件名和内容可实现秒级搜索响应；</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支持对Office复合文件和PDF文件的搜索；支持关键词快速搜索，支持正则表达式；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7、报告能力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支持自动生成报告，方便后续浏览与整理；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支持自定义报告，摘录功能可以将数据片段、文本信息、文件信息、取证结果或其它类型的数据添加到摘录视图中，并可将摘录数据生成报告以自定义模板形式导出；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8、其他能力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支持动态取证功能，获取计算机系统运行状态下的动态信息，包括系统进程、各种通讯及网络服务帐号和密码、上网记录及网络连接信息等；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支持工具集功能，提供动态取证、QQ密钥获取、内存镜像解析、内存镜像制作、镜像挂载工具、FileVault2密钥获取工具、人脸识别、银行卡采集、反恐利剑、哈希计算等应用；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支持按时间线方式浏览文件和取证结果；支持在线情况下即时通讯内容的维文转汉文翻译、语音转文字等功能；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支持案例概览功能；支持自定义脚本功能；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三、操作系统仿真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支持对物理磁盘和镜像文件两种介质存储方式的仿真取证；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支持对Windows操作系统、Mac OS操作系统、Linux进行仿真取证；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支持同时进行多个数据源以及多镜像仿真；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支持Windows、MAC、Linux操作系统登录密码的绕过功能；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支持apfs加密磁盘进行仿真；支持对全盘镜像或分区镜像（DD镜像、E01镜像、云镜像等）的仿真取证；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支持对全盘镜像或分区镜像（DD镜像、E01镜像等）的仿真取证，可直接查看DD、E01等镜像中的分区、操作系统及用户等重要信息；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支持对Windows 操作系统获取信息不少于：系统信息、易失数据、账号密码、上网痕迹、用户痕迹等五大类重要数据；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支持对Windows系统的用户操作痕迹进行时间线播放；</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密码破解系统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密码破解系统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 硬件要求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1、配置不低于4张高性能RTX3080专用运算加速卡；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2、CPU配置不低于：双CPU，主频1.9GHz，六核六线程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3、硬盘配置不低于：4TB企业级SSD固态硬盘；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4、内存配置不低于：64GB 服务器内存。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支持分布式运算，部署简单，分布运算能力强；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采用B/S模式，可以随时利用Web浏览器登录系统进行操作；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支持用户权限分级管理，不同权限的用户，可调用解密运算资源不一样；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支持多任务并行运算功能，一台机器即可支持同时对不低于3个的任务进行并行运算解密；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支持多国语言密码的解析，例如中文密码字典，以及含有中文字符串的规则解析，可以解析出用中文加密的RAR加密文件密码；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所有文件类加密数据，均支持密钥分离，只需加密文件分离出来的密钥部分内容，即可进行解密运算，防止破译后的信息泄密；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支持超过160种类型、250种算法的加密信息的解析，包括Office、RAR、7z、MD5、SHA1、PGP、TrueCrypt、HWP、Luks、Zip、ALZIP、KuaiZIP、Pkware、文件密使、AXCrypt、BestCrypt、Bitlock、Private Disk、VeraCrypt、Keychain、filevault2(APFS)、Cisco口令密码、Phpbb3、LOVEMA、Blowfish、GnuPG、Serv_U、Radmin、Drupal、VNC、Joomla、Coolfish、kerberos 5 TGS-REP、对称加密算法（DES、3DES、AES（128bit）、IDEA、Serpent、Twofish、CAST5、AES-192、AES-256）等算法；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所有支持的算法类型均支持GPU运算；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支持Doc/Xls文档密钥的解析，不需要知道密码，即可查看Doc/Xls加密文档内容；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支持用户自定义多段的高级规则，可以把某几个固定字符串随机组合进行破解；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采用WebService技术实现开放式接口，可与其它系统进行联动破解；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提供符合网络用户习惯的初始密码字典；</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拥有黄金字典功能，可以把所有解析出来的密码，都自动加入黄金字典，供后续新任务解密使用，以便提高恢复成功率；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 支持针对多个有代表性的密码字典，结合人工智能和统计学的方式，从密码长度、字符类型、字符串组成等进行规律分析，根据分析出的规律进行字典挖掘，最终形成较为高效的密码字典；</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 支持字典预分发功能，在提交任务前预先将字典分发到指定的客户端，减少字典传输时间，提高破解效率；</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视频取证及恢复设备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视频现勘采集系统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一、硬件参数要求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屏幕尺寸：不小于10英寸；屏幕分辨率：不低于1800×1200；CPU配置不低于：主频1.6GHz，双核四线程；内存：不低于16GB，DDR4；硬盘：不低于512GB，SSD；接口：USB Type-C*1；网络：4G LTE/WiFi；配件：64GB USB 3.0U盘*1 ；USB TYPE-C转USB+RJ45转接器*1；蓝牙鼠标*1；5米千兆网线*1；USB转SATA转接线（含电源）*1；专用勘查箱/勘查包*1。</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二、软件技术要求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（一）案件管理模块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具备标准案件类型字典库，可通过类型编号或文字进行搜索。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具备离线状态下，扫描二维码直接下载案件基本属性的功能。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（二）现勘信息录入模块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具备快速录入视频现勘地点、现场条件、现场保护情况、现场访问笔录的功能。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具备现场采集人员信息和指纹信息的功能。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（三）视频采集模块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具备通过网络直接下载DVR/NVR内监控视频的功能，支持自动扫描网段内监控设备和手动连接监控设备两种连接方式。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具备直接连接监控硬盘，解析监控硬盘格式并下载其中监控视频文件的功能；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支持采集超过500种监控设备内的视频文件。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具备加载硬盘镜像，并下载镜像内监控视频文件的功能。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具备下载文件管理功能，RJ45接口采集和SATA接口采集两种方式均支持下载文件管理功能，识别并显示监控视频的文件名、文件类型、大小、起止时间、通道信息，下载过程中可显示下载进度和下载状态，下载后支持播放视频文件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具备视频恢复功能，对于监控设备中被人为删除的视频文件，可以恢复文件并实现采集；恢复功能支持碎片重组技术，恢复的文件并非碎片文件，而是与删除前文件大小一致的文件，且不会出现通道混杂现象。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（四）监控点位采集模块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设备具备实时定位经纬度的功能。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可实时切换显示平面图/卫星图。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无需借助外设，可直接利用设备本身GPS信息采集监控点经纬度。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具备根据监控点经纬度信息，在地图上显示监控点位置的功能。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采集监控点位信息时，可采集点位经纬度、监控设备照射方向、监控设备性质、监控设备视频时间和北京时间的时差等信息。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具备将采集的监控点位和视频采集模块中采集的视频文件相关联的功能，刻画视频时空关系。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（五）现场图绘制模块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具备符合GA/T1017-2013《视频现场分布图编制规范》要求的现场图绘制工具。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现场图绘制时，可通过拖拽的方式在图中标定监控点、中心案发点、信息点、人、车、物等元素；</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现场图绘制时，可通过手指划线的方式标定人车移动轨迹和预估活动轨迹。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现场图绘制时，可设置监控设备照射方向、监控设备性质、监控设备视频时间和北京时间的时差等信息。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（六）录入现场照片模块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无需借助外设，可通过设备本身快速拍摄现场照片。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可对现场照片进行快速分类。</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（七）人脸超分辨率重建功能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设备具备人脸超分辨率重建功能，支持输入BMP、JPEG、PNG等格式的低分辨率人脸图片，支持自动定位和手动调整图片中眼睛位置实现人像对齐，提供LCR/EIG/LINE/LLE四种算法对人脸进行超分辨率重建，提供不少于四类的参数调节功能，最终生成轮廓和细节清晰的人像高分辨率图片，放大率根据输入图片像素不同可达2-5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（八）一键生成现勘报告模块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可一键自动生成《视频现场勘验检查报告》、《提取视频物证登记表》、《视频物证清单》，并导出完整的视频现场勘验工作报告。</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分布式智能取证分析系统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分布式智能取证分析系统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需提供产品检测报告的证明材料；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工作环境：工作环境温度5℃至35℃(–60m-1800m)，海拔1800 m～3000m时，高度每升高100m，环境温度降低0.6℃；工作湿度20%～80%R.H；工作电源AC 200V～240V,额定输入功率不低于10KW</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硬件组成包括：智能调度中心模块、统一数据中心模块、分布式运算模块、海量分布式存储模块，同时配备万兆交换机、定制机柜等配件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存储硬件配置不低于：海量分布式存储模块配置3个存储节点；每存储节点配置存储专用处理器；物理内存不小于32GB；12个可热插拔磁盘位，支持3.5寸SSD、SATA、NL SAS硬盘，配置不少于11块4TB企业级 7.2k rpm SATA硬盘，1块960GB SSD硬盘，配置不少于2块600GB SAS系统硬盘，冗余电源；每个存储节点为机架式2U高度；管理数据流与业务数据流分离互不干扰；</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服务器硬件配置不低于：具备分布式取证运算单元3套、分布式取证综合调度中心单元1套、分布式取证数据中心单元1套，各单元服务器硬件参数：双CPU，主频≥2.1GHz，八核十六线程；内存不低于64GB、DDR4，硬盘不低于10K的1.2TB SAS盘，双冗余电源，含正版Windows Server 2016 Standard中文标准版操作系统；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千兆交换机硬件参数：不少于24个10/100/1000Base-T以太网端口，4个复用的千兆Combo SFP，4个千兆SFP；</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万兆交换机硬件参数：不少于48个10G SFP，6个100G QSFP；</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KVM切换器硬件参数：不低于19寸的液晶显示器，支持分辨率不低于1280*1024，内置不少于16口USB、PS/2混接功能的KVM端口；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需支持“一人多案、多人一案”的协作办案工作模式，支持远程专家会诊模式；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具备先进的分布式取证分析功能，拥有高速的取证分析性能；基于灵活的分布式系统架构，并支持线性增长的分布式扩展功能，可将性能良好的其他取证设备接入，转化成为分布式运算节点叠加使用，充分利用原有闲置的设备资源，更进一步提升取证分析速度，打造分布式取证实验室，可在综合设备界面随时查看纳入运算的各设备状态及任务执行进度（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需支持共享设备取证分析，使用设备共享工具对远程磁盘进行映射，无需对远程磁盘做镜像，便可利用多台运算节点服务器资源对磁盘直接进行分布式的取证分析；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需支持各家取证厂商符合部标格式的手机、计算机、云取证、汽车取证结果数据的导入汇聚分析，支持各类介质取证结果的综合展示、合并检索，统一出具取证结果报告；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需支持对检材数据进行深入信息挖掘，支持身份标识等数据的挖掘和提取，包括人名、身份证、银行卡、车牌、手机、电话号码、邮箱账号、集装箱号、报关单号、快递单号、IP地址、上网行为分析；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需支持案件中账号和密码的提取并生成密码字典，支持取证结果和文本中疑似密码的挖掘；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需支持数据关联碰撞分析功能，支持案内多检材共同账号、共同好友、共同群组、共同群成员等数据的碰撞和关联性分析；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需支持即时通讯中的语音转文字，支持维文翻译功能；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需支持人脸特征识别，支持相似人脸归类展示；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需支持涉案分析，对即时通讯聊天记录进行分析，根据涉案模型分析出内容是否涉及黄赌毒等非法记录；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需支持群聊分析，对即时通讯中的群聊记录进行分析，提取出群聊话题、关键词云、群亲密关联、群发言活跃度Top10和群发言时段等内容；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需支持邮件分析可视化图表分析，可变图形化展示邮件之间关联收发关系、收发频度等；支持时间轴图像展示邮件收发转过程；支持根据邮件数量和起始时间显示出邮件总数和收发邮件数，自动形成指定邮箱中的邮件数量，支持针对指定 IP、指定域名、指定关键字进行邮件统计，支持以表格、柱状、圆饼等图形式显示；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需支持邮件篡改识别，对邮件头部和正在进行分析，判断邮件是否被篡改过；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 需支持垃圾邮件智能识别，对邮件标题和内容进行分析，判断是否是垃圾邮件；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15. 要求支持基本磁盘/动态磁盘、MBR磁盘/GPT磁盘、LDM/LVM/LVM2磁盘、磁盘阵列重组，支持FAT12、FAT16、FAT32、exFAT、NTFS、CDFS、UDF、Ext2/3/4、HFSX/HFS+ UFS、ReiserFS、XFS、NILFS2、ReFS、VMFS、ZFS、JFS、JFS2、APFS、F2FS、BTRFS、 QNX4FS、QNX6FS、JFFS2以及手机上的YAFFS2、ROFS、黑莓BlackBerryFS等多种文件系统格式的解析；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 需支持分布式恢复功能，支持深度恢复和分区恢复，深度恢复包含签名恢复和格式化恢复；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 需支持JBOD、RAID0、RAID1、RAID5常规左同步、RAID5常规右同步、RAID5常规左异步、RAID5常规右异步的RAID磁盘组加载；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 要求提供RAID自盘组自动计算磁盘序列功能，可提供最符合条件的RAID类型建议；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 需支持BitLocker(支持最新Win10 XTS-AES新加密算法)、FileVault2、VeraCrypt和Luks离线解密，支持TrueCrypt加密文件/分区的自动检测和加载解密；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 需支持磁盘/镜像检材类型数据源重置功能；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 需支持卷影副本解析，并可查看文件的历史版本；</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 需支持系统痕迹分析，包括USB设备使用记录、应用程序运行痕迹、用户最近访问记录、回收站删除记录、远程桌面、未分配簇中打印记录等；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 需支持上网记录分析，包括IE、Chrome、Firefox、360、傲游、Opera、腾讯TT、世界之窗、搜狗、Microsoft Edge、2345浏览器、Yandex等浏览器的用户网页浏览记录；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 需支持即时通讯分析，包括QQ、微信、阿里旺旺、钉钉、Skype、RTX、MSN、飞信、京东咚咚、网易泡泡、新浪UC、雅虎、YY语音、ICQ、Line、Pidgin、AIM、Miranda、Adium、ooVoo、飞秋等应用的聊天记录、好友信息、群组信息的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 需支持快速搜索并定位反取证软件、加密文件等功能，支持对文件进行分类，并支持对视频文件进行分帧查看，提高调查速度；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 需支持伪基站取证，包括对伪基站硬盘、镜像文件，以及对特定文件进行分析；支持从日志中提取短信内容、发送号码、发送条数、受影响的IMSI号和数量；支持删除短信、删除IMSI信息的恢复（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 需支持实时关键字搜索方便对取证结果和数据挖掘内容进行分析，对源文件的文件名称和文件内容进行搜索；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 需支持用户和权限的管理功能，支持案件权限管控，支持多人办案模式（须提供软件界面截图）；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 需支持对单个案件及内含检材的分析结果进行分类统计，支持对统计结果导出；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 需支持对系统整体运行结果进行统计分析，可分析案件类型、案件区域分布、案件时间分布，支持统计分析检材类型和数量，支持分析案件解析结果中的数据分布情况、分析即时通讯账号Top 5等；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 需支持检材数量、案件总数、案发区域、案件类别和案件办理趋势等数据统计；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 需支持自动生成报告，方便后续浏览与整理；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 需支持自定义报告，摘录功能可以将数据片段、文本信息、文件信息、取证结果或其它类型的数据添加到摘录视图中，支持截屏方式的证据摘录，支持案件内多用户进行证据摘录的协作共享，并可将摘录数据生成报告以自定义模板形式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 要求支持工具集功能，提供动态取证、密钥获取、内存镜像解析、物理内存镜像获取、SQLite文件浏览、相似文档检索、镜像挂载、FileVault2密钥获取工具、人脸检测、银行卡采集、哈希值计算、设备共享等工具（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 海量分布式存储支持3节点至288节点弹性动态无缝扩展，集群容量最大可无缝扩展至140PB，而且节点扩展中业务不中断。扩展至最大容量情况下，整个存储系统最大可以向客户提供业界领先的超过500万的OPS，超过400GB/s的系统总带宽。支持“一键式”在线扩展，单节点扩展小于60秒。随着节点数的增加，存储容量和计算能力和缓存容量线性增加，缓存增加减少硬盘随机I/O，提高整系统性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 每个数据存储节点最大性能达到1GB/s，且整体存储性能随存储节点增加而线性增长；海量分布式存储支持NFS，CIFS，FTP；</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 海量分布式存储采用的是全对称、去中心化的分布式架构，无需独立的元数据服务节点，每个节点都能提供元数据服务（MDS）、数据服务（DS）以及外部访问的接口服务（CA），消除性能瓶颈，不存在单点故障，在节点扩容、故障场景下都能无缝平滑切换，业务不受影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 海量分布式存储集群后端网络可以支持10GE或InfiniBand连接，前端网络支持GE、10GE或InfiniBand连接，以满足不同场景用户的组网需求。无论哪种组网，存储单元内的所有节点网络都是冗余的，任何单一网口故障均不影响系统使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39. 海量分布式存储所有节点服务器上的内存空间在逻辑组成一个统一内存资源池，最大可支持55TB，有效提高数据访问命中率，提升整体系统性能；硬件采用SSD盘存储元数据，加速元数据访问效率，有效提升系统小文件处理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 海量分布式存储单元模块具备内置管理模块，可为用户提供可视化图形界面，支持集群状态管理以及配置数据的管理功能，提供硬件资源配置、性能监控、存储系统参数配置、用户管理、节点状态管理、告警信息查询、软件升级等功能；</w:t>
            </w:r>
          </w:p>
          <w:p>
            <w:pPr>
              <w:widowControl/>
              <w:spacing w:line="320" w:lineRule="exact"/>
              <w:ind w:firstLine="42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41.支持手机、计算机、云取证、汽车取证结果数据的导入汇聚分析，支持各类介质取证结果的综合展示、合并检索，统一出具取证结果报告</w:t>
            </w:r>
            <w:r>
              <w:rPr>
                <w:rFonts w:hint="eastAsia" w:ascii="宋体" w:hAnsi="宋体" w:eastAsia="宋体" w:cs="宋体"/>
                <w:color w:val="auto"/>
                <w:kern w:val="0"/>
                <w:sz w:val="21"/>
                <w:szCs w:val="21"/>
                <w:lang w:eastAsia="zh-CN"/>
              </w:rPr>
              <w:t>。</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手机取证分析系统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多路手机取证系统</w:t>
            </w:r>
          </w:p>
        </w:tc>
        <w:tc>
          <w:tcPr>
            <w:tcW w:w="62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取证分析功能要求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（一）资质证书要求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产品需为国内自主研发，且具有自主知识产权，无软件潜在泄密风险；（须提供软件著作权证书作为）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需提供产品检测报告的证明材料；</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（二）主要硬件配置要求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双主机取证工作台一体化设计要求：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手机取证主机CPU配置：双CPU，主频不低于3.3GHz，4核8线程，内存不低于：128G，硬盘：系统盘不低于3.8TB 企业级SSD硬盘，存储盘不低于12TB*2企业级HDD硬盘，不少于2个读写硬盘仓，蓝光刻录光驱，显卡：不低于NVIDIA 8G显存，千兆网卡，显示器：不小于34英寸曲面屏，配置50个USB3.0手机取证接口，可实现50路手机高速并行取证；内置多功能读卡器，支持SD/MMC、MS、xD、CF等存储卡取证；内置身份证、银行卡、三合一SIM卡读卡器等，支持身份证取证、银行卡取证、SIM卡取证等；支持蓝牙取证、10路（文件&amp;镜像）取证、拍照取证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手机云数据取证主机CPU配置：主频不低于3.3GHz，4核8线程，内存不低于128G，硬盘：系统盘不低于3.8TB 企业级SSD硬盘，存储盘不低于12TB企业级HDD硬盘，不少于2个读写硬盘仓，蓝光刻录光驱，显卡：不低于NVIDIA 2G显存，短信猫（同时兼容标准SIM、Micro SIM、Nano SIM尺寸规格的SIM卡，无需借助卡套），千兆网卡、万兆网卡，显示器：不低于34英寸曲面屏，配置3个USB3.0手机取证接口，可实现3路手机高速并行取证，支持多部检材多应用多账号同时并行提取手机云数据等。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要求内置拍照摄像平台，支持对手机、发票、便签等物证进行拍照取证或录像取证。要求配置多种规格手机取证数据线等专用取证配件，给取证工作提供便利。</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专利配件模块：手机供电线解决手机没电、电池损坏无法开机问题；亮屏器确保手机取证过程亮屏，确保手机取证的成功率。</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5.内置三路USB信号采集接口；内置三合一SIM卡读卡器，支持的SIM卡涵盖移动、联通、电信运营商的各种2G/3G/4G网络的各种手机SIM卡，无需借助卡套，兼容标准SIM、Micro SIM、Nano SIM尺寸规格的SIM卡；内置</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镜像采集终端；内置TF卡采集接口。</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（三）手机并行取证能力要求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配置不低于50+n路并行取证：取证主机支持多案件下50路手机+n路其他并行取证，其他取证方式包含支持SIM卡取证、SD卡取证、银行卡取证、身份证取证、镜像取证、文件取证、拍照取证、蓝牙取证等（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（1）手机取证前，要求系统能够自动判断手机是否支持自动取证并给出提示。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（2）手机取证时，要求各路取证通道相互独立、互不干扰。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（3）要求支持指定检材优先取证，加快重要检材取证的响应速度。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（4）要求具备恢复取证功能，在软件异常退出时，可重启软件恢复取证进度并继续取证；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（5）添加证据要求支持50路全局模式、大卡片和小卡片模式，且手机取证端口与软件界面一一映射，其中全局模式下可全局概览所有并行取证设备的实时取证状态。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2、支持不低于5路手机同时解锁，支持上千款手机的密码破解、ROOT、镜像及高级备份。（需提供软件界面截图）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3、需支持并行展示：添加证据支持50路全局模式、大卡片和小卡片模式，且手机取证端口与软件界面一一映射，其中全局模式下可全局概览所有并行取证设备的实时取证状态（需提供软件界面截图）。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4、需支持案件取证项设置，用户可自定义取证内容；支持案件取证后自动化执行数据分析、报告生成等操作设置；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5、支持同时10个案件50路手机并行取证；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6、并行操作：在并行取证时，可同时处理数据浏览、数据搜索、导出报告、数据关联分析、手机仿真等。</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7、手机云数据取证主机支持多路手机、多账号、多应用并行云数据获取。（需提供软件界面截图）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8、支持对3路手机、1路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镜像、1路SIM卡和1路存储卡的并行取证。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（四）手机云端数据取证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1、手机应用数据提取过程，需支持APP提取密钥、免密、账号+密码、账号+短信验证码 、账号+二维码等多种登录方式；设备内置短信验证模块，可自动进行短信验证码验证登录。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2、手机云数据取证支持文件与任务的断点续传，可实现断电断网等异常中断后的任务和文件断点续传。（需提供软件界面截图）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3、需支持多种应用云数据取证</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华为手机云（通讯录、通话记录、短信、照片、备忘录、录音、无线网络等），小米手机云（通讯录、通话记录、短信、相册、便签、录音、无线网络等），VIVO云（应用信息、书签、黑名单、便签），OPPO云（用户信息、联系人、通话记录、短信、日历、便签、浏览器书签等）苹果iCloud（设备信息、通讯录、提醒事项、照片、备忘录、iCloud Drive、文档、邮件、查找朋友等）云端信息提取。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交易支付类：支付宝（用户信息、绑定银行卡、交易记录、回收站），微信（用户信息、通讯录、账单和账单详情、红包详情、零钱明细、朋友圈、收藏、小视频、登录设备管理）、支持QQ（用户信息、好友列表、漫游消息、交易记录）、云闪付（用户信息、银行卡、账单信息）云端数据提取。（3）支持银行类：中国农业银行（用户信息、银行卡信息、交易明细），中国银行（用户信息、银行卡信息、交易明细），中国建设银行（用户信息、账户明细、交易统计）、中信银行（用户信息、银行卡信息、交易明细），兴业银行（用户信息、账户信息、银行卡信息、余额信息、交易明细）云端数据提取。（4）支持购物类：淘宝（订单信息、用户信息、商品信息、收货地址），京东商城（订单详情、商品信息、收货人地址、发票信息），拼多多（我的订单、用户信息、商品信息、收货地址）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（5）支持微博类：新浪微博（用户信息、私信、相册、关注、粉丝、我的微博、群组信息）云端数据提取。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出行类：12306（用户信息、订单、乘车人）、滴滴出行（用户信息、快车订单、搜索历史）、去哪儿（用户信息、常用旅客信息、我的订单、登录历史、消息）、摩拜单车（用户信息、骑行信息）、航旅纵横（用户信息、我的证件、航班行程）、携程（用户信息、常用信息、订单信息）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（7）支持云盘类：百度网盘（聊天会话、分享文件、回收站、所有文件等）、腾讯微云（用户信息、全部文件、笔记、分享链接、回收站）、Dropbox（用户信息、文件）云端数据提取。（需提供软件界面截图）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办公类：有道云笔记（用户信息、文件夹）、WPS云文档（用户信息、我的文档、星标、共享、最近、回收站）、印象笔记（用户信息、素材库、笔记）、QQ同步助手（用户信息、通讯录、短信、通话记录）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（9）支持国外社交类：：Facebook、Twitter、Instagram、Telegram云端数据提取，支持Google服务（Chrome、Google地图、YouTube、书签、云端硬盘、我的活动、通讯录、位置记录等）云端数据解析。（需提供软件界面截图）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（10）支持短视频类：抖音短视频（用户信息、我的喜欢、收藏）云端数据提取。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（11）支持生活服务类：饿了么（用户信息、我的订单、收货地址）云端数据提取。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（12）支持通信运营商类：中国移动（用户信息、通话详单、短信详单）、电信营业厅（用户信息、语音详单、短彩信详单）云端数据提取。（需提供软件界面截图）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（13）支持快递类：顺丰速运（用户信息、地址簿、寄件信息、收件信息）云端数据提取。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（14）支持物联设备类：米家（用户信息、我的家庭、房间列表、设备列表等）、萤石云视频（用户信息、设备列表、视频列表等）云端数据提取。</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4、支持大屏动态实时数据演示：产品处于云数据下载过程中，可点击进入大屏展示，实时展示下载的相关信息，并可点击对应文件进行相关预览。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5、支持云取证过程中数据采集带宽支持自主配置，并可实时观测取证进度。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（四）手机支持能力要求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1、需支持Android、iOS、 Windows Mobile/Phone/CE、塞班、黑莓（含黑莓10）、Linux、Bada等。其中iPhone手机支持越狱和未越狱设备，Android手机支持已ROOT和未ROOT设备。（需提供软件界面截图）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2、需支持国内外品牌的功能机，支持BREW平台的电信定制机，支持Nokia Asha平台手机。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3、通过内置镜像采集终端获取镜像并解析取证，平台包括MTK、展讯、Mstar、CoolSand、ADI、英飞凌等平台</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，也包含MTK平台的Android手机。</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（五）手机解锁及镜像下载要求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1、需支持三星、华为、小米、OPPO、VIVO、魅族、乐视、HTC等各品牌手机在未ROOT情况下免刷机直接提取镜像进行并自动解密。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2、需支持iPhone提权取证，突破iOS系统限制，无需越狱，即可绕过备份密码，提取更丰富的手机数据。</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（六）手机数据提取和恢复要求</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1、产品需支持Android系统在取证过程中无需频繁点击授权提示，提高取证效率。</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2、需支持三星、OPPO、华为、魅族、小米等手机自动备份取证，减轻用户取证的工作量。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获取手机IMEI、IMSI、通讯簿、短信、通话记录、位置信息、备忘录、日程表、Wi-Fi/蓝牙连接记录、多媒体文件（图片/视频/音频）、系统日志（开关机时间、应用程序使用卸载记录、电量统计、流量统计、iOS设备使用过的手机号、iOS设备连接过的主机、iOS PushStore推送消息、iOS日志、iOS无线网络、iOS常去地点）和密码密钥等信息，支持恢复已删除的电话簿、短信、通话记录、日程表等信息。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4、需支持手机已删除数据的恢复，支持删除数据恢复的平台包括： iPhone手机、Android手机、Symbian手机、MTK及展讯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、诺基亚S40手机、摩托罗拉非智能机、高通平台CDMA功能手机和部分黑莓手机等。其中iPhone手机越狱和未越狱均可实现删除数据恢复，Android手机未ROOT或已ROOT均可进行删除数据恢复。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5、需支持手机内存镜像的获取和解析，包括Android手机、iPhone手机、</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（MTK、展讯、Mstar等）、诺基亚S40手机、黑莓手机。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6、基于微信备份原理以及基于镜像的深度数据恢复，可深度恢复微信、短信等删除数据。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7、需支持IOS的keychain解析。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（七）手机应用程序解析要求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1、针对手机APP种类广、版本多、迭代快等特点，用户可自定义编写Python脚本，实现对新APP数据的快速提取，并支持将提取结果合并到案件数据中。（需提供软件界面截图）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2、支持手机APK静态分析，快速提取分析APK字符串、URL等资源信息。 （需提供软件界面截图）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2、需支持手机即时通讯类应用程序的痕迹记录解析、微博数据的获取解析、上网日志的获取解析、手机邮件的获取解析、手机行程记录的获取解析、手机电子商务数据的获取解析。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3、需支持第三方安全软件的获取解析、车载导航记录的获取解析、视听软件的获取解析、银行类APP的获取解析、支持VPN类软件的获取解析。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（八）人工智能与取证技术结合要求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1、语音识别，需支持单个或批量语音识别，可将语音文件自动识别成文字内容，且识别结果支持列表展示与会话展示，解决人工听取语音耗时长的问题（需提供软件界面截图）。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2、涉案分析，专业定位淹没在海量数据中的关键涉案信息，利用基于机器学习的智能分析，快速聚焦黄、赌、毒、诈骗、涉贷等会话数据，攻克海量数据查找分析难题（需提供软件界面截图）。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照片分析，快速识别手机中所有照片的人脸，并进行分类，种类包括SH、SB、SJ、SM、SK、证件照（身份证、银行卡、护照、驾驶证、行驶证、车牌、营业执照、名片等）、二维码、人物照片等。辅助分析嫌疑人及其关系网人物样貌。其中证件照片支持OCR识别文字信息，人脸照片支持人脸搜索与聚类。（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4、群聊分析，基于语义分析快速去伪存真，从大量繁杂的聊天内容中总结群聊话题、群亲密关系、群发言活跃度以及群发言分析（需提供软件界面截图）。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 数据浏览、分析和报告要求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案件取证策略设置，用户可自定义取证内容；支持案件取证后自动化执行数据分析、报告生成等操作设置。支持手机取证案件的新建、编辑、删除、导入、导出、迁移、拆分、合并等功能，支持迁移检材、合并检材，以及对取证结果进行数据排重、消息过滤等。（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2、需支持列表、会话等方式的数据浏览，语音、视频、图片等多媒体文件直接播放，红包、分享链接、转账等直观展示，微信、QQ、支付宝等资金往来数据单独归类，全面提升数据浏览效率。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3、需支持多关键字搜索、时间段搜索、搜索结果溯源以及导出搜索报告；支持对数据添加标签并导出标签报告；支持对手机数据进行分析并导出数据分析报告；支持设置并导出电子数据工作记录。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4、需支持从多个维度生成报告，按检材持有人、按检材、按所有检材等，报告格式支持Word、Html、Pdf、CSV等。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多重数据分析，刻画人物属性、挖掘身份标识、二维码分析等，对手机持有人的头像、手机号、姓名、身份证号等各类信息进行挖掘，对二维码详细信息进行展示，多方位多角度挖掘有效线索。（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手机数据可视化关联分析，关联内容包括：通话记录、短信记录、QQ、微信、飞信、微博、邮箱等数据，以组织架构、网络、圆形、分组等自动化图形布局方式直观展现和挖掘数据之间的关联关系，通过单一联系人搜索、多人关系路径定位、关系深度标记，助力快速分析复杂的人脉网。（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集成免费绿色版的案件阅读工具，支持导出案件数据后，使用案件阅读工具进行数据浏览、搜索、分析、添加标签、导出各种格式的取证报告、标签报告、数据包，方便进行案件多人分析、跨部门案件协助处理、案件保存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（十）手机取证工具集要求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1、Android系列：需提供Android镜像下载工具，支持任意多部手机同时下载镜像；提供Android解锁大师工具，支持按手机型号破解或绕过密码；提供Android一键ROOT工具，支持一键ROOT和一键取消ROOT，支持Android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提供Android屏幕录像工具，可用于录制手机屏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2、iPhone系列：需提供iPhone DFU工具，解决iPhone 3GS和iPhone 4手机的密码绕过问题；提供iPhone备份浏览工具，可直接加在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二、手机仿真功能要求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1、需支持手机在线仿真、手机镜像或芯片镜像、手机备份数据进行仿真，真实再现手机的原始数据。针对已经无法开机等问题手机，仿真可让数据更鲜活生动的展示。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2、需支持Android手机离线仿真（镜像仿真），支持加载手机ROOT后提取的镜像仿真和芯片提取的镜像进行仿真；也支持手机（含未ROOT手机）直接在线仿真；以及支持对手机自带备份工具备份的数据进行仿真。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3、需支持QQ、微信、邮件、上网记录等80多款应用程序的仿真运行，真实再现手机数据。在应用程序模拟操作过程，支持数据浏览、分析及截图取证等操作。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4、需提供完善的案例管理功能，支持历史案例多次仿真，多次取证。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5、需支持仿真过程在线自动抓包，抓包文件可用于抓包分析，文件格式与Wireshark软件兼容。</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手机取证分析系统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手机取证塔系统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一、主要硬件配置</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1）取证主机配置，CPU主频不低于3.6GHz，8核16线程；内存：不低于128GB，DDR4 2666MHz；硬盘：系统盘不低于4TB 企业级SSD硬盘，存储盘不低于12TB 企业级HDD硬盘，硬盘仓；显卡：不低于NVIDIA 8GB显存；显示器：不低于34英寸曲面屏。前面板配置不少于8个USB3.0接口，可实现至少8路手机高速并行取证；内置多功能读卡器，支持SD/MMC、MS、xD、CF等存储卡；内置身份证、银行卡、三合一SIM卡读卡器等，支持身份证取证、银行卡取证、SIM卡取证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2）内置三路USB信号采集接口；内置三合一SIM卡读卡器，支持的SIM卡涵盖移动、联通、电信运营商的各种2G/3G/4G网络的各种手机SIM卡，无需借助卡套，兼容标准SIM、Micro SIM、Nano SIM尺寸规格的SIM卡；内置</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镜像采集终端；内置TF卡采集接口。</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3）模块配置：手机供电线解决手机没电、电池损坏无法开机问题；亮屏器确保手机取证过程亮屏，确保手机取证的成功率。</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4）提供高清拍照摄像平台，支持对手机、发票、便签等物证进行拍照取证或录像取证。配置OTG四合一读卡器、手机取证数据线、USB3.0 单向传输线等专用取证配件。</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二、取证分析</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并行取证</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N路并行取证：取证主机支持多案件下8路手机+N路其他并行取证，其他取证方式包含支持SIM卡取证、SD卡取证、银行卡取证、身份证取证、镜像取证、文件取证、拍照取证、蓝牙取证等。（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2）3+3路并行取证：支持对3路手机、1路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镜像、1路SIM卡和1路存储卡的并行取证。</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3）并行展示：添加证据支持卡片模式和经典模式，且手机取证端口与软件界面一一映射，其中卡片模式下可全局概览所有并行取证设备的实时取证状态。</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4）并行操作：在并行取证时，可同时处理数据浏览、数据搜索、导出报告、数据关联分析、手机仿真等。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手机支持能力</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1）支持主流智能机操作系统： Android（含各类定制Android系统）、iOS、Windows Mobile/Phone/CE、塞班、黑莓（含黑莓10）、Linux、Bada等。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2）支持制作或解析Android、iPhone手机逻辑镜像，固定手机数据。</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3）支持BREW平台的电信定制机，支持Nokia Asha平台手机。</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4）通过内置镜像采集终端获取镜像并解析取证，平台包括MTK、展讯、Mstar、CoolSand、ADI、英飞凌等平台</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，也包括MTK平台的Android手机。</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手机密码破解及绕过</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1）支持三星、华为、小米、OPPO、VIVO、魅族、乐视、HTC等各品牌手机在未ROOT情况下免刷机直接提取镜像进行并自动解密。</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2）iPhone提权取证，突破iOS系统（支持iOS10.0-13.3版本，不包含12.4.6）限制，无需越狱，即可绕过备份密码，提取更丰富的手机数据。</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手机数据提取和恢复</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1）突破Android手机权限限制，在取证过程中无需频繁点击授权提示，提升用户体验，提高取证效率。</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2）支持三星、OPPO、华为、魅族、小米等手机自动备份取证。</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获取手机IMEI、IMSI、通讯簿、短信、通话记录、位置信息、备忘录、日程表、Wi-Fi/蓝牙连接记录、多媒体文件（图片/视频/音频）、系统日志（开关机时间、应用程序使用卸载记录、电量统计、流量统计、iOS设备使用过的手机号、iOS设备连接过的主机、iOS PushStore推送消息）和密码密钥等信息，支持恢复已删除的电话簿、短信、通话记录、日程表等信息。</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4）支持手机已删除数据的恢复，支持删除数据恢复的平台包括： iPhone手机、Android手机、Symbian手机、MTK及展讯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、诺基亚S40手机、摩托罗拉非智能机、高通平台CDMA功能手机和部分黑莓手机等。其中iPhone手机越狱和未越狱均可实现删除数据恢复，Android手机未ROOT或已ROOT均可进行删除数据恢复。</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5）支持手机内存镜像的获取和解析，包括Android手机、iPhone手机、</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（MTK、展讯、Mstar等）、诺基亚S40手机、黑莓手机。</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6）基于微信备份原理以及基于镜像的深度数据恢复，可深度恢复微信、短信等删除数据。</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7）支持iOS加密备份的keychain解析。</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手机应用程序解析</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1）针对手机APP种类广、版本多、迭代快等特点，用户可自定义编写Python脚本，实现对新APP数据的快速提取，并支持将提取结果合并到案件数据中。（需提供软件界面截图）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2）支持手机APK静态分析，快速提取分析APK字符串、URL等资源信息。 </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手机即时通讯类应用程序的痕迹记录解析、支持微博数据的获取解析、支持上网日志的获取解析、支持手机邮件的获取解析、支持手机行程记录的获取解析、支持手机电子商务数据的获取解析、支持手机Wi-Fi、蓝牙连接记录的提取、支持第三方安全软件的获取解析、支持车载导航记录的获取解析、支持视听软件的获取解析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5）支持360安全云盘、易联OVPN、华为手机云、iCloud等应用的获取解析。</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6）支持中国银行、建设银行、农业银行、交通银行、招商银行、工商银行等银行类APP的获取解析。</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支持其他应用解析，如搜狗输入法、领英、imToken、币牛牛、115网盘、金十数据、豌豆荚、今日头条、赶集网、58同城、学习强国、脉脉、腾讯微云、随手记、顺丰速运、菜鸟裹裹、同花顺、HyperPay、布洛克城、蒲公英、快递100、有道云笔记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人工智能与取证技术结合</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1）语音识别，支持单个或批量语音识别，可将语音文件自动识别成文字内容，且识别结果支持列表展示与会话展示，解决人工听取语音耗时长的问题。（需提供软件界面截图）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2）涉案分析，专业定位淹没在海量数据中的关键涉案信息，利用基于机器学习的智能分析，快速聚焦黄、赌、毒、诈骗、涉贷等会话数据，攻克海量数据查找分析难题。（需提供软件界面截图）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照片分析，快速识别并分类手机中所有照片，种类包括SH、SB、SJ、SM、SK、证件照片（身份证、银行卡、护照、驾驶证、行驶证、车牌、营业执照、名片等）、二维码、人物照片等，辅助分析嫌疑人及其关系网人物样貌。其中证件照片支持OCR识别文字信息，人脸照片支持人脸搜索与聚类。（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4）维汉翻译，支持普通维文、拉丁维文-汉语机器翻译功能，冲破语言障碍，实现跨语言办案，从而降低破案门槛。</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5）群聊分析，基于语义分析快速去伪存真，从大量繁杂的聊天内容中总结群聊话题、群亲密关系、群发言活跃度以及群发言分析。（需提供软件界面截图）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数据浏览、分析和报告</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多关键字搜索、时间段搜索、搜索结果溯源以及导出搜索报告；支持对数据添加标签并导出标签报告；支持导出Word、Html、Pdf、CSV等格式的取证报告并进行管理，且Html报告支持会话展示、多浏览器查看以及搜索，支持语音文件的导出。</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2）支持多重数据分析，刻画人物属性、挖掘身份标识、二维码分析等，对手机持有人的头像、手机号、姓名、身份证号等各类信息进行挖掘，对二维码详细信息进行展示，多方位多角度挖掘有效线索。</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手机数据可视化关联分析，关联内容包括：通话记录、短信记录、QQ、微信、飞信、微博、邮箱等数据，以组织架构、网络、圆形、分组等自动化图形布局方式直观展现和挖掘数据之间的关联关系，通过单一联系人搜索、多人关系路径定位、关系深度标记，助力快速分析复杂的人脉网。</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集成免费绿色版的案件阅读工具，支持导出案件数据后，使用案件阅读工具进行数据浏览、搜索、分析、添加标签、导出各种格式的取证报告、标签报告，方便进行案件多人分析、跨部门案件协助处理、案件保存等。</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8.手机取证工具集</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Android系列：提供Android镜像下载工具，支持任意多部手机同时下载镜像；提供Android解锁大师工具，支持按手机型号破解或绕过密码；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2）iPhone系列：提供iPhone DFU工具，解决iPhone 3GS和iPhone 4手机的密码绕过问题；提供iPhone备份浏览工具，可直接加在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三、手机仿真</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支持手机在线仿真、手机镜像或芯片镜像、手机备份数据进行仿真，真实再现手机的原始数据。针对已经无法开机等问题手机。（需提供软件界面截图）</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1）支持Android手机离线仿真（镜像仿真），支持加载手机ROOT后提取的镜像仿真和芯片提取的镜像进行仿真；也支持手机（含未ROOT手机）直接在线仿真；以及支持对手机自带备份工具备份的数据进行仿真。</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2）支持QQ、微信、邮件、上网记录等80多款应用程序的仿真运行，真实再现手机数据。在应用程序模拟操作过程，支持数据浏览、分析及截图取证等操作。</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3）提供完善的案例管理功能，支持历史案例多次仿真，多次取证。</w:t>
            </w:r>
          </w:p>
          <w:p>
            <w:pPr>
              <w:widowControl/>
              <w:spacing w:after="240"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4）支持仿真过程在线自动抓包，抓包文件可用于抓包分析，文件格式与Wireshark软件兼容。</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手机取证分析系统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便携式手机取证设备</w:t>
            </w:r>
          </w:p>
        </w:tc>
        <w:tc>
          <w:tcPr>
            <w:tcW w:w="6275" w:type="dxa"/>
            <w:tcBorders>
              <w:top w:val="nil"/>
              <w:left w:val="nil"/>
              <w:bottom w:val="single" w:color="auto" w:sz="4" w:space="0"/>
              <w:right w:val="single" w:color="auto" w:sz="4" w:space="0"/>
            </w:tcBorders>
            <w:shd w:val="clear" w:color="000000" w:fill="FFFFFF"/>
            <w:vAlign w:val="center"/>
          </w:tcPr>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产品资质要求</w:t>
            </w:r>
          </w:p>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1、产品需为国内自主研发，且具有自主知识产权，无软件潜在泄密风险；（须提供软件著作权证书作为）</w:t>
            </w:r>
          </w:p>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2、需提供产品检测报告的证明材料；</w:t>
            </w:r>
          </w:p>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二、硬件配置要求</w:t>
            </w:r>
          </w:p>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1、主机配置：CPU主频不低于3.6GHz，8核16线程；内存：不低于64G；硬盘不低于2T SSD+4T SSD；显卡：显存不小于8GB 。</w:t>
            </w:r>
          </w:p>
          <w:p>
            <w:pPr>
              <w:widowControl/>
              <w:numPr>
                <w:ilvl w:val="0"/>
                <w:numId w:val="23"/>
              </w:numPr>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2、内置不少于三路USB信号采集接口，支持3路手机并行取证；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三、并行取证能力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1、支持单路手机与镜像取证、文件取证、SIM /SD卡取证、拍照取证等并行取证；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2、并行操作：在手机取证时，可同时处理数据浏览、数据搜索、导出报告、数据分析等。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四、手机支持能力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1、产品支持多种方式取证，数据线直接取证、蓝牙取证、镜像取证、文件取证、SD卡取证等。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2、支持Android、iOS，其中iPhone手机支持越狱和未越狱设备，Android手机支持已ROOT和未ROOT设备。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3、支持备份文件解析，包括iTunes（iPhone）、Android、VCF、ios DFU、Nokia Asha平台手机的备份文件。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4、支持镜像文件解析取证，包括</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平台（MTK、SPD、Mstar、CoolSand、INF、ADI）、诺基亚S40、SIM卡镜像、黑莓平台、Android平台（包括MTK Android手机）、iPhone平台、SD卡镜像。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5、支持制作或解析Android、iPhone手机逻辑镜像，固定手机数据。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五、手机密码破解及绕过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 6.x-10.0版本华为系列手机屏幕锁破解，包含高通芯片、MTK芯片以及麒麟990/810980/710/970/960/955/950/659/658/655等，支持MATE30、MATE30PRO、P30、P30PRO、MATE20、V20、荣耀V30、荣耀V30 PRO、荣耀20、 NOVA6等全版本解锁，华为高级备份全面升级，支持最新系统版本和系统应用分身数据获取；支持6.x-9.x版本三星系列手机（含S8/S8+/NOTE8/W2017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手机最新RENO系列、Realme系列、R17/R17 PRO系列、Find X、R15系列、K1、A7x、A7、A5、R11s系列、R11系列等屏幕解锁、ROOT破解或镜像下载等，OPPO全系列高级备份支持手机应用程序解析；支持VIVO系列手机(含X27 PRO、X23系列、X21系列、X20系列、Y97、Y93、Y95、Z5x、Z3x、Z3/Z3i、Z1/Z1i、U1、S1、Y3等)屏幕解锁等, 最高支持至Android10.0；支持小米系列手机（含小米Max3、小米8 青春版、小米8 SE、小米6x、红米Note7、红米Note5、红米Pro、红米S2等）屏幕解锁，小米高级备份支持Android5.0以上版本所有手机；支持移除全盘加密的魅族手机（如16XS/16S/16T/16SP PRO、8X、PRO 7/PRO 6、NOTE9/NOTE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开机密码绕过和破解、免ROOT下载镜像或数据包等。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2、支持三星、华为、小米、OPPO、VIVO、魅族、乐视、HTC等各品牌手机在未ROOT情况下免刷机直接提取镜像进行并自动解密。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3、iPhone提权取证，突破iOS系统限制，无需越狱，即可绕过备份密码，提取更丰富的手机数据。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六、手机数据提取和恢复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1、突破Android手机权限限制，在取证过程中无需频繁点击授权提示，提升用户体验，提高取证效率。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2、支持OPPO、华为、魅族、小米等手机自动备份取证，减轻用户取证的工作量。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获取手机IMEI、IMSI、通讯簿、短信、通话记录、位置信息、备忘录、日程表、Wi-Fi/蓝牙连接记录、多媒体文件（图片/视频/音频）、系统日志（开关机时间、应用程序使用卸载记录、iOS设备使用过的手机号、iOS设备连接过的主机、iOS PushStore推送消息）和密码密钥等信息，支持恢复已删除的电话簿、短信、通话记录、日程表等信息。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4、支持手机已删除数据的恢复，支持删除数据恢复的平台包括： iPhone手机、Android手机、Symbian手机、MTK及展讯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诺基亚S40手机、摩托罗拉非智能机、高通平台CDMA功能手机和部分黑莓手机等。其中iPhone手机越狱和未越狱均可实现删除数据恢复，Android手机可自动ROOT后进行删除数据恢复，在ROOT失败情况下，也能支持Android手机解析和恢复QQ、微信、微博等应用程序数据，特别是能支持Android6.x版本下免ROOT提取QQ、微信等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5、支持手机内存镜像的获取和解析，包括Android手机、iPhone手机、</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（MTK、展讯、Mstar等）、诺基亚S40手机、黑莓手机。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6、支持Android手机最近删除文件恢复、支持Android手机缩略图恢复。（需提供软件界面截图）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7、支持IOS加密备份的keychain解析。（需提供软件界面截图）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七、手机应用程序解析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手机即时通讯类应用程序的痕迹记录解析，包含QQ(TIM版、国际版、轻聊版)、企业QQ、微信（分身版、多开版、黄金版、微信小号、微信小程序、微信PC版备份）、移动飞信、易信、点点虫(旧版来往)、旺信、Line（连我）、米聊、陌陌、遇见、Skype、YY语音、WhatsApp、DiDi、TalkBox、Voxer、Facebook、人人网、Viber、微话、Zello、有信、Telegram、CoCo Voice、ooVoo、Tango、BBM、HelloTalk 、Peeem、Zalo、Pal+、KeeChat、千牛、钉钉、百度HI、ICQ、快牙、蜜语、全民K歌、Kik、百度网盘、探探、百度贴吧、Blued、善讯、360云盘、茄子快传、QQ空间、微微电话、闪传、潮信、安司密信、Sugram、IM+、nice、SnapChat、闲聊、KakaoTalk、imo、SOMA、聊天宝（子弹短信）、TT语音、连信、触宝电话、PotatoChat、Instagram、TelePlus（Android）、BOTIM（iPhone）、企业微信、吹牛、jusTalk、多益云、聊呗极速版、城信、IS语音、莫邻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微博数据的获取解析、支持上网日志的获取解析、支持手机邮件的获取解析、支持手机行程记录的获取解析、支持手机电子商务数据的获取解析、支持手机Wi-Fi、蓝牙连接记录的提取、支持第三方安全软件的获取解析、支持车载导航记录的获取解析、支持视听软件的获取解析、支持360安全云盘、易联OVPN、华为手机云、iCloud等应用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4、支持中国银行、建设银行、农业银行、交通银行、招商银行、工商银行等银行类APP的获取解析。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证券金融类应用获取解析，包含金十数据、币牛牛、同花顺、华股财经、益盟操盘手、大智慧、金太阳、随身行、云闪付、随手记账、随手记、悟空理财、挖财记账、口袋记账、平安普惠、壹钱包、平安好贷、360借条、51信用卡管家、iOS钱包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6、支持顺丰速运、菜鸟裹裹、快递100、丰巢、运满满货主、中通快递等物流快递类APP的获取解析。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支持文件传输及文本编辑和阅读类APP的获取解析，包含KMPlayer、快牙、茄子快传、闪传、SendAnywhere、365日历、有道云笔记、印象笔记、小米便签、WpsOffice、微软Excel、微软PPT、微软Word、PolarisOffice、FileApp、Pages、PDF Reader、Papers 3、Documents、SmartOffice、Bamboo Paper、微软Office、讯飞语记、吾记日记、备忘录记事本、熊猫看书、红袖读书、Acrobat、谷歌文档、谷歌表格、随身录、Key Notes、Office Assistant、DocsToGo等。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8、支持翻墙类APP的获取解析，包含易联Ovpn、天行加速器、GreenVPN、蓝灯、PLEX加速器、SuperVPN、SuperVPN1、极光加速器、ExpressVPN、VPNMaster、FlyVPN、TurboVPN、自由门、蒲公英、Avast VPN、天行加速器VPN、小明VPN、云豹加速器、AtomVPN、PsiphonPro、Brook、ShadowsocksR、v2rayNG、GoHosts、老王VPN、爱加速、MyVPN、极速VPN等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9、支持imToken、布洛克城、币信、HyperPay、火币Pro、币安等区块链应用解析。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10、支持运动、健康类应用解析，包含华为运动健康、iOS健康、动动、咕咚、虎扑、悦跑圈、Keep、步多多、猫扑运动、小米运动、三星健康、Vivo运动健康、Fitbit、HeyTap健康、Zepp、Suunto、佳明运动手表等。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八、案件管理、数据分析和取证报告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1、支持手机取证案件的新建、编辑、删除、导入、导出、合并等功能，支持对取证结果进行数据排重、消息过滤等。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2、支持自定义取证策略，实现同一个案件同一个取证策略，无需反复修改不同检材的取证方法，快捷高效。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3、支持合并案件、拆分案件、案件排序、合并检材功能，实现案件与检材的灵活管理。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4、支持多关键字搜索、时间段搜索、搜索结果溯源以及导出搜索报告；支持对数据添加标签并导出标签报告；支持导出Word、HTML、PDF、CSV等格式的取证报告并进行管理，且Html报告支持会话展示、查看以及搜索。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手机数据可视化关联分析，关联内容包括：通话记录、短信记录、QQ、微信、邮箱等数据，以组织架构、网络、圆形、分组等自动化图形布局方式直观展现和挖掘数据之间的关联关系，通过单一联系人搜索、多人关系路径定位、关系深度标记，助力快速分析复杂的人脉网。</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6、支持从不同角度剖析手机GPS、Wi-Fi、基站、照片、QQ、微信、导航软件的位置信息，如热力图、连线图、聚类图等，便于快速分析轨迹信息。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集成免费绿色版的案件阅读工具，支持导出案件数据后，使用案件阅读工具进行数据浏览、搜索、分析、添加标签、导出各种格式的取证报告、标签报告、数据包，方便进行案件多人分析、跨部门案件协助处理、案件保存等。（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九、人工智能与取证技术结合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1、语音识别，支持单个或批量语音识别，可将语音文件自动识别成文字内容，且识别结果支持列表展示与会话展示，解决人工听取语音耗时长的问题。（需提供软件界面截图）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2、涉案分析，专业定位淹没在海量数据中的关键涉案信息，利用基于机器学习的智能分析，快速聚焦黄、赌、毒、诈骗、涉贷等会话数据，攻克海量数据查找分析难题。（需提供软件界面截图）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照片分析，快速识别手机中所有照片的人脸，并进行分类，种类包括SH、SB、SJ、SM、SK、证件照（身份证、银行卡、护照、驾驶证、车牌、名片等）、二维码、人物照片等。辅助分析嫌疑人及其关系网人物样貌。新增AI人脸搜索功能，导入目标图片，对检材中的人物照片进行人脸搜索，碰撞匹配，结果展示。（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4、维汉翻译，支持普通维文、拉丁维文-汉语机器翻译功能，冲破语言障碍，实现跨语言办案，从而降低破案门槛。（需提供软件界面截图）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5、群聊分析，基于语义分析快速去伪存真，从大量繁杂的聊天内容中总结群聊话题、群亲密关系、群发言活跃度以及群发言分析。（需提供软件界面截图）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十、小程序自定义解析工具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针对手机APP种类广、版本多、迭代快等特点，用户可自定义编写Python程序，实现对新APP数据的快速提取，并支持将提取结果合并到案例数据中。（需提供软件界面截图）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十一、手机取证工具集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1、提供自主知识产权的手机取证工具集，含不少于30款工具，解决手机取证过程遇到的各种疑难问题。（需提供软件界面截图）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2、Android系列：提供Android镜像下载工具，支持任意多部手机同时下载镜像；提供Android解锁大师工具，支持按手机型号破解或绕过密码；提供Android一键ROOT工具，支持一键ROOT和一键取消ROOT，支持Android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3、iPhone系列：提供iPhone DFU工具，解决iPhone 3GS和iPhone 4手机的密码绕过问题；提供iPhone备份浏览工具，可直接加载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手机芯片提取设备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手机芯片取证勘查箱</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一、自主知识产权</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完全由国内自主研发，自主知识产权，无软件潜在泄密风险。</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产品具备手机芯片镜像提取、芯片镜像仿真等功能。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手机存储芯片未损坏即可进行芯片镜像读取，不受手机开机密码影响。手机芯片取证解决手机密码无法绕过、接口损坏、无法开机、手机损毁等情况下的取证问题，为手机取证提供强有力支撑。</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芯片提取终端：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手机芯片镜像提取终端：主机包含不少于1个USB2.0、1个DC 12V电源接口、1个接地插座、1个电源开关、3个指示灯；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配套至少6种芯片适配器，支持MCP、EMMC、EMCP的数据提取，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针对不同芯片封装定制的顶针式芯片底座，无需将拆卸的芯片进行重新植锡，只需清洁好芯片引脚，放入芯片适配器的卡座，选择好芯片（部分芯片支持容量识别），即可自动连接进行芯片镜像提取，大大提高操作易用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拆机及清洗工具：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电烙铁：焊接元器件、导线等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热风枪：焊接及摘取元件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3.风枪支架（带LED放大镜）：固定热风枪及照明放大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超声波清洗机：清洗主板元件上的固体、液体污染物</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烙铁头：电烙铁的发热部分，可根据不同情况选择合适的烙铁头</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手机植锡钢网：给BGA芯片植球使用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电路板维修卡具：固定电路板</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手机螺丝刀套装、镊子套装、刷子、三角拆机片：拆装手机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手持放大镜：放大作用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无铅锡丝、高温胶带、锡膏、助焊剂：焊接、植球</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防静电手套、手环：防静电</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医用手套：防止手部受污染物、易腐蚀物体伤害</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三、芯片取证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支持MCP、EMMC、EMCP三种常用芯片封装的芯片镜像提取，支持率达95%以上，覆盖三星、华为、小米、联想、酷派、OPPO、vivo、中兴等国内外手机品牌。</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1.MCP芯片取证：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MCP是早期WM智能机、Android智能机、电信定制机等广泛使用的存储芯片。手机芯片镜像提取终端支持三星、美光、东芝、闪迪等品牌的MCP芯片，并支持64M、128M、256M、512M不同容量的芯片。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2.EMMC芯片取证：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EMMC 是一种新型存储芯片，其具有容量大、读写速度快的特点，目前三星、索尼、LG 、HTC 、小米、摩托罗拉、华为、中兴、联想、酷派等多数新型号智能手机，均采用EMMC 芯片进行数据存储。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EMCP芯片取证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EMCP是MCP和EMMC的过渡产品，主流封装为M型。它的读取方式和前两种芯片相同。</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四、手机芯片仿真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支持Android手机离线仿真（镜像仿真），支持加载手机root后提取的镜像仿真和芯片提取的镜像进行仿真，也支持手机直接在线仿真。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支持QQ、微信、邮件、上网记录等60多款应用程序的仿真运行，真实再现手机数据。在应用程序模拟操作过程，支持数据浏览、分析及截图取证等操作。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提供完善的案例管理功能，支持历史案例多次仿真，多次取证。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支持仿真过程在线自动抓包，抓包文件可用于抓包分析，文件格式与Wireshark软件兼容。</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可视化关联分析软件</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可视化智能分析系统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（一）智能数据清洗要求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需支持文本文档、电子表格文档、网页文档、pdf文档格式的个人话单、电子银行账单数据文件的导入（须提供软件界面截图）。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无标题行、时长格式不规范、无通话时长、基站格式不规范、分段式、时间不规范、日期时间分行分列、文本分隔符不标准、excel话单含多sheet页、等宽格式等特殊格式的话单及账单导入（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对于话单和账单数据，支持格式自动识别、标题自动对应。</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需支持python脚本数据导入规范。</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（二）案件全景图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要求支持从当前分析对象个数、建议调单数、银行卡账户类型、资金特征、建议调单统计数据等维度刻画当前案件概况，帮助快速了解案情。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（三）智能分析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需支持话单智能分析：支持按人或者线索通过各种维度对话单重要信息进行统计及可视化展示。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需支持图表形式展示按时间排序的总通联情况及呼入呼出情况。</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需支持以图表形式展示主要通联对象，通联对象维度可切换线索、人、组，统计维度可切换时长、次数，可根据总通联、呼入、呼出、平均通联等进行排序（须提供软件界面截图）。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需支持通联对象地域分布、通联对象类型分布、通联时段分布及睡眠时段、通联地点分布及时间规律的统计，可穿透主要通联对象及通联详情。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需支持分析手机号码的串号使用规律，并可穿透关注地点的主要通联对象及通联详情。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需支持账单智能分析：支持按人或者线索通过各种维度对账单重要信息进行统计及可视化展示。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需支持图表形式展示按时间排序的总交易情况及呼入呼出情况。</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需支持以图表形式展示主要交易对象，交易对象维度可切换线索、人、组，统计维度可切换金额、次数，可根据总额、转入、转出、净额等进行排序（须提供软件界面截图）。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需支持可视化展示净资金流向情况，并支持按交易对象地域分布、交易对象类型分布、交易方向分布、交易时段分布的统计，可穿透主要交易对象及交易详情。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需支持摘要分类情况的分布统计，可穿透主要交易对象及交易详情。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（四）列表、图形分析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1、详单分析：支持按照账话单分类并以表格形式展示所有数据。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支持账话单选中数据，一键上图操作，支持图形数据保存，二次打开原图。（须提供软件界面截图）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(2)支持图表导航功能。（须提供软件界面截图）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支持查找链接、路径、最短路径和查找回路。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(4)支持对画布上关系图进行列表分析。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支持通过度中心性分析来显示实体的重要、活跃以及影响程度。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2、关联分析：支持通过不同的模型配置以关联图形式展示所有的关系详情，默认配置账话单模板。（须提供软件界面截图）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支持通过时间筛选。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支持图形数据保存，二次打开原图。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支持查看实体、关系属性。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支持显示隐藏、图片导出的功能。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(5)支持图表导航功能。（须提供软件界面截图）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、资金流向分析：支持智能及人工可视化分析单笔资金流向。（须提供软件界面截图）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支持可视化查找满足条件的任意级别的资金流向路径，并支持数据视图与图形配合查看。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支持可视化人工查找满足条件的下级资金流向或上级流向。</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支持资金流向的交易详情穿透。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、串号比对分析：以可视化形式展示多人共同串号，或同人多个串号的情况，支持人与线索的维度切换，支持数据详情穿透。（须提供软件界面截图）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（五）集合运算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支持针对多数据集的交、并、差等集合运算，支持运算列及属性列的选择，支持数据详情的穿透。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（六）规律分析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1、新增或消失分析：支持可视化分析在某个时间点之后新增号码或消失号码。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针对分析对象，支持人与线索的切换。（须提供软件界面截图）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支持多人共同新增或消失号码的分析。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支持数据详情穿透。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2、转移关系分析：针对B话单或账单及已知的A对象，支持可视化分析存在A跟B通话或转账，B必然会跟C通话或转账规律的C。（须提供软件界面截图）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（七）轨迹分析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1、轨迹详情：支持根据话单通联详情描绘通话位置轨迹点，支持轨迹播放、轨迹线、轨迹点过滤等功能，可进行人与线索维度切换，支持数据详情穿透。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2、轨迹伴随分析：支持分析多人或线索的轨迹伴随情况，支持参数过滤及人与线索的维度切换，支持数据详情穿透。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3、互通位置分析：支持判断同一通电话发生时双方所在位置，支持人与线索的维度切换，支持数据详情穿透。（须提供软件界面截图）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（八）资金分析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1、资金特征：针对资金流动情况进行分析，根据对应的计算规则，判断所分析的账户是否为资金来源账户、资金中转账户以及资金沉淀账户。</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2、资金统计：统计所有分析对象的交易概况及所有分析对象的对手的交易金额统计，支持详情展示、导出功能。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3、资金对敲：从海量数据中找到满足对敲的数据（资金对敲，两笔没有直接联系的交易，满足对敲（差额，差额率，交易时间）条件），支持详情穿透。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（九）其它功能：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支持对原始数据的案件转移、删除以及源文件查看。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(2)支持选择分析对象后，推荐可用的分析方法。（须提供软件界面截图）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要求内置丰富基础数据库，包括不少于2.2亿基站归属地数据、44万多手机归属地、68万多IP归属地、4千多银行卡类型、4千多特服号码，内置重点资源库入口和全国17级离线地图，支持离线进行数据关联与可视化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（十）性能参数：</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支持多个文件的同时批量导入，单机客户端可存储数据量为十T级。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支持百万级别数据分析。</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可视化关联分析软件</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手机画像系统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需提供产品检测报告的证明材料；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属性特征分析：分析机主姓名、身份证、住址、手机号码、虚拟身份（QQ、微信、E-mail等）、银行卡号、车辆、毕业学校、加入组群等基本属性。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社会关系分析：分析机主的社会关系，找出主要关系人，以及加入群组的情况。（须提供软件界面截图）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时空分析：以时间、空间及行为等多维度分析机主的轨迹事件，使用时间轴、地图结合详情的形式，刻画机主及好友的轨迹事件。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经济行为分析：通过对银行短信、支付宝、微信等数据的分析，刻画机主的资金往来情况。（须提供软件界面截图）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视频图像分析：通过人脸比对，分析机主以及对象的亲密关系以及实现以图搜图的能力。（须提供软件界面截图）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行为习惯分析：通过对用户社交特点、通话对象分类情况、通联活动规律、手机漫游情况进行分析，刻画出机主行为习惯的整体轮廓。（须提供软件界面截图）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多人关系分析：通过分析同个案件内的多个持有人手机数据，刻画出机主间存在的各种关系。（须提供软件界面截图）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身份挖掘：可提取和分类展示人名、地名、手机号、身份证号、车牌号、银行卡号、快递单号等特殊身份标识及其来源。（须提供软件界面截图）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涉嫌分析：找出匹配设定的“黄赌毒骗贷模型”、“置信度”条件范围内的通联内容列表或涉案类型占比情况；支持查看命中的涉案通联的上下文。（须提供软件界面截图）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文件追踪：对分析的案例数据进行全库的敏感文件比对碰撞，一步步溯源，找出文件在案例中最早出现的详情。（须提供软件界面截图）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高频词分析：对分析的案例中出现文本聊天内容快速分析、查看、导出全案件文本聊天中的高频词汇及详情信息。（须提供软件界面截图）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全文检索：可查询或统计手机取证的结构化及非结构化数据。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高级查询：可根据输入的通联帐号以及关键词搜索满足条件的通联数据。</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光盘数据销毁机</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碎纸机</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支持碎纸、光盘、卡、回形针、订书针；1、碎纸方式：粒状； 2、碎纸效果：粉末状，1x5mm （7级保密等级）；3、碎纸能力：8张/次 ，幅面不小于A4；4、可碎品类：纸类、光盘、银行卡等；5、碎纸速度：1-2米/分钟；6、碎纸箱容积：不小于30L； </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屏蔽箱</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手机信号屏蔽箱</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需提供产品检测报告的证明材料；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要求支持信号压制和信号屏蔽。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要求支持屏蔽GSM、3G（CDMA/WCDMA/TD-SCDMA)、4G（LTE-TDD，LTE-FDD）、5G、Wi-Fi（2.4GHz、5.8GHz）、蓝牙。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要求10寸以上带屏蔽功能视窗及预留的操作孔，在保证屏蔽的情况下也可进行可视化操作。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要求提供内部LED照明，保证光线，提高易用性。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要求提供不低于3路USB转接口，可支持采集设备内置或外置的不同应用场景。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屏蔽箱和信号压制器加强了信号压制的效果并避免对设备周围通信的影响。</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1135" w:type="dxa"/>
            <w:tcBorders>
              <w:top w:val="nil"/>
              <w:left w:val="nil"/>
              <w:bottom w:val="single" w:color="auto" w:sz="4" w:space="0"/>
              <w:right w:val="single" w:color="auto" w:sz="4" w:space="0"/>
            </w:tcBorders>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光盘刻录机</w:t>
            </w:r>
          </w:p>
        </w:tc>
        <w:tc>
          <w:tcPr>
            <w:tcW w:w="1161"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光盘刻录机</w:t>
            </w:r>
          </w:p>
        </w:tc>
        <w:tc>
          <w:tcPr>
            <w:tcW w:w="6275" w:type="dxa"/>
            <w:tcBorders>
              <w:top w:val="nil"/>
              <w:left w:val="nil"/>
              <w:bottom w:val="single" w:color="auto" w:sz="4" w:space="0"/>
              <w:right w:val="single" w:color="auto" w:sz="4" w:space="0"/>
            </w:tcBorders>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外置≥16X蓝光刻录机；接口类型：不低于USB3.0接口；支持系统：MAC&amp;Windows系统；其他性能：光盘加密，一键刻录</w:t>
            </w:r>
          </w:p>
        </w:tc>
        <w:tc>
          <w:tcPr>
            <w:tcW w:w="709"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11"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彩色打印复印机</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多功能激光打印一体机</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支持打印、复印和扫描；接口：高速USB 2.0 端口；内置高速以太网10/100 Base-TX网络端口；内存：≥256MB DDR4，≥128 MB闪存；复印功能:黑白≥600 x 600 dpi； 彩色(文本和图片) ≥600 x 600 dpi；复印范围: ≥99份；复印比例:25%到400%；复印速度:黑白： ≥16页/分钟； 彩色：≥17页/分钟；</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扫描功能：分辨率:高达1200 x 1200 dpi(平板)；扫描类型:平板式;灰阶:256；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打印功能：分辨率: 不低于600 x 600 dpi；打印速度：黑白(A4，正常模式)： 不小于16页/分钟 彩色(A4，正常模式)：不小于16页/分钟；打印负荷：不小于30,000页</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电子物证保管柜</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智能物证存储柜</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一、规格参数要求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大小规格：不小于1800mm * 宽约1000mm * 纵深约500mm；</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柜箱格数量：大格≥6个、小格≥10个；</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电气设备：1套（配置不低于：集成2个工控机、可视触摸屏1个[人机操作界面]、RFID读卡器1个、条码/二维码扫码器1个、485控制器1个、485锁控制板8个、16个电子门锁等）；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配件：RFID写卡器1个、10张RFID空白卡；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具备网络接口，可通过网络与实验室取证综合管理系统对接；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主柜可通过扩展副柜增加箱格数量，最多可配套九个副柜；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二、主柜的智能管理系统包含设备端和后台服务端：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（一）设备端基本功能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检材管理：检材的存取/归还/清退/查询等管理功能；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箱柜管理：检材柜箱格管理；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设备设置：网络设置、重启/关闭系统、设备信息、设备初始化等功能；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条码存取还功能：通过检材的条码进行开柜门操作；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用户登录：密码登录、射频卡登录；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报警功能：柜门打开状态超时报警；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（二）后台服务端基本功能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用户管理：对登录用户进行增删改查操作；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检材管理：信息由外部提供，对检材信息进行增删改查操作；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设备管理：后台预录入设备端信息，设备端初始化关联后台；</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检材存取还：获取指定箱格列表(空闲、已使用、所有)，获取箱格状态、检材状态、分配条码以便扫码存取还、查询条码对应箱格）等功能；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日志功能：上报检材存取/归还/清退过程日志，上报开箱日志；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授权功能：获取所有设备列表，授权用户可操作设备；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登录：不同权限的用户登录。</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实验室质量管理系统</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电子数据取证智能管理系统</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2、需支持首页按人员角色统计和展示待办事项，支持案件、人员、检材、装备的数量统计，支持案件、检材的分类统计。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3、需支持的系统状态统计功能，可展示实验室整体状态、包括案件简要信息、实验室人员、设备、检材情况等。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4、需支持委托案件的管理、关键字搜索，支持案件委托、受理、指派、出具鉴定报告、案件归档、终止鉴定等的流程管理。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5、需支持检材的管理、关键字搜索，支持检材入库、申领、归还、清退等流转流程的管理。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6、需支持案件的卷宗资料、报告附件、检材图片、取证数据、镜像文件、分析记录等多类文件的管理。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7、需支持案件的鉴定报告的提交、同级核验、审核、归档管理。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8、需支持数据中心功能，支持汇聚上传的BCP数据包。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需支持实验室的取证装备管理功能，同时支持手动添加和自动上传各个厂商的取证装备信息（通过装备运维模块自动上传装备基本信息、软件信息、操作系统信息、CPU信息、内存信息、硬盘信息、分区信息），支持设备的外借流程管理，支持取证设备信息关联设备的核查计划、核查记录、维护计划、维修记录、使用记录、借出/归还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10、需支持数十种文档模板管理，文档内容自动填充。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11、需支持报告编号的名称、类型、格式的自定义配置；支持委托编号、检材编号的自定义配置。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12、需支持实验室配套办公设备签字板、网络打印机、条码打印机、扫码枪、光盘刻录机、高拍仪、智能物证存储柜的基础设施配置管理，并与之联动实现物联化。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13、需支持用户信息管理，多个用户可以同时登录系统，支持一人多案、多人一案的工作模式，支持人员信息关联人员培训记录、人员监督记录。支持同一个用户多处登录时提示强制登录的功能。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14、需支持角色管理和权限的自定义配置。支持详细的系统日志、案件操作日志审计功能，方便追踪溯源。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15、需支持多个维度的数据图形化统计，包含案件数量、案件状态、案件类型、检材数量、检材状态、检材类型、受理单位等统计。</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管理系统服务器</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服管器</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1、CPU配置：双CPU，主频≥2.1GHz，8核16线程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2、内存：不低于64GB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3、硬盘：不低于5块1.8TB（10K转）SAS硬盘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4、电源：不低于配置2个双冗余电源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5、服务器主机：机架式服务器，2U服务器</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条形码扫描器</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扫描枪</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1、支持二维成像；2、识读精度最小：4 mil以下；3、扫描次数(运动速度）：不小于762毫米/秒；4、最大景深：不大于1346mm；5、支持接口：USB,RS232,键盘插口，TGCS(IBM)46XX over RS485；6、光源对焦模式：617nm LED；660nm超 LED照明。</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交换机</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交换机</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组合配置(≥24个10/100/1000Base-T以太网端口, ≥4个复用的千兆Combo SFP, ≥4个千兆SFP,含1个150W交流电源)</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服务器云数据取证设备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远程服务器取证系统</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需提供产品检测报告的证明材料；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设备须为一体机设备，配备不低于11.6英寸电容触控显示屏，分辨率≥1920*1080； CPU主频≥3.6GHz，8核16线程，内存配置≥64GB DDR4，硬盘配置≥6TB企业级SSD；配置≥2个SATA/SAS只读、2个SATA/SAS读写（可扩展成4个SATA/SAS只读、4个SATA/SAS），1个USB 3.0只读，4个USB 3.0读写，1个USB 3.1读写；≥1个千兆电口，≥1个万兆光口；≥1个PCIe*4可扩展接口，≥1个HDMI外接显示接口；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（一）远程服务器调查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支持Windows（包括：Windows Server2000\2003\2008\2012）和Linux（包括：CentOS、Redhat、Ubuntu、Debian）服务器；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支持Linux系统信息的获取；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支持在Windows系统下自动远程桌面连接；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支持Windows系统信息的获取；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支持网络连接信息的获取、网络拓扑图展示，以及网络抓包；</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Shell窗口快捷功能；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支持远程全盘镜像及分区镜像；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支持Mysql、SqlServer、PostgreSql及MongoDB数据库版本信息、保存路径、数据库类型信息的获取；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支持数据库数据表以及整个数据的备份和导出；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支持获取数据库日志信息；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持远程浏览服务器上的磁盘文件，支持选择导出文件；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支持Apache、Nginx、IIS及Tomcat等网站信息的解析提取；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支持默认安装以及自定义安装的网站信息的获取；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 支持默认配置以及自动以配置的网站信息的获取；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 支持网站URL映射关系的解析；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 支持网站信息的获取。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（二）操作系统仿真：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支持对物理磁盘和镜像文件两种介质存储方式的仿真取证；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支持对Windows操作系统、MAC OS操作系统（支持加密磁盘仿真）、Linux等多个版本进行仿真取证；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支持对GPT格式大容量磁盘的识别和仿真；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支持多镜像仿真；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支持Windows系统仿真失败时的智能修复；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支持Windows、MAC、Linux操作系统登录密码的绕过功能；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支持Windows操作系统仿真后特定数据获取功能；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支持对全盘镜像或分区镜像（DD镜像、E01镜像等）的仿真取证，可直接查看DD、E01镜像中的分区、操作系统及用户等重要信息；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支持Windows全自动仿真，可一键完成硬盘的仿真；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支持对Windows 操作系统获取信息不少于：系统信息、易失数据、账号密码、上网痕迹、用户痕迹等五大类重要数据；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支持对Windows系统的用户操作痕迹进行时间线播放；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支持对远程服务器磁盘镜像进行仿真，支持的服务器类型：Windows（包括：Windows Server2003\2008\2012\2016）和Linux（包括：CentOS、Redhat、Ubuntu、Debian）服务器。</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（三）网站重构：</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支持对获取的数据库数据进行智能化数据库重构，并使用数据库连接工具查看数据；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支持对获取的网站数据进行智能化网站重构，重构后的网站可在装备上浏览访问登陆。支持的网站类型包括：Apache、Nginx以及IIS等；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支持对远程服务器磁盘镜像进行仿真。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（四）云数据库免密恢复及分析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支持MYSQL5.0及以上版本；支持SQL SERVER2005/2008/2012/2014/2016/2017版本；支持SQLite3版本；支持Access2003版本；</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支持通过文件/文件夹，镜像，磁盘，阵列等不同数据源进行数据库恢复及分析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支持删除记录，删除表，删除库、勒索病毒破坏、文件损坏等情况下的数据库恢复；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支持快速恢复和深度恢复两种恢复模式；支持通过自定义表结构的方式对磁盘、镜像等存储进行深度恢复；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支持对恢复结果数据进行查询、统计；</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支持以HTML、CSV格式导出恢复结果；支持可视化查询及SQL脚本查询；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（五）层级关系分析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支持会员上下级分析设置并绘图展示；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支持会员关系信息展示；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支持根据节点信息字段搜索；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支持自定义最大层级数、最小子节点及最小子层数进行重新绘图；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支持针对选中的节点信息导出csv格式文件；</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（六）辅助功能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支持以案件形势管理整个数据调查过程；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支持远程连接Mysql、Sqlserver以及PostgreSQL数据库，对数据库进行查询、导出等操作；</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手机云数据取证设备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手机云数据勘查设备</w:t>
            </w:r>
          </w:p>
        </w:tc>
        <w:tc>
          <w:tcPr>
            <w:tcW w:w="627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一、产品资质要求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产品需为国内自主研发，且具有自主知识产权，无软件潜在泄密风险；（须提供软件著作权证书作为）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需提供产品检测报告的证明材料；</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二、主要硬件配置要求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1、主机配置：CPU主频≥3.6GHz， 8核16线程；内存≥128G、 DDR4、2666MHz；硬盘≥4TB系统盘（SSD）+ 12TB 数据盘（3.5寸SATA3）；系统：Windows 10 64位操作系统（神州网信版）；内置短信接收模块；内置多路USB取证模块、银行卡取证、蓝牙取证、身份证取证模块。</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2、配置不少于三合一SIM卡读卡器、手机摄像架、手机取证数据线等。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3、配置34吋宽屏高清显示器，屏幕分辨率不低于：3440*1440。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三、手机取证支持能力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支持主流智能机操作系统：Android（含各类定制Android系统）、iOS、Windows Mobile/Phone/CE、塞班、黑莓（含黑莓10）、Linux、Bada等。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要求产品支持多种方式取证，数据线直接取证、蓝牙取证、备份取证、镜像取证、文件取证、SIM卡取证等。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四、手机云数据取证能力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1、需支持多种应用云数据取证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（1）支持交易支付类：支付宝（用户信息、绑定银行卡、交易记录、回收站），微信（用户信息、通讯录、账单和账单详情、对账单、红包详情、零钱明细、朋友</w:t>
            </w:r>
            <w:bookmarkStart w:id="225" w:name="_GoBack"/>
            <w:bookmarkEnd w:id="225"/>
            <w:r>
              <w:rPr>
                <w:rFonts w:hint="eastAsia" w:ascii="宋体" w:hAnsi="宋体" w:eastAsia="宋体" w:cs="宋体"/>
                <w:color w:val="auto"/>
                <w:kern w:val="0"/>
                <w:sz w:val="21"/>
                <w:szCs w:val="21"/>
              </w:rPr>
              <w:t>圈、收藏、小视频、登录设备管理）、支持QQ（用户信息、好友列表、漫游消息、交易记录）、云闪付（用户信息、银行卡、账单信息）云端数据提取。（需提供软件界面截图）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银行类：中国农业银行（用户信息、银行卡信息、交易明细），中国银行（用户信息、银行卡信息、交易明细），中国建设银行（用户信息、账户明细、交易统计）、中信银行（用户信息、银行卡信息、交易明细），兴业银行（用户信息、账户信息、银行卡信息、余额信息、交易明细）、中国工商银行（用户信息、我的账户、开户网点、我的明细等）云端数据提取。（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云盘类：百度网盘（聊天会话、分享文件、回收站、所有文件等）、腾讯微云（用户信息、全部文件、笔记、分享链接、回收站）、Dropbox（用户信息、文件）、115网盘（用户信息、文件列表）、Bomb后端云（用户信息、应用列表、应用数据）、OneDrive（用户信息、我的文件、最近、照片、已共享、回收站等）、360安全云盘（用户信息、我的文件、回收站等）、天翼云盘（我的账号、全部文件、最近上传、回收站、文件分享等）云端数据提取。（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（5）支持国外社交类：：Facebook、Twitter、Instagram、Telegram、TeleVPN、FlyChat、X Plus、XChat、Plus、aka、BGram、Telegreat、Bestgram、Uzbgram、Vidogram、BiYong、Skype云端数据提取，支持Google服务（Chrome、Google地图、YouTube、书签、云端硬盘、我的活动、通讯录、位置记录等）云端数据解析。（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通信运营商类：中国移动（用户信息、通话详单、短信详单等）、电信营业厅（用户信息、语音详单、短彩信详单等）、中国联通（用户信息、通话详单、短彩信详单等）云端数据提取。（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2、要求手机应用数据提取过程，支持APP提取密钥、免密、账号+密码、账号+短信验证码 、账号+二维码等多种登录方式；设备内置短信验证模块，可自动进行短信验证码验证登录（须提供软件界面截图）。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3、支持大屏动态实时数据演示：产品处于云数据下载过程中，可点击进入大屏展示，实时展示下载的相关信息，并可点击对应文件进行相关预览。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4、支持云取证过程中数据采集带宽支持自主配置，并可实时观测取证进度。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5、需支持文件与任务的断点续传，可在断点断网等异常中断后的任务和文件断点续传（须提供软件界面截图）。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6、支持多检材、多应用、多账号并行云取证。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五、手机数据提取和恢复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需支持Android系统在取证过程中无需频繁点击授权提示，提高取证效率。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需支持OPPO、华为、魅族、小米等手机自动备份取证，减轻用户取证的工作量（。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获取手机IMEI、IMSI、通讯簿、短信、通话记录、位置信息、备忘录、日程表、Wi-Fi/蓝牙连接记录、多媒体文件（图片/视频/音频）、系统日志（开关机时间、应用程序使用卸载记录、iOS设备使用过的手机号、iOS设备连接过的主机、iOS PushStore推送消息）和密码密钥等信息，支持恢复已删除的电话簿、短信、通话记录、日程表等信息。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4、支持手机已删除数据的恢复，支持删除数据恢复的平台包括： iPhone手机、Android手机、Symbian手机、MTK及展讯</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、诺基亚S40手机、摩托罗拉非智能机、高通平台CDMA功能手机和部分黑莓手机等。其中iPhone手机越狱和未越狱均可实现删除数据恢复，Android手机未ROOT或已ROOT均可进行删除数据恢复。</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5、支持手机内存镜像的获取和解析，包括Android手机、iPhone手机、</w:t>
            </w:r>
            <w:r>
              <w:rPr>
                <w:rFonts w:hint="eastAsia" w:ascii="宋体" w:hAnsi="宋体" w:cs="宋体"/>
                <w:color w:val="auto"/>
                <w:kern w:val="0"/>
                <w:sz w:val="21"/>
                <w:szCs w:val="21"/>
                <w:lang w:eastAsia="zh-CN"/>
              </w:rPr>
              <w:t>其他机型</w:t>
            </w:r>
            <w:r>
              <w:rPr>
                <w:rFonts w:hint="eastAsia" w:ascii="宋体" w:hAnsi="宋体" w:eastAsia="宋体" w:cs="宋体"/>
                <w:color w:val="auto"/>
                <w:kern w:val="0"/>
                <w:sz w:val="21"/>
                <w:szCs w:val="21"/>
              </w:rPr>
              <w:t>（MTK、展讯、Mstar等）、诺基亚S40手机、黑莓手机。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6、支持Android手机基于镜像的深度数据恢复，可深度恢复微信、短信等删除数据。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六、手机密码破解及绕过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1、支持三星、华为、小米、OPPO、vivo、魅族、乐视、HTC等各品牌手机在未root情况下免刷机直接提取进行并自动解密密。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2、要求支持iPhone提权取证，突破iOS系统限制，无需越狱，即可绕过备份密码，提取更丰富的手机数据。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七、手机应用程序解析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使用设备自带显卡进行GPU并行运算解密、支持密钥数据库文件解密、支持缓存文件解密Android微信多账号数据；支持各种即时通讯软件语音文件的转码，并在软件内直接播放；支持部分应用程序删除数据的恢复；支持部分应用程序密码/秘钥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手机即时通讯类应用程序的痕迹记录解析、支持微博数据的获取解析、支持上网日志的获取解析、支持手机邮件的获取解析、支持手机行程记录的获取解析、支持手机电子商务数据的获取解析、支持手机Wi-Fi、蓝牙连接记录的提取、支持第三方安全软件的获取解析、支持车载导航记录的获取解析、支持视听软件的获取解析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3、支持360安全云盘、易联OVPN、华为手机云、iCloud等应用的获取解析。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4、支持中国银行、建设银行、农业银行、交通银行、招商银行、工商银行等银行类APP的获取解析。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5、支持其他应用解析，如搜狗输入法、imToken、币牛牛、115网盘、金十数据、豌豆荚、今日头条、赶集网、58同城、学习强国、脉脉、腾讯微云、随手记、顺丰速运、菜鸟裹裹、同花顺等。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八、人工智能与取证技术结合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语音识别，支持单个或批量语音识别，可将语音文件自动识别成文字内容，且识别结果支持列表展示与会话展示，解决人工听取语音耗时长的问题（须提供软件界面截图）。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涉案分析，专业定位淹没在海量数据中的关键涉案信息，利用基于机器学习的智能分析，快速聚焦黄、赌、毒、诈骗、涉贷等会话数据，攻克海量数据查找分析难题（须提供软件界面截图）。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照片分析，快速识别手机中所有照片的人脸，并进行分类，种类包括SH、SB、SJ、SM、SK、证件照（身份证、银行卡、护照、驾驶证、行驶证、车牌、营业执照、名片等）、二维码、人物照片等。辅助分析嫌疑人及其关系网人物样貌。新增AI人脸搜索功能，导入目标图片，对检材中的人物照片进行人脸搜索，碰撞匹配，结果展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维汉翻译，支持普通维文、拉丁维文-汉语机器翻译功能，冲破语言障碍，实现跨语言办案，从而降低破案门槛。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群聊分析，基于语义分析快速去伪存真，从大量繁杂的聊天内容中总结群聊话题、群亲密关系、群发言活跃度以及群发言分析。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九、手机取证工具集</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1、提供自主知识产权的手机取证工具集，含40余款工具，解决手机取证过程遇到的各种疑难问题。</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2、Android系列：提供Android镜像下载工具，支持任意多部手机同时下载镜像；提供Android解锁大师工具，支持按手机型号破解或绕过密码；提供Android一键root工具，支持一键root和一键取消root，支持Android 1.5~4.4.x手机的root提权；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提供Android图片恢复工具，全面支持恢复华为、小米、OPPO、vivo、三星、中兴、金立等品牌手机的删除图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3、iPhone系列：提供iPhone DFU工具，解决iPhone 3GS和iPhone 4手机的密码绕过问题；提供iPhone备份浏览工具，可直接加载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4、设备需集成暴恐查缉-暴恐音视频图片电子书查缉工具，在手机取证时对手机进行暴恐文件的检索查缉。（须提供软件界面截图）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十、支持数据分析、关联和报告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1、支持手机数据与云端数据的共同展示、浏览、分析、搜索、导出报告。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列表、会话（可自定义跳转）等方式的数据浏览，支持语音、视频、图片等多媒体文件直接嵌入软件内浏览播放；支持关键字搜索（可高亮展示）、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且Html报告支持会话展示、支持多浏览器查看；支持QQ和微信的红包、转账、分享链接会话展示及报告，案件导出后支持使用案件阅读工具数据浏览工具进行浏览、分析、标签和生成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3、支持多重数据分析，刻画人物属性、挖掘身份标识、筛选照片分析等，对手机持有人的头像、手机号、姓名、身份证号等各类信息进行挖掘，多方位多角度挖掘有效线索（须提供软件界面截图）。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4、支持手机GPS、Wi-Fi、基站、照片、QQ、微信、导航软件的位置信息在地图上进行展示，并分析轨迹信息。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集成免费绿色版的案件阅读工具，支持导出案件数据后，使用案件阅读工具进行数据浏览、搜索、分析、添加标签、导出各种格式的取证报告和标签报告，方便进行案件多人分析、跨部门案件协助处理、案件保存等（须提供软件界面截图）。</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移动互联网App检测取证系统 </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移动互联网App检测取证系统</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一、主要硬件配置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要求高配置高取证终端一体机形态，设备集成APP动态数据取证模块，集成Android9.0真实手机运行环境；主控硬件配置：CPU主频≥3.6GHz， 8核16线程、内存≥64G、DDR4、2666MHz，硬盘≥6T固态；人机交互通过内嵌的键盘和鼠标，在桌面控制台软件采用真机引导检测，实时输出动态行为数据。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二、技术条款要求</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集成APP真机监测沙箱，支持接打电话、收发短信、在3G/4G、WIFI环境下的数据访问、安装/运行/卸载APP能力，支持应对APP对虚拟沙箱（虚拟机）的反侦察能力。</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支持真实手机画面映射到取证操作界面的能力，用鼠标点击映射的手机画面，控制集成手机里APP真实操作，支持操作界面对真实手机的文本输入。</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支持APP检测过程的截屏、录屏功能，保存整个取证过程的动态行为。</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支持以个体APP为维度的实时动态监控APP触发的动态行为能力，动态行为与APP个体一一单独对应，包括APP运行过程中产生的实时网络报文数据、APP所产生的获取终端用户隐私敏感信息读取动作。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支持对加固APP的动态脱壳，加固信息输出，以及支持APP源码反编译分析，支持目标敏感词检索源码。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支持二维码、网址类的自动化动态解析，支持自动下载对应APP，以及自动安装APP进行静态和动态测试。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支持对APP进行代码自动化的静态信息检索，包括检索域名、手机号、QQ、邮箱。</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支持对APP集成可调证SDK KEY值检测输出，包括SDK名称、SDK KEY值、公司信息。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支持对APP的封装平台分析，输出封装平台公司信息，以及可调证的APPID线索信息。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支持对APP的客服平台分析，输出客服平台公司信息，以及可调证的客服ID线索信息。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支持HTTP和HTTPS 的GET/POST网络报文抓取能力，输出服务器域名、URL链接、IP地址、端口，以及解析上下行通讯网络包传输加密前的原文信息，确保网络数据线索的可读性。</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支持对APP相关域名进行深度解析，输出域名备案信息、域名注册信息、域名DNS解析信息，以及服务器IP信息，CDN加速信息。支持对IP地址的地理位置信息解析、历史绑定域名解析、端口扫描。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 支持导出APP测试记录的离线数据包，用于分发共享查看完整检测过程，支持BCP数据格式导出。支持一键导出检测报告，可选WORD、PDF格式。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 支持自动化批量APP的动态检测，每个APP分别输出检测报告，检测报告包括应用基本信息、静态解析信息、动态解析域名信息、第三方调证等信息。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 支持将外部手机的APP导入到测试设备的能力，支持导入后自动安装到集成的手机进行测试。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 支持手机APP权限的一键配置开关（自动允许、询问、拒绝），提高APP的检测效率。</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 支持一键预制手机内置诱导信息，包括通讯录、通话记录、短信记录。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 支持手机采用Wi-Fi和移动网络（3G、4G、5G手机数据网络）的网络报文分析；支持输出动态网络数据URL访问的调用栈信息，并可在代码层进行对应。</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 支持检测APP对手机IMEI、IMSI、ICCID、电话号码、短信记录、通话记录、通讯录、安装应用列表、获取运营商信息等获取用户信息的行为分析。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 支持检测APP对手机读写SDCard行为、拨打电话、发送短信、接收短信、获取ROOT权限、录音、摄像头、加载应用、执行shell命令、强制网络类型的行为分析。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 支持检测APP对手机获取访问网络URL、改变Wi-Fi状态、使用蓝牙、发送邮件、读取邮件、开启NFC等网络类的行为分析。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 支持APP的案件管理，包括案件名称、案件编号、案件相关详细信息，以及跟案件相关联的APP基本信息，以及动态测试APP的取证数据。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 无需脱壳、无需通过代码还原应用行为、不受加壳加固技术、云控插件影响；彻底摆脱对代码分析技术的依赖；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 真实手机测试环境、全方位APP行为实时分析、所有静默动作直观可见、所有报文数据全程记录、后台服务器地址秒级呈现；（需提供软件界面截图）</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 支持手机全网络（Wi-Fi接入、3G/4G/5G数据网络）报文的抓取，支持明文HTTP和加密传输HTTPS网络报文的抓取。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 无需额外配置检测工具、无需调用其他能力；配合取证系统，“分析、取证”一站完成；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 产品集案件管理、录像截屏、证据搜索、生成证据报告等完整功能于一体，为APP检测工作提供完整的检测流程。</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 支持批量检测APP，并自动生成分析报告。（需提供软件界面截图）</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汽车取证设备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汽车取证设备</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一款全能便携的汽车取证装备，基于新一代取证技术对车辆数据进行全面提取，支持汽车信息娱乐导航系统取证、汽车电控单元取证、大型车辆行驶系统取证、行车记录仪取证、智能后视镜取证、T-BOX模块取证，可用于分析用户行为痕迹、追踪车辆足迹以及还原事故现场等，让汽车电子数据取证变得更加的便捷和高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产品基本情况：</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设备为一体机，配备触摸屏尺寸不低于11.6英寸，分辨率不低于1920*1080；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CPU主频≥3.6GHz， 8核16线程，内存不低于32GB、DDR4、2666MHz，硬盘不低于1TB；配置信号输出通道和诊断通讯、信号采集通道；</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标配软件：汽车信息娱乐导航系统取证、电子控制单元取证、行车记录仪取证等主要功能；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设备为本司自主研发，内置汽车取证软件，具有自主知识产权，具备著作权证书；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预装64位Win7简体中文操作系统。</w:t>
            </w:r>
          </w:p>
          <w:p>
            <w:pPr>
              <w:widowControl/>
              <w:spacing w:line="320" w:lineRule="exact"/>
              <w:ind w:firstLine="42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对拥有蓝牙功能的汽车娱乐导航系统，支持连接记录、通讯记录等信息获取；对拥有WIFI功能的娱乐导航系统，支持WIFI连接记录读取；支持安全气囊取证：可提取如碰撞速度、碰撞严重度、安全带状态及碰撞短时间缓存信息等数据</w:t>
            </w:r>
            <w:r>
              <w:rPr>
                <w:rFonts w:hint="eastAsia" w:ascii="宋体" w:hAnsi="宋体" w:eastAsia="宋体" w:cs="宋体"/>
                <w:color w:val="auto"/>
                <w:kern w:val="0"/>
                <w:sz w:val="21"/>
                <w:szCs w:val="21"/>
                <w:lang w:eastAsia="zh-CN"/>
              </w:rPr>
              <w:t>；</w:t>
            </w:r>
          </w:p>
          <w:p>
            <w:pPr>
              <w:widowControl/>
              <w:spacing w:line="320" w:lineRule="exact"/>
              <w:ind w:firstLine="420"/>
              <w:jc w:val="left"/>
              <w:rPr>
                <w:rFonts w:hint="eastAsia" w:ascii="宋体" w:hAnsi="宋体" w:eastAsia="宋体" w:cs="宋体"/>
                <w:color w:val="auto"/>
                <w:kern w:val="0"/>
                <w:sz w:val="21"/>
                <w:szCs w:val="21"/>
              </w:rPr>
            </w:pPr>
          </w:p>
          <w:p>
            <w:pPr>
              <w:widowControl/>
              <w:spacing w:line="320" w:lineRule="exact"/>
              <w:ind w:firstLine="420"/>
              <w:jc w:val="left"/>
              <w:rPr>
                <w:rFonts w:hint="eastAsia" w:ascii="宋体" w:hAnsi="宋体" w:eastAsia="宋体" w:cs="宋体"/>
                <w:color w:val="auto"/>
                <w:kern w:val="0"/>
                <w:sz w:val="21"/>
                <w:szCs w:val="21"/>
              </w:rPr>
            </w:pP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主要功能点：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信息娱乐导航系统取证：支持丰田、福特、林肯、吉利、别克等18个品牌、400款车型，可提取导航、通话记录、通讯录及车速、GPS轨迹等车身事件信息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安全气囊取证：支持福特、宝马、奥迪等21个品牌3500多款车型，可提取如碰撞速度、碰撞严重度、安全带状态及碰撞短时间缓存信息等数据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汽车电控单元取证：支持宝马、奔驰、奥迪等7个品牌15000多款车型，可提取车架号、模块故障码以及发动机电脑、变速箱电脑、车身电脑等零部件的信息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大型车辆行驶系统取证：支持对市面上80%以上的大型车辆行驶系统，可提取车辆行驶轨迹以及行驶速度、疲劳驾驶记录、转向、制动系统等操作记录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行车记录仪取证：支持360、凯立德等所有主流行车记录仪，可恢复损坏和碎片的视频数据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智能后视镜取证：支持凌度、任我游、纽曼、第一现场、小蚁等20多款主流的智能后视镜，可提取到车辆轨迹、速度、语音指令记录以及其他APP数据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TBOX取证：支持奇瑞、长安、吉利、荣威、江淮、腾势、轩德、江铃等主流品牌车型，可提取车辆行驶轨迹、速度、刹车、电池数据、故障信息等记录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详细功能点：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1.信息娱乐导航系统取证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支持福特Sync2/3以及吉利G-NetLink原装信息娱乐导航系统的取证；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支持飞歌、路畅、九音等第三方Android、WinCE版信息娱乐导航系统的取证；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支持福特、吉利、丰田、大众以及日产等18个品牌400多款车型的信息娱乐导航系统取证；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支持通过WIFI以及USB连接信息娱乐导航系统进行数据提取；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支持对存储卡进行数据提取；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支持对DD、BIN、ISO、IMG等27种常见镜像类型解析；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支持对文件夹进行数据提取；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支持百度、高德、凯立德、腾讯、搜狗、美行以及道道通导航APP信息的提取；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支持GPS轨迹信息的提取；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支持通讯录、通话记录提取；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支持WIFI连接记录提取；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支持蓝牙连接记录提取；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支持车身事件信息的提取，包括开关门、点火记录、车速记录以及手刹记录等；</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支持蜻蜓收音机电台信息提取；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支持小熊油耗加油记录提取。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2.汽车电子控制单元取证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支持丰田、别克、雪弗兰以及凯迪拉克21个品牌全序列车型（3500多款车型）安全气囊取证，可提取碰撞前5秒速度/加速度变化信息、加速踏板位置以及安全带状态等信息；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支持通过连接车载诊断OBD接口进行数据提取；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支持通过连接电控单元模块接口进行数据提取。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支持大众、别克、奔驰等7个品牌15000多款车型的发动机控制单元、变速箱控制单元等的取证，可提取车架号、软硬件版本号以及故障码等信息；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3.行车记录仪取证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支持所有主流品牌的行车记录仪视频数据提取；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支持深度恢复，可恢复损坏和碎片的视频数据；</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支持对存储卡进行数据提取；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支持对DD、001、IMG、E01、Ex01等多种镜像类型进行数据提取。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4.智能后视镜取证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支持凌度、任我游、纽曼、第一现场、小蚁等20多款主流的智能后视镜；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支持通过WIFI以及USB连接信息智能后视镜进行数据提取；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支持对存储卡进行数据提取；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支持对DD、BIN、ISO、IMG等27种常见镜像类型解析；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支持对文件夹进行数据提取；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支持百度、高德、凯立德、腾讯、搜狗以及道道通导航APP信息的提取；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支持GPS轨迹信息的提取；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支持通讯录、通话记录提取；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支持WIFI连接记录提取；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支持蓝牙连接记录提取；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支持蜻蜓收音机电台信息提取；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支持小熊油耗加油记录提取。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5.T-BOX取证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支持奇瑞、长安、吉利、荣威、江淮、腾势、轩德、江铃等8款车型T-BOX取证；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支持对存储卡进行数据提取；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支持对DD、BIN、ISO、IMG等27种常见镜像类型解析；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支持对文件夹进行数据提取；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支持GPS轨迹信息的提取，包括经度、纬度、速度、偏航角等信息；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支持整车数据提取，包括车架号、速度、里程、档位、刹车、油门等信息；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支持故障信息提取。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6.其他功能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支持案件的新建、编辑、删除、导入、导出等，支持统计取证结果；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支持手机数据的采集和结果浏览；</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支持勾选取证结果导出取证报告；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支持根据关注等级添加摘录并生成摘录报告；</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支持对GPS等位置信息进行地图展示，分析轨迹信息；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支持对取证结果的时间线分析；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支持对取证结果进行关键字、时间段搜索；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支持对文件结果进行快速搜索、内容检索；</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支持预览和导出文件结果；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支持播放和导出视频结果；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支持通过VIN(车架号)查询车型支持取证内容；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支持对不同检材进行多线程并行取证。</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1135"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物联网取证设备</w:t>
            </w:r>
          </w:p>
        </w:tc>
        <w:tc>
          <w:tcPr>
            <w:tcW w:w="116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物联网取证设备</w:t>
            </w:r>
          </w:p>
        </w:tc>
        <w:tc>
          <w:tcPr>
            <w:tcW w:w="6275" w:type="dxa"/>
            <w:tcBorders>
              <w:top w:val="nil"/>
              <w:left w:val="nil"/>
              <w:bottom w:val="single" w:color="auto" w:sz="4" w:space="0"/>
              <w:right w:val="single" w:color="auto" w:sz="4" w:space="0"/>
            </w:tcBorders>
            <w:shd w:val="clear" w:color="auto" w:fill="auto"/>
            <w:vAlign w:val="center"/>
          </w:tcPr>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是一款物联网智能终端现场快速勘查及综合分析设备，支持群呼设备(GoIP、多卡宝)、路由器、无人机、智能穿戴、电视盒子等智能设备的取证分析，能够高效还原智能设备操作过程及物联空间人/物活动轨迹，为案发现场提供高价值线索及证据。 </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产品基本情况：</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设备为一体机加固平板电脑，配备触摸屏尺寸不低于11.6英寸，分辨率不低于1920*1080；</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CPU主频≥3.6GHz， 8核16线程，内存不低于32GB、DDR4、2666MHz， SSD硬盘不低于2T ；集成前置摄像头像素不低于600万*1， 后置摄像头像素不低于1000万*1，内置电池不低于4540mAh；</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I/O接口配置不低于： USB3.0接口*2，USB3.0接口*1，RJ45网口*1，HDMI高清输出接口*1， COM口*1，MicroSD卡接口*1， 19VDC输入接口*1等主要接口；</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配件支持：SAS/SATA，FLASH，USB3.0电子证据只读锁；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标配软件：路由器取证、无人机取证、智能穿戴设备取证、智能电视盒子取证等主要功能；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该设备具有自主知识产权，具备著作权证书；</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预装64位Win7简体中文操作系统。</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主要功能点：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支持鼎信通达、三汇、一正以及得伯乐等主流GoIP品牌免密直连取证；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支持多卡宝、络漫宝、SIMADD以及IKOS等主流便携式多卡设备免密直连取证；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支持群呼设备删除数据的恢复，IMEI、短信、通话记录以及IMSI等信息；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支持8个品牌20多个型号的路由器取证，涵盖水星、TP-LINK、小米、华为、极路由等主流路由器品牌；</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支持水星、TP-LINK等 10多个型号路由器免密在线取证；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支持大疆、FreeFlight、零度等主流品牌的无人机取证；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支持出门问问 、Apple Watch 智能手表取证；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支持小米电视盒子取证；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支持以时间线的方式串联智能设备的时间轨迹。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详细功能点：</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1.群呼设备取证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支持鼎信通达、三汇、一正以及得伯乐等主流GoIP品牌取证分析；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支持多卡宝、络漫宝、SIMADD以及IKOS等主流便携式多卡设备取证分析；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支持通过串口对群呼设备进行免密直连取证；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支持IMEI、短信息、账号密码以及服务器IP等配置信息提取；支持删除数据的恢复，包括IMEI、短信、通话记录以及IMSI等信息。</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2.路由器取证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支持水星、TP-LINK、小米、华为、极路由等8个主流路由器品牌20多款型号的取证；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支持网口直连、TTL串口直连、WIFI直连、SSH直连、U盘、镜像、文件夹等取证方式；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支持连接记录、登录记录、异常记录以及用户名密码修改记录等日志信息解析；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支持权限管控、静态路由表、静态ARP绑定、VPN、DNS、WiFi配置等配置信息解析；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支持智能路由器下载记录、应用信息、访问记录等信息解析。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3.无人机取证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支持大疆、零度、FreeFlight等主流品牌的无人机取证；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支持无人机设备端存储卡、镜像以及文件夹等方式取证；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支持手机端DJI GO、零度ZERO、FreeFlight3无人机App解析；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支持无人机型号、唯一序列号、飞行起始时间等基本信息提取；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支持无人机飞行经纬度、飞行高度、飞行速度等轨迹信息解析；</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支持无人机拍摄图片和视频提取。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4.智能穿戴设备取证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支持出门问问、Apple Watch等主流品牌智能手表取证；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支持USB直连、镜像、文件夹等取证方式；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支持设备型号、配对信息、唯一序列号等基本信息提取；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支持通讯录、通话记录、即时通讯App、支付信息等用户行为信息提取；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支持运动步数、心率等用户身心健康数据提取。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5.智能电视盒子取证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支持小米品牌主流型号智能电视盒子取证；</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支持USB直连、镜像、文件夹等取证方式；</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支持设备型号、电视盒子厂商、软件版本信息、账号登录记录等基本信息提取；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支持音视频播放记录、WiFi连接记录等用户行为相关信息提取。</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6.其它功能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支持基于小程序进行快速功能扩展；</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支持按时间线方式浏览取证结果；</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支持案例概览功能；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支持报告导出功能；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支持在线升级功能；</w:t>
            </w:r>
          </w:p>
          <w:p>
            <w:pPr>
              <w:widowControl/>
              <w:spacing w:line="32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集成手机采集、通用播放器等功能。</w:t>
            </w:r>
          </w:p>
        </w:tc>
        <w:tc>
          <w:tcPr>
            <w:tcW w:w="709"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711"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r>
      <w:tr>
        <w:tblPrEx>
          <w:tblCellMar>
            <w:top w:w="0" w:type="dxa"/>
            <w:left w:w="108" w:type="dxa"/>
            <w:bottom w:w="0" w:type="dxa"/>
            <w:right w:w="108" w:type="dxa"/>
          </w:tblCellMar>
        </w:tblPrEx>
        <w:trPr>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35</w:t>
            </w:r>
          </w:p>
        </w:tc>
        <w:tc>
          <w:tcPr>
            <w:tcW w:w="2296"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售后服务及培训</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1、以上设备均包含3年免费升级和质保服务，免费质保期自项目通过验收之日起计算；</w:t>
            </w:r>
          </w:p>
          <w:p>
            <w:pPr>
              <w:spacing w:after="120" w:line="320" w:lineRule="exact"/>
              <w:ind w:left="34" w:firstLine="420"/>
              <w:rPr>
                <w:rFonts w:hint="eastAsia" w:ascii="宋体" w:hAnsi="宋体" w:eastAsia="宋体" w:cs="宋体"/>
                <w:color w:val="auto"/>
                <w:sz w:val="21"/>
                <w:szCs w:val="21"/>
              </w:rPr>
            </w:pPr>
            <w:r>
              <w:rPr>
                <w:rFonts w:hint="eastAsia" w:ascii="宋体" w:hAnsi="宋体" w:eastAsia="宋体" w:cs="宋体"/>
                <w:color w:val="auto"/>
                <w:sz w:val="21"/>
                <w:szCs w:val="21"/>
              </w:rPr>
              <w:t>2、在合同有效期内，中标供应商需派驻不少于1名工程师常驻，提供不少于3年的开展系统运维及技术支撑；</w:t>
            </w:r>
          </w:p>
          <w:p>
            <w:pPr>
              <w:spacing w:line="3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3、质保期内，中标供应商需提供7*24小时售后服务，系统发生故障时，承诺24小时内解决问题;</w:t>
            </w:r>
          </w:p>
          <w:p>
            <w:pPr>
              <w:spacing w:line="3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4、中标方必须提供体系完整、层次丰富的中文培训，包括硬件和软件的操作技能培训、现场安装培训和使用维护培训及相关专业知识培训等，开展不少于5人次、不少于10天的电子数据取证分析专项培训。</w:t>
            </w:r>
          </w:p>
        </w:tc>
      </w:tr>
      <w:tr>
        <w:tblPrEx>
          <w:tblCellMar>
            <w:top w:w="0" w:type="dxa"/>
            <w:left w:w="108" w:type="dxa"/>
            <w:bottom w:w="0" w:type="dxa"/>
            <w:right w:w="108" w:type="dxa"/>
          </w:tblCellMar>
        </w:tblPrEx>
        <w:trPr>
          <w:jc w:val="center"/>
        </w:trPr>
        <w:tc>
          <w:tcPr>
            <w:tcW w:w="10825"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1、交付、实施期限：</w:t>
            </w:r>
            <w:r>
              <w:rPr>
                <w:rFonts w:hint="eastAsia" w:ascii="宋体" w:hAnsi="宋体" w:eastAsia="宋体" w:cs="宋体"/>
                <w:color w:val="auto"/>
                <w:kern w:val="0"/>
                <w:sz w:val="21"/>
                <w:szCs w:val="21"/>
              </w:rPr>
              <w:t>合同签订生效后100</w:t>
            </w:r>
            <w:r>
              <w:rPr>
                <w:rFonts w:hint="eastAsia" w:ascii="宋体" w:hAnsi="宋体" w:eastAsia="宋体" w:cs="宋体"/>
                <w:color w:val="auto"/>
                <w:sz w:val="21"/>
                <w:szCs w:val="21"/>
              </w:rPr>
              <w:t>日内完成安装调试，通过现场自检并交付试运行。</w:t>
            </w:r>
          </w:p>
          <w:p>
            <w:pPr>
              <w:spacing w:line="3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2、交付、实施地点：青海省公安厅刑事警察总队。</w:t>
            </w:r>
          </w:p>
        </w:tc>
      </w:tr>
    </w:tbl>
    <w:p>
      <w:pPr>
        <w:widowControl/>
        <w:spacing w:before="100" w:beforeAutospacing="1" w:after="100" w:afterAutospacing="1" w:line="240" w:lineRule="auto"/>
        <w:ind w:firstLine="0" w:firstLineChars="0"/>
        <w:jc w:val="left"/>
        <w:outlineLvl w:val="2"/>
        <w:rPr>
          <w:rFonts w:hint="eastAsia" w:ascii="宋体" w:hAnsi="宋体"/>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长城仿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askerville">
    <w:altName w:val="Times New Roman"/>
    <w:panose1 w:val="00000000000000000000"/>
    <w:charset w:val="00"/>
    <w:family w:val="auto"/>
    <w:pitch w:val="default"/>
    <w:sig w:usb0="00000000" w:usb1="00000000" w:usb2="00000000" w:usb3="00000000" w:csb0="00000001" w:csb1="00000000"/>
  </w:font>
  <w:font w:name="ヒラギノ角ゴ Pro W3">
    <w:altName w:val="hakuyoxingshu7000"/>
    <w:panose1 w:val="00000000000000000000"/>
    <w:charset w:val="8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昆仑楷体">
    <w:altName w:val="黑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Adobe Heiti Std R">
    <w:altName w:val="hakuyoxingshu7000"/>
    <w:panose1 w:val="00000000000000000000"/>
    <w:charset w:val="86"/>
    <w:family w:val="auto"/>
    <w:pitch w:val="default"/>
    <w:sig w:usb0="00000000" w:usb1="00000000" w:usb2="0000001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文鼎粗黑">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行楷简体">
    <w:altName w:val="Arial Unicode MS"/>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jc w:val="center"/>
    </w:pPr>
    <w:r>
      <w:fldChar w:fldCharType="begin"/>
    </w:r>
    <w:r>
      <w:instrText xml:space="preserve"> PAGE   \* MERGEFORMAT </w:instrText>
    </w:r>
    <w:r>
      <w:fldChar w:fldCharType="separate"/>
    </w:r>
    <w:r>
      <w:rPr>
        <w:lang w:val="en-US" w:eastAsia="zh-CN"/>
      </w:rPr>
      <w:t>1</w:t>
    </w:r>
    <w:r>
      <w:rPr>
        <w:lang w:val="en-US" w:eastAsia="zh-CN"/>
      </w:rPr>
      <w:fldChar w:fldCharType="end"/>
    </w:r>
  </w:p>
  <w:p>
    <w:pPr>
      <w:pStyle w:val="3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y="1"/>
      <w:ind w:firstLine="360"/>
      <w:rPr>
        <w:rStyle w:val="69"/>
      </w:rPr>
    </w:pPr>
    <w:r>
      <w:fldChar w:fldCharType="begin"/>
    </w:r>
    <w:r>
      <w:rPr>
        <w:rStyle w:val="69"/>
      </w:rPr>
      <w:instrText xml:space="preserve">PAGE  </w:instrText>
    </w:r>
    <w:r>
      <w:fldChar w:fldCharType="separate"/>
    </w:r>
    <w:r>
      <w:rPr>
        <w:rStyle w:val="69"/>
      </w:rPr>
      <w:t>93</w:t>
    </w:r>
    <w:r>
      <w:fldChar w:fldCharType="end"/>
    </w:r>
  </w:p>
  <w:p>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rPr>
      <w:t>青海省政府采购招标文件                  青政采公招（货物）2022-029号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hint="eastAsia"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rPr>
      <w:t>青海省政府采购招标文件                青政采公招（货物）2022-029号</w:t>
    </w: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00000006"/>
    <w:multiLevelType w:val="multilevel"/>
    <w:tmpl w:val="00000006"/>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decimal"/>
      <w:pStyle w:val="6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475"/>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86"/>
      <w:lvlText w:val="%1.%2.%3."/>
      <w:lvlJc w:val="left"/>
      <w:pPr>
        <w:tabs>
          <w:tab w:val="left" w:pos="709"/>
        </w:tabs>
        <w:ind w:left="709" w:hanging="709"/>
      </w:pPr>
      <w:rPr>
        <w:rFonts w:hint="eastAsia"/>
      </w:rPr>
    </w:lvl>
    <w:lvl w:ilvl="3" w:tentative="0">
      <w:start w:val="1"/>
      <w:numFmt w:val="decimal"/>
      <w:pStyle w:val="46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5">
    <w:nsid w:val="0000000E"/>
    <w:multiLevelType w:val="singleLevel"/>
    <w:tmpl w:val="0000000E"/>
    <w:lvl w:ilvl="0" w:tentative="0">
      <w:start w:val="1"/>
      <w:numFmt w:val="bullet"/>
      <w:pStyle w:val="8"/>
      <w:lvlText w:val=""/>
      <w:lvlJc w:val="left"/>
      <w:pPr>
        <w:tabs>
          <w:tab w:val="left" w:pos="425"/>
        </w:tabs>
        <w:ind w:left="425" w:hanging="425"/>
      </w:pPr>
      <w:rPr>
        <w:rFonts w:hint="default" w:ascii="Wingdings" w:hAnsi="Wingdings"/>
      </w:rPr>
    </w:lvl>
  </w:abstractNum>
  <w:abstractNum w:abstractNumId="6">
    <w:nsid w:val="0000000F"/>
    <w:multiLevelType w:val="multilevel"/>
    <w:tmpl w:val="0000000F"/>
    <w:lvl w:ilvl="0" w:tentative="0">
      <w:start w:val="1"/>
      <w:numFmt w:val="decimal"/>
      <w:pStyle w:val="64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2"/>
      <w:numFmt w:val="decimal"/>
      <w:pStyle w:val="57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multilevel"/>
    <w:tmpl w:val="00000012"/>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30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8"/>
    <w:multiLevelType w:val="multilevel"/>
    <w:tmpl w:val="00000018"/>
    <w:lvl w:ilvl="0" w:tentative="0">
      <w:start w:val="1"/>
      <w:numFmt w:val="decimal"/>
      <w:pStyle w:val="50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decimal"/>
      <w:pStyle w:val="40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decimal"/>
      <w:pStyle w:val="38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E"/>
    <w:multiLevelType w:val="multilevel"/>
    <w:tmpl w:val="0000001E"/>
    <w:lvl w:ilvl="0" w:tentative="0">
      <w:start w:val="1"/>
      <w:numFmt w:val="decimal"/>
      <w:pStyle w:val="24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1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F"/>
    <w:multiLevelType w:val="multilevel"/>
    <w:tmpl w:val="0000001F"/>
    <w:lvl w:ilvl="0" w:tentative="0">
      <w:start w:val="1"/>
      <w:numFmt w:val="decimal"/>
      <w:pStyle w:val="32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1"/>
    <w:multiLevelType w:val="multilevel"/>
    <w:tmpl w:val="00000021"/>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3"/>
    <w:multiLevelType w:val="multilevel"/>
    <w:tmpl w:val="00000023"/>
    <w:lvl w:ilvl="0" w:tentative="0">
      <w:start w:val="1"/>
      <w:numFmt w:val="bullet"/>
      <w:pStyle w:val="5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24"/>
    <w:multiLevelType w:val="multilevel"/>
    <w:tmpl w:val="00000024"/>
    <w:lvl w:ilvl="0" w:tentative="0">
      <w:start w:val="1"/>
      <w:numFmt w:val="decimal"/>
      <w:pStyle w:val="47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5"/>
    <w:multiLevelType w:val="multilevel"/>
    <w:tmpl w:val="00000025"/>
    <w:lvl w:ilvl="0" w:tentative="0">
      <w:start w:val="1"/>
      <w:numFmt w:val="bullet"/>
      <w:pStyle w:val="40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9">
    <w:nsid w:val="00000026"/>
    <w:multiLevelType w:val="multilevel"/>
    <w:tmpl w:val="00000026"/>
    <w:lvl w:ilvl="0" w:tentative="0">
      <w:start w:val="1"/>
      <w:numFmt w:val="decimal"/>
      <w:pStyle w:val="5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FAC3886"/>
    <w:multiLevelType w:val="multilevel"/>
    <w:tmpl w:val="1FAC3886"/>
    <w:lvl w:ilvl="0" w:tentative="0">
      <w:start w:val="1"/>
      <w:numFmt w:val="chineseCountingThousand"/>
      <w:pStyle w:val="274"/>
      <w:suff w:val="space"/>
      <w:lvlText w:val="第%1节 "/>
      <w:lvlJc w:val="left"/>
      <w:pPr>
        <w:ind w:left="227" w:hanging="227"/>
      </w:pPr>
      <w:rPr>
        <w:rFonts w:hint="default" w:ascii="Times New Roman" w:hAnsi="Times New Roman" w:eastAsia="华文中宋"/>
        <w:b/>
        <w:i w:val="0"/>
        <w:color w:val="auto"/>
        <w:sz w:val="36"/>
        <w:szCs w:val="36"/>
      </w:rPr>
    </w:lvl>
    <w:lvl w:ilvl="1" w:tentative="0">
      <w:start w:val="1"/>
      <w:numFmt w:val="decimal"/>
      <w:pStyle w:val="278"/>
      <w:isLgl/>
      <w:suff w:val="space"/>
      <w:lvlText w:val="%1.%2"/>
      <w:lvlJc w:val="left"/>
      <w:pPr>
        <w:ind w:left="510" w:hanging="510"/>
      </w:pPr>
      <w:rPr>
        <w:rFonts w:hint="default" w:ascii="Times New Roman" w:hAnsi="Times New Roman" w:eastAsia="微软雅黑"/>
        <w:b/>
        <w:i w:val="0"/>
        <w:color w:val="auto"/>
        <w:sz w:val="32"/>
        <w:szCs w:val="32"/>
      </w:rPr>
    </w:lvl>
    <w:lvl w:ilvl="2" w:tentative="0">
      <w:start w:val="1"/>
      <w:numFmt w:val="decimal"/>
      <w:isLgl/>
      <w:suff w:val="space"/>
      <w:lvlText w:val="%1.%2.%3"/>
      <w:lvlJc w:val="left"/>
      <w:pPr>
        <w:ind w:left="680" w:hanging="680"/>
      </w:pPr>
      <w:rPr>
        <w:rFonts w:hint="default" w:ascii="Times New Roman" w:hAnsi="Times New Roman" w:eastAsia="微软雅黑"/>
        <w:b/>
        <w:i w:val="0"/>
        <w:color w:val="auto"/>
      </w:rPr>
    </w:lvl>
    <w:lvl w:ilvl="3" w:tentative="0">
      <w:start w:val="1"/>
      <w:numFmt w:val="decimal"/>
      <w:isLgl/>
      <w:suff w:val="space"/>
      <w:lvlText w:val="%1.%2.%3.%4"/>
      <w:lvlJc w:val="left"/>
      <w:pPr>
        <w:ind w:left="794" w:hanging="794"/>
      </w:pPr>
      <w:rPr>
        <w:rFonts w:hint="default" w:ascii="Times New Roman" w:hAnsi="Times New Roman"/>
        <w:b/>
        <w:i w:val="0"/>
        <w:color w:val="auto"/>
      </w:rPr>
    </w:lvl>
    <w:lvl w:ilvl="4" w:tentative="0">
      <w:start w:val="1"/>
      <w:numFmt w:val="decimal"/>
      <w:pStyle w:val="287"/>
      <w:isLgl/>
      <w:suff w:val="space"/>
      <w:lvlText w:val="%1.%2.%3.%4.%5"/>
      <w:lvlJc w:val="left"/>
      <w:pPr>
        <w:ind w:left="1008" w:hanging="1008"/>
      </w:pPr>
      <w:rPr>
        <w:rFonts w:hint="default" w:ascii="Times New Roman" w:hAnsi="Times New Roman"/>
        <w:b/>
        <w:i w:val="0"/>
        <w:color w:val="auto"/>
      </w:rPr>
    </w:lvl>
    <w:lvl w:ilvl="5" w:tentative="0">
      <w:start w:val="1"/>
      <w:numFmt w:val="decimal"/>
      <w:isLgl/>
      <w:suff w:val="space"/>
      <w:lvlText w:val="%1.%2.%3.%4.%5.%6"/>
      <w:lvlJc w:val="left"/>
      <w:pPr>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21">
    <w:nsid w:val="3F43EE7E"/>
    <w:multiLevelType w:val="singleLevel"/>
    <w:tmpl w:val="3F43EE7E"/>
    <w:lvl w:ilvl="0" w:tentative="0">
      <w:start w:val="1"/>
      <w:numFmt w:val="chineseCounting"/>
      <w:suff w:val="nothing"/>
      <w:lvlText w:val="%1、"/>
      <w:lvlJc w:val="left"/>
      <w:rPr>
        <w:rFonts w:hint="eastAsia"/>
      </w:rPr>
    </w:lvl>
  </w:abstractNum>
  <w:abstractNum w:abstractNumId="22">
    <w:nsid w:val="7BB655B3"/>
    <w:multiLevelType w:val="multilevel"/>
    <w:tmpl w:val="7BB655B3"/>
    <w:lvl w:ilvl="0" w:tentative="0">
      <w:start w:val="1"/>
      <w:numFmt w:val="decimalZero"/>
      <w:pStyle w:val="260"/>
      <w:lvlText w:val="图%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1"/>
  </w:num>
  <w:num w:numId="5">
    <w:abstractNumId w:val="15"/>
  </w:num>
  <w:num w:numId="6">
    <w:abstractNumId w:val="3"/>
  </w:num>
  <w:num w:numId="7">
    <w:abstractNumId w:val="13"/>
  </w:num>
  <w:num w:numId="8">
    <w:abstractNumId w:val="22"/>
  </w:num>
  <w:num w:numId="9">
    <w:abstractNumId w:val="20"/>
  </w:num>
  <w:num w:numId="10">
    <w:abstractNumId w:val="9"/>
  </w:num>
  <w:num w:numId="11">
    <w:abstractNumId w:val="14"/>
  </w:num>
  <w:num w:numId="12">
    <w:abstractNumId w:val="12"/>
  </w:num>
  <w:num w:numId="13">
    <w:abstractNumId w:val="18"/>
  </w:num>
  <w:num w:numId="14">
    <w:abstractNumId w:val="11"/>
  </w:num>
  <w:num w:numId="15">
    <w:abstractNumId w:val="17"/>
  </w:num>
  <w:num w:numId="16">
    <w:abstractNumId w:val="10"/>
  </w:num>
  <w:num w:numId="17">
    <w:abstractNumId w:val="16"/>
  </w:num>
  <w:num w:numId="18">
    <w:abstractNumId w:val="19"/>
  </w:num>
  <w:num w:numId="19">
    <w:abstractNumId w:val="7"/>
  </w:num>
  <w:num w:numId="20">
    <w:abstractNumId w:val="2"/>
  </w:num>
  <w:num w:numId="21">
    <w:abstractNumId w:val="6"/>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5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67"/>
    <w:rsid w:val="00004380"/>
    <w:rsid w:val="000045AA"/>
    <w:rsid w:val="00007203"/>
    <w:rsid w:val="00007DCD"/>
    <w:rsid w:val="00011F62"/>
    <w:rsid w:val="00015457"/>
    <w:rsid w:val="00021D32"/>
    <w:rsid w:val="00024739"/>
    <w:rsid w:val="000250CA"/>
    <w:rsid w:val="000270C7"/>
    <w:rsid w:val="00027692"/>
    <w:rsid w:val="000354B0"/>
    <w:rsid w:val="000479BD"/>
    <w:rsid w:val="00053CAC"/>
    <w:rsid w:val="00054BE6"/>
    <w:rsid w:val="00064CF4"/>
    <w:rsid w:val="000721C4"/>
    <w:rsid w:val="00072C7C"/>
    <w:rsid w:val="000735C8"/>
    <w:rsid w:val="00073C24"/>
    <w:rsid w:val="00074928"/>
    <w:rsid w:val="000808AD"/>
    <w:rsid w:val="00085ED0"/>
    <w:rsid w:val="00090492"/>
    <w:rsid w:val="0009799A"/>
    <w:rsid w:val="000A09D5"/>
    <w:rsid w:val="000A2AC4"/>
    <w:rsid w:val="000A411C"/>
    <w:rsid w:val="000A5AB3"/>
    <w:rsid w:val="000B22FD"/>
    <w:rsid w:val="000B432E"/>
    <w:rsid w:val="000C0D78"/>
    <w:rsid w:val="000C5EC5"/>
    <w:rsid w:val="000C72E8"/>
    <w:rsid w:val="000C7944"/>
    <w:rsid w:val="000D3B39"/>
    <w:rsid w:val="000D3EEE"/>
    <w:rsid w:val="000D424F"/>
    <w:rsid w:val="000D69C8"/>
    <w:rsid w:val="000E2F9A"/>
    <w:rsid w:val="000E5323"/>
    <w:rsid w:val="000E658F"/>
    <w:rsid w:val="000F0FBA"/>
    <w:rsid w:val="000F51CC"/>
    <w:rsid w:val="001000A7"/>
    <w:rsid w:val="00101C97"/>
    <w:rsid w:val="00103989"/>
    <w:rsid w:val="00103D50"/>
    <w:rsid w:val="00113FF3"/>
    <w:rsid w:val="00114244"/>
    <w:rsid w:val="0011657C"/>
    <w:rsid w:val="001166D7"/>
    <w:rsid w:val="001208EB"/>
    <w:rsid w:val="00130813"/>
    <w:rsid w:val="00136A19"/>
    <w:rsid w:val="001401F6"/>
    <w:rsid w:val="00143A5B"/>
    <w:rsid w:val="0014542A"/>
    <w:rsid w:val="00147E11"/>
    <w:rsid w:val="0015243B"/>
    <w:rsid w:val="00154300"/>
    <w:rsid w:val="00155093"/>
    <w:rsid w:val="0015528D"/>
    <w:rsid w:val="001601B9"/>
    <w:rsid w:val="00167A30"/>
    <w:rsid w:val="001738BA"/>
    <w:rsid w:val="00173B24"/>
    <w:rsid w:val="0017457F"/>
    <w:rsid w:val="00174D4A"/>
    <w:rsid w:val="00175EAC"/>
    <w:rsid w:val="0017768D"/>
    <w:rsid w:val="00182168"/>
    <w:rsid w:val="00182AAA"/>
    <w:rsid w:val="00184AB0"/>
    <w:rsid w:val="00185638"/>
    <w:rsid w:val="001A3919"/>
    <w:rsid w:val="001A712C"/>
    <w:rsid w:val="001A718C"/>
    <w:rsid w:val="001B3558"/>
    <w:rsid w:val="001B680F"/>
    <w:rsid w:val="001B6BC0"/>
    <w:rsid w:val="001C2BE5"/>
    <w:rsid w:val="001C3E55"/>
    <w:rsid w:val="001E3AAC"/>
    <w:rsid w:val="001E4BF9"/>
    <w:rsid w:val="001E7727"/>
    <w:rsid w:val="001F27C4"/>
    <w:rsid w:val="001F29D1"/>
    <w:rsid w:val="001F53C0"/>
    <w:rsid w:val="002027A6"/>
    <w:rsid w:val="0020786F"/>
    <w:rsid w:val="00211E53"/>
    <w:rsid w:val="00226230"/>
    <w:rsid w:val="002316D1"/>
    <w:rsid w:val="00231CC8"/>
    <w:rsid w:val="00237C5E"/>
    <w:rsid w:val="002454DF"/>
    <w:rsid w:val="002515D2"/>
    <w:rsid w:val="0025206F"/>
    <w:rsid w:val="00257216"/>
    <w:rsid w:val="00276943"/>
    <w:rsid w:val="002808FF"/>
    <w:rsid w:val="0028783E"/>
    <w:rsid w:val="00290119"/>
    <w:rsid w:val="0029078C"/>
    <w:rsid w:val="0029392F"/>
    <w:rsid w:val="00293B36"/>
    <w:rsid w:val="002A0B26"/>
    <w:rsid w:val="002A2CDF"/>
    <w:rsid w:val="002A5CE5"/>
    <w:rsid w:val="002B1A05"/>
    <w:rsid w:val="002C0459"/>
    <w:rsid w:val="002C1558"/>
    <w:rsid w:val="002C1CB0"/>
    <w:rsid w:val="002C2840"/>
    <w:rsid w:val="002C7C34"/>
    <w:rsid w:val="002C7C8F"/>
    <w:rsid w:val="002D3FB1"/>
    <w:rsid w:val="002D7C28"/>
    <w:rsid w:val="002E6A90"/>
    <w:rsid w:val="002E79FA"/>
    <w:rsid w:val="002F1882"/>
    <w:rsid w:val="002F438A"/>
    <w:rsid w:val="002F5C5F"/>
    <w:rsid w:val="00301FBE"/>
    <w:rsid w:val="0030772F"/>
    <w:rsid w:val="00311B33"/>
    <w:rsid w:val="0031237F"/>
    <w:rsid w:val="003139CB"/>
    <w:rsid w:val="003159E0"/>
    <w:rsid w:val="00316FCC"/>
    <w:rsid w:val="0032299C"/>
    <w:rsid w:val="0032481E"/>
    <w:rsid w:val="00324AE3"/>
    <w:rsid w:val="00330C0B"/>
    <w:rsid w:val="003357B2"/>
    <w:rsid w:val="003416A8"/>
    <w:rsid w:val="00344FF7"/>
    <w:rsid w:val="003453E9"/>
    <w:rsid w:val="00347AF0"/>
    <w:rsid w:val="00350CD8"/>
    <w:rsid w:val="0035360E"/>
    <w:rsid w:val="00354935"/>
    <w:rsid w:val="00362D56"/>
    <w:rsid w:val="003678D8"/>
    <w:rsid w:val="00370D52"/>
    <w:rsid w:val="00377427"/>
    <w:rsid w:val="00381338"/>
    <w:rsid w:val="0038443A"/>
    <w:rsid w:val="003864BE"/>
    <w:rsid w:val="00391477"/>
    <w:rsid w:val="00395855"/>
    <w:rsid w:val="003979F8"/>
    <w:rsid w:val="003A06FF"/>
    <w:rsid w:val="003A5466"/>
    <w:rsid w:val="003A692E"/>
    <w:rsid w:val="003B0936"/>
    <w:rsid w:val="003B523F"/>
    <w:rsid w:val="003B7392"/>
    <w:rsid w:val="003E425D"/>
    <w:rsid w:val="003E5ACD"/>
    <w:rsid w:val="003E6D8C"/>
    <w:rsid w:val="003E7DE3"/>
    <w:rsid w:val="003F58F5"/>
    <w:rsid w:val="003F7B95"/>
    <w:rsid w:val="00401008"/>
    <w:rsid w:val="00406144"/>
    <w:rsid w:val="004133F5"/>
    <w:rsid w:val="00422504"/>
    <w:rsid w:val="0043043F"/>
    <w:rsid w:val="004318FB"/>
    <w:rsid w:val="00436AC6"/>
    <w:rsid w:val="00437CE8"/>
    <w:rsid w:val="0044026B"/>
    <w:rsid w:val="00441BB5"/>
    <w:rsid w:val="004426CC"/>
    <w:rsid w:val="004472DE"/>
    <w:rsid w:val="00451BE9"/>
    <w:rsid w:val="00452EB3"/>
    <w:rsid w:val="0045786B"/>
    <w:rsid w:val="004640C2"/>
    <w:rsid w:val="00467BF6"/>
    <w:rsid w:val="00472340"/>
    <w:rsid w:val="00472A11"/>
    <w:rsid w:val="00474C9F"/>
    <w:rsid w:val="00474FCB"/>
    <w:rsid w:val="00483918"/>
    <w:rsid w:val="00483E0E"/>
    <w:rsid w:val="00484F30"/>
    <w:rsid w:val="004A01BE"/>
    <w:rsid w:val="004A5B14"/>
    <w:rsid w:val="004B156F"/>
    <w:rsid w:val="004B26DE"/>
    <w:rsid w:val="004B2DD7"/>
    <w:rsid w:val="004B3C94"/>
    <w:rsid w:val="004C2A41"/>
    <w:rsid w:val="004C2A6A"/>
    <w:rsid w:val="004C54F6"/>
    <w:rsid w:val="004C60ED"/>
    <w:rsid w:val="004C7664"/>
    <w:rsid w:val="004E52E2"/>
    <w:rsid w:val="004F29CE"/>
    <w:rsid w:val="004F7161"/>
    <w:rsid w:val="00505485"/>
    <w:rsid w:val="00510F9A"/>
    <w:rsid w:val="00511C9B"/>
    <w:rsid w:val="00523FD4"/>
    <w:rsid w:val="00525C44"/>
    <w:rsid w:val="005270EC"/>
    <w:rsid w:val="0052739F"/>
    <w:rsid w:val="0053250F"/>
    <w:rsid w:val="00537612"/>
    <w:rsid w:val="00553BB0"/>
    <w:rsid w:val="0055498F"/>
    <w:rsid w:val="00562ECC"/>
    <w:rsid w:val="00566085"/>
    <w:rsid w:val="00576C20"/>
    <w:rsid w:val="00576F7F"/>
    <w:rsid w:val="00585978"/>
    <w:rsid w:val="00586A12"/>
    <w:rsid w:val="00592C4C"/>
    <w:rsid w:val="005A635E"/>
    <w:rsid w:val="005B10BA"/>
    <w:rsid w:val="005B1913"/>
    <w:rsid w:val="005B560A"/>
    <w:rsid w:val="005C2514"/>
    <w:rsid w:val="005C5906"/>
    <w:rsid w:val="005C5AEB"/>
    <w:rsid w:val="005C7822"/>
    <w:rsid w:val="005E1B80"/>
    <w:rsid w:val="005E2C09"/>
    <w:rsid w:val="005E3AA2"/>
    <w:rsid w:val="005E3D2A"/>
    <w:rsid w:val="005F422D"/>
    <w:rsid w:val="00604328"/>
    <w:rsid w:val="006064AF"/>
    <w:rsid w:val="006157D9"/>
    <w:rsid w:val="00617DA0"/>
    <w:rsid w:val="00621C41"/>
    <w:rsid w:val="00622579"/>
    <w:rsid w:val="006259A4"/>
    <w:rsid w:val="00626366"/>
    <w:rsid w:val="00631E63"/>
    <w:rsid w:val="00637557"/>
    <w:rsid w:val="00642F24"/>
    <w:rsid w:val="00655FCB"/>
    <w:rsid w:val="00665B7C"/>
    <w:rsid w:val="00665BC3"/>
    <w:rsid w:val="006818AA"/>
    <w:rsid w:val="0068331E"/>
    <w:rsid w:val="00683A55"/>
    <w:rsid w:val="00683DC6"/>
    <w:rsid w:val="006912C0"/>
    <w:rsid w:val="006A0AB7"/>
    <w:rsid w:val="006A0E32"/>
    <w:rsid w:val="006A16A9"/>
    <w:rsid w:val="006A7601"/>
    <w:rsid w:val="006A7996"/>
    <w:rsid w:val="006B604D"/>
    <w:rsid w:val="006B647A"/>
    <w:rsid w:val="006B7CE3"/>
    <w:rsid w:val="006B7F05"/>
    <w:rsid w:val="006C3F87"/>
    <w:rsid w:val="006C6B6B"/>
    <w:rsid w:val="006C733C"/>
    <w:rsid w:val="006D0602"/>
    <w:rsid w:val="006D3BF5"/>
    <w:rsid w:val="006D5B81"/>
    <w:rsid w:val="006F2839"/>
    <w:rsid w:val="006F7A50"/>
    <w:rsid w:val="00702A3E"/>
    <w:rsid w:val="007071A9"/>
    <w:rsid w:val="00711AD0"/>
    <w:rsid w:val="00714710"/>
    <w:rsid w:val="00715AA0"/>
    <w:rsid w:val="0072003F"/>
    <w:rsid w:val="00720A03"/>
    <w:rsid w:val="00721B25"/>
    <w:rsid w:val="0072292A"/>
    <w:rsid w:val="007308C1"/>
    <w:rsid w:val="00730F68"/>
    <w:rsid w:val="00736633"/>
    <w:rsid w:val="007642E7"/>
    <w:rsid w:val="007718E6"/>
    <w:rsid w:val="00780A2A"/>
    <w:rsid w:val="00783059"/>
    <w:rsid w:val="00784AEB"/>
    <w:rsid w:val="00785820"/>
    <w:rsid w:val="00790D20"/>
    <w:rsid w:val="00793E36"/>
    <w:rsid w:val="007943E8"/>
    <w:rsid w:val="00796B64"/>
    <w:rsid w:val="007A734F"/>
    <w:rsid w:val="007B03DE"/>
    <w:rsid w:val="007B29A2"/>
    <w:rsid w:val="007B365B"/>
    <w:rsid w:val="007B6C26"/>
    <w:rsid w:val="007C0C76"/>
    <w:rsid w:val="007C1064"/>
    <w:rsid w:val="007C1913"/>
    <w:rsid w:val="007C4B9A"/>
    <w:rsid w:val="007C6CAB"/>
    <w:rsid w:val="007D438D"/>
    <w:rsid w:val="007D4C14"/>
    <w:rsid w:val="007E18B9"/>
    <w:rsid w:val="007E5DB9"/>
    <w:rsid w:val="007F27A7"/>
    <w:rsid w:val="007F5D41"/>
    <w:rsid w:val="007F613E"/>
    <w:rsid w:val="007F63E4"/>
    <w:rsid w:val="007F742C"/>
    <w:rsid w:val="00800B7E"/>
    <w:rsid w:val="008028CF"/>
    <w:rsid w:val="00820B3B"/>
    <w:rsid w:val="008221E6"/>
    <w:rsid w:val="00826883"/>
    <w:rsid w:val="0083260E"/>
    <w:rsid w:val="00834326"/>
    <w:rsid w:val="00834454"/>
    <w:rsid w:val="00843AF8"/>
    <w:rsid w:val="00844116"/>
    <w:rsid w:val="00844EBD"/>
    <w:rsid w:val="00851797"/>
    <w:rsid w:val="00854C69"/>
    <w:rsid w:val="0087147B"/>
    <w:rsid w:val="00875DB8"/>
    <w:rsid w:val="00883298"/>
    <w:rsid w:val="00887027"/>
    <w:rsid w:val="00890C39"/>
    <w:rsid w:val="00891167"/>
    <w:rsid w:val="008937F0"/>
    <w:rsid w:val="00893F9D"/>
    <w:rsid w:val="008A3D44"/>
    <w:rsid w:val="008B0D6A"/>
    <w:rsid w:val="008C0A41"/>
    <w:rsid w:val="008C6B1A"/>
    <w:rsid w:val="008D139C"/>
    <w:rsid w:val="008E4B52"/>
    <w:rsid w:val="008E7F10"/>
    <w:rsid w:val="008F2654"/>
    <w:rsid w:val="008F6980"/>
    <w:rsid w:val="008F6DBD"/>
    <w:rsid w:val="00901872"/>
    <w:rsid w:val="00901D3C"/>
    <w:rsid w:val="00902464"/>
    <w:rsid w:val="009045EF"/>
    <w:rsid w:val="0091223A"/>
    <w:rsid w:val="00916746"/>
    <w:rsid w:val="00921E8C"/>
    <w:rsid w:val="00925C55"/>
    <w:rsid w:val="00927498"/>
    <w:rsid w:val="00932C5B"/>
    <w:rsid w:val="009360D0"/>
    <w:rsid w:val="00942D3B"/>
    <w:rsid w:val="00947ED0"/>
    <w:rsid w:val="009511AB"/>
    <w:rsid w:val="009522E4"/>
    <w:rsid w:val="009545C2"/>
    <w:rsid w:val="009577A9"/>
    <w:rsid w:val="00960E1B"/>
    <w:rsid w:val="0096274F"/>
    <w:rsid w:val="00963512"/>
    <w:rsid w:val="0097160C"/>
    <w:rsid w:val="0097582C"/>
    <w:rsid w:val="009810D6"/>
    <w:rsid w:val="00983444"/>
    <w:rsid w:val="0098428F"/>
    <w:rsid w:val="00984E85"/>
    <w:rsid w:val="00984F15"/>
    <w:rsid w:val="00986379"/>
    <w:rsid w:val="0098799F"/>
    <w:rsid w:val="009928A9"/>
    <w:rsid w:val="00997A80"/>
    <w:rsid w:val="009A328D"/>
    <w:rsid w:val="009A3973"/>
    <w:rsid w:val="009B22BA"/>
    <w:rsid w:val="009B2D78"/>
    <w:rsid w:val="009C1F72"/>
    <w:rsid w:val="009C4706"/>
    <w:rsid w:val="009C70D0"/>
    <w:rsid w:val="009D21E6"/>
    <w:rsid w:val="009D2357"/>
    <w:rsid w:val="009D5E34"/>
    <w:rsid w:val="009E4F6F"/>
    <w:rsid w:val="00A062A2"/>
    <w:rsid w:val="00A1276D"/>
    <w:rsid w:val="00A12961"/>
    <w:rsid w:val="00A13971"/>
    <w:rsid w:val="00A148A4"/>
    <w:rsid w:val="00A2104D"/>
    <w:rsid w:val="00A238BA"/>
    <w:rsid w:val="00A324D6"/>
    <w:rsid w:val="00A34081"/>
    <w:rsid w:val="00A342C2"/>
    <w:rsid w:val="00A36313"/>
    <w:rsid w:val="00A366A4"/>
    <w:rsid w:val="00A36F4A"/>
    <w:rsid w:val="00A42179"/>
    <w:rsid w:val="00A43BDE"/>
    <w:rsid w:val="00A63520"/>
    <w:rsid w:val="00A6388B"/>
    <w:rsid w:val="00A645C5"/>
    <w:rsid w:val="00A648DA"/>
    <w:rsid w:val="00A65135"/>
    <w:rsid w:val="00A719CA"/>
    <w:rsid w:val="00A74472"/>
    <w:rsid w:val="00A83CA1"/>
    <w:rsid w:val="00A85500"/>
    <w:rsid w:val="00A87DF2"/>
    <w:rsid w:val="00A919F4"/>
    <w:rsid w:val="00AA0266"/>
    <w:rsid w:val="00AA1F25"/>
    <w:rsid w:val="00AA1FB1"/>
    <w:rsid w:val="00AA3486"/>
    <w:rsid w:val="00AA5C07"/>
    <w:rsid w:val="00AA64C0"/>
    <w:rsid w:val="00AB2D50"/>
    <w:rsid w:val="00AB440C"/>
    <w:rsid w:val="00AB5264"/>
    <w:rsid w:val="00AB6CED"/>
    <w:rsid w:val="00AB7759"/>
    <w:rsid w:val="00AC42A1"/>
    <w:rsid w:val="00AC4CD2"/>
    <w:rsid w:val="00AC5FBA"/>
    <w:rsid w:val="00AD3A98"/>
    <w:rsid w:val="00AD66EA"/>
    <w:rsid w:val="00AD7197"/>
    <w:rsid w:val="00AE7008"/>
    <w:rsid w:val="00B04898"/>
    <w:rsid w:val="00B07D0B"/>
    <w:rsid w:val="00B1293A"/>
    <w:rsid w:val="00B15E12"/>
    <w:rsid w:val="00B17750"/>
    <w:rsid w:val="00B20AD0"/>
    <w:rsid w:val="00B35453"/>
    <w:rsid w:val="00B37B32"/>
    <w:rsid w:val="00B400F4"/>
    <w:rsid w:val="00B40ABB"/>
    <w:rsid w:val="00B4310B"/>
    <w:rsid w:val="00B45D17"/>
    <w:rsid w:val="00B563BD"/>
    <w:rsid w:val="00B600E6"/>
    <w:rsid w:val="00B60CDA"/>
    <w:rsid w:val="00B62221"/>
    <w:rsid w:val="00B63EE0"/>
    <w:rsid w:val="00B6469B"/>
    <w:rsid w:val="00B726C5"/>
    <w:rsid w:val="00B84049"/>
    <w:rsid w:val="00B8518F"/>
    <w:rsid w:val="00BA2F77"/>
    <w:rsid w:val="00BA31C9"/>
    <w:rsid w:val="00BA6707"/>
    <w:rsid w:val="00BA7C41"/>
    <w:rsid w:val="00BA7C99"/>
    <w:rsid w:val="00BB005F"/>
    <w:rsid w:val="00BB735A"/>
    <w:rsid w:val="00BC44F6"/>
    <w:rsid w:val="00BC736F"/>
    <w:rsid w:val="00BD105E"/>
    <w:rsid w:val="00BD6F6A"/>
    <w:rsid w:val="00BD7327"/>
    <w:rsid w:val="00BF06C5"/>
    <w:rsid w:val="00BF1BA9"/>
    <w:rsid w:val="00BF2F1B"/>
    <w:rsid w:val="00BF34BA"/>
    <w:rsid w:val="00BF3E78"/>
    <w:rsid w:val="00BF4302"/>
    <w:rsid w:val="00BF5E2C"/>
    <w:rsid w:val="00C03ABF"/>
    <w:rsid w:val="00C04FC6"/>
    <w:rsid w:val="00C13ABB"/>
    <w:rsid w:val="00C1425E"/>
    <w:rsid w:val="00C143A5"/>
    <w:rsid w:val="00C1473B"/>
    <w:rsid w:val="00C15136"/>
    <w:rsid w:val="00C17C5D"/>
    <w:rsid w:val="00C24236"/>
    <w:rsid w:val="00C24EA3"/>
    <w:rsid w:val="00C25EAB"/>
    <w:rsid w:val="00C36001"/>
    <w:rsid w:val="00C40E39"/>
    <w:rsid w:val="00C42FD6"/>
    <w:rsid w:val="00C4313E"/>
    <w:rsid w:val="00C450C6"/>
    <w:rsid w:val="00C500B2"/>
    <w:rsid w:val="00C549ED"/>
    <w:rsid w:val="00C64A97"/>
    <w:rsid w:val="00C64EB9"/>
    <w:rsid w:val="00C74BE1"/>
    <w:rsid w:val="00C76090"/>
    <w:rsid w:val="00C808D7"/>
    <w:rsid w:val="00C832A9"/>
    <w:rsid w:val="00C8789B"/>
    <w:rsid w:val="00CA3B58"/>
    <w:rsid w:val="00CA596A"/>
    <w:rsid w:val="00CA6AC1"/>
    <w:rsid w:val="00CC6B10"/>
    <w:rsid w:val="00CD4026"/>
    <w:rsid w:val="00CD6119"/>
    <w:rsid w:val="00CD79AE"/>
    <w:rsid w:val="00CE0D0A"/>
    <w:rsid w:val="00CE3760"/>
    <w:rsid w:val="00CE3E37"/>
    <w:rsid w:val="00CE5014"/>
    <w:rsid w:val="00CE50A0"/>
    <w:rsid w:val="00CE5E38"/>
    <w:rsid w:val="00CF0E8E"/>
    <w:rsid w:val="00CF1034"/>
    <w:rsid w:val="00CF1C7D"/>
    <w:rsid w:val="00CF48C6"/>
    <w:rsid w:val="00D000A7"/>
    <w:rsid w:val="00D00B02"/>
    <w:rsid w:val="00D017E5"/>
    <w:rsid w:val="00D0196E"/>
    <w:rsid w:val="00D07772"/>
    <w:rsid w:val="00D07EDC"/>
    <w:rsid w:val="00D104B0"/>
    <w:rsid w:val="00D1315D"/>
    <w:rsid w:val="00D17506"/>
    <w:rsid w:val="00D205C9"/>
    <w:rsid w:val="00D26D83"/>
    <w:rsid w:val="00D27126"/>
    <w:rsid w:val="00D336F7"/>
    <w:rsid w:val="00D352D4"/>
    <w:rsid w:val="00D36F58"/>
    <w:rsid w:val="00D4539F"/>
    <w:rsid w:val="00D4573C"/>
    <w:rsid w:val="00D61A76"/>
    <w:rsid w:val="00D713CC"/>
    <w:rsid w:val="00D72FC3"/>
    <w:rsid w:val="00D77516"/>
    <w:rsid w:val="00D850F5"/>
    <w:rsid w:val="00D862C9"/>
    <w:rsid w:val="00D95243"/>
    <w:rsid w:val="00DA161E"/>
    <w:rsid w:val="00DA4FE5"/>
    <w:rsid w:val="00DA52C8"/>
    <w:rsid w:val="00DA77CE"/>
    <w:rsid w:val="00DA7AAC"/>
    <w:rsid w:val="00DB1A15"/>
    <w:rsid w:val="00DB2451"/>
    <w:rsid w:val="00DB2729"/>
    <w:rsid w:val="00DB3F96"/>
    <w:rsid w:val="00DC6ECD"/>
    <w:rsid w:val="00DC7906"/>
    <w:rsid w:val="00DD1012"/>
    <w:rsid w:val="00DD76F0"/>
    <w:rsid w:val="00DE05DF"/>
    <w:rsid w:val="00DE0BD7"/>
    <w:rsid w:val="00DE381E"/>
    <w:rsid w:val="00DF0ECB"/>
    <w:rsid w:val="00DF188C"/>
    <w:rsid w:val="00DF665C"/>
    <w:rsid w:val="00E006F5"/>
    <w:rsid w:val="00E00C15"/>
    <w:rsid w:val="00E02FF3"/>
    <w:rsid w:val="00E070A5"/>
    <w:rsid w:val="00E07C09"/>
    <w:rsid w:val="00E12463"/>
    <w:rsid w:val="00E12B58"/>
    <w:rsid w:val="00E13372"/>
    <w:rsid w:val="00E1575B"/>
    <w:rsid w:val="00E163B9"/>
    <w:rsid w:val="00E16F44"/>
    <w:rsid w:val="00E21C01"/>
    <w:rsid w:val="00E23496"/>
    <w:rsid w:val="00E259E5"/>
    <w:rsid w:val="00E25D86"/>
    <w:rsid w:val="00E32EE9"/>
    <w:rsid w:val="00E4289F"/>
    <w:rsid w:val="00E43B5C"/>
    <w:rsid w:val="00E44ADB"/>
    <w:rsid w:val="00E45410"/>
    <w:rsid w:val="00E506DD"/>
    <w:rsid w:val="00E5303D"/>
    <w:rsid w:val="00E54420"/>
    <w:rsid w:val="00E55CFB"/>
    <w:rsid w:val="00E5781A"/>
    <w:rsid w:val="00E607D5"/>
    <w:rsid w:val="00E62470"/>
    <w:rsid w:val="00E64E6A"/>
    <w:rsid w:val="00E82FB7"/>
    <w:rsid w:val="00E862FF"/>
    <w:rsid w:val="00E870E0"/>
    <w:rsid w:val="00EA1BB6"/>
    <w:rsid w:val="00EB6692"/>
    <w:rsid w:val="00EB6B3C"/>
    <w:rsid w:val="00EC06E1"/>
    <w:rsid w:val="00EC3DE8"/>
    <w:rsid w:val="00EC3F25"/>
    <w:rsid w:val="00ED393B"/>
    <w:rsid w:val="00ED4DB5"/>
    <w:rsid w:val="00ED4EBD"/>
    <w:rsid w:val="00EE2FD6"/>
    <w:rsid w:val="00EF074A"/>
    <w:rsid w:val="00EF2C89"/>
    <w:rsid w:val="00EF317A"/>
    <w:rsid w:val="00EF7598"/>
    <w:rsid w:val="00F00BEC"/>
    <w:rsid w:val="00F01566"/>
    <w:rsid w:val="00F04FBA"/>
    <w:rsid w:val="00F075D6"/>
    <w:rsid w:val="00F10EBC"/>
    <w:rsid w:val="00F111E1"/>
    <w:rsid w:val="00F13D2E"/>
    <w:rsid w:val="00F153CA"/>
    <w:rsid w:val="00F15DF0"/>
    <w:rsid w:val="00F1740C"/>
    <w:rsid w:val="00F23DE3"/>
    <w:rsid w:val="00F23E03"/>
    <w:rsid w:val="00F25B57"/>
    <w:rsid w:val="00F32CF6"/>
    <w:rsid w:val="00F338B4"/>
    <w:rsid w:val="00F35D5F"/>
    <w:rsid w:val="00F36CF9"/>
    <w:rsid w:val="00F37480"/>
    <w:rsid w:val="00F37DFB"/>
    <w:rsid w:val="00F40492"/>
    <w:rsid w:val="00F45616"/>
    <w:rsid w:val="00F47CF6"/>
    <w:rsid w:val="00F51937"/>
    <w:rsid w:val="00F51AF0"/>
    <w:rsid w:val="00F5543F"/>
    <w:rsid w:val="00F732B9"/>
    <w:rsid w:val="00F738B4"/>
    <w:rsid w:val="00F761B6"/>
    <w:rsid w:val="00F8037E"/>
    <w:rsid w:val="00F80F77"/>
    <w:rsid w:val="00F8589A"/>
    <w:rsid w:val="00F91D1F"/>
    <w:rsid w:val="00F93A7E"/>
    <w:rsid w:val="00FA180E"/>
    <w:rsid w:val="00FA2C8C"/>
    <w:rsid w:val="00FA2CDF"/>
    <w:rsid w:val="00FA2D1F"/>
    <w:rsid w:val="00FA52D7"/>
    <w:rsid w:val="00FA7794"/>
    <w:rsid w:val="00FB08CA"/>
    <w:rsid w:val="00FB311E"/>
    <w:rsid w:val="00FC0452"/>
    <w:rsid w:val="00FC35F4"/>
    <w:rsid w:val="00FC391F"/>
    <w:rsid w:val="00FD00CD"/>
    <w:rsid w:val="00FD4001"/>
    <w:rsid w:val="00FE086D"/>
    <w:rsid w:val="00FF32B2"/>
    <w:rsid w:val="00FF41E7"/>
    <w:rsid w:val="00FF4539"/>
    <w:rsid w:val="00FF5961"/>
    <w:rsid w:val="00FF74AD"/>
    <w:rsid w:val="045530E0"/>
    <w:rsid w:val="0A3710AE"/>
    <w:rsid w:val="0BE305E2"/>
    <w:rsid w:val="0CA50F9D"/>
    <w:rsid w:val="0EFD643F"/>
    <w:rsid w:val="1341068D"/>
    <w:rsid w:val="1B9238A2"/>
    <w:rsid w:val="1D620625"/>
    <w:rsid w:val="223B33BF"/>
    <w:rsid w:val="2A3648B5"/>
    <w:rsid w:val="2C4E4AAD"/>
    <w:rsid w:val="2D096C76"/>
    <w:rsid w:val="2FEE3691"/>
    <w:rsid w:val="354F3995"/>
    <w:rsid w:val="3E227B84"/>
    <w:rsid w:val="3E515BC2"/>
    <w:rsid w:val="402A7861"/>
    <w:rsid w:val="42B23A71"/>
    <w:rsid w:val="47B01322"/>
    <w:rsid w:val="4CE1016F"/>
    <w:rsid w:val="4DFA03E0"/>
    <w:rsid w:val="521D5C37"/>
    <w:rsid w:val="540F4AA2"/>
    <w:rsid w:val="558A0B6B"/>
    <w:rsid w:val="55B02E5B"/>
    <w:rsid w:val="57D51C53"/>
    <w:rsid w:val="5E70452E"/>
    <w:rsid w:val="63923ACC"/>
    <w:rsid w:val="695B294F"/>
    <w:rsid w:val="6DE9247B"/>
    <w:rsid w:val="6FC14157"/>
    <w:rsid w:val="72EF64CD"/>
    <w:rsid w:val="72FC3715"/>
    <w:rsid w:val="73D37720"/>
    <w:rsid w:val="773329B9"/>
    <w:rsid w:val="79E06EDA"/>
    <w:rsid w:val="7B6B51FA"/>
    <w:rsid w:val="7E96410E"/>
    <w:rsid w:val="7FC5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next w:val="1"/>
    <w:link w:val="76"/>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next w:val="1"/>
    <w:link w:val="77"/>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6">
    <w:name w:val="heading 3"/>
    <w:next w:val="1"/>
    <w:link w:val="78"/>
    <w:qFormat/>
    <w:uiPriority w:val="0"/>
    <w:pPr>
      <w:outlineLvl w:val="2"/>
    </w:pPr>
    <w:rPr>
      <w:rFonts w:ascii="宋体" w:hAnsi="Times New Roman" w:eastAsia="宋体" w:cs="Times New Roman"/>
      <w:b/>
      <w:kern w:val="2"/>
      <w:sz w:val="24"/>
      <w:lang w:val="en-US" w:eastAsia="zh-CN" w:bidi="ar-SA"/>
    </w:rPr>
  </w:style>
  <w:style w:type="paragraph" w:styleId="7">
    <w:name w:val="heading 4"/>
    <w:basedOn w:val="1"/>
    <w:next w:val="1"/>
    <w:link w:val="79"/>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9"/>
    <w:link w:val="80"/>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10">
    <w:name w:val="heading 6"/>
    <w:basedOn w:val="1"/>
    <w:next w:val="1"/>
    <w:link w:val="81"/>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1">
    <w:name w:val="heading 7"/>
    <w:basedOn w:val="1"/>
    <w:next w:val="1"/>
    <w:link w:val="82"/>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2">
    <w:name w:val="heading 8"/>
    <w:basedOn w:val="1"/>
    <w:next w:val="1"/>
    <w:link w:val="83"/>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3">
    <w:name w:val="heading 9"/>
    <w:basedOn w:val="1"/>
    <w:next w:val="1"/>
    <w:link w:val="84"/>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6">
    <w:name w:val="Default Paragraph Font"/>
    <w:qFormat/>
    <w:uiPriority w:val="0"/>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customStyle="1" w:styleId="9">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toc 7"/>
    <w:basedOn w:val="1"/>
    <w:next w:val="1"/>
    <w:qFormat/>
    <w:uiPriority w:val="0"/>
    <w:pPr>
      <w:ind w:left="1440"/>
      <w:jc w:val="left"/>
    </w:pPr>
    <w:rPr>
      <w:rFonts w:ascii="Calibri" w:hAnsi="Calibri"/>
      <w:sz w:val="18"/>
      <w:szCs w:val="18"/>
    </w:rPr>
  </w:style>
  <w:style w:type="paragraph" w:styleId="16">
    <w:name w:val="Note Heading"/>
    <w:basedOn w:val="1"/>
    <w:next w:val="1"/>
    <w:link w:val="85"/>
    <w:qFormat/>
    <w:uiPriority w:val="0"/>
    <w:pPr>
      <w:spacing w:line="240" w:lineRule="auto"/>
      <w:ind w:firstLine="0" w:firstLineChars="0"/>
      <w:jc w:val="center"/>
    </w:pPr>
    <w:rPr>
      <w:sz w:val="21"/>
    </w:rPr>
  </w:style>
  <w:style w:type="paragraph" w:styleId="17">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8">
    <w:name w:val="Normal Indent"/>
    <w:basedOn w:val="1"/>
    <w:link w:val="86"/>
    <w:qFormat/>
    <w:uiPriority w:val="0"/>
    <w:pPr>
      <w:ind w:firstLine="420"/>
    </w:pPr>
    <w:rPr>
      <w:sz w:val="21"/>
    </w:rPr>
  </w:style>
  <w:style w:type="paragraph" w:styleId="19">
    <w:name w:val="caption"/>
    <w:basedOn w:val="1"/>
    <w:next w:val="1"/>
    <w:link w:val="87"/>
    <w:qFormat/>
    <w:uiPriority w:val="0"/>
    <w:pPr>
      <w:adjustRightInd w:val="0"/>
      <w:snapToGrid w:val="0"/>
      <w:spacing w:before="152" w:after="160" w:line="312" w:lineRule="atLeast"/>
      <w:jc w:val="center"/>
      <w:textAlignment w:val="baseline"/>
    </w:pPr>
    <w:rPr>
      <w:rFonts w:ascii="Palatino Linotype" w:hAnsi="Palatino Linotype" w:eastAsia="楷体_GB2312"/>
      <w:b/>
      <w:kern w:val="0"/>
      <w:szCs w:val="21"/>
    </w:rPr>
  </w:style>
  <w:style w:type="paragraph" w:styleId="20">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88"/>
    <w:qFormat/>
    <w:uiPriority w:val="0"/>
    <w:pPr>
      <w:shd w:val="clear" w:color="auto" w:fill="000080"/>
    </w:pPr>
    <w:rPr>
      <w:sz w:val="21"/>
      <w:shd w:val="clear" w:color="auto" w:fill="000080"/>
    </w:rPr>
  </w:style>
  <w:style w:type="paragraph" w:styleId="22">
    <w:name w:val="annotation text"/>
    <w:basedOn w:val="1"/>
    <w:link w:val="89"/>
    <w:qFormat/>
    <w:uiPriority w:val="0"/>
    <w:pPr>
      <w:jc w:val="left"/>
    </w:pPr>
    <w:rPr>
      <w:sz w:val="21"/>
    </w:rPr>
  </w:style>
  <w:style w:type="paragraph" w:styleId="23">
    <w:name w:val="Body Text 3"/>
    <w:basedOn w:val="1"/>
    <w:link w:val="90"/>
    <w:qFormat/>
    <w:uiPriority w:val="0"/>
    <w:pPr>
      <w:jc w:val="center"/>
    </w:pPr>
    <w:rPr>
      <w:sz w:val="18"/>
      <w:szCs w:val="20"/>
    </w:rPr>
  </w:style>
  <w:style w:type="paragraph" w:styleId="24">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5">
    <w:name w:val="Body Text Indent"/>
    <w:basedOn w:val="1"/>
    <w:link w:val="91"/>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qFormat/>
    <w:uiPriority w:val="0"/>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link w:val="92"/>
    <w:qFormat/>
    <w:uiPriority w:val="0"/>
    <w:rPr>
      <w:rFonts w:ascii="宋体" w:hAnsi="Courier New"/>
      <w:szCs w:val="20"/>
    </w:rPr>
  </w:style>
  <w:style w:type="paragraph" w:styleId="33">
    <w:name w:val="toc 8"/>
    <w:basedOn w:val="1"/>
    <w:next w:val="1"/>
    <w:qFormat/>
    <w:uiPriority w:val="0"/>
    <w:pPr>
      <w:ind w:left="1680"/>
      <w:jc w:val="left"/>
    </w:pPr>
    <w:rPr>
      <w:rFonts w:ascii="Calibri" w:hAnsi="Calibri"/>
      <w:sz w:val="18"/>
      <w:szCs w:val="18"/>
    </w:rPr>
  </w:style>
  <w:style w:type="paragraph" w:styleId="34">
    <w:name w:val="Date"/>
    <w:basedOn w:val="1"/>
    <w:next w:val="1"/>
    <w:link w:val="93"/>
    <w:qFormat/>
    <w:uiPriority w:val="0"/>
    <w:rPr>
      <w:rFonts w:ascii="宋体"/>
      <w:szCs w:val="20"/>
    </w:rPr>
  </w:style>
  <w:style w:type="paragraph" w:styleId="35">
    <w:name w:val="Body Text Indent 2"/>
    <w:basedOn w:val="1"/>
    <w:link w:val="94"/>
    <w:qFormat/>
    <w:uiPriority w:val="0"/>
    <w:pPr>
      <w:spacing w:after="120" w:line="480" w:lineRule="auto"/>
      <w:ind w:left="420" w:leftChars="200"/>
    </w:pPr>
    <w:rPr>
      <w:sz w:val="21"/>
      <w:szCs w:val="20"/>
    </w:rPr>
  </w:style>
  <w:style w:type="paragraph" w:styleId="36">
    <w:name w:val="endnote text"/>
    <w:basedOn w:val="1"/>
    <w:link w:val="95"/>
    <w:qFormat/>
    <w:uiPriority w:val="0"/>
    <w:pPr>
      <w:snapToGrid w:val="0"/>
      <w:spacing w:line="240" w:lineRule="auto"/>
      <w:ind w:firstLine="0" w:firstLineChars="0"/>
      <w:jc w:val="left"/>
    </w:pPr>
    <w:rPr>
      <w:sz w:val="21"/>
    </w:rPr>
  </w:style>
  <w:style w:type="paragraph" w:styleId="37">
    <w:name w:val="Balloon Text"/>
    <w:basedOn w:val="1"/>
    <w:link w:val="96"/>
    <w:qFormat/>
    <w:uiPriority w:val="0"/>
    <w:rPr>
      <w:sz w:val="18"/>
      <w:szCs w:val="18"/>
    </w:rPr>
  </w:style>
  <w:style w:type="paragraph" w:styleId="38">
    <w:name w:val="footer"/>
    <w:basedOn w:val="1"/>
    <w:link w:val="97"/>
    <w:qFormat/>
    <w:uiPriority w:val="0"/>
    <w:pPr>
      <w:tabs>
        <w:tab w:val="center" w:pos="4153"/>
        <w:tab w:val="right" w:pos="8306"/>
      </w:tabs>
      <w:snapToGrid w:val="0"/>
      <w:jc w:val="left"/>
    </w:pPr>
    <w:rPr>
      <w:sz w:val="18"/>
      <w:szCs w:val="20"/>
    </w:rPr>
  </w:style>
  <w:style w:type="paragraph" w:styleId="39">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0"/>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99"/>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100"/>
    <w:qFormat/>
    <w:uiPriority w:val="0"/>
    <w:pPr>
      <w:spacing w:line="360" w:lineRule="auto"/>
      <w:ind w:firstLine="0" w:firstLineChars="0"/>
    </w:pPr>
    <w:rPr>
      <w:sz w:val="18"/>
    </w:rPr>
  </w:style>
  <w:style w:type="paragraph" w:styleId="48">
    <w:name w:val="toc 6"/>
    <w:basedOn w:val="1"/>
    <w:next w:val="1"/>
    <w:qFormat/>
    <w:uiPriority w:val="0"/>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101"/>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0"/>
    <w:pPr>
      <w:ind w:left="1920"/>
      <w:jc w:val="left"/>
    </w:pPr>
    <w:rPr>
      <w:rFonts w:ascii="Calibri" w:hAnsi="Calibri"/>
      <w:sz w:val="18"/>
      <w:szCs w:val="18"/>
    </w:rPr>
  </w:style>
  <w:style w:type="paragraph" w:styleId="54">
    <w:name w:val="Body Text 2"/>
    <w:basedOn w:val="1"/>
    <w:link w:val="102"/>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spacing w:after="120"/>
      <w:ind w:left="1260" w:leftChars="600"/>
    </w:pPr>
    <w:rPr>
      <w:szCs w:val="20"/>
    </w:rPr>
  </w:style>
  <w:style w:type="paragraph" w:styleId="60">
    <w:name w:val="Title"/>
    <w:basedOn w:val="1"/>
    <w:link w:val="104"/>
    <w:qFormat/>
    <w:uiPriority w:val="0"/>
    <w:pPr>
      <w:widowControl/>
      <w:spacing w:after="240" w:line="360" w:lineRule="auto"/>
      <w:jc w:val="center"/>
    </w:pPr>
    <w:rPr>
      <w:rFonts w:ascii="Arial" w:hAnsi="Arial"/>
      <w:b/>
      <w:smallCaps/>
      <w:kern w:val="28"/>
      <w:sz w:val="36"/>
      <w:szCs w:val="20"/>
      <w:lang w:eastAsia="en-US"/>
    </w:rPr>
  </w:style>
  <w:style w:type="paragraph" w:styleId="61">
    <w:name w:val="annotation subject"/>
    <w:basedOn w:val="22"/>
    <w:next w:val="22"/>
    <w:link w:val="105"/>
    <w:qFormat/>
    <w:uiPriority w:val="0"/>
    <w:rPr>
      <w:b/>
      <w:bCs/>
    </w:rPr>
  </w:style>
  <w:style w:type="paragraph" w:styleId="62">
    <w:name w:val="Body Text First Indent"/>
    <w:basedOn w:val="2"/>
    <w:link w:val="106"/>
    <w:qFormat/>
    <w:uiPriority w:val="0"/>
    <w:pPr>
      <w:ind w:firstLine="420" w:firstLineChars="100"/>
    </w:pPr>
  </w:style>
  <w:style w:type="paragraph" w:styleId="63">
    <w:name w:val="Body Text First Indent 2"/>
    <w:basedOn w:val="25"/>
    <w:link w:val="107"/>
    <w:qFormat/>
    <w:uiPriority w:val="0"/>
    <w:pPr>
      <w:tabs>
        <w:tab w:val="clear" w:pos="2160"/>
      </w:tabs>
      <w:spacing w:after="120" w:line="480" w:lineRule="auto"/>
      <w:ind w:left="418" w:leftChars="0" w:firstLine="216"/>
    </w:pPr>
    <w:rPr>
      <w:rFonts w:eastAsia="仿宋_GB2312"/>
      <w:sz w:val="24"/>
    </w:rPr>
  </w:style>
  <w:style w:type="table" w:styleId="65">
    <w:name w:val="Table Grid"/>
    <w:basedOn w:val="6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99"/>
    <w:rPr>
      <w:color w:val="0000FF"/>
      <w:u w:val="single"/>
    </w:rPr>
  </w:style>
  <w:style w:type="character" w:styleId="71">
    <w:name w:val="Emphasis"/>
    <w:qFormat/>
    <w:uiPriority w:val="0"/>
    <w:rPr>
      <w:i/>
    </w:rPr>
  </w:style>
  <w:style w:type="character" w:styleId="72">
    <w:name w:val="Hyperlink"/>
    <w:qFormat/>
    <w:uiPriority w:val="99"/>
    <w:rPr>
      <w:color w:val="000099"/>
      <w:u w:val="non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正文文本 Char1"/>
    <w:link w:val="2"/>
    <w:qFormat/>
    <w:uiPriority w:val="0"/>
    <w:rPr>
      <w:kern w:val="2"/>
      <w:sz w:val="21"/>
      <w:szCs w:val="24"/>
    </w:rPr>
  </w:style>
  <w:style w:type="character" w:customStyle="1" w:styleId="76">
    <w:name w:val="标题 1 Char1"/>
    <w:link w:val="4"/>
    <w:qFormat/>
    <w:uiPriority w:val="0"/>
    <w:rPr>
      <w:rFonts w:ascii="宋体"/>
      <w:b/>
      <w:kern w:val="28"/>
      <w:sz w:val="36"/>
      <w:lang w:val="en-US" w:eastAsia="zh-CN" w:bidi="ar-SA"/>
    </w:rPr>
  </w:style>
  <w:style w:type="character" w:customStyle="1" w:styleId="77">
    <w:name w:val="标题 2 Char"/>
    <w:link w:val="5"/>
    <w:qFormat/>
    <w:uiPriority w:val="0"/>
    <w:rPr>
      <w:rFonts w:ascii="宋体"/>
      <w:b/>
      <w:kern w:val="2"/>
      <w:sz w:val="28"/>
      <w:lang w:val="en-US" w:eastAsia="zh-CN" w:bidi="ar-SA"/>
    </w:rPr>
  </w:style>
  <w:style w:type="character" w:customStyle="1" w:styleId="78">
    <w:name w:val="标题 3 Char1"/>
    <w:link w:val="6"/>
    <w:qFormat/>
    <w:uiPriority w:val="0"/>
    <w:rPr>
      <w:rFonts w:ascii="宋体"/>
      <w:b/>
      <w:kern w:val="2"/>
      <w:sz w:val="24"/>
      <w:lang w:val="en-US" w:eastAsia="zh-CN" w:bidi="ar-SA"/>
    </w:rPr>
  </w:style>
  <w:style w:type="character" w:customStyle="1" w:styleId="79">
    <w:name w:val="标题 4 Char"/>
    <w:link w:val="7"/>
    <w:qFormat/>
    <w:uiPriority w:val="0"/>
    <w:rPr>
      <w:rFonts w:ascii="Arial" w:hAnsi="Arial" w:eastAsia="黑体"/>
      <w:b/>
      <w:bCs/>
      <w:kern w:val="2"/>
      <w:sz w:val="28"/>
      <w:szCs w:val="28"/>
    </w:rPr>
  </w:style>
  <w:style w:type="character" w:customStyle="1" w:styleId="80">
    <w:name w:val="标题 5 Char"/>
    <w:link w:val="8"/>
    <w:qFormat/>
    <w:uiPriority w:val="0"/>
    <w:rPr>
      <w:rFonts w:ascii="Arial" w:hAnsi="Arial" w:eastAsia="楷体_GB2312"/>
      <w:b/>
      <w:sz w:val="24"/>
      <w:szCs w:val="24"/>
    </w:rPr>
  </w:style>
  <w:style w:type="character" w:customStyle="1" w:styleId="81">
    <w:name w:val="标题 6 Char1"/>
    <w:link w:val="10"/>
    <w:qFormat/>
    <w:uiPriority w:val="0"/>
    <w:rPr>
      <w:rFonts w:ascii="Arial" w:hAnsi="Arial" w:eastAsia="黑体"/>
      <w:b/>
      <w:kern w:val="2"/>
      <w:sz w:val="24"/>
    </w:rPr>
  </w:style>
  <w:style w:type="character" w:customStyle="1" w:styleId="82">
    <w:name w:val="标题 7 Char1"/>
    <w:link w:val="11"/>
    <w:qFormat/>
    <w:uiPriority w:val="0"/>
    <w:rPr>
      <w:b/>
      <w:kern w:val="2"/>
      <w:sz w:val="24"/>
    </w:rPr>
  </w:style>
  <w:style w:type="character" w:customStyle="1" w:styleId="83">
    <w:name w:val="标题 8 Char1"/>
    <w:link w:val="12"/>
    <w:qFormat/>
    <w:uiPriority w:val="0"/>
    <w:rPr>
      <w:rFonts w:ascii="Arial" w:hAnsi="Arial" w:eastAsia="黑体"/>
      <w:kern w:val="2"/>
      <w:sz w:val="24"/>
    </w:rPr>
  </w:style>
  <w:style w:type="character" w:customStyle="1" w:styleId="84">
    <w:name w:val="标题 9 Char1"/>
    <w:link w:val="13"/>
    <w:qFormat/>
    <w:uiPriority w:val="0"/>
    <w:rPr>
      <w:rFonts w:ascii="Arial" w:hAnsi="Arial" w:eastAsia="黑体"/>
      <w:kern w:val="2"/>
      <w:sz w:val="24"/>
    </w:rPr>
  </w:style>
  <w:style w:type="character" w:customStyle="1" w:styleId="85">
    <w:name w:val="注释标题 Char"/>
    <w:link w:val="16"/>
    <w:qFormat/>
    <w:uiPriority w:val="0"/>
    <w:rPr>
      <w:kern w:val="2"/>
      <w:sz w:val="21"/>
      <w:szCs w:val="24"/>
      <w:lang w:bidi="ar-SA"/>
    </w:rPr>
  </w:style>
  <w:style w:type="character" w:customStyle="1" w:styleId="86">
    <w:name w:val="正文缩进 Char"/>
    <w:link w:val="18"/>
    <w:qFormat/>
    <w:uiPriority w:val="0"/>
    <w:rPr>
      <w:kern w:val="2"/>
      <w:sz w:val="21"/>
      <w:szCs w:val="24"/>
    </w:rPr>
  </w:style>
  <w:style w:type="character" w:customStyle="1" w:styleId="87">
    <w:name w:val="题注 Char"/>
    <w:link w:val="19"/>
    <w:qFormat/>
    <w:uiPriority w:val="0"/>
    <w:rPr>
      <w:rFonts w:ascii="Palatino Linotype" w:hAnsi="Palatino Linotype" w:eastAsia="楷体_GB2312" w:cs="Arial"/>
      <w:b/>
      <w:sz w:val="24"/>
      <w:szCs w:val="21"/>
    </w:rPr>
  </w:style>
  <w:style w:type="character" w:customStyle="1" w:styleId="88">
    <w:name w:val="文档结构图 Char1"/>
    <w:link w:val="21"/>
    <w:qFormat/>
    <w:uiPriority w:val="0"/>
    <w:rPr>
      <w:kern w:val="2"/>
      <w:sz w:val="21"/>
      <w:szCs w:val="24"/>
      <w:shd w:val="clear" w:color="auto" w:fill="000080"/>
    </w:rPr>
  </w:style>
  <w:style w:type="character" w:customStyle="1" w:styleId="89">
    <w:name w:val="批注文字 Char1"/>
    <w:link w:val="22"/>
    <w:qFormat/>
    <w:uiPriority w:val="0"/>
    <w:rPr>
      <w:kern w:val="2"/>
      <w:sz w:val="21"/>
      <w:szCs w:val="24"/>
    </w:rPr>
  </w:style>
  <w:style w:type="character" w:customStyle="1" w:styleId="90">
    <w:name w:val="正文文本 3 Char1"/>
    <w:link w:val="23"/>
    <w:qFormat/>
    <w:uiPriority w:val="0"/>
    <w:rPr>
      <w:kern w:val="2"/>
      <w:sz w:val="18"/>
    </w:rPr>
  </w:style>
  <w:style w:type="character" w:customStyle="1" w:styleId="91">
    <w:name w:val="正文文本缩进 Char"/>
    <w:link w:val="25"/>
    <w:qFormat/>
    <w:uiPriority w:val="0"/>
    <w:rPr>
      <w:rFonts w:ascii="宋体" w:hAnsi="宋体"/>
      <w:kern w:val="2"/>
      <w:sz w:val="21"/>
      <w:szCs w:val="21"/>
    </w:rPr>
  </w:style>
  <w:style w:type="character" w:customStyle="1" w:styleId="92">
    <w:name w:val="纯文本 Char2"/>
    <w:link w:val="32"/>
    <w:qFormat/>
    <w:uiPriority w:val="0"/>
    <w:rPr>
      <w:rFonts w:ascii="宋体" w:hAnsi="Courier New"/>
      <w:kern w:val="2"/>
      <w:sz w:val="24"/>
    </w:rPr>
  </w:style>
  <w:style w:type="character" w:customStyle="1" w:styleId="93">
    <w:name w:val="日期 Char2"/>
    <w:link w:val="34"/>
    <w:qFormat/>
    <w:uiPriority w:val="0"/>
    <w:rPr>
      <w:rFonts w:ascii="宋体"/>
      <w:kern w:val="2"/>
      <w:sz w:val="24"/>
    </w:rPr>
  </w:style>
  <w:style w:type="character" w:customStyle="1" w:styleId="94">
    <w:name w:val="正文文本缩进 2 Char1"/>
    <w:link w:val="35"/>
    <w:qFormat/>
    <w:uiPriority w:val="0"/>
    <w:rPr>
      <w:kern w:val="2"/>
      <w:sz w:val="21"/>
    </w:rPr>
  </w:style>
  <w:style w:type="character" w:customStyle="1" w:styleId="95">
    <w:name w:val="尾注文本 Char"/>
    <w:link w:val="36"/>
    <w:qFormat/>
    <w:uiPriority w:val="0"/>
    <w:rPr>
      <w:kern w:val="2"/>
      <w:sz w:val="21"/>
      <w:szCs w:val="24"/>
    </w:rPr>
  </w:style>
  <w:style w:type="character" w:customStyle="1" w:styleId="96">
    <w:name w:val="批注框文本 Char1"/>
    <w:link w:val="37"/>
    <w:qFormat/>
    <w:uiPriority w:val="0"/>
    <w:rPr>
      <w:kern w:val="2"/>
      <w:sz w:val="18"/>
      <w:szCs w:val="18"/>
    </w:rPr>
  </w:style>
  <w:style w:type="character" w:customStyle="1" w:styleId="97">
    <w:name w:val="页脚 Char3"/>
    <w:link w:val="38"/>
    <w:qFormat/>
    <w:uiPriority w:val="0"/>
    <w:rPr>
      <w:rFonts w:eastAsia="宋体"/>
      <w:kern w:val="2"/>
      <w:sz w:val="18"/>
      <w:lang w:val="en-US" w:eastAsia="zh-CN" w:bidi="ar-SA"/>
    </w:rPr>
  </w:style>
  <w:style w:type="character" w:customStyle="1" w:styleId="98">
    <w:name w:val="页眉 Char1"/>
    <w:link w:val="39"/>
    <w:qFormat/>
    <w:uiPriority w:val="0"/>
    <w:rPr>
      <w:kern w:val="2"/>
      <w:sz w:val="18"/>
      <w:szCs w:val="18"/>
    </w:rPr>
  </w:style>
  <w:style w:type="character" w:customStyle="1" w:styleId="99">
    <w:name w:val="副标题 Char1"/>
    <w:link w:val="45"/>
    <w:qFormat/>
    <w:uiPriority w:val="0"/>
    <w:rPr>
      <w:rFonts w:ascii="Cambria" w:hAnsi="Cambria"/>
      <w:b/>
      <w:bCs/>
      <w:kern w:val="28"/>
      <w:sz w:val="32"/>
      <w:szCs w:val="32"/>
    </w:rPr>
  </w:style>
  <w:style w:type="character" w:customStyle="1" w:styleId="100">
    <w:name w:val="脚注文本 Char"/>
    <w:link w:val="47"/>
    <w:qFormat/>
    <w:uiPriority w:val="0"/>
    <w:rPr>
      <w:kern w:val="2"/>
      <w:sz w:val="18"/>
      <w:szCs w:val="24"/>
      <w:lang w:bidi="ar-SA"/>
    </w:rPr>
  </w:style>
  <w:style w:type="character" w:customStyle="1" w:styleId="101">
    <w:name w:val="正文文本缩进 3 Char1"/>
    <w:link w:val="50"/>
    <w:qFormat/>
    <w:uiPriority w:val="0"/>
    <w:rPr>
      <w:kern w:val="2"/>
      <w:sz w:val="16"/>
    </w:rPr>
  </w:style>
  <w:style w:type="character" w:customStyle="1" w:styleId="102">
    <w:name w:val="正文文本 2 Char1"/>
    <w:link w:val="54"/>
    <w:qFormat/>
    <w:uiPriority w:val="0"/>
    <w:rPr>
      <w:kern w:val="2"/>
      <w:sz w:val="21"/>
    </w:rPr>
  </w:style>
  <w:style w:type="character" w:customStyle="1" w:styleId="103">
    <w:name w:val="HTML 预设格式 Char1"/>
    <w:link w:val="57"/>
    <w:qFormat/>
    <w:uiPriority w:val="0"/>
    <w:rPr>
      <w:rFonts w:ascii="宋体" w:hAnsi="宋体" w:cs="宋体"/>
      <w:sz w:val="24"/>
      <w:szCs w:val="24"/>
    </w:rPr>
  </w:style>
  <w:style w:type="character" w:customStyle="1" w:styleId="104">
    <w:name w:val="标题 Char1"/>
    <w:link w:val="60"/>
    <w:qFormat/>
    <w:uiPriority w:val="0"/>
    <w:rPr>
      <w:rFonts w:ascii="Arial" w:hAnsi="Arial"/>
      <w:b/>
      <w:smallCaps/>
      <w:kern w:val="28"/>
      <w:sz w:val="36"/>
      <w:lang w:eastAsia="en-US"/>
    </w:rPr>
  </w:style>
  <w:style w:type="character" w:customStyle="1" w:styleId="105">
    <w:name w:val="批注主题 Char1"/>
    <w:link w:val="61"/>
    <w:qFormat/>
    <w:uiPriority w:val="0"/>
    <w:rPr>
      <w:b/>
      <w:bCs/>
      <w:kern w:val="2"/>
      <w:sz w:val="21"/>
      <w:szCs w:val="24"/>
    </w:rPr>
  </w:style>
  <w:style w:type="character" w:customStyle="1" w:styleId="106">
    <w:name w:val="正文首行缩进 Char2"/>
    <w:link w:val="62"/>
    <w:qFormat/>
    <w:uiPriority w:val="0"/>
    <w:rPr>
      <w:rFonts w:eastAsia="宋体"/>
      <w:kern w:val="2"/>
      <w:sz w:val="21"/>
      <w:szCs w:val="24"/>
      <w:lang w:val="en-US" w:eastAsia="zh-CN" w:bidi="ar-SA"/>
    </w:rPr>
  </w:style>
  <w:style w:type="character" w:customStyle="1" w:styleId="107">
    <w:name w:val="正文首行缩进 2 Char1"/>
    <w:link w:val="63"/>
    <w:qFormat/>
    <w:uiPriority w:val="0"/>
    <w:rPr>
      <w:rFonts w:ascii="宋体" w:hAnsi="宋体" w:eastAsia="仿宋_GB2312"/>
      <w:kern w:val="2"/>
      <w:sz w:val="24"/>
      <w:szCs w:val="21"/>
    </w:rPr>
  </w:style>
  <w:style w:type="character" w:customStyle="1" w:styleId="108">
    <w:name w:val="标题 2 Char2"/>
    <w:qFormat/>
    <w:uiPriority w:val="0"/>
    <w:rPr>
      <w:rFonts w:ascii="宋体"/>
      <w:kern w:val="2"/>
      <w:sz w:val="28"/>
    </w:rPr>
  </w:style>
  <w:style w:type="character" w:customStyle="1" w:styleId="109">
    <w:name w:val="h Char Char"/>
    <w:qFormat/>
    <w:uiPriority w:val="0"/>
    <w:rPr>
      <w:kern w:val="2"/>
      <w:sz w:val="18"/>
      <w:szCs w:val="18"/>
    </w:rPr>
  </w:style>
  <w:style w:type="character" w:customStyle="1" w:styleId="110">
    <w:name w:val="param-name param-explain"/>
    <w:basedOn w:val="66"/>
    <w:qFormat/>
    <w:uiPriority w:val="0"/>
  </w:style>
  <w:style w:type="character" w:customStyle="1" w:styleId="111">
    <w:name w:val="明显引用 Char"/>
    <w:link w:val="112"/>
    <w:qFormat/>
    <w:uiPriority w:val="0"/>
    <w:rPr>
      <w:rFonts w:ascii="Calibri" w:hAnsi="Calibri"/>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character" w:customStyle="1" w:styleId="113">
    <w:name w:val="style21"/>
    <w:qFormat/>
    <w:uiPriority w:val="0"/>
    <w:rPr>
      <w:sz w:val="21"/>
      <w:szCs w:val="21"/>
    </w:rPr>
  </w:style>
  <w:style w:type="character" w:customStyle="1" w:styleId="114">
    <w:name w:val=" Char Char6"/>
    <w:qFormat/>
    <w:uiPriority w:val="0"/>
    <w:rPr>
      <w:rFonts w:ascii="Arial" w:hAnsi="Arial" w:eastAsia="黑体"/>
      <w:b/>
      <w:bCs/>
      <w:kern w:val="2"/>
      <w:sz w:val="32"/>
      <w:szCs w:val="32"/>
      <w:lang w:val="en-US" w:eastAsia="zh-CN" w:bidi="ar-SA"/>
    </w:rPr>
  </w:style>
  <w:style w:type="character" w:customStyle="1" w:styleId="115">
    <w:name w:val="批注主题 Char"/>
    <w:qFormat/>
    <w:uiPriority w:val="0"/>
    <w:rPr>
      <w:rFonts w:eastAsia="宋体"/>
      <w:b/>
      <w:bCs/>
      <w:kern w:val="2"/>
      <w:sz w:val="21"/>
      <w:szCs w:val="24"/>
      <w:lang w:val="en-US" w:eastAsia="zh-CN" w:bidi="ar-SA"/>
    </w:rPr>
  </w:style>
  <w:style w:type="character" w:customStyle="1" w:styleId="116">
    <w:name w:val="font81"/>
    <w:qFormat/>
    <w:uiPriority w:val="0"/>
    <w:rPr>
      <w:rFonts w:hint="eastAsia" w:ascii="宋体" w:hAnsi="宋体" w:eastAsia="宋体" w:cs="宋体"/>
      <w:color w:val="000000"/>
      <w:sz w:val="28"/>
      <w:szCs w:val="28"/>
      <w:u w:val="none"/>
      <w:vertAlign w:val="superscript"/>
    </w:rPr>
  </w:style>
  <w:style w:type="character" w:customStyle="1" w:styleId="117">
    <w:name w:val="ca-82"/>
    <w:basedOn w:val="66"/>
    <w:qFormat/>
    <w:uiPriority w:val="0"/>
  </w:style>
  <w:style w:type="character" w:customStyle="1" w:styleId="118">
    <w:name w:val=" Char Char2"/>
    <w:qFormat/>
    <w:uiPriority w:val="0"/>
    <w:rPr>
      <w:rFonts w:eastAsia="宋体"/>
      <w:kern w:val="2"/>
      <w:sz w:val="18"/>
      <w:szCs w:val="18"/>
      <w:lang w:val="en-US" w:eastAsia="zh-CN" w:bidi="ar-SA"/>
    </w:rPr>
  </w:style>
  <w:style w:type="character" w:customStyle="1" w:styleId="119">
    <w:name w:val="标题5 Char"/>
    <w:link w:val="120"/>
    <w:qFormat/>
    <w:uiPriority w:val="0"/>
    <w:rPr>
      <w:rFonts w:ascii="宋体"/>
      <w:sz w:val="21"/>
      <w:szCs w:val="21"/>
      <w:lang w:bidi="ar-SA"/>
    </w:rPr>
  </w:style>
  <w:style w:type="paragraph" w:customStyle="1" w:styleId="120">
    <w:name w:val="标题5"/>
    <w:basedOn w:val="1"/>
    <w:link w:val="119"/>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21">
    <w:name w:val="无间隔 Char"/>
    <w:link w:val="122"/>
    <w:qFormat/>
    <w:uiPriority w:val="0"/>
    <w:rPr>
      <w:rFonts w:ascii="Calibri" w:hAnsi="Calibri"/>
      <w:sz w:val="24"/>
      <w:szCs w:val="32"/>
      <w:lang w:eastAsia="en-US" w:bidi="en-US"/>
    </w:rPr>
  </w:style>
  <w:style w:type="paragraph" w:styleId="122">
    <w:name w:val="No Spacing"/>
    <w:basedOn w:val="1"/>
    <w:link w:val="12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23">
    <w:name w:val="正文 + 三号 Char"/>
    <w:link w:val="124"/>
    <w:qFormat/>
    <w:uiPriority w:val="0"/>
    <w:rPr>
      <w:kern w:val="2"/>
      <w:sz w:val="21"/>
      <w:szCs w:val="24"/>
      <w:lang w:bidi="ar-SA"/>
    </w:rPr>
  </w:style>
  <w:style w:type="paragraph" w:customStyle="1" w:styleId="124">
    <w:name w:val="正文 + 三号"/>
    <w:basedOn w:val="1"/>
    <w:link w:val="123"/>
    <w:qFormat/>
    <w:uiPriority w:val="0"/>
    <w:pPr>
      <w:spacing w:line="240" w:lineRule="auto"/>
      <w:ind w:firstLine="0" w:firstLineChars="0"/>
    </w:pPr>
    <w:rPr>
      <w:sz w:val="21"/>
    </w:rPr>
  </w:style>
  <w:style w:type="character" w:customStyle="1" w:styleId="125">
    <w:name w:val="newsbg"/>
    <w:basedOn w:val="66"/>
    <w:qFormat/>
    <w:uiPriority w:val="0"/>
  </w:style>
  <w:style w:type="character" w:customStyle="1" w:styleId="126">
    <w:name w:val="Char Char2"/>
    <w:qFormat/>
    <w:uiPriority w:val="0"/>
    <w:rPr>
      <w:rFonts w:eastAsia="宋体"/>
      <w:kern w:val="2"/>
      <w:sz w:val="18"/>
      <w:szCs w:val="18"/>
      <w:lang w:val="en-US" w:eastAsia="zh-CN" w:bidi="ar-SA"/>
    </w:rPr>
  </w:style>
  <w:style w:type="character" w:customStyle="1" w:styleId="127">
    <w:name w:val="apple-converted-space"/>
    <w:basedOn w:val="66"/>
    <w:qFormat/>
    <w:uiPriority w:val="0"/>
  </w:style>
  <w:style w:type="character" w:customStyle="1" w:styleId="128">
    <w:name w:val="PIM 6 Char1"/>
    <w:qFormat/>
    <w:uiPriority w:val="0"/>
    <w:rPr>
      <w:rFonts w:ascii="Arial" w:hAnsi="Arial" w:eastAsia="黑体"/>
      <w:b/>
      <w:kern w:val="2"/>
      <w:sz w:val="24"/>
    </w:rPr>
  </w:style>
  <w:style w:type="character" w:customStyle="1" w:styleId="129">
    <w:name w:val="正文首行缩进 Char"/>
    <w:qFormat/>
    <w:uiPriority w:val="0"/>
    <w:rPr>
      <w:rFonts w:eastAsia="宋体"/>
      <w:kern w:val="2"/>
      <w:sz w:val="21"/>
      <w:szCs w:val="24"/>
      <w:lang w:val="en-US" w:eastAsia="zh-CN" w:bidi="ar-SA"/>
    </w:rPr>
  </w:style>
  <w:style w:type="character" w:customStyle="1" w:styleId="130">
    <w:name w:val="marklong"/>
    <w:qFormat/>
    <w:uiPriority w:val="0"/>
    <w:rPr>
      <w:rFonts w:ascii="宋体" w:hAnsi="宋体" w:eastAsia="宋体"/>
      <w:kern w:val="2"/>
      <w:sz w:val="28"/>
      <w:szCs w:val="28"/>
      <w:lang w:val="en-US" w:eastAsia="zh-CN" w:bidi="ar-SA"/>
    </w:rPr>
  </w:style>
  <w:style w:type="character" w:customStyle="1" w:styleId="131">
    <w:name w:val="content-white1"/>
    <w:qFormat/>
    <w:uiPriority w:val="0"/>
    <w:rPr>
      <w:color w:val="auto"/>
      <w:sz w:val="18"/>
      <w:szCs w:val="18"/>
      <w:u w:val="none"/>
    </w:rPr>
  </w:style>
  <w:style w:type="character" w:customStyle="1" w:styleId="132">
    <w:name w:val="正文文本缩进 3 Char"/>
    <w:qFormat/>
    <w:uiPriority w:val="0"/>
    <w:rPr>
      <w:kern w:val="2"/>
      <w:sz w:val="16"/>
      <w:lang w:bidi="ar-SA"/>
    </w:rPr>
  </w:style>
  <w:style w:type="character" w:customStyle="1" w:styleId="133">
    <w:name w:val="textcontents"/>
    <w:basedOn w:val="66"/>
    <w:qFormat/>
    <w:uiPriority w:val="0"/>
  </w:style>
  <w:style w:type="character" w:customStyle="1" w:styleId="134">
    <w:name w:val="正文文本 3 Char"/>
    <w:qFormat/>
    <w:uiPriority w:val="0"/>
    <w:rPr>
      <w:kern w:val="2"/>
      <w:sz w:val="18"/>
      <w:lang w:bidi="ar-SA"/>
    </w:rPr>
  </w:style>
  <w:style w:type="character" w:customStyle="1" w:styleId="135">
    <w:name w:val="正文首行缩进 Char Char Char Char Char3"/>
    <w:qFormat/>
    <w:uiPriority w:val="0"/>
    <w:rPr>
      <w:rFonts w:eastAsia="宋体"/>
      <w:kern w:val="2"/>
      <w:sz w:val="21"/>
      <w:szCs w:val="24"/>
      <w:lang w:val="en-US" w:eastAsia="zh-CN" w:bidi="ar-SA"/>
    </w:rPr>
  </w:style>
  <w:style w:type="character" w:customStyle="1" w:styleId="136">
    <w:name w:val="Header Char"/>
    <w:qFormat/>
    <w:uiPriority w:val="0"/>
    <w:rPr>
      <w:rFonts w:ascii="Calibri" w:hAnsi="Calibri" w:eastAsia="宋体"/>
      <w:sz w:val="18"/>
      <w:szCs w:val="18"/>
      <w:lang w:val="en-US" w:eastAsia="zh-CN" w:bidi="ar-SA"/>
    </w:rPr>
  </w:style>
  <w:style w:type="character" w:customStyle="1" w:styleId="137">
    <w:name w:val="param-name"/>
    <w:basedOn w:val="66"/>
    <w:qFormat/>
    <w:uiPriority w:val="0"/>
  </w:style>
  <w:style w:type="character" w:customStyle="1" w:styleId="138">
    <w:name w:val="表格文字 Char"/>
    <w:link w:val="139"/>
    <w:qFormat/>
    <w:uiPriority w:val="0"/>
    <w:rPr>
      <w:kern w:val="2"/>
      <w:sz w:val="21"/>
      <w:szCs w:val="24"/>
    </w:rPr>
  </w:style>
  <w:style w:type="paragraph" w:customStyle="1" w:styleId="139">
    <w:name w:val="表格文字"/>
    <w:basedOn w:val="1"/>
    <w:link w:val="138"/>
    <w:qFormat/>
    <w:uiPriority w:val="0"/>
    <w:pPr>
      <w:spacing w:line="360" w:lineRule="auto"/>
      <w:ind w:firstLine="0" w:firstLineChars="0"/>
      <w:jc w:val="left"/>
    </w:pPr>
    <w:rPr>
      <w:sz w:val="21"/>
    </w:rPr>
  </w:style>
  <w:style w:type="character" w:customStyle="1" w:styleId="140">
    <w:name w:val="页脚 Char2"/>
    <w:qFormat/>
    <w:uiPriority w:val="0"/>
    <w:rPr>
      <w:rFonts w:eastAsia="宋体"/>
      <w:kern w:val="2"/>
      <w:sz w:val="18"/>
      <w:lang w:val="en-US" w:eastAsia="zh-CN" w:bidi="ar-SA"/>
    </w:rPr>
  </w:style>
  <w:style w:type="character" w:customStyle="1" w:styleId="141">
    <w:name w:val="Char Char6"/>
    <w:qFormat/>
    <w:uiPriority w:val="0"/>
    <w:rPr>
      <w:rFonts w:ascii="Arial" w:hAnsi="Arial" w:eastAsia="黑体"/>
      <w:b/>
      <w:bCs/>
      <w:kern w:val="2"/>
      <w:sz w:val="32"/>
      <w:szCs w:val="32"/>
      <w:lang w:val="en-US" w:eastAsia="zh-CN" w:bidi="ar-SA"/>
    </w:rPr>
  </w:style>
  <w:style w:type="character" w:customStyle="1" w:styleId="142">
    <w:name w:val="正文首行缩进 Char1"/>
    <w:basedOn w:val="75"/>
    <w:qFormat/>
    <w:uiPriority w:val="0"/>
  </w:style>
  <w:style w:type="character" w:customStyle="1" w:styleId="143">
    <w:name w:val="市检方案标题3 Char1"/>
    <w:qFormat/>
    <w:uiPriority w:val="0"/>
    <w:rPr>
      <w:rFonts w:ascii="宋体"/>
      <w:b/>
      <w:kern w:val="2"/>
      <w:sz w:val="24"/>
      <w:lang w:val="en-US" w:eastAsia="zh-CN" w:bidi="ar-SA"/>
    </w:rPr>
  </w:style>
  <w:style w:type="character" w:customStyle="1" w:styleId="144">
    <w:name w:val="Footer-Even Char2"/>
    <w:qFormat/>
    <w:uiPriority w:val="0"/>
    <w:rPr>
      <w:rFonts w:eastAsia="宋体"/>
      <w:kern w:val="2"/>
      <w:sz w:val="18"/>
      <w:lang w:val="en-US" w:eastAsia="zh-CN" w:bidi="ar-SA"/>
    </w:rPr>
  </w:style>
  <w:style w:type="character" w:customStyle="1" w:styleId="145">
    <w:name w:val="列出段落 Char"/>
    <w:link w:val="146"/>
    <w:qFormat/>
    <w:uiPriority w:val="0"/>
    <w:rPr>
      <w:kern w:val="2"/>
      <w:sz w:val="24"/>
      <w:szCs w:val="24"/>
    </w:rPr>
  </w:style>
  <w:style w:type="paragraph" w:styleId="146">
    <w:name w:val="List Paragraph"/>
    <w:basedOn w:val="1"/>
    <w:link w:val="145"/>
    <w:qFormat/>
    <w:uiPriority w:val="0"/>
    <w:pPr>
      <w:ind w:firstLine="420"/>
    </w:pPr>
  </w:style>
  <w:style w:type="character" w:customStyle="1" w:styleId="147">
    <w:name w:val="标题 1 Char"/>
    <w:qFormat/>
    <w:uiPriority w:val="0"/>
    <w:rPr>
      <w:rFonts w:ascii="宋体" w:eastAsia="黑体"/>
      <w:kern w:val="28"/>
      <w:sz w:val="28"/>
    </w:rPr>
  </w:style>
  <w:style w:type="character" w:customStyle="1" w:styleId="148">
    <w:name w:val="grame"/>
    <w:basedOn w:val="66"/>
    <w:qFormat/>
    <w:uiPriority w:val="0"/>
  </w:style>
  <w:style w:type="character" w:customStyle="1" w:styleId="149">
    <w:name w:val="标题 8 Char"/>
    <w:qFormat/>
    <w:uiPriority w:val="0"/>
    <w:rPr>
      <w:rFonts w:ascii="Arial" w:hAnsi="Arial" w:eastAsia="黑体"/>
      <w:kern w:val="2"/>
      <w:sz w:val="24"/>
      <w:szCs w:val="24"/>
      <w:lang w:val="en-US" w:eastAsia="zh-CN" w:bidi="ar-SA"/>
    </w:rPr>
  </w:style>
  <w:style w:type="character" w:customStyle="1" w:styleId="150">
    <w:name w:val="delimitor"/>
    <w:qFormat/>
    <w:uiPriority w:val="0"/>
  </w:style>
  <w:style w:type="character" w:customStyle="1" w:styleId="151">
    <w:name w:val="Table Text Char1"/>
    <w:qFormat/>
    <w:uiPriority w:val="0"/>
    <w:rPr>
      <w:rFonts w:ascii="Arial" w:hAnsi="Arial" w:eastAsia="宋体" w:cs="Arial"/>
      <w:sz w:val="18"/>
      <w:szCs w:val="18"/>
      <w:lang w:val="en-US" w:eastAsia="zh-CN" w:bidi="ar-SA"/>
    </w:rPr>
  </w:style>
  <w:style w:type="character" w:customStyle="1" w:styleId="152">
    <w:name w:val="不用8 Char2"/>
    <w:qFormat/>
    <w:uiPriority w:val="0"/>
    <w:rPr>
      <w:rFonts w:ascii="Arial" w:hAnsi="Arial" w:eastAsia="黑体"/>
      <w:kern w:val="2"/>
      <w:sz w:val="24"/>
    </w:rPr>
  </w:style>
  <w:style w:type="character" w:customStyle="1" w:styleId="153">
    <w:name w:val="Placeholder Text"/>
    <w:qFormat/>
    <w:uiPriority w:val="0"/>
    <w:rPr>
      <w:color w:val="808080"/>
    </w:rPr>
  </w:style>
  <w:style w:type="character" w:customStyle="1" w:styleId="154">
    <w:name w:val="自定义正文 Char"/>
    <w:link w:val="155"/>
    <w:qFormat/>
    <w:uiPriority w:val="0"/>
    <w:rPr>
      <w:rFonts w:ascii="仿宋_GB2312" w:eastAsia="仿宋_GB2312"/>
      <w:kern w:val="2"/>
      <w:sz w:val="24"/>
      <w:szCs w:val="24"/>
      <w:lang w:bidi="ar-SA"/>
    </w:rPr>
  </w:style>
  <w:style w:type="paragraph" w:customStyle="1" w:styleId="155">
    <w:name w:val="自定义正文"/>
    <w:basedOn w:val="1"/>
    <w:link w:val="154"/>
    <w:qFormat/>
    <w:uiPriority w:val="0"/>
    <w:pPr>
      <w:spacing w:before="120" w:after="60"/>
      <w:jc w:val="left"/>
    </w:pPr>
    <w:rPr>
      <w:rFonts w:ascii="仿宋_GB2312" w:eastAsia="仿宋_GB2312"/>
    </w:rPr>
  </w:style>
  <w:style w:type="character" w:customStyle="1" w:styleId="156">
    <w:name w:val="正文文本 2 Char"/>
    <w:qFormat/>
    <w:uiPriority w:val="0"/>
    <w:rPr>
      <w:kern w:val="2"/>
      <w:sz w:val="21"/>
      <w:lang w:bidi="ar-SA"/>
    </w:rPr>
  </w:style>
  <w:style w:type="character" w:customStyle="1" w:styleId="157">
    <w:name w:val="crowed11"/>
    <w:qFormat/>
    <w:uiPriority w:val="0"/>
    <w:rPr>
      <w:rFonts w:hint="default"/>
      <w:sz w:val="24"/>
      <w:szCs w:val="24"/>
    </w:rPr>
  </w:style>
  <w:style w:type="character" w:customStyle="1" w:styleId="158">
    <w:name w:val="页眉 Char"/>
    <w:qFormat/>
    <w:uiPriority w:val="0"/>
    <w:rPr>
      <w:kern w:val="2"/>
      <w:sz w:val="18"/>
      <w:szCs w:val="18"/>
      <w:lang w:bidi="ar-SA"/>
    </w:rPr>
  </w:style>
  <w:style w:type="character" w:customStyle="1" w:styleId="159">
    <w:name w:val="content1"/>
    <w:qFormat/>
    <w:uiPriority w:val="0"/>
    <w:rPr>
      <w:sz w:val="18"/>
      <w:szCs w:val="18"/>
    </w:rPr>
  </w:style>
  <w:style w:type="character" w:customStyle="1" w:styleId="160">
    <w:name w:val="Table Heading Char Char"/>
    <w:link w:val="161"/>
    <w:qFormat/>
    <w:uiPriority w:val="0"/>
    <w:rPr>
      <w:rFonts w:ascii="Arial" w:hAnsi="Arial" w:eastAsia="黑体"/>
      <w:kern w:val="2"/>
      <w:sz w:val="18"/>
      <w:szCs w:val="18"/>
      <w:lang w:val="en-US" w:eastAsia="zh-CN" w:bidi="ar-SA"/>
    </w:rPr>
  </w:style>
  <w:style w:type="paragraph" w:customStyle="1" w:styleId="161">
    <w:name w:val="Table Heading Char"/>
    <w:link w:val="16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62">
    <w:name w:val="标题 3 Char"/>
    <w:qFormat/>
    <w:uiPriority w:val="0"/>
    <w:rPr>
      <w:rFonts w:ascii="宋体" w:eastAsia="宋体"/>
      <w:kern w:val="2"/>
      <w:sz w:val="28"/>
      <w:szCs w:val="24"/>
      <w:lang w:val="en-US" w:eastAsia="zh-CN" w:bidi="ar-SA"/>
    </w:rPr>
  </w:style>
  <w:style w:type="character" w:customStyle="1" w:styleId="163">
    <w:name w:val="Table Text Char Char Char"/>
    <w:qFormat/>
    <w:uiPriority w:val="0"/>
    <w:rPr>
      <w:rFonts w:ascii="Arial" w:hAnsi="Arial" w:eastAsia="宋体" w:cs="Arial"/>
      <w:sz w:val="18"/>
      <w:szCs w:val="18"/>
      <w:lang w:val="en-US" w:eastAsia="zh-CN" w:bidi="ar-SA"/>
    </w:rPr>
  </w:style>
  <w:style w:type="character" w:customStyle="1" w:styleId="164">
    <w:name w:val="H3 Char1"/>
    <w:qFormat/>
    <w:uiPriority w:val="0"/>
    <w:rPr>
      <w:rFonts w:eastAsia="宋体"/>
      <w:b/>
      <w:bCs/>
      <w:kern w:val="2"/>
      <w:sz w:val="21"/>
      <w:szCs w:val="32"/>
      <w:lang w:val="en-US" w:eastAsia="zh-CN" w:bidi="ar-SA"/>
    </w:rPr>
  </w:style>
  <w:style w:type="character" w:customStyle="1" w:styleId="165">
    <w:name w:val="orange_blod1"/>
    <w:qFormat/>
    <w:uiPriority w:val="0"/>
    <w:rPr>
      <w:rFonts w:hint="default" w:ascii="Verdana" w:hAnsi="Verdana"/>
      <w:b/>
      <w:bCs/>
      <w:color w:val="FF6600"/>
      <w:sz w:val="17"/>
      <w:szCs w:val="17"/>
      <w:u w:val="none"/>
    </w:rPr>
  </w:style>
  <w:style w:type="character" w:customStyle="1" w:styleId="166">
    <w:name w:val="font61"/>
    <w:qFormat/>
    <w:uiPriority w:val="0"/>
    <w:rPr>
      <w:rFonts w:hint="eastAsia" w:ascii="宋体" w:hAnsi="宋体" w:eastAsia="宋体" w:cs="宋体"/>
      <w:color w:val="000000"/>
      <w:sz w:val="28"/>
      <w:szCs w:val="28"/>
      <w:u w:val="none"/>
      <w:vertAlign w:val="superscript"/>
    </w:rPr>
  </w:style>
  <w:style w:type="character" w:customStyle="1" w:styleId="167">
    <w:name w:val="font21"/>
    <w:qFormat/>
    <w:uiPriority w:val="0"/>
    <w:rPr>
      <w:rFonts w:ascii="宋体" w:hAnsi="宋体" w:eastAsia="宋体" w:cs="宋体"/>
      <w:b/>
      <w:color w:val="000000"/>
      <w:sz w:val="20"/>
      <w:szCs w:val="20"/>
      <w:u w:val="none"/>
    </w:rPr>
  </w:style>
  <w:style w:type="character" w:customStyle="1" w:styleId="168">
    <w:name w:val="纯文本 Char"/>
    <w:qFormat/>
    <w:uiPriority w:val="0"/>
    <w:rPr>
      <w:rFonts w:ascii="宋体" w:hAnsi="Courier New" w:eastAsia="宋体"/>
      <w:kern w:val="2"/>
      <w:sz w:val="21"/>
      <w:szCs w:val="28"/>
      <w:lang w:val="en-US" w:eastAsia="zh-CN" w:bidi="ar-SA"/>
    </w:rPr>
  </w:style>
  <w:style w:type="character" w:customStyle="1" w:styleId="169">
    <w:name w:val="ca-22"/>
    <w:basedOn w:val="66"/>
    <w:qFormat/>
    <w:uiPriority w:val="0"/>
  </w:style>
  <w:style w:type="character" w:customStyle="1" w:styleId="170">
    <w:name w:val="样式 标题 6第五层条 + 三号 段前: 0.5 行 Char"/>
    <w:link w:val="171"/>
    <w:qFormat/>
    <w:uiPriority w:val="0"/>
    <w:rPr>
      <w:rFonts w:ascii="Arial" w:hAnsi="Arial" w:eastAsia="黑体" w:cs="宋体"/>
      <w:b/>
      <w:bCs/>
      <w:snapToGrid w:val="0"/>
      <w:kern w:val="24"/>
      <w:sz w:val="28"/>
      <w:szCs w:val="24"/>
      <w:lang w:val="en-US" w:eastAsia="zh-CN" w:bidi="ar-SA"/>
    </w:rPr>
  </w:style>
  <w:style w:type="paragraph" w:customStyle="1" w:styleId="171">
    <w:name w:val="样式 标题 6第五层条 + 三号 段前: 0.5 行"/>
    <w:basedOn w:val="10"/>
    <w:link w:val="170"/>
    <w:qFormat/>
    <w:uiPriority w:val="0"/>
    <w:pPr>
      <w:widowControl/>
      <w:numPr>
        <w:numId w:val="0"/>
      </w:numPr>
      <w:spacing w:beforeLines="50"/>
      <w:ind w:left="1152" w:hanging="1152"/>
      <w:jc w:val="left"/>
    </w:pPr>
    <w:rPr>
      <w:rFonts w:cs="宋体"/>
      <w:bCs/>
      <w:snapToGrid w:val="0"/>
      <w:kern w:val="24"/>
      <w:sz w:val="28"/>
      <w:szCs w:val="24"/>
    </w:rPr>
  </w:style>
  <w:style w:type="character" w:customStyle="1" w:styleId="172">
    <w:name w:val="标题 6 Char"/>
    <w:qFormat/>
    <w:uiPriority w:val="0"/>
    <w:rPr>
      <w:rFonts w:ascii="Arial" w:hAnsi="Arial" w:eastAsia="黑体"/>
      <w:b/>
      <w:kern w:val="2"/>
      <w:sz w:val="24"/>
      <w:szCs w:val="24"/>
      <w:lang w:val="en-US" w:eastAsia="zh-CN" w:bidi="ar-SA"/>
    </w:rPr>
  </w:style>
  <w:style w:type="character" w:customStyle="1" w:styleId="173">
    <w:name w:val="正文文本 Char"/>
    <w:qFormat/>
    <w:uiPriority w:val="0"/>
    <w:rPr>
      <w:kern w:val="2"/>
      <w:sz w:val="21"/>
      <w:szCs w:val="24"/>
      <w:lang w:bidi="ar-SA"/>
    </w:rPr>
  </w:style>
  <w:style w:type="character" w:customStyle="1" w:styleId="174">
    <w:name w:val="批注文字 Char"/>
    <w:qFormat/>
    <w:uiPriority w:val="0"/>
    <w:rPr>
      <w:rFonts w:eastAsia="宋体"/>
      <w:kern w:val="2"/>
      <w:sz w:val="21"/>
      <w:szCs w:val="24"/>
      <w:lang w:val="en-US" w:eastAsia="zh-CN" w:bidi="ar-SA"/>
    </w:rPr>
  </w:style>
  <w:style w:type="character" w:customStyle="1" w:styleId="175">
    <w:name w:val="不用8 Char1"/>
    <w:qFormat/>
    <w:uiPriority w:val="0"/>
    <w:rPr>
      <w:rFonts w:ascii="Arial" w:hAnsi="Arial" w:eastAsia="黑体"/>
      <w:kern w:val="2"/>
      <w:sz w:val="24"/>
    </w:rPr>
  </w:style>
  <w:style w:type="character" w:customStyle="1" w:styleId="176">
    <w:name w:val="页脚 Char"/>
    <w:qFormat/>
    <w:uiPriority w:val="0"/>
    <w:rPr>
      <w:rFonts w:eastAsia="宋体"/>
      <w:kern w:val="2"/>
      <w:sz w:val="18"/>
      <w:lang w:val="en-US" w:eastAsia="zh-CN" w:bidi="ar-SA"/>
    </w:rPr>
  </w:style>
  <w:style w:type="character" w:customStyle="1" w:styleId="177">
    <w:name w:val="标题 2 Char Char Char Char"/>
    <w:qFormat/>
    <w:uiPriority w:val="0"/>
    <w:rPr>
      <w:rFonts w:hint="eastAsia" w:ascii="黑体" w:hAnsi="Arial" w:eastAsia="黑体"/>
      <w:b/>
      <w:sz w:val="30"/>
      <w:szCs w:val="30"/>
      <w:lang w:val="en-US" w:eastAsia="zh-CN" w:bidi="ar-SA"/>
    </w:rPr>
  </w:style>
  <w:style w:type="character" w:customStyle="1" w:styleId="178">
    <w:name w:val="Char Char21"/>
    <w:qFormat/>
    <w:uiPriority w:val="0"/>
    <w:rPr>
      <w:rFonts w:ascii="宋体" w:hAnsi="Courier New" w:eastAsia="宋体"/>
      <w:kern w:val="2"/>
      <w:sz w:val="24"/>
      <w:lang w:val="en-US" w:eastAsia="zh-CN" w:bidi="ar-SA"/>
    </w:rPr>
  </w:style>
  <w:style w:type="character" w:customStyle="1" w:styleId="179">
    <w:name w:val="Char Char61"/>
    <w:qFormat/>
    <w:uiPriority w:val="0"/>
    <w:rPr>
      <w:rFonts w:ascii="Arial" w:hAnsi="Arial" w:eastAsia="黑体"/>
      <w:b/>
      <w:bCs/>
      <w:kern w:val="2"/>
      <w:sz w:val="32"/>
      <w:szCs w:val="32"/>
      <w:lang w:val="en-US" w:eastAsia="zh-CN" w:bidi="ar-SA"/>
    </w:rPr>
  </w:style>
  <w:style w:type="character" w:customStyle="1" w:styleId="180">
    <w:name w:val="Table Text Char Char Char Char"/>
    <w:qFormat/>
    <w:uiPriority w:val="0"/>
    <w:rPr>
      <w:rFonts w:ascii="Arial" w:hAnsi="Arial" w:cs="Arial"/>
      <w:kern w:val="2"/>
      <w:sz w:val="18"/>
      <w:szCs w:val="18"/>
      <w:lang w:val="en-US" w:eastAsia="zh-CN" w:bidi="ar-SA"/>
    </w:rPr>
  </w:style>
  <w:style w:type="character" w:customStyle="1" w:styleId="181">
    <w:name w:val="正文首行缩进 Char Char Char Char Char2"/>
    <w:qFormat/>
    <w:uiPriority w:val="0"/>
    <w:rPr>
      <w:rFonts w:eastAsia="宋体"/>
      <w:kern w:val="2"/>
      <w:sz w:val="21"/>
      <w:szCs w:val="24"/>
      <w:lang w:val="en-US" w:eastAsia="zh-CN" w:bidi="ar-SA"/>
    </w:rPr>
  </w:style>
  <w:style w:type="character" w:customStyle="1" w:styleId="182">
    <w:name w:val="不用 Char1"/>
    <w:qFormat/>
    <w:uiPriority w:val="0"/>
    <w:rPr>
      <w:b/>
      <w:kern w:val="2"/>
      <w:sz w:val="24"/>
    </w:rPr>
  </w:style>
  <w:style w:type="character" w:customStyle="1" w:styleId="183">
    <w:name w:val="标题 7 Char"/>
    <w:qFormat/>
    <w:uiPriority w:val="0"/>
    <w:rPr>
      <w:rFonts w:eastAsia="宋体"/>
      <w:b/>
      <w:kern w:val="2"/>
      <w:sz w:val="24"/>
      <w:szCs w:val="24"/>
      <w:lang w:val="en-US" w:eastAsia="zh-CN" w:bidi="ar-SA"/>
    </w:rPr>
  </w:style>
  <w:style w:type="character" w:customStyle="1" w:styleId="184">
    <w:name w:val="h Char Char2"/>
    <w:qFormat/>
    <w:uiPriority w:val="0"/>
    <w:rPr>
      <w:kern w:val="2"/>
      <w:sz w:val="18"/>
      <w:szCs w:val="18"/>
    </w:rPr>
  </w:style>
  <w:style w:type="character" w:customStyle="1" w:styleId="185">
    <w:name w:val="font51"/>
    <w:qFormat/>
    <w:uiPriority w:val="0"/>
    <w:rPr>
      <w:rFonts w:hint="eastAsia" w:ascii="宋体" w:hAnsi="宋体" w:eastAsia="宋体" w:cs="宋体"/>
      <w:color w:val="000000"/>
      <w:sz w:val="21"/>
      <w:szCs w:val="21"/>
      <w:u w:val="none"/>
    </w:rPr>
  </w:style>
  <w:style w:type="character" w:customStyle="1" w:styleId="186">
    <w:name w:val="v151"/>
    <w:qFormat/>
    <w:uiPriority w:val="0"/>
    <w:rPr>
      <w:sz w:val="18"/>
    </w:rPr>
  </w:style>
  <w:style w:type="character" w:customStyle="1" w:styleId="187">
    <w:name w:val="标准文本 Char"/>
    <w:link w:val="188"/>
    <w:qFormat/>
    <w:uiPriority w:val="0"/>
    <w:rPr>
      <w:rFonts w:ascii="Calibri" w:hAnsi="Calibri" w:eastAsia="仿宋_GB2312"/>
      <w:kern w:val="2"/>
      <w:sz w:val="24"/>
    </w:rPr>
  </w:style>
  <w:style w:type="paragraph" w:customStyle="1" w:styleId="188">
    <w:name w:val="标准文本"/>
    <w:basedOn w:val="1"/>
    <w:link w:val="187"/>
    <w:qFormat/>
    <w:uiPriority w:val="0"/>
    <w:pPr>
      <w:spacing w:line="360" w:lineRule="auto"/>
      <w:ind w:firstLine="480"/>
    </w:pPr>
    <w:rPr>
      <w:rFonts w:ascii="Calibri" w:hAnsi="Calibri" w:eastAsia="仿宋_GB2312"/>
      <w:szCs w:val="20"/>
    </w:rPr>
  </w:style>
  <w:style w:type="character" w:customStyle="1" w:styleId="189">
    <w:name w:val="title"/>
    <w:basedOn w:val="66"/>
    <w:qFormat/>
    <w:uiPriority w:val="0"/>
  </w:style>
  <w:style w:type="character" w:customStyle="1" w:styleId="190">
    <w:name w:val="protextfont"/>
    <w:basedOn w:val="66"/>
    <w:qFormat/>
    <w:uiPriority w:val="0"/>
  </w:style>
  <w:style w:type="character" w:customStyle="1" w:styleId="191">
    <w:name w:val="未命名11"/>
    <w:qFormat/>
    <w:uiPriority w:val="0"/>
    <w:rPr>
      <w:color w:val="77FFFF"/>
      <w:sz w:val="24"/>
      <w:szCs w:val="24"/>
    </w:rPr>
  </w:style>
  <w:style w:type="character" w:customStyle="1" w:styleId="192">
    <w:name w:val="H2 Char1"/>
    <w:qFormat/>
    <w:uiPriority w:val="0"/>
    <w:rPr>
      <w:rFonts w:ascii="Arial" w:hAnsi="Arial" w:eastAsia="黑体"/>
      <w:b/>
      <w:bCs/>
      <w:kern w:val="2"/>
      <w:sz w:val="32"/>
      <w:szCs w:val="32"/>
      <w:lang w:val="en-US" w:eastAsia="zh-CN" w:bidi="ar-SA"/>
    </w:rPr>
  </w:style>
  <w:style w:type="character" w:customStyle="1" w:styleId="193">
    <w:name w:val="gray121"/>
    <w:qFormat/>
    <w:uiPriority w:val="0"/>
    <w:rPr>
      <w:color w:val="666666"/>
      <w:sz w:val="18"/>
      <w:szCs w:val="18"/>
    </w:rPr>
  </w:style>
  <w:style w:type="character" w:customStyle="1" w:styleId="194">
    <w:name w:val="font1"/>
    <w:qFormat/>
    <w:uiPriority w:val="0"/>
    <w:rPr>
      <w:color w:val="000000"/>
      <w:sz w:val="18"/>
      <w:szCs w:val="18"/>
    </w:rPr>
  </w:style>
  <w:style w:type="character" w:customStyle="1" w:styleId="195">
    <w:name w:val="正文文本缩进 2 Char"/>
    <w:qFormat/>
    <w:uiPriority w:val="0"/>
    <w:rPr>
      <w:kern w:val="2"/>
      <w:sz w:val="21"/>
      <w:lang w:bidi="ar-SA"/>
    </w:rPr>
  </w:style>
  <w:style w:type="character" w:customStyle="1" w:styleId="196">
    <w:name w:val="标题 9 Char"/>
    <w:qFormat/>
    <w:uiPriority w:val="0"/>
    <w:rPr>
      <w:rFonts w:ascii="Arial" w:hAnsi="Arial" w:eastAsia="黑体"/>
      <w:kern w:val="2"/>
      <w:sz w:val="21"/>
      <w:szCs w:val="24"/>
      <w:lang w:val="en-US" w:eastAsia="zh-CN" w:bidi="ar-SA"/>
    </w:rPr>
  </w:style>
  <w:style w:type="character" w:customStyle="1" w:styleId="197">
    <w:name w:val="Table Text Char"/>
    <w:qFormat/>
    <w:uiPriority w:val="0"/>
    <w:rPr>
      <w:rFonts w:ascii="Arial" w:hAnsi="Arial" w:eastAsia="宋体"/>
      <w:sz w:val="18"/>
      <w:lang w:val="en-US" w:eastAsia="zh-CN" w:bidi="ar-SA"/>
    </w:rPr>
  </w:style>
  <w:style w:type="character" w:customStyle="1" w:styleId="198">
    <w:name w:val="blacklink_text1"/>
    <w:qFormat/>
    <w:uiPriority w:val="0"/>
    <w:rPr>
      <w:color w:val="0E0E0E"/>
      <w:sz w:val="18"/>
      <w:szCs w:val="18"/>
    </w:rPr>
  </w:style>
  <w:style w:type="character" w:customStyle="1" w:styleId="199">
    <w:name w:val="日期 Char"/>
    <w:qFormat/>
    <w:uiPriority w:val="0"/>
    <w:rPr>
      <w:rFonts w:ascii="宋体"/>
      <w:kern w:val="2"/>
      <w:sz w:val="24"/>
      <w:lang w:bidi="ar-SA"/>
    </w:rPr>
  </w:style>
  <w:style w:type="character" w:customStyle="1" w:styleId="200">
    <w:name w:val="fy21"/>
    <w:qFormat/>
    <w:uiPriority w:val="0"/>
    <w:rPr>
      <w:rFonts w:hint="default" w:ascii="Verdana" w:hAnsi="Verdana"/>
      <w:color w:val="0063C7"/>
      <w:sz w:val="18"/>
      <w:szCs w:val="18"/>
    </w:rPr>
  </w:style>
  <w:style w:type="character" w:customStyle="1" w:styleId="201">
    <w:name w:val="line"/>
    <w:basedOn w:val="66"/>
    <w:qFormat/>
    <w:uiPriority w:val="0"/>
  </w:style>
  <w:style w:type="character" w:customStyle="1" w:styleId="202">
    <w:name w:val="style81"/>
    <w:qFormat/>
    <w:uiPriority w:val="0"/>
    <w:rPr>
      <w:sz w:val="21"/>
      <w:szCs w:val="21"/>
    </w:rPr>
  </w:style>
  <w:style w:type="character" w:customStyle="1" w:styleId="203">
    <w:name w:val="apple-style-span"/>
    <w:basedOn w:val="66"/>
    <w:qFormat/>
    <w:uiPriority w:val="0"/>
  </w:style>
  <w:style w:type="character" w:customStyle="1" w:styleId="204">
    <w:name w:val="Subtle Emphasis"/>
    <w:qFormat/>
    <w:uiPriority w:val="0"/>
    <w:rPr>
      <w:i/>
      <w:iCs/>
      <w:color w:val="808080"/>
    </w:rPr>
  </w:style>
  <w:style w:type="character" w:customStyle="1" w:styleId="205">
    <w:name w:val="页脚 Char1"/>
    <w:qFormat/>
    <w:uiPriority w:val="0"/>
    <w:rPr>
      <w:kern w:val="2"/>
      <w:sz w:val="18"/>
      <w:szCs w:val="18"/>
    </w:rPr>
  </w:style>
  <w:style w:type="character" w:customStyle="1" w:styleId="206">
    <w:name w:val="正文内容 Char"/>
    <w:link w:val="207"/>
    <w:qFormat/>
    <w:uiPriority w:val="0"/>
    <w:rPr>
      <w:kern w:val="2"/>
      <w:sz w:val="24"/>
      <w:lang w:bidi="ar-SA"/>
    </w:rPr>
  </w:style>
  <w:style w:type="paragraph" w:customStyle="1" w:styleId="207">
    <w:name w:val="正文内容"/>
    <w:basedOn w:val="1"/>
    <w:link w:val="206"/>
    <w:qFormat/>
    <w:uiPriority w:val="0"/>
    <w:pPr>
      <w:spacing w:beforeLines="50" w:afterLines="50" w:line="360" w:lineRule="auto"/>
      <w:ind w:firstLine="480"/>
    </w:pPr>
    <w:rPr>
      <w:szCs w:val="20"/>
    </w:rPr>
  </w:style>
  <w:style w:type="character" w:customStyle="1" w:styleId="208">
    <w:name w:val="正文首行缩进 2 Char"/>
    <w:qFormat/>
    <w:uiPriority w:val="0"/>
    <w:rPr>
      <w:rFonts w:ascii="宋体" w:hAnsi="宋体" w:eastAsia="仿宋_GB2312"/>
      <w:kern w:val="2"/>
      <w:sz w:val="24"/>
      <w:szCs w:val="21"/>
      <w:lang w:bidi="ar-SA"/>
    </w:rPr>
  </w:style>
  <w:style w:type="character" w:customStyle="1" w:styleId="209">
    <w:name w:val="正文文字 Char1"/>
    <w:qFormat/>
    <w:uiPriority w:val="0"/>
    <w:rPr>
      <w:kern w:val="2"/>
      <w:sz w:val="21"/>
      <w:szCs w:val="24"/>
    </w:rPr>
  </w:style>
  <w:style w:type="character" w:customStyle="1" w:styleId="210">
    <w:name w:val="top-det1"/>
    <w:qFormat/>
    <w:uiPriority w:val="0"/>
    <w:rPr>
      <w:b/>
      <w:bCs/>
      <w:color w:val="000000"/>
    </w:rPr>
  </w:style>
  <w:style w:type="character" w:customStyle="1" w:styleId="211">
    <w:name w:val="font71"/>
    <w:qFormat/>
    <w:uiPriority w:val="0"/>
    <w:rPr>
      <w:rFonts w:hint="eastAsia" w:ascii="宋体" w:hAnsi="宋体" w:eastAsia="宋体" w:cs="宋体"/>
      <w:color w:val="000000"/>
      <w:sz w:val="28"/>
      <w:szCs w:val="28"/>
      <w:u w:val="none"/>
    </w:rPr>
  </w:style>
  <w:style w:type="character" w:customStyle="1" w:styleId="212">
    <w:name w:val="文字 Char"/>
    <w:link w:val="213"/>
    <w:qFormat/>
    <w:uiPriority w:val="0"/>
    <w:rPr>
      <w:rFonts w:ascii="宋体" w:hAnsi="宋体"/>
      <w:kern w:val="2"/>
      <w:sz w:val="28"/>
      <w:lang w:bidi="ar-SA"/>
    </w:rPr>
  </w:style>
  <w:style w:type="paragraph" w:customStyle="1" w:styleId="213">
    <w:name w:val="文字"/>
    <w:basedOn w:val="1"/>
    <w:link w:val="212"/>
    <w:qFormat/>
    <w:uiPriority w:val="0"/>
    <w:pPr>
      <w:tabs>
        <w:tab w:val="left" w:pos="8520"/>
      </w:tabs>
      <w:spacing w:line="312" w:lineRule="auto"/>
      <w:ind w:right="-210" w:firstLine="556" w:firstLineChars="0"/>
    </w:pPr>
    <w:rPr>
      <w:rFonts w:ascii="宋体" w:hAnsi="宋体"/>
      <w:sz w:val="28"/>
      <w:szCs w:val="20"/>
    </w:rPr>
  </w:style>
  <w:style w:type="character" w:customStyle="1" w:styleId="214">
    <w:name w:val="biaolan_12"/>
    <w:qFormat/>
    <w:uiPriority w:val="0"/>
  </w:style>
  <w:style w:type="character" w:customStyle="1" w:styleId="215">
    <w:name w:val="z-窗体顶端 Char"/>
    <w:link w:val="216"/>
    <w:qFormat/>
    <w:uiPriority w:val="0"/>
    <w:rPr>
      <w:rFonts w:ascii="Calibri" w:hAnsi="Calibri"/>
      <w:kern w:val="2"/>
      <w:sz w:val="21"/>
      <w:szCs w:val="22"/>
    </w:rPr>
  </w:style>
  <w:style w:type="paragraph" w:customStyle="1" w:styleId="216">
    <w:name w:val="HTML Top of Form"/>
    <w:basedOn w:val="1"/>
    <w:link w:val="215"/>
    <w:qFormat/>
    <w:uiPriority w:val="0"/>
    <w:pPr>
      <w:spacing w:line="240" w:lineRule="auto"/>
      <w:ind w:firstLine="420"/>
    </w:pPr>
    <w:rPr>
      <w:rFonts w:ascii="Calibri" w:hAnsi="Calibri"/>
      <w:sz w:val="21"/>
      <w:szCs w:val="22"/>
    </w:rPr>
  </w:style>
  <w:style w:type="character" w:customStyle="1" w:styleId="217">
    <w:name w:val="font91"/>
    <w:qFormat/>
    <w:uiPriority w:val="0"/>
    <w:rPr>
      <w:rFonts w:hint="eastAsia" w:ascii="宋体" w:hAnsi="宋体" w:eastAsia="宋体" w:cs="宋体"/>
      <w:color w:val="000000"/>
      <w:sz w:val="24"/>
      <w:szCs w:val="24"/>
      <w:u w:val="none"/>
      <w:vertAlign w:val="superscript"/>
    </w:rPr>
  </w:style>
  <w:style w:type="character" w:customStyle="1" w:styleId="218">
    <w:name w:val="消息标题标签"/>
    <w:qFormat/>
    <w:uiPriority w:val="0"/>
    <w:rPr>
      <w:rFonts w:ascii="Arial" w:hAnsi="Arial"/>
      <w:b/>
      <w:spacing w:val="-4"/>
      <w:sz w:val="18"/>
      <w:lang w:eastAsia="zh-CN"/>
    </w:rPr>
  </w:style>
  <w:style w:type="character" w:customStyle="1" w:styleId="219">
    <w:name w:val="font41"/>
    <w:qFormat/>
    <w:uiPriority w:val="0"/>
    <w:rPr>
      <w:rFonts w:hint="eastAsia" w:ascii="宋体" w:hAnsi="宋体" w:eastAsia="宋体" w:cs="宋体"/>
      <w:color w:val="000000"/>
      <w:sz w:val="28"/>
      <w:szCs w:val="28"/>
      <w:u w:val="none"/>
      <w:vertAlign w:val="superscript"/>
    </w:rPr>
  </w:style>
  <w:style w:type="character" w:customStyle="1" w:styleId="220">
    <w:name w:val="Footer-Even Char1"/>
    <w:qFormat/>
    <w:uiPriority w:val="0"/>
    <w:rPr>
      <w:rFonts w:eastAsia="宋体"/>
      <w:kern w:val="2"/>
      <w:sz w:val="18"/>
      <w:lang w:val="en-US" w:eastAsia="zh-CN" w:bidi="ar-SA"/>
    </w:rPr>
  </w:style>
  <w:style w:type="character" w:customStyle="1" w:styleId="221">
    <w:name w:val="hei16b"/>
    <w:basedOn w:val="66"/>
    <w:qFormat/>
    <w:uiPriority w:val="0"/>
  </w:style>
  <w:style w:type="character" w:customStyle="1" w:styleId="222">
    <w:name w:val="font31"/>
    <w:qFormat/>
    <w:uiPriority w:val="0"/>
    <w:rPr>
      <w:rFonts w:hint="eastAsia" w:ascii="宋体" w:hAnsi="宋体" w:eastAsia="宋体" w:cs="宋体"/>
      <w:color w:val="000000"/>
      <w:sz w:val="18"/>
      <w:szCs w:val="18"/>
      <w:u w:val="none"/>
    </w:rPr>
  </w:style>
  <w:style w:type="character" w:customStyle="1" w:styleId="223">
    <w:name w:val="第三层条 Char"/>
    <w:qFormat/>
    <w:uiPriority w:val="0"/>
    <w:rPr>
      <w:rFonts w:ascii="Arial" w:hAnsi="Arial" w:eastAsia="黑体"/>
      <w:b/>
      <w:bCs/>
      <w:kern w:val="2"/>
      <w:sz w:val="28"/>
      <w:szCs w:val="28"/>
      <w:lang w:val="en-US" w:eastAsia="zh-CN" w:bidi="ar-SA"/>
    </w:rPr>
  </w:style>
  <w:style w:type="character" w:customStyle="1" w:styleId="224">
    <w:name w:val="标题 Char"/>
    <w:qFormat/>
    <w:uiPriority w:val="0"/>
    <w:rPr>
      <w:rFonts w:ascii="Arial" w:hAnsi="Arial"/>
      <w:b/>
      <w:smallCaps/>
      <w:kern w:val="28"/>
      <w:sz w:val="36"/>
      <w:lang w:eastAsia="en-US" w:bidi="ar-SA"/>
    </w:rPr>
  </w:style>
  <w:style w:type="character" w:customStyle="1" w:styleId="225">
    <w:name w:val="正文文字 Char2"/>
    <w:qFormat/>
    <w:uiPriority w:val="0"/>
    <w:rPr>
      <w:kern w:val="2"/>
      <w:sz w:val="21"/>
      <w:szCs w:val="24"/>
    </w:rPr>
  </w:style>
  <w:style w:type="character" w:customStyle="1" w:styleId="226">
    <w:name w:val="font141"/>
    <w:qFormat/>
    <w:uiPriority w:val="0"/>
  </w:style>
  <w:style w:type="character" w:customStyle="1" w:styleId="227">
    <w:name w:val="HTML 预设格式 Char"/>
    <w:qFormat/>
    <w:uiPriority w:val="0"/>
    <w:rPr>
      <w:rFonts w:ascii="宋体" w:hAnsi="宋体"/>
      <w:sz w:val="24"/>
      <w:szCs w:val="24"/>
      <w:lang w:bidi="ar-SA"/>
    </w:rPr>
  </w:style>
  <w:style w:type="character" w:customStyle="1" w:styleId="228">
    <w:name w:val="Char Char20"/>
    <w:qFormat/>
    <w:uiPriority w:val="0"/>
    <w:rPr>
      <w:rFonts w:ascii="宋体" w:hAnsi="Courier New" w:eastAsia="宋体"/>
      <w:kern w:val="2"/>
      <w:sz w:val="24"/>
      <w:szCs w:val="28"/>
      <w:lang w:val="en-US" w:eastAsia="zh-CN" w:bidi="ar-SA"/>
    </w:rPr>
  </w:style>
  <w:style w:type="character" w:customStyle="1" w:styleId="229">
    <w:name w:val="Document Map Char"/>
    <w:qFormat/>
    <w:uiPriority w:val="0"/>
    <w:rPr>
      <w:rFonts w:ascii="宋体" w:hAnsi="Calibri" w:eastAsia="宋体"/>
      <w:kern w:val="2"/>
      <w:sz w:val="18"/>
      <w:szCs w:val="18"/>
      <w:lang w:val="en-US" w:eastAsia="zh-CN" w:bidi="ar-SA"/>
    </w:rPr>
  </w:style>
  <w:style w:type="character" w:customStyle="1" w:styleId="230">
    <w:name w:val="文档结构图 Char"/>
    <w:qFormat/>
    <w:uiPriority w:val="0"/>
    <w:rPr>
      <w:kern w:val="2"/>
      <w:sz w:val="21"/>
      <w:szCs w:val="24"/>
      <w:shd w:val="clear" w:color="auto" w:fill="000080"/>
      <w:lang w:bidi="ar-SA"/>
    </w:rPr>
  </w:style>
  <w:style w:type="character" w:customStyle="1" w:styleId="231">
    <w:name w:val="副标题 Char"/>
    <w:qFormat/>
    <w:uiPriority w:val="0"/>
    <w:rPr>
      <w:rFonts w:ascii="Cambria" w:hAnsi="Cambria"/>
      <w:b/>
      <w:bCs/>
      <w:kern w:val="28"/>
      <w:sz w:val="32"/>
      <w:szCs w:val="32"/>
      <w:lang w:bidi="ar-SA"/>
    </w:rPr>
  </w:style>
  <w:style w:type="character" w:customStyle="1" w:styleId="232">
    <w:name w:val="正文-1 Char"/>
    <w:link w:val="233"/>
    <w:qFormat/>
    <w:uiPriority w:val="0"/>
    <w:rPr>
      <w:rFonts w:eastAsia="仿宋_GB2312"/>
      <w:kern w:val="2"/>
      <w:sz w:val="28"/>
      <w:szCs w:val="28"/>
      <w:lang w:bidi="ar-SA"/>
    </w:rPr>
  </w:style>
  <w:style w:type="paragraph" w:customStyle="1" w:styleId="233">
    <w:name w:val="正文-1"/>
    <w:basedOn w:val="1"/>
    <w:link w:val="232"/>
    <w:qFormat/>
    <w:uiPriority w:val="0"/>
    <w:pPr>
      <w:spacing w:line="360" w:lineRule="auto"/>
      <w:ind w:firstLine="560"/>
    </w:pPr>
    <w:rPr>
      <w:rFonts w:eastAsia="仿宋_GB2312"/>
      <w:sz w:val="28"/>
      <w:szCs w:val="28"/>
    </w:rPr>
  </w:style>
  <w:style w:type="character" w:customStyle="1" w:styleId="234">
    <w:name w:val="章节 Char1"/>
    <w:qFormat/>
    <w:uiPriority w:val="0"/>
    <w:rPr>
      <w:rFonts w:ascii="宋体"/>
      <w:b/>
      <w:kern w:val="28"/>
      <w:sz w:val="36"/>
      <w:lang w:val="en-US" w:eastAsia="zh-CN" w:bidi="ar-SA"/>
    </w:rPr>
  </w:style>
  <w:style w:type="character" w:customStyle="1" w:styleId="235">
    <w:name w:val="ca-31"/>
    <w:qFormat/>
    <w:uiPriority w:val="0"/>
    <w:rPr>
      <w:rFonts w:hint="default" w:ascii="??" w:hAnsi="??"/>
      <w:sz w:val="24"/>
      <w:szCs w:val="24"/>
    </w:rPr>
  </w:style>
  <w:style w:type="character" w:customStyle="1" w:styleId="236">
    <w:name w:val="日期 Char1"/>
    <w:qFormat/>
    <w:uiPriority w:val="0"/>
    <w:rPr>
      <w:rFonts w:ascii="宋体"/>
      <w:kern w:val="2"/>
      <w:sz w:val="24"/>
    </w:rPr>
  </w:style>
  <w:style w:type="character" w:customStyle="1" w:styleId="237">
    <w:name w:val="纯文本 Char1"/>
    <w:qFormat/>
    <w:uiPriority w:val="0"/>
    <w:rPr>
      <w:rFonts w:ascii="宋体" w:hAnsi="Courier New"/>
      <w:kern w:val="2"/>
      <w:sz w:val="24"/>
    </w:rPr>
  </w:style>
  <w:style w:type="character" w:customStyle="1" w:styleId="238">
    <w:name w:val="font101"/>
    <w:qFormat/>
    <w:uiPriority w:val="0"/>
    <w:rPr>
      <w:rFonts w:hint="eastAsia" w:ascii="宋体" w:hAnsi="宋体" w:eastAsia="宋体" w:cs="宋体"/>
      <w:color w:val="FF0000"/>
      <w:sz w:val="24"/>
      <w:szCs w:val="24"/>
      <w:u w:val="none"/>
      <w:vertAlign w:val="superscript"/>
    </w:rPr>
  </w:style>
  <w:style w:type="character" w:customStyle="1" w:styleId="239">
    <w:name w:val="DAS正文 Char"/>
    <w:link w:val="240"/>
    <w:qFormat/>
    <w:uiPriority w:val="0"/>
    <w:rPr>
      <w:rFonts w:ascii="Verdana" w:hAnsi="Verdana"/>
      <w:kern w:val="2"/>
      <w:sz w:val="21"/>
      <w:szCs w:val="21"/>
      <w:lang w:bidi="ar-SA"/>
    </w:rPr>
  </w:style>
  <w:style w:type="paragraph" w:customStyle="1" w:styleId="240">
    <w:name w:val="DAS正文"/>
    <w:basedOn w:val="1"/>
    <w:link w:val="239"/>
    <w:qFormat/>
    <w:uiPriority w:val="0"/>
    <w:pPr>
      <w:spacing w:line="240" w:lineRule="auto"/>
      <w:ind w:right="-2" w:firstLine="360"/>
    </w:pPr>
    <w:rPr>
      <w:rFonts w:ascii="Verdana" w:hAnsi="Verdana"/>
      <w:sz w:val="21"/>
      <w:szCs w:val="21"/>
    </w:rPr>
  </w:style>
  <w:style w:type="character" w:customStyle="1" w:styleId="241">
    <w:name w:val="141"/>
    <w:qFormat/>
    <w:uiPriority w:val="0"/>
    <w:rPr>
      <w:color w:val="333333"/>
      <w:sz w:val="21"/>
      <w:szCs w:val="21"/>
      <w:u w:val="none"/>
    </w:rPr>
  </w:style>
  <w:style w:type="character" w:customStyle="1" w:styleId="242">
    <w:name w:val="卷标题 Char1"/>
    <w:qFormat/>
    <w:uiPriority w:val="0"/>
    <w:rPr>
      <w:rFonts w:eastAsia="宋体"/>
      <w:b/>
      <w:bCs/>
      <w:kern w:val="44"/>
      <w:sz w:val="44"/>
      <w:szCs w:val="44"/>
      <w:lang w:val="en-US" w:eastAsia="zh-CN" w:bidi="ar-SA"/>
    </w:rPr>
  </w:style>
  <w:style w:type="character" w:customStyle="1" w:styleId="243">
    <w:name w:val="ca-21"/>
    <w:qFormat/>
    <w:uiPriority w:val="0"/>
    <w:rPr>
      <w:rFonts w:hint="eastAsia" w:ascii="宋体" w:hAnsi="宋体" w:eastAsia="宋体"/>
      <w:sz w:val="24"/>
      <w:szCs w:val="24"/>
    </w:rPr>
  </w:style>
  <w:style w:type="character" w:customStyle="1" w:styleId="244">
    <w:name w:val="Body Char"/>
    <w:link w:val="245"/>
    <w:qFormat/>
    <w:uiPriority w:val="0"/>
    <w:rPr>
      <w:rFonts w:ascii="宋体" w:hAnsi="宋体"/>
      <w:sz w:val="21"/>
      <w:szCs w:val="21"/>
    </w:rPr>
  </w:style>
  <w:style w:type="paragraph" w:customStyle="1" w:styleId="245">
    <w:name w:val="Body"/>
    <w:basedOn w:val="1"/>
    <w:link w:val="244"/>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246">
    <w:name w:val="h Char Char1"/>
    <w:qFormat/>
    <w:uiPriority w:val="0"/>
    <w:rPr>
      <w:kern w:val="2"/>
      <w:sz w:val="18"/>
      <w:szCs w:val="18"/>
    </w:rPr>
  </w:style>
  <w:style w:type="character" w:customStyle="1" w:styleId="247">
    <w:name w:val="Char Char22"/>
    <w:qFormat/>
    <w:uiPriority w:val="0"/>
    <w:rPr>
      <w:rFonts w:eastAsia="宋体"/>
      <w:kern w:val="2"/>
      <w:sz w:val="18"/>
      <w:szCs w:val="18"/>
      <w:lang w:val="en-US" w:eastAsia="zh-CN" w:bidi="ar-SA"/>
    </w:rPr>
  </w:style>
  <w:style w:type="character" w:customStyle="1" w:styleId="248">
    <w:name w:val="三级标题 Char1"/>
    <w:qFormat/>
    <w:uiPriority w:val="0"/>
    <w:rPr>
      <w:rFonts w:ascii="Arial" w:hAnsi="Arial" w:eastAsia="黑体"/>
      <w:kern w:val="2"/>
      <w:sz w:val="21"/>
    </w:rPr>
  </w:style>
  <w:style w:type="character" w:customStyle="1" w:styleId="249">
    <w:name w:val="批注框文本 Char"/>
    <w:qFormat/>
    <w:uiPriority w:val="0"/>
    <w:rPr>
      <w:kern w:val="2"/>
      <w:sz w:val="18"/>
      <w:szCs w:val="18"/>
      <w:lang w:bidi="ar-SA"/>
    </w:rPr>
  </w:style>
  <w:style w:type="character" w:customStyle="1" w:styleId="250">
    <w:name w:val="Footer Char"/>
    <w:qFormat/>
    <w:uiPriority w:val="0"/>
    <w:rPr>
      <w:rFonts w:ascii="Calibri" w:hAnsi="Calibri" w:eastAsia="宋体"/>
      <w:sz w:val="18"/>
      <w:szCs w:val="18"/>
      <w:lang w:val="en-US" w:eastAsia="zh-CN" w:bidi="ar-SA"/>
    </w:rPr>
  </w:style>
  <w:style w:type="character" w:customStyle="1" w:styleId="251">
    <w:name w:val="PIM 6 Char2"/>
    <w:qFormat/>
    <w:uiPriority w:val="0"/>
    <w:rPr>
      <w:rFonts w:ascii="Arial" w:hAnsi="Arial" w:eastAsia="黑体"/>
      <w:b/>
      <w:kern w:val="2"/>
      <w:sz w:val="24"/>
    </w:rPr>
  </w:style>
  <w:style w:type="character" w:customStyle="1" w:styleId="252">
    <w:name w:val="不用 Char2"/>
    <w:qFormat/>
    <w:uiPriority w:val="0"/>
    <w:rPr>
      <w:b/>
      <w:kern w:val="2"/>
      <w:sz w:val="24"/>
    </w:rPr>
  </w:style>
  <w:style w:type="character" w:customStyle="1" w:styleId="253">
    <w:name w:val="mode1"/>
    <w:qFormat/>
    <w:uiPriority w:val="0"/>
    <w:rPr>
      <w:color w:val="444444"/>
      <w:sz w:val="18"/>
      <w:szCs w:val="18"/>
    </w:rPr>
  </w:style>
  <w:style w:type="character" w:customStyle="1" w:styleId="254">
    <w:name w:val="三级标题 Char2"/>
    <w:qFormat/>
    <w:uiPriority w:val="0"/>
    <w:rPr>
      <w:rFonts w:ascii="Arial" w:hAnsi="Arial" w:eastAsia="黑体"/>
      <w:kern w:val="2"/>
      <w:sz w:val="24"/>
    </w:rPr>
  </w:style>
  <w:style w:type="character" w:customStyle="1" w:styleId="255">
    <w:name w:val="文档正文 Char"/>
    <w:link w:val="256"/>
    <w:qFormat/>
    <w:locked/>
    <w:uiPriority w:val="0"/>
    <w:rPr>
      <w:rFonts w:ascii="长城仿宋" w:eastAsia="长城仿宋"/>
      <w:sz w:val="28"/>
    </w:rPr>
  </w:style>
  <w:style w:type="paragraph" w:customStyle="1" w:styleId="256">
    <w:name w:val="文档正文"/>
    <w:basedOn w:val="1"/>
    <w:link w:val="255"/>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257">
    <w:name w:val="表 Char"/>
    <w:link w:val="258"/>
    <w:qFormat/>
    <w:locked/>
    <w:uiPriority w:val="0"/>
    <w:rPr>
      <w:rFonts w:eastAsia="黑体"/>
      <w:b/>
      <w:sz w:val="24"/>
    </w:rPr>
  </w:style>
  <w:style w:type="paragraph" w:customStyle="1" w:styleId="258">
    <w:name w:val="表"/>
    <w:basedOn w:val="1"/>
    <w:next w:val="256"/>
    <w:link w:val="257"/>
    <w:qFormat/>
    <w:uiPriority w:val="0"/>
    <w:pPr>
      <w:widowControl/>
      <w:numPr>
        <w:ilvl w:val="0"/>
        <w:numId w:val="8"/>
      </w:numPr>
      <w:adjustRightInd w:val="0"/>
      <w:spacing w:before="60" w:after="60" w:line="360" w:lineRule="atLeast"/>
      <w:ind w:firstLine="0" w:firstLineChars="0"/>
      <w:jc w:val="center"/>
      <w:textAlignment w:val="baseline"/>
    </w:pPr>
    <w:rPr>
      <w:rFonts w:eastAsia="黑体"/>
      <w:b/>
      <w:kern w:val="0"/>
      <w:szCs w:val="20"/>
    </w:rPr>
  </w:style>
  <w:style w:type="character" w:customStyle="1" w:styleId="259">
    <w:name w:val="图 Char"/>
    <w:link w:val="260"/>
    <w:qFormat/>
    <w:uiPriority w:val="0"/>
    <w:rPr>
      <w:rFonts w:eastAsia="华文中宋"/>
      <w:b/>
      <w:color w:val="E36C0A"/>
      <w:kern w:val="2"/>
      <w:sz w:val="24"/>
      <w:szCs w:val="24"/>
    </w:rPr>
  </w:style>
  <w:style w:type="paragraph" w:customStyle="1" w:styleId="260">
    <w:name w:val="图"/>
    <w:basedOn w:val="1"/>
    <w:next w:val="1"/>
    <w:link w:val="259"/>
    <w:qFormat/>
    <w:uiPriority w:val="0"/>
    <w:pPr>
      <w:numPr>
        <w:ilvl w:val="0"/>
        <w:numId w:val="8"/>
      </w:numPr>
      <w:jc w:val="center"/>
    </w:pPr>
    <w:rPr>
      <w:rFonts w:eastAsia="华文中宋"/>
      <w:b/>
      <w:color w:val="E36C0A"/>
    </w:rPr>
  </w:style>
  <w:style w:type="character" w:customStyle="1" w:styleId="261">
    <w:name w:val="图表题注样式 Char"/>
    <w:link w:val="262"/>
    <w:qFormat/>
    <w:uiPriority w:val="0"/>
    <w:rPr>
      <w:rFonts w:ascii="Cambria" w:hAnsi="Cambria" w:eastAsia="黑体" w:cs="宋体"/>
      <w:b/>
      <w:kern w:val="2"/>
      <w:sz w:val="21"/>
      <w:szCs w:val="21"/>
    </w:rPr>
  </w:style>
  <w:style w:type="paragraph" w:customStyle="1" w:styleId="262">
    <w:name w:val="图表题注样式"/>
    <w:basedOn w:val="19"/>
    <w:link w:val="261"/>
    <w:qFormat/>
    <w:uiPriority w:val="0"/>
    <w:pPr>
      <w:adjustRightInd/>
      <w:snapToGrid/>
      <w:spacing w:before="0" w:after="0" w:line="360" w:lineRule="auto"/>
      <w:textAlignment w:val="auto"/>
    </w:pPr>
    <w:rPr>
      <w:rFonts w:ascii="Cambria" w:hAnsi="Cambria" w:eastAsia="黑体"/>
      <w:kern w:val="2"/>
      <w:sz w:val="21"/>
    </w:rPr>
  </w:style>
  <w:style w:type="character" w:customStyle="1" w:styleId="263">
    <w:name w:val="无缩进正文 Char"/>
    <w:link w:val="264"/>
    <w:qFormat/>
    <w:locked/>
    <w:uiPriority w:val="0"/>
    <w:rPr>
      <w:rFonts w:ascii="Calibri" w:hAnsi="Calibri" w:eastAsia="微软雅黑" w:cs="Calibri"/>
      <w:kern w:val="2"/>
      <w:sz w:val="21"/>
      <w:szCs w:val="24"/>
    </w:rPr>
  </w:style>
  <w:style w:type="paragraph" w:customStyle="1" w:styleId="264">
    <w:name w:val="无缩进正文"/>
    <w:basedOn w:val="1"/>
    <w:link w:val="263"/>
    <w:qFormat/>
    <w:uiPriority w:val="0"/>
    <w:pPr>
      <w:snapToGrid w:val="0"/>
    </w:pPr>
    <w:rPr>
      <w:rFonts w:ascii="Calibri" w:hAnsi="Calibri" w:eastAsia="微软雅黑"/>
      <w:sz w:val="21"/>
    </w:rPr>
  </w:style>
  <w:style w:type="character" w:customStyle="1" w:styleId="265">
    <w:name w:val="申报书正文 Char"/>
    <w:link w:val="266"/>
    <w:qFormat/>
    <w:uiPriority w:val="0"/>
    <w:rPr>
      <w:rFonts w:ascii="仿宋_GB2312" w:eastAsia="仿宋_GB2312"/>
      <w:kern w:val="2"/>
      <w:sz w:val="24"/>
      <w:szCs w:val="32"/>
    </w:rPr>
  </w:style>
  <w:style w:type="paragraph" w:customStyle="1" w:styleId="266">
    <w:name w:val="申报书正文"/>
    <w:basedOn w:val="1"/>
    <w:link w:val="265"/>
    <w:qFormat/>
    <w:uiPriority w:val="0"/>
    <w:pPr>
      <w:spacing w:line="560" w:lineRule="exact"/>
      <w:ind w:firstLine="640"/>
    </w:pPr>
    <w:rPr>
      <w:rFonts w:ascii="仿宋_GB2312" w:eastAsia="仿宋_GB2312"/>
      <w:szCs w:val="32"/>
    </w:rPr>
  </w:style>
  <w:style w:type="character" w:customStyle="1" w:styleId="267">
    <w:name w:val="表格字体 Char"/>
    <w:link w:val="268"/>
    <w:qFormat/>
    <w:uiPriority w:val="0"/>
    <w:rPr>
      <w:rFonts w:ascii="仿宋_GB2312" w:hAnsi="Arial" w:eastAsia="仿宋_GB2312"/>
      <w:sz w:val="24"/>
      <w:szCs w:val="24"/>
    </w:rPr>
  </w:style>
  <w:style w:type="paragraph" w:customStyle="1" w:styleId="268">
    <w:name w:val="表格字体"/>
    <w:basedOn w:val="1"/>
    <w:link w:val="267"/>
    <w:qFormat/>
    <w:uiPriority w:val="0"/>
    <w:pPr>
      <w:widowControl/>
      <w:snapToGrid w:val="0"/>
      <w:spacing w:line="360" w:lineRule="auto"/>
      <w:ind w:firstLine="0" w:firstLineChars="0"/>
      <w:jc w:val="left"/>
    </w:pPr>
    <w:rPr>
      <w:rFonts w:ascii="仿宋_GB2312" w:hAnsi="Arial" w:eastAsia="仿宋_GB2312"/>
      <w:kern w:val="0"/>
    </w:rPr>
  </w:style>
  <w:style w:type="character" w:customStyle="1" w:styleId="269">
    <w:name w:val="申请书正文 Char"/>
    <w:link w:val="270"/>
    <w:qFormat/>
    <w:uiPriority w:val="0"/>
    <w:rPr>
      <w:rFonts w:ascii="仿宋_GB2312" w:eastAsia="仿宋_GB2312"/>
      <w:sz w:val="32"/>
      <w:szCs w:val="32"/>
    </w:rPr>
  </w:style>
  <w:style w:type="paragraph" w:customStyle="1" w:styleId="270">
    <w:name w:val="申请书正文"/>
    <w:basedOn w:val="1"/>
    <w:link w:val="269"/>
    <w:qFormat/>
    <w:uiPriority w:val="0"/>
    <w:pPr>
      <w:widowControl/>
      <w:spacing w:line="240" w:lineRule="auto"/>
      <w:ind w:firstLine="640" w:firstLineChars="0"/>
      <w:jc w:val="left"/>
    </w:pPr>
    <w:rPr>
      <w:rFonts w:ascii="仿宋_GB2312" w:eastAsia="仿宋_GB2312"/>
      <w:kern w:val="0"/>
      <w:sz w:val="32"/>
      <w:szCs w:val="32"/>
    </w:rPr>
  </w:style>
  <w:style w:type="character" w:customStyle="1" w:styleId="271">
    <w:name w:val="图形居中 Char"/>
    <w:link w:val="272"/>
    <w:qFormat/>
    <w:uiPriority w:val="0"/>
    <w:rPr>
      <w:rFonts w:eastAsia="仿宋"/>
      <w:sz w:val="32"/>
      <w:lang w:val="en-US" w:eastAsia="zh-CN"/>
    </w:rPr>
  </w:style>
  <w:style w:type="paragraph" w:customStyle="1" w:styleId="272">
    <w:name w:val="图形居中"/>
    <w:basedOn w:val="1"/>
    <w:link w:val="271"/>
    <w:qFormat/>
    <w:uiPriority w:val="0"/>
    <w:pPr>
      <w:widowControl/>
      <w:spacing w:line="240" w:lineRule="auto"/>
      <w:ind w:firstLine="0" w:firstLineChars="0"/>
      <w:jc w:val="center"/>
    </w:pPr>
    <w:rPr>
      <w:rFonts w:eastAsia="仿宋"/>
      <w:kern w:val="0"/>
      <w:sz w:val="32"/>
      <w:szCs w:val="20"/>
      <w:lang w:val="en-US" w:eastAsia="zh-CN"/>
    </w:rPr>
  </w:style>
  <w:style w:type="character" w:customStyle="1" w:styleId="273">
    <w:name w:val="正文内序号 Char"/>
    <w:link w:val="274"/>
    <w:qFormat/>
    <w:uiPriority w:val="0"/>
    <w:rPr>
      <w:rFonts w:eastAsia="仿宋"/>
      <w:kern w:val="2"/>
      <w:sz w:val="32"/>
      <w:szCs w:val="22"/>
    </w:rPr>
  </w:style>
  <w:style w:type="paragraph" w:customStyle="1" w:styleId="274">
    <w:name w:val="正文内序号"/>
    <w:basedOn w:val="146"/>
    <w:link w:val="273"/>
    <w:qFormat/>
    <w:uiPriority w:val="0"/>
    <w:pPr>
      <w:widowControl/>
      <w:numPr>
        <w:ilvl w:val="0"/>
        <w:numId w:val="9"/>
      </w:numPr>
      <w:spacing w:line="240" w:lineRule="auto"/>
      <w:ind w:left="1060" w:hanging="420" w:firstLineChars="0"/>
      <w:jc w:val="left"/>
    </w:pPr>
    <w:rPr>
      <w:rFonts w:eastAsia="仿宋"/>
      <w:sz w:val="32"/>
      <w:szCs w:val="22"/>
    </w:rPr>
  </w:style>
  <w:style w:type="character" w:customStyle="1" w:styleId="275">
    <w:name w:val="正文内符号 Char"/>
    <w:link w:val="276"/>
    <w:qFormat/>
    <w:uiPriority w:val="0"/>
    <w:rPr>
      <w:rFonts w:eastAsia="仿宋"/>
      <w:kern w:val="2"/>
      <w:sz w:val="32"/>
      <w:szCs w:val="22"/>
    </w:rPr>
  </w:style>
  <w:style w:type="paragraph" w:customStyle="1" w:styleId="276">
    <w:name w:val="正文内符号"/>
    <w:basedOn w:val="146"/>
    <w:link w:val="275"/>
    <w:qFormat/>
    <w:uiPriority w:val="0"/>
    <w:pPr>
      <w:widowControl/>
      <w:spacing w:line="240" w:lineRule="auto"/>
      <w:ind w:left="1060" w:hanging="420" w:firstLineChars="0"/>
      <w:jc w:val="left"/>
    </w:pPr>
    <w:rPr>
      <w:rFonts w:eastAsia="仿宋"/>
      <w:sz w:val="32"/>
      <w:szCs w:val="22"/>
    </w:rPr>
  </w:style>
  <w:style w:type="character" w:customStyle="1" w:styleId="277">
    <w:name w:val="正文内二级符号 Char"/>
    <w:link w:val="278"/>
    <w:qFormat/>
    <w:uiPriority w:val="0"/>
    <w:rPr>
      <w:rFonts w:eastAsia="仿宋"/>
      <w:kern w:val="2"/>
      <w:sz w:val="32"/>
      <w:szCs w:val="22"/>
    </w:rPr>
  </w:style>
  <w:style w:type="paragraph" w:customStyle="1" w:styleId="278">
    <w:name w:val="正文内二级符号"/>
    <w:basedOn w:val="276"/>
    <w:link w:val="277"/>
    <w:qFormat/>
    <w:uiPriority w:val="0"/>
    <w:pPr>
      <w:numPr>
        <w:ilvl w:val="1"/>
        <w:numId w:val="9"/>
      </w:numPr>
      <w:ind w:left="1480" w:hanging="420"/>
    </w:pPr>
  </w:style>
  <w:style w:type="character" w:customStyle="1" w:styleId="279">
    <w:name w:val="param-explain"/>
    <w:basedOn w:val="66"/>
    <w:qFormat/>
    <w:uiPriority w:val="0"/>
  </w:style>
  <w:style w:type="character" w:customStyle="1" w:styleId="280">
    <w:name w:val="font01"/>
    <w:qFormat/>
    <w:uiPriority w:val="0"/>
    <w:rPr>
      <w:rFonts w:hint="eastAsia" w:ascii="宋体" w:hAnsi="宋体" w:eastAsia="宋体" w:cs="宋体"/>
      <w:color w:val="000000"/>
      <w:sz w:val="18"/>
      <w:szCs w:val="18"/>
      <w:u w:val="none"/>
    </w:rPr>
  </w:style>
  <w:style w:type="character" w:customStyle="1" w:styleId="281">
    <w:name w:val="16"/>
    <w:qFormat/>
    <w:uiPriority w:val="0"/>
    <w:rPr>
      <w:rFonts w:hint="default" w:ascii="Wingdings 2" w:hAnsi="Wingdings 2"/>
      <w:b/>
      <w:bCs/>
      <w:color w:val="000000"/>
      <w:sz w:val="18"/>
      <w:szCs w:val="18"/>
    </w:rPr>
  </w:style>
  <w:style w:type="character" w:customStyle="1" w:styleId="282">
    <w:name w:val="15"/>
    <w:qFormat/>
    <w:uiPriority w:val="0"/>
    <w:rPr>
      <w:rFonts w:hint="eastAsia" w:ascii="宋体" w:hAnsi="宋体" w:eastAsia="宋体"/>
      <w:b/>
      <w:bCs/>
      <w:color w:val="000000"/>
      <w:sz w:val="18"/>
      <w:szCs w:val="18"/>
    </w:rPr>
  </w:style>
  <w:style w:type="character" w:customStyle="1" w:styleId="283">
    <w:name w:val="long_text"/>
    <w:qFormat/>
    <w:uiPriority w:val="0"/>
  </w:style>
  <w:style w:type="paragraph" w:customStyle="1" w:styleId="284">
    <w:name w:val="Char Char Char Char Char Char Char Char Char Char Char Char Char Char"/>
    <w:basedOn w:val="1"/>
    <w:qFormat/>
    <w:uiPriority w:val="0"/>
    <w:rPr>
      <w:rFonts w:ascii="Tahoma" w:hAnsi="Tahoma"/>
      <w:szCs w:val="20"/>
    </w:rPr>
  </w:style>
  <w:style w:type="paragraph" w:customStyle="1" w:styleId="28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86">
    <w:name w:val="xl210"/>
    <w:basedOn w:val="1"/>
    <w:qFormat/>
    <w:uiPriority w:val="0"/>
    <w:pPr>
      <w:widowControl/>
      <w:pBdr>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287">
    <w:name w:val="5"/>
    <w:basedOn w:val="1"/>
    <w:next w:val="1"/>
    <w:qFormat/>
    <w:uiPriority w:val="0"/>
    <w:pPr>
      <w:numPr>
        <w:ilvl w:val="4"/>
        <w:numId w:val="9"/>
      </w:numPr>
      <w:autoSpaceDE w:val="0"/>
      <w:autoSpaceDN w:val="0"/>
      <w:spacing w:line="240" w:lineRule="atLeast"/>
    </w:pPr>
    <w:rPr>
      <w:rFonts w:ascii="宋体"/>
      <w:b/>
      <w:szCs w:val="32"/>
    </w:rPr>
  </w:style>
  <w:style w:type="paragraph" w:customStyle="1" w:styleId="288">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89">
    <w:name w:val="xl1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90">
    <w:name w:val=" Char1"/>
    <w:basedOn w:val="1"/>
    <w:qFormat/>
    <w:uiPriority w:val="0"/>
    <w:pPr>
      <w:adjustRightInd w:val="0"/>
      <w:spacing w:line="360" w:lineRule="auto"/>
    </w:pPr>
    <w:rPr>
      <w:kern w:val="0"/>
      <w:szCs w:val="20"/>
    </w:rPr>
  </w:style>
  <w:style w:type="paragraph" w:customStyle="1" w:styleId="291">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29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94">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95">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96">
    <w:name w:val="表项"/>
    <w:next w:val="29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9">
    <w:name w:val="_Style 498"/>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01">
    <w:name w:val="正文2"/>
    <w:basedOn w:val="1"/>
    <w:qFormat/>
    <w:uiPriority w:val="0"/>
    <w:pPr>
      <w:spacing w:before="156" w:line="360" w:lineRule="auto"/>
      <w:ind w:firstLine="510"/>
    </w:pPr>
    <w:rPr>
      <w:szCs w:val="20"/>
    </w:rPr>
  </w:style>
  <w:style w:type="paragraph" w:customStyle="1" w:styleId="302">
    <w:name w:val=" 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4">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0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符号）三标题1.1"/>
    <w:basedOn w:val="1"/>
    <w:qFormat/>
    <w:uiPriority w:val="0"/>
    <w:pPr>
      <w:numPr>
        <w:ilvl w:val="1"/>
        <w:numId w:val="10"/>
      </w:numPr>
      <w:spacing w:line="500" w:lineRule="exact"/>
      <w:ind w:firstLine="0" w:firstLineChars="0"/>
    </w:pPr>
    <w:rPr>
      <w:rFonts w:ascii="宋体" w:hAnsi="宋体"/>
    </w:rPr>
  </w:style>
  <w:style w:type="paragraph" w:customStyle="1" w:styleId="30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0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0">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1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3">
    <w:name w:val="默认段落字体 Para Char Char"/>
    <w:basedOn w:val="1"/>
    <w:qFormat/>
    <w:uiPriority w:val="0"/>
    <w:pPr>
      <w:spacing w:line="360" w:lineRule="auto"/>
    </w:pPr>
    <w:rPr>
      <w:color w:val="000000"/>
      <w:sz w:val="21"/>
      <w:szCs w:val="20"/>
    </w:rPr>
  </w:style>
  <w:style w:type="paragraph" w:customStyle="1" w:styleId="314">
    <w:name w:val="p0"/>
    <w:basedOn w:val="1"/>
    <w:qFormat/>
    <w:uiPriority w:val="0"/>
    <w:pPr>
      <w:widowControl/>
    </w:pPr>
    <w:rPr>
      <w:kern w:val="0"/>
      <w:szCs w:val="21"/>
    </w:rPr>
  </w:style>
  <w:style w:type="paragraph" w:customStyle="1" w:styleId="315">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16">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1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9">
    <w:name w:val="摘要"/>
    <w:basedOn w:val="1"/>
    <w:next w:val="5"/>
    <w:qFormat/>
    <w:uiPriority w:val="0"/>
    <w:pPr>
      <w:spacing w:line="360" w:lineRule="auto"/>
      <w:ind w:firstLine="0" w:firstLineChars="0"/>
    </w:pPr>
    <w:rPr>
      <w:rFonts w:eastAsia="黑体"/>
      <w:sz w:val="20"/>
    </w:rPr>
  </w:style>
  <w:style w:type="paragraph" w:customStyle="1" w:styleId="320">
    <w:name w:val="DAS列表二"/>
    <w:basedOn w:val="240"/>
    <w:next w:val="240"/>
    <w:qFormat/>
    <w:uiPriority w:val="0"/>
    <w:pPr>
      <w:numPr>
        <w:ilvl w:val="0"/>
        <w:numId w:val="11"/>
      </w:numPr>
      <w:ind w:firstLineChars="0"/>
    </w:pPr>
  </w:style>
  <w:style w:type="paragraph" w:customStyle="1" w:styleId="3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22">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2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25">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7">
    <w:name w:val="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30">
    <w:name w:val="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1">
    <w:name w:val="标题无"/>
    <w:basedOn w:val="1"/>
    <w:qFormat/>
    <w:uiPriority w:val="0"/>
    <w:pPr>
      <w:spacing w:line="360" w:lineRule="auto"/>
      <w:ind w:firstLine="0" w:firstLineChars="0"/>
    </w:pPr>
    <w:rPr>
      <w:lang w:val="en-US" w:eastAsia="zh-CN"/>
    </w:rPr>
  </w:style>
  <w:style w:type="paragraph" w:customStyle="1" w:styleId="332">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3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5">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6">
    <w:name w:val=" Char Char Char Char"/>
    <w:basedOn w:val="21"/>
    <w:qFormat/>
    <w:uiPriority w:val="0"/>
    <w:rPr>
      <w:szCs w:val="20"/>
    </w:rPr>
  </w:style>
  <w:style w:type="paragraph" w:customStyle="1" w:styleId="337">
    <w:name w:val="正文编号2"/>
    <w:basedOn w:val="1"/>
    <w:qFormat/>
    <w:uiPriority w:val="0"/>
    <w:pPr>
      <w:spacing w:line="240" w:lineRule="auto"/>
      <w:ind w:firstLine="0" w:firstLineChars="0"/>
    </w:pPr>
    <w:rPr>
      <w:rFonts w:eastAsia="楷体_GB2312"/>
      <w:kern w:val="0"/>
      <w:sz w:val="28"/>
    </w:rPr>
  </w:style>
  <w:style w:type="paragraph" w:customStyle="1" w:styleId="33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39">
    <w:name w:val="页眉 New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标题 3列表编号3h33rd level + 段前: 1 行"/>
    <w:basedOn w:val="6"/>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4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3">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34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6">
    <w:name w:val="*正文"/>
    <w:basedOn w:val="1"/>
    <w:qFormat/>
    <w:uiPriority w:val="0"/>
    <w:pPr>
      <w:spacing w:line="240" w:lineRule="auto"/>
      <w:ind w:firstLine="480"/>
    </w:pPr>
    <w:rPr>
      <w:rFonts w:ascii="宋体" w:hAnsi="宋体"/>
      <w:kern w:val="0"/>
      <w:sz w:val="21"/>
      <w:szCs w:val="20"/>
    </w:rPr>
  </w:style>
  <w:style w:type="paragraph" w:customStyle="1" w:styleId="34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0">
    <w:name w:val="Title - Revision"/>
    <w:basedOn w:val="60"/>
    <w:qFormat/>
    <w:uiPriority w:val="0"/>
    <w:pPr>
      <w:spacing w:before="720"/>
      <w:ind w:firstLine="0" w:firstLineChars="0"/>
    </w:pPr>
    <w:rPr>
      <w:rFonts w:eastAsia="Times New Roman"/>
      <w:lang w:val="en-US"/>
    </w:rPr>
  </w:style>
  <w:style w:type="paragraph" w:customStyle="1" w:styleId="35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2">
    <w:name w:val=" Char2"/>
    <w:basedOn w:val="1"/>
    <w:qFormat/>
    <w:uiPriority w:val="0"/>
    <w:pPr>
      <w:adjustRightInd w:val="0"/>
      <w:spacing w:line="360" w:lineRule="auto"/>
    </w:pPr>
    <w:rPr>
      <w:kern w:val="0"/>
      <w:szCs w:val="20"/>
    </w:rPr>
  </w:style>
  <w:style w:type="paragraph" w:customStyle="1" w:styleId="353">
    <w:name w:val="TOC Heading"/>
    <w:basedOn w:val="4"/>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35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5">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3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5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58">
    <w:name w:val="列出段落1"/>
    <w:basedOn w:val="1"/>
    <w:qFormat/>
    <w:uiPriority w:val="0"/>
    <w:pPr>
      <w:spacing w:line="240" w:lineRule="auto"/>
      <w:ind w:firstLine="420"/>
    </w:pPr>
    <w:rPr>
      <w:rFonts w:ascii="Calibri" w:hAnsi="Calibri"/>
      <w:sz w:val="21"/>
      <w:szCs w:val="22"/>
    </w:rPr>
  </w:style>
  <w:style w:type="paragraph" w:customStyle="1" w:styleId="359">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0">
    <w:name w:val="台头"/>
    <w:basedOn w:val="1"/>
    <w:qFormat/>
    <w:uiPriority w:val="0"/>
    <w:pPr>
      <w:spacing w:before="60" w:after="60" w:line="360" w:lineRule="auto"/>
      <w:ind w:firstLine="482" w:firstLineChars="0"/>
    </w:pPr>
    <w:rPr>
      <w:rFonts w:eastAsia="楷体_GB2312"/>
      <w:szCs w:val="20"/>
    </w:rPr>
  </w:style>
  <w:style w:type="paragraph" w:customStyle="1" w:styleId="36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36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64">
    <w:name w:val="tb-subtitle"/>
    <w:basedOn w:val="1"/>
    <w:qFormat/>
    <w:uiPriority w:val="0"/>
    <w:pPr>
      <w:widowControl/>
      <w:spacing w:before="100" w:beforeAutospacing="1" w:after="100" w:afterAutospacing="1"/>
      <w:jc w:val="left"/>
    </w:pPr>
    <w:rPr>
      <w:rFonts w:ascii="宋体" w:hAnsi="宋体" w:cs="宋体"/>
      <w:kern w:val="0"/>
    </w:rPr>
  </w:style>
  <w:style w:type="paragraph" w:customStyle="1" w:styleId="36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6">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67">
    <w:name w:val=" Char"/>
    <w:basedOn w:val="21"/>
    <w:qFormat/>
    <w:uiPriority w:val="0"/>
    <w:rPr>
      <w:rFonts w:ascii="Tahoma" w:hAnsi="Tahoma"/>
      <w:sz w:val="24"/>
    </w:rPr>
  </w:style>
  <w:style w:type="paragraph" w:customStyle="1" w:styleId="36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9">
    <w:name w:val="标题2"/>
    <w:basedOn w:val="5"/>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37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71">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373">
    <w:name w:val="Body Text Indent 2"/>
    <w:basedOn w:val="1"/>
    <w:qFormat/>
    <w:uiPriority w:val="0"/>
    <w:pPr>
      <w:adjustRightInd w:val="0"/>
      <w:spacing w:before="120" w:line="240" w:lineRule="auto"/>
      <w:ind w:firstLine="420" w:firstLineChars="0"/>
      <w:textAlignment w:val="baseline"/>
    </w:pPr>
    <w:rPr>
      <w:szCs w:val="20"/>
    </w:rPr>
  </w:style>
  <w:style w:type="paragraph" w:customStyle="1" w:styleId="374">
    <w:name w:val="Char1"/>
    <w:basedOn w:val="1"/>
    <w:qFormat/>
    <w:uiPriority w:val="0"/>
    <w:pPr>
      <w:adjustRightInd w:val="0"/>
      <w:spacing w:line="360" w:lineRule="auto"/>
    </w:pPr>
    <w:rPr>
      <w:kern w:val="0"/>
      <w:szCs w:val="20"/>
    </w:rPr>
  </w:style>
  <w:style w:type="paragraph" w:customStyle="1" w:styleId="375">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76">
    <w:name w:val="Char Char Char"/>
    <w:basedOn w:val="1"/>
    <w:qFormat/>
    <w:uiPriority w:val="0"/>
    <w:rPr>
      <w:rFonts w:ascii="Tahoma" w:hAnsi="Tahoma"/>
      <w:szCs w:val="20"/>
    </w:rPr>
  </w:style>
  <w:style w:type="paragraph" w:customStyle="1" w:styleId="3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79">
    <w:name w:val="Char Char Char Char Char2 Char2"/>
    <w:basedOn w:val="1"/>
    <w:qFormat/>
    <w:uiPriority w:val="0"/>
    <w:pPr>
      <w:spacing w:line="240" w:lineRule="auto"/>
      <w:ind w:firstLine="0" w:firstLineChars="0"/>
    </w:pPr>
    <w:rPr>
      <w:sz w:val="21"/>
      <w:szCs w:val="20"/>
    </w:rPr>
  </w:style>
  <w:style w:type="paragraph" w:customStyle="1" w:styleId="38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1">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82">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83">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4">
    <w:name w:val="项目"/>
    <w:basedOn w:val="1"/>
    <w:qFormat/>
    <w:uiPriority w:val="0"/>
    <w:pPr>
      <w:numPr>
        <w:ilvl w:val="0"/>
        <w:numId w:val="12"/>
      </w:numPr>
      <w:tabs>
        <w:tab w:val="left" w:pos="840"/>
        <w:tab w:val="clear" w:pos="360"/>
      </w:tabs>
      <w:spacing w:before="120" w:after="120" w:line="360" w:lineRule="auto"/>
      <w:ind w:firstLineChars="0"/>
      <w:jc w:val="left"/>
      <w:textAlignment w:val="baseline"/>
    </w:pPr>
    <w:rPr>
      <w:rFonts w:ascii="宋体"/>
      <w:kern w:val="0"/>
      <w:szCs w:val="20"/>
    </w:rPr>
  </w:style>
  <w:style w:type="paragraph" w:customStyle="1" w:styleId="38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86">
    <w:name w:val="正文段"/>
    <w:basedOn w:val="1"/>
    <w:qFormat/>
    <w:uiPriority w:val="0"/>
    <w:pPr>
      <w:spacing w:line="312" w:lineRule="auto"/>
      <w:ind w:firstLine="560" w:firstLineChars="0"/>
    </w:pPr>
    <w:rPr>
      <w:sz w:val="28"/>
      <w:szCs w:val="28"/>
    </w:rPr>
  </w:style>
  <w:style w:type="paragraph" w:customStyle="1" w:styleId="387">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8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9">
    <w:name w:val="删除"/>
    <w:basedOn w:val="390"/>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390">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92">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93">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94">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95">
    <w:name w:val="Char Char Char Char Char Char Char"/>
    <w:basedOn w:val="1"/>
    <w:uiPriority w:val="0"/>
    <w:rPr>
      <w:szCs w:val="20"/>
    </w:rPr>
  </w:style>
  <w:style w:type="paragraph" w:customStyle="1" w:styleId="39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黑方框"/>
    <w:basedOn w:val="1"/>
    <w:qFormat/>
    <w:uiPriority w:val="0"/>
    <w:pPr>
      <w:spacing w:before="60" w:after="60" w:line="288" w:lineRule="auto"/>
      <w:ind w:firstLine="0" w:firstLineChars="0"/>
    </w:pPr>
    <w:rPr>
      <w:rFonts w:cs="宋体"/>
      <w:sz w:val="21"/>
      <w:szCs w:val="21"/>
    </w:rPr>
  </w:style>
  <w:style w:type="paragraph" w:customStyle="1" w:styleId="39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02">
    <w:name w:val="DOT Text"/>
    <w:basedOn w:val="9"/>
    <w:qFormat/>
    <w:uiPriority w:val="0"/>
    <w:pPr>
      <w:numPr>
        <w:ilvl w:val="0"/>
        <w:numId w:val="13"/>
      </w:numPr>
      <w:tabs>
        <w:tab w:val="left" w:pos="1680"/>
        <w:tab w:val="clear" w:pos="840"/>
        <w:tab w:val="clear" w:pos="420"/>
        <w:tab w:val="clear" w:pos="1260"/>
      </w:tabs>
      <w:spacing w:beforeLines="25" w:afterLines="25"/>
      <w:ind w:firstLineChars="0"/>
    </w:pPr>
  </w:style>
  <w:style w:type="paragraph" w:customStyle="1" w:styleId="403">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404">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05">
    <w:name w:val="样式 标题 2h2sect 1.2H2UNDERRUBRIK 1-2hhHeading TwoProphead 2..."/>
    <w:basedOn w:val="5"/>
    <w:qFormat/>
    <w:uiPriority w:val="0"/>
    <w:pPr>
      <w:keepLines/>
      <w:widowControl w:val="0"/>
      <w:numPr>
        <w:ilvl w:val="1"/>
        <w:numId w:val="14"/>
      </w:numPr>
      <w:snapToGrid/>
      <w:spacing w:before="312" w:after="312"/>
      <w:jc w:val="left"/>
    </w:pPr>
    <w:rPr>
      <w:rFonts w:ascii="黑体" w:hAnsi="宋体" w:eastAsia="黑体"/>
      <w:bCs/>
      <w:sz w:val="30"/>
      <w:szCs w:val="30"/>
    </w:rPr>
  </w:style>
  <w:style w:type="paragraph" w:customStyle="1" w:styleId="406">
    <w:name w:val="关键词"/>
    <w:basedOn w:val="1"/>
    <w:next w:val="1"/>
    <w:qFormat/>
    <w:uiPriority w:val="0"/>
    <w:pPr>
      <w:spacing w:line="360" w:lineRule="auto"/>
      <w:ind w:firstLine="0" w:firstLineChars="0"/>
    </w:pPr>
    <w:rPr>
      <w:rFonts w:eastAsia="黑体"/>
      <w:sz w:val="20"/>
    </w:rPr>
  </w:style>
  <w:style w:type="paragraph" w:customStyle="1" w:styleId="40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10">
    <w:name w:val="正文表格"/>
    <w:basedOn w:val="1"/>
    <w:qFormat/>
    <w:uiPriority w:val="0"/>
    <w:pPr>
      <w:adjustRightInd w:val="0"/>
      <w:spacing w:before="40" w:after="40" w:line="240" w:lineRule="auto"/>
      <w:ind w:firstLine="0" w:firstLineChars="0"/>
    </w:pPr>
    <w:rPr>
      <w:szCs w:val="20"/>
    </w:rPr>
  </w:style>
  <w:style w:type="paragraph" w:customStyle="1" w:styleId="41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1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4">
    <w:name w:val="_"/>
    <w:basedOn w:val="1"/>
    <w:qFormat/>
    <w:uiPriority w:val="0"/>
    <w:pPr>
      <w:adjustRightInd w:val="0"/>
      <w:spacing w:line="360" w:lineRule="auto"/>
      <w:ind w:left="480"/>
      <w:textAlignment w:val="baseline"/>
    </w:pPr>
    <w:rPr>
      <w:kern w:val="0"/>
      <w:szCs w:val="20"/>
    </w:rPr>
  </w:style>
  <w:style w:type="paragraph" w:customStyle="1" w:styleId="415">
    <w:name w:val="样式 正文文本缩进 + 段前: 2 字符"/>
    <w:basedOn w:val="1"/>
    <w:qFormat/>
    <w:uiPriority w:val="0"/>
    <w:pPr>
      <w:ind w:left="420" w:leftChars="200"/>
      <w:jc w:val="left"/>
    </w:pPr>
    <w:rPr>
      <w:sz w:val="28"/>
      <w:lang w:eastAsia="zh-TW"/>
    </w:rPr>
  </w:style>
  <w:style w:type="paragraph" w:customStyle="1" w:styleId="416">
    <w:name w:val="图片文字"/>
    <w:basedOn w:val="1"/>
    <w:qFormat/>
    <w:uiPriority w:val="0"/>
    <w:pPr>
      <w:spacing w:line="240" w:lineRule="atLeast"/>
      <w:ind w:firstLine="0" w:firstLineChars="0"/>
      <w:jc w:val="center"/>
    </w:pPr>
    <w:rPr>
      <w:sz w:val="21"/>
      <w:szCs w:val="21"/>
    </w:rPr>
  </w:style>
  <w:style w:type="paragraph" w:customStyle="1" w:styleId="417">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1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19">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1">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2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42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30">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3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3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36">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3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4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4">
    <w:name w:val="样式 普通正文 + 五号 首行缩进:  2 字符"/>
    <w:basedOn w:val="1"/>
    <w:qFormat/>
    <w:uiPriority w:val="0"/>
    <w:pPr>
      <w:spacing w:line="360" w:lineRule="auto"/>
      <w:ind w:firstLine="420"/>
    </w:pPr>
    <w:rPr>
      <w:rFonts w:cs="宋体"/>
      <w:sz w:val="21"/>
      <w:szCs w:val="20"/>
    </w:rPr>
  </w:style>
  <w:style w:type="paragraph" w:customStyle="1" w:styleId="44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4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8">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9">
    <w:name w:val="样式3"/>
    <w:basedOn w:val="450"/>
    <w:qFormat/>
    <w:uiPriority w:val="0"/>
    <w:pPr>
      <w:ind w:firstLine="2080"/>
    </w:pPr>
    <w:rPr>
      <w:szCs w:val="72"/>
    </w:rPr>
  </w:style>
  <w:style w:type="paragraph" w:customStyle="1" w:styleId="450">
    <w:name w:val="样式1"/>
    <w:basedOn w:val="32"/>
    <w:next w:val="25"/>
    <w:uiPriority w:val="0"/>
    <w:pPr>
      <w:ind w:firstLine="1958" w:firstLineChars="650"/>
    </w:pPr>
    <w:rPr>
      <w:rFonts w:ascii="仿宋_GB2312" w:hAnsi="仿宋_GB2312" w:eastAsia="仿宋_GB2312"/>
      <w:sz w:val="32"/>
    </w:rPr>
  </w:style>
  <w:style w:type="paragraph" w:customStyle="1" w:styleId="451">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 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53">
    <w:name w:val="@"/>
    <w:basedOn w:val="1"/>
    <w:qFormat/>
    <w:uiPriority w:val="0"/>
    <w:pPr>
      <w:tabs>
        <w:tab w:val="left" w:pos="360"/>
      </w:tabs>
      <w:spacing w:afterLines="50" w:line="360" w:lineRule="auto"/>
      <w:ind w:left="360" w:hanging="360" w:firstLineChars="0"/>
    </w:pPr>
  </w:style>
  <w:style w:type="paragraph" w:customStyle="1" w:styleId="45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56">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5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8">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59">
    <w:name w:val="tableheading"/>
    <w:basedOn w:val="1"/>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46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461">
    <w:name w:val="二级列表"/>
    <w:basedOn w:val="462"/>
    <w:next w:val="462"/>
    <w:qFormat/>
    <w:uiPriority w:val="0"/>
    <w:pPr>
      <w:tabs>
        <w:tab w:val="left" w:pos="360"/>
        <w:tab w:val="left" w:pos="840"/>
      </w:tabs>
      <w:ind w:firstLine="0" w:firstLineChars="0"/>
    </w:pPr>
    <w:rPr>
      <w:b/>
    </w:rPr>
  </w:style>
  <w:style w:type="paragraph" w:customStyle="1" w:styleId="462">
    <w:name w:val="段落正文"/>
    <w:basedOn w:val="1"/>
    <w:qFormat/>
    <w:uiPriority w:val="0"/>
    <w:pPr>
      <w:spacing w:beforeLines="50" w:line="360" w:lineRule="auto"/>
    </w:pPr>
    <w:rPr>
      <w:spacing w:val="2"/>
    </w:rPr>
  </w:style>
  <w:style w:type="paragraph" w:customStyle="1" w:styleId="46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4">
    <w:name w:val="xl40"/>
    <w:basedOn w:val="1"/>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65">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67">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6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样式 小四 行距: 1.5 倍行距 首行缩进:  2 字符"/>
    <w:basedOn w:val="1"/>
    <w:qFormat/>
    <w:uiPriority w:val="0"/>
    <w:pPr>
      <w:spacing w:line="360" w:lineRule="auto"/>
      <w:ind w:firstLine="480"/>
    </w:pPr>
    <w:rPr>
      <w:rFonts w:cs="宋体"/>
      <w:szCs w:val="20"/>
    </w:rPr>
  </w:style>
  <w:style w:type="paragraph" w:customStyle="1" w:styleId="471">
    <w:name w:val="操作步骤"/>
    <w:basedOn w:val="1"/>
    <w:qFormat/>
    <w:uiPriority w:val="0"/>
    <w:pPr>
      <w:numPr>
        <w:ilvl w:val="0"/>
        <w:numId w:val="15"/>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472">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3">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5">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476">
    <w:name w:val="标准正文"/>
    <w:qFormat/>
    <w:uiPriority w:val="0"/>
    <w:pPr>
      <w:spacing w:before="60" w:after="60"/>
      <w:ind w:firstLine="482"/>
    </w:pPr>
    <w:rPr>
      <w:rFonts w:ascii="Arial" w:hAnsi="Arial" w:eastAsia="宋体" w:cs="Times New Roman"/>
      <w:lang w:val="en-US" w:eastAsia="zh-CN" w:bidi="ar-SA"/>
    </w:rPr>
  </w:style>
  <w:style w:type="paragraph" w:customStyle="1" w:styleId="47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78">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479">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8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481">
    <w:name w:val="CSS1级正文 Char"/>
    <w:basedOn w:val="2"/>
    <w:qFormat/>
    <w:uiPriority w:val="0"/>
    <w:pPr>
      <w:adjustRightInd w:val="0"/>
      <w:snapToGrid w:val="0"/>
      <w:spacing w:after="0" w:line="360" w:lineRule="auto"/>
      <w:ind w:firstLine="480" w:firstLineChars="0"/>
    </w:pPr>
    <w:rPr>
      <w:rFonts w:eastAsia="Times New Roman"/>
      <w:lang w:val="en-US" w:eastAsia="zh-CN"/>
    </w:rPr>
  </w:style>
  <w:style w:type="paragraph" w:customStyle="1" w:styleId="482">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8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5">
    <w:name w:val="标题3"/>
    <w:basedOn w:val="6"/>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486">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487">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text1"/>
    <w:basedOn w:val="1"/>
    <w:qFormat/>
    <w:uiPriority w:val="0"/>
    <w:pPr>
      <w:widowControl/>
      <w:spacing w:before="100" w:beforeAutospacing="1" w:after="100" w:afterAutospacing="1"/>
      <w:jc w:val="left"/>
    </w:pPr>
    <w:rPr>
      <w:rFonts w:ascii="宋体" w:hAnsi="宋体"/>
      <w:kern w:val="0"/>
    </w:rPr>
  </w:style>
  <w:style w:type="paragraph" w:customStyle="1" w:styleId="489">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90">
    <w:name w:val="正文首行缩进两字符"/>
    <w:basedOn w:val="1"/>
    <w:qFormat/>
    <w:uiPriority w:val="0"/>
    <w:pPr>
      <w:spacing w:line="360" w:lineRule="auto"/>
    </w:pPr>
    <w:rPr>
      <w:sz w:val="21"/>
    </w:rPr>
  </w:style>
  <w:style w:type="paragraph" w:customStyle="1" w:styleId="491">
    <w:name w:val="È±Ê¡ÎÄ±¾"/>
    <w:basedOn w:val="1"/>
    <w:qFormat/>
    <w:uiPriority w:val="0"/>
    <w:pPr>
      <w:widowControl/>
      <w:overflowPunct w:val="0"/>
      <w:autoSpaceDE w:val="0"/>
      <w:autoSpaceDN w:val="0"/>
      <w:adjustRightInd w:val="0"/>
      <w:jc w:val="left"/>
    </w:pPr>
    <w:rPr>
      <w:kern w:val="0"/>
      <w:szCs w:val="20"/>
    </w:rPr>
  </w:style>
  <w:style w:type="paragraph" w:customStyle="1" w:styleId="492">
    <w:name w:val="编号正文"/>
    <w:basedOn w:val="25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9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95">
    <w:name w:val="样式5"/>
    <w:basedOn w:val="171"/>
    <w:qFormat/>
    <w:uiPriority w:val="0"/>
    <w:pPr>
      <w:tabs>
        <w:tab w:val="clear" w:pos="1152"/>
      </w:tabs>
    </w:pPr>
  </w:style>
  <w:style w:type="paragraph" w:customStyle="1" w:styleId="4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7">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9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0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2">
    <w:name w:val="about_main1"/>
    <w:basedOn w:val="1"/>
    <w:qFormat/>
    <w:uiPriority w:val="0"/>
    <w:pPr>
      <w:widowControl/>
      <w:spacing w:before="30" w:after="100" w:afterAutospacing="1"/>
      <w:jc w:val="left"/>
    </w:pPr>
    <w:rPr>
      <w:rFonts w:ascii="宋体" w:hAnsi="宋体" w:cs="宋体"/>
      <w:kern w:val="0"/>
    </w:rPr>
  </w:style>
  <w:style w:type="paragraph" w:customStyle="1" w:styleId="503">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4">
    <w:name w:val="样式 正文首行缩进 2 + 行距: 2 倍行距"/>
    <w:basedOn w:val="63"/>
    <w:qFormat/>
    <w:uiPriority w:val="0"/>
    <w:pPr>
      <w:spacing w:after="0" w:line="360" w:lineRule="auto"/>
      <w:ind w:left="200" w:leftChars="200" w:firstLine="200"/>
    </w:pPr>
    <w:rPr>
      <w:rFonts w:eastAsia="宋体"/>
      <w:sz w:val="21"/>
      <w:szCs w:val="24"/>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06">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7">
    <w:name w:val="标题1"/>
    <w:basedOn w:val="4"/>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508">
    <w:name w:val="样式4"/>
    <w:basedOn w:val="1"/>
    <w:qFormat/>
    <w:uiPriority w:val="0"/>
    <w:pPr>
      <w:keepNext/>
      <w:keepLines/>
      <w:numPr>
        <w:ilvl w:val="0"/>
        <w:numId w:val="16"/>
      </w:numPr>
      <w:tabs>
        <w:tab w:val="clear" w:pos="360"/>
      </w:tabs>
      <w:spacing w:line="360" w:lineRule="auto"/>
      <w:ind w:left="0" w:firstLine="601"/>
      <w:outlineLvl w:val="1"/>
    </w:pPr>
    <w:rPr>
      <w:rFonts w:ascii="宋体" w:hAnsi="宋体"/>
      <w:b/>
      <w:bCs/>
      <w:sz w:val="30"/>
      <w:szCs w:val="30"/>
    </w:rPr>
  </w:style>
  <w:style w:type="paragraph" w:customStyle="1" w:styleId="50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12">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513">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4">
    <w:name w:val="标题3——2"/>
    <w:basedOn w:val="6"/>
    <w:next w:val="6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lang w:val="en-US" w:eastAsia="zh-CN"/>
    </w:rPr>
  </w:style>
  <w:style w:type="paragraph" w:customStyle="1" w:styleId="515">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16">
    <w:name w:val="List Paragraph1"/>
    <w:basedOn w:val="1"/>
    <w:qFormat/>
    <w:uiPriority w:val="0"/>
    <w:pPr>
      <w:spacing w:line="240" w:lineRule="auto"/>
      <w:ind w:firstLine="420"/>
    </w:pPr>
    <w:rPr>
      <w:rFonts w:ascii="Calibri" w:hAnsi="Calibri"/>
      <w:sz w:val="21"/>
      <w:szCs w:val="22"/>
    </w:rPr>
  </w:style>
  <w:style w:type="paragraph" w:customStyle="1" w:styleId="51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8">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9">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520">
    <w:name w:val="默认段落字体 Para Char Char Char Char Char Char Char"/>
    <w:basedOn w:val="1"/>
    <w:qFormat/>
    <w:uiPriority w:val="0"/>
    <w:rPr>
      <w:rFonts w:ascii="Tahoma" w:hAnsi="Tahoma"/>
      <w:b/>
      <w:szCs w:val="20"/>
    </w:rPr>
  </w:style>
  <w:style w:type="paragraph" w:customStyle="1" w:styleId="52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3">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2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25">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527">
    <w:name w:val="默认段落字体 Para Char Char Char Char Char Char Char Char Char1 Char"/>
    <w:basedOn w:val="1"/>
    <w:qFormat/>
    <w:uiPriority w:val="0"/>
    <w:rPr>
      <w:rFonts w:ascii="Tahoma" w:hAnsi="Tahoma"/>
      <w:szCs w:val="20"/>
    </w:rPr>
  </w:style>
  <w:style w:type="paragraph" w:customStyle="1" w:styleId="528">
    <w:name w:val="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30">
    <w:name w:val=" Char Char Char Char Char Char Char Char Char Char Char Char Char Char Char Char Char Char Char Char Char Char Char Char Char"/>
    <w:basedOn w:val="1"/>
    <w:qFormat/>
    <w:uiPriority w:val="0"/>
    <w:rPr>
      <w:rFonts w:ascii="Tahoma" w:hAnsi="Tahoma"/>
      <w:szCs w:val="20"/>
    </w:rPr>
  </w:style>
  <w:style w:type="paragraph" w:customStyle="1" w:styleId="531">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532">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53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537">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0">
    <w:name w:val="样式 样式 样式 样式 (西文) Arial 首行缩进:  2 字符1 + 首行缩进:  2 字符 + 首行缩进:  2 字符 ..."/>
    <w:basedOn w:val="1"/>
    <w:qFormat/>
    <w:uiPriority w:val="0"/>
    <w:pPr>
      <w:overflowPunct w:val="0"/>
      <w:autoSpaceDE w:val="0"/>
      <w:autoSpaceDN w:val="0"/>
      <w:spacing w:line="360" w:lineRule="auto"/>
      <w:ind w:firstLine="480"/>
    </w:pPr>
    <w:rPr>
      <w:rFonts w:ascii="Arial" w:hAnsi="Arial"/>
    </w:rPr>
  </w:style>
  <w:style w:type="paragraph" w:customStyle="1" w:styleId="541">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4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3">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44">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4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547">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lang w:val="en-US" w:eastAsia="zh-CN"/>
    </w:rPr>
  </w:style>
  <w:style w:type="paragraph" w:customStyle="1" w:styleId="548">
    <w:name w:val="列表内容"/>
    <w:basedOn w:val="1"/>
    <w:next w:val="1"/>
    <w:qFormat/>
    <w:uiPriority w:val="0"/>
    <w:pPr>
      <w:widowControl/>
      <w:numPr>
        <w:ilvl w:val="0"/>
        <w:numId w:val="17"/>
      </w:numPr>
      <w:jc w:val="left"/>
    </w:pPr>
    <w:rPr>
      <w:kern w:val="0"/>
      <w:sz w:val="18"/>
    </w:rPr>
  </w:style>
  <w:style w:type="paragraph" w:customStyle="1" w:styleId="549">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50">
    <w:name w:val="图标"/>
    <w:basedOn w:val="1"/>
    <w:next w:val="1"/>
    <w:qFormat/>
    <w:uiPriority w:val="0"/>
    <w:pPr>
      <w:numPr>
        <w:ilvl w:val="0"/>
        <w:numId w:val="18"/>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kern w:val="0"/>
      <w:szCs w:val="20"/>
    </w:rPr>
  </w:style>
  <w:style w:type="paragraph" w:customStyle="1" w:styleId="55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52">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3">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5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5">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6">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5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59">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0">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56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62">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63">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56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5">
    <w:name w:val="首行缩进2小四1"/>
    <w:basedOn w:val="1"/>
    <w:next w:val="1"/>
    <w:qFormat/>
    <w:uiPriority w:val="0"/>
    <w:pPr>
      <w:ind w:firstLine="480"/>
    </w:pPr>
    <w:rPr>
      <w:rFonts w:ascii="Verdana" w:hAnsi="Verdana" w:eastAsia="华文细黑" w:cs="宋体"/>
      <w:szCs w:val="20"/>
    </w:rPr>
  </w:style>
  <w:style w:type="paragraph" w:customStyle="1" w:styleId="56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67">
    <w:name w:val="表格内文字"/>
    <w:basedOn w:val="32"/>
    <w:qFormat/>
    <w:uiPriority w:val="0"/>
    <w:pPr>
      <w:adjustRightInd w:val="0"/>
      <w:spacing w:line="240" w:lineRule="auto"/>
      <w:ind w:firstLine="0" w:firstLineChars="0"/>
    </w:pPr>
    <w:rPr>
      <w:rFonts w:eastAsia="Times New Roman" w:cs="Courier New"/>
      <w:color w:val="000000"/>
      <w:sz w:val="21"/>
      <w:szCs w:val="21"/>
      <w:lang w:val="en-GB" w:eastAsia="zh-CN"/>
    </w:rPr>
  </w:style>
  <w:style w:type="paragraph" w:customStyle="1" w:styleId="568">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1">
    <w:name w:val="正文字缩2字"/>
    <w:basedOn w:val="1"/>
    <w:qFormat/>
    <w:uiPriority w:val="0"/>
    <w:pPr>
      <w:spacing w:before="60" w:after="60" w:line="360" w:lineRule="auto"/>
      <w:ind w:left="200" w:leftChars="200"/>
    </w:pPr>
  </w:style>
  <w:style w:type="paragraph" w:customStyle="1" w:styleId="572">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57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74">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6">
    <w:name w:val="正文4"/>
    <w:basedOn w:val="1"/>
    <w:qFormat/>
    <w:uiPriority w:val="0"/>
    <w:pPr>
      <w:numPr>
        <w:ilvl w:val="0"/>
        <w:numId w:val="19"/>
      </w:numPr>
      <w:tabs>
        <w:tab w:val="left" w:pos="425"/>
      </w:tabs>
      <w:spacing w:before="60" w:after="60" w:line="360" w:lineRule="auto"/>
      <w:ind w:left="820" w:leftChars="400" w:firstLineChars="0"/>
    </w:pPr>
  </w:style>
  <w:style w:type="paragraph" w:customStyle="1" w:styleId="57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580">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81">
    <w:name w:val="Char Char Char Char1"/>
    <w:basedOn w:val="21"/>
    <w:qFormat/>
    <w:uiPriority w:val="0"/>
    <w:rPr>
      <w:szCs w:val="20"/>
    </w:rPr>
  </w:style>
  <w:style w:type="paragraph" w:customStyle="1" w:styleId="58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8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8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8">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9">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590">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reader-word-layer reader-word-s3-15"/>
    <w:basedOn w:val="1"/>
    <w:qFormat/>
    <w:uiPriority w:val="0"/>
    <w:pPr>
      <w:widowControl/>
      <w:spacing w:before="100" w:beforeAutospacing="1" w:after="100" w:afterAutospacing="1"/>
      <w:jc w:val="left"/>
    </w:pPr>
    <w:rPr>
      <w:rFonts w:ascii="宋体" w:hAnsi="宋体" w:cs="宋体"/>
      <w:kern w:val="0"/>
    </w:rPr>
  </w:style>
  <w:style w:type="paragraph" w:customStyle="1" w:styleId="592">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93">
    <w:name w:val="样式2"/>
    <w:basedOn w:val="1"/>
    <w:next w:val="1"/>
    <w:qFormat/>
    <w:uiPriority w:val="0"/>
    <w:rPr>
      <w:sz w:val="28"/>
    </w:rPr>
  </w:style>
  <w:style w:type="paragraph" w:customStyle="1" w:styleId="5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96">
    <w:name w:val="_Style 16"/>
    <w:basedOn w:val="1"/>
    <w:qFormat/>
    <w:uiPriority w:val="0"/>
  </w:style>
  <w:style w:type="paragraph" w:customStyle="1" w:styleId="597">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98">
    <w:name w:val="简单回函地址"/>
    <w:basedOn w:val="1"/>
    <w:qFormat/>
    <w:uiPriority w:val="0"/>
    <w:pPr>
      <w:adjustRightInd w:val="0"/>
      <w:snapToGrid w:val="0"/>
      <w:spacing w:line="360" w:lineRule="auto"/>
      <w:ind w:firstLine="0" w:firstLineChars="0"/>
    </w:pPr>
    <w:rPr>
      <w:szCs w:val="20"/>
    </w:rPr>
  </w:style>
  <w:style w:type="paragraph" w:customStyle="1" w:styleId="59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0">
    <w:name w:val="Char Char Char Char Char1"/>
    <w:basedOn w:val="1"/>
    <w:qFormat/>
    <w:uiPriority w:val="0"/>
  </w:style>
  <w:style w:type="paragraph" w:customStyle="1" w:styleId="601">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6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603">
    <w:name w:val="目录标题"/>
    <w:basedOn w:val="1"/>
    <w:qFormat/>
    <w:uiPriority w:val="0"/>
    <w:pPr>
      <w:spacing w:before="120" w:after="120" w:line="320" w:lineRule="atLeast"/>
      <w:jc w:val="center"/>
    </w:pPr>
    <w:rPr>
      <w:b/>
      <w:sz w:val="32"/>
    </w:r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0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6">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607">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60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9">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61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61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12">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613">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61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 Char Char Char Char Char1"/>
    <w:basedOn w:val="1"/>
    <w:qFormat/>
    <w:uiPriority w:val="0"/>
  </w:style>
  <w:style w:type="paragraph" w:customStyle="1" w:styleId="616">
    <w:name w:val="Title - Date"/>
    <w:basedOn w:val="60"/>
    <w:next w:val="1"/>
    <w:qFormat/>
    <w:uiPriority w:val="0"/>
    <w:pPr>
      <w:spacing w:before="240" w:after="720"/>
      <w:ind w:firstLine="0" w:firstLineChars="0"/>
    </w:pPr>
    <w:rPr>
      <w:rFonts w:eastAsia="Times New Roman"/>
      <w:sz w:val="28"/>
      <w:lang w:val="en-US"/>
    </w:rPr>
  </w:style>
  <w:style w:type="paragraph" w:customStyle="1" w:styleId="6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61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9">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6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2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23">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5">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626">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29">
    <w:name w:val="样式 正文首行缩进 2 + 首行缩进:  2 字符"/>
    <w:basedOn w:val="1"/>
    <w:qFormat/>
    <w:uiPriority w:val="0"/>
    <w:pPr>
      <w:numPr>
        <w:ilvl w:val="0"/>
        <w:numId w:val="20"/>
      </w:numPr>
      <w:tabs>
        <w:tab w:val="left" w:pos="987"/>
        <w:tab w:val="clear" w:pos="360"/>
      </w:tabs>
      <w:adjustRightInd w:val="0"/>
      <w:snapToGrid w:val="0"/>
      <w:spacing w:line="360" w:lineRule="auto"/>
      <w:ind w:firstLineChars="0"/>
    </w:pPr>
    <w:rPr>
      <w:rFonts w:ascii="Arial" w:hAnsi="Arial"/>
      <w:b/>
      <w:bCs/>
    </w:rPr>
  </w:style>
  <w:style w:type="paragraph" w:customStyle="1" w:styleId="630">
    <w:name w:val="正文00"/>
    <w:basedOn w:val="18"/>
    <w:qFormat/>
    <w:uiPriority w:val="0"/>
    <w:pPr>
      <w:tabs>
        <w:tab w:val="left" w:pos="0"/>
      </w:tabs>
      <w:spacing w:line="360" w:lineRule="auto"/>
      <w:ind w:firstLine="480"/>
    </w:pPr>
    <w:rPr>
      <w:rFonts w:hint="eastAsia" w:ascii="宋体" w:hAnsi="宋体" w:eastAsia="Times New Roman"/>
      <w:kern w:val="28"/>
      <w:lang w:val="en-US" w:eastAsia="zh-CN"/>
    </w:rPr>
  </w:style>
  <w:style w:type="paragraph" w:customStyle="1" w:styleId="63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632">
    <w:name w:val="Char2"/>
    <w:basedOn w:val="1"/>
    <w:qFormat/>
    <w:uiPriority w:val="0"/>
    <w:pPr>
      <w:adjustRightInd w:val="0"/>
      <w:spacing w:line="360" w:lineRule="auto"/>
    </w:pPr>
    <w:rPr>
      <w:kern w:val="0"/>
      <w:szCs w:val="20"/>
    </w:rPr>
  </w:style>
  <w:style w:type="paragraph" w:customStyle="1" w:styleId="633">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634">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37">
    <w:name w:val="Char11"/>
    <w:basedOn w:val="1"/>
    <w:qFormat/>
    <w:uiPriority w:val="0"/>
    <w:pPr>
      <w:adjustRightInd w:val="0"/>
      <w:spacing w:line="360" w:lineRule="auto"/>
    </w:pPr>
    <w:rPr>
      <w:kern w:val="0"/>
      <w:szCs w:val="20"/>
    </w:rPr>
  </w:style>
  <w:style w:type="paragraph" w:customStyle="1" w:styleId="63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39">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0">
    <w:name w:val="样式 标题 2 + 首行缩进:  2 字符"/>
    <w:basedOn w:val="5"/>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641">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val="en-US" w:eastAsia="zh-CN"/>
    </w:rPr>
  </w:style>
  <w:style w:type="paragraph" w:customStyle="1" w:styleId="642">
    <w:name w:val="Item List"/>
    <w:qFormat/>
    <w:uiPriority w:val="0"/>
    <w:pPr>
      <w:numPr>
        <w:ilvl w:val="0"/>
        <w:numId w:val="21"/>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64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644">
    <w:name w:val="WPS Plain"/>
    <w:qFormat/>
    <w:uiPriority w:val="0"/>
    <w:rPr>
      <w:rFonts w:ascii="Times New Roman" w:hAnsi="Times New Roman" w:eastAsia="宋体" w:cs="Times New Roman"/>
      <w:lang w:val="en-US" w:eastAsia="zh-CN" w:bidi="ar-SA"/>
    </w:rPr>
  </w:style>
  <w:style w:type="paragraph" w:customStyle="1" w:styleId="645">
    <w:name w:val=" Char Char Char"/>
    <w:basedOn w:val="1"/>
    <w:qFormat/>
    <w:uiPriority w:val="0"/>
    <w:rPr>
      <w:rFonts w:ascii="Tahoma" w:hAnsi="Tahoma"/>
      <w:szCs w:val="20"/>
    </w:rPr>
  </w:style>
  <w:style w:type="paragraph" w:customStyle="1" w:styleId="6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48">
    <w:name w:val="样式 标题 1 + 居中 段前: 6 磅 段后: 6 磅 行距: 1.5 倍行距"/>
    <w:basedOn w:val="4"/>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649">
    <w:name w:val="内容正文"/>
    <w:basedOn w:val="1"/>
    <w:qFormat/>
    <w:uiPriority w:val="0"/>
    <w:pPr>
      <w:spacing w:line="300" w:lineRule="auto"/>
      <w:ind w:firstLine="482" w:firstLineChars="0"/>
    </w:pPr>
    <w:rPr>
      <w:rFonts w:ascii="Georgia" w:hAnsi="Georgia"/>
      <w:szCs w:val="20"/>
    </w:rPr>
  </w:style>
  <w:style w:type="paragraph" w:customStyle="1" w:styleId="65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1">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5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53">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654">
    <w:name w:val="可研正文"/>
    <w:basedOn w:val="2"/>
    <w:qFormat/>
    <w:uiPriority w:val="0"/>
    <w:pPr>
      <w:adjustRightInd w:val="0"/>
      <w:snapToGrid w:val="0"/>
      <w:spacing w:after="0" w:line="440" w:lineRule="exact"/>
      <w:ind w:firstLine="567" w:firstLineChars="0"/>
    </w:pPr>
    <w:rPr>
      <w:rFonts w:ascii="仿宋_GB2312" w:eastAsia="仿宋_GB2312"/>
      <w:sz w:val="28"/>
      <w:szCs w:val="20"/>
      <w:lang w:val="en-US" w:eastAsia="zh-CN"/>
    </w:rPr>
  </w:style>
  <w:style w:type="paragraph" w:customStyle="1" w:styleId="65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56">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65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8">
    <w:name w:val="Body Text 2"/>
    <w:basedOn w:val="1"/>
    <w:qFormat/>
    <w:uiPriority w:val="0"/>
    <w:pPr>
      <w:adjustRightInd w:val="0"/>
      <w:spacing w:before="120" w:line="360" w:lineRule="auto"/>
      <w:ind w:firstLine="480" w:firstLineChars="0"/>
      <w:textAlignment w:val="baseline"/>
    </w:pPr>
    <w:rPr>
      <w:szCs w:val="20"/>
    </w:rPr>
  </w:style>
  <w:style w:type="paragraph" w:customStyle="1" w:styleId="659">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60">
    <w:name w:val="表头文本"/>
    <w:qFormat/>
    <w:uiPriority w:val="0"/>
    <w:pPr>
      <w:jc w:val="center"/>
    </w:pPr>
    <w:rPr>
      <w:rFonts w:ascii="Arial" w:hAnsi="Arial" w:eastAsia="宋体" w:cs="Times New Roman"/>
      <w:b/>
      <w:sz w:val="21"/>
      <w:szCs w:val="21"/>
      <w:lang w:val="en-US" w:eastAsia="zh-CN" w:bidi="ar-SA"/>
    </w:rPr>
  </w:style>
  <w:style w:type="paragraph" w:customStyle="1" w:styleId="661">
    <w:name w:val="样式 行距: 1.5 倍行距1"/>
    <w:basedOn w:val="1"/>
    <w:qFormat/>
    <w:uiPriority w:val="0"/>
    <w:pPr>
      <w:snapToGrid w:val="0"/>
      <w:spacing w:line="240" w:lineRule="auto"/>
      <w:ind w:firstLine="0" w:firstLineChars="0"/>
    </w:pPr>
    <w:rPr>
      <w:rFonts w:cs="宋体"/>
      <w:sz w:val="21"/>
      <w:szCs w:val="21"/>
    </w:rPr>
  </w:style>
  <w:style w:type="paragraph" w:customStyle="1" w:styleId="662">
    <w:name w:val="样式 首行缩进:  0.74 厘米"/>
    <w:basedOn w:val="1"/>
    <w:qFormat/>
    <w:uiPriority w:val="0"/>
    <w:pPr>
      <w:spacing w:line="360" w:lineRule="auto"/>
      <w:ind w:firstLine="420" w:firstLineChars="0"/>
    </w:pPr>
    <w:rPr>
      <w:szCs w:val="20"/>
    </w:rPr>
  </w:style>
  <w:style w:type="paragraph" w:customStyle="1" w:styleId="66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66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665">
    <w:name w:val="Char Char Char Char"/>
    <w:basedOn w:val="21"/>
    <w:qFormat/>
    <w:uiPriority w:val="0"/>
    <w:rPr>
      <w:szCs w:val="20"/>
    </w:rPr>
  </w:style>
  <w:style w:type="paragraph" w:customStyle="1" w:styleId="666">
    <w:name w:val="样式 标题 1章标题Heading 0Section HeadPIM 1H1h11st levell11H1..."/>
    <w:basedOn w:val="4"/>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667">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6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69">
    <w:name w:val="(符号)标书正文"/>
    <w:basedOn w:val="1"/>
    <w:qFormat/>
    <w:uiPriority w:val="0"/>
    <w:pPr>
      <w:spacing w:line="420" w:lineRule="exact"/>
      <w:ind w:firstLine="480"/>
      <w:jc w:val="left"/>
    </w:pPr>
    <w:rPr>
      <w:rFonts w:ascii="宋体" w:hAnsi="宋体" w:cs="宋体"/>
      <w:color w:val="000000"/>
    </w:rPr>
  </w:style>
  <w:style w:type="paragraph" w:customStyle="1" w:styleId="670">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lang w:val="en-US" w:eastAsia="zh-CN"/>
    </w:rPr>
  </w:style>
  <w:style w:type="paragraph" w:customStyle="1" w:styleId="6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72">
    <w:name w:val="Char Char Char1"/>
    <w:basedOn w:val="1"/>
    <w:qFormat/>
    <w:uiPriority w:val="0"/>
    <w:rPr>
      <w:rFonts w:ascii="Tahoma" w:hAnsi="Tahoma"/>
      <w:szCs w:val="20"/>
    </w:rPr>
  </w:style>
  <w:style w:type="paragraph" w:customStyle="1" w:styleId="673">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67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75">
    <w:name w:val="IN Feature"/>
    <w:next w:val="52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67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7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8">
    <w:name w:val="首行缩进 1"/>
    <w:basedOn w:val="1"/>
    <w:qFormat/>
    <w:uiPriority w:val="0"/>
    <w:pPr>
      <w:spacing w:after="120" w:line="360" w:lineRule="auto"/>
    </w:pPr>
  </w:style>
  <w:style w:type="paragraph" w:customStyle="1" w:styleId="679">
    <w:name w:val="没有缩进（为图形使用）"/>
    <w:basedOn w:val="1"/>
    <w:qFormat/>
    <w:uiPriority w:val="0"/>
    <w:pPr>
      <w:spacing w:before="120" w:after="120" w:line="360" w:lineRule="auto"/>
      <w:ind w:firstLine="0" w:firstLineChars="0"/>
    </w:pPr>
    <w:rPr>
      <w:szCs w:val="20"/>
    </w:rPr>
  </w:style>
  <w:style w:type="paragraph" w:customStyle="1" w:styleId="68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8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83">
    <w:name w:val="!BECC正文"/>
    <w:basedOn w:val="1"/>
    <w:qFormat/>
    <w:uiPriority w:val="0"/>
    <w:pPr>
      <w:tabs>
        <w:tab w:val="left" w:pos="0"/>
      </w:tabs>
      <w:spacing w:beforeLines="50" w:afterLines="50" w:line="360" w:lineRule="auto"/>
    </w:pPr>
  </w:style>
  <w:style w:type="paragraph" w:customStyle="1" w:styleId="68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685">
    <w:name w:val="正文xf"/>
    <w:basedOn w:val="1"/>
    <w:qFormat/>
    <w:uiPriority w:val="0"/>
    <w:pPr>
      <w:spacing w:line="440" w:lineRule="exact"/>
      <w:ind w:firstLine="480"/>
    </w:pPr>
  </w:style>
  <w:style w:type="paragraph" w:customStyle="1" w:styleId="686">
    <w:name w:val="表格标题"/>
    <w:basedOn w:val="366"/>
    <w:qFormat/>
    <w:uiPriority w:val="0"/>
    <w:pPr>
      <w:spacing w:before="20"/>
      <w:jc w:val="center"/>
    </w:pPr>
    <w:rPr>
      <w:rFonts w:eastAsia="楷体_GB2312"/>
      <w:b/>
    </w:rPr>
  </w:style>
  <w:style w:type="paragraph" w:customStyle="1" w:styleId="687">
    <w:name w:val="标准正文1"/>
    <w:basedOn w:val="1"/>
    <w:qFormat/>
    <w:uiPriority w:val="0"/>
    <w:pPr>
      <w:spacing w:beforeLines="30" w:afterLines="30" w:line="288" w:lineRule="auto"/>
      <w:ind w:firstLine="420"/>
    </w:pPr>
    <w:rPr>
      <w:rFonts w:cs="宋体"/>
      <w:sz w:val="21"/>
      <w:szCs w:val="20"/>
    </w:rPr>
  </w:style>
  <w:style w:type="paragraph" w:customStyle="1" w:styleId="688">
    <w:name w:val="文档正文+加粗"/>
    <w:basedOn w:val="256"/>
    <w:qFormat/>
    <w:uiPriority w:val="0"/>
    <w:pPr>
      <w:widowControl/>
      <w:spacing w:before="60" w:after="60" w:line="360" w:lineRule="auto"/>
      <w:ind w:firstLine="480" w:firstLineChars="0"/>
    </w:pPr>
    <w:rPr>
      <w:rFonts w:ascii="Times New Roman" w:eastAsia="宋体"/>
      <w:b/>
      <w:sz w:val="24"/>
      <w:szCs w:val="24"/>
    </w:rPr>
  </w:style>
  <w:style w:type="paragraph" w:customStyle="1" w:styleId="689">
    <w:name w:val="Table Paragraph"/>
    <w:basedOn w:val="1"/>
    <w:qFormat/>
    <w:uiPriority w:val="1"/>
    <w:pPr>
      <w:autoSpaceDE w:val="0"/>
      <w:autoSpaceDN w:val="0"/>
      <w:spacing w:before="96" w:line="240" w:lineRule="auto"/>
      <w:ind w:left="70" w:right="37" w:firstLine="0" w:firstLineChars="0"/>
      <w:jc w:val="center"/>
    </w:pPr>
    <w:rPr>
      <w:rFonts w:ascii="楷体" w:hAnsi="楷体" w:eastAsia="楷体" w:cs="楷体"/>
      <w:kern w:val="0"/>
      <w:sz w:val="22"/>
      <w:szCs w:val="22"/>
      <w:lang w:val="zh-CN" w:bidi="zh-CN"/>
    </w:rPr>
  </w:style>
  <w:style w:type="paragraph" w:customStyle="1" w:styleId="690">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ind w:firstLine="0" w:firstLineChars="0"/>
      <w:jc w:val="right"/>
    </w:pPr>
    <w:rPr>
      <w:rFonts w:ascii="宋体" w:hAnsi="宋体" w:cs="宋体"/>
      <w:b/>
      <w:bCs/>
      <w:kern w:val="0"/>
      <w:sz w:val="20"/>
      <w:szCs w:val="20"/>
    </w:rPr>
  </w:style>
  <w:style w:type="paragraph" w:customStyle="1" w:styleId="691">
    <w:name w:val="abstrac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69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20"/>
      <w:szCs w:val="20"/>
    </w:rPr>
  </w:style>
  <w:style w:type="table" w:customStyle="1" w:styleId="693">
    <w:name w:val="网格型1"/>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127</Pages>
  <Words>77984</Words>
  <Characters>88987</Characters>
  <Lines>696</Lines>
  <Paragraphs>196</Paragraphs>
  <TotalTime>31</TotalTime>
  <ScaleCrop>false</ScaleCrop>
  <LinksUpToDate>false</LinksUpToDate>
  <CharactersWithSpaces>91238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2022-03-25T06:51:00Z</dcterms:created>
  <dc:creator>xtzj</dc:creator>
  <cp:lastModifiedBy>Administrator</cp:lastModifiedBy>
  <cp:lastPrinted>2021-10-12T10:04:00Z</cp:lastPrinted>
  <dcterms:modified xsi:type="dcterms:W3CDTF">2022-04-02T01:06:31Z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EB2748F0C8DC4B92A673F286779C07A6</vt:lpwstr>
  </property>
</Properties>
</file>