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C" w:rsidRDefault="00D01403">
      <w:pPr>
        <w:pStyle w:val="1"/>
        <w:ind w:firstLineChars="0" w:firstLine="0"/>
        <w:jc w:val="center"/>
        <w:rPr>
          <w:sz w:val="36"/>
        </w:rPr>
      </w:pPr>
      <w:r>
        <w:rPr>
          <w:rFonts w:hint="eastAsia"/>
          <w:sz w:val="36"/>
        </w:rPr>
        <w:t>中标产品</w:t>
      </w:r>
      <w:r w:rsidR="00537078">
        <w:rPr>
          <w:rFonts w:hint="eastAsia"/>
          <w:sz w:val="36"/>
        </w:rPr>
        <w:t>分项</w:t>
      </w:r>
      <w:r w:rsidR="00537078">
        <w:rPr>
          <w:rFonts w:hint="eastAsia"/>
          <w:sz w:val="36"/>
        </w:rPr>
        <w:t>表</w:t>
      </w:r>
    </w:p>
    <w:tbl>
      <w:tblPr>
        <w:tblW w:w="5542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4"/>
        <w:gridCol w:w="11"/>
        <w:gridCol w:w="3298"/>
        <w:gridCol w:w="1702"/>
        <w:gridCol w:w="2410"/>
        <w:gridCol w:w="1133"/>
      </w:tblGrid>
      <w:tr w:rsidR="0077628D" w:rsidTr="0077628D">
        <w:trPr>
          <w:trHeight w:val="529"/>
        </w:trPr>
        <w:tc>
          <w:tcPr>
            <w:tcW w:w="392" w:type="pct"/>
            <w:gridSpan w:val="2"/>
            <w:vAlign w:val="center"/>
          </w:tcPr>
          <w:p w:rsidR="0077628D" w:rsidRDefault="0077628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779" w:type="pct"/>
            <w:vAlign w:val="center"/>
          </w:tcPr>
          <w:p w:rsidR="0077628D" w:rsidRDefault="0077628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服务内容</w:t>
            </w:r>
          </w:p>
        </w:tc>
        <w:tc>
          <w:tcPr>
            <w:tcW w:w="918" w:type="pct"/>
            <w:vAlign w:val="center"/>
          </w:tcPr>
          <w:p w:rsidR="0077628D" w:rsidRDefault="0077628D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  <w:tc>
          <w:tcPr>
            <w:tcW w:w="1300" w:type="pct"/>
          </w:tcPr>
          <w:p w:rsidR="0077628D" w:rsidRDefault="0077628D">
            <w:pPr>
              <w:ind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生产厂家</w:t>
            </w:r>
          </w:p>
          <w:p w:rsidR="0077628D" w:rsidRDefault="0077628D">
            <w:pPr>
              <w:ind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（软件升级、服务商）</w:t>
            </w:r>
          </w:p>
        </w:tc>
        <w:tc>
          <w:tcPr>
            <w:tcW w:w="611" w:type="pct"/>
          </w:tcPr>
          <w:p w:rsidR="0077628D" w:rsidRPr="0077628D" w:rsidRDefault="0077628D" w:rsidP="0077628D">
            <w:pPr>
              <w:spacing w:before="240" w:after="240"/>
              <w:ind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单价</w:t>
            </w:r>
          </w:p>
        </w:tc>
      </w:tr>
      <w:tr w:rsidR="0077628D" w:rsidTr="0077628D">
        <w:trPr>
          <w:trHeight w:val="1173"/>
        </w:trPr>
        <w:tc>
          <w:tcPr>
            <w:tcW w:w="392" w:type="pct"/>
            <w:gridSpan w:val="2"/>
            <w:vAlign w:val="center"/>
          </w:tcPr>
          <w:p w:rsidR="0077628D" w:rsidRDefault="0077628D" w:rsidP="0077628D">
            <w:pPr>
              <w:widowControl/>
              <w:spacing w:before="240"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779" w:type="pct"/>
            <w:vAlign w:val="center"/>
          </w:tcPr>
          <w:p w:rsidR="0077628D" w:rsidRDefault="0077628D" w:rsidP="0077628D">
            <w:pPr>
              <w:widowControl/>
              <w:spacing w:before="240"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饲料作物生产加工技术课程教材出版</w:t>
            </w:r>
          </w:p>
        </w:tc>
        <w:tc>
          <w:tcPr>
            <w:tcW w:w="918" w:type="pct"/>
            <w:vAlign w:val="center"/>
          </w:tcPr>
          <w:p w:rsidR="0077628D" w:rsidRDefault="0077628D" w:rsidP="0077628D">
            <w:pPr>
              <w:spacing w:before="240"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1本</w:t>
            </w:r>
          </w:p>
        </w:tc>
        <w:tc>
          <w:tcPr>
            <w:tcW w:w="1300" w:type="pct"/>
          </w:tcPr>
          <w:p w:rsidR="0077628D" w:rsidRDefault="0077628D" w:rsidP="0077628D">
            <w:pPr>
              <w:spacing w:before="240"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北京交通大学出版社</w:t>
            </w:r>
          </w:p>
        </w:tc>
        <w:tc>
          <w:tcPr>
            <w:tcW w:w="611" w:type="pct"/>
          </w:tcPr>
          <w:p w:rsidR="0077628D" w:rsidRDefault="0077628D" w:rsidP="0077628D">
            <w:pPr>
              <w:spacing w:before="240"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50000</w:t>
            </w:r>
          </w:p>
        </w:tc>
      </w:tr>
      <w:tr w:rsidR="0077628D" w:rsidTr="0077628D">
        <w:trPr>
          <w:trHeight w:val="1098"/>
        </w:trPr>
        <w:tc>
          <w:tcPr>
            <w:tcW w:w="392" w:type="pct"/>
            <w:gridSpan w:val="2"/>
            <w:vAlign w:val="center"/>
          </w:tcPr>
          <w:p w:rsidR="0077628D" w:rsidRDefault="0077628D" w:rsidP="0077628D">
            <w:pPr>
              <w:widowControl/>
              <w:spacing w:before="240"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1779" w:type="pct"/>
            <w:vAlign w:val="center"/>
          </w:tcPr>
          <w:p w:rsidR="0077628D" w:rsidRDefault="0077628D" w:rsidP="0077628D">
            <w:pPr>
              <w:widowControl/>
              <w:spacing w:before="240"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草地培育改良技术课程教材出版</w:t>
            </w:r>
          </w:p>
        </w:tc>
        <w:tc>
          <w:tcPr>
            <w:tcW w:w="918" w:type="pct"/>
            <w:vAlign w:val="center"/>
          </w:tcPr>
          <w:p w:rsidR="0077628D" w:rsidRDefault="0077628D" w:rsidP="0077628D">
            <w:pPr>
              <w:spacing w:before="240"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1本</w:t>
            </w:r>
          </w:p>
        </w:tc>
        <w:tc>
          <w:tcPr>
            <w:tcW w:w="1300" w:type="pct"/>
          </w:tcPr>
          <w:p w:rsidR="0077628D" w:rsidRDefault="0077628D" w:rsidP="0077628D">
            <w:pPr>
              <w:spacing w:before="240"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北京交通大学出版社</w:t>
            </w:r>
          </w:p>
        </w:tc>
        <w:tc>
          <w:tcPr>
            <w:tcW w:w="611" w:type="pct"/>
          </w:tcPr>
          <w:p w:rsidR="0077628D" w:rsidRDefault="0077628D" w:rsidP="0077628D">
            <w:pPr>
              <w:spacing w:before="240"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50000</w:t>
            </w:r>
          </w:p>
        </w:tc>
      </w:tr>
      <w:tr w:rsidR="0077628D" w:rsidTr="0077628D">
        <w:trPr>
          <w:trHeight w:val="904"/>
        </w:trPr>
        <w:tc>
          <w:tcPr>
            <w:tcW w:w="392" w:type="pct"/>
            <w:gridSpan w:val="2"/>
            <w:vAlign w:val="center"/>
          </w:tcPr>
          <w:p w:rsidR="0077628D" w:rsidRDefault="0077628D" w:rsidP="0077628D">
            <w:pPr>
              <w:widowControl/>
              <w:spacing w:before="240"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1779" w:type="pct"/>
            <w:vAlign w:val="center"/>
          </w:tcPr>
          <w:p w:rsidR="0077628D" w:rsidRDefault="0077628D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 w:rsidRPr="00BA1216"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饲料作物生产加工技术课程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建设</w:t>
            </w:r>
          </w:p>
        </w:tc>
        <w:tc>
          <w:tcPr>
            <w:tcW w:w="918" w:type="pct"/>
            <w:vAlign w:val="center"/>
          </w:tcPr>
          <w:p w:rsidR="0077628D" w:rsidRDefault="0077628D" w:rsidP="00BA1216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1套</w:t>
            </w:r>
          </w:p>
        </w:tc>
        <w:tc>
          <w:tcPr>
            <w:tcW w:w="1300" w:type="pct"/>
          </w:tcPr>
          <w:p w:rsidR="0077628D" w:rsidRDefault="0077628D" w:rsidP="00BA1216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北京</w:t>
            </w:r>
            <w:proofErr w:type="gramStart"/>
            <w:r w:rsidRPr="0077628D">
              <w:rPr>
                <w:rFonts w:asciiTheme="minorEastAsia" w:eastAsiaTheme="minorEastAsia" w:hAnsiTheme="minorEastAsia" w:cstheme="minorEastAsia" w:hint="eastAsia"/>
              </w:rPr>
              <w:t>世纪超星</w:t>
            </w:r>
            <w:proofErr w:type="gramEnd"/>
            <w:r w:rsidRPr="0077628D">
              <w:rPr>
                <w:rFonts w:asciiTheme="minorEastAsia" w:eastAsiaTheme="minorEastAsia" w:hAnsiTheme="minorEastAsia" w:cstheme="minorEastAsia" w:hint="eastAsia"/>
              </w:rPr>
              <w:t>信息技术发展有限责任公司</w:t>
            </w:r>
          </w:p>
        </w:tc>
        <w:tc>
          <w:tcPr>
            <w:tcW w:w="611" w:type="pct"/>
          </w:tcPr>
          <w:p w:rsidR="0077628D" w:rsidRDefault="0077628D" w:rsidP="00BA1216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50000</w:t>
            </w:r>
          </w:p>
        </w:tc>
      </w:tr>
      <w:tr w:rsidR="0077628D" w:rsidTr="0077628D">
        <w:trPr>
          <w:trHeight w:val="1129"/>
        </w:trPr>
        <w:tc>
          <w:tcPr>
            <w:tcW w:w="392" w:type="pct"/>
            <w:gridSpan w:val="2"/>
            <w:vAlign w:val="center"/>
          </w:tcPr>
          <w:p w:rsidR="0077628D" w:rsidRDefault="0077628D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1779" w:type="pct"/>
            <w:vAlign w:val="center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《</w:t>
            </w:r>
            <w:r w:rsidRPr="00BA1216"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草地培育改良技术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》课程制作</w:t>
            </w:r>
          </w:p>
        </w:tc>
        <w:tc>
          <w:tcPr>
            <w:tcW w:w="918" w:type="pct"/>
            <w:vAlign w:val="center"/>
          </w:tcPr>
          <w:p w:rsidR="0077628D" w:rsidRDefault="0077628D" w:rsidP="00BA1216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1套</w:t>
            </w:r>
          </w:p>
        </w:tc>
        <w:tc>
          <w:tcPr>
            <w:tcW w:w="1300" w:type="pct"/>
          </w:tcPr>
          <w:p w:rsidR="0077628D" w:rsidRDefault="0077628D" w:rsidP="00BA1216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北京</w:t>
            </w:r>
            <w:proofErr w:type="gramStart"/>
            <w:r w:rsidRPr="0077628D">
              <w:rPr>
                <w:rFonts w:asciiTheme="minorEastAsia" w:eastAsiaTheme="minorEastAsia" w:hAnsiTheme="minorEastAsia" w:cstheme="minorEastAsia" w:hint="eastAsia"/>
              </w:rPr>
              <w:t>世纪超星</w:t>
            </w:r>
            <w:proofErr w:type="gramEnd"/>
            <w:r w:rsidRPr="0077628D">
              <w:rPr>
                <w:rFonts w:asciiTheme="minorEastAsia" w:eastAsiaTheme="minorEastAsia" w:hAnsiTheme="minorEastAsia" w:cstheme="minorEastAsia" w:hint="eastAsia"/>
              </w:rPr>
              <w:t>信息技术发展有限责任公司</w:t>
            </w:r>
          </w:p>
        </w:tc>
        <w:tc>
          <w:tcPr>
            <w:tcW w:w="611" w:type="pct"/>
          </w:tcPr>
          <w:p w:rsidR="0077628D" w:rsidRDefault="0077628D" w:rsidP="00BA1216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50000</w:t>
            </w:r>
          </w:p>
        </w:tc>
      </w:tr>
      <w:tr w:rsidR="0077628D" w:rsidTr="0077628D">
        <w:trPr>
          <w:trHeight w:val="833"/>
        </w:trPr>
        <w:tc>
          <w:tcPr>
            <w:tcW w:w="386" w:type="pct"/>
            <w:vAlign w:val="center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1785" w:type="pct"/>
            <w:gridSpan w:val="2"/>
            <w:vAlign w:val="center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《动物营养与饲料加工》网络课程建设</w:t>
            </w:r>
          </w:p>
        </w:tc>
        <w:tc>
          <w:tcPr>
            <w:tcW w:w="918" w:type="pct"/>
            <w:vAlign w:val="center"/>
          </w:tcPr>
          <w:p w:rsidR="0077628D" w:rsidRPr="00BA1216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1套</w:t>
            </w:r>
          </w:p>
        </w:tc>
        <w:tc>
          <w:tcPr>
            <w:tcW w:w="1300" w:type="pct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北京</w:t>
            </w:r>
            <w:proofErr w:type="gramStart"/>
            <w:r w:rsidRPr="0077628D">
              <w:rPr>
                <w:rFonts w:asciiTheme="minorEastAsia" w:eastAsiaTheme="minorEastAsia" w:hAnsiTheme="minorEastAsia" w:cstheme="minorEastAsia" w:hint="eastAsia"/>
              </w:rPr>
              <w:t>世纪超星</w:t>
            </w:r>
            <w:proofErr w:type="gramEnd"/>
            <w:r w:rsidRPr="0077628D">
              <w:rPr>
                <w:rFonts w:asciiTheme="minorEastAsia" w:eastAsiaTheme="minorEastAsia" w:hAnsiTheme="minorEastAsia" w:cstheme="minorEastAsia" w:hint="eastAsia"/>
              </w:rPr>
              <w:t>信息技术发展有限责任公司</w:t>
            </w:r>
          </w:p>
        </w:tc>
        <w:tc>
          <w:tcPr>
            <w:tcW w:w="611" w:type="pct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50000</w:t>
            </w:r>
          </w:p>
        </w:tc>
      </w:tr>
      <w:tr w:rsidR="0077628D" w:rsidTr="0077628D">
        <w:trPr>
          <w:trHeight w:val="1116"/>
        </w:trPr>
        <w:tc>
          <w:tcPr>
            <w:tcW w:w="386" w:type="pct"/>
            <w:vAlign w:val="center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1785" w:type="pct"/>
            <w:gridSpan w:val="2"/>
            <w:vAlign w:val="center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《经济动物养殖与疾病防治》网络课程建设</w:t>
            </w:r>
          </w:p>
        </w:tc>
        <w:tc>
          <w:tcPr>
            <w:tcW w:w="918" w:type="pct"/>
            <w:vAlign w:val="center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1套</w:t>
            </w:r>
          </w:p>
        </w:tc>
        <w:tc>
          <w:tcPr>
            <w:tcW w:w="1300" w:type="pct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北京</w:t>
            </w:r>
            <w:proofErr w:type="gramStart"/>
            <w:r w:rsidRPr="0077628D">
              <w:rPr>
                <w:rFonts w:asciiTheme="minorEastAsia" w:eastAsiaTheme="minorEastAsia" w:hAnsiTheme="minorEastAsia" w:cstheme="minorEastAsia" w:hint="eastAsia"/>
              </w:rPr>
              <w:t>世纪超星</w:t>
            </w:r>
            <w:proofErr w:type="gramEnd"/>
            <w:r w:rsidRPr="0077628D">
              <w:rPr>
                <w:rFonts w:asciiTheme="minorEastAsia" w:eastAsiaTheme="minorEastAsia" w:hAnsiTheme="minorEastAsia" w:cstheme="minorEastAsia" w:hint="eastAsia"/>
              </w:rPr>
              <w:t>信息技术发展有限责任公司</w:t>
            </w:r>
          </w:p>
        </w:tc>
        <w:tc>
          <w:tcPr>
            <w:tcW w:w="611" w:type="pct"/>
          </w:tcPr>
          <w:p w:rsidR="0077628D" w:rsidRDefault="0077628D" w:rsidP="00BA1216">
            <w:pPr>
              <w:widowControl/>
              <w:spacing w:line="300" w:lineRule="exact"/>
              <w:ind w:firstLineChars="0" w:firstLine="0"/>
              <w:jc w:val="center"/>
              <w:textAlignment w:val="baseline"/>
              <w:rPr>
                <w:rFonts w:asciiTheme="minorEastAsia" w:eastAsiaTheme="minorEastAsia" w:hAnsiTheme="minorEastAsia" w:cstheme="minorEastAsia" w:hint="eastAsia"/>
              </w:rPr>
            </w:pPr>
            <w:r w:rsidRPr="0077628D">
              <w:rPr>
                <w:rFonts w:asciiTheme="minorEastAsia" w:eastAsiaTheme="minorEastAsia" w:hAnsiTheme="minorEastAsia" w:cstheme="minorEastAsia" w:hint="eastAsia"/>
              </w:rPr>
              <w:t>50000</w:t>
            </w:r>
          </w:p>
        </w:tc>
      </w:tr>
    </w:tbl>
    <w:p w:rsidR="00A1115C" w:rsidRPr="0077628D" w:rsidRDefault="00A1115C" w:rsidP="0077628D">
      <w:pPr>
        <w:ind w:firstLineChars="0" w:firstLine="0"/>
      </w:pPr>
      <w:bookmarkStart w:id="0" w:name="_GoBack"/>
      <w:bookmarkEnd w:id="0"/>
    </w:p>
    <w:sectPr w:rsidR="00A1115C" w:rsidRPr="0077628D" w:rsidSect="00A1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15C"/>
    <w:rsid w:val="0077628D"/>
    <w:rsid w:val="00A1115C"/>
    <w:rsid w:val="00B819BB"/>
    <w:rsid w:val="00BA1216"/>
    <w:rsid w:val="00D01403"/>
    <w:rsid w:val="1CD33E92"/>
    <w:rsid w:val="1E444FF3"/>
    <w:rsid w:val="2B681BF4"/>
    <w:rsid w:val="32CD4908"/>
    <w:rsid w:val="388F5B33"/>
    <w:rsid w:val="3BF6582A"/>
    <w:rsid w:val="3F1C7EAF"/>
    <w:rsid w:val="43EA6D1F"/>
    <w:rsid w:val="4B495086"/>
    <w:rsid w:val="513B7996"/>
    <w:rsid w:val="60AD6556"/>
    <w:rsid w:val="614E7CFA"/>
    <w:rsid w:val="6986797D"/>
    <w:rsid w:val="6B907479"/>
    <w:rsid w:val="703A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15C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rsid w:val="00A1115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gczb</cp:lastModifiedBy>
  <cp:revision>2</cp:revision>
  <cp:lastPrinted>2020-12-09T10:41:00Z</cp:lastPrinted>
  <dcterms:created xsi:type="dcterms:W3CDTF">2020-12-09T10:43:00Z</dcterms:created>
  <dcterms:modified xsi:type="dcterms:W3CDTF">2020-12-09T10:43:00Z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