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b/>
          <w:color w:val="000000"/>
          <w:sz w:val="28"/>
          <w:szCs w:val="28"/>
        </w:rPr>
      </w:pPr>
    </w:p>
    <w:p>
      <w:pPr>
        <w:spacing w:line="360" w:lineRule="auto"/>
        <w:jc w:val="center"/>
        <w:rPr>
          <w:rFonts w:hint="eastAsia" w:asciiTheme="minorEastAsia" w:hAnsiTheme="minorEastAsia" w:eastAsiaTheme="minorEastAsia" w:cstheme="minorEastAsia"/>
          <w:b/>
          <w:color w:val="000000"/>
          <w:sz w:val="52"/>
          <w:szCs w:val="52"/>
          <w:lang w:val="en-US" w:eastAsia="zh-CN"/>
        </w:rPr>
      </w:pPr>
      <w:r>
        <w:rPr>
          <w:rFonts w:hint="eastAsia" w:asciiTheme="minorEastAsia" w:hAnsiTheme="minorEastAsia" w:eastAsiaTheme="minorEastAsia" w:cstheme="minorEastAsia"/>
          <w:b/>
          <w:color w:val="000000"/>
          <w:sz w:val="52"/>
          <w:szCs w:val="52"/>
          <w:lang w:val="en-US" w:eastAsia="zh-CN"/>
        </w:rPr>
        <w:t>中共海晏县委组织部关于海晏县村级党员活动室建设（一期）的采购</w:t>
      </w:r>
    </w:p>
    <w:p>
      <w:pPr>
        <w:spacing w:line="360" w:lineRule="auto"/>
        <w:jc w:val="center"/>
        <w:rPr>
          <w:rFonts w:ascii="宋体" w:hAnsi="宋体"/>
          <w:b/>
          <w:color w:val="000000"/>
          <w:sz w:val="48"/>
          <w:szCs w:val="48"/>
        </w:rPr>
      </w:pPr>
      <w:r>
        <w:rPr>
          <w:rFonts w:hint="eastAsia" w:asciiTheme="minorEastAsia" w:hAnsiTheme="minorEastAsia" w:eastAsiaTheme="minorEastAsia" w:cstheme="minorEastAsia"/>
          <w:b/>
          <w:color w:val="000000"/>
          <w:sz w:val="52"/>
          <w:szCs w:val="52"/>
          <w:lang w:val="en-US" w:eastAsia="zh-CN"/>
        </w:rPr>
        <w:t>项目</w:t>
      </w:r>
    </w:p>
    <w:p>
      <w:pPr>
        <w:spacing w:line="360" w:lineRule="auto"/>
        <w:ind w:firstLine="713" w:firstLineChars="148"/>
        <w:jc w:val="center"/>
        <w:rPr>
          <w:rFonts w:ascii="宋体" w:hAnsi="宋体"/>
          <w:b/>
          <w:color w:val="000000"/>
          <w:sz w:val="48"/>
          <w:szCs w:val="48"/>
        </w:rPr>
      </w:pPr>
    </w:p>
    <w:p>
      <w:pPr>
        <w:spacing w:line="360" w:lineRule="auto"/>
        <w:ind w:firstLine="713" w:firstLineChars="148"/>
        <w:jc w:val="center"/>
        <w:rPr>
          <w:rFonts w:ascii="宋体" w:hAnsi="宋体"/>
          <w:b/>
          <w:color w:val="000000"/>
          <w:sz w:val="48"/>
          <w:szCs w:val="48"/>
        </w:rPr>
      </w:pPr>
    </w:p>
    <w:p>
      <w:pPr>
        <w:pStyle w:val="2"/>
      </w:pPr>
    </w:p>
    <w:p>
      <w:pPr>
        <w:spacing w:line="360" w:lineRule="auto"/>
        <w:ind w:firstLine="713" w:firstLineChars="148"/>
        <w:jc w:val="center"/>
        <w:rPr>
          <w:rFonts w:ascii="宋体" w:hAnsi="宋体"/>
          <w:b/>
          <w:color w:val="000000"/>
          <w:sz w:val="48"/>
          <w:szCs w:val="48"/>
        </w:rPr>
      </w:pPr>
    </w:p>
    <w:p>
      <w:pPr>
        <w:spacing w:line="360" w:lineRule="auto"/>
        <w:jc w:val="center"/>
        <w:rPr>
          <w:rFonts w:ascii="宋体" w:hAnsi="宋体"/>
          <w:color w:val="000000"/>
          <w:sz w:val="48"/>
          <w:szCs w:val="48"/>
        </w:rPr>
      </w:pPr>
      <w:r>
        <w:rPr>
          <w:rFonts w:ascii="宋体" w:hAnsi="宋体"/>
          <w:b/>
          <w:color w:val="000000"/>
          <w:sz w:val="56"/>
          <w:szCs w:val="56"/>
        </w:rPr>
        <w:t>竞争性磋商文件</w:t>
      </w:r>
    </w:p>
    <w:p>
      <w:pPr>
        <w:spacing w:line="360" w:lineRule="auto"/>
        <w:rPr>
          <w:rFonts w:ascii="宋体" w:hAnsi="宋体"/>
          <w:color w:val="000000"/>
          <w:sz w:val="28"/>
          <w:szCs w:val="28"/>
        </w:rPr>
      </w:pPr>
    </w:p>
    <w:p>
      <w:pPr>
        <w:pStyle w:val="2"/>
      </w:pPr>
    </w:p>
    <w:p>
      <w:pPr>
        <w:pStyle w:val="3"/>
      </w:pPr>
    </w:p>
    <w:p>
      <w:pPr>
        <w:pStyle w:val="5"/>
      </w:pPr>
    </w:p>
    <w:p/>
    <w:p>
      <w:pPr>
        <w:pStyle w:val="2"/>
      </w:pPr>
    </w:p>
    <w:p>
      <w:pPr>
        <w:pStyle w:val="2"/>
      </w:pPr>
    </w:p>
    <w:p>
      <w:pPr>
        <w:spacing w:line="360" w:lineRule="auto"/>
        <w:ind w:firstLine="414" w:firstLineChars="148"/>
        <w:rPr>
          <w:rFonts w:ascii="宋体" w:hAnsi="宋体"/>
          <w:color w:val="000000"/>
          <w:sz w:val="28"/>
          <w:szCs w:val="28"/>
        </w:rPr>
      </w:pPr>
    </w:p>
    <w:p>
      <w:pPr>
        <w:autoSpaceDE w:val="0"/>
        <w:autoSpaceDN w:val="0"/>
        <w:adjustRightInd w:val="0"/>
        <w:spacing w:line="720" w:lineRule="auto"/>
        <w:jc w:val="center"/>
        <w:rPr>
          <w:rFonts w:hint="default" w:ascii="宋体" w:hAnsi="宋体" w:eastAsia="宋体"/>
          <w:b/>
          <w:color w:val="000000"/>
          <w:sz w:val="32"/>
          <w:szCs w:val="32"/>
          <w:lang w:val="en-US" w:eastAsia="zh-CN"/>
        </w:rPr>
      </w:pPr>
      <w:r>
        <w:rPr>
          <w:rFonts w:hint="eastAsia" w:ascii="宋体" w:hAnsi="宋体"/>
          <w:b/>
          <w:color w:val="000000"/>
          <w:sz w:val="32"/>
          <w:szCs w:val="32"/>
          <w:lang w:val="en-US" w:eastAsia="zh-CN"/>
        </w:rPr>
        <w:t xml:space="preserve">  </w:t>
      </w:r>
      <w:r>
        <w:rPr>
          <w:rFonts w:ascii="宋体" w:hAnsi="宋体"/>
          <w:b/>
          <w:color w:val="000000"/>
          <w:sz w:val="32"/>
          <w:szCs w:val="32"/>
        </w:rPr>
        <w:t>项目编号：</w:t>
      </w:r>
      <w:r>
        <w:rPr>
          <w:rFonts w:hint="eastAsia" w:ascii="宋体" w:hAnsi="宋体"/>
          <w:b/>
          <w:color w:val="000000"/>
          <w:sz w:val="32"/>
          <w:szCs w:val="32"/>
          <w:lang w:eastAsia="zh-CN"/>
        </w:rPr>
        <w:t>易弘青海竞磋（工程）2020-0</w:t>
      </w:r>
      <w:r>
        <w:rPr>
          <w:rFonts w:hint="eastAsia" w:ascii="宋体" w:hAnsi="宋体"/>
          <w:b/>
          <w:color w:val="000000"/>
          <w:sz w:val="32"/>
          <w:szCs w:val="32"/>
          <w:lang w:val="en-US" w:eastAsia="zh-CN"/>
        </w:rPr>
        <w:t>40</w:t>
      </w:r>
    </w:p>
    <w:p>
      <w:pPr>
        <w:spacing w:line="360" w:lineRule="auto"/>
        <w:ind w:firstLine="1285" w:firstLineChars="400"/>
        <w:jc w:val="both"/>
        <w:rPr>
          <w:rFonts w:ascii="宋体" w:hAnsi="宋体"/>
          <w:b/>
          <w:color w:val="000000"/>
          <w:sz w:val="32"/>
          <w:szCs w:val="32"/>
        </w:rPr>
      </w:pPr>
      <w:r>
        <w:rPr>
          <w:rFonts w:hint="eastAsia" w:ascii="宋体" w:hAnsi="宋体"/>
          <w:b/>
          <w:color w:val="000000"/>
          <w:sz w:val="32"/>
          <w:szCs w:val="32"/>
        </w:rPr>
        <w:t>代理机构</w:t>
      </w:r>
      <w:r>
        <w:rPr>
          <w:rFonts w:ascii="宋体" w:hAnsi="宋体"/>
          <w:b/>
          <w:color w:val="000000"/>
          <w:sz w:val="32"/>
          <w:szCs w:val="32"/>
        </w:rPr>
        <w:t>：</w:t>
      </w:r>
      <w:r>
        <w:rPr>
          <w:rFonts w:hint="eastAsia" w:ascii="宋体" w:cs="宋体"/>
          <w:b/>
          <w:bCs/>
          <w:sz w:val="32"/>
          <w:szCs w:val="32"/>
        </w:rPr>
        <w:t>四川易弘工程管理</w:t>
      </w:r>
      <w:r>
        <w:rPr>
          <w:rFonts w:hint="eastAsia" w:ascii="宋体" w:hAnsi="Calibri" w:cs="宋体"/>
          <w:b/>
          <w:bCs/>
          <w:sz w:val="32"/>
          <w:szCs w:val="32"/>
          <w:lang w:val="zh-CN"/>
        </w:rPr>
        <w:t>有限公司</w:t>
      </w:r>
    </w:p>
    <w:p>
      <w:pPr>
        <w:tabs>
          <w:tab w:val="center" w:pos="4153"/>
          <w:tab w:val="right" w:pos="8306"/>
        </w:tabs>
        <w:spacing w:line="276" w:lineRule="auto"/>
        <w:jc w:val="both"/>
        <w:rPr>
          <w:rFonts w:hint="eastAsia" w:ascii="宋体" w:hAnsi="宋体" w:cs="Arial"/>
          <w:b/>
          <w:bCs/>
          <w:color w:val="000000"/>
          <w:sz w:val="28"/>
          <w:szCs w:val="28"/>
        </w:rPr>
      </w:pPr>
    </w:p>
    <w:p>
      <w:pPr>
        <w:tabs>
          <w:tab w:val="center" w:pos="4153"/>
          <w:tab w:val="right" w:pos="8306"/>
        </w:tabs>
        <w:spacing w:line="276" w:lineRule="auto"/>
        <w:jc w:val="center"/>
        <w:rPr>
          <w:rFonts w:ascii="宋体" w:hAnsi="宋体"/>
          <w:b/>
          <w:bCs/>
          <w:color w:val="000000"/>
          <w:sz w:val="32"/>
          <w:szCs w:val="32"/>
        </w:rPr>
      </w:pPr>
      <w:r>
        <w:rPr>
          <w:rFonts w:hint="eastAsia" w:ascii="宋体" w:hAnsi="宋体" w:cs="Arial"/>
          <w:b/>
          <w:bCs/>
          <w:color w:val="000000"/>
          <w:sz w:val="32"/>
          <w:szCs w:val="32"/>
        </w:rPr>
        <w:t>20</w:t>
      </w:r>
      <w:r>
        <w:rPr>
          <w:rFonts w:hint="eastAsia" w:ascii="宋体" w:hAnsi="宋体" w:cs="Arial"/>
          <w:b/>
          <w:bCs/>
          <w:color w:val="000000"/>
          <w:sz w:val="32"/>
          <w:szCs w:val="32"/>
          <w:lang w:val="en-US" w:eastAsia="zh-CN"/>
        </w:rPr>
        <w:t>20</w:t>
      </w:r>
      <w:r>
        <w:rPr>
          <w:rFonts w:ascii="宋体" w:hAnsi="宋体" w:cs="Arial"/>
          <w:b/>
          <w:bCs/>
          <w:color w:val="000000"/>
          <w:sz w:val="32"/>
          <w:szCs w:val="32"/>
        </w:rPr>
        <w:t>年</w:t>
      </w:r>
      <w:r>
        <w:rPr>
          <w:rFonts w:hint="eastAsia" w:ascii="宋体" w:hAnsi="宋体" w:cs="Arial"/>
          <w:b/>
          <w:bCs/>
          <w:color w:val="000000"/>
          <w:sz w:val="32"/>
          <w:szCs w:val="32"/>
          <w:lang w:val="en-US" w:eastAsia="zh-CN"/>
        </w:rPr>
        <w:t>9</w:t>
      </w:r>
      <w:r>
        <w:rPr>
          <w:rFonts w:ascii="宋体" w:hAnsi="宋体"/>
          <w:b/>
          <w:bCs/>
          <w:color w:val="000000"/>
          <w:sz w:val="32"/>
          <w:szCs w:val="32"/>
        </w:rPr>
        <w:t>月</w:t>
      </w:r>
    </w:p>
    <w:p>
      <w:pPr>
        <w:spacing w:line="360" w:lineRule="auto"/>
        <w:jc w:val="left"/>
        <w:rPr>
          <w:rFonts w:ascii="宋体" w:hAnsi="宋体"/>
          <w:b/>
          <w:bCs/>
          <w:color w:val="000000"/>
          <w:sz w:val="32"/>
          <w:szCs w:val="32"/>
        </w:rPr>
        <w:sectPr>
          <w:headerReference r:id="rId3" w:type="default"/>
          <w:footerReference r:id="rId4" w:type="default"/>
          <w:type w:val="continuous"/>
          <w:pgSz w:w="11906" w:h="16838"/>
          <w:pgMar w:top="1440" w:right="1800" w:bottom="1440" w:left="1800" w:header="851" w:footer="992" w:gutter="0"/>
          <w:pgNumType w:start="1"/>
          <w:cols w:space="720" w:num="1"/>
          <w:docGrid w:type="lines" w:linePitch="326" w:charSpace="0"/>
        </w:sectPr>
      </w:pPr>
    </w:p>
    <w:p>
      <w:pPr>
        <w:spacing w:line="360" w:lineRule="auto"/>
        <w:jc w:val="both"/>
        <w:rPr>
          <w:rFonts w:hint="eastAsia" w:ascii="仿宋" w:hAnsi="仿宋" w:eastAsia="仿宋" w:cs="仿宋"/>
          <w:b/>
          <w:color w:val="000000"/>
          <w:sz w:val="36"/>
          <w:szCs w:val="28"/>
        </w:rPr>
      </w:pPr>
    </w:p>
    <w:p>
      <w:pPr>
        <w:spacing w:line="360" w:lineRule="auto"/>
        <w:jc w:val="center"/>
        <w:rPr>
          <w:rFonts w:hint="eastAsia" w:ascii="仿宋" w:hAnsi="仿宋" w:eastAsia="仿宋" w:cs="仿宋"/>
          <w:b/>
          <w:color w:val="000000"/>
          <w:sz w:val="36"/>
          <w:szCs w:val="28"/>
        </w:rPr>
      </w:pPr>
      <w:r>
        <w:rPr>
          <w:rFonts w:hint="eastAsia" w:ascii="仿宋" w:hAnsi="仿宋" w:eastAsia="仿宋" w:cs="仿宋"/>
          <w:b/>
          <w:color w:val="000000"/>
          <w:sz w:val="36"/>
          <w:szCs w:val="28"/>
        </w:rPr>
        <w:t>目     录</w:t>
      </w:r>
    </w:p>
    <w:p>
      <w:pPr>
        <w:spacing w:line="360" w:lineRule="auto"/>
        <w:rPr>
          <w:rFonts w:ascii="宋体" w:hAnsi="宋体"/>
          <w:b/>
          <w:color w:val="000000"/>
          <w:sz w:val="36"/>
          <w:szCs w:val="28"/>
        </w:rPr>
      </w:pPr>
    </w:p>
    <w:p>
      <w:pPr>
        <w:pStyle w:val="33"/>
        <w:keepNext w:val="0"/>
        <w:keepLines w:val="0"/>
        <w:pageBreakBefore w:val="0"/>
        <w:widowControl/>
        <w:tabs>
          <w:tab w:val="right" w:leader="dot" w:pos="8306"/>
        </w:tabs>
        <w:kinsoku/>
        <w:wordWrap/>
        <w:overflowPunct/>
        <w:topLinePunct w:val="0"/>
        <w:bidi w:val="0"/>
        <w:adjustRightInd/>
        <w:spacing w:line="720" w:lineRule="auto"/>
        <w:textAlignment w:val="auto"/>
      </w:pPr>
      <w:r>
        <w:rPr>
          <w:rFonts w:hint="eastAsia" w:ascii="宋体" w:hAnsi="宋体" w:eastAsia="宋体" w:cs="宋体"/>
          <w:b w:val="0"/>
          <w:bCs w:val="0"/>
          <w:color w:val="000000"/>
        </w:rPr>
        <w:fldChar w:fldCharType="begin"/>
      </w:r>
      <w:r>
        <w:rPr>
          <w:rFonts w:hint="eastAsia" w:ascii="宋体" w:hAnsi="宋体" w:eastAsia="宋体" w:cs="宋体"/>
          <w:b w:val="0"/>
          <w:bCs w:val="0"/>
          <w:color w:val="000000"/>
        </w:rPr>
        <w:instrText xml:space="preserve"> TOC \o "1-1" \h \z \u </w:instrText>
      </w:r>
      <w:r>
        <w:rPr>
          <w:rFonts w:hint="eastAsia" w:ascii="宋体" w:hAnsi="宋体" w:eastAsia="宋体" w:cs="宋体"/>
          <w:b w:val="0"/>
          <w:bCs w:val="0"/>
          <w:color w:val="000000"/>
        </w:rPr>
        <w:fldChar w:fldCharType="separate"/>
      </w:r>
      <w:r>
        <w:rPr>
          <w:rFonts w:hint="eastAsia" w:ascii="宋体" w:hAnsi="宋体" w:eastAsia="宋体" w:cs="宋体"/>
          <w:bCs w:val="0"/>
          <w:color w:val="000000"/>
        </w:rPr>
        <w:fldChar w:fldCharType="begin"/>
      </w:r>
      <w:r>
        <w:rPr>
          <w:rFonts w:hint="eastAsia" w:ascii="宋体" w:hAnsi="宋体" w:eastAsia="宋体" w:cs="宋体"/>
          <w:bCs w:val="0"/>
        </w:rPr>
        <w:instrText xml:space="preserve"> HYPERLINK \l _Toc15365 </w:instrText>
      </w:r>
      <w:r>
        <w:rPr>
          <w:rFonts w:hint="eastAsia" w:ascii="宋体" w:hAnsi="宋体" w:eastAsia="宋体" w:cs="宋体"/>
          <w:bCs w:val="0"/>
        </w:rPr>
        <w:fldChar w:fldCharType="separate"/>
      </w:r>
      <w:r>
        <w:rPr>
          <w:rFonts w:ascii="宋体" w:hAnsi="宋体" w:eastAsia="宋体"/>
          <w:szCs w:val="28"/>
        </w:rPr>
        <w:t>第一章</w:t>
      </w:r>
      <w:r>
        <w:rPr>
          <w:rFonts w:hint="eastAsia" w:ascii="宋体" w:hAnsi="宋体" w:eastAsia="宋体"/>
          <w:szCs w:val="28"/>
        </w:rPr>
        <w:t xml:space="preserve">  </w:t>
      </w:r>
      <w:r>
        <w:rPr>
          <w:rFonts w:ascii="宋体" w:hAnsi="宋体" w:eastAsia="宋体"/>
          <w:szCs w:val="28"/>
        </w:rPr>
        <w:t>竞争性磋商邀请公告</w:t>
      </w:r>
      <w:r>
        <w:tab/>
      </w:r>
      <w:r>
        <w:fldChar w:fldCharType="begin"/>
      </w:r>
      <w:r>
        <w:instrText xml:space="preserve"> PAGEREF _Toc15365 </w:instrText>
      </w:r>
      <w:r>
        <w:fldChar w:fldCharType="separate"/>
      </w:r>
      <w:r>
        <w:t>3</w:t>
      </w:r>
      <w:r>
        <w:fldChar w:fldCharType="end"/>
      </w:r>
      <w:r>
        <w:rPr>
          <w:rFonts w:hint="eastAsia" w:ascii="宋体" w:hAnsi="宋体" w:eastAsia="宋体" w:cs="宋体"/>
          <w:bCs w:val="0"/>
          <w:color w:val="000000"/>
        </w:rPr>
        <w:fldChar w:fldCharType="end"/>
      </w:r>
    </w:p>
    <w:p>
      <w:pPr>
        <w:pStyle w:val="33"/>
        <w:keepNext w:val="0"/>
        <w:keepLines w:val="0"/>
        <w:pageBreakBefore w:val="0"/>
        <w:widowControl/>
        <w:tabs>
          <w:tab w:val="right" w:leader="dot" w:pos="8306"/>
        </w:tabs>
        <w:kinsoku/>
        <w:wordWrap/>
        <w:overflowPunct/>
        <w:topLinePunct w:val="0"/>
        <w:bidi w:val="0"/>
        <w:adjustRightInd/>
        <w:spacing w:line="720" w:lineRule="auto"/>
        <w:textAlignment w:val="auto"/>
      </w:pPr>
      <w:r>
        <w:rPr>
          <w:rFonts w:hint="eastAsia" w:ascii="宋体" w:hAnsi="宋体" w:eastAsia="宋体" w:cs="宋体"/>
          <w:bCs/>
          <w:color w:val="000000"/>
        </w:rPr>
        <w:fldChar w:fldCharType="begin"/>
      </w:r>
      <w:r>
        <w:rPr>
          <w:rFonts w:hint="eastAsia" w:ascii="宋体" w:hAnsi="宋体" w:eastAsia="宋体" w:cs="宋体"/>
          <w:bCs/>
        </w:rPr>
        <w:instrText xml:space="preserve"> HYPERLINK \l _Toc20013 </w:instrText>
      </w:r>
      <w:r>
        <w:rPr>
          <w:rFonts w:hint="eastAsia" w:ascii="宋体" w:hAnsi="宋体" w:eastAsia="宋体" w:cs="宋体"/>
          <w:bCs/>
        </w:rPr>
        <w:fldChar w:fldCharType="separate"/>
      </w:r>
      <w:r>
        <w:rPr>
          <w:rFonts w:hint="eastAsia" w:asciiTheme="minorEastAsia" w:hAnsiTheme="minorEastAsia" w:eastAsiaTheme="minorEastAsia" w:cstheme="minorEastAsia"/>
          <w:szCs w:val="28"/>
        </w:rPr>
        <w:t>第二章  磋商须知</w:t>
      </w:r>
      <w:r>
        <w:tab/>
      </w:r>
      <w:r>
        <w:fldChar w:fldCharType="begin"/>
      </w:r>
      <w:r>
        <w:instrText xml:space="preserve"> PAGEREF _Toc20013 </w:instrText>
      </w:r>
      <w:r>
        <w:fldChar w:fldCharType="separate"/>
      </w:r>
      <w:r>
        <w:t>6</w:t>
      </w:r>
      <w:r>
        <w:fldChar w:fldCharType="end"/>
      </w:r>
      <w:r>
        <w:rPr>
          <w:rFonts w:hint="eastAsia" w:ascii="宋体" w:hAnsi="宋体" w:eastAsia="宋体" w:cs="宋体"/>
          <w:bCs/>
          <w:color w:val="000000"/>
        </w:rPr>
        <w:fldChar w:fldCharType="end"/>
      </w:r>
    </w:p>
    <w:p>
      <w:pPr>
        <w:pStyle w:val="33"/>
        <w:keepNext w:val="0"/>
        <w:keepLines w:val="0"/>
        <w:pageBreakBefore w:val="0"/>
        <w:widowControl/>
        <w:tabs>
          <w:tab w:val="right" w:leader="dot" w:pos="8306"/>
        </w:tabs>
        <w:kinsoku/>
        <w:wordWrap/>
        <w:overflowPunct/>
        <w:topLinePunct w:val="0"/>
        <w:bidi w:val="0"/>
        <w:adjustRightInd/>
        <w:spacing w:line="720" w:lineRule="auto"/>
        <w:textAlignment w:val="auto"/>
      </w:pPr>
      <w:r>
        <w:rPr>
          <w:rFonts w:hint="eastAsia" w:ascii="宋体" w:hAnsi="宋体" w:eastAsia="宋体" w:cs="宋体"/>
          <w:bCs/>
          <w:color w:val="000000"/>
        </w:rPr>
        <w:fldChar w:fldCharType="begin"/>
      </w:r>
      <w:r>
        <w:rPr>
          <w:rFonts w:hint="eastAsia" w:ascii="宋体" w:hAnsi="宋体" w:eastAsia="宋体" w:cs="宋体"/>
          <w:bCs/>
        </w:rPr>
        <w:instrText xml:space="preserve"> HYPERLINK \l _Toc4215 </w:instrText>
      </w:r>
      <w:r>
        <w:rPr>
          <w:rFonts w:hint="eastAsia" w:ascii="宋体" w:hAnsi="宋体" w:eastAsia="宋体" w:cs="宋体"/>
          <w:bCs/>
        </w:rPr>
        <w:fldChar w:fldCharType="separate"/>
      </w:r>
      <w:r>
        <w:rPr>
          <w:rFonts w:ascii="宋体" w:hAnsi="宋体" w:eastAsia="宋体"/>
          <w:szCs w:val="28"/>
        </w:rPr>
        <w:t>第三章  供应商资格证明文件</w:t>
      </w:r>
      <w:r>
        <w:tab/>
      </w:r>
      <w:r>
        <w:fldChar w:fldCharType="begin"/>
      </w:r>
      <w:r>
        <w:instrText xml:space="preserve"> PAGEREF _Toc4215 </w:instrText>
      </w:r>
      <w:r>
        <w:fldChar w:fldCharType="separate"/>
      </w:r>
      <w:r>
        <w:t>10</w:t>
      </w:r>
      <w:r>
        <w:fldChar w:fldCharType="end"/>
      </w:r>
      <w:r>
        <w:rPr>
          <w:rFonts w:hint="eastAsia" w:ascii="宋体" w:hAnsi="宋体" w:eastAsia="宋体" w:cs="宋体"/>
          <w:bCs/>
          <w:color w:val="000000"/>
        </w:rPr>
        <w:fldChar w:fldCharType="end"/>
      </w:r>
    </w:p>
    <w:p>
      <w:pPr>
        <w:pStyle w:val="33"/>
        <w:keepNext w:val="0"/>
        <w:keepLines w:val="0"/>
        <w:pageBreakBefore w:val="0"/>
        <w:widowControl/>
        <w:tabs>
          <w:tab w:val="right" w:leader="dot" w:pos="8306"/>
        </w:tabs>
        <w:kinsoku/>
        <w:wordWrap/>
        <w:overflowPunct/>
        <w:topLinePunct w:val="0"/>
        <w:bidi w:val="0"/>
        <w:adjustRightInd/>
        <w:spacing w:line="720" w:lineRule="auto"/>
        <w:textAlignment w:val="auto"/>
      </w:pPr>
      <w:r>
        <w:rPr>
          <w:rFonts w:hint="eastAsia" w:ascii="宋体" w:hAnsi="宋体" w:eastAsia="宋体" w:cs="宋体"/>
          <w:bCs/>
          <w:color w:val="000000"/>
        </w:rPr>
        <w:fldChar w:fldCharType="begin"/>
      </w:r>
      <w:r>
        <w:rPr>
          <w:rFonts w:hint="eastAsia" w:ascii="宋体" w:hAnsi="宋体" w:eastAsia="宋体" w:cs="宋体"/>
          <w:bCs/>
        </w:rPr>
        <w:instrText xml:space="preserve"> HYPERLINK \l _Toc32453 </w:instrText>
      </w:r>
      <w:r>
        <w:rPr>
          <w:rFonts w:hint="eastAsia" w:ascii="宋体" w:hAnsi="宋体" w:eastAsia="宋体" w:cs="宋体"/>
          <w:bCs/>
        </w:rPr>
        <w:fldChar w:fldCharType="separate"/>
      </w:r>
      <w:r>
        <w:rPr>
          <w:rFonts w:ascii="宋体" w:hAnsi="宋体" w:eastAsia="宋体"/>
          <w:szCs w:val="28"/>
        </w:rPr>
        <w:t>第</w:t>
      </w:r>
      <w:r>
        <w:rPr>
          <w:rFonts w:hint="eastAsia" w:ascii="宋体" w:hAnsi="宋体" w:eastAsia="宋体"/>
          <w:szCs w:val="28"/>
        </w:rPr>
        <w:t>四</w:t>
      </w:r>
      <w:r>
        <w:rPr>
          <w:rFonts w:ascii="宋体" w:hAnsi="宋体" w:eastAsia="宋体"/>
          <w:szCs w:val="28"/>
        </w:rPr>
        <w:t>章</w:t>
      </w:r>
      <w:r>
        <w:rPr>
          <w:rFonts w:hint="eastAsia" w:ascii="宋体" w:hAnsi="宋体" w:eastAsia="宋体"/>
          <w:szCs w:val="28"/>
        </w:rPr>
        <w:t xml:space="preserve">  工程量清单及其他要求</w:t>
      </w:r>
      <w:r>
        <w:tab/>
      </w:r>
      <w:r>
        <w:fldChar w:fldCharType="begin"/>
      </w:r>
      <w:r>
        <w:instrText xml:space="preserve"> PAGEREF _Toc32453 </w:instrText>
      </w:r>
      <w:r>
        <w:fldChar w:fldCharType="separate"/>
      </w:r>
      <w:r>
        <w:t>12</w:t>
      </w:r>
      <w:r>
        <w:fldChar w:fldCharType="end"/>
      </w:r>
      <w:r>
        <w:rPr>
          <w:rFonts w:hint="eastAsia" w:ascii="宋体" w:hAnsi="宋体" w:eastAsia="宋体" w:cs="宋体"/>
          <w:bCs/>
          <w:color w:val="000000"/>
        </w:rPr>
        <w:fldChar w:fldCharType="end"/>
      </w:r>
    </w:p>
    <w:p>
      <w:pPr>
        <w:pStyle w:val="33"/>
        <w:keepNext w:val="0"/>
        <w:keepLines w:val="0"/>
        <w:pageBreakBefore w:val="0"/>
        <w:widowControl/>
        <w:tabs>
          <w:tab w:val="right" w:leader="dot" w:pos="8306"/>
        </w:tabs>
        <w:kinsoku/>
        <w:wordWrap/>
        <w:overflowPunct/>
        <w:topLinePunct w:val="0"/>
        <w:bidi w:val="0"/>
        <w:adjustRightInd/>
        <w:spacing w:line="720" w:lineRule="auto"/>
        <w:textAlignment w:val="auto"/>
      </w:pPr>
      <w:r>
        <w:rPr>
          <w:rFonts w:hint="eastAsia" w:ascii="宋体" w:hAnsi="宋体" w:eastAsia="宋体" w:cs="宋体"/>
          <w:bCs/>
          <w:color w:val="000000"/>
        </w:rPr>
        <w:fldChar w:fldCharType="begin"/>
      </w:r>
      <w:r>
        <w:rPr>
          <w:rFonts w:hint="eastAsia" w:ascii="宋体" w:hAnsi="宋体" w:eastAsia="宋体" w:cs="宋体"/>
          <w:bCs/>
        </w:rPr>
        <w:instrText xml:space="preserve"> HYPERLINK \l _Toc30213 </w:instrText>
      </w:r>
      <w:r>
        <w:rPr>
          <w:rFonts w:hint="eastAsia" w:ascii="宋体" w:hAnsi="宋体" w:eastAsia="宋体" w:cs="宋体"/>
          <w:bCs/>
        </w:rPr>
        <w:fldChar w:fldCharType="separate"/>
      </w:r>
      <w:r>
        <w:rPr>
          <w:rFonts w:ascii="宋体" w:hAnsi="宋体" w:eastAsia="宋体"/>
          <w:szCs w:val="28"/>
        </w:rPr>
        <w:t>第五章  磋商程序</w:t>
      </w:r>
      <w:r>
        <w:tab/>
      </w:r>
      <w:r>
        <w:fldChar w:fldCharType="begin"/>
      </w:r>
      <w:r>
        <w:instrText xml:space="preserve"> PAGEREF _Toc30213 </w:instrText>
      </w:r>
      <w:r>
        <w:fldChar w:fldCharType="separate"/>
      </w:r>
      <w:r>
        <w:t>14</w:t>
      </w:r>
      <w:r>
        <w:fldChar w:fldCharType="end"/>
      </w:r>
      <w:r>
        <w:rPr>
          <w:rFonts w:hint="eastAsia" w:ascii="宋体" w:hAnsi="宋体" w:eastAsia="宋体" w:cs="宋体"/>
          <w:bCs/>
          <w:color w:val="000000"/>
        </w:rPr>
        <w:fldChar w:fldCharType="end"/>
      </w:r>
    </w:p>
    <w:p>
      <w:pPr>
        <w:pStyle w:val="33"/>
        <w:keepNext w:val="0"/>
        <w:keepLines w:val="0"/>
        <w:pageBreakBefore w:val="0"/>
        <w:widowControl/>
        <w:tabs>
          <w:tab w:val="right" w:leader="dot" w:pos="8306"/>
        </w:tabs>
        <w:kinsoku/>
        <w:wordWrap/>
        <w:overflowPunct/>
        <w:topLinePunct w:val="0"/>
        <w:bidi w:val="0"/>
        <w:adjustRightInd/>
        <w:spacing w:line="720" w:lineRule="auto"/>
        <w:textAlignment w:val="auto"/>
      </w:pPr>
      <w:r>
        <w:rPr>
          <w:rFonts w:hint="eastAsia" w:ascii="宋体" w:hAnsi="宋体" w:eastAsia="宋体" w:cs="宋体"/>
          <w:bCs/>
          <w:color w:val="000000"/>
        </w:rPr>
        <w:fldChar w:fldCharType="begin"/>
      </w:r>
      <w:r>
        <w:rPr>
          <w:rFonts w:hint="eastAsia" w:ascii="宋体" w:hAnsi="宋体" w:eastAsia="宋体" w:cs="宋体"/>
          <w:bCs/>
        </w:rPr>
        <w:instrText xml:space="preserve"> HYPERLINK \l _Toc25785 </w:instrText>
      </w:r>
      <w:r>
        <w:rPr>
          <w:rFonts w:hint="eastAsia" w:ascii="宋体" w:hAnsi="宋体" w:eastAsia="宋体" w:cs="宋体"/>
          <w:bCs/>
        </w:rPr>
        <w:fldChar w:fldCharType="separate"/>
      </w:r>
      <w:r>
        <w:rPr>
          <w:rFonts w:hint="eastAsia" w:ascii="宋体" w:hAnsi="宋体"/>
          <w:kern w:val="44"/>
          <w:szCs w:val="28"/>
        </w:rPr>
        <w:t>第六章  政府采购合同</w:t>
      </w:r>
      <w:r>
        <w:tab/>
      </w:r>
      <w:r>
        <w:fldChar w:fldCharType="begin"/>
      </w:r>
      <w:r>
        <w:instrText xml:space="preserve"> PAGEREF _Toc25785 </w:instrText>
      </w:r>
      <w:r>
        <w:fldChar w:fldCharType="separate"/>
      </w:r>
      <w:r>
        <w:t>20</w:t>
      </w:r>
      <w:r>
        <w:fldChar w:fldCharType="end"/>
      </w:r>
      <w:r>
        <w:rPr>
          <w:rFonts w:hint="eastAsia" w:ascii="宋体" w:hAnsi="宋体" w:eastAsia="宋体" w:cs="宋体"/>
          <w:bCs/>
          <w:color w:val="000000"/>
        </w:rPr>
        <w:fldChar w:fldCharType="end"/>
      </w:r>
    </w:p>
    <w:p>
      <w:pPr>
        <w:pStyle w:val="33"/>
        <w:keepNext w:val="0"/>
        <w:keepLines w:val="0"/>
        <w:pageBreakBefore w:val="0"/>
        <w:widowControl/>
        <w:tabs>
          <w:tab w:val="right" w:leader="dot" w:pos="8306"/>
        </w:tabs>
        <w:kinsoku/>
        <w:wordWrap/>
        <w:overflowPunct/>
        <w:topLinePunct w:val="0"/>
        <w:bidi w:val="0"/>
        <w:adjustRightInd/>
        <w:spacing w:line="720" w:lineRule="auto"/>
        <w:textAlignment w:val="auto"/>
      </w:pPr>
      <w:r>
        <w:rPr>
          <w:rFonts w:hint="eastAsia" w:ascii="宋体" w:hAnsi="宋体" w:eastAsia="宋体" w:cs="宋体"/>
          <w:bCs/>
          <w:color w:val="000000"/>
        </w:rPr>
        <w:fldChar w:fldCharType="begin"/>
      </w:r>
      <w:r>
        <w:rPr>
          <w:rFonts w:hint="eastAsia" w:ascii="宋体" w:hAnsi="宋体" w:eastAsia="宋体" w:cs="宋体"/>
          <w:bCs/>
        </w:rPr>
        <w:instrText xml:space="preserve"> HYPERLINK \l _Toc2680 </w:instrText>
      </w:r>
      <w:r>
        <w:rPr>
          <w:rFonts w:hint="eastAsia" w:ascii="宋体" w:hAnsi="宋体" w:eastAsia="宋体" w:cs="宋体"/>
          <w:bCs/>
        </w:rPr>
        <w:fldChar w:fldCharType="separate"/>
      </w:r>
      <w:r>
        <w:rPr>
          <w:rFonts w:ascii="宋体" w:hAnsi="宋体" w:eastAsia="宋体"/>
          <w:szCs w:val="28"/>
        </w:rPr>
        <w:t>第七章</w:t>
      </w:r>
      <w:r>
        <w:rPr>
          <w:rFonts w:hint="eastAsia" w:ascii="宋体" w:hAnsi="宋体" w:eastAsia="宋体"/>
          <w:szCs w:val="28"/>
        </w:rPr>
        <w:t xml:space="preserve">  </w:t>
      </w:r>
      <w:r>
        <w:rPr>
          <w:rFonts w:ascii="宋体" w:hAnsi="宋体" w:eastAsia="宋体"/>
          <w:szCs w:val="28"/>
        </w:rPr>
        <w:t>响应文件（格式）</w:t>
      </w:r>
      <w:r>
        <w:tab/>
      </w:r>
      <w:r>
        <w:fldChar w:fldCharType="begin"/>
      </w:r>
      <w:r>
        <w:instrText xml:space="preserve"> PAGEREF _Toc2680 </w:instrText>
      </w:r>
      <w:r>
        <w:fldChar w:fldCharType="separate"/>
      </w:r>
      <w:r>
        <w:t>74</w:t>
      </w:r>
      <w:r>
        <w:fldChar w:fldCharType="end"/>
      </w:r>
      <w:r>
        <w:rPr>
          <w:rFonts w:hint="eastAsia" w:ascii="宋体" w:hAnsi="宋体" w:eastAsia="宋体" w:cs="宋体"/>
          <w:bCs/>
          <w:color w:val="000000"/>
        </w:rPr>
        <w:fldChar w:fldCharType="end"/>
      </w:r>
    </w:p>
    <w:p>
      <w:pPr>
        <w:keepNext w:val="0"/>
        <w:keepLines w:val="0"/>
        <w:pageBreakBefore w:val="0"/>
        <w:widowControl/>
        <w:kinsoku/>
        <w:wordWrap/>
        <w:overflowPunct/>
        <w:topLinePunct w:val="0"/>
        <w:autoSpaceDE w:val="0"/>
        <w:autoSpaceDN w:val="0"/>
        <w:bidi w:val="0"/>
        <w:adjustRightInd/>
        <w:snapToGrid w:val="0"/>
        <w:spacing w:before="100" w:beforeAutospacing="1" w:after="100" w:afterAutospacing="1" w:line="720" w:lineRule="auto"/>
        <w:textAlignment w:val="auto"/>
        <w:rPr>
          <w:rFonts w:hint="eastAsia" w:ascii="宋体" w:hAnsi="宋体" w:eastAsia="宋体" w:cs="宋体"/>
          <w:b/>
          <w:bCs/>
          <w:color w:val="000000"/>
        </w:rPr>
      </w:pPr>
      <w:r>
        <w:rPr>
          <w:rFonts w:hint="eastAsia" w:ascii="宋体" w:hAnsi="宋体" w:eastAsia="宋体" w:cs="宋体"/>
          <w:bCs/>
          <w:color w:val="000000"/>
        </w:rPr>
        <w:fldChar w:fldCharType="end"/>
      </w:r>
    </w:p>
    <w:p>
      <w:pPr>
        <w:spacing w:line="360" w:lineRule="auto"/>
        <w:rPr>
          <w:rFonts w:ascii="宋体" w:hAnsi="宋体"/>
          <w:b/>
          <w:color w:val="000000"/>
          <w:sz w:val="36"/>
          <w:szCs w:val="28"/>
        </w:rPr>
      </w:pPr>
    </w:p>
    <w:p>
      <w:pPr>
        <w:spacing w:line="360" w:lineRule="auto"/>
        <w:rPr>
          <w:rFonts w:ascii="宋体" w:hAnsi="宋体"/>
          <w:b/>
          <w:color w:val="000000"/>
          <w:sz w:val="36"/>
          <w:szCs w:val="28"/>
        </w:rPr>
        <w:sectPr>
          <w:type w:val="continuous"/>
          <w:pgSz w:w="11906" w:h="16838"/>
          <w:pgMar w:top="1440" w:right="1800" w:bottom="1440" w:left="1800" w:header="851" w:footer="992" w:gutter="0"/>
          <w:pgNumType w:start="1"/>
          <w:cols w:space="720" w:num="1"/>
          <w:docGrid w:type="lines" w:linePitch="326" w:charSpace="0"/>
        </w:sectPr>
      </w:pPr>
    </w:p>
    <w:p>
      <w:pPr>
        <w:pStyle w:val="6"/>
        <w:numPr>
          <w:ilvl w:val="0"/>
          <w:numId w:val="0"/>
        </w:numPr>
        <w:rPr>
          <w:rFonts w:ascii="宋体" w:hAnsi="宋体" w:eastAsia="宋体"/>
          <w:sz w:val="32"/>
          <w:szCs w:val="32"/>
        </w:rPr>
      </w:pPr>
      <w:bookmarkStart w:id="0" w:name="_Toc15365"/>
      <w:r>
        <w:rPr>
          <w:rFonts w:ascii="宋体" w:hAnsi="宋体" w:eastAsia="宋体"/>
          <w:sz w:val="32"/>
          <w:szCs w:val="32"/>
        </w:rPr>
        <w:t>第一章</w:t>
      </w:r>
      <w:r>
        <w:rPr>
          <w:rFonts w:hint="eastAsia" w:ascii="宋体" w:hAnsi="宋体" w:eastAsia="宋体"/>
          <w:sz w:val="32"/>
          <w:szCs w:val="32"/>
        </w:rPr>
        <w:t xml:space="preserve">  </w:t>
      </w:r>
      <w:r>
        <w:rPr>
          <w:rFonts w:ascii="宋体" w:hAnsi="宋体" w:eastAsia="宋体"/>
          <w:sz w:val="32"/>
          <w:szCs w:val="32"/>
        </w:rPr>
        <w:t>竞争性磋商邀请公告</w:t>
      </w:r>
      <w:bookmarkEnd w:id="0"/>
    </w:p>
    <w:p>
      <w:pPr>
        <w:keepNext w:val="0"/>
        <w:keepLines w:val="0"/>
        <w:widowControl/>
        <w:suppressLineNumbers w:val="0"/>
        <w:spacing w:line="360" w:lineRule="auto"/>
        <w:ind w:firstLine="480" w:firstLineChars="200"/>
        <w:jc w:val="left"/>
        <w:rPr>
          <w:rFonts w:ascii="宋体" w:hAnsi="宋体" w:cs="宋体"/>
          <w:color w:val="auto"/>
        </w:rPr>
      </w:pPr>
      <w:r>
        <w:rPr>
          <w:rFonts w:hint="eastAsia" w:ascii="宋体" w:hAnsi="宋体"/>
        </w:rPr>
        <w:t>四川易弘工程管理有限公司</w:t>
      </w:r>
      <w:r>
        <w:rPr>
          <w:rFonts w:hint="eastAsia" w:ascii="宋体" w:hAnsi="宋体" w:cs="宋体"/>
        </w:rPr>
        <w:t>受</w:t>
      </w:r>
      <w:r>
        <w:rPr>
          <w:rFonts w:hint="eastAsia" w:ascii="宋体" w:hAnsi="宋体"/>
          <w:color w:val="auto"/>
          <w:u w:val="single"/>
          <w:lang w:val="en-US" w:eastAsia="zh-CN"/>
        </w:rPr>
        <w:t>中共海晏县委组织部</w:t>
      </w:r>
      <w:r>
        <w:rPr>
          <w:rFonts w:hint="eastAsia" w:ascii="宋体" w:hAnsi="宋体" w:cs="Times New Roman"/>
          <w:color w:val="auto"/>
        </w:rPr>
        <w:t>委</w:t>
      </w:r>
      <w:r>
        <w:rPr>
          <w:rFonts w:hint="eastAsia" w:ascii="宋体" w:hAnsi="宋体" w:cs="宋体"/>
          <w:color w:val="auto"/>
        </w:rPr>
        <w:t>托，现对</w:t>
      </w:r>
      <w:r>
        <w:rPr>
          <w:rFonts w:hint="eastAsia"/>
          <w:b w:val="0"/>
          <w:bCs w:val="0"/>
          <w:color w:val="auto"/>
          <w:lang w:eastAsia="zh-CN"/>
        </w:rPr>
        <w:t>中共海晏县委组织部关于海晏县村级党员活动室建设（一期）的采购项目</w:t>
      </w:r>
      <w:r>
        <w:rPr>
          <w:rFonts w:hint="eastAsia" w:ascii="宋体" w:hAnsi="宋体" w:cs="宋体"/>
          <w:b w:val="0"/>
          <w:bCs w:val="0"/>
          <w:color w:val="auto"/>
        </w:rPr>
        <w:t>采用竞争性磋商方式进行采购，兹欢迎合</w:t>
      </w:r>
      <w:r>
        <w:rPr>
          <w:rFonts w:hint="eastAsia" w:ascii="宋体" w:hAnsi="宋体" w:cs="宋体"/>
          <w:color w:val="auto"/>
        </w:rPr>
        <w:t>格的供应商参加本项目的竞争性磋商。</w:t>
      </w:r>
    </w:p>
    <w:tbl>
      <w:tblPr>
        <w:tblStyle w:val="46"/>
        <w:tblW w:w="9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3"/>
        <w:gridCol w:w="6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2263" w:type="dxa"/>
            <w:vAlign w:val="center"/>
          </w:tcPr>
          <w:p>
            <w:pPr>
              <w:autoSpaceDE w:val="0"/>
              <w:autoSpaceDN w:val="0"/>
              <w:adjustRightInd w:val="0"/>
              <w:spacing w:line="276" w:lineRule="auto"/>
              <w:jc w:val="both"/>
              <w:rPr>
                <w:rFonts w:ascii="宋体" w:hAnsi="宋体" w:cs="仿宋"/>
                <w:color w:val="auto"/>
              </w:rPr>
            </w:pPr>
            <w:bookmarkStart w:id="1" w:name="_Hlk530663597"/>
            <w:r>
              <w:rPr>
                <w:rFonts w:hint="eastAsia" w:ascii="宋体" w:hAnsi="宋体" w:cs="仿宋"/>
                <w:color w:val="auto"/>
              </w:rPr>
              <w:t>采购项目名称</w:t>
            </w:r>
          </w:p>
        </w:tc>
        <w:tc>
          <w:tcPr>
            <w:tcW w:w="6946" w:type="dxa"/>
            <w:vAlign w:val="center"/>
          </w:tcPr>
          <w:p>
            <w:pPr>
              <w:autoSpaceDE w:val="0"/>
              <w:autoSpaceDN w:val="0"/>
              <w:adjustRightInd w:val="0"/>
              <w:spacing w:line="276" w:lineRule="auto"/>
              <w:jc w:val="both"/>
              <w:rPr>
                <w:rFonts w:hint="eastAsia" w:ascii="宋体" w:hAnsi="宋体" w:eastAsia="宋体" w:cs="仿宋"/>
                <w:color w:val="auto"/>
                <w:lang w:eastAsia="zh-CN"/>
              </w:rPr>
            </w:pPr>
            <w:r>
              <w:rPr>
                <w:rFonts w:hint="eastAsia"/>
                <w:b w:val="0"/>
                <w:bCs w:val="0"/>
                <w:color w:val="auto"/>
                <w:lang w:eastAsia="zh-CN"/>
              </w:rPr>
              <w:t>中共海晏县委组织部关于海晏县村级党员活动室建设（一期）的采购项目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2263" w:type="dxa"/>
            <w:vAlign w:val="center"/>
          </w:tcPr>
          <w:p>
            <w:pPr>
              <w:autoSpaceDE w:val="0"/>
              <w:autoSpaceDN w:val="0"/>
              <w:adjustRightInd w:val="0"/>
              <w:spacing w:line="276" w:lineRule="auto"/>
              <w:jc w:val="both"/>
              <w:rPr>
                <w:rFonts w:ascii="宋体" w:hAnsi="宋体" w:cs="仿宋"/>
              </w:rPr>
            </w:pPr>
            <w:r>
              <w:rPr>
                <w:rFonts w:hint="eastAsia" w:ascii="宋体" w:hAnsi="宋体" w:cs="仿宋"/>
              </w:rPr>
              <w:t>采购项目编号</w:t>
            </w:r>
          </w:p>
        </w:tc>
        <w:tc>
          <w:tcPr>
            <w:tcW w:w="6946" w:type="dxa"/>
            <w:vAlign w:val="center"/>
          </w:tcPr>
          <w:p>
            <w:pPr>
              <w:autoSpaceDE w:val="0"/>
              <w:autoSpaceDN w:val="0"/>
              <w:adjustRightInd w:val="0"/>
              <w:spacing w:line="276" w:lineRule="auto"/>
              <w:jc w:val="both"/>
              <w:rPr>
                <w:rFonts w:hint="default" w:ascii="宋体" w:hAnsi="宋体" w:eastAsia="宋体" w:cs="仿宋"/>
                <w:lang w:val="en-US" w:eastAsia="zh-CN"/>
              </w:rPr>
            </w:pPr>
            <w:r>
              <w:rPr>
                <w:rFonts w:hint="eastAsia" w:ascii="宋体" w:hAnsi="宋体" w:cs="仿宋"/>
                <w:lang w:eastAsia="zh-CN"/>
              </w:rPr>
              <w:t>易弘青海竞磋（工程）2020-0</w:t>
            </w:r>
            <w:r>
              <w:rPr>
                <w:rFonts w:hint="eastAsia" w:ascii="宋体" w:hAnsi="宋体" w:cs="仿宋"/>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263" w:type="dxa"/>
            <w:vAlign w:val="center"/>
          </w:tcPr>
          <w:p>
            <w:pPr>
              <w:autoSpaceDE w:val="0"/>
              <w:autoSpaceDN w:val="0"/>
              <w:adjustRightInd w:val="0"/>
              <w:spacing w:line="276" w:lineRule="auto"/>
              <w:jc w:val="both"/>
              <w:rPr>
                <w:rFonts w:ascii="宋体" w:hAnsi="宋体" w:cs="仿宋"/>
              </w:rPr>
            </w:pPr>
            <w:r>
              <w:rPr>
                <w:rFonts w:hint="eastAsia" w:ascii="宋体" w:hAnsi="宋体" w:cs="仿宋"/>
              </w:rPr>
              <w:t>采购方式</w:t>
            </w:r>
          </w:p>
        </w:tc>
        <w:tc>
          <w:tcPr>
            <w:tcW w:w="6946" w:type="dxa"/>
            <w:vAlign w:val="center"/>
          </w:tcPr>
          <w:p>
            <w:pPr>
              <w:autoSpaceDE w:val="0"/>
              <w:autoSpaceDN w:val="0"/>
              <w:adjustRightInd w:val="0"/>
              <w:spacing w:line="276" w:lineRule="auto"/>
              <w:rPr>
                <w:rFonts w:ascii="宋体" w:hAnsi="宋体" w:cs="仿宋"/>
              </w:rPr>
            </w:pPr>
            <w:r>
              <w:rPr>
                <w:rFonts w:hint="eastAsia" w:ascii="宋体" w:hAnsi="宋体" w:cs="仿宋"/>
              </w:rPr>
              <w:t>竞争性磋商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2263" w:type="dxa"/>
            <w:vAlign w:val="center"/>
          </w:tcPr>
          <w:p>
            <w:pPr>
              <w:autoSpaceDE w:val="0"/>
              <w:autoSpaceDN w:val="0"/>
              <w:adjustRightInd w:val="0"/>
              <w:spacing w:line="276" w:lineRule="auto"/>
              <w:jc w:val="both"/>
              <w:rPr>
                <w:rFonts w:ascii="宋体" w:hAnsi="宋体" w:cs="仿宋"/>
              </w:rPr>
            </w:pPr>
            <w:r>
              <w:rPr>
                <w:rFonts w:hint="eastAsia" w:ascii="宋体" w:hAnsi="宋体" w:cs="仿宋"/>
              </w:rPr>
              <w:t>采购预算控制额度</w:t>
            </w:r>
          </w:p>
        </w:tc>
        <w:tc>
          <w:tcPr>
            <w:tcW w:w="6946" w:type="dxa"/>
            <w:vAlign w:val="center"/>
          </w:tcPr>
          <w:p>
            <w:pPr>
              <w:keepNext w:val="0"/>
              <w:keepLines w:val="0"/>
              <w:widowControl/>
              <w:suppressLineNumbers w:val="0"/>
              <w:jc w:val="left"/>
              <w:rPr>
                <w:rFonts w:hint="default" w:ascii="宋体" w:hAnsi="宋体" w:cs="仿宋"/>
                <w:lang w:val="en-US"/>
              </w:rPr>
            </w:pPr>
            <w:r>
              <w:rPr>
                <w:rFonts w:hint="eastAsia" w:ascii="宋体" w:hAnsi="宋体" w:cs="宋体"/>
                <w:color w:val="auto"/>
                <w:kern w:val="0"/>
                <w:sz w:val="24"/>
                <w:szCs w:val="24"/>
                <w:lang w:val="en-US" w:eastAsia="zh-CN" w:bidi="ar"/>
              </w:rPr>
              <w:t>2162200.00元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2263" w:type="dxa"/>
            <w:vAlign w:val="center"/>
          </w:tcPr>
          <w:p>
            <w:pPr>
              <w:autoSpaceDE w:val="0"/>
              <w:autoSpaceDN w:val="0"/>
              <w:adjustRightInd w:val="0"/>
              <w:spacing w:line="276" w:lineRule="auto"/>
              <w:jc w:val="both"/>
              <w:rPr>
                <w:rFonts w:ascii="宋体" w:hAnsi="宋体" w:cs="仿宋"/>
              </w:rPr>
            </w:pPr>
            <w:r>
              <w:rPr>
                <w:rFonts w:hint="eastAsia" w:ascii="宋体" w:hAnsi="宋体" w:cs="仿宋"/>
              </w:rPr>
              <w:t>项目分包</w:t>
            </w:r>
          </w:p>
        </w:tc>
        <w:tc>
          <w:tcPr>
            <w:tcW w:w="6946" w:type="dxa"/>
            <w:vAlign w:val="center"/>
          </w:tcPr>
          <w:p>
            <w:pPr>
              <w:autoSpaceDE w:val="0"/>
              <w:autoSpaceDN w:val="0"/>
              <w:adjustRightInd w:val="0"/>
              <w:spacing w:line="276" w:lineRule="auto"/>
              <w:rPr>
                <w:rFonts w:ascii="宋体" w:hAnsi="宋体" w:cs="仿宋"/>
              </w:rPr>
            </w:pPr>
            <w:r>
              <w:rPr>
                <w:rFonts w:hint="eastAsia" w:ascii="宋体" w:hAnsi="宋体" w:cs="仿宋"/>
              </w:rPr>
              <w:t>无分包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9" w:hRule="atLeast"/>
          <w:jc w:val="center"/>
        </w:trPr>
        <w:tc>
          <w:tcPr>
            <w:tcW w:w="2263" w:type="dxa"/>
            <w:vAlign w:val="center"/>
          </w:tcPr>
          <w:p>
            <w:pPr>
              <w:autoSpaceDE w:val="0"/>
              <w:autoSpaceDN w:val="0"/>
              <w:adjustRightInd w:val="0"/>
              <w:spacing w:line="276" w:lineRule="auto"/>
              <w:jc w:val="both"/>
              <w:rPr>
                <w:rFonts w:ascii="宋体" w:hAnsi="宋体" w:cs="仿宋"/>
              </w:rPr>
            </w:pPr>
            <w:r>
              <w:rPr>
                <w:rFonts w:hint="eastAsia" w:ascii="宋体" w:hAnsi="宋体" w:cs="仿宋"/>
              </w:rPr>
              <w:t>项目要求</w:t>
            </w:r>
          </w:p>
        </w:tc>
        <w:tc>
          <w:tcPr>
            <w:tcW w:w="6946" w:type="dxa"/>
            <w:vAlign w:val="center"/>
          </w:tcPr>
          <w:p>
            <w:pPr>
              <w:autoSpaceDE w:val="0"/>
              <w:autoSpaceDN w:val="0"/>
              <w:adjustRightInd w:val="0"/>
              <w:spacing w:line="276" w:lineRule="auto"/>
              <w:rPr>
                <w:rFonts w:hint="default" w:ascii="宋体" w:hAnsi="宋体" w:eastAsia="宋体" w:cs="仿宋"/>
                <w:lang w:val="en-US" w:eastAsia="zh-CN"/>
              </w:rPr>
            </w:pPr>
            <w:r>
              <w:rPr>
                <w:rFonts w:hint="eastAsia" w:ascii="宋体" w:hAnsi="宋体" w:cs="仿宋"/>
              </w:rPr>
              <w:t>项目概况：</w:t>
            </w:r>
            <w:r>
              <w:rPr>
                <w:rFonts w:hint="eastAsia" w:ascii="宋体" w:hAnsi="宋体" w:cs="仿宋"/>
                <w:lang w:val="en-US" w:eastAsia="zh-CN"/>
              </w:rPr>
              <w:t>村级党员活动室建设</w:t>
            </w:r>
          </w:p>
          <w:p>
            <w:pPr>
              <w:autoSpaceDE w:val="0"/>
              <w:autoSpaceDN w:val="0"/>
              <w:adjustRightInd w:val="0"/>
              <w:spacing w:line="276" w:lineRule="auto"/>
              <w:rPr>
                <w:rFonts w:hint="eastAsia" w:ascii="宋体" w:hAnsi="宋体" w:eastAsia="宋体" w:cs="仿宋"/>
                <w:b w:val="0"/>
                <w:bCs w:val="0"/>
                <w:color w:val="auto"/>
                <w:lang w:eastAsia="zh-CN"/>
              </w:rPr>
            </w:pPr>
            <w:r>
              <w:rPr>
                <w:rFonts w:hint="eastAsia" w:ascii="宋体" w:hAnsi="宋体" w:cs="仿宋"/>
                <w:color w:val="auto"/>
                <w:lang w:eastAsia="zh-CN"/>
              </w:rPr>
              <w:t>计划工期：</w:t>
            </w:r>
            <w:r>
              <w:rPr>
                <w:rFonts w:hint="eastAsia" w:ascii="宋体" w:hAnsi="宋体" w:cs="仿宋"/>
                <w:color w:val="auto"/>
                <w:lang w:val="en-US" w:eastAsia="zh-CN"/>
              </w:rPr>
              <w:t>60</w:t>
            </w:r>
            <w:r>
              <w:rPr>
                <w:rFonts w:hint="eastAsia" w:ascii="宋体" w:hAnsi="宋体" w:cs="仿宋"/>
                <w:color w:val="auto"/>
                <w:lang w:eastAsia="zh-CN"/>
              </w:rPr>
              <w:t>日历天</w:t>
            </w:r>
          </w:p>
          <w:p>
            <w:pPr>
              <w:autoSpaceDE w:val="0"/>
              <w:autoSpaceDN w:val="0"/>
              <w:adjustRightInd w:val="0"/>
              <w:spacing w:line="276" w:lineRule="auto"/>
              <w:rPr>
                <w:rFonts w:hint="eastAsia" w:ascii="宋体" w:hAnsi="宋体" w:cs="宋体"/>
                <w:color w:val="auto"/>
                <w:kern w:val="0"/>
                <w:sz w:val="24"/>
                <w:szCs w:val="24"/>
                <w:lang w:val="en-US" w:eastAsia="zh-CN" w:bidi="ar"/>
              </w:rPr>
            </w:pPr>
            <w:r>
              <w:rPr>
                <w:rFonts w:hint="eastAsia" w:ascii="宋体" w:hAnsi="宋体" w:cs="仿宋"/>
                <w:color w:val="auto"/>
              </w:rPr>
              <w:t>最高</w:t>
            </w:r>
            <w:r>
              <w:rPr>
                <w:rFonts w:ascii="宋体" w:hAnsi="宋体" w:cs="仿宋"/>
                <w:color w:val="auto"/>
              </w:rPr>
              <w:t>限价</w:t>
            </w:r>
            <w:r>
              <w:rPr>
                <w:rFonts w:hint="eastAsia" w:ascii="宋体" w:hAnsi="宋体" w:cs="仿宋"/>
                <w:color w:val="auto"/>
              </w:rPr>
              <w:t>：</w:t>
            </w:r>
            <w:r>
              <w:rPr>
                <w:rFonts w:hint="eastAsia" w:ascii="宋体" w:hAnsi="宋体" w:cs="宋体"/>
                <w:color w:val="auto"/>
                <w:kern w:val="0"/>
                <w:sz w:val="24"/>
                <w:szCs w:val="24"/>
                <w:lang w:val="en-US" w:eastAsia="zh-CN" w:bidi="ar"/>
              </w:rPr>
              <w:t>2162200.00元</w:t>
            </w:r>
          </w:p>
          <w:p>
            <w:pPr>
              <w:autoSpaceDE w:val="0"/>
              <w:autoSpaceDN w:val="0"/>
              <w:adjustRightInd w:val="0"/>
              <w:spacing w:line="276" w:lineRule="auto"/>
              <w:rPr>
                <w:rFonts w:hint="default" w:ascii="宋体" w:hAnsi="宋体" w:eastAsia="宋体" w:cs="仿宋"/>
                <w:lang w:val="en-US" w:eastAsia="zh-CN"/>
              </w:rPr>
            </w:pPr>
            <w:r>
              <w:rPr>
                <w:rFonts w:hint="eastAsia" w:ascii="宋体" w:hAnsi="宋体" w:cs="仿宋"/>
              </w:rPr>
              <w:t>建设地点</w:t>
            </w:r>
            <w:r>
              <w:rPr>
                <w:rFonts w:hint="eastAsia" w:ascii="宋体" w:hAnsi="宋体" w:cs="宋体"/>
              </w:rPr>
              <w:t>：</w:t>
            </w:r>
            <w:r>
              <w:rPr>
                <w:rFonts w:hint="eastAsia" w:ascii="宋体" w:hAnsi="宋体" w:cs="仿宋"/>
                <w:lang w:val="en-US" w:eastAsia="zh-CN"/>
              </w:rPr>
              <w:t>海晏县</w:t>
            </w:r>
          </w:p>
          <w:p>
            <w:pPr>
              <w:autoSpaceDE w:val="0"/>
              <w:autoSpaceDN w:val="0"/>
              <w:adjustRightInd w:val="0"/>
              <w:spacing w:line="276" w:lineRule="auto"/>
              <w:rPr>
                <w:rFonts w:ascii="宋体" w:hAnsi="宋体" w:cs="仿宋"/>
              </w:rPr>
            </w:pPr>
            <w:r>
              <w:rPr>
                <w:rFonts w:hint="eastAsia" w:ascii="宋体" w:hAnsi="宋体" w:cs="仿宋"/>
              </w:rPr>
              <w:t>具体内容详见《磋商文件》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4" w:hRule="atLeast"/>
          <w:jc w:val="center"/>
        </w:trPr>
        <w:tc>
          <w:tcPr>
            <w:tcW w:w="2263" w:type="dxa"/>
            <w:vAlign w:val="center"/>
          </w:tcPr>
          <w:p>
            <w:pPr>
              <w:autoSpaceDE w:val="0"/>
              <w:autoSpaceDN w:val="0"/>
              <w:adjustRightInd w:val="0"/>
              <w:spacing w:line="276" w:lineRule="auto"/>
              <w:jc w:val="both"/>
              <w:rPr>
                <w:rFonts w:ascii="宋体" w:hAnsi="宋体" w:cs="仿宋"/>
              </w:rPr>
            </w:pPr>
            <w:r>
              <w:rPr>
                <w:rFonts w:hint="eastAsia" w:ascii="宋体" w:hAnsi="宋体" w:cs="仿宋"/>
              </w:rPr>
              <w:t>供应商资格条件</w:t>
            </w:r>
          </w:p>
        </w:tc>
        <w:tc>
          <w:tcPr>
            <w:tcW w:w="6946" w:type="dxa"/>
            <w:vAlign w:val="center"/>
          </w:tcPr>
          <w:p>
            <w:pPr>
              <w:autoSpaceDE w:val="0"/>
              <w:autoSpaceDN w:val="0"/>
              <w:rPr>
                <w:rFonts w:ascii="宋体" w:hAnsi="宋体"/>
                <w:szCs w:val="22"/>
                <w:lang w:val="zh-CN"/>
              </w:rPr>
            </w:pPr>
            <w:r>
              <w:rPr>
                <w:rFonts w:hint="eastAsia" w:ascii="宋体" w:hAnsi="宋体"/>
                <w:szCs w:val="22"/>
                <w:lang w:val="zh-CN"/>
              </w:rPr>
              <w:t>1、 符合《政府采购法》第22条条件，并提供下列材料：</w:t>
            </w:r>
          </w:p>
          <w:p>
            <w:pPr>
              <w:autoSpaceDE w:val="0"/>
              <w:autoSpaceDN w:val="0"/>
              <w:rPr>
                <w:rFonts w:ascii="宋体" w:hAnsi="宋体"/>
                <w:szCs w:val="22"/>
                <w:lang w:val="zh-CN"/>
              </w:rPr>
            </w:pPr>
            <w:r>
              <w:rPr>
                <w:rFonts w:hint="eastAsia" w:ascii="宋体" w:hAnsi="宋体"/>
                <w:szCs w:val="22"/>
                <w:lang w:val="zh-CN"/>
              </w:rPr>
              <w:t>&lt;1&gt;投标人的营业执照等证明文件，自然人的身份证明。</w:t>
            </w:r>
          </w:p>
          <w:p>
            <w:pPr>
              <w:autoSpaceDE w:val="0"/>
              <w:autoSpaceDN w:val="0"/>
              <w:rPr>
                <w:rFonts w:ascii="宋体" w:hAnsi="宋体"/>
                <w:szCs w:val="22"/>
                <w:lang w:val="zh-CN"/>
              </w:rPr>
            </w:pPr>
            <w:r>
              <w:rPr>
                <w:rFonts w:hint="eastAsia" w:ascii="宋体" w:hAnsi="宋体"/>
                <w:szCs w:val="22"/>
                <w:lang w:val="zh-CN"/>
              </w:rPr>
              <w:t>&lt;2&gt;财务状况报告，依法缴纳税收和社会保障资金的相关材料。</w:t>
            </w:r>
          </w:p>
          <w:p>
            <w:pPr>
              <w:autoSpaceDE w:val="0"/>
              <w:autoSpaceDN w:val="0"/>
              <w:rPr>
                <w:rFonts w:ascii="宋体" w:hAnsi="宋体"/>
                <w:szCs w:val="22"/>
                <w:lang w:val="zh-CN"/>
              </w:rPr>
            </w:pPr>
            <w:r>
              <w:rPr>
                <w:rFonts w:hint="eastAsia" w:ascii="宋体" w:hAnsi="宋体"/>
                <w:szCs w:val="22"/>
                <w:lang w:val="zh-CN"/>
              </w:rPr>
              <w:t>&lt;3&gt;具备履行合同所必需的设备和专业技术能力的证明材料。</w:t>
            </w:r>
          </w:p>
          <w:p>
            <w:pPr>
              <w:autoSpaceDE w:val="0"/>
              <w:autoSpaceDN w:val="0"/>
              <w:rPr>
                <w:rFonts w:ascii="宋体" w:hAnsi="宋体"/>
                <w:szCs w:val="22"/>
                <w:lang w:val="zh-CN"/>
              </w:rPr>
            </w:pPr>
            <w:r>
              <w:rPr>
                <w:rFonts w:hint="eastAsia" w:ascii="宋体" w:hAnsi="宋体"/>
                <w:szCs w:val="22"/>
                <w:lang w:val="zh-CN"/>
              </w:rPr>
              <w:t>&lt;4&gt;参加政府采购活动前3年内在经营活动中没有重大违法记录的书面声明。</w:t>
            </w:r>
          </w:p>
          <w:p>
            <w:pPr>
              <w:autoSpaceDE w:val="0"/>
              <w:autoSpaceDN w:val="0"/>
              <w:rPr>
                <w:rFonts w:ascii="宋体" w:hAnsi="宋体"/>
                <w:szCs w:val="22"/>
                <w:lang w:val="zh-CN"/>
              </w:rPr>
            </w:pPr>
            <w:r>
              <w:rPr>
                <w:rFonts w:hint="eastAsia" w:ascii="宋体" w:hAnsi="宋体"/>
                <w:szCs w:val="22"/>
                <w:lang w:val="zh-CN"/>
              </w:rPr>
              <w:t>&lt;5&gt;具备法律、行政法规规定的其他条件的证明材料。</w:t>
            </w:r>
          </w:p>
          <w:p>
            <w:pPr>
              <w:autoSpaceDE w:val="0"/>
              <w:autoSpaceDN w:val="0"/>
              <w:adjustRightInd w:val="0"/>
              <w:spacing w:line="276" w:lineRule="auto"/>
              <w:rPr>
                <w:rFonts w:ascii="宋体" w:hAnsi="宋体" w:cs="仿宋"/>
              </w:rPr>
            </w:pPr>
            <w:r>
              <w:rPr>
                <w:rFonts w:hint="eastAsia" w:ascii="宋体" w:hAnsi="宋体" w:cs="仿宋"/>
              </w:rPr>
              <w:t>2、供应商具备</w:t>
            </w:r>
            <w:r>
              <w:rPr>
                <w:rFonts w:hint="eastAsia" w:ascii="宋体" w:hAnsi="宋体" w:cs="宋体"/>
                <w:color w:val="auto"/>
                <w:sz w:val="24"/>
                <w:lang w:eastAsia="zh-CN"/>
              </w:rPr>
              <w:t>建筑工程专业</w:t>
            </w:r>
            <w:r>
              <w:rPr>
                <w:rFonts w:hint="eastAsia" w:ascii="宋体" w:hAnsi="宋体" w:cs="仿宋"/>
              </w:rPr>
              <w:t>三级（含三级）及以上资质；</w:t>
            </w:r>
            <w:r>
              <w:rPr>
                <w:rFonts w:ascii="宋体" w:hAnsi="宋体" w:cs="仿宋"/>
              </w:rPr>
              <w:t xml:space="preserve"> </w:t>
            </w:r>
          </w:p>
          <w:p>
            <w:pPr>
              <w:autoSpaceDE w:val="0"/>
              <w:autoSpaceDN w:val="0"/>
              <w:adjustRightInd w:val="0"/>
              <w:spacing w:line="276" w:lineRule="auto"/>
              <w:rPr>
                <w:rFonts w:ascii="宋体" w:hAnsi="宋体" w:cs="宋体"/>
                <w:color w:val="FF0000"/>
              </w:rPr>
            </w:pPr>
            <w:r>
              <w:rPr>
                <w:rFonts w:hint="eastAsia" w:ascii="宋体" w:hAnsi="宋体" w:cs="仿宋"/>
              </w:rPr>
              <w:t>3、</w:t>
            </w:r>
            <w:r>
              <w:rPr>
                <w:rFonts w:ascii="宋体" w:hAnsi="宋体" w:cs="仿宋"/>
              </w:rPr>
              <w:t>具有</w:t>
            </w:r>
            <w:r>
              <w:rPr>
                <w:rFonts w:hint="eastAsia" w:ascii="宋体" w:hAnsi="宋体" w:cs="仿宋"/>
              </w:rPr>
              <w:t>有效地安全生产许可证；</w:t>
            </w:r>
          </w:p>
          <w:p>
            <w:pPr>
              <w:autoSpaceDE w:val="0"/>
              <w:autoSpaceDN w:val="0"/>
              <w:adjustRightInd w:val="0"/>
              <w:spacing w:line="276" w:lineRule="auto"/>
              <w:rPr>
                <w:rFonts w:ascii="宋体" w:hAnsi="宋体" w:cs="仿宋"/>
              </w:rPr>
            </w:pPr>
            <w:r>
              <w:rPr>
                <w:rFonts w:hint="eastAsia" w:ascii="宋体" w:hAnsi="宋体" w:cs="仿宋"/>
              </w:rPr>
              <w:t>4、本项目的项目经理具有</w:t>
            </w:r>
            <w:r>
              <w:rPr>
                <w:rFonts w:hint="eastAsia" w:ascii="宋体" w:hAnsi="宋体" w:cs="宋体"/>
                <w:color w:val="auto"/>
                <w:sz w:val="24"/>
                <w:lang w:eastAsia="zh-CN"/>
              </w:rPr>
              <w:t>建筑工程专业</w:t>
            </w:r>
            <w:r>
              <w:rPr>
                <w:rFonts w:hint="eastAsia" w:ascii="宋体" w:hAnsi="宋体" w:cs="仿宋"/>
              </w:rPr>
              <w:t>贰级（含）及以上注册建造师资格；（提供建造师执业证、注册证、安全考核合格证书）；</w:t>
            </w:r>
          </w:p>
          <w:p>
            <w:pPr>
              <w:autoSpaceDE w:val="0"/>
              <w:autoSpaceDN w:val="0"/>
              <w:adjustRightInd w:val="0"/>
              <w:spacing w:line="276" w:lineRule="auto"/>
              <w:rPr>
                <w:rFonts w:ascii="宋体" w:hAnsi="宋体" w:cs="仿宋"/>
              </w:rPr>
            </w:pPr>
            <w:r>
              <w:rPr>
                <w:rFonts w:ascii="宋体" w:hAnsi="宋体" w:cs="仿宋"/>
              </w:rPr>
              <w:t>5.</w:t>
            </w:r>
            <w:r>
              <w:rPr>
                <w:rFonts w:hint="eastAsia" w:ascii="宋体" w:hAnsi="宋体" w:cs="仿宋"/>
              </w:rPr>
              <w:t>省外供应商须提供进青登记相关证明材料；</w:t>
            </w:r>
          </w:p>
          <w:p>
            <w:pPr>
              <w:autoSpaceDE w:val="0"/>
              <w:autoSpaceDN w:val="0"/>
              <w:adjustRightInd w:val="0"/>
              <w:spacing w:line="276" w:lineRule="auto"/>
              <w:rPr>
                <w:rFonts w:ascii="宋体" w:hAnsi="宋体" w:cs="仿宋"/>
              </w:rPr>
            </w:pPr>
            <w:r>
              <w:rPr>
                <w:rFonts w:ascii="宋体" w:hAnsi="宋体" w:cs="仿宋"/>
              </w:rPr>
              <w:t>6</w:t>
            </w:r>
            <w:r>
              <w:rPr>
                <w:rFonts w:hint="eastAsia" w:ascii="宋体" w:hAnsi="宋体" w:cs="仿宋"/>
              </w:rPr>
              <w:t>.本次采购活动不接受联合体磋商；</w:t>
            </w:r>
          </w:p>
          <w:p>
            <w:pPr>
              <w:autoSpaceDE w:val="0"/>
              <w:autoSpaceDN w:val="0"/>
              <w:adjustRightInd w:val="0"/>
              <w:spacing w:line="276" w:lineRule="auto"/>
              <w:rPr>
                <w:rFonts w:ascii="宋体" w:hAnsi="宋体" w:cs="仿宋"/>
              </w:rPr>
            </w:pPr>
            <w:r>
              <w:rPr>
                <w:rFonts w:ascii="宋体" w:hAnsi="宋体" w:cs="宋体"/>
              </w:rPr>
              <w:t>7</w:t>
            </w:r>
            <w:r>
              <w:rPr>
                <w:rFonts w:hint="eastAsia" w:ascii="宋体" w:hAnsi="宋体" w:cs="宋体"/>
              </w:rPr>
              <w:t>.经信用中国</w:t>
            </w:r>
            <w:r>
              <w:rPr>
                <w:rFonts w:hint="eastAsia" w:ascii="宋体" w:hAnsi="宋体" w:cs="宋体"/>
                <w:color w:val="auto"/>
              </w:rPr>
              <w:t>（www.creditchina.gov.cn）、中国政府采购网（www.ccgp.gov.cn）</w:t>
            </w:r>
            <w:r>
              <w:rPr>
                <w:rFonts w:hint="eastAsia" w:ascii="宋体" w:hAnsi="宋体" w:cs="宋体"/>
              </w:rPr>
              <w:t>等渠道查询后，列入失信被执行人、重大税收违法案件当事人名单、政府采购严重违法失信行为记录名单的，取消投标资格。（提供“信用中国”网站无任何不良记录的查询截图，时间为</w:t>
            </w:r>
            <w:r>
              <w:rPr>
                <w:rFonts w:hint="eastAsia" w:ascii="宋体" w:hAnsi="宋体" w:cs="宋体"/>
                <w:color w:val="000000"/>
              </w:rPr>
              <w:t>投标截止时间前</w:t>
            </w:r>
            <w:r>
              <w:rPr>
                <w:rFonts w:ascii="宋体" w:hAnsi="宋体" w:cs="宋体"/>
                <w:color w:val="000000"/>
              </w:rPr>
              <w:t>1</w:t>
            </w:r>
            <w:r>
              <w:rPr>
                <w:rFonts w:hint="eastAsia" w:ascii="宋体" w:hAnsi="宋体" w:cs="宋体"/>
                <w:color w:val="000000"/>
              </w:rPr>
              <w:t>0天内</w:t>
            </w: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2263" w:type="dxa"/>
            <w:vAlign w:val="center"/>
          </w:tcPr>
          <w:p>
            <w:pPr>
              <w:autoSpaceDE w:val="0"/>
              <w:autoSpaceDN w:val="0"/>
              <w:adjustRightInd w:val="0"/>
              <w:spacing w:line="276" w:lineRule="auto"/>
              <w:jc w:val="both"/>
              <w:rPr>
                <w:rFonts w:ascii="宋体" w:hAnsi="宋体" w:cs="仿宋"/>
              </w:rPr>
            </w:pPr>
            <w:r>
              <w:rPr>
                <w:rFonts w:hint="eastAsia" w:ascii="宋体" w:hAnsi="宋体" w:cs="仿宋"/>
              </w:rPr>
              <w:t>磋商公告发布时间</w:t>
            </w:r>
          </w:p>
        </w:tc>
        <w:tc>
          <w:tcPr>
            <w:tcW w:w="6946" w:type="dxa"/>
            <w:vAlign w:val="center"/>
          </w:tcPr>
          <w:p>
            <w:pPr>
              <w:autoSpaceDE w:val="0"/>
              <w:autoSpaceDN w:val="0"/>
              <w:adjustRightInd w:val="0"/>
              <w:spacing w:line="276" w:lineRule="auto"/>
              <w:rPr>
                <w:rFonts w:ascii="宋体" w:hAnsi="宋体" w:cs="仿宋"/>
                <w:color w:val="auto"/>
              </w:rPr>
            </w:pPr>
            <w:r>
              <w:rPr>
                <w:rFonts w:hint="eastAsia" w:ascii="宋体" w:hAnsi="宋体" w:cs="仿宋"/>
                <w:color w:val="auto"/>
              </w:rPr>
              <w:t>20</w:t>
            </w:r>
            <w:r>
              <w:rPr>
                <w:rFonts w:hint="eastAsia" w:ascii="宋体" w:hAnsi="宋体" w:cs="仿宋"/>
                <w:color w:val="auto"/>
                <w:lang w:val="en-US" w:eastAsia="zh-CN"/>
              </w:rPr>
              <w:t>20</w:t>
            </w:r>
            <w:r>
              <w:rPr>
                <w:rFonts w:hint="eastAsia" w:ascii="宋体" w:hAnsi="宋体" w:cs="仿宋"/>
                <w:color w:val="auto"/>
              </w:rPr>
              <w:t>年</w:t>
            </w:r>
            <w:r>
              <w:rPr>
                <w:rFonts w:hint="eastAsia" w:ascii="宋体" w:hAnsi="宋体" w:cs="仿宋"/>
                <w:color w:val="auto"/>
                <w:lang w:val="en-US" w:eastAsia="zh-CN"/>
              </w:rPr>
              <w:t>09</w:t>
            </w:r>
            <w:r>
              <w:rPr>
                <w:rFonts w:hint="eastAsia" w:ascii="宋体" w:hAnsi="宋体" w:cs="仿宋"/>
                <w:color w:val="auto"/>
              </w:rPr>
              <w:t>月</w:t>
            </w:r>
            <w:r>
              <w:rPr>
                <w:rFonts w:hint="eastAsia" w:ascii="宋体" w:hAnsi="宋体" w:cs="仿宋"/>
                <w:color w:val="auto"/>
                <w:lang w:val="en-US" w:eastAsia="zh-CN"/>
              </w:rPr>
              <w:t>18</w:t>
            </w:r>
            <w:r>
              <w:rPr>
                <w:rFonts w:hint="eastAsia" w:ascii="宋体" w:hAnsi="宋体" w:cs="仿宋"/>
                <w:color w:val="auto"/>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2263" w:type="dxa"/>
            <w:vAlign w:val="center"/>
          </w:tcPr>
          <w:p>
            <w:pPr>
              <w:autoSpaceDE w:val="0"/>
              <w:autoSpaceDN w:val="0"/>
              <w:adjustRightInd w:val="0"/>
              <w:spacing w:line="276" w:lineRule="auto"/>
              <w:jc w:val="both"/>
              <w:rPr>
                <w:rFonts w:ascii="宋体" w:hAnsi="宋体" w:cs="仿宋"/>
              </w:rPr>
            </w:pPr>
            <w:r>
              <w:rPr>
                <w:rFonts w:hint="eastAsia" w:ascii="宋体" w:hAnsi="宋体" w:cs="仿宋"/>
              </w:rPr>
              <w:t>磋商文件发售起止时间</w:t>
            </w:r>
          </w:p>
        </w:tc>
        <w:tc>
          <w:tcPr>
            <w:tcW w:w="6946" w:type="dxa"/>
            <w:vAlign w:val="center"/>
          </w:tcPr>
          <w:p>
            <w:pPr>
              <w:autoSpaceDE w:val="0"/>
              <w:autoSpaceDN w:val="0"/>
              <w:adjustRightInd w:val="0"/>
              <w:spacing w:line="276" w:lineRule="auto"/>
              <w:rPr>
                <w:rFonts w:ascii="宋体" w:hAnsi="宋体" w:cs="仿宋"/>
                <w:color w:val="auto"/>
              </w:rPr>
            </w:pPr>
            <w:bookmarkStart w:id="2" w:name="_Hlk486532230"/>
            <w:r>
              <w:rPr>
                <w:rFonts w:hint="eastAsia" w:ascii="宋体" w:hAnsi="宋体" w:cs="仿宋"/>
                <w:color w:val="auto"/>
              </w:rPr>
              <w:t>20</w:t>
            </w:r>
            <w:r>
              <w:rPr>
                <w:rFonts w:hint="eastAsia" w:ascii="宋体" w:hAnsi="宋体" w:cs="仿宋"/>
                <w:color w:val="auto"/>
                <w:lang w:val="en-US" w:eastAsia="zh-CN"/>
              </w:rPr>
              <w:t>20</w:t>
            </w:r>
            <w:r>
              <w:rPr>
                <w:rFonts w:hint="eastAsia" w:ascii="宋体" w:hAnsi="宋体" w:cs="仿宋"/>
                <w:color w:val="auto"/>
              </w:rPr>
              <w:t>年</w:t>
            </w:r>
            <w:r>
              <w:rPr>
                <w:rFonts w:hint="eastAsia" w:ascii="宋体" w:hAnsi="宋体" w:cs="仿宋"/>
                <w:color w:val="auto"/>
                <w:lang w:val="en-US" w:eastAsia="zh-CN"/>
              </w:rPr>
              <w:t>09</w:t>
            </w:r>
            <w:r>
              <w:rPr>
                <w:rFonts w:hint="eastAsia" w:ascii="宋体" w:hAnsi="宋体" w:cs="仿宋"/>
                <w:color w:val="auto"/>
              </w:rPr>
              <w:t>月</w:t>
            </w:r>
            <w:r>
              <w:rPr>
                <w:rFonts w:hint="eastAsia" w:ascii="宋体" w:hAnsi="宋体" w:cs="仿宋"/>
                <w:color w:val="auto"/>
                <w:lang w:val="en-US" w:eastAsia="zh-CN"/>
              </w:rPr>
              <w:t>21</w:t>
            </w:r>
            <w:r>
              <w:rPr>
                <w:rFonts w:hint="eastAsia" w:ascii="宋体" w:hAnsi="宋体" w:cs="仿宋"/>
                <w:color w:val="auto"/>
              </w:rPr>
              <w:t>日至20</w:t>
            </w:r>
            <w:r>
              <w:rPr>
                <w:rFonts w:hint="eastAsia" w:ascii="宋体" w:hAnsi="宋体" w:cs="仿宋"/>
                <w:color w:val="auto"/>
                <w:lang w:val="en-US" w:eastAsia="zh-CN"/>
              </w:rPr>
              <w:t>20</w:t>
            </w:r>
            <w:r>
              <w:rPr>
                <w:rFonts w:hint="eastAsia" w:ascii="宋体" w:hAnsi="宋体" w:cs="仿宋"/>
                <w:color w:val="auto"/>
              </w:rPr>
              <w:t>年</w:t>
            </w:r>
            <w:r>
              <w:rPr>
                <w:rFonts w:hint="eastAsia" w:ascii="宋体" w:hAnsi="宋体" w:cs="仿宋"/>
                <w:color w:val="auto"/>
                <w:lang w:val="en-US" w:eastAsia="zh-CN"/>
              </w:rPr>
              <w:t>09</w:t>
            </w:r>
            <w:r>
              <w:rPr>
                <w:rFonts w:hint="eastAsia" w:ascii="宋体" w:hAnsi="宋体" w:cs="仿宋"/>
                <w:color w:val="auto"/>
              </w:rPr>
              <w:t>月</w:t>
            </w:r>
            <w:r>
              <w:rPr>
                <w:rFonts w:hint="eastAsia" w:ascii="宋体" w:hAnsi="宋体" w:cs="仿宋"/>
                <w:color w:val="auto"/>
                <w:lang w:val="en-US" w:eastAsia="zh-CN"/>
              </w:rPr>
              <w:t>25</w:t>
            </w:r>
            <w:r>
              <w:rPr>
                <w:rFonts w:hint="eastAsia" w:ascii="宋体" w:hAnsi="宋体" w:cs="仿宋"/>
                <w:color w:val="auto"/>
              </w:rPr>
              <w:t>日上午9:00- 12:00至下午1</w:t>
            </w:r>
            <w:r>
              <w:rPr>
                <w:rFonts w:ascii="宋体" w:hAnsi="宋体" w:cs="仿宋"/>
                <w:color w:val="auto"/>
              </w:rPr>
              <w:t>4</w:t>
            </w:r>
            <w:r>
              <w:rPr>
                <w:rFonts w:hint="eastAsia" w:ascii="宋体" w:hAnsi="宋体" w:cs="仿宋"/>
                <w:color w:val="auto"/>
              </w:rPr>
              <w:t>：30-17：00（北京时间）节假日除外。</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263" w:type="dxa"/>
            <w:vAlign w:val="center"/>
          </w:tcPr>
          <w:p>
            <w:pPr>
              <w:autoSpaceDE w:val="0"/>
              <w:autoSpaceDN w:val="0"/>
              <w:adjustRightInd w:val="0"/>
              <w:spacing w:line="276" w:lineRule="auto"/>
              <w:jc w:val="both"/>
              <w:rPr>
                <w:rFonts w:ascii="宋体" w:hAnsi="宋体" w:cs="仿宋"/>
              </w:rPr>
            </w:pPr>
            <w:r>
              <w:rPr>
                <w:rFonts w:hint="eastAsia" w:ascii="宋体" w:hAnsi="宋体" w:cs="仿宋"/>
              </w:rPr>
              <w:t>磋商文件发售方式</w:t>
            </w:r>
          </w:p>
        </w:tc>
        <w:tc>
          <w:tcPr>
            <w:tcW w:w="6946" w:type="dxa"/>
            <w:vAlign w:val="center"/>
          </w:tcPr>
          <w:p>
            <w:pPr>
              <w:autoSpaceDE w:val="0"/>
              <w:autoSpaceDN w:val="0"/>
              <w:adjustRightInd w:val="0"/>
              <w:spacing w:line="276" w:lineRule="auto"/>
              <w:rPr>
                <w:rFonts w:ascii="宋体" w:hAnsi="宋体" w:cs="仿宋"/>
              </w:rPr>
            </w:pPr>
            <w:r>
              <w:rPr>
                <w:rFonts w:hint="eastAsia" w:ascii="宋体" w:hAnsi="宋体"/>
                <w:lang w:val="zh-CN"/>
              </w:rPr>
              <w:t>现场购买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2263" w:type="dxa"/>
            <w:vAlign w:val="center"/>
          </w:tcPr>
          <w:p>
            <w:pPr>
              <w:autoSpaceDE w:val="0"/>
              <w:autoSpaceDN w:val="0"/>
              <w:adjustRightInd w:val="0"/>
              <w:spacing w:line="276" w:lineRule="auto"/>
              <w:jc w:val="both"/>
              <w:rPr>
                <w:rFonts w:ascii="宋体" w:hAnsi="宋体" w:cs="仿宋"/>
              </w:rPr>
            </w:pPr>
            <w:r>
              <w:rPr>
                <w:rFonts w:hint="eastAsia" w:ascii="宋体" w:hAnsi="宋体" w:cs="仿宋"/>
              </w:rPr>
              <w:t>磋商文件、图纸及工程量清单售价</w:t>
            </w:r>
          </w:p>
        </w:tc>
        <w:tc>
          <w:tcPr>
            <w:tcW w:w="6946" w:type="dxa"/>
            <w:vAlign w:val="center"/>
          </w:tcPr>
          <w:p>
            <w:pPr>
              <w:widowControl w:val="0"/>
              <w:autoSpaceDE w:val="0"/>
              <w:autoSpaceDN w:val="0"/>
              <w:adjustRightInd w:val="0"/>
              <w:spacing w:line="276" w:lineRule="auto"/>
              <w:rPr>
                <w:rFonts w:ascii="宋体" w:hAnsi="宋体" w:cs="仿宋"/>
              </w:rPr>
            </w:pPr>
            <w:r>
              <w:rPr>
                <w:rFonts w:hint="eastAsia" w:ascii="宋体" w:hAnsi="宋体" w:cs="仿宋"/>
              </w:rPr>
              <w:t>磋商文件：</w:t>
            </w:r>
            <w:r>
              <w:rPr>
                <w:rFonts w:ascii="宋体" w:hAnsi="宋体" w:cs="仿宋"/>
              </w:rPr>
              <w:t>5</w:t>
            </w:r>
            <w:r>
              <w:rPr>
                <w:rFonts w:hint="eastAsia" w:ascii="宋体" w:hAnsi="宋体" w:cs="仿宋"/>
              </w:rPr>
              <w:t>00元/份（磋商文件售后不退, 磋商资格不能转让）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jc w:val="center"/>
        </w:trPr>
        <w:tc>
          <w:tcPr>
            <w:tcW w:w="2263" w:type="dxa"/>
            <w:vAlign w:val="center"/>
          </w:tcPr>
          <w:p>
            <w:pPr>
              <w:autoSpaceDE w:val="0"/>
              <w:autoSpaceDN w:val="0"/>
              <w:adjustRightInd w:val="0"/>
              <w:spacing w:line="276" w:lineRule="auto"/>
              <w:jc w:val="both"/>
              <w:rPr>
                <w:rFonts w:ascii="宋体" w:hAnsi="宋体" w:cs="仿宋"/>
              </w:rPr>
            </w:pPr>
            <w:r>
              <w:rPr>
                <w:rFonts w:hint="eastAsia" w:ascii="宋体" w:hAnsi="宋体" w:cs="仿宋"/>
              </w:rPr>
              <w:t>磋商文件发售地点</w:t>
            </w:r>
          </w:p>
        </w:tc>
        <w:tc>
          <w:tcPr>
            <w:tcW w:w="6946" w:type="dxa"/>
            <w:vAlign w:val="center"/>
          </w:tcPr>
          <w:p>
            <w:pPr>
              <w:pStyle w:val="19"/>
              <w:jc w:val="both"/>
              <w:rPr>
                <w:rFonts w:ascii="宋体" w:hAnsi="宋体"/>
                <w:sz w:val="24"/>
                <w:szCs w:val="22"/>
              </w:rPr>
            </w:pPr>
            <w:r>
              <w:rPr>
                <w:rFonts w:hint="eastAsia" w:ascii="宋体" w:hAnsi="宋体"/>
                <w:sz w:val="24"/>
                <w:szCs w:val="22"/>
                <w:lang w:val="zh-CN"/>
              </w:rPr>
              <w:t>地址：</w:t>
            </w:r>
            <w:r>
              <w:rPr>
                <w:rFonts w:hint="eastAsia" w:ascii="宋体" w:hAnsi="宋体"/>
                <w:sz w:val="24"/>
                <w:szCs w:val="22"/>
              </w:rPr>
              <w:t>青海省西宁市城西区五四西路71号安泰大厦</w:t>
            </w:r>
            <w:r>
              <w:rPr>
                <w:rFonts w:hint="eastAsia" w:ascii="宋体" w:hAnsi="宋体"/>
                <w:sz w:val="24"/>
                <w:szCs w:val="22"/>
                <w:lang w:val="en-US" w:eastAsia="zh-CN"/>
              </w:rPr>
              <w:t>西座</w:t>
            </w:r>
            <w:r>
              <w:rPr>
                <w:rFonts w:hint="eastAsia" w:ascii="宋体" w:hAnsi="宋体"/>
                <w:sz w:val="24"/>
                <w:szCs w:val="22"/>
              </w:rPr>
              <w:t>20层。</w:t>
            </w:r>
          </w:p>
          <w:p>
            <w:pPr>
              <w:pStyle w:val="19"/>
              <w:jc w:val="both"/>
              <w:rPr>
                <w:rFonts w:ascii="宋体" w:hAnsi="宋体"/>
                <w:sz w:val="24"/>
                <w:szCs w:val="22"/>
                <w:lang w:val="zh-CN"/>
              </w:rPr>
            </w:pPr>
            <w:r>
              <w:rPr>
                <w:rFonts w:hint="eastAsia" w:ascii="宋体" w:hAnsi="宋体"/>
                <w:sz w:val="24"/>
                <w:szCs w:val="22"/>
                <w:lang w:val="zh-CN"/>
              </w:rPr>
              <w:t>标书购买联系人：</w:t>
            </w:r>
            <w:r>
              <w:rPr>
                <w:rFonts w:hint="eastAsia" w:ascii="宋体" w:hAnsi="宋体"/>
                <w:sz w:val="24"/>
                <w:szCs w:val="22"/>
              </w:rPr>
              <w:t>刘先生</w:t>
            </w:r>
          </w:p>
          <w:p>
            <w:pPr>
              <w:autoSpaceDE w:val="0"/>
              <w:autoSpaceDN w:val="0"/>
              <w:adjustRightInd w:val="0"/>
              <w:spacing w:line="276" w:lineRule="auto"/>
              <w:rPr>
                <w:rFonts w:ascii="宋体" w:hAnsi="宋体" w:cs="仿宋"/>
              </w:rPr>
            </w:pPr>
            <w:r>
              <w:rPr>
                <w:rFonts w:hint="eastAsia" w:ascii="宋体" w:hAnsi="宋体"/>
                <w:szCs w:val="22"/>
                <w:lang w:val="zh-CN"/>
              </w:rPr>
              <w:t>电话：</w:t>
            </w:r>
            <w:r>
              <w:rPr>
                <w:rFonts w:hint="eastAsia" w:ascii="宋体" w:hAnsi="宋体"/>
                <w:szCs w:val="22"/>
              </w:rPr>
              <w:t>0971-6300789</w:t>
            </w:r>
            <w:r>
              <w:rPr>
                <w:rFonts w:hint="eastAsia" w:ascii="宋体" w:hAnsi="宋体"/>
                <w:szCs w:val="22"/>
                <w:lang w:val="zh-CN"/>
              </w:rPr>
              <w:t>，电子邮箱：</w:t>
            </w:r>
            <w:r>
              <w:rPr>
                <w:rFonts w:hint="eastAsia" w:ascii="宋体" w:hAnsi="宋体"/>
                <w:szCs w:val="22"/>
              </w:rPr>
              <w:t>2304828580@</w:t>
            </w:r>
            <w:r>
              <w:rPr>
                <w:rFonts w:hint="eastAsia" w:ascii="宋体" w:hAnsi="宋体"/>
                <w:szCs w:val="22"/>
                <w:lang w:val="en-US" w:eastAsia="zh-CN"/>
              </w:rPr>
              <w:t>qq</w:t>
            </w:r>
            <w:r>
              <w:rPr>
                <w:rFonts w:hint="eastAsia" w:ascii="宋体" w:hAnsi="宋体"/>
                <w:szCs w:val="22"/>
              </w:rPr>
              <w:t>.com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2" w:hRule="atLeast"/>
          <w:jc w:val="center"/>
        </w:trPr>
        <w:tc>
          <w:tcPr>
            <w:tcW w:w="2263" w:type="dxa"/>
            <w:vAlign w:val="center"/>
          </w:tcPr>
          <w:p>
            <w:pPr>
              <w:autoSpaceDE w:val="0"/>
              <w:autoSpaceDN w:val="0"/>
              <w:adjustRightInd w:val="0"/>
              <w:spacing w:line="276" w:lineRule="auto"/>
              <w:jc w:val="both"/>
              <w:rPr>
                <w:rFonts w:ascii="宋体" w:hAnsi="宋体" w:cs="仿宋"/>
              </w:rPr>
            </w:pPr>
            <w:r>
              <w:rPr>
                <w:rFonts w:hint="eastAsia" w:ascii="宋体" w:hAnsi="宋体" w:cs="仿宋"/>
              </w:rPr>
              <w:t>购买磋商文件时应提供材料</w:t>
            </w:r>
          </w:p>
        </w:tc>
        <w:tc>
          <w:tcPr>
            <w:tcW w:w="6946" w:type="dxa"/>
            <w:vAlign w:val="center"/>
          </w:tcPr>
          <w:p>
            <w:pPr>
              <w:autoSpaceDE w:val="0"/>
              <w:autoSpaceDN w:val="0"/>
              <w:adjustRightInd w:val="0"/>
              <w:spacing w:line="276" w:lineRule="auto"/>
              <w:rPr>
                <w:rFonts w:ascii="宋体" w:hAnsi="宋体" w:cs="仿宋"/>
              </w:rPr>
            </w:pPr>
            <w:r>
              <w:rPr>
                <w:rFonts w:hint="eastAsia" w:ascii="宋体" w:hAnsi="宋体" w:cs="宋体"/>
                <w:color w:val="000000"/>
                <w:lang w:val="zh-CN"/>
              </w:rPr>
              <w:t>投标人的企业营业执照（统一社会信用代码证复印件）、法人授权委托书（参考招标文件格式3）、法人及被授权人身份证复印件,以上资料需加盖</w:t>
            </w:r>
            <w:r>
              <w:rPr>
                <w:rFonts w:hint="eastAsia" w:ascii="宋体" w:hAnsi="宋体" w:cs="宋体"/>
                <w:color w:val="000000"/>
              </w:rPr>
              <w:t>公司鲜</w:t>
            </w:r>
            <w:r>
              <w:rPr>
                <w:rFonts w:hint="eastAsia" w:ascii="宋体" w:hAnsi="宋体" w:cs="宋体"/>
                <w:color w:val="000000"/>
                <w:lang w:val="zh-CN"/>
              </w:rPr>
              <w:t>章。注：需网上购买招标文件的投标人可将以上材料扫描后发送至采购代理机构电子邮箱，在邮件中标明项目编号、项目名称、联系人及联系方式，并联系代理机构工作人员进行确认。同时将以上资料邮寄至采购代理机构留存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2263" w:type="dxa"/>
            <w:vAlign w:val="center"/>
          </w:tcPr>
          <w:p>
            <w:pPr>
              <w:autoSpaceDE w:val="0"/>
              <w:autoSpaceDN w:val="0"/>
              <w:adjustRightInd w:val="0"/>
              <w:spacing w:line="276" w:lineRule="auto"/>
              <w:jc w:val="both"/>
              <w:rPr>
                <w:rFonts w:ascii="宋体" w:hAnsi="宋体" w:cs="仿宋"/>
              </w:rPr>
            </w:pPr>
            <w:r>
              <w:rPr>
                <w:rFonts w:hint="eastAsia" w:ascii="宋体" w:hAnsi="宋体" w:cs="仿宋"/>
              </w:rPr>
              <w:t>响应文件递交时间</w:t>
            </w:r>
          </w:p>
        </w:tc>
        <w:tc>
          <w:tcPr>
            <w:tcW w:w="6946" w:type="dxa"/>
            <w:vAlign w:val="center"/>
          </w:tcPr>
          <w:p>
            <w:pPr>
              <w:autoSpaceDE w:val="0"/>
              <w:autoSpaceDN w:val="0"/>
              <w:adjustRightInd w:val="0"/>
              <w:spacing w:line="276" w:lineRule="auto"/>
              <w:rPr>
                <w:rFonts w:ascii="宋体" w:hAnsi="宋体" w:cs="仿宋"/>
                <w:color w:val="auto"/>
              </w:rPr>
            </w:pPr>
            <w:r>
              <w:rPr>
                <w:rFonts w:hint="eastAsia" w:ascii="宋体" w:hAnsi="宋体" w:cs="仿宋"/>
                <w:color w:val="auto"/>
              </w:rPr>
              <w:t>20</w:t>
            </w:r>
            <w:r>
              <w:rPr>
                <w:rFonts w:hint="eastAsia" w:ascii="宋体" w:hAnsi="宋体" w:cs="仿宋"/>
                <w:color w:val="auto"/>
                <w:lang w:val="en-US" w:eastAsia="zh-CN"/>
              </w:rPr>
              <w:t>20</w:t>
            </w:r>
            <w:r>
              <w:rPr>
                <w:rFonts w:hint="eastAsia" w:ascii="宋体" w:hAnsi="宋体" w:cs="仿宋"/>
                <w:color w:val="auto"/>
              </w:rPr>
              <w:t>年</w:t>
            </w:r>
            <w:r>
              <w:rPr>
                <w:rFonts w:hint="eastAsia" w:ascii="宋体" w:hAnsi="宋体" w:cs="仿宋"/>
                <w:color w:val="auto"/>
                <w:lang w:val="en-US" w:eastAsia="zh-CN"/>
              </w:rPr>
              <w:t>09</w:t>
            </w:r>
            <w:r>
              <w:rPr>
                <w:rFonts w:hint="eastAsia" w:ascii="宋体" w:hAnsi="宋体" w:cs="仿宋"/>
                <w:color w:val="auto"/>
              </w:rPr>
              <w:t>月</w:t>
            </w:r>
            <w:r>
              <w:rPr>
                <w:rFonts w:hint="eastAsia" w:ascii="宋体" w:hAnsi="宋体" w:cs="仿宋"/>
                <w:color w:val="auto"/>
                <w:lang w:val="en-US" w:eastAsia="zh-CN"/>
              </w:rPr>
              <w:t>30</w:t>
            </w:r>
            <w:r>
              <w:rPr>
                <w:rFonts w:hint="eastAsia" w:ascii="宋体" w:hAnsi="宋体" w:cs="仿宋"/>
                <w:color w:val="auto"/>
              </w:rPr>
              <w:t xml:space="preserve">日 </w:t>
            </w:r>
            <w:r>
              <w:rPr>
                <w:rFonts w:hint="eastAsia" w:ascii="宋体" w:hAnsi="宋体" w:cs="仿宋"/>
                <w:color w:val="auto"/>
                <w:lang w:val="en-US" w:eastAsia="zh-CN"/>
              </w:rPr>
              <w:t>09</w:t>
            </w:r>
            <w:r>
              <w:rPr>
                <w:rFonts w:hint="eastAsia" w:ascii="宋体" w:hAnsi="宋体"/>
                <w:color w:val="auto"/>
              </w:rPr>
              <w:t>:</w:t>
            </w:r>
            <w:r>
              <w:rPr>
                <w:rFonts w:hint="eastAsia" w:ascii="宋体" w:hAnsi="宋体"/>
                <w:color w:val="auto"/>
                <w:lang w:val="en-US" w:eastAsia="zh-CN"/>
              </w:rPr>
              <w:t>3</w:t>
            </w:r>
            <w:r>
              <w:rPr>
                <w:rFonts w:hint="eastAsia" w:ascii="宋体" w:hAnsi="宋体"/>
                <w:color w:val="auto"/>
              </w:rPr>
              <w:t>0</w:t>
            </w:r>
            <w:r>
              <w:rPr>
                <w:rFonts w:hint="eastAsia" w:ascii="宋体" w:hAnsi="宋体" w:cs="仿宋"/>
                <w:color w:val="auto"/>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vAlign w:val="center"/>
          </w:tcPr>
          <w:p>
            <w:pPr>
              <w:autoSpaceDE w:val="0"/>
              <w:autoSpaceDN w:val="0"/>
              <w:adjustRightInd w:val="0"/>
              <w:spacing w:line="276" w:lineRule="auto"/>
              <w:jc w:val="both"/>
              <w:rPr>
                <w:rFonts w:ascii="宋体" w:hAnsi="宋体" w:cs="仿宋"/>
              </w:rPr>
            </w:pPr>
            <w:r>
              <w:rPr>
                <w:rFonts w:hint="eastAsia" w:ascii="宋体" w:hAnsi="宋体" w:cs="仿宋"/>
              </w:rPr>
              <w:t>响应文件递交截止时间</w:t>
            </w:r>
          </w:p>
        </w:tc>
        <w:tc>
          <w:tcPr>
            <w:tcW w:w="6946" w:type="dxa"/>
            <w:vAlign w:val="center"/>
          </w:tcPr>
          <w:p>
            <w:pPr>
              <w:autoSpaceDE w:val="0"/>
              <w:autoSpaceDN w:val="0"/>
              <w:adjustRightInd w:val="0"/>
              <w:spacing w:line="276" w:lineRule="auto"/>
              <w:rPr>
                <w:rFonts w:ascii="宋体" w:hAnsi="宋体" w:cs="仿宋"/>
                <w:color w:val="auto"/>
              </w:rPr>
            </w:pPr>
            <w:r>
              <w:rPr>
                <w:rFonts w:hint="eastAsia" w:ascii="宋体" w:hAnsi="宋体" w:cs="仿宋"/>
                <w:color w:val="auto"/>
              </w:rPr>
              <w:t>20</w:t>
            </w:r>
            <w:r>
              <w:rPr>
                <w:rFonts w:hint="eastAsia" w:ascii="宋体" w:hAnsi="宋体" w:cs="仿宋"/>
                <w:color w:val="auto"/>
                <w:lang w:val="en-US" w:eastAsia="zh-CN"/>
              </w:rPr>
              <w:t>20</w:t>
            </w:r>
            <w:r>
              <w:rPr>
                <w:rFonts w:hint="eastAsia" w:ascii="宋体" w:hAnsi="宋体" w:cs="仿宋"/>
                <w:color w:val="auto"/>
              </w:rPr>
              <w:t>年</w:t>
            </w:r>
            <w:r>
              <w:rPr>
                <w:rFonts w:hint="eastAsia" w:ascii="宋体" w:hAnsi="宋体" w:cs="仿宋"/>
                <w:color w:val="auto"/>
                <w:lang w:val="en-US" w:eastAsia="zh-CN"/>
              </w:rPr>
              <w:t>09</w:t>
            </w:r>
            <w:r>
              <w:rPr>
                <w:rFonts w:hint="eastAsia" w:ascii="宋体" w:hAnsi="宋体" w:cs="仿宋"/>
                <w:color w:val="auto"/>
              </w:rPr>
              <w:t>月</w:t>
            </w:r>
            <w:r>
              <w:rPr>
                <w:rFonts w:hint="eastAsia" w:ascii="宋体" w:hAnsi="宋体" w:cs="仿宋"/>
                <w:color w:val="auto"/>
                <w:lang w:val="en-US" w:eastAsia="zh-CN"/>
              </w:rPr>
              <w:t>30</w:t>
            </w:r>
            <w:r>
              <w:rPr>
                <w:rFonts w:hint="eastAsia" w:ascii="宋体" w:hAnsi="宋体" w:cs="仿宋"/>
                <w:color w:val="auto"/>
              </w:rPr>
              <w:t xml:space="preserve">日 </w:t>
            </w:r>
            <w:r>
              <w:rPr>
                <w:rFonts w:hint="eastAsia" w:ascii="宋体" w:hAnsi="宋体" w:cs="仿宋"/>
                <w:color w:val="auto"/>
                <w:lang w:val="en-US" w:eastAsia="zh-CN"/>
              </w:rPr>
              <w:t>09</w:t>
            </w:r>
            <w:r>
              <w:rPr>
                <w:rFonts w:hint="eastAsia" w:ascii="宋体" w:hAnsi="宋体"/>
                <w:color w:val="auto"/>
              </w:rPr>
              <w:t>:</w:t>
            </w:r>
            <w:r>
              <w:rPr>
                <w:rFonts w:hint="eastAsia" w:ascii="宋体" w:hAnsi="宋体"/>
                <w:color w:val="auto"/>
                <w:lang w:val="en-US" w:eastAsia="zh-CN"/>
              </w:rPr>
              <w:t>3</w:t>
            </w:r>
            <w:r>
              <w:rPr>
                <w:rFonts w:hint="eastAsia" w:ascii="宋体" w:hAnsi="宋体"/>
                <w:color w:val="auto"/>
              </w:rPr>
              <w:t>0</w:t>
            </w:r>
            <w:r>
              <w:rPr>
                <w:rFonts w:hint="eastAsia" w:ascii="宋体" w:hAnsi="宋体" w:cs="仿宋"/>
                <w:color w:val="auto"/>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2263" w:type="dxa"/>
            <w:vAlign w:val="center"/>
          </w:tcPr>
          <w:p>
            <w:pPr>
              <w:autoSpaceDE w:val="0"/>
              <w:autoSpaceDN w:val="0"/>
              <w:adjustRightInd w:val="0"/>
              <w:spacing w:line="276" w:lineRule="auto"/>
              <w:jc w:val="both"/>
              <w:rPr>
                <w:rFonts w:ascii="宋体" w:hAnsi="宋体" w:cs="仿宋"/>
              </w:rPr>
            </w:pPr>
            <w:r>
              <w:rPr>
                <w:rFonts w:hint="eastAsia" w:ascii="宋体" w:hAnsi="宋体" w:cs="仿宋"/>
              </w:rPr>
              <w:t>磋商时间</w:t>
            </w:r>
          </w:p>
        </w:tc>
        <w:tc>
          <w:tcPr>
            <w:tcW w:w="6946" w:type="dxa"/>
            <w:vAlign w:val="center"/>
          </w:tcPr>
          <w:p>
            <w:pPr>
              <w:autoSpaceDE w:val="0"/>
              <w:autoSpaceDN w:val="0"/>
              <w:adjustRightInd w:val="0"/>
              <w:spacing w:line="276" w:lineRule="auto"/>
              <w:rPr>
                <w:rFonts w:ascii="宋体" w:hAnsi="宋体" w:cs="仿宋"/>
                <w:color w:val="auto"/>
              </w:rPr>
            </w:pPr>
            <w:r>
              <w:rPr>
                <w:rFonts w:hint="eastAsia" w:ascii="宋体" w:hAnsi="宋体" w:cs="仿宋"/>
                <w:color w:val="auto"/>
              </w:rPr>
              <w:t>20</w:t>
            </w:r>
            <w:r>
              <w:rPr>
                <w:rFonts w:hint="eastAsia" w:ascii="宋体" w:hAnsi="宋体" w:cs="仿宋"/>
                <w:color w:val="auto"/>
                <w:lang w:val="en-US" w:eastAsia="zh-CN"/>
              </w:rPr>
              <w:t>20</w:t>
            </w:r>
            <w:r>
              <w:rPr>
                <w:rFonts w:hint="eastAsia" w:ascii="宋体" w:hAnsi="宋体" w:cs="仿宋"/>
                <w:color w:val="auto"/>
              </w:rPr>
              <w:t>年</w:t>
            </w:r>
            <w:r>
              <w:rPr>
                <w:rFonts w:hint="eastAsia" w:ascii="宋体" w:hAnsi="宋体" w:cs="仿宋"/>
                <w:color w:val="auto"/>
                <w:lang w:val="en-US" w:eastAsia="zh-CN"/>
              </w:rPr>
              <w:t>09</w:t>
            </w:r>
            <w:r>
              <w:rPr>
                <w:rFonts w:hint="eastAsia" w:ascii="宋体" w:hAnsi="宋体" w:cs="仿宋"/>
                <w:color w:val="auto"/>
              </w:rPr>
              <w:t>月</w:t>
            </w:r>
            <w:r>
              <w:rPr>
                <w:rFonts w:hint="eastAsia" w:ascii="宋体" w:hAnsi="宋体" w:cs="仿宋"/>
                <w:color w:val="auto"/>
                <w:lang w:val="en-US" w:eastAsia="zh-CN"/>
              </w:rPr>
              <w:t>30</w:t>
            </w:r>
            <w:r>
              <w:rPr>
                <w:rFonts w:hint="eastAsia" w:ascii="宋体" w:hAnsi="宋体" w:cs="仿宋"/>
                <w:color w:val="auto"/>
              </w:rPr>
              <w:t xml:space="preserve">日 </w:t>
            </w:r>
            <w:r>
              <w:rPr>
                <w:rFonts w:hint="eastAsia" w:ascii="宋体" w:hAnsi="宋体" w:cs="仿宋"/>
                <w:color w:val="auto"/>
                <w:lang w:val="en-US" w:eastAsia="zh-CN"/>
              </w:rPr>
              <w:t>09</w:t>
            </w:r>
            <w:r>
              <w:rPr>
                <w:rFonts w:hint="eastAsia" w:ascii="宋体" w:hAnsi="宋体"/>
                <w:color w:val="auto"/>
              </w:rPr>
              <w:t>:</w:t>
            </w:r>
            <w:r>
              <w:rPr>
                <w:rFonts w:hint="eastAsia" w:ascii="宋体" w:hAnsi="宋体"/>
                <w:color w:val="auto"/>
                <w:lang w:val="en-US" w:eastAsia="zh-CN"/>
              </w:rPr>
              <w:t>3</w:t>
            </w:r>
            <w:r>
              <w:rPr>
                <w:rFonts w:hint="eastAsia" w:ascii="宋体" w:hAnsi="宋体"/>
                <w:color w:val="auto"/>
              </w:rPr>
              <w:t>0</w:t>
            </w:r>
            <w:r>
              <w:rPr>
                <w:rFonts w:hint="eastAsia" w:ascii="宋体" w:hAnsi="宋体" w:cs="仿宋"/>
                <w:color w:val="auto"/>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2263" w:type="dxa"/>
            <w:vAlign w:val="center"/>
          </w:tcPr>
          <w:p>
            <w:pPr>
              <w:autoSpaceDE w:val="0"/>
              <w:autoSpaceDN w:val="0"/>
              <w:adjustRightInd w:val="0"/>
              <w:spacing w:line="276" w:lineRule="auto"/>
              <w:jc w:val="both"/>
              <w:rPr>
                <w:rFonts w:ascii="宋体" w:hAnsi="宋体" w:cs="仿宋"/>
              </w:rPr>
            </w:pPr>
            <w:r>
              <w:rPr>
                <w:rFonts w:hint="eastAsia" w:ascii="宋体" w:hAnsi="宋体" w:cs="仿宋"/>
              </w:rPr>
              <w:t>磋商地点</w:t>
            </w:r>
          </w:p>
        </w:tc>
        <w:tc>
          <w:tcPr>
            <w:tcW w:w="6946" w:type="dxa"/>
            <w:vAlign w:val="center"/>
          </w:tcPr>
          <w:p>
            <w:pPr>
              <w:autoSpaceDE w:val="0"/>
              <w:autoSpaceDN w:val="0"/>
              <w:adjustRightInd w:val="0"/>
              <w:spacing w:line="276" w:lineRule="auto"/>
              <w:rPr>
                <w:rFonts w:ascii="宋体" w:hAnsi="宋体" w:cs="仿宋"/>
              </w:rPr>
            </w:pPr>
            <w:r>
              <w:rPr>
                <w:rFonts w:hint="eastAsia" w:ascii="宋体" w:hAnsi="宋体" w:cs="宋体"/>
                <w:color w:val="000000"/>
              </w:rPr>
              <w:t>青海省西宁市城西区五四西路71号安泰大厦</w:t>
            </w:r>
            <w:r>
              <w:rPr>
                <w:rFonts w:hint="eastAsia" w:ascii="宋体" w:hAnsi="宋体" w:cs="宋体"/>
                <w:color w:val="000000"/>
                <w:lang w:val="en-US" w:eastAsia="zh-CN"/>
              </w:rPr>
              <w:t>西座</w:t>
            </w:r>
            <w:r>
              <w:rPr>
                <w:rFonts w:hint="eastAsia" w:ascii="宋体" w:hAnsi="宋体" w:cs="宋体"/>
                <w:color w:val="000000"/>
              </w:rPr>
              <w:t>20层，四川易弘工程管理</w:t>
            </w:r>
            <w:r>
              <w:rPr>
                <w:rFonts w:hint="eastAsia" w:ascii="宋体" w:hAnsi="宋体" w:cs="宋体"/>
                <w:color w:val="000000"/>
                <w:lang w:val="zh-CN"/>
              </w:rPr>
              <w:t>有限公司</w:t>
            </w:r>
            <w:r>
              <w:rPr>
                <w:rFonts w:hint="eastAsia" w:ascii="宋体" w:hAnsi="宋体" w:cs="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6" w:hRule="atLeast"/>
          <w:jc w:val="center"/>
        </w:trPr>
        <w:tc>
          <w:tcPr>
            <w:tcW w:w="2263" w:type="dxa"/>
            <w:vAlign w:val="center"/>
          </w:tcPr>
          <w:p>
            <w:pPr>
              <w:autoSpaceDE w:val="0"/>
              <w:autoSpaceDN w:val="0"/>
              <w:adjustRightInd w:val="0"/>
              <w:spacing w:line="276" w:lineRule="auto"/>
              <w:jc w:val="both"/>
              <w:rPr>
                <w:rFonts w:ascii="宋体" w:hAnsi="宋体" w:cs="仿宋"/>
              </w:rPr>
            </w:pPr>
            <w:r>
              <w:rPr>
                <w:rFonts w:hint="eastAsia" w:ascii="宋体" w:hAnsi="宋体" w:cs="仿宋"/>
              </w:rPr>
              <w:t>采购单位及联系人电话</w:t>
            </w:r>
          </w:p>
        </w:tc>
        <w:tc>
          <w:tcPr>
            <w:tcW w:w="6946" w:type="dxa"/>
            <w:vAlign w:val="center"/>
          </w:tcPr>
          <w:p>
            <w:pPr>
              <w:spacing w:line="240" w:lineRule="auto"/>
              <w:rPr>
                <w:rFonts w:hint="default" w:ascii="宋体" w:hAnsi="宋体"/>
                <w:color w:val="auto"/>
                <w:sz w:val="24"/>
                <w:lang w:val="en-US"/>
              </w:rPr>
            </w:pPr>
            <w:r>
              <w:rPr>
                <w:rFonts w:hint="eastAsia" w:ascii="宋体" w:hAnsi="宋体" w:cs="宋体"/>
                <w:sz w:val="24"/>
              </w:rPr>
              <w:t>招标人：</w:t>
            </w:r>
            <w:r>
              <w:rPr>
                <w:rFonts w:hint="eastAsia" w:ascii="宋体" w:hAnsi="宋体"/>
                <w:color w:val="auto"/>
                <w:lang w:val="en-US" w:eastAsia="zh-CN"/>
              </w:rPr>
              <w:t>中共海晏县委组织部</w:t>
            </w:r>
          </w:p>
          <w:p>
            <w:pPr>
              <w:autoSpaceDE w:val="0"/>
              <w:autoSpaceDN w:val="0"/>
              <w:adjustRightInd w:val="0"/>
              <w:spacing w:line="240" w:lineRule="auto"/>
              <w:rPr>
                <w:rFonts w:hint="default" w:ascii="宋体" w:hAnsi="宋体" w:eastAsia="宋体" w:cs="仿宋"/>
                <w:color w:val="000000" w:themeColor="text1"/>
                <w:lang w:val="en-US" w:eastAsia="zh-CN"/>
                <w14:textFill>
                  <w14:solidFill>
                    <w14:schemeClr w14:val="tx1"/>
                  </w14:solidFill>
                </w14:textFill>
              </w:rPr>
            </w:pPr>
            <w:r>
              <w:rPr>
                <w:rFonts w:hint="eastAsia" w:ascii="宋体" w:hAnsi="宋体" w:cs="仿宋"/>
              </w:rPr>
              <w:t>联系人</w:t>
            </w:r>
            <w:r>
              <w:rPr>
                <w:rFonts w:hint="eastAsia" w:ascii="宋体" w:hAnsi="宋体" w:cs="仿宋"/>
                <w:color w:val="000000" w:themeColor="text1"/>
                <w14:textFill>
                  <w14:solidFill>
                    <w14:schemeClr w14:val="tx1"/>
                  </w14:solidFill>
                </w14:textFill>
              </w:rPr>
              <w:t>：</w:t>
            </w:r>
            <w:r>
              <w:rPr>
                <w:rFonts w:hint="eastAsia" w:ascii="宋体" w:hAnsi="宋体" w:cs="仿宋"/>
                <w:color w:val="000000" w:themeColor="text1"/>
                <w:lang w:val="en-US" w:eastAsia="zh-CN"/>
                <w14:textFill>
                  <w14:solidFill>
                    <w14:schemeClr w14:val="tx1"/>
                  </w14:solidFill>
                </w14:textFill>
              </w:rPr>
              <w:t>鲁老师</w:t>
            </w:r>
          </w:p>
          <w:p>
            <w:pPr>
              <w:autoSpaceDE w:val="0"/>
              <w:autoSpaceDN w:val="0"/>
              <w:adjustRightInd w:val="0"/>
              <w:spacing w:line="240" w:lineRule="auto"/>
              <w:rPr>
                <w:rFonts w:hint="eastAsia" w:ascii="宋体" w:hAnsi="宋体" w:eastAsia="宋体" w:cs="仿宋"/>
                <w:color w:val="000000" w:themeColor="text1"/>
                <w:lang w:val="en-US" w:eastAsia="zh-CN"/>
                <w14:textFill>
                  <w14:solidFill>
                    <w14:schemeClr w14:val="tx1"/>
                  </w14:solidFill>
                </w14:textFill>
              </w:rPr>
            </w:pPr>
            <w:r>
              <w:rPr>
                <w:rFonts w:hint="eastAsia" w:ascii="宋体" w:hAnsi="宋体" w:cs="仿宋"/>
              </w:rPr>
              <w:t>联系电话：</w:t>
            </w:r>
            <w:r>
              <w:rPr>
                <w:rFonts w:hint="eastAsia" w:ascii="宋体" w:hAnsi="宋体" w:cs="仿宋"/>
                <w:color w:val="000000" w:themeColor="text1"/>
                <w:lang w:val="en-US" w:eastAsia="zh-CN"/>
                <w14:textFill>
                  <w14:solidFill>
                    <w14:schemeClr w14:val="tx1"/>
                  </w14:solidFill>
                </w14:textFill>
              </w:rPr>
              <w:t>0970-8630527</w:t>
            </w:r>
          </w:p>
          <w:p>
            <w:pPr>
              <w:autoSpaceDE w:val="0"/>
              <w:autoSpaceDN w:val="0"/>
              <w:adjustRightInd w:val="0"/>
              <w:spacing w:line="240" w:lineRule="auto"/>
              <w:rPr>
                <w:rFonts w:hint="default" w:ascii="宋体" w:hAnsi="宋体" w:eastAsia="宋体" w:cs="仿宋"/>
                <w:color w:val="0000FF"/>
                <w:lang w:val="en-US" w:eastAsia="zh-CN"/>
              </w:rPr>
            </w:pPr>
            <w:r>
              <w:rPr>
                <w:rFonts w:hint="eastAsia" w:ascii="宋体" w:hAnsi="宋体" w:cs="仿宋"/>
              </w:rPr>
              <w:t>地址：</w:t>
            </w:r>
            <w:r>
              <w:rPr>
                <w:rFonts w:hint="eastAsia" w:ascii="宋体" w:hAnsi="宋体" w:cs="仿宋"/>
                <w:color w:val="000000" w:themeColor="text1"/>
                <w:lang w:val="en-US" w:eastAsia="zh-CN"/>
                <w14:textFill>
                  <w14:solidFill>
                    <w14:schemeClr w14:val="tx1"/>
                  </w14:solidFill>
                </w14:textFill>
              </w:rPr>
              <w:t>青海省海北州海晏县三角城镇西海大街1号。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4" w:hRule="atLeast"/>
          <w:jc w:val="center"/>
        </w:trPr>
        <w:tc>
          <w:tcPr>
            <w:tcW w:w="2263" w:type="dxa"/>
            <w:vAlign w:val="center"/>
          </w:tcPr>
          <w:p>
            <w:pPr>
              <w:autoSpaceDE w:val="0"/>
              <w:autoSpaceDN w:val="0"/>
              <w:adjustRightInd w:val="0"/>
              <w:spacing w:line="276" w:lineRule="auto"/>
              <w:jc w:val="both"/>
              <w:rPr>
                <w:rFonts w:ascii="宋体" w:hAnsi="宋体" w:cs="仿宋"/>
              </w:rPr>
            </w:pPr>
            <w:r>
              <w:rPr>
                <w:rFonts w:hint="eastAsia" w:ascii="宋体" w:hAnsi="宋体" w:cs="仿宋"/>
              </w:rPr>
              <w:t>采购代理机构及联系人电话</w:t>
            </w:r>
          </w:p>
        </w:tc>
        <w:tc>
          <w:tcPr>
            <w:tcW w:w="6946" w:type="dxa"/>
            <w:vAlign w:val="center"/>
          </w:tcPr>
          <w:p>
            <w:pPr>
              <w:autoSpaceDE w:val="0"/>
              <w:autoSpaceDN w:val="0"/>
              <w:adjustRightInd w:val="0"/>
              <w:rPr>
                <w:rFonts w:ascii="宋体" w:hAnsi="宋体" w:cs="宋体"/>
                <w:color w:val="000000"/>
                <w:lang w:val="zh-CN"/>
              </w:rPr>
            </w:pPr>
            <w:r>
              <w:rPr>
                <w:rFonts w:hint="eastAsia" w:ascii="宋体" w:hAnsi="宋体" w:cs="宋体"/>
                <w:color w:val="000000"/>
              </w:rPr>
              <w:t>招标代理：四川易弘工程管理</w:t>
            </w:r>
            <w:r>
              <w:rPr>
                <w:rFonts w:hint="eastAsia" w:ascii="宋体" w:hAnsi="宋体" w:cs="宋体"/>
                <w:color w:val="000000"/>
                <w:lang w:val="zh-CN"/>
              </w:rPr>
              <w:t>有限公司</w:t>
            </w:r>
          </w:p>
          <w:p>
            <w:pPr>
              <w:autoSpaceDE w:val="0"/>
              <w:autoSpaceDN w:val="0"/>
              <w:adjustRightInd w:val="0"/>
              <w:rPr>
                <w:rFonts w:ascii="宋体" w:hAnsi="宋体" w:cs="宋体"/>
                <w:color w:val="000000"/>
              </w:rPr>
            </w:pPr>
            <w:r>
              <w:rPr>
                <w:rFonts w:hint="eastAsia" w:ascii="宋体" w:hAnsi="宋体" w:cs="宋体"/>
                <w:color w:val="000000"/>
                <w:lang w:val="zh-CN"/>
              </w:rPr>
              <w:t>联系人：</w:t>
            </w:r>
            <w:r>
              <w:rPr>
                <w:rFonts w:hint="eastAsia" w:ascii="宋体" w:hAnsi="宋体" w:cs="宋体"/>
                <w:color w:val="000000"/>
              </w:rPr>
              <w:t>刘先生</w:t>
            </w:r>
          </w:p>
          <w:p>
            <w:pPr>
              <w:autoSpaceDE w:val="0"/>
              <w:autoSpaceDN w:val="0"/>
              <w:adjustRightInd w:val="0"/>
              <w:rPr>
                <w:rFonts w:ascii="宋体" w:hAnsi="宋体" w:cs="宋体"/>
                <w:color w:val="000000"/>
                <w:lang w:val="zh-CN"/>
              </w:rPr>
            </w:pPr>
            <w:r>
              <w:rPr>
                <w:rFonts w:hint="eastAsia" w:ascii="宋体" w:hAnsi="宋体" w:cs="宋体"/>
                <w:color w:val="000000"/>
                <w:lang w:val="zh-CN"/>
              </w:rPr>
              <w:t>电</w:t>
            </w:r>
            <w:r>
              <w:rPr>
                <w:rFonts w:hint="eastAsia" w:ascii="宋体" w:hAnsi="宋体" w:cs="宋体"/>
                <w:color w:val="000000"/>
              </w:rPr>
              <w:t xml:space="preserve">  </w:t>
            </w:r>
            <w:r>
              <w:rPr>
                <w:rFonts w:hint="eastAsia" w:ascii="宋体" w:hAnsi="宋体" w:cs="宋体"/>
                <w:color w:val="000000"/>
                <w:lang w:val="zh-CN"/>
              </w:rPr>
              <w:t>话：0971-</w:t>
            </w:r>
            <w:r>
              <w:rPr>
                <w:rFonts w:hint="eastAsia" w:ascii="宋体" w:hAnsi="宋体" w:cs="宋体"/>
                <w:color w:val="000000"/>
              </w:rPr>
              <w:t>6300789</w:t>
            </w:r>
          </w:p>
          <w:p>
            <w:pPr>
              <w:autoSpaceDE w:val="0"/>
              <w:autoSpaceDN w:val="0"/>
              <w:adjustRightInd w:val="0"/>
              <w:rPr>
                <w:rFonts w:ascii="宋体" w:hAnsi="宋体" w:cs="宋体"/>
                <w:color w:val="000000"/>
                <w:lang w:val="zh-CN"/>
              </w:rPr>
            </w:pPr>
            <w:r>
              <w:rPr>
                <w:rFonts w:hint="eastAsia" w:ascii="宋体" w:hAnsi="宋体" w:cs="宋体"/>
                <w:color w:val="000000"/>
                <w:lang w:val="zh-CN"/>
              </w:rPr>
              <w:t>传</w:t>
            </w:r>
            <w:r>
              <w:rPr>
                <w:rFonts w:hint="eastAsia" w:ascii="宋体" w:hAnsi="宋体" w:cs="宋体"/>
                <w:color w:val="000000"/>
              </w:rPr>
              <w:t xml:space="preserve">  </w:t>
            </w:r>
            <w:r>
              <w:rPr>
                <w:rFonts w:hint="eastAsia" w:ascii="宋体" w:hAnsi="宋体" w:cs="宋体"/>
                <w:color w:val="000000"/>
                <w:lang w:val="zh-CN"/>
              </w:rPr>
              <w:t>真：0971-</w:t>
            </w:r>
            <w:r>
              <w:rPr>
                <w:rFonts w:hint="eastAsia" w:ascii="宋体" w:hAnsi="宋体" w:cs="宋体"/>
                <w:color w:val="000000"/>
              </w:rPr>
              <w:t>6300789</w:t>
            </w:r>
          </w:p>
          <w:p>
            <w:pPr>
              <w:autoSpaceDE w:val="0"/>
              <w:autoSpaceDN w:val="0"/>
              <w:adjustRightInd w:val="0"/>
              <w:rPr>
                <w:rFonts w:ascii="宋体" w:hAnsi="宋体" w:cs="宋体"/>
                <w:color w:val="000000"/>
              </w:rPr>
            </w:pPr>
            <w:r>
              <w:rPr>
                <w:rFonts w:hint="eastAsia" w:ascii="宋体" w:hAnsi="宋体" w:cs="宋体"/>
                <w:color w:val="000000"/>
                <w:lang w:val="zh-CN"/>
              </w:rPr>
              <w:t>邮 箱：</w:t>
            </w:r>
            <w:r>
              <w:fldChar w:fldCharType="begin"/>
            </w:r>
            <w:r>
              <w:instrText xml:space="preserve"> HYPERLINK "mailto:2304828580@qq.com" </w:instrText>
            </w:r>
            <w:r>
              <w:fldChar w:fldCharType="separate"/>
            </w:r>
            <w:r>
              <w:rPr>
                <w:rFonts w:hint="eastAsia" w:ascii="宋体" w:hAnsi="宋体" w:cs="宋体"/>
                <w:color w:val="000000"/>
              </w:rPr>
              <w:t>2304828580</w:t>
            </w:r>
            <w:r>
              <w:rPr>
                <w:rFonts w:hint="eastAsia" w:ascii="宋体" w:hAnsi="宋体" w:cs="宋体"/>
                <w:color w:val="000000"/>
                <w:lang w:val="zh-CN"/>
              </w:rPr>
              <w:t>@qq.com</w:t>
            </w:r>
            <w:r>
              <w:rPr>
                <w:rFonts w:hint="eastAsia" w:ascii="宋体" w:hAnsi="宋体" w:cs="宋体"/>
                <w:color w:val="000000"/>
                <w:lang w:val="zh-CN"/>
              </w:rPr>
              <w:fldChar w:fldCharType="end"/>
            </w:r>
          </w:p>
          <w:p>
            <w:pPr>
              <w:autoSpaceDE w:val="0"/>
              <w:autoSpaceDN w:val="0"/>
              <w:adjustRightInd w:val="0"/>
              <w:spacing w:line="276" w:lineRule="auto"/>
              <w:rPr>
                <w:rFonts w:ascii="宋体" w:hAnsi="宋体" w:cs="仿宋"/>
              </w:rPr>
            </w:pPr>
            <w:r>
              <w:rPr>
                <w:rFonts w:hint="eastAsia" w:ascii="宋体" w:hAnsi="宋体" w:cs="宋体"/>
                <w:color w:val="000000"/>
                <w:lang w:val="zh-CN"/>
              </w:rPr>
              <w:t>联系地址：</w:t>
            </w:r>
            <w:r>
              <w:rPr>
                <w:rFonts w:hint="eastAsia" w:ascii="宋体" w:hAnsi="宋体" w:cs="宋体"/>
                <w:color w:val="000000"/>
              </w:rPr>
              <w:t>青海省西宁市城西区五四西路71号安泰大厦西座20层。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vAlign w:val="center"/>
          </w:tcPr>
          <w:p>
            <w:pPr>
              <w:autoSpaceDE w:val="0"/>
              <w:autoSpaceDN w:val="0"/>
              <w:adjustRightInd w:val="0"/>
              <w:spacing w:line="276" w:lineRule="auto"/>
              <w:jc w:val="both"/>
              <w:rPr>
                <w:rFonts w:ascii="宋体" w:hAnsi="宋体" w:cs="仿宋"/>
              </w:rPr>
            </w:pPr>
            <w:r>
              <w:rPr>
                <w:rFonts w:hint="eastAsia" w:ascii="宋体" w:hAnsi="宋体" w:cs="仿宋"/>
              </w:rPr>
              <w:t>采购代理机构开户银行</w:t>
            </w:r>
          </w:p>
        </w:tc>
        <w:tc>
          <w:tcPr>
            <w:tcW w:w="6946" w:type="dxa"/>
            <w:vAlign w:val="center"/>
          </w:tcPr>
          <w:p>
            <w:pPr>
              <w:rPr>
                <w:rFonts w:ascii="宋体" w:hAnsi="宋体" w:cs="仿宋"/>
              </w:rPr>
            </w:pPr>
            <w:r>
              <w:rPr>
                <w:rFonts w:hint="eastAsia" w:ascii="宋体" w:hAnsi="宋体"/>
                <w:b/>
                <w:bCs/>
                <w:color w:val="000000"/>
              </w:rPr>
              <w:t>青海银行股份有限公司文成路支行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2263" w:type="dxa"/>
            <w:vAlign w:val="center"/>
          </w:tcPr>
          <w:p>
            <w:pPr>
              <w:autoSpaceDE w:val="0"/>
              <w:autoSpaceDN w:val="0"/>
              <w:adjustRightInd w:val="0"/>
              <w:spacing w:line="276" w:lineRule="auto"/>
              <w:jc w:val="both"/>
              <w:rPr>
                <w:rFonts w:ascii="宋体" w:hAnsi="宋体" w:cs="仿宋"/>
              </w:rPr>
            </w:pPr>
            <w:r>
              <w:rPr>
                <w:rFonts w:hint="eastAsia" w:ascii="宋体" w:hAnsi="宋体" w:cs="仿宋"/>
              </w:rPr>
              <w:t>收款人</w:t>
            </w:r>
          </w:p>
        </w:tc>
        <w:tc>
          <w:tcPr>
            <w:tcW w:w="6946" w:type="dxa"/>
            <w:vAlign w:val="center"/>
          </w:tcPr>
          <w:p>
            <w:pPr>
              <w:rPr>
                <w:rFonts w:ascii="宋体" w:hAnsi="宋体" w:cs="仿宋"/>
              </w:rPr>
            </w:pPr>
            <w:r>
              <w:rPr>
                <w:rFonts w:hint="eastAsia" w:ascii="宋体" w:hAnsi="宋体"/>
                <w:b/>
                <w:bCs/>
                <w:color w:val="000000"/>
              </w:rPr>
              <w:t>四川易弘工程管理</w:t>
            </w:r>
            <w:r>
              <w:rPr>
                <w:rFonts w:hint="eastAsia" w:ascii="宋体" w:hAnsi="宋体"/>
                <w:b/>
                <w:bCs/>
                <w:color w:val="000000"/>
                <w:lang w:val="zh-CN"/>
              </w:rPr>
              <w:t>有限公司青海分公司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vAlign w:val="center"/>
          </w:tcPr>
          <w:p>
            <w:pPr>
              <w:autoSpaceDE w:val="0"/>
              <w:autoSpaceDN w:val="0"/>
              <w:adjustRightInd w:val="0"/>
              <w:spacing w:line="276" w:lineRule="auto"/>
              <w:jc w:val="both"/>
              <w:rPr>
                <w:rFonts w:ascii="宋体" w:hAnsi="宋体" w:cs="仿宋"/>
              </w:rPr>
            </w:pPr>
            <w:r>
              <w:rPr>
                <w:rFonts w:hint="eastAsia" w:ascii="宋体" w:hAnsi="宋体" w:cs="仿宋"/>
              </w:rPr>
              <w:t>银行账号</w:t>
            </w:r>
          </w:p>
        </w:tc>
        <w:tc>
          <w:tcPr>
            <w:tcW w:w="6946" w:type="dxa"/>
            <w:vAlign w:val="center"/>
          </w:tcPr>
          <w:p>
            <w:pPr>
              <w:spacing w:line="440" w:lineRule="exact"/>
              <w:rPr>
                <w:rFonts w:ascii="宋体" w:hAnsi="宋体" w:cs="仿宋"/>
              </w:rPr>
            </w:pPr>
            <w:r>
              <w:rPr>
                <w:rFonts w:hint="eastAsia" w:ascii="宋体" w:hAnsi="宋体"/>
                <w:b/>
                <w:bCs/>
                <w:color w:val="000000"/>
              </w:rPr>
              <w:t>0608201000190692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2263" w:type="dxa"/>
            <w:vAlign w:val="center"/>
          </w:tcPr>
          <w:p>
            <w:pPr>
              <w:autoSpaceDE w:val="0"/>
              <w:autoSpaceDN w:val="0"/>
              <w:adjustRightInd w:val="0"/>
              <w:spacing w:line="276" w:lineRule="auto"/>
              <w:jc w:val="both"/>
              <w:rPr>
                <w:rFonts w:ascii="宋体" w:hAnsi="宋体" w:cs="仿宋"/>
              </w:rPr>
            </w:pPr>
            <w:r>
              <w:rPr>
                <w:rFonts w:hint="eastAsia" w:ascii="宋体" w:hAnsi="宋体" w:cs="仿宋"/>
              </w:rPr>
              <w:t>其他事项</w:t>
            </w:r>
          </w:p>
        </w:tc>
        <w:tc>
          <w:tcPr>
            <w:tcW w:w="6946" w:type="dxa"/>
            <w:vAlign w:val="center"/>
          </w:tcPr>
          <w:p>
            <w:pPr>
              <w:autoSpaceDE w:val="0"/>
              <w:autoSpaceDN w:val="0"/>
              <w:adjustRightInd w:val="0"/>
              <w:spacing w:line="276" w:lineRule="auto"/>
              <w:jc w:val="both"/>
              <w:rPr>
                <w:rFonts w:ascii="宋体" w:hAnsi="宋体" w:cs="仿宋"/>
              </w:rPr>
            </w:pPr>
            <w:r>
              <w:rPr>
                <w:rFonts w:hint="eastAsia" w:ascii="宋体" w:hAnsi="宋体" w:cs="宋体"/>
                <w:color w:val="000000"/>
                <w:lang w:val="zh-CN"/>
              </w:rPr>
              <w:t>（1）投标文件必须在投标截止时间前送达开标地点。（2）本次招标不接受邮寄的投标文件。(3)公告发布媒体：《</w:t>
            </w:r>
            <w:r>
              <w:rPr>
                <w:rFonts w:hint="eastAsia" w:ascii="宋体" w:hAnsi="宋体" w:cs="宋体"/>
                <w:color w:val="000000"/>
              </w:rPr>
              <w:t>青海省</w:t>
            </w:r>
            <w:r>
              <w:rPr>
                <w:rFonts w:hint="eastAsia" w:ascii="宋体" w:hAnsi="宋体" w:cs="宋体"/>
                <w:color w:val="000000"/>
                <w:lang w:val="en-US" w:eastAsia="zh-CN"/>
              </w:rPr>
              <w:t>政府采购网</w:t>
            </w:r>
            <w:r>
              <w:rPr>
                <w:rFonts w:hint="eastAsia" w:ascii="宋体" w:hAnsi="宋体" w:cs="宋体"/>
                <w:color w:val="000000"/>
                <w:lang w:val="zh-CN"/>
              </w:rPr>
              <w:t>》，公告内容以《</w:t>
            </w:r>
            <w:r>
              <w:rPr>
                <w:rFonts w:hint="eastAsia" w:ascii="宋体" w:hAnsi="宋体" w:cs="宋体"/>
                <w:color w:val="000000"/>
              </w:rPr>
              <w:t>青海省</w:t>
            </w:r>
            <w:r>
              <w:rPr>
                <w:rFonts w:hint="eastAsia" w:ascii="宋体" w:hAnsi="宋体" w:cs="宋体"/>
                <w:color w:val="000000"/>
                <w:lang w:val="en-US" w:eastAsia="zh-CN"/>
              </w:rPr>
              <w:t>政府采购网</w:t>
            </w:r>
            <w:r>
              <w:rPr>
                <w:rFonts w:hint="eastAsia" w:ascii="宋体" w:hAnsi="宋体" w:cs="宋体"/>
                <w:color w:val="000000"/>
                <w:lang w:val="zh-CN"/>
              </w:rPr>
              <w:t>》发布的为准。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263" w:type="dxa"/>
            <w:vAlign w:val="center"/>
          </w:tcPr>
          <w:p>
            <w:pPr>
              <w:autoSpaceDE w:val="0"/>
              <w:autoSpaceDN w:val="0"/>
              <w:adjustRightInd w:val="0"/>
              <w:spacing w:line="276" w:lineRule="auto"/>
              <w:jc w:val="both"/>
              <w:rPr>
                <w:rFonts w:ascii="宋体" w:hAnsi="宋体" w:cs="仿宋"/>
              </w:rPr>
            </w:pPr>
            <w:r>
              <w:rPr>
                <w:rFonts w:hint="eastAsia" w:ascii="宋体" w:hAnsi="宋体" w:cs="仿宋"/>
              </w:rPr>
              <w:t>财政部门监督及电话</w:t>
            </w:r>
          </w:p>
        </w:tc>
        <w:tc>
          <w:tcPr>
            <w:tcW w:w="6946" w:type="dxa"/>
            <w:vAlign w:val="center"/>
          </w:tcPr>
          <w:p>
            <w:pPr>
              <w:spacing w:line="480" w:lineRule="atLeast"/>
              <w:jc w:val="both"/>
              <w:rPr>
                <w:rFonts w:hint="default" w:ascii="微软雅黑" w:hAnsi="微软雅黑" w:cs="宋体"/>
                <w:color w:val="000000"/>
                <w:sz w:val="27"/>
                <w:szCs w:val="27"/>
                <w:lang w:val="en-US"/>
              </w:rPr>
            </w:pPr>
            <w:r>
              <w:rPr>
                <w:rFonts w:hint="eastAsia" w:ascii="宋体" w:hAnsi="宋体" w:cs="仿宋"/>
              </w:rPr>
              <w:t>监督单位：</w:t>
            </w:r>
            <w:r>
              <w:rPr>
                <w:rFonts w:hint="eastAsia" w:ascii="宋体" w:hAnsi="宋体" w:cs="仿宋"/>
                <w:lang w:val="en-US" w:eastAsia="zh-CN"/>
              </w:rPr>
              <w:t>海晏县</w:t>
            </w:r>
            <w:r>
              <w:rPr>
                <w:rFonts w:hint="eastAsia" w:ascii="宋体" w:hAnsi="宋体"/>
                <w:lang w:val="en-US" w:eastAsia="zh-CN"/>
              </w:rPr>
              <w:t>财政局</w:t>
            </w:r>
            <w:r>
              <w:rPr>
                <w:rFonts w:hint="eastAsia" w:ascii="宋体" w:hAnsi="宋体" w:cs="仿宋"/>
              </w:rPr>
              <w:t xml:space="preserve">      联系电话：</w:t>
            </w:r>
            <w:r>
              <w:rPr>
                <w:rFonts w:hint="eastAsia" w:ascii="宋体" w:hAnsi="宋体" w:cs="宋体"/>
                <w:color w:val="000000"/>
                <w:kern w:val="0"/>
                <w:sz w:val="24"/>
                <w:szCs w:val="24"/>
                <w:lang w:val="zh-CN" w:eastAsia="zh-CN" w:bidi="ar-SA"/>
              </w:rPr>
              <w:t>097</w:t>
            </w:r>
            <w:r>
              <w:rPr>
                <w:rFonts w:hint="eastAsia" w:ascii="宋体" w:hAnsi="宋体" w:cs="宋体"/>
                <w:color w:val="000000"/>
                <w:kern w:val="0"/>
                <w:sz w:val="24"/>
                <w:szCs w:val="24"/>
                <w:lang w:val="en-US" w:eastAsia="zh-CN" w:bidi="ar-SA"/>
              </w:rPr>
              <w:t>0</w:t>
            </w:r>
            <w:r>
              <w:rPr>
                <w:rFonts w:hint="eastAsia" w:ascii="宋体" w:hAnsi="宋体" w:cs="宋体"/>
                <w:color w:val="000000"/>
                <w:kern w:val="0"/>
                <w:sz w:val="24"/>
                <w:szCs w:val="24"/>
                <w:lang w:val="zh-CN" w:eastAsia="zh-CN" w:bidi="ar-SA"/>
              </w:rPr>
              <w:t>-</w:t>
            </w:r>
            <w:r>
              <w:rPr>
                <w:rFonts w:hint="eastAsia" w:ascii="宋体" w:hAnsi="宋体" w:cs="宋体"/>
                <w:color w:val="000000"/>
                <w:kern w:val="0"/>
                <w:sz w:val="24"/>
                <w:szCs w:val="24"/>
                <w:lang w:val="en-US" w:eastAsia="zh-CN" w:bidi="ar-SA"/>
              </w:rPr>
              <w:t>8630527</w:t>
            </w:r>
          </w:p>
        </w:tc>
      </w:tr>
      <w:bookmarkEnd w:id="1"/>
    </w:tbl>
    <w:p>
      <w:pPr>
        <w:spacing w:line="288" w:lineRule="auto"/>
        <w:jc w:val="right"/>
        <w:rPr>
          <w:rFonts w:ascii="宋体" w:hAnsi="宋体" w:cs="宋体"/>
          <w:color w:val="000000"/>
        </w:rPr>
      </w:pPr>
      <w:bookmarkStart w:id="3" w:name="_Hlk530663637"/>
    </w:p>
    <w:p>
      <w:pPr>
        <w:spacing w:line="288" w:lineRule="auto"/>
        <w:jc w:val="right"/>
        <w:rPr>
          <w:rFonts w:ascii="宋体" w:hAnsi="宋体" w:cs="宋体"/>
          <w:color w:val="000000"/>
        </w:rPr>
      </w:pPr>
    </w:p>
    <w:p>
      <w:pPr>
        <w:spacing w:line="480" w:lineRule="auto"/>
        <w:jc w:val="right"/>
        <w:rPr>
          <w:rFonts w:ascii="宋体" w:hAnsi="宋体" w:cs="宋体"/>
        </w:rPr>
      </w:pPr>
      <w:r>
        <w:rPr>
          <w:rFonts w:hint="eastAsia" w:ascii="宋体" w:hAnsi="宋体" w:cs="宋体"/>
          <w:color w:val="000000"/>
        </w:rPr>
        <w:t>四川易弘工程管理</w:t>
      </w:r>
      <w:r>
        <w:rPr>
          <w:rFonts w:hint="eastAsia" w:ascii="宋体" w:hAnsi="宋体" w:cs="宋体"/>
          <w:color w:val="000000"/>
          <w:lang w:val="zh-CN"/>
        </w:rPr>
        <w:t>有限公司</w:t>
      </w:r>
    </w:p>
    <w:p>
      <w:pPr>
        <w:spacing w:line="480" w:lineRule="auto"/>
        <w:jc w:val="center"/>
        <w:rPr>
          <w:rFonts w:ascii="宋体" w:hAnsi="宋体" w:cs="宋体"/>
        </w:rPr>
      </w:pPr>
      <w:r>
        <w:rPr>
          <w:rFonts w:hint="eastAsia" w:ascii="宋体" w:hAnsi="宋体" w:cs="宋体"/>
          <w:lang w:val="en-US" w:eastAsia="zh-CN"/>
        </w:rPr>
        <w:t xml:space="preserve">                                             </w:t>
      </w:r>
      <w:r>
        <w:rPr>
          <w:rFonts w:hint="eastAsia" w:ascii="宋体" w:hAnsi="宋体" w:cs="宋体"/>
          <w:color w:val="auto"/>
          <w:lang w:val="en-US" w:eastAsia="zh-CN"/>
        </w:rPr>
        <w:t xml:space="preserve">  </w:t>
      </w:r>
      <w:r>
        <w:rPr>
          <w:rFonts w:ascii="宋体" w:hAnsi="宋体" w:cs="宋体"/>
          <w:color w:val="auto"/>
        </w:rPr>
        <w:t>20</w:t>
      </w:r>
      <w:r>
        <w:rPr>
          <w:rFonts w:hint="eastAsia" w:ascii="宋体" w:hAnsi="宋体" w:cs="宋体"/>
          <w:color w:val="auto"/>
          <w:lang w:val="en-US" w:eastAsia="zh-CN"/>
        </w:rPr>
        <w:t>20</w:t>
      </w:r>
      <w:r>
        <w:rPr>
          <w:rFonts w:ascii="宋体" w:hAnsi="宋体" w:cs="宋体"/>
          <w:color w:val="auto"/>
        </w:rPr>
        <w:t>年</w:t>
      </w:r>
      <w:r>
        <w:rPr>
          <w:rFonts w:hint="eastAsia" w:ascii="宋体" w:hAnsi="宋体" w:cs="宋体"/>
          <w:color w:val="auto"/>
          <w:lang w:val="en-US" w:eastAsia="zh-CN"/>
        </w:rPr>
        <w:t>09</w:t>
      </w:r>
      <w:r>
        <w:rPr>
          <w:rFonts w:hint="eastAsia" w:ascii="宋体" w:hAnsi="宋体" w:cs="宋体"/>
          <w:color w:val="auto"/>
        </w:rPr>
        <w:t>月</w:t>
      </w:r>
      <w:r>
        <w:rPr>
          <w:rFonts w:hint="eastAsia" w:ascii="宋体" w:hAnsi="宋体" w:cs="宋体"/>
          <w:color w:val="auto"/>
          <w:lang w:val="en-US" w:eastAsia="zh-CN"/>
        </w:rPr>
        <w:t>18</w:t>
      </w:r>
      <w:r>
        <w:rPr>
          <w:rFonts w:hint="eastAsia" w:ascii="宋体" w:hAnsi="宋体" w:cs="宋体"/>
          <w:color w:val="auto"/>
        </w:rPr>
        <w:t>日</w:t>
      </w:r>
      <w:bookmarkEnd w:id="3"/>
      <w:r>
        <w:rPr>
          <w:rFonts w:ascii="宋体" w:hAnsi="宋体" w:cs="宋体"/>
        </w:rPr>
        <w:br w:type="page"/>
      </w:r>
    </w:p>
    <w:p>
      <w:pPr>
        <w:pStyle w:val="6"/>
        <w:numPr>
          <w:ilvl w:val="0"/>
          <w:numId w:val="0"/>
        </w:numPr>
        <w:rPr>
          <w:rFonts w:hint="eastAsia" w:asciiTheme="minorEastAsia" w:hAnsiTheme="minorEastAsia" w:eastAsiaTheme="minorEastAsia" w:cstheme="minorEastAsia"/>
          <w:sz w:val="28"/>
          <w:szCs w:val="28"/>
        </w:rPr>
      </w:pPr>
      <w:bookmarkStart w:id="4" w:name="_Toc20013"/>
      <w:r>
        <w:rPr>
          <w:rFonts w:hint="eastAsia" w:asciiTheme="minorEastAsia" w:hAnsiTheme="minorEastAsia" w:eastAsiaTheme="minorEastAsia" w:cstheme="minorEastAsia"/>
          <w:sz w:val="28"/>
          <w:szCs w:val="28"/>
        </w:rPr>
        <w:t>第二章  磋商须知</w:t>
      </w:r>
      <w:bookmarkEnd w:id="4"/>
    </w:p>
    <w:p>
      <w:pPr>
        <w:spacing w:line="300" w:lineRule="auto"/>
        <w:ind w:firstLine="480" w:firstLineChars="200"/>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1、适用范围</w:t>
      </w:r>
    </w:p>
    <w:p>
      <w:pPr>
        <w:tabs>
          <w:tab w:val="left" w:pos="7665"/>
        </w:tabs>
        <w:spacing w:line="300" w:lineRule="auto"/>
        <w:ind w:firstLine="480" w:firstLineChars="200"/>
        <w:jc w:val="both"/>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本竞争性磋商文件仅适用于本磋商邀请书中所叙述项目的采购。</w:t>
      </w:r>
    </w:p>
    <w:p>
      <w:pPr>
        <w:spacing w:line="300" w:lineRule="auto"/>
        <w:ind w:firstLine="480" w:firstLineChars="200"/>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2、定义</w:t>
      </w:r>
    </w:p>
    <w:p>
      <w:pPr>
        <w:spacing w:line="240" w:lineRule="auto"/>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2.1“采购单位”系</w:t>
      </w:r>
      <w:r>
        <w:rPr>
          <w:rFonts w:hint="eastAsia" w:asciiTheme="minorEastAsia" w:hAnsiTheme="minorEastAsia" w:eastAsiaTheme="minorEastAsia" w:cstheme="minorEastAsia"/>
          <w:color w:val="000000"/>
          <w:u w:val="single"/>
          <w:lang w:val="en-US" w:eastAsia="zh-CN"/>
        </w:rPr>
        <w:t xml:space="preserve"> </w:t>
      </w:r>
      <w:r>
        <w:rPr>
          <w:rFonts w:hint="eastAsia" w:ascii="宋体" w:hAnsi="宋体"/>
          <w:color w:val="auto"/>
          <w:u w:val="single"/>
          <w:lang w:val="en-US" w:eastAsia="zh-CN"/>
        </w:rPr>
        <w:t xml:space="preserve">中共海晏县委组织部 </w:t>
      </w:r>
      <w:r>
        <w:rPr>
          <w:rFonts w:hint="eastAsia" w:asciiTheme="minorEastAsia" w:hAnsiTheme="minorEastAsia" w:eastAsiaTheme="minorEastAsia" w:cstheme="minorEastAsia"/>
          <w:color w:val="000000"/>
        </w:rPr>
        <w:t>。</w:t>
      </w:r>
    </w:p>
    <w:p>
      <w:pPr>
        <w:tabs>
          <w:tab w:val="left" w:pos="7665"/>
        </w:tabs>
        <w:spacing w:line="300" w:lineRule="auto"/>
        <w:ind w:firstLine="480" w:firstLineChars="200"/>
        <w:jc w:val="both"/>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2.2 “供应商”系指响应竞争性磋商文件要求，并提交报价文件的法人、其他组织或者自然人。</w:t>
      </w:r>
    </w:p>
    <w:p>
      <w:pPr>
        <w:tabs>
          <w:tab w:val="left" w:pos="7665"/>
        </w:tabs>
        <w:spacing w:line="300" w:lineRule="auto"/>
        <w:ind w:firstLine="480" w:firstLineChars="200"/>
        <w:jc w:val="both"/>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2.3 “采购代理机构” 系指根据采购单位的委托依法办理采购事宜的采购机构。本次竞争性磋商的采购代理机构是</w:t>
      </w:r>
      <w:r>
        <w:rPr>
          <w:rFonts w:hint="eastAsia" w:asciiTheme="minorEastAsia" w:hAnsiTheme="minorEastAsia" w:eastAsiaTheme="minorEastAsia" w:cstheme="minorEastAsia"/>
          <w:color w:val="000000"/>
          <w:u w:val="single"/>
        </w:rPr>
        <w:t xml:space="preserve"> 四川易弘工程管理</w:t>
      </w:r>
      <w:r>
        <w:rPr>
          <w:rFonts w:hint="eastAsia" w:asciiTheme="minorEastAsia" w:hAnsiTheme="minorEastAsia" w:eastAsiaTheme="minorEastAsia" w:cstheme="minorEastAsia"/>
          <w:color w:val="000000"/>
          <w:u w:val="single"/>
          <w:lang w:val="zh-CN"/>
        </w:rPr>
        <w:t>有限公司</w:t>
      </w:r>
      <w:r>
        <w:rPr>
          <w:rFonts w:hint="eastAsia" w:asciiTheme="minorEastAsia" w:hAnsiTheme="minorEastAsia" w:eastAsiaTheme="minorEastAsia" w:cstheme="minorEastAsia"/>
          <w:color w:val="000000"/>
        </w:rPr>
        <w:t>。</w:t>
      </w:r>
    </w:p>
    <w:p>
      <w:pPr>
        <w:numPr>
          <w:ilvl w:val="0"/>
          <w:numId w:val="7"/>
        </w:numPr>
        <w:spacing w:line="300" w:lineRule="auto"/>
        <w:ind w:firstLine="480" w:firstLineChars="200"/>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本项目合格的供应商资格条件</w:t>
      </w:r>
    </w:p>
    <w:p>
      <w:pPr>
        <w:spacing w:line="360" w:lineRule="auto"/>
        <w:ind w:firstLine="480" w:firstLineChars="200"/>
        <w:jc w:val="both"/>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3.1供应商应具备第一章“供应商资格条件”所述的资格条件。</w:t>
      </w:r>
    </w:p>
    <w:p>
      <w:pPr>
        <w:spacing w:line="300" w:lineRule="auto"/>
        <w:ind w:firstLine="480" w:firstLineChars="200"/>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4、竞争性磋商采购费用</w:t>
      </w:r>
    </w:p>
    <w:p>
      <w:pPr>
        <w:pStyle w:val="26"/>
        <w:spacing w:line="30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无论竞争性磋商采购的结果如何，供应商自行承担所有与参加竞争性磋商有关的全部费用。</w:t>
      </w:r>
    </w:p>
    <w:p>
      <w:pPr>
        <w:spacing w:line="300" w:lineRule="auto"/>
        <w:ind w:firstLine="480" w:firstLineChars="200"/>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5、竞争性磋商文件</w:t>
      </w:r>
    </w:p>
    <w:p>
      <w:pPr>
        <w:pStyle w:val="26"/>
        <w:spacing w:line="30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5.1 竞争性磋商文件是采购单位用以阐明所要求的施工要求及相关服务、竞争性磋商采购的程序和评定成交供应商的标准、合同草案条款等内容的文件。</w:t>
      </w:r>
    </w:p>
    <w:p>
      <w:pPr>
        <w:pStyle w:val="26"/>
        <w:spacing w:line="30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5.2 竞争性磋商文件的组成</w:t>
      </w:r>
    </w:p>
    <w:p>
      <w:pPr>
        <w:pStyle w:val="26"/>
        <w:spacing w:line="30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（1）竞争性磋商邀请通知</w:t>
      </w:r>
    </w:p>
    <w:p>
      <w:pPr>
        <w:pStyle w:val="26"/>
        <w:spacing w:line="300" w:lineRule="auto"/>
        <w:ind w:firstLine="480" w:firstLineChars="200"/>
        <w:rPr>
          <w:rFonts w:hint="default" w:hAnsi="宋体"/>
          <w:color w:val="000000"/>
          <w:sz w:val="24"/>
          <w:szCs w:val="24"/>
        </w:rPr>
      </w:pPr>
      <w:r>
        <w:rPr>
          <w:rFonts w:hAnsi="宋体"/>
          <w:color w:val="000000"/>
          <w:sz w:val="24"/>
          <w:szCs w:val="24"/>
        </w:rPr>
        <w:t>（2）磋商须知</w:t>
      </w:r>
    </w:p>
    <w:p>
      <w:pPr>
        <w:pStyle w:val="26"/>
        <w:spacing w:line="300" w:lineRule="auto"/>
        <w:ind w:firstLine="480" w:firstLineChars="200"/>
        <w:rPr>
          <w:rFonts w:hint="default" w:hAnsi="宋体"/>
          <w:color w:val="000000"/>
          <w:sz w:val="24"/>
          <w:szCs w:val="24"/>
        </w:rPr>
      </w:pPr>
      <w:r>
        <w:rPr>
          <w:rFonts w:hAnsi="宋体"/>
          <w:color w:val="000000"/>
          <w:sz w:val="24"/>
          <w:szCs w:val="24"/>
        </w:rPr>
        <w:t>（3）供应商资格证明文件</w:t>
      </w:r>
    </w:p>
    <w:p>
      <w:pPr>
        <w:pStyle w:val="26"/>
        <w:spacing w:line="300" w:lineRule="auto"/>
        <w:ind w:firstLine="480" w:firstLineChars="200"/>
        <w:rPr>
          <w:rFonts w:hint="default" w:hAnsi="宋体"/>
          <w:color w:val="000000"/>
          <w:sz w:val="24"/>
          <w:szCs w:val="24"/>
        </w:rPr>
      </w:pPr>
      <w:r>
        <w:rPr>
          <w:rFonts w:hAnsi="宋体"/>
          <w:color w:val="000000"/>
          <w:sz w:val="24"/>
          <w:szCs w:val="24"/>
        </w:rPr>
        <w:t>（4）合同草案条款（参考文本）</w:t>
      </w:r>
    </w:p>
    <w:p>
      <w:pPr>
        <w:pStyle w:val="26"/>
        <w:spacing w:line="300" w:lineRule="auto"/>
        <w:ind w:firstLine="480" w:firstLineChars="200"/>
        <w:rPr>
          <w:rFonts w:hint="default" w:hAnsi="宋体"/>
          <w:color w:val="000000"/>
          <w:sz w:val="24"/>
          <w:szCs w:val="24"/>
        </w:rPr>
      </w:pPr>
      <w:r>
        <w:rPr>
          <w:rFonts w:hAnsi="宋体"/>
          <w:color w:val="000000"/>
          <w:sz w:val="24"/>
          <w:szCs w:val="24"/>
        </w:rPr>
        <w:t>（5）磋商程序</w:t>
      </w:r>
    </w:p>
    <w:p>
      <w:pPr>
        <w:pStyle w:val="26"/>
        <w:spacing w:line="300" w:lineRule="auto"/>
        <w:ind w:firstLine="480" w:firstLineChars="200"/>
        <w:rPr>
          <w:rFonts w:hint="default" w:hAnsi="宋体"/>
          <w:color w:val="000000"/>
          <w:sz w:val="24"/>
          <w:szCs w:val="24"/>
        </w:rPr>
      </w:pPr>
      <w:r>
        <w:rPr>
          <w:rFonts w:hAnsi="宋体"/>
          <w:color w:val="000000"/>
          <w:sz w:val="24"/>
          <w:szCs w:val="24"/>
        </w:rPr>
        <w:t>（6）工程量清单</w:t>
      </w:r>
      <w:r>
        <w:rPr>
          <w:rFonts w:hint="default" w:hAnsi="宋体"/>
          <w:color w:val="000000"/>
          <w:sz w:val="24"/>
          <w:szCs w:val="24"/>
        </w:rPr>
        <w:t>及其他要求</w:t>
      </w:r>
    </w:p>
    <w:p>
      <w:pPr>
        <w:pStyle w:val="26"/>
        <w:spacing w:line="300" w:lineRule="auto"/>
        <w:ind w:firstLine="480" w:firstLineChars="200"/>
        <w:rPr>
          <w:rFonts w:hint="default" w:hAnsi="宋体"/>
          <w:color w:val="000000"/>
          <w:sz w:val="24"/>
          <w:szCs w:val="24"/>
        </w:rPr>
      </w:pPr>
      <w:r>
        <w:rPr>
          <w:rFonts w:hAnsi="宋体"/>
          <w:color w:val="000000"/>
          <w:sz w:val="24"/>
          <w:szCs w:val="24"/>
        </w:rPr>
        <w:t>（7）响应文件格式</w:t>
      </w:r>
    </w:p>
    <w:p>
      <w:pPr>
        <w:pStyle w:val="294"/>
        <w:ind w:firstLine="480"/>
        <w:rPr>
          <w:rFonts w:ascii="宋体" w:hAnsi="宋体"/>
          <w:color w:val="000000"/>
          <w:sz w:val="24"/>
        </w:rPr>
      </w:pPr>
      <w:r>
        <w:rPr>
          <w:rFonts w:hint="eastAsia" w:ascii="宋体" w:hAnsi="宋体"/>
          <w:color w:val="000000"/>
          <w:sz w:val="24"/>
        </w:rPr>
        <w:t>（8）磋商过程中形成的书面变更通知</w:t>
      </w:r>
    </w:p>
    <w:p>
      <w:pPr>
        <w:spacing w:line="300" w:lineRule="auto"/>
        <w:ind w:firstLine="480" w:firstLineChars="200"/>
        <w:rPr>
          <w:rFonts w:ascii="宋体" w:hAnsi="宋体"/>
          <w:color w:val="000000"/>
        </w:rPr>
      </w:pPr>
      <w:r>
        <w:rPr>
          <w:rFonts w:ascii="宋体" w:hAnsi="宋体"/>
          <w:color w:val="000000"/>
        </w:rPr>
        <w:t>5.3 供应商应详细阅读竞争性磋商文件的全部内容，并实质性响应竞争性磋商文件的要求。</w:t>
      </w:r>
    </w:p>
    <w:p>
      <w:pPr>
        <w:spacing w:line="300" w:lineRule="auto"/>
        <w:ind w:firstLine="480" w:firstLineChars="200"/>
        <w:jc w:val="both"/>
        <w:rPr>
          <w:rFonts w:ascii="宋体" w:hAnsi="宋体"/>
          <w:color w:val="000000"/>
        </w:rPr>
      </w:pPr>
      <w:r>
        <w:rPr>
          <w:rFonts w:ascii="宋体" w:hAnsi="宋体"/>
          <w:color w:val="000000"/>
        </w:rPr>
        <w:t>5.4 供应商对竞争性磋商文件有任何异议的均应在递交响应文件截止时间</w:t>
      </w:r>
      <w:r>
        <w:rPr>
          <w:rFonts w:hint="eastAsia" w:ascii="宋体" w:hAnsi="宋体"/>
          <w:color w:val="000000"/>
        </w:rPr>
        <w:t>1</w:t>
      </w:r>
      <w:r>
        <w:rPr>
          <w:rFonts w:ascii="宋体" w:hAnsi="宋体"/>
          <w:color w:val="000000"/>
        </w:rPr>
        <w:t>天前向磋商小组</w:t>
      </w:r>
      <w:r>
        <w:rPr>
          <w:rFonts w:hint="eastAsia" w:ascii="宋体" w:hAnsi="宋体"/>
          <w:color w:val="000000"/>
        </w:rPr>
        <w:t>或采购代理机构</w:t>
      </w:r>
      <w:r>
        <w:rPr>
          <w:rFonts w:ascii="宋体" w:hAnsi="宋体"/>
          <w:color w:val="000000"/>
        </w:rPr>
        <w:t>提出，在规定时间内未提出异议的视为完全认同本竞争性磋商文件的要求。</w:t>
      </w:r>
    </w:p>
    <w:p>
      <w:pPr>
        <w:spacing w:line="300" w:lineRule="auto"/>
        <w:ind w:firstLine="480" w:firstLineChars="200"/>
        <w:rPr>
          <w:rFonts w:ascii="宋体" w:hAnsi="宋体"/>
          <w:color w:val="000000"/>
        </w:rPr>
      </w:pPr>
      <w:r>
        <w:rPr>
          <w:rFonts w:ascii="宋体" w:hAnsi="宋体"/>
          <w:color w:val="000000"/>
        </w:rPr>
        <w:t>6、响应文件</w:t>
      </w:r>
    </w:p>
    <w:p>
      <w:pPr>
        <w:spacing w:line="300" w:lineRule="auto"/>
        <w:ind w:firstLine="480" w:firstLineChars="200"/>
        <w:rPr>
          <w:rFonts w:ascii="宋体" w:hAnsi="宋体"/>
          <w:color w:val="000000"/>
        </w:rPr>
      </w:pPr>
      <w:r>
        <w:rPr>
          <w:rFonts w:ascii="宋体" w:hAnsi="宋体"/>
          <w:color w:val="000000"/>
        </w:rPr>
        <w:t>供应商须按竞争性磋商文件的要求编写响应文件，对竞争性磋商文件提出的要求和条件做出实质性响应。响应文件应包括但不限于下列内容：</w:t>
      </w:r>
    </w:p>
    <w:p>
      <w:pPr>
        <w:spacing w:line="300" w:lineRule="auto"/>
        <w:ind w:firstLine="480" w:firstLineChars="200"/>
        <w:rPr>
          <w:rFonts w:ascii="宋体" w:hAnsi="宋体"/>
          <w:color w:val="000000"/>
        </w:rPr>
      </w:pPr>
      <w:r>
        <w:rPr>
          <w:rFonts w:ascii="宋体" w:hAnsi="宋体"/>
          <w:color w:val="000000"/>
        </w:rPr>
        <w:t>文件一：资格性响应文件</w:t>
      </w:r>
    </w:p>
    <w:p>
      <w:pPr>
        <w:spacing w:line="300" w:lineRule="auto"/>
        <w:ind w:firstLine="480" w:firstLineChars="200"/>
        <w:rPr>
          <w:rFonts w:ascii="宋体" w:hAnsi="宋体"/>
          <w:color w:val="000000"/>
        </w:rPr>
      </w:pPr>
      <w:r>
        <w:rPr>
          <w:rFonts w:hint="eastAsia" w:ascii="宋体" w:hAnsi="宋体"/>
          <w:color w:val="000000"/>
        </w:rPr>
        <w:t>符合磋商文件第三章规定的资格证明材料。</w:t>
      </w:r>
    </w:p>
    <w:p>
      <w:pPr>
        <w:spacing w:line="300" w:lineRule="auto"/>
        <w:ind w:firstLine="480" w:firstLineChars="200"/>
        <w:rPr>
          <w:rFonts w:ascii="宋体" w:hAnsi="宋体"/>
          <w:color w:val="000000"/>
        </w:rPr>
      </w:pPr>
      <w:r>
        <w:rPr>
          <w:rFonts w:ascii="宋体" w:hAnsi="宋体"/>
          <w:color w:val="000000"/>
        </w:rPr>
        <w:t>文件二：</w:t>
      </w:r>
      <w:r>
        <w:rPr>
          <w:rFonts w:hint="eastAsia" w:ascii="宋体" w:hAnsi="宋体"/>
          <w:color w:val="000000"/>
        </w:rPr>
        <w:t>其他响应文件</w:t>
      </w:r>
    </w:p>
    <w:p>
      <w:pPr>
        <w:spacing w:line="300" w:lineRule="auto"/>
        <w:ind w:firstLine="480" w:firstLineChars="200"/>
        <w:rPr>
          <w:rFonts w:ascii="宋体" w:hAnsi="宋体"/>
          <w:color w:val="000000"/>
        </w:rPr>
      </w:pPr>
      <w:r>
        <w:rPr>
          <w:rFonts w:ascii="宋体" w:hAnsi="宋体"/>
          <w:color w:val="000000"/>
        </w:rPr>
        <w:t>包括</w:t>
      </w:r>
      <w:r>
        <w:rPr>
          <w:rFonts w:hint="eastAsia" w:ascii="宋体" w:hAnsi="宋体"/>
          <w:color w:val="000000"/>
        </w:rPr>
        <w:t>施工组织设计、进度计划、项目管理机构、类似业绩、报价组成因素（参与响应的工程量清单）</w:t>
      </w:r>
      <w:r>
        <w:rPr>
          <w:rFonts w:ascii="宋体" w:hAnsi="宋体"/>
          <w:color w:val="000000"/>
        </w:rPr>
        <w:t>等文件。</w:t>
      </w:r>
    </w:p>
    <w:p>
      <w:pPr>
        <w:spacing w:line="300" w:lineRule="auto"/>
        <w:ind w:firstLine="480" w:firstLineChars="200"/>
        <w:rPr>
          <w:rFonts w:ascii="宋体" w:hAnsi="宋体"/>
          <w:color w:val="000000"/>
        </w:rPr>
      </w:pPr>
      <w:r>
        <w:rPr>
          <w:rFonts w:hint="eastAsia" w:ascii="宋体" w:hAnsi="宋体"/>
          <w:color w:val="000000"/>
        </w:rPr>
        <w:t>7、 报价（实质性要求）</w:t>
      </w:r>
    </w:p>
    <w:p>
      <w:pPr>
        <w:spacing w:line="360" w:lineRule="auto"/>
        <w:ind w:firstLine="468" w:firstLineChars="195"/>
        <w:rPr>
          <w:rFonts w:ascii="宋体" w:hAnsi="宋体"/>
          <w:bCs/>
        </w:rPr>
      </w:pPr>
      <w:r>
        <w:rPr>
          <w:rFonts w:hint="eastAsia" w:ascii="宋体" w:hAnsi="宋体"/>
          <w:bCs/>
        </w:rPr>
        <w:t>7.1 所有报价一律以人民币报价。采购人不接受任何非人民币币种的报价。</w:t>
      </w:r>
    </w:p>
    <w:p>
      <w:pPr>
        <w:spacing w:line="360" w:lineRule="auto"/>
        <w:ind w:firstLine="468" w:firstLineChars="195"/>
        <w:rPr>
          <w:rFonts w:ascii="宋体" w:hAnsi="宋体"/>
          <w:bCs/>
        </w:rPr>
      </w:pPr>
      <w:r>
        <w:rPr>
          <w:rFonts w:hint="eastAsia" w:ascii="宋体" w:hAnsi="宋体"/>
          <w:bCs/>
        </w:rPr>
        <w:t>7.2 供应商的报价是其响应本项目要求的全部工作内容的价格体现，包括供应商完成本项目所需的一切费用。</w:t>
      </w:r>
    </w:p>
    <w:p>
      <w:pPr>
        <w:spacing w:line="360" w:lineRule="auto"/>
        <w:ind w:firstLine="468" w:firstLineChars="195"/>
        <w:rPr>
          <w:rFonts w:ascii="宋体" w:hAnsi="宋体"/>
          <w:bCs/>
        </w:rPr>
      </w:pPr>
      <w:r>
        <w:rPr>
          <w:rFonts w:hint="eastAsia" w:ascii="宋体" w:hAnsi="宋体"/>
          <w:bCs/>
        </w:rPr>
        <w:t>7.3 本项目合同价格形式为</w:t>
      </w:r>
      <w:r>
        <w:rPr>
          <w:rFonts w:hint="eastAsia" w:ascii="宋体" w:hAnsi="宋体"/>
          <w:b/>
          <w:bCs/>
          <w:u w:val="single"/>
        </w:rPr>
        <w:t xml:space="preserve">固定总价合同 </w:t>
      </w:r>
      <w:r>
        <w:rPr>
          <w:rFonts w:hint="eastAsia" w:ascii="宋体" w:hAnsi="宋体"/>
          <w:bCs/>
        </w:rPr>
        <w:t>。采用工程量清单报价，供应商不得改变工程量清单项目编码、名称、特征描述、</w:t>
      </w:r>
      <w:r>
        <w:rPr>
          <w:rFonts w:ascii="宋体" w:hAnsi="宋体"/>
          <w:bCs/>
        </w:rPr>
        <w:t>计量单位</w:t>
      </w:r>
      <w:r>
        <w:rPr>
          <w:rFonts w:hint="eastAsia" w:ascii="宋体" w:hAnsi="宋体"/>
          <w:bCs/>
        </w:rPr>
        <w:t>和数量，暂定金额、暂估价按工程量清单（</w:t>
      </w:r>
      <w:r>
        <w:rPr>
          <w:rFonts w:ascii="宋体" w:hAnsi="宋体"/>
          <w:bCs/>
        </w:rPr>
        <w:t>说明</w:t>
      </w:r>
      <w:r>
        <w:rPr>
          <w:rFonts w:hint="eastAsia" w:ascii="宋体" w:hAnsi="宋体"/>
          <w:bCs/>
        </w:rPr>
        <w:t>）列入。</w:t>
      </w:r>
    </w:p>
    <w:p>
      <w:pPr>
        <w:spacing w:line="360" w:lineRule="auto"/>
        <w:ind w:firstLine="468" w:firstLineChars="195"/>
        <w:rPr>
          <w:rFonts w:ascii="宋体" w:hAnsi="宋体"/>
          <w:bCs/>
        </w:rPr>
      </w:pPr>
      <w:r>
        <w:rPr>
          <w:rFonts w:hint="eastAsia" w:ascii="宋体" w:hAnsi="宋体"/>
          <w:bCs/>
        </w:rPr>
        <w:t>7.4 供应商在首次提交的响应文件中的报价（即首次报价）应按磋商文件及工程量清单编制要求，列出报价的构成及明细，包括但不限于分部分项工程、措施项目、其他项目、规费及税金等。</w:t>
      </w:r>
    </w:p>
    <w:p>
      <w:pPr>
        <w:spacing w:line="360" w:lineRule="auto"/>
        <w:ind w:firstLine="468" w:firstLineChars="195"/>
        <w:rPr>
          <w:rFonts w:ascii="宋体" w:hAnsi="宋体"/>
          <w:bCs/>
        </w:rPr>
      </w:pPr>
      <w:r>
        <w:rPr>
          <w:rFonts w:hint="eastAsia" w:ascii="宋体" w:hAnsi="宋体"/>
          <w:bCs/>
        </w:rPr>
        <w:t>7.5 若供应商的最后报价只有一个总价，且相对首次报价有调整，则该调整金额将会以百分比形式套用于首次报价中除安全文明施工费、规费、暂估价、暂列金额、税金以及包干费用以外的各项目单价，调整后的单价作为工程变更及竣工结算的依据。此百分比（保留两位小数）计算如下：</w:t>
      </w:r>
    </w:p>
    <w:p>
      <w:pPr>
        <w:spacing w:line="240" w:lineRule="atLeast"/>
        <w:ind w:firstLine="429" w:firstLineChars="195"/>
        <w:rPr>
          <w:rFonts w:ascii="宋体" w:hAnsi="宋体"/>
          <w:bCs/>
          <w:sz w:val="22"/>
          <w:szCs w:val="20"/>
        </w:rPr>
      </w:pPr>
      <w:r>
        <w:rPr>
          <w:rFonts w:hint="eastAsia" w:ascii="宋体" w:hAnsi="宋体"/>
          <w:bCs/>
          <w:sz w:val="22"/>
          <w:szCs w:val="22"/>
        </w:rPr>
        <w:t xml:space="preserve">  </w:t>
      </w:r>
      <w:r>
        <w:rPr>
          <w:rFonts w:ascii="宋体" w:hAnsi="宋体"/>
          <w:bCs/>
          <w:sz w:val="22"/>
          <w:szCs w:val="22"/>
        </w:rPr>
        <w:t xml:space="preserve">                   </w:t>
      </w:r>
      <w:r>
        <w:rPr>
          <w:rFonts w:hint="eastAsia" w:ascii="宋体" w:hAnsi="宋体"/>
          <w:bCs/>
          <w:sz w:val="22"/>
          <w:szCs w:val="20"/>
        </w:rPr>
        <w:t xml:space="preserve">（±）调整金额                               </w:t>
      </w:r>
    </w:p>
    <w:p>
      <w:pPr>
        <w:spacing w:line="240" w:lineRule="atLeast"/>
        <w:rPr>
          <w:rFonts w:ascii="宋体" w:hAnsi="宋体"/>
          <w:bCs/>
          <w:sz w:val="22"/>
          <w:szCs w:val="22"/>
        </w:rPr>
      </w:pPr>
      <w:r>
        <w:rPr>
          <w:rFonts w:hint="eastAsia" w:ascii="宋体" w:hAnsi="宋体"/>
          <w:bCs/>
          <w:sz w:val="22"/>
          <w:szCs w:val="20"/>
        </w:rPr>
        <w:t>百分比</w:t>
      </w:r>
      <w:r>
        <w:rPr>
          <w:rFonts w:hint="eastAsia" w:ascii="宋体" w:hAnsi="宋体"/>
          <w:bCs/>
          <w:sz w:val="22"/>
          <w:szCs w:val="22"/>
        </w:rPr>
        <w:t xml:space="preserve">= </w:t>
      </w:r>
      <w:r>
        <w:rPr>
          <w:rFonts w:hint="eastAsia" w:ascii="宋体" w:hAnsi="宋体"/>
          <w:bCs/>
          <w:strike/>
          <w:sz w:val="22"/>
          <w:szCs w:val="22"/>
        </w:rPr>
        <w:t xml:space="preserve">                             </w:t>
      </w:r>
      <w:r>
        <w:rPr>
          <w:rFonts w:ascii="宋体" w:hAnsi="宋体"/>
          <w:bCs/>
          <w:strike/>
          <w:sz w:val="22"/>
          <w:szCs w:val="22"/>
        </w:rPr>
        <w:t xml:space="preserve"> </w:t>
      </w:r>
      <w:r>
        <w:rPr>
          <w:rFonts w:hint="eastAsia" w:ascii="宋体" w:hAnsi="宋体"/>
          <w:bCs/>
          <w:strike/>
          <w:sz w:val="22"/>
          <w:szCs w:val="22"/>
        </w:rPr>
        <w:t xml:space="preserve">                      </w:t>
      </w:r>
      <w:r>
        <w:rPr>
          <w:rFonts w:ascii="宋体" w:hAnsi="宋体"/>
          <w:bCs/>
          <w:strike/>
          <w:sz w:val="22"/>
          <w:szCs w:val="22"/>
        </w:rPr>
        <w:t xml:space="preserve"> </w:t>
      </w:r>
      <w:r>
        <w:rPr>
          <w:rFonts w:hint="eastAsia" w:ascii="宋体" w:hAnsi="宋体"/>
          <w:bCs/>
          <w:strike/>
          <w:sz w:val="22"/>
          <w:szCs w:val="22"/>
        </w:rPr>
        <w:t xml:space="preserve">  </w:t>
      </w:r>
      <w:r>
        <w:rPr>
          <w:rFonts w:hint="eastAsia" w:ascii="宋体" w:hAnsi="宋体"/>
          <w:bCs/>
          <w:sz w:val="22"/>
          <w:szCs w:val="22"/>
        </w:rPr>
        <w:t>×100%</w:t>
      </w:r>
    </w:p>
    <w:p>
      <w:pPr>
        <w:spacing w:line="240" w:lineRule="atLeast"/>
        <w:ind w:firstLine="880" w:firstLineChars="400"/>
        <w:rPr>
          <w:rFonts w:ascii="宋体" w:hAnsi="宋体"/>
          <w:bCs/>
          <w:sz w:val="22"/>
          <w:szCs w:val="20"/>
        </w:rPr>
      </w:pPr>
      <w:r>
        <w:rPr>
          <w:rFonts w:hint="eastAsia" w:ascii="宋体" w:hAnsi="宋体"/>
          <w:bCs/>
          <w:sz w:val="22"/>
          <w:szCs w:val="20"/>
        </w:rPr>
        <w:t>修正后的首次报价-安全文明施工费-规费-暂估价-暂列金额-税金-包干费用</w:t>
      </w:r>
    </w:p>
    <w:p>
      <w:pPr>
        <w:spacing w:line="300" w:lineRule="auto"/>
        <w:ind w:firstLine="480" w:firstLineChars="200"/>
        <w:rPr>
          <w:rFonts w:ascii="宋体" w:hAnsi="宋体"/>
          <w:bCs/>
          <w:szCs w:val="21"/>
        </w:rPr>
      </w:pPr>
    </w:p>
    <w:p>
      <w:pPr>
        <w:spacing w:line="300" w:lineRule="auto"/>
        <w:ind w:firstLine="480" w:firstLineChars="200"/>
        <w:rPr>
          <w:rFonts w:ascii="宋体" w:hAnsi="宋体"/>
          <w:bCs/>
        </w:rPr>
      </w:pPr>
      <w:r>
        <w:rPr>
          <w:rFonts w:hint="eastAsia" w:ascii="宋体" w:hAnsi="宋体"/>
          <w:bCs/>
        </w:rPr>
        <w:t>7.6 供应商最后报价超过政府采购预算或最高限价（具体详见第一章）的，视为无效报价。</w:t>
      </w:r>
    </w:p>
    <w:p>
      <w:pPr>
        <w:spacing w:line="300" w:lineRule="auto"/>
        <w:ind w:firstLine="480" w:firstLineChars="200"/>
        <w:rPr>
          <w:rFonts w:ascii="宋体" w:hAnsi="宋体"/>
          <w:color w:val="000000"/>
        </w:rPr>
      </w:pPr>
      <w:r>
        <w:rPr>
          <w:rFonts w:ascii="宋体" w:hAnsi="宋体"/>
          <w:color w:val="000000"/>
        </w:rPr>
        <w:t>8、响应文件的递交</w:t>
      </w:r>
    </w:p>
    <w:p>
      <w:pPr>
        <w:pStyle w:val="294"/>
        <w:ind w:firstLine="480"/>
        <w:rPr>
          <w:rFonts w:ascii="宋体" w:hAnsi="宋体"/>
          <w:color w:val="000000"/>
          <w:sz w:val="24"/>
        </w:rPr>
      </w:pPr>
      <w:r>
        <w:rPr>
          <w:rFonts w:ascii="宋体" w:hAnsi="宋体"/>
          <w:color w:val="000000"/>
          <w:sz w:val="24"/>
        </w:rPr>
        <w:t>8.1响应文件分资格性响应文件和</w:t>
      </w:r>
      <w:r>
        <w:rPr>
          <w:rFonts w:hint="eastAsia" w:ascii="宋体" w:hAnsi="宋体"/>
          <w:color w:val="000000"/>
          <w:sz w:val="24"/>
        </w:rPr>
        <w:t>其他响应文件</w:t>
      </w:r>
      <w:r>
        <w:rPr>
          <w:rFonts w:ascii="宋体" w:hAnsi="宋体"/>
          <w:color w:val="000000"/>
          <w:sz w:val="24"/>
        </w:rPr>
        <w:t>两部分，应分册密封装订。</w:t>
      </w:r>
    </w:p>
    <w:p>
      <w:pPr>
        <w:pStyle w:val="294"/>
        <w:ind w:firstLine="480"/>
        <w:rPr>
          <w:rFonts w:ascii="宋体" w:hAnsi="宋体"/>
          <w:color w:val="000000"/>
          <w:sz w:val="24"/>
        </w:rPr>
      </w:pPr>
      <w:r>
        <w:rPr>
          <w:rFonts w:ascii="宋体" w:hAnsi="宋体"/>
          <w:color w:val="000000"/>
          <w:sz w:val="24"/>
        </w:rPr>
        <w:t>8.2供应商递交的响应文件为</w:t>
      </w:r>
      <w:r>
        <w:rPr>
          <w:rFonts w:ascii="宋体" w:hAnsi="宋体"/>
          <w:color w:val="auto"/>
          <w:sz w:val="24"/>
        </w:rPr>
        <w:t>一式</w:t>
      </w:r>
      <w:r>
        <w:rPr>
          <w:rFonts w:hint="eastAsia" w:ascii="宋体" w:hAnsi="宋体"/>
          <w:color w:val="auto"/>
          <w:sz w:val="24"/>
        </w:rPr>
        <w:t>三</w:t>
      </w:r>
      <w:r>
        <w:rPr>
          <w:rFonts w:ascii="宋体" w:hAnsi="宋体"/>
          <w:color w:val="auto"/>
          <w:sz w:val="24"/>
        </w:rPr>
        <w:t>份，其中正本</w:t>
      </w:r>
      <w:r>
        <w:rPr>
          <w:rFonts w:hint="eastAsia" w:ascii="宋体" w:hAnsi="宋体"/>
          <w:color w:val="auto"/>
          <w:sz w:val="24"/>
          <w:lang w:val="en-US" w:eastAsia="zh-CN"/>
        </w:rPr>
        <w:t>一</w:t>
      </w:r>
      <w:r>
        <w:rPr>
          <w:rFonts w:ascii="宋体" w:hAnsi="宋体"/>
          <w:color w:val="auto"/>
          <w:sz w:val="24"/>
        </w:rPr>
        <w:t>份，副本</w:t>
      </w:r>
      <w:r>
        <w:rPr>
          <w:rFonts w:hint="eastAsia" w:ascii="宋体" w:hAnsi="宋体"/>
          <w:color w:val="auto"/>
          <w:sz w:val="24"/>
          <w:lang w:val="en-US" w:eastAsia="zh-CN"/>
        </w:rPr>
        <w:t>二</w:t>
      </w:r>
      <w:r>
        <w:rPr>
          <w:rFonts w:ascii="宋体" w:hAnsi="宋体"/>
          <w:color w:val="auto"/>
          <w:sz w:val="24"/>
        </w:rPr>
        <w:t>份</w:t>
      </w:r>
      <w:r>
        <w:rPr>
          <w:rFonts w:hint="eastAsia" w:ascii="宋体" w:hAnsi="宋体"/>
          <w:color w:val="auto"/>
          <w:sz w:val="24"/>
          <w:lang w:eastAsia="zh-CN"/>
        </w:rPr>
        <w:t>，</w:t>
      </w:r>
      <w:r>
        <w:rPr>
          <w:rFonts w:hint="eastAsia" w:hAnsi="宋体" w:cs="宋体"/>
          <w:bCs/>
          <w:color w:val="auto"/>
          <w:sz w:val="24"/>
          <w:szCs w:val="24"/>
          <w:highlight w:val="none"/>
          <w:lang w:val="en-US" w:eastAsia="zh-CN"/>
        </w:rPr>
        <w:t>一份电子文档（U盘）</w:t>
      </w:r>
      <w:r>
        <w:rPr>
          <w:rFonts w:ascii="宋体" w:hAnsi="宋体"/>
          <w:color w:val="auto"/>
          <w:sz w:val="24"/>
        </w:rPr>
        <w:t>。响应文件正本应用不褪</w:t>
      </w:r>
      <w:r>
        <w:rPr>
          <w:rFonts w:ascii="宋体" w:hAnsi="宋体"/>
          <w:color w:val="000000"/>
          <w:sz w:val="24"/>
        </w:rPr>
        <w:t>色的墨水中文书写或打印，并装订成册。并在响应文件封面标明项目名称、项目编号、供应商名称以及 “正本”、“副本”</w:t>
      </w:r>
      <w:r>
        <w:rPr>
          <w:rFonts w:hint="eastAsia" w:hAnsi="宋体" w:cs="宋体"/>
          <w:color w:val="auto"/>
          <w:sz w:val="24"/>
          <w:szCs w:val="24"/>
          <w:highlight w:val="none"/>
          <w:lang w:val="en-US" w:eastAsia="zh-CN"/>
        </w:rPr>
        <w:t>或</w:t>
      </w:r>
      <w:r>
        <w:rPr>
          <w:rFonts w:hint="eastAsia" w:hAnsi="宋体" w:cs="宋体"/>
          <w:color w:val="auto"/>
          <w:sz w:val="24"/>
          <w:szCs w:val="24"/>
          <w:highlight w:val="none"/>
        </w:rPr>
        <w:t>“</w:t>
      </w:r>
      <w:r>
        <w:rPr>
          <w:rFonts w:hint="eastAsia" w:hAnsi="宋体" w:cs="宋体"/>
          <w:color w:val="auto"/>
          <w:sz w:val="24"/>
          <w:szCs w:val="24"/>
          <w:highlight w:val="none"/>
          <w:lang w:val="en-US" w:eastAsia="zh-CN"/>
        </w:rPr>
        <w:t>电子文档</w:t>
      </w:r>
      <w:r>
        <w:rPr>
          <w:rFonts w:hint="eastAsia" w:hAnsi="宋体" w:cs="宋体"/>
          <w:color w:val="auto"/>
          <w:sz w:val="24"/>
          <w:szCs w:val="24"/>
          <w:highlight w:val="none"/>
        </w:rPr>
        <w:t>”</w:t>
      </w:r>
      <w:r>
        <w:rPr>
          <w:rFonts w:ascii="宋体" w:hAnsi="宋体"/>
          <w:color w:val="000000"/>
          <w:sz w:val="24"/>
        </w:rPr>
        <w:t>字样。</w:t>
      </w:r>
      <w:r>
        <w:rPr>
          <w:rFonts w:hint="eastAsia" w:hAnsi="宋体" w:cs="宋体"/>
          <w:color w:val="auto"/>
          <w:sz w:val="24"/>
          <w:szCs w:val="24"/>
        </w:rPr>
        <w:t>若发生正本和副本不符，以正本为准。</w:t>
      </w:r>
    </w:p>
    <w:p>
      <w:pPr>
        <w:pStyle w:val="294"/>
        <w:ind w:firstLine="480"/>
        <w:rPr>
          <w:rFonts w:ascii="宋体" w:hAnsi="宋体"/>
          <w:color w:val="000000"/>
          <w:sz w:val="24"/>
        </w:rPr>
      </w:pPr>
      <w:r>
        <w:rPr>
          <w:rFonts w:ascii="宋体" w:hAnsi="宋体"/>
          <w:color w:val="000000"/>
          <w:sz w:val="24"/>
        </w:rPr>
        <w:t xml:space="preserve">8.3 </w:t>
      </w:r>
      <w:r>
        <w:rPr>
          <w:rFonts w:hint="eastAsia" w:ascii="宋体" w:hAnsi="宋体"/>
          <w:color w:val="000000"/>
          <w:sz w:val="24"/>
        </w:rPr>
        <w:t>响应文件应由供应商法定代表人或经正式授权的供应商代表按竞争性磋商文件的要求签字或加盖公章。</w:t>
      </w:r>
    </w:p>
    <w:p>
      <w:pPr>
        <w:pStyle w:val="294"/>
        <w:ind w:firstLine="480"/>
        <w:rPr>
          <w:rFonts w:ascii="宋体" w:hAnsi="宋体"/>
          <w:color w:val="000000"/>
          <w:sz w:val="24"/>
        </w:rPr>
      </w:pPr>
      <w:r>
        <w:rPr>
          <w:rFonts w:ascii="宋体" w:hAnsi="宋体"/>
          <w:color w:val="000000"/>
          <w:sz w:val="24"/>
        </w:rPr>
        <w:t>8.</w:t>
      </w:r>
      <w:r>
        <w:rPr>
          <w:rFonts w:hint="eastAsia" w:ascii="宋体" w:hAnsi="宋体"/>
          <w:color w:val="000000"/>
          <w:sz w:val="24"/>
        </w:rPr>
        <w:t>4</w:t>
      </w:r>
      <w:r>
        <w:rPr>
          <w:rFonts w:ascii="宋体" w:hAnsi="宋体"/>
          <w:color w:val="000000"/>
          <w:sz w:val="24"/>
        </w:rPr>
        <w:t>在递交响应文件截止时间后送达的任何响应文件</w:t>
      </w:r>
      <w:r>
        <w:rPr>
          <w:rFonts w:hint="eastAsia" w:ascii="宋体" w:hAnsi="宋体"/>
          <w:color w:val="000000"/>
          <w:sz w:val="24"/>
        </w:rPr>
        <w:t>将被拒绝</w:t>
      </w:r>
      <w:r>
        <w:rPr>
          <w:rFonts w:ascii="宋体" w:hAnsi="宋体"/>
          <w:color w:val="000000"/>
          <w:sz w:val="24"/>
        </w:rPr>
        <w:t>。</w:t>
      </w:r>
    </w:p>
    <w:p>
      <w:pPr>
        <w:spacing w:line="300" w:lineRule="auto"/>
        <w:ind w:firstLine="480" w:firstLineChars="200"/>
        <w:rPr>
          <w:rFonts w:ascii="宋体" w:hAnsi="宋体"/>
          <w:color w:val="000000"/>
        </w:rPr>
      </w:pPr>
      <w:r>
        <w:rPr>
          <w:rFonts w:ascii="宋体" w:hAnsi="宋体"/>
          <w:color w:val="000000"/>
        </w:rPr>
        <w:t>9、磋商保证金</w:t>
      </w:r>
    </w:p>
    <w:p>
      <w:pPr>
        <w:autoSpaceDE w:val="0"/>
        <w:autoSpaceDN w:val="0"/>
        <w:snapToGrid w:val="0"/>
        <w:spacing w:line="300" w:lineRule="auto"/>
        <w:ind w:firstLine="480" w:firstLineChars="200"/>
        <w:rPr>
          <w:rFonts w:ascii="宋体" w:hAnsi="宋体"/>
          <w:color w:val="000000"/>
        </w:rPr>
      </w:pPr>
      <w:r>
        <w:rPr>
          <w:rFonts w:ascii="宋体" w:hAnsi="宋体"/>
          <w:color w:val="000000"/>
        </w:rPr>
        <w:t>9</w:t>
      </w:r>
      <w:r>
        <w:rPr>
          <w:rFonts w:hint="eastAsia" w:ascii="宋体" w:hAnsi="宋体"/>
          <w:color w:val="000000"/>
        </w:rPr>
        <w:t>.1  供应商应提交一笔不少于本竞争性磋商文件规定的人民币金额的磋商保证金。成交供应商的磋商保证金，在合同签订生效后五个工作日内全额退还，未成交者的磋商保证金转账退还。</w:t>
      </w:r>
    </w:p>
    <w:p>
      <w:pPr>
        <w:autoSpaceDE w:val="0"/>
        <w:autoSpaceDN w:val="0"/>
        <w:snapToGrid w:val="0"/>
        <w:spacing w:line="300" w:lineRule="auto"/>
        <w:ind w:firstLine="480" w:firstLineChars="200"/>
        <w:rPr>
          <w:rFonts w:ascii="宋体" w:hAnsi="宋体"/>
          <w:color w:val="000000"/>
        </w:rPr>
      </w:pPr>
      <w:r>
        <w:rPr>
          <w:rFonts w:hint="eastAsia" w:ascii="宋体" w:hAnsi="宋体"/>
          <w:color w:val="000000"/>
        </w:rPr>
        <w:t>磋商保证金是为了保护采购单位免遭因供应商的行为而蒙受损失，采购单位在因供应商的行为受到损害时可根据第</w:t>
      </w:r>
      <w:r>
        <w:rPr>
          <w:rFonts w:ascii="宋体" w:hAnsi="宋体"/>
          <w:color w:val="000000"/>
        </w:rPr>
        <w:t>9</w:t>
      </w:r>
      <w:r>
        <w:rPr>
          <w:rFonts w:hint="eastAsia" w:ascii="宋体" w:hAnsi="宋体"/>
          <w:color w:val="000000"/>
        </w:rPr>
        <w:t>.4条的规定不予退还供应商的磋商保证金。</w:t>
      </w:r>
    </w:p>
    <w:p>
      <w:pPr>
        <w:spacing w:line="360" w:lineRule="auto"/>
        <w:ind w:firstLine="480" w:firstLineChars="200"/>
        <w:jc w:val="both"/>
        <w:rPr>
          <w:rFonts w:ascii="宋体" w:hAnsi="宋体"/>
        </w:rPr>
      </w:pPr>
      <w:r>
        <w:rPr>
          <w:rFonts w:ascii="宋体" w:hAnsi="宋体"/>
        </w:rPr>
        <w:t>供应商递交响应文件前，应提交规定数额的磋商保证金</w:t>
      </w:r>
      <w:r>
        <w:rPr>
          <w:rFonts w:hint="eastAsia" w:ascii="宋体" w:hAnsi="宋体"/>
        </w:rPr>
        <w:t>：</w:t>
      </w:r>
    </w:p>
    <w:p>
      <w:pPr>
        <w:spacing w:line="360" w:lineRule="auto"/>
        <w:ind w:firstLine="482" w:firstLineChars="200"/>
        <w:jc w:val="both"/>
        <w:rPr>
          <w:rFonts w:ascii="宋体" w:hAnsi="宋体"/>
          <w:b/>
          <w:color w:val="auto"/>
        </w:rPr>
      </w:pPr>
      <w:r>
        <w:rPr>
          <w:rFonts w:hint="eastAsia" w:ascii="宋体" w:hAnsi="宋体"/>
          <w:b/>
        </w:rPr>
        <w:t>保证金金额：</w:t>
      </w:r>
      <w:r>
        <w:rPr>
          <w:rFonts w:hint="eastAsia" w:ascii="宋体" w:hAnsi="宋体"/>
          <w:b/>
          <w:color w:val="auto"/>
          <w:lang w:val="en-US" w:eastAsia="zh-CN"/>
        </w:rPr>
        <w:t>40000</w:t>
      </w:r>
      <w:r>
        <w:rPr>
          <w:rFonts w:hint="eastAsia" w:ascii="宋体" w:hAnsi="宋体"/>
          <w:b/>
          <w:color w:val="auto"/>
        </w:rPr>
        <w:t>元（</w:t>
      </w:r>
      <w:r>
        <w:rPr>
          <w:rFonts w:hint="eastAsia" w:ascii="宋体" w:hAnsi="宋体"/>
          <w:b/>
          <w:color w:val="auto"/>
          <w:lang w:val="en-US" w:eastAsia="zh-CN"/>
        </w:rPr>
        <w:t>肆万</w:t>
      </w:r>
      <w:r>
        <w:rPr>
          <w:rFonts w:hint="eastAsia" w:ascii="宋体" w:hAnsi="宋体"/>
          <w:b/>
          <w:color w:val="auto"/>
        </w:rPr>
        <w:t>元整）</w:t>
      </w:r>
    </w:p>
    <w:p>
      <w:pPr>
        <w:spacing w:line="360" w:lineRule="auto"/>
        <w:ind w:firstLine="482" w:firstLineChars="200"/>
        <w:jc w:val="both"/>
        <w:rPr>
          <w:rFonts w:ascii="宋体" w:hAnsi="宋体"/>
          <w:b/>
        </w:rPr>
      </w:pPr>
      <w:r>
        <w:rPr>
          <w:rFonts w:hint="eastAsia" w:ascii="宋体" w:hAnsi="宋体"/>
          <w:b/>
        </w:rPr>
        <w:t>备注：提交磋商保证金时须注明招标编号：</w:t>
      </w:r>
      <w:r>
        <w:rPr>
          <w:rFonts w:hint="eastAsia" w:ascii="宋体" w:hAnsi="宋体"/>
          <w:b/>
          <w:lang w:eastAsia="zh-CN"/>
        </w:rPr>
        <w:t>易弘青海竞磋（工程）2020-0</w:t>
      </w:r>
      <w:r>
        <w:rPr>
          <w:rFonts w:hint="eastAsia" w:ascii="宋体" w:hAnsi="宋体"/>
          <w:b/>
          <w:lang w:val="en-US" w:eastAsia="zh-CN"/>
        </w:rPr>
        <w:t>40</w:t>
      </w:r>
      <w:r>
        <w:rPr>
          <w:rFonts w:hint="eastAsia" w:ascii="宋体" w:hAnsi="宋体"/>
          <w:b/>
        </w:rPr>
        <w:t>缴费时间：磋商供应商在磋商截止期前一工作日以银行到账时间为准。</w:t>
      </w:r>
    </w:p>
    <w:p>
      <w:pPr>
        <w:spacing w:line="360" w:lineRule="auto"/>
        <w:ind w:firstLine="482" w:firstLineChars="200"/>
        <w:jc w:val="both"/>
        <w:rPr>
          <w:rFonts w:ascii="宋体" w:hAnsi="宋体"/>
          <w:b/>
        </w:rPr>
      </w:pPr>
      <w:r>
        <w:rPr>
          <w:rFonts w:hint="eastAsia" w:ascii="宋体" w:hAnsi="宋体"/>
          <w:b/>
        </w:rPr>
        <w:t>收款单位：</w:t>
      </w:r>
      <w:r>
        <w:rPr>
          <w:rFonts w:hint="eastAsia" w:ascii="宋体" w:hAnsi="宋体"/>
          <w:b/>
          <w:bCs/>
        </w:rPr>
        <w:t>四川易弘工程管理有限公司青海分公司</w:t>
      </w:r>
    </w:p>
    <w:p>
      <w:pPr>
        <w:autoSpaceDE w:val="0"/>
        <w:autoSpaceDN w:val="0"/>
        <w:adjustRightInd w:val="0"/>
        <w:spacing w:line="360" w:lineRule="auto"/>
        <w:ind w:firstLine="482" w:firstLineChars="200"/>
        <w:rPr>
          <w:rFonts w:ascii="宋体" w:hAnsi="宋体"/>
        </w:rPr>
      </w:pPr>
      <w:r>
        <w:rPr>
          <w:rFonts w:hint="eastAsia" w:ascii="宋体" w:hAnsi="宋体"/>
          <w:b/>
        </w:rPr>
        <w:t>开 户 行：</w:t>
      </w:r>
      <w:r>
        <w:rPr>
          <w:rFonts w:hint="eastAsia" w:ascii="宋体" w:hAnsi="宋体"/>
          <w:b/>
          <w:bCs/>
          <w:color w:val="000000"/>
        </w:rPr>
        <w:t>青海银行股份有限公司文成路支行</w:t>
      </w:r>
    </w:p>
    <w:p>
      <w:pPr>
        <w:spacing w:line="360" w:lineRule="auto"/>
        <w:ind w:firstLine="482" w:firstLineChars="200"/>
        <w:jc w:val="both"/>
        <w:rPr>
          <w:rFonts w:ascii="宋体" w:hAnsi="宋体"/>
          <w:b/>
        </w:rPr>
      </w:pPr>
      <w:r>
        <w:rPr>
          <w:rFonts w:hint="eastAsia" w:ascii="宋体" w:hAnsi="宋体"/>
          <w:b/>
        </w:rPr>
        <w:t>银行账号：</w:t>
      </w:r>
      <w:r>
        <w:rPr>
          <w:rFonts w:hint="eastAsia" w:ascii="宋体" w:hAnsi="宋体"/>
          <w:b/>
          <w:bCs/>
          <w:color w:val="000000"/>
        </w:rPr>
        <w:t>0608201000190692</w:t>
      </w:r>
    </w:p>
    <w:p>
      <w:pPr>
        <w:autoSpaceDE w:val="0"/>
        <w:autoSpaceDN w:val="0"/>
        <w:snapToGrid w:val="0"/>
        <w:spacing w:line="300" w:lineRule="auto"/>
        <w:ind w:firstLine="480" w:firstLineChars="200"/>
        <w:rPr>
          <w:rFonts w:ascii="宋体" w:hAnsi="宋体"/>
          <w:color w:val="000000"/>
        </w:rPr>
      </w:pPr>
      <w:r>
        <w:rPr>
          <w:rFonts w:ascii="宋体" w:hAnsi="宋体"/>
          <w:color w:val="000000"/>
        </w:rPr>
        <w:t>9</w:t>
      </w:r>
      <w:r>
        <w:rPr>
          <w:rFonts w:hint="eastAsia" w:ascii="宋体" w:hAnsi="宋体"/>
          <w:color w:val="000000"/>
        </w:rPr>
        <w:t>.2  未按规定时间和数额交纳磋商保证金的响应文件，应视为非响应性响应予以拒绝。</w:t>
      </w:r>
    </w:p>
    <w:p>
      <w:pPr>
        <w:autoSpaceDE w:val="0"/>
        <w:autoSpaceDN w:val="0"/>
        <w:snapToGrid w:val="0"/>
        <w:spacing w:line="300" w:lineRule="auto"/>
        <w:ind w:firstLine="480" w:firstLineChars="200"/>
        <w:rPr>
          <w:rFonts w:ascii="宋体" w:hAnsi="宋体"/>
          <w:color w:val="000000"/>
        </w:rPr>
      </w:pPr>
      <w:r>
        <w:rPr>
          <w:rFonts w:ascii="宋体" w:hAnsi="宋体"/>
          <w:color w:val="000000"/>
        </w:rPr>
        <w:t>9</w:t>
      </w:r>
      <w:r>
        <w:rPr>
          <w:rFonts w:hint="eastAsia" w:ascii="宋体" w:hAnsi="宋体"/>
          <w:color w:val="000000"/>
        </w:rPr>
        <w:t>.3  未成交人的磋商保证金，将在成交通知书发出后五个工作日内全额退还（非现金形式）。</w:t>
      </w:r>
    </w:p>
    <w:p>
      <w:pPr>
        <w:autoSpaceDE w:val="0"/>
        <w:autoSpaceDN w:val="0"/>
        <w:snapToGrid w:val="0"/>
        <w:spacing w:line="300" w:lineRule="auto"/>
        <w:ind w:firstLine="480" w:firstLineChars="200"/>
        <w:rPr>
          <w:rFonts w:ascii="宋体" w:hAnsi="宋体"/>
          <w:color w:val="000000"/>
        </w:rPr>
      </w:pPr>
      <w:r>
        <w:rPr>
          <w:rFonts w:hint="eastAsia" w:ascii="宋体" w:hAnsi="宋体"/>
          <w:color w:val="000000"/>
        </w:rPr>
        <w:t>成交人的磋商保证金在成交人与采购单位签订采购合同后5个工作日内退还（非现金形式）。退还时请返还采购合同（原件）4份及经采购方盖章确认的履约保证金缴纳凭证复印件（如要求）后，到本采购代理机构财务部办理。</w:t>
      </w:r>
    </w:p>
    <w:p>
      <w:pPr>
        <w:autoSpaceDE w:val="0"/>
        <w:autoSpaceDN w:val="0"/>
        <w:snapToGrid w:val="0"/>
        <w:spacing w:line="300" w:lineRule="auto"/>
        <w:ind w:firstLine="480" w:firstLineChars="200"/>
        <w:rPr>
          <w:rFonts w:ascii="宋体" w:hAnsi="宋体"/>
          <w:color w:val="000000"/>
        </w:rPr>
      </w:pPr>
      <w:r>
        <w:rPr>
          <w:rFonts w:ascii="宋体" w:hAnsi="宋体"/>
          <w:color w:val="000000"/>
        </w:rPr>
        <w:t>9</w:t>
      </w:r>
      <w:r>
        <w:rPr>
          <w:rFonts w:hint="eastAsia" w:ascii="宋体" w:hAnsi="宋体"/>
          <w:color w:val="000000"/>
        </w:rPr>
        <w:t>.4  下列任何情况发生时，磋商保证金将被不予退还：</w:t>
      </w:r>
    </w:p>
    <w:p>
      <w:pPr>
        <w:autoSpaceDE w:val="0"/>
        <w:autoSpaceDN w:val="0"/>
        <w:snapToGrid w:val="0"/>
        <w:spacing w:line="300" w:lineRule="auto"/>
        <w:ind w:firstLine="480" w:firstLineChars="200"/>
        <w:rPr>
          <w:rFonts w:ascii="宋体" w:hAnsi="宋体"/>
          <w:color w:val="000000"/>
        </w:rPr>
      </w:pPr>
      <w:r>
        <w:rPr>
          <w:rFonts w:ascii="宋体" w:hAnsi="宋体"/>
          <w:color w:val="000000"/>
        </w:rPr>
        <w:t>9</w:t>
      </w:r>
      <w:r>
        <w:rPr>
          <w:rFonts w:hint="eastAsia" w:ascii="宋体" w:hAnsi="宋体"/>
          <w:color w:val="000000"/>
        </w:rPr>
        <w:t>.4.1 供应商在有效期内撤回其响应文件的；</w:t>
      </w:r>
    </w:p>
    <w:p>
      <w:pPr>
        <w:autoSpaceDE w:val="0"/>
        <w:autoSpaceDN w:val="0"/>
        <w:snapToGrid w:val="0"/>
        <w:spacing w:line="300" w:lineRule="auto"/>
        <w:ind w:firstLine="480" w:firstLineChars="200"/>
        <w:rPr>
          <w:rFonts w:ascii="宋体" w:hAnsi="宋体"/>
          <w:color w:val="000000"/>
        </w:rPr>
      </w:pPr>
      <w:r>
        <w:rPr>
          <w:rFonts w:ascii="宋体" w:hAnsi="宋体"/>
          <w:color w:val="000000"/>
        </w:rPr>
        <w:t>9</w:t>
      </w:r>
      <w:r>
        <w:rPr>
          <w:rFonts w:hint="eastAsia" w:ascii="宋体" w:hAnsi="宋体"/>
          <w:color w:val="000000"/>
        </w:rPr>
        <w:t>.4.2 供应商在采购活动中有违法、违纪行为的；</w:t>
      </w:r>
    </w:p>
    <w:p>
      <w:pPr>
        <w:autoSpaceDE w:val="0"/>
        <w:autoSpaceDN w:val="0"/>
        <w:snapToGrid w:val="0"/>
        <w:spacing w:line="300" w:lineRule="auto"/>
        <w:ind w:firstLine="480" w:firstLineChars="200"/>
        <w:rPr>
          <w:rFonts w:ascii="宋体" w:hAnsi="宋体"/>
          <w:color w:val="000000"/>
        </w:rPr>
      </w:pPr>
      <w:r>
        <w:rPr>
          <w:rFonts w:ascii="宋体" w:hAnsi="宋体"/>
          <w:color w:val="000000"/>
        </w:rPr>
        <w:t>9</w:t>
      </w:r>
      <w:r>
        <w:rPr>
          <w:rFonts w:hint="eastAsia" w:ascii="宋体" w:hAnsi="宋体"/>
          <w:color w:val="000000"/>
        </w:rPr>
        <w:t>.4.3 成交供应商无正当理由不与采购单位签订政府采购合同的；</w:t>
      </w:r>
    </w:p>
    <w:p>
      <w:pPr>
        <w:autoSpaceDE w:val="0"/>
        <w:autoSpaceDN w:val="0"/>
        <w:snapToGrid w:val="0"/>
        <w:spacing w:line="300" w:lineRule="auto"/>
        <w:ind w:firstLine="480" w:firstLineChars="200"/>
        <w:rPr>
          <w:rFonts w:ascii="宋体" w:hAnsi="宋体"/>
          <w:color w:val="000000"/>
        </w:rPr>
      </w:pPr>
      <w:r>
        <w:rPr>
          <w:rFonts w:ascii="宋体" w:hAnsi="宋体"/>
          <w:color w:val="000000"/>
        </w:rPr>
        <w:t>9</w:t>
      </w:r>
      <w:r>
        <w:rPr>
          <w:rFonts w:hint="eastAsia" w:ascii="宋体" w:hAnsi="宋体"/>
          <w:color w:val="000000"/>
        </w:rPr>
        <w:t>.4.4 成交供应商未按磋商文件要求交纳履约保证金的；</w:t>
      </w:r>
    </w:p>
    <w:p>
      <w:pPr>
        <w:autoSpaceDE w:val="0"/>
        <w:autoSpaceDN w:val="0"/>
        <w:snapToGrid w:val="0"/>
        <w:spacing w:line="300" w:lineRule="auto"/>
        <w:ind w:firstLine="480" w:firstLineChars="200"/>
        <w:rPr>
          <w:rFonts w:ascii="宋体" w:hAnsi="宋体"/>
          <w:color w:val="000000"/>
        </w:rPr>
      </w:pPr>
      <w:r>
        <w:rPr>
          <w:rFonts w:ascii="宋体" w:hAnsi="宋体"/>
          <w:color w:val="000000"/>
        </w:rPr>
        <w:t>9</w:t>
      </w:r>
      <w:r>
        <w:rPr>
          <w:rFonts w:hint="eastAsia" w:ascii="宋体" w:hAnsi="宋体"/>
          <w:color w:val="000000"/>
        </w:rPr>
        <w:t>.4.5 供应商在响应文件中提供虚假材料的；</w:t>
      </w:r>
    </w:p>
    <w:p>
      <w:pPr>
        <w:autoSpaceDE w:val="0"/>
        <w:autoSpaceDN w:val="0"/>
        <w:snapToGrid w:val="0"/>
        <w:spacing w:line="300" w:lineRule="auto"/>
        <w:ind w:firstLine="480" w:firstLineChars="200"/>
        <w:rPr>
          <w:rFonts w:ascii="宋体" w:hAnsi="宋体"/>
          <w:color w:val="000000"/>
        </w:rPr>
      </w:pPr>
      <w:r>
        <w:rPr>
          <w:rFonts w:ascii="宋体" w:hAnsi="宋体"/>
          <w:color w:val="000000"/>
        </w:rPr>
        <w:t>9</w:t>
      </w:r>
      <w:r>
        <w:rPr>
          <w:rFonts w:hint="eastAsia" w:ascii="宋体" w:hAnsi="宋体"/>
          <w:color w:val="000000"/>
        </w:rPr>
        <w:t>.4.6 成交供应商未交纳成交服务费的。</w:t>
      </w:r>
    </w:p>
    <w:p>
      <w:pPr>
        <w:widowControl w:val="0"/>
        <w:tabs>
          <w:tab w:val="left" w:pos="0"/>
          <w:tab w:val="left" w:pos="1080"/>
        </w:tabs>
        <w:spacing w:line="300" w:lineRule="auto"/>
        <w:ind w:firstLine="480" w:firstLineChars="200"/>
        <w:jc w:val="both"/>
        <w:rPr>
          <w:rFonts w:ascii="宋体" w:hAnsi="宋体"/>
          <w:color w:val="000000"/>
        </w:rPr>
      </w:pPr>
      <w:r>
        <w:rPr>
          <w:rFonts w:ascii="宋体" w:hAnsi="宋体"/>
          <w:color w:val="000000"/>
        </w:rPr>
        <w:t>10、确定成交候选人</w:t>
      </w:r>
    </w:p>
    <w:p>
      <w:pPr>
        <w:widowControl w:val="0"/>
        <w:tabs>
          <w:tab w:val="left" w:pos="0"/>
          <w:tab w:val="left" w:pos="1080"/>
        </w:tabs>
        <w:spacing w:line="300" w:lineRule="auto"/>
        <w:ind w:firstLine="480" w:firstLineChars="200"/>
        <w:jc w:val="both"/>
        <w:rPr>
          <w:rFonts w:ascii="宋体" w:hAnsi="宋体"/>
          <w:color w:val="000000"/>
        </w:rPr>
      </w:pPr>
      <w:r>
        <w:rPr>
          <w:rFonts w:ascii="宋体" w:hAnsi="宋体"/>
          <w:color w:val="000000"/>
        </w:rPr>
        <w:t>10.1</w:t>
      </w:r>
      <w:r>
        <w:rPr>
          <w:rFonts w:hint="eastAsia" w:ascii="宋体" w:hAnsi="宋体"/>
          <w:color w:val="000000"/>
        </w:rPr>
        <w:t>采购代理机构应当在评审结束后</w:t>
      </w:r>
      <w:r>
        <w:rPr>
          <w:rFonts w:ascii="宋体" w:hAnsi="宋体"/>
          <w:color w:val="000000"/>
        </w:rPr>
        <w:t>2</w:t>
      </w:r>
      <w:r>
        <w:rPr>
          <w:rFonts w:hint="eastAsia" w:ascii="宋体" w:hAnsi="宋体"/>
          <w:color w:val="000000"/>
        </w:rPr>
        <w:t>个工作日内将评审报告送采购单位确认。</w:t>
      </w:r>
    </w:p>
    <w:p>
      <w:pPr>
        <w:widowControl w:val="0"/>
        <w:tabs>
          <w:tab w:val="left" w:pos="0"/>
          <w:tab w:val="left" w:pos="1080"/>
        </w:tabs>
        <w:spacing w:line="300" w:lineRule="auto"/>
        <w:ind w:firstLine="480" w:firstLineChars="200"/>
        <w:jc w:val="both"/>
        <w:rPr>
          <w:rFonts w:ascii="宋体" w:hAnsi="宋体"/>
          <w:color w:val="000000"/>
        </w:rPr>
      </w:pPr>
      <w:r>
        <w:rPr>
          <w:rFonts w:ascii="宋体" w:hAnsi="宋体"/>
          <w:color w:val="000000"/>
        </w:rPr>
        <w:t xml:space="preserve">10.2 </w:t>
      </w:r>
      <w:r>
        <w:rPr>
          <w:rFonts w:hint="eastAsia" w:ascii="宋体" w:hAnsi="宋体"/>
          <w:color w:val="000000"/>
        </w:rPr>
        <w:t>采购单位应当在收到评审报告后</w:t>
      </w:r>
      <w:r>
        <w:rPr>
          <w:rFonts w:ascii="宋体" w:hAnsi="宋体"/>
          <w:color w:val="000000"/>
        </w:rPr>
        <w:t>5</w:t>
      </w:r>
      <w:r>
        <w:rPr>
          <w:rFonts w:hint="eastAsia" w:ascii="宋体" w:hAnsi="宋体"/>
          <w:color w:val="000000"/>
        </w:rPr>
        <w:t>个工作日内，从评审报告提出的成交候选人中，按照排序从高到低的原则确定成交供应商。</w:t>
      </w:r>
    </w:p>
    <w:p>
      <w:pPr>
        <w:widowControl w:val="0"/>
        <w:tabs>
          <w:tab w:val="left" w:pos="0"/>
          <w:tab w:val="left" w:pos="1080"/>
        </w:tabs>
        <w:spacing w:line="300" w:lineRule="auto"/>
        <w:ind w:firstLine="480" w:firstLineChars="200"/>
        <w:jc w:val="both"/>
        <w:rPr>
          <w:rFonts w:ascii="宋体" w:hAnsi="宋体"/>
          <w:color w:val="000000"/>
        </w:rPr>
      </w:pPr>
      <w:r>
        <w:rPr>
          <w:rFonts w:ascii="宋体" w:hAnsi="宋体"/>
          <w:color w:val="000000"/>
        </w:rPr>
        <w:t>10.3</w:t>
      </w:r>
      <w:r>
        <w:rPr>
          <w:rFonts w:hint="eastAsia" w:ascii="宋体" w:hAnsi="宋体"/>
          <w:color w:val="000000"/>
        </w:rPr>
        <w:t>采购单位确定成交供应商过程中，发现成交候选供应商有下列情形之一的，将不予确定其为成交供应商：</w:t>
      </w:r>
    </w:p>
    <w:p>
      <w:pPr>
        <w:widowControl w:val="0"/>
        <w:tabs>
          <w:tab w:val="left" w:pos="0"/>
          <w:tab w:val="left" w:pos="1080"/>
        </w:tabs>
        <w:spacing w:line="300" w:lineRule="auto"/>
        <w:ind w:firstLine="480" w:firstLineChars="200"/>
        <w:jc w:val="both"/>
        <w:rPr>
          <w:rFonts w:ascii="宋体" w:hAnsi="宋体"/>
          <w:color w:val="000000"/>
        </w:rPr>
      </w:pPr>
      <w:r>
        <w:rPr>
          <w:rFonts w:hint="eastAsia" w:ascii="宋体" w:hAnsi="宋体"/>
          <w:color w:val="000000"/>
        </w:rPr>
        <w:t>（一）成交候选供应商存在违法、违纪行为的；</w:t>
      </w:r>
    </w:p>
    <w:p>
      <w:pPr>
        <w:widowControl w:val="0"/>
        <w:tabs>
          <w:tab w:val="left" w:pos="0"/>
          <w:tab w:val="left" w:pos="1080"/>
        </w:tabs>
        <w:spacing w:line="300" w:lineRule="auto"/>
        <w:ind w:firstLine="480" w:firstLineChars="200"/>
        <w:jc w:val="both"/>
        <w:rPr>
          <w:rFonts w:ascii="宋体" w:hAnsi="宋体"/>
          <w:color w:val="000000"/>
        </w:rPr>
      </w:pPr>
      <w:r>
        <w:rPr>
          <w:rFonts w:hint="eastAsia" w:ascii="宋体" w:hAnsi="宋体"/>
          <w:color w:val="000000"/>
        </w:rPr>
        <w:t>（二）成交候选供应商因不可抗力、社会经济形势发生重大变化、破产、重组等原因确定无法履行政府采购合同的；</w:t>
      </w:r>
    </w:p>
    <w:p>
      <w:pPr>
        <w:widowControl w:val="0"/>
        <w:tabs>
          <w:tab w:val="left" w:pos="0"/>
          <w:tab w:val="left" w:pos="1080"/>
        </w:tabs>
        <w:spacing w:line="300" w:lineRule="auto"/>
        <w:ind w:firstLine="480" w:firstLineChars="200"/>
        <w:jc w:val="both"/>
        <w:rPr>
          <w:rFonts w:ascii="宋体" w:hAnsi="宋体"/>
          <w:color w:val="000000"/>
        </w:rPr>
      </w:pPr>
      <w:r>
        <w:rPr>
          <w:rFonts w:hint="eastAsia" w:ascii="宋体" w:hAnsi="宋体"/>
          <w:color w:val="000000"/>
        </w:rPr>
        <w:t>（三）成交候选供应商书面自愿放弃成交，且无其他非法目的的。</w:t>
      </w:r>
    </w:p>
    <w:p>
      <w:pPr>
        <w:widowControl w:val="0"/>
        <w:tabs>
          <w:tab w:val="left" w:pos="0"/>
          <w:tab w:val="left" w:pos="1080"/>
        </w:tabs>
        <w:spacing w:line="300" w:lineRule="auto"/>
        <w:ind w:firstLine="480" w:firstLineChars="200"/>
        <w:jc w:val="both"/>
        <w:rPr>
          <w:rFonts w:ascii="宋体" w:hAnsi="宋体"/>
          <w:color w:val="000000"/>
        </w:rPr>
      </w:pPr>
      <w:r>
        <w:rPr>
          <w:rFonts w:hint="eastAsia" w:ascii="宋体" w:hAnsi="宋体"/>
          <w:color w:val="000000"/>
        </w:rPr>
        <w:t>成交候选供应商有本款情形之一的，采购单位将确定后一位成交候选供应商为成交供应商。依次类推。无法确定成交供应商的，采购单位将重新组织采购。</w:t>
      </w:r>
    </w:p>
    <w:p>
      <w:pPr>
        <w:widowControl w:val="0"/>
        <w:tabs>
          <w:tab w:val="left" w:pos="0"/>
          <w:tab w:val="left" w:pos="1080"/>
        </w:tabs>
        <w:spacing w:line="300" w:lineRule="auto"/>
        <w:ind w:firstLine="480" w:firstLineChars="200"/>
        <w:jc w:val="both"/>
        <w:rPr>
          <w:rFonts w:ascii="宋体" w:hAnsi="宋体"/>
          <w:color w:val="000000"/>
        </w:rPr>
      </w:pPr>
      <w:r>
        <w:rPr>
          <w:rFonts w:hint="eastAsia" w:ascii="宋体" w:hAnsi="宋体"/>
          <w:color w:val="000000"/>
        </w:rPr>
        <w:t>成交候选供应商以本款第（三）项放弃成交的，应当说明理由，但其磋商保证金将被没收。</w:t>
      </w:r>
    </w:p>
    <w:p>
      <w:pPr>
        <w:pStyle w:val="294"/>
        <w:ind w:firstLine="480"/>
        <w:rPr>
          <w:rFonts w:ascii="宋体" w:hAnsi="宋体"/>
          <w:color w:val="000000"/>
          <w:sz w:val="24"/>
        </w:rPr>
      </w:pPr>
      <w:r>
        <w:rPr>
          <w:rFonts w:ascii="宋体" w:hAnsi="宋体"/>
          <w:color w:val="000000"/>
          <w:sz w:val="24"/>
        </w:rPr>
        <w:t>11、成交通知书</w:t>
      </w:r>
    </w:p>
    <w:p>
      <w:pPr>
        <w:pStyle w:val="294"/>
        <w:ind w:firstLine="480"/>
        <w:rPr>
          <w:rFonts w:ascii="宋体" w:hAnsi="宋体"/>
          <w:color w:val="000000"/>
          <w:kern w:val="0"/>
          <w:sz w:val="24"/>
        </w:rPr>
      </w:pPr>
      <w:r>
        <w:rPr>
          <w:rFonts w:hint="eastAsia" w:ascii="宋体" w:hAnsi="宋体"/>
          <w:color w:val="000000"/>
          <w:sz w:val="24"/>
        </w:rPr>
        <w:t>采购代理机构在成交供应商确定后</w:t>
      </w:r>
      <w:r>
        <w:rPr>
          <w:rFonts w:ascii="宋体" w:hAnsi="宋体"/>
          <w:color w:val="000000"/>
          <w:sz w:val="24"/>
        </w:rPr>
        <w:t>2</w:t>
      </w:r>
      <w:r>
        <w:rPr>
          <w:rFonts w:hint="eastAsia" w:ascii="宋体" w:hAnsi="宋体"/>
          <w:color w:val="000000"/>
          <w:sz w:val="24"/>
        </w:rPr>
        <w:t>个工作日内，在</w:t>
      </w:r>
      <w:r>
        <w:rPr>
          <w:rFonts w:hint="eastAsia" w:ascii="宋体" w:hAnsi="宋体"/>
          <w:color w:val="000000"/>
          <w:kern w:val="0"/>
          <w:sz w:val="24"/>
        </w:rPr>
        <w:t>青海政府采购网上公告成交结果，同时向成交供应商发出成交通知书。</w:t>
      </w:r>
    </w:p>
    <w:p>
      <w:pPr>
        <w:spacing w:line="300" w:lineRule="auto"/>
        <w:ind w:firstLine="480" w:firstLineChars="200"/>
        <w:rPr>
          <w:rFonts w:ascii="宋体" w:hAnsi="宋体"/>
          <w:color w:val="000000"/>
        </w:rPr>
      </w:pPr>
      <w:r>
        <w:rPr>
          <w:rFonts w:ascii="宋体" w:hAnsi="宋体"/>
          <w:color w:val="000000"/>
        </w:rPr>
        <w:t>12、签订合同</w:t>
      </w:r>
    </w:p>
    <w:p>
      <w:pPr>
        <w:pStyle w:val="294"/>
        <w:ind w:firstLine="480"/>
        <w:rPr>
          <w:rFonts w:ascii="宋体" w:hAnsi="宋体"/>
          <w:color w:val="000000"/>
          <w:sz w:val="24"/>
        </w:rPr>
      </w:pPr>
      <w:r>
        <w:rPr>
          <w:rFonts w:ascii="宋体" w:hAnsi="宋体"/>
          <w:color w:val="000000"/>
          <w:sz w:val="24"/>
        </w:rPr>
        <w:t>12.1成交供应商应在领取成交通知书后30日内，按照磋商文件、响应文件以及磋商过程中确定的事项与采购单位签订采购合同。</w:t>
      </w:r>
    </w:p>
    <w:p>
      <w:pPr>
        <w:pStyle w:val="294"/>
        <w:ind w:firstLine="480"/>
        <w:rPr>
          <w:rFonts w:ascii="宋体" w:hAnsi="宋体"/>
          <w:color w:val="000000"/>
          <w:sz w:val="24"/>
        </w:rPr>
      </w:pPr>
      <w:r>
        <w:rPr>
          <w:rFonts w:ascii="宋体" w:hAnsi="宋体"/>
          <w:color w:val="000000"/>
          <w:sz w:val="24"/>
        </w:rPr>
        <w:t>12.2竞争性磋商文件、供应商提交的响应文件、磋商中的最终报价、供应商承诺书、成交通知书等均成为有法律约束力的合同的组成内容。</w:t>
      </w:r>
    </w:p>
    <w:p>
      <w:pPr>
        <w:pStyle w:val="294"/>
        <w:ind w:firstLine="482"/>
        <w:rPr>
          <w:rFonts w:ascii="宋体" w:hAnsi="宋体"/>
          <w:color w:val="000000"/>
          <w:sz w:val="24"/>
        </w:rPr>
      </w:pPr>
      <w:r>
        <w:rPr>
          <w:rFonts w:hint="eastAsia" w:ascii="宋体" w:hAnsi="宋体"/>
          <w:b w:val="0"/>
          <w:bCs/>
          <w:color w:val="000000"/>
          <w:sz w:val="24"/>
        </w:rPr>
        <w:t>13、成交服务费：</w:t>
      </w:r>
      <w:r>
        <w:rPr>
          <w:rFonts w:hint="eastAsia" w:ascii="宋体" w:hAnsi="宋体"/>
          <w:b w:val="0"/>
          <w:bCs/>
          <w:color w:val="auto"/>
          <w:sz w:val="24"/>
          <w:lang w:val="en-US" w:eastAsia="zh-CN"/>
        </w:rPr>
        <w:t>18000</w:t>
      </w:r>
      <w:r>
        <w:rPr>
          <w:rFonts w:hint="eastAsia" w:ascii="宋体" w:hAnsi="宋体"/>
          <w:b w:val="0"/>
          <w:bCs/>
          <w:color w:val="auto"/>
          <w:sz w:val="24"/>
        </w:rPr>
        <w:t>元</w:t>
      </w:r>
      <w:r>
        <w:rPr>
          <w:rFonts w:hint="eastAsia" w:ascii="宋体" w:hAnsi="宋体"/>
          <w:b w:val="0"/>
          <w:bCs/>
          <w:color w:val="auto"/>
          <w:sz w:val="24"/>
          <w:lang w:eastAsia="zh-CN"/>
        </w:rPr>
        <w:t>（</w:t>
      </w:r>
      <w:r>
        <w:rPr>
          <w:rFonts w:hint="eastAsia" w:ascii="宋体" w:hAnsi="宋体"/>
          <w:b w:val="0"/>
          <w:bCs/>
          <w:color w:val="auto"/>
          <w:sz w:val="24"/>
          <w:lang w:val="en-US" w:eastAsia="zh-CN"/>
        </w:rPr>
        <w:t>壹万捌仟元整</w:t>
      </w:r>
      <w:r>
        <w:rPr>
          <w:rFonts w:hint="eastAsia" w:ascii="宋体" w:hAnsi="宋体"/>
          <w:b w:val="0"/>
          <w:bCs/>
          <w:color w:val="auto"/>
          <w:sz w:val="24"/>
          <w:lang w:eastAsia="zh-CN"/>
        </w:rPr>
        <w:t>）</w:t>
      </w:r>
      <w:r>
        <w:rPr>
          <w:rFonts w:hint="eastAsia" w:ascii="宋体" w:hAnsi="宋体"/>
          <w:b w:val="0"/>
          <w:bCs/>
          <w:color w:val="auto"/>
          <w:sz w:val="24"/>
        </w:rPr>
        <w:t>。</w:t>
      </w:r>
      <w:r>
        <w:rPr>
          <w:rFonts w:hint="eastAsia" w:ascii="宋体" w:hAnsi="宋体"/>
          <w:color w:val="000000"/>
          <w:sz w:val="24"/>
        </w:rPr>
        <w:t>在合同签订前由成交人向采购代理机构交纳。如供应商报名参加本项目投标，则视同完全响应此项要求。</w:t>
      </w:r>
    </w:p>
    <w:p>
      <w:pPr>
        <w:pStyle w:val="294"/>
        <w:ind w:firstLine="480"/>
        <w:rPr>
          <w:rFonts w:hint="default" w:ascii="宋体" w:hAnsi="宋体"/>
          <w:b w:val="0"/>
          <w:bCs w:val="0"/>
          <w:color w:val="auto"/>
          <w:sz w:val="24"/>
          <w:lang w:val="en-US"/>
        </w:rPr>
      </w:pPr>
      <w:r>
        <w:rPr>
          <w:rFonts w:hint="eastAsia" w:ascii="宋体" w:hAnsi="宋体"/>
          <w:color w:val="000000"/>
          <w:sz w:val="24"/>
        </w:rPr>
        <w:t>14、磋商有效期：</w:t>
      </w:r>
      <w:r>
        <w:rPr>
          <w:rFonts w:hint="eastAsia" w:ascii="宋体" w:hAnsi="宋体"/>
          <w:b w:val="0"/>
          <w:bCs w:val="0"/>
          <w:color w:val="auto"/>
          <w:sz w:val="24"/>
          <w:lang w:val="en-US" w:eastAsia="zh-CN"/>
        </w:rPr>
        <w:t>60天。</w:t>
      </w:r>
    </w:p>
    <w:p>
      <w:pPr>
        <w:pStyle w:val="294"/>
        <w:ind w:firstLine="480"/>
        <w:rPr>
          <w:rFonts w:ascii="宋体" w:hAnsi="宋体"/>
          <w:color w:val="000000"/>
          <w:sz w:val="24"/>
        </w:rPr>
      </w:pPr>
      <w:r>
        <w:rPr>
          <w:rFonts w:hint="eastAsia" w:ascii="宋体" w:hAnsi="宋体"/>
          <w:color w:val="000000"/>
          <w:sz w:val="24"/>
        </w:rPr>
        <w:t>15、国家规定的强制采购范围：本项目采购需求中涉及国家规定的强制采购范围内产品的，报价</w:t>
      </w:r>
      <w:r>
        <w:rPr>
          <w:rFonts w:ascii="宋体" w:hAnsi="宋体"/>
          <w:color w:val="000000"/>
          <w:sz w:val="24"/>
        </w:rPr>
        <w:t>产品</w:t>
      </w:r>
      <w:r>
        <w:rPr>
          <w:rFonts w:hint="eastAsia" w:ascii="宋体" w:hAnsi="宋体"/>
          <w:color w:val="000000"/>
          <w:sz w:val="24"/>
        </w:rPr>
        <w:t>均应符合国家相关要求。</w:t>
      </w:r>
    </w:p>
    <w:p>
      <w:pPr>
        <w:pStyle w:val="294"/>
        <w:ind w:firstLine="480"/>
        <w:rPr>
          <w:rFonts w:ascii="宋体" w:hAnsi="宋体"/>
          <w:color w:val="000000"/>
          <w:sz w:val="24"/>
        </w:rPr>
      </w:pPr>
      <w:r>
        <w:rPr>
          <w:rFonts w:hint="eastAsia" w:ascii="宋体" w:hAnsi="宋体"/>
          <w:color w:val="000000"/>
          <w:sz w:val="24"/>
        </w:rPr>
        <w:t>16、节能、环境标志、无线局域网产品：响应产品中属于节能产品或者环境标志产品或者无线局域网产品政府采购清单中的产品的，报价相同且得分相同的情况下优先采购（提供产品对应的清单复印件，以《中国政府采购网》最新颁布清单为准）。</w:t>
      </w:r>
      <w:r>
        <w:rPr>
          <w:rFonts w:ascii="宋体" w:hAnsi="宋体"/>
          <w:color w:val="000000"/>
          <w:sz w:val="24"/>
        </w:rPr>
        <w:t xml:space="preserve"> </w:t>
      </w:r>
      <w:r>
        <w:rPr>
          <w:rFonts w:ascii="宋体" w:hAnsi="宋体"/>
          <w:color w:val="000000"/>
          <w:sz w:val="24"/>
        </w:rPr>
        <w:br w:type="page"/>
      </w:r>
    </w:p>
    <w:p>
      <w:pPr>
        <w:pStyle w:val="6"/>
        <w:numPr>
          <w:ilvl w:val="0"/>
          <w:numId w:val="0"/>
        </w:numPr>
        <w:rPr>
          <w:rFonts w:ascii="宋体" w:hAnsi="宋体" w:eastAsia="宋体"/>
          <w:sz w:val="28"/>
          <w:szCs w:val="28"/>
        </w:rPr>
      </w:pPr>
      <w:bookmarkStart w:id="5" w:name="_Toc4215"/>
      <w:r>
        <w:rPr>
          <w:rFonts w:ascii="宋体" w:hAnsi="宋体" w:eastAsia="宋体"/>
          <w:sz w:val="28"/>
          <w:szCs w:val="28"/>
        </w:rPr>
        <w:t>第三章  供应商资格证明文件</w:t>
      </w:r>
      <w:bookmarkEnd w:id="5"/>
    </w:p>
    <w:p>
      <w:pPr>
        <w:spacing w:line="360" w:lineRule="auto"/>
        <w:ind w:firstLine="463" w:firstLineChars="192"/>
        <w:jc w:val="both"/>
        <w:rPr>
          <w:rFonts w:ascii="宋体" w:hAnsi="宋体"/>
          <w:b/>
          <w:color w:val="000000"/>
        </w:rPr>
      </w:pPr>
      <w:r>
        <w:rPr>
          <w:rFonts w:ascii="宋体" w:hAnsi="宋体"/>
          <w:b/>
          <w:color w:val="000000"/>
        </w:rPr>
        <w:t>一、供应商应提交的资格证明材料</w:t>
      </w:r>
    </w:p>
    <w:p>
      <w:pPr>
        <w:spacing w:line="360" w:lineRule="auto"/>
        <w:ind w:firstLine="460" w:firstLineChars="192"/>
        <w:jc w:val="both"/>
        <w:rPr>
          <w:rFonts w:ascii="宋体" w:hAnsi="宋体"/>
          <w:color w:val="auto"/>
          <w:szCs w:val="21"/>
        </w:rPr>
      </w:pPr>
      <w:r>
        <w:rPr>
          <w:rFonts w:hint="eastAsia" w:ascii="宋体" w:hAnsi="宋体"/>
          <w:color w:val="auto"/>
          <w:szCs w:val="21"/>
        </w:rPr>
        <w:t>（1）营业执照副本复印件 （注：①在有效期内；②具有独立承担民事责任的能力；③复印件加盖公章。）。</w:t>
      </w:r>
    </w:p>
    <w:p>
      <w:pPr>
        <w:spacing w:line="360" w:lineRule="auto"/>
        <w:ind w:firstLine="460" w:firstLineChars="192"/>
        <w:jc w:val="both"/>
        <w:rPr>
          <w:rFonts w:ascii="宋体" w:hAnsi="宋体"/>
          <w:color w:val="auto"/>
          <w:szCs w:val="21"/>
        </w:rPr>
      </w:pPr>
      <w:r>
        <w:rPr>
          <w:rFonts w:hint="eastAsia" w:ascii="宋体" w:hAnsi="宋体"/>
          <w:color w:val="auto"/>
          <w:szCs w:val="21"/>
        </w:rPr>
        <w:t>（2）组织机构代码证副本复印件（注：①发证机关有年检要求的，应按规定通过年检；②在有效期内；③复印件加盖公章。）。</w:t>
      </w:r>
    </w:p>
    <w:p>
      <w:pPr>
        <w:spacing w:line="360" w:lineRule="auto"/>
        <w:ind w:firstLine="460" w:firstLineChars="192"/>
        <w:jc w:val="both"/>
        <w:rPr>
          <w:rFonts w:ascii="宋体" w:hAnsi="宋体"/>
          <w:color w:val="auto"/>
          <w:szCs w:val="21"/>
        </w:rPr>
      </w:pPr>
      <w:r>
        <w:rPr>
          <w:rFonts w:hint="eastAsia" w:ascii="宋体" w:hAnsi="宋体"/>
          <w:color w:val="auto"/>
          <w:szCs w:val="21"/>
        </w:rPr>
        <w:t>（3）税务登记证副本复印件（注：①在有效期内；②复印件加盖公章。）。</w:t>
      </w:r>
    </w:p>
    <w:p>
      <w:pPr>
        <w:spacing w:line="360" w:lineRule="auto"/>
        <w:ind w:firstLine="460" w:firstLineChars="192"/>
        <w:jc w:val="both"/>
        <w:rPr>
          <w:rFonts w:ascii="宋体" w:hAnsi="宋体"/>
          <w:color w:val="auto"/>
          <w:szCs w:val="21"/>
        </w:rPr>
      </w:pPr>
      <w:r>
        <w:rPr>
          <w:rFonts w:hint="eastAsia" w:ascii="宋体" w:hAnsi="宋体"/>
          <w:color w:val="auto"/>
          <w:szCs w:val="21"/>
        </w:rPr>
        <w:t>（4）以上三证（营业执照、组织机构代码证、税务登记证）合一的提供新证副本复印件加盖公章。</w:t>
      </w:r>
    </w:p>
    <w:p>
      <w:pPr>
        <w:spacing w:line="360" w:lineRule="auto"/>
        <w:ind w:firstLine="460" w:firstLineChars="192"/>
        <w:jc w:val="both"/>
        <w:rPr>
          <w:rFonts w:ascii="宋体" w:hAnsi="宋体"/>
          <w:color w:val="auto"/>
          <w:szCs w:val="21"/>
        </w:rPr>
      </w:pPr>
      <w:r>
        <w:rPr>
          <w:rFonts w:hint="eastAsia" w:ascii="宋体" w:hAnsi="宋体"/>
          <w:color w:val="auto"/>
          <w:szCs w:val="21"/>
        </w:rPr>
        <w:t>（5）具有良好的财务会计制度（提供第三方出具的2</w:t>
      </w:r>
      <w:r>
        <w:rPr>
          <w:rFonts w:ascii="宋体" w:hAnsi="宋体"/>
          <w:color w:val="auto"/>
          <w:szCs w:val="21"/>
        </w:rPr>
        <w:t>01</w:t>
      </w:r>
      <w:r>
        <w:rPr>
          <w:rFonts w:hint="eastAsia" w:ascii="宋体" w:hAnsi="宋体"/>
          <w:color w:val="auto"/>
          <w:szCs w:val="21"/>
          <w:lang w:val="en-US" w:eastAsia="zh-CN"/>
        </w:rPr>
        <w:t>9</w:t>
      </w:r>
      <w:r>
        <w:rPr>
          <w:rFonts w:hint="eastAsia" w:ascii="宋体" w:hAnsi="宋体"/>
          <w:color w:val="auto"/>
          <w:szCs w:val="21"/>
        </w:rPr>
        <w:t>年度财务审计报告，</w:t>
      </w:r>
      <w:r>
        <w:rPr>
          <w:rFonts w:hint="eastAsia" w:ascii="宋体" w:hAnsi="宋体"/>
          <w:color w:val="auto"/>
          <w:szCs w:val="21"/>
          <w:lang w:val="en-US" w:eastAsia="zh-CN"/>
        </w:rPr>
        <w:t>包括三表一附注及有效的编制和审核人员的职业证书，</w:t>
      </w:r>
      <w:r>
        <w:rPr>
          <w:rFonts w:hint="eastAsia" w:ascii="宋体" w:hAnsi="宋体"/>
          <w:color w:val="auto"/>
          <w:szCs w:val="21"/>
        </w:rPr>
        <w:t>注册未满一年的供应商可提供公司章程）；</w:t>
      </w:r>
    </w:p>
    <w:p>
      <w:pPr>
        <w:spacing w:line="360" w:lineRule="auto"/>
        <w:ind w:firstLine="460" w:firstLineChars="192"/>
        <w:jc w:val="both"/>
        <w:rPr>
          <w:rFonts w:ascii="宋体" w:hAnsi="宋体"/>
          <w:color w:val="auto"/>
          <w:szCs w:val="21"/>
        </w:rPr>
      </w:pPr>
      <w:r>
        <w:rPr>
          <w:rFonts w:hint="eastAsia" w:ascii="宋体" w:hAnsi="宋体"/>
          <w:color w:val="auto"/>
          <w:szCs w:val="21"/>
        </w:rPr>
        <w:t>（6）有依法缴纳税收和社会保障资金的良好记录（提供</w:t>
      </w:r>
      <w:r>
        <w:rPr>
          <w:rFonts w:hint="eastAsia" w:ascii="宋体" w:hAnsi="宋体"/>
          <w:color w:val="auto"/>
          <w:szCs w:val="21"/>
          <w:lang w:val="en-US" w:eastAsia="zh-CN"/>
        </w:rPr>
        <w:t>近</w:t>
      </w:r>
      <w:r>
        <w:rPr>
          <w:rFonts w:hint="eastAsia" w:ascii="宋体" w:hAnsi="宋体"/>
          <w:color w:val="auto"/>
          <w:szCs w:val="21"/>
        </w:rPr>
        <w:t>三个月的缴纳税收和社保凭证），不能提供的应提供证明材料。</w:t>
      </w:r>
    </w:p>
    <w:p>
      <w:pPr>
        <w:spacing w:line="360" w:lineRule="auto"/>
        <w:ind w:firstLine="460" w:firstLineChars="192"/>
        <w:jc w:val="both"/>
        <w:rPr>
          <w:rFonts w:ascii="宋体" w:hAnsi="宋体"/>
          <w:color w:val="auto"/>
          <w:szCs w:val="21"/>
        </w:rPr>
      </w:pPr>
      <w:r>
        <w:rPr>
          <w:rFonts w:hint="eastAsia" w:ascii="宋体" w:hAnsi="宋体"/>
          <w:color w:val="auto"/>
          <w:szCs w:val="21"/>
        </w:rPr>
        <w:t>（7）具备履行合同所必需的设备和专业技术能力的证明材料（提供承诺函）。</w:t>
      </w:r>
    </w:p>
    <w:p>
      <w:pPr>
        <w:spacing w:line="360" w:lineRule="auto"/>
        <w:ind w:firstLine="460" w:firstLineChars="192"/>
        <w:jc w:val="both"/>
        <w:rPr>
          <w:rFonts w:ascii="宋体" w:hAnsi="宋体"/>
          <w:color w:val="auto"/>
          <w:szCs w:val="21"/>
        </w:rPr>
      </w:pPr>
      <w:r>
        <w:rPr>
          <w:rFonts w:hint="eastAsia" w:ascii="宋体" w:hAnsi="宋体"/>
          <w:color w:val="auto"/>
          <w:szCs w:val="21"/>
        </w:rPr>
        <w:t>（8）参加政府采购活动前三年内（201</w:t>
      </w:r>
      <w:r>
        <w:rPr>
          <w:rFonts w:hint="eastAsia" w:ascii="宋体" w:hAnsi="宋体"/>
          <w:color w:val="auto"/>
          <w:szCs w:val="21"/>
          <w:lang w:val="en-US" w:eastAsia="zh-CN"/>
        </w:rPr>
        <w:t>7</w:t>
      </w:r>
      <w:r>
        <w:rPr>
          <w:rFonts w:hint="eastAsia" w:ascii="宋体" w:hAnsi="宋体"/>
          <w:color w:val="auto"/>
          <w:szCs w:val="21"/>
        </w:rPr>
        <w:t>年至今）在经营活动中没有重大违法记录（提供承诺函）。</w:t>
      </w:r>
    </w:p>
    <w:p>
      <w:pPr>
        <w:spacing w:line="360" w:lineRule="auto"/>
        <w:ind w:firstLine="460" w:firstLineChars="192"/>
        <w:jc w:val="both"/>
        <w:rPr>
          <w:rFonts w:ascii="宋体" w:hAnsi="宋体"/>
          <w:color w:val="auto"/>
          <w:szCs w:val="21"/>
        </w:rPr>
      </w:pPr>
      <w:r>
        <w:rPr>
          <w:rFonts w:hint="eastAsia" w:ascii="宋体" w:hAnsi="宋体"/>
          <w:color w:val="auto"/>
          <w:szCs w:val="21"/>
        </w:rPr>
        <w:t>（9）法定代表人授权书原件（①附法定代表人身份证明文件复印件；②法定代表人参与磋商时不需要提供）。</w:t>
      </w:r>
    </w:p>
    <w:p>
      <w:pPr>
        <w:spacing w:line="360" w:lineRule="auto"/>
        <w:ind w:firstLine="460" w:firstLineChars="192"/>
        <w:jc w:val="both"/>
        <w:rPr>
          <w:rFonts w:ascii="宋体" w:hAnsi="宋体"/>
          <w:color w:val="auto"/>
          <w:szCs w:val="21"/>
        </w:rPr>
      </w:pPr>
      <w:r>
        <w:rPr>
          <w:rFonts w:hint="eastAsia" w:ascii="宋体" w:hAnsi="宋体"/>
          <w:color w:val="auto"/>
          <w:szCs w:val="21"/>
        </w:rPr>
        <w:t>（10）被委托代理人的身份证明文件复印件。</w:t>
      </w:r>
    </w:p>
    <w:p>
      <w:pPr>
        <w:spacing w:line="360" w:lineRule="auto"/>
        <w:ind w:firstLine="460" w:firstLineChars="192"/>
        <w:jc w:val="both"/>
        <w:rPr>
          <w:rFonts w:ascii="宋体" w:hAnsi="宋体"/>
          <w:color w:val="auto"/>
          <w:szCs w:val="21"/>
        </w:rPr>
      </w:pPr>
      <w:r>
        <w:rPr>
          <w:rFonts w:hint="eastAsia" w:ascii="宋体" w:hAnsi="宋体"/>
          <w:color w:val="auto"/>
          <w:szCs w:val="21"/>
        </w:rPr>
        <w:t>（11）磋商保证金缴纳凭证。</w:t>
      </w:r>
    </w:p>
    <w:p>
      <w:pPr>
        <w:spacing w:line="360" w:lineRule="auto"/>
        <w:ind w:firstLine="460" w:firstLineChars="192"/>
        <w:jc w:val="both"/>
        <w:rPr>
          <w:rFonts w:ascii="宋体" w:hAnsi="宋体"/>
          <w:color w:val="auto"/>
          <w:szCs w:val="21"/>
        </w:rPr>
      </w:pPr>
      <w:r>
        <w:rPr>
          <w:rFonts w:hint="eastAsia" w:ascii="宋体" w:hAnsi="宋体"/>
          <w:color w:val="auto"/>
          <w:szCs w:val="21"/>
        </w:rPr>
        <w:t>（1</w:t>
      </w:r>
      <w:r>
        <w:rPr>
          <w:rFonts w:ascii="宋体" w:hAnsi="宋体"/>
          <w:color w:val="auto"/>
          <w:szCs w:val="21"/>
        </w:rPr>
        <w:t>2</w:t>
      </w:r>
      <w:r>
        <w:rPr>
          <w:rFonts w:hint="eastAsia" w:ascii="宋体" w:hAnsi="宋体"/>
          <w:color w:val="auto"/>
          <w:szCs w:val="21"/>
        </w:rPr>
        <w:t>）</w:t>
      </w:r>
      <w:r>
        <w:rPr>
          <w:rFonts w:hint="eastAsia" w:ascii="宋体" w:hAnsi="宋体" w:cs="仿宋"/>
          <w:color w:val="auto"/>
        </w:rPr>
        <w:t>供应商具备</w:t>
      </w:r>
      <w:r>
        <w:rPr>
          <w:rFonts w:hint="eastAsia" w:ascii="宋体" w:hAnsi="宋体" w:cs="宋体"/>
          <w:color w:val="auto"/>
          <w:sz w:val="24"/>
          <w:lang w:eastAsia="zh-CN"/>
        </w:rPr>
        <w:t>建筑工程专业</w:t>
      </w:r>
      <w:r>
        <w:rPr>
          <w:rFonts w:hint="eastAsia" w:ascii="宋体" w:hAnsi="宋体" w:cs="仿宋"/>
          <w:color w:val="auto"/>
        </w:rPr>
        <w:t>三级（含三级）及以上资质</w:t>
      </w:r>
      <w:r>
        <w:rPr>
          <w:rFonts w:hint="eastAsia" w:ascii="宋体" w:hAnsi="宋体"/>
          <w:color w:val="auto"/>
          <w:szCs w:val="21"/>
        </w:rPr>
        <w:t>；</w:t>
      </w:r>
    </w:p>
    <w:p>
      <w:pPr>
        <w:spacing w:line="360" w:lineRule="auto"/>
        <w:ind w:firstLine="460" w:firstLineChars="192"/>
        <w:jc w:val="both"/>
        <w:rPr>
          <w:rFonts w:ascii="宋体" w:hAnsi="宋体"/>
          <w:color w:val="auto"/>
          <w:szCs w:val="21"/>
        </w:rPr>
      </w:pPr>
      <w:r>
        <w:rPr>
          <w:rFonts w:hint="eastAsia" w:ascii="宋体" w:hAnsi="宋体"/>
          <w:color w:val="auto"/>
          <w:szCs w:val="21"/>
        </w:rPr>
        <w:t>（13）具有有效地安全生产许可证；</w:t>
      </w:r>
    </w:p>
    <w:p>
      <w:pPr>
        <w:spacing w:line="360" w:lineRule="auto"/>
        <w:ind w:firstLine="460" w:firstLineChars="192"/>
        <w:jc w:val="both"/>
        <w:rPr>
          <w:rFonts w:ascii="宋体" w:hAnsi="宋体"/>
          <w:color w:val="auto"/>
          <w:szCs w:val="21"/>
        </w:rPr>
      </w:pPr>
      <w:r>
        <w:rPr>
          <w:rFonts w:hint="eastAsia" w:ascii="宋体" w:hAnsi="宋体"/>
          <w:color w:val="auto"/>
          <w:szCs w:val="21"/>
        </w:rPr>
        <w:t>（1</w:t>
      </w:r>
      <w:r>
        <w:rPr>
          <w:rFonts w:ascii="宋体" w:hAnsi="宋体"/>
          <w:color w:val="auto"/>
          <w:szCs w:val="21"/>
        </w:rPr>
        <w:t>4</w:t>
      </w:r>
      <w:r>
        <w:rPr>
          <w:rFonts w:hint="eastAsia" w:ascii="宋体" w:hAnsi="宋体"/>
          <w:color w:val="auto"/>
          <w:szCs w:val="21"/>
        </w:rPr>
        <w:t>）</w:t>
      </w:r>
      <w:r>
        <w:rPr>
          <w:rFonts w:hint="eastAsia" w:ascii="宋体" w:hAnsi="宋体" w:cs="仿宋"/>
          <w:color w:val="auto"/>
        </w:rPr>
        <w:t>本项目的项目经理具有</w:t>
      </w:r>
      <w:r>
        <w:rPr>
          <w:rFonts w:hint="eastAsia" w:ascii="宋体" w:hAnsi="宋体" w:cs="宋体"/>
          <w:color w:val="auto"/>
          <w:sz w:val="24"/>
          <w:lang w:eastAsia="zh-CN"/>
        </w:rPr>
        <w:t>建筑工程专业</w:t>
      </w:r>
      <w:r>
        <w:rPr>
          <w:rFonts w:hint="eastAsia" w:ascii="宋体" w:hAnsi="宋体" w:cs="仿宋"/>
          <w:color w:val="auto"/>
        </w:rPr>
        <w:t>专业贰级（含）及以上注册建造师资格；（提供建造师执业证、注册证、安全考核合格证书）</w:t>
      </w:r>
      <w:r>
        <w:rPr>
          <w:rFonts w:hint="eastAsia" w:ascii="宋体" w:hAnsi="宋体"/>
          <w:color w:val="auto"/>
          <w:szCs w:val="21"/>
        </w:rPr>
        <w:t>；</w:t>
      </w:r>
    </w:p>
    <w:p>
      <w:pPr>
        <w:spacing w:line="360" w:lineRule="auto"/>
        <w:ind w:firstLine="460" w:firstLineChars="192"/>
        <w:jc w:val="both"/>
        <w:rPr>
          <w:rFonts w:ascii="宋体" w:hAnsi="宋体"/>
          <w:color w:val="auto"/>
          <w:szCs w:val="21"/>
        </w:rPr>
      </w:pPr>
      <w:r>
        <w:rPr>
          <w:rFonts w:hint="eastAsia" w:ascii="宋体" w:hAnsi="宋体"/>
          <w:color w:val="auto"/>
          <w:szCs w:val="21"/>
        </w:rPr>
        <w:t>（1</w:t>
      </w:r>
      <w:r>
        <w:rPr>
          <w:rFonts w:ascii="宋体" w:hAnsi="宋体"/>
          <w:color w:val="auto"/>
          <w:szCs w:val="21"/>
        </w:rPr>
        <w:t>5</w:t>
      </w:r>
      <w:r>
        <w:rPr>
          <w:rFonts w:hint="eastAsia" w:ascii="宋体" w:hAnsi="宋体"/>
          <w:color w:val="auto"/>
          <w:szCs w:val="21"/>
        </w:rPr>
        <w:t>）省外供应商须提供进青登记相关证明材料；</w:t>
      </w:r>
    </w:p>
    <w:p>
      <w:pPr>
        <w:spacing w:line="360" w:lineRule="auto"/>
        <w:ind w:firstLine="460" w:firstLineChars="192"/>
        <w:jc w:val="both"/>
        <w:rPr>
          <w:rFonts w:ascii="宋体" w:hAnsi="宋体"/>
          <w:color w:val="auto"/>
          <w:szCs w:val="21"/>
        </w:rPr>
      </w:pPr>
      <w:r>
        <w:rPr>
          <w:rFonts w:hint="eastAsia" w:ascii="宋体" w:hAnsi="宋体"/>
          <w:color w:val="auto"/>
          <w:szCs w:val="21"/>
        </w:rPr>
        <w:t>（1</w:t>
      </w:r>
      <w:r>
        <w:rPr>
          <w:rFonts w:ascii="宋体" w:hAnsi="宋体"/>
          <w:color w:val="auto"/>
          <w:szCs w:val="21"/>
        </w:rPr>
        <w:t>6</w:t>
      </w:r>
      <w:r>
        <w:rPr>
          <w:rFonts w:hint="eastAsia" w:ascii="宋体" w:hAnsi="宋体"/>
          <w:color w:val="auto"/>
          <w:szCs w:val="21"/>
        </w:rPr>
        <w:t>）本次采购活动不接受联合体磋商；</w:t>
      </w:r>
    </w:p>
    <w:p>
      <w:pPr>
        <w:spacing w:line="360" w:lineRule="auto"/>
        <w:ind w:firstLine="460" w:firstLineChars="192"/>
        <w:rPr>
          <w:rFonts w:ascii="宋体" w:hAnsi="宋体"/>
          <w:color w:val="auto"/>
          <w:szCs w:val="21"/>
        </w:rPr>
      </w:pPr>
      <w:r>
        <w:rPr>
          <w:rFonts w:hint="eastAsia" w:ascii="宋体" w:hAnsi="宋体"/>
          <w:color w:val="auto"/>
          <w:szCs w:val="21"/>
        </w:rPr>
        <w:t>（1</w:t>
      </w:r>
      <w:r>
        <w:rPr>
          <w:rFonts w:ascii="宋体" w:hAnsi="宋体"/>
          <w:color w:val="auto"/>
          <w:szCs w:val="21"/>
        </w:rPr>
        <w:t>7</w:t>
      </w:r>
      <w:r>
        <w:rPr>
          <w:rFonts w:hint="eastAsia" w:ascii="宋体" w:hAnsi="宋体"/>
          <w:color w:val="auto"/>
          <w:szCs w:val="21"/>
        </w:rPr>
        <w:t>）经信用中国（www.creditchina.gov.cn）、中国政府采购网（www.ccgp.gov.cn）等渠道查询后，列入失信被执行人、重大税收违法案件当事人名单、政府采购严重违法失信行为记录名单的，取消投标资格。（提供“信用中国”网站无任何不良记录的查询截图，时间为投标截止时间前</w:t>
      </w:r>
      <w:r>
        <w:rPr>
          <w:rFonts w:ascii="宋体" w:hAnsi="宋体"/>
          <w:color w:val="auto"/>
          <w:szCs w:val="21"/>
        </w:rPr>
        <w:t>1</w:t>
      </w:r>
      <w:r>
        <w:rPr>
          <w:rFonts w:hint="eastAsia" w:ascii="宋体" w:hAnsi="宋体"/>
          <w:color w:val="auto"/>
          <w:szCs w:val="21"/>
        </w:rPr>
        <w:t>0天内）</w:t>
      </w:r>
    </w:p>
    <w:p>
      <w:pPr>
        <w:spacing w:line="360" w:lineRule="auto"/>
        <w:ind w:firstLine="460" w:firstLineChars="192"/>
        <w:jc w:val="both"/>
        <w:rPr>
          <w:rFonts w:ascii="宋体" w:hAnsi="宋体"/>
          <w:szCs w:val="21"/>
        </w:rPr>
      </w:pPr>
      <w:r>
        <w:rPr>
          <w:rFonts w:ascii="宋体" w:hAnsi="宋体"/>
          <w:szCs w:val="21"/>
        </w:rPr>
        <w:t>说明：</w:t>
      </w:r>
    </w:p>
    <w:p>
      <w:pPr>
        <w:spacing w:line="360" w:lineRule="auto"/>
        <w:ind w:firstLine="463" w:firstLineChars="192"/>
        <w:jc w:val="both"/>
        <w:rPr>
          <w:rFonts w:ascii="宋体" w:hAnsi="宋体"/>
          <w:b/>
          <w:color w:val="000000"/>
          <w:szCs w:val="21"/>
          <w:u w:val="single"/>
        </w:rPr>
      </w:pPr>
      <w:r>
        <w:rPr>
          <w:rFonts w:ascii="宋体" w:hAnsi="宋体"/>
          <w:b/>
          <w:color w:val="000000"/>
          <w:szCs w:val="21"/>
        </w:rPr>
        <w:t xml:space="preserve">1）确定参加磋商的供应商数量采用合格制，即磋商小组对各供应商资格性审查和符合性审查后，凡符合本竞争性磋商文件规定资格条件的，均进入参加磋商的供应商名单。 </w:t>
      </w:r>
    </w:p>
    <w:p>
      <w:pPr>
        <w:spacing w:line="360" w:lineRule="auto"/>
        <w:ind w:firstLine="463" w:firstLineChars="192"/>
        <w:jc w:val="both"/>
        <w:rPr>
          <w:rFonts w:ascii="宋体" w:hAnsi="宋体"/>
          <w:b/>
          <w:color w:val="000000"/>
          <w:szCs w:val="21"/>
        </w:rPr>
      </w:pPr>
      <w:r>
        <w:rPr>
          <w:rFonts w:ascii="宋体" w:hAnsi="宋体"/>
          <w:b/>
          <w:color w:val="000000"/>
          <w:szCs w:val="21"/>
        </w:rPr>
        <w:t>2）供应商提供的以上资格证明材料为复印件的均应加盖供应商公章。</w:t>
      </w:r>
    </w:p>
    <w:p>
      <w:pPr>
        <w:spacing w:line="360" w:lineRule="auto"/>
        <w:ind w:firstLine="463" w:firstLineChars="192"/>
        <w:jc w:val="both"/>
        <w:rPr>
          <w:rFonts w:ascii="宋体" w:hAnsi="宋体"/>
          <w:color w:val="000000"/>
          <w:sz w:val="32"/>
        </w:rPr>
      </w:pPr>
      <w:r>
        <w:rPr>
          <w:rFonts w:ascii="宋体" w:hAnsi="宋体"/>
          <w:b/>
          <w:color w:val="000000"/>
          <w:szCs w:val="21"/>
        </w:rPr>
        <w:t>3）供应商应对其所提供的资格证明材料来源的合法性、真实性负责。</w:t>
      </w:r>
    </w:p>
    <w:p>
      <w:pPr>
        <w:pStyle w:val="6"/>
        <w:numPr>
          <w:ilvl w:val="0"/>
          <w:numId w:val="0"/>
        </w:numPr>
        <w:rPr>
          <w:rFonts w:ascii="宋体" w:hAnsi="宋体" w:eastAsia="宋体"/>
          <w:sz w:val="28"/>
          <w:szCs w:val="28"/>
        </w:rPr>
      </w:pPr>
      <w:r>
        <w:rPr>
          <w:rFonts w:ascii="宋体" w:hAnsi="宋体" w:eastAsia="宋体"/>
          <w:sz w:val="28"/>
          <w:szCs w:val="28"/>
        </w:rPr>
        <w:br w:type="page"/>
      </w:r>
      <w:bookmarkStart w:id="6" w:name="_Toc32453"/>
      <w:r>
        <w:rPr>
          <w:rFonts w:ascii="宋体" w:hAnsi="宋体" w:eastAsia="宋体"/>
          <w:sz w:val="28"/>
          <w:szCs w:val="28"/>
        </w:rPr>
        <w:t>第</w:t>
      </w:r>
      <w:r>
        <w:rPr>
          <w:rFonts w:hint="eastAsia" w:ascii="宋体" w:hAnsi="宋体" w:eastAsia="宋体"/>
          <w:sz w:val="28"/>
          <w:szCs w:val="28"/>
        </w:rPr>
        <w:t>四</w:t>
      </w:r>
      <w:r>
        <w:rPr>
          <w:rFonts w:ascii="宋体" w:hAnsi="宋体" w:eastAsia="宋体"/>
          <w:sz w:val="28"/>
          <w:szCs w:val="28"/>
        </w:rPr>
        <w:t>章</w:t>
      </w:r>
      <w:r>
        <w:rPr>
          <w:rFonts w:hint="eastAsia" w:ascii="宋体" w:hAnsi="宋体" w:eastAsia="宋体"/>
          <w:sz w:val="28"/>
          <w:szCs w:val="28"/>
        </w:rPr>
        <w:t xml:space="preserve">  </w:t>
      </w:r>
      <w:bookmarkStart w:id="7" w:name="_Toc257280877"/>
      <w:r>
        <w:rPr>
          <w:rFonts w:hint="eastAsia" w:ascii="宋体" w:hAnsi="宋体" w:eastAsia="宋体"/>
          <w:sz w:val="28"/>
          <w:szCs w:val="28"/>
        </w:rPr>
        <w:t>工程量清单及其他要求</w:t>
      </w:r>
      <w:bookmarkEnd w:id="6"/>
    </w:p>
    <w:bookmarkEnd w:id="7"/>
    <w:p>
      <w:pPr>
        <w:pStyle w:val="26"/>
        <w:snapToGrid w:val="0"/>
        <w:spacing w:line="360" w:lineRule="auto"/>
        <w:rPr>
          <w:rFonts w:hint="default" w:hAnsi="宋体"/>
          <w:color w:val="000000"/>
          <w:sz w:val="24"/>
          <w:szCs w:val="24"/>
        </w:rPr>
      </w:pPr>
      <w:r>
        <w:rPr>
          <w:rFonts w:hAnsi="宋体"/>
          <w:color w:val="000000"/>
          <w:sz w:val="24"/>
          <w:szCs w:val="24"/>
        </w:rPr>
        <w:t>一、工程量清单</w:t>
      </w:r>
    </w:p>
    <w:p>
      <w:pPr>
        <w:pStyle w:val="26"/>
        <w:snapToGrid w:val="0"/>
        <w:spacing w:line="360" w:lineRule="auto"/>
        <w:ind w:firstLine="480" w:firstLineChars="200"/>
        <w:rPr>
          <w:rFonts w:hint="default" w:hAnsi="宋体"/>
          <w:color w:val="000000"/>
          <w:sz w:val="24"/>
          <w:szCs w:val="24"/>
        </w:rPr>
      </w:pPr>
      <w:r>
        <w:rPr>
          <w:rFonts w:hAnsi="宋体"/>
          <w:color w:val="000000"/>
          <w:sz w:val="24"/>
          <w:szCs w:val="24"/>
        </w:rPr>
        <w:t>另册</w:t>
      </w:r>
    </w:p>
    <w:p>
      <w:pPr>
        <w:pStyle w:val="26"/>
        <w:snapToGrid w:val="0"/>
        <w:spacing w:line="360" w:lineRule="auto"/>
        <w:rPr>
          <w:rFonts w:hint="default" w:hAnsi="宋体"/>
          <w:sz w:val="24"/>
          <w:szCs w:val="24"/>
        </w:rPr>
      </w:pPr>
      <w:r>
        <w:rPr>
          <w:rFonts w:hAnsi="宋体"/>
          <w:color w:val="000000"/>
          <w:sz w:val="24"/>
          <w:szCs w:val="24"/>
        </w:rPr>
        <w:t>二、商</w:t>
      </w:r>
      <w:r>
        <w:rPr>
          <w:rFonts w:hAnsi="宋体"/>
          <w:sz w:val="24"/>
          <w:szCs w:val="24"/>
        </w:rPr>
        <w:t>务要求</w:t>
      </w:r>
    </w:p>
    <w:p>
      <w:pPr>
        <w:spacing w:line="360" w:lineRule="auto"/>
        <w:ind w:firstLine="480" w:firstLineChars="200"/>
        <w:rPr>
          <w:rFonts w:hint="eastAsia" w:ascii="宋体" w:hAnsi="宋体" w:eastAsia="宋体"/>
          <w:color w:val="auto"/>
          <w:lang w:eastAsia="zh-CN"/>
        </w:rPr>
      </w:pPr>
      <w:r>
        <w:rPr>
          <w:rFonts w:ascii="宋体" w:hAnsi="宋体"/>
          <w:color w:val="auto"/>
        </w:rPr>
        <w:t>工期：</w:t>
      </w:r>
      <w:r>
        <w:rPr>
          <w:rFonts w:hint="eastAsia" w:ascii="宋体" w:hAnsi="宋体"/>
          <w:color w:val="auto"/>
          <w:u w:val="none"/>
          <w:lang w:val="en-US" w:eastAsia="zh-CN"/>
        </w:rPr>
        <w:t>60日历</w:t>
      </w:r>
      <w:r>
        <w:rPr>
          <w:rFonts w:hint="eastAsia" w:ascii="宋体" w:hAnsi="宋体"/>
          <w:color w:val="auto"/>
          <w:u w:val="none"/>
        </w:rPr>
        <w:t>天</w:t>
      </w:r>
      <w:r>
        <w:rPr>
          <w:rFonts w:hint="eastAsia" w:ascii="宋体" w:hAnsi="宋体"/>
          <w:color w:val="auto"/>
          <w:u w:val="none"/>
          <w:lang w:eastAsia="zh-CN"/>
        </w:rPr>
        <w:t>；</w:t>
      </w:r>
    </w:p>
    <w:p>
      <w:pPr>
        <w:pStyle w:val="26"/>
        <w:snapToGrid w:val="0"/>
        <w:spacing w:line="360" w:lineRule="auto"/>
        <w:rPr>
          <w:rFonts w:hint="default" w:hAnsi="宋体"/>
          <w:sz w:val="24"/>
          <w:szCs w:val="24"/>
        </w:rPr>
      </w:pPr>
      <w:r>
        <w:rPr>
          <w:rFonts w:hAnsi="宋体"/>
          <w:sz w:val="24"/>
          <w:szCs w:val="24"/>
        </w:rPr>
        <w:t>三、技术、服务要求</w:t>
      </w:r>
    </w:p>
    <w:p>
      <w:pPr>
        <w:pStyle w:val="26"/>
        <w:snapToGrid w:val="0"/>
        <w:spacing w:line="360" w:lineRule="auto"/>
        <w:ind w:firstLine="480" w:firstLineChars="200"/>
        <w:rPr>
          <w:rFonts w:hint="eastAsia" w:ascii="宋体" w:hAnsi="宋体"/>
          <w:color w:val="auto"/>
          <w:sz w:val="24"/>
        </w:rPr>
      </w:pPr>
      <w:r>
        <w:rPr>
          <w:rFonts w:hint="eastAsia" w:ascii="宋体" w:hAnsi="宋体"/>
          <w:color w:val="auto"/>
          <w:sz w:val="24"/>
          <w:lang w:eastAsia="zh-CN"/>
        </w:rPr>
        <w:t>工程</w:t>
      </w:r>
      <w:r>
        <w:rPr>
          <w:rFonts w:hint="eastAsia" w:ascii="宋体" w:hAnsi="宋体"/>
          <w:color w:val="auto"/>
          <w:sz w:val="24"/>
        </w:rPr>
        <w:t>质量：合格；</w:t>
      </w:r>
    </w:p>
    <w:p>
      <w:pPr>
        <w:pStyle w:val="26"/>
        <w:snapToGrid w:val="0"/>
        <w:spacing w:line="360" w:lineRule="auto"/>
        <w:rPr>
          <w:rFonts w:hint="default" w:hAnsi="宋体"/>
          <w:color w:val="000000"/>
          <w:sz w:val="24"/>
          <w:szCs w:val="24"/>
        </w:rPr>
      </w:pPr>
      <w:r>
        <w:rPr>
          <w:rFonts w:hAnsi="宋体"/>
          <w:color w:val="000000"/>
          <w:sz w:val="24"/>
          <w:szCs w:val="24"/>
        </w:rPr>
        <w:t>四、报价要求</w:t>
      </w:r>
    </w:p>
    <w:p>
      <w:pPr>
        <w:pStyle w:val="26"/>
        <w:snapToGrid w:val="0"/>
        <w:spacing w:line="360" w:lineRule="auto"/>
        <w:rPr>
          <w:rFonts w:hint="default" w:hAnsi="宋体"/>
          <w:color w:val="000000"/>
          <w:sz w:val="24"/>
          <w:szCs w:val="24"/>
        </w:rPr>
      </w:pPr>
      <w:r>
        <w:rPr>
          <w:rFonts w:hAnsi="宋体"/>
          <w:color w:val="000000"/>
          <w:sz w:val="24"/>
          <w:szCs w:val="24"/>
        </w:rPr>
        <w:t>4.1 所有报价一律以人民币报价。采购人不接受任何非人民币币种的报价。</w:t>
      </w:r>
    </w:p>
    <w:p>
      <w:pPr>
        <w:pStyle w:val="26"/>
        <w:snapToGrid w:val="0"/>
        <w:spacing w:line="360" w:lineRule="auto"/>
        <w:rPr>
          <w:rFonts w:hint="default" w:hAnsi="宋体"/>
          <w:color w:val="000000"/>
          <w:sz w:val="24"/>
          <w:szCs w:val="24"/>
        </w:rPr>
      </w:pPr>
      <w:r>
        <w:rPr>
          <w:rFonts w:hAnsi="宋体"/>
          <w:color w:val="000000"/>
          <w:sz w:val="24"/>
          <w:szCs w:val="24"/>
        </w:rPr>
        <w:t>4.2 供应商的报价是其响应本项目要求的全部工作内容的价格体现，包括供应商完成本项目所需的一切费用。</w:t>
      </w:r>
    </w:p>
    <w:p>
      <w:pPr>
        <w:pStyle w:val="26"/>
        <w:snapToGrid w:val="0"/>
        <w:spacing w:line="360" w:lineRule="auto"/>
        <w:rPr>
          <w:rFonts w:hint="default" w:hAnsi="宋体"/>
          <w:color w:val="000000"/>
          <w:sz w:val="24"/>
          <w:szCs w:val="24"/>
        </w:rPr>
      </w:pPr>
      <w:r>
        <w:rPr>
          <w:rFonts w:hAnsi="宋体"/>
          <w:color w:val="000000"/>
          <w:sz w:val="24"/>
          <w:szCs w:val="24"/>
        </w:rPr>
        <w:t>4.3 本项目采用工程量清单报价，供应商不得改变工程量清单项目编码、名称、特征描述、计量单位和数量，暂定金额、暂估价按工程量清单（说明）列入。</w:t>
      </w:r>
    </w:p>
    <w:p>
      <w:pPr>
        <w:pStyle w:val="26"/>
        <w:snapToGrid w:val="0"/>
        <w:spacing w:line="360" w:lineRule="auto"/>
        <w:rPr>
          <w:rFonts w:hint="default" w:hAnsi="宋体"/>
          <w:color w:val="000000"/>
          <w:sz w:val="24"/>
          <w:szCs w:val="24"/>
        </w:rPr>
      </w:pPr>
      <w:r>
        <w:rPr>
          <w:rFonts w:hAnsi="宋体"/>
          <w:color w:val="000000"/>
          <w:sz w:val="24"/>
          <w:szCs w:val="24"/>
        </w:rPr>
        <w:t>4.4 供应商在提交的首次响应文件中的报价（即首次报价）应按磋商文件及工程量清单编制要求，列出报价的构成及明细，包括但不限于分部分项工程、措施项目、其他项目、规费及税金等。</w:t>
      </w:r>
    </w:p>
    <w:p>
      <w:pPr>
        <w:pStyle w:val="26"/>
        <w:snapToGrid w:val="0"/>
        <w:spacing w:line="360" w:lineRule="auto"/>
        <w:rPr>
          <w:rFonts w:hint="default" w:hAnsi="宋体"/>
          <w:color w:val="000000"/>
          <w:sz w:val="24"/>
          <w:szCs w:val="24"/>
        </w:rPr>
      </w:pPr>
      <w:r>
        <w:rPr>
          <w:rFonts w:hAnsi="宋体"/>
          <w:color w:val="000000"/>
          <w:sz w:val="24"/>
          <w:szCs w:val="24"/>
        </w:rPr>
        <w:t>4.5 若供应商的最后报价只有一个总价，且相对首次报价有调整，则该调整金额将会以百分比形式套用于首次报价中除安全文明施工费、规费、暂估价、暂列金额、税金以及包干费用以外的各项目单价，调整后的单价作为工程变更及竣工结算的依据。此百分比（保留两位小数）计算如下：</w:t>
      </w:r>
    </w:p>
    <w:p>
      <w:pPr>
        <w:pStyle w:val="26"/>
        <w:snapToGrid w:val="0"/>
        <w:spacing w:line="360" w:lineRule="auto"/>
        <w:rPr>
          <w:rFonts w:hint="default" w:hAnsi="宋体"/>
          <w:color w:val="000000"/>
          <w:sz w:val="22"/>
          <w:szCs w:val="22"/>
        </w:rPr>
      </w:pPr>
      <w:r>
        <w:rPr>
          <w:rFonts w:hAnsi="宋体"/>
          <w:color w:val="000000"/>
          <w:sz w:val="24"/>
          <w:szCs w:val="24"/>
        </w:rPr>
        <w:t xml:space="preserve">   </w:t>
      </w:r>
      <w:r>
        <w:rPr>
          <w:rFonts w:hAnsi="宋体"/>
          <w:color w:val="000000"/>
          <w:sz w:val="22"/>
          <w:szCs w:val="22"/>
        </w:rPr>
        <w:t xml:space="preserve">        </w:t>
      </w:r>
      <w:r>
        <w:rPr>
          <w:rFonts w:hAnsi="宋体"/>
          <w:color w:val="000000"/>
          <w:sz w:val="22"/>
          <w:szCs w:val="22"/>
        </w:rPr>
        <w:tab/>
      </w:r>
      <w:r>
        <w:rPr>
          <w:rFonts w:hAnsi="宋体"/>
          <w:color w:val="000000"/>
          <w:sz w:val="22"/>
          <w:szCs w:val="22"/>
        </w:rPr>
        <w:tab/>
      </w:r>
      <w:r>
        <w:rPr>
          <w:rFonts w:hAnsi="宋体"/>
          <w:color w:val="000000"/>
          <w:sz w:val="22"/>
          <w:szCs w:val="22"/>
        </w:rPr>
        <w:t xml:space="preserve">    </w:t>
      </w:r>
      <w:r>
        <w:rPr>
          <w:rFonts w:hint="default" w:hAnsi="宋体"/>
          <w:color w:val="000000"/>
          <w:sz w:val="22"/>
          <w:szCs w:val="22"/>
        </w:rPr>
        <w:t xml:space="preserve">          </w:t>
      </w:r>
      <w:r>
        <w:rPr>
          <w:rFonts w:hAnsi="宋体"/>
          <w:color w:val="000000"/>
          <w:sz w:val="22"/>
          <w:szCs w:val="22"/>
        </w:rPr>
        <w:t xml:space="preserve"> （±）调整金额                                                  </w:t>
      </w:r>
    </w:p>
    <w:p>
      <w:pPr>
        <w:pStyle w:val="26"/>
        <w:snapToGrid w:val="0"/>
        <w:spacing w:line="360" w:lineRule="auto"/>
        <w:rPr>
          <w:rFonts w:hint="default" w:hAnsi="宋体"/>
          <w:color w:val="000000"/>
          <w:sz w:val="22"/>
          <w:szCs w:val="22"/>
        </w:rPr>
      </w:pPr>
      <w:r>
        <w:rPr>
          <w:rFonts w:hAnsi="宋体"/>
          <w:color w:val="000000"/>
          <w:sz w:val="22"/>
          <w:szCs w:val="22"/>
        </w:rPr>
        <w:t xml:space="preserve">百分比= </w:t>
      </w:r>
      <w:r>
        <w:rPr>
          <w:rFonts w:hAnsi="宋体"/>
          <w:bCs/>
          <w:strike/>
          <w:sz w:val="22"/>
          <w:szCs w:val="22"/>
        </w:rPr>
        <w:t xml:space="preserve">                                                        </w:t>
      </w:r>
      <w:r>
        <w:rPr>
          <w:rFonts w:hAnsi="宋体"/>
          <w:color w:val="000000"/>
          <w:sz w:val="22"/>
          <w:szCs w:val="22"/>
        </w:rPr>
        <w:t>×100%</w:t>
      </w:r>
    </w:p>
    <w:p>
      <w:pPr>
        <w:pStyle w:val="26"/>
        <w:snapToGrid w:val="0"/>
        <w:spacing w:line="360" w:lineRule="auto"/>
        <w:ind w:firstLine="880" w:firstLineChars="400"/>
        <w:rPr>
          <w:rFonts w:hint="default" w:hAnsi="宋体"/>
          <w:color w:val="000000"/>
          <w:sz w:val="22"/>
          <w:szCs w:val="22"/>
        </w:rPr>
      </w:pPr>
      <w:r>
        <w:rPr>
          <w:rFonts w:hAnsi="宋体"/>
          <w:color w:val="000000"/>
          <w:sz w:val="22"/>
          <w:szCs w:val="22"/>
        </w:rPr>
        <w:t>修正后的首次报价-安全文明施工费-规费-暂估价-暂列金额-税金-包干费用；</w:t>
      </w:r>
    </w:p>
    <w:p>
      <w:pPr>
        <w:pStyle w:val="26"/>
        <w:snapToGrid w:val="0"/>
        <w:spacing w:line="360" w:lineRule="auto"/>
        <w:rPr>
          <w:rFonts w:hint="default" w:hAnsi="宋体"/>
          <w:color w:val="000000"/>
          <w:sz w:val="24"/>
          <w:szCs w:val="24"/>
        </w:rPr>
      </w:pPr>
      <w:r>
        <w:rPr>
          <w:rFonts w:hAnsi="宋体"/>
          <w:color w:val="000000"/>
          <w:sz w:val="24"/>
          <w:szCs w:val="24"/>
        </w:rPr>
        <w:t>4.6已标价工程量清单的扉页（仅指投标总价扉页，下同）应由注册或登记在本单位的造价人员签字并盖执业印章。除此之外，造价人员无需在响应文件其他任何地方签字或盖执业印章。供应商委托工程造价咨询企业编制已标价工程量清单的，应在响应文件中附工程造价咨询委托合同，由注册或登记在工程造价咨询企业的造价人员签字并盖执业印章。</w:t>
      </w:r>
    </w:p>
    <w:p>
      <w:pPr>
        <w:pStyle w:val="26"/>
        <w:snapToGrid w:val="0"/>
        <w:spacing w:line="360" w:lineRule="auto"/>
        <w:rPr>
          <w:rFonts w:hint="default" w:hAnsi="宋体"/>
          <w:color w:val="000000"/>
          <w:sz w:val="24"/>
          <w:szCs w:val="24"/>
        </w:rPr>
      </w:pPr>
      <w:r>
        <w:rPr>
          <w:rFonts w:hAnsi="宋体"/>
          <w:color w:val="000000"/>
          <w:sz w:val="24"/>
          <w:szCs w:val="24"/>
        </w:rPr>
        <w:t>4.7供应商对工程量清单中的分部分项工程量清单项目的单价未填报或填报为零的，视为单价遗漏。出现单价遗漏情况，视为供应商向采购人承诺单价遗漏项目免费，或视为其费用已分摊在工程量清单其他相关子目的单价（价格）之中。如成交，供应商应完成该项目，但该项目不得另行计价。</w:t>
      </w:r>
    </w:p>
    <w:p>
      <w:pPr>
        <w:pStyle w:val="26"/>
        <w:snapToGrid w:val="0"/>
        <w:spacing w:line="360" w:lineRule="auto"/>
        <w:rPr>
          <w:rFonts w:hint="default" w:hAnsi="宋体"/>
          <w:color w:val="000000"/>
          <w:sz w:val="24"/>
          <w:szCs w:val="24"/>
        </w:rPr>
      </w:pPr>
      <w:r>
        <w:rPr>
          <w:rFonts w:hAnsi="宋体"/>
          <w:color w:val="000000"/>
          <w:sz w:val="24"/>
          <w:szCs w:val="24"/>
        </w:rPr>
        <w:t>4.8 供应商最后报价超过政府采购预算或最高限价（具体详见第一章）的，视为无效报价，将被淘汰。</w:t>
      </w:r>
    </w:p>
    <w:p>
      <w:pPr>
        <w:pStyle w:val="26"/>
        <w:snapToGrid w:val="0"/>
        <w:spacing w:line="360" w:lineRule="auto"/>
        <w:rPr>
          <w:rFonts w:hint="default" w:hAnsi="宋体"/>
          <w:color w:val="000000"/>
          <w:sz w:val="24"/>
          <w:szCs w:val="24"/>
        </w:rPr>
      </w:pPr>
      <w:r>
        <w:rPr>
          <w:rFonts w:hAnsi="宋体"/>
          <w:color w:val="000000"/>
          <w:sz w:val="24"/>
          <w:szCs w:val="24"/>
        </w:rPr>
        <w:t>4.9供应商提交的已标价工程量清单应符合本项目工程量清单以及清单说明的要求。当供应商的已标价工程量清单有下列情形之一的，应按照无效响应文件处理。</w:t>
      </w:r>
    </w:p>
    <w:p>
      <w:pPr>
        <w:pStyle w:val="26"/>
        <w:snapToGrid w:val="0"/>
        <w:spacing w:line="360" w:lineRule="auto"/>
        <w:rPr>
          <w:rFonts w:hint="default" w:hAnsi="宋体"/>
          <w:color w:val="000000"/>
          <w:sz w:val="24"/>
          <w:szCs w:val="24"/>
        </w:rPr>
      </w:pPr>
      <w:r>
        <w:rPr>
          <w:rFonts w:hAnsi="宋体"/>
          <w:color w:val="000000"/>
          <w:sz w:val="24"/>
          <w:szCs w:val="24"/>
        </w:rPr>
        <w:t xml:space="preserve">    （一）已标价工程量清单中工程量清单的项目编码、项目名称、项目特征（与采购人提供的工程量清单中的项目特征的实质性内容一致的除外）、计量单位、工程量与采购人提供的工程量清单不一致的；</w:t>
      </w:r>
    </w:p>
    <w:p>
      <w:pPr>
        <w:pStyle w:val="26"/>
        <w:snapToGrid w:val="0"/>
        <w:spacing w:line="360" w:lineRule="auto"/>
        <w:rPr>
          <w:rFonts w:hint="default" w:hAnsi="宋体"/>
          <w:color w:val="000000"/>
          <w:sz w:val="24"/>
          <w:szCs w:val="24"/>
        </w:rPr>
      </w:pPr>
      <w:r>
        <w:rPr>
          <w:rFonts w:hAnsi="宋体"/>
          <w:color w:val="000000"/>
          <w:sz w:val="24"/>
          <w:szCs w:val="24"/>
        </w:rPr>
        <w:t xml:space="preserve">    （二）供应商未按磋商文件规定或其持有的《青海省施工企业工程规费计取标准》证书中的规费标准计取规费的；</w:t>
      </w:r>
    </w:p>
    <w:p>
      <w:pPr>
        <w:pStyle w:val="26"/>
        <w:snapToGrid w:val="0"/>
        <w:spacing w:line="360" w:lineRule="auto"/>
        <w:rPr>
          <w:rFonts w:hint="default" w:hAnsi="宋体"/>
          <w:color w:val="000000"/>
          <w:sz w:val="24"/>
          <w:szCs w:val="24"/>
        </w:rPr>
      </w:pPr>
      <w:r>
        <w:rPr>
          <w:rFonts w:hAnsi="宋体"/>
          <w:color w:val="000000"/>
          <w:sz w:val="24"/>
          <w:szCs w:val="24"/>
        </w:rPr>
        <w:t xml:space="preserve">    （三）磋商文件明确了安全文明施工费金额或费率并要求按此金额或费率填报而供应商填报错误或未填报的；</w:t>
      </w:r>
    </w:p>
    <w:p>
      <w:pPr>
        <w:pStyle w:val="26"/>
        <w:snapToGrid w:val="0"/>
        <w:spacing w:line="360" w:lineRule="auto"/>
        <w:rPr>
          <w:rFonts w:hint="default" w:hAnsi="宋体"/>
          <w:color w:val="000000"/>
          <w:sz w:val="24"/>
          <w:szCs w:val="24"/>
        </w:rPr>
      </w:pPr>
      <w:r>
        <w:rPr>
          <w:rFonts w:hAnsi="宋体"/>
          <w:color w:val="000000"/>
          <w:sz w:val="24"/>
          <w:szCs w:val="24"/>
        </w:rPr>
        <w:t xml:space="preserve">    （四）已标价工程量清单中暂列金额未按工程量清单中列明的金额填报的；</w:t>
      </w:r>
    </w:p>
    <w:p>
      <w:pPr>
        <w:pStyle w:val="26"/>
        <w:snapToGrid w:val="0"/>
        <w:spacing w:line="360" w:lineRule="auto"/>
        <w:rPr>
          <w:rFonts w:hint="default" w:hAnsi="宋体"/>
          <w:color w:val="000000"/>
          <w:sz w:val="24"/>
          <w:szCs w:val="24"/>
        </w:rPr>
      </w:pPr>
      <w:r>
        <w:rPr>
          <w:rFonts w:hAnsi="宋体"/>
          <w:color w:val="000000"/>
          <w:sz w:val="24"/>
          <w:szCs w:val="24"/>
        </w:rPr>
        <w:t xml:space="preserve">    （五）已标价工程量清单中材料、工程设备暂估价未按工程量清单中列出的单价计入综合单价的；</w:t>
      </w:r>
    </w:p>
    <w:p>
      <w:pPr>
        <w:pStyle w:val="26"/>
        <w:snapToGrid w:val="0"/>
        <w:spacing w:line="360" w:lineRule="auto"/>
        <w:rPr>
          <w:rFonts w:hint="default" w:hAnsi="宋体"/>
          <w:color w:val="000000"/>
          <w:sz w:val="24"/>
          <w:szCs w:val="24"/>
        </w:rPr>
      </w:pPr>
      <w:r>
        <w:rPr>
          <w:rFonts w:hAnsi="宋体"/>
          <w:color w:val="000000"/>
          <w:sz w:val="24"/>
          <w:szCs w:val="24"/>
        </w:rPr>
        <w:t xml:space="preserve">    （六）已标价工程量清单中专业工程暂估价未按工程量清单中列明的金额填写的；</w:t>
      </w:r>
    </w:p>
    <w:p>
      <w:pPr>
        <w:pStyle w:val="26"/>
        <w:snapToGrid w:val="0"/>
        <w:spacing w:line="360" w:lineRule="auto"/>
        <w:rPr>
          <w:rFonts w:hint="default" w:hAnsi="宋体"/>
          <w:color w:val="000000"/>
          <w:sz w:val="24"/>
          <w:szCs w:val="24"/>
        </w:rPr>
      </w:pPr>
      <w:r>
        <w:rPr>
          <w:rFonts w:hAnsi="宋体"/>
          <w:color w:val="000000"/>
          <w:sz w:val="24"/>
          <w:szCs w:val="24"/>
        </w:rPr>
        <w:t xml:space="preserve">    （七）已标价工程量清单中计日工未按工程量清单中列明的数量进行报价的；</w:t>
      </w:r>
    </w:p>
    <w:p>
      <w:pPr>
        <w:pStyle w:val="26"/>
        <w:snapToGrid w:val="0"/>
        <w:spacing w:line="360" w:lineRule="auto"/>
        <w:ind w:firstLine="480" w:firstLineChars="200"/>
        <w:rPr>
          <w:rFonts w:hint="default" w:hAnsi="宋体"/>
          <w:color w:val="000000"/>
          <w:sz w:val="24"/>
          <w:szCs w:val="24"/>
        </w:rPr>
      </w:pPr>
      <w:r>
        <w:rPr>
          <w:rFonts w:hAnsi="宋体"/>
          <w:color w:val="000000"/>
          <w:sz w:val="24"/>
          <w:szCs w:val="24"/>
        </w:rPr>
        <w:t>（八）当已标价工程量清单以及报价函中的任何单价、合价或总价，出现两个及以上金额的（不论大写金额或小写金额）。</w:t>
      </w:r>
    </w:p>
    <w:p>
      <w:pPr>
        <w:pStyle w:val="26"/>
        <w:snapToGrid w:val="0"/>
        <w:spacing w:line="360" w:lineRule="auto"/>
        <w:rPr>
          <w:rFonts w:hint="default" w:hAnsi="宋体"/>
          <w:color w:val="000000"/>
          <w:sz w:val="24"/>
          <w:szCs w:val="24"/>
        </w:rPr>
      </w:pPr>
      <w:r>
        <w:rPr>
          <w:rFonts w:hAnsi="宋体"/>
          <w:color w:val="000000"/>
          <w:sz w:val="24"/>
          <w:szCs w:val="24"/>
        </w:rPr>
        <w:t>五、设备人员要求</w:t>
      </w:r>
    </w:p>
    <w:p>
      <w:pPr>
        <w:pStyle w:val="26"/>
        <w:snapToGrid w:val="0"/>
        <w:spacing w:line="360" w:lineRule="auto"/>
        <w:ind w:firstLine="480" w:firstLineChars="200"/>
        <w:rPr>
          <w:rFonts w:hint="default" w:hAnsi="宋体"/>
          <w:color w:val="000000"/>
          <w:sz w:val="24"/>
          <w:szCs w:val="24"/>
        </w:rPr>
      </w:pPr>
      <w:r>
        <w:rPr>
          <w:rFonts w:hAnsi="宋体"/>
          <w:color w:val="000000"/>
          <w:sz w:val="24"/>
          <w:szCs w:val="24"/>
        </w:rPr>
        <w:t>参加本项目磋商时没有在其他未完工项目担任项目经理，成交后至完工前也不得在其他项目担任项目经理。项目经理不得兼任技术负责人。</w:t>
      </w:r>
    </w:p>
    <w:p>
      <w:pPr>
        <w:pStyle w:val="26"/>
        <w:snapToGrid w:val="0"/>
        <w:spacing w:line="360" w:lineRule="auto"/>
        <w:ind w:firstLine="480" w:firstLineChars="200"/>
        <w:rPr>
          <w:rFonts w:hint="default" w:hAnsi="宋体"/>
          <w:color w:val="000000"/>
          <w:sz w:val="24"/>
          <w:szCs w:val="24"/>
        </w:rPr>
      </w:pPr>
      <w:r>
        <w:rPr>
          <w:rFonts w:hAnsi="宋体"/>
          <w:color w:val="000000"/>
          <w:sz w:val="24"/>
          <w:szCs w:val="24"/>
        </w:rPr>
        <w:t xml:space="preserve">项目技术负责人具备相关专业中级及以上职称； </w:t>
      </w:r>
    </w:p>
    <w:p>
      <w:pPr>
        <w:pStyle w:val="26"/>
        <w:snapToGrid w:val="0"/>
        <w:spacing w:line="360" w:lineRule="auto"/>
        <w:ind w:firstLine="480" w:firstLineChars="200"/>
        <w:rPr>
          <w:rFonts w:hint="default" w:hAnsi="宋体"/>
          <w:color w:val="000000"/>
          <w:sz w:val="24"/>
          <w:szCs w:val="24"/>
        </w:rPr>
      </w:pPr>
      <w:r>
        <w:rPr>
          <w:rFonts w:hAnsi="宋体"/>
          <w:color w:val="000000"/>
          <w:sz w:val="24"/>
          <w:szCs w:val="24"/>
        </w:rPr>
        <w:t>以上人员应是供应商本单位职工。</w:t>
      </w:r>
    </w:p>
    <w:p>
      <w:pPr>
        <w:pStyle w:val="26"/>
        <w:snapToGrid w:val="0"/>
        <w:spacing w:line="360" w:lineRule="auto"/>
        <w:rPr>
          <w:rFonts w:hint="default" w:hAnsi="宋体"/>
          <w:b/>
          <w:color w:val="000000"/>
          <w:sz w:val="24"/>
          <w:szCs w:val="21"/>
        </w:rPr>
      </w:pPr>
      <w:r>
        <w:rPr>
          <w:rFonts w:hAnsi="宋体"/>
          <w:b/>
          <w:color w:val="000000"/>
          <w:sz w:val="24"/>
          <w:szCs w:val="21"/>
        </w:rPr>
        <w:t>注：以上内容为针对本项目的最低要求，供应商必须完全响应，否则视为实质性不响应。</w:t>
      </w:r>
    </w:p>
    <w:p>
      <w:pPr>
        <w:pStyle w:val="26"/>
        <w:snapToGrid w:val="0"/>
        <w:spacing w:line="360" w:lineRule="auto"/>
        <w:rPr>
          <w:rFonts w:hint="default" w:hAnsi="宋体"/>
          <w:b/>
          <w:color w:val="000000"/>
          <w:szCs w:val="21"/>
        </w:rPr>
      </w:pPr>
    </w:p>
    <w:p>
      <w:pPr>
        <w:pStyle w:val="6"/>
        <w:numPr>
          <w:ilvl w:val="0"/>
          <w:numId w:val="0"/>
        </w:numPr>
        <w:rPr>
          <w:rFonts w:ascii="宋体" w:hAnsi="宋体" w:eastAsia="宋体"/>
          <w:sz w:val="28"/>
          <w:szCs w:val="28"/>
        </w:rPr>
      </w:pPr>
      <w:r>
        <w:rPr>
          <w:rFonts w:ascii="宋体" w:hAnsi="宋体" w:eastAsia="宋体"/>
          <w:sz w:val="28"/>
          <w:szCs w:val="28"/>
        </w:rPr>
        <w:t xml:space="preserve">  </w:t>
      </w:r>
      <w:bookmarkStart w:id="8" w:name="_Toc30213"/>
      <w:r>
        <w:rPr>
          <w:rFonts w:ascii="宋体" w:hAnsi="宋体" w:eastAsia="宋体"/>
          <w:sz w:val="28"/>
          <w:szCs w:val="28"/>
        </w:rPr>
        <w:t>第五章  磋商程序</w:t>
      </w:r>
      <w:bookmarkEnd w:id="8"/>
    </w:p>
    <w:p>
      <w:pPr>
        <w:snapToGrid w:val="0"/>
        <w:spacing w:line="300" w:lineRule="auto"/>
        <w:rPr>
          <w:rFonts w:ascii="宋体" w:hAnsi="宋体"/>
          <w:color w:val="000000"/>
        </w:rPr>
      </w:pPr>
      <w:r>
        <w:rPr>
          <w:rFonts w:ascii="宋体" w:hAnsi="宋体"/>
          <w:color w:val="000000"/>
        </w:rPr>
        <w:t>1、磋商小组及专家组成</w:t>
      </w:r>
    </w:p>
    <w:p>
      <w:pPr>
        <w:snapToGrid w:val="0"/>
        <w:spacing w:line="300" w:lineRule="auto"/>
        <w:rPr>
          <w:rFonts w:ascii="宋体" w:hAnsi="宋体"/>
          <w:color w:val="000000"/>
        </w:rPr>
      </w:pPr>
      <w:r>
        <w:rPr>
          <w:rFonts w:hint="eastAsia" w:ascii="宋体" w:hAnsi="宋体"/>
          <w:color w:val="000000"/>
        </w:rPr>
        <w:t>根据《中华人民共和国政府采购法》和《政府采购竞争性磋商采购方式管理暂行办法》等的规定并结合本次采购项目的实际情况，磋商小组由采购单位的代表和有关方面的专家3人以上的单数组成，其中专家人数不少于成员总数的三分之二，负责本次采购项目的竞争性磋商和评审工作。</w:t>
      </w:r>
    </w:p>
    <w:p>
      <w:pPr>
        <w:snapToGrid w:val="0"/>
        <w:spacing w:line="300" w:lineRule="auto"/>
        <w:rPr>
          <w:rFonts w:ascii="宋体" w:hAnsi="宋体"/>
          <w:color w:val="000000"/>
        </w:rPr>
      </w:pPr>
      <w:r>
        <w:rPr>
          <w:rFonts w:ascii="宋体" w:hAnsi="宋体"/>
          <w:color w:val="000000"/>
        </w:rPr>
        <w:t>2、磋商组织</w:t>
      </w:r>
    </w:p>
    <w:p>
      <w:pPr>
        <w:pStyle w:val="26"/>
        <w:snapToGrid w:val="0"/>
        <w:spacing w:line="300" w:lineRule="auto"/>
        <w:ind w:firstLine="480" w:firstLineChars="200"/>
        <w:rPr>
          <w:rFonts w:hint="default" w:hAnsi="宋体"/>
          <w:color w:val="000000"/>
          <w:sz w:val="24"/>
          <w:szCs w:val="24"/>
        </w:rPr>
      </w:pPr>
      <w:r>
        <w:rPr>
          <w:rFonts w:hAnsi="宋体"/>
          <w:color w:val="000000"/>
          <w:sz w:val="24"/>
          <w:szCs w:val="24"/>
          <w:lang w:val="zh-CN"/>
        </w:rPr>
        <w:t>磋商工作由采购代理机构组织；具体磋商事务由依法组建的磋商小组负责。</w:t>
      </w:r>
    </w:p>
    <w:p>
      <w:pPr>
        <w:snapToGrid w:val="0"/>
        <w:spacing w:line="300" w:lineRule="auto"/>
        <w:rPr>
          <w:rFonts w:ascii="宋体" w:hAnsi="宋体"/>
          <w:color w:val="000000"/>
        </w:rPr>
      </w:pPr>
      <w:r>
        <w:rPr>
          <w:rFonts w:ascii="宋体" w:hAnsi="宋体"/>
          <w:color w:val="000000"/>
        </w:rPr>
        <w:t>3、磋商程序</w:t>
      </w:r>
    </w:p>
    <w:p>
      <w:pPr>
        <w:pStyle w:val="26"/>
        <w:snapToGrid w:val="0"/>
        <w:spacing w:line="300" w:lineRule="auto"/>
        <w:ind w:firstLine="480" w:firstLineChars="200"/>
        <w:rPr>
          <w:rFonts w:hint="default" w:hAnsi="宋体"/>
          <w:color w:val="000000"/>
          <w:sz w:val="24"/>
          <w:szCs w:val="24"/>
          <w:lang w:val="zh-CN"/>
        </w:rPr>
      </w:pPr>
      <w:r>
        <w:rPr>
          <w:rFonts w:hAnsi="宋体"/>
          <w:color w:val="000000"/>
          <w:sz w:val="24"/>
          <w:szCs w:val="24"/>
        </w:rPr>
        <w:t xml:space="preserve">3.1 </w:t>
      </w:r>
      <w:r>
        <w:rPr>
          <w:rFonts w:hAnsi="宋体"/>
          <w:color w:val="000000"/>
          <w:sz w:val="24"/>
          <w:szCs w:val="24"/>
          <w:lang w:val="zh-CN"/>
        </w:rPr>
        <w:t>在供应商递交响应文件截止时间结束后，采购代理机构组织磋商小组对递交响应文件的供应商进行资格性审查和符合性审查，确定邀请参加磋商的供应商名单。</w:t>
      </w:r>
    </w:p>
    <w:p>
      <w:pPr>
        <w:pStyle w:val="26"/>
        <w:snapToGrid w:val="0"/>
        <w:spacing w:line="300" w:lineRule="auto"/>
        <w:ind w:firstLine="480" w:firstLineChars="200"/>
        <w:rPr>
          <w:rFonts w:hint="default" w:hAnsi="宋体"/>
          <w:color w:val="000000"/>
          <w:sz w:val="24"/>
          <w:szCs w:val="24"/>
          <w:lang w:val="zh-CN"/>
        </w:rPr>
      </w:pPr>
      <w:r>
        <w:rPr>
          <w:rFonts w:hAnsi="宋体"/>
          <w:color w:val="000000"/>
          <w:sz w:val="24"/>
          <w:szCs w:val="24"/>
          <w:lang w:val="zh-CN"/>
        </w:rPr>
        <w:t>确定参加磋商的供应商数量采用合格制，即磋商小组对各供应商资格性审查和符合性审查后，凡符合本竞争性磋商文件规定资格条件的，均进入参加磋商的供应商名单。</w:t>
      </w:r>
    </w:p>
    <w:p>
      <w:pPr>
        <w:pStyle w:val="26"/>
        <w:snapToGrid w:val="0"/>
        <w:spacing w:line="300" w:lineRule="auto"/>
        <w:ind w:firstLine="480" w:firstLineChars="200"/>
        <w:rPr>
          <w:rFonts w:hint="default" w:hAnsi="宋体"/>
          <w:color w:val="000000"/>
          <w:sz w:val="24"/>
          <w:szCs w:val="24"/>
        </w:rPr>
      </w:pPr>
      <w:r>
        <w:rPr>
          <w:rFonts w:hAnsi="宋体"/>
          <w:color w:val="000000"/>
          <w:sz w:val="24"/>
          <w:szCs w:val="24"/>
        </w:rPr>
        <w:t>磋商小组资格性审查和符合性审查结束后，向采购</w:t>
      </w:r>
      <w:r>
        <w:rPr>
          <w:rFonts w:hAnsi="宋体"/>
          <w:color w:val="000000"/>
          <w:sz w:val="24"/>
          <w:szCs w:val="24"/>
          <w:lang w:val="zh-CN"/>
        </w:rPr>
        <w:t>代理机构</w:t>
      </w:r>
      <w:r>
        <w:rPr>
          <w:rFonts w:hAnsi="宋体"/>
          <w:color w:val="000000"/>
          <w:sz w:val="24"/>
          <w:szCs w:val="24"/>
        </w:rPr>
        <w:t>出具资格性审查和符合性审查报告，确定参加磋商的供应商名单。没有通过资格性审查和符合性审查的供应商，磋商小组应在资格性审查和符合性审查报告中说明原因。</w:t>
      </w:r>
    </w:p>
    <w:p>
      <w:pPr>
        <w:pStyle w:val="26"/>
        <w:snapToGrid w:val="0"/>
        <w:spacing w:line="300" w:lineRule="auto"/>
        <w:ind w:firstLine="480" w:firstLineChars="200"/>
        <w:rPr>
          <w:rFonts w:hint="default" w:hAnsi="宋体"/>
          <w:color w:val="000000"/>
          <w:sz w:val="24"/>
          <w:szCs w:val="24"/>
        </w:rPr>
      </w:pPr>
      <w:r>
        <w:rPr>
          <w:rFonts w:hAnsi="宋体"/>
          <w:color w:val="000000"/>
          <w:sz w:val="24"/>
          <w:szCs w:val="24"/>
        </w:rPr>
        <w:t>3.2 采购</w:t>
      </w:r>
      <w:r>
        <w:rPr>
          <w:rFonts w:hAnsi="宋体"/>
          <w:color w:val="000000"/>
          <w:sz w:val="24"/>
          <w:szCs w:val="24"/>
          <w:lang w:val="zh-CN"/>
        </w:rPr>
        <w:t>代理机构</w:t>
      </w:r>
      <w:r>
        <w:rPr>
          <w:rFonts w:hAnsi="宋体"/>
          <w:color w:val="000000"/>
          <w:sz w:val="24"/>
          <w:szCs w:val="24"/>
        </w:rPr>
        <w:t>收到磋商小组出具的资格性审查和符合性审查报告后，在磋商结果公示中向社会公布。</w:t>
      </w:r>
    </w:p>
    <w:p>
      <w:pPr>
        <w:pStyle w:val="26"/>
        <w:snapToGrid w:val="0"/>
        <w:spacing w:line="300" w:lineRule="auto"/>
        <w:ind w:firstLine="480" w:firstLineChars="200"/>
        <w:rPr>
          <w:rFonts w:hint="default" w:hAnsi="宋体"/>
          <w:color w:val="000000"/>
          <w:sz w:val="24"/>
          <w:szCs w:val="24"/>
        </w:rPr>
      </w:pPr>
      <w:r>
        <w:rPr>
          <w:rFonts w:hAnsi="宋体"/>
          <w:color w:val="000000"/>
          <w:sz w:val="24"/>
          <w:szCs w:val="24"/>
        </w:rPr>
        <w:t>3.3 通过资格性审查和符合性审查的供应商不足三家的，本次竞争性磋商采购活动终止。</w:t>
      </w:r>
    </w:p>
    <w:p>
      <w:pPr>
        <w:pStyle w:val="26"/>
        <w:snapToGrid w:val="0"/>
        <w:spacing w:line="300" w:lineRule="auto"/>
        <w:ind w:firstLine="480" w:firstLineChars="200"/>
        <w:rPr>
          <w:rFonts w:hint="default" w:hAnsi="宋体"/>
          <w:color w:val="000000"/>
          <w:sz w:val="24"/>
          <w:szCs w:val="24"/>
        </w:rPr>
      </w:pPr>
      <w:r>
        <w:rPr>
          <w:rFonts w:hAnsi="宋体"/>
          <w:color w:val="000000"/>
          <w:sz w:val="24"/>
          <w:szCs w:val="24"/>
        </w:rPr>
        <w:t>3.4 采购</w:t>
      </w:r>
      <w:r>
        <w:rPr>
          <w:rFonts w:hAnsi="宋体"/>
          <w:color w:val="000000"/>
          <w:sz w:val="24"/>
          <w:szCs w:val="24"/>
          <w:lang w:val="zh-CN"/>
        </w:rPr>
        <w:t>代理机构</w:t>
      </w:r>
      <w:r>
        <w:rPr>
          <w:rFonts w:hAnsi="宋体"/>
          <w:color w:val="000000"/>
          <w:sz w:val="24"/>
          <w:szCs w:val="24"/>
        </w:rPr>
        <w:t>组织磋商小组成员按磋商文件规定集中与通过资格性审查和符合性审查的供应商分别进行磋商。</w:t>
      </w:r>
    </w:p>
    <w:p>
      <w:pPr>
        <w:pStyle w:val="26"/>
        <w:snapToGrid w:val="0"/>
        <w:spacing w:line="300" w:lineRule="auto"/>
        <w:ind w:firstLine="480" w:firstLineChars="200"/>
        <w:rPr>
          <w:rFonts w:hint="default" w:hAnsi="宋体"/>
          <w:color w:val="000000"/>
          <w:sz w:val="24"/>
          <w:szCs w:val="24"/>
        </w:rPr>
      </w:pPr>
      <w:r>
        <w:rPr>
          <w:rFonts w:hAnsi="宋体"/>
          <w:color w:val="000000"/>
          <w:sz w:val="24"/>
          <w:szCs w:val="24"/>
        </w:rPr>
        <w:t>3.4.1磋商过程中，磋商小组对供应商递交的首次响应文件进行审查，审查中发现供应商首次响应文件有下列情况之一的，应按照无效响应文件处理：</w:t>
      </w:r>
    </w:p>
    <w:p>
      <w:pPr>
        <w:pStyle w:val="26"/>
        <w:snapToGrid w:val="0"/>
        <w:spacing w:line="300" w:lineRule="auto"/>
        <w:ind w:firstLine="480" w:firstLineChars="200"/>
        <w:rPr>
          <w:rFonts w:hint="default" w:hAnsi="宋体"/>
          <w:color w:val="000000"/>
          <w:sz w:val="24"/>
          <w:szCs w:val="24"/>
        </w:rPr>
      </w:pPr>
      <w:r>
        <w:rPr>
          <w:rFonts w:hAnsi="宋体"/>
          <w:color w:val="000000"/>
          <w:sz w:val="24"/>
          <w:szCs w:val="24"/>
        </w:rPr>
        <w:t>（1）响应文件正副本数量不足的；</w:t>
      </w:r>
    </w:p>
    <w:p>
      <w:pPr>
        <w:pStyle w:val="26"/>
        <w:snapToGrid w:val="0"/>
        <w:spacing w:line="300" w:lineRule="auto"/>
        <w:ind w:firstLine="480" w:firstLineChars="200"/>
        <w:rPr>
          <w:rFonts w:hint="default" w:hAnsi="宋体"/>
          <w:color w:val="000000"/>
          <w:sz w:val="24"/>
          <w:szCs w:val="24"/>
        </w:rPr>
      </w:pPr>
      <w:r>
        <w:rPr>
          <w:rFonts w:hAnsi="宋体"/>
          <w:color w:val="000000"/>
          <w:sz w:val="24"/>
          <w:szCs w:val="24"/>
        </w:rPr>
        <w:t>（2）响应文件的语言、报价货币和知识产权不符合采购文件的规定，影响磋商小组评判的；</w:t>
      </w:r>
    </w:p>
    <w:p>
      <w:pPr>
        <w:pStyle w:val="26"/>
        <w:snapToGrid w:val="0"/>
        <w:spacing w:line="300" w:lineRule="auto"/>
        <w:ind w:firstLine="480" w:firstLineChars="200"/>
        <w:rPr>
          <w:rFonts w:hint="default" w:hAnsi="宋体"/>
          <w:color w:val="000000"/>
          <w:sz w:val="24"/>
          <w:szCs w:val="24"/>
        </w:rPr>
      </w:pPr>
      <w:r>
        <w:rPr>
          <w:rFonts w:hAnsi="宋体"/>
          <w:color w:val="000000"/>
          <w:sz w:val="24"/>
          <w:szCs w:val="24"/>
        </w:rPr>
        <w:t>（3）响应文件中项目负责人（项目经理）不符合采购文件的规定要求；</w:t>
      </w:r>
    </w:p>
    <w:p>
      <w:pPr>
        <w:pStyle w:val="26"/>
        <w:snapToGrid w:val="0"/>
        <w:spacing w:line="300" w:lineRule="auto"/>
        <w:ind w:firstLine="480" w:firstLineChars="200"/>
        <w:rPr>
          <w:rFonts w:hint="default" w:hAnsi="宋体"/>
          <w:color w:val="000000"/>
          <w:sz w:val="24"/>
          <w:szCs w:val="24"/>
        </w:rPr>
      </w:pPr>
      <w:r>
        <w:rPr>
          <w:rFonts w:hAnsi="宋体"/>
          <w:color w:val="000000"/>
          <w:sz w:val="24"/>
          <w:szCs w:val="24"/>
        </w:rPr>
        <w:t>（4）响应文件中未附施工组织设计或实施方案；</w:t>
      </w:r>
    </w:p>
    <w:p>
      <w:pPr>
        <w:pStyle w:val="26"/>
        <w:snapToGrid w:val="0"/>
        <w:spacing w:line="300" w:lineRule="auto"/>
        <w:ind w:firstLine="480" w:firstLineChars="200"/>
        <w:rPr>
          <w:rFonts w:hint="default" w:hAnsi="宋体"/>
          <w:color w:val="000000"/>
          <w:sz w:val="24"/>
          <w:szCs w:val="24"/>
        </w:rPr>
      </w:pPr>
      <w:r>
        <w:rPr>
          <w:rFonts w:hAnsi="宋体"/>
          <w:color w:val="000000"/>
          <w:sz w:val="24"/>
          <w:szCs w:val="24"/>
        </w:rPr>
        <w:t>（5）响应文件中未附已标价工程量清单。</w:t>
      </w:r>
    </w:p>
    <w:p>
      <w:pPr>
        <w:pStyle w:val="26"/>
        <w:snapToGrid w:val="0"/>
        <w:spacing w:line="300" w:lineRule="auto"/>
        <w:ind w:firstLine="480" w:firstLineChars="200"/>
        <w:rPr>
          <w:rFonts w:hint="default" w:hAnsi="宋体"/>
          <w:color w:val="000000"/>
          <w:sz w:val="24"/>
          <w:szCs w:val="24"/>
        </w:rPr>
      </w:pPr>
      <w:r>
        <w:rPr>
          <w:rFonts w:hAnsi="宋体"/>
          <w:color w:val="000000"/>
          <w:sz w:val="24"/>
          <w:szCs w:val="24"/>
        </w:rPr>
        <w:t>3.4.2对已标价工程量清单的评审</w:t>
      </w:r>
    </w:p>
    <w:p>
      <w:pPr>
        <w:pStyle w:val="26"/>
        <w:snapToGrid w:val="0"/>
        <w:spacing w:line="300" w:lineRule="auto"/>
        <w:ind w:firstLine="480" w:firstLineChars="200"/>
        <w:rPr>
          <w:rFonts w:hint="default" w:hAnsi="宋体"/>
          <w:color w:val="000000"/>
          <w:sz w:val="24"/>
          <w:szCs w:val="24"/>
        </w:rPr>
      </w:pPr>
      <w:r>
        <w:rPr>
          <w:rFonts w:hAnsi="宋体"/>
          <w:color w:val="000000"/>
          <w:sz w:val="24"/>
          <w:szCs w:val="24"/>
        </w:rPr>
        <w:t>（1）供应商已标价工程量清单出现《第四章  工程量清单及其他要求》中第4.9款规定情形之一的，应按照无效响应文件处理；</w:t>
      </w:r>
    </w:p>
    <w:p>
      <w:pPr>
        <w:pStyle w:val="26"/>
        <w:snapToGrid w:val="0"/>
        <w:spacing w:line="300" w:lineRule="auto"/>
        <w:ind w:firstLine="480" w:firstLineChars="200"/>
        <w:rPr>
          <w:rFonts w:hint="default" w:hAnsi="宋体"/>
          <w:color w:val="000000"/>
          <w:sz w:val="24"/>
          <w:szCs w:val="24"/>
        </w:rPr>
      </w:pPr>
      <w:r>
        <w:rPr>
          <w:rFonts w:hAnsi="宋体"/>
          <w:color w:val="000000"/>
          <w:sz w:val="24"/>
          <w:szCs w:val="24"/>
        </w:rPr>
        <w:t>（2）磋商小组对供应商已标价工程量清单进行算术性复核，如果出现下列不一致的，按以下原则进行修正：</w:t>
      </w:r>
    </w:p>
    <w:p>
      <w:pPr>
        <w:pStyle w:val="26"/>
        <w:snapToGrid w:val="0"/>
        <w:spacing w:line="300" w:lineRule="auto"/>
        <w:ind w:firstLine="480" w:firstLineChars="200"/>
        <w:rPr>
          <w:rFonts w:hint="default" w:hAnsi="宋体"/>
          <w:color w:val="000000"/>
          <w:sz w:val="24"/>
          <w:szCs w:val="24"/>
        </w:rPr>
      </w:pPr>
      <w:r>
        <w:rPr>
          <w:rFonts w:hAnsi="宋体"/>
          <w:color w:val="000000"/>
          <w:sz w:val="24"/>
          <w:szCs w:val="24"/>
        </w:rPr>
        <w:t>总价金额与依据单价计算出的结果不一致的，以单价金额为准修正总价，但单价金额小数点有明显错误的除外（包括但不限于工程量清单、单位工程汇总表、单项工程汇总表、投标报价汇总表）。</w:t>
      </w:r>
    </w:p>
    <w:p>
      <w:pPr>
        <w:pStyle w:val="26"/>
        <w:snapToGrid w:val="0"/>
        <w:spacing w:line="300" w:lineRule="auto"/>
        <w:ind w:firstLine="480" w:firstLineChars="200"/>
        <w:rPr>
          <w:rFonts w:hint="default" w:hAnsi="宋体"/>
          <w:color w:val="000000"/>
          <w:sz w:val="24"/>
          <w:szCs w:val="24"/>
        </w:rPr>
      </w:pPr>
      <w:r>
        <w:rPr>
          <w:rFonts w:hAnsi="宋体"/>
          <w:color w:val="000000"/>
          <w:sz w:val="24"/>
          <w:szCs w:val="24"/>
        </w:rPr>
        <w:t>修正后的报价经供应商确认后产生约束力，供应商不确认的，其响应文件作为无效处理。供应商确认采取书面且加盖单位公章或者供应商授权代表签字的方式。</w:t>
      </w:r>
    </w:p>
    <w:p>
      <w:pPr>
        <w:pStyle w:val="26"/>
        <w:snapToGrid w:val="0"/>
        <w:spacing w:line="300" w:lineRule="auto"/>
        <w:ind w:firstLine="480" w:firstLineChars="200"/>
        <w:rPr>
          <w:rFonts w:hint="default" w:hAnsi="宋体"/>
          <w:color w:val="000000"/>
          <w:sz w:val="24"/>
          <w:szCs w:val="24"/>
        </w:rPr>
      </w:pPr>
      <w:r>
        <w:rPr>
          <w:rFonts w:hAnsi="宋体"/>
          <w:color w:val="000000"/>
          <w:sz w:val="24"/>
          <w:szCs w:val="24"/>
        </w:rPr>
        <w:t>不得未经澄清、说明或者更正，直接将供应商响应文件作为无效处理。</w:t>
      </w:r>
    </w:p>
    <w:p>
      <w:pPr>
        <w:pStyle w:val="26"/>
        <w:snapToGrid w:val="0"/>
        <w:spacing w:line="300" w:lineRule="auto"/>
        <w:ind w:firstLine="480" w:firstLineChars="200"/>
        <w:rPr>
          <w:rFonts w:hint="default" w:hAnsi="宋体"/>
          <w:color w:val="000000"/>
          <w:sz w:val="24"/>
          <w:szCs w:val="24"/>
        </w:rPr>
      </w:pPr>
      <w:r>
        <w:rPr>
          <w:rFonts w:hAnsi="宋体"/>
          <w:color w:val="000000"/>
          <w:sz w:val="24"/>
          <w:szCs w:val="24"/>
        </w:rPr>
        <w:t>（3）磋商小组对供应商已标价工程量清单的项目单价进行分析，对明显不合理的单价（如明显偏高或偏低）项目,应在评审报告中记录，提醒采购人在签订合同时注意，并在合同履行过程中加强风险防范。</w:t>
      </w:r>
    </w:p>
    <w:p>
      <w:pPr>
        <w:pStyle w:val="26"/>
        <w:snapToGrid w:val="0"/>
        <w:spacing w:line="300" w:lineRule="auto"/>
        <w:ind w:firstLine="480" w:firstLineChars="200"/>
        <w:rPr>
          <w:rFonts w:hint="default" w:hAnsi="宋体"/>
          <w:color w:val="000000"/>
          <w:sz w:val="24"/>
          <w:szCs w:val="24"/>
        </w:rPr>
      </w:pPr>
      <w:r>
        <w:rPr>
          <w:rFonts w:hAnsi="宋体"/>
          <w:color w:val="000000"/>
          <w:sz w:val="24"/>
          <w:szCs w:val="24"/>
        </w:rPr>
        <w:t>3.5 磋商过程中，磋商小组可以根据磋商情况调整磋商轮次。磋商小组经采购单位代表确认后，可以根据磋商情况实质性变动技术、服务、商务要求及合同草案条款，并将变更的内容及时以书面形式通知所有参加磋商的供应商，变动通知为本次磋商文件的有效组成部分。</w:t>
      </w:r>
    </w:p>
    <w:p>
      <w:pPr>
        <w:pStyle w:val="26"/>
        <w:snapToGrid w:val="0"/>
        <w:spacing w:line="300" w:lineRule="auto"/>
        <w:ind w:firstLine="480" w:firstLineChars="200"/>
        <w:rPr>
          <w:rFonts w:hint="default" w:hAnsi="宋体"/>
          <w:color w:val="000000"/>
          <w:sz w:val="24"/>
          <w:szCs w:val="24"/>
        </w:rPr>
      </w:pPr>
      <w:r>
        <w:rPr>
          <w:rFonts w:hAnsi="宋体"/>
          <w:color w:val="000000"/>
          <w:sz w:val="24"/>
          <w:szCs w:val="24"/>
        </w:rPr>
        <w:t>3.6 磋商过程中，供应商可以根据磋商情况变更其响应文件，并将变更内容形成书面材料送磋商小组。变更内容应作为响应文件的一部分。</w:t>
      </w:r>
    </w:p>
    <w:p>
      <w:pPr>
        <w:pStyle w:val="26"/>
        <w:snapToGrid w:val="0"/>
        <w:spacing w:line="300" w:lineRule="auto"/>
        <w:ind w:firstLine="480" w:firstLineChars="200"/>
        <w:rPr>
          <w:rFonts w:hint="default" w:hAnsi="宋体"/>
          <w:color w:val="000000"/>
          <w:sz w:val="24"/>
          <w:szCs w:val="24"/>
        </w:rPr>
      </w:pPr>
      <w:r>
        <w:rPr>
          <w:rFonts w:hAnsi="宋体"/>
          <w:color w:val="000000"/>
          <w:sz w:val="24"/>
          <w:szCs w:val="24"/>
        </w:rPr>
        <w:t>供应商书面材料应当签字确认，否则无效。供应商为法人的，应当由其法定代表人或者代理人签字确认。</w:t>
      </w:r>
    </w:p>
    <w:p>
      <w:pPr>
        <w:pStyle w:val="26"/>
        <w:snapToGrid w:val="0"/>
        <w:spacing w:line="300" w:lineRule="auto"/>
        <w:ind w:firstLine="480" w:firstLineChars="200"/>
        <w:rPr>
          <w:rFonts w:hint="default" w:hAnsi="宋体"/>
          <w:color w:val="000000"/>
          <w:sz w:val="24"/>
          <w:szCs w:val="24"/>
        </w:rPr>
      </w:pPr>
      <w:r>
        <w:rPr>
          <w:rFonts w:hAnsi="宋体"/>
          <w:color w:val="000000"/>
          <w:sz w:val="24"/>
          <w:szCs w:val="24"/>
        </w:rPr>
        <w:t>3.7磋商过程中，磋商小组获得采购单位同意（由采购单位代表签字确认）后，可以根据磋商文件和磋商情况实质性变动磋商文件中的技术、服务、商务要求以及合同草案条款，但不得变动磋商文件中的其他内容；对磋商文件作出的实质性变动是磋商文件的有效组成部分，磋商小组应当及时以书面形式同时通知所有参加磋商的供应商。</w:t>
      </w:r>
    </w:p>
    <w:p>
      <w:pPr>
        <w:pStyle w:val="26"/>
        <w:snapToGrid w:val="0"/>
        <w:spacing w:line="300" w:lineRule="auto"/>
        <w:ind w:firstLine="480" w:firstLineChars="200"/>
        <w:rPr>
          <w:rFonts w:hint="default" w:hAnsi="宋体"/>
          <w:color w:val="000000"/>
          <w:sz w:val="24"/>
          <w:szCs w:val="24"/>
        </w:rPr>
      </w:pPr>
      <w:r>
        <w:rPr>
          <w:rFonts w:hAnsi="宋体"/>
          <w:color w:val="000000"/>
          <w:sz w:val="24"/>
          <w:szCs w:val="24"/>
        </w:rPr>
        <w:t xml:space="preserve">  磋商过程中，供应商可以根据磋商情况变更其响应文件，并将变更内容形成书面材料送磋商小组；变更内容作为响应文件的一部分。供应商书面材料应当签字确认，否则无效。</w:t>
      </w:r>
    </w:p>
    <w:p>
      <w:pPr>
        <w:pStyle w:val="26"/>
        <w:snapToGrid w:val="0"/>
        <w:spacing w:line="300" w:lineRule="auto"/>
        <w:ind w:firstLine="480" w:firstLineChars="200"/>
        <w:rPr>
          <w:rFonts w:hint="default" w:hAnsi="宋体"/>
          <w:color w:val="000000"/>
          <w:sz w:val="24"/>
          <w:szCs w:val="24"/>
        </w:rPr>
      </w:pPr>
      <w:r>
        <w:rPr>
          <w:rFonts w:hAnsi="宋体"/>
          <w:color w:val="000000"/>
          <w:sz w:val="24"/>
          <w:szCs w:val="24"/>
        </w:rPr>
        <w:t>3.8磋商达到供应商响应文件符合采购需求、质量和服务要求的前提下，磋商小组应要求供应商进行最后报价；供应商响应文件满足或者高于磋商小组规定的采购项目最低要求时，即视同供应商响应文件符合采购需求、质量和服务相等。</w:t>
      </w:r>
    </w:p>
    <w:p>
      <w:pPr>
        <w:pStyle w:val="26"/>
        <w:snapToGrid w:val="0"/>
        <w:spacing w:line="300" w:lineRule="auto"/>
        <w:ind w:firstLine="480" w:firstLineChars="200"/>
        <w:rPr>
          <w:rFonts w:hint="default" w:hAnsi="宋体"/>
          <w:color w:val="000000"/>
          <w:sz w:val="24"/>
          <w:szCs w:val="24"/>
        </w:rPr>
      </w:pPr>
      <w:r>
        <w:rPr>
          <w:rFonts w:hAnsi="宋体"/>
          <w:color w:val="000000"/>
          <w:sz w:val="24"/>
          <w:szCs w:val="24"/>
        </w:rPr>
        <w:t>3.9磋商小组经过三轮以上磋商后，供应商的响应文件仍然不能满足磋商文件规定的采购项目最低要求的，或者磋商过程中，磋商小组发现或者知晓供应商存在违法、违纪行为的，磋商小组应当将该供应商淘汰，不允许其参加最后报价。</w:t>
      </w:r>
    </w:p>
    <w:p>
      <w:pPr>
        <w:pStyle w:val="26"/>
        <w:snapToGrid w:val="0"/>
        <w:spacing w:line="300" w:lineRule="auto"/>
        <w:ind w:firstLine="480" w:firstLineChars="200"/>
        <w:rPr>
          <w:rFonts w:hint="default" w:hAnsi="宋体"/>
          <w:color w:val="000000"/>
          <w:sz w:val="24"/>
          <w:szCs w:val="24"/>
        </w:rPr>
      </w:pPr>
      <w:r>
        <w:rPr>
          <w:rFonts w:hAnsi="宋体"/>
          <w:color w:val="000000"/>
          <w:sz w:val="24"/>
          <w:szCs w:val="24"/>
        </w:rPr>
        <w:t>磋商小组淘汰供应商的，应当通知该供应商，并说明理由。</w:t>
      </w:r>
    </w:p>
    <w:p>
      <w:pPr>
        <w:pStyle w:val="26"/>
        <w:snapToGrid w:val="0"/>
        <w:spacing w:line="300" w:lineRule="auto"/>
        <w:ind w:firstLine="480" w:firstLineChars="200"/>
        <w:rPr>
          <w:rFonts w:hint="default" w:hAnsi="宋体"/>
          <w:color w:val="000000"/>
          <w:sz w:val="24"/>
          <w:szCs w:val="24"/>
        </w:rPr>
      </w:pPr>
      <w:r>
        <w:rPr>
          <w:rFonts w:hAnsi="宋体"/>
          <w:color w:val="000000"/>
          <w:sz w:val="24"/>
          <w:szCs w:val="24"/>
        </w:rPr>
        <w:t>3.10最终报价</w:t>
      </w:r>
    </w:p>
    <w:p>
      <w:pPr>
        <w:pStyle w:val="26"/>
        <w:snapToGrid w:val="0"/>
        <w:spacing w:line="300" w:lineRule="auto"/>
        <w:ind w:firstLine="480" w:firstLineChars="200"/>
        <w:rPr>
          <w:rFonts w:hint="default" w:hAnsi="宋体"/>
          <w:color w:val="000000"/>
          <w:sz w:val="24"/>
          <w:szCs w:val="24"/>
        </w:rPr>
      </w:pPr>
      <w:r>
        <w:rPr>
          <w:rFonts w:hAnsi="宋体"/>
          <w:color w:val="000000"/>
          <w:sz w:val="24"/>
          <w:szCs w:val="24"/>
        </w:rPr>
        <w:t>（1）磋商结束后，磋商小组应当要求不少于三家的供应商在规定时间内提交最终报价，最终报价是供应商响应文件的有效组成部分。</w:t>
      </w:r>
    </w:p>
    <w:p>
      <w:pPr>
        <w:pStyle w:val="26"/>
        <w:snapToGrid w:val="0"/>
        <w:spacing w:line="300" w:lineRule="auto"/>
        <w:ind w:firstLine="480" w:firstLineChars="200"/>
        <w:rPr>
          <w:rFonts w:hint="default" w:hAnsi="宋体"/>
          <w:color w:val="000000"/>
          <w:sz w:val="24"/>
          <w:szCs w:val="24"/>
        </w:rPr>
      </w:pPr>
      <w:r>
        <w:rPr>
          <w:rFonts w:hAnsi="宋体"/>
          <w:color w:val="000000"/>
          <w:sz w:val="24"/>
          <w:szCs w:val="24"/>
        </w:rPr>
        <w:t>（2）最终报价由供应商填写“最终报价表”，经法定代表人或其委托代理人签字后密封递交给磋商小组。有效报价应符合下列条件：</w:t>
      </w:r>
    </w:p>
    <w:p>
      <w:pPr>
        <w:pStyle w:val="26"/>
        <w:snapToGrid w:val="0"/>
        <w:spacing w:line="300" w:lineRule="auto"/>
        <w:rPr>
          <w:rFonts w:hint="default" w:hAnsi="宋体"/>
          <w:color w:val="000000"/>
          <w:sz w:val="24"/>
          <w:szCs w:val="24"/>
        </w:rPr>
      </w:pPr>
      <w:r>
        <w:rPr>
          <w:rFonts w:hint="default" w:hAnsi="宋体"/>
          <w:color w:val="000000"/>
          <w:sz w:val="24"/>
          <w:szCs w:val="24"/>
        </w:rPr>
        <w:t xml:space="preserve">    a、</w:t>
      </w:r>
      <w:r>
        <w:rPr>
          <w:rFonts w:hAnsi="宋体"/>
          <w:color w:val="000000"/>
          <w:sz w:val="24"/>
          <w:szCs w:val="24"/>
        </w:rPr>
        <w:t>供应商所提供的最后报价是在规定的时间内提交；</w:t>
      </w:r>
    </w:p>
    <w:p>
      <w:pPr>
        <w:pStyle w:val="26"/>
        <w:snapToGrid w:val="0"/>
        <w:spacing w:line="300" w:lineRule="auto"/>
        <w:ind w:firstLine="480" w:firstLineChars="200"/>
        <w:rPr>
          <w:rFonts w:hint="default" w:hAnsi="宋体"/>
          <w:color w:val="000000"/>
          <w:sz w:val="24"/>
          <w:szCs w:val="24"/>
        </w:rPr>
      </w:pPr>
      <w:r>
        <w:rPr>
          <w:rFonts w:hint="default" w:hAnsi="宋体"/>
          <w:color w:val="000000"/>
          <w:sz w:val="24"/>
          <w:szCs w:val="24"/>
        </w:rPr>
        <w:t>b、</w:t>
      </w:r>
      <w:r>
        <w:rPr>
          <w:rFonts w:hAnsi="宋体"/>
          <w:color w:val="000000"/>
          <w:sz w:val="24"/>
          <w:szCs w:val="24"/>
        </w:rPr>
        <w:t>供应商的最终报价具有法定代表人或其委托代理人签字；</w:t>
      </w:r>
    </w:p>
    <w:p>
      <w:pPr>
        <w:pStyle w:val="26"/>
        <w:snapToGrid w:val="0"/>
        <w:spacing w:line="300" w:lineRule="auto"/>
        <w:ind w:firstLine="480" w:firstLineChars="200"/>
        <w:rPr>
          <w:rFonts w:hint="default" w:hAnsi="宋体"/>
          <w:color w:val="000000"/>
          <w:sz w:val="24"/>
          <w:szCs w:val="24"/>
        </w:rPr>
      </w:pPr>
      <w:r>
        <w:rPr>
          <w:rFonts w:hint="default" w:hAnsi="宋体"/>
          <w:color w:val="000000"/>
          <w:sz w:val="24"/>
          <w:szCs w:val="24"/>
        </w:rPr>
        <w:t>c、</w:t>
      </w:r>
      <w:r>
        <w:rPr>
          <w:rFonts w:hAnsi="宋体"/>
          <w:color w:val="000000"/>
          <w:sz w:val="24"/>
          <w:szCs w:val="24"/>
        </w:rPr>
        <w:t>供应商的最终报价符合磋商文件第四章的要求；</w:t>
      </w:r>
    </w:p>
    <w:p>
      <w:pPr>
        <w:pStyle w:val="26"/>
        <w:snapToGrid w:val="0"/>
        <w:spacing w:line="300" w:lineRule="auto"/>
        <w:ind w:firstLine="480" w:firstLineChars="200"/>
        <w:rPr>
          <w:rFonts w:hint="default" w:hAnsi="宋体"/>
          <w:color w:val="000000"/>
          <w:sz w:val="24"/>
          <w:szCs w:val="24"/>
        </w:rPr>
      </w:pPr>
      <w:r>
        <w:rPr>
          <w:rFonts w:hint="default" w:hAnsi="宋体"/>
          <w:color w:val="000000"/>
          <w:sz w:val="24"/>
          <w:szCs w:val="24"/>
        </w:rPr>
        <w:t>d、</w:t>
      </w:r>
      <w:r>
        <w:rPr>
          <w:rFonts w:hAnsi="宋体"/>
          <w:color w:val="000000"/>
          <w:sz w:val="24"/>
          <w:szCs w:val="24"/>
        </w:rPr>
        <w:t>最终报价表一旦递交后，供应商不得以任何理由撤回。</w:t>
      </w:r>
    </w:p>
    <w:p>
      <w:pPr>
        <w:pStyle w:val="26"/>
        <w:snapToGrid w:val="0"/>
        <w:spacing w:line="300" w:lineRule="auto"/>
        <w:ind w:firstLine="480" w:firstLineChars="200"/>
        <w:rPr>
          <w:rFonts w:hint="default" w:hAnsi="宋体"/>
          <w:color w:val="000000"/>
          <w:sz w:val="24"/>
          <w:szCs w:val="24"/>
        </w:rPr>
      </w:pPr>
      <w:r>
        <w:rPr>
          <w:rFonts w:hAnsi="宋体"/>
          <w:color w:val="000000"/>
          <w:sz w:val="24"/>
          <w:szCs w:val="24"/>
        </w:rPr>
        <w:t>（3）供应商最终报价由磋商小组当场宣布。</w:t>
      </w:r>
    </w:p>
    <w:p>
      <w:pPr>
        <w:pStyle w:val="26"/>
        <w:snapToGrid w:val="0"/>
        <w:spacing w:line="300" w:lineRule="auto"/>
        <w:ind w:firstLine="480" w:firstLineChars="200"/>
        <w:rPr>
          <w:rFonts w:hint="default" w:hAnsi="宋体"/>
          <w:color w:val="000000"/>
          <w:sz w:val="24"/>
          <w:szCs w:val="24"/>
        </w:rPr>
      </w:pPr>
      <w:r>
        <w:rPr>
          <w:rFonts w:hAnsi="宋体"/>
          <w:color w:val="000000"/>
          <w:sz w:val="24"/>
          <w:szCs w:val="24"/>
        </w:rPr>
        <w:t>（4）供应商报价结束后，磋商小组应当对提交最终报价供应商的响应文件和最后报价进行综合评分。</w:t>
      </w:r>
    </w:p>
    <w:p>
      <w:pPr>
        <w:pStyle w:val="26"/>
        <w:snapToGrid w:val="0"/>
        <w:spacing w:line="300" w:lineRule="auto"/>
        <w:ind w:firstLine="480" w:firstLineChars="200"/>
        <w:rPr>
          <w:rFonts w:hint="default" w:hAnsi="宋体"/>
          <w:color w:val="000000"/>
          <w:sz w:val="24"/>
          <w:szCs w:val="24"/>
        </w:rPr>
      </w:pPr>
      <w:r>
        <w:rPr>
          <w:rFonts w:hAnsi="宋体"/>
          <w:color w:val="000000"/>
          <w:sz w:val="24"/>
          <w:szCs w:val="24"/>
        </w:rPr>
        <w:t>3.11 在磋商中，磋商的任何一方不得透露与磋商有关的其他供应商的技术资料、价格和其他信息。</w:t>
      </w:r>
    </w:p>
    <w:p>
      <w:pPr>
        <w:pStyle w:val="26"/>
        <w:snapToGrid w:val="0"/>
        <w:spacing w:line="300" w:lineRule="auto"/>
        <w:ind w:firstLine="480" w:firstLineChars="200"/>
        <w:rPr>
          <w:rFonts w:hint="default" w:hAnsi="宋体"/>
          <w:color w:val="000000"/>
          <w:sz w:val="24"/>
          <w:szCs w:val="24"/>
        </w:rPr>
      </w:pPr>
      <w:r>
        <w:rPr>
          <w:rFonts w:hAnsi="宋体"/>
          <w:color w:val="000000"/>
          <w:sz w:val="24"/>
          <w:szCs w:val="24"/>
        </w:rPr>
        <w:t>3.12 综合评分办法</w:t>
      </w:r>
    </w:p>
    <w:p>
      <w:pPr>
        <w:pStyle w:val="26"/>
        <w:snapToGrid w:val="0"/>
        <w:spacing w:line="300" w:lineRule="auto"/>
        <w:ind w:firstLine="480" w:firstLineChars="200"/>
        <w:rPr>
          <w:rFonts w:hint="default" w:hAnsi="宋体"/>
          <w:sz w:val="24"/>
          <w:szCs w:val="24"/>
        </w:rPr>
      </w:pPr>
      <w:r>
        <w:rPr>
          <w:rFonts w:hAnsi="宋体"/>
          <w:sz w:val="24"/>
          <w:szCs w:val="24"/>
        </w:rPr>
        <w:t>评分标准：</w:t>
      </w:r>
    </w:p>
    <w:p>
      <w:pPr>
        <w:pStyle w:val="26"/>
        <w:snapToGrid w:val="0"/>
        <w:spacing w:line="300" w:lineRule="auto"/>
        <w:ind w:firstLine="480" w:firstLineChars="200"/>
        <w:rPr>
          <w:rFonts w:hint="default" w:hAnsi="宋体"/>
          <w:color w:val="000000"/>
          <w:sz w:val="24"/>
          <w:szCs w:val="24"/>
        </w:rPr>
      </w:pPr>
      <w:r>
        <w:rPr>
          <w:rFonts w:hAnsi="宋体"/>
          <w:color w:val="000000"/>
          <w:sz w:val="24"/>
          <w:szCs w:val="24"/>
        </w:rPr>
        <w:t>3.12.1依照《中华人民共和国政府采购法》、《中华人民共和国政府采购法实施条例》、财政部《政府采购货物和服务招投标管理办法》、《关于加强政府采购货物和服务项目价格评审管理的通知》、《政府采购竞争性磋商采购方式管理暂行办法》的规定，结合该项目的特点制定本评审办法。本次评审采用综合评分法，评审内容分为磋商报价（最后报价）、施工组织设计、项目管理机构、企业业绩与信誉四部分组成（满分100分）。</w:t>
      </w:r>
    </w:p>
    <w:p>
      <w:pPr>
        <w:ind w:firstLine="480"/>
        <w:rPr>
          <w:rFonts w:ascii="宋体" w:hAnsi="宋体"/>
        </w:rPr>
      </w:pPr>
      <w:r>
        <w:rPr>
          <w:rFonts w:hint="eastAsia" w:ascii="宋体" w:hAnsi="宋体"/>
        </w:rPr>
        <w:t>3.12.2评审办法</w:t>
      </w:r>
    </w:p>
    <w:tbl>
      <w:tblPr>
        <w:tblStyle w:val="46"/>
        <w:tblW w:w="99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
        <w:gridCol w:w="1618"/>
        <w:gridCol w:w="2210"/>
        <w:gridCol w:w="7"/>
        <w:gridCol w:w="53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357" w:type="dxa"/>
            <w:gridSpan w:val="2"/>
          </w:tcPr>
          <w:p>
            <w:pPr>
              <w:autoSpaceDE w:val="0"/>
              <w:autoSpaceDN w:val="0"/>
              <w:adjustRightInd w:val="0"/>
              <w:spacing w:line="400" w:lineRule="exact"/>
              <w:jc w:val="center"/>
              <w:rPr>
                <w:rFonts w:ascii="宋体" w:hAnsi="宋体" w:cs="宋体"/>
                <w:b/>
                <w:sz w:val="22"/>
                <w:szCs w:val="22"/>
              </w:rPr>
            </w:pPr>
            <w:r>
              <w:rPr>
                <w:rFonts w:hint="eastAsia" w:ascii="宋体" w:hAnsi="宋体" w:cs="宋体"/>
                <w:b/>
                <w:sz w:val="22"/>
                <w:szCs w:val="22"/>
              </w:rPr>
              <w:t>条款号</w:t>
            </w:r>
          </w:p>
        </w:tc>
        <w:tc>
          <w:tcPr>
            <w:tcW w:w="2217" w:type="dxa"/>
            <w:gridSpan w:val="2"/>
          </w:tcPr>
          <w:p>
            <w:pPr>
              <w:autoSpaceDE w:val="0"/>
              <w:autoSpaceDN w:val="0"/>
              <w:adjustRightInd w:val="0"/>
              <w:spacing w:line="400" w:lineRule="exact"/>
              <w:jc w:val="center"/>
              <w:rPr>
                <w:rFonts w:ascii="宋体" w:hAnsi="宋体" w:cs="TimesNewRomanPSMT"/>
                <w:b/>
                <w:sz w:val="22"/>
                <w:szCs w:val="22"/>
              </w:rPr>
            </w:pPr>
            <w:r>
              <w:rPr>
                <w:rFonts w:hint="eastAsia" w:ascii="宋体" w:hAnsi="宋体" w:cs="宋体"/>
                <w:b/>
                <w:sz w:val="22"/>
                <w:szCs w:val="22"/>
              </w:rPr>
              <w:t>条款内容</w:t>
            </w:r>
          </w:p>
        </w:tc>
        <w:tc>
          <w:tcPr>
            <w:tcW w:w="5333" w:type="dxa"/>
          </w:tcPr>
          <w:p>
            <w:pPr>
              <w:autoSpaceDE w:val="0"/>
              <w:autoSpaceDN w:val="0"/>
              <w:adjustRightInd w:val="0"/>
              <w:spacing w:line="400" w:lineRule="exact"/>
              <w:rPr>
                <w:rFonts w:ascii="宋体" w:hAnsi="宋体" w:cs="宋体"/>
                <w:sz w:val="22"/>
                <w:szCs w:val="22"/>
              </w:rPr>
            </w:pPr>
            <w:r>
              <w:rPr>
                <w:rFonts w:hint="eastAsia" w:ascii="宋体" w:hAnsi="宋体" w:cs="宋体"/>
                <w:b/>
                <w:sz w:val="22"/>
                <w:szCs w:val="22"/>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357" w:type="dxa"/>
            <w:gridSpan w:val="2"/>
            <w:vAlign w:val="center"/>
          </w:tcPr>
          <w:p>
            <w:pPr>
              <w:autoSpaceDE w:val="0"/>
              <w:autoSpaceDN w:val="0"/>
              <w:adjustRightInd w:val="0"/>
              <w:spacing w:line="400" w:lineRule="exact"/>
              <w:jc w:val="center"/>
              <w:rPr>
                <w:rFonts w:ascii="宋体" w:hAnsi="宋体" w:cs="宋体"/>
                <w:sz w:val="22"/>
                <w:szCs w:val="22"/>
              </w:rPr>
            </w:pPr>
            <w:r>
              <w:rPr>
                <w:rFonts w:ascii="宋体" w:hAnsi="宋体" w:cs="TimesNewRomanPSMT"/>
                <w:sz w:val="22"/>
                <w:szCs w:val="22"/>
              </w:rPr>
              <w:t>1</w:t>
            </w:r>
          </w:p>
        </w:tc>
        <w:tc>
          <w:tcPr>
            <w:tcW w:w="2217" w:type="dxa"/>
            <w:gridSpan w:val="2"/>
            <w:vAlign w:val="center"/>
          </w:tcPr>
          <w:p>
            <w:pPr>
              <w:autoSpaceDE w:val="0"/>
              <w:autoSpaceDN w:val="0"/>
              <w:adjustRightInd w:val="0"/>
              <w:spacing w:line="400" w:lineRule="exact"/>
              <w:jc w:val="center"/>
              <w:rPr>
                <w:rFonts w:ascii="宋体" w:hAnsi="宋体" w:cs="宋体"/>
                <w:sz w:val="22"/>
                <w:szCs w:val="22"/>
              </w:rPr>
            </w:pPr>
            <w:r>
              <w:rPr>
                <w:rFonts w:hint="eastAsia" w:ascii="宋体" w:hAnsi="宋体" w:cs="宋体"/>
                <w:sz w:val="22"/>
                <w:szCs w:val="22"/>
              </w:rPr>
              <w:t>分值构成</w:t>
            </w:r>
          </w:p>
          <w:p>
            <w:pPr>
              <w:autoSpaceDE w:val="0"/>
              <w:autoSpaceDN w:val="0"/>
              <w:adjustRightInd w:val="0"/>
              <w:spacing w:line="400" w:lineRule="exact"/>
              <w:jc w:val="center"/>
              <w:rPr>
                <w:rFonts w:ascii="宋体" w:hAnsi="宋体" w:cs="TimesNewRomanPSMT"/>
                <w:sz w:val="22"/>
                <w:szCs w:val="22"/>
              </w:rPr>
            </w:pPr>
            <w:r>
              <w:rPr>
                <w:rFonts w:ascii="宋体" w:hAnsi="宋体" w:cs="TimesNewRomanPSMT"/>
                <w:sz w:val="22"/>
                <w:szCs w:val="22"/>
              </w:rPr>
              <w:t>(</w:t>
            </w:r>
            <w:r>
              <w:rPr>
                <w:rFonts w:hint="eastAsia" w:ascii="宋体" w:hAnsi="宋体" w:cs="宋体"/>
                <w:sz w:val="22"/>
                <w:szCs w:val="22"/>
              </w:rPr>
              <w:t>总分</w:t>
            </w:r>
            <w:r>
              <w:rPr>
                <w:rFonts w:ascii="宋体" w:hAnsi="宋体" w:cs="TimesNewRomanPSMT"/>
                <w:sz w:val="22"/>
                <w:szCs w:val="22"/>
              </w:rPr>
              <w:t xml:space="preserve">100 </w:t>
            </w:r>
            <w:r>
              <w:rPr>
                <w:rFonts w:hint="eastAsia" w:ascii="宋体" w:hAnsi="宋体" w:cs="宋体"/>
                <w:sz w:val="22"/>
                <w:szCs w:val="22"/>
              </w:rPr>
              <w:t>分</w:t>
            </w:r>
            <w:r>
              <w:rPr>
                <w:rFonts w:ascii="宋体" w:hAnsi="宋体" w:cs="TimesNewRomanPSMT"/>
                <w:sz w:val="22"/>
                <w:szCs w:val="22"/>
              </w:rPr>
              <w:t>)</w:t>
            </w:r>
          </w:p>
        </w:tc>
        <w:tc>
          <w:tcPr>
            <w:tcW w:w="5333" w:type="dxa"/>
          </w:tcPr>
          <w:p>
            <w:pPr>
              <w:autoSpaceDE w:val="0"/>
              <w:autoSpaceDN w:val="0"/>
              <w:adjustRightInd w:val="0"/>
              <w:spacing w:line="400" w:lineRule="exact"/>
              <w:rPr>
                <w:rFonts w:ascii="宋体" w:hAnsi="宋体" w:cs="宋体"/>
                <w:sz w:val="22"/>
                <w:szCs w:val="22"/>
              </w:rPr>
            </w:pPr>
            <w:r>
              <w:rPr>
                <w:rFonts w:hint="eastAsia" w:ascii="宋体" w:hAnsi="宋体" w:cs="宋体"/>
                <w:sz w:val="22"/>
                <w:szCs w:val="22"/>
              </w:rPr>
              <w:t>施工组织设计：</w:t>
            </w:r>
            <w:r>
              <w:rPr>
                <w:rFonts w:ascii="宋体" w:hAnsi="宋体" w:cs="宋体"/>
                <w:sz w:val="22"/>
                <w:szCs w:val="22"/>
              </w:rPr>
              <w:t>35</w:t>
            </w:r>
            <w:r>
              <w:rPr>
                <w:rFonts w:hint="eastAsia" w:ascii="宋体" w:hAnsi="宋体" w:cs="宋体"/>
                <w:sz w:val="22"/>
                <w:szCs w:val="22"/>
              </w:rPr>
              <w:t>分</w:t>
            </w:r>
          </w:p>
          <w:p>
            <w:pPr>
              <w:autoSpaceDE w:val="0"/>
              <w:autoSpaceDN w:val="0"/>
              <w:adjustRightInd w:val="0"/>
              <w:spacing w:line="400" w:lineRule="exact"/>
              <w:rPr>
                <w:rFonts w:ascii="宋体" w:hAnsi="宋体" w:cs="宋体"/>
                <w:sz w:val="22"/>
                <w:szCs w:val="22"/>
              </w:rPr>
            </w:pPr>
            <w:r>
              <w:rPr>
                <w:rFonts w:hint="eastAsia" w:ascii="宋体" w:hAnsi="宋体" w:cs="宋体"/>
                <w:sz w:val="22"/>
                <w:szCs w:val="22"/>
              </w:rPr>
              <w:t>项目管理机构：</w:t>
            </w:r>
            <w:r>
              <w:rPr>
                <w:rFonts w:ascii="宋体" w:hAnsi="宋体" w:cs="宋体"/>
                <w:sz w:val="22"/>
                <w:szCs w:val="22"/>
              </w:rPr>
              <w:t>15</w:t>
            </w:r>
            <w:r>
              <w:rPr>
                <w:rFonts w:hint="eastAsia" w:ascii="宋体" w:hAnsi="宋体" w:cs="宋体"/>
                <w:sz w:val="22"/>
                <w:szCs w:val="22"/>
              </w:rPr>
              <w:t>分</w:t>
            </w:r>
          </w:p>
          <w:p>
            <w:pPr>
              <w:autoSpaceDE w:val="0"/>
              <w:autoSpaceDN w:val="0"/>
              <w:adjustRightInd w:val="0"/>
              <w:spacing w:line="400" w:lineRule="exact"/>
              <w:rPr>
                <w:rFonts w:ascii="宋体" w:hAnsi="宋体" w:cs="宋体"/>
                <w:sz w:val="22"/>
                <w:szCs w:val="22"/>
              </w:rPr>
            </w:pPr>
            <w:r>
              <w:rPr>
                <w:rFonts w:hint="eastAsia" w:ascii="宋体" w:hAnsi="宋体" w:cs="宋体"/>
                <w:sz w:val="22"/>
                <w:szCs w:val="22"/>
              </w:rPr>
              <w:t>企业信誉与业绩：1</w:t>
            </w:r>
            <w:r>
              <w:rPr>
                <w:rFonts w:ascii="宋体" w:hAnsi="宋体" w:cs="宋体"/>
                <w:sz w:val="22"/>
                <w:szCs w:val="22"/>
              </w:rPr>
              <w:t>0</w:t>
            </w:r>
            <w:r>
              <w:rPr>
                <w:rFonts w:hint="eastAsia" w:ascii="宋体" w:hAnsi="宋体" w:cs="宋体"/>
                <w:sz w:val="22"/>
                <w:szCs w:val="22"/>
              </w:rPr>
              <w:t>分</w:t>
            </w:r>
          </w:p>
          <w:p>
            <w:pPr>
              <w:autoSpaceDE w:val="0"/>
              <w:autoSpaceDN w:val="0"/>
              <w:adjustRightInd w:val="0"/>
              <w:spacing w:line="400" w:lineRule="exact"/>
              <w:rPr>
                <w:rFonts w:ascii="宋体" w:hAnsi="宋体" w:cs="宋体"/>
                <w:sz w:val="22"/>
                <w:szCs w:val="22"/>
              </w:rPr>
            </w:pPr>
            <w:r>
              <w:rPr>
                <w:rFonts w:hint="eastAsia" w:ascii="宋体" w:hAnsi="宋体"/>
                <w:bCs/>
                <w:sz w:val="22"/>
                <w:szCs w:val="22"/>
              </w:rPr>
              <w:t>建筑市场信用标</w:t>
            </w:r>
            <w:r>
              <w:rPr>
                <w:rFonts w:hint="eastAsia" w:ascii="宋体" w:hAnsi="宋体" w:cs="宋体"/>
                <w:sz w:val="22"/>
                <w:szCs w:val="22"/>
              </w:rPr>
              <w:t>：</w:t>
            </w:r>
            <w:r>
              <w:rPr>
                <w:rFonts w:ascii="宋体" w:hAnsi="宋体" w:cs="宋体"/>
                <w:sz w:val="22"/>
                <w:szCs w:val="22"/>
              </w:rPr>
              <w:t>10</w:t>
            </w:r>
            <w:r>
              <w:rPr>
                <w:rFonts w:hint="eastAsia" w:ascii="宋体" w:hAnsi="宋体" w:cs="宋体"/>
                <w:sz w:val="22"/>
                <w:szCs w:val="22"/>
              </w:rPr>
              <w:t>分</w:t>
            </w:r>
          </w:p>
          <w:p>
            <w:pPr>
              <w:autoSpaceDE w:val="0"/>
              <w:autoSpaceDN w:val="0"/>
              <w:adjustRightInd w:val="0"/>
              <w:spacing w:line="400" w:lineRule="exact"/>
              <w:rPr>
                <w:rFonts w:ascii="宋体" w:hAnsi="宋体" w:cs="宋体"/>
                <w:sz w:val="22"/>
                <w:szCs w:val="22"/>
              </w:rPr>
            </w:pPr>
            <w:r>
              <w:rPr>
                <w:rFonts w:hint="eastAsia" w:ascii="宋体" w:hAnsi="宋体" w:cs="宋体"/>
                <w:sz w:val="22"/>
                <w:szCs w:val="22"/>
              </w:rPr>
              <w:t>投标报价：</w:t>
            </w:r>
            <w:r>
              <w:rPr>
                <w:rFonts w:ascii="宋体" w:hAnsi="宋体" w:cs="宋体"/>
                <w:sz w:val="22"/>
                <w:szCs w:val="22"/>
              </w:rPr>
              <w:t>30</w:t>
            </w:r>
            <w:r>
              <w:rPr>
                <w:rFonts w:hint="eastAsia" w:ascii="宋体" w:hAnsi="宋体" w:cs="宋体"/>
                <w:sz w:val="22"/>
                <w:szCs w:val="22"/>
              </w:rPr>
              <w:t>分</w:t>
            </w:r>
          </w:p>
          <w:p>
            <w:pPr>
              <w:autoSpaceDE w:val="0"/>
              <w:autoSpaceDN w:val="0"/>
              <w:adjustRightInd w:val="0"/>
              <w:spacing w:line="400" w:lineRule="exact"/>
              <w:rPr>
                <w:rFonts w:ascii="宋体" w:hAnsi="宋体" w:cs="TimesNewRomanPSMT"/>
                <w:b/>
                <w:sz w:val="22"/>
                <w:szCs w:val="22"/>
              </w:rPr>
            </w:pPr>
            <w:r>
              <w:rPr>
                <w:rFonts w:hint="eastAsia" w:ascii="宋体" w:hAnsi="宋体" w:cs="宋体"/>
                <w:sz w:val="22"/>
                <w:szCs w:val="22"/>
              </w:rPr>
              <w:t>其他评分因素：/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357" w:type="dxa"/>
            <w:gridSpan w:val="2"/>
            <w:vAlign w:val="center"/>
          </w:tcPr>
          <w:p>
            <w:pPr>
              <w:autoSpaceDE w:val="0"/>
              <w:autoSpaceDN w:val="0"/>
              <w:adjustRightInd w:val="0"/>
              <w:spacing w:line="400" w:lineRule="exact"/>
              <w:jc w:val="center"/>
              <w:rPr>
                <w:rFonts w:ascii="宋体" w:hAnsi="宋体" w:cs="宋体"/>
                <w:sz w:val="22"/>
                <w:szCs w:val="22"/>
              </w:rPr>
            </w:pPr>
            <w:r>
              <w:rPr>
                <w:rFonts w:ascii="宋体" w:hAnsi="宋体" w:cs="TimesNewRomanPSMT"/>
                <w:sz w:val="22"/>
                <w:szCs w:val="22"/>
              </w:rPr>
              <w:t>2</w:t>
            </w:r>
          </w:p>
        </w:tc>
        <w:tc>
          <w:tcPr>
            <w:tcW w:w="2217" w:type="dxa"/>
            <w:gridSpan w:val="2"/>
            <w:vAlign w:val="center"/>
          </w:tcPr>
          <w:p>
            <w:pPr>
              <w:autoSpaceDE w:val="0"/>
              <w:autoSpaceDN w:val="0"/>
              <w:adjustRightInd w:val="0"/>
              <w:spacing w:line="400" w:lineRule="exact"/>
              <w:jc w:val="center"/>
              <w:rPr>
                <w:rFonts w:ascii="宋体" w:hAnsi="宋体" w:cs="宋体"/>
                <w:sz w:val="22"/>
                <w:szCs w:val="22"/>
              </w:rPr>
            </w:pPr>
            <w:r>
              <w:rPr>
                <w:rFonts w:hint="eastAsia" w:ascii="宋体" w:hAnsi="宋体" w:cs="宋体"/>
                <w:sz w:val="22"/>
                <w:szCs w:val="22"/>
              </w:rPr>
              <w:t>评标基准价计算方法</w:t>
            </w:r>
          </w:p>
        </w:tc>
        <w:tc>
          <w:tcPr>
            <w:tcW w:w="5333" w:type="dxa"/>
          </w:tcPr>
          <w:p>
            <w:pPr>
              <w:autoSpaceDE w:val="0"/>
              <w:autoSpaceDN w:val="0"/>
              <w:adjustRightInd w:val="0"/>
              <w:spacing w:line="400" w:lineRule="exact"/>
              <w:rPr>
                <w:rFonts w:ascii="宋体" w:hAnsi="宋体" w:cs="TimesNewRomanPSMT"/>
                <w:sz w:val="22"/>
                <w:szCs w:val="22"/>
              </w:rPr>
            </w:pPr>
            <w:r>
              <w:rPr>
                <w:rFonts w:hint="eastAsia" w:ascii="宋体" w:hAnsi="宋体" w:cs="宋体"/>
                <w:sz w:val="22"/>
                <w:szCs w:val="22"/>
              </w:rPr>
              <w:t>在所有的有效投标报价中，以最低投标报价为基准价，其价格分为满分。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357" w:type="dxa"/>
            <w:gridSpan w:val="2"/>
            <w:vAlign w:val="center"/>
          </w:tcPr>
          <w:p>
            <w:pPr>
              <w:autoSpaceDE w:val="0"/>
              <w:autoSpaceDN w:val="0"/>
              <w:adjustRightInd w:val="0"/>
              <w:spacing w:line="400" w:lineRule="exact"/>
              <w:jc w:val="center"/>
              <w:rPr>
                <w:rFonts w:ascii="宋体" w:hAnsi="宋体" w:cs="宋体"/>
                <w:sz w:val="22"/>
                <w:szCs w:val="22"/>
              </w:rPr>
            </w:pPr>
            <w:r>
              <w:rPr>
                <w:rFonts w:ascii="宋体" w:hAnsi="宋体" w:cs="TimesNewRomanPSMT"/>
                <w:sz w:val="22"/>
                <w:szCs w:val="22"/>
              </w:rPr>
              <w:t>3</w:t>
            </w:r>
          </w:p>
        </w:tc>
        <w:tc>
          <w:tcPr>
            <w:tcW w:w="2217" w:type="dxa"/>
            <w:gridSpan w:val="2"/>
            <w:vAlign w:val="center"/>
          </w:tcPr>
          <w:p>
            <w:pPr>
              <w:autoSpaceDE w:val="0"/>
              <w:autoSpaceDN w:val="0"/>
              <w:adjustRightInd w:val="0"/>
              <w:spacing w:line="400" w:lineRule="exact"/>
              <w:jc w:val="center"/>
              <w:rPr>
                <w:rFonts w:ascii="宋体" w:hAnsi="宋体" w:cs="TimesNewRomanPSMT"/>
                <w:sz w:val="22"/>
                <w:szCs w:val="22"/>
              </w:rPr>
            </w:pPr>
            <w:r>
              <w:rPr>
                <w:rFonts w:hint="eastAsia" w:ascii="宋体" w:hAnsi="宋体" w:cs="宋体"/>
                <w:sz w:val="22"/>
                <w:szCs w:val="22"/>
              </w:rPr>
              <w:t>投标报价的计算公式</w:t>
            </w:r>
          </w:p>
        </w:tc>
        <w:tc>
          <w:tcPr>
            <w:tcW w:w="5333" w:type="dxa"/>
          </w:tcPr>
          <w:p>
            <w:pPr>
              <w:autoSpaceDE w:val="0"/>
              <w:autoSpaceDN w:val="0"/>
              <w:adjustRightInd w:val="0"/>
              <w:spacing w:line="400" w:lineRule="exact"/>
              <w:rPr>
                <w:rFonts w:ascii="宋体" w:hAnsi="宋体" w:cs="TimesNewRomanPSMT"/>
                <w:sz w:val="22"/>
                <w:szCs w:val="22"/>
              </w:rPr>
            </w:pPr>
            <w:r>
              <w:rPr>
                <w:rFonts w:hint="eastAsia" w:ascii="宋体" w:hAnsi="宋体" w:cs="宋体"/>
                <w:sz w:val="22"/>
                <w:szCs w:val="22"/>
              </w:rPr>
              <w:t>投标报价得分=(评标基准价／投标报价)×价格权值（30%）×100（四舍五入后保留小数点后两位）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357" w:type="dxa"/>
            <w:gridSpan w:val="2"/>
          </w:tcPr>
          <w:p>
            <w:pPr>
              <w:autoSpaceDE w:val="0"/>
              <w:autoSpaceDN w:val="0"/>
              <w:adjustRightInd w:val="0"/>
              <w:spacing w:line="400" w:lineRule="exact"/>
              <w:jc w:val="center"/>
              <w:rPr>
                <w:rFonts w:ascii="宋体" w:hAnsi="宋体" w:cs="宋体"/>
                <w:b/>
                <w:sz w:val="22"/>
                <w:szCs w:val="22"/>
              </w:rPr>
            </w:pPr>
            <w:r>
              <w:rPr>
                <w:rFonts w:hint="eastAsia" w:ascii="宋体" w:hAnsi="宋体" w:cs="宋体"/>
                <w:b/>
                <w:sz w:val="22"/>
                <w:szCs w:val="22"/>
              </w:rPr>
              <w:t>条款号</w:t>
            </w:r>
          </w:p>
        </w:tc>
        <w:tc>
          <w:tcPr>
            <w:tcW w:w="2210" w:type="dxa"/>
          </w:tcPr>
          <w:p>
            <w:pPr>
              <w:autoSpaceDE w:val="0"/>
              <w:autoSpaceDN w:val="0"/>
              <w:adjustRightInd w:val="0"/>
              <w:spacing w:line="400" w:lineRule="exact"/>
              <w:jc w:val="center"/>
              <w:rPr>
                <w:rFonts w:ascii="宋体" w:hAnsi="宋体" w:cs="TimesNewRomanPSMT"/>
                <w:b/>
                <w:sz w:val="22"/>
                <w:szCs w:val="22"/>
              </w:rPr>
            </w:pPr>
            <w:r>
              <w:rPr>
                <w:rFonts w:hint="eastAsia" w:ascii="宋体" w:hAnsi="宋体" w:cs="宋体"/>
                <w:b/>
                <w:sz w:val="22"/>
                <w:szCs w:val="22"/>
              </w:rPr>
              <w:t>评分因素</w:t>
            </w:r>
          </w:p>
        </w:tc>
        <w:tc>
          <w:tcPr>
            <w:tcW w:w="5340" w:type="dxa"/>
            <w:gridSpan w:val="2"/>
          </w:tcPr>
          <w:p>
            <w:pPr>
              <w:autoSpaceDE w:val="0"/>
              <w:autoSpaceDN w:val="0"/>
              <w:adjustRightInd w:val="0"/>
              <w:spacing w:line="400" w:lineRule="exact"/>
              <w:jc w:val="center"/>
              <w:rPr>
                <w:rFonts w:ascii="宋体" w:hAnsi="宋体" w:cs="TimesNewRomanPSMT"/>
                <w:b/>
                <w:sz w:val="22"/>
                <w:szCs w:val="22"/>
              </w:rPr>
            </w:pPr>
            <w:r>
              <w:rPr>
                <w:rFonts w:hint="eastAsia" w:ascii="宋体" w:hAnsi="宋体" w:cs="宋体"/>
                <w:b/>
                <w:sz w:val="22"/>
                <w:szCs w:val="22"/>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39" w:type="dxa"/>
            <w:vMerge w:val="restart"/>
            <w:vAlign w:val="center"/>
          </w:tcPr>
          <w:p>
            <w:pPr>
              <w:autoSpaceDE w:val="0"/>
              <w:autoSpaceDN w:val="0"/>
              <w:adjustRightInd w:val="0"/>
              <w:spacing w:line="400" w:lineRule="exact"/>
              <w:jc w:val="center"/>
              <w:rPr>
                <w:rFonts w:ascii="宋体" w:hAnsi="宋体" w:cs="宋体"/>
                <w:sz w:val="22"/>
                <w:szCs w:val="22"/>
              </w:rPr>
            </w:pPr>
            <w:r>
              <w:rPr>
                <w:rFonts w:ascii="宋体" w:hAnsi="宋体" w:cs="宋体"/>
                <w:sz w:val="22"/>
                <w:szCs w:val="22"/>
              </w:rPr>
              <w:t>1</w:t>
            </w:r>
          </w:p>
        </w:tc>
        <w:tc>
          <w:tcPr>
            <w:tcW w:w="1618" w:type="dxa"/>
            <w:vMerge w:val="restart"/>
            <w:vAlign w:val="center"/>
          </w:tcPr>
          <w:p>
            <w:pPr>
              <w:autoSpaceDE w:val="0"/>
              <w:autoSpaceDN w:val="0"/>
              <w:adjustRightInd w:val="0"/>
              <w:spacing w:line="400" w:lineRule="exact"/>
              <w:ind w:left="-120" w:leftChars="-50" w:right="-120" w:rightChars="-50"/>
              <w:jc w:val="center"/>
              <w:rPr>
                <w:rFonts w:ascii="宋体" w:hAnsi="宋体" w:cs="宋体"/>
                <w:sz w:val="22"/>
                <w:szCs w:val="22"/>
              </w:rPr>
            </w:pPr>
            <w:r>
              <w:rPr>
                <w:rFonts w:hint="eastAsia" w:ascii="宋体" w:hAnsi="宋体" w:cs="宋体"/>
                <w:sz w:val="22"/>
                <w:szCs w:val="22"/>
              </w:rPr>
              <w:t>项目管理机构</w:t>
            </w:r>
          </w:p>
          <w:p>
            <w:pPr>
              <w:autoSpaceDE w:val="0"/>
              <w:autoSpaceDN w:val="0"/>
              <w:adjustRightInd w:val="0"/>
              <w:spacing w:line="400" w:lineRule="exact"/>
              <w:ind w:left="-120" w:leftChars="-50" w:right="-120" w:rightChars="-50"/>
              <w:jc w:val="center"/>
              <w:rPr>
                <w:rFonts w:ascii="宋体" w:hAnsi="宋体" w:cs="宋体"/>
                <w:szCs w:val="22"/>
              </w:rPr>
            </w:pPr>
            <w:r>
              <w:rPr>
                <w:rFonts w:hint="eastAsia" w:ascii="宋体" w:hAnsi="宋体" w:cs="宋体"/>
                <w:color w:val="auto"/>
                <w:sz w:val="22"/>
                <w:szCs w:val="22"/>
              </w:rPr>
              <w:t>（</w:t>
            </w:r>
            <w:r>
              <w:rPr>
                <w:rFonts w:ascii="宋体" w:hAnsi="宋体" w:cs="宋体"/>
                <w:color w:val="auto"/>
                <w:sz w:val="22"/>
                <w:szCs w:val="22"/>
              </w:rPr>
              <w:t>1</w:t>
            </w:r>
            <w:r>
              <w:rPr>
                <w:rFonts w:hint="eastAsia" w:ascii="宋体" w:hAnsi="宋体" w:cs="宋体"/>
                <w:color w:val="auto"/>
                <w:sz w:val="22"/>
                <w:szCs w:val="22"/>
                <w:lang w:val="en-US" w:eastAsia="zh-CN"/>
              </w:rPr>
              <w:t>5</w:t>
            </w:r>
            <w:r>
              <w:rPr>
                <w:rFonts w:hint="eastAsia" w:ascii="宋体" w:hAnsi="宋体" w:cs="宋体"/>
                <w:color w:val="auto"/>
                <w:sz w:val="22"/>
                <w:szCs w:val="22"/>
              </w:rPr>
              <w:t>分）</w:t>
            </w:r>
          </w:p>
        </w:tc>
        <w:tc>
          <w:tcPr>
            <w:tcW w:w="2210" w:type="dxa"/>
            <w:vAlign w:val="center"/>
          </w:tcPr>
          <w:p>
            <w:pPr>
              <w:autoSpaceDE w:val="0"/>
              <w:autoSpaceDN w:val="0"/>
              <w:adjustRightInd w:val="0"/>
              <w:spacing w:line="400" w:lineRule="exact"/>
              <w:jc w:val="center"/>
              <w:rPr>
                <w:rFonts w:ascii="宋体" w:hAnsi="宋体"/>
                <w:bCs/>
                <w:sz w:val="22"/>
                <w:szCs w:val="22"/>
              </w:rPr>
            </w:pPr>
            <w:r>
              <w:rPr>
                <w:rFonts w:hint="eastAsia" w:ascii="宋体" w:hAnsi="宋体"/>
                <w:bCs/>
                <w:sz w:val="22"/>
                <w:szCs w:val="22"/>
              </w:rPr>
              <w:t>项目经理业绩</w:t>
            </w:r>
          </w:p>
          <w:p>
            <w:pPr>
              <w:autoSpaceDE w:val="0"/>
              <w:autoSpaceDN w:val="0"/>
              <w:adjustRightInd w:val="0"/>
              <w:spacing w:line="400" w:lineRule="exact"/>
              <w:jc w:val="center"/>
              <w:rPr>
                <w:rFonts w:ascii="宋体" w:hAnsi="宋体" w:cs="TimesNewRomanPSMT"/>
                <w:sz w:val="22"/>
                <w:szCs w:val="22"/>
              </w:rPr>
            </w:pPr>
            <w:r>
              <w:rPr>
                <w:rFonts w:hint="eastAsia" w:ascii="宋体" w:hAnsi="宋体"/>
                <w:bCs/>
                <w:color w:val="auto"/>
                <w:sz w:val="22"/>
                <w:szCs w:val="22"/>
              </w:rPr>
              <w:t>（</w:t>
            </w:r>
            <w:r>
              <w:rPr>
                <w:rFonts w:hint="eastAsia" w:ascii="宋体" w:hAnsi="宋体"/>
                <w:bCs/>
                <w:color w:val="auto"/>
                <w:sz w:val="22"/>
                <w:szCs w:val="22"/>
                <w:lang w:val="en-US" w:eastAsia="zh-CN"/>
              </w:rPr>
              <w:t>10</w:t>
            </w:r>
            <w:r>
              <w:rPr>
                <w:rFonts w:hint="eastAsia" w:ascii="宋体" w:hAnsi="宋体"/>
                <w:bCs/>
                <w:color w:val="auto"/>
                <w:sz w:val="22"/>
                <w:szCs w:val="22"/>
              </w:rPr>
              <w:t>分）</w:t>
            </w:r>
          </w:p>
        </w:tc>
        <w:tc>
          <w:tcPr>
            <w:tcW w:w="5340" w:type="dxa"/>
            <w:gridSpan w:val="2"/>
          </w:tcPr>
          <w:p>
            <w:pPr>
              <w:autoSpaceDE w:val="0"/>
              <w:autoSpaceDN w:val="0"/>
              <w:adjustRightInd w:val="0"/>
              <w:spacing w:line="400" w:lineRule="exact"/>
              <w:rPr>
                <w:rFonts w:ascii="宋体" w:hAnsi="宋体"/>
                <w:sz w:val="22"/>
              </w:rPr>
            </w:pPr>
            <w:r>
              <w:rPr>
                <w:rFonts w:hint="eastAsia" w:ascii="宋体" w:hAnsi="宋体"/>
                <w:sz w:val="22"/>
              </w:rPr>
              <w:t>（</w:t>
            </w:r>
            <w:r>
              <w:rPr>
                <w:rFonts w:ascii="宋体" w:hAnsi="宋体"/>
                <w:sz w:val="22"/>
              </w:rPr>
              <w:t>1</w:t>
            </w:r>
            <w:r>
              <w:rPr>
                <w:rFonts w:hint="eastAsia" w:ascii="宋体" w:hAnsi="宋体"/>
                <w:sz w:val="22"/>
              </w:rPr>
              <w:t>）依据《青海省建筑市场信用管理办法》规定，按照项目负责人上年度《青海省建筑市场各方主体和从业人员评分标准》的评定等级，评为</w:t>
            </w:r>
            <w:r>
              <w:rPr>
                <w:rFonts w:ascii="宋体" w:hAnsi="宋体"/>
                <w:sz w:val="22"/>
              </w:rPr>
              <w:t>A</w:t>
            </w:r>
            <w:r>
              <w:rPr>
                <w:rFonts w:hint="eastAsia" w:ascii="宋体" w:hAnsi="宋体"/>
                <w:sz w:val="22"/>
              </w:rPr>
              <w:t>级的加</w:t>
            </w:r>
            <w:r>
              <w:rPr>
                <w:rFonts w:ascii="宋体" w:hAnsi="宋体"/>
                <w:sz w:val="22"/>
              </w:rPr>
              <w:t>2</w:t>
            </w:r>
            <w:r>
              <w:rPr>
                <w:rFonts w:hint="eastAsia" w:ascii="宋体" w:hAnsi="宋体"/>
                <w:sz w:val="22"/>
              </w:rPr>
              <w:t>分，</w:t>
            </w:r>
            <w:r>
              <w:rPr>
                <w:rFonts w:ascii="宋体" w:hAnsi="宋体"/>
                <w:sz w:val="22"/>
              </w:rPr>
              <w:t>B</w:t>
            </w:r>
            <w:r>
              <w:rPr>
                <w:rFonts w:hint="eastAsia" w:ascii="宋体" w:hAnsi="宋体"/>
                <w:sz w:val="22"/>
              </w:rPr>
              <w:t>级的不加减分，</w:t>
            </w:r>
            <w:r>
              <w:rPr>
                <w:rFonts w:ascii="宋体" w:hAnsi="宋体"/>
                <w:sz w:val="22"/>
              </w:rPr>
              <w:t>C</w:t>
            </w:r>
            <w:r>
              <w:rPr>
                <w:rFonts w:hint="eastAsia" w:ascii="宋体" w:hAnsi="宋体"/>
                <w:sz w:val="22"/>
              </w:rPr>
              <w:t>级的半年内不得参与投标活动，半年后投标扣</w:t>
            </w:r>
            <w:r>
              <w:rPr>
                <w:rFonts w:ascii="宋体" w:hAnsi="宋体"/>
                <w:sz w:val="22"/>
              </w:rPr>
              <w:t>2</w:t>
            </w:r>
            <w:r>
              <w:rPr>
                <w:rFonts w:hint="eastAsia" w:ascii="宋体" w:hAnsi="宋体"/>
                <w:sz w:val="22"/>
              </w:rPr>
              <w:t>分，</w:t>
            </w:r>
            <w:r>
              <w:rPr>
                <w:rFonts w:ascii="宋体" w:hAnsi="宋体"/>
                <w:sz w:val="22"/>
              </w:rPr>
              <w:t>D</w:t>
            </w:r>
            <w:r>
              <w:rPr>
                <w:rFonts w:hint="eastAsia" w:ascii="宋体" w:hAnsi="宋体"/>
                <w:sz w:val="22"/>
              </w:rPr>
              <w:t>级的一年内不得投标。（须附《青海省工程建设和信用管理平台》查询网页）</w:t>
            </w:r>
          </w:p>
          <w:p>
            <w:pPr>
              <w:autoSpaceDE w:val="0"/>
              <w:autoSpaceDN w:val="0"/>
              <w:adjustRightInd w:val="0"/>
              <w:spacing w:line="400" w:lineRule="exact"/>
              <w:rPr>
                <w:rFonts w:ascii="宋体" w:hAnsi="宋体"/>
                <w:sz w:val="22"/>
              </w:rPr>
            </w:pPr>
            <w:r>
              <w:rPr>
                <w:rFonts w:hint="eastAsia" w:ascii="宋体" w:hAnsi="宋体"/>
                <w:sz w:val="22"/>
              </w:rPr>
              <w:t>（</w:t>
            </w:r>
            <w:r>
              <w:rPr>
                <w:rFonts w:ascii="宋体" w:hAnsi="宋体"/>
                <w:sz w:val="22"/>
              </w:rPr>
              <w:t>2</w:t>
            </w:r>
            <w:r>
              <w:rPr>
                <w:rFonts w:hint="eastAsia" w:ascii="宋体" w:hAnsi="宋体"/>
                <w:sz w:val="22"/>
              </w:rPr>
              <w:t>）本年度项目负责人信用得分实行动态管理。按照项目负责人上月最后一天《青海省建筑市场各方主体和从业人员评分标准》评定分值的</w:t>
            </w:r>
            <w:r>
              <w:rPr>
                <w:rFonts w:ascii="宋体" w:hAnsi="宋体"/>
                <w:color w:val="auto"/>
                <w:sz w:val="22"/>
              </w:rPr>
              <w:t>5%</w:t>
            </w:r>
            <w:r>
              <w:rPr>
                <w:rFonts w:hint="eastAsia" w:ascii="宋体" w:hAnsi="宋体"/>
                <w:sz w:val="22"/>
              </w:rPr>
              <w:t>计取得分。如当月发生重大事故，信用等级被降为</w:t>
            </w:r>
            <w:r>
              <w:rPr>
                <w:rFonts w:ascii="宋体" w:hAnsi="宋体"/>
                <w:sz w:val="22"/>
              </w:rPr>
              <w:t>D</w:t>
            </w:r>
            <w:r>
              <w:rPr>
                <w:rFonts w:hint="eastAsia" w:ascii="宋体" w:hAnsi="宋体"/>
                <w:sz w:val="22"/>
              </w:rPr>
              <w:t>级的，从处罚决定生效之日起，一年内不得参加投标活动。（须附《青海省工程建设和信用管理平台》查询网页）</w:t>
            </w:r>
          </w:p>
          <w:p>
            <w:pPr>
              <w:autoSpaceDE w:val="0"/>
              <w:autoSpaceDN w:val="0"/>
              <w:adjustRightInd w:val="0"/>
              <w:spacing w:line="400" w:lineRule="exact"/>
              <w:rPr>
                <w:rFonts w:ascii="宋体" w:hAnsi="宋体" w:cs="TimesNewRomanPSMT"/>
                <w:sz w:val="22"/>
                <w:szCs w:val="22"/>
              </w:rPr>
            </w:pPr>
            <w:r>
              <w:rPr>
                <w:rFonts w:hint="eastAsia" w:ascii="宋体" w:hAnsi="宋体"/>
                <w:sz w:val="22"/>
              </w:rPr>
              <w:t>以上二项合计得分不得超过</w:t>
            </w:r>
            <w:r>
              <w:rPr>
                <w:rFonts w:ascii="宋体" w:hAnsi="宋体"/>
                <w:sz w:val="22"/>
              </w:rPr>
              <w:t>10</w:t>
            </w:r>
            <w:r>
              <w:rPr>
                <w:rFonts w:hint="eastAsia" w:ascii="宋体" w:hAnsi="宋体"/>
                <w:sz w:val="2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39" w:type="dxa"/>
            <w:vMerge w:val="continue"/>
            <w:vAlign w:val="center"/>
          </w:tcPr>
          <w:p>
            <w:pPr>
              <w:autoSpaceDE w:val="0"/>
              <w:autoSpaceDN w:val="0"/>
              <w:adjustRightInd w:val="0"/>
              <w:spacing w:line="400" w:lineRule="exact"/>
              <w:ind w:left="420"/>
              <w:jc w:val="center"/>
              <w:rPr>
                <w:rFonts w:ascii="宋体" w:hAnsi="宋体" w:cs="宋体"/>
                <w:sz w:val="22"/>
                <w:szCs w:val="22"/>
              </w:rPr>
            </w:pPr>
          </w:p>
        </w:tc>
        <w:tc>
          <w:tcPr>
            <w:tcW w:w="1618" w:type="dxa"/>
            <w:vMerge w:val="continue"/>
          </w:tcPr>
          <w:p>
            <w:pPr>
              <w:autoSpaceDE w:val="0"/>
              <w:autoSpaceDN w:val="0"/>
              <w:adjustRightInd w:val="0"/>
              <w:spacing w:line="400" w:lineRule="exact"/>
              <w:ind w:left="-120" w:leftChars="-50" w:right="-120" w:rightChars="-50"/>
              <w:jc w:val="center"/>
              <w:rPr>
                <w:rFonts w:ascii="宋体" w:hAnsi="宋体" w:cs="宋体"/>
                <w:sz w:val="22"/>
                <w:szCs w:val="22"/>
              </w:rPr>
            </w:pPr>
          </w:p>
        </w:tc>
        <w:tc>
          <w:tcPr>
            <w:tcW w:w="2210" w:type="dxa"/>
            <w:vAlign w:val="center"/>
          </w:tcPr>
          <w:p>
            <w:pPr>
              <w:autoSpaceDE w:val="0"/>
              <w:autoSpaceDN w:val="0"/>
              <w:adjustRightInd w:val="0"/>
              <w:spacing w:line="400" w:lineRule="exact"/>
              <w:jc w:val="center"/>
              <w:rPr>
                <w:rFonts w:ascii="宋体" w:hAnsi="宋体"/>
                <w:bCs/>
                <w:sz w:val="22"/>
                <w:szCs w:val="22"/>
              </w:rPr>
            </w:pPr>
            <w:r>
              <w:rPr>
                <w:rFonts w:hint="eastAsia" w:ascii="宋体" w:hAnsi="宋体"/>
                <w:bCs/>
                <w:sz w:val="22"/>
                <w:szCs w:val="22"/>
              </w:rPr>
              <w:t>项目班子组成</w:t>
            </w:r>
          </w:p>
          <w:p>
            <w:pPr>
              <w:autoSpaceDE w:val="0"/>
              <w:autoSpaceDN w:val="0"/>
              <w:adjustRightInd w:val="0"/>
              <w:spacing w:line="400" w:lineRule="exact"/>
              <w:jc w:val="center"/>
              <w:rPr>
                <w:rFonts w:ascii="宋体" w:hAnsi="宋体" w:cs="TimesNewRomanPSMT"/>
                <w:sz w:val="22"/>
                <w:szCs w:val="22"/>
              </w:rPr>
            </w:pPr>
            <w:r>
              <w:rPr>
                <w:rFonts w:hint="eastAsia" w:ascii="宋体" w:hAnsi="宋体"/>
                <w:bCs/>
                <w:sz w:val="22"/>
                <w:szCs w:val="22"/>
              </w:rPr>
              <w:t>（</w:t>
            </w:r>
            <w:r>
              <w:rPr>
                <w:rFonts w:ascii="宋体" w:hAnsi="宋体"/>
                <w:bCs/>
                <w:sz w:val="22"/>
                <w:szCs w:val="22"/>
              </w:rPr>
              <w:t>5</w:t>
            </w:r>
            <w:r>
              <w:rPr>
                <w:rFonts w:hint="eastAsia" w:ascii="宋体" w:hAnsi="宋体"/>
                <w:bCs/>
                <w:sz w:val="22"/>
                <w:szCs w:val="22"/>
              </w:rPr>
              <w:t>分）</w:t>
            </w:r>
          </w:p>
        </w:tc>
        <w:tc>
          <w:tcPr>
            <w:tcW w:w="5340" w:type="dxa"/>
            <w:gridSpan w:val="2"/>
          </w:tcPr>
          <w:p>
            <w:pPr>
              <w:autoSpaceDE w:val="0"/>
              <w:autoSpaceDN w:val="0"/>
              <w:adjustRightInd w:val="0"/>
              <w:spacing w:line="400" w:lineRule="exact"/>
              <w:rPr>
                <w:rFonts w:ascii="宋体" w:hAnsi="宋体"/>
                <w:bCs/>
                <w:sz w:val="22"/>
                <w:szCs w:val="22"/>
              </w:rPr>
            </w:pPr>
            <w:r>
              <w:rPr>
                <w:rFonts w:hint="eastAsia" w:ascii="宋体" w:hAnsi="宋体"/>
                <w:bCs/>
                <w:sz w:val="22"/>
                <w:szCs w:val="22"/>
              </w:rPr>
              <w:t>项目管理班子成员依据《青海省建筑工程施工现场主要管理人员配备办法》要求，配备施工项目部主要管理人员（附施工项目部主要管理人员配备标准）。项目管理班子成员配备齐全，得5分。每缺少一人扣分值根据本项目规模在招标文件中明确，扣完为止。项目管理班子人员需提供岗位资格证书和社保证明。</w:t>
            </w:r>
          </w:p>
          <w:p>
            <w:pPr>
              <w:autoSpaceDE w:val="0"/>
              <w:autoSpaceDN w:val="0"/>
              <w:adjustRightInd w:val="0"/>
              <w:spacing w:line="400" w:lineRule="exact"/>
              <w:rPr>
                <w:rFonts w:ascii="宋体" w:hAnsi="宋体" w:cs="TimesNewRomanPSMT"/>
                <w:sz w:val="22"/>
                <w:szCs w:val="22"/>
              </w:rPr>
            </w:pPr>
            <w:r>
              <w:rPr>
                <w:rFonts w:hint="eastAsia" w:ascii="宋体" w:hAnsi="宋体"/>
                <w:bCs/>
                <w:sz w:val="22"/>
                <w:szCs w:val="22"/>
              </w:rPr>
              <w:t>依法根据项目规模要求 ，结合本表的《附表：施工项目部主要管理人员配备标准》，每人分值权重相同。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739" w:type="dxa"/>
            <w:vMerge w:val="restart"/>
            <w:vAlign w:val="center"/>
          </w:tcPr>
          <w:p>
            <w:pPr>
              <w:autoSpaceDE w:val="0"/>
              <w:autoSpaceDN w:val="0"/>
              <w:adjustRightInd w:val="0"/>
              <w:spacing w:line="400" w:lineRule="exact"/>
              <w:jc w:val="center"/>
              <w:rPr>
                <w:rFonts w:ascii="宋体" w:hAnsi="宋体" w:cs="宋体"/>
                <w:sz w:val="22"/>
                <w:szCs w:val="22"/>
              </w:rPr>
            </w:pPr>
            <w:r>
              <w:rPr>
                <w:rFonts w:ascii="宋体" w:hAnsi="宋体" w:cs="宋体"/>
                <w:sz w:val="22"/>
                <w:szCs w:val="22"/>
              </w:rPr>
              <w:t>2</w:t>
            </w:r>
          </w:p>
        </w:tc>
        <w:tc>
          <w:tcPr>
            <w:tcW w:w="1618" w:type="dxa"/>
            <w:vMerge w:val="restart"/>
            <w:vAlign w:val="center"/>
          </w:tcPr>
          <w:p>
            <w:pPr>
              <w:autoSpaceDE w:val="0"/>
              <w:autoSpaceDN w:val="0"/>
              <w:adjustRightInd w:val="0"/>
              <w:spacing w:line="400" w:lineRule="exact"/>
              <w:ind w:left="-120" w:leftChars="-50" w:right="-120" w:rightChars="-50"/>
              <w:jc w:val="center"/>
              <w:rPr>
                <w:rFonts w:ascii="宋体" w:hAnsi="宋体" w:cs="宋体"/>
                <w:sz w:val="22"/>
                <w:szCs w:val="22"/>
              </w:rPr>
            </w:pPr>
            <w:r>
              <w:rPr>
                <w:rFonts w:hint="eastAsia" w:ascii="宋体" w:hAnsi="宋体" w:cs="宋体"/>
                <w:sz w:val="22"/>
                <w:szCs w:val="22"/>
              </w:rPr>
              <w:t>施工组织总体设计方案</w:t>
            </w:r>
          </w:p>
          <w:p>
            <w:pPr>
              <w:autoSpaceDE w:val="0"/>
              <w:autoSpaceDN w:val="0"/>
              <w:adjustRightInd w:val="0"/>
              <w:spacing w:line="400" w:lineRule="exact"/>
              <w:ind w:left="-120" w:leftChars="-50" w:right="-120" w:rightChars="-50"/>
              <w:jc w:val="center"/>
              <w:rPr>
                <w:rFonts w:ascii="宋体" w:hAnsi="宋体" w:cs="宋体"/>
                <w:sz w:val="22"/>
                <w:szCs w:val="22"/>
              </w:rPr>
            </w:pPr>
            <w:r>
              <w:rPr>
                <w:rFonts w:hint="eastAsia" w:ascii="宋体" w:hAnsi="宋体" w:cs="宋体"/>
                <w:sz w:val="22"/>
                <w:szCs w:val="22"/>
              </w:rPr>
              <w:t>（</w:t>
            </w:r>
            <w:r>
              <w:rPr>
                <w:rFonts w:ascii="宋体" w:hAnsi="宋体" w:cs="宋体"/>
                <w:sz w:val="22"/>
                <w:szCs w:val="22"/>
              </w:rPr>
              <w:t>35</w:t>
            </w:r>
            <w:r>
              <w:rPr>
                <w:rFonts w:hint="eastAsia" w:ascii="宋体" w:hAnsi="宋体" w:cs="宋体"/>
                <w:sz w:val="22"/>
                <w:szCs w:val="22"/>
              </w:rPr>
              <w:t>分）</w:t>
            </w:r>
          </w:p>
        </w:tc>
        <w:tc>
          <w:tcPr>
            <w:tcW w:w="2210" w:type="dxa"/>
            <w:vAlign w:val="center"/>
          </w:tcPr>
          <w:p>
            <w:pPr>
              <w:autoSpaceDE w:val="0"/>
              <w:autoSpaceDN w:val="0"/>
              <w:adjustRightInd w:val="0"/>
              <w:spacing w:line="400" w:lineRule="exact"/>
              <w:jc w:val="center"/>
              <w:rPr>
                <w:rFonts w:ascii="宋体" w:hAnsi="宋体"/>
                <w:bCs/>
                <w:sz w:val="22"/>
                <w:szCs w:val="22"/>
              </w:rPr>
            </w:pPr>
            <w:r>
              <w:rPr>
                <w:rFonts w:hint="eastAsia" w:ascii="宋体" w:hAnsi="宋体"/>
                <w:bCs/>
                <w:sz w:val="22"/>
                <w:szCs w:val="22"/>
              </w:rPr>
              <w:t>施工方案与技术措施</w:t>
            </w:r>
          </w:p>
          <w:p>
            <w:pPr>
              <w:autoSpaceDE w:val="0"/>
              <w:autoSpaceDN w:val="0"/>
              <w:adjustRightInd w:val="0"/>
              <w:spacing w:line="400" w:lineRule="exact"/>
              <w:jc w:val="center"/>
              <w:rPr>
                <w:rFonts w:ascii="宋体" w:hAnsi="宋体" w:cs="TimesNewRomanPSMT"/>
                <w:b/>
                <w:sz w:val="22"/>
                <w:szCs w:val="22"/>
              </w:rPr>
            </w:pPr>
            <w:r>
              <w:rPr>
                <w:rFonts w:hint="eastAsia" w:ascii="宋体" w:hAnsi="宋体"/>
                <w:bCs/>
                <w:sz w:val="22"/>
                <w:szCs w:val="22"/>
              </w:rPr>
              <w:t>（</w:t>
            </w:r>
            <w:r>
              <w:rPr>
                <w:rFonts w:ascii="宋体" w:hAnsi="宋体"/>
                <w:bCs/>
                <w:sz w:val="22"/>
                <w:szCs w:val="22"/>
              </w:rPr>
              <w:t>5</w:t>
            </w:r>
            <w:r>
              <w:rPr>
                <w:rFonts w:hint="eastAsia" w:ascii="宋体" w:hAnsi="宋体"/>
                <w:bCs/>
                <w:sz w:val="22"/>
                <w:szCs w:val="22"/>
              </w:rPr>
              <w:t>分）</w:t>
            </w:r>
          </w:p>
        </w:tc>
        <w:tc>
          <w:tcPr>
            <w:tcW w:w="5340" w:type="dxa"/>
            <w:gridSpan w:val="2"/>
          </w:tcPr>
          <w:p>
            <w:pPr>
              <w:autoSpaceDE w:val="0"/>
              <w:autoSpaceDN w:val="0"/>
              <w:adjustRightInd w:val="0"/>
              <w:spacing w:line="400" w:lineRule="exact"/>
              <w:rPr>
                <w:rFonts w:ascii="宋体" w:hAnsi="宋体" w:cs="TimesNewRomanPSMT"/>
                <w:sz w:val="22"/>
                <w:szCs w:val="22"/>
              </w:rPr>
            </w:pPr>
            <w:r>
              <w:rPr>
                <w:rFonts w:hint="eastAsia" w:ascii="宋体" w:hAnsi="宋体"/>
                <w:bCs/>
                <w:sz w:val="22"/>
                <w:szCs w:val="22"/>
              </w:rPr>
              <w:t>施工部署合理，施工顺序及方案切实可行、针对性强；各项管理目标明确，技术措施满足工期、质量、安全生产及文明施工要求。优秀的得</w:t>
            </w:r>
            <w:r>
              <w:rPr>
                <w:rFonts w:ascii="宋体" w:hAnsi="宋体"/>
                <w:bCs/>
                <w:sz w:val="22"/>
                <w:szCs w:val="22"/>
              </w:rPr>
              <w:t>5</w:t>
            </w:r>
            <w:r>
              <w:rPr>
                <w:rFonts w:hint="eastAsia" w:ascii="宋体" w:hAnsi="宋体"/>
                <w:bCs/>
                <w:sz w:val="22"/>
                <w:szCs w:val="22"/>
              </w:rPr>
              <w:t>分；良好的得3分；一般的得2分；差的得1分。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39" w:type="dxa"/>
            <w:vMerge w:val="continue"/>
          </w:tcPr>
          <w:p>
            <w:pPr>
              <w:autoSpaceDE w:val="0"/>
              <w:autoSpaceDN w:val="0"/>
              <w:adjustRightInd w:val="0"/>
              <w:spacing w:line="400" w:lineRule="exact"/>
              <w:ind w:left="420"/>
              <w:rPr>
                <w:rFonts w:ascii="宋体" w:hAnsi="宋体" w:cs="宋体"/>
                <w:sz w:val="22"/>
                <w:szCs w:val="22"/>
              </w:rPr>
            </w:pPr>
          </w:p>
        </w:tc>
        <w:tc>
          <w:tcPr>
            <w:tcW w:w="1618" w:type="dxa"/>
            <w:vMerge w:val="continue"/>
          </w:tcPr>
          <w:p>
            <w:pPr>
              <w:autoSpaceDE w:val="0"/>
              <w:autoSpaceDN w:val="0"/>
              <w:adjustRightInd w:val="0"/>
              <w:spacing w:line="400" w:lineRule="exact"/>
              <w:ind w:left="-120" w:leftChars="-50" w:right="-120" w:rightChars="-50"/>
              <w:jc w:val="center"/>
              <w:rPr>
                <w:rFonts w:ascii="宋体" w:hAnsi="宋体" w:cs="宋体"/>
                <w:sz w:val="22"/>
                <w:szCs w:val="22"/>
              </w:rPr>
            </w:pPr>
          </w:p>
        </w:tc>
        <w:tc>
          <w:tcPr>
            <w:tcW w:w="2210" w:type="dxa"/>
            <w:vAlign w:val="center"/>
          </w:tcPr>
          <w:p>
            <w:pPr>
              <w:autoSpaceDE w:val="0"/>
              <w:autoSpaceDN w:val="0"/>
              <w:adjustRightInd w:val="0"/>
              <w:spacing w:line="400" w:lineRule="exact"/>
              <w:jc w:val="center"/>
              <w:rPr>
                <w:rFonts w:ascii="宋体" w:hAnsi="宋体"/>
                <w:bCs/>
                <w:sz w:val="22"/>
                <w:szCs w:val="22"/>
              </w:rPr>
            </w:pPr>
            <w:r>
              <w:rPr>
                <w:rFonts w:hint="eastAsia" w:ascii="宋体" w:hAnsi="宋体"/>
                <w:bCs/>
                <w:sz w:val="22"/>
                <w:szCs w:val="22"/>
              </w:rPr>
              <w:t>质量管理体系与措施</w:t>
            </w:r>
          </w:p>
          <w:p>
            <w:pPr>
              <w:autoSpaceDE w:val="0"/>
              <w:autoSpaceDN w:val="0"/>
              <w:adjustRightInd w:val="0"/>
              <w:spacing w:line="400" w:lineRule="exact"/>
              <w:jc w:val="center"/>
              <w:rPr>
                <w:rFonts w:ascii="宋体" w:hAnsi="宋体" w:cs="TimesNewRomanPSMT"/>
                <w:sz w:val="22"/>
                <w:szCs w:val="22"/>
              </w:rPr>
            </w:pPr>
            <w:r>
              <w:rPr>
                <w:rFonts w:hint="eastAsia" w:ascii="宋体" w:hAnsi="宋体"/>
                <w:bCs/>
                <w:sz w:val="22"/>
                <w:szCs w:val="22"/>
              </w:rPr>
              <w:t>（</w:t>
            </w:r>
            <w:r>
              <w:rPr>
                <w:rFonts w:ascii="宋体" w:hAnsi="宋体"/>
                <w:bCs/>
                <w:sz w:val="22"/>
                <w:szCs w:val="22"/>
              </w:rPr>
              <w:t>5</w:t>
            </w:r>
            <w:r>
              <w:rPr>
                <w:rFonts w:hint="eastAsia" w:ascii="宋体" w:hAnsi="宋体"/>
                <w:bCs/>
                <w:sz w:val="22"/>
                <w:szCs w:val="22"/>
              </w:rPr>
              <w:t>分）</w:t>
            </w:r>
          </w:p>
        </w:tc>
        <w:tc>
          <w:tcPr>
            <w:tcW w:w="5340" w:type="dxa"/>
            <w:gridSpan w:val="2"/>
          </w:tcPr>
          <w:p>
            <w:pPr>
              <w:autoSpaceDE w:val="0"/>
              <w:autoSpaceDN w:val="0"/>
              <w:adjustRightInd w:val="0"/>
              <w:spacing w:line="400" w:lineRule="exact"/>
              <w:rPr>
                <w:rFonts w:ascii="宋体" w:hAnsi="宋体"/>
                <w:bCs/>
                <w:sz w:val="22"/>
                <w:szCs w:val="22"/>
              </w:rPr>
            </w:pPr>
            <w:r>
              <w:rPr>
                <w:rFonts w:hint="eastAsia" w:ascii="宋体" w:hAnsi="宋体"/>
                <w:bCs/>
                <w:sz w:val="22"/>
                <w:szCs w:val="22"/>
              </w:rPr>
              <w:t>质量管理体系健全、管理人员责任明确、管理制度健全有效，各项技术措施、主要分项工程、作业指导书符合现行国家质量验收标准要求。优秀的得</w:t>
            </w:r>
            <w:r>
              <w:rPr>
                <w:rFonts w:ascii="宋体" w:hAnsi="宋体"/>
                <w:bCs/>
                <w:sz w:val="22"/>
                <w:szCs w:val="22"/>
              </w:rPr>
              <w:t>5</w:t>
            </w:r>
            <w:r>
              <w:rPr>
                <w:rFonts w:hint="eastAsia" w:ascii="宋体" w:hAnsi="宋体"/>
                <w:bCs/>
                <w:sz w:val="22"/>
                <w:szCs w:val="22"/>
              </w:rPr>
              <w:t>分；良好的得3分；一般的得2分；差的得1分。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739" w:type="dxa"/>
            <w:vMerge w:val="continue"/>
          </w:tcPr>
          <w:p>
            <w:pPr>
              <w:autoSpaceDE w:val="0"/>
              <w:autoSpaceDN w:val="0"/>
              <w:adjustRightInd w:val="0"/>
              <w:spacing w:line="400" w:lineRule="exact"/>
              <w:ind w:left="420"/>
              <w:rPr>
                <w:rFonts w:ascii="宋体" w:hAnsi="宋体" w:cs="宋体"/>
                <w:sz w:val="22"/>
                <w:szCs w:val="22"/>
              </w:rPr>
            </w:pPr>
          </w:p>
        </w:tc>
        <w:tc>
          <w:tcPr>
            <w:tcW w:w="1618" w:type="dxa"/>
            <w:vMerge w:val="continue"/>
          </w:tcPr>
          <w:p>
            <w:pPr>
              <w:autoSpaceDE w:val="0"/>
              <w:autoSpaceDN w:val="0"/>
              <w:adjustRightInd w:val="0"/>
              <w:spacing w:line="400" w:lineRule="exact"/>
              <w:ind w:left="-120" w:leftChars="-50" w:right="-120" w:rightChars="-50"/>
              <w:jc w:val="center"/>
              <w:rPr>
                <w:rFonts w:ascii="宋体" w:hAnsi="宋体" w:cs="宋体"/>
                <w:sz w:val="22"/>
                <w:szCs w:val="22"/>
              </w:rPr>
            </w:pPr>
          </w:p>
        </w:tc>
        <w:tc>
          <w:tcPr>
            <w:tcW w:w="2210" w:type="dxa"/>
            <w:vAlign w:val="center"/>
          </w:tcPr>
          <w:p>
            <w:pPr>
              <w:autoSpaceDE w:val="0"/>
              <w:autoSpaceDN w:val="0"/>
              <w:adjustRightInd w:val="0"/>
              <w:spacing w:line="400" w:lineRule="exact"/>
              <w:jc w:val="center"/>
              <w:rPr>
                <w:rFonts w:ascii="宋体" w:hAnsi="宋体"/>
                <w:bCs/>
                <w:sz w:val="22"/>
                <w:szCs w:val="22"/>
              </w:rPr>
            </w:pPr>
            <w:r>
              <w:rPr>
                <w:rFonts w:hint="eastAsia" w:ascii="宋体" w:hAnsi="宋体"/>
                <w:bCs/>
                <w:sz w:val="22"/>
                <w:szCs w:val="22"/>
              </w:rPr>
              <w:t>安全管理体系及治安管理与措施</w:t>
            </w:r>
          </w:p>
          <w:p>
            <w:pPr>
              <w:autoSpaceDE w:val="0"/>
              <w:autoSpaceDN w:val="0"/>
              <w:adjustRightInd w:val="0"/>
              <w:spacing w:line="400" w:lineRule="exact"/>
              <w:jc w:val="center"/>
              <w:rPr>
                <w:rFonts w:ascii="宋体" w:hAnsi="宋体" w:cs="TimesNewRomanPSMT"/>
                <w:sz w:val="22"/>
                <w:szCs w:val="22"/>
              </w:rPr>
            </w:pPr>
            <w:r>
              <w:rPr>
                <w:rFonts w:hint="eastAsia" w:ascii="宋体" w:hAnsi="宋体"/>
                <w:bCs/>
                <w:sz w:val="22"/>
                <w:szCs w:val="22"/>
              </w:rPr>
              <w:t>（</w:t>
            </w:r>
            <w:r>
              <w:rPr>
                <w:rFonts w:ascii="宋体" w:hAnsi="宋体"/>
                <w:bCs/>
                <w:sz w:val="22"/>
                <w:szCs w:val="22"/>
              </w:rPr>
              <w:t>5</w:t>
            </w:r>
            <w:r>
              <w:rPr>
                <w:rFonts w:hint="eastAsia" w:ascii="宋体" w:hAnsi="宋体"/>
                <w:bCs/>
                <w:sz w:val="22"/>
                <w:szCs w:val="22"/>
              </w:rPr>
              <w:t>分）</w:t>
            </w:r>
          </w:p>
        </w:tc>
        <w:tc>
          <w:tcPr>
            <w:tcW w:w="5340" w:type="dxa"/>
            <w:gridSpan w:val="2"/>
          </w:tcPr>
          <w:p>
            <w:pPr>
              <w:autoSpaceDE w:val="0"/>
              <w:autoSpaceDN w:val="0"/>
              <w:adjustRightInd w:val="0"/>
              <w:spacing w:line="400" w:lineRule="exact"/>
              <w:rPr>
                <w:rFonts w:ascii="宋体" w:hAnsi="宋体" w:cs="TimesNewRomanPSMT"/>
                <w:sz w:val="22"/>
                <w:szCs w:val="22"/>
              </w:rPr>
            </w:pPr>
            <w:r>
              <w:rPr>
                <w:rFonts w:hint="eastAsia" w:ascii="宋体" w:hAnsi="宋体"/>
                <w:bCs/>
                <w:sz w:val="22"/>
                <w:szCs w:val="22"/>
              </w:rPr>
              <w:t>安全管理体系健全、管理人员岗位责任明确、各种安全教育制度健全有效、施工现场安全技术管理及防护、防范措施得力，符合国家安全生产管理规定。优秀的得</w:t>
            </w:r>
            <w:r>
              <w:rPr>
                <w:rFonts w:ascii="宋体" w:hAnsi="宋体"/>
                <w:bCs/>
                <w:sz w:val="22"/>
                <w:szCs w:val="22"/>
              </w:rPr>
              <w:t>5</w:t>
            </w:r>
            <w:r>
              <w:rPr>
                <w:rFonts w:hint="eastAsia" w:ascii="宋体" w:hAnsi="宋体"/>
                <w:bCs/>
                <w:sz w:val="22"/>
                <w:szCs w:val="22"/>
              </w:rPr>
              <w:t>分；良好的得3分；一般的得2分；差的得1分。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739" w:type="dxa"/>
            <w:vMerge w:val="continue"/>
          </w:tcPr>
          <w:p>
            <w:pPr>
              <w:autoSpaceDE w:val="0"/>
              <w:autoSpaceDN w:val="0"/>
              <w:adjustRightInd w:val="0"/>
              <w:spacing w:line="400" w:lineRule="exact"/>
              <w:ind w:left="420"/>
              <w:rPr>
                <w:rFonts w:ascii="宋体" w:hAnsi="宋体" w:cs="宋体"/>
                <w:sz w:val="22"/>
                <w:szCs w:val="22"/>
              </w:rPr>
            </w:pPr>
          </w:p>
        </w:tc>
        <w:tc>
          <w:tcPr>
            <w:tcW w:w="1618" w:type="dxa"/>
            <w:vMerge w:val="continue"/>
          </w:tcPr>
          <w:p>
            <w:pPr>
              <w:autoSpaceDE w:val="0"/>
              <w:autoSpaceDN w:val="0"/>
              <w:adjustRightInd w:val="0"/>
              <w:spacing w:line="400" w:lineRule="exact"/>
              <w:ind w:left="-120" w:leftChars="-50" w:right="-120" w:rightChars="-50"/>
              <w:jc w:val="center"/>
              <w:rPr>
                <w:rFonts w:ascii="宋体" w:hAnsi="宋体" w:cs="宋体"/>
                <w:sz w:val="22"/>
                <w:szCs w:val="22"/>
              </w:rPr>
            </w:pPr>
          </w:p>
        </w:tc>
        <w:tc>
          <w:tcPr>
            <w:tcW w:w="2210" w:type="dxa"/>
            <w:vAlign w:val="center"/>
          </w:tcPr>
          <w:p>
            <w:pPr>
              <w:autoSpaceDE w:val="0"/>
              <w:autoSpaceDN w:val="0"/>
              <w:adjustRightInd w:val="0"/>
              <w:spacing w:line="400" w:lineRule="exact"/>
              <w:jc w:val="center"/>
              <w:rPr>
                <w:rFonts w:ascii="宋体" w:hAnsi="宋体"/>
                <w:bCs/>
                <w:sz w:val="22"/>
                <w:szCs w:val="22"/>
              </w:rPr>
            </w:pPr>
            <w:r>
              <w:rPr>
                <w:rFonts w:hint="eastAsia" w:ascii="宋体" w:hAnsi="宋体"/>
                <w:bCs/>
                <w:sz w:val="22"/>
                <w:szCs w:val="22"/>
              </w:rPr>
              <w:t>环境保护管理体系与措施</w:t>
            </w:r>
          </w:p>
          <w:p>
            <w:pPr>
              <w:autoSpaceDE w:val="0"/>
              <w:autoSpaceDN w:val="0"/>
              <w:adjustRightInd w:val="0"/>
              <w:spacing w:line="400" w:lineRule="exact"/>
              <w:jc w:val="center"/>
              <w:rPr>
                <w:rFonts w:ascii="宋体" w:hAnsi="宋体"/>
                <w:bCs/>
                <w:sz w:val="22"/>
                <w:szCs w:val="22"/>
              </w:rPr>
            </w:pPr>
            <w:r>
              <w:rPr>
                <w:rFonts w:hint="eastAsia" w:ascii="宋体" w:hAnsi="宋体"/>
                <w:bCs/>
                <w:sz w:val="22"/>
                <w:szCs w:val="22"/>
              </w:rPr>
              <w:t>（</w:t>
            </w:r>
            <w:r>
              <w:rPr>
                <w:rFonts w:ascii="宋体" w:hAnsi="宋体"/>
                <w:bCs/>
                <w:sz w:val="22"/>
                <w:szCs w:val="22"/>
              </w:rPr>
              <w:t>5</w:t>
            </w:r>
            <w:r>
              <w:rPr>
                <w:rFonts w:hint="eastAsia" w:ascii="宋体" w:hAnsi="宋体"/>
                <w:bCs/>
                <w:sz w:val="22"/>
                <w:szCs w:val="22"/>
              </w:rPr>
              <w:t>分）</w:t>
            </w:r>
          </w:p>
        </w:tc>
        <w:tc>
          <w:tcPr>
            <w:tcW w:w="5340" w:type="dxa"/>
            <w:gridSpan w:val="2"/>
          </w:tcPr>
          <w:p>
            <w:pPr>
              <w:spacing w:line="375" w:lineRule="atLeast"/>
              <w:rPr>
                <w:rFonts w:ascii="宋体" w:hAnsi="宋体"/>
                <w:bCs/>
                <w:sz w:val="22"/>
                <w:szCs w:val="22"/>
              </w:rPr>
            </w:pPr>
            <w:r>
              <w:rPr>
                <w:rFonts w:hint="eastAsia" w:ascii="宋体" w:hAnsi="宋体"/>
                <w:bCs/>
                <w:sz w:val="22"/>
                <w:szCs w:val="22"/>
              </w:rPr>
              <w:t>环境保护管理体系健全，管理人员岗位责任明确，环境管理方案切实可行、能有效运行。污物处理与排放符合国家及地方有关环境保护标准。优秀的得</w:t>
            </w:r>
            <w:r>
              <w:rPr>
                <w:rFonts w:ascii="宋体" w:hAnsi="宋体"/>
                <w:bCs/>
                <w:sz w:val="22"/>
                <w:szCs w:val="22"/>
              </w:rPr>
              <w:t>5</w:t>
            </w:r>
            <w:r>
              <w:rPr>
                <w:rFonts w:hint="eastAsia" w:ascii="宋体" w:hAnsi="宋体"/>
                <w:bCs/>
                <w:sz w:val="22"/>
                <w:szCs w:val="22"/>
              </w:rPr>
              <w:t>分；良好的得3分；一般的得2分；差的得1分。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739" w:type="dxa"/>
            <w:vMerge w:val="continue"/>
          </w:tcPr>
          <w:p>
            <w:pPr>
              <w:autoSpaceDE w:val="0"/>
              <w:autoSpaceDN w:val="0"/>
              <w:adjustRightInd w:val="0"/>
              <w:spacing w:line="400" w:lineRule="exact"/>
              <w:ind w:left="420"/>
              <w:rPr>
                <w:rFonts w:ascii="宋体" w:hAnsi="宋体" w:cs="宋体"/>
                <w:sz w:val="22"/>
                <w:szCs w:val="22"/>
              </w:rPr>
            </w:pPr>
          </w:p>
        </w:tc>
        <w:tc>
          <w:tcPr>
            <w:tcW w:w="1618" w:type="dxa"/>
            <w:vMerge w:val="continue"/>
          </w:tcPr>
          <w:p>
            <w:pPr>
              <w:autoSpaceDE w:val="0"/>
              <w:autoSpaceDN w:val="0"/>
              <w:adjustRightInd w:val="0"/>
              <w:spacing w:line="400" w:lineRule="exact"/>
              <w:ind w:left="-120" w:leftChars="-50" w:right="-120" w:rightChars="-50"/>
              <w:jc w:val="center"/>
              <w:rPr>
                <w:rFonts w:ascii="宋体" w:hAnsi="宋体" w:cs="宋体"/>
                <w:sz w:val="22"/>
                <w:szCs w:val="22"/>
              </w:rPr>
            </w:pPr>
          </w:p>
        </w:tc>
        <w:tc>
          <w:tcPr>
            <w:tcW w:w="2210" w:type="dxa"/>
            <w:vAlign w:val="center"/>
          </w:tcPr>
          <w:p>
            <w:pPr>
              <w:autoSpaceDE w:val="0"/>
              <w:autoSpaceDN w:val="0"/>
              <w:adjustRightInd w:val="0"/>
              <w:spacing w:line="400" w:lineRule="exact"/>
              <w:jc w:val="center"/>
              <w:rPr>
                <w:rFonts w:ascii="宋体" w:hAnsi="宋体"/>
                <w:bCs/>
                <w:sz w:val="22"/>
                <w:szCs w:val="22"/>
              </w:rPr>
            </w:pPr>
            <w:r>
              <w:rPr>
                <w:rFonts w:hint="eastAsia" w:ascii="宋体" w:hAnsi="宋体"/>
                <w:bCs/>
                <w:sz w:val="22"/>
                <w:szCs w:val="22"/>
              </w:rPr>
              <w:t>工程进度计划与措施</w:t>
            </w:r>
          </w:p>
          <w:p>
            <w:pPr>
              <w:autoSpaceDE w:val="0"/>
              <w:autoSpaceDN w:val="0"/>
              <w:adjustRightInd w:val="0"/>
              <w:spacing w:line="400" w:lineRule="exact"/>
              <w:jc w:val="center"/>
              <w:rPr>
                <w:rFonts w:ascii="宋体" w:hAnsi="宋体"/>
                <w:bCs/>
                <w:sz w:val="22"/>
                <w:szCs w:val="22"/>
              </w:rPr>
            </w:pPr>
            <w:r>
              <w:rPr>
                <w:rFonts w:hint="eastAsia" w:ascii="宋体" w:hAnsi="宋体"/>
                <w:bCs/>
                <w:sz w:val="22"/>
                <w:szCs w:val="22"/>
              </w:rPr>
              <w:t>（</w:t>
            </w:r>
            <w:r>
              <w:rPr>
                <w:rFonts w:ascii="宋体" w:hAnsi="宋体"/>
                <w:bCs/>
                <w:sz w:val="22"/>
                <w:szCs w:val="22"/>
              </w:rPr>
              <w:t>5</w:t>
            </w:r>
            <w:r>
              <w:rPr>
                <w:rFonts w:hint="eastAsia" w:ascii="宋体" w:hAnsi="宋体"/>
                <w:bCs/>
                <w:sz w:val="22"/>
                <w:szCs w:val="22"/>
              </w:rPr>
              <w:t>分）</w:t>
            </w:r>
          </w:p>
        </w:tc>
        <w:tc>
          <w:tcPr>
            <w:tcW w:w="5340" w:type="dxa"/>
            <w:gridSpan w:val="2"/>
          </w:tcPr>
          <w:p>
            <w:pPr>
              <w:spacing w:line="375" w:lineRule="atLeast"/>
              <w:rPr>
                <w:rFonts w:ascii="宋体" w:hAnsi="宋体"/>
                <w:bCs/>
                <w:sz w:val="22"/>
                <w:szCs w:val="22"/>
              </w:rPr>
            </w:pPr>
            <w:r>
              <w:rPr>
                <w:rFonts w:hint="eastAsia" w:ascii="宋体" w:hAnsi="宋体"/>
                <w:bCs/>
                <w:sz w:val="22"/>
                <w:szCs w:val="22"/>
              </w:rPr>
              <w:t>施工流程能满足施工进度计划和保证工程质量要求，流水作业能保证施工连续、均衡、有节奏地进行。管理措施能有效保证投标工期计划的顺利完成。优秀的得</w:t>
            </w:r>
            <w:r>
              <w:rPr>
                <w:rFonts w:ascii="宋体" w:hAnsi="宋体"/>
                <w:bCs/>
                <w:sz w:val="22"/>
                <w:szCs w:val="22"/>
              </w:rPr>
              <w:t>5</w:t>
            </w:r>
            <w:r>
              <w:rPr>
                <w:rFonts w:hint="eastAsia" w:ascii="宋体" w:hAnsi="宋体"/>
                <w:bCs/>
                <w:sz w:val="22"/>
                <w:szCs w:val="22"/>
              </w:rPr>
              <w:t>分；良好的得3分；一般的得2分；差的得1分。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739" w:type="dxa"/>
            <w:vMerge w:val="continue"/>
          </w:tcPr>
          <w:p>
            <w:pPr>
              <w:autoSpaceDE w:val="0"/>
              <w:autoSpaceDN w:val="0"/>
              <w:adjustRightInd w:val="0"/>
              <w:spacing w:line="400" w:lineRule="exact"/>
              <w:ind w:left="420"/>
              <w:rPr>
                <w:rFonts w:ascii="宋体" w:hAnsi="宋体" w:cs="宋体"/>
                <w:sz w:val="22"/>
                <w:szCs w:val="22"/>
              </w:rPr>
            </w:pPr>
          </w:p>
        </w:tc>
        <w:tc>
          <w:tcPr>
            <w:tcW w:w="1618" w:type="dxa"/>
            <w:vMerge w:val="continue"/>
          </w:tcPr>
          <w:p>
            <w:pPr>
              <w:autoSpaceDE w:val="0"/>
              <w:autoSpaceDN w:val="0"/>
              <w:adjustRightInd w:val="0"/>
              <w:spacing w:line="400" w:lineRule="exact"/>
              <w:ind w:left="-120" w:leftChars="-50" w:right="-120" w:rightChars="-50"/>
              <w:jc w:val="center"/>
              <w:rPr>
                <w:rFonts w:ascii="宋体" w:hAnsi="宋体" w:cs="宋体"/>
                <w:sz w:val="22"/>
                <w:szCs w:val="22"/>
              </w:rPr>
            </w:pPr>
          </w:p>
        </w:tc>
        <w:tc>
          <w:tcPr>
            <w:tcW w:w="2210" w:type="dxa"/>
            <w:vAlign w:val="center"/>
          </w:tcPr>
          <w:p>
            <w:pPr>
              <w:autoSpaceDE w:val="0"/>
              <w:autoSpaceDN w:val="0"/>
              <w:adjustRightInd w:val="0"/>
              <w:spacing w:line="400" w:lineRule="exact"/>
              <w:jc w:val="center"/>
              <w:rPr>
                <w:rFonts w:ascii="宋体" w:hAnsi="宋体"/>
                <w:bCs/>
                <w:sz w:val="22"/>
                <w:szCs w:val="22"/>
              </w:rPr>
            </w:pPr>
            <w:r>
              <w:rPr>
                <w:rFonts w:hint="eastAsia" w:ascii="宋体" w:hAnsi="宋体"/>
                <w:bCs/>
                <w:sz w:val="22"/>
                <w:szCs w:val="22"/>
              </w:rPr>
              <w:t>施工总平面设计</w:t>
            </w:r>
          </w:p>
          <w:p>
            <w:pPr>
              <w:autoSpaceDE w:val="0"/>
              <w:autoSpaceDN w:val="0"/>
              <w:adjustRightInd w:val="0"/>
              <w:spacing w:line="400" w:lineRule="exact"/>
              <w:jc w:val="center"/>
              <w:rPr>
                <w:rFonts w:ascii="宋体" w:hAnsi="宋体"/>
                <w:bCs/>
                <w:sz w:val="22"/>
                <w:szCs w:val="22"/>
              </w:rPr>
            </w:pPr>
            <w:r>
              <w:rPr>
                <w:rFonts w:hint="eastAsia" w:ascii="宋体" w:hAnsi="宋体"/>
                <w:bCs/>
                <w:sz w:val="22"/>
                <w:szCs w:val="22"/>
              </w:rPr>
              <w:t>（</w:t>
            </w:r>
            <w:r>
              <w:rPr>
                <w:rFonts w:ascii="宋体" w:hAnsi="宋体"/>
                <w:bCs/>
                <w:sz w:val="22"/>
                <w:szCs w:val="22"/>
              </w:rPr>
              <w:t>2</w:t>
            </w:r>
            <w:r>
              <w:rPr>
                <w:rFonts w:hint="eastAsia" w:ascii="宋体" w:hAnsi="宋体"/>
                <w:bCs/>
                <w:sz w:val="22"/>
                <w:szCs w:val="22"/>
              </w:rPr>
              <w:t>分）</w:t>
            </w:r>
          </w:p>
        </w:tc>
        <w:tc>
          <w:tcPr>
            <w:tcW w:w="5340" w:type="dxa"/>
            <w:gridSpan w:val="2"/>
          </w:tcPr>
          <w:p>
            <w:pPr>
              <w:spacing w:line="375" w:lineRule="atLeast"/>
              <w:rPr>
                <w:rFonts w:ascii="宋体" w:hAnsi="宋体"/>
                <w:bCs/>
                <w:sz w:val="22"/>
                <w:szCs w:val="22"/>
              </w:rPr>
            </w:pPr>
            <w:r>
              <w:rPr>
                <w:rFonts w:hint="eastAsia" w:ascii="宋体" w:hAnsi="宋体"/>
                <w:bCs/>
                <w:sz w:val="22"/>
                <w:szCs w:val="22"/>
              </w:rPr>
              <w:t>施工总平面设计：施工场利用符合现场实际，生产、生活用临时设施布置合理、紧凑，短运输、少搬运，利于生产、生活、安全、消防、环保、市容、卫生劳动保护等，符合安全文明工地要求。优秀的得</w:t>
            </w:r>
            <w:r>
              <w:rPr>
                <w:rFonts w:ascii="宋体" w:hAnsi="宋体"/>
                <w:bCs/>
                <w:sz w:val="22"/>
                <w:szCs w:val="22"/>
              </w:rPr>
              <w:t>2</w:t>
            </w:r>
            <w:r>
              <w:rPr>
                <w:rFonts w:hint="eastAsia" w:ascii="宋体" w:hAnsi="宋体"/>
                <w:bCs/>
                <w:sz w:val="22"/>
                <w:szCs w:val="22"/>
              </w:rPr>
              <w:t>分；良好的得</w:t>
            </w:r>
            <w:r>
              <w:rPr>
                <w:rFonts w:ascii="宋体" w:hAnsi="宋体"/>
                <w:bCs/>
                <w:sz w:val="22"/>
                <w:szCs w:val="22"/>
              </w:rPr>
              <w:t>1.5</w:t>
            </w:r>
            <w:r>
              <w:rPr>
                <w:rFonts w:hint="eastAsia" w:ascii="宋体" w:hAnsi="宋体"/>
                <w:bCs/>
                <w:sz w:val="22"/>
                <w:szCs w:val="22"/>
              </w:rPr>
              <w:t>分；一般的得</w:t>
            </w:r>
            <w:r>
              <w:rPr>
                <w:rFonts w:ascii="宋体" w:hAnsi="宋体"/>
                <w:bCs/>
                <w:sz w:val="22"/>
                <w:szCs w:val="22"/>
              </w:rPr>
              <w:t>1</w:t>
            </w:r>
            <w:r>
              <w:rPr>
                <w:rFonts w:hint="eastAsia" w:ascii="宋体" w:hAnsi="宋体"/>
                <w:bCs/>
                <w:sz w:val="22"/>
                <w:szCs w:val="22"/>
              </w:rPr>
              <w:t>分；差的得</w:t>
            </w:r>
            <w:r>
              <w:rPr>
                <w:rFonts w:ascii="宋体" w:hAnsi="宋体"/>
                <w:bCs/>
                <w:sz w:val="22"/>
                <w:szCs w:val="22"/>
              </w:rPr>
              <w:t>0.5</w:t>
            </w:r>
            <w:r>
              <w:rPr>
                <w:rFonts w:hint="eastAsia" w:ascii="宋体" w:hAnsi="宋体"/>
                <w:bCs/>
                <w:sz w:val="22"/>
                <w:szCs w:val="2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739" w:type="dxa"/>
            <w:vMerge w:val="continue"/>
          </w:tcPr>
          <w:p>
            <w:pPr>
              <w:autoSpaceDE w:val="0"/>
              <w:autoSpaceDN w:val="0"/>
              <w:adjustRightInd w:val="0"/>
              <w:spacing w:line="400" w:lineRule="exact"/>
              <w:ind w:left="420"/>
              <w:rPr>
                <w:rFonts w:ascii="宋体" w:hAnsi="宋体" w:cs="宋体"/>
                <w:sz w:val="22"/>
                <w:szCs w:val="22"/>
              </w:rPr>
            </w:pPr>
          </w:p>
        </w:tc>
        <w:tc>
          <w:tcPr>
            <w:tcW w:w="1618" w:type="dxa"/>
            <w:vMerge w:val="continue"/>
          </w:tcPr>
          <w:p>
            <w:pPr>
              <w:autoSpaceDE w:val="0"/>
              <w:autoSpaceDN w:val="0"/>
              <w:adjustRightInd w:val="0"/>
              <w:spacing w:line="400" w:lineRule="exact"/>
              <w:ind w:left="-120" w:leftChars="-50" w:right="-120" w:rightChars="-50"/>
              <w:jc w:val="center"/>
              <w:rPr>
                <w:rFonts w:ascii="宋体" w:hAnsi="宋体" w:cs="宋体"/>
                <w:sz w:val="22"/>
                <w:szCs w:val="22"/>
              </w:rPr>
            </w:pPr>
          </w:p>
        </w:tc>
        <w:tc>
          <w:tcPr>
            <w:tcW w:w="2210" w:type="dxa"/>
            <w:vAlign w:val="center"/>
          </w:tcPr>
          <w:p>
            <w:pPr>
              <w:autoSpaceDE w:val="0"/>
              <w:autoSpaceDN w:val="0"/>
              <w:adjustRightInd w:val="0"/>
              <w:spacing w:line="400" w:lineRule="exact"/>
              <w:jc w:val="center"/>
              <w:rPr>
                <w:rFonts w:ascii="宋体" w:hAnsi="宋体"/>
                <w:bCs/>
                <w:sz w:val="22"/>
                <w:szCs w:val="22"/>
              </w:rPr>
            </w:pPr>
            <w:r>
              <w:rPr>
                <w:rFonts w:hint="eastAsia" w:ascii="宋体" w:hAnsi="宋体"/>
                <w:bCs/>
                <w:sz w:val="22"/>
                <w:szCs w:val="22"/>
              </w:rPr>
              <w:t>资源配备计划</w:t>
            </w:r>
          </w:p>
          <w:p>
            <w:pPr>
              <w:autoSpaceDE w:val="0"/>
              <w:autoSpaceDN w:val="0"/>
              <w:adjustRightInd w:val="0"/>
              <w:spacing w:line="400" w:lineRule="exact"/>
              <w:jc w:val="center"/>
              <w:rPr>
                <w:rFonts w:ascii="宋体" w:hAnsi="宋体"/>
                <w:bCs/>
                <w:sz w:val="22"/>
                <w:szCs w:val="22"/>
              </w:rPr>
            </w:pPr>
            <w:r>
              <w:rPr>
                <w:rFonts w:hint="eastAsia" w:ascii="宋体" w:hAnsi="宋体"/>
                <w:bCs/>
                <w:sz w:val="22"/>
                <w:szCs w:val="22"/>
              </w:rPr>
              <w:t>（</w:t>
            </w:r>
            <w:r>
              <w:rPr>
                <w:rFonts w:ascii="宋体" w:hAnsi="宋体"/>
                <w:bCs/>
                <w:sz w:val="22"/>
                <w:szCs w:val="22"/>
              </w:rPr>
              <w:t>2</w:t>
            </w:r>
            <w:r>
              <w:rPr>
                <w:rFonts w:hint="eastAsia" w:ascii="宋体" w:hAnsi="宋体"/>
                <w:bCs/>
                <w:sz w:val="22"/>
                <w:szCs w:val="22"/>
              </w:rPr>
              <w:t>分）</w:t>
            </w:r>
          </w:p>
        </w:tc>
        <w:tc>
          <w:tcPr>
            <w:tcW w:w="5340" w:type="dxa"/>
            <w:gridSpan w:val="2"/>
          </w:tcPr>
          <w:p>
            <w:pPr>
              <w:spacing w:line="375" w:lineRule="atLeast"/>
              <w:rPr>
                <w:rFonts w:ascii="宋体" w:hAnsi="宋体"/>
                <w:bCs/>
                <w:sz w:val="22"/>
                <w:szCs w:val="22"/>
              </w:rPr>
            </w:pPr>
            <w:r>
              <w:rPr>
                <w:rFonts w:hint="eastAsia" w:ascii="宋体" w:hAnsi="宋体"/>
                <w:bCs/>
                <w:sz w:val="22"/>
                <w:szCs w:val="22"/>
              </w:rPr>
              <w:t>施工设备、机具配置齐全、合理，能满足施工进度和工程质量要求。优秀的得</w:t>
            </w:r>
            <w:r>
              <w:rPr>
                <w:rFonts w:ascii="宋体" w:hAnsi="宋体"/>
                <w:bCs/>
                <w:sz w:val="22"/>
                <w:szCs w:val="22"/>
              </w:rPr>
              <w:t>2</w:t>
            </w:r>
            <w:r>
              <w:rPr>
                <w:rFonts w:hint="eastAsia" w:ascii="宋体" w:hAnsi="宋体"/>
                <w:bCs/>
                <w:sz w:val="22"/>
                <w:szCs w:val="22"/>
              </w:rPr>
              <w:t>分；良好的得</w:t>
            </w:r>
            <w:r>
              <w:rPr>
                <w:rFonts w:ascii="宋体" w:hAnsi="宋体"/>
                <w:bCs/>
                <w:sz w:val="22"/>
                <w:szCs w:val="22"/>
              </w:rPr>
              <w:t>1.5</w:t>
            </w:r>
            <w:r>
              <w:rPr>
                <w:rFonts w:hint="eastAsia" w:ascii="宋体" w:hAnsi="宋体"/>
                <w:bCs/>
                <w:sz w:val="22"/>
                <w:szCs w:val="22"/>
              </w:rPr>
              <w:t>分；一般的得</w:t>
            </w:r>
            <w:r>
              <w:rPr>
                <w:rFonts w:ascii="宋体" w:hAnsi="宋体"/>
                <w:bCs/>
                <w:sz w:val="22"/>
                <w:szCs w:val="22"/>
              </w:rPr>
              <w:t>1</w:t>
            </w:r>
            <w:r>
              <w:rPr>
                <w:rFonts w:hint="eastAsia" w:ascii="宋体" w:hAnsi="宋体"/>
                <w:bCs/>
                <w:sz w:val="22"/>
                <w:szCs w:val="22"/>
              </w:rPr>
              <w:t>分；差的得</w:t>
            </w:r>
            <w:r>
              <w:rPr>
                <w:rFonts w:ascii="宋体" w:hAnsi="宋体"/>
                <w:bCs/>
                <w:sz w:val="22"/>
                <w:szCs w:val="22"/>
              </w:rPr>
              <w:t>0.5</w:t>
            </w:r>
            <w:r>
              <w:rPr>
                <w:rFonts w:hint="eastAsia" w:ascii="宋体" w:hAnsi="宋体"/>
                <w:bCs/>
                <w:sz w:val="22"/>
                <w:szCs w:val="2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739" w:type="dxa"/>
            <w:vMerge w:val="continue"/>
          </w:tcPr>
          <w:p>
            <w:pPr>
              <w:autoSpaceDE w:val="0"/>
              <w:autoSpaceDN w:val="0"/>
              <w:adjustRightInd w:val="0"/>
              <w:spacing w:line="400" w:lineRule="exact"/>
              <w:ind w:left="420"/>
              <w:rPr>
                <w:rFonts w:ascii="宋体" w:hAnsi="宋体" w:cs="宋体"/>
                <w:sz w:val="22"/>
                <w:szCs w:val="22"/>
              </w:rPr>
            </w:pPr>
          </w:p>
        </w:tc>
        <w:tc>
          <w:tcPr>
            <w:tcW w:w="1618" w:type="dxa"/>
            <w:vMerge w:val="continue"/>
            <w:vAlign w:val="center"/>
          </w:tcPr>
          <w:p>
            <w:pPr>
              <w:autoSpaceDE w:val="0"/>
              <w:autoSpaceDN w:val="0"/>
              <w:adjustRightInd w:val="0"/>
              <w:spacing w:line="400" w:lineRule="exact"/>
              <w:jc w:val="center"/>
              <w:rPr>
                <w:rFonts w:ascii="宋体" w:hAnsi="宋体"/>
                <w:bCs/>
                <w:sz w:val="22"/>
                <w:szCs w:val="22"/>
              </w:rPr>
            </w:pPr>
          </w:p>
        </w:tc>
        <w:tc>
          <w:tcPr>
            <w:tcW w:w="2210" w:type="dxa"/>
            <w:vMerge w:val="restart"/>
            <w:vAlign w:val="center"/>
          </w:tcPr>
          <w:p>
            <w:pPr>
              <w:autoSpaceDE w:val="0"/>
              <w:autoSpaceDN w:val="0"/>
              <w:adjustRightInd w:val="0"/>
              <w:spacing w:line="400" w:lineRule="exact"/>
              <w:jc w:val="center"/>
              <w:rPr>
                <w:rFonts w:ascii="宋体" w:hAnsi="宋体"/>
                <w:bCs/>
                <w:sz w:val="22"/>
                <w:szCs w:val="22"/>
              </w:rPr>
            </w:pPr>
            <w:r>
              <w:rPr>
                <w:rFonts w:hint="eastAsia" w:ascii="宋体" w:hAnsi="宋体"/>
                <w:bCs/>
                <w:sz w:val="22"/>
                <w:szCs w:val="22"/>
              </w:rPr>
              <w:t>危险性较大的分部分项工程安全专项施工方案（</w:t>
            </w:r>
            <w:r>
              <w:rPr>
                <w:rFonts w:ascii="宋体" w:hAnsi="宋体"/>
                <w:bCs/>
                <w:sz w:val="22"/>
                <w:szCs w:val="22"/>
              </w:rPr>
              <w:t>6</w:t>
            </w:r>
            <w:r>
              <w:rPr>
                <w:rFonts w:hint="eastAsia" w:ascii="宋体" w:hAnsi="宋体"/>
                <w:bCs/>
                <w:sz w:val="22"/>
                <w:szCs w:val="22"/>
              </w:rPr>
              <w:t>分）</w:t>
            </w:r>
          </w:p>
        </w:tc>
        <w:tc>
          <w:tcPr>
            <w:tcW w:w="5340" w:type="dxa"/>
            <w:gridSpan w:val="2"/>
          </w:tcPr>
          <w:p>
            <w:pPr>
              <w:spacing w:line="375" w:lineRule="atLeast"/>
              <w:rPr>
                <w:rFonts w:ascii="宋体" w:hAnsi="宋体"/>
                <w:bCs/>
                <w:sz w:val="22"/>
                <w:szCs w:val="22"/>
              </w:rPr>
            </w:pPr>
            <w:r>
              <w:rPr>
                <w:rFonts w:hint="eastAsia" w:ascii="宋体" w:hAnsi="宋体"/>
                <w:bCs/>
                <w:sz w:val="22"/>
                <w:szCs w:val="22"/>
              </w:rPr>
              <w:t>专项方案内容是否完整、可行，优秀的得</w:t>
            </w:r>
            <w:r>
              <w:rPr>
                <w:rFonts w:ascii="宋体" w:hAnsi="宋体"/>
                <w:bCs/>
                <w:sz w:val="22"/>
                <w:szCs w:val="22"/>
              </w:rPr>
              <w:t>2</w:t>
            </w:r>
            <w:r>
              <w:rPr>
                <w:rFonts w:hint="eastAsia" w:ascii="宋体" w:hAnsi="宋体"/>
                <w:bCs/>
                <w:sz w:val="22"/>
                <w:szCs w:val="22"/>
              </w:rPr>
              <w:t>分；良好的得</w:t>
            </w:r>
            <w:r>
              <w:rPr>
                <w:rFonts w:ascii="宋体" w:hAnsi="宋体"/>
                <w:bCs/>
                <w:sz w:val="22"/>
                <w:szCs w:val="22"/>
              </w:rPr>
              <w:t>1.5</w:t>
            </w:r>
            <w:r>
              <w:rPr>
                <w:rFonts w:hint="eastAsia" w:ascii="宋体" w:hAnsi="宋体"/>
                <w:bCs/>
                <w:sz w:val="22"/>
                <w:szCs w:val="22"/>
              </w:rPr>
              <w:t>分；一般的得</w:t>
            </w:r>
            <w:r>
              <w:rPr>
                <w:rFonts w:ascii="宋体" w:hAnsi="宋体"/>
                <w:bCs/>
                <w:sz w:val="22"/>
                <w:szCs w:val="22"/>
              </w:rPr>
              <w:t>1</w:t>
            </w:r>
            <w:r>
              <w:rPr>
                <w:rFonts w:hint="eastAsia" w:ascii="宋体" w:hAnsi="宋体"/>
                <w:bCs/>
                <w:sz w:val="22"/>
                <w:szCs w:val="22"/>
              </w:rPr>
              <w:t>分；差的得</w:t>
            </w:r>
            <w:r>
              <w:rPr>
                <w:rFonts w:ascii="宋体" w:hAnsi="宋体"/>
                <w:bCs/>
                <w:sz w:val="22"/>
                <w:szCs w:val="22"/>
              </w:rPr>
              <w:t>0.5</w:t>
            </w:r>
            <w:r>
              <w:rPr>
                <w:rFonts w:hint="eastAsia" w:ascii="宋体" w:hAnsi="宋体"/>
                <w:bCs/>
                <w:sz w:val="22"/>
                <w:szCs w:val="2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jc w:val="center"/>
        </w:trPr>
        <w:tc>
          <w:tcPr>
            <w:tcW w:w="739" w:type="dxa"/>
            <w:vMerge w:val="continue"/>
          </w:tcPr>
          <w:p>
            <w:pPr>
              <w:autoSpaceDE w:val="0"/>
              <w:autoSpaceDN w:val="0"/>
              <w:adjustRightInd w:val="0"/>
              <w:spacing w:line="400" w:lineRule="exact"/>
              <w:ind w:left="420"/>
              <w:rPr>
                <w:rFonts w:ascii="宋体" w:hAnsi="宋体" w:cs="宋体"/>
                <w:sz w:val="22"/>
                <w:szCs w:val="22"/>
              </w:rPr>
            </w:pPr>
          </w:p>
        </w:tc>
        <w:tc>
          <w:tcPr>
            <w:tcW w:w="1618" w:type="dxa"/>
            <w:vMerge w:val="continue"/>
          </w:tcPr>
          <w:p>
            <w:pPr>
              <w:autoSpaceDE w:val="0"/>
              <w:autoSpaceDN w:val="0"/>
              <w:adjustRightInd w:val="0"/>
              <w:spacing w:line="400" w:lineRule="exact"/>
              <w:rPr>
                <w:rFonts w:ascii="宋体" w:hAnsi="宋体"/>
                <w:bCs/>
                <w:sz w:val="22"/>
                <w:szCs w:val="22"/>
              </w:rPr>
            </w:pPr>
          </w:p>
        </w:tc>
        <w:tc>
          <w:tcPr>
            <w:tcW w:w="2210" w:type="dxa"/>
            <w:vMerge w:val="continue"/>
          </w:tcPr>
          <w:p>
            <w:pPr>
              <w:autoSpaceDE w:val="0"/>
              <w:autoSpaceDN w:val="0"/>
              <w:adjustRightInd w:val="0"/>
              <w:spacing w:line="400" w:lineRule="exact"/>
              <w:rPr>
                <w:rFonts w:ascii="宋体" w:hAnsi="宋体"/>
                <w:bCs/>
                <w:sz w:val="22"/>
                <w:szCs w:val="22"/>
              </w:rPr>
            </w:pPr>
          </w:p>
        </w:tc>
        <w:tc>
          <w:tcPr>
            <w:tcW w:w="5340" w:type="dxa"/>
            <w:gridSpan w:val="2"/>
          </w:tcPr>
          <w:p>
            <w:pPr>
              <w:spacing w:line="375" w:lineRule="atLeast"/>
              <w:rPr>
                <w:rFonts w:ascii="宋体" w:hAnsi="宋体"/>
                <w:bCs/>
                <w:sz w:val="22"/>
                <w:szCs w:val="22"/>
              </w:rPr>
            </w:pPr>
            <w:r>
              <w:rPr>
                <w:rFonts w:hint="eastAsia" w:ascii="宋体" w:hAnsi="宋体"/>
                <w:bCs/>
                <w:sz w:val="22"/>
                <w:szCs w:val="22"/>
              </w:rPr>
              <w:t>专项方案的编制是否符合有关标准规范，优秀的得</w:t>
            </w:r>
            <w:r>
              <w:rPr>
                <w:rFonts w:ascii="宋体" w:hAnsi="宋体"/>
                <w:bCs/>
                <w:sz w:val="22"/>
                <w:szCs w:val="22"/>
              </w:rPr>
              <w:t>2</w:t>
            </w:r>
            <w:r>
              <w:rPr>
                <w:rFonts w:hint="eastAsia" w:ascii="宋体" w:hAnsi="宋体"/>
                <w:bCs/>
                <w:sz w:val="22"/>
                <w:szCs w:val="22"/>
              </w:rPr>
              <w:t>分；良好的得</w:t>
            </w:r>
            <w:r>
              <w:rPr>
                <w:rFonts w:ascii="宋体" w:hAnsi="宋体"/>
                <w:bCs/>
                <w:sz w:val="22"/>
                <w:szCs w:val="22"/>
              </w:rPr>
              <w:t>1.5</w:t>
            </w:r>
            <w:r>
              <w:rPr>
                <w:rFonts w:hint="eastAsia" w:ascii="宋体" w:hAnsi="宋体"/>
                <w:bCs/>
                <w:sz w:val="22"/>
                <w:szCs w:val="22"/>
              </w:rPr>
              <w:t>分；一般的得</w:t>
            </w:r>
            <w:r>
              <w:rPr>
                <w:rFonts w:ascii="宋体" w:hAnsi="宋体"/>
                <w:bCs/>
                <w:sz w:val="22"/>
                <w:szCs w:val="22"/>
              </w:rPr>
              <w:t>1</w:t>
            </w:r>
            <w:r>
              <w:rPr>
                <w:rFonts w:hint="eastAsia" w:ascii="宋体" w:hAnsi="宋体"/>
                <w:bCs/>
                <w:sz w:val="22"/>
                <w:szCs w:val="22"/>
              </w:rPr>
              <w:t>分；差的得</w:t>
            </w:r>
            <w:r>
              <w:rPr>
                <w:rFonts w:ascii="宋体" w:hAnsi="宋体"/>
                <w:bCs/>
                <w:sz w:val="22"/>
                <w:szCs w:val="22"/>
              </w:rPr>
              <w:t>0.5</w:t>
            </w:r>
            <w:r>
              <w:rPr>
                <w:rFonts w:hint="eastAsia" w:ascii="宋体" w:hAnsi="宋体"/>
                <w:bCs/>
                <w:sz w:val="22"/>
                <w:szCs w:val="2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739" w:type="dxa"/>
            <w:vMerge w:val="continue"/>
          </w:tcPr>
          <w:p>
            <w:pPr>
              <w:autoSpaceDE w:val="0"/>
              <w:autoSpaceDN w:val="0"/>
              <w:adjustRightInd w:val="0"/>
              <w:spacing w:line="400" w:lineRule="exact"/>
              <w:ind w:left="420"/>
              <w:rPr>
                <w:rFonts w:ascii="宋体" w:hAnsi="宋体" w:cs="宋体"/>
                <w:sz w:val="22"/>
                <w:szCs w:val="22"/>
              </w:rPr>
            </w:pPr>
          </w:p>
        </w:tc>
        <w:tc>
          <w:tcPr>
            <w:tcW w:w="1618" w:type="dxa"/>
            <w:vMerge w:val="continue"/>
          </w:tcPr>
          <w:p>
            <w:pPr>
              <w:autoSpaceDE w:val="0"/>
              <w:autoSpaceDN w:val="0"/>
              <w:adjustRightInd w:val="0"/>
              <w:spacing w:line="400" w:lineRule="exact"/>
              <w:rPr>
                <w:rFonts w:ascii="宋体" w:hAnsi="宋体"/>
                <w:bCs/>
                <w:sz w:val="22"/>
                <w:szCs w:val="22"/>
              </w:rPr>
            </w:pPr>
          </w:p>
        </w:tc>
        <w:tc>
          <w:tcPr>
            <w:tcW w:w="2210" w:type="dxa"/>
            <w:vMerge w:val="continue"/>
          </w:tcPr>
          <w:p>
            <w:pPr>
              <w:autoSpaceDE w:val="0"/>
              <w:autoSpaceDN w:val="0"/>
              <w:adjustRightInd w:val="0"/>
              <w:spacing w:line="400" w:lineRule="exact"/>
              <w:rPr>
                <w:rFonts w:ascii="宋体" w:hAnsi="宋体"/>
                <w:bCs/>
                <w:sz w:val="22"/>
                <w:szCs w:val="22"/>
              </w:rPr>
            </w:pPr>
          </w:p>
        </w:tc>
        <w:tc>
          <w:tcPr>
            <w:tcW w:w="5340" w:type="dxa"/>
            <w:gridSpan w:val="2"/>
          </w:tcPr>
          <w:p>
            <w:pPr>
              <w:spacing w:line="375" w:lineRule="atLeast"/>
              <w:rPr>
                <w:rFonts w:ascii="宋体" w:hAnsi="宋体"/>
                <w:bCs/>
                <w:sz w:val="22"/>
                <w:szCs w:val="22"/>
              </w:rPr>
            </w:pPr>
            <w:r>
              <w:rPr>
                <w:rFonts w:hint="eastAsia" w:ascii="宋体" w:hAnsi="宋体"/>
                <w:bCs/>
                <w:sz w:val="22"/>
                <w:szCs w:val="22"/>
              </w:rPr>
              <w:t>安全施工的措施是否满足现场实际情况，优秀的得</w:t>
            </w:r>
            <w:r>
              <w:rPr>
                <w:rFonts w:ascii="宋体" w:hAnsi="宋体"/>
                <w:bCs/>
                <w:sz w:val="22"/>
                <w:szCs w:val="22"/>
              </w:rPr>
              <w:t>2</w:t>
            </w:r>
            <w:r>
              <w:rPr>
                <w:rFonts w:hint="eastAsia" w:ascii="宋体" w:hAnsi="宋体"/>
                <w:bCs/>
                <w:sz w:val="22"/>
                <w:szCs w:val="22"/>
              </w:rPr>
              <w:t>分；良好的得</w:t>
            </w:r>
            <w:r>
              <w:rPr>
                <w:rFonts w:ascii="宋体" w:hAnsi="宋体"/>
                <w:bCs/>
                <w:sz w:val="22"/>
                <w:szCs w:val="22"/>
              </w:rPr>
              <w:t>1.5</w:t>
            </w:r>
            <w:r>
              <w:rPr>
                <w:rFonts w:hint="eastAsia" w:ascii="宋体" w:hAnsi="宋体"/>
                <w:bCs/>
                <w:sz w:val="22"/>
                <w:szCs w:val="22"/>
              </w:rPr>
              <w:t>分；一般的得</w:t>
            </w:r>
            <w:r>
              <w:rPr>
                <w:rFonts w:ascii="宋体" w:hAnsi="宋体"/>
                <w:bCs/>
                <w:sz w:val="22"/>
                <w:szCs w:val="22"/>
              </w:rPr>
              <w:t>1</w:t>
            </w:r>
            <w:r>
              <w:rPr>
                <w:rFonts w:hint="eastAsia" w:ascii="宋体" w:hAnsi="宋体"/>
                <w:bCs/>
                <w:sz w:val="22"/>
                <w:szCs w:val="22"/>
              </w:rPr>
              <w:t>分；差的得</w:t>
            </w:r>
            <w:r>
              <w:rPr>
                <w:rFonts w:ascii="宋体" w:hAnsi="宋体"/>
                <w:bCs/>
                <w:sz w:val="22"/>
                <w:szCs w:val="22"/>
              </w:rPr>
              <w:t>0.5</w:t>
            </w:r>
            <w:r>
              <w:rPr>
                <w:rFonts w:hint="eastAsia" w:ascii="宋体" w:hAnsi="宋体"/>
                <w:bCs/>
                <w:sz w:val="22"/>
                <w:szCs w:val="2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739" w:type="dxa"/>
            <w:vAlign w:val="center"/>
          </w:tcPr>
          <w:p>
            <w:pPr>
              <w:autoSpaceDE w:val="0"/>
              <w:autoSpaceDN w:val="0"/>
              <w:adjustRightInd w:val="0"/>
              <w:spacing w:line="400" w:lineRule="exact"/>
              <w:jc w:val="center"/>
              <w:rPr>
                <w:rFonts w:ascii="宋体" w:hAnsi="宋体" w:cs="宋体"/>
                <w:sz w:val="22"/>
                <w:szCs w:val="22"/>
              </w:rPr>
            </w:pPr>
            <w:r>
              <w:rPr>
                <w:rFonts w:ascii="宋体" w:hAnsi="宋体" w:cs="宋体"/>
                <w:sz w:val="22"/>
                <w:szCs w:val="22"/>
              </w:rPr>
              <w:t>3</w:t>
            </w:r>
          </w:p>
        </w:tc>
        <w:tc>
          <w:tcPr>
            <w:tcW w:w="3828" w:type="dxa"/>
            <w:gridSpan w:val="2"/>
            <w:vAlign w:val="center"/>
          </w:tcPr>
          <w:p>
            <w:pPr>
              <w:autoSpaceDE w:val="0"/>
              <w:autoSpaceDN w:val="0"/>
              <w:adjustRightInd w:val="0"/>
              <w:spacing w:line="400" w:lineRule="exact"/>
              <w:jc w:val="center"/>
              <w:rPr>
                <w:rFonts w:ascii="宋体" w:hAnsi="宋体"/>
                <w:bCs/>
                <w:sz w:val="22"/>
                <w:szCs w:val="22"/>
              </w:rPr>
            </w:pPr>
            <w:r>
              <w:rPr>
                <w:rFonts w:hint="eastAsia" w:ascii="宋体" w:hAnsi="宋体"/>
                <w:bCs/>
                <w:sz w:val="22"/>
                <w:szCs w:val="22"/>
              </w:rPr>
              <w:t>企业业绩</w:t>
            </w:r>
          </w:p>
          <w:p>
            <w:pPr>
              <w:autoSpaceDE w:val="0"/>
              <w:autoSpaceDN w:val="0"/>
              <w:adjustRightInd w:val="0"/>
              <w:spacing w:line="400" w:lineRule="exact"/>
              <w:jc w:val="center"/>
              <w:rPr>
                <w:rFonts w:ascii="宋体" w:hAnsi="宋体"/>
                <w:bCs/>
                <w:sz w:val="22"/>
                <w:szCs w:val="22"/>
              </w:rPr>
            </w:pPr>
            <w:r>
              <w:rPr>
                <w:rFonts w:hint="eastAsia" w:ascii="宋体" w:hAnsi="宋体"/>
                <w:bCs/>
                <w:sz w:val="22"/>
                <w:szCs w:val="22"/>
              </w:rPr>
              <w:t>（</w:t>
            </w:r>
            <w:r>
              <w:rPr>
                <w:rFonts w:hint="eastAsia" w:ascii="宋体" w:hAnsi="宋体"/>
                <w:bCs/>
                <w:sz w:val="22"/>
                <w:szCs w:val="22"/>
                <w:lang w:val="en-US" w:eastAsia="zh-CN"/>
              </w:rPr>
              <w:t>10</w:t>
            </w:r>
            <w:r>
              <w:rPr>
                <w:rFonts w:hint="eastAsia" w:ascii="宋体" w:hAnsi="宋体"/>
                <w:bCs/>
                <w:sz w:val="22"/>
                <w:szCs w:val="22"/>
              </w:rPr>
              <w:t>分）</w:t>
            </w:r>
          </w:p>
        </w:tc>
        <w:tc>
          <w:tcPr>
            <w:tcW w:w="5340" w:type="dxa"/>
            <w:gridSpan w:val="2"/>
          </w:tcPr>
          <w:p>
            <w:pPr>
              <w:spacing w:line="375" w:lineRule="atLeast"/>
              <w:rPr>
                <w:rFonts w:ascii="宋体" w:hAnsi="宋体"/>
                <w:bCs/>
                <w:sz w:val="22"/>
                <w:szCs w:val="22"/>
              </w:rPr>
            </w:pPr>
            <w:r>
              <w:rPr>
                <w:rFonts w:hint="eastAsia" w:ascii="宋体" w:hAnsi="宋体"/>
                <w:bCs/>
                <w:sz w:val="22"/>
                <w:szCs w:val="22"/>
              </w:rPr>
              <w:t xml:space="preserve">投标人近三年在海拔 2000 米以上（包括 2000 米）至 3000米以内（包括 3000 米）地区每完成一个类似工程项目得 </w:t>
            </w:r>
            <w:r>
              <w:rPr>
                <w:rFonts w:ascii="宋体" w:hAnsi="宋体"/>
                <w:bCs/>
                <w:sz w:val="22"/>
                <w:szCs w:val="22"/>
              </w:rPr>
              <w:t>1</w:t>
            </w:r>
            <w:r>
              <w:rPr>
                <w:rFonts w:hint="eastAsia" w:ascii="宋体" w:hAnsi="宋体"/>
                <w:bCs/>
                <w:sz w:val="22"/>
                <w:szCs w:val="22"/>
              </w:rPr>
              <w:t xml:space="preserve"> 分，3001 米以上地区每完成一个类似工程得 </w:t>
            </w:r>
            <w:r>
              <w:rPr>
                <w:rFonts w:ascii="宋体" w:hAnsi="宋体"/>
                <w:bCs/>
                <w:sz w:val="22"/>
                <w:szCs w:val="22"/>
              </w:rPr>
              <w:t>3</w:t>
            </w:r>
            <w:r>
              <w:rPr>
                <w:rFonts w:hint="eastAsia" w:ascii="宋体" w:hAnsi="宋体"/>
                <w:bCs/>
                <w:sz w:val="22"/>
                <w:szCs w:val="22"/>
              </w:rPr>
              <w:t xml:space="preserve"> 分。（须提供中标通知书</w:t>
            </w:r>
            <w:r>
              <w:rPr>
                <w:rFonts w:hint="eastAsia" w:ascii="宋体" w:hAnsi="宋体"/>
                <w:bCs/>
                <w:sz w:val="22"/>
                <w:szCs w:val="22"/>
                <w:lang w:val="en-US" w:eastAsia="zh-CN"/>
              </w:rPr>
              <w:t>或</w:t>
            </w:r>
            <w:bookmarkStart w:id="740" w:name="_GoBack"/>
            <w:bookmarkEnd w:id="740"/>
            <w:r>
              <w:rPr>
                <w:rFonts w:hint="eastAsia" w:ascii="宋体" w:hAnsi="宋体"/>
                <w:bCs/>
                <w:sz w:val="22"/>
                <w:szCs w:val="22"/>
              </w:rPr>
              <w:t>合同首页复印件及金额页复印件并加盖投标单位公章。）（此项最高得分超过1</w:t>
            </w:r>
            <w:r>
              <w:rPr>
                <w:rFonts w:ascii="宋体" w:hAnsi="宋体"/>
                <w:bCs/>
                <w:sz w:val="22"/>
                <w:szCs w:val="22"/>
              </w:rPr>
              <w:t>0</w:t>
            </w:r>
            <w:r>
              <w:rPr>
                <w:rFonts w:hint="eastAsia" w:ascii="宋体" w:hAnsi="宋体"/>
                <w:bCs/>
                <w:sz w:val="22"/>
                <w:szCs w:val="22"/>
              </w:rPr>
              <w:t>分按1</w:t>
            </w:r>
            <w:r>
              <w:rPr>
                <w:rFonts w:ascii="宋体" w:hAnsi="宋体"/>
                <w:bCs/>
                <w:sz w:val="22"/>
                <w:szCs w:val="22"/>
              </w:rPr>
              <w:t>0</w:t>
            </w:r>
            <w:r>
              <w:rPr>
                <w:rFonts w:hint="eastAsia" w:ascii="宋体" w:hAnsi="宋体"/>
                <w:bCs/>
                <w:sz w:val="22"/>
                <w:szCs w:val="22"/>
              </w:rPr>
              <w:t>分计）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2" w:hRule="atLeast"/>
          <w:jc w:val="center"/>
        </w:trPr>
        <w:tc>
          <w:tcPr>
            <w:tcW w:w="739" w:type="dxa"/>
            <w:vAlign w:val="center"/>
          </w:tcPr>
          <w:p>
            <w:pPr>
              <w:autoSpaceDE w:val="0"/>
              <w:autoSpaceDN w:val="0"/>
              <w:adjustRightInd w:val="0"/>
              <w:spacing w:line="400" w:lineRule="exact"/>
              <w:jc w:val="center"/>
              <w:rPr>
                <w:rFonts w:ascii="宋体" w:hAnsi="宋体" w:cs="宋体"/>
                <w:sz w:val="22"/>
                <w:szCs w:val="22"/>
              </w:rPr>
            </w:pPr>
            <w:r>
              <w:rPr>
                <w:rFonts w:ascii="宋体" w:hAnsi="宋体" w:cs="宋体"/>
                <w:sz w:val="22"/>
                <w:szCs w:val="22"/>
              </w:rPr>
              <w:t>4</w:t>
            </w:r>
          </w:p>
        </w:tc>
        <w:tc>
          <w:tcPr>
            <w:tcW w:w="3828" w:type="dxa"/>
            <w:gridSpan w:val="2"/>
            <w:vAlign w:val="center"/>
          </w:tcPr>
          <w:p>
            <w:pPr>
              <w:autoSpaceDE w:val="0"/>
              <w:autoSpaceDN w:val="0"/>
              <w:adjustRightInd w:val="0"/>
              <w:spacing w:line="400" w:lineRule="exact"/>
              <w:jc w:val="center"/>
              <w:rPr>
                <w:rFonts w:ascii="宋体" w:hAnsi="宋体"/>
                <w:bCs/>
                <w:sz w:val="22"/>
                <w:szCs w:val="22"/>
              </w:rPr>
            </w:pPr>
            <w:r>
              <w:rPr>
                <w:rFonts w:hint="eastAsia" w:ascii="宋体" w:hAnsi="宋体"/>
                <w:bCs/>
                <w:sz w:val="22"/>
                <w:szCs w:val="22"/>
              </w:rPr>
              <w:t>建筑市场信用标（</w:t>
            </w:r>
            <w:r>
              <w:rPr>
                <w:rFonts w:ascii="宋体" w:hAnsi="宋体"/>
                <w:bCs/>
                <w:sz w:val="22"/>
                <w:szCs w:val="22"/>
              </w:rPr>
              <w:t>10</w:t>
            </w:r>
            <w:r>
              <w:rPr>
                <w:rFonts w:hint="eastAsia" w:ascii="宋体" w:hAnsi="宋体"/>
                <w:bCs/>
                <w:sz w:val="22"/>
                <w:szCs w:val="22"/>
              </w:rPr>
              <w:t>分）</w:t>
            </w:r>
          </w:p>
        </w:tc>
        <w:tc>
          <w:tcPr>
            <w:tcW w:w="5340" w:type="dxa"/>
            <w:gridSpan w:val="2"/>
          </w:tcPr>
          <w:p>
            <w:pPr>
              <w:spacing w:line="375" w:lineRule="atLeast"/>
              <w:rPr>
                <w:rFonts w:ascii="宋体" w:hAnsi="宋体"/>
                <w:bCs/>
                <w:sz w:val="22"/>
                <w:szCs w:val="22"/>
              </w:rPr>
            </w:pPr>
            <w:r>
              <w:rPr>
                <w:rFonts w:hint="eastAsia" w:ascii="宋体" w:hAnsi="宋体"/>
                <w:bCs/>
                <w:sz w:val="22"/>
                <w:szCs w:val="22"/>
              </w:rPr>
              <w:t>1、按照投标人上年度《青海省建筑市场各方主体和从业人员评分标准》的评定等级，评为 A 级的加 2 分，B 级的不加减分，C 级的半年内不得参与投标活动，半年后投标扣 2 分，D 级的一年内不得投标。</w:t>
            </w:r>
          </w:p>
          <w:p>
            <w:pPr>
              <w:spacing w:line="375" w:lineRule="atLeast"/>
              <w:rPr>
                <w:rFonts w:ascii="宋体" w:hAnsi="宋体"/>
                <w:bCs/>
                <w:sz w:val="22"/>
                <w:szCs w:val="22"/>
              </w:rPr>
            </w:pPr>
            <w:r>
              <w:rPr>
                <w:rFonts w:ascii="宋体" w:hAnsi="宋体"/>
                <w:bCs/>
                <w:sz w:val="22"/>
                <w:szCs w:val="22"/>
              </w:rPr>
              <w:t>2</w:t>
            </w:r>
            <w:r>
              <w:rPr>
                <w:rFonts w:hint="eastAsia" w:ascii="宋体" w:hAnsi="宋体"/>
                <w:bCs/>
                <w:sz w:val="22"/>
                <w:szCs w:val="22"/>
              </w:rPr>
              <w:t>、按照投标人上月最后一天《青海省建筑市场各方主体和从业人员评分标准》评定分值的 5%计取得分。如当月发生重大事故，信用等级被降为 D 级的，从处罚决定生效之日起，一年内不得参加投标活动。</w:t>
            </w:r>
          </w:p>
          <w:p>
            <w:pPr>
              <w:spacing w:line="375" w:lineRule="atLeast"/>
              <w:rPr>
                <w:rFonts w:ascii="宋体" w:hAnsi="宋体"/>
                <w:bCs/>
                <w:sz w:val="22"/>
                <w:szCs w:val="22"/>
              </w:rPr>
            </w:pPr>
            <w:r>
              <w:rPr>
                <w:rFonts w:hint="eastAsia" w:ascii="宋体" w:hAnsi="宋体"/>
                <w:bCs/>
                <w:sz w:val="22"/>
                <w:szCs w:val="22"/>
              </w:rPr>
              <w:t>以上两项得分合计不得超过 10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jc w:val="center"/>
        </w:trPr>
        <w:tc>
          <w:tcPr>
            <w:tcW w:w="739" w:type="dxa"/>
            <w:vAlign w:val="center"/>
          </w:tcPr>
          <w:p>
            <w:pPr>
              <w:autoSpaceDE w:val="0"/>
              <w:autoSpaceDN w:val="0"/>
              <w:adjustRightInd w:val="0"/>
              <w:spacing w:line="400" w:lineRule="exact"/>
              <w:jc w:val="center"/>
              <w:rPr>
                <w:rFonts w:ascii="宋体" w:hAnsi="宋体" w:cs="宋体"/>
                <w:sz w:val="22"/>
                <w:szCs w:val="22"/>
              </w:rPr>
            </w:pPr>
            <w:r>
              <w:rPr>
                <w:rFonts w:ascii="宋体" w:hAnsi="宋体" w:cs="宋体"/>
                <w:sz w:val="22"/>
                <w:szCs w:val="22"/>
              </w:rPr>
              <w:t>5</w:t>
            </w:r>
          </w:p>
        </w:tc>
        <w:tc>
          <w:tcPr>
            <w:tcW w:w="1618" w:type="dxa"/>
            <w:vAlign w:val="center"/>
          </w:tcPr>
          <w:p>
            <w:pPr>
              <w:autoSpaceDE w:val="0"/>
              <w:autoSpaceDN w:val="0"/>
              <w:adjustRightInd w:val="0"/>
              <w:spacing w:line="400" w:lineRule="exact"/>
              <w:ind w:left="-120" w:leftChars="-50" w:right="-120" w:rightChars="-50"/>
              <w:jc w:val="center"/>
              <w:rPr>
                <w:rFonts w:ascii="宋体" w:hAnsi="宋体" w:cs="宋体"/>
                <w:sz w:val="22"/>
                <w:szCs w:val="22"/>
              </w:rPr>
            </w:pPr>
            <w:r>
              <w:rPr>
                <w:rFonts w:hint="eastAsia" w:ascii="宋体" w:hAnsi="宋体" w:cs="宋体"/>
                <w:sz w:val="22"/>
                <w:szCs w:val="22"/>
              </w:rPr>
              <w:t>投标报价评分标准</w:t>
            </w:r>
          </w:p>
          <w:p>
            <w:pPr>
              <w:autoSpaceDE w:val="0"/>
              <w:autoSpaceDN w:val="0"/>
              <w:adjustRightInd w:val="0"/>
              <w:spacing w:line="400" w:lineRule="exact"/>
              <w:ind w:right="-120" w:rightChars="-50"/>
              <w:jc w:val="center"/>
              <w:rPr>
                <w:rFonts w:ascii="宋体" w:hAnsi="宋体" w:cs="宋体"/>
                <w:sz w:val="22"/>
                <w:szCs w:val="22"/>
              </w:rPr>
            </w:pPr>
            <w:r>
              <w:rPr>
                <w:rFonts w:hint="eastAsia" w:ascii="宋体" w:hAnsi="宋体" w:cs="宋体"/>
                <w:sz w:val="22"/>
                <w:szCs w:val="22"/>
              </w:rPr>
              <w:t>（</w:t>
            </w:r>
            <w:r>
              <w:rPr>
                <w:rFonts w:ascii="宋体" w:hAnsi="宋体" w:cs="宋体"/>
                <w:sz w:val="22"/>
                <w:szCs w:val="22"/>
              </w:rPr>
              <w:t>30</w:t>
            </w:r>
            <w:r>
              <w:rPr>
                <w:rFonts w:hint="eastAsia" w:ascii="宋体" w:hAnsi="宋体" w:cs="宋体"/>
                <w:sz w:val="22"/>
                <w:szCs w:val="22"/>
              </w:rPr>
              <w:t>分）</w:t>
            </w:r>
          </w:p>
        </w:tc>
        <w:tc>
          <w:tcPr>
            <w:tcW w:w="7550" w:type="dxa"/>
            <w:gridSpan w:val="3"/>
            <w:vAlign w:val="center"/>
          </w:tcPr>
          <w:p>
            <w:pPr>
              <w:spacing w:line="375" w:lineRule="atLeast"/>
              <w:rPr>
                <w:rFonts w:ascii="宋体" w:hAnsi="宋体"/>
                <w:bCs/>
                <w:sz w:val="22"/>
                <w:szCs w:val="22"/>
              </w:rPr>
            </w:pPr>
            <w:r>
              <w:rPr>
                <w:rFonts w:hint="eastAsia" w:ascii="宋体" w:hAnsi="宋体"/>
                <w:bCs/>
                <w:sz w:val="22"/>
                <w:szCs w:val="22"/>
              </w:rPr>
              <w:t>在所有的有效投标报价中，以最低投标报价为基准价，其价格分为满分。其他投标人的报价分统一按下列公式计算：投标报价得分=(评标基准价／投标报价)×价格权值（30%）×100（四舍五入后保留小数点后两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jc w:val="center"/>
        </w:trPr>
        <w:tc>
          <w:tcPr>
            <w:tcW w:w="739" w:type="dxa"/>
            <w:vAlign w:val="center"/>
          </w:tcPr>
          <w:p>
            <w:pPr>
              <w:autoSpaceDE w:val="0"/>
              <w:autoSpaceDN w:val="0"/>
              <w:adjustRightInd w:val="0"/>
              <w:spacing w:line="400" w:lineRule="exact"/>
              <w:jc w:val="center"/>
              <w:rPr>
                <w:rFonts w:ascii="宋体" w:hAnsi="宋体" w:cs="宋体"/>
                <w:sz w:val="22"/>
                <w:szCs w:val="22"/>
              </w:rPr>
            </w:pPr>
            <w:r>
              <w:rPr>
                <w:rFonts w:hint="eastAsia" w:ascii="宋体" w:hAnsi="宋体" w:cs="宋体"/>
                <w:sz w:val="22"/>
                <w:szCs w:val="22"/>
              </w:rPr>
              <w:t>6</w:t>
            </w:r>
          </w:p>
        </w:tc>
        <w:tc>
          <w:tcPr>
            <w:tcW w:w="1618" w:type="dxa"/>
            <w:vAlign w:val="center"/>
          </w:tcPr>
          <w:p>
            <w:pPr>
              <w:tabs>
                <w:tab w:val="right" w:leader="dot" w:pos="9060"/>
              </w:tabs>
              <w:autoSpaceDE w:val="0"/>
              <w:autoSpaceDN w:val="0"/>
              <w:adjustRightInd w:val="0"/>
              <w:rPr>
                <w:rFonts w:ascii="宋体" w:hAnsi="宋体" w:cs="宋体"/>
                <w:sz w:val="22"/>
                <w:szCs w:val="21"/>
              </w:rPr>
            </w:pPr>
            <w:r>
              <w:rPr>
                <w:rFonts w:hint="eastAsia" w:ascii="宋体" w:hAnsi="宋体" w:cs="宋体"/>
                <w:sz w:val="22"/>
                <w:szCs w:val="21"/>
              </w:rPr>
              <w:t>其他因素评分标准</w:t>
            </w:r>
          </w:p>
        </w:tc>
        <w:tc>
          <w:tcPr>
            <w:tcW w:w="7550" w:type="dxa"/>
            <w:gridSpan w:val="3"/>
            <w:vAlign w:val="center"/>
          </w:tcPr>
          <w:p>
            <w:pPr>
              <w:spacing w:line="375" w:lineRule="atLeast"/>
              <w:rPr>
                <w:rFonts w:ascii="宋体" w:hAnsi="宋体"/>
                <w:bCs/>
                <w:sz w:val="22"/>
                <w:szCs w:val="22"/>
              </w:rPr>
            </w:pPr>
            <w:r>
              <w:rPr>
                <w:rFonts w:hint="eastAsia" w:ascii="宋体" w:hAnsi="宋体"/>
                <w:bCs/>
                <w:sz w:val="21"/>
                <w:szCs w:val="21"/>
              </w:rPr>
              <w:t>根据《政府采购促进中小企业发展暂行办法》的相关规定，对小型和微型企业、监狱企业、残疾人福利性单位制造（生产）产品的价格给予6%的扣除，用扣除后的价格参与评审（附中小企业声明函及相关证明材料）。</w:t>
            </w:r>
          </w:p>
        </w:tc>
      </w:tr>
    </w:tbl>
    <w:p>
      <w:pPr>
        <w:pStyle w:val="26"/>
        <w:snapToGrid w:val="0"/>
        <w:spacing w:line="300" w:lineRule="auto"/>
        <w:rPr>
          <w:rFonts w:hint="default" w:hAnsi="宋体"/>
          <w:color w:val="000000"/>
          <w:sz w:val="24"/>
          <w:szCs w:val="24"/>
        </w:rPr>
      </w:pPr>
    </w:p>
    <w:p>
      <w:pPr>
        <w:pStyle w:val="26"/>
        <w:snapToGrid w:val="0"/>
        <w:spacing w:line="300" w:lineRule="auto"/>
        <w:rPr>
          <w:rFonts w:hint="default" w:hAnsi="宋体"/>
          <w:color w:val="000000"/>
          <w:sz w:val="24"/>
          <w:szCs w:val="24"/>
        </w:rPr>
      </w:pPr>
      <w:r>
        <w:rPr>
          <w:rFonts w:hAnsi="宋体"/>
          <w:color w:val="000000"/>
          <w:sz w:val="24"/>
          <w:szCs w:val="24"/>
        </w:rPr>
        <w:t>3.13 磋商过程中，有下列情形之一的，磋商失败：</w:t>
      </w:r>
    </w:p>
    <w:p>
      <w:pPr>
        <w:pStyle w:val="26"/>
        <w:snapToGrid w:val="0"/>
        <w:spacing w:line="300" w:lineRule="auto"/>
        <w:ind w:firstLine="480" w:firstLineChars="200"/>
        <w:rPr>
          <w:rFonts w:hint="default" w:hAnsi="宋体"/>
          <w:color w:val="000000"/>
          <w:sz w:val="24"/>
          <w:szCs w:val="24"/>
        </w:rPr>
      </w:pPr>
      <w:r>
        <w:rPr>
          <w:rFonts w:hAnsi="宋体"/>
          <w:color w:val="000000"/>
          <w:sz w:val="24"/>
          <w:szCs w:val="24"/>
        </w:rPr>
        <w:t>（一）通过资格性审查和符合性审查的供应商不足三家的；</w:t>
      </w:r>
    </w:p>
    <w:p>
      <w:pPr>
        <w:pStyle w:val="26"/>
        <w:snapToGrid w:val="0"/>
        <w:spacing w:line="300" w:lineRule="auto"/>
        <w:ind w:firstLine="480" w:firstLineChars="200"/>
        <w:rPr>
          <w:rFonts w:hint="default" w:hAnsi="宋体"/>
          <w:color w:val="000000"/>
          <w:sz w:val="24"/>
          <w:szCs w:val="24"/>
        </w:rPr>
      </w:pPr>
      <w:r>
        <w:rPr>
          <w:rFonts w:hAnsi="宋体"/>
          <w:color w:val="000000"/>
          <w:sz w:val="24"/>
          <w:szCs w:val="24"/>
        </w:rPr>
        <w:t>（二）参加磋商的供应商被淘汰，最后报价的供应商不足三家的；</w:t>
      </w:r>
    </w:p>
    <w:p>
      <w:pPr>
        <w:pStyle w:val="26"/>
        <w:snapToGrid w:val="0"/>
        <w:spacing w:line="300" w:lineRule="auto"/>
        <w:ind w:firstLine="480" w:firstLineChars="200"/>
        <w:rPr>
          <w:rFonts w:hint="default" w:hAnsi="宋体"/>
          <w:color w:val="000000"/>
          <w:sz w:val="24"/>
          <w:szCs w:val="24"/>
        </w:rPr>
      </w:pPr>
      <w:r>
        <w:rPr>
          <w:rFonts w:hAnsi="宋体"/>
          <w:color w:val="000000"/>
          <w:sz w:val="24"/>
          <w:szCs w:val="24"/>
        </w:rPr>
        <w:t>（三）供应商最后报价均超过政府采购预算或者本次采购项目最高限价，且采购单位不能支付的；</w:t>
      </w:r>
    </w:p>
    <w:p>
      <w:pPr>
        <w:pStyle w:val="26"/>
        <w:snapToGrid w:val="0"/>
        <w:spacing w:line="300" w:lineRule="auto"/>
        <w:ind w:firstLine="480" w:firstLineChars="200"/>
        <w:rPr>
          <w:rFonts w:hint="default" w:hAnsi="宋体"/>
          <w:color w:val="000000"/>
          <w:sz w:val="24"/>
          <w:szCs w:val="24"/>
        </w:rPr>
      </w:pPr>
      <w:r>
        <w:rPr>
          <w:rFonts w:hAnsi="宋体"/>
          <w:color w:val="000000"/>
          <w:sz w:val="24"/>
          <w:szCs w:val="24"/>
        </w:rPr>
        <w:t>（四）其他无法继续开展磋商或者无法成交的情形。</w:t>
      </w:r>
    </w:p>
    <w:p>
      <w:pPr>
        <w:snapToGrid w:val="0"/>
        <w:spacing w:line="300" w:lineRule="auto"/>
        <w:rPr>
          <w:rFonts w:ascii="宋体" w:hAnsi="宋体"/>
          <w:color w:val="000000"/>
        </w:rPr>
      </w:pPr>
      <w:r>
        <w:rPr>
          <w:rFonts w:ascii="宋体" w:hAnsi="宋体"/>
          <w:color w:val="000000"/>
        </w:rPr>
        <w:t>4、确定成交供应商的标准</w:t>
      </w:r>
    </w:p>
    <w:p>
      <w:pPr>
        <w:pStyle w:val="26"/>
        <w:snapToGrid w:val="0"/>
        <w:spacing w:line="300" w:lineRule="auto"/>
        <w:ind w:firstLine="460" w:firstLineChars="192"/>
        <w:rPr>
          <w:rFonts w:hint="default" w:hAnsi="宋体"/>
          <w:color w:val="000000"/>
          <w:sz w:val="24"/>
          <w:szCs w:val="24"/>
        </w:rPr>
      </w:pPr>
      <w:r>
        <w:rPr>
          <w:rFonts w:hAnsi="宋体"/>
          <w:color w:val="000000"/>
          <w:sz w:val="24"/>
          <w:szCs w:val="24"/>
        </w:rPr>
        <w:t>4.1 本次磋商小组成员应当按照客观、公正、审慎的原则进行。</w:t>
      </w:r>
    </w:p>
    <w:p>
      <w:pPr>
        <w:pStyle w:val="26"/>
        <w:snapToGrid w:val="0"/>
        <w:spacing w:line="300" w:lineRule="auto"/>
        <w:ind w:firstLine="480" w:firstLineChars="200"/>
        <w:rPr>
          <w:rFonts w:hint="default" w:hAnsi="宋体"/>
          <w:color w:val="000000"/>
          <w:sz w:val="24"/>
          <w:szCs w:val="24"/>
        </w:rPr>
      </w:pPr>
      <w:r>
        <w:rPr>
          <w:rFonts w:hAnsi="宋体"/>
          <w:color w:val="000000"/>
          <w:sz w:val="24"/>
          <w:szCs w:val="24"/>
        </w:rPr>
        <w:t>4.2 供应商报价结束后，磋商小组应当根据综合评分情况，按照评审得分由高到低顺序推荐三名以上成交候选供应商。评审得分相同的，按照最后报价由低到高的顺序推荐。评审得分且最后报价相同的，按照技术指标优劣顺序推荐。</w:t>
      </w:r>
    </w:p>
    <w:p>
      <w:pPr>
        <w:pStyle w:val="26"/>
        <w:snapToGrid w:val="0"/>
        <w:spacing w:line="300" w:lineRule="auto"/>
        <w:ind w:firstLine="480" w:firstLineChars="200"/>
        <w:rPr>
          <w:rFonts w:hint="default" w:hAnsi="宋体"/>
          <w:color w:val="000000"/>
          <w:sz w:val="24"/>
          <w:szCs w:val="24"/>
        </w:rPr>
      </w:pPr>
      <w:r>
        <w:rPr>
          <w:rFonts w:hAnsi="宋体"/>
          <w:color w:val="000000"/>
          <w:sz w:val="24"/>
          <w:szCs w:val="24"/>
        </w:rPr>
        <w:t>4.3 磋商小组推荐成交候选供应商后，应当向采购代理机构出具评审报告。</w:t>
      </w:r>
    </w:p>
    <w:p>
      <w:pPr>
        <w:pStyle w:val="26"/>
        <w:snapToGrid w:val="0"/>
        <w:spacing w:line="300" w:lineRule="auto"/>
        <w:ind w:firstLine="480" w:firstLineChars="200"/>
        <w:rPr>
          <w:rFonts w:hint="default" w:hAnsi="宋体"/>
          <w:color w:val="000000"/>
          <w:sz w:val="24"/>
          <w:szCs w:val="24"/>
        </w:rPr>
      </w:pPr>
      <w:r>
        <w:rPr>
          <w:rFonts w:hAnsi="宋体"/>
          <w:color w:val="000000"/>
          <w:sz w:val="24"/>
          <w:szCs w:val="24"/>
        </w:rPr>
        <w:t>4.4 对于违反磋商纪律的将可能被取消成交供应商资格或视为无效响应。</w:t>
      </w:r>
    </w:p>
    <w:p>
      <w:pPr>
        <w:rPr>
          <w:rFonts w:hAnsi="宋体"/>
          <w:color w:val="000000"/>
        </w:rPr>
      </w:pPr>
      <w:r>
        <w:rPr>
          <w:rFonts w:ascii="宋体" w:hAnsi="宋体"/>
        </w:rPr>
        <w:br w:type="page"/>
      </w:r>
    </w:p>
    <w:p>
      <w:pPr>
        <w:pStyle w:val="44"/>
        <w:rPr>
          <w:rFonts w:ascii="宋体" w:hAnsi="宋体"/>
          <w:kern w:val="44"/>
          <w:sz w:val="28"/>
          <w:szCs w:val="28"/>
        </w:rPr>
      </w:pPr>
      <w:bookmarkStart w:id="9" w:name="_Toc511289488"/>
      <w:bookmarkStart w:id="10" w:name="_Toc509579148"/>
      <w:bookmarkStart w:id="11" w:name="_Toc25785"/>
      <w:r>
        <w:rPr>
          <w:rFonts w:hint="eastAsia" w:ascii="宋体" w:hAnsi="宋体"/>
          <w:kern w:val="44"/>
          <w:sz w:val="28"/>
          <w:szCs w:val="28"/>
        </w:rPr>
        <w:t>第六章  政府采购合同</w:t>
      </w:r>
      <w:bookmarkEnd w:id="9"/>
      <w:bookmarkEnd w:id="10"/>
      <w:bookmarkEnd w:id="11"/>
    </w:p>
    <w:p>
      <w:pPr>
        <w:spacing w:line="360" w:lineRule="auto"/>
        <w:ind w:firstLine="482" w:firstLineChars="200"/>
        <w:rPr>
          <w:rFonts w:ascii="宋体" w:hAnsi="宋体"/>
          <w:b/>
          <w:bCs/>
        </w:rPr>
      </w:pPr>
    </w:p>
    <w:p>
      <w:pPr>
        <w:autoSpaceDE w:val="0"/>
        <w:autoSpaceDN w:val="0"/>
        <w:adjustRightInd w:val="0"/>
        <w:spacing w:line="276" w:lineRule="auto"/>
        <w:ind w:firstLine="480" w:firstLineChars="200"/>
        <w:rPr>
          <w:rFonts w:ascii="宋体" w:hAnsi="宋体"/>
        </w:rPr>
      </w:pPr>
      <w:r>
        <w:rPr>
          <w:rFonts w:hint="eastAsia" w:ascii="宋体" w:hAnsi="宋体"/>
        </w:rPr>
        <w:t>根据《中华人民共和国政府采购法》、《中华人民共和国合同法》、《中华人民共和国建筑法》及</w:t>
      </w:r>
      <w:r>
        <w:rPr>
          <w:rFonts w:hint="eastAsia" w:ascii="宋体" w:hAnsi="宋体"/>
          <w:color w:val="auto"/>
          <w:u w:val="single"/>
        </w:rPr>
        <w:t xml:space="preserve"> </w:t>
      </w:r>
      <w:r>
        <w:rPr>
          <w:rFonts w:hint="eastAsia"/>
          <w:b w:val="0"/>
          <w:bCs w:val="0"/>
          <w:color w:val="auto"/>
          <w:u w:val="single"/>
          <w:lang w:eastAsia="zh-CN"/>
        </w:rPr>
        <w:t>中共海晏县委组织部关于海晏县村级党员活动室建设（一期）的采购项目</w:t>
      </w:r>
      <w:r>
        <w:rPr>
          <w:rFonts w:hint="eastAsia" w:ascii="宋体" w:hAnsi="宋体"/>
          <w:color w:val="auto"/>
          <w:u w:val="single"/>
        </w:rPr>
        <w:t>（项目编号：</w:t>
      </w:r>
      <w:r>
        <w:rPr>
          <w:rFonts w:hint="eastAsia" w:ascii="宋体" w:hAnsi="宋体" w:cs="仿宋"/>
          <w:color w:val="auto"/>
          <w:u w:val="single"/>
          <w:lang w:eastAsia="zh-CN"/>
        </w:rPr>
        <w:t>易弘青海竞磋（工程）2020-0</w:t>
      </w:r>
      <w:r>
        <w:rPr>
          <w:rFonts w:hint="eastAsia" w:ascii="宋体" w:hAnsi="宋体" w:cs="仿宋"/>
          <w:color w:val="auto"/>
          <w:u w:val="single"/>
          <w:lang w:val="en-US" w:eastAsia="zh-CN"/>
        </w:rPr>
        <w:t>40</w:t>
      </w:r>
      <w:r>
        <w:rPr>
          <w:rFonts w:hint="eastAsia" w:ascii="宋体" w:hAnsi="宋体"/>
          <w:color w:val="auto"/>
          <w:u w:val="single"/>
        </w:rPr>
        <w:t>）</w:t>
      </w:r>
      <w:r>
        <w:rPr>
          <w:rFonts w:hint="eastAsia" w:ascii="宋体" w:hAnsi="宋体"/>
          <w:color w:val="auto"/>
        </w:rPr>
        <w:t>的磋商文件、乙方的响应文件及成交通知书，甲、乙双方同意签订本合同。详细技术说明及其他有关合同项目的特定信息由合同附件予以说明，合同附</w:t>
      </w:r>
      <w:r>
        <w:rPr>
          <w:rFonts w:hint="eastAsia" w:ascii="宋体" w:hAnsi="宋体"/>
        </w:rPr>
        <w:t>件及本项目的磋商文件、响应文件、评审报告、成交通知书等均为本合同不可分割的部分。双方同意共同遵守如下条款：</w:t>
      </w:r>
    </w:p>
    <w:p>
      <w:pPr>
        <w:rPr>
          <w:rFonts w:ascii="宋体" w:hAnsi="宋体" w:cs="宋体"/>
        </w:rPr>
      </w:pPr>
    </w:p>
    <w:p/>
    <w:p/>
    <w:p/>
    <w:p>
      <w:pPr>
        <w:spacing w:line="360" w:lineRule="auto"/>
      </w:pPr>
    </w:p>
    <w:p>
      <w:pPr>
        <w:ind w:left="480" w:hanging="480" w:hangingChars="200"/>
      </w:pPr>
      <w:r>
        <w:rPr>
          <w:rFonts w:hint="eastAsia"/>
        </w:rPr>
        <w:t>注：本采购合同中出现的措辞“发包人”与磋商文件中的“采购人”含义相同；</w:t>
      </w:r>
    </w:p>
    <w:p>
      <w:pPr>
        <w:ind w:left="480" w:leftChars="100" w:hanging="240" w:hangingChars="100"/>
      </w:pPr>
      <w:r>
        <w:rPr>
          <w:rFonts w:hint="eastAsia"/>
        </w:rPr>
        <w:t>“投标人”与“供应商“含义相同；</w:t>
      </w:r>
    </w:p>
    <w:p>
      <w:pPr>
        <w:ind w:left="480" w:leftChars="100" w:hanging="240" w:hangingChars="100"/>
      </w:pPr>
      <w:r>
        <w:rPr>
          <w:rFonts w:hint="eastAsia"/>
        </w:rPr>
        <w:t>“招标文件”与“采购文件”及“磋商文件” 含义相同。</w:t>
      </w:r>
    </w:p>
    <w:p>
      <w:pPr>
        <w:ind w:left="480" w:leftChars="100" w:hanging="240" w:hangingChars="100"/>
      </w:pPr>
    </w:p>
    <w:p>
      <w:pPr>
        <w:rPr>
          <w:rFonts w:ascii="宋体" w:hAnsi="宋体"/>
          <w:bCs/>
          <w:sz w:val="32"/>
          <w:szCs w:val="32"/>
        </w:rPr>
        <w:sectPr>
          <w:footerReference r:id="rId5" w:type="default"/>
          <w:type w:val="continuous"/>
          <w:pgSz w:w="11907" w:h="16840"/>
          <w:pgMar w:top="1440" w:right="1797" w:bottom="1440" w:left="1797" w:header="720" w:footer="720" w:gutter="0"/>
          <w:cols w:space="720" w:num="1"/>
        </w:sectPr>
      </w:pPr>
    </w:p>
    <w:p/>
    <w:p/>
    <w:p/>
    <w:p/>
    <w:p/>
    <w:p/>
    <w:p/>
    <w:p/>
    <w:p/>
    <w:p/>
    <w:p/>
    <w:p/>
    <w:p/>
    <w:p/>
    <w:p>
      <w:r>
        <w:br w:type="page"/>
      </w:r>
    </w:p>
    <w:p>
      <w:pPr>
        <w:rPr>
          <w:rFonts w:ascii="宋体" w:hAnsi="宋体"/>
        </w:rPr>
      </w:pPr>
    </w:p>
    <w:p>
      <w:pPr>
        <w:pStyle w:val="7"/>
        <w:spacing w:before="120" w:after="120" w:line="240" w:lineRule="auto"/>
        <w:rPr>
          <w:rFonts w:cs="TimesNewRomanPSMT"/>
          <w:bCs w:val="0"/>
          <w:iCs w:val="0"/>
        </w:rPr>
      </w:pPr>
      <w:r>
        <w:rPr>
          <w:rFonts w:cs="TimesNewRomanPSMT"/>
          <w:bCs w:val="0"/>
          <w:iCs w:val="0"/>
        </w:rPr>
        <w:t>第一</w:t>
      </w:r>
      <w:r>
        <w:rPr>
          <w:rFonts w:hint="eastAsia" w:cs="TimesNewRomanPSMT"/>
          <w:bCs w:val="0"/>
          <w:iCs w:val="0"/>
        </w:rPr>
        <w:t>节</w:t>
      </w:r>
      <w:r>
        <w:rPr>
          <w:rFonts w:cs="TimesNewRomanPSMT"/>
          <w:bCs w:val="0"/>
          <w:iCs w:val="0"/>
        </w:rPr>
        <w:t xml:space="preserve"> 合同协议书</w:t>
      </w:r>
    </w:p>
    <w:p>
      <w:pPr>
        <w:spacing w:line="360" w:lineRule="auto"/>
        <w:rPr>
          <w:rFonts w:ascii="宋体" w:hAnsi="宋体"/>
          <w:b/>
          <w:u w:val="single"/>
        </w:rPr>
      </w:pPr>
      <w:r>
        <w:rPr>
          <w:rFonts w:ascii="宋体" w:hAnsi="宋体"/>
          <w:b/>
        </w:rPr>
        <w:t>发包人（全称）：</w:t>
      </w:r>
      <w:r>
        <w:rPr>
          <w:rFonts w:ascii="宋体" w:hAnsi="宋体"/>
          <w:b/>
          <w:u w:val="single"/>
        </w:rPr>
        <w:t xml:space="preserve">   </w:t>
      </w:r>
      <w:r>
        <w:rPr>
          <w:rFonts w:hint="eastAsia" w:ascii="宋体" w:hAnsi="宋体"/>
          <w:b/>
          <w:u w:val="single"/>
        </w:rPr>
        <w:t xml:space="preserve"> </w:t>
      </w:r>
      <w:r>
        <w:rPr>
          <w:rFonts w:ascii="宋体" w:hAnsi="宋体"/>
          <w:b/>
          <w:u w:val="single"/>
        </w:rPr>
        <w:t xml:space="preserve">    </w:t>
      </w:r>
      <w:r>
        <w:rPr>
          <w:rFonts w:hint="eastAsia" w:ascii="宋体" w:hAnsi="宋体"/>
          <w:b/>
          <w:u w:val="single"/>
        </w:rPr>
        <w:t xml:space="preserve"> </w:t>
      </w:r>
      <w:r>
        <w:rPr>
          <w:rFonts w:ascii="宋体" w:hAnsi="宋体"/>
          <w:b/>
          <w:u w:val="single"/>
        </w:rPr>
        <w:t xml:space="preserve">   </w:t>
      </w:r>
      <w:r>
        <w:rPr>
          <w:rFonts w:hint="eastAsia" w:ascii="宋体" w:hAnsi="宋体"/>
          <w:b/>
          <w:u w:val="single"/>
        </w:rPr>
        <w:t xml:space="preserve">     </w:t>
      </w:r>
      <w:r>
        <w:rPr>
          <w:rFonts w:hint="eastAsia" w:ascii="宋体" w:hAnsi="宋体"/>
          <w:b/>
        </w:rPr>
        <w:t>（甲方）</w:t>
      </w:r>
    </w:p>
    <w:p>
      <w:pPr>
        <w:spacing w:line="360" w:lineRule="auto"/>
        <w:rPr>
          <w:rFonts w:ascii="宋体" w:hAnsi="宋体"/>
        </w:rPr>
      </w:pPr>
      <w:r>
        <w:rPr>
          <w:rFonts w:ascii="宋体" w:hAnsi="宋体"/>
          <w:b/>
        </w:rPr>
        <w:t>承包人（全称）：</w:t>
      </w:r>
      <w:r>
        <w:rPr>
          <w:rFonts w:ascii="宋体" w:hAnsi="宋体"/>
          <w:b/>
          <w:u w:val="single"/>
        </w:rPr>
        <w:t xml:space="preserve">       </w:t>
      </w:r>
      <w:r>
        <w:rPr>
          <w:rFonts w:hint="eastAsia" w:ascii="宋体" w:hAnsi="宋体"/>
          <w:b/>
          <w:u w:val="single"/>
        </w:rPr>
        <w:t xml:space="preserve"> </w:t>
      </w:r>
      <w:r>
        <w:rPr>
          <w:rFonts w:ascii="宋体" w:hAnsi="宋体"/>
          <w:b/>
          <w:u w:val="single"/>
        </w:rPr>
        <w:t xml:space="preserve">    </w:t>
      </w:r>
      <w:r>
        <w:rPr>
          <w:rFonts w:hint="eastAsia" w:ascii="宋体" w:hAnsi="宋体"/>
          <w:b/>
          <w:u w:val="single"/>
        </w:rPr>
        <w:t xml:space="preserve">     </w:t>
      </w:r>
      <w:r>
        <w:rPr>
          <w:rFonts w:hint="eastAsia" w:ascii="宋体" w:hAnsi="宋体"/>
          <w:b/>
        </w:rPr>
        <w:t>（乙方）</w:t>
      </w:r>
    </w:p>
    <w:p>
      <w:pPr>
        <w:spacing w:line="360" w:lineRule="auto"/>
        <w:ind w:firstLine="240" w:firstLineChars="100"/>
        <w:rPr>
          <w:rFonts w:ascii="宋体" w:hAnsi="宋体"/>
          <w:bCs/>
        </w:rPr>
      </w:pPr>
      <w:r>
        <w:rPr>
          <w:rFonts w:ascii="宋体" w:hAnsi="宋体"/>
          <w:bCs/>
        </w:rPr>
        <w:t xml:space="preserve"> </w:t>
      </w:r>
      <w:bookmarkStart w:id="12" w:name="_Toc351203481"/>
      <w:r>
        <w:rPr>
          <w:rFonts w:ascii="宋体" w:hAnsi="宋体"/>
          <w:bCs/>
        </w:rPr>
        <w:t>一、工程概况</w:t>
      </w:r>
      <w:bookmarkEnd w:id="12"/>
    </w:p>
    <w:p>
      <w:pPr>
        <w:spacing w:line="360" w:lineRule="auto"/>
        <w:ind w:firstLine="470" w:firstLineChars="196"/>
        <w:rPr>
          <w:rFonts w:ascii="宋体" w:hAnsi="宋体"/>
          <w:u w:val="single"/>
        </w:rPr>
      </w:pPr>
      <w:r>
        <w:rPr>
          <w:rFonts w:ascii="宋体" w:hAnsi="宋体"/>
          <w:bCs/>
        </w:rPr>
        <w:t>1.工程名称</w:t>
      </w:r>
      <w:r>
        <w:rPr>
          <w:rFonts w:ascii="宋体" w:hAnsi="宋体"/>
        </w:rPr>
        <w:t>：</w:t>
      </w:r>
      <w:r>
        <w:rPr>
          <w:rFonts w:hint="eastAsia" w:ascii="宋体" w:hAnsi="宋体"/>
          <w:u w:val="single"/>
        </w:rPr>
        <w:t xml:space="preserve"> </w:t>
      </w:r>
      <w:r>
        <w:rPr>
          <w:rFonts w:ascii="宋体" w:hAnsi="宋体"/>
        </w:rPr>
        <w:t>。</w:t>
      </w:r>
    </w:p>
    <w:p>
      <w:pPr>
        <w:spacing w:line="360" w:lineRule="auto"/>
        <w:ind w:firstLine="470" w:firstLineChars="196"/>
        <w:rPr>
          <w:rFonts w:ascii="宋体" w:hAnsi="宋体"/>
          <w:bCs/>
        </w:rPr>
      </w:pPr>
      <w:r>
        <w:rPr>
          <w:rFonts w:ascii="宋体" w:hAnsi="宋体"/>
          <w:bCs/>
        </w:rPr>
        <w:t>2.工程地点：</w:t>
      </w:r>
      <w:r>
        <w:rPr>
          <w:rFonts w:hint="eastAsia" w:ascii="宋体" w:hAnsi="宋体"/>
          <w:u w:val="single"/>
        </w:rPr>
        <w:t xml:space="preserve"> </w:t>
      </w:r>
      <w:r>
        <w:rPr>
          <w:rFonts w:ascii="宋体" w:hAnsi="宋体"/>
        </w:rPr>
        <w:t>。</w:t>
      </w:r>
    </w:p>
    <w:p>
      <w:pPr>
        <w:spacing w:line="360" w:lineRule="auto"/>
        <w:ind w:firstLine="470" w:firstLineChars="196"/>
        <w:rPr>
          <w:rFonts w:ascii="宋体" w:hAnsi="宋体"/>
          <w:bCs/>
        </w:rPr>
      </w:pPr>
      <w:r>
        <w:rPr>
          <w:rFonts w:ascii="宋体" w:hAnsi="宋体"/>
          <w:bCs/>
        </w:rPr>
        <w:t>3.</w:t>
      </w:r>
      <w:r>
        <w:rPr>
          <w:rFonts w:hint="eastAsia" w:ascii="宋体" w:hAnsi="宋体"/>
          <w:bCs/>
        </w:rPr>
        <w:t>项目编号</w:t>
      </w:r>
      <w:r>
        <w:rPr>
          <w:rFonts w:ascii="宋体" w:hAnsi="宋体"/>
          <w:bCs/>
        </w:rPr>
        <w:t>：</w:t>
      </w:r>
      <w:r>
        <w:rPr>
          <w:rFonts w:hint="eastAsia" w:ascii="宋体" w:hAnsi="宋体"/>
          <w:u w:val="single"/>
        </w:rPr>
        <w:t xml:space="preserve"> </w:t>
      </w:r>
      <w:r>
        <w:rPr>
          <w:rFonts w:ascii="宋体" w:hAnsi="宋体"/>
          <w:bCs/>
        </w:rPr>
        <w:t>。</w:t>
      </w:r>
    </w:p>
    <w:p>
      <w:pPr>
        <w:spacing w:line="360" w:lineRule="auto"/>
        <w:ind w:firstLine="470" w:firstLineChars="196"/>
        <w:rPr>
          <w:rFonts w:ascii="宋体" w:hAnsi="宋体"/>
          <w:bCs/>
        </w:rPr>
      </w:pPr>
      <w:r>
        <w:rPr>
          <w:rFonts w:hint="eastAsia" w:ascii="宋体" w:hAnsi="宋体"/>
          <w:bCs/>
        </w:rPr>
        <w:t>4.工程内容：</w:t>
      </w:r>
      <w:r>
        <w:rPr>
          <w:rFonts w:hint="eastAsia" w:ascii="宋体" w:hAnsi="宋体"/>
          <w:u w:val="single"/>
        </w:rPr>
        <w:t xml:space="preserve"> </w:t>
      </w:r>
      <w:r>
        <w:rPr>
          <w:rFonts w:ascii="宋体" w:hAnsi="宋体"/>
          <w:bCs/>
        </w:rPr>
        <w:t>。</w:t>
      </w:r>
    </w:p>
    <w:p>
      <w:pPr>
        <w:spacing w:line="360" w:lineRule="auto"/>
        <w:ind w:firstLine="470" w:firstLineChars="196"/>
        <w:rPr>
          <w:rFonts w:ascii="宋体" w:hAnsi="宋体"/>
        </w:rPr>
      </w:pPr>
      <w:r>
        <w:rPr>
          <w:rFonts w:hint="eastAsia" w:ascii="宋体" w:hAnsi="宋体"/>
          <w:bCs/>
        </w:rPr>
        <w:t>5</w:t>
      </w:r>
      <w:r>
        <w:rPr>
          <w:rFonts w:ascii="宋体" w:hAnsi="宋体"/>
          <w:bCs/>
        </w:rPr>
        <w:t>.工程承包范围：</w:t>
      </w:r>
      <w:r>
        <w:rPr>
          <w:rFonts w:hint="eastAsia" w:ascii="宋体" w:hAnsi="宋体"/>
          <w:u w:val="single"/>
        </w:rPr>
        <w:t xml:space="preserve"> </w:t>
      </w:r>
      <w:r>
        <w:rPr>
          <w:rFonts w:ascii="宋体" w:hAnsi="宋体"/>
        </w:rPr>
        <w:t>。</w:t>
      </w:r>
    </w:p>
    <w:p>
      <w:pPr>
        <w:spacing w:line="360" w:lineRule="auto"/>
        <w:ind w:firstLine="240" w:firstLineChars="100"/>
        <w:rPr>
          <w:rFonts w:ascii="宋体" w:hAnsi="宋体"/>
          <w:bCs/>
        </w:rPr>
      </w:pPr>
      <w:bookmarkStart w:id="13" w:name="_Toc351203482"/>
      <w:r>
        <w:rPr>
          <w:rFonts w:ascii="宋体" w:hAnsi="宋体"/>
          <w:bCs/>
        </w:rPr>
        <w:t>二、合同工期</w:t>
      </w:r>
      <w:bookmarkEnd w:id="13"/>
    </w:p>
    <w:p>
      <w:pPr>
        <w:spacing w:line="360" w:lineRule="auto"/>
        <w:ind w:firstLine="459"/>
        <w:rPr>
          <w:rFonts w:ascii="宋体" w:hAnsi="宋体"/>
        </w:rPr>
      </w:pPr>
      <w:r>
        <w:rPr>
          <w:rFonts w:ascii="宋体" w:hAnsi="宋体"/>
        </w:rPr>
        <w:t>计划开工日期：</w:t>
      </w:r>
      <w:r>
        <w:rPr>
          <w:rFonts w:hint="eastAsia" w:ascii="宋体" w:hAnsi="宋体"/>
          <w:lang w:val="en-US" w:eastAsia="zh-CN"/>
        </w:rPr>
        <w:t>2020</w:t>
      </w:r>
      <w:r>
        <w:rPr>
          <w:rFonts w:ascii="宋体" w:hAnsi="宋体"/>
        </w:rPr>
        <w:t>年  月  日。</w:t>
      </w:r>
    </w:p>
    <w:p>
      <w:pPr>
        <w:spacing w:line="360" w:lineRule="auto"/>
        <w:ind w:firstLine="459"/>
        <w:rPr>
          <w:rFonts w:ascii="宋体" w:hAnsi="宋体"/>
        </w:rPr>
      </w:pPr>
      <w:r>
        <w:rPr>
          <w:rFonts w:ascii="宋体" w:hAnsi="宋体"/>
        </w:rPr>
        <w:t>计划竣工日期：</w:t>
      </w:r>
      <w:r>
        <w:rPr>
          <w:rFonts w:hint="eastAsia" w:ascii="宋体" w:hAnsi="宋体"/>
        </w:rPr>
        <w:t>20</w:t>
      </w:r>
      <w:r>
        <w:rPr>
          <w:rFonts w:hint="eastAsia" w:ascii="宋体" w:hAnsi="宋体"/>
          <w:lang w:val="en-US" w:eastAsia="zh-CN"/>
        </w:rPr>
        <w:t>20</w:t>
      </w:r>
      <w:r>
        <w:rPr>
          <w:rFonts w:ascii="宋体" w:hAnsi="宋体"/>
        </w:rPr>
        <w:t>年  月  日。</w:t>
      </w:r>
    </w:p>
    <w:p>
      <w:pPr>
        <w:spacing w:line="360" w:lineRule="auto"/>
        <w:ind w:firstLine="459"/>
        <w:rPr>
          <w:rFonts w:ascii="宋体" w:hAnsi="宋体"/>
        </w:rPr>
      </w:pPr>
      <w:r>
        <w:rPr>
          <w:rFonts w:ascii="宋体" w:hAnsi="宋体"/>
        </w:rPr>
        <w:t>工期总日历天数：</w:t>
      </w:r>
      <w:r>
        <w:rPr>
          <w:rFonts w:ascii="宋体" w:hAnsi="宋体"/>
          <w:u w:val="single"/>
        </w:rPr>
        <w:t xml:space="preserve">     </w:t>
      </w:r>
      <w:r>
        <w:rPr>
          <w:rFonts w:ascii="宋体" w:hAnsi="宋体"/>
        </w:rPr>
        <w:t>天。工期总日历天数与根据前述计划开竣工日期计算的工期天数不一致的，以工期总日历天数为准。</w:t>
      </w:r>
    </w:p>
    <w:p>
      <w:pPr>
        <w:spacing w:line="360" w:lineRule="auto"/>
        <w:ind w:firstLine="240" w:firstLineChars="100"/>
        <w:rPr>
          <w:rFonts w:ascii="宋体" w:hAnsi="宋体"/>
          <w:bCs/>
        </w:rPr>
      </w:pPr>
      <w:bookmarkStart w:id="14" w:name="_Toc351203483"/>
      <w:r>
        <w:rPr>
          <w:rFonts w:ascii="宋体" w:hAnsi="宋体"/>
          <w:bCs/>
        </w:rPr>
        <w:t>三、质量标准</w:t>
      </w:r>
      <w:bookmarkEnd w:id="14"/>
    </w:p>
    <w:p>
      <w:pPr>
        <w:spacing w:line="360" w:lineRule="auto"/>
        <w:ind w:firstLine="459"/>
        <w:rPr>
          <w:rFonts w:ascii="宋体" w:hAnsi="宋体"/>
        </w:rPr>
      </w:pPr>
      <w:r>
        <w:rPr>
          <w:rFonts w:ascii="宋体" w:hAnsi="宋体"/>
        </w:rPr>
        <w:t>工程质量符合</w:t>
      </w:r>
      <w:r>
        <w:rPr>
          <w:rFonts w:ascii="宋体" w:hAnsi="宋体"/>
          <w:u w:val="single"/>
        </w:rPr>
        <w:t xml:space="preserve"> </w:t>
      </w:r>
      <w:r>
        <w:rPr>
          <w:rFonts w:hint="eastAsia" w:ascii="宋体" w:hAnsi="宋体"/>
          <w:u w:val="single"/>
        </w:rPr>
        <w:t xml:space="preserve">  合格</w:t>
      </w:r>
      <w:r>
        <w:rPr>
          <w:rFonts w:ascii="宋体" w:hAnsi="宋体"/>
          <w:u w:val="single"/>
        </w:rPr>
        <w:t xml:space="preserve">   </w:t>
      </w:r>
      <w:r>
        <w:rPr>
          <w:rFonts w:ascii="宋体" w:hAnsi="宋体"/>
        </w:rPr>
        <w:t>标准。</w:t>
      </w:r>
    </w:p>
    <w:p>
      <w:pPr>
        <w:spacing w:line="360" w:lineRule="auto"/>
        <w:ind w:firstLine="240" w:firstLineChars="100"/>
        <w:rPr>
          <w:rFonts w:ascii="宋体" w:hAnsi="宋体"/>
          <w:bCs/>
        </w:rPr>
      </w:pPr>
      <w:bookmarkStart w:id="15" w:name="_Toc351203484"/>
      <w:r>
        <w:rPr>
          <w:rFonts w:ascii="宋体" w:hAnsi="宋体"/>
          <w:bCs/>
        </w:rPr>
        <w:t>四、签约合同价与合同价格形式</w:t>
      </w:r>
      <w:bookmarkEnd w:id="15"/>
      <w:r>
        <w:rPr>
          <w:rFonts w:ascii="宋体" w:hAnsi="宋体"/>
          <w:bCs/>
        </w:rPr>
        <w:tab/>
      </w:r>
    </w:p>
    <w:p>
      <w:pPr>
        <w:spacing w:line="360" w:lineRule="auto"/>
        <w:ind w:firstLine="480" w:firstLineChars="200"/>
        <w:rPr>
          <w:rFonts w:ascii="宋体" w:hAnsi="宋体"/>
        </w:rPr>
      </w:pPr>
      <w:r>
        <w:rPr>
          <w:rFonts w:ascii="宋体" w:hAnsi="宋体"/>
        </w:rPr>
        <w:t>1.签约合同价为：</w:t>
      </w:r>
    </w:p>
    <w:p>
      <w:pPr>
        <w:spacing w:line="360" w:lineRule="auto"/>
        <w:ind w:firstLine="600" w:firstLineChars="250"/>
        <w:rPr>
          <w:rFonts w:ascii="宋体" w:hAnsi="宋体"/>
        </w:rPr>
      </w:pPr>
      <w:r>
        <w:rPr>
          <w:rFonts w:ascii="宋体" w:hAnsi="宋体"/>
        </w:rPr>
        <w:t>人民币（大写）</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r>
        <w:rPr>
          <w:rFonts w:ascii="宋体" w:hAnsi="宋体"/>
        </w:rPr>
        <w:t>(¥</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r>
        <w:rPr>
          <w:rFonts w:ascii="宋体" w:hAnsi="宋体"/>
        </w:rPr>
        <w:t>元)；</w:t>
      </w:r>
    </w:p>
    <w:p>
      <w:pPr>
        <w:spacing w:line="360" w:lineRule="auto"/>
        <w:ind w:firstLine="480" w:firstLineChars="200"/>
        <w:rPr>
          <w:rFonts w:ascii="宋体" w:hAnsi="宋体"/>
        </w:rPr>
      </w:pPr>
      <w:r>
        <w:rPr>
          <w:rFonts w:ascii="宋体" w:hAnsi="宋体"/>
        </w:rPr>
        <w:t>其中：</w:t>
      </w:r>
    </w:p>
    <w:p>
      <w:pPr>
        <w:spacing w:line="360" w:lineRule="auto"/>
        <w:ind w:firstLine="480" w:firstLineChars="200"/>
        <w:rPr>
          <w:rFonts w:ascii="宋体" w:hAnsi="宋体"/>
        </w:rPr>
      </w:pPr>
      <w:r>
        <w:rPr>
          <w:rFonts w:ascii="宋体" w:hAnsi="宋体"/>
        </w:rPr>
        <w:t>（1）安全文明施工费：</w:t>
      </w:r>
    </w:p>
    <w:p>
      <w:pPr>
        <w:spacing w:line="360" w:lineRule="auto"/>
        <w:ind w:firstLine="1080" w:firstLineChars="450"/>
        <w:rPr>
          <w:rFonts w:ascii="宋体" w:hAnsi="宋体"/>
        </w:rPr>
      </w:pPr>
      <w:r>
        <w:rPr>
          <w:rFonts w:ascii="宋体" w:hAnsi="宋体"/>
        </w:rPr>
        <w:t>人民币（大写）</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r>
        <w:rPr>
          <w:rFonts w:ascii="宋体" w:hAnsi="宋体"/>
        </w:rPr>
        <w:t xml:space="preserve"> (¥</w:t>
      </w:r>
      <w:r>
        <w:rPr>
          <w:rFonts w:ascii="宋体" w:hAnsi="宋体"/>
          <w:u w:val="single"/>
        </w:rPr>
        <w:t xml:space="preserve">    </w:t>
      </w:r>
      <w:r>
        <w:rPr>
          <w:rFonts w:hint="eastAsia" w:ascii="宋体" w:hAnsi="宋体"/>
          <w:u w:val="single"/>
        </w:rPr>
        <w:t xml:space="preserve">      </w:t>
      </w:r>
      <w:r>
        <w:rPr>
          <w:rFonts w:ascii="宋体" w:hAnsi="宋体"/>
        </w:rPr>
        <w:t>元)；</w:t>
      </w:r>
    </w:p>
    <w:p>
      <w:pPr>
        <w:spacing w:line="360" w:lineRule="auto"/>
        <w:ind w:firstLine="480" w:firstLineChars="200"/>
        <w:rPr>
          <w:rFonts w:ascii="宋体" w:hAnsi="宋体"/>
        </w:rPr>
      </w:pPr>
      <w:r>
        <w:rPr>
          <w:rFonts w:ascii="宋体" w:hAnsi="宋体"/>
        </w:rPr>
        <w:t>（2）材料和工程设备暂估价金额：</w:t>
      </w:r>
    </w:p>
    <w:p>
      <w:pPr>
        <w:spacing w:line="360" w:lineRule="auto"/>
        <w:ind w:firstLine="1080" w:firstLineChars="450"/>
        <w:rPr>
          <w:rFonts w:ascii="宋体" w:hAnsi="宋体"/>
        </w:rPr>
      </w:pPr>
      <w:r>
        <w:rPr>
          <w:rFonts w:ascii="宋体" w:hAnsi="宋体"/>
        </w:rPr>
        <w:t>人民币（大写）</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r>
        <w:rPr>
          <w:rFonts w:ascii="宋体" w:hAnsi="宋体"/>
        </w:rPr>
        <w:t xml:space="preserve"> (¥</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r>
        <w:rPr>
          <w:rFonts w:ascii="宋体" w:hAnsi="宋体"/>
        </w:rPr>
        <w:t>元)；</w:t>
      </w:r>
    </w:p>
    <w:p>
      <w:pPr>
        <w:spacing w:line="360" w:lineRule="auto"/>
        <w:ind w:firstLine="480" w:firstLineChars="200"/>
        <w:rPr>
          <w:rFonts w:ascii="宋体" w:hAnsi="宋体"/>
        </w:rPr>
      </w:pPr>
      <w:r>
        <w:rPr>
          <w:rFonts w:ascii="宋体" w:hAnsi="宋体"/>
        </w:rPr>
        <w:t>（3）专业工程暂估价金额：</w:t>
      </w:r>
    </w:p>
    <w:p>
      <w:pPr>
        <w:spacing w:line="360" w:lineRule="auto"/>
        <w:ind w:firstLine="1080" w:firstLineChars="450"/>
        <w:rPr>
          <w:rFonts w:ascii="宋体" w:hAnsi="宋体"/>
        </w:rPr>
      </w:pPr>
      <w:r>
        <w:rPr>
          <w:rFonts w:ascii="宋体" w:hAnsi="宋体"/>
        </w:rPr>
        <w:t>人民币（大写）</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r>
        <w:rPr>
          <w:rFonts w:ascii="宋体" w:hAnsi="宋体"/>
        </w:rPr>
        <w:t xml:space="preserve"> (¥</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r>
        <w:rPr>
          <w:rFonts w:ascii="宋体" w:hAnsi="宋体"/>
        </w:rPr>
        <w:t>元)；</w:t>
      </w:r>
    </w:p>
    <w:p>
      <w:pPr>
        <w:spacing w:line="360" w:lineRule="auto"/>
        <w:ind w:firstLine="480" w:firstLineChars="200"/>
        <w:rPr>
          <w:rFonts w:ascii="宋体" w:hAnsi="宋体"/>
        </w:rPr>
      </w:pPr>
      <w:r>
        <w:rPr>
          <w:rFonts w:ascii="宋体" w:hAnsi="宋体"/>
        </w:rPr>
        <w:t>（4）暂列金额：</w:t>
      </w:r>
    </w:p>
    <w:p>
      <w:pPr>
        <w:spacing w:line="360" w:lineRule="auto"/>
        <w:ind w:firstLine="1080" w:firstLineChars="450"/>
        <w:rPr>
          <w:rFonts w:ascii="宋体" w:hAnsi="宋体"/>
        </w:rPr>
      </w:pPr>
      <w:r>
        <w:rPr>
          <w:rFonts w:ascii="宋体" w:hAnsi="宋体"/>
        </w:rPr>
        <w:t>人民币（大写）</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r>
        <w:rPr>
          <w:rFonts w:ascii="宋体" w:hAnsi="宋体"/>
        </w:rPr>
        <w:t xml:space="preserve"> (¥</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r>
        <w:rPr>
          <w:rFonts w:ascii="宋体" w:hAnsi="宋体"/>
        </w:rPr>
        <w:t>元)。</w:t>
      </w:r>
    </w:p>
    <w:p>
      <w:pPr>
        <w:spacing w:line="360" w:lineRule="auto"/>
        <w:ind w:firstLine="480" w:firstLineChars="200"/>
        <w:rPr>
          <w:rFonts w:ascii="宋体" w:hAnsi="宋体"/>
        </w:rPr>
      </w:pPr>
      <w:r>
        <w:rPr>
          <w:rFonts w:ascii="宋体" w:hAnsi="宋体"/>
        </w:rPr>
        <w:t>2.合同价格形式：</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r>
        <w:rPr>
          <w:rFonts w:ascii="宋体" w:hAnsi="宋体"/>
        </w:rPr>
        <w:t>。</w:t>
      </w:r>
    </w:p>
    <w:p>
      <w:pPr>
        <w:spacing w:line="360" w:lineRule="auto"/>
        <w:ind w:firstLine="240" w:firstLineChars="100"/>
        <w:rPr>
          <w:rFonts w:ascii="宋体" w:hAnsi="宋体"/>
          <w:bCs/>
        </w:rPr>
      </w:pPr>
      <w:bookmarkStart w:id="16" w:name="_Toc351203485"/>
      <w:r>
        <w:rPr>
          <w:rFonts w:ascii="宋体" w:hAnsi="宋体"/>
          <w:bCs/>
        </w:rPr>
        <w:t xml:space="preserve"> 五、</w:t>
      </w:r>
      <w:bookmarkEnd w:id="16"/>
      <w:r>
        <w:rPr>
          <w:rFonts w:ascii="宋体" w:hAnsi="宋体"/>
          <w:bCs/>
        </w:rPr>
        <w:t>项目经理</w:t>
      </w:r>
    </w:p>
    <w:p>
      <w:pPr>
        <w:spacing w:line="360" w:lineRule="auto"/>
        <w:ind w:firstLine="480" w:firstLineChars="200"/>
        <w:rPr>
          <w:rFonts w:ascii="宋体" w:hAnsi="宋体"/>
        </w:rPr>
      </w:pPr>
      <w:r>
        <w:rPr>
          <w:rFonts w:ascii="宋体" w:hAnsi="宋体"/>
        </w:rPr>
        <w:t>承包人项目经理：</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r>
        <w:rPr>
          <w:rFonts w:ascii="宋体" w:hAnsi="宋体"/>
        </w:rPr>
        <w:t>。</w:t>
      </w:r>
    </w:p>
    <w:p>
      <w:pPr>
        <w:spacing w:line="360" w:lineRule="auto"/>
        <w:ind w:firstLine="240" w:firstLineChars="100"/>
        <w:rPr>
          <w:rFonts w:ascii="宋体" w:hAnsi="宋体"/>
          <w:bCs/>
        </w:rPr>
      </w:pPr>
      <w:bookmarkStart w:id="17" w:name="_Toc351203486"/>
      <w:r>
        <w:rPr>
          <w:rFonts w:ascii="宋体" w:hAnsi="宋体"/>
          <w:bCs/>
        </w:rPr>
        <w:t>六、合同文件构成</w:t>
      </w:r>
      <w:bookmarkEnd w:id="17"/>
    </w:p>
    <w:p>
      <w:pPr>
        <w:spacing w:line="360" w:lineRule="auto"/>
        <w:ind w:firstLine="480" w:firstLineChars="200"/>
        <w:rPr>
          <w:rFonts w:ascii="宋体" w:hAnsi="宋体"/>
          <w:bCs/>
        </w:rPr>
      </w:pPr>
      <w:r>
        <w:rPr>
          <w:rFonts w:ascii="宋体" w:hAnsi="宋体"/>
          <w:bCs/>
        </w:rPr>
        <w:t>本协议书与下列文件一起构成合同文件：</w:t>
      </w:r>
    </w:p>
    <w:p>
      <w:pPr>
        <w:autoSpaceDE w:val="0"/>
        <w:autoSpaceDN w:val="0"/>
        <w:adjustRightInd w:val="0"/>
        <w:spacing w:line="360" w:lineRule="auto"/>
        <w:ind w:firstLine="480" w:firstLineChars="200"/>
        <w:rPr>
          <w:rFonts w:ascii="宋体" w:hAnsi="宋体"/>
        </w:rPr>
      </w:pPr>
      <w:r>
        <w:rPr>
          <w:rFonts w:ascii="宋体" w:hAnsi="宋体"/>
        </w:rPr>
        <w:t>（1）</w:t>
      </w:r>
      <w:r>
        <w:rPr>
          <w:rFonts w:hint="eastAsia" w:ascii="宋体" w:hAnsi="宋体"/>
        </w:rPr>
        <w:t>成交</w:t>
      </w:r>
      <w:r>
        <w:rPr>
          <w:rFonts w:ascii="宋体" w:hAnsi="宋体"/>
        </w:rPr>
        <w:t>通知书；</w:t>
      </w:r>
    </w:p>
    <w:p>
      <w:pPr>
        <w:autoSpaceDE w:val="0"/>
        <w:autoSpaceDN w:val="0"/>
        <w:adjustRightInd w:val="0"/>
        <w:spacing w:line="360" w:lineRule="auto"/>
        <w:ind w:firstLine="480" w:firstLineChars="200"/>
        <w:rPr>
          <w:rFonts w:ascii="宋体" w:hAnsi="宋体"/>
        </w:rPr>
      </w:pPr>
      <w:r>
        <w:rPr>
          <w:rFonts w:ascii="宋体" w:hAnsi="宋体"/>
        </w:rPr>
        <w:t>（</w:t>
      </w:r>
      <w:r>
        <w:rPr>
          <w:rFonts w:hint="eastAsia" w:ascii="宋体" w:hAnsi="宋体"/>
        </w:rPr>
        <w:t>2</w:t>
      </w:r>
      <w:r>
        <w:rPr>
          <w:rFonts w:ascii="宋体" w:hAnsi="宋体"/>
        </w:rPr>
        <w:t>）专用合同条款及其附件；</w:t>
      </w:r>
    </w:p>
    <w:p>
      <w:pPr>
        <w:autoSpaceDE w:val="0"/>
        <w:autoSpaceDN w:val="0"/>
        <w:adjustRightInd w:val="0"/>
        <w:spacing w:line="360" w:lineRule="auto"/>
        <w:ind w:firstLine="480" w:firstLineChars="200"/>
        <w:rPr>
          <w:rFonts w:ascii="宋体" w:hAnsi="宋体"/>
        </w:rPr>
      </w:pPr>
      <w:r>
        <w:rPr>
          <w:rFonts w:ascii="宋体" w:hAnsi="宋体"/>
        </w:rPr>
        <w:t>（</w:t>
      </w:r>
      <w:r>
        <w:rPr>
          <w:rFonts w:hint="eastAsia" w:ascii="宋体" w:hAnsi="宋体"/>
        </w:rPr>
        <w:t>3</w:t>
      </w:r>
      <w:r>
        <w:rPr>
          <w:rFonts w:ascii="宋体" w:hAnsi="宋体"/>
        </w:rPr>
        <w:t>）通用合同条款；</w:t>
      </w:r>
    </w:p>
    <w:p>
      <w:pPr>
        <w:autoSpaceDE w:val="0"/>
        <w:autoSpaceDN w:val="0"/>
        <w:adjustRightInd w:val="0"/>
        <w:spacing w:line="360" w:lineRule="auto"/>
        <w:ind w:firstLine="480" w:firstLineChars="200"/>
        <w:rPr>
          <w:rFonts w:ascii="宋体" w:hAnsi="宋体"/>
        </w:rPr>
      </w:pPr>
      <w:r>
        <w:rPr>
          <w:rFonts w:hint="eastAsia" w:ascii="宋体" w:hAnsi="宋体"/>
        </w:rPr>
        <w:t>（4）评审报告；</w:t>
      </w:r>
    </w:p>
    <w:p>
      <w:pPr>
        <w:autoSpaceDE w:val="0"/>
        <w:autoSpaceDN w:val="0"/>
        <w:adjustRightInd w:val="0"/>
        <w:spacing w:line="360" w:lineRule="auto"/>
        <w:ind w:firstLine="480" w:firstLineChars="200"/>
        <w:rPr>
          <w:rFonts w:ascii="宋体" w:hAnsi="宋体"/>
        </w:rPr>
      </w:pPr>
      <w:r>
        <w:rPr>
          <w:rFonts w:ascii="宋体" w:hAnsi="宋体"/>
        </w:rPr>
        <w:t>（</w:t>
      </w:r>
      <w:r>
        <w:rPr>
          <w:rFonts w:hint="eastAsia" w:ascii="宋体" w:hAnsi="宋体"/>
        </w:rPr>
        <w:t>5</w:t>
      </w:r>
      <w:r>
        <w:rPr>
          <w:rFonts w:ascii="宋体" w:hAnsi="宋体"/>
        </w:rPr>
        <w:t>）技术标准和要求；</w:t>
      </w:r>
    </w:p>
    <w:p>
      <w:pPr>
        <w:autoSpaceDE w:val="0"/>
        <w:autoSpaceDN w:val="0"/>
        <w:adjustRightInd w:val="0"/>
        <w:spacing w:line="360" w:lineRule="auto"/>
        <w:ind w:firstLine="480" w:firstLineChars="200"/>
        <w:rPr>
          <w:rFonts w:ascii="宋体" w:hAnsi="宋体"/>
        </w:rPr>
      </w:pPr>
      <w:r>
        <w:rPr>
          <w:rFonts w:ascii="宋体" w:hAnsi="宋体"/>
        </w:rPr>
        <w:t>（</w:t>
      </w:r>
      <w:r>
        <w:rPr>
          <w:rFonts w:hint="eastAsia" w:ascii="宋体" w:hAnsi="宋体"/>
        </w:rPr>
        <w:t>6</w:t>
      </w:r>
      <w:r>
        <w:rPr>
          <w:rFonts w:ascii="宋体" w:hAnsi="宋体"/>
        </w:rPr>
        <w:t>）图纸；</w:t>
      </w:r>
    </w:p>
    <w:p>
      <w:pPr>
        <w:autoSpaceDE w:val="0"/>
        <w:autoSpaceDN w:val="0"/>
        <w:adjustRightInd w:val="0"/>
        <w:spacing w:line="360" w:lineRule="auto"/>
        <w:ind w:firstLine="480" w:firstLineChars="200"/>
        <w:rPr>
          <w:rFonts w:ascii="宋体" w:hAnsi="宋体"/>
        </w:rPr>
      </w:pPr>
      <w:r>
        <w:rPr>
          <w:rFonts w:ascii="宋体" w:hAnsi="宋体"/>
        </w:rPr>
        <w:t>（</w:t>
      </w:r>
      <w:r>
        <w:rPr>
          <w:rFonts w:hint="eastAsia" w:ascii="宋体" w:hAnsi="宋体"/>
        </w:rPr>
        <w:t>7</w:t>
      </w:r>
      <w:r>
        <w:rPr>
          <w:rFonts w:ascii="宋体" w:hAnsi="宋体"/>
        </w:rPr>
        <w:t>）已标价工程量清单或预算书；</w:t>
      </w:r>
    </w:p>
    <w:p>
      <w:pPr>
        <w:autoSpaceDE w:val="0"/>
        <w:autoSpaceDN w:val="0"/>
        <w:adjustRightInd w:val="0"/>
        <w:spacing w:line="360" w:lineRule="auto"/>
        <w:ind w:firstLine="480" w:firstLineChars="200"/>
        <w:rPr>
          <w:rFonts w:ascii="宋体" w:hAnsi="宋体"/>
        </w:rPr>
      </w:pPr>
      <w:r>
        <w:rPr>
          <w:rFonts w:ascii="宋体" w:hAnsi="宋体"/>
        </w:rPr>
        <w:t>（</w:t>
      </w:r>
      <w:r>
        <w:rPr>
          <w:rFonts w:hint="eastAsia" w:ascii="宋体" w:hAnsi="宋体"/>
        </w:rPr>
        <w:t>8</w:t>
      </w:r>
      <w:r>
        <w:rPr>
          <w:rFonts w:ascii="宋体" w:hAnsi="宋体"/>
        </w:rPr>
        <w:t>）其他合同文件。</w:t>
      </w:r>
    </w:p>
    <w:p>
      <w:pPr>
        <w:autoSpaceDE w:val="0"/>
        <w:autoSpaceDN w:val="0"/>
        <w:adjustRightInd w:val="0"/>
        <w:spacing w:line="360" w:lineRule="auto"/>
        <w:ind w:firstLine="480" w:firstLineChars="200"/>
        <w:rPr>
          <w:rFonts w:ascii="宋体" w:hAnsi="宋体"/>
        </w:rPr>
      </w:pPr>
      <w:r>
        <w:rPr>
          <w:rFonts w:ascii="宋体" w:hAnsi="宋体"/>
        </w:rPr>
        <w:t>在合同订立及履行过程中形成的与合同有关的文件均构成合同文件组成部分。</w:t>
      </w:r>
    </w:p>
    <w:p>
      <w:pPr>
        <w:autoSpaceDE w:val="0"/>
        <w:autoSpaceDN w:val="0"/>
        <w:adjustRightInd w:val="0"/>
        <w:spacing w:line="360" w:lineRule="auto"/>
        <w:ind w:firstLine="480" w:firstLineChars="200"/>
        <w:rPr>
          <w:rFonts w:ascii="宋体" w:hAnsi="宋体"/>
        </w:rPr>
      </w:pPr>
      <w:r>
        <w:rPr>
          <w:rFonts w:ascii="宋体" w:hAnsi="宋体"/>
        </w:rPr>
        <w:t>上述各项合同文件包括合同当事人就该项合同文件所作出的补充和修改，属于同一类内容的文件，应以最新签署的为准。</w:t>
      </w:r>
      <w:r>
        <w:rPr>
          <w:rFonts w:hint="eastAsia" w:ascii="宋体" w:hAnsi="宋体"/>
        </w:rPr>
        <w:t>专用合同条款及其附件须经合同当事人签字或盖章。</w:t>
      </w:r>
    </w:p>
    <w:p>
      <w:pPr>
        <w:spacing w:line="360" w:lineRule="auto"/>
        <w:ind w:firstLine="240" w:firstLineChars="100"/>
        <w:rPr>
          <w:rFonts w:ascii="宋体" w:hAnsi="宋体"/>
          <w:bCs/>
        </w:rPr>
      </w:pPr>
      <w:bookmarkStart w:id="18" w:name="_Toc351203487"/>
      <w:r>
        <w:rPr>
          <w:rFonts w:ascii="宋体" w:hAnsi="宋体"/>
          <w:bCs/>
        </w:rPr>
        <w:t>七、承诺</w:t>
      </w:r>
      <w:bookmarkEnd w:id="18"/>
    </w:p>
    <w:p>
      <w:pPr>
        <w:spacing w:line="360" w:lineRule="auto"/>
        <w:ind w:firstLine="480" w:firstLineChars="200"/>
        <w:rPr>
          <w:rFonts w:ascii="宋体" w:hAnsi="宋体"/>
          <w:bCs/>
        </w:rPr>
      </w:pPr>
      <w:r>
        <w:rPr>
          <w:rFonts w:ascii="宋体" w:hAnsi="宋体"/>
          <w:bCs/>
        </w:rPr>
        <w:t>1.发包人承诺按照法律规定履行项目审批手续、筹集工程建设资金并按照合同约定的期限和方式支付合同价款。</w:t>
      </w:r>
    </w:p>
    <w:p>
      <w:pPr>
        <w:spacing w:line="360" w:lineRule="auto"/>
        <w:ind w:firstLine="480" w:firstLineChars="200"/>
        <w:rPr>
          <w:rFonts w:ascii="宋体" w:hAnsi="宋体"/>
          <w:bCs/>
        </w:rPr>
      </w:pPr>
      <w:r>
        <w:rPr>
          <w:rFonts w:ascii="宋体" w:hAnsi="宋体"/>
          <w:bCs/>
        </w:rPr>
        <w:t>2.承包人承诺按照法律规定及合同约定组织完成工程施工，确保工程质量和安全，不进行转包及违法分包，并在缺陷责任期及保修期内承担相应的工程维修责任。</w:t>
      </w:r>
    </w:p>
    <w:p>
      <w:pPr>
        <w:spacing w:line="360" w:lineRule="auto"/>
        <w:ind w:firstLine="480" w:firstLineChars="200"/>
        <w:rPr>
          <w:rFonts w:ascii="宋体" w:hAnsi="宋体"/>
          <w:bCs/>
        </w:rPr>
      </w:pPr>
      <w:r>
        <w:rPr>
          <w:rFonts w:ascii="宋体" w:hAnsi="宋体"/>
          <w:bCs/>
        </w:rPr>
        <w:t>3.发包人和承包人通过招投标形式签订合同的，双方理解并</w:t>
      </w:r>
      <w:r>
        <w:rPr>
          <w:rFonts w:hint="eastAsia" w:ascii="宋体" w:hAnsi="宋体"/>
          <w:bCs/>
        </w:rPr>
        <w:t>承诺</w:t>
      </w:r>
      <w:r>
        <w:rPr>
          <w:rFonts w:ascii="宋体" w:hAnsi="宋体"/>
          <w:bCs/>
        </w:rPr>
        <w:t>不再就同一工程另行签订与合同实质性内容相背离的协议。</w:t>
      </w:r>
    </w:p>
    <w:p>
      <w:pPr>
        <w:spacing w:line="360" w:lineRule="auto"/>
        <w:ind w:firstLine="240" w:firstLineChars="100"/>
        <w:rPr>
          <w:rFonts w:ascii="宋体" w:hAnsi="宋体"/>
          <w:bCs/>
        </w:rPr>
      </w:pPr>
      <w:bookmarkStart w:id="19" w:name="_Toc351203488"/>
      <w:r>
        <w:rPr>
          <w:rFonts w:ascii="宋体" w:hAnsi="宋体"/>
          <w:bCs/>
        </w:rPr>
        <w:t>八、词语含义</w:t>
      </w:r>
      <w:bookmarkEnd w:id="19"/>
    </w:p>
    <w:p>
      <w:pPr>
        <w:spacing w:line="360" w:lineRule="auto"/>
        <w:ind w:firstLine="480" w:firstLineChars="200"/>
        <w:rPr>
          <w:rFonts w:ascii="宋体" w:hAnsi="宋体"/>
          <w:bCs/>
        </w:rPr>
      </w:pPr>
      <w:r>
        <w:rPr>
          <w:rFonts w:ascii="宋体" w:hAnsi="宋体"/>
          <w:bCs/>
        </w:rPr>
        <w:t>本协议书中词语含义与第二部分通用合同条款中赋予的含义相同。</w:t>
      </w:r>
    </w:p>
    <w:p>
      <w:pPr>
        <w:spacing w:line="360" w:lineRule="auto"/>
        <w:ind w:firstLine="240" w:firstLineChars="100"/>
        <w:rPr>
          <w:rFonts w:ascii="宋体" w:hAnsi="宋体"/>
          <w:bCs/>
        </w:rPr>
      </w:pPr>
      <w:bookmarkStart w:id="20" w:name="_Toc351203489"/>
      <w:r>
        <w:rPr>
          <w:rFonts w:ascii="宋体" w:hAnsi="宋体"/>
          <w:bCs/>
        </w:rPr>
        <w:t>九、签订时间</w:t>
      </w:r>
      <w:bookmarkEnd w:id="20"/>
    </w:p>
    <w:p>
      <w:pPr>
        <w:spacing w:line="360" w:lineRule="auto"/>
        <w:ind w:firstLine="480" w:firstLineChars="200"/>
        <w:rPr>
          <w:rFonts w:ascii="宋体" w:hAnsi="宋体"/>
          <w:bCs/>
        </w:rPr>
      </w:pPr>
      <w:r>
        <w:rPr>
          <w:rFonts w:ascii="宋体" w:hAnsi="宋体"/>
          <w:bCs/>
        </w:rPr>
        <w:t>本合同于</w:t>
      </w:r>
      <w:r>
        <w:rPr>
          <w:rFonts w:ascii="宋体" w:hAnsi="宋体"/>
          <w:bCs/>
          <w:u w:val="single"/>
        </w:rPr>
        <w:t xml:space="preserve">         </w:t>
      </w:r>
      <w:r>
        <w:rPr>
          <w:rFonts w:ascii="宋体" w:hAnsi="宋体"/>
          <w:bCs/>
        </w:rPr>
        <w:t>年</w:t>
      </w:r>
      <w:r>
        <w:rPr>
          <w:rFonts w:ascii="宋体" w:hAnsi="宋体"/>
          <w:bCs/>
          <w:u w:val="single"/>
        </w:rPr>
        <w:t xml:space="preserve">    </w:t>
      </w:r>
      <w:r>
        <w:rPr>
          <w:rFonts w:ascii="宋体" w:hAnsi="宋体"/>
          <w:bCs/>
        </w:rPr>
        <w:t>月</w:t>
      </w:r>
      <w:r>
        <w:rPr>
          <w:rFonts w:ascii="宋体" w:hAnsi="宋体"/>
          <w:bCs/>
          <w:u w:val="single"/>
        </w:rPr>
        <w:t xml:space="preserve">    </w:t>
      </w:r>
      <w:r>
        <w:rPr>
          <w:rFonts w:ascii="宋体" w:hAnsi="宋体"/>
          <w:bCs/>
        </w:rPr>
        <w:t>日签订。</w:t>
      </w:r>
    </w:p>
    <w:p>
      <w:pPr>
        <w:spacing w:line="360" w:lineRule="auto"/>
        <w:ind w:firstLine="240" w:firstLineChars="100"/>
        <w:rPr>
          <w:rFonts w:ascii="宋体" w:hAnsi="宋体"/>
          <w:bCs/>
        </w:rPr>
      </w:pPr>
      <w:bookmarkStart w:id="21" w:name="_Toc351203490"/>
      <w:r>
        <w:rPr>
          <w:rFonts w:ascii="宋体" w:hAnsi="宋体"/>
          <w:bCs/>
        </w:rPr>
        <w:t>十、签订地点</w:t>
      </w:r>
      <w:bookmarkEnd w:id="21"/>
    </w:p>
    <w:p>
      <w:pPr>
        <w:spacing w:line="360" w:lineRule="auto"/>
        <w:ind w:firstLine="480" w:firstLineChars="200"/>
        <w:rPr>
          <w:rFonts w:ascii="宋体" w:hAnsi="宋体"/>
          <w:bCs/>
        </w:rPr>
      </w:pPr>
      <w:r>
        <w:rPr>
          <w:rFonts w:ascii="宋体" w:hAnsi="宋体"/>
          <w:bCs/>
        </w:rPr>
        <w:t>本合同在</w:t>
      </w:r>
      <w:r>
        <w:rPr>
          <w:rFonts w:ascii="宋体" w:hAnsi="宋体"/>
          <w:bCs/>
          <w:u w:val="single"/>
        </w:rPr>
        <w:t xml:space="preserve">                                    </w:t>
      </w:r>
      <w:r>
        <w:rPr>
          <w:rFonts w:ascii="宋体" w:hAnsi="宋体"/>
          <w:bCs/>
        </w:rPr>
        <w:t>签订。</w:t>
      </w:r>
    </w:p>
    <w:p>
      <w:pPr>
        <w:spacing w:line="360" w:lineRule="auto"/>
        <w:ind w:firstLine="240" w:firstLineChars="100"/>
        <w:rPr>
          <w:rFonts w:ascii="宋体" w:hAnsi="宋体"/>
          <w:bCs/>
        </w:rPr>
      </w:pPr>
      <w:bookmarkStart w:id="22" w:name="_Toc351203491"/>
      <w:r>
        <w:rPr>
          <w:rFonts w:ascii="宋体" w:hAnsi="宋体"/>
          <w:bCs/>
        </w:rPr>
        <w:t>十一、补充协议</w:t>
      </w:r>
      <w:bookmarkEnd w:id="22"/>
    </w:p>
    <w:p>
      <w:pPr>
        <w:spacing w:line="360" w:lineRule="auto"/>
        <w:ind w:firstLine="480" w:firstLineChars="200"/>
        <w:rPr>
          <w:rFonts w:ascii="宋体" w:hAnsi="宋体"/>
          <w:b/>
          <w:bCs/>
        </w:rPr>
      </w:pPr>
      <w:r>
        <w:rPr>
          <w:rFonts w:ascii="宋体" w:hAnsi="宋体"/>
          <w:bCs/>
        </w:rPr>
        <w:t>合同未尽事宜，合同当事人另行签订补充协议</w:t>
      </w:r>
      <w:r>
        <w:rPr>
          <w:rFonts w:hint="eastAsia" w:ascii="宋体" w:hAnsi="宋体"/>
          <w:bCs/>
        </w:rPr>
        <w:t>，</w:t>
      </w:r>
      <w:r>
        <w:rPr>
          <w:rFonts w:ascii="宋体" w:hAnsi="宋体"/>
          <w:bCs/>
        </w:rPr>
        <w:t>补充协议是合同的组成部分。</w:t>
      </w:r>
    </w:p>
    <w:p>
      <w:pPr>
        <w:spacing w:line="360" w:lineRule="auto"/>
        <w:ind w:firstLine="240" w:firstLineChars="100"/>
        <w:rPr>
          <w:rFonts w:ascii="宋体" w:hAnsi="宋体"/>
          <w:bCs/>
        </w:rPr>
      </w:pPr>
      <w:bookmarkStart w:id="23" w:name="_Toc351203492"/>
      <w:r>
        <w:rPr>
          <w:rFonts w:ascii="宋体" w:hAnsi="宋体"/>
          <w:bCs/>
        </w:rPr>
        <w:t>十二、合同生效</w:t>
      </w:r>
      <w:bookmarkEnd w:id="23"/>
    </w:p>
    <w:p>
      <w:pPr>
        <w:spacing w:line="360" w:lineRule="auto"/>
        <w:ind w:firstLine="480" w:firstLineChars="200"/>
        <w:rPr>
          <w:rFonts w:ascii="宋体" w:hAnsi="宋体"/>
          <w:bCs/>
        </w:rPr>
      </w:pPr>
      <w:r>
        <w:rPr>
          <w:rFonts w:ascii="宋体" w:hAnsi="宋体"/>
          <w:bCs/>
        </w:rPr>
        <w:t>本合同自</w:t>
      </w:r>
      <w:r>
        <w:rPr>
          <w:rFonts w:ascii="宋体" w:hAnsi="宋体"/>
          <w:bCs/>
          <w:u w:val="single"/>
        </w:rPr>
        <w:t xml:space="preserve">                                   </w:t>
      </w:r>
      <w:r>
        <w:rPr>
          <w:rFonts w:ascii="宋体" w:hAnsi="宋体"/>
          <w:bCs/>
        </w:rPr>
        <w:t>生效。</w:t>
      </w:r>
    </w:p>
    <w:p>
      <w:pPr>
        <w:spacing w:line="360" w:lineRule="auto"/>
        <w:ind w:firstLine="240" w:firstLineChars="100"/>
        <w:rPr>
          <w:rFonts w:ascii="宋体" w:hAnsi="宋体"/>
          <w:bCs/>
        </w:rPr>
      </w:pPr>
      <w:bookmarkStart w:id="24" w:name="_Toc351203493"/>
      <w:r>
        <w:rPr>
          <w:rFonts w:ascii="宋体" w:hAnsi="宋体"/>
          <w:bCs/>
        </w:rPr>
        <w:t>十三、合同份数</w:t>
      </w:r>
      <w:bookmarkEnd w:id="24"/>
    </w:p>
    <w:p>
      <w:pPr>
        <w:spacing w:line="360" w:lineRule="auto"/>
        <w:ind w:firstLine="480" w:firstLineChars="200"/>
        <w:rPr>
          <w:rFonts w:ascii="宋体" w:hAnsi="宋体"/>
          <w:bCs/>
        </w:rPr>
      </w:pPr>
      <w:r>
        <w:rPr>
          <w:rFonts w:ascii="宋体" w:hAnsi="宋体"/>
          <w:bCs/>
        </w:rPr>
        <w:t>本合同一式</w:t>
      </w:r>
      <w:r>
        <w:rPr>
          <w:rFonts w:ascii="宋体" w:hAnsi="宋体"/>
          <w:bCs/>
          <w:u w:val="single"/>
        </w:rPr>
        <w:t xml:space="preserve">  六</w:t>
      </w:r>
      <w:r>
        <w:rPr>
          <w:rFonts w:hint="eastAsia" w:ascii="宋体" w:hAnsi="宋体"/>
          <w:bCs/>
          <w:u w:val="single"/>
        </w:rPr>
        <w:t xml:space="preserve"> </w:t>
      </w:r>
      <w:r>
        <w:rPr>
          <w:rFonts w:ascii="宋体" w:hAnsi="宋体"/>
          <w:bCs/>
          <w:u w:val="single"/>
        </w:rPr>
        <w:t xml:space="preserve"> </w:t>
      </w:r>
      <w:r>
        <w:rPr>
          <w:rFonts w:ascii="宋体" w:hAnsi="宋体"/>
          <w:bCs/>
        </w:rPr>
        <w:t>份，均具有同等法律效力，发包人执</w:t>
      </w:r>
      <w:r>
        <w:rPr>
          <w:rFonts w:ascii="宋体" w:hAnsi="宋体"/>
          <w:bCs/>
          <w:u w:val="single"/>
        </w:rPr>
        <w:t xml:space="preserve"> </w:t>
      </w:r>
      <w:r>
        <w:rPr>
          <w:rFonts w:hint="eastAsia" w:ascii="宋体" w:hAnsi="宋体"/>
          <w:bCs/>
          <w:u w:val="single"/>
        </w:rPr>
        <w:t>两</w:t>
      </w:r>
      <w:r>
        <w:rPr>
          <w:rFonts w:ascii="宋体" w:hAnsi="宋体"/>
          <w:bCs/>
          <w:u w:val="single"/>
        </w:rPr>
        <w:t xml:space="preserve"> </w:t>
      </w:r>
      <w:r>
        <w:rPr>
          <w:rFonts w:ascii="宋体" w:hAnsi="宋体"/>
          <w:bCs/>
        </w:rPr>
        <w:t>份，承包人执</w:t>
      </w:r>
      <w:r>
        <w:rPr>
          <w:rFonts w:ascii="宋体" w:hAnsi="宋体"/>
          <w:bCs/>
          <w:u w:val="single"/>
        </w:rPr>
        <w:t xml:space="preserve"> 两份 </w:t>
      </w:r>
      <w:r>
        <w:rPr>
          <w:rFonts w:hint="eastAsia" w:ascii="宋体" w:hAnsi="宋体"/>
          <w:bCs/>
          <w:u w:val="single"/>
        </w:rPr>
        <w:t xml:space="preserve"> </w:t>
      </w:r>
      <w:r>
        <w:rPr>
          <w:rFonts w:ascii="宋体" w:hAnsi="宋体"/>
          <w:bCs/>
          <w:u w:val="single"/>
        </w:rPr>
        <w:t xml:space="preserve"> </w:t>
      </w:r>
      <w:r>
        <w:rPr>
          <w:rFonts w:ascii="宋体" w:hAnsi="宋体"/>
          <w:bCs/>
        </w:rPr>
        <w:t>份</w:t>
      </w:r>
      <w:r>
        <w:rPr>
          <w:rFonts w:hint="eastAsia" w:ascii="宋体" w:hAnsi="宋体"/>
          <w:bCs/>
        </w:rPr>
        <w:t>，</w:t>
      </w:r>
      <w:r>
        <w:rPr>
          <w:rFonts w:ascii="宋体" w:hAnsi="宋体"/>
          <w:bCs/>
        </w:rPr>
        <w:t>代理机构执</w:t>
      </w:r>
      <w:r>
        <w:rPr>
          <w:rFonts w:hint="eastAsia" w:ascii="宋体" w:hAnsi="宋体"/>
          <w:bCs/>
          <w:u w:val="single"/>
        </w:rPr>
        <w:t xml:space="preserve"> 两 </w:t>
      </w:r>
      <w:r>
        <w:rPr>
          <w:rFonts w:hint="eastAsia" w:ascii="宋体" w:hAnsi="宋体"/>
          <w:bCs/>
        </w:rPr>
        <w:t>份</w:t>
      </w:r>
      <w:r>
        <w:rPr>
          <w:rFonts w:ascii="宋体" w:hAnsi="宋体"/>
          <w:bCs/>
        </w:rPr>
        <w:t>。</w:t>
      </w:r>
    </w:p>
    <w:p>
      <w:pPr>
        <w:spacing w:line="360" w:lineRule="auto"/>
        <w:rPr>
          <w:rFonts w:ascii="宋体" w:hAnsi="宋体"/>
        </w:rPr>
      </w:pPr>
    </w:p>
    <w:p>
      <w:pPr>
        <w:spacing w:line="360" w:lineRule="auto"/>
        <w:rPr>
          <w:rFonts w:ascii="宋体" w:hAnsi="宋体"/>
        </w:rPr>
      </w:pPr>
      <w:r>
        <w:rPr>
          <w:rFonts w:ascii="宋体" w:hAnsi="宋体"/>
        </w:rPr>
        <w:t>发包人</w:t>
      </w:r>
      <w:r>
        <w:rPr>
          <w:rFonts w:hint="eastAsia" w:ascii="宋体" w:hAnsi="宋体"/>
        </w:rPr>
        <w:t xml:space="preserve">：  </w:t>
      </w:r>
      <w:r>
        <w:rPr>
          <w:rFonts w:ascii="宋体" w:hAnsi="宋体"/>
        </w:rPr>
        <w:t>(公章)</w:t>
      </w:r>
      <w:r>
        <w:rPr>
          <w:rFonts w:hint="eastAsia" w:ascii="宋体" w:hAnsi="宋体"/>
        </w:rPr>
        <w:t xml:space="preserve">             </w:t>
      </w:r>
      <w:r>
        <w:rPr>
          <w:rFonts w:ascii="宋体" w:hAnsi="宋体"/>
        </w:rPr>
        <w:t>承包人</w:t>
      </w:r>
      <w:r>
        <w:rPr>
          <w:rFonts w:hint="eastAsia" w:ascii="宋体" w:hAnsi="宋体"/>
        </w:rPr>
        <w:t xml:space="preserve">：  </w:t>
      </w:r>
      <w:r>
        <w:rPr>
          <w:rFonts w:ascii="宋体" w:hAnsi="宋体"/>
        </w:rPr>
        <w:t>(公章)</w:t>
      </w:r>
    </w:p>
    <w:p>
      <w:pPr>
        <w:spacing w:line="360" w:lineRule="auto"/>
        <w:rPr>
          <w:rFonts w:ascii="宋体" w:hAnsi="宋体"/>
          <w:u w:val="single"/>
        </w:rPr>
      </w:pPr>
      <w:r>
        <w:rPr>
          <w:rFonts w:hint="eastAsia" w:ascii="宋体" w:hAnsi="宋体"/>
        </w:rPr>
        <w:t xml:space="preserve">                                 </w:t>
      </w:r>
    </w:p>
    <w:p>
      <w:pPr>
        <w:spacing w:line="360" w:lineRule="auto"/>
        <w:rPr>
          <w:rFonts w:ascii="宋体" w:hAnsi="宋体"/>
        </w:rPr>
      </w:pPr>
      <w:r>
        <w:rPr>
          <w:rFonts w:hint="eastAsia" w:ascii="宋体" w:hAnsi="宋体"/>
        </w:rPr>
        <w:t>法定代表人或其委托代理人：  法定代表人或其委托代理人：</w:t>
      </w:r>
    </w:p>
    <w:p>
      <w:pPr>
        <w:spacing w:line="360" w:lineRule="auto"/>
        <w:rPr>
          <w:rFonts w:ascii="宋体" w:hAnsi="宋体"/>
        </w:rPr>
      </w:pPr>
      <w:r>
        <w:rPr>
          <w:rFonts w:hint="eastAsia" w:ascii="宋体" w:hAnsi="宋体"/>
        </w:rPr>
        <w:t>（签字）                    （签字）</w:t>
      </w:r>
    </w:p>
    <w:p>
      <w:pPr>
        <w:spacing w:line="360" w:lineRule="auto"/>
        <w:rPr>
          <w:rFonts w:ascii="宋体" w:hAnsi="宋体"/>
          <w:u w:val="single"/>
        </w:rPr>
      </w:pPr>
    </w:p>
    <w:p>
      <w:pPr>
        <w:tabs>
          <w:tab w:val="left" w:pos="4410"/>
        </w:tabs>
        <w:spacing w:line="360" w:lineRule="auto"/>
        <w:rPr>
          <w:rFonts w:ascii="宋体" w:hAnsi="宋体"/>
        </w:rPr>
      </w:pPr>
      <w:r>
        <w:rPr>
          <w:rFonts w:hint="eastAsia" w:ascii="宋体" w:hAnsi="宋体"/>
        </w:rPr>
        <w:t>组织机构代码：</w:t>
      </w:r>
      <w:r>
        <w:rPr>
          <w:rFonts w:hint="eastAsia" w:ascii="宋体" w:hAnsi="宋体"/>
          <w:u w:val="single"/>
        </w:rPr>
        <w:t xml:space="preserve"> </w:t>
      </w:r>
      <w:r>
        <w:rPr>
          <w:rFonts w:ascii="宋体" w:hAnsi="宋体"/>
          <w:u w:val="single"/>
        </w:rPr>
        <w:t xml:space="preserve">    </w:t>
      </w:r>
      <w:r>
        <w:rPr>
          <w:rFonts w:ascii="宋体" w:hAnsi="宋体"/>
        </w:rPr>
        <w:t xml:space="preserve"> </w:t>
      </w:r>
      <w:r>
        <w:rPr>
          <w:rFonts w:hint="eastAsia" w:ascii="宋体" w:hAnsi="宋体"/>
        </w:rPr>
        <w:t xml:space="preserve"> </w:t>
      </w:r>
      <w:r>
        <w:rPr>
          <w:rFonts w:ascii="宋体" w:hAnsi="宋体"/>
        </w:rPr>
        <w:t xml:space="preserve">        </w:t>
      </w:r>
      <w:r>
        <w:rPr>
          <w:rFonts w:hint="eastAsia" w:ascii="宋体" w:hAnsi="宋体"/>
        </w:rPr>
        <w:t>组织机构代码：</w:t>
      </w:r>
      <w:r>
        <w:rPr>
          <w:rFonts w:hint="eastAsia" w:ascii="宋体" w:hAnsi="宋体"/>
          <w:u w:val="single"/>
        </w:rPr>
        <w:t xml:space="preserve"> </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r>
        <w:rPr>
          <w:rFonts w:ascii="宋体" w:hAnsi="宋体"/>
        </w:rPr>
        <w:t xml:space="preserve"> </w:t>
      </w:r>
    </w:p>
    <w:p>
      <w:pPr>
        <w:spacing w:line="360" w:lineRule="auto"/>
        <w:rPr>
          <w:rFonts w:ascii="宋体" w:hAnsi="宋体"/>
        </w:rPr>
      </w:pPr>
      <w:r>
        <w:rPr>
          <w:rFonts w:ascii="宋体" w:hAnsi="宋体"/>
        </w:rPr>
        <w:t>地  址：</w:t>
      </w:r>
      <w:r>
        <w:rPr>
          <w:rFonts w:ascii="宋体" w:hAnsi="宋体"/>
          <w:u w:val="single"/>
        </w:rPr>
        <w:t xml:space="preserve"> </w:t>
      </w:r>
      <w:r>
        <w:rPr>
          <w:rFonts w:hint="eastAsia" w:ascii="宋体" w:hAnsi="宋体"/>
        </w:rPr>
        <w:t xml:space="preserve"> </w:t>
      </w:r>
      <w:r>
        <w:rPr>
          <w:rFonts w:ascii="宋体" w:hAnsi="宋体"/>
        </w:rPr>
        <w:t xml:space="preserve">                     地  址：</w:t>
      </w:r>
      <w:r>
        <w:rPr>
          <w:rFonts w:ascii="宋体" w:hAnsi="宋体"/>
          <w:u w:val="single"/>
        </w:rPr>
        <w:t xml:space="preserve"> </w:t>
      </w:r>
    </w:p>
    <w:p>
      <w:pPr>
        <w:spacing w:line="360" w:lineRule="auto"/>
        <w:rPr>
          <w:rFonts w:ascii="宋体" w:hAnsi="宋体"/>
        </w:rPr>
      </w:pPr>
      <w:r>
        <w:rPr>
          <w:rFonts w:ascii="宋体" w:hAnsi="宋体"/>
        </w:rPr>
        <w:t>邮政编码：</w:t>
      </w:r>
      <w:r>
        <w:rPr>
          <w:rFonts w:ascii="宋体" w:hAnsi="宋体"/>
          <w:u w:val="single"/>
        </w:rPr>
        <w:t xml:space="preserve">               </w:t>
      </w:r>
      <w:r>
        <w:rPr>
          <w:rFonts w:ascii="宋体" w:hAnsi="宋体"/>
        </w:rPr>
        <w:t xml:space="preserve">      邮政编码：</w:t>
      </w:r>
    </w:p>
    <w:p>
      <w:pPr>
        <w:spacing w:line="360" w:lineRule="auto"/>
        <w:rPr>
          <w:rFonts w:ascii="宋体" w:hAnsi="宋体"/>
        </w:rPr>
      </w:pPr>
      <w:r>
        <w:rPr>
          <w:rFonts w:ascii="宋体" w:hAnsi="宋体"/>
        </w:rPr>
        <w:t>法定代表人：</w:t>
      </w:r>
      <w:r>
        <w:rPr>
          <w:rFonts w:hint="eastAsia" w:ascii="宋体" w:hAnsi="宋体"/>
          <w:u w:val="single"/>
        </w:rPr>
        <w:t xml:space="preserve">        </w:t>
      </w:r>
      <w:r>
        <w:rPr>
          <w:rFonts w:ascii="宋体" w:hAnsi="宋体"/>
          <w:u w:val="single"/>
        </w:rPr>
        <w:t xml:space="preserve"> </w:t>
      </w:r>
      <w:r>
        <w:rPr>
          <w:rFonts w:ascii="宋体" w:hAnsi="宋体"/>
        </w:rPr>
        <w:t xml:space="preserve"> </w:t>
      </w:r>
      <w:r>
        <w:rPr>
          <w:rFonts w:hint="eastAsia" w:ascii="宋体" w:hAnsi="宋体"/>
        </w:rPr>
        <w:t xml:space="preserve"> </w:t>
      </w:r>
      <w:r>
        <w:rPr>
          <w:rFonts w:ascii="宋体" w:hAnsi="宋体"/>
        </w:rPr>
        <w:t xml:space="preserve">        法定代表人：</w:t>
      </w:r>
      <w:r>
        <w:rPr>
          <w:rFonts w:hint="eastAsia" w:ascii="宋体" w:hAnsi="宋体"/>
          <w:u w:val="single"/>
        </w:rPr>
        <w:t xml:space="preserve">          </w:t>
      </w:r>
      <w:r>
        <w:rPr>
          <w:rFonts w:ascii="宋体" w:hAnsi="宋体"/>
          <w:u w:val="single"/>
        </w:rPr>
        <w:t xml:space="preserve"> </w:t>
      </w:r>
    </w:p>
    <w:p>
      <w:pPr>
        <w:spacing w:line="360" w:lineRule="auto"/>
        <w:rPr>
          <w:rFonts w:ascii="宋体" w:hAnsi="宋体"/>
        </w:rPr>
      </w:pPr>
      <w:r>
        <w:rPr>
          <w:rFonts w:ascii="宋体" w:hAnsi="宋体"/>
        </w:rPr>
        <w:t>委托代理人：</w:t>
      </w:r>
      <w:r>
        <w:rPr>
          <w:rFonts w:hint="eastAsia" w:ascii="宋体" w:hAnsi="宋体"/>
          <w:u w:val="single"/>
        </w:rPr>
        <w:t xml:space="preserve">     </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r>
        <w:rPr>
          <w:rFonts w:ascii="宋体" w:hAnsi="宋体"/>
        </w:rPr>
        <w:t xml:space="preserve"> </w:t>
      </w:r>
      <w:r>
        <w:rPr>
          <w:rFonts w:hint="eastAsia" w:ascii="宋体" w:hAnsi="宋体"/>
        </w:rPr>
        <w:t xml:space="preserve"> </w:t>
      </w:r>
      <w:r>
        <w:rPr>
          <w:rFonts w:ascii="宋体" w:hAnsi="宋体"/>
        </w:rPr>
        <w:t xml:space="preserve">       委托代理人：</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p>
    <w:p>
      <w:pPr>
        <w:spacing w:line="360" w:lineRule="auto"/>
        <w:rPr>
          <w:rFonts w:ascii="宋体" w:hAnsi="宋体"/>
        </w:rPr>
      </w:pPr>
      <w:r>
        <w:rPr>
          <w:rFonts w:ascii="宋体" w:hAnsi="宋体"/>
        </w:rPr>
        <w:t>电  话：</w:t>
      </w:r>
      <w:r>
        <w:rPr>
          <w:rFonts w:hint="eastAsia" w:ascii="宋体" w:hAnsi="宋体"/>
        </w:rPr>
        <w:t xml:space="preserve"> </w:t>
      </w:r>
      <w:r>
        <w:rPr>
          <w:rFonts w:ascii="宋体" w:hAnsi="宋体"/>
        </w:rPr>
        <w:t xml:space="preserve">                      电  话：</w:t>
      </w:r>
    </w:p>
    <w:p>
      <w:pPr>
        <w:spacing w:line="360" w:lineRule="auto"/>
        <w:rPr>
          <w:rFonts w:ascii="宋体" w:hAnsi="宋体"/>
        </w:rPr>
      </w:pPr>
      <w:r>
        <w:rPr>
          <w:rFonts w:ascii="宋体" w:hAnsi="宋体"/>
        </w:rPr>
        <w:t>传  真：</w:t>
      </w:r>
      <w:r>
        <w:rPr>
          <w:rFonts w:hint="eastAsia" w:ascii="宋体" w:hAnsi="宋体"/>
        </w:rPr>
        <w:t xml:space="preserve"> </w:t>
      </w:r>
      <w:r>
        <w:rPr>
          <w:rFonts w:ascii="宋体" w:hAnsi="宋体"/>
        </w:rPr>
        <w:t xml:space="preserve">                      传  真：</w:t>
      </w:r>
      <w:r>
        <w:rPr>
          <w:rFonts w:ascii="宋体" w:hAnsi="宋体"/>
          <w:u w:val="single"/>
        </w:rPr>
        <w:t xml:space="preserve"> </w:t>
      </w:r>
    </w:p>
    <w:p>
      <w:pPr>
        <w:spacing w:line="360" w:lineRule="auto"/>
        <w:rPr>
          <w:rFonts w:ascii="宋体" w:hAnsi="宋体"/>
        </w:rPr>
      </w:pPr>
      <w:r>
        <w:rPr>
          <w:rFonts w:ascii="宋体" w:hAnsi="宋体"/>
        </w:rPr>
        <w:t xml:space="preserve">电子信箱：                  </w:t>
      </w:r>
      <w:r>
        <w:rPr>
          <w:rFonts w:hint="eastAsia" w:ascii="宋体" w:hAnsi="宋体"/>
        </w:rPr>
        <w:t xml:space="preserve"> </w:t>
      </w:r>
      <w:r>
        <w:rPr>
          <w:rFonts w:ascii="宋体" w:hAnsi="宋体"/>
        </w:rPr>
        <w:t xml:space="preserve">  电子信箱：</w:t>
      </w:r>
    </w:p>
    <w:p>
      <w:pPr>
        <w:spacing w:line="360" w:lineRule="auto"/>
        <w:rPr>
          <w:rFonts w:ascii="宋体" w:hAnsi="宋体"/>
        </w:rPr>
      </w:pPr>
      <w:r>
        <w:rPr>
          <w:rFonts w:ascii="宋体" w:hAnsi="宋体"/>
        </w:rPr>
        <w:t>开户银行：</w:t>
      </w:r>
      <w:r>
        <w:rPr>
          <w:rFonts w:hint="eastAsia" w:ascii="宋体" w:hAnsi="宋体"/>
        </w:rPr>
        <w:t xml:space="preserve"> </w:t>
      </w:r>
      <w:r>
        <w:rPr>
          <w:rFonts w:ascii="宋体" w:hAnsi="宋体"/>
        </w:rPr>
        <w:t xml:space="preserve">                    开户银行：</w:t>
      </w:r>
    </w:p>
    <w:p>
      <w:pPr>
        <w:spacing w:line="360" w:lineRule="auto"/>
        <w:rPr>
          <w:rFonts w:ascii="宋体" w:hAnsi="宋体"/>
        </w:rPr>
      </w:pPr>
      <w:r>
        <w:rPr>
          <w:rFonts w:ascii="宋体" w:hAnsi="宋体"/>
        </w:rPr>
        <w:t>账  号：</w:t>
      </w:r>
      <w:r>
        <w:rPr>
          <w:rFonts w:ascii="宋体" w:hAnsi="宋体"/>
          <w:u w:val="single"/>
        </w:rPr>
        <w:t xml:space="preserve"> </w:t>
      </w:r>
      <w:r>
        <w:rPr>
          <w:rFonts w:hint="eastAsia" w:ascii="宋体" w:hAnsi="宋体"/>
        </w:rPr>
        <w:t xml:space="preserve">   </w:t>
      </w:r>
      <w:r>
        <w:rPr>
          <w:rFonts w:ascii="宋体" w:hAnsi="宋体"/>
        </w:rPr>
        <w:t xml:space="preserve">                   账</w:t>
      </w:r>
      <w:r>
        <w:rPr>
          <w:rFonts w:hint="eastAsia" w:ascii="宋体" w:hAnsi="宋体"/>
        </w:rPr>
        <w:t xml:space="preserve"> </w:t>
      </w:r>
      <w:r>
        <w:rPr>
          <w:rFonts w:ascii="宋体" w:hAnsi="宋体"/>
        </w:rPr>
        <w:t xml:space="preserve"> 号：</w:t>
      </w:r>
    </w:p>
    <w:p>
      <w:pPr>
        <w:pStyle w:val="7"/>
        <w:spacing w:before="120" w:after="120" w:line="240" w:lineRule="auto"/>
        <w:rPr>
          <w:rFonts w:cs="TimesNewRomanPSMT"/>
          <w:bCs w:val="0"/>
          <w:iCs w:val="0"/>
        </w:rPr>
      </w:pPr>
      <w:r>
        <w:rPr>
          <w:b w:val="0"/>
          <w:bCs w:val="0"/>
        </w:rPr>
        <w:br w:type="page"/>
      </w:r>
      <w:bookmarkStart w:id="25" w:name="_Toc260305396"/>
      <w:bookmarkStart w:id="26" w:name="_Toc6399"/>
      <w:bookmarkStart w:id="27" w:name="_Toc10398"/>
      <w:bookmarkStart w:id="28" w:name="OLE_LINK1"/>
      <w:bookmarkStart w:id="29" w:name="_Toc351203494"/>
      <w:r>
        <w:rPr>
          <w:rFonts w:hint="eastAsia" w:cs="TimesNewRomanPSMT"/>
          <w:bCs w:val="0"/>
          <w:iCs w:val="0"/>
        </w:rPr>
        <w:t>第二节</w:t>
      </w:r>
      <w:r>
        <w:rPr>
          <w:rFonts w:cs="TimesNewRomanPSMT"/>
          <w:bCs w:val="0"/>
          <w:iCs w:val="0"/>
        </w:rPr>
        <w:t xml:space="preserve"> </w:t>
      </w:r>
      <w:r>
        <w:rPr>
          <w:rFonts w:hint="eastAsia" w:cs="TimesNewRomanPSMT"/>
          <w:bCs w:val="0"/>
          <w:iCs w:val="0"/>
        </w:rPr>
        <w:t>通用合同条款</w:t>
      </w:r>
      <w:bookmarkEnd w:id="25"/>
      <w:bookmarkEnd w:id="26"/>
      <w:bookmarkEnd w:id="27"/>
    </w:p>
    <w:p>
      <w:pPr>
        <w:keepNext/>
        <w:keepLines/>
        <w:spacing w:before="120" w:after="120"/>
        <w:jc w:val="center"/>
        <w:outlineLvl w:val="1"/>
        <w:rPr>
          <w:rFonts w:ascii="宋体" w:hAnsi="宋体" w:cs="TimesNewRomanPSMT"/>
          <w:b/>
          <w:sz w:val="28"/>
          <w:szCs w:val="28"/>
        </w:rPr>
      </w:pPr>
      <w:bookmarkStart w:id="30" w:name="_Toc12564"/>
      <w:bookmarkStart w:id="31" w:name="_Toc260305397"/>
      <w:bookmarkStart w:id="32" w:name="_Toc2515"/>
      <w:r>
        <w:rPr>
          <w:rFonts w:hint="eastAsia" w:ascii="宋体" w:hAnsi="宋体" w:cs="TimesNewRomanPSMT"/>
          <w:b/>
          <w:sz w:val="28"/>
          <w:szCs w:val="28"/>
        </w:rPr>
        <w:t>通用合同条款</w:t>
      </w:r>
      <w:bookmarkEnd w:id="30"/>
      <w:bookmarkEnd w:id="31"/>
      <w:bookmarkEnd w:id="32"/>
    </w:p>
    <w:p>
      <w:pPr>
        <w:keepNext/>
        <w:keepLines/>
        <w:spacing w:before="120" w:after="120"/>
        <w:jc w:val="both"/>
        <w:outlineLvl w:val="1"/>
        <w:rPr>
          <w:rFonts w:ascii="宋体" w:hAnsi="宋体" w:cs="TimesNewRomanPSMT"/>
          <w:b/>
          <w:sz w:val="28"/>
          <w:szCs w:val="28"/>
        </w:rPr>
      </w:pPr>
      <w:bookmarkStart w:id="33" w:name="_Toc9683"/>
      <w:bookmarkStart w:id="34" w:name="_Toc260305398"/>
      <w:r>
        <w:rPr>
          <w:rFonts w:ascii="宋体" w:hAnsi="宋体" w:cs="TimesNewRomanPSMT"/>
          <w:b/>
          <w:sz w:val="28"/>
          <w:szCs w:val="28"/>
        </w:rPr>
        <w:t xml:space="preserve">1. </w:t>
      </w:r>
      <w:r>
        <w:rPr>
          <w:rFonts w:hint="eastAsia" w:ascii="宋体" w:hAnsi="宋体" w:cs="TimesNewRomanPSMT"/>
          <w:b/>
          <w:sz w:val="28"/>
          <w:szCs w:val="28"/>
        </w:rPr>
        <w:t>一般约定</w:t>
      </w:r>
      <w:bookmarkEnd w:id="33"/>
      <w:bookmarkEnd w:id="34"/>
    </w:p>
    <w:p>
      <w:pPr>
        <w:keepNext/>
        <w:keepLines/>
        <w:spacing w:before="120" w:after="120"/>
        <w:jc w:val="both"/>
        <w:outlineLvl w:val="2"/>
        <w:rPr>
          <w:rFonts w:ascii="宋体" w:hAnsi="宋体" w:cs="TimesNewRomanPSMT"/>
          <w:b/>
        </w:rPr>
      </w:pPr>
      <w:bookmarkStart w:id="35" w:name="_Toc260305399"/>
      <w:r>
        <w:rPr>
          <w:rFonts w:ascii="宋体" w:hAnsi="宋体" w:cs="TimesNewRomanPSMT"/>
          <w:b/>
        </w:rPr>
        <w:t xml:space="preserve">1.1 </w:t>
      </w:r>
      <w:r>
        <w:rPr>
          <w:rFonts w:hint="eastAsia" w:ascii="宋体" w:hAnsi="宋体" w:cs="TimesNewRomanPSMT"/>
          <w:b/>
        </w:rPr>
        <w:t>词语定义</w:t>
      </w:r>
      <w:bookmarkEnd w:id="35"/>
    </w:p>
    <w:p>
      <w:pPr>
        <w:autoSpaceDE w:val="0"/>
        <w:autoSpaceDN w:val="0"/>
        <w:adjustRightInd w:val="0"/>
        <w:rPr>
          <w:rFonts w:ascii="宋体" w:hAnsi="宋体" w:cs="宋体"/>
        </w:rPr>
      </w:pPr>
      <w:r>
        <w:rPr>
          <w:rFonts w:hint="eastAsia" w:ascii="宋体" w:hAnsi="宋体" w:cs="宋体"/>
        </w:rPr>
        <w:t>通用合同条款、专用合同条款中的下列词语应具有本款所赋予的含义。</w:t>
      </w:r>
    </w:p>
    <w:p>
      <w:pPr>
        <w:autoSpaceDE w:val="0"/>
        <w:autoSpaceDN w:val="0"/>
        <w:adjustRightInd w:val="0"/>
        <w:rPr>
          <w:rFonts w:ascii="宋体" w:hAnsi="宋体" w:cs="宋体"/>
        </w:rPr>
      </w:pPr>
      <w:r>
        <w:rPr>
          <w:rFonts w:ascii="宋体" w:hAnsi="宋体" w:cs="TimesNewRomanPSMT"/>
        </w:rPr>
        <w:t xml:space="preserve">1.1.1 </w:t>
      </w:r>
      <w:r>
        <w:rPr>
          <w:rFonts w:hint="eastAsia" w:ascii="宋体" w:hAnsi="宋体" w:cs="宋体"/>
        </w:rPr>
        <w:t>合同</w:t>
      </w:r>
    </w:p>
    <w:p>
      <w:pPr>
        <w:autoSpaceDE w:val="0"/>
        <w:autoSpaceDN w:val="0"/>
        <w:adjustRightInd w:val="0"/>
        <w:rPr>
          <w:rFonts w:ascii="宋体" w:hAnsi="宋体" w:cs="宋体"/>
        </w:rPr>
      </w:pPr>
      <w:r>
        <w:rPr>
          <w:rFonts w:ascii="宋体" w:hAnsi="宋体" w:cs="TimesNewRomanPSMT"/>
        </w:rPr>
        <w:t xml:space="preserve">1.1.1.1 </w:t>
      </w:r>
      <w:r>
        <w:rPr>
          <w:rFonts w:hint="eastAsia" w:ascii="宋体" w:hAnsi="宋体" w:cs="宋体"/>
        </w:rPr>
        <w:t>合同文件（或称合同）：指合同协议书、中标通知书、投标函及投标函附录、专用合同条款、通用合同条款、技术标准和要求、图纸、已标价工程量清单，以及其他合同文件。</w:t>
      </w:r>
    </w:p>
    <w:p>
      <w:pPr>
        <w:autoSpaceDE w:val="0"/>
        <w:autoSpaceDN w:val="0"/>
        <w:adjustRightInd w:val="0"/>
        <w:rPr>
          <w:rFonts w:ascii="宋体" w:hAnsi="宋体" w:cs="宋体"/>
        </w:rPr>
      </w:pPr>
      <w:r>
        <w:rPr>
          <w:rFonts w:ascii="宋体" w:hAnsi="宋体" w:cs="TimesNewRomanPSMT"/>
        </w:rPr>
        <w:t xml:space="preserve">1.1.1.2 </w:t>
      </w:r>
      <w:r>
        <w:rPr>
          <w:rFonts w:hint="eastAsia" w:ascii="宋体" w:hAnsi="宋体" w:cs="宋体"/>
        </w:rPr>
        <w:t>合同协议书：指第</w:t>
      </w:r>
      <w:r>
        <w:rPr>
          <w:rFonts w:ascii="宋体" w:hAnsi="宋体" w:cs="TimesNewRomanPSMT"/>
        </w:rPr>
        <w:t xml:space="preserve">1.5 </w:t>
      </w:r>
      <w:r>
        <w:rPr>
          <w:rFonts w:hint="eastAsia" w:ascii="宋体" w:hAnsi="宋体" w:cs="宋体"/>
        </w:rPr>
        <w:t>款所指的合同协议书。</w:t>
      </w:r>
    </w:p>
    <w:p>
      <w:pPr>
        <w:autoSpaceDE w:val="0"/>
        <w:autoSpaceDN w:val="0"/>
        <w:adjustRightInd w:val="0"/>
        <w:rPr>
          <w:rFonts w:ascii="宋体" w:hAnsi="宋体" w:cs="宋体"/>
        </w:rPr>
      </w:pPr>
      <w:r>
        <w:rPr>
          <w:rFonts w:ascii="宋体" w:hAnsi="宋体" w:cs="TimesNewRomanPSMT"/>
        </w:rPr>
        <w:t xml:space="preserve">1.1.1.3 </w:t>
      </w:r>
      <w:r>
        <w:rPr>
          <w:rFonts w:hint="eastAsia" w:ascii="宋体" w:hAnsi="宋体" w:cs="宋体"/>
        </w:rPr>
        <w:t>中标通知书：指发包人通知承包人中标的函件。</w:t>
      </w:r>
    </w:p>
    <w:p>
      <w:pPr>
        <w:autoSpaceDE w:val="0"/>
        <w:autoSpaceDN w:val="0"/>
        <w:adjustRightInd w:val="0"/>
        <w:rPr>
          <w:rFonts w:ascii="宋体" w:hAnsi="宋体" w:cs="宋体"/>
        </w:rPr>
      </w:pPr>
      <w:r>
        <w:rPr>
          <w:rFonts w:ascii="宋体" w:hAnsi="宋体" w:cs="TimesNewRomanPSMT"/>
        </w:rPr>
        <w:t xml:space="preserve">1.1.1.4 </w:t>
      </w:r>
      <w:r>
        <w:rPr>
          <w:rFonts w:hint="eastAsia" w:ascii="宋体" w:hAnsi="宋体" w:cs="宋体"/>
        </w:rPr>
        <w:t>投标函：指构成合同文件组成部分的由承包人填写并签署的投标函。</w:t>
      </w:r>
    </w:p>
    <w:p>
      <w:pPr>
        <w:autoSpaceDE w:val="0"/>
        <w:autoSpaceDN w:val="0"/>
        <w:adjustRightInd w:val="0"/>
        <w:rPr>
          <w:rFonts w:ascii="宋体" w:hAnsi="宋体" w:cs="宋体"/>
        </w:rPr>
      </w:pPr>
      <w:r>
        <w:rPr>
          <w:rFonts w:ascii="宋体" w:hAnsi="宋体" w:cs="TimesNewRomanPSMT"/>
        </w:rPr>
        <w:t xml:space="preserve">1.1.1.5 </w:t>
      </w:r>
      <w:r>
        <w:rPr>
          <w:rFonts w:hint="eastAsia" w:ascii="宋体" w:hAnsi="宋体" w:cs="宋体"/>
        </w:rPr>
        <w:t>投标函附录：指附在投标函后构成合同文件的投标函附录。</w:t>
      </w:r>
    </w:p>
    <w:p>
      <w:pPr>
        <w:autoSpaceDE w:val="0"/>
        <w:autoSpaceDN w:val="0"/>
        <w:adjustRightInd w:val="0"/>
        <w:rPr>
          <w:rFonts w:ascii="宋体" w:hAnsi="宋体" w:cs="宋体"/>
        </w:rPr>
      </w:pPr>
      <w:r>
        <w:rPr>
          <w:rFonts w:ascii="宋体" w:hAnsi="宋体" w:cs="TimesNewRomanPSMT"/>
        </w:rPr>
        <w:t xml:space="preserve">1.1.1.6 </w:t>
      </w:r>
      <w:r>
        <w:rPr>
          <w:rFonts w:hint="eastAsia" w:ascii="宋体" w:hAnsi="宋体" w:cs="宋体"/>
        </w:rPr>
        <w:t>技术标准和要求：指构成合同文件组成部分的名为技术标准和要求的文件，包括合同双方当事人约定对其所作的修改或补充。</w:t>
      </w:r>
    </w:p>
    <w:p>
      <w:pPr>
        <w:autoSpaceDE w:val="0"/>
        <w:autoSpaceDN w:val="0"/>
        <w:adjustRightInd w:val="0"/>
        <w:rPr>
          <w:rFonts w:ascii="宋体" w:hAnsi="宋体" w:cs="宋体"/>
        </w:rPr>
      </w:pPr>
      <w:r>
        <w:rPr>
          <w:rFonts w:ascii="宋体" w:hAnsi="宋体" w:cs="TimesNewRomanPSMT"/>
        </w:rPr>
        <w:t xml:space="preserve">1.1.1.7 </w:t>
      </w:r>
      <w:r>
        <w:rPr>
          <w:rFonts w:hint="eastAsia" w:ascii="宋体" w:hAnsi="宋体" w:cs="宋体"/>
        </w:rPr>
        <w:t>图纸：包含在合同中的工程图纸，以及由发包人按合同约定提供的任何补充和修改的图纸，包括配套的说明。</w:t>
      </w:r>
    </w:p>
    <w:p>
      <w:pPr>
        <w:autoSpaceDE w:val="0"/>
        <w:autoSpaceDN w:val="0"/>
        <w:adjustRightInd w:val="0"/>
        <w:rPr>
          <w:rFonts w:ascii="宋体" w:hAnsi="宋体" w:cs="宋体"/>
        </w:rPr>
      </w:pPr>
      <w:r>
        <w:rPr>
          <w:rFonts w:ascii="宋体" w:hAnsi="宋体" w:cs="TimesNewRomanPSMT"/>
        </w:rPr>
        <w:t xml:space="preserve">1.1.1.8 </w:t>
      </w:r>
      <w:r>
        <w:rPr>
          <w:rFonts w:hint="eastAsia" w:ascii="宋体" w:hAnsi="宋体" w:cs="宋体"/>
        </w:rPr>
        <w:t>已标价工程量清单：指构成合同文件组成部分的由承包人按照规定的格式和要求填写并标明价格的工程量清单。</w:t>
      </w:r>
    </w:p>
    <w:p>
      <w:pPr>
        <w:autoSpaceDE w:val="0"/>
        <w:autoSpaceDN w:val="0"/>
        <w:adjustRightInd w:val="0"/>
        <w:rPr>
          <w:rFonts w:ascii="宋体" w:hAnsi="宋体" w:cs="宋体"/>
        </w:rPr>
      </w:pPr>
      <w:r>
        <w:rPr>
          <w:rFonts w:ascii="宋体" w:hAnsi="宋体" w:cs="TimesNewRomanPSMT"/>
        </w:rPr>
        <w:t xml:space="preserve">1.1.1.9 </w:t>
      </w:r>
      <w:r>
        <w:rPr>
          <w:rFonts w:hint="eastAsia" w:ascii="宋体" w:hAnsi="宋体" w:cs="宋体"/>
        </w:rPr>
        <w:t>其他合同文件：指经合同双方当事人确认构成合同文件的其他文件。</w:t>
      </w:r>
    </w:p>
    <w:p>
      <w:pPr>
        <w:autoSpaceDE w:val="0"/>
        <w:autoSpaceDN w:val="0"/>
        <w:adjustRightInd w:val="0"/>
        <w:rPr>
          <w:rFonts w:ascii="宋体" w:hAnsi="宋体" w:cs="宋体"/>
        </w:rPr>
      </w:pPr>
      <w:r>
        <w:rPr>
          <w:rFonts w:ascii="宋体" w:hAnsi="宋体" w:cs="TimesNewRomanPSMT"/>
        </w:rPr>
        <w:t xml:space="preserve">1.1.2 </w:t>
      </w:r>
      <w:r>
        <w:rPr>
          <w:rFonts w:hint="eastAsia" w:ascii="宋体" w:hAnsi="宋体" w:cs="宋体"/>
        </w:rPr>
        <w:t>合同当事人和人员</w:t>
      </w:r>
    </w:p>
    <w:p>
      <w:pPr>
        <w:autoSpaceDE w:val="0"/>
        <w:autoSpaceDN w:val="0"/>
        <w:adjustRightInd w:val="0"/>
        <w:rPr>
          <w:rFonts w:ascii="宋体" w:hAnsi="宋体" w:cs="宋体"/>
        </w:rPr>
      </w:pPr>
      <w:r>
        <w:rPr>
          <w:rFonts w:ascii="宋体" w:hAnsi="宋体" w:cs="TimesNewRomanPSMT"/>
        </w:rPr>
        <w:t xml:space="preserve">1.1.2.1 </w:t>
      </w:r>
      <w:r>
        <w:rPr>
          <w:rFonts w:hint="eastAsia" w:ascii="宋体" w:hAnsi="宋体" w:cs="宋体"/>
        </w:rPr>
        <w:t>合同当事人</w:t>
      </w:r>
      <w:r>
        <w:rPr>
          <w:rFonts w:ascii="宋体" w:hAnsi="宋体" w:cs="TimesNewRomanPSMT"/>
        </w:rPr>
        <w:t>:</w:t>
      </w:r>
      <w:r>
        <w:rPr>
          <w:rFonts w:hint="eastAsia" w:ascii="宋体" w:hAnsi="宋体" w:cs="宋体"/>
        </w:rPr>
        <w:t>指发包人和（或）承包人。</w:t>
      </w:r>
    </w:p>
    <w:p>
      <w:pPr>
        <w:autoSpaceDE w:val="0"/>
        <w:autoSpaceDN w:val="0"/>
        <w:adjustRightInd w:val="0"/>
        <w:rPr>
          <w:rFonts w:ascii="宋体" w:hAnsi="宋体" w:cs="宋体"/>
        </w:rPr>
      </w:pPr>
      <w:r>
        <w:rPr>
          <w:rFonts w:ascii="宋体" w:hAnsi="宋体" w:cs="TimesNewRomanPSMT"/>
        </w:rPr>
        <w:t xml:space="preserve">1.1.2.2 </w:t>
      </w:r>
      <w:r>
        <w:rPr>
          <w:rFonts w:hint="eastAsia" w:ascii="宋体" w:hAnsi="宋体" w:cs="宋体"/>
        </w:rPr>
        <w:t>发包人：指专用合同条款中指明并与承包人在合同协议书中签字的当事人。</w:t>
      </w:r>
    </w:p>
    <w:p>
      <w:pPr>
        <w:autoSpaceDE w:val="0"/>
        <w:autoSpaceDN w:val="0"/>
        <w:adjustRightInd w:val="0"/>
        <w:rPr>
          <w:rFonts w:ascii="宋体" w:hAnsi="宋体" w:cs="宋体"/>
        </w:rPr>
      </w:pPr>
      <w:r>
        <w:rPr>
          <w:rFonts w:ascii="宋体" w:hAnsi="宋体" w:cs="TimesNewRomanPSMT"/>
        </w:rPr>
        <w:t xml:space="preserve">1.1.2.3 </w:t>
      </w:r>
      <w:r>
        <w:rPr>
          <w:rFonts w:hint="eastAsia" w:ascii="宋体" w:hAnsi="宋体" w:cs="宋体"/>
        </w:rPr>
        <w:t>承包人：指与发包人签订合同协议书的当事人。</w:t>
      </w:r>
    </w:p>
    <w:p>
      <w:pPr>
        <w:autoSpaceDE w:val="0"/>
        <w:autoSpaceDN w:val="0"/>
        <w:adjustRightInd w:val="0"/>
        <w:rPr>
          <w:rFonts w:ascii="宋体" w:hAnsi="宋体" w:cs="宋体"/>
        </w:rPr>
      </w:pPr>
      <w:r>
        <w:rPr>
          <w:rFonts w:ascii="宋体" w:hAnsi="宋体" w:cs="TimesNewRomanPSMT"/>
        </w:rPr>
        <w:t xml:space="preserve">1.1.2.4 </w:t>
      </w:r>
      <w:r>
        <w:rPr>
          <w:rFonts w:hint="eastAsia" w:ascii="宋体" w:hAnsi="宋体" w:cs="宋体"/>
        </w:rPr>
        <w:t>承包人项目经理：指承包人派驻施工场地的全权负责人。</w:t>
      </w:r>
    </w:p>
    <w:p>
      <w:pPr>
        <w:autoSpaceDE w:val="0"/>
        <w:autoSpaceDN w:val="0"/>
        <w:adjustRightInd w:val="0"/>
        <w:rPr>
          <w:rFonts w:ascii="宋体" w:hAnsi="宋体" w:cs="宋体"/>
        </w:rPr>
      </w:pPr>
      <w:r>
        <w:rPr>
          <w:rFonts w:ascii="宋体" w:hAnsi="宋体" w:cs="TimesNewRomanPSMT"/>
        </w:rPr>
        <w:t xml:space="preserve">1.1.2.5 </w:t>
      </w:r>
      <w:r>
        <w:rPr>
          <w:rFonts w:hint="eastAsia" w:ascii="宋体" w:hAnsi="宋体" w:cs="宋体"/>
        </w:rPr>
        <w:t>分包人：指从承包人处分包合同中某一部分工程，并与其签订分包合同的分包人。</w:t>
      </w:r>
    </w:p>
    <w:p>
      <w:pPr>
        <w:autoSpaceDE w:val="0"/>
        <w:autoSpaceDN w:val="0"/>
        <w:adjustRightInd w:val="0"/>
        <w:rPr>
          <w:rFonts w:ascii="宋体" w:hAnsi="宋体" w:cs="宋体"/>
        </w:rPr>
      </w:pPr>
      <w:r>
        <w:rPr>
          <w:rFonts w:ascii="宋体" w:hAnsi="宋体" w:cs="TimesNewRomanPSMT"/>
        </w:rPr>
        <w:t xml:space="preserve">1.1.2.6 </w:t>
      </w:r>
      <w:r>
        <w:rPr>
          <w:rFonts w:hint="eastAsia" w:ascii="宋体" w:hAnsi="宋体" w:cs="宋体"/>
        </w:rPr>
        <w:t>监理人：指在专用合同条款中指明的，受发包人委托对合同履行实施管理的法人或其他组织。</w:t>
      </w:r>
    </w:p>
    <w:p>
      <w:pPr>
        <w:autoSpaceDE w:val="0"/>
        <w:autoSpaceDN w:val="0"/>
        <w:adjustRightInd w:val="0"/>
        <w:rPr>
          <w:rFonts w:ascii="宋体" w:hAnsi="宋体" w:cs="宋体"/>
        </w:rPr>
      </w:pPr>
      <w:r>
        <w:rPr>
          <w:rFonts w:ascii="宋体" w:hAnsi="宋体" w:cs="TimesNewRomanPSMT"/>
        </w:rPr>
        <w:t xml:space="preserve">1.1.2.7 </w:t>
      </w:r>
      <w:r>
        <w:rPr>
          <w:rFonts w:hint="eastAsia" w:ascii="宋体" w:hAnsi="宋体" w:cs="宋体"/>
        </w:rPr>
        <w:t>总监理工程师（总监）：指由监理人委派常驻施工场地对合同履行实施管理的全权负责人。</w:t>
      </w:r>
    </w:p>
    <w:p>
      <w:pPr>
        <w:autoSpaceDE w:val="0"/>
        <w:autoSpaceDN w:val="0"/>
        <w:adjustRightInd w:val="0"/>
        <w:rPr>
          <w:rFonts w:ascii="宋体" w:hAnsi="宋体" w:cs="宋体"/>
        </w:rPr>
      </w:pPr>
      <w:r>
        <w:rPr>
          <w:rFonts w:ascii="宋体" w:hAnsi="宋体" w:cs="TimesNewRomanPSMT"/>
        </w:rPr>
        <w:t xml:space="preserve">1.1.3 </w:t>
      </w:r>
      <w:r>
        <w:rPr>
          <w:rFonts w:hint="eastAsia" w:ascii="宋体" w:hAnsi="宋体" w:cs="宋体"/>
        </w:rPr>
        <w:t>工程和设备</w:t>
      </w:r>
    </w:p>
    <w:p>
      <w:pPr>
        <w:autoSpaceDE w:val="0"/>
        <w:autoSpaceDN w:val="0"/>
        <w:adjustRightInd w:val="0"/>
        <w:rPr>
          <w:rFonts w:ascii="宋体" w:hAnsi="宋体" w:cs="宋体"/>
        </w:rPr>
      </w:pPr>
      <w:r>
        <w:rPr>
          <w:rFonts w:ascii="宋体" w:hAnsi="宋体" w:cs="TimesNewRomanPSMT"/>
        </w:rPr>
        <w:t xml:space="preserve">1.1.3.1 </w:t>
      </w:r>
      <w:r>
        <w:rPr>
          <w:rFonts w:hint="eastAsia" w:ascii="宋体" w:hAnsi="宋体" w:cs="宋体"/>
        </w:rPr>
        <w:t>工程：指永久工程和（或）临时工程。</w:t>
      </w:r>
    </w:p>
    <w:p>
      <w:pPr>
        <w:autoSpaceDE w:val="0"/>
        <w:autoSpaceDN w:val="0"/>
        <w:adjustRightInd w:val="0"/>
        <w:rPr>
          <w:rFonts w:ascii="宋体" w:hAnsi="宋体" w:cs="宋体"/>
        </w:rPr>
      </w:pPr>
      <w:r>
        <w:rPr>
          <w:rFonts w:ascii="宋体" w:hAnsi="宋体" w:cs="TimesNewRomanPSMT"/>
        </w:rPr>
        <w:t xml:space="preserve">1.1.3.2 </w:t>
      </w:r>
      <w:r>
        <w:rPr>
          <w:rFonts w:hint="eastAsia" w:ascii="宋体" w:hAnsi="宋体" w:cs="宋体"/>
        </w:rPr>
        <w:t>永久工程：指按合同约定建造并移交给发包人的工程，包括工程设备。</w:t>
      </w:r>
    </w:p>
    <w:p>
      <w:pPr>
        <w:autoSpaceDE w:val="0"/>
        <w:autoSpaceDN w:val="0"/>
        <w:adjustRightInd w:val="0"/>
        <w:rPr>
          <w:rFonts w:ascii="宋体" w:hAnsi="宋体" w:cs="宋体"/>
        </w:rPr>
      </w:pPr>
      <w:r>
        <w:rPr>
          <w:rFonts w:ascii="宋体" w:hAnsi="宋体" w:cs="TimesNewRomanPSMT"/>
        </w:rPr>
        <w:t xml:space="preserve">1.1.3.3 </w:t>
      </w:r>
      <w:r>
        <w:rPr>
          <w:rFonts w:hint="eastAsia" w:ascii="宋体" w:hAnsi="宋体" w:cs="宋体"/>
        </w:rPr>
        <w:t>临时工程：指为完成合同约定的永久工程所修建的各类临时性工程，不包括施工设备。</w:t>
      </w:r>
    </w:p>
    <w:p>
      <w:pPr>
        <w:autoSpaceDE w:val="0"/>
        <w:autoSpaceDN w:val="0"/>
        <w:adjustRightInd w:val="0"/>
        <w:rPr>
          <w:rFonts w:ascii="宋体" w:hAnsi="宋体" w:cs="宋体"/>
        </w:rPr>
      </w:pPr>
      <w:r>
        <w:rPr>
          <w:rFonts w:ascii="宋体" w:hAnsi="宋体" w:cs="TimesNewRomanPSMT"/>
        </w:rPr>
        <w:t xml:space="preserve">1.1.3.4 </w:t>
      </w:r>
      <w:r>
        <w:rPr>
          <w:rFonts w:hint="eastAsia" w:ascii="宋体" w:hAnsi="宋体" w:cs="宋体"/>
        </w:rPr>
        <w:t>单位工程：指专用合同条款中指明特定范围的永久工程。</w:t>
      </w:r>
    </w:p>
    <w:p>
      <w:pPr>
        <w:autoSpaceDE w:val="0"/>
        <w:autoSpaceDN w:val="0"/>
        <w:adjustRightInd w:val="0"/>
        <w:rPr>
          <w:rFonts w:ascii="宋体" w:hAnsi="宋体" w:cs="宋体"/>
        </w:rPr>
      </w:pPr>
      <w:r>
        <w:rPr>
          <w:rFonts w:ascii="宋体" w:hAnsi="宋体" w:cs="TimesNewRomanPSMT"/>
        </w:rPr>
        <w:t xml:space="preserve">1.1.3.5 </w:t>
      </w:r>
      <w:r>
        <w:rPr>
          <w:rFonts w:hint="eastAsia" w:ascii="宋体" w:hAnsi="宋体" w:cs="宋体"/>
        </w:rPr>
        <w:t>工程设备：指构成或计划构成永久工程一部分的机电设备、金属结构设备、仪器装置及其他类似的设备和装置。</w:t>
      </w:r>
    </w:p>
    <w:p>
      <w:pPr>
        <w:autoSpaceDE w:val="0"/>
        <w:autoSpaceDN w:val="0"/>
        <w:adjustRightInd w:val="0"/>
        <w:rPr>
          <w:rFonts w:ascii="宋体" w:hAnsi="宋体" w:cs="宋体"/>
        </w:rPr>
      </w:pPr>
      <w:r>
        <w:rPr>
          <w:rFonts w:ascii="宋体" w:hAnsi="宋体" w:cs="TimesNewRomanPSMT"/>
        </w:rPr>
        <w:t xml:space="preserve">1.1.3.6 </w:t>
      </w:r>
      <w:r>
        <w:rPr>
          <w:rFonts w:hint="eastAsia" w:ascii="宋体" w:hAnsi="宋体" w:cs="宋体"/>
        </w:rPr>
        <w:t>施工设备：指为完成合同约定的各项工作所需的设备、器具和其他物品，不包括临时工程和材料。</w:t>
      </w:r>
    </w:p>
    <w:p>
      <w:pPr>
        <w:autoSpaceDE w:val="0"/>
        <w:autoSpaceDN w:val="0"/>
        <w:adjustRightInd w:val="0"/>
        <w:rPr>
          <w:rFonts w:ascii="宋体" w:hAnsi="宋体" w:cs="宋体"/>
        </w:rPr>
      </w:pPr>
      <w:r>
        <w:rPr>
          <w:rFonts w:ascii="宋体" w:hAnsi="宋体" w:cs="TimesNewRomanPSMT"/>
        </w:rPr>
        <w:t xml:space="preserve">1.1.3.7 </w:t>
      </w:r>
      <w:r>
        <w:rPr>
          <w:rFonts w:hint="eastAsia" w:ascii="宋体" w:hAnsi="宋体" w:cs="宋体"/>
        </w:rPr>
        <w:t>临时设施：指为完成合同约定的各项工作所服务的临时性生产和生活设施。</w:t>
      </w:r>
    </w:p>
    <w:p>
      <w:pPr>
        <w:autoSpaceDE w:val="0"/>
        <w:autoSpaceDN w:val="0"/>
        <w:adjustRightInd w:val="0"/>
        <w:rPr>
          <w:rFonts w:ascii="宋体" w:hAnsi="宋体" w:cs="宋体"/>
        </w:rPr>
      </w:pPr>
      <w:r>
        <w:rPr>
          <w:rFonts w:ascii="宋体" w:hAnsi="宋体" w:cs="TimesNewRomanPSMT"/>
        </w:rPr>
        <w:t xml:space="preserve">1.1.3.8 </w:t>
      </w:r>
      <w:r>
        <w:rPr>
          <w:rFonts w:hint="eastAsia" w:ascii="宋体" w:hAnsi="宋体" w:cs="宋体"/>
        </w:rPr>
        <w:t>承包人设备：指承包人自带的施工设备。</w:t>
      </w:r>
    </w:p>
    <w:p>
      <w:pPr>
        <w:autoSpaceDE w:val="0"/>
        <w:autoSpaceDN w:val="0"/>
        <w:adjustRightInd w:val="0"/>
        <w:rPr>
          <w:rFonts w:ascii="宋体" w:hAnsi="宋体" w:cs="宋体"/>
        </w:rPr>
      </w:pPr>
      <w:r>
        <w:rPr>
          <w:rFonts w:ascii="宋体" w:hAnsi="宋体" w:cs="TimesNewRomanPSMT"/>
        </w:rPr>
        <w:t xml:space="preserve">1.1.3.9 </w:t>
      </w:r>
      <w:r>
        <w:rPr>
          <w:rFonts w:hint="eastAsia" w:ascii="宋体" w:hAnsi="宋体" w:cs="宋体"/>
        </w:rPr>
        <w:t>施工场地（或称工地、现场）：指用于合同工程施工的场所，以及在合同中指定作为施工场地组成部分的其他场所，包括永久占地和临时占地。</w:t>
      </w:r>
    </w:p>
    <w:p>
      <w:pPr>
        <w:autoSpaceDE w:val="0"/>
        <w:autoSpaceDN w:val="0"/>
        <w:adjustRightInd w:val="0"/>
        <w:rPr>
          <w:rFonts w:ascii="宋体" w:hAnsi="宋体" w:cs="宋体"/>
        </w:rPr>
      </w:pPr>
      <w:r>
        <w:rPr>
          <w:rFonts w:ascii="宋体" w:hAnsi="宋体" w:cs="TimesNewRomanPSMT"/>
        </w:rPr>
        <w:t xml:space="preserve">1.1.3.10 </w:t>
      </w:r>
      <w:r>
        <w:rPr>
          <w:rFonts w:hint="eastAsia" w:ascii="宋体" w:hAnsi="宋体" w:cs="宋体"/>
        </w:rPr>
        <w:t>永久占地：指专用合同条款中指明为实施合同工程需永久占用的土地。</w:t>
      </w:r>
    </w:p>
    <w:p>
      <w:pPr>
        <w:autoSpaceDE w:val="0"/>
        <w:autoSpaceDN w:val="0"/>
        <w:adjustRightInd w:val="0"/>
        <w:rPr>
          <w:rFonts w:ascii="宋体" w:hAnsi="宋体" w:cs="宋体"/>
        </w:rPr>
      </w:pPr>
      <w:r>
        <w:rPr>
          <w:rFonts w:ascii="宋体" w:hAnsi="宋体" w:cs="TimesNewRomanPSMT"/>
        </w:rPr>
        <w:t xml:space="preserve">1.1.3.11 </w:t>
      </w:r>
      <w:r>
        <w:rPr>
          <w:rFonts w:hint="eastAsia" w:ascii="宋体" w:hAnsi="宋体" w:cs="宋体"/>
        </w:rPr>
        <w:t>临时占地：指专用合同条款中指明为实施合同工程需临时占用的土地。</w:t>
      </w:r>
    </w:p>
    <w:p>
      <w:pPr>
        <w:autoSpaceDE w:val="0"/>
        <w:autoSpaceDN w:val="0"/>
        <w:adjustRightInd w:val="0"/>
        <w:rPr>
          <w:rFonts w:ascii="宋体" w:hAnsi="宋体" w:cs="宋体"/>
        </w:rPr>
      </w:pPr>
      <w:r>
        <w:rPr>
          <w:rFonts w:ascii="宋体" w:hAnsi="宋体" w:cs="TimesNewRomanPSMT"/>
        </w:rPr>
        <w:t xml:space="preserve">1.1.4 </w:t>
      </w:r>
      <w:r>
        <w:rPr>
          <w:rFonts w:hint="eastAsia" w:ascii="宋体" w:hAnsi="宋体" w:cs="宋体"/>
        </w:rPr>
        <w:t>日期</w:t>
      </w:r>
    </w:p>
    <w:p>
      <w:pPr>
        <w:autoSpaceDE w:val="0"/>
        <w:autoSpaceDN w:val="0"/>
        <w:adjustRightInd w:val="0"/>
        <w:rPr>
          <w:rFonts w:ascii="宋体" w:hAnsi="宋体" w:cs="宋体"/>
        </w:rPr>
      </w:pPr>
      <w:r>
        <w:rPr>
          <w:rFonts w:ascii="宋体" w:hAnsi="宋体" w:cs="TimesNewRomanPSMT"/>
        </w:rPr>
        <w:t xml:space="preserve">1.1.4.1 </w:t>
      </w:r>
      <w:r>
        <w:rPr>
          <w:rFonts w:hint="eastAsia" w:ascii="宋体" w:hAnsi="宋体" w:cs="宋体"/>
        </w:rPr>
        <w:t>开工通知：指监理人按第</w:t>
      </w:r>
      <w:r>
        <w:rPr>
          <w:rFonts w:ascii="宋体" w:hAnsi="宋体" w:cs="TimesNewRomanPSMT"/>
        </w:rPr>
        <w:t xml:space="preserve">11.1 </w:t>
      </w:r>
      <w:r>
        <w:rPr>
          <w:rFonts w:hint="eastAsia" w:ascii="宋体" w:hAnsi="宋体" w:cs="宋体"/>
        </w:rPr>
        <w:t>款通知承包人开工的函件。</w:t>
      </w:r>
    </w:p>
    <w:p>
      <w:pPr>
        <w:autoSpaceDE w:val="0"/>
        <w:autoSpaceDN w:val="0"/>
        <w:adjustRightInd w:val="0"/>
        <w:rPr>
          <w:rFonts w:ascii="宋体" w:hAnsi="宋体" w:cs="宋体"/>
        </w:rPr>
      </w:pPr>
      <w:r>
        <w:rPr>
          <w:rFonts w:ascii="宋体" w:hAnsi="宋体" w:cs="TimesNewRomanPSMT"/>
        </w:rPr>
        <w:t xml:space="preserve">1.1.4.2 </w:t>
      </w:r>
      <w:r>
        <w:rPr>
          <w:rFonts w:hint="eastAsia" w:ascii="宋体" w:hAnsi="宋体" w:cs="宋体"/>
        </w:rPr>
        <w:t>开工日期：指监理人按第</w:t>
      </w:r>
      <w:r>
        <w:rPr>
          <w:rFonts w:ascii="宋体" w:hAnsi="宋体" w:cs="TimesNewRomanPSMT"/>
        </w:rPr>
        <w:t xml:space="preserve">11.1 </w:t>
      </w:r>
      <w:r>
        <w:rPr>
          <w:rFonts w:hint="eastAsia" w:ascii="宋体" w:hAnsi="宋体" w:cs="宋体"/>
        </w:rPr>
        <w:t>款发出的开工通知中写明的开工日期。</w:t>
      </w:r>
    </w:p>
    <w:p>
      <w:pPr>
        <w:autoSpaceDE w:val="0"/>
        <w:autoSpaceDN w:val="0"/>
        <w:adjustRightInd w:val="0"/>
        <w:rPr>
          <w:rFonts w:ascii="宋体" w:hAnsi="宋体" w:cs="宋体"/>
        </w:rPr>
      </w:pPr>
      <w:r>
        <w:rPr>
          <w:rFonts w:ascii="宋体" w:hAnsi="宋体" w:cs="TimesNewRomanPSMT"/>
        </w:rPr>
        <w:t xml:space="preserve">1.1.4.3 </w:t>
      </w:r>
      <w:r>
        <w:rPr>
          <w:rFonts w:hint="eastAsia" w:ascii="宋体" w:hAnsi="宋体" w:cs="宋体"/>
        </w:rPr>
        <w:t>工期：指承包人在投标函中承诺的完成合同工程所需的期限，包括按第</w:t>
      </w:r>
      <w:r>
        <w:rPr>
          <w:rFonts w:ascii="宋体" w:hAnsi="宋体" w:cs="TimesNewRomanPSMT"/>
        </w:rPr>
        <w:t>11.3</w:t>
      </w:r>
      <w:r>
        <w:rPr>
          <w:rFonts w:hint="eastAsia" w:ascii="宋体" w:hAnsi="宋体" w:cs="宋体"/>
        </w:rPr>
        <w:t>款、第</w:t>
      </w:r>
      <w:r>
        <w:rPr>
          <w:rFonts w:ascii="宋体" w:hAnsi="宋体" w:cs="TimesNewRomanPSMT"/>
        </w:rPr>
        <w:t xml:space="preserve">11.4 </w:t>
      </w:r>
      <w:r>
        <w:rPr>
          <w:rFonts w:hint="eastAsia" w:ascii="宋体" w:hAnsi="宋体" w:cs="宋体"/>
        </w:rPr>
        <w:t>款和第</w:t>
      </w:r>
      <w:r>
        <w:rPr>
          <w:rFonts w:ascii="宋体" w:hAnsi="宋体" w:cs="TimesNewRomanPSMT"/>
        </w:rPr>
        <w:t xml:space="preserve">11.6 </w:t>
      </w:r>
      <w:r>
        <w:rPr>
          <w:rFonts w:hint="eastAsia" w:ascii="宋体" w:hAnsi="宋体" w:cs="宋体"/>
        </w:rPr>
        <w:t>款约定所作的变更。</w:t>
      </w:r>
    </w:p>
    <w:p>
      <w:pPr>
        <w:autoSpaceDE w:val="0"/>
        <w:autoSpaceDN w:val="0"/>
        <w:adjustRightInd w:val="0"/>
        <w:rPr>
          <w:rFonts w:ascii="宋体" w:hAnsi="宋体" w:cs="宋体"/>
        </w:rPr>
      </w:pPr>
      <w:r>
        <w:rPr>
          <w:rFonts w:ascii="宋体" w:hAnsi="宋体" w:cs="TimesNewRomanPSMT"/>
        </w:rPr>
        <w:t xml:space="preserve">1.1.4.4 </w:t>
      </w:r>
      <w:r>
        <w:rPr>
          <w:rFonts w:hint="eastAsia" w:ascii="宋体" w:hAnsi="宋体" w:cs="宋体"/>
        </w:rPr>
        <w:t>竣工日期：指第</w:t>
      </w:r>
      <w:r>
        <w:rPr>
          <w:rFonts w:ascii="宋体" w:hAnsi="宋体" w:cs="TimesNewRomanPSMT"/>
        </w:rPr>
        <w:t xml:space="preserve">1.1.4.3 </w:t>
      </w:r>
      <w:r>
        <w:rPr>
          <w:rFonts w:hint="eastAsia" w:ascii="宋体" w:hAnsi="宋体" w:cs="宋体"/>
        </w:rPr>
        <w:t>目约定工期届满时的日期。实际竣工日期以工程接收证书中写明的日期为准。</w:t>
      </w:r>
    </w:p>
    <w:p>
      <w:pPr>
        <w:autoSpaceDE w:val="0"/>
        <w:autoSpaceDN w:val="0"/>
        <w:adjustRightInd w:val="0"/>
        <w:rPr>
          <w:rFonts w:ascii="宋体" w:hAnsi="宋体" w:cs="宋体"/>
        </w:rPr>
      </w:pPr>
      <w:r>
        <w:rPr>
          <w:rFonts w:ascii="宋体" w:hAnsi="宋体" w:cs="TimesNewRomanPSMT"/>
        </w:rPr>
        <w:t xml:space="preserve">1.1.4.5 </w:t>
      </w:r>
      <w:r>
        <w:rPr>
          <w:rFonts w:hint="eastAsia" w:ascii="宋体" w:hAnsi="宋体" w:cs="宋体"/>
        </w:rPr>
        <w:t>缺陷责任期：指履行第</w:t>
      </w:r>
      <w:r>
        <w:rPr>
          <w:rFonts w:ascii="宋体" w:hAnsi="宋体" w:cs="TimesNewRomanPSMT"/>
        </w:rPr>
        <w:t xml:space="preserve">19.2 </w:t>
      </w:r>
      <w:r>
        <w:rPr>
          <w:rFonts w:hint="eastAsia" w:ascii="宋体" w:hAnsi="宋体" w:cs="宋体"/>
        </w:rPr>
        <w:t>款约定的缺陷责任的期限，具体期限由专用合同条款约定，包括根据第</w:t>
      </w:r>
      <w:r>
        <w:rPr>
          <w:rFonts w:ascii="宋体" w:hAnsi="宋体" w:cs="TimesNewRomanPSMT"/>
        </w:rPr>
        <w:t xml:space="preserve">19.3 </w:t>
      </w:r>
      <w:r>
        <w:rPr>
          <w:rFonts w:hint="eastAsia" w:ascii="宋体" w:hAnsi="宋体" w:cs="宋体"/>
        </w:rPr>
        <w:t>款约定所作的延长。</w:t>
      </w:r>
    </w:p>
    <w:p>
      <w:pPr>
        <w:autoSpaceDE w:val="0"/>
        <w:autoSpaceDN w:val="0"/>
        <w:adjustRightInd w:val="0"/>
        <w:rPr>
          <w:rFonts w:ascii="宋体" w:hAnsi="宋体" w:cs="宋体"/>
        </w:rPr>
      </w:pPr>
      <w:r>
        <w:rPr>
          <w:rFonts w:ascii="宋体" w:hAnsi="宋体" w:cs="TimesNewRomanPSMT"/>
        </w:rPr>
        <w:t xml:space="preserve">1.1.4.6 </w:t>
      </w:r>
      <w:r>
        <w:rPr>
          <w:rFonts w:hint="eastAsia" w:ascii="宋体" w:hAnsi="宋体" w:cs="宋体"/>
        </w:rPr>
        <w:t>基准日期：指投标截止时间前</w:t>
      </w:r>
      <w:r>
        <w:rPr>
          <w:rFonts w:ascii="宋体" w:hAnsi="宋体" w:cs="TimesNewRomanPSMT"/>
        </w:rPr>
        <w:t xml:space="preserve">28 </w:t>
      </w:r>
      <w:r>
        <w:rPr>
          <w:rFonts w:hint="eastAsia" w:ascii="宋体" w:hAnsi="宋体" w:cs="宋体"/>
        </w:rPr>
        <w:t>天的日期。</w:t>
      </w:r>
    </w:p>
    <w:p>
      <w:pPr>
        <w:autoSpaceDE w:val="0"/>
        <w:autoSpaceDN w:val="0"/>
        <w:adjustRightInd w:val="0"/>
        <w:rPr>
          <w:rFonts w:ascii="宋体" w:hAnsi="宋体" w:cs="宋体"/>
        </w:rPr>
      </w:pPr>
      <w:r>
        <w:rPr>
          <w:rFonts w:ascii="宋体" w:hAnsi="宋体" w:cs="TimesNewRomanPSMT"/>
        </w:rPr>
        <w:t xml:space="preserve">1.1.4.7 </w:t>
      </w:r>
      <w:r>
        <w:rPr>
          <w:rFonts w:hint="eastAsia" w:ascii="宋体" w:hAnsi="宋体" w:cs="宋体"/>
        </w:rPr>
        <w:t>天：除特别指明外，指日历天。合同中按天计算时间的，开始当天不计入，从次日开始计算。期限最后一天的截止时间为当天</w:t>
      </w:r>
      <w:r>
        <w:rPr>
          <w:rFonts w:ascii="宋体" w:hAnsi="宋体" w:cs="TimesNewRomanPSMT"/>
        </w:rPr>
        <w:t>24:00</w:t>
      </w:r>
      <w:r>
        <w:rPr>
          <w:rFonts w:hint="eastAsia" w:ascii="宋体" w:hAnsi="宋体" w:cs="宋体"/>
        </w:rPr>
        <w:t>。</w:t>
      </w:r>
    </w:p>
    <w:p>
      <w:pPr>
        <w:autoSpaceDE w:val="0"/>
        <w:autoSpaceDN w:val="0"/>
        <w:adjustRightInd w:val="0"/>
        <w:rPr>
          <w:rFonts w:ascii="宋体" w:hAnsi="宋体" w:cs="宋体"/>
        </w:rPr>
      </w:pPr>
      <w:r>
        <w:rPr>
          <w:rFonts w:ascii="宋体" w:hAnsi="宋体" w:cs="TimesNewRomanPSMT"/>
        </w:rPr>
        <w:t xml:space="preserve">1.1.5 </w:t>
      </w:r>
      <w:r>
        <w:rPr>
          <w:rFonts w:hint="eastAsia" w:ascii="宋体" w:hAnsi="宋体" w:cs="宋体"/>
        </w:rPr>
        <w:t>合同价格和费用</w:t>
      </w:r>
    </w:p>
    <w:p>
      <w:pPr>
        <w:autoSpaceDE w:val="0"/>
        <w:autoSpaceDN w:val="0"/>
        <w:adjustRightInd w:val="0"/>
        <w:rPr>
          <w:rFonts w:ascii="宋体" w:hAnsi="宋体" w:cs="宋体"/>
        </w:rPr>
      </w:pPr>
      <w:r>
        <w:rPr>
          <w:rFonts w:ascii="宋体" w:hAnsi="宋体" w:cs="TimesNewRomanPSMT"/>
        </w:rPr>
        <w:t xml:space="preserve">1.1.5.1 </w:t>
      </w:r>
      <w:r>
        <w:rPr>
          <w:rFonts w:hint="eastAsia" w:ascii="宋体" w:hAnsi="宋体" w:cs="宋体"/>
        </w:rPr>
        <w:t>签约合同价：指签定合同时合同协议书中写明的，包括了暂列金额、暂估价的合同总金额。</w:t>
      </w:r>
    </w:p>
    <w:p>
      <w:pPr>
        <w:autoSpaceDE w:val="0"/>
        <w:autoSpaceDN w:val="0"/>
        <w:adjustRightInd w:val="0"/>
        <w:rPr>
          <w:rFonts w:ascii="宋体" w:hAnsi="宋体" w:cs="宋体"/>
        </w:rPr>
      </w:pPr>
      <w:r>
        <w:rPr>
          <w:rFonts w:ascii="宋体" w:hAnsi="宋体" w:cs="TimesNewRomanPSMT"/>
        </w:rPr>
        <w:t xml:space="preserve">1.1.5.2 </w:t>
      </w:r>
      <w:r>
        <w:rPr>
          <w:rFonts w:hint="eastAsia" w:ascii="宋体" w:hAnsi="宋体" w:cs="宋体"/>
        </w:rPr>
        <w:t>合同价格：指承包人按合同约定完成了包括缺陷责任期内的全部承包工作后，发包人应付给承包人的金额，包括在履行合同过程中按合同约定进行的变更和调整。</w:t>
      </w:r>
    </w:p>
    <w:p>
      <w:pPr>
        <w:autoSpaceDE w:val="0"/>
        <w:autoSpaceDN w:val="0"/>
        <w:adjustRightInd w:val="0"/>
        <w:rPr>
          <w:rFonts w:ascii="宋体" w:hAnsi="宋体" w:cs="宋体"/>
        </w:rPr>
      </w:pPr>
      <w:r>
        <w:rPr>
          <w:rFonts w:ascii="宋体" w:hAnsi="宋体" w:cs="TimesNewRomanPSMT"/>
        </w:rPr>
        <w:t xml:space="preserve">1.1.5.3 </w:t>
      </w:r>
      <w:r>
        <w:rPr>
          <w:rFonts w:hint="eastAsia" w:ascii="宋体" w:hAnsi="宋体" w:cs="宋体"/>
        </w:rPr>
        <w:t>费用：指为履行合同所发生的或将要发生的所有合理开支，包括管理费和应分摊的其他费用，但不包括利润。</w:t>
      </w:r>
    </w:p>
    <w:p>
      <w:pPr>
        <w:autoSpaceDE w:val="0"/>
        <w:autoSpaceDN w:val="0"/>
        <w:adjustRightInd w:val="0"/>
        <w:rPr>
          <w:rFonts w:ascii="宋体" w:hAnsi="宋体" w:cs="宋体"/>
        </w:rPr>
      </w:pPr>
      <w:r>
        <w:rPr>
          <w:rFonts w:ascii="宋体" w:hAnsi="宋体" w:cs="TimesNewRomanPSMT"/>
        </w:rPr>
        <w:t xml:space="preserve">1.1.5.4 </w:t>
      </w:r>
      <w:r>
        <w:rPr>
          <w:rFonts w:hint="eastAsia" w:ascii="宋体" w:hAnsi="宋体" w:cs="宋体"/>
        </w:rPr>
        <w:t>暂列金额：指已标价工程量清单中所列的暂列金额，用于在签订协议书时尚未确定或不可预见变更的施工及其所需材料、工程设备、服务等的金额，包括以计日工方式支付的金额。</w:t>
      </w:r>
    </w:p>
    <w:p>
      <w:pPr>
        <w:autoSpaceDE w:val="0"/>
        <w:autoSpaceDN w:val="0"/>
        <w:adjustRightInd w:val="0"/>
        <w:rPr>
          <w:rFonts w:ascii="宋体" w:hAnsi="宋体" w:cs="宋体"/>
        </w:rPr>
      </w:pPr>
      <w:r>
        <w:rPr>
          <w:rFonts w:ascii="宋体" w:hAnsi="宋体" w:cs="TimesNewRomanPSMT"/>
        </w:rPr>
        <w:t xml:space="preserve">1.1.5.5 </w:t>
      </w:r>
      <w:r>
        <w:rPr>
          <w:rFonts w:hint="eastAsia" w:ascii="宋体" w:hAnsi="宋体" w:cs="宋体"/>
        </w:rPr>
        <w:t>暂估价：指发包人在工程量清单中给定的用于支付必然发生但暂时不能确定价格的材料、设备以及专业工程的金额。</w:t>
      </w:r>
    </w:p>
    <w:p>
      <w:pPr>
        <w:autoSpaceDE w:val="0"/>
        <w:autoSpaceDN w:val="0"/>
        <w:adjustRightInd w:val="0"/>
        <w:rPr>
          <w:rFonts w:ascii="宋体" w:hAnsi="宋体" w:cs="宋体"/>
        </w:rPr>
      </w:pPr>
      <w:r>
        <w:rPr>
          <w:rFonts w:ascii="宋体" w:hAnsi="宋体" w:cs="TimesNewRomanPSMT"/>
        </w:rPr>
        <w:t xml:space="preserve">1.1.5.6 </w:t>
      </w:r>
      <w:r>
        <w:rPr>
          <w:rFonts w:hint="eastAsia" w:ascii="宋体" w:hAnsi="宋体" w:cs="宋体"/>
        </w:rPr>
        <w:t>计日工：指对零星工作采取的一种计价方式，按合同中的计日工子目及其单价计价付款。</w:t>
      </w:r>
    </w:p>
    <w:p>
      <w:pPr>
        <w:autoSpaceDE w:val="0"/>
        <w:autoSpaceDN w:val="0"/>
        <w:adjustRightInd w:val="0"/>
        <w:rPr>
          <w:rFonts w:ascii="宋体" w:hAnsi="宋体" w:cs="宋体"/>
        </w:rPr>
      </w:pPr>
      <w:r>
        <w:rPr>
          <w:rFonts w:ascii="宋体" w:hAnsi="宋体" w:cs="TimesNewRomanPSMT"/>
        </w:rPr>
        <w:t xml:space="preserve">1.1.5.7 </w:t>
      </w:r>
      <w:r>
        <w:rPr>
          <w:rFonts w:hint="eastAsia" w:ascii="宋体" w:hAnsi="宋体" w:cs="宋体"/>
        </w:rPr>
        <w:t>质量保证金（或称保留金）：指按第</w:t>
      </w:r>
      <w:r>
        <w:rPr>
          <w:rFonts w:ascii="宋体" w:hAnsi="宋体" w:cs="TimesNewRomanPSMT"/>
        </w:rPr>
        <w:t xml:space="preserve">17.4.1 </w:t>
      </w:r>
      <w:r>
        <w:rPr>
          <w:rFonts w:hint="eastAsia" w:ascii="宋体" w:hAnsi="宋体" w:cs="宋体"/>
        </w:rPr>
        <w:t>项约定用于保证在缺陷责任期内履行缺陷修复义务的金额。</w:t>
      </w:r>
    </w:p>
    <w:p>
      <w:pPr>
        <w:autoSpaceDE w:val="0"/>
        <w:autoSpaceDN w:val="0"/>
        <w:adjustRightInd w:val="0"/>
        <w:rPr>
          <w:rFonts w:ascii="宋体" w:hAnsi="宋体" w:cs="宋体"/>
        </w:rPr>
      </w:pPr>
      <w:r>
        <w:rPr>
          <w:rFonts w:ascii="宋体" w:hAnsi="宋体" w:cs="TimesNewRomanPSMT"/>
        </w:rPr>
        <w:t xml:space="preserve">1.1.6 </w:t>
      </w:r>
      <w:r>
        <w:rPr>
          <w:rFonts w:hint="eastAsia" w:ascii="宋体" w:hAnsi="宋体" w:cs="宋体"/>
        </w:rPr>
        <w:t>其他</w:t>
      </w:r>
    </w:p>
    <w:p>
      <w:pPr>
        <w:autoSpaceDE w:val="0"/>
        <w:autoSpaceDN w:val="0"/>
        <w:adjustRightInd w:val="0"/>
        <w:rPr>
          <w:rFonts w:ascii="宋体" w:hAnsi="宋体" w:cs="宋体"/>
        </w:rPr>
      </w:pPr>
      <w:r>
        <w:rPr>
          <w:rFonts w:ascii="宋体" w:hAnsi="宋体" w:cs="TimesNewRomanPSMT"/>
        </w:rPr>
        <w:t xml:space="preserve">1.1.6.1 </w:t>
      </w:r>
      <w:r>
        <w:rPr>
          <w:rFonts w:hint="eastAsia" w:ascii="宋体" w:hAnsi="宋体" w:cs="宋体"/>
        </w:rPr>
        <w:t>书面形式：指合同文件、信函、电报、传真等可以有形地表现所载内容的形式。</w:t>
      </w:r>
    </w:p>
    <w:p>
      <w:pPr>
        <w:keepNext/>
        <w:keepLines/>
        <w:spacing w:before="120" w:after="120"/>
        <w:jc w:val="both"/>
        <w:outlineLvl w:val="2"/>
        <w:rPr>
          <w:rFonts w:ascii="宋体" w:hAnsi="宋体" w:cs="TimesNewRomanPSMT"/>
          <w:b/>
        </w:rPr>
      </w:pPr>
      <w:bookmarkStart w:id="36" w:name="_Toc260305400"/>
      <w:r>
        <w:rPr>
          <w:rFonts w:ascii="宋体" w:hAnsi="宋体" w:cs="TimesNewRomanPSMT"/>
          <w:b/>
        </w:rPr>
        <w:t xml:space="preserve">1.2 </w:t>
      </w:r>
      <w:r>
        <w:rPr>
          <w:rFonts w:hint="eastAsia" w:ascii="宋体" w:hAnsi="宋体" w:cs="TimesNewRomanPSMT"/>
          <w:b/>
        </w:rPr>
        <w:t>语言文字</w:t>
      </w:r>
      <w:bookmarkEnd w:id="36"/>
    </w:p>
    <w:p>
      <w:pPr>
        <w:autoSpaceDE w:val="0"/>
        <w:autoSpaceDN w:val="0"/>
        <w:adjustRightInd w:val="0"/>
        <w:rPr>
          <w:rFonts w:ascii="宋体" w:hAnsi="Calibri" w:cs="宋体"/>
        </w:rPr>
      </w:pPr>
      <w:r>
        <w:rPr>
          <w:rFonts w:hint="eastAsia" w:ascii="宋体" w:hAnsi="Calibri" w:cs="宋体"/>
        </w:rPr>
        <w:t>除专用术语外，合同使用的语言文字为中文。必要时专用术语应附有中文注释。</w:t>
      </w:r>
    </w:p>
    <w:p>
      <w:pPr>
        <w:keepNext/>
        <w:keepLines/>
        <w:spacing w:before="120" w:after="120"/>
        <w:jc w:val="both"/>
        <w:outlineLvl w:val="2"/>
        <w:rPr>
          <w:rFonts w:ascii="宋体" w:hAnsi="宋体" w:cs="TimesNewRomanPSMT"/>
          <w:b/>
        </w:rPr>
      </w:pPr>
      <w:bookmarkStart w:id="37" w:name="_Toc260305401"/>
      <w:r>
        <w:rPr>
          <w:rFonts w:ascii="宋体" w:hAnsi="宋体" w:cs="TimesNewRomanPSMT"/>
          <w:b/>
        </w:rPr>
        <w:t xml:space="preserve">1.3 </w:t>
      </w:r>
      <w:r>
        <w:rPr>
          <w:rFonts w:hint="eastAsia" w:ascii="宋体" w:hAnsi="宋体" w:cs="TimesNewRomanPSMT"/>
          <w:b/>
        </w:rPr>
        <w:t>法律</w:t>
      </w:r>
      <w:bookmarkEnd w:id="37"/>
    </w:p>
    <w:p>
      <w:pPr>
        <w:autoSpaceDE w:val="0"/>
        <w:autoSpaceDN w:val="0"/>
        <w:adjustRightInd w:val="0"/>
        <w:rPr>
          <w:rFonts w:ascii="宋体" w:hAnsi="Calibri" w:cs="宋体"/>
        </w:rPr>
      </w:pPr>
      <w:r>
        <w:rPr>
          <w:rFonts w:hint="eastAsia" w:ascii="宋体" w:hAnsi="Calibri" w:cs="宋体"/>
        </w:rPr>
        <w:t>适用于合同的法律包括中华人民共和国法律、行政法规、部门规章，以及工程所在地的地方法规、自治条例、单行条例和地方政府规章。</w:t>
      </w:r>
    </w:p>
    <w:p>
      <w:pPr>
        <w:keepNext/>
        <w:keepLines/>
        <w:spacing w:before="120" w:after="120"/>
        <w:jc w:val="both"/>
        <w:outlineLvl w:val="2"/>
        <w:rPr>
          <w:rFonts w:ascii="宋体" w:hAnsi="宋体" w:cs="TimesNewRomanPSMT"/>
          <w:b/>
        </w:rPr>
      </w:pPr>
      <w:bookmarkStart w:id="38" w:name="_Toc260305402"/>
      <w:r>
        <w:rPr>
          <w:rFonts w:ascii="宋体" w:hAnsi="宋体" w:cs="TimesNewRomanPSMT"/>
          <w:b/>
        </w:rPr>
        <w:t xml:space="preserve">1.4 </w:t>
      </w:r>
      <w:r>
        <w:rPr>
          <w:rFonts w:hint="eastAsia" w:ascii="宋体" w:hAnsi="宋体" w:cs="TimesNewRomanPSMT"/>
          <w:b/>
        </w:rPr>
        <w:t>合同文件的优先顺序</w:t>
      </w:r>
      <w:bookmarkEnd w:id="38"/>
    </w:p>
    <w:p>
      <w:pPr>
        <w:autoSpaceDE w:val="0"/>
        <w:autoSpaceDN w:val="0"/>
        <w:adjustRightInd w:val="0"/>
        <w:rPr>
          <w:rFonts w:ascii="宋体" w:hAnsi="Calibri" w:cs="宋体"/>
        </w:rPr>
      </w:pPr>
      <w:r>
        <w:rPr>
          <w:rFonts w:hint="eastAsia" w:ascii="宋体" w:hAnsi="Calibri" w:cs="宋体"/>
        </w:rPr>
        <w:t>组成合同的各项文件应互相解释，互为说明。除专用合同条款另有约定外，解释合同文件的优先顺序如下：</w:t>
      </w:r>
    </w:p>
    <w:p>
      <w:pPr>
        <w:autoSpaceDE w:val="0"/>
        <w:autoSpaceDN w:val="0"/>
        <w:adjustRightInd w:val="0"/>
        <w:rPr>
          <w:rFonts w:ascii="宋体" w:hAnsi="Calibri" w:cs="宋体"/>
        </w:rPr>
      </w:pPr>
      <w:r>
        <w:rPr>
          <w:rFonts w:hint="eastAsia" w:ascii="宋体" w:hAnsi="Calibri" w:cs="宋体"/>
        </w:rPr>
        <w:t>（</w:t>
      </w:r>
      <w:r>
        <w:rPr>
          <w:rFonts w:ascii="TimesNewRomanPSMT" w:hAnsi="TimesNewRomanPSMT" w:cs="TimesNewRomanPSMT"/>
        </w:rPr>
        <w:t>1</w:t>
      </w:r>
      <w:r>
        <w:rPr>
          <w:rFonts w:hint="eastAsia" w:ascii="宋体" w:hAnsi="Calibri" w:cs="宋体"/>
        </w:rPr>
        <w:t>）合同协议书；</w:t>
      </w:r>
    </w:p>
    <w:p>
      <w:pPr>
        <w:autoSpaceDE w:val="0"/>
        <w:autoSpaceDN w:val="0"/>
        <w:adjustRightInd w:val="0"/>
        <w:rPr>
          <w:rFonts w:ascii="宋体" w:hAnsi="Calibri" w:cs="宋体"/>
        </w:rPr>
      </w:pPr>
      <w:r>
        <w:rPr>
          <w:rFonts w:hint="eastAsia" w:ascii="宋体" w:hAnsi="Calibri" w:cs="宋体"/>
        </w:rPr>
        <w:t>（</w:t>
      </w:r>
      <w:r>
        <w:rPr>
          <w:rFonts w:ascii="TimesNewRomanPSMT" w:hAnsi="TimesNewRomanPSMT" w:cs="TimesNewRomanPSMT"/>
        </w:rPr>
        <w:t>2</w:t>
      </w:r>
      <w:r>
        <w:rPr>
          <w:rFonts w:hint="eastAsia" w:ascii="宋体" w:hAnsi="Calibri" w:cs="宋体"/>
        </w:rPr>
        <w:t>）中标通知书；</w:t>
      </w:r>
    </w:p>
    <w:p>
      <w:pPr>
        <w:autoSpaceDE w:val="0"/>
        <w:autoSpaceDN w:val="0"/>
        <w:adjustRightInd w:val="0"/>
        <w:rPr>
          <w:rFonts w:ascii="宋体" w:hAnsi="Calibri" w:cs="宋体"/>
        </w:rPr>
      </w:pPr>
      <w:r>
        <w:rPr>
          <w:rFonts w:hint="eastAsia" w:ascii="宋体" w:hAnsi="Calibri" w:cs="宋体"/>
        </w:rPr>
        <w:t>（</w:t>
      </w:r>
      <w:r>
        <w:rPr>
          <w:rFonts w:ascii="TimesNewRomanPSMT" w:hAnsi="TimesNewRomanPSMT" w:cs="TimesNewRomanPSMT"/>
        </w:rPr>
        <w:t>3</w:t>
      </w:r>
      <w:r>
        <w:rPr>
          <w:rFonts w:hint="eastAsia" w:ascii="宋体" w:hAnsi="Calibri" w:cs="宋体"/>
        </w:rPr>
        <w:t>）投标函及投标函附录；</w:t>
      </w:r>
    </w:p>
    <w:p>
      <w:pPr>
        <w:autoSpaceDE w:val="0"/>
        <w:autoSpaceDN w:val="0"/>
        <w:adjustRightInd w:val="0"/>
        <w:rPr>
          <w:rFonts w:ascii="宋体" w:hAnsi="Calibri" w:cs="宋体"/>
        </w:rPr>
      </w:pPr>
      <w:r>
        <w:rPr>
          <w:rFonts w:hint="eastAsia" w:ascii="宋体" w:hAnsi="Calibri" w:cs="宋体"/>
        </w:rPr>
        <w:t>（</w:t>
      </w:r>
      <w:r>
        <w:rPr>
          <w:rFonts w:ascii="TimesNewRomanPSMT" w:hAnsi="TimesNewRomanPSMT" w:cs="TimesNewRomanPSMT"/>
        </w:rPr>
        <w:t>4</w:t>
      </w:r>
      <w:r>
        <w:rPr>
          <w:rFonts w:hint="eastAsia" w:ascii="宋体" w:hAnsi="Calibri" w:cs="宋体"/>
        </w:rPr>
        <w:t>）专用合同条款；</w:t>
      </w:r>
    </w:p>
    <w:p>
      <w:pPr>
        <w:autoSpaceDE w:val="0"/>
        <w:autoSpaceDN w:val="0"/>
        <w:adjustRightInd w:val="0"/>
        <w:rPr>
          <w:rFonts w:ascii="宋体" w:hAnsi="Calibri" w:cs="宋体"/>
        </w:rPr>
      </w:pPr>
      <w:r>
        <w:rPr>
          <w:rFonts w:hint="eastAsia" w:ascii="宋体" w:hAnsi="Calibri" w:cs="宋体"/>
        </w:rPr>
        <w:t>（</w:t>
      </w:r>
      <w:r>
        <w:rPr>
          <w:rFonts w:ascii="TimesNewRomanPSMT" w:hAnsi="TimesNewRomanPSMT" w:cs="TimesNewRomanPSMT"/>
        </w:rPr>
        <w:t>5</w:t>
      </w:r>
      <w:r>
        <w:rPr>
          <w:rFonts w:hint="eastAsia" w:ascii="宋体" w:hAnsi="Calibri" w:cs="宋体"/>
        </w:rPr>
        <w:t>）通用合同条款；</w:t>
      </w:r>
    </w:p>
    <w:p>
      <w:pPr>
        <w:autoSpaceDE w:val="0"/>
        <w:autoSpaceDN w:val="0"/>
        <w:adjustRightInd w:val="0"/>
        <w:rPr>
          <w:rFonts w:ascii="宋体" w:hAnsi="Calibri" w:cs="宋体"/>
        </w:rPr>
      </w:pPr>
      <w:r>
        <w:rPr>
          <w:rFonts w:hint="eastAsia" w:ascii="宋体" w:hAnsi="Calibri" w:cs="宋体"/>
        </w:rPr>
        <w:t>（</w:t>
      </w:r>
      <w:r>
        <w:rPr>
          <w:rFonts w:ascii="TimesNewRomanPSMT" w:hAnsi="TimesNewRomanPSMT" w:cs="TimesNewRomanPSMT"/>
        </w:rPr>
        <w:t>6</w:t>
      </w:r>
      <w:r>
        <w:rPr>
          <w:rFonts w:hint="eastAsia" w:ascii="宋体" w:hAnsi="Calibri" w:cs="宋体"/>
        </w:rPr>
        <w:t>）技术标准和要求；</w:t>
      </w:r>
    </w:p>
    <w:p>
      <w:pPr>
        <w:autoSpaceDE w:val="0"/>
        <w:autoSpaceDN w:val="0"/>
        <w:adjustRightInd w:val="0"/>
        <w:rPr>
          <w:rFonts w:ascii="宋体" w:hAnsi="Calibri" w:cs="宋体"/>
        </w:rPr>
      </w:pPr>
      <w:r>
        <w:rPr>
          <w:rFonts w:hint="eastAsia" w:ascii="宋体" w:hAnsi="Calibri" w:cs="宋体"/>
        </w:rPr>
        <w:t>（</w:t>
      </w:r>
      <w:r>
        <w:rPr>
          <w:rFonts w:ascii="TimesNewRomanPSMT" w:hAnsi="TimesNewRomanPSMT" w:cs="TimesNewRomanPSMT"/>
        </w:rPr>
        <w:t>7</w:t>
      </w:r>
      <w:r>
        <w:rPr>
          <w:rFonts w:hint="eastAsia" w:ascii="宋体" w:hAnsi="Calibri" w:cs="宋体"/>
        </w:rPr>
        <w:t>）图纸；</w:t>
      </w:r>
    </w:p>
    <w:p>
      <w:pPr>
        <w:autoSpaceDE w:val="0"/>
        <w:autoSpaceDN w:val="0"/>
        <w:adjustRightInd w:val="0"/>
        <w:rPr>
          <w:rFonts w:ascii="宋体" w:hAnsi="Calibri" w:cs="宋体"/>
        </w:rPr>
      </w:pPr>
      <w:r>
        <w:rPr>
          <w:rFonts w:hint="eastAsia" w:ascii="宋体" w:hAnsi="Calibri" w:cs="宋体"/>
        </w:rPr>
        <w:t>（</w:t>
      </w:r>
      <w:r>
        <w:rPr>
          <w:rFonts w:ascii="TimesNewRomanPSMT" w:hAnsi="TimesNewRomanPSMT" w:cs="TimesNewRomanPSMT"/>
        </w:rPr>
        <w:t>8</w:t>
      </w:r>
      <w:r>
        <w:rPr>
          <w:rFonts w:hint="eastAsia" w:ascii="宋体" w:hAnsi="Calibri" w:cs="宋体"/>
        </w:rPr>
        <w:t>）已标价工程量清单；</w:t>
      </w:r>
    </w:p>
    <w:p>
      <w:pPr>
        <w:autoSpaceDE w:val="0"/>
        <w:autoSpaceDN w:val="0"/>
        <w:adjustRightInd w:val="0"/>
        <w:rPr>
          <w:rFonts w:ascii="宋体" w:hAnsi="Calibri" w:cs="宋体"/>
        </w:rPr>
      </w:pPr>
      <w:r>
        <w:rPr>
          <w:rFonts w:hint="eastAsia" w:ascii="宋体" w:hAnsi="Calibri" w:cs="宋体"/>
        </w:rPr>
        <w:t>（</w:t>
      </w:r>
      <w:r>
        <w:rPr>
          <w:rFonts w:ascii="TimesNewRomanPSMT" w:hAnsi="TimesNewRomanPSMT" w:cs="TimesNewRomanPSMT"/>
        </w:rPr>
        <w:t>9</w:t>
      </w:r>
      <w:r>
        <w:rPr>
          <w:rFonts w:hint="eastAsia" w:ascii="宋体" w:hAnsi="Calibri" w:cs="宋体"/>
        </w:rPr>
        <w:t>）其他合同文件。</w:t>
      </w:r>
    </w:p>
    <w:p>
      <w:pPr>
        <w:keepNext/>
        <w:keepLines/>
        <w:spacing w:before="120" w:after="120"/>
        <w:jc w:val="both"/>
        <w:outlineLvl w:val="2"/>
        <w:rPr>
          <w:rFonts w:ascii="宋体" w:hAnsi="宋体" w:cs="TimesNewRomanPSMT"/>
          <w:b/>
        </w:rPr>
      </w:pPr>
      <w:bookmarkStart w:id="39" w:name="_Toc260305403"/>
      <w:r>
        <w:rPr>
          <w:rFonts w:ascii="宋体" w:hAnsi="宋体" w:cs="TimesNewRomanPSMT"/>
          <w:b/>
        </w:rPr>
        <w:t xml:space="preserve">1.5 </w:t>
      </w:r>
      <w:r>
        <w:rPr>
          <w:rFonts w:hint="eastAsia" w:ascii="宋体" w:hAnsi="宋体" w:cs="TimesNewRomanPSMT"/>
          <w:b/>
        </w:rPr>
        <w:t>合同协议书</w:t>
      </w:r>
      <w:bookmarkEnd w:id="39"/>
    </w:p>
    <w:p>
      <w:pPr>
        <w:autoSpaceDE w:val="0"/>
        <w:autoSpaceDN w:val="0"/>
        <w:adjustRightInd w:val="0"/>
        <w:rPr>
          <w:rFonts w:ascii="宋体" w:hAnsi="宋体" w:cs="宋体"/>
        </w:rPr>
      </w:pPr>
      <w:r>
        <w:rPr>
          <w:rFonts w:hint="eastAsia" w:ascii="宋体" w:hAnsi="宋体" w:cs="宋体"/>
        </w:rPr>
        <w:t>承包人按中标通知书规定的时间与发包人签订合同协议书。除法律另有规定或合同另有约定外，发包人和承包人的法定代表人或其委托代理人在合同协议书上签字并盖单位章后，合同生效。</w:t>
      </w:r>
    </w:p>
    <w:p>
      <w:pPr>
        <w:keepNext/>
        <w:keepLines/>
        <w:spacing w:before="120" w:after="120"/>
        <w:jc w:val="both"/>
        <w:outlineLvl w:val="2"/>
        <w:rPr>
          <w:rFonts w:ascii="宋体" w:hAnsi="宋体" w:cs="TimesNewRomanPSMT"/>
          <w:b/>
        </w:rPr>
      </w:pPr>
      <w:bookmarkStart w:id="40" w:name="_Toc260305404"/>
      <w:r>
        <w:rPr>
          <w:rFonts w:ascii="宋体" w:hAnsi="宋体" w:cs="TimesNewRomanPSMT"/>
          <w:b/>
        </w:rPr>
        <w:t xml:space="preserve">1.6 </w:t>
      </w:r>
      <w:r>
        <w:rPr>
          <w:rFonts w:hint="eastAsia" w:ascii="宋体" w:hAnsi="宋体" w:cs="TimesNewRomanPSMT"/>
          <w:b/>
        </w:rPr>
        <w:t>图纸和承包人文件</w:t>
      </w:r>
      <w:bookmarkEnd w:id="40"/>
    </w:p>
    <w:p>
      <w:pPr>
        <w:autoSpaceDE w:val="0"/>
        <w:autoSpaceDN w:val="0"/>
        <w:adjustRightInd w:val="0"/>
        <w:rPr>
          <w:rFonts w:ascii="宋体" w:hAnsi="宋体" w:cs="宋体"/>
        </w:rPr>
      </w:pPr>
      <w:r>
        <w:rPr>
          <w:rFonts w:ascii="宋体" w:hAnsi="宋体" w:cs="TimesNewRomanPSMT"/>
        </w:rPr>
        <w:t xml:space="preserve">1.6.1 </w:t>
      </w:r>
      <w:r>
        <w:rPr>
          <w:rFonts w:hint="eastAsia" w:ascii="宋体" w:hAnsi="宋体" w:cs="宋体"/>
        </w:rPr>
        <w:t>图纸的提供</w:t>
      </w:r>
    </w:p>
    <w:p>
      <w:pPr>
        <w:autoSpaceDE w:val="0"/>
        <w:autoSpaceDN w:val="0"/>
        <w:adjustRightInd w:val="0"/>
        <w:rPr>
          <w:rFonts w:ascii="宋体" w:hAnsi="宋体" w:cs="宋体"/>
        </w:rPr>
      </w:pPr>
      <w:r>
        <w:rPr>
          <w:rFonts w:hint="eastAsia" w:ascii="宋体" w:hAnsi="宋体" w:cs="宋体"/>
        </w:rPr>
        <w:t>除专用合同条款另有约定外，图纸应在合理的期限内按照合同约定的数量提供给承包人。由于发包人未按时提供图纸造成工期延误的，按第</w:t>
      </w:r>
      <w:r>
        <w:rPr>
          <w:rFonts w:ascii="宋体" w:hAnsi="宋体" w:cs="TimesNewRomanPSMT"/>
        </w:rPr>
        <w:t xml:space="preserve">11.3 </w:t>
      </w:r>
      <w:r>
        <w:rPr>
          <w:rFonts w:hint="eastAsia" w:ascii="宋体" w:hAnsi="宋体" w:cs="宋体"/>
        </w:rPr>
        <w:t>款的约定办理。</w:t>
      </w:r>
    </w:p>
    <w:p>
      <w:pPr>
        <w:autoSpaceDE w:val="0"/>
        <w:autoSpaceDN w:val="0"/>
        <w:adjustRightInd w:val="0"/>
        <w:rPr>
          <w:rFonts w:ascii="宋体" w:hAnsi="宋体" w:cs="宋体"/>
        </w:rPr>
      </w:pPr>
      <w:r>
        <w:rPr>
          <w:rFonts w:ascii="宋体" w:hAnsi="宋体" w:cs="TimesNewRomanPSMT"/>
        </w:rPr>
        <w:t xml:space="preserve">1.6.2 </w:t>
      </w:r>
      <w:r>
        <w:rPr>
          <w:rFonts w:hint="eastAsia" w:ascii="宋体" w:hAnsi="宋体" w:cs="宋体"/>
        </w:rPr>
        <w:t>承包人提供的文件</w:t>
      </w:r>
    </w:p>
    <w:p>
      <w:pPr>
        <w:autoSpaceDE w:val="0"/>
        <w:autoSpaceDN w:val="0"/>
        <w:adjustRightInd w:val="0"/>
        <w:rPr>
          <w:rFonts w:ascii="宋体" w:hAnsi="宋体" w:cs="宋体"/>
        </w:rPr>
      </w:pPr>
      <w:r>
        <w:rPr>
          <w:rFonts w:hint="eastAsia" w:ascii="宋体" w:hAnsi="宋体" w:cs="宋体"/>
        </w:rPr>
        <w:t>按专用合同条款约定由承包人提供的文件，包括部分工程的大样图、加工图等，承包人应按约定的数量和期限报送监理人。监理人应在专用合同条款约定的期限内批复。</w:t>
      </w:r>
    </w:p>
    <w:p>
      <w:pPr>
        <w:autoSpaceDE w:val="0"/>
        <w:autoSpaceDN w:val="0"/>
        <w:adjustRightInd w:val="0"/>
        <w:rPr>
          <w:rFonts w:ascii="宋体" w:hAnsi="宋体" w:cs="宋体"/>
        </w:rPr>
      </w:pPr>
      <w:r>
        <w:rPr>
          <w:rFonts w:ascii="宋体" w:hAnsi="宋体" w:cs="TimesNewRomanPSMT"/>
        </w:rPr>
        <w:t xml:space="preserve">1.6.3 </w:t>
      </w:r>
      <w:r>
        <w:rPr>
          <w:rFonts w:hint="eastAsia" w:ascii="宋体" w:hAnsi="宋体" w:cs="宋体"/>
        </w:rPr>
        <w:t>图纸的修改</w:t>
      </w:r>
    </w:p>
    <w:p>
      <w:pPr>
        <w:autoSpaceDE w:val="0"/>
        <w:autoSpaceDN w:val="0"/>
        <w:adjustRightInd w:val="0"/>
        <w:rPr>
          <w:rFonts w:ascii="宋体" w:hAnsi="宋体" w:cs="宋体"/>
        </w:rPr>
      </w:pPr>
      <w:r>
        <w:rPr>
          <w:rFonts w:hint="eastAsia" w:ascii="宋体" w:hAnsi="宋体" w:cs="宋体"/>
        </w:rPr>
        <w:t>图纸需要修改和补充的，应由监理人取得发包人同意后，在该工程或工程相应部位施工前的合理期限内签发图纸修改图给承包人，具体签发期限在专用合同条款中约定。承包人应按修改后的图纸施工。</w:t>
      </w:r>
    </w:p>
    <w:p>
      <w:pPr>
        <w:autoSpaceDE w:val="0"/>
        <w:autoSpaceDN w:val="0"/>
        <w:adjustRightInd w:val="0"/>
        <w:rPr>
          <w:rFonts w:ascii="宋体" w:hAnsi="宋体" w:cs="宋体"/>
        </w:rPr>
      </w:pPr>
      <w:r>
        <w:rPr>
          <w:rFonts w:ascii="宋体" w:hAnsi="宋体" w:cs="TimesNewRomanPSMT"/>
        </w:rPr>
        <w:t xml:space="preserve">1.6.4 </w:t>
      </w:r>
      <w:r>
        <w:rPr>
          <w:rFonts w:hint="eastAsia" w:ascii="宋体" w:hAnsi="宋体" w:cs="宋体"/>
        </w:rPr>
        <w:t>图纸的错误</w:t>
      </w:r>
    </w:p>
    <w:p>
      <w:pPr>
        <w:autoSpaceDE w:val="0"/>
        <w:autoSpaceDN w:val="0"/>
        <w:adjustRightInd w:val="0"/>
        <w:rPr>
          <w:rFonts w:ascii="宋体" w:hAnsi="宋体" w:cs="宋体"/>
        </w:rPr>
      </w:pPr>
      <w:r>
        <w:rPr>
          <w:rFonts w:hint="eastAsia" w:ascii="宋体" w:hAnsi="宋体" w:cs="宋体"/>
        </w:rPr>
        <w:t>承包人发现发包人提供的图纸存在明显错误或疏忽，应及时通知监理人。</w:t>
      </w:r>
    </w:p>
    <w:p>
      <w:pPr>
        <w:autoSpaceDE w:val="0"/>
        <w:autoSpaceDN w:val="0"/>
        <w:adjustRightInd w:val="0"/>
        <w:rPr>
          <w:rFonts w:ascii="宋体" w:hAnsi="宋体" w:cs="宋体"/>
        </w:rPr>
      </w:pPr>
      <w:r>
        <w:rPr>
          <w:rFonts w:ascii="宋体" w:hAnsi="宋体" w:cs="TimesNewRomanPSMT"/>
        </w:rPr>
        <w:t xml:space="preserve">1.6.5 </w:t>
      </w:r>
      <w:r>
        <w:rPr>
          <w:rFonts w:hint="eastAsia" w:ascii="宋体" w:hAnsi="宋体" w:cs="宋体"/>
        </w:rPr>
        <w:t>图纸和承包人文件的保管</w:t>
      </w:r>
    </w:p>
    <w:p>
      <w:pPr>
        <w:autoSpaceDE w:val="0"/>
        <w:autoSpaceDN w:val="0"/>
        <w:adjustRightInd w:val="0"/>
        <w:rPr>
          <w:rFonts w:ascii="宋体" w:hAnsi="宋体" w:cs="宋体"/>
        </w:rPr>
      </w:pPr>
      <w:r>
        <w:rPr>
          <w:rFonts w:hint="eastAsia" w:ascii="宋体" w:hAnsi="宋体" w:cs="宋体"/>
        </w:rPr>
        <w:t>监理人和承包人均应在施工场地各保存一套完整的包含第</w:t>
      </w:r>
      <w:r>
        <w:rPr>
          <w:rFonts w:ascii="宋体" w:hAnsi="宋体" w:cs="TimesNewRomanPSMT"/>
        </w:rPr>
        <w:t xml:space="preserve">1.6.1 </w:t>
      </w:r>
      <w:r>
        <w:rPr>
          <w:rFonts w:hint="eastAsia" w:ascii="宋体" w:hAnsi="宋体" w:cs="宋体"/>
        </w:rPr>
        <w:t>项、第</w:t>
      </w:r>
      <w:r>
        <w:rPr>
          <w:rFonts w:ascii="宋体" w:hAnsi="宋体" w:cs="TimesNewRomanPSMT"/>
        </w:rPr>
        <w:t xml:space="preserve">1.6.2 </w:t>
      </w:r>
      <w:r>
        <w:rPr>
          <w:rFonts w:hint="eastAsia" w:ascii="宋体" w:hAnsi="宋体" w:cs="宋体"/>
        </w:rPr>
        <w:t>项、第</w:t>
      </w:r>
      <w:r>
        <w:rPr>
          <w:rFonts w:ascii="宋体" w:hAnsi="宋体" w:cs="TimesNewRomanPSMT"/>
        </w:rPr>
        <w:t>1.6.3</w:t>
      </w:r>
      <w:r>
        <w:rPr>
          <w:rFonts w:hint="eastAsia" w:ascii="宋体" w:hAnsi="宋体" w:cs="宋体"/>
        </w:rPr>
        <w:t>项约定内容的图纸和承包人文件。</w:t>
      </w:r>
    </w:p>
    <w:p>
      <w:pPr>
        <w:keepNext/>
        <w:keepLines/>
        <w:spacing w:before="120" w:after="120"/>
        <w:jc w:val="both"/>
        <w:outlineLvl w:val="2"/>
        <w:rPr>
          <w:rFonts w:ascii="宋体" w:hAnsi="宋体" w:cs="TimesNewRomanPSMT"/>
          <w:b/>
        </w:rPr>
      </w:pPr>
      <w:bookmarkStart w:id="41" w:name="_Toc260305405"/>
      <w:r>
        <w:rPr>
          <w:rFonts w:ascii="宋体" w:hAnsi="宋体" w:cs="TimesNewRomanPSMT"/>
          <w:b/>
        </w:rPr>
        <w:t xml:space="preserve">1.7 </w:t>
      </w:r>
      <w:r>
        <w:rPr>
          <w:rFonts w:hint="eastAsia" w:ascii="宋体" w:hAnsi="宋体" w:cs="TimesNewRomanPSMT"/>
          <w:b/>
        </w:rPr>
        <w:t>联络</w:t>
      </w:r>
      <w:bookmarkEnd w:id="41"/>
    </w:p>
    <w:p>
      <w:pPr>
        <w:autoSpaceDE w:val="0"/>
        <w:autoSpaceDN w:val="0"/>
        <w:adjustRightInd w:val="0"/>
        <w:rPr>
          <w:rFonts w:ascii="宋体" w:hAnsi="宋体" w:cs="宋体"/>
        </w:rPr>
      </w:pPr>
      <w:r>
        <w:rPr>
          <w:rFonts w:ascii="宋体" w:hAnsi="宋体" w:cs="TimesNewRomanPSMT"/>
        </w:rPr>
        <w:t xml:space="preserve">1.7.1 </w:t>
      </w:r>
      <w:r>
        <w:rPr>
          <w:rFonts w:hint="eastAsia" w:ascii="宋体" w:hAnsi="宋体" w:cs="宋体"/>
        </w:rPr>
        <w:t>与合同有关的通知、批准、证明、证书、指示、要求、请求、同意、意见、确定和决定等，均应采用书面形式。</w:t>
      </w:r>
    </w:p>
    <w:p>
      <w:pPr>
        <w:autoSpaceDE w:val="0"/>
        <w:autoSpaceDN w:val="0"/>
        <w:adjustRightInd w:val="0"/>
        <w:rPr>
          <w:rFonts w:ascii="宋体" w:hAnsi="宋体" w:cs="宋体"/>
        </w:rPr>
      </w:pPr>
      <w:r>
        <w:rPr>
          <w:rFonts w:ascii="宋体" w:hAnsi="宋体" w:cs="TimesNewRomanPSMT"/>
        </w:rPr>
        <w:t xml:space="preserve">1.7.2 </w:t>
      </w:r>
      <w:r>
        <w:rPr>
          <w:rFonts w:hint="eastAsia" w:ascii="宋体" w:hAnsi="宋体" w:cs="宋体"/>
        </w:rPr>
        <w:t>第</w:t>
      </w:r>
      <w:r>
        <w:rPr>
          <w:rFonts w:ascii="宋体" w:hAnsi="宋体" w:cs="TimesNewRomanPSMT"/>
        </w:rPr>
        <w:t xml:space="preserve">1.7.1 </w:t>
      </w:r>
      <w:r>
        <w:rPr>
          <w:rFonts w:hint="eastAsia" w:ascii="宋体" w:hAnsi="宋体" w:cs="宋体"/>
        </w:rPr>
        <w:t>项中的通知、批准、证明、证书、指示、要求、请求、同意、意见、确定和决定等来往函件，均应在合同约定的期限内送达指定地点和接收人，并办理签收手续。</w:t>
      </w:r>
    </w:p>
    <w:p>
      <w:pPr>
        <w:keepNext/>
        <w:keepLines/>
        <w:spacing w:before="120" w:after="120"/>
        <w:jc w:val="both"/>
        <w:outlineLvl w:val="2"/>
        <w:rPr>
          <w:rFonts w:ascii="宋体" w:hAnsi="宋体" w:cs="TimesNewRomanPSMT"/>
          <w:b/>
        </w:rPr>
      </w:pPr>
      <w:bookmarkStart w:id="42" w:name="_Toc260305406"/>
      <w:r>
        <w:rPr>
          <w:rFonts w:ascii="宋体" w:hAnsi="宋体" w:cs="TimesNewRomanPSMT"/>
          <w:b/>
        </w:rPr>
        <w:t xml:space="preserve">1.8 </w:t>
      </w:r>
      <w:r>
        <w:rPr>
          <w:rFonts w:hint="eastAsia" w:ascii="宋体" w:hAnsi="宋体" w:cs="TimesNewRomanPSMT"/>
          <w:b/>
        </w:rPr>
        <w:t>转让</w:t>
      </w:r>
      <w:bookmarkEnd w:id="42"/>
    </w:p>
    <w:p>
      <w:pPr>
        <w:autoSpaceDE w:val="0"/>
        <w:autoSpaceDN w:val="0"/>
        <w:adjustRightInd w:val="0"/>
        <w:rPr>
          <w:rFonts w:ascii="宋体" w:hAnsi="宋体" w:cs="宋体"/>
        </w:rPr>
      </w:pPr>
      <w:r>
        <w:rPr>
          <w:rFonts w:hint="eastAsia" w:ascii="宋体" w:hAnsi="宋体" w:cs="宋体"/>
        </w:rPr>
        <w:t>除合同另有约定外，未经对方当事人同意，一方当事人不得将合同权利全部或部分转让给第三人，也不得全部或部分转移合同义务。</w:t>
      </w:r>
    </w:p>
    <w:p>
      <w:pPr>
        <w:keepNext/>
        <w:keepLines/>
        <w:spacing w:before="120" w:after="120"/>
        <w:jc w:val="both"/>
        <w:outlineLvl w:val="2"/>
        <w:rPr>
          <w:rFonts w:ascii="宋体" w:hAnsi="宋体" w:cs="TimesNewRomanPSMT"/>
          <w:b/>
        </w:rPr>
      </w:pPr>
      <w:bookmarkStart w:id="43" w:name="_Toc260305407"/>
      <w:r>
        <w:rPr>
          <w:rFonts w:ascii="宋体" w:hAnsi="宋体" w:cs="TimesNewRomanPSMT"/>
          <w:b/>
        </w:rPr>
        <w:t xml:space="preserve">1.9 </w:t>
      </w:r>
      <w:r>
        <w:rPr>
          <w:rFonts w:hint="eastAsia" w:ascii="宋体" w:hAnsi="宋体" w:cs="TimesNewRomanPSMT"/>
          <w:b/>
        </w:rPr>
        <w:t>严禁贿赂</w:t>
      </w:r>
      <w:bookmarkEnd w:id="43"/>
    </w:p>
    <w:p>
      <w:pPr>
        <w:autoSpaceDE w:val="0"/>
        <w:autoSpaceDN w:val="0"/>
        <w:adjustRightInd w:val="0"/>
        <w:rPr>
          <w:rFonts w:ascii="宋体" w:hAnsi="宋体" w:cs="宋体"/>
        </w:rPr>
      </w:pPr>
      <w:r>
        <w:rPr>
          <w:rFonts w:hint="eastAsia" w:ascii="宋体" w:hAnsi="宋体" w:cs="宋体"/>
        </w:rPr>
        <w:t>合同双方当事人不得以贿赂或变相贿赂的方式，谋取不当利益或损害对方权益。因贿赂造成对方损失的，行为人应赔偿损失，并承担相应的法律责任。</w:t>
      </w:r>
    </w:p>
    <w:p>
      <w:pPr>
        <w:keepNext/>
        <w:keepLines/>
        <w:spacing w:before="120" w:after="120"/>
        <w:jc w:val="both"/>
        <w:outlineLvl w:val="2"/>
        <w:rPr>
          <w:rFonts w:ascii="宋体" w:hAnsi="宋体" w:cs="TimesNewRomanPSMT"/>
          <w:b/>
        </w:rPr>
      </w:pPr>
      <w:bookmarkStart w:id="44" w:name="_Toc260305408"/>
      <w:r>
        <w:rPr>
          <w:rFonts w:ascii="宋体" w:hAnsi="宋体" w:cs="TimesNewRomanPSMT"/>
          <w:b/>
        </w:rPr>
        <w:t xml:space="preserve">1.10 </w:t>
      </w:r>
      <w:r>
        <w:rPr>
          <w:rFonts w:hint="eastAsia" w:ascii="宋体" w:hAnsi="宋体" w:cs="TimesNewRomanPSMT"/>
          <w:b/>
        </w:rPr>
        <w:t>化石、文物</w:t>
      </w:r>
      <w:bookmarkEnd w:id="44"/>
    </w:p>
    <w:p>
      <w:pPr>
        <w:autoSpaceDE w:val="0"/>
        <w:autoSpaceDN w:val="0"/>
        <w:adjustRightInd w:val="0"/>
        <w:rPr>
          <w:rFonts w:ascii="宋体" w:hAnsi="宋体" w:cs="宋体"/>
        </w:rPr>
      </w:pPr>
      <w:r>
        <w:rPr>
          <w:rFonts w:ascii="宋体" w:hAnsi="宋体" w:cs="TimesNewRomanPSMT"/>
        </w:rPr>
        <w:t xml:space="preserve">1.10.1 </w:t>
      </w:r>
      <w:r>
        <w:rPr>
          <w:rFonts w:hint="eastAsia" w:ascii="宋体" w:hAnsi="宋体" w:cs="宋体"/>
        </w:rPr>
        <w:t>在施工场地发掘的所有文物、古迹以及具有地质研究或考古价值的其他遗迹、化石、钱币或物品属于国家所有。一旦发现上述文物，承包人应采取有效合理的保护措施，防止任何人员移动或损坏上述物品，并立即报告当地文物行政部门，同时通知监理人。发包人、监理人和承包人应按文物行政部门要求采取妥善保护措施，由此导致费用增加和（或）工期延误由发包人承担。</w:t>
      </w:r>
    </w:p>
    <w:p>
      <w:pPr>
        <w:autoSpaceDE w:val="0"/>
        <w:autoSpaceDN w:val="0"/>
        <w:adjustRightInd w:val="0"/>
        <w:rPr>
          <w:rFonts w:ascii="宋体" w:hAnsi="宋体" w:cs="TimesNewRomanPSMT"/>
        </w:rPr>
      </w:pPr>
      <w:r>
        <w:rPr>
          <w:rFonts w:ascii="宋体" w:hAnsi="宋体" w:cs="TimesNewRomanPSMT"/>
        </w:rPr>
        <w:t xml:space="preserve">1.10.2 </w:t>
      </w:r>
      <w:r>
        <w:rPr>
          <w:rFonts w:hint="eastAsia" w:ascii="宋体" w:hAnsi="宋体" w:cs="宋体"/>
        </w:rPr>
        <w:t>承包人发现文物后不及时报告或隐瞒不报，致使文物丢失或损坏的，应赔偿损失，并承担相应的法律责任。</w:t>
      </w:r>
    </w:p>
    <w:p>
      <w:pPr>
        <w:keepNext/>
        <w:keepLines/>
        <w:spacing w:before="120" w:after="120"/>
        <w:jc w:val="both"/>
        <w:outlineLvl w:val="2"/>
        <w:rPr>
          <w:rFonts w:ascii="宋体" w:hAnsi="宋体" w:cs="TimesNewRomanPSMT"/>
          <w:b/>
        </w:rPr>
      </w:pPr>
      <w:bookmarkStart w:id="45" w:name="_Toc260305409"/>
      <w:r>
        <w:rPr>
          <w:rFonts w:ascii="宋体" w:hAnsi="宋体" w:cs="TimesNewRomanPSMT"/>
          <w:b/>
        </w:rPr>
        <w:t xml:space="preserve">1.11 </w:t>
      </w:r>
      <w:r>
        <w:rPr>
          <w:rFonts w:hint="eastAsia" w:ascii="宋体" w:hAnsi="宋体" w:cs="TimesNewRomanPSMT"/>
          <w:b/>
        </w:rPr>
        <w:t>专利技术</w:t>
      </w:r>
      <w:bookmarkEnd w:id="45"/>
    </w:p>
    <w:p>
      <w:pPr>
        <w:autoSpaceDE w:val="0"/>
        <w:autoSpaceDN w:val="0"/>
        <w:adjustRightInd w:val="0"/>
        <w:rPr>
          <w:rFonts w:ascii="宋体" w:hAnsi="宋体" w:cs="宋体"/>
        </w:rPr>
      </w:pPr>
      <w:r>
        <w:rPr>
          <w:rFonts w:ascii="宋体" w:hAnsi="宋体" w:cs="TimesNewRomanPSMT"/>
        </w:rPr>
        <w:t xml:space="preserve">1.11.1 </w:t>
      </w:r>
      <w:r>
        <w:rPr>
          <w:rFonts w:hint="eastAsia" w:ascii="宋体" w:hAnsi="宋体" w:cs="宋体"/>
        </w:rPr>
        <w:t>承包人在使用任何材料、承包人设备、工程设备或采用施工工艺时，因侵犯专利权或其他知识产权所引起的责任，由承包人承担，但由于遵照发包人提供的设计或技术标准和要求引起的除外。</w:t>
      </w:r>
    </w:p>
    <w:p>
      <w:pPr>
        <w:autoSpaceDE w:val="0"/>
        <w:autoSpaceDN w:val="0"/>
        <w:adjustRightInd w:val="0"/>
        <w:rPr>
          <w:rFonts w:ascii="宋体" w:hAnsi="宋体" w:cs="宋体"/>
        </w:rPr>
      </w:pPr>
      <w:r>
        <w:rPr>
          <w:rFonts w:ascii="宋体" w:hAnsi="宋体" w:cs="TimesNewRomanPSMT"/>
        </w:rPr>
        <w:t xml:space="preserve">1.11.2 </w:t>
      </w:r>
      <w:r>
        <w:rPr>
          <w:rFonts w:hint="eastAsia" w:ascii="宋体" w:hAnsi="宋体" w:cs="宋体"/>
        </w:rPr>
        <w:t>承包人在投标文件中采用专利技术的，专利技术的使用费包含在投标报价内。</w:t>
      </w:r>
    </w:p>
    <w:p>
      <w:pPr>
        <w:autoSpaceDE w:val="0"/>
        <w:autoSpaceDN w:val="0"/>
        <w:adjustRightInd w:val="0"/>
        <w:rPr>
          <w:rFonts w:ascii="宋体" w:hAnsi="宋体" w:cs="宋体"/>
        </w:rPr>
      </w:pPr>
      <w:r>
        <w:rPr>
          <w:rFonts w:ascii="宋体" w:hAnsi="宋体" w:cs="TimesNewRomanPSMT"/>
        </w:rPr>
        <w:t xml:space="preserve">1.11.3 </w:t>
      </w:r>
      <w:r>
        <w:rPr>
          <w:rFonts w:hint="eastAsia" w:ascii="宋体" w:hAnsi="宋体" w:cs="宋体"/>
        </w:rPr>
        <w:t>承包人的技术秘密和声明需要保密的资料和信息，发包人和监理人不得为合同以外的目的泄露给他人。</w:t>
      </w:r>
    </w:p>
    <w:p>
      <w:pPr>
        <w:keepNext/>
        <w:keepLines/>
        <w:spacing w:before="120" w:after="120"/>
        <w:jc w:val="both"/>
        <w:outlineLvl w:val="2"/>
        <w:rPr>
          <w:rFonts w:ascii="宋体" w:hAnsi="宋体" w:cs="TimesNewRomanPSMT"/>
          <w:b/>
        </w:rPr>
      </w:pPr>
      <w:bookmarkStart w:id="46" w:name="_Toc260305410"/>
      <w:r>
        <w:rPr>
          <w:rFonts w:ascii="宋体" w:hAnsi="宋体" w:cs="TimesNewRomanPSMT"/>
          <w:b/>
        </w:rPr>
        <w:t xml:space="preserve">1.12 </w:t>
      </w:r>
      <w:r>
        <w:rPr>
          <w:rFonts w:hint="eastAsia" w:ascii="宋体" w:hAnsi="宋体" w:cs="TimesNewRomanPSMT"/>
          <w:b/>
        </w:rPr>
        <w:t>图纸和文件的保密</w:t>
      </w:r>
      <w:bookmarkEnd w:id="46"/>
    </w:p>
    <w:p>
      <w:pPr>
        <w:autoSpaceDE w:val="0"/>
        <w:autoSpaceDN w:val="0"/>
        <w:adjustRightInd w:val="0"/>
        <w:rPr>
          <w:rFonts w:ascii="宋体" w:hAnsi="宋体" w:cs="宋体"/>
        </w:rPr>
      </w:pPr>
      <w:r>
        <w:rPr>
          <w:rFonts w:ascii="宋体" w:hAnsi="宋体" w:cs="TimesNewRomanPSMT"/>
        </w:rPr>
        <w:t xml:space="preserve">1.12.1 </w:t>
      </w:r>
      <w:r>
        <w:rPr>
          <w:rFonts w:hint="eastAsia" w:ascii="宋体" w:hAnsi="宋体" w:cs="宋体"/>
        </w:rPr>
        <w:t>发包人提供的图纸和文件，未经发包人同意，承包人不得为合同以外的目的泄露给他人或公开发表与引用。</w:t>
      </w:r>
    </w:p>
    <w:p>
      <w:pPr>
        <w:autoSpaceDE w:val="0"/>
        <w:autoSpaceDN w:val="0"/>
        <w:adjustRightInd w:val="0"/>
        <w:rPr>
          <w:rFonts w:ascii="宋体" w:hAnsi="宋体" w:cs="宋体"/>
        </w:rPr>
      </w:pPr>
      <w:r>
        <w:rPr>
          <w:rFonts w:ascii="宋体" w:hAnsi="宋体" w:cs="TimesNewRomanPSMT"/>
        </w:rPr>
        <w:t xml:space="preserve">1.12.2 </w:t>
      </w:r>
      <w:r>
        <w:rPr>
          <w:rFonts w:hint="eastAsia" w:ascii="宋体" w:hAnsi="宋体" w:cs="宋体"/>
        </w:rPr>
        <w:t>承包人提供的文件，未经承包人同意，发包人和监理人不得为合同以外的目的泄露给他人或公开发表与引用。</w:t>
      </w:r>
    </w:p>
    <w:p>
      <w:pPr>
        <w:keepNext/>
        <w:keepLines/>
        <w:spacing w:before="120" w:after="120"/>
        <w:jc w:val="both"/>
        <w:outlineLvl w:val="1"/>
        <w:rPr>
          <w:rFonts w:ascii="宋体" w:hAnsi="宋体" w:cs="TimesNewRomanPSMT"/>
          <w:b/>
          <w:sz w:val="28"/>
          <w:szCs w:val="28"/>
        </w:rPr>
      </w:pPr>
      <w:bookmarkStart w:id="47" w:name="_Toc260305411"/>
      <w:bookmarkStart w:id="48" w:name="_Toc23582"/>
      <w:r>
        <w:rPr>
          <w:rFonts w:ascii="宋体" w:hAnsi="宋体" w:cs="TimesNewRomanPSMT"/>
          <w:b/>
          <w:sz w:val="28"/>
          <w:szCs w:val="28"/>
        </w:rPr>
        <w:t xml:space="preserve">2. </w:t>
      </w:r>
      <w:r>
        <w:rPr>
          <w:rFonts w:hint="eastAsia" w:ascii="宋体" w:hAnsi="宋体" w:cs="TimesNewRomanPSMT"/>
          <w:b/>
          <w:sz w:val="28"/>
          <w:szCs w:val="28"/>
        </w:rPr>
        <w:t>发包人义务</w:t>
      </w:r>
      <w:bookmarkEnd w:id="47"/>
      <w:bookmarkEnd w:id="48"/>
    </w:p>
    <w:p>
      <w:pPr>
        <w:keepNext/>
        <w:keepLines/>
        <w:spacing w:before="120" w:after="120"/>
        <w:jc w:val="both"/>
        <w:outlineLvl w:val="2"/>
        <w:rPr>
          <w:rFonts w:ascii="宋体" w:hAnsi="宋体" w:cs="TimesNewRomanPSMT"/>
          <w:b/>
        </w:rPr>
      </w:pPr>
      <w:bookmarkStart w:id="49" w:name="_Toc260305412"/>
      <w:r>
        <w:rPr>
          <w:rFonts w:ascii="宋体" w:hAnsi="宋体" w:cs="TimesNewRomanPSMT"/>
          <w:b/>
        </w:rPr>
        <w:t xml:space="preserve">2.1 </w:t>
      </w:r>
      <w:r>
        <w:rPr>
          <w:rFonts w:hint="eastAsia" w:ascii="宋体" w:hAnsi="宋体" w:cs="TimesNewRomanPSMT"/>
          <w:b/>
        </w:rPr>
        <w:t>遵守法律</w:t>
      </w:r>
      <w:bookmarkEnd w:id="49"/>
    </w:p>
    <w:p>
      <w:pPr>
        <w:autoSpaceDE w:val="0"/>
        <w:autoSpaceDN w:val="0"/>
        <w:adjustRightInd w:val="0"/>
        <w:rPr>
          <w:rFonts w:ascii="宋体" w:hAnsi="宋体" w:cs="宋体"/>
        </w:rPr>
      </w:pPr>
      <w:r>
        <w:rPr>
          <w:rFonts w:hint="eastAsia" w:ascii="宋体" w:hAnsi="宋体" w:cs="宋体"/>
        </w:rPr>
        <w:t>发包人在履行合同过程中应遵守法律，并保证承包人免于承担因发包人违反法律而引起的任何责任。</w:t>
      </w:r>
    </w:p>
    <w:p>
      <w:pPr>
        <w:keepNext/>
        <w:keepLines/>
        <w:spacing w:before="120" w:after="120"/>
        <w:jc w:val="both"/>
        <w:outlineLvl w:val="2"/>
        <w:rPr>
          <w:rFonts w:ascii="宋体" w:hAnsi="宋体" w:cs="TimesNewRomanPSMT"/>
          <w:b/>
        </w:rPr>
      </w:pPr>
      <w:bookmarkStart w:id="50" w:name="_Toc260305413"/>
      <w:r>
        <w:rPr>
          <w:rFonts w:ascii="宋体" w:hAnsi="宋体" w:cs="TimesNewRomanPSMT"/>
          <w:b/>
        </w:rPr>
        <w:t xml:space="preserve">2.2 </w:t>
      </w:r>
      <w:r>
        <w:rPr>
          <w:rFonts w:hint="eastAsia" w:ascii="宋体" w:hAnsi="宋体" w:cs="TimesNewRomanPSMT"/>
          <w:b/>
        </w:rPr>
        <w:t>发出开工通知</w:t>
      </w:r>
      <w:bookmarkEnd w:id="50"/>
    </w:p>
    <w:p>
      <w:pPr>
        <w:autoSpaceDE w:val="0"/>
        <w:autoSpaceDN w:val="0"/>
        <w:adjustRightInd w:val="0"/>
        <w:rPr>
          <w:rFonts w:ascii="宋体" w:hAnsi="宋体" w:cs="宋体"/>
        </w:rPr>
      </w:pPr>
      <w:r>
        <w:rPr>
          <w:rFonts w:hint="eastAsia" w:ascii="宋体" w:hAnsi="宋体" w:cs="宋体"/>
        </w:rPr>
        <w:t>发包人应委托监理人按第</w:t>
      </w:r>
      <w:r>
        <w:rPr>
          <w:rFonts w:ascii="宋体" w:hAnsi="宋体" w:cs="TimesNewRomanPSMT"/>
        </w:rPr>
        <w:t xml:space="preserve">11.1 </w:t>
      </w:r>
      <w:r>
        <w:rPr>
          <w:rFonts w:hint="eastAsia" w:ascii="宋体" w:hAnsi="宋体" w:cs="宋体"/>
        </w:rPr>
        <w:t>款的约定向承包人发出开工通知。</w:t>
      </w:r>
    </w:p>
    <w:p>
      <w:pPr>
        <w:keepNext/>
        <w:keepLines/>
        <w:spacing w:before="120" w:after="120"/>
        <w:jc w:val="both"/>
        <w:outlineLvl w:val="2"/>
        <w:rPr>
          <w:rFonts w:ascii="宋体" w:hAnsi="宋体" w:cs="TimesNewRomanPSMT"/>
          <w:b/>
        </w:rPr>
      </w:pPr>
      <w:bookmarkStart w:id="51" w:name="_Toc260305414"/>
      <w:r>
        <w:rPr>
          <w:rFonts w:ascii="宋体" w:hAnsi="宋体" w:cs="TimesNewRomanPSMT"/>
          <w:b/>
        </w:rPr>
        <w:t xml:space="preserve">2.3 </w:t>
      </w:r>
      <w:r>
        <w:rPr>
          <w:rFonts w:hint="eastAsia" w:ascii="宋体" w:hAnsi="宋体" w:cs="TimesNewRomanPSMT"/>
          <w:b/>
        </w:rPr>
        <w:t>提供施工场地</w:t>
      </w:r>
      <w:bookmarkEnd w:id="51"/>
    </w:p>
    <w:p>
      <w:pPr>
        <w:autoSpaceDE w:val="0"/>
        <w:autoSpaceDN w:val="0"/>
        <w:adjustRightInd w:val="0"/>
        <w:rPr>
          <w:rFonts w:ascii="宋体" w:hAnsi="宋体" w:cs="宋体"/>
        </w:rPr>
      </w:pPr>
      <w:r>
        <w:rPr>
          <w:rFonts w:hint="eastAsia" w:ascii="宋体" w:hAnsi="宋体" w:cs="宋体"/>
        </w:rPr>
        <w:t>发包人应按专用合同条款约定向承包人提供施工场地，以及施工场地内地下管线和地下设施等有关资料，并保证资料的真实、准确、完整。</w:t>
      </w:r>
    </w:p>
    <w:p>
      <w:pPr>
        <w:keepNext/>
        <w:keepLines/>
        <w:spacing w:before="120" w:after="120"/>
        <w:jc w:val="both"/>
        <w:outlineLvl w:val="2"/>
        <w:rPr>
          <w:rFonts w:ascii="宋体" w:hAnsi="宋体" w:cs="TimesNewRomanPSMT"/>
          <w:b/>
        </w:rPr>
      </w:pPr>
      <w:bookmarkStart w:id="52" w:name="_Toc260305415"/>
      <w:r>
        <w:rPr>
          <w:rFonts w:ascii="宋体" w:hAnsi="宋体" w:cs="TimesNewRomanPSMT"/>
          <w:b/>
        </w:rPr>
        <w:t xml:space="preserve">2.4 </w:t>
      </w:r>
      <w:r>
        <w:rPr>
          <w:rFonts w:hint="eastAsia" w:ascii="宋体" w:hAnsi="宋体" w:cs="TimesNewRomanPSMT"/>
          <w:b/>
        </w:rPr>
        <w:t>协助承包人办理证件和批件</w:t>
      </w:r>
      <w:bookmarkEnd w:id="52"/>
    </w:p>
    <w:p>
      <w:pPr>
        <w:autoSpaceDE w:val="0"/>
        <w:autoSpaceDN w:val="0"/>
        <w:adjustRightInd w:val="0"/>
        <w:rPr>
          <w:rFonts w:ascii="宋体" w:hAnsi="宋体" w:cs="宋体"/>
        </w:rPr>
      </w:pPr>
      <w:r>
        <w:rPr>
          <w:rFonts w:hint="eastAsia" w:ascii="宋体" w:hAnsi="宋体" w:cs="宋体"/>
        </w:rPr>
        <w:t>发包人应协助承包人办理法律规定的有关施工证件和批件。</w:t>
      </w:r>
    </w:p>
    <w:p>
      <w:pPr>
        <w:keepNext/>
        <w:keepLines/>
        <w:spacing w:before="120" w:after="120"/>
        <w:jc w:val="both"/>
        <w:outlineLvl w:val="2"/>
        <w:rPr>
          <w:rFonts w:ascii="宋体" w:hAnsi="宋体" w:cs="TimesNewRomanPSMT"/>
          <w:b/>
        </w:rPr>
      </w:pPr>
      <w:bookmarkStart w:id="53" w:name="_Toc260305416"/>
      <w:r>
        <w:rPr>
          <w:rFonts w:ascii="宋体" w:hAnsi="宋体" w:cs="TimesNewRomanPSMT"/>
          <w:b/>
        </w:rPr>
        <w:t xml:space="preserve">2.5 </w:t>
      </w:r>
      <w:r>
        <w:rPr>
          <w:rFonts w:hint="eastAsia" w:ascii="宋体" w:hAnsi="宋体" w:cs="TimesNewRomanPSMT"/>
          <w:b/>
        </w:rPr>
        <w:t>组织设计交底</w:t>
      </w:r>
      <w:bookmarkEnd w:id="53"/>
    </w:p>
    <w:p>
      <w:pPr>
        <w:autoSpaceDE w:val="0"/>
        <w:autoSpaceDN w:val="0"/>
        <w:adjustRightInd w:val="0"/>
        <w:rPr>
          <w:rFonts w:ascii="宋体" w:hAnsi="宋体" w:cs="宋体"/>
        </w:rPr>
      </w:pPr>
      <w:r>
        <w:rPr>
          <w:rFonts w:hint="eastAsia" w:ascii="宋体" w:hAnsi="宋体" w:cs="宋体"/>
        </w:rPr>
        <w:t>发包人应根据合同进度计划，组织设计单位向承包人进行设计交底。</w:t>
      </w:r>
    </w:p>
    <w:p>
      <w:pPr>
        <w:keepNext/>
        <w:keepLines/>
        <w:spacing w:before="120" w:after="120"/>
        <w:jc w:val="both"/>
        <w:outlineLvl w:val="2"/>
        <w:rPr>
          <w:rFonts w:ascii="宋体" w:hAnsi="宋体" w:cs="TimesNewRomanPSMT"/>
          <w:b/>
        </w:rPr>
      </w:pPr>
      <w:bookmarkStart w:id="54" w:name="_Toc260305417"/>
      <w:r>
        <w:rPr>
          <w:rFonts w:ascii="宋体" w:hAnsi="宋体" w:cs="TimesNewRomanPSMT"/>
          <w:b/>
        </w:rPr>
        <w:t xml:space="preserve">2.6 </w:t>
      </w:r>
      <w:r>
        <w:rPr>
          <w:rFonts w:hint="eastAsia" w:ascii="宋体" w:hAnsi="宋体" w:cs="TimesNewRomanPSMT"/>
          <w:b/>
        </w:rPr>
        <w:t>支付合同价款</w:t>
      </w:r>
      <w:bookmarkEnd w:id="54"/>
    </w:p>
    <w:p>
      <w:pPr>
        <w:autoSpaceDE w:val="0"/>
        <w:autoSpaceDN w:val="0"/>
        <w:adjustRightInd w:val="0"/>
        <w:rPr>
          <w:rFonts w:ascii="宋体" w:hAnsi="宋体" w:cs="宋体"/>
        </w:rPr>
      </w:pPr>
      <w:r>
        <w:rPr>
          <w:rFonts w:hint="eastAsia" w:ascii="宋体" w:hAnsi="宋体" w:cs="宋体"/>
        </w:rPr>
        <w:t>发包人应按合同约定向承包人及时支付合同价款。</w:t>
      </w:r>
    </w:p>
    <w:p>
      <w:pPr>
        <w:keepNext/>
        <w:keepLines/>
        <w:spacing w:before="120" w:after="120"/>
        <w:jc w:val="both"/>
        <w:outlineLvl w:val="2"/>
        <w:rPr>
          <w:rFonts w:ascii="宋体" w:hAnsi="宋体" w:cs="TimesNewRomanPSMT"/>
          <w:b/>
        </w:rPr>
      </w:pPr>
      <w:bookmarkStart w:id="55" w:name="_Toc260305418"/>
      <w:r>
        <w:rPr>
          <w:rFonts w:ascii="宋体" w:hAnsi="宋体" w:cs="TimesNewRomanPSMT"/>
          <w:b/>
        </w:rPr>
        <w:t xml:space="preserve">2.7 </w:t>
      </w:r>
      <w:r>
        <w:rPr>
          <w:rFonts w:hint="eastAsia" w:ascii="宋体" w:hAnsi="宋体" w:cs="TimesNewRomanPSMT"/>
          <w:b/>
        </w:rPr>
        <w:t>组织竣工验收</w:t>
      </w:r>
      <w:bookmarkEnd w:id="55"/>
    </w:p>
    <w:p>
      <w:pPr>
        <w:autoSpaceDE w:val="0"/>
        <w:autoSpaceDN w:val="0"/>
        <w:adjustRightInd w:val="0"/>
        <w:rPr>
          <w:rFonts w:ascii="宋体" w:hAnsi="宋体" w:cs="宋体"/>
        </w:rPr>
      </w:pPr>
      <w:r>
        <w:rPr>
          <w:rFonts w:hint="eastAsia" w:ascii="宋体" w:hAnsi="宋体" w:cs="宋体"/>
        </w:rPr>
        <w:t>发包人应按合同约定及时组织竣工验收。</w:t>
      </w:r>
    </w:p>
    <w:p>
      <w:pPr>
        <w:keepNext/>
        <w:keepLines/>
        <w:spacing w:before="120" w:after="120"/>
        <w:jc w:val="both"/>
        <w:outlineLvl w:val="2"/>
        <w:rPr>
          <w:rFonts w:ascii="宋体" w:hAnsi="宋体" w:cs="TimesNewRomanPSMT"/>
          <w:b/>
        </w:rPr>
      </w:pPr>
      <w:bookmarkStart w:id="56" w:name="_Toc260305419"/>
      <w:r>
        <w:rPr>
          <w:rFonts w:ascii="宋体" w:hAnsi="宋体" w:cs="TimesNewRomanPSMT"/>
          <w:b/>
        </w:rPr>
        <w:t xml:space="preserve">2.8 </w:t>
      </w:r>
      <w:r>
        <w:rPr>
          <w:rFonts w:hint="eastAsia" w:ascii="宋体" w:hAnsi="宋体" w:cs="TimesNewRomanPSMT"/>
          <w:b/>
        </w:rPr>
        <w:t>其他义务</w:t>
      </w:r>
      <w:bookmarkEnd w:id="56"/>
    </w:p>
    <w:p>
      <w:pPr>
        <w:autoSpaceDE w:val="0"/>
        <w:autoSpaceDN w:val="0"/>
        <w:adjustRightInd w:val="0"/>
        <w:rPr>
          <w:rFonts w:ascii="宋体" w:hAnsi="宋体" w:cs="宋体"/>
        </w:rPr>
      </w:pPr>
      <w:r>
        <w:rPr>
          <w:rFonts w:hint="eastAsia" w:ascii="宋体" w:hAnsi="宋体" w:cs="宋体"/>
        </w:rPr>
        <w:t>发包人应履行合同约定的其他义务。</w:t>
      </w:r>
    </w:p>
    <w:p>
      <w:pPr>
        <w:keepNext/>
        <w:keepLines/>
        <w:spacing w:before="120" w:after="120"/>
        <w:jc w:val="both"/>
        <w:outlineLvl w:val="1"/>
        <w:rPr>
          <w:rFonts w:ascii="宋体" w:hAnsi="宋体" w:cs="TimesNewRomanPSMT"/>
          <w:b/>
          <w:sz w:val="28"/>
          <w:szCs w:val="28"/>
        </w:rPr>
      </w:pPr>
      <w:bookmarkStart w:id="57" w:name="_Toc32471"/>
      <w:bookmarkStart w:id="58" w:name="_Toc260305420"/>
      <w:r>
        <w:rPr>
          <w:rFonts w:ascii="宋体" w:hAnsi="宋体" w:cs="TimesNewRomanPSMT"/>
          <w:b/>
          <w:sz w:val="28"/>
          <w:szCs w:val="28"/>
        </w:rPr>
        <w:t xml:space="preserve">3. </w:t>
      </w:r>
      <w:r>
        <w:rPr>
          <w:rFonts w:hint="eastAsia" w:ascii="宋体" w:hAnsi="宋体" w:cs="TimesNewRomanPSMT"/>
          <w:b/>
          <w:sz w:val="28"/>
          <w:szCs w:val="28"/>
        </w:rPr>
        <w:t>监理人</w:t>
      </w:r>
      <w:bookmarkEnd w:id="57"/>
      <w:bookmarkEnd w:id="58"/>
    </w:p>
    <w:p>
      <w:pPr>
        <w:keepNext/>
        <w:keepLines/>
        <w:spacing w:before="120" w:after="120"/>
        <w:jc w:val="both"/>
        <w:outlineLvl w:val="2"/>
        <w:rPr>
          <w:rFonts w:ascii="宋体" w:hAnsi="宋体" w:cs="TimesNewRomanPSMT"/>
          <w:b/>
        </w:rPr>
      </w:pPr>
      <w:bookmarkStart w:id="59" w:name="_Toc260305421"/>
      <w:r>
        <w:rPr>
          <w:rFonts w:ascii="宋体" w:hAnsi="宋体" w:cs="TimesNewRomanPSMT"/>
          <w:b/>
        </w:rPr>
        <w:t xml:space="preserve">3.1 </w:t>
      </w:r>
      <w:r>
        <w:rPr>
          <w:rFonts w:hint="eastAsia" w:ascii="宋体" w:hAnsi="宋体" w:cs="TimesNewRomanPSMT"/>
          <w:b/>
        </w:rPr>
        <w:t>监理人的职责和权力</w:t>
      </w:r>
      <w:bookmarkEnd w:id="59"/>
    </w:p>
    <w:p>
      <w:pPr>
        <w:autoSpaceDE w:val="0"/>
        <w:autoSpaceDN w:val="0"/>
        <w:adjustRightInd w:val="0"/>
        <w:rPr>
          <w:rFonts w:ascii="宋体" w:hAnsi="宋体" w:cs="宋体"/>
        </w:rPr>
      </w:pPr>
      <w:r>
        <w:rPr>
          <w:rFonts w:ascii="宋体" w:hAnsi="宋体" w:cs="TimesNewRomanPSMT"/>
        </w:rPr>
        <w:t xml:space="preserve">3.1.1 </w:t>
      </w:r>
      <w:r>
        <w:rPr>
          <w:rFonts w:hint="eastAsia" w:ascii="宋体" w:hAnsi="宋体" w:cs="宋体"/>
        </w:rPr>
        <w:t>监理人受发包人委托，享有合同约定的权力。监理人在行使某项权力前需要经发包人事先批准而通用合同条款没有指明的，应在专用合同条款中指明。</w:t>
      </w:r>
    </w:p>
    <w:p>
      <w:pPr>
        <w:autoSpaceDE w:val="0"/>
        <w:autoSpaceDN w:val="0"/>
        <w:adjustRightInd w:val="0"/>
        <w:rPr>
          <w:rFonts w:ascii="宋体" w:hAnsi="宋体" w:cs="宋体"/>
        </w:rPr>
      </w:pPr>
      <w:r>
        <w:rPr>
          <w:rFonts w:ascii="宋体" w:hAnsi="宋体" w:cs="TimesNewRomanPSMT"/>
        </w:rPr>
        <w:t xml:space="preserve">3.1.2 </w:t>
      </w:r>
      <w:r>
        <w:rPr>
          <w:rFonts w:hint="eastAsia" w:ascii="宋体" w:hAnsi="宋体" w:cs="宋体"/>
        </w:rPr>
        <w:t>监理人发出的任何指示应视为已得到发包人的批准，但监理人无权免除或变更合同约定的发包人和承包人的权利、义务和责任。</w:t>
      </w:r>
    </w:p>
    <w:p>
      <w:pPr>
        <w:autoSpaceDE w:val="0"/>
        <w:autoSpaceDN w:val="0"/>
        <w:adjustRightInd w:val="0"/>
        <w:rPr>
          <w:rFonts w:ascii="宋体" w:hAnsi="宋体" w:cs="宋体"/>
        </w:rPr>
      </w:pPr>
      <w:r>
        <w:rPr>
          <w:rFonts w:ascii="宋体" w:hAnsi="宋体" w:cs="TimesNewRomanPSMT"/>
        </w:rPr>
        <w:t xml:space="preserve">3.1.3 </w:t>
      </w:r>
      <w:r>
        <w:rPr>
          <w:rFonts w:hint="eastAsia" w:ascii="宋体" w:hAnsi="宋体" w:cs="宋体"/>
        </w:rPr>
        <w:t>合同约定应由承包人承担的义务和责任，不因监理人对承包人提交文件的审查或批准，对工程、材料和设备的检查和检验，以及为实施监理作出的指示等职务行为而减轻或解除。</w:t>
      </w:r>
    </w:p>
    <w:p>
      <w:pPr>
        <w:keepNext/>
        <w:keepLines/>
        <w:spacing w:before="120" w:after="120"/>
        <w:jc w:val="both"/>
        <w:outlineLvl w:val="2"/>
        <w:rPr>
          <w:rFonts w:ascii="宋体" w:hAnsi="宋体" w:cs="TimesNewRomanPSMT"/>
          <w:b/>
        </w:rPr>
      </w:pPr>
      <w:bookmarkStart w:id="60" w:name="_Toc260305422"/>
      <w:r>
        <w:rPr>
          <w:rFonts w:ascii="宋体" w:hAnsi="宋体" w:cs="TimesNewRomanPSMT"/>
          <w:b/>
        </w:rPr>
        <w:t xml:space="preserve">3.2 </w:t>
      </w:r>
      <w:r>
        <w:rPr>
          <w:rFonts w:hint="eastAsia" w:ascii="宋体" w:hAnsi="宋体" w:cs="TimesNewRomanPSMT"/>
          <w:b/>
        </w:rPr>
        <w:t>总监理工程师</w:t>
      </w:r>
      <w:bookmarkEnd w:id="60"/>
    </w:p>
    <w:p>
      <w:pPr>
        <w:autoSpaceDE w:val="0"/>
        <w:autoSpaceDN w:val="0"/>
        <w:adjustRightInd w:val="0"/>
        <w:rPr>
          <w:rFonts w:ascii="宋体" w:hAnsi="宋体" w:cs="宋体"/>
        </w:rPr>
      </w:pPr>
      <w:r>
        <w:rPr>
          <w:rFonts w:hint="eastAsia" w:ascii="宋体" w:hAnsi="宋体" w:cs="宋体"/>
        </w:rPr>
        <w:t>发包人应在发出开工通知前将总监理工程师的任命通知承包人。总监理工程师更换时，应在调离</w:t>
      </w:r>
      <w:r>
        <w:rPr>
          <w:rFonts w:ascii="宋体" w:hAnsi="宋体" w:cs="TimesNewRomanPSMT"/>
        </w:rPr>
        <w:t xml:space="preserve">14 </w:t>
      </w:r>
      <w:r>
        <w:rPr>
          <w:rFonts w:hint="eastAsia" w:ascii="宋体" w:hAnsi="宋体" w:cs="宋体"/>
        </w:rPr>
        <w:t>天前通知承包人。总监理工程师短期离开施工场地的，应委派代表代行其职责，并通知承包人。</w:t>
      </w:r>
    </w:p>
    <w:p>
      <w:pPr>
        <w:keepNext/>
        <w:keepLines/>
        <w:spacing w:before="120" w:after="120"/>
        <w:jc w:val="both"/>
        <w:outlineLvl w:val="2"/>
        <w:rPr>
          <w:rFonts w:ascii="宋体" w:hAnsi="宋体" w:cs="TimesNewRomanPSMT"/>
          <w:b/>
        </w:rPr>
      </w:pPr>
      <w:bookmarkStart w:id="61" w:name="_Toc260305423"/>
      <w:r>
        <w:rPr>
          <w:rFonts w:ascii="宋体" w:hAnsi="宋体" w:cs="TimesNewRomanPSMT"/>
          <w:b/>
        </w:rPr>
        <w:t xml:space="preserve">3.3 </w:t>
      </w:r>
      <w:r>
        <w:rPr>
          <w:rFonts w:hint="eastAsia" w:ascii="宋体" w:hAnsi="宋体" w:cs="TimesNewRomanPSMT"/>
          <w:b/>
        </w:rPr>
        <w:t>监理人员</w:t>
      </w:r>
      <w:bookmarkEnd w:id="61"/>
    </w:p>
    <w:p>
      <w:pPr>
        <w:autoSpaceDE w:val="0"/>
        <w:autoSpaceDN w:val="0"/>
        <w:adjustRightInd w:val="0"/>
        <w:rPr>
          <w:rFonts w:ascii="宋体" w:hAnsi="宋体" w:cs="宋体"/>
        </w:rPr>
      </w:pPr>
      <w:r>
        <w:rPr>
          <w:rFonts w:ascii="宋体" w:hAnsi="宋体" w:cs="TimesNewRomanPSMT"/>
        </w:rPr>
        <w:t xml:space="preserve">3.3.1 </w:t>
      </w:r>
      <w:r>
        <w:rPr>
          <w:rFonts w:hint="eastAsia" w:ascii="宋体" w:hAnsi="宋体" w:cs="宋体"/>
        </w:rPr>
        <w:t>总监理工程师可以授权其他监理人员负责执行其指派的一项或多项监理工作。总监理工程师应将被授权监理人员的姓名及其授权范围通知承包人。被授权的监理人员在授权范围内发出的指示视为已得到总监理工程师的同意，与总监理工程师发出的指示具有同等效力。总监理工程师撤销某项授权时，应将撤销授权的决定及时通知承包人。</w:t>
      </w:r>
    </w:p>
    <w:p>
      <w:pPr>
        <w:autoSpaceDE w:val="0"/>
        <w:autoSpaceDN w:val="0"/>
        <w:adjustRightInd w:val="0"/>
        <w:rPr>
          <w:rFonts w:ascii="宋体" w:hAnsi="宋体" w:cs="宋体"/>
        </w:rPr>
      </w:pPr>
      <w:r>
        <w:rPr>
          <w:rFonts w:ascii="宋体" w:hAnsi="宋体" w:cs="TimesNewRomanPSMT"/>
        </w:rPr>
        <w:t xml:space="preserve">3.3.2 </w:t>
      </w:r>
      <w:r>
        <w:rPr>
          <w:rFonts w:hint="eastAsia" w:ascii="宋体" w:hAnsi="宋体" w:cs="宋体"/>
        </w:rPr>
        <w:t>监理人员对承包人的任何工作、工程或其采用的材料和工程设备未在约定的或合理的期限内提出否定意见的，视为已获批准，但不影响监理人在以后拒绝该项工作、工程、材料或工程设备的权利。</w:t>
      </w:r>
    </w:p>
    <w:p>
      <w:pPr>
        <w:autoSpaceDE w:val="0"/>
        <w:autoSpaceDN w:val="0"/>
        <w:adjustRightInd w:val="0"/>
        <w:rPr>
          <w:rFonts w:ascii="宋体" w:hAnsi="宋体" w:cs="宋体"/>
        </w:rPr>
      </w:pPr>
      <w:r>
        <w:rPr>
          <w:rFonts w:ascii="宋体" w:hAnsi="宋体" w:cs="TimesNewRomanPSMT"/>
        </w:rPr>
        <w:t xml:space="preserve">3.3.3 </w:t>
      </w:r>
      <w:r>
        <w:rPr>
          <w:rFonts w:hint="eastAsia" w:ascii="宋体" w:hAnsi="宋体" w:cs="宋体"/>
        </w:rPr>
        <w:t>承包人对总监理工程师授权的监理人员发出的指示有疑问的，可向总监理工程师提出书面异议，总监理工程师应在</w:t>
      </w:r>
      <w:r>
        <w:rPr>
          <w:rFonts w:ascii="宋体" w:hAnsi="宋体" w:cs="TimesNewRomanPSMT"/>
        </w:rPr>
        <w:t xml:space="preserve">48 </w:t>
      </w:r>
      <w:r>
        <w:rPr>
          <w:rFonts w:hint="eastAsia" w:ascii="宋体" w:hAnsi="宋体" w:cs="宋体"/>
        </w:rPr>
        <w:t>小时内对该指示予以确认、更改或撤销。</w:t>
      </w:r>
    </w:p>
    <w:p>
      <w:pPr>
        <w:autoSpaceDE w:val="0"/>
        <w:autoSpaceDN w:val="0"/>
        <w:adjustRightInd w:val="0"/>
        <w:rPr>
          <w:rFonts w:ascii="宋体" w:hAnsi="宋体" w:cs="宋体"/>
        </w:rPr>
      </w:pPr>
      <w:r>
        <w:rPr>
          <w:rFonts w:ascii="宋体" w:hAnsi="宋体" w:cs="TimesNewRomanPSMT"/>
        </w:rPr>
        <w:t xml:space="preserve">3.3.4 </w:t>
      </w:r>
      <w:r>
        <w:rPr>
          <w:rFonts w:hint="eastAsia" w:ascii="宋体" w:hAnsi="宋体" w:cs="宋体"/>
        </w:rPr>
        <w:t>除专用合同条款另有约定外，总监理工程师不应将第</w:t>
      </w:r>
      <w:r>
        <w:rPr>
          <w:rFonts w:ascii="宋体" w:hAnsi="宋体" w:cs="TimesNewRomanPSMT"/>
        </w:rPr>
        <w:t xml:space="preserve">3.5 </w:t>
      </w:r>
      <w:r>
        <w:rPr>
          <w:rFonts w:hint="eastAsia" w:ascii="宋体" w:hAnsi="宋体" w:cs="宋体"/>
        </w:rPr>
        <w:t>款约定应由总监理工程师作出确定的权力授权或委托给其他监理人员。</w:t>
      </w:r>
    </w:p>
    <w:p>
      <w:pPr>
        <w:keepNext/>
        <w:keepLines/>
        <w:spacing w:before="120" w:after="120"/>
        <w:jc w:val="both"/>
        <w:outlineLvl w:val="2"/>
        <w:rPr>
          <w:rFonts w:ascii="宋体" w:hAnsi="宋体" w:cs="TimesNewRomanPSMT"/>
          <w:b/>
        </w:rPr>
      </w:pPr>
      <w:bookmarkStart w:id="62" w:name="_Toc260305424"/>
      <w:r>
        <w:rPr>
          <w:rFonts w:ascii="宋体" w:hAnsi="宋体" w:cs="TimesNewRomanPSMT"/>
          <w:b/>
        </w:rPr>
        <w:t xml:space="preserve">3.4 </w:t>
      </w:r>
      <w:r>
        <w:rPr>
          <w:rFonts w:hint="eastAsia" w:ascii="宋体" w:hAnsi="宋体" w:cs="TimesNewRomanPSMT"/>
          <w:b/>
        </w:rPr>
        <w:t>监理人的指示</w:t>
      </w:r>
      <w:bookmarkEnd w:id="62"/>
    </w:p>
    <w:p>
      <w:pPr>
        <w:autoSpaceDE w:val="0"/>
        <w:autoSpaceDN w:val="0"/>
        <w:adjustRightInd w:val="0"/>
        <w:rPr>
          <w:rFonts w:ascii="宋体" w:hAnsi="宋体" w:cs="宋体"/>
        </w:rPr>
      </w:pPr>
      <w:r>
        <w:rPr>
          <w:rFonts w:ascii="宋体" w:hAnsi="宋体" w:cs="TimesNewRomanPSMT"/>
        </w:rPr>
        <w:t xml:space="preserve">3.4.1 </w:t>
      </w:r>
      <w:r>
        <w:rPr>
          <w:rFonts w:hint="eastAsia" w:ascii="宋体" w:hAnsi="宋体" w:cs="宋体"/>
        </w:rPr>
        <w:t>监理人应按第</w:t>
      </w:r>
      <w:r>
        <w:rPr>
          <w:rFonts w:ascii="宋体" w:hAnsi="宋体" w:cs="TimesNewRomanPSMT"/>
        </w:rPr>
        <w:t xml:space="preserve">3.1 </w:t>
      </w:r>
      <w:r>
        <w:rPr>
          <w:rFonts w:hint="eastAsia" w:ascii="宋体" w:hAnsi="宋体" w:cs="宋体"/>
        </w:rPr>
        <w:t>款的约定向承包人发出指示，监理人的指示应盖有监理人授权的施工场地机构章，并由总监理工程师或总监理工程师按第</w:t>
      </w:r>
      <w:r>
        <w:rPr>
          <w:rFonts w:ascii="宋体" w:hAnsi="宋体" w:cs="TimesNewRomanPSMT"/>
        </w:rPr>
        <w:t xml:space="preserve">3.3.1 </w:t>
      </w:r>
      <w:r>
        <w:rPr>
          <w:rFonts w:hint="eastAsia" w:ascii="宋体" w:hAnsi="宋体" w:cs="宋体"/>
        </w:rPr>
        <w:t>项约定授权的监理人员签字。</w:t>
      </w:r>
    </w:p>
    <w:p>
      <w:pPr>
        <w:autoSpaceDE w:val="0"/>
        <w:autoSpaceDN w:val="0"/>
        <w:adjustRightInd w:val="0"/>
        <w:rPr>
          <w:rFonts w:ascii="宋体" w:hAnsi="宋体" w:cs="宋体"/>
        </w:rPr>
      </w:pPr>
      <w:r>
        <w:rPr>
          <w:rFonts w:ascii="宋体" w:hAnsi="宋体" w:cs="TimesNewRomanPSMT"/>
        </w:rPr>
        <w:t xml:space="preserve">3.4.2 </w:t>
      </w:r>
      <w:r>
        <w:rPr>
          <w:rFonts w:hint="eastAsia" w:ascii="宋体" w:hAnsi="宋体" w:cs="宋体"/>
        </w:rPr>
        <w:t>承包人收到监理人按第</w:t>
      </w:r>
      <w:r>
        <w:rPr>
          <w:rFonts w:ascii="宋体" w:hAnsi="宋体" w:cs="TimesNewRomanPSMT"/>
        </w:rPr>
        <w:t xml:space="preserve">3.4.1 </w:t>
      </w:r>
      <w:r>
        <w:rPr>
          <w:rFonts w:hint="eastAsia" w:ascii="宋体" w:hAnsi="宋体" w:cs="宋体"/>
        </w:rPr>
        <w:t>项作出的指示后应遵照执行。指示构成变更的，应按第</w:t>
      </w:r>
      <w:r>
        <w:rPr>
          <w:rFonts w:ascii="宋体" w:hAnsi="宋体" w:cs="TimesNewRomanPSMT"/>
        </w:rPr>
        <w:t xml:space="preserve">15 </w:t>
      </w:r>
      <w:r>
        <w:rPr>
          <w:rFonts w:hint="eastAsia" w:ascii="宋体" w:hAnsi="宋体" w:cs="宋体"/>
        </w:rPr>
        <w:t>条处理。</w:t>
      </w:r>
    </w:p>
    <w:p>
      <w:pPr>
        <w:autoSpaceDE w:val="0"/>
        <w:autoSpaceDN w:val="0"/>
        <w:adjustRightInd w:val="0"/>
        <w:rPr>
          <w:rFonts w:ascii="宋体" w:hAnsi="宋体" w:cs="宋体"/>
        </w:rPr>
      </w:pPr>
      <w:r>
        <w:rPr>
          <w:rFonts w:ascii="宋体" w:hAnsi="宋体" w:cs="TimesNewRomanPSMT"/>
        </w:rPr>
        <w:t xml:space="preserve">3.4.3 </w:t>
      </w:r>
      <w:r>
        <w:rPr>
          <w:rFonts w:hint="eastAsia" w:ascii="宋体" w:hAnsi="宋体" w:cs="宋体"/>
        </w:rPr>
        <w:t>在紧急情况下，总监理工程师或被授权的监理人员可以当场签发临时书面指示，承包人应遵照执行。承包人应在收到上述临时书面指示后</w:t>
      </w:r>
      <w:r>
        <w:rPr>
          <w:rFonts w:ascii="宋体" w:hAnsi="宋体" w:cs="TimesNewRomanPSMT"/>
        </w:rPr>
        <w:t xml:space="preserve">24 </w:t>
      </w:r>
      <w:r>
        <w:rPr>
          <w:rFonts w:hint="eastAsia" w:ascii="宋体" w:hAnsi="宋体" w:cs="宋体"/>
        </w:rPr>
        <w:t>小时内，向监理人发出书面确认函。监理人在收到书面确认函后</w:t>
      </w:r>
      <w:r>
        <w:rPr>
          <w:rFonts w:ascii="宋体" w:hAnsi="宋体" w:cs="TimesNewRomanPSMT"/>
        </w:rPr>
        <w:t xml:space="preserve">24 </w:t>
      </w:r>
      <w:r>
        <w:rPr>
          <w:rFonts w:hint="eastAsia" w:ascii="宋体" w:hAnsi="宋体" w:cs="宋体"/>
        </w:rPr>
        <w:t>小时内未予答复的，该书面确认函应被视为监理人的正式指示。</w:t>
      </w:r>
    </w:p>
    <w:p>
      <w:pPr>
        <w:autoSpaceDE w:val="0"/>
        <w:autoSpaceDN w:val="0"/>
        <w:adjustRightInd w:val="0"/>
        <w:rPr>
          <w:rFonts w:ascii="宋体" w:hAnsi="宋体" w:cs="宋体"/>
        </w:rPr>
      </w:pPr>
      <w:r>
        <w:rPr>
          <w:rFonts w:ascii="宋体" w:hAnsi="宋体" w:cs="TimesNewRomanPSMT"/>
        </w:rPr>
        <w:t xml:space="preserve">3.4.4 </w:t>
      </w:r>
      <w:r>
        <w:rPr>
          <w:rFonts w:hint="eastAsia" w:ascii="宋体" w:hAnsi="宋体" w:cs="宋体"/>
        </w:rPr>
        <w:t>除合同另有约定外，承包人只从总监理工程师或按第</w:t>
      </w:r>
      <w:r>
        <w:rPr>
          <w:rFonts w:ascii="宋体" w:hAnsi="宋体" w:cs="TimesNewRomanPSMT"/>
        </w:rPr>
        <w:t xml:space="preserve">3.3.1 </w:t>
      </w:r>
      <w:r>
        <w:rPr>
          <w:rFonts w:hint="eastAsia" w:ascii="宋体" w:hAnsi="宋体" w:cs="宋体"/>
        </w:rPr>
        <w:t>项被授权的监理人员处取得指示。</w:t>
      </w:r>
    </w:p>
    <w:p>
      <w:pPr>
        <w:autoSpaceDE w:val="0"/>
        <w:autoSpaceDN w:val="0"/>
        <w:adjustRightInd w:val="0"/>
        <w:rPr>
          <w:rFonts w:ascii="宋体" w:hAnsi="宋体" w:cs="宋体"/>
        </w:rPr>
      </w:pPr>
      <w:r>
        <w:rPr>
          <w:rFonts w:ascii="宋体" w:hAnsi="宋体" w:cs="TimesNewRomanPSMT"/>
        </w:rPr>
        <w:t xml:space="preserve">3.4.5 </w:t>
      </w:r>
      <w:r>
        <w:rPr>
          <w:rFonts w:hint="eastAsia" w:ascii="宋体" w:hAnsi="宋体" w:cs="宋体"/>
        </w:rPr>
        <w:t>由于监理人未能按合同约定发出指示、指示延误或指示错误而导致承包人费用增加和（或）工期延误的，由发包人承担赔偿责任。</w:t>
      </w:r>
    </w:p>
    <w:p>
      <w:pPr>
        <w:keepNext/>
        <w:keepLines/>
        <w:spacing w:before="120" w:after="120"/>
        <w:jc w:val="both"/>
        <w:outlineLvl w:val="2"/>
        <w:rPr>
          <w:rFonts w:ascii="宋体" w:hAnsi="宋体" w:cs="TimesNewRomanPSMT"/>
          <w:b/>
        </w:rPr>
      </w:pPr>
      <w:bookmarkStart w:id="63" w:name="_Toc260305425"/>
      <w:r>
        <w:rPr>
          <w:rFonts w:ascii="宋体" w:hAnsi="宋体" w:cs="TimesNewRomanPSMT"/>
          <w:b/>
        </w:rPr>
        <w:t xml:space="preserve">3.5 </w:t>
      </w:r>
      <w:r>
        <w:rPr>
          <w:rFonts w:hint="eastAsia" w:ascii="宋体" w:hAnsi="宋体" w:cs="TimesNewRomanPSMT"/>
          <w:b/>
        </w:rPr>
        <w:t>商定或确定</w:t>
      </w:r>
      <w:bookmarkEnd w:id="63"/>
    </w:p>
    <w:p>
      <w:pPr>
        <w:autoSpaceDE w:val="0"/>
        <w:autoSpaceDN w:val="0"/>
        <w:adjustRightInd w:val="0"/>
        <w:rPr>
          <w:rFonts w:ascii="宋体" w:hAnsi="宋体" w:cs="宋体"/>
        </w:rPr>
      </w:pPr>
      <w:r>
        <w:rPr>
          <w:rFonts w:ascii="宋体" w:hAnsi="宋体" w:cs="TimesNewRomanPSMT"/>
        </w:rPr>
        <w:t xml:space="preserve">3.5.1 </w:t>
      </w:r>
      <w:r>
        <w:rPr>
          <w:rFonts w:hint="eastAsia" w:ascii="宋体" w:hAnsi="宋体" w:cs="宋体"/>
        </w:rPr>
        <w:t>合同约定总监理工程师应按照本款对任何事项进行商定或确定时，总监理工程师应与合同当事人协商，尽量达成一致。不能达成一致的，总监理工程师应认真研究后审慎确定。</w:t>
      </w:r>
    </w:p>
    <w:p>
      <w:pPr>
        <w:autoSpaceDE w:val="0"/>
        <w:autoSpaceDN w:val="0"/>
        <w:adjustRightInd w:val="0"/>
        <w:rPr>
          <w:rFonts w:ascii="宋体" w:hAnsi="宋体" w:cs="宋体"/>
        </w:rPr>
      </w:pPr>
      <w:r>
        <w:rPr>
          <w:rFonts w:ascii="宋体" w:hAnsi="宋体" w:cs="TimesNewRomanPSMT"/>
        </w:rPr>
        <w:t xml:space="preserve">3.5.2 </w:t>
      </w:r>
      <w:r>
        <w:rPr>
          <w:rFonts w:hint="eastAsia" w:ascii="宋体" w:hAnsi="宋体" w:cs="宋体"/>
        </w:rPr>
        <w:t>总监理工程师应将商定或确定的事项通知合同当事人，并附详细依据。对总监理工程师的确定有异议的，构成争议，按照第</w:t>
      </w:r>
      <w:r>
        <w:rPr>
          <w:rFonts w:ascii="宋体" w:hAnsi="宋体" w:cs="TimesNewRomanPSMT"/>
        </w:rPr>
        <w:t xml:space="preserve">24 </w:t>
      </w:r>
      <w:r>
        <w:rPr>
          <w:rFonts w:hint="eastAsia" w:ascii="宋体" w:hAnsi="宋体" w:cs="宋体"/>
        </w:rPr>
        <w:t>条的约定处理。在争议解决前，双方应暂按总监理工程师的确定执行，按照第</w:t>
      </w:r>
      <w:r>
        <w:rPr>
          <w:rFonts w:ascii="宋体" w:hAnsi="宋体" w:cs="TimesNewRomanPSMT"/>
        </w:rPr>
        <w:t xml:space="preserve">24 </w:t>
      </w:r>
      <w:r>
        <w:rPr>
          <w:rFonts w:hint="eastAsia" w:ascii="宋体" w:hAnsi="宋体" w:cs="宋体"/>
        </w:rPr>
        <w:t>条的约定对总监理工程师的确定作出修改的，按修改后的结果执行。</w:t>
      </w:r>
    </w:p>
    <w:p>
      <w:pPr>
        <w:keepNext/>
        <w:keepLines/>
        <w:spacing w:before="120" w:after="120"/>
        <w:jc w:val="both"/>
        <w:outlineLvl w:val="1"/>
        <w:rPr>
          <w:rFonts w:ascii="宋体" w:hAnsi="宋体" w:cs="TimesNewRomanPSMT"/>
          <w:b/>
          <w:sz w:val="28"/>
          <w:szCs w:val="28"/>
        </w:rPr>
      </w:pPr>
      <w:bookmarkStart w:id="64" w:name="_Toc260305426"/>
      <w:bookmarkStart w:id="65" w:name="_Toc31822"/>
      <w:r>
        <w:rPr>
          <w:rFonts w:ascii="宋体" w:hAnsi="宋体" w:cs="TimesNewRomanPSMT"/>
          <w:b/>
          <w:sz w:val="28"/>
          <w:szCs w:val="28"/>
        </w:rPr>
        <w:t xml:space="preserve">4. </w:t>
      </w:r>
      <w:r>
        <w:rPr>
          <w:rFonts w:hint="eastAsia" w:ascii="宋体" w:hAnsi="宋体" w:cs="TimesNewRomanPSMT"/>
          <w:b/>
          <w:sz w:val="28"/>
          <w:szCs w:val="28"/>
        </w:rPr>
        <w:t>承包人</w:t>
      </w:r>
      <w:bookmarkEnd w:id="64"/>
      <w:bookmarkEnd w:id="65"/>
    </w:p>
    <w:p>
      <w:pPr>
        <w:keepNext/>
        <w:keepLines/>
        <w:spacing w:before="120" w:after="120"/>
        <w:jc w:val="both"/>
        <w:outlineLvl w:val="2"/>
        <w:rPr>
          <w:rFonts w:ascii="宋体" w:hAnsi="宋体" w:cs="TimesNewRomanPSMT"/>
          <w:b/>
        </w:rPr>
      </w:pPr>
      <w:bookmarkStart w:id="66" w:name="_Toc260305427"/>
      <w:r>
        <w:rPr>
          <w:rFonts w:ascii="宋体" w:hAnsi="宋体" w:cs="TimesNewRomanPSMT"/>
          <w:b/>
        </w:rPr>
        <w:t xml:space="preserve">4.1 </w:t>
      </w:r>
      <w:r>
        <w:rPr>
          <w:rFonts w:hint="eastAsia" w:ascii="宋体" w:hAnsi="宋体" w:cs="TimesNewRomanPSMT"/>
          <w:b/>
        </w:rPr>
        <w:t>承包人的一般义务</w:t>
      </w:r>
      <w:bookmarkEnd w:id="66"/>
    </w:p>
    <w:p>
      <w:pPr>
        <w:autoSpaceDE w:val="0"/>
        <w:autoSpaceDN w:val="0"/>
        <w:adjustRightInd w:val="0"/>
        <w:rPr>
          <w:rFonts w:ascii="宋体" w:hAnsi="宋体" w:cs="宋体"/>
        </w:rPr>
      </w:pPr>
      <w:r>
        <w:rPr>
          <w:rFonts w:ascii="宋体" w:hAnsi="宋体" w:cs="TimesNewRomanPSMT"/>
        </w:rPr>
        <w:t xml:space="preserve">4.1.1 </w:t>
      </w:r>
      <w:r>
        <w:rPr>
          <w:rFonts w:hint="eastAsia" w:ascii="宋体" w:hAnsi="宋体" w:cs="宋体"/>
        </w:rPr>
        <w:t>遵守法律</w:t>
      </w:r>
    </w:p>
    <w:p>
      <w:pPr>
        <w:autoSpaceDE w:val="0"/>
        <w:autoSpaceDN w:val="0"/>
        <w:adjustRightInd w:val="0"/>
        <w:rPr>
          <w:rFonts w:ascii="宋体" w:hAnsi="宋体" w:cs="宋体"/>
        </w:rPr>
      </w:pPr>
      <w:r>
        <w:rPr>
          <w:rFonts w:hint="eastAsia" w:ascii="宋体" w:hAnsi="宋体" w:cs="宋体"/>
        </w:rPr>
        <w:t>承包人在履行合同过程中应遵守法律，并保证发包人免于承担因承包人违反法律而引起的任何责任。</w:t>
      </w:r>
    </w:p>
    <w:p>
      <w:pPr>
        <w:autoSpaceDE w:val="0"/>
        <w:autoSpaceDN w:val="0"/>
        <w:adjustRightInd w:val="0"/>
        <w:rPr>
          <w:rFonts w:ascii="宋体" w:hAnsi="宋体" w:cs="宋体"/>
        </w:rPr>
      </w:pPr>
      <w:r>
        <w:rPr>
          <w:rFonts w:ascii="宋体" w:hAnsi="宋体" w:cs="TimesNewRomanPSMT"/>
        </w:rPr>
        <w:t xml:space="preserve">4.1.2 </w:t>
      </w:r>
      <w:r>
        <w:rPr>
          <w:rFonts w:hint="eastAsia" w:ascii="宋体" w:hAnsi="宋体" w:cs="宋体"/>
        </w:rPr>
        <w:t>依法纳税</w:t>
      </w:r>
    </w:p>
    <w:p>
      <w:pPr>
        <w:autoSpaceDE w:val="0"/>
        <w:autoSpaceDN w:val="0"/>
        <w:adjustRightInd w:val="0"/>
        <w:rPr>
          <w:rFonts w:ascii="宋体" w:hAnsi="宋体" w:cs="宋体"/>
        </w:rPr>
      </w:pPr>
      <w:r>
        <w:rPr>
          <w:rFonts w:hint="eastAsia" w:ascii="宋体" w:hAnsi="宋体" w:cs="宋体"/>
        </w:rPr>
        <w:t>承包人应按有关法律规定纳税，应缴纳的税金包括在合同价格内。</w:t>
      </w:r>
    </w:p>
    <w:p>
      <w:pPr>
        <w:autoSpaceDE w:val="0"/>
        <w:autoSpaceDN w:val="0"/>
        <w:adjustRightInd w:val="0"/>
        <w:rPr>
          <w:rFonts w:ascii="宋体" w:hAnsi="宋体" w:cs="宋体"/>
        </w:rPr>
      </w:pPr>
      <w:r>
        <w:rPr>
          <w:rFonts w:ascii="宋体" w:hAnsi="宋体" w:cs="TimesNewRomanPSMT"/>
        </w:rPr>
        <w:t xml:space="preserve">4.1.3 </w:t>
      </w:r>
      <w:r>
        <w:rPr>
          <w:rFonts w:hint="eastAsia" w:ascii="宋体" w:hAnsi="宋体" w:cs="宋体"/>
        </w:rPr>
        <w:t>完成各项承包工作</w:t>
      </w:r>
    </w:p>
    <w:p>
      <w:pPr>
        <w:autoSpaceDE w:val="0"/>
        <w:autoSpaceDN w:val="0"/>
        <w:adjustRightInd w:val="0"/>
        <w:rPr>
          <w:rFonts w:ascii="宋体" w:hAnsi="宋体" w:cs="宋体"/>
        </w:rPr>
      </w:pPr>
      <w:r>
        <w:rPr>
          <w:rFonts w:hint="eastAsia" w:ascii="宋体" w:hAnsi="宋体" w:cs="宋体"/>
        </w:rPr>
        <w:t>承包人应按合同约定以及监理人根据第</w:t>
      </w:r>
      <w:r>
        <w:rPr>
          <w:rFonts w:ascii="宋体" w:hAnsi="宋体" w:cs="TimesNewRomanPSMT"/>
        </w:rPr>
        <w:t xml:space="preserve">3.4 </w:t>
      </w:r>
      <w:r>
        <w:rPr>
          <w:rFonts w:hint="eastAsia" w:ascii="宋体" w:hAnsi="宋体" w:cs="宋体"/>
        </w:rPr>
        <w:t>款作出的指示，实施、完成全部工程，并修补工程中的任何缺陷。除专用合同条款另有约定外，承包人应提供为完成合同工作所需的劳务、材料、施工设备、工程设备和其他物品，并按合同约定负责临时设施的设计、建造、运行、维护、管理和拆除。</w:t>
      </w:r>
    </w:p>
    <w:p>
      <w:pPr>
        <w:autoSpaceDE w:val="0"/>
        <w:autoSpaceDN w:val="0"/>
        <w:adjustRightInd w:val="0"/>
        <w:rPr>
          <w:rFonts w:ascii="宋体" w:hAnsi="宋体" w:cs="宋体"/>
        </w:rPr>
      </w:pPr>
      <w:r>
        <w:rPr>
          <w:rFonts w:ascii="宋体" w:hAnsi="宋体" w:cs="TimesNewRomanPSMT"/>
        </w:rPr>
        <w:t xml:space="preserve">4.1.4 </w:t>
      </w:r>
      <w:r>
        <w:rPr>
          <w:rFonts w:hint="eastAsia" w:ascii="宋体" w:hAnsi="宋体" w:cs="宋体"/>
        </w:rPr>
        <w:t>对施工作业和施工方法的完备性负责</w:t>
      </w:r>
    </w:p>
    <w:p>
      <w:pPr>
        <w:autoSpaceDE w:val="0"/>
        <w:autoSpaceDN w:val="0"/>
        <w:adjustRightInd w:val="0"/>
        <w:rPr>
          <w:rFonts w:ascii="宋体" w:hAnsi="宋体" w:cs="宋体"/>
        </w:rPr>
      </w:pPr>
      <w:r>
        <w:rPr>
          <w:rFonts w:hint="eastAsia" w:ascii="宋体" w:hAnsi="宋体" w:cs="宋体"/>
        </w:rPr>
        <w:t>承包人应按合同约定的工作内容和施工进度要求，编制施工组织设计和施工措施计划，并对所有施工作业和施工方法的完备性和安全可靠性负责。</w:t>
      </w:r>
    </w:p>
    <w:p>
      <w:pPr>
        <w:autoSpaceDE w:val="0"/>
        <w:autoSpaceDN w:val="0"/>
        <w:adjustRightInd w:val="0"/>
        <w:rPr>
          <w:rFonts w:ascii="宋体" w:hAnsi="宋体" w:cs="宋体"/>
        </w:rPr>
      </w:pPr>
      <w:r>
        <w:rPr>
          <w:rFonts w:ascii="宋体" w:hAnsi="宋体" w:cs="TimesNewRomanPSMT"/>
        </w:rPr>
        <w:t xml:space="preserve">4.1.5 </w:t>
      </w:r>
      <w:r>
        <w:rPr>
          <w:rFonts w:hint="eastAsia" w:ascii="宋体" w:hAnsi="宋体" w:cs="宋体"/>
        </w:rPr>
        <w:t>保证工程施工和人员的安全</w:t>
      </w:r>
    </w:p>
    <w:p>
      <w:pPr>
        <w:autoSpaceDE w:val="0"/>
        <w:autoSpaceDN w:val="0"/>
        <w:adjustRightInd w:val="0"/>
        <w:rPr>
          <w:rFonts w:ascii="宋体" w:hAnsi="宋体" w:cs="宋体"/>
        </w:rPr>
      </w:pPr>
      <w:r>
        <w:rPr>
          <w:rFonts w:hint="eastAsia" w:ascii="宋体" w:hAnsi="宋体" w:cs="宋体"/>
        </w:rPr>
        <w:t>承包人应按第</w:t>
      </w:r>
      <w:r>
        <w:rPr>
          <w:rFonts w:ascii="宋体" w:hAnsi="宋体" w:cs="TimesNewRomanPSMT"/>
        </w:rPr>
        <w:t xml:space="preserve">9.2 </w:t>
      </w:r>
      <w:r>
        <w:rPr>
          <w:rFonts w:hint="eastAsia" w:ascii="宋体" w:hAnsi="宋体" w:cs="宋体"/>
        </w:rPr>
        <w:t>款约定采取施工安全措施，确保工程及其人员、材料、设备和设施的安全，防止因工程施工造成的人身伤害和财产损失。</w:t>
      </w:r>
    </w:p>
    <w:p>
      <w:pPr>
        <w:autoSpaceDE w:val="0"/>
        <w:autoSpaceDN w:val="0"/>
        <w:adjustRightInd w:val="0"/>
        <w:rPr>
          <w:rFonts w:ascii="宋体" w:hAnsi="宋体" w:cs="宋体"/>
        </w:rPr>
      </w:pPr>
      <w:r>
        <w:rPr>
          <w:rFonts w:ascii="宋体" w:hAnsi="宋体" w:cs="TimesNewRomanPSMT"/>
        </w:rPr>
        <w:t xml:space="preserve">4.1.6 </w:t>
      </w:r>
      <w:r>
        <w:rPr>
          <w:rFonts w:hint="eastAsia" w:ascii="宋体" w:hAnsi="宋体" w:cs="宋体"/>
        </w:rPr>
        <w:t>负责施工场地及其周边环境与生态的保护工作</w:t>
      </w:r>
    </w:p>
    <w:p>
      <w:pPr>
        <w:autoSpaceDE w:val="0"/>
        <w:autoSpaceDN w:val="0"/>
        <w:adjustRightInd w:val="0"/>
        <w:rPr>
          <w:rFonts w:ascii="宋体" w:hAnsi="宋体" w:cs="宋体"/>
        </w:rPr>
      </w:pPr>
      <w:r>
        <w:rPr>
          <w:rFonts w:hint="eastAsia" w:ascii="宋体" w:hAnsi="宋体" w:cs="宋体"/>
        </w:rPr>
        <w:t>承包人应按照第</w:t>
      </w:r>
      <w:r>
        <w:rPr>
          <w:rFonts w:ascii="宋体" w:hAnsi="宋体" w:cs="TimesNewRomanPSMT"/>
        </w:rPr>
        <w:t xml:space="preserve">9.4 </w:t>
      </w:r>
      <w:r>
        <w:rPr>
          <w:rFonts w:hint="eastAsia" w:ascii="宋体" w:hAnsi="宋体" w:cs="宋体"/>
        </w:rPr>
        <w:t>款约定负责施工场地及其周边环境与生态的保护工作。</w:t>
      </w:r>
    </w:p>
    <w:p>
      <w:pPr>
        <w:autoSpaceDE w:val="0"/>
        <w:autoSpaceDN w:val="0"/>
        <w:adjustRightInd w:val="0"/>
        <w:rPr>
          <w:rFonts w:ascii="宋体" w:hAnsi="宋体" w:cs="宋体"/>
        </w:rPr>
      </w:pPr>
      <w:r>
        <w:rPr>
          <w:rFonts w:ascii="宋体" w:hAnsi="宋体" w:cs="TimesNewRomanPSMT"/>
        </w:rPr>
        <w:t xml:space="preserve">4.1.7 </w:t>
      </w:r>
      <w:r>
        <w:rPr>
          <w:rFonts w:hint="eastAsia" w:ascii="宋体" w:hAnsi="宋体" w:cs="宋体"/>
        </w:rPr>
        <w:t>避免施工对公众与他人的利益造成损害</w:t>
      </w:r>
    </w:p>
    <w:p>
      <w:pPr>
        <w:autoSpaceDE w:val="0"/>
        <w:autoSpaceDN w:val="0"/>
        <w:adjustRightInd w:val="0"/>
        <w:rPr>
          <w:rFonts w:ascii="宋体" w:hAnsi="宋体" w:cs="宋体"/>
        </w:rPr>
      </w:pPr>
      <w:r>
        <w:rPr>
          <w:rFonts w:hint="eastAsia" w:ascii="宋体" w:hAnsi="宋体" w:cs="宋体"/>
        </w:rPr>
        <w:t>承包人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pPr>
        <w:autoSpaceDE w:val="0"/>
        <w:autoSpaceDN w:val="0"/>
        <w:adjustRightInd w:val="0"/>
        <w:rPr>
          <w:rFonts w:ascii="宋体" w:hAnsi="宋体" w:cs="宋体"/>
        </w:rPr>
      </w:pPr>
      <w:r>
        <w:rPr>
          <w:rFonts w:ascii="宋体" w:hAnsi="宋体" w:cs="TimesNewRomanPSMT"/>
        </w:rPr>
        <w:t xml:space="preserve">4.1.8 </w:t>
      </w:r>
      <w:r>
        <w:rPr>
          <w:rFonts w:hint="eastAsia" w:ascii="宋体" w:hAnsi="宋体" w:cs="宋体"/>
        </w:rPr>
        <w:t>为他人提供方便</w:t>
      </w:r>
    </w:p>
    <w:p>
      <w:pPr>
        <w:autoSpaceDE w:val="0"/>
        <w:autoSpaceDN w:val="0"/>
        <w:adjustRightInd w:val="0"/>
        <w:rPr>
          <w:rFonts w:ascii="宋体" w:hAnsi="宋体" w:cs="宋体"/>
        </w:rPr>
      </w:pPr>
      <w:r>
        <w:rPr>
          <w:rFonts w:hint="eastAsia" w:ascii="宋体" w:hAnsi="宋体" w:cs="宋体"/>
        </w:rPr>
        <w:t>承包人应按监理人的指示为他人在施工场地或附近实施与工程有关的其他各项工作提供可能的条件。除合同另有约定外，提供有关条件的内容和可能发生的费用，由监理人按第</w:t>
      </w:r>
      <w:r>
        <w:rPr>
          <w:rFonts w:ascii="宋体" w:hAnsi="宋体" w:cs="TimesNewRomanPSMT"/>
        </w:rPr>
        <w:t xml:space="preserve">3.5 </w:t>
      </w:r>
      <w:r>
        <w:rPr>
          <w:rFonts w:hint="eastAsia" w:ascii="宋体" w:hAnsi="宋体" w:cs="宋体"/>
        </w:rPr>
        <w:t>款商定或确定。</w:t>
      </w:r>
    </w:p>
    <w:p>
      <w:pPr>
        <w:autoSpaceDE w:val="0"/>
        <w:autoSpaceDN w:val="0"/>
        <w:adjustRightInd w:val="0"/>
        <w:rPr>
          <w:rFonts w:ascii="宋体" w:hAnsi="宋体" w:cs="宋体"/>
        </w:rPr>
      </w:pPr>
      <w:r>
        <w:rPr>
          <w:rFonts w:ascii="宋体" w:hAnsi="宋体" w:cs="TimesNewRomanPSMT"/>
        </w:rPr>
        <w:t xml:space="preserve">4.1.9 </w:t>
      </w:r>
      <w:r>
        <w:rPr>
          <w:rFonts w:hint="eastAsia" w:ascii="宋体" w:hAnsi="宋体" w:cs="宋体"/>
        </w:rPr>
        <w:t>工程的维护和照管</w:t>
      </w:r>
    </w:p>
    <w:p>
      <w:pPr>
        <w:autoSpaceDE w:val="0"/>
        <w:autoSpaceDN w:val="0"/>
        <w:adjustRightInd w:val="0"/>
        <w:rPr>
          <w:rFonts w:ascii="宋体" w:hAnsi="宋体" w:cs="宋体"/>
        </w:rPr>
      </w:pPr>
      <w:r>
        <w:rPr>
          <w:rFonts w:hint="eastAsia" w:ascii="宋体" w:hAnsi="宋体" w:cs="宋体"/>
        </w:rPr>
        <w:t>工程接收证书颁发前，承包人应负责照管和维护工程。工程接收证书颁发时尚有部分未竣工工程的，承包人还应负责该未竣工工程的照管和维护工作，直至竣工后移交给发包人为止。</w:t>
      </w:r>
    </w:p>
    <w:p>
      <w:pPr>
        <w:autoSpaceDE w:val="0"/>
        <w:autoSpaceDN w:val="0"/>
        <w:adjustRightInd w:val="0"/>
        <w:rPr>
          <w:rFonts w:ascii="宋体" w:hAnsi="宋体" w:cs="宋体"/>
        </w:rPr>
      </w:pPr>
      <w:r>
        <w:rPr>
          <w:rFonts w:ascii="宋体" w:hAnsi="宋体" w:cs="TimesNewRomanPSMT"/>
        </w:rPr>
        <w:t xml:space="preserve">4.1.10 </w:t>
      </w:r>
      <w:r>
        <w:rPr>
          <w:rFonts w:hint="eastAsia" w:ascii="宋体" w:hAnsi="宋体" w:cs="宋体"/>
        </w:rPr>
        <w:t>其他义务</w:t>
      </w:r>
    </w:p>
    <w:p>
      <w:pPr>
        <w:autoSpaceDE w:val="0"/>
        <w:autoSpaceDN w:val="0"/>
        <w:adjustRightInd w:val="0"/>
        <w:rPr>
          <w:rFonts w:ascii="宋体" w:hAnsi="宋体" w:cs="宋体"/>
        </w:rPr>
      </w:pPr>
      <w:r>
        <w:rPr>
          <w:rFonts w:hint="eastAsia" w:ascii="宋体" w:hAnsi="宋体" w:cs="宋体"/>
        </w:rPr>
        <w:t>承包人应履行合同约定的其他义务。</w:t>
      </w:r>
    </w:p>
    <w:p>
      <w:pPr>
        <w:keepNext/>
        <w:keepLines/>
        <w:spacing w:before="120" w:after="120"/>
        <w:jc w:val="both"/>
        <w:outlineLvl w:val="2"/>
        <w:rPr>
          <w:rFonts w:ascii="宋体" w:hAnsi="宋体" w:cs="TimesNewRomanPSMT"/>
          <w:b/>
        </w:rPr>
      </w:pPr>
      <w:bookmarkStart w:id="67" w:name="_Toc260305428"/>
      <w:r>
        <w:rPr>
          <w:rFonts w:ascii="宋体" w:hAnsi="宋体" w:cs="TimesNewRomanPSMT"/>
          <w:b/>
        </w:rPr>
        <w:t xml:space="preserve">4.2 </w:t>
      </w:r>
      <w:r>
        <w:rPr>
          <w:rFonts w:hint="eastAsia" w:ascii="宋体" w:hAnsi="宋体" w:cs="TimesNewRomanPSMT"/>
          <w:b/>
        </w:rPr>
        <w:t>履约担保</w:t>
      </w:r>
      <w:bookmarkEnd w:id="67"/>
    </w:p>
    <w:p>
      <w:pPr>
        <w:autoSpaceDE w:val="0"/>
        <w:autoSpaceDN w:val="0"/>
        <w:adjustRightInd w:val="0"/>
        <w:rPr>
          <w:rFonts w:ascii="宋体" w:hAnsi="宋体" w:cs="宋体"/>
        </w:rPr>
      </w:pPr>
      <w:r>
        <w:rPr>
          <w:rFonts w:hint="eastAsia" w:ascii="宋体" w:hAnsi="宋体" w:cs="宋体"/>
        </w:rPr>
        <w:t>承包人应保证其履约担保在发包人颁发工程接收证书前一直有效。发包人应在工程接收证书颁发后</w:t>
      </w:r>
      <w:r>
        <w:rPr>
          <w:rFonts w:ascii="宋体" w:hAnsi="宋体" w:cs="TimesNewRomanPSMT"/>
        </w:rPr>
        <w:t xml:space="preserve">28 </w:t>
      </w:r>
      <w:r>
        <w:rPr>
          <w:rFonts w:hint="eastAsia" w:ascii="宋体" w:hAnsi="宋体" w:cs="宋体"/>
        </w:rPr>
        <w:t>天内把履约担保退还给承包人。</w:t>
      </w:r>
    </w:p>
    <w:p>
      <w:pPr>
        <w:keepNext/>
        <w:keepLines/>
        <w:spacing w:before="120" w:after="120"/>
        <w:jc w:val="both"/>
        <w:outlineLvl w:val="2"/>
        <w:rPr>
          <w:rFonts w:ascii="宋体" w:hAnsi="宋体" w:cs="TimesNewRomanPSMT"/>
          <w:b/>
        </w:rPr>
      </w:pPr>
      <w:bookmarkStart w:id="68" w:name="_Toc260305429"/>
      <w:r>
        <w:rPr>
          <w:rFonts w:ascii="宋体" w:hAnsi="宋体" w:cs="TimesNewRomanPSMT"/>
          <w:b/>
        </w:rPr>
        <w:t xml:space="preserve">4.3 </w:t>
      </w:r>
      <w:r>
        <w:rPr>
          <w:rFonts w:hint="eastAsia" w:ascii="宋体" w:hAnsi="宋体" w:cs="TimesNewRomanPSMT"/>
          <w:b/>
        </w:rPr>
        <w:t>分包</w:t>
      </w:r>
      <w:bookmarkEnd w:id="68"/>
    </w:p>
    <w:p>
      <w:pPr>
        <w:autoSpaceDE w:val="0"/>
        <w:autoSpaceDN w:val="0"/>
        <w:adjustRightInd w:val="0"/>
        <w:rPr>
          <w:rFonts w:ascii="宋体" w:hAnsi="宋体" w:cs="宋体"/>
        </w:rPr>
      </w:pPr>
      <w:r>
        <w:rPr>
          <w:rFonts w:ascii="宋体" w:hAnsi="宋体" w:cs="TimesNewRomanPSMT"/>
        </w:rPr>
        <w:t xml:space="preserve">4.3.1 </w:t>
      </w:r>
      <w:r>
        <w:rPr>
          <w:rFonts w:hint="eastAsia" w:ascii="宋体" w:hAnsi="宋体" w:cs="宋体"/>
        </w:rPr>
        <w:t>承包人不得将其承包的全部工程转包给第三人，或将其承包的全部工程肢解后以分包的名义转包给第三人。</w:t>
      </w:r>
    </w:p>
    <w:p>
      <w:pPr>
        <w:autoSpaceDE w:val="0"/>
        <w:autoSpaceDN w:val="0"/>
        <w:adjustRightInd w:val="0"/>
        <w:rPr>
          <w:rFonts w:ascii="宋体" w:hAnsi="宋体" w:cs="宋体"/>
        </w:rPr>
      </w:pPr>
      <w:r>
        <w:rPr>
          <w:rFonts w:ascii="宋体" w:hAnsi="宋体" w:cs="TimesNewRomanPSMT"/>
        </w:rPr>
        <w:t xml:space="preserve">4.3.2 </w:t>
      </w:r>
      <w:r>
        <w:rPr>
          <w:rFonts w:hint="eastAsia" w:ascii="宋体" w:hAnsi="宋体" w:cs="宋体"/>
        </w:rPr>
        <w:t>承包人不得将工程主体、关键性工作分包给第三人。除专用合同条款另有约定外，未经发包人同意，承包人不得将工程的其他部分或工作分包给第三人。</w:t>
      </w:r>
    </w:p>
    <w:p>
      <w:pPr>
        <w:autoSpaceDE w:val="0"/>
        <w:autoSpaceDN w:val="0"/>
        <w:adjustRightInd w:val="0"/>
        <w:rPr>
          <w:rFonts w:ascii="宋体" w:hAnsi="宋体" w:cs="宋体"/>
        </w:rPr>
      </w:pPr>
      <w:r>
        <w:rPr>
          <w:rFonts w:ascii="宋体" w:hAnsi="宋体" w:cs="TimesNewRomanPSMT"/>
        </w:rPr>
        <w:t xml:space="preserve">4.3.3 </w:t>
      </w:r>
      <w:r>
        <w:rPr>
          <w:rFonts w:hint="eastAsia" w:ascii="宋体" w:hAnsi="宋体" w:cs="宋体"/>
        </w:rPr>
        <w:t>分包人的资格能力应与其分包工程的标准和规模相适应。</w:t>
      </w:r>
    </w:p>
    <w:p>
      <w:pPr>
        <w:autoSpaceDE w:val="0"/>
        <w:autoSpaceDN w:val="0"/>
        <w:adjustRightInd w:val="0"/>
        <w:rPr>
          <w:rFonts w:ascii="宋体" w:hAnsi="宋体" w:cs="宋体"/>
        </w:rPr>
      </w:pPr>
      <w:r>
        <w:rPr>
          <w:rFonts w:ascii="宋体" w:hAnsi="宋体" w:cs="TimesNewRomanPSMT"/>
        </w:rPr>
        <w:t xml:space="preserve">4.3.4 </w:t>
      </w:r>
      <w:r>
        <w:rPr>
          <w:rFonts w:hint="eastAsia" w:ascii="宋体" w:hAnsi="宋体" w:cs="宋体"/>
        </w:rPr>
        <w:t>按投标函附录约定分包工程的，承包人应向发包人和监理人提交分包合同副本。</w:t>
      </w:r>
    </w:p>
    <w:p>
      <w:pPr>
        <w:autoSpaceDE w:val="0"/>
        <w:autoSpaceDN w:val="0"/>
        <w:adjustRightInd w:val="0"/>
        <w:rPr>
          <w:rFonts w:ascii="宋体" w:hAnsi="宋体" w:cs="宋体"/>
        </w:rPr>
      </w:pPr>
      <w:r>
        <w:rPr>
          <w:rFonts w:ascii="宋体" w:hAnsi="宋体" w:cs="TimesNewRomanPSMT"/>
        </w:rPr>
        <w:t xml:space="preserve">4.3.5 </w:t>
      </w:r>
      <w:r>
        <w:rPr>
          <w:rFonts w:hint="eastAsia" w:ascii="宋体" w:hAnsi="宋体" w:cs="宋体"/>
        </w:rPr>
        <w:t>承包人应与分包人就分包工程向发包人承担连带责任。</w:t>
      </w:r>
    </w:p>
    <w:p>
      <w:pPr>
        <w:keepNext/>
        <w:keepLines/>
        <w:spacing w:before="120" w:after="120"/>
        <w:jc w:val="both"/>
        <w:outlineLvl w:val="2"/>
        <w:rPr>
          <w:rFonts w:ascii="宋体" w:hAnsi="宋体" w:cs="TimesNewRomanPSMT"/>
          <w:b/>
        </w:rPr>
      </w:pPr>
      <w:bookmarkStart w:id="69" w:name="_Toc260305430"/>
      <w:r>
        <w:rPr>
          <w:rFonts w:ascii="宋体" w:hAnsi="宋体" w:cs="TimesNewRomanPSMT"/>
          <w:b/>
        </w:rPr>
        <w:t xml:space="preserve">4.4 </w:t>
      </w:r>
      <w:r>
        <w:rPr>
          <w:rFonts w:hint="eastAsia" w:ascii="宋体" w:hAnsi="宋体" w:cs="TimesNewRomanPSMT"/>
          <w:b/>
        </w:rPr>
        <w:t>联合体</w:t>
      </w:r>
      <w:bookmarkEnd w:id="69"/>
    </w:p>
    <w:p>
      <w:pPr>
        <w:autoSpaceDE w:val="0"/>
        <w:autoSpaceDN w:val="0"/>
        <w:adjustRightInd w:val="0"/>
        <w:rPr>
          <w:rFonts w:ascii="宋体" w:hAnsi="宋体" w:cs="宋体"/>
        </w:rPr>
      </w:pPr>
      <w:r>
        <w:rPr>
          <w:rFonts w:ascii="宋体" w:hAnsi="宋体" w:cs="TimesNewRomanPSMT"/>
        </w:rPr>
        <w:t xml:space="preserve">4.4.1 </w:t>
      </w:r>
      <w:r>
        <w:rPr>
          <w:rFonts w:hint="eastAsia" w:ascii="宋体" w:hAnsi="宋体" w:cs="宋体"/>
        </w:rPr>
        <w:t>联合体各方应共同与发包人签订合同协议书。联合体各方应为履行合同承担连带责任。</w:t>
      </w:r>
    </w:p>
    <w:p>
      <w:pPr>
        <w:autoSpaceDE w:val="0"/>
        <w:autoSpaceDN w:val="0"/>
        <w:adjustRightInd w:val="0"/>
        <w:rPr>
          <w:rFonts w:ascii="宋体" w:hAnsi="宋体" w:cs="宋体"/>
        </w:rPr>
      </w:pPr>
      <w:r>
        <w:rPr>
          <w:rFonts w:ascii="宋体" w:hAnsi="宋体" w:cs="TimesNewRomanPSMT"/>
        </w:rPr>
        <w:t xml:space="preserve">4.4.2 </w:t>
      </w:r>
      <w:r>
        <w:rPr>
          <w:rFonts w:hint="eastAsia" w:ascii="宋体" w:hAnsi="宋体" w:cs="宋体"/>
        </w:rPr>
        <w:t>联合体协议经发包人确认后作为合同附件。在履行合同过程中，未经发包人同意，不得修改联合体协议。</w:t>
      </w:r>
    </w:p>
    <w:p>
      <w:pPr>
        <w:autoSpaceDE w:val="0"/>
        <w:autoSpaceDN w:val="0"/>
        <w:adjustRightInd w:val="0"/>
        <w:rPr>
          <w:rFonts w:ascii="宋体" w:hAnsi="宋体" w:cs="宋体"/>
        </w:rPr>
      </w:pPr>
      <w:r>
        <w:rPr>
          <w:rFonts w:ascii="宋体" w:hAnsi="宋体" w:cs="TimesNewRomanPSMT"/>
        </w:rPr>
        <w:t xml:space="preserve">4.4.3 </w:t>
      </w:r>
      <w:r>
        <w:rPr>
          <w:rFonts w:hint="eastAsia" w:ascii="宋体" w:hAnsi="宋体" w:cs="宋体"/>
        </w:rPr>
        <w:t>联合体牵头人负责与发包人和监理人联系，并接受指示，负责组织联合体各成员全面履行合同。</w:t>
      </w:r>
    </w:p>
    <w:p>
      <w:pPr>
        <w:keepNext/>
        <w:keepLines/>
        <w:spacing w:before="120" w:after="120"/>
        <w:jc w:val="both"/>
        <w:outlineLvl w:val="2"/>
        <w:rPr>
          <w:rFonts w:ascii="宋体" w:hAnsi="宋体" w:cs="TimesNewRomanPSMT"/>
          <w:b/>
        </w:rPr>
      </w:pPr>
      <w:bookmarkStart w:id="70" w:name="_Toc260305431"/>
      <w:r>
        <w:rPr>
          <w:rFonts w:ascii="宋体" w:hAnsi="宋体" w:cs="TimesNewRomanPSMT"/>
          <w:b/>
        </w:rPr>
        <w:t xml:space="preserve">4.5 </w:t>
      </w:r>
      <w:r>
        <w:rPr>
          <w:rFonts w:hint="eastAsia" w:ascii="宋体" w:hAnsi="宋体" w:cs="TimesNewRomanPSMT"/>
          <w:b/>
        </w:rPr>
        <w:t>承包人项目经理</w:t>
      </w:r>
      <w:bookmarkEnd w:id="70"/>
    </w:p>
    <w:p>
      <w:pPr>
        <w:autoSpaceDE w:val="0"/>
        <w:autoSpaceDN w:val="0"/>
        <w:adjustRightInd w:val="0"/>
        <w:rPr>
          <w:rFonts w:ascii="宋体" w:hAnsi="宋体" w:cs="宋体"/>
        </w:rPr>
      </w:pPr>
      <w:r>
        <w:rPr>
          <w:rFonts w:ascii="宋体" w:hAnsi="宋体" w:cs="TimesNewRomanPSMT"/>
        </w:rPr>
        <w:t xml:space="preserve">4.5.1 </w:t>
      </w:r>
      <w:r>
        <w:rPr>
          <w:rFonts w:hint="eastAsia" w:ascii="宋体" w:hAnsi="宋体" w:cs="宋体"/>
        </w:rPr>
        <w:t>承包人应按合同约定指派项目经理，并在约定的期限内到职。承包人更换项目经理应事先征得发包人同意，并应在更换</w:t>
      </w:r>
      <w:r>
        <w:rPr>
          <w:rFonts w:ascii="宋体" w:hAnsi="宋体" w:cs="TimesNewRomanPSMT"/>
        </w:rPr>
        <w:t xml:space="preserve">14 </w:t>
      </w:r>
      <w:r>
        <w:rPr>
          <w:rFonts w:hint="eastAsia" w:ascii="宋体" w:hAnsi="宋体" w:cs="宋体"/>
        </w:rPr>
        <w:t>天前通知发包人和监理人。承包人项目经理短期离开施工场地，应事先征得监理人同意，并委派代表代行其职责。</w:t>
      </w:r>
    </w:p>
    <w:p>
      <w:pPr>
        <w:autoSpaceDE w:val="0"/>
        <w:autoSpaceDN w:val="0"/>
        <w:adjustRightInd w:val="0"/>
        <w:rPr>
          <w:rFonts w:ascii="宋体" w:hAnsi="宋体" w:cs="宋体"/>
        </w:rPr>
      </w:pPr>
      <w:r>
        <w:rPr>
          <w:rFonts w:ascii="宋体" w:hAnsi="宋体" w:cs="TimesNewRomanPSMT"/>
        </w:rPr>
        <w:t xml:space="preserve">4.5.2 </w:t>
      </w:r>
      <w:r>
        <w:rPr>
          <w:rFonts w:hint="eastAsia" w:ascii="宋体" w:hAnsi="宋体" w:cs="宋体"/>
        </w:rPr>
        <w:t>承包人项目经理应按合同约定以及监理人按第</w:t>
      </w:r>
      <w:r>
        <w:rPr>
          <w:rFonts w:ascii="宋体" w:hAnsi="宋体" w:cs="TimesNewRomanPSMT"/>
        </w:rPr>
        <w:t xml:space="preserve">3.4 </w:t>
      </w:r>
      <w:r>
        <w:rPr>
          <w:rFonts w:hint="eastAsia" w:ascii="宋体" w:hAnsi="宋体" w:cs="宋体"/>
        </w:rPr>
        <w:t>款作出的指示，负责组织合同工程的实施。在情况紧急且无法与监理人取得联系时，可采取保证工程和人员生命财产安全的紧急措施，并在采取措施后</w:t>
      </w:r>
      <w:r>
        <w:rPr>
          <w:rFonts w:ascii="宋体" w:hAnsi="宋体" w:cs="TimesNewRomanPSMT"/>
        </w:rPr>
        <w:t xml:space="preserve">24 </w:t>
      </w:r>
      <w:r>
        <w:rPr>
          <w:rFonts w:hint="eastAsia" w:ascii="宋体" w:hAnsi="宋体" w:cs="宋体"/>
        </w:rPr>
        <w:t>小时内向监理人提交书面报告。</w:t>
      </w:r>
    </w:p>
    <w:p>
      <w:pPr>
        <w:autoSpaceDE w:val="0"/>
        <w:autoSpaceDN w:val="0"/>
        <w:adjustRightInd w:val="0"/>
        <w:rPr>
          <w:rFonts w:ascii="宋体" w:hAnsi="宋体" w:cs="宋体"/>
        </w:rPr>
      </w:pPr>
      <w:r>
        <w:rPr>
          <w:rFonts w:ascii="宋体" w:hAnsi="宋体" w:cs="TimesNewRomanPSMT"/>
        </w:rPr>
        <w:t xml:space="preserve">4.5.3 </w:t>
      </w:r>
      <w:r>
        <w:rPr>
          <w:rFonts w:hint="eastAsia" w:ascii="宋体" w:hAnsi="宋体" w:cs="宋体"/>
        </w:rPr>
        <w:t>承包人为履行合同发出的一切函件均应盖有承包人授权的施工场地管理机构章，并由承包人项目经理或其授权代表签字。</w:t>
      </w:r>
    </w:p>
    <w:p>
      <w:pPr>
        <w:autoSpaceDE w:val="0"/>
        <w:autoSpaceDN w:val="0"/>
        <w:adjustRightInd w:val="0"/>
        <w:rPr>
          <w:rFonts w:ascii="宋体" w:hAnsi="宋体" w:cs="宋体"/>
        </w:rPr>
      </w:pPr>
      <w:r>
        <w:rPr>
          <w:rFonts w:ascii="宋体" w:hAnsi="宋体" w:cs="TimesNewRomanPSMT"/>
        </w:rPr>
        <w:t xml:space="preserve">4.5.4 </w:t>
      </w:r>
      <w:r>
        <w:rPr>
          <w:rFonts w:hint="eastAsia" w:ascii="宋体" w:hAnsi="宋体" w:cs="宋体"/>
        </w:rPr>
        <w:t>承包人项目经理可以授权其下属人员履行其某项职责，但事先应将这些人员的姓名和授权范围通知监理人。</w:t>
      </w:r>
    </w:p>
    <w:p>
      <w:pPr>
        <w:keepNext/>
        <w:keepLines/>
        <w:spacing w:before="120" w:after="120"/>
        <w:jc w:val="both"/>
        <w:outlineLvl w:val="2"/>
        <w:rPr>
          <w:rFonts w:ascii="宋体" w:hAnsi="宋体" w:cs="TimesNewRomanPSMT"/>
          <w:b/>
        </w:rPr>
      </w:pPr>
      <w:bookmarkStart w:id="71" w:name="_Toc260305432"/>
      <w:r>
        <w:rPr>
          <w:rFonts w:ascii="宋体" w:hAnsi="宋体" w:cs="TimesNewRomanPSMT"/>
          <w:b/>
        </w:rPr>
        <w:t xml:space="preserve">4.6 </w:t>
      </w:r>
      <w:r>
        <w:rPr>
          <w:rFonts w:hint="eastAsia" w:ascii="宋体" w:hAnsi="宋体" w:cs="TimesNewRomanPSMT"/>
          <w:b/>
        </w:rPr>
        <w:t>承包人人员的管理</w:t>
      </w:r>
      <w:bookmarkEnd w:id="71"/>
    </w:p>
    <w:p>
      <w:pPr>
        <w:autoSpaceDE w:val="0"/>
        <w:autoSpaceDN w:val="0"/>
        <w:adjustRightInd w:val="0"/>
        <w:rPr>
          <w:rFonts w:ascii="宋体" w:hAnsi="宋体" w:cs="宋体"/>
        </w:rPr>
      </w:pPr>
      <w:r>
        <w:rPr>
          <w:rFonts w:ascii="宋体" w:hAnsi="宋体" w:cs="TimesNewRomanPSMT"/>
        </w:rPr>
        <w:t xml:space="preserve">4.6.1 </w:t>
      </w:r>
      <w:r>
        <w:rPr>
          <w:rFonts w:hint="eastAsia" w:ascii="宋体" w:hAnsi="宋体" w:cs="宋体"/>
        </w:rPr>
        <w:t xml:space="preserve">承包人应在接到开工通知后 </w:t>
      </w:r>
      <w:r>
        <w:rPr>
          <w:rFonts w:ascii="宋体" w:hAnsi="宋体" w:cs="TimesNewRomanPSMT"/>
        </w:rPr>
        <w:t xml:space="preserve">28 </w:t>
      </w:r>
      <w:r>
        <w:rPr>
          <w:rFonts w:hint="eastAsia" w:ascii="宋体" w:hAnsi="宋体" w:cs="宋体"/>
        </w:rPr>
        <w:t>天内，向监理人提交承包人在施工场地的管理机构以及人员安排的报告，其内容应包括管理机构的设置、各主要岗位的技术和管理人员名单及其资格，以及各工种技术工人的安排状况。承包人应向监理人提交施工场地人员变动情况的报告。</w:t>
      </w:r>
    </w:p>
    <w:p>
      <w:pPr>
        <w:autoSpaceDE w:val="0"/>
        <w:autoSpaceDN w:val="0"/>
        <w:adjustRightInd w:val="0"/>
        <w:rPr>
          <w:rFonts w:ascii="宋体" w:hAnsi="宋体" w:cs="宋体"/>
        </w:rPr>
      </w:pPr>
      <w:r>
        <w:rPr>
          <w:rFonts w:ascii="宋体" w:hAnsi="宋体" w:cs="TimesNewRomanPSMT"/>
        </w:rPr>
        <w:t xml:space="preserve">4.6.2 </w:t>
      </w:r>
      <w:r>
        <w:rPr>
          <w:rFonts w:hint="eastAsia" w:ascii="宋体" w:hAnsi="宋体" w:cs="宋体"/>
        </w:rPr>
        <w:t>为完成合同约定的各项工作，承包人应向施工场地派遣或雇佣足够数量的下列人员：</w:t>
      </w:r>
    </w:p>
    <w:p>
      <w:pPr>
        <w:autoSpaceDE w:val="0"/>
        <w:autoSpaceDN w:val="0"/>
        <w:adjustRightInd w:val="0"/>
        <w:rPr>
          <w:rFonts w:ascii="宋体" w:hAnsi="宋体" w:cs="宋体"/>
        </w:rPr>
      </w:pPr>
      <w:r>
        <w:rPr>
          <w:rFonts w:hint="eastAsia" w:ascii="宋体" w:hAnsi="宋体" w:cs="宋体"/>
        </w:rPr>
        <w:t>（</w:t>
      </w:r>
      <w:r>
        <w:rPr>
          <w:rFonts w:ascii="宋体" w:hAnsi="宋体" w:cs="TimesNewRomanPSMT"/>
        </w:rPr>
        <w:t>1</w:t>
      </w:r>
      <w:r>
        <w:rPr>
          <w:rFonts w:hint="eastAsia" w:ascii="宋体" w:hAnsi="宋体" w:cs="宋体"/>
        </w:rPr>
        <w:t>）具有相应资格的专业技工和合格的普工；</w:t>
      </w:r>
    </w:p>
    <w:p>
      <w:pPr>
        <w:autoSpaceDE w:val="0"/>
        <w:autoSpaceDN w:val="0"/>
        <w:adjustRightInd w:val="0"/>
        <w:rPr>
          <w:rFonts w:ascii="宋体" w:hAnsi="宋体" w:cs="宋体"/>
        </w:rPr>
      </w:pPr>
      <w:r>
        <w:rPr>
          <w:rFonts w:hint="eastAsia" w:ascii="宋体" w:hAnsi="宋体" w:cs="宋体"/>
        </w:rPr>
        <w:t>（</w:t>
      </w:r>
      <w:r>
        <w:rPr>
          <w:rFonts w:ascii="宋体" w:hAnsi="宋体" w:cs="TimesNewRomanPSMT"/>
        </w:rPr>
        <w:t>2</w:t>
      </w:r>
      <w:r>
        <w:rPr>
          <w:rFonts w:hint="eastAsia" w:ascii="宋体" w:hAnsi="宋体" w:cs="宋体"/>
        </w:rPr>
        <w:t>）具有相应施工经验的技术人员；</w:t>
      </w:r>
    </w:p>
    <w:p>
      <w:pPr>
        <w:autoSpaceDE w:val="0"/>
        <w:autoSpaceDN w:val="0"/>
        <w:adjustRightInd w:val="0"/>
        <w:rPr>
          <w:rFonts w:ascii="宋体" w:hAnsi="宋体" w:cs="宋体"/>
        </w:rPr>
      </w:pPr>
      <w:r>
        <w:rPr>
          <w:rFonts w:hint="eastAsia" w:ascii="宋体" w:hAnsi="宋体" w:cs="宋体"/>
        </w:rPr>
        <w:t>（</w:t>
      </w:r>
      <w:r>
        <w:rPr>
          <w:rFonts w:ascii="宋体" w:hAnsi="宋体" w:cs="TimesNewRomanPSMT"/>
        </w:rPr>
        <w:t>3</w:t>
      </w:r>
      <w:r>
        <w:rPr>
          <w:rFonts w:hint="eastAsia" w:ascii="宋体" w:hAnsi="宋体" w:cs="宋体"/>
        </w:rPr>
        <w:t>）具有相应岗位资格的各级管理人员。</w:t>
      </w:r>
    </w:p>
    <w:p>
      <w:pPr>
        <w:autoSpaceDE w:val="0"/>
        <w:autoSpaceDN w:val="0"/>
        <w:adjustRightInd w:val="0"/>
        <w:rPr>
          <w:rFonts w:ascii="宋体" w:hAnsi="宋体" w:cs="宋体"/>
        </w:rPr>
      </w:pPr>
      <w:r>
        <w:rPr>
          <w:rFonts w:ascii="宋体" w:hAnsi="宋体" w:cs="TimesNewRomanPSMT"/>
        </w:rPr>
        <w:t xml:space="preserve">4.6.3 </w:t>
      </w:r>
      <w:r>
        <w:rPr>
          <w:rFonts w:hint="eastAsia" w:ascii="宋体" w:hAnsi="宋体" w:cs="宋体"/>
        </w:rPr>
        <w:t>承包人安排在施工场地的主要管理人员和技术骨干应相对稳定。承包人更换主要管理人员和技术骨干时，应取得监理人的同意。</w:t>
      </w:r>
    </w:p>
    <w:p>
      <w:pPr>
        <w:autoSpaceDE w:val="0"/>
        <w:autoSpaceDN w:val="0"/>
        <w:adjustRightInd w:val="0"/>
        <w:rPr>
          <w:rFonts w:ascii="宋体" w:hAnsi="宋体" w:cs="宋体"/>
        </w:rPr>
      </w:pPr>
      <w:r>
        <w:rPr>
          <w:rFonts w:ascii="宋体" w:hAnsi="宋体" w:cs="TimesNewRomanPSMT"/>
        </w:rPr>
        <w:t xml:space="preserve">4.6.4 </w:t>
      </w:r>
      <w:r>
        <w:rPr>
          <w:rFonts w:hint="eastAsia" w:ascii="宋体" w:hAnsi="宋体" w:cs="宋体"/>
        </w:rPr>
        <w:t>特殊岗位的工作人员均应持有相应的资格证明，监理人有权随时检查。监理人认为有必要时，可进行现场考核。</w:t>
      </w:r>
    </w:p>
    <w:p>
      <w:pPr>
        <w:keepNext/>
        <w:keepLines/>
        <w:spacing w:before="120" w:after="120"/>
        <w:jc w:val="both"/>
        <w:outlineLvl w:val="2"/>
        <w:rPr>
          <w:rFonts w:ascii="宋体" w:hAnsi="宋体" w:cs="TimesNewRomanPSMT"/>
          <w:b/>
        </w:rPr>
      </w:pPr>
      <w:bookmarkStart w:id="72" w:name="_Toc260305433"/>
      <w:r>
        <w:rPr>
          <w:rFonts w:ascii="宋体" w:hAnsi="宋体" w:cs="TimesNewRomanPSMT"/>
          <w:b/>
        </w:rPr>
        <w:t xml:space="preserve">4.7 </w:t>
      </w:r>
      <w:r>
        <w:rPr>
          <w:rFonts w:hint="eastAsia" w:ascii="宋体" w:hAnsi="宋体" w:cs="TimesNewRomanPSMT"/>
          <w:b/>
        </w:rPr>
        <w:t>撤换承包人项目经理和其他人员</w:t>
      </w:r>
      <w:bookmarkEnd w:id="72"/>
    </w:p>
    <w:p>
      <w:pPr>
        <w:autoSpaceDE w:val="0"/>
        <w:autoSpaceDN w:val="0"/>
        <w:adjustRightInd w:val="0"/>
        <w:rPr>
          <w:rFonts w:ascii="宋体" w:hAnsi="宋体" w:cs="宋体"/>
        </w:rPr>
      </w:pPr>
      <w:r>
        <w:rPr>
          <w:rFonts w:hint="eastAsia" w:ascii="宋体" w:hAnsi="宋体" w:cs="宋体"/>
        </w:rPr>
        <w:t>承包人应对其项目经理和其他人员进行有效管理。监理人要求撤换不能胜任本职工作、行为不端或玩忽职守的承包人项目经理和其他人员的，承包人应予以撤换。</w:t>
      </w:r>
    </w:p>
    <w:p>
      <w:pPr>
        <w:keepNext/>
        <w:keepLines/>
        <w:spacing w:before="120" w:after="120"/>
        <w:jc w:val="both"/>
        <w:outlineLvl w:val="2"/>
        <w:rPr>
          <w:rFonts w:ascii="宋体" w:hAnsi="宋体" w:cs="TimesNewRomanPSMT"/>
          <w:b/>
        </w:rPr>
      </w:pPr>
      <w:bookmarkStart w:id="73" w:name="_Toc260305434"/>
      <w:r>
        <w:rPr>
          <w:rFonts w:ascii="宋体" w:hAnsi="宋体" w:cs="TimesNewRomanPSMT"/>
          <w:b/>
        </w:rPr>
        <w:t xml:space="preserve">4.8 </w:t>
      </w:r>
      <w:r>
        <w:rPr>
          <w:rFonts w:hint="eastAsia" w:ascii="宋体" w:hAnsi="宋体" w:cs="TimesNewRomanPSMT"/>
          <w:b/>
        </w:rPr>
        <w:t>保障承包人人员的合法权益</w:t>
      </w:r>
      <w:bookmarkEnd w:id="73"/>
    </w:p>
    <w:p>
      <w:pPr>
        <w:autoSpaceDE w:val="0"/>
        <w:autoSpaceDN w:val="0"/>
        <w:adjustRightInd w:val="0"/>
        <w:rPr>
          <w:rFonts w:ascii="宋体" w:hAnsi="宋体" w:cs="宋体"/>
        </w:rPr>
      </w:pPr>
      <w:r>
        <w:rPr>
          <w:rFonts w:ascii="宋体" w:hAnsi="宋体" w:cs="TimesNewRomanPSMT"/>
        </w:rPr>
        <w:t xml:space="preserve">4.8.1 </w:t>
      </w:r>
      <w:r>
        <w:rPr>
          <w:rFonts w:hint="eastAsia" w:ascii="宋体" w:hAnsi="宋体" w:cs="宋体"/>
        </w:rPr>
        <w:t>承包人应与其雇佣的人员签订劳动合同，并按时发放工资。</w:t>
      </w:r>
    </w:p>
    <w:p>
      <w:pPr>
        <w:autoSpaceDE w:val="0"/>
        <w:autoSpaceDN w:val="0"/>
        <w:adjustRightInd w:val="0"/>
        <w:rPr>
          <w:rFonts w:ascii="宋体" w:hAnsi="宋体" w:cs="宋体"/>
        </w:rPr>
      </w:pPr>
      <w:r>
        <w:rPr>
          <w:rFonts w:ascii="宋体" w:hAnsi="宋体" w:cs="TimesNewRomanPSMT"/>
        </w:rPr>
        <w:t xml:space="preserve">4.8.2 </w:t>
      </w:r>
      <w:r>
        <w:rPr>
          <w:rFonts w:hint="eastAsia" w:ascii="宋体" w:hAnsi="宋体" w:cs="宋体"/>
        </w:rPr>
        <w:t>承包人应按劳动法的规定安排工作时间，保证其雇佣人员享有休息和休假的权利。</w:t>
      </w:r>
    </w:p>
    <w:p>
      <w:pPr>
        <w:autoSpaceDE w:val="0"/>
        <w:autoSpaceDN w:val="0"/>
        <w:adjustRightInd w:val="0"/>
        <w:rPr>
          <w:rFonts w:ascii="宋体" w:hAnsi="宋体" w:cs="宋体"/>
        </w:rPr>
      </w:pPr>
      <w:r>
        <w:rPr>
          <w:rFonts w:hint="eastAsia" w:ascii="宋体" w:hAnsi="宋体" w:cs="宋体"/>
        </w:rPr>
        <w:t>因工程施工的特殊需要占用休假日或延长工作时间的，应不超过法律规定的限度，并按法律规定给予补休或付酬。</w:t>
      </w:r>
    </w:p>
    <w:p>
      <w:pPr>
        <w:autoSpaceDE w:val="0"/>
        <w:autoSpaceDN w:val="0"/>
        <w:adjustRightInd w:val="0"/>
        <w:rPr>
          <w:rFonts w:ascii="宋体" w:hAnsi="宋体" w:cs="宋体"/>
        </w:rPr>
      </w:pPr>
      <w:r>
        <w:rPr>
          <w:rFonts w:ascii="宋体" w:hAnsi="宋体" w:cs="TimesNewRomanPSMT"/>
        </w:rPr>
        <w:t xml:space="preserve">4.8.3 </w:t>
      </w:r>
      <w:r>
        <w:rPr>
          <w:rFonts w:hint="eastAsia" w:ascii="宋体" w:hAnsi="宋体" w:cs="宋体"/>
        </w:rPr>
        <w:t>承包人应为其雇佣人员提供必要的食宿条件，以及符合环境保护和卫生要求的生活环境，在远离城镇的施工场地，还应配备必要的伤病防治和急救的医务人员与医疗设施。</w:t>
      </w:r>
    </w:p>
    <w:p>
      <w:pPr>
        <w:autoSpaceDE w:val="0"/>
        <w:autoSpaceDN w:val="0"/>
        <w:adjustRightInd w:val="0"/>
        <w:rPr>
          <w:rFonts w:ascii="宋体" w:hAnsi="宋体" w:cs="宋体"/>
        </w:rPr>
      </w:pPr>
      <w:r>
        <w:rPr>
          <w:rFonts w:ascii="宋体" w:hAnsi="宋体" w:cs="TimesNewRomanPSMT"/>
        </w:rPr>
        <w:t xml:space="preserve">4.8.4 </w:t>
      </w:r>
      <w:r>
        <w:rPr>
          <w:rFonts w:hint="eastAsia" w:ascii="宋体" w:hAnsi="宋体" w:cs="宋体"/>
        </w:rPr>
        <w:t>承包人应按国家有关劳动保护的规定，采取有效的防止粉尘、降低噪声、控制有害气体和保障高温、高寒、高空作业安全等劳动保护措施。其雇佣人员在施工中受到伤害的，承包人应立即采取有效措施进行抢救和治疗。</w:t>
      </w:r>
    </w:p>
    <w:p>
      <w:pPr>
        <w:autoSpaceDE w:val="0"/>
        <w:autoSpaceDN w:val="0"/>
        <w:adjustRightInd w:val="0"/>
        <w:rPr>
          <w:rFonts w:ascii="宋体" w:hAnsi="宋体" w:cs="宋体"/>
        </w:rPr>
      </w:pPr>
      <w:r>
        <w:rPr>
          <w:rFonts w:ascii="宋体" w:hAnsi="宋体" w:cs="TimesNewRomanPSMT"/>
        </w:rPr>
        <w:t xml:space="preserve">4.8.5 </w:t>
      </w:r>
      <w:r>
        <w:rPr>
          <w:rFonts w:hint="eastAsia" w:ascii="宋体" w:hAnsi="宋体" w:cs="宋体"/>
        </w:rPr>
        <w:t>承包人应按有关法律规定和合同约定，为其雇佣人员办理保险。</w:t>
      </w:r>
    </w:p>
    <w:p>
      <w:pPr>
        <w:autoSpaceDE w:val="0"/>
        <w:autoSpaceDN w:val="0"/>
        <w:adjustRightInd w:val="0"/>
        <w:rPr>
          <w:rFonts w:ascii="宋体" w:hAnsi="宋体" w:cs="TimesNewRomanPSMT"/>
        </w:rPr>
      </w:pPr>
      <w:r>
        <w:rPr>
          <w:rFonts w:ascii="宋体" w:hAnsi="宋体" w:cs="TimesNewRomanPSMT"/>
        </w:rPr>
        <w:t xml:space="preserve">4.8.6 </w:t>
      </w:r>
      <w:r>
        <w:rPr>
          <w:rFonts w:hint="eastAsia" w:ascii="宋体" w:hAnsi="宋体" w:cs="宋体"/>
        </w:rPr>
        <w:t>承包人应负责处理其雇佣人员因工伤亡事故的善后事宜。</w:t>
      </w:r>
    </w:p>
    <w:p>
      <w:pPr>
        <w:keepNext/>
        <w:keepLines/>
        <w:spacing w:before="120" w:after="120"/>
        <w:jc w:val="both"/>
        <w:outlineLvl w:val="2"/>
        <w:rPr>
          <w:rFonts w:ascii="宋体" w:hAnsi="宋体" w:cs="TimesNewRomanPSMT"/>
          <w:b/>
        </w:rPr>
      </w:pPr>
      <w:bookmarkStart w:id="74" w:name="_Toc260305435"/>
      <w:r>
        <w:rPr>
          <w:rFonts w:ascii="宋体" w:hAnsi="宋体" w:cs="TimesNewRomanPSMT"/>
          <w:b/>
        </w:rPr>
        <w:t xml:space="preserve">4.9 </w:t>
      </w:r>
      <w:r>
        <w:rPr>
          <w:rFonts w:hint="eastAsia" w:ascii="宋体" w:hAnsi="宋体" w:cs="TimesNewRomanPSMT"/>
          <w:b/>
        </w:rPr>
        <w:t>工程价款应专款专用</w:t>
      </w:r>
      <w:bookmarkEnd w:id="74"/>
    </w:p>
    <w:p>
      <w:pPr>
        <w:autoSpaceDE w:val="0"/>
        <w:autoSpaceDN w:val="0"/>
        <w:adjustRightInd w:val="0"/>
        <w:rPr>
          <w:rFonts w:ascii="宋体" w:hAnsi="宋体" w:cs="宋体"/>
        </w:rPr>
      </w:pPr>
      <w:r>
        <w:rPr>
          <w:rFonts w:hint="eastAsia" w:ascii="宋体" w:hAnsi="宋体" w:cs="宋体"/>
        </w:rPr>
        <w:t>发包人按合同约定支付给承包人的各项价款应专用于合同工程。</w:t>
      </w:r>
    </w:p>
    <w:p>
      <w:pPr>
        <w:keepNext/>
        <w:keepLines/>
        <w:spacing w:before="120" w:after="120"/>
        <w:jc w:val="both"/>
        <w:outlineLvl w:val="2"/>
        <w:rPr>
          <w:rFonts w:ascii="宋体" w:hAnsi="宋体" w:cs="TimesNewRomanPSMT"/>
          <w:b/>
        </w:rPr>
      </w:pPr>
      <w:bookmarkStart w:id="75" w:name="_Toc260305436"/>
      <w:r>
        <w:rPr>
          <w:rFonts w:ascii="宋体" w:hAnsi="宋体" w:cs="TimesNewRomanPSMT"/>
          <w:b/>
        </w:rPr>
        <w:t xml:space="preserve">4.10 </w:t>
      </w:r>
      <w:r>
        <w:rPr>
          <w:rFonts w:hint="eastAsia" w:ascii="宋体" w:hAnsi="宋体" w:cs="TimesNewRomanPSMT"/>
          <w:b/>
        </w:rPr>
        <w:t>承包人现场查勘</w:t>
      </w:r>
      <w:bookmarkEnd w:id="75"/>
    </w:p>
    <w:p>
      <w:pPr>
        <w:autoSpaceDE w:val="0"/>
        <w:autoSpaceDN w:val="0"/>
        <w:adjustRightInd w:val="0"/>
        <w:rPr>
          <w:rFonts w:ascii="宋体" w:hAnsi="宋体" w:cs="宋体"/>
        </w:rPr>
      </w:pPr>
      <w:r>
        <w:rPr>
          <w:rFonts w:ascii="宋体" w:hAnsi="宋体" w:cs="TimesNewRomanPSMT"/>
        </w:rPr>
        <w:t xml:space="preserve">4.10.1 </w:t>
      </w:r>
      <w:r>
        <w:rPr>
          <w:rFonts w:hint="eastAsia" w:ascii="宋体" w:hAnsi="宋体" w:cs="宋体"/>
        </w:rPr>
        <w:t>发包人应将其持有的现场地质勘探资料、水文气象资料提供给承包人，并对其准确性负责。但承包人应对其阅读上述有关资料后所作出的解释和推断负责。</w:t>
      </w:r>
    </w:p>
    <w:p>
      <w:pPr>
        <w:autoSpaceDE w:val="0"/>
        <w:autoSpaceDN w:val="0"/>
        <w:adjustRightInd w:val="0"/>
        <w:rPr>
          <w:rFonts w:ascii="宋体" w:hAnsi="宋体" w:cs="宋体"/>
        </w:rPr>
      </w:pPr>
      <w:r>
        <w:rPr>
          <w:rFonts w:ascii="宋体" w:hAnsi="宋体" w:cs="TimesNewRomanPSMT"/>
        </w:rPr>
        <w:t xml:space="preserve">4.10.2 </w:t>
      </w:r>
      <w:r>
        <w:rPr>
          <w:rFonts w:hint="eastAsia" w:ascii="宋体" w:hAnsi="宋体" w:cs="宋体"/>
        </w:rPr>
        <w:t>承包人应对施工场地和周围环境进行查勘，并收集有关地质、水文、气象条件、交通条件、风俗习惯以及其他为完成合同工作有关的当地资料。在全部合同工作中，应视为承包人已充分估计了应承担的责任和风险。</w:t>
      </w:r>
    </w:p>
    <w:p>
      <w:pPr>
        <w:keepNext/>
        <w:keepLines/>
        <w:spacing w:before="120" w:after="120"/>
        <w:jc w:val="both"/>
        <w:outlineLvl w:val="2"/>
        <w:rPr>
          <w:rFonts w:ascii="宋体" w:hAnsi="宋体" w:cs="TimesNewRomanPSMT"/>
          <w:b/>
        </w:rPr>
      </w:pPr>
      <w:bookmarkStart w:id="76" w:name="_Toc260305437"/>
      <w:r>
        <w:rPr>
          <w:rFonts w:ascii="宋体" w:hAnsi="宋体" w:cs="TimesNewRomanPSMT"/>
          <w:b/>
        </w:rPr>
        <w:t xml:space="preserve">4.11 </w:t>
      </w:r>
      <w:r>
        <w:rPr>
          <w:rFonts w:hint="eastAsia" w:ascii="宋体" w:hAnsi="宋体" w:cs="TimesNewRomanPSMT"/>
          <w:b/>
        </w:rPr>
        <w:t>不利物质条件</w:t>
      </w:r>
      <w:bookmarkEnd w:id="76"/>
    </w:p>
    <w:p>
      <w:pPr>
        <w:autoSpaceDE w:val="0"/>
        <w:autoSpaceDN w:val="0"/>
        <w:adjustRightInd w:val="0"/>
        <w:rPr>
          <w:rFonts w:ascii="宋体" w:hAnsi="宋体" w:cs="宋体"/>
        </w:rPr>
      </w:pPr>
      <w:r>
        <w:rPr>
          <w:rFonts w:ascii="宋体" w:hAnsi="宋体" w:cs="TimesNewRomanPSMT"/>
        </w:rPr>
        <w:t xml:space="preserve">4.11.1 </w:t>
      </w:r>
      <w:r>
        <w:rPr>
          <w:rFonts w:hint="eastAsia" w:ascii="宋体" w:hAnsi="宋体" w:cs="宋体"/>
        </w:rPr>
        <w:t>不利物质条件，除专用合同条款另有约定外，是指承包人在施工场地遇到的不可预见的自然物质条件、非自然的物质障碍和污染物，包括地下和水文条件，但不包括气候条件。</w:t>
      </w:r>
    </w:p>
    <w:p>
      <w:pPr>
        <w:autoSpaceDE w:val="0"/>
        <w:autoSpaceDN w:val="0"/>
        <w:adjustRightInd w:val="0"/>
        <w:rPr>
          <w:rFonts w:ascii="宋体" w:hAnsi="宋体" w:cs="宋体"/>
        </w:rPr>
      </w:pPr>
      <w:r>
        <w:rPr>
          <w:rFonts w:ascii="宋体" w:hAnsi="宋体" w:cs="TimesNewRomanPSMT"/>
        </w:rPr>
        <w:t xml:space="preserve">4.11.2 </w:t>
      </w:r>
      <w:r>
        <w:rPr>
          <w:rFonts w:hint="eastAsia" w:ascii="宋体" w:hAnsi="宋体" w:cs="宋体"/>
        </w:rPr>
        <w:t>承包人遇到不利物质条件时，应采取适应不利物质条件的合理措施继续施工，并及时通知监理人。监理人应当及时发出指示，指示构成变更的，按第</w:t>
      </w:r>
      <w:r>
        <w:rPr>
          <w:rFonts w:ascii="宋体" w:hAnsi="宋体" w:cs="TimesNewRomanPSMT"/>
        </w:rPr>
        <w:t xml:space="preserve">15 </w:t>
      </w:r>
      <w:r>
        <w:rPr>
          <w:rFonts w:hint="eastAsia" w:ascii="宋体" w:hAnsi="宋体" w:cs="宋体"/>
        </w:rPr>
        <w:t>条约定办理。监理人没有发出指示的，承包人因采取合理措施而增加的费用和（或）工期延误，由发包人承担。</w:t>
      </w:r>
    </w:p>
    <w:p>
      <w:pPr>
        <w:keepNext/>
        <w:keepLines/>
        <w:spacing w:before="120" w:after="120"/>
        <w:jc w:val="both"/>
        <w:outlineLvl w:val="1"/>
        <w:rPr>
          <w:rFonts w:ascii="宋体" w:hAnsi="宋体" w:cs="TimesNewRomanPSMT"/>
          <w:b/>
          <w:sz w:val="28"/>
          <w:szCs w:val="28"/>
        </w:rPr>
      </w:pPr>
      <w:bookmarkStart w:id="77" w:name="_Toc28602"/>
      <w:bookmarkStart w:id="78" w:name="_Toc260305438"/>
      <w:r>
        <w:rPr>
          <w:rFonts w:ascii="宋体" w:hAnsi="宋体" w:cs="TimesNewRomanPSMT"/>
          <w:b/>
          <w:sz w:val="28"/>
          <w:szCs w:val="28"/>
        </w:rPr>
        <w:t xml:space="preserve">5. </w:t>
      </w:r>
      <w:r>
        <w:rPr>
          <w:rFonts w:hint="eastAsia" w:ascii="宋体" w:hAnsi="宋体" w:cs="TimesNewRomanPSMT"/>
          <w:b/>
          <w:sz w:val="28"/>
          <w:szCs w:val="28"/>
        </w:rPr>
        <w:t>材料和工程设备</w:t>
      </w:r>
      <w:bookmarkEnd w:id="77"/>
      <w:bookmarkEnd w:id="78"/>
    </w:p>
    <w:p>
      <w:pPr>
        <w:keepNext/>
        <w:keepLines/>
        <w:spacing w:before="120" w:after="120"/>
        <w:jc w:val="both"/>
        <w:outlineLvl w:val="2"/>
        <w:rPr>
          <w:rFonts w:ascii="宋体" w:hAnsi="宋体" w:cs="TimesNewRomanPSMT"/>
          <w:b/>
        </w:rPr>
      </w:pPr>
      <w:bookmarkStart w:id="79" w:name="_Toc260305439"/>
      <w:r>
        <w:rPr>
          <w:rFonts w:ascii="宋体" w:hAnsi="宋体" w:cs="TimesNewRomanPSMT"/>
          <w:b/>
        </w:rPr>
        <w:t xml:space="preserve">5.1 </w:t>
      </w:r>
      <w:r>
        <w:rPr>
          <w:rFonts w:hint="eastAsia" w:ascii="宋体" w:hAnsi="宋体" w:cs="TimesNewRomanPSMT"/>
          <w:b/>
        </w:rPr>
        <w:t>承包人提供的材料和工程设备</w:t>
      </w:r>
      <w:bookmarkEnd w:id="79"/>
    </w:p>
    <w:p>
      <w:pPr>
        <w:autoSpaceDE w:val="0"/>
        <w:autoSpaceDN w:val="0"/>
        <w:adjustRightInd w:val="0"/>
        <w:rPr>
          <w:rFonts w:ascii="宋体" w:hAnsi="宋体" w:cs="宋体"/>
        </w:rPr>
      </w:pPr>
      <w:r>
        <w:rPr>
          <w:rFonts w:ascii="宋体" w:hAnsi="宋体" w:cs="TimesNewRomanPSMT"/>
        </w:rPr>
        <w:t xml:space="preserve">5.1.1 </w:t>
      </w:r>
      <w:r>
        <w:rPr>
          <w:rFonts w:hint="eastAsia" w:ascii="宋体" w:hAnsi="宋体" w:cs="宋体"/>
        </w:rPr>
        <w:t>除专用合同条款另有约定外，承包人提供的材料和工程设备均由承包人负责采购、运输和保管。承包人应对其采购的材料和工程设备负责。</w:t>
      </w:r>
    </w:p>
    <w:p>
      <w:pPr>
        <w:autoSpaceDE w:val="0"/>
        <w:autoSpaceDN w:val="0"/>
        <w:adjustRightInd w:val="0"/>
        <w:rPr>
          <w:rFonts w:ascii="宋体" w:hAnsi="宋体" w:cs="宋体"/>
        </w:rPr>
      </w:pPr>
      <w:r>
        <w:rPr>
          <w:rFonts w:ascii="宋体" w:hAnsi="宋体" w:cs="TimesNewRomanPSMT"/>
        </w:rPr>
        <w:t xml:space="preserve">5.1.2 </w:t>
      </w:r>
      <w:r>
        <w:rPr>
          <w:rFonts w:hint="eastAsia" w:ascii="宋体" w:hAnsi="宋体" w:cs="宋体"/>
        </w:rPr>
        <w:t>承包人应按专用合同条款的约定，将各项材料和工程设备的供货人及品种、规格、数量和供货时间等报送监理人审批。承包人应向监理人提交其负责提供的材料和工程设备的质量证明文件，并满足合同约定的质量标准。</w:t>
      </w:r>
    </w:p>
    <w:p>
      <w:pPr>
        <w:autoSpaceDE w:val="0"/>
        <w:autoSpaceDN w:val="0"/>
        <w:adjustRightInd w:val="0"/>
        <w:rPr>
          <w:rFonts w:ascii="宋体" w:hAnsi="宋体" w:cs="宋体"/>
        </w:rPr>
      </w:pPr>
      <w:r>
        <w:rPr>
          <w:rFonts w:ascii="宋体" w:hAnsi="宋体" w:cs="TimesNewRomanPSMT"/>
        </w:rPr>
        <w:t xml:space="preserve">5.1.3 </w:t>
      </w:r>
      <w:r>
        <w:rPr>
          <w:rFonts w:hint="eastAsia" w:ascii="宋体" w:hAnsi="宋体" w:cs="宋体"/>
        </w:rPr>
        <w:t>对承包人提供的材料和工程设备，承包人应会同监理人进行检验和交货验收，查验材料合格证明和产品合格证书，并按合同约定和监理人指示，进行材料的抽样检验和工程设备的检验测试，检验和测试结果应提交监理人，所需费用由承包人承担。</w:t>
      </w:r>
    </w:p>
    <w:p>
      <w:pPr>
        <w:keepNext/>
        <w:keepLines/>
        <w:spacing w:before="120" w:after="120"/>
        <w:jc w:val="both"/>
        <w:outlineLvl w:val="2"/>
        <w:rPr>
          <w:rFonts w:ascii="宋体" w:hAnsi="宋体" w:cs="TimesNewRomanPSMT"/>
          <w:b/>
        </w:rPr>
      </w:pPr>
      <w:bookmarkStart w:id="80" w:name="_Toc260305440"/>
      <w:r>
        <w:rPr>
          <w:rFonts w:ascii="宋体" w:hAnsi="宋体" w:cs="TimesNewRomanPSMT"/>
          <w:b/>
        </w:rPr>
        <w:t xml:space="preserve">5.2 </w:t>
      </w:r>
      <w:r>
        <w:rPr>
          <w:rFonts w:hint="eastAsia" w:ascii="宋体" w:hAnsi="宋体" w:cs="TimesNewRomanPSMT"/>
          <w:b/>
        </w:rPr>
        <w:t>发包人提供的材料和工程设备</w:t>
      </w:r>
      <w:bookmarkEnd w:id="80"/>
    </w:p>
    <w:p>
      <w:pPr>
        <w:autoSpaceDE w:val="0"/>
        <w:autoSpaceDN w:val="0"/>
        <w:adjustRightInd w:val="0"/>
        <w:rPr>
          <w:rFonts w:ascii="宋体" w:hAnsi="宋体" w:cs="宋体"/>
        </w:rPr>
      </w:pPr>
      <w:r>
        <w:rPr>
          <w:rFonts w:ascii="宋体" w:hAnsi="宋体" w:cs="TimesNewRomanPSMT"/>
        </w:rPr>
        <w:t xml:space="preserve">5.2.1 </w:t>
      </w:r>
      <w:r>
        <w:rPr>
          <w:rFonts w:hint="eastAsia" w:ascii="宋体" w:hAnsi="宋体" w:cs="宋体"/>
        </w:rPr>
        <w:t>发包人提供的材料和工程设备，应在专用合同条款中写明材料和工程设备的名称、规格、数量、价格、交货方式、交货地点和计划交货日期等。</w:t>
      </w:r>
    </w:p>
    <w:p>
      <w:pPr>
        <w:autoSpaceDE w:val="0"/>
        <w:autoSpaceDN w:val="0"/>
        <w:adjustRightInd w:val="0"/>
        <w:rPr>
          <w:rFonts w:ascii="宋体" w:hAnsi="宋体" w:cs="宋体"/>
        </w:rPr>
      </w:pPr>
      <w:r>
        <w:rPr>
          <w:rFonts w:ascii="宋体" w:hAnsi="宋体" w:cs="TimesNewRomanPSMT"/>
        </w:rPr>
        <w:t xml:space="preserve">5.2.2 </w:t>
      </w:r>
      <w:r>
        <w:rPr>
          <w:rFonts w:hint="eastAsia" w:ascii="宋体" w:hAnsi="宋体" w:cs="宋体"/>
        </w:rPr>
        <w:t>承包人应根据合同进度计划的安排，向监理人报送要求发包人交货的日期计划。</w:t>
      </w:r>
    </w:p>
    <w:p>
      <w:pPr>
        <w:autoSpaceDE w:val="0"/>
        <w:autoSpaceDN w:val="0"/>
        <w:adjustRightInd w:val="0"/>
        <w:rPr>
          <w:rFonts w:ascii="宋体" w:hAnsi="宋体" w:cs="宋体"/>
        </w:rPr>
      </w:pPr>
      <w:r>
        <w:rPr>
          <w:rFonts w:hint="eastAsia" w:ascii="宋体" w:hAnsi="宋体" w:cs="宋体"/>
        </w:rPr>
        <w:t>发包人应按照监理人与合同双方当事人商定的交货日期，向承包人提交材料和工程设备。</w:t>
      </w:r>
    </w:p>
    <w:p>
      <w:pPr>
        <w:autoSpaceDE w:val="0"/>
        <w:autoSpaceDN w:val="0"/>
        <w:adjustRightInd w:val="0"/>
        <w:rPr>
          <w:rFonts w:ascii="宋体" w:hAnsi="宋体" w:cs="宋体"/>
        </w:rPr>
      </w:pPr>
      <w:r>
        <w:rPr>
          <w:rFonts w:ascii="宋体" w:hAnsi="宋体" w:cs="TimesNewRomanPSMT"/>
        </w:rPr>
        <w:t xml:space="preserve">5.2.3 </w:t>
      </w:r>
      <w:r>
        <w:rPr>
          <w:rFonts w:hint="eastAsia" w:ascii="宋体" w:hAnsi="宋体" w:cs="宋体"/>
        </w:rPr>
        <w:t>发包人应在材料和工程设备到货</w:t>
      </w:r>
      <w:r>
        <w:rPr>
          <w:rFonts w:ascii="宋体" w:hAnsi="宋体" w:cs="TimesNewRomanPSMT"/>
        </w:rPr>
        <w:t xml:space="preserve">7 </w:t>
      </w:r>
      <w:r>
        <w:rPr>
          <w:rFonts w:hint="eastAsia" w:ascii="宋体" w:hAnsi="宋体" w:cs="宋体"/>
        </w:rPr>
        <w:t>天前通知承包人，承包人应会同监理人在约定的时间内，赴交货地点共同进行验收。除专用合同条款另有约定外，发包人提供的材料和工程设备验收后，由承包人负责接收、运输和保管。</w:t>
      </w:r>
    </w:p>
    <w:p>
      <w:pPr>
        <w:autoSpaceDE w:val="0"/>
        <w:autoSpaceDN w:val="0"/>
        <w:adjustRightInd w:val="0"/>
        <w:rPr>
          <w:rFonts w:ascii="宋体" w:hAnsi="宋体" w:cs="宋体"/>
        </w:rPr>
      </w:pPr>
      <w:r>
        <w:rPr>
          <w:rFonts w:ascii="宋体" w:hAnsi="宋体" w:cs="TimesNewRomanPSMT"/>
        </w:rPr>
        <w:t xml:space="preserve">5.2.4 </w:t>
      </w:r>
      <w:r>
        <w:rPr>
          <w:rFonts w:hint="eastAsia" w:ascii="宋体" w:hAnsi="宋体" w:cs="宋体"/>
        </w:rPr>
        <w:t>发包人要求向承包人提前交货的，承包人不得拒绝，但发包人应承担承包人由此增加的费用。</w:t>
      </w:r>
    </w:p>
    <w:p>
      <w:pPr>
        <w:autoSpaceDE w:val="0"/>
        <w:autoSpaceDN w:val="0"/>
        <w:adjustRightInd w:val="0"/>
        <w:rPr>
          <w:rFonts w:ascii="宋体" w:hAnsi="宋体" w:cs="宋体"/>
        </w:rPr>
      </w:pPr>
      <w:r>
        <w:rPr>
          <w:rFonts w:ascii="宋体" w:hAnsi="宋体" w:cs="TimesNewRomanPSMT"/>
        </w:rPr>
        <w:t xml:space="preserve">5.2.5 </w:t>
      </w:r>
      <w:r>
        <w:rPr>
          <w:rFonts w:hint="eastAsia" w:ascii="宋体" w:hAnsi="宋体" w:cs="宋体"/>
        </w:rPr>
        <w:t>承包人要求更改交货日期或地点的，应事先报请监理人批准。由于承包人要求更改交货时间或地点所增加的费用和（或）工期延误由承包人承担。</w:t>
      </w:r>
    </w:p>
    <w:p>
      <w:pPr>
        <w:autoSpaceDE w:val="0"/>
        <w:autoSpaceDN w:val="0"/>
        <w:adjustRightInd w:val="0"/>
        <w:rPr>
          <w:rFonts w:ascii="宋体" w:hAnsi="宋体" w:cs="宋体"/>
        </w:rPr>
      </w:pPr>
      <w:r>
        <w:rPr>
          <w:rFonts w:ascii="宋体" w:hAnsi="宋体" w:cs="TimesNewRomanPSMT"/>
        </w:rPr>
        <w:t xml:space="preserve">5.2.6 </w:t>
      </w:r>
      <w:r>
        <w:rPr>
          <w:rFonts w:hint="eastAsia" w:ascii="宋体" w:hAnsi="宋体" w:cs="宋体"/>
        </w:rPr>
        <w:t>发包人提供的材料和工程设备的规格、数量或质量不符合合同要求，或由于发包人原因发生交货日期延误及交货地点变更等情况的，发包人应承担由此增加的费用和（或）工期延误，并向承包人支付合理利润。</w:t>
      </w:r>
    </w:p>
    <w:p>
      <w:pPr>
        <w:keepNext/>
        <w:keepLines/>
        <w:spacing w:before="120" w:after="120"/>
        <w:jc w:val="both"/>
        <w:outlineLvl w:val="2"/>
        <w:rPr>
          <w:rFonts w:ascii="宋体" w:hAnsi="宋体" w:cs="TimesNewRomanPSMT"/>
          <w:b/>
        </w:rPr>
      </w:pPr>
      <w:bookmarkStart w:id="81" w:name="_Toc260305441"/>
      <w:r>
        <w:rPr>
          <w:rFonts w:ascii="宋体" w:hAnsi="宋体" w:cs="TimesNewRomanPSMT"/>
          <w:b/>
        </w:rPr>
        <w:t xml:space="preserve">5.3 </w:t>
      </w:r>
      <w:r>
        <w:rPr>
          <w:rFonts w:hint="eastAsia" w:ascii="宋体" w:hAnsi="宋体" w:cs="TimesNewRomanPSMT"/>
          <w:b/>
        </w:rPr>
        <w:t>材料和工程设备专用于合同工程</w:t>
      </w:r>
      <w:bookmarkEnd w:id="81"/>
    </w:p>
    <w:p>
      <w:pPr>
        <w:autoSpaceDE w:val="0"/>
        <w:autoSpaceDN w:val="0"/>
        <w:adjustRightInd w:val="0"/>
        <w:rPr>
          <w:rFonts w:ascii="宋体" w:hAnsi="宋体" w:cs="宋体"/>
        </w:rPr>
      </w:pPr>
      <w:r>
        <w:rPr>
          <w:rFonts w:ascii="宋体" w:hAnsi="宋体" w:cs="TimesNewRomanPSMT"/>
        </w:rPr>
        <w:t xml:space="preserve">5.3.1 </w:t>
      </w:r>
      <w:r>
        <w:rPr>
          <w:rFonts w:hint="eastAsia" w:ascii="宋体" w:hAnsi="宋体" w:cs="宋体"/>
        </w:rPr>
        <w:t>运入施工场地的材料、工程设备，包括备品备件、安装专用工器具与随机资料，必须专用于合同工程，未经监理人同意，承包人不得运出施工场地或挪作他用。</w:t>
      </w:r>
    </w:p>
    <w:p>
      <w:pPr>
        <w:autoSpaceDE w:val="0"/>
        <w:autoSpaceDN w:val="0"/>
        <w:adjustRightInd w:val="0"/>
        <w:rPr>
          <w:rFonts w:ascii="宋体" w:hAnsi="宋体" w:cs="宋体"/>
        </w:rPr>
      </w:pPr>
      <w:r>
        <w:rPr>
          <w:rFonts w:ascii="宋体" w:hAnsi="宋体" w:cs="TimesNewRomanPSMT"/>
        </w:rPr>
        <w:t xml:space="preserve">5.3.2 </w:t>
      </w:r>
      <w:r>
        <w:rPr>
          <w:rFonts w:hint="eastAsia" w:ascii="宋体" w:hAnsi="宋体" w:cs="宋体"/>
        </w:rPr>
        <w:t>随同工程设备运入施工场地的备品备件、专用工器具与随机资料，应由承包人会同监理人按供货人的装箱单清点后共同封存，未经监理人同意不得启用。承包人因合同工作需要使用上述物品时，应向监理人提出申请。</w:t>
      </w:r>
    </w:p>
    <w:p>
      <w:pPr>
        <w:keepNext/>
        <w:keepLines/>
        <w:spacing w:before="120" w:after="120"/>
        <w:jc w:val="both"/>
        <w:outlineLvl w:val="2"/>
        <w:rPr>
          <w:rFonts w:ascii="宋体" w:hAnsi="宋体" w:cs="TimesNewRomanPSMT"/>
          <w:b/>
        </w:rPr>
      </w:pPr>
      <w:bookmarkStart w:id="82" w:name="_Toc260305442"/>
      <w:r>
        <w:rPr>
          <w:rFonts w:ascii="宋体" w:hAnsi="宋体" w:cs="TimesNewRomanPSMT"/>
          <w:b/>
        </w:rPr>
        <w:t xml:space="preserve">5.4 </w:t>
      </w:r>
      <w:r>
        <w:rPr>
          <w:rFonts w:hint="eastAsia" w:ascii="宋体" w:hAnsi="宋体" w:cs="TimesNewRomanPSMT"/>
          <w:b/>
        </w:rPr>
        <w:t>禁止使用不合格的材料和工程设备</w:t>
      </w:r>
      <w:bookmarkEnd w:id="82"/>
    </w:p>
    <w:p>
      <w:pPr>
        <w:autoSpaceDE w:val="0"/>
        <w:autoSpaceDN w:val="0"/>
        <w:adjustRightInd w:val="0"/>
        <w:rPr>
          <w:rFonts w:ascii="宋体" w:hAnsi="宋体" w:cs="宋体"/>
        </w:rPr>
      </w:pPr>
      <w:r>
        <w:rPr>
          <w:rFonts w:ascii="宋体" w:hAnsi="宋体" w:cs="TimesNewRomanPSMT"/>
        </w:rPr>
        <w:t xml:space="preserve">5.4.1 </w:t>
      </w:r>
      <w:r>
        <w:rPr>
          <w:rFonts w:hint="eastAsia" w:ascii="宋体" w:hAnsi="宋体" w:cs="宋体"/>
        </w:rPr>
        <w:t>监理人有权拒绝承包人提供的不合格材料或工程设备，并要求承包人立即进行更换。监理人应在更换后再次进行检查和检验，由此增加的费用和（或）工期延误由承包人承担。</w:t>
      </w:r>
    </w:p>
    <w:p>
      <w:pPr>
        <w:autoSpaceDE w:val="0"/>
        <w:autoSpaceDN w:val="0"/>
        <w:adjustRightInd w:val="0"/>
        <w:rPr>
          <w:rFonts w:ascii="宋体" w:hAnsi="宋体" w:cs="宋体"/>
        </w:rPr>
      </w:pPr>
      <w:r>
        <w:rPr>
          <w:rFonts w:ascii="宋体" w:hAnsi="宋体" w:cs="TimesNewRomanPSMT"/>
        </w:rPr>
        <w:t xml:space="preserve">5.4.2 </w:t>
      </w:r>
      <w:r>
        <w:rPr>
          <w:rFonts w:hint="eastAsia" w:ascii="宋体" w:hAnsi="宋体" w:cs="宋体"/>
        </w:rPr>
        <w:t>监理人发现承包人使用了不合格的材料和工程设备，应即时发出指示要求承包人立即改正，并禁止在工程中继续使用不合格的材料和工程设备。</w:t>
      </w:r>
    </w:p>
    <w:p>
      <w:pPr>
        <w:autoSpaceDE w:val="0"/>
        <w:autoSpaceDN w:val="0"/>
        <w:adjustRightInd w:val="0"/>
        <w:rPr>
          <w:rFonts w:ascii="宋体" w:hAnsi="Calibri" w:cs="宋体"/>
          <w:sz w:val="21"/>
          <w:szCs w:val="21"/>
        </w:rPr>
      </w:pPr>
      <w:r>
        <w:rPr>
          <w:rFonts w:ascii="宋体" w:hAnsi="宋体" w:cs="TimesNewRomanPSMT"/>
        </w:rPr>
        <w:t xml:space="preserve">5.4.3 </w:t>
      </w:r>
      <w:r>
        <w:rPr>
          <w:rFonts w:hint="eastAsia" w:ascii="宋体" w:hAnsi="宋体" w:cs="宋体"/>
        </w:rPr>
        <w:t>发包人提供的材料或工程设备不符合合同要求的，承包人有权拒绝，并可要求发包人更换，由此增加的费用和（或）工期延误由发包人承担。</w:t>
      </w:r>
    </w:p>
    <w:p>
      <w:pPr>
        <w:keepNext/>
        <w:keepLines/>
        <w:spacing w:before="120" w:after="120"/>
        <w:jc w:val="both"/>
        <w:outlineLvl w:val="1"/>
        <w:rPr>
          <w:rFonts w:ascii="宋体" w:hAnsi="宋体" w:cs="TimesNewRomanPSMT"/>
          <w:b/>
          <w:sz w:val="28"/>
          <w:szCs w:val="28"/>
        </w:rPr>
      </w:pPr>
      <w:bookmarkStart w:id="83" w:name="_Toc15343"/>
      <w:bookmarkStart w:id="84" w:name="_Toc260305443"/>
      <w:r>
        <w:rPr>
          <w:rFonts w:ascii="宋体" w:hAnsi="宋体" w:cs="TimesNewRomanPSMT"/>
          <w:b/>
          <w:sz w:val="28"/>
          <w:szCs w:val="28"/>
        </w:rPr>
        <w:t xml:space="preserve">6. </w:t>
      </w:r>
      <w:r>
        <w:rPr>
          <w:rFonts w:hint="eastAsia" w:ascii="宋体" w:hAnsi="宋体" w:cs="TimesNewRomanPSMT"/>
          <w:b/>
          <w:sz w:val="28"/>
          <w:szCs w:val="28"/>
        </w:rPr>
        <w:t>施工设备和临时设施</w:t>
      </w:r>
      <w:bookmarkEnd w:id="83"/>
      <w:bookmarkEnd w:id="84"/>
    </w:p>
    <w:p>
      <w:pPr>
        <w:keepNext/>
        <w:keepLines/>
        <w:spacing w:before="120" w:after="120"/>
        <w:jc w:val="both"/>
        <w:outlineLvl w:val="2"/>
        <w:rPr>
          <w:rFonts w:ascii="宋体" w:hAnsi="宋体" w:cs="TimesNewRomanPSMT"/>
          <w:b/>
        </w:rPr>
      </w:pPr>
      <w:bookmarkStart w:id="85" w:name="_Toc260305444"/>
      <w:r>
        <w:rPr>
          <w:rFonts w:ascii="宋体" w:hAnsi="宋体" w:cs="TimesNewRomanPSMT"/>
          <w:b/>
        </w:rPr>
        <w:t xml:space="preserve">6.1 </w:t>
      </w:r>
      <w:r>
        <w:rPr>
          <w:rFonts w:hint="eastAsia" w:ascii="宋体" w:hAnsi="宋体" w:cs="TimesNewRomanPSMT"/>
          <w:b/>
        </w:rPr>
        <w:t>承包人提供的施工设备和临时设施</w:t>
      </w:r>
      <w:bookmarkEnd w:id="85"/>
    </w:p>
    <w:p>
      <w:pPr>
        <w:autoSpaceDE w:val="0"/>
        <w:autoSpaceDN w:val="0"/>
        <w:adjustRightInd w:val="0"/>
        <w:rPr>
          <w:rFonts w:ascii="宋体" w:hAnsi="宋体" w:cs="宋体"/>
        </w:rPr>
      </w:pPr>
      <w:r>
        <w:rPr>
          <w:rFonts w:ascii="宋体" w:hAnsi="宋体" w:cs="TimesNewRomanPSMT"/>
        </w:rPr>
        <w:t xml:space="preserve">6.1.1 </w:t>
      </w:r>
      <w:r>
        <w:rPr>
          <w:rFonts w:hint="eastAsia" w:ascii="宋体" w:hAnsi="宋体" w:cs="宋体"/>
        </w:rPr>
        <w:t>承包人应按合同进度计划的要求，及时配置施工设备和修建临时设施。进入施工场地的承包人设备需经监理人核查后才能投入使用。承包人更换合同约定的承包人设备的，应报监理人批准。</w:t>
      </w:r>
    </w:p>
    <w:p>
      <w:pPr>
        <w:autoSpaceDE w:val="0"/>
        <w:autoSpaceDN w:val="0"/>
        <w:adjustRightInd w:val="0"/>
        <w:rPr>
          <w:rFonts w:ascii="宋体" w:hAnsi="宋体" w:cs="宋体"/>
        </w:rPr>
      </w:pPr>
      <w:r>
        <w:rPr>
          <w:rFonts w:ascii="宋体" w:hAnsi="宋体" w:cs="TimesNewRomanPSMT"/>
        </w:rPr>
        <w:t xml:space="preserve">6.1.2 </w:t>
      </w:r>
      <w:r>
        <w:rPr>
          <w:rFonts w:hint="eastAsia" w:ascii="宋体" w:hAnsi="宋体" w:cs="宋体"/>
        </w:rPr>
        <w:t>除专用合同条款另有约定外，承包人应自行承担修建临时设施的费用，需要临时占地的，应由发包人办理申请手续并承担相应费用。</w:t>
      </w:r>
    </w:p>
    <w:p>
      <w:pPr>
        <w:keepNext/>
        <w:keepLines/>
        <w:spacing w:before="120" w:after="120"/>
        <w:jc w:val="both"/>
        <w:outlineLvl w:val="2"/>
        <w:rPr>
          <w:rFonts w:ascii="宋体" w:hAnsi="宋体" w:cs="TimesNewRomanPSMT"/>
          <w:b/>
        </w:rPr>
      </w:pPr>
      <w:bookmarkStart w:id="86" w:name="_Toc260305445"/>
      <w:r>
        <w:rPr>
          <w:rFonts w:ascii="宋体" w:hAnsi="宋体" w:cs="TimesNewRomanPSMT"/>
          <w:b/>
        </w:rPr>
        <w:t xml:space="preserve">6.2 </w:t>
      </w:r>
      <w:r>
        <w:rPr>
          <w:rFonts w:hint="eastAsia" w:ascii="宋体" w:hAnsi="宋体" w:cs="TimesNewRomanPSMT"/>
          <w:b/>
        </w:rPr>
        <w:t>发包人提供的施工设备和临时设施</w:t>
      </w:r>
      <w:bookmarkEnd w:id="86"/>
    </w:p>
    <w:p>
      <w:pPr>
        <w:autoSpaceDE w:val="0"/>
        <w:autoSpaceDN w:val="0"/>
        <w:adjustRightInd w:val="0"/>
        <w:rPr>
          <w:rFonts w:ascii="宋体" w:hAnsi="宋体" w:cs="宋体"/>
        </w:rPr>
      </w:pPr>
      <w:r>
        <w:rPr>
          <w:rFonts w:hint="eastAsia" w:ascii="宋体" w:hAnsi="宋体" w:cs="宋体"/>
        </w:rPr>
        <w:t>发包人提供的施工设备或临时设施在专用合同条款中约定。</w:t>
      </w:r>
    </w:p>
    <w:p>
      <w:pPr>
        <w:keepNext/>
        <w:keepLines/>
        <w:spacing w:before="120" w:after="120"/>
        <w:jc w:val="both"/>
        <w:outlineLvl w:val="2"/>
        <w:rPr>
          <w:rFonts w:ascii="宋体" w:hAnsi="宋体" w:cs="TimesNewRomanPSMT"/>
          <w:b/>
        </w:rPr>
      </w:pPr>
      <w:bookmarkStart w:id="87" w:name="_Toc260305446"/>
      <w:r>
        <w:rPr>
          <w:rFonts w:ascii="宋体" w:hAnsi="宋体" w:cs="TimesNewRomanPSMT"/>
          <w:b/>
        </w:rPr>
        <w:t xml:space="preserve">6.3 </w:t>
      </w:r>
      <w:r>
        <w:rPr>
          <w:rFonts w:hint="eastAsia" w:ascii="宋体" w:hAnsi="宋体" w:cs="TimesNewRomanPSMT"/>
          <w:b/>
        </w:rPr>
        <w:t>要求承包人增加或更换施工设备</w:t>
      </w:r>
      <w:bookmarkEnd w:id="87"/>
    </w:p>
    <w:p>
      <w:pPr>
        <w:autoSpaceDE w:val="0"/>
        <w:autoSpaceDN w:val="0"/>
        <w:adjustRightInd w:val="0"/>
        <w:rPr>
          <w:rFonts w:ascii="宋体" w:hAnsi="宋体" w:cs="TimesNewRomanPSMT"/>
        </w:rPr>
      </w:pPr>
      <w:r>
        <w:rPr>
          <w:rFonts w:hint="eastAsia" w:ascii="宋体" w:hAnsi="宋体" w:cs="宋体"/>
        </w:rPr>
        <w:t>承包人使用的施工设备不能满足合同进度计划和（或）质量要求时，监理人有权要求承包人增加或更换施工设备，承包人应及时增加或更换，由此增加的费用和（或）工期延误由承包人承担。</w:t>
      </w:r>
    </w:p>
    <w:p>
      <w:pPr>
        <w:keepNext/>
        <w:keepLines/>
        <w:spacing w:before="120" w:after="120"/>
        <w:jc w:val="both"/>
        <w:outlineLvl w:val="2"/>
        <w:rPr>
          <w:rFonts w:ascii="宋体" w:hAnsi="宋体" w:cs="TimesNewRomanPSMT"/>
          <w:b/>
        </w:rPr>
      </w:pPr>
      <w:bookmarkStart w:id="88" w:name="_Toc260305447"/>
      <w:r>
        <w:rPr>
          <w:rFonts w:ascii="宋体" w:hAnsi="宋体" w:cs="TimesNewRomanPSMT"/>
          <w:b/>
        </w:rPr>
        <w:t xml:space="preserve">6.4 </w:t>
      </w:r>
      <w:r>
        <w:rPr>
          <w:rFonts w:hint="eastAsia" w:ascii="宋体" w:hAnsi="宋体" w:cs="TimesNewRomanPSMT"/>
          <w:b/>
        </w:rPr>
        <w:t>施工设备和临时设施专用于合同工程</w:t>
      </w:r>
      <w:bookmarkEnd w:id="88"/>
    </w:p>
    <w:p>
      <w:pPr>
        <w:autoSpaceDE w:val="0"/>
        <w:autoSpaceDN w:val="0"/>
        <w:adjustRightInd w:val="0"/>
        <w:rPr>
          <w:rFonts w:ascii="宋体" w:hAnsi="宋体" w:cs="宋体"/>
        </w:rPr>
      </w:pPr>
      <w:r>
        <w:rPr>
          <w:rFonts w:ascii="宋体" w:hAnsi="宋体" w:cs="TimesNewRomanPSMT"/>
        </w:rPr>
        <w:t xml:space="preserve">6.4.1 </w:t>
      </w:r>
      <w:r>
        <w:rPr>
          <w:rFonts w:hint="eastAsia" w:ascii="宋体" w:hAnsi="宋体" w:cs="宋体"/>
        </w:rPr>
        <w:t>除合同另有约定外，运入施工场地的所有施工设备以及在施工场地建设的临时设施应专用于合同工程。未经监理人同意，不得将上述施工设备和临时设施中的任何部分运出施工场地或挪作他用。</w:t>
      </w:r>
    </w:p>
    <w:p>
      <w:pPr>
        <w:autoSpaceDE w:val="0"/>
        <w:autoSpaceDN w:val="0"/>
        <w:adjustRightInd w:val="0"/>
        <w:rPr>
          <w:rFonts w:ascii="宋体" w:hAnsi="宋体" w:cs="宋体"/>
        </w:rPr>
      </w:pPr>
      <w:r>
        <w:rPr>
          <w:rFonts w:ascii="宋体" w:hAnsi="宋体" w:cs="TimesNewRomanPSMT"/>
        </w:rPr>
        <w:t xml:space="preserve">6.4.2 </w:t>
      </w:r>
      <w:r>
        <w:rPr>
          <w:rFonts w:hint="eastAsia" w:ascii="宋体" w:hAnsi="宋体" w:cs="宋体"/>
        </w:rPr>
        <w:t>经监理人同意，承包人可根据合同进度计划撤走闲置的施工设备。</w:t>
      </w:r>
    </w:p>
    <w:p>
      <w:pPr>
        <w:keepNext/>
        <w:keepLines/>
        <w:spacing w:before="120" w:after="120"/>
        <w:jc w:val="both"/>
        <w:outlineLvl w:val="1"/>
        <w:rPr>
          <w:rFonts w:ascii="宋体" w:hAnsi="宋体" w:cs="TimesNewRomanPSMT"/>
          <w:b/>
          <w:sz w:val="28"/>
          <w:szCs w:val="28"/>
        </w:rPr>
      </w:pPr>
      <w:bookmarkStart w:id="89" w:name="_Toc260305448"/>
      <w:bookmarkStart w:id="90" w:name="_Toc26130"/>
      <w:r>
        <w:rPr>
          <w:rFonts w:ascii="宋体" w:hAnsi="宋体" w:cs="TimesNewRomanPSMT"/>
          <w:b/>
          <w:sz w:val="28"/>
          <w:szCs w:val="28"/>
        </w:rPr>
        <w:t xml:space="preserve">7. </w:t>
      </w:r>
      <w:r>
        <w:rPr>
          <w:rFonts w:hint="eastAsia" w:ascii="宋体" w:hAnsi="宋体" w:cs="TimesNewRomanPSMT"/>
          <w:b/>
          <w:sz w:val="28"/>
          <w:szCs w:val="28"/>
        </w:rPr>
        <w:t>交通运输</w:t>
      </w:r>
      <w:bookmarkEnd w:id="89"/>
      <w:bookmarkEnd w:id="90"/>
    </w:p>
    <w:p>
      <w:pPr>
        <w:keepNext/>
        <w:keepLines/>
        <w:spacing w:before="120" w:after="120"/>
        <w:jc w:val="both"/>
        <w:outlineLvl w:val="2"/>
        <w:rPr>
          <w:rFonts w:ascii="宋体" w:hAnsi="宋体" w:cs="TimesNewRomanPSMT"/>
          <w:b/>
        </w:rPr>
      </w:pPr>
      <w:bookmarkStart w:id="91" w:name="_Toc260305449"/>
      <w:r>
        <w:rPr>
          <w:rFonts w:ascii="宋体" w:hAnsi="宋体" w:cs="TimesNewRomanPSMT"/>
          <w:b/>
        </w:rPr>
        <w:t xml:space="preserve">7.1 </w:t>
      </w:r>
      <w:r>
        <w:rPr>
          <w:rFonts w:hint="eastAsia" w:ascii="宋体" w:hAnsi="宋体" w:cs="TimesNewRomanPSMT"/>
          <w:b/>
        </w:rPr>
        <w:t>道路通行权和场外设施</w:t>
      </w:r>
      <w:bookmarkEnd w:id="91"/>
    </w:p>
    <w:p>
      <w:pPr>
        <w:autoSpaceDE w:val="0"/>
        <w:autoSpaceDN w:val="0"/>
        <w:adjustRightInd w:val="0"/>
        <w:rPr>
          <w:rFonts w:ascii="宋体" w:hAnsi="宋体" w:cs="宋体"/>
        </w:rPr>
      </w:pPr>
      <w:r>
        <w:rPr>
          <w:rFonts w:hint="eastAsia" w:ascii="宋体" w:hAnsi="宋体" w:cs="宋体"/>
        </w:rPr>
        <w:t>除专用合同条款另有约定外，发包人应根据合同工程的施工需要，负责办理取得出入施工场地的专用和临时道路的通行权，以及取得为工程建设所需修建场外设施的权利，并承担有关费用。承包人应协助发包人办理上述手续。</w:t>
      </w:r>
    </w:p>
    <w:p>
      <w:pPr>
        <w:keepNext/>
        <w:keepLines/>
        <w:spacing w:before="120" w:after="120"/>
        <w:jc w:val="both"/>
        <w:outlineLvl w:val="2"/>
        <w:rPr>
          <w:rFonts w:ascii="宋体" w:hAnsi="宋体" w:cs="TimesNewRomanPSMT"/>
          <w:b/>
        </w:rPr>
      </w:pPr>
      <w:bookmarkStart w:id="92" w:name="_Toc260305450"/>
      <w:r>
        <w:rPr>
          <w:rFonts w:ascii="宋体" w:hAnsi="宋体" w:cs="TimesNewRomanPSMT"/>
          <w:b/>
        </w:rPr>
        <w:t xml:space="preserve">7.2 </w:t>
      </w:r>
      <w:r>
        <w:rPr>
          <w:rFonts w:hint="eastAsia" w:ascii="宋体" w:hAnsi="宋体" w:cs="TimesNewRomanPSMT"/>
          <w:b/>
        </w:rPr>
        <w:t>场内施工道路</w:t>
      </w:r>
      <w:bookmarkEnd w:id="92"/>
    </w:p>
    <w:p>
      <w:pPr>
        <w:autoSpaceDE w:val="0"/>
        <w:autoSpaceDN w:val="0"/>
        <w:adjustRightInd w:val="0"/>
        <w:rPr>
          <w:rFonts w:ascii="宋体" w:hAnsi="宋体" w:cs="宋体"/>
        </w:rPr>
      </w:pPr>
      <w:r>
        <w:rPr>
          <w:rFonts w:ascii="宋体" w:hAnsi="宋体" w:cs="TimesNewRomanPSMT"/>
        </w:rPr>
        <w:t xml:space="preserve">7.2.1 </w:t>
      </w:r>
      <w:r>
        <w:rPr>
          <w:rFonts w:hint="eastAsia" w:ascii="宋体" w:hAnsi="宋体" w:cs="宋体"/>
        </w:rPr>
        <w:t>除专用合同条款另有约定外，承包人应负责修建、维修、养护和管理施工所需的临时道路和交通设施，包括维修、养护和管理发包人提供的道路和交通设施，并承担相应费用。</w:t>
      </w:r>
    </w:p>
    <w:p>
      <w:pPr>
        <w:autoSpaceDE w:val="0"/>
        <w:autoSpaceDN w:val="0"/>
        <w:adjustRightInd w:val="0"/>
        <w:rPr>
          <w:rFonts w:ascii="宋体" w:hAnsi="宋体" w:cs="宋体"/>
        </w:rPr>
      </w:pPr>
      <w:r>
        <w:rPr>
          <w:rFonts w:ascii="宋体" w:hAnsi="宋体" w:cs="TimesNewRomanPSMT"/>
        </w:rPr>
        <w:t xml:space="preserve">7.2.2 </w:t>
      </w:r>
      <w:r>
        <w:rPr>
          <w:rFonts w:hint="eastAsia" w:ascii="宋体" w:hAnsi="宋体" w:cs="宋体"/>
        </w:rPr>
        <w:t>除专用合同条款另有约定外，承包人修建的临时道路和交通设施应免费提供发包人和监理人使用。</w:t>
      </w:r>
    </w:p>
    <w:p>
      <w:pPr>
        <w:keepNext/>
        <w:keepLines/>
        <w:spacing w:before="120" w:after="120"/>
        <w:jc w:val="both"/>
        <w:outlineLvl w:val="2"/>
        <w:rPr>
          <w:rFonts w:ascii="宋体" w:hAnsi="宋体" w:cs="TimesNewRomanPSMT"/>
          <w:b/>
        </w:rPr>
      </w:pPr>
      <w:bookmarkStart w:id="93" w:name="_Toc260305451"/>
      <w:r>
        <w:rPr>
          <w:rFonts w:ascii="宋体" w:hAnsi="宋体" w:cs="TimesNewRomanPSMT"/>
          <w:b/>
        </w:rPr>
        <w:t xml:space="preserve">7.3 </w:t>
      </w:r>
      <w:r>
        <w:rPr>
          <w:rFonts w:hint="eastAsia" w:ascii="宋体" w:hAnsi="宋体" w:cs="TimesNewRomanPSMT"/>
          <w:b/>
        </w:rPr>
        <w:t>场外交通</w:t>
      </w:r>
      <w:bookmarkEnd w:id="93"/>
    </w:p>
    <w:p>
      <w:pPr>
        <w:autoSpaceDE w:val="0"/>
        <w:autoSpaceDN w:val="0"/>
        <w:adjustRightInd w:val="0"/>
        <w:rPr>
          <w:rFonts w:ascii="宋体" w:hAnsi="宋体" w:cs="宋体"/>
        </w:rPr>
      </w:pPr>
      <w:r>
        <w:rPr>
          <w:rFonts w:ascii="宋体" w:hAnsi="宋体" w:cs="TimesNewRomanPSMT"/>
        </w:rPr>
        <w:t xml:space="preserve">7.3.1 </w:t>
      </w:r>
      <w:r>
        <w:rPr>
          <w:rFonts w:hint="eastAsia" w:ascii="宋体" w:hAnsi="宋体" w:cs="宋体"/>
        </w:rPr>
        <w:t>承包人车辆外出行驶所需的场外公共道路的通行费、养路费和税款等由承包人承担。</w:t>
      </w:r>
    </w:p>
    <w:p>
      <w:pPr>
        <w:autoSpaceDE w:val="0"/>
        <w:autoSpaceDN w:val="0"/>
        <w:adjustRightInd w:val="0"/>
        <w:rPr>
          <w:rFonts w:ascii="宋体" w:hAnsi="宋体" w:cs="宋体"/>
        </w:rPr>
      </w:pPr>
      <w:r>
        <w:rPr>
          <w:rFonts w:ascii="宋体" w:hAnsi="宋体" w:cs="TimesNewRomanPSMT"/>
        </w:rPr>
        <w:t xml:space="preserve">7.3.2 </w:t>
      </w:r>
      <w:r>
        <w:rPr>
          <w:rFonts w:hint="eastAsia" w:ascii="宋体" w:hAnsi="宋体" w:cs="宋体"/>
        </w:rPr>
        <w:t>承包人应遵守有关交通法规，严格按照道路和桥梁的限制荷重安全行驶，并服从交通管理部门的检查和监督。</w:t>
      </w:r>
    </w:p>
    <w:p>
      <w:pPr>
        <w:keepNext/>
        <w:keepLines/>
        <w:spacing w:before="120" w:after="120"/>
        <w:jc w:val="both"/>
        <w:outlineLvl w:val="2"/>
        <w:rPr>
          <w:rFonts w:ascii="宋体" w:hAnsi="宋体" w:cs="TimesNewRomanPSMT"/>
          <w:b/>
        </w:rPr>
      </w:pPr>
      <w:bookmarkStart w:id="94" w:name="_Toc260305452"/>
      <w:r>
        <w:rPr>
          <w:rFonts w:ascii="宋体" w:hAnsi="宋体" w:cs="TimesNewRomanPSMT"/>
          <w:b/>
        </w:rPr>
        <w:t xml:space="preserve">7.4 </w:t>
      </w:r>
      <w:r>
        <w:rPr>
          <w:rFonts w:hint="eastAsia" w:ascii="宋体" w:hAnsi="宋体" w:cs="TimesNewRomanPSMT"/>
          <w:b/>
        </w:rPr>
        <w:t>超大件和超重件的运输</w:t>
      </w:r>
      <w:bookmarkEnd w:id="94"/>
    </w:p>
    <w:p>
      <w:pPr>
        <w:autoSpaceDE w:val="0"/>
        <w:autoSpaceDN w:val="0"/>
        <w:adjustRightInd w:val="0"/>
        <w:rPr>
          <w:rFonts w:ascii="宋体" w:hAnsi="宋体" w:cs="宋体"/>
        </w:rPr>
      </w:pPr>
      <w:r>
        <w:rPr>
          <w:rFonts w:hint="eastAsia" w:ascii="宋体" w:hAnsi="宋体" w:cs="宋体"/>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pPr>
        <w:keepNext/>
        <w:keepLines/>
        <w:spacing w:before="120" w:after="120"/>
        <w:jc w:val="both"/>
        <w:outlineLvl w:val="2"/>
        <w:rPr>
          <w:rFonts w:ascii="宋体" w:hAnsi="宋体" w:cs="TimesNewRomanPSMT"/>
          <w:b/>
        </w:rPr>
      </w:pPr>
      <w:bookmarkStart w:id="95" w:name="_Toc260305453"/>
      <w:r>
        <w:rPr>
          <w:rFonts w:ascii="宋体" w:hAnsi="宋体" w:cs="TimesNewRomanPSMT"/>
          <w:b/>
        </w:rPr>
        <w:t xml:space="preserve">7.5 </w:t>
      </w:r>
      <w:r>
        <w:rPr>
          <w:rFonts w:hint="eastAsia" w:ascii="宋体" w:hAnsi="宋体" w:cs="TimesNewRomanPSMT"/>
          <w:b/>
        </w:rPr>
        <w:t>道路和桥梁的损坏责任</w:t>
      </w:r>
      <w:bookmarkEnd w:id="95"/>
    </w:p>
    <w:p>
      <w:pPr>
        <w:autoSpaceDE w:val="0"/>
        <w:autoSpaceDN w:val="0"/>
        <w:adjustRightInd w:val="0"/>
        <w:rPr>
          <w:rFonts w:ascii="宋体" w:hAnsi="宋体" w:cs="宋体"/>
        </w:rPr>
      </w:pPr>
      <w:r>
        <w:rPr>
          <w:rFonts w:hint="eastAsia" w:ascii="宋体" w:hAnsi="宋体" w:cs="宋体"/>
        </w:rPr>
        <w:t>因承包人运输造成施工场地内外公共道路和桥梁损坏的，由承包人承担修复损坏的全部费用和可能引起的赔偿。</w:t>
      </w:r>
    </w:p>
    <w:p>
      <w:pPr>
        <w:keepNext/>
        <w:keepLines/>
        <w:spacing w:before="120" w:after="120"/>
        <w:jc w:val="both"/>
        <w:outlineLvl w:val="2"/>
        <w:rPr>
          <w:rFonts w:ascii="宋体" w:hAnsi="宋体" w:cs="TimesNewRomanPSMT"/>
          <w:b/>
        </w:rPr>
      </w:pPr>
      <w:bookmarkStart w:id="96" w:name="_Toc260305454"/>
      <w:r>
        <w:rPr>
          <w:rFonts w:ascii="宋体" w:hAnsi="宋体" w:cs="TimesNewRomanPSMT"/>
          <w:b/>
        </w:rPr>
        <w:t xml:space="preserve">7.6 </w:t>
      </w:r>
      <w:r>
        <w:rPr>
          <w:rFonts w:hint="eastAsia" w:ascii="宋体" w:hAnsi="宋体" w:cs="TimesNewRomanPSMT"/>
          <w:b/>
        </w:rPr>
        <w:t>水路和航空运输</w:t>
      </w:r>
      <w:bookmarkEnd w:id="96"/>
    </w:p>
    <w:p>
      <w:pPr>
        <w:autoSpaceDE w:val="0"/>
        <w:autoSpaceDN w:val="0"/>
        <w:adjustRightInd w:val="0"/>
        <w:rPr>
          <w:rFonts w:ascii="宋体" w:hAnsi="宋体" w:cs="TimesNewRomanPSMT"/>
        </w:rPr>
      </w:pPr>
      <w:r>
        <w:rPr>
          <w:rFonts w:hint="eastAsia" w:ascii="宋体" w:hAnsi="宋体" w:cs="宋体"/>
        </w:rPr>
        <w:t>本条上述各款的内容适用于水路运输和航空运输，其中“道路”一词的涵义包括河道、航线、船闸、机场、码头、堤防以及水路或航空运输中其他相似结构物；“车辆”一词的涵义包括船舶和飞机等。</w:t>
      </w:r>
    </w:p>
    <w:p>
      <w:pPr>
        <w:keepNext/>
        <w:keepLines/>
        <w:spacing w:before="120" w:after="120"/>
        <w:jc w:val="both"/>
        <w:outlineLvl w:val="1"/>
        <w:rPr>
          <w:rFonts w:ascii="宋体" w:hAnsi="宋体" w:cs="TimesNewRomanPSMT"/>
          <w:b/>
          <w:sz w:val="28"/>
          <w:szCs w:val="28"/>
        </w:rPr>
      </w:pPr>
      <w:bookmarkStart w:id="97" w:name="_Toc29913"/>
      <w:bookmarkStart w:id="98" w:name="_Toc260305455"/>
      <w:r>
        <w:rPr>
          <w:rFonts w:ascii="宋体" w:hAnsi="宋体" w:cs="TimesNewRomanPSMT"/>
          <w:b/>
          <w:sz w:val="28"/>
          <w:szCs w:val="28"/>
        </w:rPr>
        <w:t xml:space="preserve">8. </w:t>
      </w:r>
      <w:r>
        <w:rPr>
          <w:rFonts w:hint="eastAsia" w:ascii="宋体" w:hAnsi="宋体" w:cs="TimesNewRomanPSMT"/>
          <w:b/>
          <w:sz w:val="28"/>
          <w:szCs w:val="28"/>
        </w:rPr>
        <w:t>测量放线</w:t>
      </w:r>
      <w:bookmarkEnd w:id="97"/>
      <w:bookmarkEnd w:id="98"/>
    </w:p>
    <w:p>
      <w:pPr>
        <w:keepNext/>
        <w:keepLines/>
        <w:spacing w:before="120" w:after="120"/>
        <w:jc w:val="both"/>
        <w:outlineLvl w:val="2"/>
        <w:rPr>
          <w:rFonts w:ascii="宋体" w:hAnsi="宋体" w:cs="TimesNewRomanPSMT"/>
          <w:b/>
        </w:rPr>
      </w:pPr>
      <w:bookmarkStart w:id="99" w:name="_Toc260305456"/>
      <w:r>
        <w:rPr>
          <w:rFonts w:ascii="宋体" w:hAnsi="宋体" w:cs="TimesNewRomanPSMT"/>
          <w:b/>
        </w:rPr>
        <w:t xml:space="preserve">8.1 </w:t>
      </w:r>
      <w:r>
        <w:rPr>
          <w:rFonts w:hint="eastAsia" w:ascii="宋体" w:hAnsi="宋体" w:cs="TimesNewRomanPSMT"/>
          <w:b/>
        </w:rPr>
        <w:t>施工控制网</w:t>
      </w:r>
      <w:bookmarkEnd w:id="99"/>
    </w:p>
    <w:p>
      <w:pPr>
        <w:autoSpaceDE w:val="0"/>
        <w:autoSpaceDN w:val="0"/>
        <w:adjustRightInd w:val="0"/>
        <w:rPr>
          <w:rFonts w:ascii="宋体" w:hAnsi="宋体" w:cs="宋体"/>
        </w:rPr>
      </w:pPr>
      <w:r>
        <w:rPr>
          <w:rFonts w:ascii="宋体" w:hAnsi="宋体" w:cs="TimesNewRomanPSMT"/>
        </w:rPr>
        <w:t xml:space="preserve">8.1.1 </w:t>
      </w:r>
      <w:r>
        <w:rPr>
          <w:rFonts w:hint="eastAsia" w:ascii="宋体" w:hAnsi="宋体" w:cs="宋体"/>
        </w:rPr>
        <w:t>发包人应在专用合同条款约定的期限内，通过监理人向承包人提供测量基准点、基准线和水准点及其书面资料。除专用合同条款另有约定外，承包人应根据国家测绘基准、测绘系统和工程测量技术规范，按上述基准点（线）以及合同工程精度要求，测设施工控制网，并在专用合同条款约定的期限内，将施工控制网资料报送监理人审批。</w:t>
      </w:r>
    </w:p>
    <w:p>
      <w:pPr>
        <w:autoSpaceDE w:val="0"/>
        <w:autoSpaceDN w:val="0"/>
        <w:adjustRightInd w:val="0"/>
        <w:rPr>
          <w:rFonts w:ascii="宋体" w:hAnsi="宋体" w:cs="宋体"/>
        </w:rPr>
      </w:pPr>
      <w:r>
        <w:rPr>
          <w:rFonts w:ascii="宋体" w:hAnsi="宋体" w:cs="TimesNewRomanPSMT"/>
        </w:rPr>
        <w:t xml:space="preserve">8.1.2 </w:t>
      </w:r>
      <w:r>
        <w:rPr>
          <w:rFonts w:hint="eastAsia" w:ascii="宋体" w:hAnsi="宋体" w:cs="宋体"/>
        </w:rPr>
        <w:t>承包人应负责管理施工控制网点。施工控制网点丢失或损坏的，承包人应及时修复。承包人应承担施工控制网点的管理与修复费用，并在工程竣工后将施工控制网点移交发包人。</w:t>
      </w:r>
    </w:p>
    <w:p>
      <w:pPr>
        <w:keepNext/>
        <w:keepLines/>
        <w:spacing w:before="120" w:after="120"/>
        <w:jc w:val="both"/>
        <w:outlineLvl w:val="2"/>
        <w:rPr>
          <w:rFonts w:ascii="宋体" w:hAnsi="宋体" w:cs="TimesNewRomanPSMT"/>
          <w:b/>
        </w:rPr>
      </w:pPr>
      <w:bookmarkStart w:id="100" w:name="_Toc260305457"/>
      <w:r>
        <w:rPr>
          <w:rFonts w:ascii="宋体" w:hAnsi="宋体" w:cs="TimesNewRomanPSMT"/>
          <w:b/>
        </w:rPr>
        <w:t xml:space="preserve">8.2 </w:t>
      </w:r>
      <w:r>
        <w:rPr>
          <w:rFonts w:hint="eastAsia" w:ascii="宋体" w:hAnsi="宋体" w:cs="TimesNewRomanPSMT"/>
          <w:b/>
        </w:rPr>
        <w:t>施工测量</w:t>
      </w:r>
      <w:bookmarkEnd w:id="100"/>
    </w:p>
    <w:p>
      <w:pPr>
        <w:autoSpaceDE w:val="0"/>
        <w:autoSpaceDN w:val="0"/>
        <w:adjustRightInd w:val="0"/>
        <w:rPr>
          <w:rFonts w:ascii="宋体" w:hAnsi="宋体" w:cs="宋体"/>
        </w:rPr>
      </w:pPr>
      <w:r>
        <w:rPr>
          <w:rFonts w:ascii="宋体" w:hAnsi="宋体" w:cs="TimesNewRomanPSMT"/>
        </w:rPr>
        <w:t xml:space="preserve">8.2.1 </w:t>
      </w:r>
      <w:r>
        <w:rPr>
          <w:rFonts w:hint="eastAsia" w:ascii="宋体" w:hAnsi="宋体" w:cs="宋体"/>
        </w:rPr>
        <w:t>承包人应负责施工过程中的全部施工测量放线工作，并配置合格的人员、仪器、设备和其他物品。</w:t>
      </w:r>
    </w:p>
    <w:p>
      <w:pPr>
        <w:autoSpaceDE w:val="0"/>
        <w:autoSpaceDN w:val="0"/>
        <w:adjustRightInd w:val="0"/>
        <w:rPr>
          <w:rFonts w:ascii="宋体" w:hAnsi="宋体" w:cs="宋体"/>
        </w:rPr>
      </w:pPr>
      <w:r>
        <w:rPr>
          <w:rFonts w:ascii="宋体" w:hAnsi="宋体" w:cs="TimesNewRomanPSMT"/>
        </w:rPr>
        <w:t xml:space="preserve">8.2.2 </w:t>
      </w:r>
      <w:r>
        <w:rPr>
          <w:rFonts w:hint="eastAsia" w:ascii="宋体" w:hAnsi="宋体" w:cs="宋体"/>
        </w:rPr>
        <w:t>监理人可以指示承包人进行抽样复测，当复测中发现错误或出现超过合同约定的误差时，承包人应按监理人指示进行修正或补测，并承担相应的复测费用。</w:t>
      </w:r>
    </w:p>
    <w:p>
      <w:pPr>
        <w:keepNext/>
        <w:keepLines/>
        <w:spacing w:before="120" w:after="120"/>
        <w:jc w:val="both"/>
        <w:outlineLvl w:val="2"/>
        <w:rPr>
          <w:rFonts w:ascii="宋体" w:hAnsi="宋体" w:cs="TimesNewRomanPSMT"/>
          <w:b/>
        </w:rPr>
      </w:pPr>
      <w:bookmarkStart w:id="101" w:name="_Toc260305458"/>
      <w:r>
        <w:rPr>
          <w:rFonts w:ascii="宋体" w:hAnsi="宋体" w:cs="TimesNewRomanPSMT"/>
          <w:b/>
        </w:rPr>
        <w:t xml:space="preserve">8.3 </w:t>
      </w:r>
      <w:r>
        <w:rPr>
          <w:rFonts w:hint="eastAsia" w:ascii="宋体" w:hAnsi="宋体" w:cs="TimesNewRomanPSMT"/>
          <w:b/>
        </w:rPr>
        <w:t>基准资料错误的责任</w:t>
      </w:r>
      <w:bookmarkEnd w:id="101"/>
    </w:p>
    <w:p>
      <w:pPr>
        <w:autoSpaceDE w:val="0"/>
        <w:autoSpaceDN w:val="0"/>
        <w:adjustRightInd w:val="0"/>
        <w:rPr>
          <w:rFonts w:ascii="宋体" w:hAnsi="宋体" w:cs="宋体"/>
        </w:rPr>
      </w:pPr>
      <w:r>
        <w:rPr>
          <w:rFonts w:hint="eastAsia" w:ascii="宋体" w:hAnsi="宋体" w:cs="宋体"/>
        </w:rPr>
        <w:t>发包人应对其提供的测量基准点、基准线和水准点及其书面资料的真实性、准确性和完整性负责。发包人提供上述基准资料错误导致承包人测量放线工作的返工或造成工程损失的，发包人应当承担由此增加的费用和（或）工期延误，并向承包人支付合理利润。承包人发现发包人提供的上述基准资料存在明显错误或疏忽的，应及时通知监理人。</w:t>
      </w:r>
    </w:p>
    <w:p>
      <w:pPr>
        <w:keepNext/>
        <w:keepLines/>
        <w:spacing w:before="120" w:after="120"/>
        <w:jc w:val="both"/>
        <w:outlineLvl w:val="2"/>
        <w:rPr>
          <w:rFonts w:ascii="宋体" w:hAnsi="宋体" w:cs="TimesNewRomanPSMT"/>
          <w:b/>
        </w:rPr>
      </w:pPr>
      <w:bookmarkStart w:id="102" w:name="_Toc260305459"/>
      <w:r>
        <w:rPr>
          <w:rFonts w:ascii="宋体" w:hAnsi="宋体" w:cs="TimesNewRomanPSMT"/>
          <w:b/>
        </w:rPr>
        <w:t xml:space="preserve">8.4 </w:t>
      </w:r>
      <w:r>
        <w:rPr>
          <w:rFonts w:hint="eastAsia" w:ascii="宋体" w:hAnsi="宋体" w:cs="TimesNewRomanPSMT"/>
          <w:b/>
        </w:rPr>
        <w:t>监理人使用施工控制网</w:t>
      </w:r>
      <w:bookmarkEnd w:id="102"/>
    </w:p>
    <w:p>
      <w:pPr>
        <w:autoSpaceDE w:val="0"/>
        <w:autoSpaceDN w:val="0"/>
        <w:adjustRightInd w:val="0"/>
        <w:rPr>
          <w:rFonts w:ascii="宋体" w:hAnsi="宋体" w:cs="宋体"/>
        </w:rPr>
      </w:pPr>
      <w:r>
        <w:rPr>
          <w:rFonts w:hint="eastAsia" w:ascii="宋体" w:hAnsi="宋体" w:cs="宋体"/>
        </w:rPr>
        <w:t>监理人需要使用施工控制网的，承包人应提供必要的协助，发包人不再为此支付费用。</w:t>
      </w:r>
    </w:p>
    <w:p>
      <w:pPr>
        <w:keepNext/>
        <w:keepLines/>
        <w:spacing w:before="120" w:after="120"/>
        <w:jc w:val="both"/>
        <w:outlineLvl w:val="1"/>
        <w:rPr>
          <w:rFonts w:ascii="宋体" w:hAnsi="宋体" w:cs="TimesNewRomanPSMT"/>
          <w:b/>
          <w:sz w:val="28"/>
          <w:szCs w:val="28"/>
        </w:rPr>
      </w:pPr>
      <w:bookmarkStart w:id="103" w:name="_Toc13472"/>
      <w:bookmarkStart w:id="104" w:name="_Toc260305460"/>
      <w:r>
        <w:rPr>
          <w:rFonts w:ascii="宋体" w:hAnsi="宋体" w:cs="TimesNewRomanPSMT"/>
          <w:b/>
          <w:sz w:val="28"/>
          <w:szCs w:val="28"/>
        </w:rPr>
        <w:t xml:space="preserve">9. </w:t>
      </w:r>
      <w:r>
        <w:rPr>
          <w:rFonts w:hint="eastAsia" w:ascii="宋体" w:hAnsi="宋体" w:cs="TimesNewRomanPSMT"/>
          <w:b/>
          <w:sz w:val="28"/>
          <w:szCs w:val="28"/>
        </w:rPr>
        <w:t>施工安全、治安保卫和环境保护</w:t>
      </w:r>
      <w:bookmarkEnd w:id="103"/>
      <w:bookmarkEnd w:id="104"/>
    </w:p>
    <w:p>
      <w:pPr>
        <w:keepNext/>
        <w:keepLines/>
        <w:spacing w:before="120" w:after="120"/>
        <w:jc w:val="both"/>
        <w:outlineLvl w:val="2"/>
        <w:rPr>
          <w:rFonts w:ascii="宋体" w:hAnsi="宋体" w:cs="TimesNewRomanPSMT"/>
          <w:b/>
        </w:rPr>
      </w:pPr>
      <w:bookmarkStart w:id="105" w:name="_Toc260305461"/>
      <w:r>
        <w:rPr>
          <w:rFonts w:ascii="宋体" w:hAnsi="宋体" w:cs="TimesNewRomanPSMT"/>
          <w:b/>
        </w:rPr>
        <w:t xml:space="preserve">9.1 </w:t>
      </w:r>
      <w:r>
        <w:rPr>
          <w:rFonts w:hint="eastAsia" w:ascii="宋体" w:hAnsi="宋体" w:cs="TimesNewRomanPSMT"/>
          <w:b/>
        </w:rPr>
        <w:t>发包人的施工安全责任</w:t>
      </w:r>
      <w:bookmarkEnd w:id="105"/>
    </w:p>
    <w:p>
      <w:pPr>
        <w:autoSpaceDE w:val="0"/>
        <w:autoSpaceDN w:val="0"/>
        <w:adjustRightInd w:val="0"/>
        <w:rPr>
          <w:rFonts w:ascii="宋体" w:hAnsi="宋体" w:cs="宋体"/>
        </w:rPr>
      </w:pPr>
      <w:r>
        <w:rPr>
          <w:rFonts w:ascii="宋体" w:hAnsi="宋体" w:cs="TimesNewRomanPSMT"/>
        </w:rPr>
        <w:t xml:space="preserve">9.1.1 </w:t>
      </w:r>
      <w:r>
        <w:rPr>
          <w:rFonts w:hint="eastAsia" w:ascii="宋体" w:hAnsi="宋体" w:cs="宋体"/>
        </w:rPr>
        <w:t>发包人应按合同约定履行安全职责，授权监理人按合同约定的安全工作内容监督、检查承包人安全工作的实施，组织承包人和有关单位进行安全检查。</w:t>
      </w:r>
    </w:p>
    <w:p>
      <w:pPr>
        <w:autoSpaceDE w:val="0"/>
        <w:autoSpaceDN w:val="0"/>
        <w:adjustRightInd w:val="0"/>
        <w:rPr>
          <w:rFonts w:ascii="宋体" w:hAnsi="宋体" w:cs="宋体"/>
        </w:rPr>
      </w:pPr>
      <w:r>
        <w:rPr>
          <w:rFonts w:ascii="宋体" w:hAnsi="宋体" w:cs="TimesNewRomanPSMT"/>
        </w:rPr>
        <w:t xml:space="preserve">9.1.2 </w:t>
      </w:r>
      <w:r>
        <w:rPr>
          <w:rFonts w:hint="eastAsia" w:ascii="宋体" w:hAnsi="宋体" w:cs="宋体"/>
        </w:rPr>
        <w:t>发包人应对其现场机构雇佣的全部人员的工伤事故承担责任，但由于承包人原因造成发包人人员工伤的，应由承包人承担责任。</w:t>
      </w:r>
    </w:p>
    <w:p>
      <w:pPr>
        <w:autoSpaceDE w:val="0"/>
        <w:autoSpaceDN w:val="0"/>
        <w:adjustRightInd w:val="0"/>
        <w:rPr>
          <w:rFonts w:ascii="宋体" w:hAnsi="宋体" w:cs="宋体"/>
        </w:rPr>
      </w:pPr>
      <w:r>
        <w:rPr>
          <w:rFonts w:ascii="宋体" w:hAnsi="宋体" w:cs="TimesNewRomanPSMT"/>
        </w:rPr>
        <w:t xml:space="preserve">9.1.3 </w:t>
      </w:r>
      <w:r>
        <w:rPr>
          <w:rFonts w:hint="eastAsia" w:ascii="宋体" w:hAnsi="宋体" w:cs="宋体"/>
        </w:rPr>
        <w:t>发包人应负责赔偿以下各种情况造成的第三者人身伤亡和财产损失：</w:t>
      </w:r>
    </w:p>
    <w:p>
      <w:pPr>
        <w:autoSpaceDE w:val="0"/>
        <w:autoSpaceDN w:val="0"/>
        <w:adjustRightInd w:val="0"/>
        <w:rPr>
          <w:rFonts w:ascii="宋体" w:hAnsi="宋体" w:cs="宋体"/>
        </w:rPr>
      </w:pPr>
      <w:r>
        <w:rPr>
          <w:rFonts w:hint="eastAsia" w:ascii="宋体" w:hAnsi="宋体" w:cs="宋体"/>
        </w:rPr>
        <w:t>（</w:t>
      </w:r>
      <w:r>
        <w:rPr>
          <w:rFonts w:ascii="宋体" w:hAnsi="宋体" w:cs="TimesNewRomanPSMT"/>
        </w:rPr>
        <w:t>1</w:t>
      </w:r>
      <w:r>
        <w:rPr>
          <w:rFonts w:hint="eastAsia" w:ascii="宋体" w:hAnsi="宋体" w:cs="宋体"/>
        </w:rPr>
        <w:t>）</w:t>
      </w:r>
      <w:r>
        <w:rPr>
          <w:rFonts w:ascii="宋体" w:hAnsi="宋体" w:cs="宋体"/>
        </w:rPr>
        <w:t xml:space="preserve"> </w:t>
      </w:r>
      <w:r>
        <w:rPr>
          <w:rFonts w:hint="eastAsia" w:ascii="宋体" w:hAnsi="宋体" w:cs="宋体"/>
        </w:rPr>
        <w:t>工程或工程的任何部分对土地的占用所造成的第三者财产损失；</w:t>
      </w:r>
    </w:p>
    <w:p>
      <w:pPr>
        <w:autoSpaceDE w:val="0"/>
        <w:autoSpaceDN w:val="0"/>
        <w:adjustRightInd w:val="0"/>
        <w:rPr>
          <w:rFonts w:ascii="宋体" w:hAnsi="宋体" w:cs="宋体"/>
        </w:rPr>
      </w:pPr>
      <w:r>
        <w:rPr>
          <w:rFonts w:hint="eastAsia" w:ascii="宋体" w:hAnsi="宋体" w:cs="宋体"/>
        </w:rPr>
        <w:t>（</w:t>
      </w:r>
      <w:r>
        <w:rPr>
          <w:rFonts w:ascii="宋体" w:hAnsi="宋体" w:cs="TimesNewRomanPSMT"/>
        </w:rPr>
        <w:t>2</w:t>
      </w:r>
      <w:r>
        <w:rPr>
          <w:rFonts w:hint="eastAsia" w:ascii="宋体" w:hAnsi="宋体" w:cs="宋体"/>
        </w:rPr>
        <w:t>）</w:t>
      </w:r>
      <w:r>
        <w:rPr>
          <w:rFonts w:ascii="宋体" w:hAnsi="宋体" w:cs="宋体"/>
        </w:rPr>
        <w:t xml:space="preserve"> </w:t>
      </w:r>
      <w:r>
        <w:rPr>
          <w:rFonts w:hint="eastAsia" w:ascii="宋体" w:hAnsi="宋体" w:cs="宋体"/>
        </w:rPr>
        <w:t>由于发包人原因在施工场地及其毗邻地带造成的第三者人身伤亡和财产损失。</w:t>
      </w:r>
    </w:p>
    <w:p>
      <w:pPr>
        <w:keepNext/>
        <w:keepLines/>
        <w:spacing w:before="120" w:after="120"/>
        <w:jc w:val="both"/>
        <w:outlineLvl w:val="2"/>
        <w:rPr>
          <w:rFonts w:ascii="宋体" w:hAnsi="宋体" w:cs="TimesNewRomanPSMT"/>
          <w:b/>
        </w:rPr>
      </w:pPr>
      <w:bookmarkStart w:id="106" w:name="_Toc260305462"/>
      <w:r>
        <w:rPr>
          <w:rFonts w:ascii="宋体" w:hAnsi="宋体" w:cs="TimesNewRomanPSMT"/>
          <w:b/>
        </w:rPr>
        <w:t xml:space="preserve">9.2 </w:t>
      </w:r>
      <w:r>
        <w:rPr>
          <w:rFonts w:hint="eastAsia" w:ascii="宋体" w:hAnsi="宋体" w:cs="TimesNewRomanPSMT"/>
          <w:b/>
        </w:rPr>
        <w:t>承包人的施工安全责任</w:t>
      </w:r>
      <w:bookmarkEnd w:id="106"/>
    </w:p>
    <w:p>
      <w:pPr>
        <w:autoSpaceDE w:val="0"/>
        <w:autoSpaceDN w:val="0"/>
        <w:adjustRightInd w:val="0"/>
        <w:rPr>
          <w:rFonts w:ascii="宋体" w:hAnsi="宋体" w:cs="宋体"/>
        </w:rPr>
      </w:pPr>
      <w:r>
        <w:rPr>
          <w:rFonts w:ascii="宋体" w:hAnsi="宋体" w:cs="TimesNewRomanPSMT"/>
        </w:rPr>
        <w:t xml:space="preserve">9.2.1 </w:t>
      </w:r>
      <w:r>
        <w:rPr>
          <w:rFonts w:hint="eastAsia" w:ascii="宋体" w:hAnsi="宋体" w:cs="宋体"/>
        </w:rPr>
        <w:t>承包人应按合同约定履行安全职责</w:t>
      </w:r>
      <w:r>
        <w:rPr>
          <w:rFonts w:ascii="宋体" w:hAnsi="宋体" w:cs="TimesNewRomanPSMT"/>
        </w:rPr>
        <w:t>,</w:t>
      </w:r>
      <w:r>
        <w:rPr>
          <w:rFonts w:hint="eastAsia" w:ascii="宋体" w:hAnsi="宋体" w:cs="宋体"/>
        </w:rPr>
        <w:t>执行监理人有关安全工作的指示</w:t>
      </w:r>
      <w:r>
        <w:rPr>
          <w:rFonts w:ascii="宋体" w:hAnsi="宋体" w:cs="TimesNewRomanPSMT"/>
        </w:rPr>
        <w:t>,</w:t>
      </w:r>
      <w:r>
        <w:rPr>
          <w:rFonts w:hint="eastAsia" w:ascii="宋体" w:hAnsi="宋体" w:cs="宋体"/>
        </w:rPr>
        <w:t>并在专用合同条款约定的期限内，按合同约定的安全工作内容，编制施工安全措施计划报送监理人审批。</w:t>
      </w:r>
    </w:p>
    <w:p>
      <w:pPr>
        <w:autoSpaceDE w:val="0"/>
        <w:autoSpaceDN w:val="0"/>
        <w:adjustRightInd w:val="0"/>
        <w:rPr>
          <w:rFonts w:ascii="宋体" w:hAnsi="宋体" w:cs="宋体"/>
        </w:rPr>
      </w:pPr>
      <w:r>
        <w:rPr>
          <w:rFonts w:ascii="宋体" w:hAnsi="宋体" w:cs="TimesNewRomanPSMT"/>
        </w:rPr>
        <w:t xml:space="preserve">9.2.2 </w:t>
      </w:r>
      <w:r>
        <w:rPr>
          <w:rFonts w:hint="eastAsia" w:ascii="宋体" w:hAnsi="宋体" w:cs="宋体"/>
        </w:rPr>
        <w:t>承包人应加强施工作业安全管理，特别应加强易燃、易爆材料、火工器材、有毒与腐蚀性材料和其他危险品的管理，以及对爆破作业和地下工程施工等危险作业的管理。</w:t>
      </w:r>
    </w:p>
    <w:p>
      <w:pPr>
        <w:autoSpaceDE w:val="0"/>
        <w:autoSpaceDN w:val="0"/>
        <w:adjustRightInd w:val="0"/>
        <w:rPr>
          <w:rFonts w:ascii="宋体" w:hAnsi="宋体" w:cs="宋体"/>
        </w:rPr>
      </w:pPr>
      <w:r>
        <w:rPr>
          <w:rFonts w:ascii="宋体" w:hAnsi="宋体" w:cs="TimesNewRomanPSMT"/>
        </w:rPr>
        <w:t xml:space="preserve">9.2.3 </w:t>
      </w:r>
      <w:r>
        <w:rPr>
          <w:rFonts w:hint="eastAsia" w:ascii="宋体" w:hAnsi="宋体" w:cs="宋体"/>
        </w:rPr>
        <w:t>承包人应严格按照国家安全标准制定施工安全操作规程，配备必要的安全生产和劳动保护设施，加强对承包人人员的安全教育，并发放安全工作手册和劳动保护用具。</w:t>
      </w:r>
    </w:p>
    <w:p>
      <w:pPr>
        <w:autoSpaceDE w:val="0"/>
        <w:autoSpaceDN w:val="0"/>
        <w:adjustRightInd w:val="0"/>
        <w:rPr>
          <w:rFonts w:ascii="宋体" w:hAnsi="宋体" w:cs="宋体"/>
        </w:rPr>
      </w:pPr>
      <w:r>
        <w:rPr>
          <w:rFonts w:ascii="宋体" w:hAnsi="宋体" w:cs="TimesNewRomanPSMT"/>
        </w:rPr>
        <w:t xml:space="preserve">9.2.4 </w:t>
      </w:r>
      <w:r>
        <w:rPr>
          <w:rFonts w:hint="eastAsia" w:ascii="宋体" w:hAnsi="宋体" w:cs="宋体"/>
        </w:rPr>
        <w:t>承包人应按监理人的指示制定应对灾害的紧急预案，报送监理人审批。承包人还应按预案做好安全检查，配置必要的救助物资和器材，切实保护好有关人员的人身和财产安全。</w:t>
      </w:r>
    </w:p>
    <w:p>
      <w:pPr>
        <w:autoSpaceDE w:val="0"/>
        <w:autoSpaceDN w:val="0"/>
        <w:adjustRightInd w:val="0"/>
        <w:rPr>
          <w:rFonts w:ascii="宋体" w:hAnsi="宋体" w:cs="宋体"/>
        </w:rPr>
      </w:pPr>
      <w:r>
        <w:rPr>
          <w:rFonts w:ascii="宋体" w:hAnsi="宋体" w:cs="TimesNewRomanPSMT"/>
        </w:rPr>
        <w:t xml:space="preserve">9.2.5 </w:t>
      </w:r>
      <w:r>
        <w:rPr>
          <w:rFonts w:hint="eastAsia" w:ascii="宋体" w:hAnsi="宋体" w:cs="宋体"/>
        </w:rPr>
        <w:t>合同约定的安全作业环境及安全施工措施所需费用应遵守有关规定，并包括在相关工作的合同价格中。因采取合同未约定的安全作业环境及安全施工措施增加的费用，由监理人按第</w:t>
      </w:r>
      <w:r>
        <w:rPr>
          <w:rFonts w:ascii="宋体" w:hAnsi="宋体" w:cs="TimesNewRomanPSMT"/>
        </w:rPr>
        <w:t xml:space="preserve">3.5 </w:t>
      </w:r>
      <w:r>
        <w:rPr>
          <w:rFonts w:hint="eastAsia" w:ascii="宋体" w:hAnsi="宋体" w:cs="宋体"/>
        </w:rPr>
        <w:t>款商定或确定。</w:t>
      </w:r>
    </w:p>
    <w:p>
      <w:pPr>
        <w:autoSpaceDE w:val="0"/>
        <w:autoSpaceDN w:val="0"/>
        <w:adjustRightInd w:val="0"/>
        <w:rPr>
          <w:rFonts w:ascii="宋体" w:hAnsi="宋体" w:cs="宋体"/>
        </w:rPr>
      </w:pPr>
      <w:r>
        <w:rPr>
          <w:rFonts w:ascii="宋体" w:hAnsi="宋体" w:cs="TimesNewRomanPSMT"/>
        </w:rPr>
        <w:t xml:space="preserve">9.2.6 </w:t>
      </w:r>
      <w:r>
        <w:rPr>
          <w:rFonts w:hint="eastAsia" w:ascii="宋体" w:hAnsi="宋体" w:cs="宋体"/>
        </w:rPr>
        <w:t>承包人应对其履行合同所雇佣的全部人员，包括分包人人员的工伤事故承担责任，但由于发包人原因造成承包人人员工伤事故的，应由发包人承担责任。</w:t>
      </w:r>
    </w:p>
    <w:p>
      <w:pPr>
        <w:autoSpaceDE w:val="0"/>
        <w:autoSpaceDN w:val="0"/>
        <w:adjustRightInd w:val="0"/>
        <w:rPr>
          <w:rFonts w:ascii="宋体" w:hAnsi="宋体" w:cs="宋体"/>
        </w:rPr>
      </w:pPr>
      <w:r>
        <w:rPr>
          <w:rFonts w:ascii="宋体" w:hAnsi="宋体" w:cs="TimesNewRomanPSMT"/>
        </w:rPr>
        <w:t xml:space="preserve">9.2.7 </w:t>
      </w:r>
      <w:r>
        <w:rPr>
          <w:rFonts w:hint="eastAsia" w:ascii="宋体" w:hAnsi="宋体" w:cs="宋体"/>
        </w:rPr>
        <w:t>由于承包人原因在施工场地内及其毗邻地带造成的第三者人员伤亡和财产损失，由承包人负责赔偿。</w:t>
      </w:r>
    </w:p>
    <w:p>
      <w:pPr>
        <w:keepNext/>
        <w:keepLines/>
        <w:spacing w:before="120" w:after="120"/>
        <w:jc w:val="both"/>
        <w:outlineLvl w:val="2"/>
        <w:rPr>
          <w:rFonts w:ascii="宋体" w:hAnsi="宋体" w:cs="TimesNewRomanPSMT"/>
          <w:b/>
        </w:rPr>
      </w:pPr>
      <w:bookmarkStart w:id="107" w:name="_Toc260305463"/>
      <w:r>
        <w:rPr>
          <w:rFonts w:ascii="宋体" w:hAnsi="宋体" w:cs="TimesNewRomanPSMT"/>
          <w:b/>
        </w:rPr>
        <w:t xml:space="preserve">9.3 </w:t>
      </w:r>
      <w:r>
        <w:rPr>
          <w:rFonts w:hint="eastAsia" w:ascii="宋体" w:hAnsi="宋体" w:cs="TimesNewRomanPSMT"/>
          <w:b/>
        </w:rPr>
        <w:t>治安保卫</w:t>
      </w:r>
      <w:bookmarkEnd w:id="107"/>
    </w:p>
    <w:p>
      <w:pPr>
        <w:autoSpaceDE w:val="0"/>
        <w:autoSpaceDN w:val="0"/>
        <w:adjustRightInd w:val="0"/>
        <w:rPr>
          <w:rFonts w:ascii="宋体" w:hAnsi="宋体" w:cs="宋体"/>
        </w:rPr>
      </w:pPr>
      <w:r>
        <w:rPr>
          <w:rFonts w:ascii="宋体" w:hAnsi="宋体" w:cs="TimesNewRomanPSMT"/>
        </w:rPr>
        <w:t xml:space="preserve">9.3.1 </w:t>
      </w:r>
      <w:r>
        <w:rPr>
          <w:rFonts w:hint="eastAsia" w:ascii="宋体" w:hAnsi="宋体" w:cs="宋体"/>
        </w:rPr>
        <w:t>除合同另有约定外，发包人应与当地公安部门协商，在现场建立治安管理机构或联防组织，统一管理施工场地的治安保卫事项，履行合同工程的治安保卫职责。</w:t>
      </w:r>
    </w:p>
    <w:p>
      <w:pPr>
        <w:autoSpaceDE w:val="0"/>
        <w:autoSpaceDN w:val="0"/>
        <w:adjustRightInd w:val="0"/>
        <w:rPr>
          <w:rFonts w:ascii="宋体" w:hAnsi="宋体" w:cs="宋体"/>
        </w:rPr>
      </w:pPr>
      <w:r>
        <w:rPr>
          <w:rFonts w:ascii="宋体" w:hAnsi="宋体" w:cs="TimesNewRomanPSMT"/>
        </w:rPr>
        <w:t xml:space="preserve">9.3.2 </w:t>
      </w:r>
      <w:r>
        <w:rPr>
          <w:rFonts w:hint="eastAsia" w:ascii="宋体" w:hAnsi="宋体" w:cs="宋体"/>
        </w:rPr>
        <w:t>发包人和承包人除应协助现场治安管理机构或联防组织维护施工场地的社会治安外，还应做好包括生活区在内的各自管辖区的治安保卫工作。</w:t>
      </w:r>
    </w:p>
    <w:p>
      <w:pPr>
        <w:autoSpaceDE w:val="0"/>
        <w:autoSpaceDN w:val="0"/>
        <w:adjustRightInd w:val="0"/>
        <w:rPr>
          <w:rFonts w:ascii="宋体" w:hAnsi="宋体" w:cs="宋体"/>
        </w:rPr>
      </w:pPr>
      <w:r>
        <w:rPr>
          <w:rFonts w:ascii="宋体" w:hAnsi="宋体" w:cs="TimesNewRomanPSMT"/>
        </w:rPr>
        <w:t xml:space="preserve">9.3.3 </w:t>
      </w:r>
      <w:r>
        <w:rPr>
          <w:rFonts w:hint="eastAsia" w:ascii="宋体" w:hAnsi="宋体" w:cs="宋体"/>
        </w:rPr>
        <w:t>除合同另有约定外，发包人和承包人应在工程开工后，共同编制施工场地治安管理计划，并制定应对突发治安事件的紧急预案。在工程施工过程中，发生暴乱、爆炸等恐怖事件，以及群殴、械斗等群体性突发治安事件的，发包人和承包人应立即向当地政府报告。</w:t>
      </w:r>
    </w:p>
    <w:p>
      <w:pPr>
        <w:autoSpaceDE w:val="0"/>
        <w:autoSpaceDN w:val="0"/>
        <w:adjustRightInd w:val="0"/>
        <w:rPr>
          <w:rFonts w:ascii="宋体" w:hAnsi="宋体" w:cs="宋体"/>
        </w:rPr>
      </w:pPr>
      <w:r>
        <w:rPr>
          <w:rFonts w:hint="eastAsia" w:ascii="宋体" w:hAnsi="宋体" w:cs="宋体"/>
        </w:rPr>
        <w:t>发包人和承包人应积极协助当地有关部门采取措施平息事态，防止事态扩大，尽量减少财产损失和避免人员伤亡。</w:t>
      </w:r>
    </w:p>
    <w:p>
      <w:pPr>
        <w:keepNext/>
        <w:keepLines/>
        <w:spacing w:before="120" w:after="120"/>
        <w:jc w:val="both"/>
        <w:outlineLvl w:val="2"/>
        <w:rPr>
          <w:rFonts w:ascii="宋体" w:hAnsi="宋体" w:cs="TimesNewRomanPSMT"/>
          <w:b/>
        </w:rPr>
      </w:pPr>
      <w:bookmarkStart w:id="108" w:name="_Toc260305464"/>
      <w:r>
        <w:rPr>
          <w:rFonts w:ascii="宋体" w:hAnsi="宋体" w:cs="TimesNewRomanPSMT"/>
          <w:b/>
        </w:rPr>
        <w:t xml:space="preserve">9.4 </w:t>
      </w:r>
      <w:r>
        <w:rPr>
          <w:rFonts w:hint="eastAsia" w:ascii="宋体" w:hAnsi="宋体" w:cs="TimesNewRomanPSMT"/>
          <w:b/>
        </w:rPr>
        <w:t>环境保护</w:t>
      </w:r>
      <w:bookmarkEnd w:id="108"/>
    </w:p>
    <w:p>
      <w:pPr>
        <w:autoSpaceDE w:val="0"/>
        <w:autoSpaceDN w:val="0"/>
        <w:adjustRightInd w:val="0"/>
        <w:rPr>
          <w:rFonts w:ascii="宋体" w:hAnsi="宋体" w:cs="宋体"/>
        </w:rPr>
      </w:pPr>
      <w:r>
        <w:rPr>
          <w:rFonts w:ascii="宋体" w:hAnsi="宋体" w:cs="TimesNewRomanPSMT"/>
        </w:rPr>
        <w:t xml:space="preserve">9.4.1 </w:t>
      </w:r>
      <w:r>
        <w:rPr>
          <w:rFonts w:hint="eastAsia" w:ascii="宋体" w:hAnsi="宋体" w:cs="宋体"/>
        </w:rPr>
        <w:t>承包人在施工过程中，应遵守有关环境保护的法律，履行合同约定的环境保护义务，并对违反法律和合同约定义务所造成的环境破坏、人身伤害和财产损失负责。</w:t>
      </w:r>
    </w:p>
    <w:p>
      <w:pPr>
        <w:autoSpaceDE w:val="0"/>
        <w:autoSpaceDN w:val="0"/>
        <w:adjustRightInd w:val="0"/>
        <w:rPr>
          <w:rFonts w:ascii="宋体" w:hAnsi="宋体" w:cs="宋体"/>
        </w:rPr>
      </w:pPr>
      <w:r>
        <w:rPr>
          <w:rFonts w:ascii="宋体" w:hAnsi="宋体" w:cs="TimesNewRomanPSMT"/>
        </w:rPr>
        <w:t xml:space="preserve">9.4.2 </w:t>
      </w:r>
      <w:r>
        <w:rPr>
          <w:rFonts w:hint="eastAsia" w:ascii="宋体" w:hAnsi="宋体" w:cs="宋体"/>
        </w:rPr>
        <w:t>承包人应按合同约定的环保工作内容，编制施工环保措施计划，报送监理人审批。</w:t>
      </w:r>
    </w:p>
    <w:p>
      <w:pPr>
        <w:autoSpaceDE w:val="0"/>
        <w:autoSpaceDN w:val="0"/>
        <w:adjustRightInd w:val="0"/>
        <w:rPr>
          <w:rFonts w:ascii="宋体" w:hAnsi="宋体" w:cs="宋体"/>
        </w:rPr>
      </w:pPr>
      <w:r>
        <w:rPr>
          <w:rFonts w:ascii="宋体" w:hAnsi="宋体" w:cs="TimesNewRomanPSMT"/>
        </w:rPr>
        <w:t xml:space="preserve">9.4.3 </w:t>
      </w:r>
      <w:r>
        <w:rPr>
          <w:rFonts w:hint="eastAsia" w:ascii="宋体" w:hAnsi="宋体" w:cs="宋体"/>
        </w:rPr>
        <w:t>承包人应按照批准的施工环保措施计划有序地堆放和处理施工废弃物，避免对环境造成破坏。因承包人任意堆放或弃置施工废弃物造成妨碍公共交通、影响城镇居民生活、降低河流行洪能力、危及居民安全、破坏周边环境，或者影响其他承包人施工等后果的，承包人应承担责任。</w:t>
      </w:r>
    </w:p>
    <w:p>
      <w:pPr>
        <w:autoSpaceDE w:val="0"/>
        <w:autoSpaceDN w:val="0"/>
        <w:adjustRightInd w:val="0"/>
        <w:rPr>
          <w:rFonts w:ascii="宋体" w:hAnsi="宋体" w:cs="宋体"/>
        </w:rPr>
      </w:pPr>
      <w:r>
        <w:rPr>
          <w:rFonts w:ascii="宋体" w:hAnsi="宋体" w:cs="TimesNewRomanPSMT"/>
        </w:rPr>
        <w:t xml:space="preserve">9.4.4 </w:t>
      </w:r>
      <w:r>
        <w:rPr>
          <w:rFonts w:hint="eastAsia" w:ascii="宋体" w:hAnsi="宋体" w:cs="宋体"/>
        </w:rPr>
        <w:t>承包人应按合同约定采取有效措施，对施工开挖的边坡及时进行支护</w:t>
      </w:r>
      <w:r>
        <w:rPr>
          <w:rFonts w:ascii="宋体" w:hAnsi="宋体" w:cs="TimesNewRomanPSMT"/>
        </w:rPr>
        <w:t>,</w:t>
      </w:r>
      <w:r>
        <w:rPr>
          <w:rFonts w:hint="eastAsia" w:ascii="宋体" w:hAnsi="宋体" w:cs="宋体"/>
        </w:rPr>
        <w:t>维护排水设施，并进行水土保护，避免因施工造成的地质灾害。</w:t>
      </w:r>
    </w:p>
    <w:p>
      <w:pPr>
        <w:autoSpaceDE w:val="0"/>
        <w:autoSpaceDN w:val="0"/>
        <w:adjustRightInd w:val="0"/>
        <w:rPr>
          <w:rFonts w:ascii="宋体" w:hAnsi="宋体" w:cs="宋体"/>
        </w:rPr>
      </w:pPr>
      <w:r>
        <w:rPr>
          <w:rFonts w:ascii="宋体" w:hAnsi="宋体" w:cs="TimesNewRomanPSMT"/>
        </w:rPr>
        <w:t xml:space="preserve">9.4.5 </w:t>
      </w:r>
      <w:r>
        <w:rPr>
          <w:rFonts w:hint="eastAsia" w:ascii="宋体" w:hAnsi="宋体" w:cs="宋体"/>
        </w:rPr>
        <w:t>承包人应按国家饮用水管理标准定期对饮用水源进行监测，防止施工活动污染饮用水源。</w:t>
      </w:r>
    </w:p>
    <w:p>
      <w:pPr>
        <w:autoSpaceDE w:val="0"/>
        <w:autoSpaceDN w:val="0"/>
        <w:adjustRightInd w:val="0"/>
        <w:rPr>
          <w:rFonts w:ascii="宋体" w:hAnsi="宋体" w:cs="宋体"/>
        </w:rPr>
      </w:pPr>
      <w:r>
        <w:rPr>
          <w:rFonts w:ascii="宋体" w:hAnsi="宋体" w:cs="TimesNewRomanPSMT"/>
        </w:rPr>
        <w:t xml:space="preserve">9.4.6 </w:t>
      </w:r>
      <w:r>
        <w:rPr>
          <w:rFonts w:hint="eastAsia" w:ascii="宋体" w:hAnsi="宋体" w:cs="宋体"/>
        </w:rPr>
        <w:t>承包人应按合同约定，加强对噪声、粉尘、废气、废水和废油的控制，努力降低噪声，控制粉尘和废气浓度，做好废水和废油的治理和排放。</w:t>
      </w:r>
    </w:p>
    <w:p>
      <w:pPr>
        <w:keepNext/>
        <w:keepLines/>
        <w:spacing w:before="120" w:after="120"/>
        <w:jc w:val="both"/>
        <w:outlineLvl w:val="2"/>
        <w:rPr>
          <w:rFonts w:ascii="宋体" w:hAnsi="宋体" w:cs="TimesNewRomanPSMT"/>
          <w:b/>
        </w:rPr>
      </w:pPr>
      <w:bookmarkStart w:id="109" w:name="_Toc260305465"/>
      <w:r>
        <w:rPr>
          <w:rFonts w:ascii="宋体" w:hAnsi="宋体" w:cs="TimesNewRomanPSMT"/>
          <w:b/>
        </w:rPr>
        <w:t xml:space="preserve">9.5 </w:t>
      </w:r>
      <w:r>
        <w:rPr>
          <w:rFonts w:hint="eastAsia" w:ascii="宋体" w:hAnsi="宋体" w:cs="TimesNewRomanPSMT"/>
          <w:b/>
        </w:rPr>
        <w:t>事故处理</w:t>
      </w:r>
      <w:bookmarkEnd w:id="109"/>
    </w:p>
    <w:p>
      <w:pPr>
        <w:autoSpaceDE w:val="0"/>
        <w:autoSpaceDN w:val="0"/>
        <w:adjustRightInd w:val="0"/>
        <w:rPr>
          <w:rFonts w:ascii="宋体" w:hAnsi="宋体" w:cs="宋体"/>
        </w:rPr>
      </w:pPr>
      <w:r>
        <w:rPr>
          <w:rFonts w:hint="eastAsia" w:ascii="宋体" w:hAnsi="宋体" w:cs="宋体"/>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pPr>
        <w:keepNext/>
        <w:keepLines/>
        <w:spacing w:before="120" w:after="120"/>
        <w:jc w:val="both"/>
        <w:outlineLvl w:val="1"/>
        <w:rPr>
          <w:rFonts w:ascii="宋体" w:hAnsi="宋体" w:cs="TimesNewRomanPSMT"/>
          <w:b/>
          <w:sz w:val="28"/>
          <w:szCs w:val="28"/>
        </w:rPr>
      </w:pPr>
      <w:bookmarkStart w:id="110" w:name="_Toc13797"/>
      <w:bookmarkStart w:id="111" w:name="_Toc260305466"/>
      <w:r>
        <w:rPr>
          <w:rFonts w:ascii="宋体" w:hAnsi="宋体" w:cs="TimesNewRomanPSMT"/>
          <w:b/>
          <w:sz w:val="28"/>
          <w:szCs w:val="28"/>
        </w:rPr>
        <w:t xml:space="preserve">10. </w:t>
      </w:r>
      <w:r>
        <w:rPr>
          <w:rFonts w:hint="eastAsia" w:ascii="宋体" w:hAnsi="宋体" w:cs="TimesNewRomanPSMT"/>
          <w:b/>
          <w:sz w:val="28"/>
          <w:szCs w:val="28"/>
        </w:rPr>
        <w:t>进度计划</w:t>
      </w:r>
      <w:bookmarkEnd w:id="110"/>
      <w:bookmarkEnd w:id="111"/>
    </w:p>
    <w:p>
      <w:pPr>
        <w:keepNext/>
        <w:keepLines/>
        <w:spacing w:before="120" w:after="120"/>
        <w:jc w:val="both"/>
        <w:outlineLvl w:val="2"/>
        <w:rPr>
          <w:rFonts w:ascii="宋体" w:hAnsi="宋体" w:cs="TimesNewRomanPSMT"/>
          <w:b/>
        </w:rPr>
      </w:pPr>
      <w:bookmarkStart w:id="112" w:name="_Toc260305467"/>
      <w:r>
        <w:rPr>
          <w:rFonts w:ascii="宋体" w:hAnsi="宋体" w:cs="TimesNewRomanPSMT"/>
          <w:b/>
        </w:rPr>
        <w:t xml:space="preserve">10.1 </w:t>
      </w:r>
      <w:r>
        <w:rPr>
          <w:rFonts w:hint="eastAsia" w:ascii="宋体" w:hAnsi="宋体" w:cs="TimesNewRomanPSMT"/>
          <w:b/>
        </w:rPr>
        <w:t>合同进度计划</w:t>
      </w:r>
      <w:bookmarkEnd w:id="112"/>
    </w:p>
    <w:p>
      <w:pPr>
        <w:autoSpaceDE w:val="0"/>
        <w:autoSpaceDN w:val="0"/>
        <w:adjustRightInd w:val="0"/>
        <w:rPr>
          <w:rFonts w:ascii="宋体" w:hAnsi="Calibri" w:cs="宋体"/>
        </w:rPr>
      </w:pPr>
      <w:r>
        <w:rPr>
          <w:rFonts w:hint="eastAsia" w:ascii="宋体" w:hAnsi="Calibri" w:cs="宋体"/>
        </w:rPr>
        <w:t>承包人应按专用合同条款约定的内容和期限，编制详细的施工进度计划和施工方案说明报送监理人。监理人应在专用合同条款约定的期限内批复或提出修改意见，否则该进度计划视为已得到批准。经监理人批准的施工进度计划称合同进度计划，是控制合同工程进度的依据。承包人还应根据合同进度计划，编制更为详细的分阶段或分项进度计划，报监理人审批。</w:t>
      </w:r>
    </w:p>
    <w:p>
      <w:pPr>
        <w:keepNext/>
        <w:keepLines/>
        <w:spacing w:before="120" w:after="120"/>
        <w:jc w:val="both"/>
        <w:outlineLvl w:val="2"/>
        <w:rPr>
          <w:rFonts w:ascii="宋体" w:hAnsi="宋体" w:cs="TimesNewRomanPSMT"/>
          <w:b/>
        </w:rPr>
      </w:pPr>
      <w:bookmarkStart w:id="113" w:name="_Toc260305468"/>
      <w:r>
        <w:rPr>
          <w:rFonts w:ascii="宋体" w:hAnsi="宋体" w:cs="TimesNewRomanPSMT"/>
          <w:b/>
        </w:rPr>
        <w:t xml:space="preserve">10.2 </w:t>
      </w:r>
      <w:r>
        <w:rPr>
          <w:rFonts w:hint="eastAsia" w:ascii="宋体" w:hAnsi="宋体" w:cs="TimesNewRomanPSMT"/>
          <w:b/>
        </w:rPr>
        <w:t>合同进度计划的修订</w:t>
      </w:r>
      <w:bookmarkEnd w:id="113"/>
    </w:p>
    <w:p>
      <w:pPr>
        <w:autoSpaceDE w:val="0"/>
        <w:autoSpaceDN w:val="0"/>
        <w:adjustRightInd w:val="0"/>
        <w:rPr>
          <w:rFonts w:ascii="宋体" w:hAnsi="宋体" w:cs="宋体"/>
        </w:rPr>
      </w:pPr>
      <w:r>
        <w:rPr>
          <w:rFonts w:hint="eastAsia" w:ascii="宋体" w:hAnsi="宋体" w:cs="宋体"/>
        </w:rPr>
        <w:t>不论何种原因造成工程的实际进度与第</w:t>
      </w:r>
      <w:r>
        <w:rPr>
          <w:rFonts w:ascii="宋体" w:hAnsi="宋体" w:cs="TimesNewRomanPSMT"/>
        </w:rPr>
        <w:t xml:space="preserve">10.1 </w:t>
      </w:r>
      <w:r>
        <w:rPr>
          <w:rFonts w:hint="eastAsia" w:ascii="宋体" w:hAnsi="宋体" w:cs="宋体"/>
        </w:rPr>
        <w:t>款的合同进度计划不符时，承包人可以在专用合同条款约定的期限内向监理人提交修订合同进度计划的申请报告，并附有关措施和相关资料，报监理人审批；监理人也可以直接向承包人作出修订合同进度计划的指示，承包人应按该指示修订合同进度计划，报监理人审批。监理人应在专用合同条款约定的期限内批复。监理人在批复前应获得发包人同意。</w:t>
      </w:r>
    </w:p>
    <w:p>
      <w:pPr>
        <w:keepNext/>
        <w:keepLines/>
        <w:spacing w:before="120" w:after="120"/>
        <w:jc w:val="both"/>
        <w:outlineLvl w:val="1"/>
        <w:rPr>
          <w:rFonts w:ascii="宋体" w:hAnsi="宋体" w:cs="TimesNewRomanPSMT"/>
          <w:b/>
          <w:sz w:val="28"/>
          <w:szCs w:val="28"/>
        </w:rPr>
      </w:pPr>
      <w:bookmarkStart w:id="114" w:name="_Toc8568"/>
      <w:bookmarkStart w:id="115" w:name="_Toc260305469"/>
      <w:r>
        <w:rPr>
          <w:rFonts w:ascii="宋体" w:hAnsi="宋体" w:cs="TimesNewRomanPSMT"/>
          <w:b/>
          <w:sz w:val="28"/>
          <w:szCs w:val="28"/>
        </w:rPr>
        <w:t xml:space="preserve">11. </w:t>
      </w:r>
      <w:r>
        <w:rPr>
          <w:rFonts w:hint="eastAsia" w:ascii="宋体" w:hAnsi="宋体" w:cs="TimesNewRomanPSMT"/>
          <w:b/>
          <w:sz w:val="28"/>
          <w:szCs w:val="28"/>
        </w:rPr>
        <w:t>开工和竣工</w:t>
      </w:r>
      <w:bookmarkEnd w:id="114"/>
      <w:bookmarkEnd w:id="115"/>
    </w:p>
    <w:p>
      <w:pPr>
        <w:keepNext/>
        <w:keepLines/>
        <w:spacing w:before="120" w:after="120"/>
        <w:jc w:val="both"/>
        <w:outlineLvl w:val="2"/>
        <w:rPr>
          <w:rFonts w:ascii="宋体" w:hAnsi="宋体" w:cs="TimesNewRomanPSMT"/>
          <w:b/>
        </w:rPr>
      </w:pPr>
      <w:bookmarkStart w:id="116" w:name="_Toc260305470"/>
      <w:r>
        <w:rPr>
          <w:rFonts w:ascii="宋体" w:hAnsi="宋体" w:cs="TimesNewRomanPSMT"/>
          <w:b/>
        </w:rPr>
        <w:t xml:space="preserve">11.1 </w:t>
      </w:r>
      <w:r>
        <w:rPr>
          <w:rFonts w:hint="eastAsia" w:ascii="宋体" w:hAnsi="宋体" w:cs="TimesNewRomanPSMT"/>
          <w:b/>
        </w:rPr>
        <w:t>开工</w:t>
      </w:r>
      <w:bookmarkEnd w:id="116"/>
    </w:p>
    <w:p>
      <w:pPr>
        <w:autoSpaceDE w:val="0"/>
        <w:autoSpaceDN w:val="0"/>
        <w:adjustRightInd w:val="0"/>
        <w:rPr>
          <w:rFonts w:ascii="宋体" w:hAnsi="宋体" w:cs="宋体"/>
        </w:rPr>
      </w:pPr>
      <w:r>
        <w:rPr>
          <w:rFonts w:ascii="宋体" w:hAnsi="宋体" w:cs="TimesNewRomanPSMT"/>
        </w:rPr>
        <w:t xml:space="preserve">11.1.1 </w:t>
      </w:r>
      <w:r>
        <w:rPr>
          <w:rFonts w:hint="eastAsia" w:ascii="宋体" w:hAnsi="宋体" w:cs="宋体"/>
        </w:rPr>
        <w:t>监理人应在开工日期</w:t>
      </w:r>
      <w:r>
        <w:rPr>
          <w:rFonts w:ascii="宋体" w:hAnsi="宋体" w:cs="TimesNewRomanPSMT"/>
        </w:rPr>
        <w:t xml:space="preserve">7 </w:t>
      </w:r>
      <w:r>
        <w:rPr>
          <w:rFonts w:hint="eastAsia" w:ascii="宋体" w:hAnsi="宋体" w:cs="宋体"/>
        </w:rPr>
        <w:t>天前向承包人发出开工通知。监理人在发出开工通知前应获得发包人同意。工期自监理人发出的开工通知中载明的开工日期起计算。承包人应在开工日期后尽快施工。</w:t>
      </w:r>
    </w:p>
    <w:p>
      <w:pPr>
        <w:autoSpaceDE w:val="0"/>
        <w:autoSpaceDN w:val="0"/>
        <w:adjustRightInd w:val="0"/>
        <w:rPr>
          <w:rFonts w:ascii="宋体" w:hAnsi="宋体" w:cs="宋体"/>
        </w:rPr>
      </w:pPr>
      <w:r>
        <w:rPr>
          <w:rFonts w:ascii="宋体" w:hAnsi="宋体" w:cs="TimesNewRomanPSMT"/>
        </w:rPr>
        <w:t xml:space="preserve">11.1.2 </w:t>
      </w:r>
      <w:r>
        <w:rPr>
          <w:rFonts w:hint="eastAsia" w:ascii="宋体" w:hAnsi="宋体" w:cs="宋体"/>
        </w:rPr>
        <w:t>承包人应按第</w:t>
      </w:r>
      <w:r>
        <w:rPr>
          <w:rFonts w:ascii="宋体" w:hAnsi="宋体" w:cs="TimesNewRomanPSMT"/>
        </w:rPr>
        <w:t xml:space="preserve">10.1 </w:t>
      </w:r>
      <w:r>
        <w:rPr>
          <w:rFonts w:hint="eastAsia" w:ascii="宋体" w:hAnsi="宋体" w:cs="宋体"/>
        </w:rPr>
        <w:t>款约定的合同进度计划，向监理人提交工程开工报审表，经监理人审批后执行。开工报审表应详细说明按合同进度计划正常施工所需的施工道路、临时设施、材料设备、施工人员等施工组织措施的落实情况以及工程的进度安排。</w:t>
      </w:r>
    </w:p>
    <w:p>
      <w:pPr>
        <w:keepNext/>
        <w:keepLines/>
        <w:spacing w:before="120" w:after="120"/>
        <w:jc w:val="both"/>
        <w:outlineLvl w:val="2"/>
        <w:rPr>
          <w:rFonts w:ascii="宋体" w:hAnsi="宋体" w:cs="TimesNewRomanPSMT"/>
          <w:b/>
        </w:rPr>
      </w:pPr>
      <w:bookmarkStart w:id="117" w:name="_Toc260305471"/>
      <w:r>
        <w:rPr>
          <w:rFonts w:ascii="宋体" w:hAnsi="宋体" w:cs="TimesNewRomanPSMT"/>
          <w:b/>
        </w:rPr>
        <w:t xml:space="preserve">11.2 </w:t>
      </w:r>
      <w:r>
        <w:rPr>
          <w:rFonts w:hint="eastAsia" w:ascii="宋体" w:hAnsi="宋体" w:cs="TimesNewRomanPSMT"/>
          <w:b/>
        </w:rPr>
        <w:t>竣工</w:t>
      </w:r>
      <w:bookmarkEnd w:id="117"/>
    </w:p>
    <w:p>
      <w:pPr>
        <w:autoSpaceDE w:val="0"/>
        <w:autoSpaceDN w:val="0"/>
        <w:adjustRightInd w:val="0"/>
        <w:rPr>
          <w:rFonts w:ascii="宋体" w:hAnsi="宋体" w:cs="宋体"/>
        </w:rPr>
      </w:pPr>
      <w:r>
        <w:rPr>
          <w:rFonts w:hint="eastAsia" w:ascii="宋体" w:hAnsi="宋体" w:cs="宋体"/>
        </w:rPr>
        <w:t>承包人应在第</w:t>
      </w:r>
      <w:r>
        <w:rPr>
          <w:rFonts w:ascii="宋体" w:hAnsi="宋体" w:cs="TimesNewRomanPSMT"/>
        </w:rPr>
        <w:t xml:space="preserve">1.1.4.3 </w:t>
      </w:r>
      <w:r>
        <w:rPr>
          <w:rFonts w:hint="eastAsia" w:ascii="宋体" w:hAnsi="宋体" w:cs="宋体"/>
        </w:rPr>
        <w:t>目约定的期限内完成合同工程。实际竣工日期在接收证书中写明。</w:t>
      </w:r>
    </w:p>
    <w:p>
      <w:pPr>
        <w:keepNext/>
        <w:keepLines/>
        <w:spacing w:before="120" w:after="120"/>
        <w:jc w:val="both"/>
        <w:outlineLvl w:val="2"/>
        <w:rPr>
          <w:rFonts w:ascii="宋体" w:hAnsi="宋体" w:cs="TimesNewRomanPSMT"/>
          <w:b/>
        </w:rPr>
      </w:pPr>
      <w:bookmarkStart w:id="118" w:name="_Toc260305472"/>
      <w:r>
        <w:rPr>
          <w:rFonts w:ascii="宋体" w:hAnsi="宋体" w:cs="TimesNewRomanPSMT"/>
          <w:b/>
        </w:rPr>
        <w:t xml:space="preserve">11.3 </w:t>
      </w:r>
      <w:r>
        <w:rPr>
          <w:rFonts w:hint="eastAsia" w:ascii="宋体" w:hAnsi="宋体" w:cs="TimesNewRomanPSMT"/>
          <w:b/>
        </w:rPr>
        <w:t>发包人的工期延误</w:t>
      </w:r>
      <w:bookmarkEnd w:id="118"/>
    </w:p>
    <w:p>
      <w:pPr>
        <w:autoSpaceDE w:val="0"/>
        <w:autoSpaceDN w:val="0"/>
        <w:adjustRightInd w:val="0"/>
        <w:rPr>
          <w:rFonts w:ascii="宋体" w:hAnsi="宋体" w:cs="宋体"/>
        </w:rPr>
      </w:pPr>
      <w:r>
        <w:rPr>
          <w:rFonts w:hint="eastAsia" w:ascii="宋体" w:hAnsi="宋体" w:cs="宋体"/>
        </w:rPr>
        <w:t>在履行合同过程中，由于发包人的下列原因造成工期延误的，承包人有权要求发包人延长工期和（或）增加费用，并支付合理利润。需要修订合同进度计划的，按照第</w:t>
      </w:r>
      <w:r>
        <w:rPr>
          <w:rFonts w:ascii="宋体" w:hAnsi="宋体" w:cs="TimesNewRomanPSMT"/>
        </w:rPr>
        <w:t xml:space="preserve">10.2 </w:t>
      </w:r>
      <w:r>
        <w:rPr>
          <w:rFonts w:hint="eastAsia" w:ascii="宋体" w:hAnsi="宋体" w:cs="宋体"/>
        </w:rPr>
        <w:t>款的约定办理。</w:t>
      </w:r>
    </w:p>
    <w:p>
      <w:pPr>
        <w:autoSpaceDE w:val="0"/>
        <w:autoSpaceDN w:val="0"/>
        <w:adjustRightInd w:val="0"/>
        <w:rPr>
          <w:rFonts w:ascii="宋体" w:hAnsi="宋体" w:cs="宋体"/>
        </w:rPr>
      </w:pPr>
      <w:r>
        <w:rPr>
          <w:rFonts w:hint="eastAsia" w:ascii="宋体" w:hAnsi="宋体" w:cs="宋体"/>
        </w:rPr>
        <w:t>（</w:t>
      </w:r>
      <w:r>
        <w:rPr>
          <w:rFonts w:ascii="宋体" w:hAnsi="宋体" w:cs="TimesNewRomanPSMT"/>
        </w:rPr>
        <w:t>1</w:t>
      </w:r>
      <w:r>
        <w:rPr>
          <w:rFonts w:hint="eastAsia" w:ascii="宋体" w:hAnsi="宋体" w:cs="宋体"/>
        </w:rPr>
        <w:t>）增加合同工作内容；</w:t>
      </w:r>
    </w:p>
    <w:p>
      <w:pPr>
        <w:autoSpaceDE w:val="0"/>
        <w:autoSpaceDN w:val="0"/>
        <w:adjustRightInd w:val="0"/>
        <w:rPr>
          <w:rFonts w:ascii="宋体" w:hAnsi="宋体" w:cs="宋体"/>
        </w:rPr>
      </w:pPr>
      <w:r>
        <w:rPr>
          <w:rFonts w:hint="eastAsia" w:ascii="宋体" w:hAnsi="宋体" w:cs="宋体"/>
        </w:rPr>
        <w:t>（</w:t>
      </w:r>
      <w:r>
        <w:rPr>
          <w:rFonts w:ascii="宋体" w:hAnsi="宋体" w:cs="TimesNewRomanPSMT"/>
        </w:rPr>
        <w:t>2</w:t>
      </w:r>
      <w:r>
        <w:rPr>
          <w:rFonts w:hint="eastAsia" w:ascii="宋体" w:hAnsi="宋体" w:cs="宋体"/>
        </w:rPr>
        <w:t>）改变合同中任何一项工作的质量要求或其他特性；</w:t>
      </w:r>
    </w:p>
    <w:p>
      <w:pPr>
        <w:autoSpaceDE w:val="0"/>
        <w:autoSpaceDN w:val="0"/>
        <w:adjustRightInd w:val="0"/>
        <w:rPr>
          <w:rFonts w:ascii="宋体" w:hAnsi="宋体" w:cs="宋体"/>
        </w:rPr>
      </w:pPr>
      <w:r>
        <w:rPr>
          <w:rFonts w:hint="eastAsia" w:ascii="宋体" w:hAnsi="宋体" w:cs="宋体"/>
        </w:rPr>
        <w:t>（</w:t>
      </w:r>
      <w:r>
        <w:rPr>
          <w:rFonts w:ascii="宋体" w:hAnsi="宋体" w:cs="TimesNewRomanPSMT"/>
        </w:rPr>
        <w:t>3</w:t>
      </w:r>
      <w:r>
        <w:rPr>
          <w:rFonts w:hint="eastAsia" w:ascii="宋体" w:hAnsi="宋体" w:cs="宋体"/>
        </w:rPr>
        <w:t>）发包人迟延提供材料、工程设备或变更交货地点的；</w:t>
      </w:r>
    </w:p>
    <w:p>
      <w:pPr>
        <w:autoSpaceDE w:val="0"/>
        <w:autoSpaceDN w:val="0"/>
        <w:adjustRightInd w:val="0"/>
        <w:rPr>
          <w:rFonts w:ascii="宋体" w:hAnsi="宋体" w:cs="宋体"/>
        </w:rPr>
      </w:pPr>
      <w:r>
        <w:rPr>
          <w:rFonts w:hint="eastAsia" w:ascii="宋体" w:hAnsi="宋体" w:cs="宋体"/>
        </w:rPr>
        <w:t>（</w:t>
      </w:r>
      <w:r>
        <w:rPr>
          <w:rFonts w:ascii="宋体" w:hAnsi="宋体" w:cs="TimesNewRomanPSMT"/>
        </w:rPr>
        <w:t>4</w:t>
      </w:r>
      <w:r>
        <w:rPr>
          <w:rFonts w:hint="eastAsia" w:ascii="宋体" w:hAnsi="宋体" w:cs="宋体"/>
        </w:rPr>
        <w:t>）因发包人原因导致的暂停施工；</w:t>
      </w:r>
    </w:p>
    <w:p>
      <w:pPr>
        <w:autoSpaceDE w:val="0"/>
        <w:autoSpaceDN w:val="0"/>
        <w:adjustRightInd w:val="0"/>
        <w:rPr>
          <w:rFonts w:ascii="宋体" w:hAnsi="宋体" w:cs="宋体"/>
        </w:rPr>
      </w:pPr>
      <w:r>
        <w:rPr>
          <w:rFonts w:hint="eastAsia" w:ascii="宋体" w:hAnsi="宋体" w:cs="宋体"/>
        </w:rPr>
        <w:t>（</w:t>
      </w:r>
      <w:r>
        <w:rPr>
          <w:rFonts w:ascii="宋体" w:hAnsi="宋体" w:cs="TimesNewRomanPSMT"/>
        </w:rPr>
        <w:t>5</w:t>
      </w:r>
      <w:r>
        <w:rPr>
          <w:rFonts w:hint="eastAsia" w:ascii="宋体" w:hAnsi="宋体" w:cs="宋体"/>
        </w:rPr>
        <w:t>）提供图纸延误；</w:t>
      </w:r>
    </w:p>
    <w:p>
      <w:pPr>
        <w:autoSpaceDE w:val="0"/>
        <w:autoSpaceDN w:val="0"/>
        <w:adjustRightInd w:val="0"/>
        <w:rPr>
          <w:rFonts w:ascii="宋体" w:hAnsi="宋体" w:cs="宋体"/>
        </w:rPr>
      </w:pPr>
      <w:r>
        <w:rPr>
          <w:rFonts w:hint="eastAsia" w:ascii="宋体" w:hAnsi="宋体" w:cs="宋体"/>
        </w:rPr>
        <w:t>（</w:t>
      </w:r>
      <w:r>
        <w:rPr>
          <w:rFonts w:ascii="宋体" w:hAnsi="宋体" w:cs="TimesNewRomanPSMT"/>
        </w:rPr>
        <w:t>6</w:t>
      </w:r>
      <w:r>
        <w:rPr>
          <w:rFonts w:hint="eastAsia" w:ascii="宋体" w:hAnsi="宋体" w:cs="宋体"/>
        </w:rPr>
        <w:t>）未按合同约定及时支付预付款、进度款；</w:t>
      </w:r>
    </w:p>
    <w:p>
      <w:pPr>
        <w:autoSpaceDE w:val="0"/>
        <w:autoSpaceDN w:val="0"/>
        <w:adjustRightInd w:val="0"/>
        <w:rPr>
          <w:rFonts w:ascii="宋体" w:hAnsi="宋体" w:cs="宋体"/>
        </w:rPr>
      </w:pPr>
      <w:r>
        <w:rPr>
          <w:rFonts w:hint="eastAsia" w:ascii="宋体" w:hAnsi="宋体" w:cs="宋体"/>
        </w:rPr>
        <w:t>（</w:t>
      </w:r>
      <w:r>
        <w:rPr>
          <w:rFonts w:ascii="宋体" w:hAnsi="宋体" w:cs="TimesNewRomanPSMT"/>
        </w:rPr>
        <w:t>7</w:t>
      </w:r>
      <w:r>
        <w:rPr>
          <w:rFonts w:hint="eastAsia" w:ascii="宋体" w:hAnsi="宋体" w:cs="宋体"/>
        </w:rPr>
        <w:t>）发包人造成工期延误的其他原因。</w:t>
      </w:r>
    </w:p>
    <w:p>
      <w:pPr>
        <w:keepNext/>
        <w:keepLines/>
        <w:spacing w:before="120" w:after="120"/>
        <w:jc w:val="both"/>
        <w:outlineLvl w:val="2"/>
        <w:rPr>
          <w:rFonts w:ascii="宋体" w:hAnsi="宋体" w:cs="TimesNewRomanPSMT"/>
          <w:b/>
        </w:rPr>
      </w:pPr>
      <w:bookmarkStart w:id="119" w:name="_Toc260305473"/>
      <w:r>
        <w:rPr>
          <w:rFonts w:ascii="宋体" w:hAnsi="宋体" w:cs="TimesNewRomanPSMT"/>
          <w:b/>
        </w:rPr>
        <w:t xml:space="preserve">11.4 </w:t>
      </w:r>
      <w:r>
        <w:rPr>
          <w:rFonts w:hint="eastAsia" w:ascii="宋体" w:hAnsi="宋体" w:cs="TimesNewRomanPSMT"/>
          <w:b/>
        </w:rPr>
        <w:t>异常恶劣的气候条件</w:t>
      </w:r>
      <w:bookmarkEnd w:id="119"/>
    </w:p>
    <w:p>
      <w:pPr>
        <w:autoSpaceDE w:val="0"/>
        <w:autoSpaceDN w:val="0"/>
        <w:adjustRightInd w:val="0"/>
        <w:rPr>
          <w:rFonts w:ascii="宋体" w:hAnsi="宋体" w:cs="宋体"/>
        </w:rPr>
      </w:pPr>
      <w:r>
        <w:rPr>
          <w:rFonts w:hint="eastAsia" w:ascii="宋体" w:hAnsi="宋体" w:cs="宋体"/>
        </w:rPr>
        <w:t>由于出现专用合同条款规定的异常恶劣气候的条件导致工期延误的，承包人有权要求发包人延长工期。</w:t>
      </w:r>
    </w:p>
    <w:p>
      <w:pPr>
        <w:keepNext/>
        <w:keepLines/>
        <w:spacing w:before="120" w:after="120"/>
        <w:jc w:val="both"/>
        <w:outlineLvl w:val="2"/>
        <w:rPr>
          <w:rFonts w:ascii="宋体" w:hAnsi="宋体" w:cs="TimesNewRomanPSMT"/>
          <w:b/>
        </w:rPr>
      </w:pPr>
      <w:bookmarkStart w:id="120" w:name="_Toc260305474"/>
      <w:r>
        <w:rPr>
          <w:rFonts w:ascii="宋体" w:hAnsi="宋体" w:cs="TimesNewRomanPSMT"/>
          <w:b/>
        </w:rPr>
        <w:t xml:space="preserve">11.5 </w:t>
      </w:r>
      <w:r>
        <w:rPr>
          <w:rFonts w:hint="eastAsia" w:ascii="宋体" w:hAnsi="宋体" w:cs="TimesNewRomanPSMT"/>
          <w:b/>
        </w:rPr>
        <w:t>承包人的工期延误</w:t>
      </w:r>
      <w:bookmarkEnd w:id="120"/>
    </w:p>
    <w:p>
      <w:pPr>
        <w:autoSpaceDE w:val="0"/>
        <w:autoSpaceDN w:val="0"/>
        <w:adjustRightInd w:val="0"/>
        <w:rPr>
          <w:rFonts w:ascii="宋体" w:hAnsi="宋体" w:cs="宋体"/>
        </w:rPr>
      </w:pPr>
      <w:r>
        <w:rPr>
          <w:rFonts w:hint="eastAsia" w:ascii="宋体" w:hAnsi="宋体" w:cs="宋体"/>
        </w:rPr>
        <w:t>由于承包人原因，未能按合同进度计划完成工作，或监理人认为承包人施工进度不能满足合同工期要求的，承包人应采取措施加快进度，并承担加快进度所增加的费用。由于承包人原因造成工期延误，承包人应支付逾期竣工违约金。逾期竣工违约金的计算方法在专用合同条款中约定。承包人支付逾期竣工违约金，不免除承包人完成工程及修补缺陷的义务。</w:t>
      </w:r>
    </w:p>
    <w:p>
      <w:pPr>
        <w:keepNext/>
        <w:keepLines/>
        <w:spacing w:before="120" w:after="120"/>
        <w:jc w:val="both"/>
        <w:outlineLvl w:val="2"/>
        <w:rPr>
          <w:rFonts w:ascii="宋体" w:hAnsi="宋体" w:cs="TimesNewRomanPSMT"/>
          <w:b/>
        </w:rPr>
      </w:pPr>
      <w:bookmarkStart w:id="121" w:name="_Toc260305475"/>
      <w:r>
        <w:rPr>
          <w:rFonts w:ascii="宋体" w:hAnsi="宋体" w:cs="TimesNewRomanPSMT"/>
          <w:b/>
        </w:rPr>
        <w:t xml:space="preserve">11.6 </w:t>
      </w:r>
      <w:r>
        <w:rPr>
          <w:rFonts w:hint="eastAsia" w:ascii="宋体" w:hAnsi="宋体" w:cs="TimesNewRomanPSMT"/>
          <w:b/>
        </w:rPr>
        <w:t>工期提前</w:t>
      </w:r>
      <w:bookmarkEnd w:id="121"/>
    </w:p>
    <w:p>
      <w:pPr>
        <w:autoSpaceDE w:val="0"/>
        <w:autoSpaceDN w:val="0"/>
        <w:adjustRightInd w:val="0"/>
        <w:rPr>
          <w:rFonts w:ascii="宋体" w:hAnsi="宋体" w:cs="宋体"/>
        </w:rPr>
      </w:pPr>
      <w:r>
        <w:rPr>
          <w:rFonts w:hint="eastAsia" w:ascii="宋体" w:hAnsi="宋体" w:cs="宋体"/>
        </w:rPr>
        <w:t>发包人要求承包人提前竣工，或承包人提出提前竣工的建议能够给发包人带来效益的，应由监理人与承包人共同协商采取加快工程进度的措施和修订合同进度计划。发包人应承担承包人由此增加的费用，并向承包人支付专用合同条款约定的相应奖金。</w:t>
      </w:r>
    </w:p>
    <w:p>
      <w:pPr>
        <w:keepNext/>
        <w:keepLines/>
        <w:spacing w:before="120" w:after="120"/>
        <w:jc w:val="both"/>
        <w:outlineLvl w:val="1"/>
        <w:rPr>
          <w:rFonts w:ascii="宋体" w:hAnsi="宋体" w:cs="TimesNewRomanPSMT"/>
          <w:b/>
          <w:sz w:val="28"/>
          <w:szCs w:val="28"/>
        </w:rPr>
      </w:pPr>
      <w:bookmarkStart w:id="122" w:name="_Toc15628"/>
      <w:bookmarkStart w:id="123" w:name="_Toc260305476"/>
      <w:r>
        <w:rPr>
          <w:rFonts w:ascii="宋体" w:hAnsi="宋体" w:cs="TimesNewRomanPSMT"/>
          <w:b/>
          <w:sz w:val="28"/>
          <w:szCs w:val="28"/>
        </w:rPr>
        <w:t xml:space="preserve">12. </w:t>
      </w:r>
      <w:r>
        <w:rPr>
          <w:rFonts w:hint="eastAsia" w:ascii="宋体" w:hAnsi="宋体" w:cs="TimesNewRomanPSMT"/>
          <w:b/>
          <w:sz w:val="28"/>
          <w:szCs w:val="28"/>
        </w:rPr>
        <w:t>暂停施工</w:t>
      </w:r>
      <w:bookmarkEnd w:id="122"/>
      <w:bookmarkEnd w:id="123"/>
    </w:p>
    <w:p>
      <w:pPr>
        <w:keepNext/>
        <w:keepLines/>
        <w:spacing w:before="120" w:after="120"/>
        <w:jc w:val="both"/>
        <w:outlineLvl w:val="2"/>
        <w:rPr>
          <w:rFonts w:ascii="宋体" w:hAnsi="宋体" w:cs="TimesNewRomanPSMT"/>
          <w:b/>
        </w:rPr>
      </w:pPr>
      <w:bookmarkStart w:id="124" w:name="_Toc260305477"/>
      <w:r>
        <w:rPr>
          <w:rFonts w:ascii="宋体" w:hAnsi="宋体" w:cs="TimesNewRomanPSMT"/>
          <w:b/>
        </w:rPr>
        <w:t xml:space="preserve">12.1 </w:t>
      </w:r>
      <w:r>
        <w:rPr>
          <w:rFonts w:hint="eastAsia" w:ascii="宋体" w:hAnsi="宋体" w:cs="TimesNewRomanPSMT"/>
          <w:b/>
        </w:rPr>
        <w:t>承包人暂停施工的责任</w:t>
      </w:r>
      <w:bookmarkEnd w:id="124"/>
    </w:p>
    <w:p>
      <w:pPr>
        <w:autoSpaceDE w:val="0"/>
        <w:autoSpaceDN w:val="0"/>
        <w:adjustRightInd w:val="0"/>
        <w:rPr>
          <w:rFonts w:ascii="宋体" w:hAnsi="宋体" w:cs="宋体"/>
        </w:rPr>
      </w:pPr>
      <w:r>
        <w:rPr>
          <w:rFonts w:hint="eastAsia" w:ascii="宋体" w:hAnsi="宋体" w:cs="宋体"/>
        </w:rPr>
        <w:t>因下列暂停施工增加的费用和（或）工期延误由承包人承担：</w:t>
      </w:r>
    </w:p>
    <w:p>
      <w:pPr>
        <w:autoSpaceDE w:val="0"/>
        <w:autoSpaceDN w:val="0"/>
        <w:adjustRightInd w:val="0"/>
        <w:rPr>
          <w:rFonts w:ascii="宋体" w:hAnsi="宋体" w:cs="宋体"/>
        </w:rPr>
      </w:pPr>
      <w:r>
        <w:rPr>
          <w:rFonts w:hint="eastAsia" w:ascii="宋体" w:hAnsi="宋体" w:cs="宋体"/>
        </w:rPr>
        <w:t>（</w:t>
      </w:r>
      <w:r>
        <w:rPr>
          <w:rFonts w:ascii="宋体" w:hAnsi="宋体" w:cs="TimesNewRomanPSMT"/>
        </w:rPr>
        <w:t>1</w:t>
      </w:r>
      <w:r>
        <w:rPr>
          <w:rFonts w:hint="eastAsia" w:ascii="宋体" w:hAnsi="宋体" w:cs="宋体"/>
        </w:rPr>
        <w:t>）承包人违约引起的暂停施工；</w:t>
      </w:r>
    </w:p>
    <w:p>
      <w:pPr>
        <w:autoSpaceDE w:val="0"/>
        <w:autoSpaceDN w:val="0"/>
        <w:adjustRightInd w:val="0"/>
        <w:rPr>
          <w:rFonts w:ascii="宋体" w:hAnsi="宋体" w:cs="宋体"/>
        </w:rPr>
      </w:pPr>
      <w:r>
        <w:rPr>
          <w:rFonts w:hint="eastAsia" w:ascii="宋体" w:hAnsi="宋体" w:cs="宋体"/>
        </w:rPr>
        <w:t>（</w:t>
      </w:r>
      <w:r>
        <w:rPr>
          <w:rFonts w:ascii="宋体" w:hAnsi="宋体" w:cs="TimesNewRomanPSMT"/>
        </w:rPr>
        <w:t>2</w:t>
      </w:r>
      <w:r>
        <w:rPr>
          <w:rFonts w:hint="eastAsia" w:ascii="宋体" w:hAnsi="宋体" w:cs="宋体"/>
        </w:rPr>
        <w:t>）由于承包人原因为工程合理施工和安全保障所必需的暂停施工；</w:t>
      </w:r>
    </w:p>
    <w:p>
      <w:pPr>
        <w:autoSpaceDE w:val="0"/>
        <w:autoSpaceDN w:val="0"/>
        <w:adjustRightInd w:val="0"/>
        <w:rPr>
          <w:rFonts w:ascii="宋体" w:hAnsi="宋体" w:cs="宋体"/>
        </w:rPr>
      </w:pPr>
      <w:r>
        <w:rPr>
          <w:rFonts w:hint="eastAsia" w:ascii="宋体" w:hAnsi="宋体" w:cs="宋体"/>
        </w:rPr>
        <w:t>（</w:t>
      </w:r>
      <w:r>
        <w:rPr>
          <w:rFonts w:ascii="宋体" w:hAnsi="宋体" w:cs="TimesNewRomanPSMT"/>
        </w:rPr>
        <w:t>3</w:t>
      </w:r>
      <w:r>
        <w:rPr>
          <w:rFonts w:hint="eastAsia" w:ascii="宋体" w:hAnsi="宋体" w:cs="宋体"/>
        </w:rPr>
        <w:t>）承包人擅自暂停施工；</w:t>
      </w:r>
    </w:p>
    <w:p>
      <w:pPr>
        <w:autoSpaceDE w:val="0"/>
        <w:autoSpaceDN w:val="0"/>
        <w:adjustRightInd w:val="0"/>
        <w:rPr>
          <w:rFonts w:ascii="宋体" w:hAnsi="宋体" w:cs="宋体"/>
        </w:rPr>
      </w:pPr>
      <w:r>
        <w:rPr>
          <w:rFonts w:hint="eastAsia" w:ascii="宋体" w:hAnsi="宋体" w:cs="宋体"/>
        </w:rPr>
        <w:t>（</w:t>
      </w:r>
      <w:r>
        <w:rPr>
          <w:rFonts w:ascii="宋体" w:hAnsi="宋体" w:cs="TimesNewRomanPSMT"/>
        </w:rPr>
        <w:t>4</w:t>
      </w:r>
      <w:r>
        <w:rPr>
          <w:rFonts w:hint="eastAsia" w:ascii="宋体" w:hAnsi="宋体" w:cs="宋体"/>
        </w:rPr>
        <w:t>）承包人其他原因引起的暂停施工；</w:t>
      </w:r>
    </w:p>
    <w:p>
      <w:pPr>
        <w:autoSpaceDE w:val="0"/>
        <w:autoSpaceDN w:val="0"/>
        <w:adjustRightInd w:val="0"/>
        <w:rPr>
          <w:rFonts w:ascii="宋体" w:hAnsi="宋体" w:cs="宋体"/>
        </w:rPr>
      </w:pPr>
      <w:r>
        <w:rPr>
          <w:rFonts w:hint="eastAsia" w:ascii="宋体" w:hAnsi="宋体" w:cs="宋体"/>
        </w:rPr>
        <w:t>（</w:t>
      </w:r>
      <w:r>
        <w:rPr>
          <w:rFonts w:ascii="宋体" w:hAnsi="宋体" w:cs="TimesNewRomanPSMT"/>
        </w:rPr>
        <w:t>5</w:t>
      </w:r>
      <w:r>
        <w:rPr>
          <w:rFonts w:hint="eastAsia" w:ascii="宋体" w:hAnsi="宋体" w:cs="宋体"/>
        </w:rPr>
        <w:t>）专用合同条款约定由承包人承担的其他暂停施工。</w:t>
      </w:r>
    </w:p>
    <w:p>
      <w:pPr>
        <w:keepNext/>
        <w:keepLines/>
        <w:spacing w:before="120" w:after="120"/>
        <w:jc w:val="both"/>
        <w:outlineLvl w:val="2"/>
        <w:rPr>
          <w:rFonts w:ascii="宋体" w:hAnsi="宋体" w:cs="TimesNewRomanPSMT"/>
          <w:b/>
        </w:rPr>
      </w:pPr>
      <w:bookmarkStart w:id="125" w:name="_Toc260305478"/>
      <w:r>
        <w:rPr>
          <w:rFonts w:ascii="宋体" w:hAnsi="宋体" w:cs="TimesNewRomanPSMT"/>
          <w:b/>
        </w:rPr>
        <w:t xml:space="preserve">12.2 </w:t>
      </w:r>
      <w:r>
        <w:rPr>
          <w:rFonts w:hint="eastAsia" w:ascii="宋体" w:hAnsi="宋体" w:cs="TimesNewRomanPSMT"/>
          <w:b/>
        </w:rPr>
        <w:t>发包人暂停施工的责任</w:t>
      </w:r>
      <w:bookmarkEnd w:id="125"/>
    </w:p>
    <w:p>
      <w:pPr>
        <w:autoSpaceDE w:val="0"/>
        <w:autoSpaceDN w:val="0"/>
        <w:adjustRightInd w:val="0"/>
        <w:rPr>
          <w:rFonts w:ascii="宋体" w:hAnsi="宋体" w:cs="宋体"/>
        </w:rPr>
      </w:pPr>
      <w:r>
        <w:rPr>
          <w:rFonts w:hint="eastAsia" w:ascii="宋体" w:hAnsi="宋体" w:cs="宋体"/>
        </w:rPr>
        <w:t>由于发包人原因引起的暂停施工造成工期延误的，承包人有权要求发包人延长工期和（或）增加费用，并支付合理利润。</w:t>
      </w:r>
    </w:p>
    <w:p>
      <w:pPr>
        <w:keepNext/>
        <w:keepLines/>
        <w:spacing w:before="120" w:after="120"/>
        <w:jc w:val="both"/>
        <w:outlineLvl w:val="2"/>
        <w:rPr>
          <w:rFonts w:ascii="宋体" w:hAnsi="宋体" w:cs="TimesNewRomanPSMT"/>
          <w:b/>
        </w:rPr>
      </w:pPr>
      <w:bookmarkStart w:id="126" w:name="_Toc260305479"/>
      <w:r>
        <w:rPr>
          <w:rFonts w:ascii="宋体" w:hAnsi="宋体" w:cs="TimesNewRomanPSMT"/>
          <w:b/>
        </w:rPr>
        <w:t xml:space="preserve">12.3 </w:t>
      </w:r>
      <w:r>
        <w:rPr>
          <w:rFonts w:hint="eastAsia" w:ascii="宋体" w:hAnsi="宋体" w:cs="TimesNewRomanPSMT"/>
          <w:b/>
        </w:rPr>
        <w:t>监理人暂停施工指示</w:t>
      </w:r>
      <w:bookmarkEnd w:id="126"/>
    </w:p>
    <w:p>
      <w:pPr>
        <w:autoSpaceDE w:val="0"/>
        <w:autoSpaceDN w:val="0"/>
        <w:adjustRightInd w:val="0"/>
        <w:rPr>
          <w:rFonts w:ascii="宋体" w:hAnsi="宋体" w:cs="宋体"/>
        </w:rPr>
      </w:pPr>
      <w:r>
        <w:rPr>
          <w:rFonts w:ascii="宋体" w:hAnsi="宋体" w:cs="TimesNewRomanPSMT"/>
        </w:rPr>
        <w:t xml:space="preserve">12.3.1 </w:t>
      </w:r>
      <w:r>
        <w:rPr>
          <w:rFonts w:hint="eastAsia" w:ascii="宋体" w:hAnsi="宋体" w:cs="宋体"/>
        </w:rPr>
        <w:t>监理人认为有必要时，可向承包人作出暂停施工的指示，承包人应按监理人指示暂停施工。不论由于何种原因引起的暂停施工，暂停施工期间承包人应负责妥善保护工程并提供安全保障。</w:t>
      </w:r>
    </w:p>
    <w:p>
      <w:pPr>
        <w:autoSpaceDE w:val="0"/>
        <w:autoSpaceDN w:val="0"/>
        <w:adjustRightInd w:val="0"/>
        <w:rPr>
          <w:rFonts w:ascii="宋体" w:hAnsi="宋体" w:cs="宋体"/>
        </w:rPr>
      </w:pPr>
      <w:r>
        <w:rPr>
          <w:rFonts w:ascii="宋体" w:hAnsi="宋体" w:cs="TimesNewRomanPSMT"/>
        </w:rPr>
        <w:t xml:space="preserve">12.3.2 </w:t>
      </w:r>
      <w:r>
        <w:rPr>
          <w:rFonts w:hint="eastAsia" w:ascii="宋体" w:hAnsi="宋体" w:cs="宋体"/>
        </w:rPr>
        <w:t>由于发包人的原因发生暂停施工的紧急情况，且监理人未及时下达暂停施工指示的，承包人可先暂停施工，并及时向监理人提出暂停施工的书面请求。监理人应在接到书面请求后的</w:t>
      </w:r>
      <w:r>
        <w:rPr>
          <w:rFonts w:ascii="宋体" w:hAnsi="宋体" w:cs="TimesNewRomanPSMT"/>
        </w:rPr>
        <w:t xml:space="preserve">24 </w:t>
      </w:r>
      <w:r>
        <w:rPr>
          <w:rFonts w:hint="eastAsia" w:ascii="宋体" w:hAnsi="宋体" w:cs="宋体"/>
        </w:rPr>
        <w:t>小时内予以答复，逾期未答复的，视为同意承包人的暂停施工请求。</w:t>
      </w:r>
    </w:p>
    <w:p>
      <w:pPr>
        <w:keepNext/>
        <w:keepLines/>
        <w:spacing w:before="120" w:after="120"/>
        <w:jc w:val="both"/>
        <w:outlineLvl w:val="2"/>
        <w:rPr>
          <w:rFonts w:ascii="宋体" w:hAnsi="宋体" w:cs="TimesNewRomanPSMT"/>
          <w:b/>
        </w:rPr>
      </w:pPr>
      <w:bookmarkStart w:id="127" w:name="_Toc260305480"/>
      <w:r>
        <w:rPr>
          <w:rFonts w:ascii="宋体" w:hAnsi="宋体" w:cs="TimesNewRomanPSMT"/>
          <w:b/>
        </w:rPr>
        <w:t xml:space="preserve">12.4 </w:t>
      </w:r>
      <w:r>
        <w:rPr>
          <w:rFonts w:hint="eastAsia" w:ascii="宋体" w:hAnsi="宋体" w:cs="TimesNewRomanPSMT"/>
          <w:b/>
        </w:rPr>
        <w:t>暂停施工后的复工</w:t>
      </w:r>
      <w:bookmarkEnd w:id="127"/>
    </w:p>
    <w:p>
      <w:pPr>
        <w:autoSpaceDE w:val="0"/>
        <w:autoSpaceDN w:val="0"/>
        <w:adjustRightInd w:val="0"/>
        <w:rPr>
          <w:rFonts w:ascii="宋体" w:hAnsi="宋体" w:cs="宋体"/>
        </w:rPr>
      </w:pPr>
      <w:r>
        <w:rPr>
          <w:rFonts w:ascii="宋体" w:hAnsi="宋体" w:cs="TimesNewRomanPSMT"/>
        </w:rPr>
        <w:t xml:space="preserve">12.4.1 </w:t>
      </w:r>
      <w:r>
        <w:rPr>
          <w:rFonts w:hint="eastAsia" w:ascii="宋体" w:hAnsi="宋体" w:cs="宋体"/>
        </w:rPr>
        <w:t>暂停施工后，监理人应与发包人和承包人协商，采取有效措施积极消除暂停施工的影响。当工程具备复工条件时，监理人应立即向承包人发出复工通知。承包人收到复工通知后，应在监理人指定的期限内复工。</w:t>
      </w:r>
    </w:p>
    <w:p>
      <w:pPr>
        <w:autoSpaceDE w:val="0"/>
        <w:autoSpaceDN w:val="0"/>
        <w:adjustRightInd w:val="0"/>
        <w:rPr>
          <w:rFonts w:ascii="宋体" w:hAnsi="宋体" w:cs="宋体"/>
        </w:rPr>
      </w:pPr>
      <w:r>
        <w:rPr>
          <w:rFonts w:ascii="宋体" w:hAnsi="宋体" w:cs="TimesNewRomanPSMT"/>
        </w:rPr>
        <w:t xml:space="preserve">12.4.2 </w:t>
      </w:r>
      <w:r>
        <w:rPr>
          <w:rFonts w:hint="eastAsia" w:ascii="宋体" w:hAnsi="宋体" w:cs="宋体"/>
        </w:rPr>
        <w:t>承包人无故拖延和拒绝复工的，由此增加的费用和工期延误由承包人承担；因发包人原因无法按时复工的，承包人有权要求发包人延长工期和（或）增加费用，并支付合理利润。</w:t>
      </w:r>
    </w:p>
    <w:p>
      <w:pPr>
        <w:keepNext/>
        <w:keepLines/>
        <w:spacing w:before="120" w:after="120"/>
        <w:jc w:val="both"/>
        <w:outlineLvl w:val="2"/>
        <w:rPr>
          <w:rFonts w:ascii="宋体" w:hAnsi="宋体" w:cs="TimesNewRomanPSMT"/>
          <w:b/>
        </w:rPr>
      </w:pPr>
      <w:bookmarkStart w:id="128" w:name="_Toc260305481"/>
      <w:r>
        <w:rPr>
          <w:rFonts w:ascii="宋体" w:hAnsi="宋体" w:cs="TimesNewRomanPSMT"/>
          <w:b/>
        </w:rPr>
        <w:t xml:space="preserve">12.5 </w:t>
      </w:r>
      <w:r>
        <w:rPr>
          <w:rFonts w:hint="eastAsia" w:ascii="宋体" w:hAnsi="宋体" w:cs="TimesNewRomanPSMT"/>
          <w:b/>
        </w:rPr>
        <w:t>暂停施工持续</w:t>
      </w:r>
      <w:r>
        <w:rPr>
          <w:rFonts w:ascii="宋体" w:hAnsi="宋体" w:cs="TimesNewRomanPSMT"/>
          <w:b/>
        </w:rPr>
        <w:t xml:space="preserve">56 </w:t>
      </w:r>
      <w:r>
        <w:rPr>
          <w:rFonts w:hint="eastAsia" w:ascii="宋体" w:hAnsi="宋体" w:cs="TimesNewRomanPSMT"/>
          <w:b/>
        </w:rPr>
        <w:t>天以上</w:t>
      </w:r>
      <w:bookmarkEnd w:id="128"/>
    </w:p>
    <w:p>
      <w:pPr>
        <w:autoSpaceDE w:val="0"/>
        <w:autoSpaceDN w:val="0"/>
        <w:adjustRightInd w:val="0"/>
        <w:rPr>
          <w:rFonts w:ascii="宋体" w:hAnsi="宋体" w:cs="宋体"/>
        </w:rPr>
      </w:pPr>
      <w:r>
        <w:rPr>
          <w:rFonts w:ascii="宋体" w:hAnsi="宋体" w:cs="TimesNewRomanPSMT"/>
        </w:rPr>
        <w:t xml:space="preserve">12.5.1 </w:t>
      </w:r>
      <w:r>
        <w:rPr>
          <w:rFonts w:hint="eastAsia" w:ascii="宋体" w:hAnsi="宋体" w:cs="宋体"/>
        </w:rPr>
        <w:t>监理人发出暂停施工指示后</w:t>
      </w:r>
      <w:r>
        <w:rPr>
          <w:rFonts w:ascii="宋体" w:hAnsi="宋体" w:cs="TimesNewRomanPSMT"/>
        </w:rPr>
        <w:t xml:space="preserve">56 </w:t>
      </w:r>
      <w:r>
        <w:rPr>
          <w:rFonts w:hint="eastAsia" w:ascii="宋体" w:hAnsi="宋体" w:cs="宋体"/>
        </w:rPr>
        <w:t>天内未向承包人发出复工通知，除了该项停工属于第</w:t>
      </w:r>
      <w:r>
        <w:rPr>
          <w:rFonts w:ascii="宋体" w:hAnsi="宋体" w:cs="TimesNewRomanPSMT"/>
        </w:rPr>
        <w:t xml:space="preserve">12.1 </w:t>
      </w:r>
      <w:r>
        <w:rPr>
          <w:rFonts w:hint="eastAsia" w:ascii="宋体" w:hAnsi="宋体" w:cs="宋体"/>
        </w:rPr>
        <w:t>款的情况外，承包人可向监理人提交书面通知，要求监理人在收到书面通知后</w:t>
      </w:r>
      <w:r>
        <w:rPr>
          <w:rFonts w:ascii="宋体" w:hAnsi="宋体" w:cs="TimesNewRomanPSMT"/>
        </w:rPr>
        <w:t>28</w:t>
      </w:r>
      <w:r>
        <w:rPr>
          <w:rFonts w:hint="eastAsia" w:ascii="宋体" w:hAnsi="宋体" w:cs="宋体"/>
        </w:rPr>
        <w:t>天内准许已暂停施工的工程或其中一部分工程继续施工。如监理人逾期不予批准，则承包人可以通知监理人，将工程受影响的部分视为按第</w:t>
      </w:r>
      <w:r>
        <w:rPr>
          <w:rFonts w:ascii="宋体" w:hAnsi="宋体" w:cs="TimesNewRomanPSMT"/>
        </w:rPr>
        <w:t>15.1</w:t>
      </w:r>
      <w:r>
        <w:rPr>
          <w:rFonts w:hint="eastAsia" w:ascii="宋体" w:hAnsi="宋体" w:cs="宋体"/>
        </w:rPr>
        <w:t>（</w:t>
      </w:r>
      <w:r>
        <w:rPr>
          <w:rFonts w:ascii="宋体" w:hAnsi="宋体" w:cs="TimesNewRomanPSMT"/>
        </w:rPr>
        <w:t>1</w:t>
      </w:r>
      <w:r>
        <w:rPr>
          <w:rFonts w:hint="eastAsia" w:ascii="宋体" w:hAnsi="宋体" w:cs="宋体"/>
        </w:rPr>
        <w:t>）项的可取消工作。如暂停施工影响到整个工程，可视为发包人违约，应按第</w:t>
      </w:r>
      <w:r>
        <w:rPr>
          <w:rFonts w:ascii="宋体" w:hAnsi="宋体" w:cs="TimesNewRomanPSMT"/>
        </w:rPr>
        <w:t xml:space="preserve">22.2 </w:t>
      </w:r>
      <w:r>
        <w:rPr>
          <w:rFonts w:hint="eastAsia" w:ascii="宋体" w:hAnsi="宋体" w:cs="宋体"/>
        </w:rPr>
        <w:t>款的规定办理。</w:t>
      </w:r>
    </w:p>
    <w:p>
      <w:pPr>
        <w:autoSpaceDE w:val="0"/>
        <w:autoSpaceDN w:val="0"/>
        <w:adjustRightInd w:val="0"/>
        <w:rPr>
          <w:rFonts w:ascii="宋体" w:hAnsi="宋体" w:cs="宋体"/>
        </w:rPr>
      </w:pPr>
      <w:r>
        <w:rPr>
          <w:rFonts w:ascii="宋体" w:hAnsi="宋体" w:cs="TimesNewRomanPSMT"/>
        </w:rPr>
        <w:t xml:space="preserve">12.5.2 </w:t>
      </w:r>
      <w:r>
        <w:rPr>
          <w:rFonts w:hint="eastAsia" w:ascii="宋体" w:hAnsi="宋体" w:cs="宋体"/>
        </w:rPr>
        <w:t>由于承包人责任引起的暂停施工，如承包人在收到监理人暂停施工指示后</w:t>
      </w:r>
      <w:r>
        <w:rPr>
          <w:rFonts w:ascii="宋体" w:hAnsi="宋体" w:cs="TimesNewRomanPSMT"/>
        </w:rPr>
        <w:t xml:space="preserve">56 </w:t>
      </w:r>
      <w:r>
        <w:rPr>
          <w:rFonts w:hint="eastAsia" w:ascii="宋体" w:hAnsi="宋体" w:cs="宋体"/>
        </w:rPr>
        <w:t>天内不认真采取有效的复工措施，造成工期延误，可视为承包人违约，应按第</w:t>
      </w:r>
      <w:r>
        <w:rPr>
          <w:rFonts w:ascii="宋体" w:hAnsi="宋体" w:cs="TimesNewRomanPSMT"/>
        </w:rPr>
        <w:t xml:space="preserve">22.1 </w:t>
      </w:r>
      <w:r>
        <w:rPr>
          <w:rFonts w:hint="eastAsia" w:ascii="宋体" w:hAnsi="宋体" w:cs="宋体"/>
        </w:rPr>
        <w:t>款的规定办理。</w:t>
      </w:r>
    </w:p>
    <w:p>
      <w:pPr>
        <w:keepNext/>
        <w:keepLines/>
        <w:spacing w:before="120" w:after="120"/>
        <w:jc w:val="both"/>
        <w:outlineLvl w:val="1"/>
        <w:rPr>
          <w:rFonts w:ascii="宋体" w:hAnsi="宋体" w:cs="TimesNewRomanPSMT"/>
          <w:b/>
          <w:sz w:val="28"/>
          <w:szCs w:val="28"/>
        </w:rPr>
      </w:pPr>
      <w:bookmarkStart w:id="129" w:name="_Toc2579"/>
      <w:bookmarkStart w:id="130" w:name="_Toc260305482"/>
      <w:r>
        <w:rPr>
          <w:rFonts w:ascii="宋体" w:hAnsi="宋体" w:cs="TimesNewRomanPSMT"/>
          <w:b/>
          <w:sz w:val="28"/>
          <w:szCs w:val="28"/>
        </w:rPr>
        <w:t xml:space="preserve">13. </w:t>
      </w:r>
      <w:r>
        <w:rPr>
          <w:rFonts w:hint="eastAsia" w:ascii="宋体" w:hAnsi="宋体" w:cs="TimesNewRomanPSMT"/>
          <w:b/>
          <w:sz w:val="28"/>
          <w:szCs w:val="28"/>
        </w:rPr>
        <w:t>工程质量</w:t>
      </w:r>
      <w:bookmarkEnd w:id="129"/>
      <w:bookmarkEnd w:id="130"/>
    </w:p>
    <w:p>
      <w:pPr>
        <w:keepNext/>
        <w:keepLines/>
        <w:spacing w:before="120" w:after="120"/>
        <w:jc w:val="both"/>
        <w:outlineLvl w:val="2"/>
        <w:rPr>
          <w:rFonts w:ascii="宋体" w:hAnsi="宋体" w:cs="TimesNewRomanPSMT"/>
          <w:b/>
        </w:rPr>
      </w:pPr>
      <w:bookmarkStart w:id="131" w:name="_Toc260305483"/>
      <w:r>
        <w:rPr>
          <w:rFonts w:ascii="宋体" w:hAnsi="宋体" w:cs="TimesNewRomanPSMT"/>
          <w:b/>
        </w:rPr>
        <w:t xml:space="preserve">13.1 </w:t>
      </w:r>
      <w:r>
        <w:rPr>
          <w:rFonts w:hint="eastAsia" w:ascii="宋体" w:hAnsi="宋体" w:cs="TimesNewRomanPSMT"/>
          <w:b/>
        </w:rPr>
        <w:t>工程质量要求</w:t>
      </w:r>
      <w:bookmarkEnd w:id="131"/>
    </w:p>
    <w:p>
      <w:pPr>
        <w:autoSpaceDE w:val="0"/>
        <w:autoSpaceDN w:val="0"/>
        <w:adjustRightInd w:val="0"/>
        <w:rPr>
          <w:rFonts w:ascii="宋体" w:hAnsi="宋体" w:cs="宋体"/>
        </w:rPr>
      </w:pPr>
      <w:r>
        <w:rPr>
          <w:rFonts w:ascii="宋体" w:hAnsi="宋体" w:cs="TimesNewRomanPSMT"/>
        </w:rPr>
        <w:t xml:space="preserve">13.1.1 </w:t>
      </w:r>
      <w:r>
        <w:rPr>
          <w:rFonts w:hint="eastAsia" w:ascii="宋体" w:hAnsi="宋体" w:cs="宋体"/>
        </w:rPr>
        <w:t>工程质量验收按合同约定验收标准执行。</w:t>
      </w:r>
    </w:p>
    <w:p>
      <w:pPr>
        <w:autoSpaceDE w:val="0"/>
        <w:autoSpaceDN w:val="0"/>
        <w:adjustRightInd w:val="0"/>
        <w:rPr>
          <w:rFonts w:ascii="宋体" w:hAnsi="宋体" w:cs="宋体"/>
        </w:rPr>
      </w:pPr>
      <w:r>
        <w:rPr>
          <w:rFonts w:ascii="宋体" w:hAnsi="宋体" w:cs="TimesNewRomanPSMT"/>
        </w:rPr>
        <w:t xml:space="preserve">13.1.2 </w:t>
      </w:r>
      <w:r>
        <w:rPr>
          <w:rFonts w:hint="eastAsia" w:ascii="宋体" w:hAnsi="宋体" w:cs="宋体"/>
        </w:rPr>
        <w:t>因承包人原因造成工程质量达不到合同约定验收标准的，监理人有权要求承包人返工直至符合合同要求为止，由此造成的费用增加和（或）工期延误由承包人承担。</w:t>
      </w:r>
    </w:p>
    <w:p>
      <w:pPr>
        <w:autoSpaceDE w:val="0"/>
        <w:autoSpaceDN w:val="0"/>
        <w:adjustRightInd w:val="0"/>
        <w:rPr>
          <w:rFonts w:ascii="宋体" w:hAnsi="宋体" w:cs="宋体"/>
        </w:rPr>
      </w:pPr>
      <w:r>
        <w:rPr>
          <w:rFonts w:ascii="宋体" w:hAnsi="宋体" w:cs="TimesNewRomanPSMT"/>
        </w:rPr>
        <w:t xml:space="preserve">13.1.3 </w:t>
      </w:r>
      <w:r>
        <w:rPr>
          <w:rFonts w:hint="eastAsia" w:ascii="宋体" w:hAnsi="宋体" w:cs="宋体"/>
        </w:rPr>
        <w:t>因发包人原因造成工程质量达不到合同约定验收标准的，发包人应承担由于承包人返工造成的费用增加和（或）工期延误，并支付承包人合理利润。</w:t>
      </w:r>
    </w:p>
    <w:p>
      <w:pPr>
        <w:keepNext/>
        <w:keepLines/>
        <w:spacing w:before="120" w:after="120"/>
        <w:jc w:val="both"/>
        <w:outlineLvl w:val="2"/>
        <w:rPr>
          <w:rFonts w:ascii="宋体" w:hAnsi="宋体" w:cs="TimesNewRomanPSMT"/>
          <w:b/>
        </w:rPr>
      </w:pPr>
      <w:bookmarkStart w:id="132" w:name="_Toc260305484"/>
      <w:r>
        <w:rPr>
          <w:rFonts w:ascii="宋体" w:hAnsi="宋体" w:cs="TimesNewRomanPSMT"/>
          <w:b/>
        </w:rPr>
        <w:t xml:space="preserve">13.2 </w:t>
      </w:r>
      <w:r>
        <w:rPr>
          <w:rFonts w:hint="eastAsia" w:ascii="宋体" w:hAnsi="宋体" w:cs="TimesNewRomanPSMT"/>
          <w:b/>
        </w:rPr>
        <w:t>承包人的质量管理</w:t>
      </w:r>
      <w:bookmarkEnd w:id="132"/>
    </w:p>
    <w:p>
      <w:pPr>
        <w:autoSpaceDE w:val="0"/>
        <w:autoSpaceDN w:val="0"/>
        <w:adjustRightInd w:val="0"/>
        <w:rPr>
          <w:rFonts w:ascii="宋体" w:hAnsi="宋体" w:cs="宋体"/>
        </w:rPr>
      </w:pPr>
      <w:r>
        <w:rPr>
          <w:rFonts w:ascii="宋体" w:hAnsi="宋体" w:cs="TimesNewRomanPSMT"/>
        </w:rPr>
        <w:t xml:space="preserve">13.2.1 </w:t>
      </w:r>
      <w:r>
        <w:rPr>
          <w:rFonts w:hint="eastAsia" w:ascii="宋体" w:hAnsi="宋体" w:cs="宋体"/>
        </w:rPr>
        <w:t>承包人应在施工场地设置专门的质量检查机构，配备专职质量检查人员，建立完善的质量检查制度。承包人应在合同约定的期限内，提交工程质量保证措施文件，包括质量检查机构的组织和岗位责任、质检人员的组成、质量检查程序和实施细则等，报送监理人审批。</w:t>
      </w:r>
    </w:p>
    <w:p>
      <w:pPr>
        <w:autoSpaceDE w:val="0"/>
        <w:autoSpaceDN w:val="0"/>
        <w:adjustRightInd w:val="0"/>
        <w:rPr>
          <w:rFonts w:ascii="宋体" w:hAnsi="宋体" w:cs="TimesNewRomanPSMT"/>
        </w:rPr>
      </w:pPr>
      <w:r>
        <w:rPr>
          <w:rFonts w:ascii="宋体" w:hAnsi="宋体" w:cs="TimesNewRomanPSMT"/>
        </w:rPr>
        <w:t xml:space="preserve">13.2.2 </w:t>
      </w:r>
      <w:r>
        <w:rPr>
          <w:rFonts w:hint="eastAsia" w:ascii="宋体" w:hAnsi="宋体" w:cs="宋体"/>
        </w:rPr>
        <w:t>承包人应加强对施工人员的质量教育和技术培训，定期考核施工人员的劳动技能，严格执行规范和操作规程。</w:t>
      </w:r>
    </w:p>
    <w:p>
      <w:pPr>
        <w:keepNext/>
        <w:keepLines/>
        <w:spacing w:before="120" w:after="120"/>
        <w:jc w:val="both"/>
        <w:outlineLvl w:val="2"/>
        <w:rPr>
          <w:rFonts w:ascii="宋体" w:hAnsi="宋体" w:cs="TimesNewRomanPSMT"/>
          <w:b/>
        </w:rPr>
      </w:pPr>
      <w:bookmarkStart w:id="133" w:name="_Toc260305485"/>
      <w:r>
        <w:rPr>
          <w:rFonts w:ascii="宋体" w:hAnsi="宋体" w:cs="TimesNewRomanPSMT"/>
          <w:b/>
        </w:rPr>
        <w:t xml:space="preserve">13.3 </w:t>
      </w:r>
      <w:r>
        <w:rPr>
          <w:rFonts w:hint="eastAsia" w:ascii="宋体" w:hAnsi="宋体" w:cs="TimesNewRomanPSMT"/>
          <w:b/>
        </w:rPr>
        <w:t>承包人的质量检查</w:t>
      </w:r>
      <w:bookmarkEnd w:id="133"/>
    </w:p>
    <w:p>
      <w:pPr>
        <w:autoSpaceDE w:val="0"/>
        <w:autoSpaceDN w:val="0"/>
        <w:adjustRightInd w:val="0"/>
        <w:rPr>
          <w:rFonts w:ascii="宋体" w:hAnsi="宋体" w:cs="宋体"/>
        </w:rPr>
      </w:pPr>
      <w:r>
        <w:rPr>
          <w:rFonts w:hint="eastAsia" w:ascii="宋体" w:hAnsi="宋体" w:cs="宋体"/>
        </w:rPr>
        <w:t>承包人应按合同约定对材料、工程设备以及工程的所有部位及其施工工艺进行全过程的质量检查和检验，并作详细记录，编制工程质量报表，报送监理人审查。</w:t>
      </w:r>
    </w:p>
    <w:p>
      <w:pPr>
        <w:keepNext/>
        <w:keepLines/>
        <w:spacing w:before="120" w:after="120"/>
        <w:jc w:val="both"/>
        <w:outlineLvl w:val="2"/>
        <w:rPr>
          <w:rFonts w:ascii="宋体" w:hAnsi="宋体" w:cs="TimesNewRomanPSMT"/>
          <w:b/>
        </w:rPr>
      </w:pPr>
      <w:bookmarkStart w:id="134" w:name="_Toc260305486"/>
      <w:r>
        <w:rPr>
          <w:rFonts w:ascii="宋体" w:hAnsi="宋体" w:cs="TimesNewRomanPSMT"/>
          <w:b/>
        </w:rPr>
        <w:t xml:space="preserve">13.4 </w:t>
      </w:r>
      <w:r>
        <w:rPr>
          <w:rFonts w:hint="eastAsia" w:ascii="宋体" w:hAnsi="宋体" w:cs="TimesNewRomanPSMT"/>
          <w:b/>
        </w:rPr>
        <w:t>监理人的质量检查</w:t>
      </w:r>
      <w:bookmarkEnd w:id="134"/>
    </w:p>
    <w:p>
      <w:pPr>
        <w:autoSpaceDE w:val="0"/>
        <w:autoSpaceDN w:val="0"/>
        <w:adjustRightInd w:val="0"/>
        <w:rPr>
          <w:rFonts w:ascii="宋体" w:hAnsi="宋体" w:cs="宋体"/>
        </w:rPr>
      </w:pPr>
      <w:r>
        <w:rPr>
          <w:rFonts w:hint="eastAsia" w:ascii="宋体" w:hAnsi="宋体" w:cs="宋体"/>
        </w:rPr>
        <w:t>监理人有权对工程的所有部位及其施工工艺、材料和工程设备进行检查和检验。承包人应为监理人的检查和检验提供方便，包括监理人到施工场地，或制造、加工地点，或合同约定的其他地方进行察看和查阅施工原始记录。承包人还应按监理人指示，进行施工场地取样试验、工程复核测量和设备性能检测，提供试验样品、提交试验报告和测量成果以及监理人要求进行的其他工作。监理人的检查和检验，不免除承包人按合同约定应负的责任。</w:t>
      </w:r>
    </w:p>
    <w:p>
      <w:pPr>
        <w:keepNext/>
        <w:keepLines/>
        <w:spacing w:before="120" w:after="120"/>
        <w:jc w:val="both"/>
        <w:outlineLvl w:val="2"/>
        <w:rPr>
          <w:rFonts w:ascii="宋体" w:hAnsi="宋体" w:cs="TimesNewRomanPSMT"/>
          <w:b/>
        </w:rPr>
      </w:pPr>
      <w:bookmarkStart w:id="135" w:name="_Toc260305487"/>
      <w:r>
        <w:rPr>
          <w:rFonts w:ascii="宋体" w:hAnsi="宋体" w:cs="TimesNewRomanPSMT"/>
          <w:b/>
        </w:rPr>
        <w:t xml:space="preserve">13.5 </w:t>
      </w:r>
      <w:r>
        <w:rPr>
          <w:rFonts w:hint="eastAsia" w:ascii="宋体" w:hAnsi="宋体" w:cs="TimesNewRomanPSMT"/>
          <w:b/>
        </w:rPr>
        <w:t>工程隐蔽部位覆盖前的检查</w:t>
      </w:r>
      <w:bookmarkEnd w:id="135"/>
    </w:p>
    <w:p>
      <w:pPr>
        <w:autoSpaceDE w:val="0"/>
        <w:autoSpaceDN w:val="0"/>
        <w:adjustRightInd w:val="0"/>
        <w:rPr>
          <w:rFonts w:ascii="宋体" w:hAnsi="宋体" w:cs="宋体"/>
        </w:rPr>
      </w:pPr>
      <w:r>
        <w:rPr>
          <w:rFonts w:ascii="宋体" w:hAnsi="宋体" w:cs="TimesNewRomanPSMT"/>
        </w:rPr>
        <w:t xml:space="preserve">13.5.1 </w:t>
      </w:r>
      <w:r>
        <w:rPr>
          <w:rFonts w:hint="eastAsia" w:ascii="宋体" w:hAnsi="宋体" w:cs="宋体"/>
        </w:rPr>
        <w:t>通知监理人检查</w:t>
      </w:r>
    </w:p>
    <w:p>
      <w:pPr>
        <w:autoSpaceDE w:val="0"/>
        <w:autoSpaceDN w:val="0"/>
        <w:adjustRightInd w:val="0"/>
        <w:rPr>
          <w:rFonts w:ascii="宋体" w:hAnsi="宋体" w:cs="宋体"/>
        </w:rPr>
      </w:pPr>
      <w:r>
        <w:rPr>
          <w:rFonts w:hint="eastAsia" w:ascii="宋体" w:hAnsi="宋体" w:cs="宋体"/>
        </w:rPr>
        <w:t>经承包人自检确认的工程隐蔽部位具备覆盖条件后，承包人应通知监理人在约定的期限内检查。承包人的通知应附有自检记录和必要的检查资料。监理人应按时到场检查。经监理人检查确认质量符合隐蔽要求，并在检查记录上签字后，承包人才能进行覆盖。监理人检查确认质量不合格的，承包人应在监理人指示的时间内修整返工后，由监理人重新检查。</w:t>
      </w:r>
    </w:p>
    <w:p>
      <w:pPr>
        <w:autoSpaceDE w:val="0"/>
        <w:autoSpaceDN w:val="0"/>
        <w:adjustRightInd w:val="0"/>
        <w:rPr>
          <w:rFonts w:ascii="宋体" w:hAnsi="宋体" w:cs="宋体"/>
        </w:rPr>
      </w:pPr>
      <w:r>
        <w:rPr>
          <w:rFonts w:ascii="宋体" w:hAnsi="宋体" w:cs="TimesNewRomanPSMT"/>
        </w:rPr>
        <w:t xml:space="preserve">13.5.2 </w:t>
      </w:r>
      <w:r>
        <w:rPr>
          <w:rFonts w:hint="eastAsia" w:ascii="宋体" w:hAnsi="宋体" w:cs="宋体"/>
        </w:rPr>
        <w:t>监理人未到场检查</w:t>
      </w:r>
    </w:p>
    <w:p>
      <w:pPr>
        <w:autoSpaceDE w:val="0"/>
        <w:autoSpaceDN w:val="0"/>
        <w:adjustRightInd w:val="0"/>
        <w:rPr>
          <w:rFonts w:ascii="宋体" w:hAnsi="宋体" w:cs="宋体"/>
        </w:rPr>
      </w:pPr>
      <w:r>
        <w:rPr>
          <w:rFonts w:hint="eastAsia" w:ascii="宋体" w:hAnsi="宋体" w:cs="宋体"/>
        </w:rPr>
        <w:t>监理人未按第</w:t>
      </w:r>
      <w:r>
        <w:rPr>
          <w:rFonts w:ascii="宋体" w:hAnsi="宋体" w:cs="TimesNewRomanPSMT"/>
        </w:rPr>
        <w:t xml:space="preserve">13.5.1 </w:t>
      </w:r>
      <w:r>
        <w:rPr>
          <w:rFonts w:hint="eastAsia" w:ascii="宋体" w:hAnsi="宋体" w:cs="宋体"/>
        </w:rPr>
        <w:t>项约定的时间进行检查的，除监理人另有指示外，承包人可自行完成覆盖工作，并作相应记录报送监理人，监理人应签字确认。监理人事后对检查记录有疑问的，可按第</w:t>
      </w:r>
      <w:r>
        <w:rPr>
          <w:rFonts w:ascii="宋体" w:hAnsi="宋体" w:cs="TimesNewRomanPSMT"/>
        </w:rPr>
        <w:t xml:space="preserve">13.5.3 </w:t>
      </w:r>
      <w:r>
        <w:rPr>
          <w:rFonts w:hint="eastAsia" w:ascii="宋体" w:hAnsi="宋体" w:cs="宋体"/>
        </w:rPr>
        <w:t>项的约定重新检查。</w:t>
      </w:r>
    </w:p>
    <w:p>
      <w:pPr>
        <w:autoSpaceDE w:val="0"/>
        <w:autoSpaceDN w:val="0"/>
        <w:adjustRightInd w:val="0"/>
        <w:rPr>
          <w:rFonts w:ascii="宋体" w:hAnsi="宋体" w:cs="宋体"/>
        </w:rPr>
      </w:pPr>
      <w:r>
        <w:rPr>
          <w:rFonts w:ascii="宋体" w:hAnsi="宋体" w:cs="TimesNewRomanPSMT"/>
        </w:rPr>
        <w:t xml:space="preserve">13.5.3 </w:t>
      </w:r>
      <w:r>
        <w:rPr>
          <w:rFonts w:hint="eastAsia" w:ascii="宋体" w:hAnsi="宋体" w:cs="宋体"/>
        </w:rPr>
        <w:t>监理人重新检查</w:t>
      </w:r>
    </w:p>
    <w:p>
      <w:pPr>
        <w:autoSpaceDE w:val="0"/>
        <w:autoSpaceDN w:val="0"/>
        <w:adjustRightInd w:val="0"/>
        <w:rPr>
          <w:rFonts w:ascii="宋体" w:hAnsi="宋体" w:cs="宋体"/>
        </w:rPr>
      </w:pPr>
      <w:r>
        <w:rPr>
          <w:rFonts w:hint="eastAsia" w:ascii="宋体" w:hAnsi="宋体" w:cs="宋体"/>
        </w:rPr>
        <w:t>承包人按第</w:t>
      </w:r>
      <w:r>
        <w:rPr>
          <w:rFonts w:ascii="宋体" w:hAnsi="宋体" w:cs="TimesNewRomanPSMT"/>
        </w:rPr>
        <w:t xml:space="preserve">13.5.1 </w:t>
      </w:r>
      <w:r>
        <w:rPr>
          <w:rFonts w:hint="eastAsia" w:ascii="宋体" w:hAnsi="宋体" w:cs="宋体"/>
        </w:rPr>
        <w:t>项或第</w:t>
      </w:r>
      <w:r>
        <w:rPr>
          <w:rFonts w:ascii="宋体" w:hAnsi="宋体" w:cs="TimesNewRomanPSMT"/>
        </w:rPr>
        <w:t xml:space="preserve">13.5.2 </w:t>
      </w:r>
      <w:r>
        <w:rPr>
          <w:rFonts w:hint="eastAsia" w:ascii="宋体" w:hAnsi="宋体" w:cs="宋体"/>
        </w:rPr>
        <w:t>项覆盖工程隐蔽部位后，监理人对质量有疑问的，可要求承包人对已覆盖的部位进行钻孔探测或揭开重新检验，承包人应遵照执行，并在检验后重新覆盖恢复原状。经检验证明工程质量符合合同要求的，由发包人承担由此增加的费用和（或）工期延误，并支付承包人合理利润；经检验证明工程质量不符合合同要求的，由此增加的费用和（或）工期延误由承包人承担。</w:t>
      </w:r>
    </w:p>
    <w:p>
      <w:pPr>
        <w:autoSpaceDE w:val="0"/>
        <w:autoSpaceDN w:val="0"/>
        <w:adjustRightInd w:val="0"/>
        <w:rPr>
          <w:rFonts w:ascii="宋体" w:hAnsi="宋体" w:cs="宋体"/>
        </w:rPr>
      </w:pPr>
      <w:r>
        <w:rPr>
          <w:rFonts w:ascii="宋体" w:hAnsi="宋体" w:cs="TimesNewRomanPSMT"/>
        </w:rPr>
        <w:t xml:space="preserve">13.5.4 </w:t>
      </w:r>
      <w:r>
        <w:rPr>
          <w:rFonts w:hint="eastAsia" w:ascii="宋体" w:hAnsi="宋体" w:cs="宋体"/>
        </w:rPr>
        <w:t>承包人私自覆盖</w:t>
      </w:r>
    </w:p>
    <w:p>
      <w:pPr>
        <w:autoSpaceDE w:val="0"/>
        <w:autoSpaceDN w:val="0"/>
        <w:adjustRightInd w:val="0"/>
        <w:rPr>
          <w:rFonts w:ascii="宋体" w:hAnsi="宋体" w:cs="宋体"/>
        </w:rPr>
      </w:pPr>
      <w:r>
        <w:rPr>
          <w:rFonts w:hint="eastAsia" w:ascii="宋体" w:hAnsi="宋体" w:cs="宋体"/>
        </w:rPr>
        <w:t>承包人未通知监理人到场检查，私自将工程隐蔽部位覆盖的，监理人有权指示承包人钻孔探测或揭开检查，由此增加的费用和（或）工期延误由承包人承担。</w:t>
      </w:r>
    </w:p>
    <w:p>
      <w:pPr>
        <w:keepNext/>
        <w:keepLines/>
        <w:spacing w:before="120" w:after="120"/>
        <w:jc w:val="both"/>
        <w:outlineLvl w:val="2"/>
        <w:rPr>
          <w:rFonts w:ascii="宋体" w:hAnsi="宋体" w:cs="TimesNewRomanPSMT"/>
          <w:b/>
        </w:rPr>
      </w:pPr>
      <w:bookmarkStart w:id="136" w:name="_Toc260305488"/>
      <w:r>
        <w:rPr>
          <w:rFonts w:ascii="宋体" w:hAnsi="宋体" w:cs="TimesNewRomanPSMT"/>
          <w:b/>
        </w:rPr>
        <w:t xml:space="preserve">13.6 </w:t>
      </w:r>
      <w:r>
        <w:rPr>
          <w:rFonts w:hint="eastAsia" w:ascii="宋体" w:hAnsi="宋体" w:cs="TimesNewRomanPSMT"/>
          <w:b/>
        </w:rPr>
        <w:t>清除不合格工程</w:t>
      </w:r>
      <w:bookmarkEnd w:id="136"/>
    </w:p>
    <w:p>
      <w:pPr>
        <w:autoSpaceDE w:val="0"/>
        <w:autoSpaceDN w:val="0"/>
        <w:adjustRightInd w:val="0"/>
        <w:rPr>
          <w:rFonts w:ascii="宋体" w:hAnsi="宋体" w:cs="宋体"/>
        </w:rPr>
      </w:pPr>
      <w:r>
        <w:rPr>
          <w:rFonts w:ascii="宋体" w:hAnsi="宋体" w:cs="TimesNewRomanPSMT"/>
        </w:rPr>
        <w:t xml:space="preserve">13.6.1 </w:t>
      </w:r>
      <w:r>
        <w:rPr>
          <w:rFonts w:hint="eastAsia" w:ascii="宋体" w:hAnsi="宋体" w:cs="宋体"/>
        </w:rPr>
        <w:t>承包人使用不合格材料、工程设备，或采用不适当的施工工艺，或施工不当，造成工程不合格的，监理人可以随时发出指示，要求承包人立即采取措施进行补救，直至达到合同要求的质量标准，由此增加的费用和（或）工期延误由承包人承担。</w:t>
      </w:r>
    </w:p>
    <w:p>
      <w:pPr>
        <w:autoSpaceDE w:val="0"/>
        <w:autoSpaceDN w:val="0"/>
        <w:adjustRightInd w:val="0"/>
        <w:rPr>
          <w:rFonts w:ascii="宋体" w:hAnsi="宋体" w:cs="TimesNewRomanPSMT"/>
        </w:rPr>
      </w:pPr>
      <w:r>
        <w:rPr>
          <w:rFonts w:ascii="宋体" w:hAnsi="宋体" w:cs="TimesNewRomanPSMT"/>
        </w:rPr>
        <w:t xml:space="preserve">13.6.2 </w:t>
      </w:r>
      <w:r>
        <w:rPr>
          <w:rFonts w:hint="eastAsia" w:ascii="宋体" w:hAnsi="宋体" w:cs="宋体"/>
        </w:rPr>
        <w:t>由于发包人提供的材料或工程设备不合格造成的工程不合格，需要承包人采取措施补救的，发包人应承担由此增加的费用和（或）工期延误，并支付承包人合理利润。</w:t>
      </w:r>
    </w:p>
    <w:p>
      <w:pPr>
        <w:keepNext/>
        <w:keepLines/>
        <w:spacing w:before="120" w:after="120"/>
        <w:jc w:val="both"/>
        <w:outlineLvl w:val="1"/>
        <w:rPr>
          <w:rFonts w:ascii="宋体" w:hAnsi="宋体" w:cs="TimesNewRomanPSMT"/>
          <w:b/>
          <w:sz w:val="28"/>
          <w:szCs w:val="28"/>
        </w:rPr>
      </w:pPr>
      <w:bookmarkStart w:id="137" w:name="_Toc260305489"/>
      <w:bookmarkStart w:id="138" w:name="_Toc21414"/>
      <w:r>
        <w:rPr>
          <w:rFonts w:ascii="宋体" w:hAnsi="宋体" w:cs="TimesNewRomanPSMT"/>
          <w:b/>
          <w:sz w:val="28"/>
          <w:szCs w:val="28"/>
        </w:rPr>
        <w:t xml:space="preserve">14. </w:t>
      </w:r>
      <w:r>
        <w:rPr>
          <w:rFonts w:hint="eastAsia" w:ascii="宋体" w:hAnsi="宋体" w:cs="TimesNewRomanPSMT"/>
          <w:b/>
          <w:sz w:val="28"/>
          <w:szCs w:val="28"/>
        </w:rPr>
        <w:t>试验和检验</w:t>
      </w:r>
      <w:bookmarkEnd w:id="137"/>
      <w:bookmarkEnd w:id="138"/>
    </w:p>
    <w:p>
      <w:pPr>
        <w:keepNext/>
        <w:keepLines/>
        <w:spacing w:before="120" w:after="120"/>
        <w:jc w:val="both"/>
        <w:outlineLvl w:val="2"/>
        <w:rPr>
          <w:rFonts w:ascii="宋体" w:hAnsi="宋体" w:cs="TimesNewRomanPSMT"/>
          <w:b/>
        </w:rPr>
      </w:pPr>
      <w:bookmarkStart w:id="139" w:name="_Toc260305490"/>
      <w:r>
        <w:rPr>
          <w:rFonts w:ascii="宋体" w:hAnsi="宋体" w:cs="TimesNewRomanPSMT"/>
          <w:b/>
        </w:rPr>
        <w:t xml:space="preserve">14.1 </w:t>
      </w:r>
      <w:r>
        <w:rPr>
          <w:rFonts w:hint="eastAsia" w:ascii="宋体" w:hAnsi="宋体" w:cs="TimesNewRomanPSMT"/>
          <w:b/>
        </w:rPr>
        <w:t>材料、工程设备和工程的试验和检验</w:t>
      </w:r>
      <w:bookmarkEnd w:id="139"/>
    </w:p>
    <w:p>
      <w:pPr>
        <w:autoSpaceDE w:val="0"/>
        <w:autoSpaceDN w:val="0"/>
        <w:adjustRightInd w:val="0"/>
        <w:rPr>
          <w:rFonts w:ascii="宋体" w:hAnsi="宋体" w:cs="宋体"/>
        </w:rPr>
      </w:pPr>
      <w:r>
        <w:rPr>
          <w:rFonts w:ascii="宋体" w:hAnsi="宋体" w:cs="TimesNewRomanPSMT"/>
        </w:rPr>
        <w:t xml:space="preserve">14.1.1 </w:t>
      </w:r>
      <w:r>
        <w:rPr>
          <w:rFonts w:hint="eastAsia" w:ascii="宋体" w:hAnsi="宋体" w:cs="宋体"/>
        </w:rPr>
        <w:t>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pPr>
        <w:autoSpaceDE w:val="0"/>
        <w:autoSpaceDN w:val="0"/>
        <w:adjustRightInd w:val="0"/>
        <w:rPr>
          <w:rFonts w:ascii="宋体" w:hAnsi="宋体" w:cs="宋体"/>
        </w:rPr>
      </w:pPr>
      <w:r>
        <w:rPr>
          <w:rFonts w:ascii="宋体" w:hAnsi="宋体" w:cs="TimesNewRomanPSMT"/>
        </w:rPr>
        <w:t xml:space="preserve">14.1.2 </w:t>
      </w:r>
      <w:r>
        <w:rPr>
          <w:rFonts w:hint="eastAsia" w:ascii="宋体" w:hAnsi="宋体" w:cs="宋体"/>
        </w:rPr>
        <w:t>监理人未按合同约定派员参加试验和检验的，除监理人另有指示外，承包人可自行试验和检验，并应立即将试验和检验结果报送监理人，监理人应签字确认。</w:t>
      </w:r>
    </w:p>
    <w:p>
      <w:pPr>
        <w:autoSpaceDE w:val="0"/>
        <w:autoSpaceDN w:val="0"/>
        <w:adjustRightInd w:val="0"/>
        <w:rPr>
          <w:rFonts w:ascii="宋体" w:hAnsi="宋体" w:cs="宋体"/>
        </w:rPr>
      </w:pPr>
      <w:r>
        <w:rPr>
          <w:rFonts w:ascii="宋体" w:hAnsi="宋体" w:cs="TimesNewRomanPSMT"/>
        </w:rPr>
        <w:t xml:space="preserve">14.1.3 </w:t>
      </w:r>
      <w:r>
        <w:rPr>
          <w:rFonts w:hint="eastAsia" w:ascii="宋体" w:hAnsi="宋体" w:cs="宋体"/>
        </w:rPr>
        <w:t>监理人对承包人的试验和检验结果有疑问的，或为查清承包人试验和检验成果的可靠性要求承包人重新试验和检验的，可按合同约定由监理人与承包人共同进行。重新试验和检验的结果证明该项材料、工程设备或工程的质量不符合合同要求的，由此增加的费用和（或）工期延误由承包人承担；重新试验和检验结果证明该项材料、工程设备和工程符合合同要求，由发包人承担由此增加的费用和（或）工期延误，并支付承包人合理利润。</w:t>
      </w:r>
    </w:p>
    <w:p>
      <w:pPr>
        <w:keepNext/>
        <w:keepLines/>
        <w:spacing w:before="120" w:after="120"/>
        <w:jc w:val="both"/>
        <w:outlineLvl w:val="2"/>
        <w:rPr>
          <w:rFonts w:ascii="宋体" w:hAnsi="宋体" w:cs="TimesNewRomanPSMT"/>
          <w:b/>
        </w:rPr>
      </w:pPr>
      <w:bookmarkStart w:id="140" w:name="_Toc260305491"/>
      <w:r>
        <w:rPr>
          <w:rFonts w:ascii="宋体" w:hAnsi="宋体" w:cs="TimesNewRomanPSMT"/>
          <w:b/>
        </w:rPr>
        <w:t xml:space="preserve">14.2 </w:t>
      </w:r>
      <w:r>
        <w:rPr>
          <w:rFonts w:hint="eastAsia" w:ascii="宋体" w:hAnsi="宋体" w:cs="TimesNewRomanPSMT"/>
          <w:b/>
        </w:rPr>
        <w:t>现场材料试验</w:t>
      </w:r>
      <w:bookmarkEnd w:id="140"/>
    </w:p>
    <w:p>
      <w:pPr>
        <w:autoSpaceDE w:val="0"/>
        <w:autoSpaceDN w:val="0"/>
        <w:adjustRightInd w:val="0"/>
        <w:rPr>
          <w:rFonts w:ascii="宋体" w:hAnsi="宋体" w:cs="宋体"/>
        </w:rPr>
      </w:pPr>
      <w:r>
        <w:rPr>
          <w:rFonts w:ascii="宋体" w:hAnsi="宋体" w:cs="TimesNewRomanPSMT"/>
        </w:rPr>
        <w:t xml:space="preserve">14.2.1 </w:t>
      </w:r>
      <w:r>
        <w:rPr>
          <w:rFonts w:hint="eastAsia" w:ascii="宋体" w:hAnsi="宋体" w:cs="宋体"/>
        </w:rPr>
        <w:t>承包人根据合同约定或监理人指示进行的现场材料试验，应由承包人提供试验场所、试验人员、试验设备器材以及其他必要的试验条件。</w:t>
      </w:r>
    </w:p>
    <w:p>
      <w:pPr>
        <w:autoSpaceDE w:val="0"/>
        <w:autoSpaceDN w:val="0"/>
        <w:adjustRightInd w:val="0"/>
        <w:rPr>
          <w:rFonts w:ascii="宋体" w:hAnsi="宋体" w:cs="宋体"/>
        </w:rPr>
      </w:pPr>
      <w:r>
        <w:rPr>
          <w:rFonts w:ascii="宋体" w:hAnsi="宋体" w:cs="TimesNewRomanPSMT"/>
        </w:rPr>
        <w:t xml:space="preserve">14.2.2 </w:t>
      </w:r>
      <w:r>
        <w:rPr>
          <w:rFonts w:hint="eastAsia" w:ascii="宋体" w:hAnsi="宋体" w:cs="宋体"/>
        </w:rPr>
        <w:t>监理人在必要时可以使用承包人的试验场所、试验设备器材以及其他试验条件，进行以工程质量检查为目的的复核性材料试验，承包人应予以协助。</w:t>
      </w:r>
    </w:p>
    <w:p>
      <w:pPr>
        <w:autoSpaceDE w:val="0"/>
        <w:autoSpaceDN w:val="0"/>
        <w:adjustRightInd w:val="0"/>
        <w:rPr>
          <w:rFonts w:ascii="宋体" w:hAnsi="宋体" w:cs="宋体"/>
          <w:b/>
        </w:rPr>
      </w:pPr>
      <w:r>
        <w:rPr>
          <w:rFonts w:ascii="宋体" w:hAnsi="宋体" w:cs="TimesNewRomanPSMT"/>
          <w:b/>
        </w:rPr>
        <w:t xml:space="preserve">14.3 </w:t>
      </w:r>
      <w:r>
        <w:rPr>
          <w:rFonts w:hint="eastAsia" w:ascii="宋体" w:hAnsi="宋体" w:cs="宋体"/>
          <w:b/>
        </w:rPr>
        <w:t>现场工艺试验</w:t>
      </w:r>
    </w:p>
    <w:p>
      <w:pPr>
        <w:autoSpaceDE w:val="0"/>
        <w:autoSpaceDN w:val="0"/>
        <w:adjustRightInd w:val="0"/>
        <w:rPr>
          <w:rFonts w:ascii="宋体" w:hAnsi="宋体" w:cs="宋体"/>
        </w:rPr>
      </w:pPr>
      <w:r>
        <w:rPr>
          <w:rFonts w:hint="eastAsia" w:ascii="宋体" w:hAnsi="宋体" w:cs="宋体"/>
        </w:rPr>
        <w:t>承包人应按合同约定或监理人指示进行现场工艺试验。对大型的现场工艺试验，监理人认为必要时，应由承包人根据监理人提出的工艺试验要求，编制工艺试验措施计划，报送监</w:t>
      </w:r>
    </w:p>
    <w:p>
      <w:pPr>
        <w:autoSpaceDE w:val="0"/>
        <w:autoSpaceDN w:val="0"/>
        <w:adjustRightInd w:val="0"/>
        <w:rPr>
          <w:rFonts w:ascii="宋体" w:hAnsi="宋体" w:cs="宋体"/>
        </w:rPr>
      </w:pPr>
      <w:r>
        <w:rPr>
          <w:rFonts w:hint="eastAsia" w:ascii="宋体" w:hAnsi="宋体" w:cs="宋体"/>
        </w:rPr>
        <w:t>理人审批。</w:t>
      </w:r>
    </w:p>
    <w:p>
      <w:pPr>
        <w:keepNext/>
        <w:keepLines/>
        <w:spacing w:before="120" w:after="120"/>
        <w:jc w:val="both"/>
        <w:outlineLvl w:val="1"/>
        <w:rPr>
          <w:rFonts w:ascii="宋体" w:hAnsi="宋体" w:cs="TimesNewRomanPSMT"/>
          <w:b/>
          <w:sz w:val="28"/>
          <w:szCs w:val="28"/>
        </w:rPr>
      </w:pPr>
      <w:bookmarkStart w:id="141" w:name="_Toc29994"/>
      <w:bookmarkStart w:id="142" w:name="_Toc260305492"/>
      <w:r>
        <w:rPr>
          <w:rFonts w:ascii="宋体" w:hAnsi="宋体" w:cs="TimesNewRomanPSMT"/>
          <w:b/>
          <w:sz w:val="28"/>
          <w:szCs w:val="28"/>
        </w:rPr>
        <w:t xml:space="preserve">15. </w:t>
      </w:r>
      <w:r>
        <w:rPr>
          <w:rFonts w:hint="eastAsia" w:ascii="宋体" w:hAnsi="宋体" w:cs="TimesNewRomanPSMT"/>
          <w:b/>
          <w:sz w:val="28"/>
          <w:szCs w:val="28"/>
        </w:rPr>
        <w:t>变更</w:t>
      </w:r>
      <w:bookmarkEnd w:id="141"/>
      <w:bookmarkEnd w:id="142"/>
    </w:p>
    <w:p>
      <w:pPr>
        <w:keepNext/>
        <w:keepLines/>
        <w:spacing w:before="120" w:after="120"/>
        <w:jc w:val="both"/>
        <w:outlineLvl w:val="2"/>
        <w:rPr>
          <w:rFonts w:ascii="宋体" w:hAnsi="宋体" w:cs="TimesNewRomanPSMT"/>
          <w:b/>
        </w:rPr>
      </w:pPr>
      <w:bookmarkStart w:id="143" w:name="_Toc260305493"/>
      <w:r>
        <w:rPr>
          <w:rFonts w:ascii="宋体" w:hAnsi="宋体" w:cs="TimesNewRomanPSMT"/>
          <w:b/>
        </w:rPr>
        <w:t xml:space="preserve">15.1 </w:t>
      </w:r>
      <w:r>
        <w:rPr>
          <w:rFonts w:hint="eastAsia" w:ascii="宋体" w:hAnsi="宋体" w:cs="TimesNewRomanPSMT"/>
          <w:b/>
        </w:rPr>
        <w:t>变更的范围和内容</w:t>
      </w:r>
      <w:bookmarkEnd w:id="143"/>
    </w:p>
    <w:p>
      <w:pPr>
        <w:autoSpaceDE w:val="0"/>
        <w:autoSpaceDN w:val="0"/>
        <w:adjustRightInd w:val="0"/>
        <w:rPr>
          <w:rFonts w:ascii="宋体" w:hAnsi="宋体" w:cs="宋体"/>
        </w:rPr>
      </w:pPr>
      <w:r>
        <w:rPr>
          <w:rFonts w:hint="eastAsia" w:ascii="宋体" w:hAnsi="宋体" w:cs="宋体"/>
        </w:rPr>
        <w:t>除专用合同条款另有约定外，在履行合同中发生以下情形之一，应按照本条规定进行变更。</w:t>
      </w:r>
    </w:p>
    <w:p>
      <w:pPr>
        <w:autoSpaceDE w:val="0"/>
        <w:autoSpaceDN w:val="0"/>
        <w:adjustRightInd w:val="0"/>
        <w:rPr>
          <w:rFonts w:ascii="宋体" w:hAnsi="宋体" w:cs="宋体"/>
        </w:rPr>
      </w:pPr>
      <w:r>
        <w:rPr>
          <w:rFonts w:hint="eastAsia" w:ascii="宋体" w:hAnsi="宋体" w:cs="宋体"/>
        </w:rPr>
        <w:t>（</w:t>
      </w:r>
      <w:r>
        <w:rPr>
          <w:rFonts w:ascii="宋体" w:hAnsi="宋体" w:cs="TimesNewRomanPSMT"/>
        </w:rPr>
        <w:t>1</w:t>
      </w:r>
      <w:r>
        <w:rPr>
          <w:rFonts w:hint="eastAsia" w:ascii="宋体" w:hAnsi="宋体" w:cs="宋体"/>
        </w:rPr>
        <w:t>）取消合同中任何一项工作，但被取消的工作不能转由发包人或其他人实施；</w:t>
      </w:r>
    </w:p>
    <w:p>
      <w:pPr>
        <w:autoSpaceDE w:val="0"/>
        <w:autoSpaceDN w:val="0"/>
        <w:adjustRightInd w:val="0"/>
        <w:rPr>
          <w:rFonts w:ascii="宋体" w:hAnsi="宋体" w:cs="宋体"/>
        </w:rPr>
      </w:pPr>
      <w:r>
        <w:rPr>
          <w:rFonts w:hint="eastAsia" w:ascii="宋体" w:hAnsi="宋体" w:cs="宋体"/>
        </w:rPr>
        <w:t>（</w:t>
      </w:r>
      <w:r>
        <w:rPr>
          <w:rFonts w:ascii="宋体" w:hAnsi="宋体" w:cs="TimesNewRomanPSMT"/>
        </w:rPr>
        <w:t>2</w:t>
      </w:r>
      <w:r>
        <w:rPr>
          <w:rFonts w:hint="eastAsia" w:ascii="宋体" w:hAnsi="宋体" w:cs="宋体"/>
        </w:rPr>
        <w:t>）改变合同中任何一项工作的质量或其他特性；</w:t>
      </w:r>
    </w:p>
    <w:p>
      <w:pPr>
        <w:autoSpaceDE w:val="0"/>
        <w:autoSpaceDN w:val="0"/>
        <w:adjustRightInd w:val="0"/>
        <w:rPr>
          <w:rFonts w:ascii="宋体" w:hAnsi="宋体" w:cs="宋体"/>
        </w:rPr>
      </w:pPr>
      <w:r>
        <w:rPr>
          <w:rFonts w:hint="eastAsia" w:ascii="宋体" w:hAnsi="宋体" w:cs="宋体"/>
        </w:rPr>
        <w:t>（</w:t>
      </w:r>
      <w:r>
        <w:rPr>
          <w:rFonts w:ascii="宋体" w:hAnsi="宋体" w:cs="TimesNewRomanPSMT"/>
        </w:rPr>
        <w:t>3</w:t>
      </w:r>
      <w:r>
        <w:rPr>
          <w:rFonts w:hint="eastAsia" w:ascii="宋体" w:hAnsi="宋体" w:cs="宋体"/>
        </w:rPr>
        <w:t>）改变合同工程的基线、标高、位置或尺寸；</w:t>
      </w:r>
    </w:p>
    <w:p>
      <w:pPr>
        <w:autoSpaceDE w:val="0"/>
        <w:autoSpaceDN w:val="0"/>
        <w:adjustRightInd w:val="0"/>
        <w:rPr>
          <w:rFonts w:ascii="宋体" w:hAnsi="宋体" w:cs="宋体"/>
        </w:rPr>
      </w:pPr>
      <w:r>
        <w:rPr>
          <w:rFonts w:hint="eastAsia" w:ascii="宋体" w:hAnsi="宋体" w:cs="宋体"/>
        </w:rPr>
        <w:t>（</w:t>
      </w:r>
      <w:r>
        <w:rPr>
          <w:rFonts w:ascii="宋体" w:hAnsi="宋体" w:cs="TimesNewRomanPSMT"/>
        </w:rPr>
        <w:t>4</w:t>
      </w:r>
      <w:r>
        <w:rPr>
          <w:rFonts w:hint="eastAsia" w:ascii="宋体" w:hAnsi="宋体" w:cs="宋体"/>
        </w:rPr>
        <w:t>）改变合同中任何一项工作的施工时间或改变已批准的施工工艺或顺序；</w:t>
      </w:r>
    </w:p>
    <w:p>
      <w:pPr>
        <w:autoSpaceDE w:val="0"/>
        <w:autoSpaceDN w:val="0"/>
        <w:adjustRightInd w:val="0"/>
        <w:rPr>
          <w:rFonts w:ascii="宋体" w:hAnsi="宋体" w:cs="宋体"/>
        </w:rPr>
      </w:pPr>
      <w:r>
        <w:rPr>
          <w:rFonts w:hint="eastAsia" w:ascii="宋体" w:hAnsi="宋体" w:cs="宋体"/>
        </w:rPr>
        <w:t>（</w:t>
      </w:r>
      <w:r>
        <w:rPr>
          <w:rFonts w:ascii="宋体" w:hAnsi="宋体" w:cs="TimesNewRomanPSMT"/>
        </w:rPr>
        <w:t>5</w:t>
      </w:r>
      <w:r>
        <w:rPr>
          <w:rFonts w:hint="eastAsia" w:ascii="宋体" w:hAnsi="宋体" w:cs="宋体"/>
        </w:rPr>
        <w:t>）为完成工程需要追加的额外工作。</w:t>
      </w:r>
    </w:p>
    <w:p>
      <w:pPr>
        <w:keepNext/>
        <w:keepLines/>
        <w:spacing w:before="120" w:after="120"/>
        <w:jc w:val="both"/>
        <w:outlineLvl w:val="2"/>
        <w:rPr>
          <w:rFonts w:ascii="宋体" w:hAnsi="宋体" w:cs="TimesNewRomanPSMT"/>
          <w:b/>
        </w:rPr>
      </w:pPr>
      <w:bookmarkStart w:id="144" w:name="_Toc260305494"/>
      <w:r>
        <w:rPr>
          <w:rFonts w:ascii="宋体" w:hAnsi="宋体" w:cs="TimesNewRomanPSMT"/>
          <w:b/>
        </w:rPr>
        <w:t xml:space="preserve">15.2 </w:t>
      </w:r>
      <w:r>
        <w:rPr>
          <w:rFonts w:hint="eastAsia" w:ascii="宋体" w:hAnsi="宋体" w:cs="TimesNewRomanPSMT"/>
          <w:b/>
        </w:rPr>
        <w:t>变更权</w:t>
      </w:r>
      <w:bookmarkEnd w:id="144"/>
    </w:p>
    <w:p>
      <w:pPr>
        <w:autoSpaceDE w:val="0"/>
        <w:autoSpaceDN w:val="0"/>
        <w:adjustRightInd w:val="0"/>
        <w:rPr>
          <w:rFonts w:ascii="宋体" w:hAnsi="宋体" w:cs="TimesNewRomanPSMT"/>
        </w:rPr>
      </w:pPr>
      <w:r>
        <w:rPr>
          <w:rFonts w:hint="eastAsia" w:ascii="宋体" w:hAnsi="宋体" w:cs="宋体"/>
        </w:rPr>
        <w:t>在履行合同过程中，经发包人同意，监理人可按第</w:t>
      </w:r>
      <w:r>
        <w:rPr>
          <w:rFonts w:ascii="宋体" w:hAnsi="宋体" w:cs="TimesNewRomanPSMT"/>
        </w:rPr>
        <w:t xml:space="preserve">15.3 </w:t>
      </w:r>
      <w:r>
        <w:rPr>
          <w:rFonts w:hint="eastAsia" w:ascii="宋体" w:hAnsi="宋体" w:cs="宋体"/>
        </w:rPr>
        <w:t>款约定的变更程序向承包人作出变更指示，承包人应遵照执行。没有监理人的变更指示，承包人不得擅自变更。</w:t>
      </w:r>
    </w:p>
    <w:p>
      <w:pPr>
        <w:keepNext/>
        <w:keepLines/>
        <w:spacing w:before="120" w:after="120"/>
        <w:jc w:val="both"/>
        <w:outlineLvl w:val="2"/>
        <w:rPr>
          <w:rFonts w:ascii="宋体" w:hAnsi="宋体" w:cs="TimesNewRomanPSMT"/>
          <w:b/>
        </w:rPr>
      </w:pPr>
      <w:bookmarkStart w:id="145" w:name="_Toc260305495"/>
      <w:r>
        <w:rPr>
          <w:rFonts w:ascii="宋体" w:hAnsi="宋体" w:cs="TimesNewRomanPSMT"/>
          <w:b/>
        </w:rPr>
        <w:t xml:space="preserve">15.3 </w:t>
      </w:r>
      <w:r>
        <w:rPr>
          <w:rFonts w:hint="eastAsia" w:ascii="宋体" w:hAnsi="宋体" w:cs="TimesNewRomanPSMT"/>
          <w:b/>
        </w:rPr>
        <w:t>变更程序</w:t>
      </w:r>
      <w:bookmarkEnd w:id="145"/>
    </w:p>
    <w:p>
      <w:pPr>
        <w:autoSpaceDE w:val="0"/>
        <w:autoSpaceDN w:val="0"/>
        <w:adjustRightInd w:val="0"/>
        <w:rPr>
          <w:rFonts w:ascii="宋体" w:hAnsi="宋体" w:cs="宋体"/>
        </w:rPr>
      </w:pPr>
      <w:r>
        <w:rPr>
          <w:rFonts w:ascii="宋体" w:hAnsi="宋体" w:cs="TimesNewRomanPSMT"/>
        </w:rPr>
        <w:t xml:space="preserve">15.3.1 </w:t>
      </w:r>
      <w:r>
        <w:rPr>
          <w:rFonts w:hint="eastAsia" w:ascii="宋体" w:hAnsi="宋体" w:cs="宋体"/>
        </w:rPr>
        <w:t>变更的提出</w:t>
      </w:r>
    </w:p>
    <w:p>
      <w:pPr>
        <w:autoSpaceDE w:val="0"/>
        <w:autoSpaceDN w:val="0"/>
        <w:adjustRightInd w:val="0"/>
        <w:rPr>
          <w:rFonts w:ascii="宋体" w:hAnsi="宋体" w:cs="宋体"/>
        </w:rPr>
      </w:pPr>
      <w:r>
        <w:rPr>
          <w:rFonts w:hint="eastAsia" w:ascii="宋体" w:hAnsi="宋体" w:cs="宋体"/>
        </w:rPr>
        <w:t>（</w:t>
      </w:r>
      <w:r>
        <w:rPr>
          <w:rFonts w:ascii="宋体" w:hAnsi="宋体" w:cs="TimesNewRomanPSMT"/>
        </w:rPr>
        <w:t>1</w:t>
      </w:r>
      <w:r>
        <w:rPr>
          <w:rFonts w:hint="eastAsia" w:ascii="宋体" w:hAnsi="宋体" w:cs="宋体"/>
        </w:rPr>
        <w:t>）在合同履行过程中，可能发生第</w:t>
      </w:r>
      <w:r>
        <w:rPr>
          <w:rFonts w:ascii="宋体" w:hAnsi="宋体" w:cs="TimesNewRomanPSMT"/>
        </w:rPr>
        <w:t xml:space="preserve">15.1 </w:t>
      </w:r>
      <w:r>
        <w:rPr>
          <w:rFonts w:hint="eastAsia" w:ascii="宋体" w:hAnsi="宋体" w:cs="宋体"/>
        </w:rPr>
        <w:t>款约定情形的，监理人可向承包人发出变更意向书。变更意向书应说明变更的具体内容和发包人对变更的时间要求，并附必要的图纸和相关资料。变更意向书应要求承包人提交包括拟实施变更工作的计划、措施和竣工时间等内容的实施方案。发包人同意承包人根据变更意向书要求提交的变更实施方案的，由监理人按第</w:t>
      </w:r>
      <w:r>
        <w:rPr>
          <w:rFonts w:ascii="宋体" w:hAnsi="宋体" w:cs="TimesNewRomanPSMT"/>
        </w:rPr>
        <w:t xml:space="preserve">15.3.3 </w:t>
      </w:r>
      <w:r>
        <w:rPr>
          <w:rFonts w:hint="eastAsia" w:ascii="宋体" w:hAnsi="宋体" w:cs="宋体"/>
        </w:rPr>
        <w:t>项约定发出变更指示。</w:t>
      </w:r>
    </w:p>
    <w:p>
      <w:pPr>
        <w:autoSpaceDE w:val="0"/>
        <w:autoSpaceDN w:val="0"/>
        <w:adjustRightInd w:val="0"/>
        <w:rPr>
          <w:rFonts w:ascii="宋体" w:hAnsi="宋体" w:cs="宋体"/>
        </w:rPr>
      </w:pPr>
      <w:r>
        <w:rPr>
          <w:rFonts w:hint="eastAsia" w:ascii="宋体" w:hAnsi="宋体" w:cs="宋体"/>
        </w:rPr>
        <w:t>（</w:t>
      </w:r>
      <w:r>
        <w:rPr>
          <w:rFonts w:ascii="宋体" w:hAnsi="宋体" w:cs="TimesNewRomanPSMT"/>
        </w:rPr>
        <w:t>2</w:t>
      </w:r>
      <w:r>
        <w:rPr>
          <w:rFonts w:hint="eastAsia" w:ascii="宋体" w:hAnsi="宋体" w:cs="宋体"/>
        </w:rPr>
        <w:t>）在合同履行过程中，发生第</w:t>
      </w:r>
      <w:r>
        <w:rPr>
          <w:rFonts w:ascii="宋体" w:hAnsi="宋体" w:cs="TimesNewRomanPSMT"/>
        </w:rPr>
        <w:t xml:space="preserve">15.1 </w:t>
      </w:r>
      <w:r>
        <w:rPr>
          <w:rFonts w:hint="eastAsia" w:ascii="宋体" w:hAnsi="宋体" w:cs="宋体"/>
        </w:rPr>
        <w:t>款约定情形的，监理人应按照第</w:t>
      </w:r>
      <w:r>
        <w:rPr>
          <w:rFonts w:ascii="宋体" w:hAnsi="宋体" w:cs="TimesNewRomanPSMT"/>
        </w:rPr>
        <w:t xml:space="preserve">15.3.3 </w:t>
      </w:r>
      <w:r>
        <w:rPr>
          <w:rFonts w:hint="eastAsia" w:ascii="宋体" w:hAnsi="宋体" w:cs="宋体"/>
        </w:rPr>
        <w:t>项约定向承包人发出变更指示。</w:t>
      </w:r>
    </w:p>
    <w:p>
      <w:pPr>
        <w:autoSpaceDE w:val="0"/>
        <w:autoSpaceDN w:val="0"/>
        <w:adjustRightInd w:val="0"/>
        <w:rPr>
          <w:rFonts w:ascii="宋体" w:hAnsi="宋体" w:cs="宋体"/>
        </w:rPr>
      </w:pPr>
      <w:r>
        <w:rPr>
          <w:rFonts w:hint="eastAsia" w:ascii="宋体" w:hAnsi="宋体" w:cs="宋体"/>
        </w:rPr>
        <w:t>（</w:t>
      </w:r>
      <w:r>
        <w:rPr>
          <w:rFonts w:ascii="宋体" w:hAnsi="宋体" w:cs="TimesNewRomanPSMT"/>
        </w:rPr>
        <w:t>3</w:t>
      </w:r>
      <w:r>
        <w:rPr>
          <w:rFonts w:hint="eastAsia" w:ascii="宋体" w:hAnsi="宋体" w:cs="宋体"/>
        </w:rPr>
        <w:t>）承包人收到监理人按合同约定发出的图纸和文件，经检查认为其中存在第</w:t>
      </w:r>
      <w:r>
        <w:rPr>
          <w:rFonts w:ascii="宋体" w:hAnsi="宋体" w:cs="TimesNewRomanPSMT"/>
        </w:rPr>
        <w:t xml:space="preserve">15.1 </w:t>
      </w:r>
      <w:r>
        <w:rPr>
          <w:rFonts w:hint="eastAsia" w:ascii="宋体" w:hAnsi="宋体" w:cs="宋体"/>
        </w:rPr>
        <w:t>款约定情形的，可向监理人提出书面变更建议。变更建议应阐明要求变更的依据，并附必要的图纸和说明。监理人收到承包人书面建议后，应与发包人共同研究，确认存在变更的，应在收到承包人书面建议后的</w:t>
      </w:r>
      <w:r>
        <w:rPr>
          <w:rFonts w:ascii="宋体" w:hAnsi="宋体" w:cs="TimesNewRomanPSMT"/>
        </w:rPr>
        <w:t xml:space="preserve">14 </w:t>
      </w:r>
      <w:r>
        <w:rPr>
          <w:rFonts w:hint="eastAsia" w:ascii="宋体" w:hAnsi="宋体" w:cs="宋体"/>
        </w:rPr>
        <w:t>天内作出变更指示。经研究后不同意作为变更的，应由监理人书面答复承包人。</w:t>
      </w:r>
    </w:p>
    <w:p>
      <w:pPr>
        <w:autoSpaceDE w:val="0"/>
        <w:autoSpaceDN w:val="0"/>
        <w:adjustRightInd w:val="0"/>
        <w:rPr>
          <w:rFonts w:ascii="宋体" w:hAnsi="宋体" w:cs="宋体"/>
        </w:rPr>
      </w:pPr>
      <w:r>
        <w:rPr>
          <w:rFonts w:hint="eastAsia" w:ascii="宋体" w:hAnsi="宋体" w:cs="宋体"/>
        </w:rPr>
        <w:t>（</w:t>
      </w:r>
      <w:r>
        <w:rPr>
          <w:rFonts w:ascii="宋体" w:hAnsi="宋体" w:cs="TimesNewRomanPSMT"/>
        </w:rPr>
        <w:t>4</w:t>
      </w:r>
      <w:r>
        <w:rPr>
          <w:rFonts w:hint="eastAsia" w:ascii="宋体" w:hAnsi="宋体" w:cs="宋体"/>
        </w:rPr>
        <w:t>）若承包人收到监理人的变更意向书后认为难以实施此项变更，应立即通知监理人，说明原因并附详细依据。监理人与承包人和发包人协商后确定撤销、改变或不改变原变更意向书。</w:t>
      </w:r>
    </w:p>
    <w:p>
      <w:pPr>
        <w:autoSpaceDE w:val="0"/>
        <w:autoSpaceDN w:val="0"/>
        <w:adjustRightInd w:val="0"/>
        <w:rPr>
          <w:rFonts w:ascii="宋体" w:hAnsi="宋体" w:cs="宋体"/>
        </w:rPr>
      </w:pPr>
      <w:r>
        <w:rPr>
          <w:rFonts w:ascii="宋体" w:hAnsi="宋体" w:cs="TimesNewRomanPSMT"/>
        </w:rPr>
        <w:t xml:space="preserve">15.3.2 </w:t>
      </w:r>
      <w:r>
        <w:rPr>
          <w:rFonts w:hint="eastAsia" w:ascii="宋体" w:hAnsi="宋体" w:cs="宋体"/>
        </w:rPr>
        <w:t>变更估价</w:t>
      </w:r>
    </w:p>
    <w:p>
      <w:pPr>
        <w:autoSpaceDE w:val="0"/>
        <w:autoSpaceDN w:val="0"/>
        <w:adjustRightInd w:val="0"/>
        <w:rPr>
          <w:rFonts w:ascii="宋体" w:hAnsi="宋体" w:cs="宋体"/>
        </w:rPr>
      </w:pPr>
      <w:r>
        <w:rPr>
          <w:rFonts w:hint="eastAsia" w:ascii="宋体" w:hAnsi="宋体" w:cs="宋体"/>
        </w:rPr>
        <w:t>（</w:t>
      </w:r>
      <w:r>
        <w:rPr>
          <w:rFonts w:ascii="宋体" w:hAnsi="宋体" w:cs="TimesNewRomanPSMT"/>
        </w:rPr>
        <w:t>1</w:t>
      </w:r>
      <w:r>
        <w:rPr>
          <w:rFonts w:hint="eastAsia" w:ascii="宋体" w:hAnsi="宋体" w:cs="宋体"/>
        </w:rPr>
        <w:t>）除专用合同条款对期限另有约定外，承包人应在收到变更指示或变更意向书后的</w:t>
      </w:r>
      <w:r>
        <w:rPr>
          <w:rFonts w:ascii="宋体" w:hAnsi="宋体" w:cs="TimesNewRomanPSMT"/>
        </w:rPr>
        <w:t xml:space="preserve">14 </w:t>
      </w:r>
      <w:r>
        <w:rPr>
          <w:rFonts w:hint="eastAsia" w:ascii="宋体" w:hAnsi="宋体" w:cs="宋体"/>
        </w:rPr>
        <w:t>天内，向监理人提交变更报价书，报价内容应根据第</w:t>
      </w:r>
      <w:r>
        <w:rPr>
          <w:rFonts w:ascii="宋体" w:hAnsi="宋体" w:cs="TimesNewRomanPSMT"/>
        </w:rPr>
        <w:t xml:space="preserve">15.4 </w:t>
      </w:r>
      <w:r>
        <w:rPr>
          <w:rFonts w:hint="eastAsia" w:ascii="宋体" w:hAnsi="宋体" w:cs="宋体"/>
        </w:rPr>
        <w:t>款约定的估价原则，详细开列变更工作的价格组成及其依据，并附必要的施工方法说明和有关图纸。</w:t>
      </w:r>
    </w:p>
    <w:p>
      <w:pPr>
        <w:autoSpaceDE w:val="0"/>
        <w:autoSpaceDN w:val="0"/>
        <w:adjustRightInd w:val="0"/>
        <w:rPr>
          <w:rFonts w:ascii="宋体" w:hAnsi="宋体" w:cs="宋体"/>
        </w:rPr>
      </w:pPr>
      <w:r>
        <w:rPr>
          <w:rFonts w:hint="eastAsia" w:ascii="宋体" w:hAnsi="宋体" w:cs="宋体"/>
        </w:rPr>
        <w:t>（</w:t>
      </w:r>
      <w:r>
        <w:rPr>
          <w:rFonts w:ascii="宋体" w:hAnsi="宋体" w:cs="TimesNewRomanPSMT"/>
        </w:rPr>
        <w:t>2</w:t>
      </w:r>
      <w:r>
        <w:rPr>
          <w:rFonts w:hint="eastAsia" w:ascii="宋体" w:hAnsi="宋体" w:cs="宋体"/>
        </w:rPr>
        <w:t>）变更工作影响工期的，承包人应提出调整工期的具体细节。监理人认为有必要时，可要求承包人提交要求提前或延长工期的施工进度计划及相应施工措施等详细资料。</w:t>
      </w:r>
    </w:p>
    <w:p>
      <w:pPr>
        <w:autoSpaceDE w:val="0"/>
        <w:autoSpaceDN w:val="0"/>
        <w:adjustRightInd w:val="0"/>
        <w:rPr>
          <w:rFonts w:ascii="宋体" w:hAnsi="宋体" w:cs="宋体"/>
        </w:rPr>
      </w:pPr>
      <w:r>
        <w:rPr>
          <w:rFonts w:hint="eastAsia" w:ascii="宋体" w:hAnsi="宋体" w:cs="宋体"/>
        </w:rPr>
        <w:t>（</w:t>
      </w:r>
      <w:r>
        <w:rPr>
          <w:rFonts w:ascii="宋体" w:hAnsi="宋体" w:cs="TimesNewRomanPSMT"/>
        </w:rPr>
        <w:t>3</w:t>
      </w:r>
      <w:r>
        <w:rPr>
          <w:rFonts w:hint="eastAsia" w:ascii="宋体" w:hAnsi="宋体" w:cs="宋体"/>
        </w:rPr>
        <w:t>）除专用合同条款对期限另有约定外，监理人收到承包人变更报价书后的</w:t>
      </w:r>
      <w:r>
        <w:rPr>
          <w:rFonts w:ascii="宋体" w:hAnsi="宋体" w:cs="TimesNewRomanPSMT"/>
        </w:rPr>
        <w:t xml:space="preserve">14 </w:t>
      </w:r>
      <w:r>
        <w:rPr>
          <w:rFonts w:hint="eastAsia" w:ascii="宋体" w:hAnsi="宋体" w:cs="宋体"/>
        </w:rPr>
        <w:t>天内，根据第</w:t>
      </w:r>
      <w:r>
        <w:rPr>
          <w:rFonts w:ascii="宋体" w:hAnsi="宋体" w:cs="TimesNewRomanPSMT"/>
        </w:rPr>
        <w:t xml:space="preserve">15.4 </w:t>
      </w:r>
      <w:r>
        <w:rPr>
          <w:rFonts w:hint="eastAsia" w:ascii="宋体" w:hAnsi="宋体" w:cs="宋体"/>
        </w:rPr>
        <w:t>款约定的估价原则，按照第</w:t>
      </w:r>
      <w:r>
        <w:rPr>
          <w:rFonts w:ascii="宋体" w:hAnsi="宋体" w:cs="TimesNewRomanPSMT"/>
        </w:rPr>
        <w:t xml:space="preserve">3.5 </w:t>
      </w:r>
      <w:r>
        <w:rPr>
          <w:rFonts w:hint="eastAsia" w:ascii="宋体" w:hAnsi="宋体" w:cs="宋体"/>
        </w:rPr>
        <w:t>款商定或确定变更价格。</w:t>
      </w:r>
    </w:p>
    <w:p>
      <w:pPr>
        <w:autoSpaceDE w:val="0"/>
        <w:autoSpaceDN w:val="0"/>
        <w:adjustRightInd w:val="0"/>
        <w:rPr>
          <w:rFonts w:ascii="宋体" w:hAnsi="宋体" w:cs="宋体"/>
        </w:rPr>
      </w:pPr>
      <w:r>
        <w:rPr>
          <w:rFonts w:ascii="宋体" w:hAnsi="宋体" w:cs="TimesNewRomanPSMT"/>
        </w:rPr>
        <w:t xml:space="preserve">15.3.3 </w:t>
      </w:r>
      <w:r>
        <w:rPr>
          <w:rFonts w:hint="eastAsia" w:ascii="宋体" w:hAnsi="宋体" w:cs="宋体"/>
        </w:rPr>
        <w:t>变更指示</w:t>
      </w:r>
    </w:p>
    <w:p>
      <w:pPr>
        <w:autoSpaceDE w:val="0"/>
        <w:autoSpaceDN w:val="0"/>
        <w:adjustRightInd w:val="0"/>
        <w:rPr>
          <w:rFonts w:ascii="宋体" w:hAnsi="宋体" w:cs="宋体"/>
        </w:rPr>
      </w:pPr>
      <w:r>
        <w:rPr>
          <w:rFonts w:hint="eastAsia" w:ascii="宋体" w:hAnsi="宋体" w:cs="宋体"/>
        </w:rPr>
        <w:t>（</w:t>
      </w:r>
      <w:r>
        <w:rPr>
          <w:rFonts w:ascii="宋体" w:hAnsi="宋体" w:cs="TimesNewRomanPSMT"/>
        </w:rPr>
        <w:t>1</w:t>
      </w:r>
      <w:r>
        <w:rPr>
          <w:rFonts w:hint="eastAsia" w:ascii="宋体" w:hAnsi="宋体" w:cs="宋体"/>
        </w:rPr>
        <w:t>）变更指示只能由监理人发出。</w:t>
      </w:r>
    </w:p>
    <w:p>
      <w:pPr>
        <w:autoSpaceDE w:val="0"/>
        <w:autoSpaceDN w:val="0"/>
        <w:adjustRightInd w:val="0"/>
        <w:rPr>
          <w:rFonts w:ascii="宋体" w:hAnsi="宋体" w:cs="宋体"/>
        </w:rPr>
      </w:pPr>
      <w:r>
        <w:rPr>
          <w:rFonts w:hint="eastAsia" w:ascii="宋体" w:hAnsi="宋体" w:cs="宋体"/>
        </w:rPr>
        <w:t>（</w:t>
      </w:r>
      <w:r>
        <w:rPr>
          <w:rFonts w:ascii="宋体" w:hAnsi="宋体" w:cs="TimesNewRomanPSMT"/>
        </w:rPr>
        <w:t>2</w:t>
      </w:r>
      <w:r>
        <w:rPr>
          <w:rFonts w:hint="eastAsia" w:ascii="宋体" w:hAnsi="宋体" w:cs="宋体"/>
        </w:rPr>
        <w:t>）变更指示应说明变更的目的、范围、变更内容以及变更的工程量及其进度和技术要求，并附有关图纸和文件。承包人收到变更指示后，应按变更指示进行变更工作。</w:t>
      </w:r>
    </w:p>
    <w:p>
      <w:pPr>
        <w:keepNext/>
        <w:keepLines/>
        <w:spacing w:before="120" w:after="120"/>
        <w:jc w:val="both"/>
        <w:outlineLvl w:val="2"/>
        <w:rPr>
          <w:rFonts w:ascii="宋体" w:hAnsi="宋体" w:cs="TimesNewRomanPSMT"/>
          <w:b/>
        </w:rPr>
      </w:pPr>
      <w:bookmarkStart w:id="146" w:name="_Toc260305496"/>
      <w:r>
        <w:rPr>
          <w:rFonts w:ascii="宋体" w:hAnsi="宋体" w:cs="TimesNewRomanPSMT"/>
          <w:b/>
        </w:rPr>
        <w:t xml:space="preserve">15.4 </w:t>
      </w:r>
      <w:r>
        <w:rPr>
          <w:rFonts w:hint="eastAsia" w:ascii="宋体" w:hAnsi="宋体" w:cs="TimesNewRomanPSMT"/>
          <w:b/>
        </w:rPr>
        <w:t>变更的估价原则</w:t>
      </w:r>
      <w:bookmarkEnd w:id="146"/>
    </w:p>
    <w:p>
      <w:pPr>
        <w:autoSpaceDE w:val="0"/>
        <w:autoSpaceDN w:val="0"/>
        <w:adjustRightInd w:val="0"/>
        <w:rPr>
          <w:rFonts w:ascii="宋体" w:hAnsi="宋体" w:cs="宋体"/>
        </w:rPr>
      </w:pPr>
      <w:r>
        <w:rPr>
          <w:rFonts w:hint="eastAsia" w:ascii="宋体" w:hAnsi="宋体" w:cs="宋体"/>
        </w:rPr>
        <w:t>除专用合同条款另有约定外，因变更引起的价格调整按照本款约定处理。</w:t>
      </w:r>
    </w:p>
    <w:p>
      <w:pPr>
        <w:autoSpaceDE w:val="0"/>
        <w:autoSpaceDN w:val="0"/>
        <w:adjustRightInd w:val="0"/>
        <w:rPr>
          <w:rFonts w:ascii="宋体" w:hAnsi="宋体" w:cs="宋体"/>
        </w:rPr>
      </w:pPr>
      <w:r>
        <w:rPr>
          <w:rFonts w:ascii="宋体" w:hAnsi="宋体" w:cs="TimesNewRomanPSMT"/>
        </w:rPr>
        <w:t xml:space="preserve">15.4.1 </w:t>
      </w:r>
      <w:r>
        <w:rPr>
          <w:rFonts w:hint="eastAsia" w:ascii="宋体" w:hAnsi="宋体" w:cs="宋体"/>
        </w:rPr>
        <w:t>已标价工程量清单中有适用于变更工作的子目的，采用该子目的单价。</w:t>
      </w:r>
    </w:p>
    <w:p>
      <w:pPr>
        <w:autoSpaceDE w:val="0"/>
        <w:autoSpaceDN w:val="0"/>
        <w:adjustRightInd w:val="0"/>
        <w:rPr>
          <w:rFonts w:ascii="宋体" w:hAnsi="宋体" w:cs="宋体"/>
        </w:rPr>
      </w:pPr>
      <w:r>
        <w:rPr>
          <w:rFonts w:ascii="宋体" w:hAnsi="宋体" w:cs="TimesNewRomanPSMT"/>
        </w:rPr>
        <w:t xml:space="preserve">15.4.2 </w:t>
      </w:r>
      <w:r>
        <w:rPr>
          <w:rFonts w:hint="eastAsia" w:ascii="宋体" w:hAnsi="宋体" w:cs="宋体"/>
        </w:rPr>
        <w:t>已标价工程量清单中无适用于变更工作的子目，但有类似子目的，可在合理范围内参照类似子目的单价，由监理人按第</w:t>
      </w:r>
      <w:r>
        <w:rPr>
          <w:rFonts w:ascii="宋体" w:hAnsi="宋体" w:cs="TimesNewRomanPSMT"/>
        </w:rPr>
        <w:t xml:space="preserve">3.5 </w:t>
      </w:r>
      <w:r>
        <w:rPr>
          <w:rFonts w:hint="eastAsia" w:ascii="宋体" w:hAnsi="宋体" w:cs="宋体"/>
        </w:rPr>
        <w:t>款商定或确定变更工作的单价。</w:t>
      </w:r>
    </w:p>
    <w:p>
      <w:pPr>
        <w:autoSpaceDE w:val="0"/>
        <w:autoSpaceDN w:val="0"/>
        <w:adjustRightInd w:val="0"/>
        <w:rPr>
          <w:rFonts w:ascii="宋体" w:hAnsi="宋体" w:cs="宋体"/>
        </w:rPr>
      </w:pPr>
      <w:r>
        <w:rPr>
          <w:rFonts w:ascii="宋体" w:hAnsi="宋体" w:cs="TimesNewRomanPSMT"/>
        </w:rPr>
        <w:t xml:space="preserve">15.4.3 </w:t>
      </w:r>
      <w:r>
        <w:rPr>
          <w:rFonts w:hint="eastAsia" w:ascii="宋体" w:hAnsi="宋体" w:cs="宋体"/>
        </w:rPr>
        <w:t>已标价工程量清单中无适用或类似子目的单价，可按照成本加利润的原则，由监理人按第</w:t>
      </w:r>
      <w:r>
        <w:rPr>
          <w:rFonts w:ascii="宋体" w:hAnsi="宋体" w:cs="TimesNewRomanPSMT"/>
        </w:rPr>
        <w:t xml:space="preserve">3.5 </w:t>
      </w:r>
      <w:r>
        <w:rPr>
          <w:rFonts w:hint="eastAsia" w:ascii="宋体" w:hAnsi="宋体" w:cs="宋体"/>
        </w:rPr>
        <w:t>款商定或确定变更工作的单价。</w:t>
      </w:r>
    </w:p>
    <w:p>
      <w:pPr>
        <w:keepNext/>
        <w:keepLines/>
        <w:spacing w:before="120" w:after="120"/>
        <w:jc w:val="both"/>
        <w:outlineLvl w:val="2"/>
        <w:rPr>
          <w:rFonts w:ascii="宋体" w:hAnsi="宋体" w:cs="TimesNewRomanPSMT"/>
          <w:b/>
        </w:rPr>
      </w:pPr>
      <w:bookmarkStart w:id="147" w:name="_Toc260305497"/>
      <w:r>
        <w:rPr>
          <w:rFonts w:ascii="宋体" w:hAnsi="宋体" w:cs="TimesNewRomanPSMT"/>
          <w:b/>
        </w:rPr>
        <w:t xml:space="preserve">15.5 </w:t>
      </w:r>
      <w:r>
        <w:rPr>
          <w:rFonts w:hint="eastAsia" w:ascii="宋体" w:hAnsi="宋体" w:cs="TimesNewRomanPSMT"/>
          <w:b/>
        </w:rPr>
        <w:t>承包人的合理化建议</w:t>
      </w:r>
      <w:bookmarkEnd w:id="147"/>
    </w:p>
    <w:p>
      <w:pPr>
        <w:autoSpaceDE w:val="0"/>
        <w:autoSpaceDN w:val="0"/>
        <w:adjustRightInd w:val="0"/>
        <w:rPr>
          <w:rFonts w:ascii="宋体" w:hAnsi="宋体" w:cs="宋体"/>
        </w:rPr>
      </w:pPr>
      <w:r>
        <w:rPr>
          <w:rFonts w:ascii="宋体" w:hAnsi="宋体" w:cs="TimesNewRomanPSMT"/>
        </w:rPr>
        <w:t xml:space="preserve">15.5.1 </w:t>
      </w:r>
      <w:r>
        <w:rPr>
          <w:rFonts w:hint="eastAsia" w:ascii="宋体" w:hAnsi="宋体" w:cs="宋体"/>
        </w:rPr>
        <w:t>在履行合同过程中，承包人对发包人提供的图纸、技术要求以及其他方面提出的合理化建议，均应以书面形式提交监理人。合理化建议书的内容应包括建议工作的详细说明、进度计划和效益以及与其他工作的协调等，并附必要的设计文件。监理人应与发包人协商是否采纳建议。建议被采纳并构成变更的，应按第</w:t>
      </w:r>
      <w:r>
        <w:rPr>
          <w:rFonts w:ascii="宋体" w:hAnsi="宋体" w:cs="TimesNewRomanPSMT"/>
        </w:rPr>
        <w:t xml:space="preserve">15.3.3 </w:t>
      </w:r>
      <w:r>
        <w:rPr>
          <w:rFonts w:hint="eastAsia" w:ascii="宋体" w:hAnsi="宋体" w:cs="宋体"/>
        </w:rPr>
        <w:t>项约定向承包人发出变更指示。</w:t>
      </w:r>
    </w:p>
    <w:p>
      <w:pPr>
        <w:autoSpaceDE w:val="0"/>
        <w:autoSpaceDN w:val="0"/>
        <w:adjustRightInd w:val="0"/>
        <w:rPr>
          <w:rFonts w:ascii="宋体" w:hAnsi="宋体" w:cs="宋体"/>
        </w:rPr>
      </w:pPr>
      <w:r>
        <w:rPr>
          <w:rFonts w:ascii="宋体" w:hAnsi="宋体" w:cs="TimesNewRomanPSMT"/>
        </w:rPr>
        <w:t xml:space="preserve">15.5.2 </w:t>
      </w:r>
      <w:r>
        <w:rPr>
          <w:rFonts w:hint="eastAsia" w:ascii="宋体" w:hAnsi="宋体" w:cs="宋体"/>
        </w:rPr>
        <w:t>承包人提出的合理化建议降低了合同价格、缩短了工期或者提高了工程经济效益的，发包人可按国家有关规定在专用合同条款中约定给予奖励。</w:t>
      </w:r>
    </w:p>
    <w:p>
      <w:pPr>
        <w:keepNext/>
        <w:keepLines/>
        <w:spacing w:before="120" w:after="120"/>
        <w:jc w:val="both"/>
        <w:outlineLvl w:val="2"/>
        <w:rPr>
          <w:rFonts w:ascii="宋体" w:hAnsi="宋体" w:cs="TimesNewRomanPSMT"/>
          <w:b/>
        </w:rPr>
      </w:pPr>
      <w:bookmarkStart w:id="148" w:name="_Toc260305498"/>
      <w:r>
        <w:rPr>
          <w:rFonts w:ascii="宋体" w:hAnsi="宋体" w:cs="TimesNewRomanPSMT"/>
          <w:b/>
        </w:rPr>
        <w:t xml:space="preserve">15.6 </w:t>
      </w:r>
      <w:r>
        <w:rPr>
          <w:rFonts w:hint="eastAsia" w:ascii="宋体" w:hAnsi="宋体" w:cs="TimesNewRomanPSMT"/>
          <w:b/>
        </w:rPr>
        <w:t>暂列金额</w:t>
      </w:r>
      <w:bookmarkEnd w:id="148"/>
    </w:p>
    <w:p>
      <w:pPr>
        <w:autoSpaceDE w:val="0"/>
        <w:autoSpaceDN w:val="0"/>
        <w:adjustRightInd w:val="0"/>
        <w:rPr>
          <w:rFonts w:ascii="宋体" w:hAnsi="宋体" w:cs="宋体"/>
        </w:rPr>
      </w:pPr>
      <w:r>
        <w:rPr>
          <w:rFonts w:hint="eastAsia" w:ascii="宋体" w:hAnsi="宋体" w:cs="宋体"/>
        </w:rPr>
        <w:t>暂列金额只能按照监理人的指示使用，并对合同价格进行相应调整。</w:t>
      </w:r>
    </w:p>
    <w:p>
      <w:pPr>
        <w:keepNext/>
        <w:keepLines/>
        <w:spacing w:before="120" w:after="120"/>
        <w:jc w:val="both"/>
        <w:outlineLvl w:val="2"/>
        <w:rPr>
          <w:rFonts w:ascii="宋体" w:hAnsi="宋体" w:cs="TimesNewRomanPSMT"/>
          <w:b/>
        </w:rPr>
      </w:pPr>
      <w:bookmarkStart w:id="149" w:name="_Toc260305499"/>
      <w:r>
        <w:rPr>
          <w:rFonts w:ascii="宋体" w:hAnsi="宋体" w:cs="TimesNewRomanPSMT"/>
          <w:b/>
        </w:rPr>
        <w:t xml:space="preserve">15.7 </w:t>
      </w:r>
      <w:r>
        <w:rPr>
          <w:rFonts w:hint="eastAsia" w:ascii="宋体" w:hAnsi="宋体" w:cs="TimesNewRomanPSMT"/>
          <w:b/>
        </w:rPr>
        <w:t>计日工</w:t>
      </w:r>
      <w:bookmarkEnd w:id="149"/>
    </w:p>
    <w:p>
      <w:pPr>
        <w:autoSpaceDE w:val="0"/>
        <w:autoSpaceDN w:val="0"/>
        <w:adjustRightInd w:val="0"/>
        <w:rPr>
          <w:rFonts w:ascii="宋体" w:hAnsi="宋体" w:cs="宋体"/>
        </w:rPr>
      </w:pPr>
      <w:r>
        <w:rPr>
          <w:rFonts w:ascii="宋体" w:hAnsi="宋体" w:cs="TimesNewRomanPSMT"/>
        </w:rPr>
        <w:t xml:space="preserve">15.7.1 </w:t>
      </w:r>
      <w:r>
        <w:rPr>
          <w:rFonts w:hint="eastAsia" w:ascii="宋体" w:hAnsi="宋体" w:cs="宋体"/>
        </w:rPr>
        <w:t>发包人认为有必要时，由监理人通知承包人以计日工方式实施变更的零星工作。其价款按列入已标价工程量清单中的计日工计价子目及其单价进行计算。</w:t>
      </w:r>
    </w:p>
    <w:p>
      <w:pPr>
        <w:autoSpaceDE w:val="0"/>
        <w:autoSpaceDN w:val="0"/>
        <w:adjustRightInd w:val="0"/>
        <w:rPr>
          <w:rFonts w:ascii="宋体" w:hAnsi="宋体" w:cs="宋体"/>
        </w:rPr>
      </w:pPr>
      <w:r>
        <w:rPr>
          <w:rFonts w:ascii="宋体" w:hAnsi="宋体" w:cs="TimesNewRomanPSMT"/>
        </w:rPr>
        <w:t xml:space="preserve">15.7.2 </w:t>
      </w:r>
      <w:r>
        <w:rPr>
          <w:rFonts w:hint="eastAsia" w:ascii="宋体" w:hAnsi="宋体" w:cs="宋体"/>
        </w:rPr>
        <w:t>采用计日工计价的任何一项变更工作，应从暂列金额中支付，承包人应在该项变更的实施过程中，每天提交以下报表和有关凭证报送监理人审批：</w:t>
      </w:r>
    </w:p>
    <w:p>
      <w:pPr>
        <w:autoSpaceDE w:val="0"/>
        <w:autoSpaceDN w:val="0"/>
        <w:adjustRightInd w:val="0"/>
        <w:rPr>
          <w:rFonts w:ascii="宋体" w:hAnsi="宋体" w:cs="宋体"/>
        </w:rPr>
      </w:pPr>
      <w:r>
        <w:rPr>
          <w:rFonts w:hint="eastAsia" w:ascii="宋体" w:hAnsi="宋体" w:cs="宋体"/>
        </w:rPr>
        <w:t>（</w:t>
      </w:r>
      <w:r>
        <w:rPr>
          <w:rFonts w:ascii="宋体" w:hAnsi="宋体" w:cs="TimesNewRomanPSMT"/>
        </w:rPr>
        <w:t>1</w:t>
      </w:r>
      <w:r>
        <w:rPr>
          <w:rFonts w:hint="eastAsia" w:ascii="宋体" w:hAnsi="宋体" w:cs="宋体"/>
        </w:rPr>
        <w:t>）工作名称、内容和数量；</w:t>
      </w:r>
    </w:p>
    <w:p>
      <w:pPr>
        <w:autoSpaceDE w:val="0"/>
        <w:autoSpaceDN w:val="0"/>
        <w:adjustRightInd w:val="0"/>
        <w:rPr>
          <w:rFonts w:ascii="宋体" w:hAnsi="宋体" w:cs="宋体"/>
        </w:rPr>
      </w:pPr>
      <w:r>
        <w:rPr>
          <w:rFonts w:hint="eastAsia" w:ascii="宋体" w:hAnsi="宋体" w:cs="宋体"/>
        </w:rPr>
        <w:t>（</w:t>
      </w:r>
      <w:r>
        <w:rPr>
          <w:rFonts w:ascii="宋体" w:hAnsi="宋体" w:cs="TimesNewRomanPSMT"/>
        </w:rPr>
        <w:t>2</w:t>
      </w:r>
      <w:r>
        <w:rPr>
          <w:rFonts w:hint="eastAsia" w:ascii="宋体" w:hAnsi="宋体" w:cs="宋体"/>
        </w:rPr>
        <w:t>）投入该工作所有人员的姓名、工种、级别和耗用工时；</w:t>
      </w:r>
    </w:p>
    <w:p>
      <w:pPr>
        <w:autoSpaceDE w:val="0"/>
        <w:autoSpaceDN w:val="0"/>
        <w:adjustRightInd w:val="0"/>
        <w:rPr>
          <w:rFonts w:ascii="宋体" w:hAnsi="宋体" w:cs="宋体"/>
        </w:rPr>
      </w:pPr>
      <w:r>
        <w:rPr>
          <w:rFonts w:hint="eastAsia" w:ascii="宋体" w:hAnsi="宋体" w:cs="宋体"/>
        </w:rPr>
        <w:t>（</w:t>
      </w:r>
      <w:r>
        <w:rPr>
          <w:rFonts w:ascii="宋体" w:hAnsi="宋体" w:cs="TimesNewRomanPSMT"/>
        </w:rPr>
        <w:t>3</w:t>
      </w:r>
      <w:r>
        <w:rPr>
          <w:rFonts w:hint="eastAsia" w:ascii="宋体" w:hAnsi="宋体" w:cs="宋体"/>
        </w:rPr>
        <w:t>）投入该工作的材料类别和数量；</w:t>
      </w:r>
    </w:p>
    <w:p>
      <w:pPr>
        <w:autoSpaceDE w:val="0"/>
        <w:autoSpaceDN w:val="0"/>
        <w:adjustRightInd w:val="0"/>
        <w:rPr>
          <w:rFonts w:ascii="宋体" w:hAnsi="宋体" w:cs="宋体"/>
        </w:rPr>
      </w:pPr>
      <w:r>
        <w:rPr>
          <w:rFonts w:hint="eastAsia" w:ascii="宋体" w:hAnsi="宋体" w:cs="宋体"/>
        </w:rPr>
        <w:t>（</w:t>
      </w:r>
      <w:r>
        <w:rPr>
          <w:rFonts w:ascii="宋体" w:hAnsi="宋体" w:cs="TimesNewRomanPSMT"/>
        </w:rPr>
        <w:t>4</w:t>
      </w:r>
      <w:r>
        <w:rPr>
          <w:rFonts w:hint="eastAsia" w:ascii="宋体" w:hAnsi="宋体" w:cs="宋体"/>
        </w:rPr>
        <w:t>）投入该工作的施工设备型号、台数和耗用台时；</w:t>
      </w:r>
    </w:p>
    <w:p>
      <w:pPr>
        <w:autoSpaceDE w:val="0"/>
        <w:autoSpaceDN w:val="0"/>
        <w:adjustRightInd w:val="0"/>
        <w:rPr>
          <w:rFonts w:ascii="宋体" w:hAnsi="宋体" w:cs="宋体"/>
        </w:rPr>
      </w:pPr>
      <w:r>
        <w:rPr>
          <w:rFonts w:hint="eastAsia" w:ascii="宋体" w:hAnsi="宋体" w:cs="宋体"/>
        </w:rPr>
        <w:t>（</w:t>
      </w:r>
      <w:r>
        <w:rPr>
          <w:rFonts w:ascii="宋体" w:hAnsi="宋体" w:cs="TimesNewRomanPSMT"/>
        </w:rPr>
        <w:t>5</w:t>
      </w:r>
      <w:r>
        <w:rPr>
          <w:rFonts w:hint="eastAsia" w:ascii="宋体" w:hAnsi="宋体" w:cs="宋体"/>
        </w:rPr>
        <w:t>）监理人要求提交的其他资料和凭证。</w:t>
      </w:r>
    </w:p>
    <w:p>
      <w:pPr>
        <w:autoSpaceDE w:val="0"/>
        <w:autoSpaceDN w:val="0"/>
        <w:adjustRightInd w:val="0"/>
        <w:rPr>
          <w:rFonts w:ascii="宋体" w:hAnsi="宋体" w:cs="宋体"/>
        </w:rPr>
      </w:pPr>
      <w:r>
        <w:rPr>
          <w:rFonts w:ascii="宋体" w:hAnsi="宋体" w:cs="TimesNewRomanPSMT"/>
        </w:rPr>
        <w:t xml:space="preserve">15.7.3 </w:t>
      </w:r>
      <w:r>
        <w:rPr>
          <w:rFonts w:hint="eastAsia" w:ascii="宋体" w:hAnsi="宋体" w:cs="宋体"/>
        </w:rPr>
        <w:t>计日工由承包人汇总后，按第</w:t>
      </w:r>
      <w:r>
        <w:rPr>
          <w:rFonts w:ascii="宋体" w:hAnsi="宋体" w:cs="TimesNewRomanPSMT"/>
        </w:rPr>
        <w:t xml:space="preserve">17.3.2 </w:t>
      </w:r>
      <w:r>
        <w:rPr>
          <w:rFonts w:hint="eastAsia" w:ascii="宋体" w:hAnsi="宋体" w:cs="宋体"/>
        </w:rPr>
        <w:t>项的约定列入进度付款申请单，由监理人复核并经发包人同意后列入进度付款。</w:t>
      </w:r>
    </w:p>
    <w:p>
      <w:pPr>
        <w:keepNext/>
        <w:keepLines/>
        <w:spacing w:before="120" w:after="120"/>
        <w:jc w:val="both"/>
        <w:outlineLvl w:val="2"/>
        <w:rPr>
          <w:rFonts w:ascii="宋体" w:hAnsi="宋体" w:cs="TimesNewRomanPSMT"/>
          <w:b/>
        </w:rPr>
      </w:pPr>
      <w:bookmarkStart w:id="150" w:name="_Toc260305500"/>
      <w:r>
        <w:rPr>
          <w:rFonts w:ascii="宋体" w:hAnsi="宋体" w:cs="TimesNewRomanPSMT"/>
          <w:b/>
        </w:rPr>
        <w:t xml:space="preserve">15.8 </w:t>
      </w:r>
      <w:r>
        <w:rPr>
          <w:rFonts w:hint="eastAsia" w:ascii="宋体" w:hAnsi="宋体" w:cs="TimesNewRomanPSMT"/>
          <w:b/>
        </w:rPr>
        <w:t>暂估价</w:t>
      </w:r>
      <w:bookmarkEnd w:id="150"/>
    </w:p>
    <w:p>
      <w:pPr>
        <w:autoSpaceDE w:val="0"/>
        <w:autoSpaceDN w:val="0"/>
        <w:adjustRightInd w:val="0"/>
        <w:rPr>
          <w:rFonts w:ascii="宋体" w:hAnsi="宋体" w:cs="宋体"/>
        </w:rPr>
      </w:pPr>
      <w:r>
        <w:rPr>
          <w:rFonts w:ascii="宋体" w:hAnsi="宋体" w:cs="TimesNewRomanPSMT"/>
        </w:rPr>
        <w:t xml:space="preserve">15.8.1 </w:t>
      </w:r>
      <w:r>
        <w:rPr>
          <w:rFonts w:hint="eastAsia" w:ascii="宋体" w:hAnsi="宋体" w:cs="宋体"/>
        </w:rPr>
        <w:t>发包人在工程量清单中给定暂估价的材料、工程设备和专业工程属于依法必须招标的范围并达到规定的规模标准的，由发包人和承包人以招标的方式选择供应商或分包人。发包人和承包人的权利义务关系在专用合同条款中约定。中标金额与工程量清单中所列的暂估价的金额差以及相应的税金等其他费用列入合同价格。</w:t>
      </w:r>
    </w:p>
    <w:p>
      <w:pPr>
        <w:autoSpaceDE w:val="0"/>
        <w:autoSpaceDN w:val="0"/>
        <w:adjustRightInd w:val="0"/>
        <w:rPr>
          <w:rFonts w:ascii="宋体" w:hAnsi="宋体" w:cs="宋体"/>
        </w:rPr>
      </w:pPr>
      <w:r>
        <w:rPr>
          <w:rFonts w:ascii="宋体" w:hAnsi="宋体" w:cs="TimesNewRomanPSMT"/>
        </w:rPr>
        <w:t xml:space="preserve">15.8.2 </w:t>
      </w:r>
      <w:r>
        <w:rPr>
          <w:rFonts w:hint="eastAsia" w:ascii="宋体" w:hAnsi="宋体" w:cs="宋体"/>
        </w:rPr>
        <w:t>发包人在工程量清单中给定暂估价的材料和工程设备不属于依法必须招标的范围或未达到规定的规模标准的，应由承包人按第</w:t>
      </w:r>
      <w:r>
        <w:rPr>
          <w:rFonts w:ascii="宋体" w:hAnsi="宋体" w:cs="TimesNewRomanPSMT"/>
        </w:rPr>
        <w:t xml:space="preserve">5.1 </w:t>
      </w:r>
      <w:r>
        <w:rPr>
          <w:rFonts w:hint="eastAsia" w:ascii="宋体" w:hAnsi="宋体" w:cs="宋体"/>
        </w:rPr>
        <w:t>款的约定提供。经监理人确认的材料、工程设备的价格与工程量清单中所列的暂估价的金额差以及相应的税金等其他费用列入合同价格。</w:t>
      </w:r>
    </w:p>
    <w:p>
      <w:pPr>
        <w:autoSpaceDE w:val="0"/>
        <w:autoSpaceDN w:val="0"/>
        <w:adjustRightInd w:val="0"/>
        <w:rPr>
          <w:rFonts w:ascii="宋体" w:hAnsi="宋体" w:cs="宋体"/>
        </w:rPr>
      </w:pPr>
      <w:r>
        <w:rPr>
          <w:rFonts w:ascii="宋体" w:hAnsi="宋体" w:cs="TimesNewRomanPSMT"/>
        </w:rPr>
        <w:t xml:space="preserve">15.8.3 </w:t>
      </w:r>
      <w:r>
        <w:rPr>
          <w:rFonts w:hint="eastAsia" w:ascii="宋体" w:hAnsi="宋体" w:cs="宋体"/>
        </w:rPr>
        <w:t>发包人在工程量清单中给定暂估价的专业工程不属于依法必须招标的范围或未达到规定的规模标准的，由监理人按照第</w:t>
      </w:r>
      <w:r>
        <w:rPr>
          <w:rFonts w:ascii="宋体" w:hAnsi="宋体" w:cs="TimesNewRomanPSMT"/>
        </w:rPr>
        <w:t xml:space="preserve">15.4 </w:t>
      </w:r>
      <w:r>
        <w:rPr>
          <w:rFonts w:hint="eastAsia" w:ascii="宋体" w:hAnsi="宋体" w:cs="宋体"/>
        </w:rPr>
        <w:t>款进行估价，但专用合同条款另有约定的除外。经估价的专业工程与工程量清单中所列的暂估价的金额差以及相应的税金等其他费用列入合同价格。</w:t>
      </w:r>
    </w:p>
    <w:p>
      <w:pPr>
        <w:keepNext/>
        <w:keepLines/>
        <w:spacing w:before="120" w:after="120"/>
        <w:jc w:val="both"/>
        <w:outlineLvl w:val="1"/>
        <w:rPr>
          <w:rFonts w:ascii="宋体" w:hAnsi="宋体" w:cs="TimesNewRomanPSMT"/>
          <w:b/>
          <w:sz w:val="28"/>
          <w:szCs w:val="28"/>
        </w:rPr>
      </w:pPr>
      <w:bookmarkStart w:id="151" w:name="_Toc260305501"/>
      <w:bookmarkStart w:id="152" w:name="_Toc9557"/>
      <w:r>
        <w:rPr>
          <w:rFonts w:ascii="宋体" w:hAnsi="宋体" w:cs="TimesNewRomanPSMT"/>
          <w:b/>
          <w:sz w:val="28"/>
          <w:szCs w:val="28"/>
        </w:rPr>
        <w:t xml:space="preserve">16. </w:t>
      </w:r>
      <w:r>
        <w:rPr>
          <w:rFonts w:hint="eastAsia" w:ascii="宋体" w:hAnsi="宋体" w:cs="TimesNewRomanPSMT"/>
          <w:b/>
          <w:sz w:val="28"/>
          <w:szCs w:val="28"/>
        </w:rPr>
        <w:t>价格调整</w:t>
      </w:r>
      <w:bookmarkEnd w:id="151"/>
      <w:bookmarkEnd w:id="152"/>
    </w:p>
    <w:p>
      <w:pPr>
        <w:keepNext/>
        <w:keepLines/>
        <w:spacing w:before="120" w:after="120"/>
        <w:jc w:val="both"/>
        <w:outlineLvl w:val="2"/>
        <w:rPr>
          <w:rFonts w:ascii="宋体" w:hAnsi="宋体" w:cs="TimesNewRomanPSMT"/>
          <w:b/>
        </w:rPr>
      </w:pPr>
      <w:bookmarkStart w:id="153" w:name="_Toc260305502"/>
      <w:r>
        <w:rPr>
          <w:rFonts w:ascii="宋体" w:hAnsi="宋体" w:cs="TimesNewRomanPSMT"/>
          <w:b/>
        </w:rPr>
        <w:t xml:space="preserve">16.1 </w:t>
      </w:r>
      <w:r>
        <w:rPr>
          <w:rFonts w:hint="eastAsia" w:ascii="宋体" w:hAnsi="宋体" w:cs="TimesNewRomanPSMT"/>
          <w:b/>
        </w:rPr>
        <w:t>物价波动引起的价格调整</w:t>
      </w:r>
      <w:bookmarkEnd w:id="153"/>
    </w:p>
    <w:p>
      <w:pPr>
        <w:autoSpaceDE w:val="0"/>
        <w:autoSpaceDN w:val="0"/>
        <w:adjustRightInd w:val="0"/>
        <w:rPr>
          <w:rFonts w:ascii="宋体" w:hAnsi="宋体" w:cs="宋体"/>
        </w:rPr>
      </w:pPr>
      <w:r>
        <w:rPr>
          <w:rFonts w:hint="eastAsia" w:ascii="宋体" w:hAnsi="宋体" w:cs="宋体"/>
        </w:rPr>
        <w:t>除专用合同条款另有约定外，因物价波动引起的价格调整按照本款约定处理。</w:t>
      </w:r>
    </w:p>
    <w:p>
      <w:pPr>
        <w:autoSpaceDE w:val="0"/>
        <w:autoSpaceDN w:val="0"/>
        <w:adjustRightInd w:val="0"/>
        <w:rPr>
          <w:rFonts w:ascii="宋体" w:hAnsi="宋体" w:cs="宋体"/>
        </w:rPr>
      </w:pPr>
      <w:r>
        <w:rPr>
          <w:rFonts w:ascii="宋体" w:hAnsi="宋体" w:cs="TimesNewRomanPSMT"/>
        </w:rPr>
        <w:t xml:space="preserve">16.1.1 </w:t>
      </w:r>
      <w:r>
        <w:rPr>
          <w:rFonts w:hint="eastAsia" w:ascii="宋体" w:hAnsi="宋体" w:cs="宋体"/>
        </w:rPr>
        <w:t>采用价格指数调整价格差额</w:t>
      </w:r>
    </w:p>
    <w:p>
      <w:pPr>
        <w:autoSpaceDE w:val="0"/>
        <w:autoSpaceDN w:val="0"/>
        <w:adjustRightInd w:val="0"/>
        <w:rPr>
          <w:rFonts w:ascii="宋体" w:hAnsi="宋体" w:cs="宋体"/>
        </w:rPr>
      </w:pPr>
      <w:r>
        <w:rPr>
          <w:rFonts w:ascii="宋体" w:hAnsi="宋体" w:cs="TimesNewRomanPSMT"/>
        </w:rPr>
        <w:t xml:space="preserve">16.1.1.1 </w:t>
      </w:r>
      <w:r>
        <w:rPr>
          <w:rFonts w:hint="eastAsia" w:ascii="宋体" w:hAnsi="宋体" w:cs="宋体"/>
        </w:rPr>
        <w:t>价格调整公式</w:t>
      </w:r>
    </w:p>
    <w:p>
      <w:pPr>
        <w:autoSpaceDE w:val="0"/>
        <w:autoSpaceDN w:val="0"/>
        <w:adjustRightInd w:val="0"/>
        <w:rPr>
          <w:rFonts w:ascii="宋体" w:hAnsi="宋体" w:cs="宋体"/>
        </w:rPr>
      </w:pPr>
      <w:r>
        <w:rPr>
          <w:rFonts w:hint="eastAsia" w:ascii="宋体" w:hAnsi="宋体" w:cs="宋体"/>
        </w:rPr>
        <w:t>因人工、材料和设备等价格波动影响合同价格时，根据投标函附录中的价格指数和权重表约定的数据，按以下公式计算差额并调整合同价格：</w:t>
      </w:r>
    </w:p>
    <w:p>
      <w:pPr>
        <w:autoSpaceDE w:val="0"/>
        <w:autoSpaceDN w:val="0"/>
        <w:adjustRightInd w:val="0"/>
        <w:rPr>
          <w:rFonts w:ascii="宋体" w:hAnsi="宋体" w:cs="SymbolMT"/>
        </w:rPr>
      </w:pPr>
      <w:r>
        <w:rPr>
          <w:rFonts w:hint="eastAsia" w:ascii="宋体" w:hAnsi="宋体" w:cs="SymbolMT"/>
        </w:rPr>
        <w:t>ΔP</w:t>
      </w:r>
      <w:r>
        <w:rPr>
          <w:rFonts w:ascii="宋体" w:hAnsi="宋体" w:cs="SymbolMT"/>
        </w:rPr>
        <w:t>=</w:t>
      </w:r>
      <w:r>
        <w:rPr>
          <w:rFonts w:hint="eastAsia" w:ascii="宋体" w:hAnsi="宋体" w:cs="SymbolMT"/>
        </w:rPr>
        <w:t>P</w:t>
      </w:r>
      <w:r>
        <w:rPr>
          <w:rFonts w:hint="eastAsia" w:ascii="宋体" w:hAnsi="宋体" w:cs="SymbolMT"/>
          <w:vertAlign w:val="subscript"/>
        </w:rPr>
        <w:t>0</w:t>
      </w:r>
      <w:r>
        <w:rPr>
          <w:rFonts w:hint="eastAsia" w:ascii="宋体" w:hAnsi="宋体" w:cs="SymbolMT"/>
        </w:rPr>
        <w:t>［H+(H</w:t>
      </w:r>
      <w:r>
        <w:rPr>
          <w:rFonts w:hint="eastAsia" w:ascii="宋体" w:hAnsi="宋体" w:cs="SymbolMT"/>
          <w:vertAlign w:val="subscript"/>
        </w:rPr>
        <w:t>1</w:t>
      </w:r>
      <w:r>
        <w:rPr>
          <w:rFonts w:hint="eastAsia" w:ascii="宋体" w:hAnsi="宋体" w:cs="SymbolMT"/>
        </w:rPr>
        <w:t>×H</w:t>
      </w:r>
      <w:r>
        <w:rPr>
          <w:rFonts w:hint="eastAsia" w:ascii="宋体" w:hAnsi="宋体" w:cs="SymbolMT"/>
          <w:vertAlign w:val="subscript"/>
        </w:rPr>
        <w:t>t1</w:t>
      </w:r>
      <w:r>
        <w:rPr>
          <w:rFonts w:hint="eastAsia" w:ascii="宋体" w:hAnsi="宋体" w:cs="SymbolMT"/>
        </w:rPr>
        <w:t>/H</w:t>
      </w:r>
      <w:r>
        <w:rPr>
          <w:rFonts w:hint="eastAsia" w:ascii="宋体" w:hAnsi="宋体" w:cs="SymbolMT"/>
          <w:vertAlign w:val="subscript"/>
        </w:rPr>
        <w:t>01</w:t>
      </w:r>
      <w:r>
        <w:rPr>
          <w:rFonts w:hint="eastAsia" w:ascii="宋体" w:hAnsi="宋体" w:cs="SymbolMT"/>
        </w:rPr>
        <w:t>+H</w:t>
      </w:r>
      <w:r>
        <w:rPr>
          <w:rFonts w:hint="eastAsia" w:ascii="宋体" w:hAnsi="宋体" w:cs="SymbolMT"/>
          <w:vertAlign w:val="subscript"/>
        </w:rPr>
        <w:t>2</w:t>
      </w:r>
      <w:r>
        <w:rPr>
          <w:rFonts w:hint="eastAsia" w:ascii="宋体" w:hAnsi="宋体" w:cs="SymbolMT"/>
        </w:rPr>
        <w:t>×H</w:t>
      </w:r>
      <w:r>
        <w:rPr>
          <w:rFonts w:hint="eastAsia" w:ascii="宋体" w:hAnsi="宋体" w:cs="SymbolMT"/>
          <w:vertAlign w:val="subscript"/>
        </w:rPr>
        <w:t>t2</w:t>
      </w:r>
      <w:r>
        <w:rPr>
          <w:rFonts w:hint="eastAsia" w:ascii="宋体" w:hAnsi="宋体" w:cs="SymbolMT"/>
        </w:rPr>
        <w:t>/H</w:t>
      </w:r>
      <w:r>
        <w:rPr>
          <w:rFonts w:hint="eastAsia" w:ascii="宋体" w:hAnsi="宋体" w:cs="SymbolMT"/>
          <w:vertAlign w:val="subscript"/>
        </w:rPr>
        <w:t>02</w:t>
      </w:r>
      <w:r>
        <w:rPr>
          <w:rFonts w:hint="eastAsia" w:ascii="宋体" w:hAnsi="宋体" w:cs="SymbolMT"/>
        </w:rPr>
        <w:t>+H</w:t>
      </w:r>
      <w:r>
        <w:rPr>
          <w:rFonts w:hint="eastAsia" w:ascii="宋体" w:hAnsi="宋体" w:cs="SymbolMT"/>
          <w:vertAlign w:val="subscript"/>
        </w:rPr>
        <w:t>3</w:t>
      </w:r>
      <w:r>
        <w:rPr>
          <w:rFonts w:hint="eastAsia" w:ascii="宋体" w:hAnsi="宋体" w:cs="SymbolMT"/>
        </w:rPr>
        <w:t>×H</w:t>
      </w:r>
      <w:r>
        <w:rPr>
          <w:rFonts w:hint="eastAsia" w:ascii="宋体" w:hAnsi="宋体" w:cs="SymbolMT"/>
          <w:vertAlign w:val="subscript"/>
        </w:rPr>
        <w:t>t3</w:t>
      </w:r>
      <w:r>
        <w:rPr>
          <w:rFonts w:hint="eastAsia" w:ascii="宋体" w:hAnsi="宋体" w:cs="SymbolMT"/>
        </w:rPr>
        <w:t>/H</w:t>
      </w:r>
      <w:r>
        <w:rPr>
          <w:rFonts w:hint="eastAsia" w:ascii="宋体" w:hAnsi="宋体" w:cs="SymbolMT"/>
          <w:vertAlign w:val="subscript"/>
        </w:rPr>
        <w:t>03</w:t>
      </w:r>
      <w:r>
        <w:rPr>
          <w:rFonts w:hint="eastAsia" w:ascii="宋体" w:hAnsi="宋体" w:cs="SymbolMT"/>
        </w:rPr>
        <w:t>+…+H</w:t>
      </w:r>
      <w:r>
        <w:rPr>
          <w:rFonts w:hint="eastAsia" w:ascii="宋体" w:hAnsi="宋体" w:cs="SymbolMT"/>
          <w:vertAlign w:val="subscript"/>
        </w:rPr>
        <w:t>n</w:t>
      </w:r>
      <w:r>
        <w:rPr>
          <w:rFonts w:hint="eastAsia" w:ascii="宋体" w:hAnsi="宋体" w:cs="SymbolMT"/>
        </w:rPr>
        <w:t>×H</w:t>
      </w:r>
      <w:r>
        <w:rPr>
          <w:rFonts w:hint="eastAsia" w:ascii="宋体" w:hAnsi="宋体" w:cs="SymbolMT"/>
          <w:vertAlign w:val="subscript"/>
        </w:rPr>
        <w:t>tn</w:t>
      </w:r>
      <w:r>
        <w:rPr>
          <w:rFonts w:hint="eastAsia" w:ascii="宋体" w:hAnsi="宋体" w:cs="SymbolMT"/>
        </w:rPr>
        <w:t>/H</w:t>
      </w:r>
      <w:r>
        <w:rPr>
          <w:rFonts w:hint="eastAsia" w:ascii="宋体" w:hAnsi="宋体" w:cs="SymbolMT"/>
          <w:vertAlign w:val="subscript"/>
        </w:rPr>
        <w:t>0n</w:t>
      </w:r>
      <w:r>
        <w:rPr>
          <w:rFonts w:hint="eastAsia" w:ascii="宋体" w:hAnsi="宋体" w:cs="SymbolMT"/>
        </w:rPr>
        <w:t>)-1］</w:t>
      </w:r>
    </w:p>
    <w:p>
      <w:pPr>
        <w:autoSpaceDE w:val="0"/>
        <w:autoSpaceDN w:val="0"/>
        <w:adjustRightInd w:val="0"/>
        <w:rPr>
          <w:rFonts w:ascii="宋体" w:hAnsi="宋体" w:cs="宋体"/>
        </w:rPr>
      </w:pPr>
      <w:r>
        <w:rPr>
          <w:rFonts w:hint="eastAsia" w:ascii="宋体" w:hAnsi="宋体" w:cs="宋体"/>
        </w:rPr>
        <w:t>式中：</w:t>
      </w:r>
      <w:r>
        <w:rPr>
          <w:rFonts w:ascii="宋体" w:hAnsi="宋体" w:cs="宋体"/>
        </w:rPr>
        <w:t xml:space="preserve"> </w:t>
      </w:r>
      <w:r>
        <w:rPr>
          <w:rFonts w:hint="eastAsia" w:ascii="宋体" w:hAnsi="宋体" w:cs="宋体"/>
        </w:rPr>
        <w:t>△</w:t>
      </w:r>
      <w:r>
        <w:rPr>
          <w:rFonts w:ascii="宋体" w:hAnsi="宋体" w:cs="TimesNewRomanPSMT"/>
        </w:rPr>
        <w:t>P</w:t>
      </w:r>
      <w:r>
        <w:rPr>
          <w:rFonts w:hint="eastAsia" w:ascii="宋体" w:hAnsi="宋体" w:cs="TimesNewRomanPSMT"/>
        </w:rPr>
        <w:t>－</w:t>
      </w:r>
      <w:r>
        <w:rPr>
          <w:rFonts w:hint="eastAsia" w:ascii="宋体" w:hAnsi="宋体" w:cs="宋体"/>
        </w:rPr>
        <w:t>需调整的价格差额；</w:t>
      </w:r>
    </w:p>
    <w:p>
      <w:pPr>
        <w:autoSpaceDE w:val="0"/>
        <w:autoSpaceDN w:val="0"/>
        <w:adjustRightInd w:val="0"/>
        <w:rPr>
          <w:rFonts w:ascii="宋体" w:hAnsi="宋体" w:cs="宋体"/>
        </w:rPr>
      </w:pPr>
      <w:r>
        <w:rPr>
          <w:rFonts w:ascii="宋体" w:hAnsi="宋体" w:cs="TimesNewRomanPSMT"/>
        </w:rPr>
        <w:t>P</w:t>
      </w:r>
      <w:r>
        <w:rPr>
          <w:rFonts w:ascii="宋体" w:hAnsi="宋体" w:cs="TimesNewRomanPSMT"/>
          <w:vertAlign w:val="subscript"/>
        </w:rPr>
        <w:t>0</w:t>
      </w:r>
      <w:r>
        <w:rPr>
          <w:rFonts w:hint="eastAsia" w:ascii="宋体" w:hAnsi="宋体" w:cs="TimesNewRomanPSMT"/>
        </w:rPr>
        <w:t>－</w:t>
      </w:r>
      <w:r>
        <w:rPr>
          <w:rFonts w:hint="eastAsia" w:ascii="宋体" w:hAnsi="宋体" w:cs="宋体"/>
        </w:rPr>
        <w:t>第</w:t>
      </w:r>
      <w:r>
        <w:rPr>
          <w:rFonts w:ascii="宋体" w:hAnsi="宋体" w:cs="TimesNewRomanPSMT"/>
        </w:rPr>
        <w:t xml:space="preserve">17.3.3 </w:t>
      </w:r>
      <w:r>
        <w:rPr>
          <w:rFonts w:hint="eastAsia" w:ascii="宋体" w:hAnsi="宋体" w:cs="宋体"/>
        </w:rPr>
        <w:t>项、第</w:t>
      </w:r>
      <w:r>
        <w:rPr>
          <w:rFonts w:ascii="宋体" w:hAnsi="宋体" w:cs="TimesNewRomanPSMT"/>
        </w:rPr>
        <w:t xml:space="preserve">17.5.2 </w:t>
      </w:r>
      <w:r>
        <w:rPr>
          <w:rFonts w:hint="eastAsia" w:ascii="宋体" w:hAnsi="宋体" w:cs="宋体"/>
        </w:rPr>
        <w:t>项和第</w:t>
      </w:r>
      <w:r>
        <w:rPr>
          <w:rFonts w:ascii="宋体" w:hAnsi="宋体" w:cs="TimesNewRomanPSMT"/>
        </w:rPr>
        <w:t xml:space="preserve">17.6.2 </w:t>
      </w:r>
      <w:r>
        <w:rPr>
          <w:rFonts w:hint="eastAsia" w:ascii="宋体" w:hAnsi="宋体" w:cs="宋体"/>
        </w:rPr>
        <w:t>项约定的付款证书中承包人应得到的已完成工程量的金额。此项金额应不包括价格调整、不计质量保证金的扣留和支付、预付款的支付和扣回。第</w:t>
      </w:r>
      <w:r>
        <w:rPr>
          <w:rFonts w:ascii="宋体" w:hAnsi="宋体" w:cs="TimesNewRomanPSMT"/>
        </w:rPr>
        <w:t xml:space="preserve">15 </w:t>
      </w:r>
      <w:r>
        <w:rPr>
          <w:rFonts w:hint="eastAsia" w:ascii="宋体" w:hAnsi="宋体" w:cs="宋体"/>
        </w:rPr>
        <w:t>条约定的变更及其他金额已按现行价格计价的，也不计在内；</w:t>
      </w:r>
    </w:p>
    <w:p>
      <w:pPr>
        <w:autoSpaceDE w:val="0"/>
        <w:autoSpaceDN w:val="0"/>
        <w:adjustRightInd w:val="0"/>
        <w:rPr>
          <w:rFonts w:ascii="宋体" w:hAnsi="宋体" w:cs="宋体"/>
        </w:rPr>
      </w:pPr>
      <w:r>
        <w:rPr>
          <w:rFonts w:ascii="宋体" w:hAnsi="宋体" w:cs="TimesNewRomanPSMT"/>
        </w:rPr>
        <w:t>H</w:t>
      </w:r>
      <w:r>
        <w:rPr>
          <w:rFonts w:hint="eastAsia" w:ascii="宋体" w:hAnsi="宋体" w:cs="TimesNewRomanPSMT"/>
        </w:rPr>
        <w:t>－</w:t>
      </w:r>
      <w:r>
        <w:rPr>
          <w:rFonts w:hint="eastAsia" w:ascii="宋体" w:hAnsi="宋体" w:cs="宋体"/>
        </w:rPr>
        <w:t>定值权重</w:t>
      </w:r>
      <w:r>
        <w:rPr>
          <w:rFonts w:ascii="宋体" w:hAnsi="宋体" w:cs="TimesNewRomanPSMT"/>
        </w:rPr>
        <w:t>(</w:t>
      </w:r>
      <w:r>
        <w:rPr>
          <w:rFonts w:hint="eastAsia" w:ascii="宋体" w:hAnsi="宋体" w:cs="宋体"/>
        </w:rPr>
        <w:t>即不调部分的权重</w:t>
      </w:r>
      <w:r>
        <w:rPr>
          <w:rFonts w:ascii="宋体" w:hAnsi="宋体" w:cs="TimesNewRomanPSMT"/>
        </w:rPr>
        <w:t>)</w:t>
      </w:r>
      <w:r>
        <w:rPr>
          <w:rFonts w:hint="eastAsia" w:ascii="宋体" w:hAnsi="宋体" w:cs="宋体"/>
        </w:rPr>
        <w:t>；</w:t>
      </w:r>
    </w:p>
    <w:p>
      <w:pPr>
        <w:autoSpaceDE w:val="0"/>
        <w:autoSpaceDN w:val="0"/>
        <w:adjustRightInd w:val="0"/>
        <w:rPr>
          <w:rFonts w:ascii="宋体" w:hAnsi="宋体" w:cs="宋体"/>
        </w:rPr>
      </w:pPr>
      <w:r>
        <w:rPr>
          <w:rFonts w:ascii="宋体" w:hAnsi="宋体" w:cs="TimesNewRomanPSMT"/>
        </w:rPr>
        <w:t>H</w:t>
      </w:r>
      <w:r>
        <w:rPr>
          <w:rFonts w:ascii="宋体" w:hAnsi="宋体" w:cs="TimesNewRomanPSMT"/>
          <w:vertAlign w:val="subscript"/>
        </w:rPr>
        <w:t>1</w:t>
      </w:r>
      <w:r>
        <w:rPr>
          <w:rFonts w:hint="eastAsia" w:ascii="宋体" w:hAnsi="宋体" w:cs="TimesNewRomanPSMT"/>
        </w:rPr>
        <w:t>；</w:t>
      </w:r>
      <w:r>
        <w:rPr>
          <w:rFonts w:ascii="宋体" w:hAnsi="宋体" w:cs="TimesNewRomanPSMT"/>
        </w:rPr>
        <w:t>H</w:t>
      </w:r>
      <w:r>
        <w:rPr>
          <w:rFonts w:ascii="宋体" w:hAnsi="宋体" w:cs="TimesNewRomanPSMT"/>
          <w:vertAlign w:val="subscript"/>
        </w:rPr>
        <w:t>2</w:t>
      </w:r>
      <w:r>
        <w:rPr>
          <w:rFonts w:hint="eastAsia" w:ascii="宋体" w:hAnsi="宋体" w:cs="TimesNewRomanPSMT"/>
        </w:rPr>
        <w:t>；</w:t>
      </w:r>
      <w:r>
        <w:rPr>
          <w:rFonts w:ascii="宋体" w:hAnsi="宋体" w:cs="TimesNewRomanPSMT"/>
        </w:rPr>
        <w:t>H</w:t>
      </w:r>
      <w:r>
        <w:rPr>
          <w:rFonts w:ascii="宋体" w:hAnsi="宋体" w:cs="TimesNewRomanPSMT"/>
          <w:vertAlign w:val="subscript"/>
        </w:rPr>
        <w:t>3</w:t>
      </w:r>
      <w:r>
        <w:rPr>
          <w:rFonts w:hint="eastAsia" w:ascii="宋体" w:hAnsi="宋体" w:cs="TimesNewRomanPSMT"/>
        </w:rPr>
        <w:t>…</w:t>
      </w:r>
      <w:r>
        <w:rPr>
          <w:rFonts w:ascii="宋体" w:hAnsi="宋体" w:cs="TimesNewRomanPSMT"/>
        </w:rPr>
        <w:t>H</w:t>
      </w:r>
      <w:r>
        <w:rPr>
          <w:rFonts w:ascii="宋体" w:hAnsi="宋体" w:cs="TimesNewRomanPSMT"/>
          <w:vertAlign w:val="subscript"/>
        </w:rPr>
        <w:t>n</w:t>
      </w:r>
      <w:r>
        <w:rPr>
          <w:rFonts w:hint="eastAsia" w:ascii="宋体" w:hAnsi="宋体" w:cs="TimesNewRomanPSMT"/>
        </w:rPr>
        <w:t>－</w:t>
      </w:r>
      <w:r>
        <w:rPr>
          <w:rFonts w:hint="eastAsia" w:ascii="宋体" w:hAnsi="宋体" w:cs="宋体"/>
        </w:rPr>
        <w:t>各可调因子的变值权重</w:t>
      </w:r>
      <w:r>
        <w:rPr>
          <w:rFonts w:ascii="宋体" w:hAnsi="宋体" w:cs="TimesNewRomanPSMT"/>
        </w:rPr>
        <w:t>(</w:t>
      </w:r>
      <w:r>
        <w:rPr>
          <w:rFonts w:hint="eastAsia" w:ascii="宋体" w:hAnsi="宋体" w:cs="宋体"/>
        </w:rPr>
        <w:t>即可调部分的权重</w:t>
      </w:r>
      <w:r>
        <w:rPr>
          <w:rFonts w:ascii="宋体" w:hAnsi="宋体" w:cs="TimesNewRomanPSMT"/>
        </w:rPr>
        <w:t>)</w:t>
      </w:r>
      <w:r>
        <w:rPr>
          <w:rFonts w:hint="eastAsia" w:ascii="宋体" w:hAnsi="宋体" w:cs="宋体"/>
        </w:rPr>
        <w:t>为各可调因子</w:t>
      </w:r>
    </w:p>
    <w:p>
      <w:pPr>
        <w:autoSpaceDE w:val="0"/>
        <w:autoSpaceDN w:val="0"/>
        <w:adjustRightInd w:val="0"/>
        <w:rPr>
          <w:rFonts w:ascii="宋体" w:hAnsi="宋体" w:cs="宋体"/>
        </w:rPr>
      </w:pPr>
      <w:r>
        <w:rPr>
          <w:rFonts w:hint="eastAsia" w:ascii="宋体" w:hAnsi="宋体" w:cs="宋体"/>
        </w:rPr>
        <w:t>在投标函投标总报价中所占的比例；</w:t>
      </w:r>
    </w:p>
    <w:p>
      <w:pPr>
        <w:autoSpaceDE w:val="0"/>
        <w:autoSpaceDN w:val="0"/>
        <w:adjustRightInd w:val="0"/>
        <w:rPr>
          <w:rFonts w:ascii="宋体" w:hAnsi="宋体" w:cs="宋体"/>
        </w:rPr>
      </w:pPr>
      <w:r>
        <w:rPr>
          <w:rFonts w:ascii="宋体" w:hAnsi="宋体" w:cs="TimesNewRomanPSMT"/>
        </w:rPr>
        <w:t>H</w:t>
      </w:r>
      <w:r>
        <w:rPr>
          <w:rFonts w:ascii="宋体" w:hAnsi="宋体" w:cs="TimesNewRomanPSMT"/>
          <w:vertAlign w:val="subscript"/>
        </w:rPr>
        <w:t>t1</w:t>
      </w:r>
      <w:r>
        <w:rPr>
          <w:rFonts w:hint="eastAsia" w:ascii="宋体" w:hAnsi="宋体" w:cs="TimesNewRomanPSMT"/>
        </w:rPr>
        <w:t>；</w:t>
      </w:r>
      <w:r>
        <w:rPr>
          <w:rFonts w:ascii="宋体" w:hAnsi="宋体" w:cs="TimesNewRomanPSMT"/>
        </w:rPr>
        <w:t>H</w:t>
      </w:r>
      <w:r>
        <w:rPr>
          <w:rFonts w:ascii="宋体" w:hAnsi="宋体" w:cs="TimesNewRomanPSMT"/>
          <w:vertAlign w:val="subscript"/>
        </w:rPr>
        <w:t>t2</w:t>
      </w:r>
      <w:r>
        <w:rPr>
          <w:rFonts w:hint="eastAsia" w:ascii="宋体" w:hAnsi="宋体" w:cs="TimesNewRomanPSMT"/>
        </w:rPr>
        <w:t>；</w:t>
      </w:r>
      <w:r>
        <w:rPr>
          <w:rFonts w:ascii="宋体" w:hAnsi="宋体" w:cs="TimesNewRomanPSMT"/>
        </w:rPr>
        <w:t>H</w:t>
      </w:r>
      <w:r>
        <w:rPr>
          <w:rFonts w:ascii="宋体" w:hAnsi="宋体" w:cs="TimesNewRomanPSMT"/>
          <w:vertAlign w:val="subscript"/>
        </w:rPr>
        <w:t>t3</w:t>
      </w:r>
      <w:r>
        <w:rPr>
          <w:rFonts w:hint="eastAsia" w:ascii="宋体" w:hAnsi="宋体" w:cs="TimesNewRomanPSMT"/>
        </w:rPr>
        <w:t>…</w:t>
      </w:r>
      <w:r>
        <w:rPr>
          <w:rFonts w:ascii="宋体" w:hAnsi="宋体" w:cs="TimesNewRomanPSMT"/>
        </w:rPr>
        <w:t>H</w:t>
      </w:r>
      <w:r>
        <w:rPr>
          <w:rFonts w:ascii="宋体" w:hAnsi="宋体" w:cs="TimesNewRomanPSMT"/>
          <w:vertAlign w:val="subscript"/>
        </w:rPr>
        <w:t>tn</w:t>
      </w:r>
      <w:r>
        <w:rPr>
          <w:rFonts w:hint="eastAsia" w:ascii="宋体" w:hAnsi="宋体" w:cs="TimesNewRomanPSMT"/>
        </w:rPr>
        <w:t>－</w:t>
      </w:r>
      <w:r>
        <w:rPr>
          <w:rFonts w:hint="eastAsia" w:ascii="宋体" w:hAnsi="宋体" w:cs="宋体"/>
        </w:rPr>
        <w:t>各可调因子的现行价格指数，指第</w:t>
      </w:r>
      <w:r>
        <w:rPr>
          <w:rFonts w:ascii="宋体" w:hAnsi="宋体" w:cs="TimesNewRomanPSMT"/>
        </w:rPr>
        <w:t xml:space="preserve">17.3.3 </w:t>
      </w:r>
      <w:r>
        <w:rPr>
          <w:rFonts w:hint="eastAsia" w:ascii="宋体" w:hAnsi="宋体" w:cs="宋体"/>
        </w:rPr>
        <w:t>项、第</w:t>
      </w:r>
      <w:r>
        <w:rPr>
          <w:rFonts w:ascii="宋体" w:hAnsi="宋体" w:cs="TimesNewRomanPSMT"/>
        </w:rPr>
        <w:t xml:space="preserve">17.5.2 </w:t>
      </w:r>
      <w:r>
        <w:rPr>
          <w:rFonts w:hint="eastAsia" w:ascii="宋体" w:hAnsi="宋体" w:cs="宋体"/>
        </w:rPr>
        <w:t>项和第</w:t>
      </w:r>
      <w:r>
        <w:rPr>
          <w:rFonts w:ascii="宋体" w:hAnsi="宋体" w:cs="TimesNewRomanPSMT"/>
        </w:rPr>
        <w:t xml:space="preserve">17.6.2 </w:t>
      </w:r>
      <w:r>
        <w:rPr>
          <w:rFonts w:hint="eastAsia" w:ascii="宋体" w:hAnsi="宋体" w:cs="宋体"/>
        </w:rPr>
        <w:t>项约定的付款证书相关周期最后一天的前</w:t>
      </w:r>
      <w:r>
        <w:rPr>
          <w:rFonts w:ascii="宋体" w:hAnsi="宋体" w:cs="TimesNewRomanPSMT"/>
        </w:rPr>
        <w:t xml:space="preserve">42 </w:t>
      </w:r>
      <w:r>
        <w:rPr>
          <w:rFonts w:hint="eastAsia" w:ascii="宋体" w:hAnsi="宋体" w:cs="宋体"/>
        </w:rPr>
        <w:t>天的各可调因子的价格指数；</w:t>
      </w:r>
    </w:p>
    <w:p>
      <w:pPr>
        <w:autoSpaceDE w:val="0"/>
        <w:autoSpaceDN w:val="0"/>
        <w:adjustRightInd w:val="0"/>
        <w:rPr>
          <w:rFonts w:ascii="宋体" w:hAnsi="宋体" w:cs="宋体"/>
        </w:rPr>
      </w:pPr>
      <w:r>
        <w:rPr>
          <w:rFonts w:ascii="宋体" w:hAnsi="宋体" w:cs="TimesNewRomanPSMT"/>
        </w:rPr>
        <w:t>H</w:t>
      </w:r>
      <w:r>
        <w:rPr>
          <w:rFonts w:hint="eastAsia" w:ascii="宋体" w:hAnsi="宋体" w:cs="TimesNewRomanPSMT"/>
          <w:vertAlign w:val="subscript"/>
        </w:rPr>
        <w:t>0</w:t>
      </w:r>
      <w:r>
        <w:rPr>
          <w:rFonts w:ascii="宋体" w:hAnsi="宋体" w:cs="TimesNewRomanPSMT"/>
          <w:vertAlign w:val="subscript"/>
        </w:rPr>
        <w:t>1</w:t>
      </w:r>
      <w:r>
        <w:rPr>
          <w:rFonts w:hint="eastAsia" w:ascii="宋体" w:hAnsi="宋体" w:cs="TimesNewRomanPSMT"/>
        </w:rPr>
        <w:t>；</w:t>
      </w:r>
      <w:r>
        <w:rPr>
          <w:rFonts w:ascii="宋体" w:hAnsi="宋体" w:cs="TimesNewRomanPSMT"/>
        </w:rPr>
        <w:t>H</w:t>
      </w:r>
      <w:r>
        <w:rPr>
          <w:rFonts w:hint="eastAsia" w:ascii="宋体" w:hAnsi="宋体" w:cs="TimesNewRomanPSMT"/>
          <w:vertAlign w:val="subscript"/>
        </w:rPr>
        <w:t>0</w:t>
      </w:r>
      <w:r>
        <w:rPr>
          <w:rFonts w:ascii="宋体" w:hAnsi="宋体" w:cs="TimesNewRomanPSMT"/>
          <w:vertAlign w:val="subscript"/>
        </w:rPr>
        <w:t>2</w:t>
      </w:r>
      <w:r>
        <w:rPr>
          <w:rFonts w:hint="eastAsia" w:ascii="宋体" w:hAnsi="宋体" w:cs="TimesNewRomanPSMT"/>
        </w:rPr>
        <w:t>；</w:t>
      </w:r>
      <w:r>
        <w:rPr>
          <w:rFonts w:ascii="宋体" w:hAnsi="宋体" w:cs="TimesNewRomanPSMT"/>
        </w:rPr>
        <w:t>H</w:t>
      </w:r>
      <w:r>
        <w:rPr>
          <w:rFonts w:hint="eastAsia" w:ascii="宋体" w:hAnsi="宋体" w:cs="TimesNewRomanPSMT"/>
          <w:vertAlign w:val="subscript"/>
        </w:rPr>
        <w:t>0</w:t>
      </w:r>
      <w:r>
        <w:rPr>
          <w:rFonts w:ascii="宋体" w:hAnsi="宋体" w:cs="TimesNewRomanPSMT"/>
          <w:vertAlign w:val="subscript"/>
        </w:rPr>
        <w:t>3</w:t>
      </w:r>
      <w:r>
        <w:rPr>
          <w:rFonts w:hint="eastAsia" w:ascii="宋体" w:hAnsi="宋体" w:cs="TimesNewRomanPSMT"/>
        </w:rPr>
        <w:t>…</w:t>
      </w:r>
      <w:r>
        <w:rPr>
          <w:rFonts w:ascii="宋体" w:hAnsi="宋体" w:cs="TimesNewRomanPSMT"/>
        </w:rPr>
        <w:t>H</w:t>
      </w:r>
      <w:r>
        <w:rPr>
          <w:rFonts w:hint="eastAsia" w:ascii="宋体" w:hAnsi="宋体" w:cs="TimesNewRomanPSMT"/>
          <w:vertAlign w:val="subscript"/>
        </w:rPr>
        <w:t>0</w:t>
      </w:r>
      <w:r>
        <w:rPr>
          <w:rFonts w:ascii="宋体" w:hAnsi="宋体" w:cs="TimesNewRomanPSMT"/>
          <w:vertAlign w:val="subscript"/>
        </w:rPr>
        <w:t>n</w:t>
      </w:r>
      <w:r>
        <w:rPr>
          <w:rFonts w:hint="eastAsia" w:ascii="宋体" w:hAnsi="宋体" w:cs="TimesNewRomanPSMT"/>
        </w:rPr>
        <w:t>－</w:t>
      </w:r>
      <w:r>
        <w:rPr>
          <w:rFonts w:hint="eastAsia" w:ascii="宋体" w:hAnsi="宋体" w:cs="宋体"/>
        </w:rPr>
        <w:t>各可调因子的基本价格指数，指基准日期的各可调因子</w:t>
      </w:r>
    </w:p>
    <w:p>
      <w:pPr>
        <w:autoSpaceDE w:val="0"/>
        <w:autoSpaceDN w:val="0"/>
        <w:adjustRightInd w:val="0"/>
        <w:rPr>
          <w:rFonts w:ascii="宋体" w:hAnsi="宋体" w:cs="宋体"/>
        </w:rPr>
      </w:pPr>
      <w:r>
        <w:rPr>
          <w:rFonts w:hint="eastAsia" w:ascii="宋体" w:hAnsi="宋体" w:cs="宋体"/>
        </w:rPr>
        <w:t>的价格指数。</w:t>
      </w:r>
    </w:p>
    <w:p>
      <w:pPr>
        <w:autoSpaceDE w:val="0"/>
        <w:autoSpaceDN w:val="0"/>
        <w:adjustRightInd w:val="0"/>
        <w:rPr>
          <w:rFonts w:ascii="宋体" w:hAnsi="宋体" w:cs="宋体"/>
        </w:rPr>
      </w:pPr>
      <w:r>
        <w:rPr>
          <w:rFonts w:hint="eastAsia" w:ascii="宋体" w:hAnsi="宋体" w:cs="宋体"/>
        </w:rPr>
        <w:t>以上价格调整公式中的各可调因子、定值和变值权重，以及基本价格指数及其来源在投标函附录价格指数和权重表中约定。价格指数应首先采用有关部门提供的价格指数，缺乏上述价格指数时，可采用有关部门提供的价格代替。</w:t>
      </w:r>
    </w:p>
    <w:p>
      <w:pPr>
        <w:autoSpaceDE w:val="0"/>
        <w:autoSpaceDN w:val="0"/>
        <w:adjustRightInd w:val="0"/>
        <w:rPr>
          <w:rFonts w:ascii="宋体" w:hAnsi="宋体" w:cs="宋体"/>
        </w:rPr>
      </w:pPr>
      <w:r>
        <w:rPr>
          <w:rFonts w:ascii="宋体" w:hAnsi="宋体" w:cs="TimesNewRomanPSMT"/>
        </w:rPr>
        <w:t xml:space="preserve">16.1.1.2 </w:t>
      </w:r>
      <w:r>
        <w:rPr>
          <w:rFonts w:hint="eastAsia" w:ascii="宋体" w:hAnsi="宋体" w:cs="宋体"/>
        </w:rPr>
        <w:t>暂时确定调整差额</w:t>
      </w:r>
    </w:p>
    <w:p>
      <w:pPr>
        <w:autoSpaceDE w:val="0"/>
        <w:autoSpaceDN w:val="0"/>
        <w:adjustRightInd w:val="0"/>
        <w:rPr>
          <w:rFonts w:ascii="宋体" w:hAnsi="宋体" w:cs="宋体"/>
        </w:rPr>
      </w:pPr>
      <w:r>
        <w:rPr>
          <w:rFonts w:hint="eastAsia" w:ascii="宋体" w:hAnsi="宋体" w:cs="宋体"/>
        </w:rPr>
        <w:t>在计算调整差额时得不到现行价格指数的，可暂用上一次价格指数计算，并在以后的付款中再按实际价格指数进行调整。</w:t>
      </w:r>
    </w:p>
    <w:p>
      <w:pPr>
        <w:autoSpaceDE w:val="0"/>
        <w:autoSpaceDN w:val="0"/>
        <w:adjustRightInd w:val="0"/>
        <w:rPr>
          <w:rFonts w:ascii="宋体" w:hAnsi="宋体" w:cs="宋体"/>
        </w:rPr>
      </w:pPr>
      <w:r>
        <w:rPr>
          <w:rFonts w:ascii="宋体" w:hAnsi="宋体" w:cs="TimesNewRomanPSMT"/>
        </w:rPr>
        <w:t xml:space="preserve">16.1.1.3 </w:t>
      </w:r>
      <w:r>
        <w:rPr>
          <w:rFonts w:hint="eastAsia" w:ascii="宋体" w:hAnsi="宋体" w:cs="宋体"/>
        </w:rPr>
        <w:t>权重的调整</w:t>
      </w:r>
    </w:p>
    <w:p>
      <w:pPr>
        <w:autoSpaceDE w:val="0"/>
        <w:autoSpaceDN w:val="0"/>
        <w:adjustRightInd w:val="0"/>
        <w:rPr>
          <w:rFonts w:ascii="宋体" w:hAnsi="宋体" w:cs="宋体"/>
        </w:rPr>
      </w:pPr>
      <w:r>
        <w:rPr>
          <w:rFonts w:hint="eastAsia" w:ascii="宋体" w:hAnsi="宋体" w:cs="宋体"/>
        </w:rPr>
        <w:t>按第</w:t>
      </w:r>
      <w:r>
        <w:rPr>
          <w:rFonts w:ascii="宋体" w:hAnsi="宋体" w:cs="TimesNewRomanPSMT"/>
        </w:rPr>
        <w:t xml:space="preserve">15.1 </w:t>
      </w:r>
      <w:r>
        <w:rPr>
          <w:rFonts w:hint="eastAsia" w:ascii="宋体" w:hAnsi="宋体" w:cs="宋体"/>
        </w:rPr>
        <w:t>款约定的变更导致原定合同中的权重不合理时，由监理人与承包人和发包人协商后进行调整。</w:t>
      </w:r>
    </w:p>
    <w:p>
      <w:pPr>
        <w:autoSpaceDE w:val="0"/>
        <w:autoSpaceDN w:val="0"/>
        <w:adjustRightInd w:val="0"/>
        <w:rPr>
          <w:rFonts w:ascii="宋体" w:hAnsi="宋体" w:cs="宋体"/>
        </w:rPr>
      </w:pPr>
      <w:r>
        <w:rPr>
          <w:rFonts w:ascii="宋体" w:hAnsi="宋体" w:cs="TimesNewRomanPSMT"/>
        </w:rPr>
        <w:t xml:space="preserve">16.1.1.4 </w:t>
      </w:r>
      <w:r>
        <w:rPr>
          <w:rFonts w:hint="eastAsia" w:ascii="宋体" w:hAnsi="宋体" w:cs="宋体"/>
        </w:rPr>
        <w:t>承包人工期延误后的价格调整</w:t>
      </w:r>
    </w:p>
    <w:p>
      <w:pPr>
        <w:autoSpaceDE w:val="0"/>
        <w:autoSpaceDN w:val="0"/>
        <w:adjustRightInd w:val="0"/>
        <w:rPr>
          <w:rFonts w:ascii="宋体" w:hAnsi="宋体" w:cs="宋体"/>
        </w:rPr>
      </w:pPr>
      <w:r>
        <w:rPr>
          <w:rFonts w:hint="eastAsia" w:ascii="宋体" w:hAnsi="宋体" w:cs="宋体"/>
        </w:rPr>
        <w:t>由于承包人原因未在约定的工期内竣工的，则对原约定竣工日期后继续施工的工程，在使用第</w:t>
      </w:r>
      <w:r>
        <w:rPr>
          <w:rFonts w:ascii="宋体" w:hAnsi="宋体" w:cs="TimesNewRomanPSMT"/>
        </w:rPr>
        <w:t xml:space="preserve">16.1.1.1 </w:t>
      </w:r>
      <w:r>
        <w:rPr>
          <w:rFonts w:hint="eastAsia" w:ascii="宋体" w:hAnsi="宋体" w:cs="宋体"/>
        </w:rPr>
        <w:t>目价格调整公式时，应采用原约定竣工日期与实际竣工日期的两个价格指数中较低的一个作为现行价格指数。</w:t>
      </w:r>
    </w:p>
    <w:p>
      <w:pPr>
        <w:autoSpaceDE w:val="0"/>
        <w:autoSpaceDN w:val="0"/>
        <w:adjustRightInd w:val="0"/>
        <w:rPr>
          <w:rFonts w:ascii="宋体" w:hAnsi="宋体" w:cs="宋体"/>
        </w:rPr>
      </w:pPr>
      <w:r>
        <w:rPr>
          <w:rFonts w:ascii="宋体" w:hAnsi="宋体" w:cs="宋体"/>
        </w:rPr>
        <w:t xml:space="preserve">16.1.2 </w:t>
      </w:r>
      <w:r>
        <w:rPr>
          <w:rFonts w:hint="eastAsia" w:ascii="宋体" w:hAnsi="宋体" w:cs="宋体"/>
        </w:rPr>
        <w:t>采用造价信息调整价格差额</w:t>
      </w:r>
    </w:p>
    <w:p>
      <w:pPr>
        <w:autoSpaceDE w:val="0"/>
        <w:autoSpaceDN w:val="0"/>
        <w:adjustRightInd w:val="0"/>
        <w:rPr>
          <w:rFonts w:ascii="宋体" w:hAnsi="宋体" w:cs="宋体"/>
        </w:rPr>
      </w:pPr>
      <w:r>
        <w:rPr>
          <w:rFonts w:hint="eastAsia" w:ascii="宋体" w:hAnsi="宋体" w:cs="宋体"/>
        </w:rPr>
        <w:t>施工期内，因人工、材料、设备和机械台班价格波动影响合同价格时，人工、机械使用费按照国家或省、自治区、直辖市建设行政管理部门、行业建设管理部门或其授权的工程造价管理机构发布的人工成本信息、机械台班单价或机械使用费系数进行调整；需要进行价格调整的材料，其单价和采购数应由监理人复核，监理人确认需调整的材料单价及数量，作为调整工程合同价格差额的依据。</w:t>
      </w:r>
    </w:p>
    <w:p>
      <w:pPr>
        <w:keepNext/>
        <w:keepLines/>
        <w:spacing w:before="120" w:after="120"/>
        <w:jc w:val="both"/>
        <w:outlineLvl w:val="2"/>
        <w:rPr>
          <w:rFonts w:ascii="宋体" w:hAnsi="宋体" w:cs="TimesNewRomanPSMT"/>
          <w:b/>
        </w:rPr>
      </w:pPr>
      <w:bookmarkStart w:id="154" w:name="_Toc260305503"/>
      <w:r>
        <w:rPr>
          <w:rFonts w:ascii="宋体" w:hAnsi="宋体" w:cs="TimesNewRomanPSMT"/>
          <w:b/>
        </w:rPr>
        <w:t xml:space="preserve">16.2 </w:t>
      </w:r>
      <w:r>
        <w:rPr>
          <w:rFonts w:hint="eastAsia" w:ascii="宋体" w:hAnsi="宋体" w:cs="TimesNewRomanPSMT"/>
          <w:b/>
        </w:rPr>
        <w:t>法律变化引起的价格调整</w:t>
      </w:r>
      <w:bookmarkEnd w:id="154"/>
    </w:p>
    <w:p>
      <w:pPr>
        <w:autoSpaceDE w:val="0"/>
        <w:autoSpaceDN w:val="0"/>
        <w:adjustRightInd w:val="0"/>
        <w:rPr>
          <w:rFonts w:ascii="宋体" w:hAnsi="宋体" w:cs="宋体"/>
        </w:rPr>
      </w:pPr>
      <w:r>
        <w:rPr>
          <w:rFonts w:hint="eastAsia" w:ascii="宋体" w:hAnsi="宋体" w:cs="宋体"/>
        </w:rPr>
        <w:t>在基准日后，因法律变化导致承包人在合同履行中所需要的工程费用发生除第</w:t>
      </w:r>
      <w:r>
        <w:rPr>
          <w:rFonts w:ascii="宋体" w:hAnsi="宋体" w:cs="TimesNewRomanPSMT"/>
        </w:rPr>
        <w:t xml:space="preserve">16.1 </w:t>
      </w:r>
      <w:r>
        <w:rPr>
          <w:rFonts w:hint="eastAsia" w:ascii="宋体" w:hAnsi="宋体" w:cs="宋体"/>
        </w:rPr>
        <w:t>款约定以外的增减时，监理人应根据法律、国家或省、自治区、直辖市有关部门的规定，按第</w:t>
      </w:r>
      <w:r>
        <w:rPr>
          <w:rFonts w:ascii="宋体" w:hAnsi="宋体" w:cs="TimesNewRomanPSMT"/>
        </w:rPr>
        <w:t xml:space="preserve">3.5 </w:t>
      </w:r>
      <w:r>
        <w:rPr>
          <w:rFonts w:hint="eastAsia" w:ascii="宋体" w:hAnsi="宋体" w:cs="宋体"/>
        </w:rPr>
        <w:t>款商定或确定需调整的合同价款。</w:t>
      </w:r>
    </w:p>
    <w:p>
      <w:pPr>
        <w:keepNext/>
        <w:keepLines/>
        <w:spacing w:before="120" w:after="120"/>
        <w:jc w:val="both"/>
        <w:outlineLvl w:val="1"/>
        <w:rPr>
          <w:rFonts w:ascii="宋体" w:hAnsi="宋体" w:cs="TimesNewRomanPSMT"/>
          <w:b/>
          <w:sz w:val="28"/>
          <w:szCs w:val="28"/>
        </w:rPr>
      </w:pPr>
      <w:bookmarkStart w:id="155" w:name="_Toc26715"/>
      <w:bookmarkStart w:id="156" w:name="_Toc260305504"/>
      <w:r>
        <w:rPr>
          <w:rFonts w:ascii="宋体" w:hAnsi="宋体" w:cs="TimesNewRomanPSMT"/>
          <w:b/>
          <w:sz w:val="28"/>
          <w:szCs w:val="28"/>
        </w:rPr>
        <w:t xml:space="preserve">17. </w:t>
      </w:r>
      <w:r>
        <w:rPr>
          <w:rFonts w:hint="eastAsia" w:ascii="宋体" w:hAnsi="宋体" w:cs="TimesNewRomanPSMT"/>
          <w:b/>
          <w:sz w:val="28"/>
          <w:szCs w:val="28"/>
        </w:rPr>
        <w:t>计量与支付</w:t>
      </w:r>
      <w:bookmarkEnd w:id="155"/>
      <w:bookmarkEnd w:id="156"/>
    </w:p>
    <w:p>
      <w:pPr>
        <w:keepNext/>
        <w:keepLines/>
        <w:spacing w:before="120" w:after="120"/>
        <w:jc w:val="both"/>
        <w:outlineLvl w:val="2"/>
        <w:rPr>
          <w:rFonts w:ascii="宋体" w:hAnsi="宋体" w:cs="TimesNewRomanPSMT"/>
          <w:b/>
        </w:rPr>
      </w:pPr>
      <w:bookmarkStart w:id="157" w:name="_Toc260305505"/>
      <w:r>
        <w:rPr>
          <w:rFonts w:ascii="宋体" w:hAnsi="宋体" w:cs="TimesNewRomanPSMT"/>
          <w:b/>
        </w:rPr>
        <w:t xml:space="preserve">17.1 </w:t>
      </w:r>
      <w:r>
        <w:rPr>
          <w:rFonts w:hint="eastAsia" w:ascii="宋体" w:hAnsi="宋体" w:cs="TimesNewRomanPSMT"/>
          <w:b/>
        </w:rPr>
        <w:t>计量</w:t>
      </w:r>
      <w:bookmarkEnd w:id="157"/>
    </w:p>
    <w:p>
      <w:pPr>
        <w:autoSpaceDE w:val="0"/>
        <w:autoSpaceDN w:val="0"/>
        <w:adjustRightInd w:val="0"/>
        <w:rPr>
          <w:rFonts w:ascii="宋体" w:hAnsi="宋体" w:cs="宋体"/>
        </w:rPr>
      </w:pPr>
      <w:r>
        <w:rPr>
          <w:rFonts w:ascii="宋体" w:hAnsi="宋体" w:cs="TimesNewRomanPSMT"/>
        </w:rPr>
        <w:t xml:space="preserve">17.1.1 </w:t>
      </w:r>
      <w:r>
        <w:rPr>
          <w:rFonts w:hint="eastAsia" w:ascii="宋体" w:hAnsi="宋体" w:cs="宋体"/>
        </w:rPr>
        <w:t>计量单位</w:t>
      </w:r>
    </w:p>
    <w:p>
      <w:pPr>
        <w:autoSpaceDE w:val="0"/>
        <w:autoSpaceDN w:val="0"/>
        <w:adjustRightInd w:val="0"/>
        <w:rPr>
          <w:rFonts w:ascii="宋体" w:hAnsi="宋体" w:cs="宋体"/>
        </w:rPr>
      </w:pPr>
      <w:r>
        <w:rPr>
          <w:rFonts w:hint="eastAsia" w:ascii="宋体" w:hAnsi="宋体" w:cs="宋体"/>
        </w:rPr>
        <w:t>计量采用国家法定的计量单位。</w:t>
      </w:r>
    </w:p>
    <w:p>
      <w:pPr>
        <w:autoSpaceDE w:val="0"/>
        <w:autoSpaceDN w:val="0"/>
        <w:adjustRightInd w:val="0"/>
        <w:rPr>
          <w:rFonts w:ascii="宋体" w:hAnsi="宋体" w:cs="宋体"/>
        </w:rPr>
      </w:pPr>
      <w:r>
        <w:rPr>
          <w:rFonts w:ascii="宋体" w:hAnsi="宋体" w:cs="TimesNewRomanPSMT"/>
        </w:rPr>
        <w:t xml:space="preserve">17.1.2 </w:t>
      </w:r>
      <w:r>
        <w:rPr>
          <w:rFonts w:hint="eastAsia" w:ascii="宋体" w:hAnsi="宋体" w:cs="宋体"/>
        </w:rPr>
        <w:t>计量方法</w:t>
      </w:r>
    </w:p>
    <w:p>
      <w:pPr>
        <w:autoSpaceDE w:val="0"/>
        <w:autoSpaceDN w:val="0"/>
        <w:adjustRightInd w:val="0"/>
        <w:rPr>
          <w:rFonts w:ascii="宋体" w:hAnsi="宋体" w:cs="宋体"/>
        </w:rPr>
      </w:pPr>
      <w:r>
        <w:rPr>
          <w:rFonts w:hint="eastAsia" w:ascii="宋体" w:hAnsi="宋体" w:cs="宋体"/>
        </w:rPr>
        <w:t>工程量清单中的工程量计算规则应按有关国家标准、行业标准的规定，并在合同中约定执行。</w:t>
      </w:r>
    </w:p>
    <w:p>
      <w:pPr>
        <w:autoSpaceDE w:val="0"/>
        <w:autoSpaceDN w:val="0"/>
        <w:adjustRightInd w:val="0"/>
        <w:rPr>
          <w:rFonts w:ascii="宋体" w:hAnsi="宋体" w:cs="宋体"/>
        </w:rPr>
      </w:pPr>
      <w:r>
        <w:rPr>
          <w:rFonts w:ascii="宋体" w:hAnsi="宋体" w:cs="TimesNewRomanPSMT"/>
        </w:rPr>
        <w:t xml:space="preserve">17.1.3 </w:t>
      </w:r>
      <w:r>
        <w:rPr>
          <w:rFonts w:hint="eastAsia" w:ascii="宋体" w:hAnsi="宋体" w:cs="宋体"/>
        </w:rPr>
        <w:t>计量周期</w:t>
      </w:r>
    </w:p>
    <w:p>
      <w:pPr>
        <w:autoSpaceDE w:val="0"/>
        <w:autoSpaceDN w:val="0"/>
        <w:adjustRightInd w:val="0"/>
        <w:rPr>
          <w:rFonts w:ascii="宋体" w:hAnsi="宋体" w:cs="宋体"/>
        </w:rPr>
      </w:pPr>
      <w:r>
        <w:rPr>
          <w:rFonts w:hint="eastAsia" w:ascii="宋体" w:hAnsi="宋体" w:cs="宋体"/>
        </w:rPr>
        <w:t>除专用合同条款另有约定外，单价子目已完成工程量按月计量，总价子目的计量周期按批准的支付分解报告确定。</w:t>
      </w:r>
    </w:p>
    <w:p>
      <w:pPr>
        <w:autoSpaceDE w:val="0"/>
        <w:autoSpaceDN w:val="0"/>
        <w:adjustRightInd w:val="0"/>
        <w:rPr>
          <w:rFonts w:ascii="宋体" w:hAnsi="宋体" w:cs="宋体"/>
        </w:rPr>
      </w:pPr>
      <w:r>
        <w:rPr>
          <w:rFonts w:ascii="宋体" w:hAnsi="宋体" w:cs="TimesNewRomanPSMT"/>
        </w:rPr>
        <w:t xml:space="preserve">17.1.4 </w:t>
      </w:r>
      <w:r>
        <w:rPr>
          <w:rFonts w:hint="eastAsia" w:ascii="宋体" w:hAnsi="宋体" w:cs="宋体"/>
        </w:rPr>
        <w:t>单价子目的计量</w:t>
      </w:r>
    </w:p>
    <w:p>
      <w:pPr>
        <w:autoSpaceDE w:val="0"/>
        <w:autoSpaceDN w:val="0"/>
        <w:adjustRightInd w:val="0"/>
        <w:rPr>
          <w:rFonts w:ascii="宋体" w:hAnsi="宋体" w:cs="宋体"/>
        </w:rPr>
      </w:pPr>
      <w:r>
        <w:rPr>
          <w:rFonts w:hint="eastAsia" w:ascii="宋体" w:hAnsi="宋体" w:cs="宋体"/>
        </w:rPr>
        <w:t>（</w:t>
      </w:r>
      <w:r>
        <w:rPr>
          <w:rFonts w:ascii="宋体" w:hAnsi="宋体" w:cs="TimesNewRomanPSMT"/>
        </w:rPr>
        <w:t>1</w:t>
      </w:r>
      <w:r>
        <w:rPr>
          <w:rFonts w:hint="eastAsia" w:ascii="宋体" w:hAnsi="宋体" w:cs="宋体"/>
        </w:rPr>
        <w:t>）已标价工程量清单中的单价子目工程量为估算工程量。结算工程量是承包人实际完成的，并按合同约定的计量方法进行计量的工程量。</w:t>
      </w:r>
    </w:p>
    <w:p>
      <w:pPr>
        <w:autoSpaceDE w:val="0"/>
        <w:autoSpaceDN w:val="0"/>
        <w:adjustRightInd w:val="0"/>
        <w:rPr>
          <w:rFonts w:ascii="宋体" w:hAnsi="宋体" w:cs="宋体"/>
        </w:rPr>
      </w:pPr>
      <w:r>
        <w:rPr>
          <w:rFonts w:hint="eastAsia" w:ascii="宋体" w:hAnsi="宋体" w:cs="宋体"/>
        </w:rPr>
        <w:t>（</w:t>
      </w:r>
      <w:r>
        <w:rPr>
          <w:rFonts w:ascii="宋体" w:hAnsi="宋体" w:cs="TimesNewRomanPSMT"/>
        </w:rPr>
        <w:t>2</w:t>
      </w:r>
      <w:r>
        <w:rPr>
          <w:rFonts w:hint="eastAsia" w:ascii="宋体" w:hAnsi="宋体" w:cs="宋体"/>
        </w:rPr>
        <w:t>）承包人对已完成的工程进行计量，向监理人提交进度付款申请单、已完成工程量报表和有关计量资料。</w:t>
      </w:r>
    </w:p>
    <w:p>
      <w:pPr>
        <w:autoSpaceDE w:val="0"/>
        <w:autoSpaceDN w:val="0"/>
        <w:adjustRightInd w:val="0"/>
        <w:rPr>
          <w:rFonts w:ascii="宋体" w:hAnsi="宋体" w:cs="宋体"/>
        </w:rPr>
      </w:pPr>
      <w:r>
        <w:rPr>
          <w:rFonts w:hint="eastAsia" w:ascii="宋体" w:hAnsi="宋体" w:cs="宋体"/>
        </w:rPr>
        <w:t>（</w:t>
      </w:r>
      <w:r>
        <w:rPr>
          <w:rFonts w:ascii="宋体" w:hAnsi="宋体" w:cs="TimesNewRomanPSMT"/>
        </w:rPr>
        <w:t>3</w:t>
      </w:r>
      <w:r>
        <w:rPr>
          <w:rFonts w:hint="eastAsia" w:ascii="宋体" w:hAnsi="宋体" w:cs="宋体"/>
        </w:rPr>
        <w:t>）监理人对承包人提交的工程量报表进行复核，以确定实际完成的工程量。对数量有异议的，可要求承包人按第</w:t>
      </w:r>
      <w:r>
        <w:rPr>
          <w:rFonts w:ascii="宋体" w:hAnsi="宋体" w:cs="TimesNewRomanPSMT"/>
        </w:rPr>
        <w:t xml:space="preserve">8.2 </w:t>
      </w:r>
      <w:r>
        <w:rPr>
          <w:rFonts w:hint="eastAsia" w:ascii="宋体" w:hAnsi="宋体" w:cs="宋体"/>
        </w:rPr>
        <w:t>款约定进行共同复核和抽样复测。承包人应协助监理人进行复核并按监理人要求提供补充计量资料。承包人未按监理人要求参加复核，监理人复核或修正的工程量视为承包人实际完成的工程量。</w:t>
      </w:r>
    </w:p>
    <w:p>
      <w:pPr>
        <w:autoSpaceDE w:val="0"/>
        <w:autoSpaceDN w:val="0"/>
        <w:adjustRightInd w:val="0"/>
        <w:rPr>
          <w:rFonts w:ascii="宋体" w:hAnsi="宋体" w:cs="宋体"/>
        </w:rPr>
      </w:pPr>
      <w:r>
        <w:rPr>
          <w:rFonts w:hint="eastAsia" w:ascii="宋体" w:hAnsi="宋体" w:cs="宋体"/>
        </w:rPr>
        <w:t>（</w:t>
      </w:r>
      <w:r>
        <w:rPr>
          <w:rFonts w:ascii="宋体" w:hAnsi="宋体" w:cs="TimesNewRomanPSMT"/>
        </w:rPr>
        <w:t>4</w:t>
      </w:r>
      <w:r>
        <w:rPr>
          <w:rFonts w:hint="eastAsia" w:ascii="宋体" w:hAnsi="宋体" w:cs="宋体"/>
        </w:rPr>
        <w:t>）监理人认为有必要时，可通知承包人共同进行联合测量、计量，承包人应遵照执行。</w:t>
      </w:r>
    </w:p>
    <w:p>
      <w:pPr>
        <w:autoSpaceDE w:val="0"/>
        <w:autoSpaceDN w:val="0"/>
        <w:adjustRightInd w:val="0"/>
        <w:rPr>
          <w:rFonts w:ascii="宋体" w:hAnsi="宋体" w:cs="宋体"/>
        </w:rPr>
      </w:pPr>
      <w:r>
        <w:rPr>
          <w:rFonts w:hint="eastAsia" w:ascii="宋体" w:hAnsi="宋体" w:cs="宋体"/>
        </w:rPr>
        <w:t>（</w:t>
      </w:r>
      <w:r>
        <w:rPr>
          <w:rFonts w:ascii="宋体" w:hAnsi="宋体" w:cs="TimesNewRomanPSMT"/>
        </w:rPr>
        <w:t>5</w:t>
      </w:r>
      <w:r>
        <w:rPr>
          <w:rFonts w:hint="eastAsia" w:ascii="宋体" w:hAnsi="宋体" w:cs="宋体"/>
        </w:rPr>
        <w:t>）承包人完成工程量清单中每个子目的工程量后，监理人应要求承包人派员共同对每个子目的历次计量报表进行汇总，以核实最终结算工程量。监理人可要求承包人提供补充计量资料，以确定最后一次进度付款的准确工程量。承包人未按监理人要求派员参加的，监理人最终核实的工程量视为承包人完成该子目的准确工程量。</w:t>
      </w:r>
    </w:p>
    <w:p>
      <w:pPr>
        <w:autoSpaceDE w:val="0"/>
        <w:autoSpaceDN w:val="0"/>
        <w:adjustRightInd w:val="0"/>
        <w:rPr>
          <w:rFonts w:ascii="宋体" w:hAnsi="宋体" w:cs="宋体"/>
        </w:rPr>
      </w:pPr>
      <w:r>
        <w:rPr>
          <w:rFonts w:hint="eastAsia" w:ascii="宋体" w:hAnsi="宋体" w:cs="宋体"/>
        </w:rPr>
        <w:t>（</w:t>
      </w:r>
      <w:r>
        <w:rPr>
          <w:rFonts w:ascii="宋体" w:hAnsi="宋体" w:cs="TimesNewRomanPSMT"/>
        </w:rPr>
        <w:t>6</w:t>
      </w:r>
      <w:r>
        <w:rPr>
          <w:rFonts w:hint="eastAsia" w:ascii="宋体" w:hAnsi="宋体" w:cs="宋体"/>
        </w:rPr>
        <w:t>）监理人应在收到承包人提交的工程量报表后的</w:t>
      </w:r>
      <w:r>
        <w:rPr>
          <w:rFonts w:ascii="宋体" w:hAnsi="宋体" w:cs="TimesNewRomanPSMT"/>
        </w:rPr>
        <w:t xml:space="preserve">7 </w:t>
      </w:r>
      <w:r>
        <w:rPr>
          <w:rFonts w:hint="eastAsia" w:ascii="宋体" w:hAnsi="宋体" w:cs="宋体"/>
        </w:rPr>
        <w:t>天内进行复核，监理人未在约定时间内复核的，承包人提交的工程量报表中的工程量视为承包人实际完成的工程量，据此计算工程价款。</w:t>
      </w:r>
    </w:p>
    <w:p>
      <w:pPr>
        <w:autoSpaceDE w:val="0"/>
        <w:autoSpaceDN w:val="0"/>
        <w:adjustRightInd w:val="0"/>
        <w:rPr>
          <w:rFonts w:ascii="宋体" w:hAnsi="宋体" w:cs="宋体"/>
        </w:rPr>
      </w:pPr>
      <w:r>
        <w:rPr>
          <w:rFonts w:ascii="宋体" w:hAnsi="宋体" w:cs="TimesNewRomanPSMT"/>
        </w:rPr>
        <w:t xml:space="preserve">17.1.5 </w:t>
      </w:r>
      <w:r>
        <w:rPr>
          <w:rFonts w:hint="eastAsia" w:ascii="宋体" w:hAnsi="宋体" w:cs="宋体"/>
        </w:rPr>
        <w:t>总价子目的计量</w:t>
      </w:r>
    </w:p>
    <w:p>
      <w:pPr>
        <w:autoSpaceDE w:val="0"/>
        <w:autoSpaceDN w:val="0"/>
        <w:adjustRightInd w:val="0"/>
        <w:rPr>
          <w:rFonts w:ascii="宋体" w:hAnsi="宋体" w:cs="宋体"/>
        </w:rPr>
      </w:pPr>
      <w:r>
        <w:rPr>
          <w:rFonts w:hint="eastAsia" w:ascii="宋体" w:hAnsi="宋体" w:cs="宋体"/>
        </w:rPr>
        <w:t>除专用合同条款另有约定外，总价子目的分解和计量按照下述约定进行。</w:t>
      </w:r>
    </w:p>
    <w:p>
      <w:pPr>
        <w:autoSpaceDE w:val="0"/>
        <w:autoSpaceDN w:val="0"/>
        <w:adjustRightInd w:val="0"/>
        <w:rPr>
          <w:rFonts w:ascii="宋体" w:hAnsi="宋体" w:cs="宋体"/>
        </w:rPr>
      </w:pPr>
      <w:r>
        <w:rPr>
          <w:rFonts w:hint="eastAsia" w:ascii="宋体" w:hAnsi="宋体" w:cs="宋体"/>
        </w:rPr>
        <w:t>（</w:t>
      </w:r>
      <w:r>
        <w:rPr>
          <w:rFonts w:ascii="宋体" w:hAnsi="宋体" w:cs="宋体"/>
        </w:rPr>
        <w:t>1</w:t>
      </w:r>
      <w:r>
        <w:rPr>
          <w:rFonts w:hint="eastAsia" w:ascii="宋体" w:hAnsi="宋体" w:cs="宋体"/>
        </w:rPr>
        <w:t>）总价子目的计量和支付应以总价为基础，不因第</w:t>
      </w:r>
      <w:r>
        <w:rPr>
          <w:rFonts w:ascii="宋体" w:hAnsi="宋体" w:cs="宋体"/>
        </w:rPr>
        <w:t xml:space="preserve">16.1 </w:t>
      </w:r>
      <w:r>
        <w:rPr>
          <w:rFonts w:hint="eastAsia" w:ascii="宋体" w:hAnsi="宋体" w:cs="宋体"/>
        </w:rPr>
        <w:t>款中的因素而进行调整。承包人实际完成的工程量，是进行工程目标管理和控制进度支付的依据。</w:t>
      </w:r>
    </w:p>
    <w:p>
      <w:pPr>
        <w:autoSpaceDE w:val="0"/>
        <w:autoSpaceDN w:val="0"/>
        <w:adjustRightInd w:val="0"/>
        <w:rPr>
          <w:rFonts w:ascii="宋体" w:hAnsi="宋体" w:cs="宋体"/>
        </w:rPr>
      </w:pPr>
      <w:r>
        <w:rPr>
          <w:rFonts w:hint="eastAsia" w:ascii="宋体" w:hAnsi="宋体" w:cs="宋体"/>
        </w:rPr>
        <w:t>（</w:t>
      </w:r>
      <w:r>
        <w:rPr>
          <w:rFonts w:ascii="宋体" w:hAnsi="宋体" w:cs="宋体"/>
        </w:rPr>
        <w:t>2</w:t>
      </w:r>
      <w:r>
        <w:rPr>
          <w:rFonts w:hint="eastAsia" w:ascii="宋体" w:hAnsi="宋体" w:cs="宋体"/>
        </w:rPr>
        <w:t>）承包人在合同约定的每个计量周期内，对已完成的工程进行计量，并向监理人提交进度付款申请单、专用合同条款约定的合同总价支付分解表所表示的阶段性或分项计量的支持性资料，以及所达到工程形象目标或分阶段需完成的工程量和有关计量资料。</w:t>
      </w:r>
    </w:p>
    <w:p>
      <w:pPr>
        <w:autoSpaceDE w:val="0"/>
        <w:autoSpaceDN w:val="0"/>
        <w:adjustRightInd w:val="0"/>
        <w:rPr>
          <w:rFonts w:ascii="宋体" w:hAnsi="宋体" w:cs="宋体"/>
        </w:rPr>
      </w:pPr>
      <w:r>
        <w:rPr>
          <w:rFonts w:hint="eastAsia" w:ascii="宋体" w:hAnsi="宋体" w:cs="宋体"/>
        </w:rPr>
        <w:t>（</w:t>
      </w:r>
      <w:r>
        <w:rPr>
          <w:rFonts w:ascii="宋体" w:hAnsi="宋体" w:cs="宋体"/>
        </w:rPr>
        <w:t>3</w:t>
      </w:r>
      <w:r>
        <w:rPr>
          <w:rFonts w:hint="eastAsia" w:ascii="宋体" w:hAnsi="宋体" w:cs="宋体"/>
        </w:rPr>
        <w:t>）监理人对承包人提交的上述资料进行复核，以确定分阶段实际完成的工程量和工程形象目标。对其有异议的，可要求承包人按第</w:t>
      </w:r>
      <w:r>
        <w:rPr>
          <w:rFonts w:ascii="宋体" w:hAnsi="宋体" w:cs="宋体"/>
        </w:rPr>
        <w:t xml:space="preserve">8.2 </w:t>
      </w:r>
      <w:r>
        <w:rPr>
          <w:rFonts w:hint="eastAsia" w:ascii="宋体" w:hAnsi="宋体" w:cs="宋体"/>
        </w:rPr>
        <w:t>款约定进行共同复核和抽样复测。</w:t>
      </w:r>
    </w:p>
    <w:p>
      <w:pPr>
        <w:autoSpaceDE w:val="0"/>
        <w:autoSpaceDN w:val="0"/>
        <w:adjustRightInd w:val="0"/>
        <w:rPr>
          <w:rFonts w:ascii="宋体" w:hAnsi="宋体" w:cs="宋体"/>
        </w:rPr>
      </w:pPr>
      <w:r>
        <w:rPr>
          <w:rFonts w:hint="eastAsia" w:ascii="宋体" w:hAnsi="宋体" w:cs="宋体"/>
        </w:rPr>
        <w:t>（</w:t>
      </w:r>
      <w:r>
        <w:rPr>
          <w:rFonts w:ascii="宋体" w:hAnsi="宋体" w:cs="宋体"/>
        </w:rPr>
        <w:t>4</w:t>
      </w:r>
      <w:r>
        <w:rPr>
          <w:rFonts w:hint="eastAsia" w:ascii="宋体" w:hAnsi="宋体" w:cs="宋体"/>
        </w:rPr>
        <w:t>）除按照第</w:t>
      </w:r>
      <w:r>
        <w:rPr>
          <w:rFonts w:ascii="宋体" w:hAnsi="宋体" w:cs="宋体"/>
        </w:rPr>
        <w:t xml:space="preserve">15 </w:t>
      </w:r>
      <w:r>
        <w:rPr>
          <w:rFonts w:hint="eastAsia" w:ascii="宋体" w:hAnsi="宋体" w:cs="宋体"/>
        </w:rPr>
        <w:t>条约定的变更外，总价子目的工程量是承包人用于结算的最终工程量。</w:t>
      </w:r>
    </w:p>
    <w:p>
      <w:pPr>
        <w:keepNext/>
        <w:keepLines/>
        <w:spacing w:before="120" w:after="120"/>
        <w:jc w:val="both"/>
        <w:outlineLvl w:val="2"/>
        <w:rPr>
          <w:rFonts w:ascii="宋体" w:hAnsi="宋体" w:cs="TimesNewRomanPSMT"/>
          <w:b/>
        </w:rPr>
      </w:pPr>
      <w:bookmarkStart w:id="158" w:name="_Toc260305506"/>
      <w:r>
        <w:rPr>
          <w:rFonts w:ascii="宋体" w:hAnsi="宋体" w:cs="TimesNewRomanPSMT"/>
          <w:b/>
        </w:rPr>
        <w:t xml:space="preserve">17.2 </w:t>
      </w:r>
      <w:r>
        <w:rPr>
          <w:rFonts w:hint="eastAsia" w:ascii="宋体" w:hAnsi="宋体" w:cs="TimesNewRomanPSMT"/>
          <w:b/>
        </w:rPr>
        <w:t>预付款</w:t>
      </w:r>
      <w:bookmarkEnd w:id="158"/>
    </w:p>
    <w:p>
      <w:pPr>
        <w:autoSpaceDE w:val="0"/>
        <w:autoSpaceDN w:val="0"/>
        <w:adjustRightInd w:val="0"/>
        <w:rPr>
          <w:rFonts w:ascii="宋体" w:hAnsi="宋体" w:cs="宋体"/>
        </w:rPr>
      </w:pPr>
      <w:r>
        <w:rPr>
          <w:rFonts w:ascii="宋体" w:hAnsi="宋体" w:cs="TimesNewRomanPSMT"/>
        </w:rPr>
        <w:t xml:space="preserve">17.2.1 </w:t>
      </w:r>
      <w:r>
        <w:rPr>
          <w:rFonts w:hint="eastAsia" w:ascii="宋体" w:hAnsi="宋体" w:cs="宋体"/>
        </w:rPr>
        <w:t>预付款</w:t>
      </w:r>
    </w:p>
    <w:p>
      <w:pPr>
        <w:autoSpaceDE w:val="0"/>
        <w:autoSpaceDN w:val="0"/>
        <w:adjustRightInd w:val="0"/>
        <w:rPr>
          <w:rFonts w:ascii="宋体" w:hAnsi="宋体" w:cs="宋体"/>
        </w:rPr>
      </w:pPr>
      <w:r>
        <w:rPr>
          <w:rFonts w:hint="eastAsia" w:ascii="宋体" w:hAnsi="宋体" w:cs="宋体"/>
        </w:rPr>
        <w:t>预付款用于承包人为合同工程施工购置材料、工程设备、施工设备、修建临时设施以及组织施工队伍进场等。预付款的额度和预付办法在专用合同条款中约定。预付款必须专用于合同工程。</w:t>
      </w:r>
    </w:p>
    <w:p>
      <w:pPr>
        <w:autoSpaceDE w:val="0"/>
        <w:autoSpaceDN w:val="0"/>
        <w:adjustRightInd w:val="0"/>
        <w:rPr>
          <w:rFonts w:ascii="宋体" w:hAnsi="宋体" w:cs="宋体"/>
        </w:rPr>
      </w:pPr>
      <w:r>
        <w:rPr>
          <w:rFonts w:ascii="宋体" w:hAnsi="宋体" w:cs="TimesNewRomanPSMT"/>
        </w:rPr>
        <w:t xml:space="preserve">17.2.2 </w:t>
      </w:r>
      <w:r>
        <w:rPr>
          <w:rFonts w:hint="eastAsia" w:ascii="宋体" w:hAnsi="宋体" w:cs="宋体"/>
        </w:rPr>
        <w:t>预付款保函</w:t>
      </w:r>
    </w:p>
    <w:p>
      <w:pPr>
        <w:autoSpaceDE w:val="0"/>
        <w:autoSpaceDN w:val="0"/>
        <w:adjustRightInd w:val="0"/>
        <w:rPr>
          <w:rFonts w:ascii="宋体" w:hAnsi="宋体" w:cs="宋体"/>
        </w:rPr>
      </w:pPr>
      <w:r>
        <w:rPr>
          <w:rFonts w:hint="eastAsia" w:ascii="宋体" w:hAnsi="宋体" w:cs="宋体"/>
        </w:rPr>
        <w:t>除专用合同条款另有约定外，承包人应在收到预付款的同时向发包人提交预付款保函，预付款保函的担保金额应与预付款金额相同。保函的担保金额可根据预付款扣回的金额相应递减。</w:t>
      </w:r>
    </w:p>
    <w:p>
      <w:pPr>
        <w:autoSpaceDE w:val="0"/>
        <w:autoSpaceDN w:val="0"/>
        <w:adjustRightInd w:val="0"/>
        <w:rPr>
          <w:rFonts w:ascii="宋体" w:hAnsi="宋体" w:cs="宋体"/>
        </w:rPr>
      </w:pPr>
      <w:r>
        <w:rPr>
          <w:rFonts w:ascii="宋体" w:hAnsi="宋体" w:cs="TimesNewRomanPSMT"/>
        </w:rPr>
        <w:t xml:space="preserve">17.2.3 </w:t>
      </w:r>
      <w:r>
        <w:rPr>
          <w:rFonts w:hint="eastAsia" w:ascii="宋体" w:hAnsi="宋体" w:cs="宋体"/>
        </w:rPr>
        <w:t>预付款的扣回与还清</w:t>
      </w:r>
    </w:p>
    <w:p>
      <w:pPr>
        <w:autoSpaceDE w:val="0"/>
        <w:autoSpaceDN w:val="0"/>
        <w:adjustRightInd w:val="0"/>
        <w:rPr>
          <w:rFonts w:ascii="宋体" w:hAnsi="宋体" w:cs="宋体"/>
        </w:rPr>
      </w:pPr>
      <w:r>
        <w:rPr>
          <w:rFonts w:hint="eastAsia" w:ascii="宋体" w:hAnsi="宋体" w:cs="宋体"/>
        </w:rPr>
        <w:t>预付款在进度付款中扣回，扣回办法在专用合同条款中约定。在颁发工程接收证书前，由于不可抗力或其他原因解除合同时，预付款尚未扣清的，尚未扣清的预付款余额应作为承包人的到期应付款。</w:t>
      </w:r>
    </w:p>
    <w:p>
      <w:pPr>
        <w:keepNext/>
        <w:keepLines/>
        <w:spacing w:before="120" w:after="120"/>
        <w:jc w:val="both"/>
        <w:outlineLvl w:val="2"/>
        <w:rPr>
          <w:rFonts w:ascii="宋体" w:hAnsi="宋体" w:cs="TimesNewRomanPSMT"/>
          <w:b/>
        </w:rPr>
      </w:pPr>
      <w:bookmarkStart w:id="159" w:name="_Toc260305507"/>
      <w:r>
        <w:rPr>
          <w:rFonts w:ascii="宋体" w:hAnsi="宋体" w:cs="TimesNewRomanPSMT"/>
          <w:b/>
        </w:rPr>
        <w:t xml:space="preserve">17.3 </w:t>
      </w:r>
      <w:r>
        <w:rPr>
          <w:rFonts w:hint="eastAsia" w:ascii="宋体" w:hAnsi="宋体" w:cs="TimesNewRomanPSMT"/>
          <w:b/>
        </w:rPr>
        <w:t>工程进度付款</w:t>
      </w:r>
      <w:bookmarkEnd w:id="159"/>
    </w:p>
    <w:p>
      <w:pPr>
        <w:autoSpaceDE w:val="0"/>
        <w:autoSpaceDN w:val="0"/>
        <w:adjustRightInd w:val="0"/>
        <w:rPr>
          <w:rFonts w:ascii="宋体" w:hAnsi="宋体" w:cs="宋体"/>
        </w:rPr>
      </w:pPr>
      <w:r>
        <w:rPr>
          <w:rFonts w:ascii="宋体" w:hAnsi="宋体" w:cs="TimesNewRomanPSMT"/>
        </w:rPr>
        <w:t xml:space="preserve">17.3.1 </w:t>
      </w:r>
      <w:r>
        <w:rPr>
          <w:rFonts w:hint="eastAsia" w:ascii="宋体" w:hAnsi="宋体" w:cs="宋体"/>
        </w:rPr>
        <w:t>付款周期</w:t>
      </w:r>
    </w:p>
    <w:p>
      <w:pPr>
        <w:autoSpaceDE w:val="0"/>
        <w:autoSpaceDN w:val="0"/>
        <w:adjustRightInd w:val="0"/>
        <w:rPr>
          <w:rFonts w:ascii="宋体" w:hAnsi="宋体" w:cs="宋体"/>
        </w:rPr>
      </w:pPr>
      <w:r>
        <w:rPr>
          <w:rFonts w:hint="eastAsia" w:ascii="宋体" w:hAnsi="宋体" w:cs="宋体"/>
        </w:rPr>
        <w:t>付款周期同计量周期。</w:t>
      </w:r>
    </w:p>
    <w:p>
      <w:pPr>
        <w:autoSpaceDE w:val="0"/>
        <w:autoSpaceDN w:val="0"/>
        <w:adjustRightInd w:val="0"/>
        <w:rPr>
          <w:rFonts w:ascii="宋体" w:hAnsi="宋体" w:cs="宋体"/>
        </w:rPr>
      </w:pPr>
      <w:r>
        <w:rPr>
          <w:rFonts w:ascii="宋体" w:hAnsi="宋体" w:cs="TimesNewRomanPSMT"/>
        </w:rPr>
        <w:t xml:space="preserve">17.3.2 </w:t>
      </w:r>
      <w:r>
        <w:rPr>
          <w:rFonts w:hint="eastAsia" w:ascii="宋体" w:hAnsi="宋体" w:cs="宋体"/>
        </w:rPr>
        <w:t>进度付款申请单</w:t>
      </w:r>
    </w:p>
    <w:p>
      <w:pPr>
        <w:autoSpaceDE w:val="0"/>
        <w:autoSpaceDN w:val="0"/>
        <w:adjustRightInd w:val="0"/>
        <w:rPr>
          <w:rFonts w:ascii="宋体" w:hAnsi="宋体" w:cs="宋体"/>
        </w:rPr>
      </w:pPr>
      <w:r>
        <w:rPr>
          <w:rFonts w:hint="eastAsia" w:ascii="宋体" w:hAnsi="宋体" w:cs="宋体"/>
        </w:rPr>
        <w:t>承包人应在每个付款周期末，按监理人批准的格式和专用合同条款约定的份数，向监理人提交进度付款申请单，并附相应的支持性证明文件。除专用合同条款另有约定外，进度付款申请单应包括下列内容：</w:t>
      </w:r>
    </w:p>
    <w:p>
      <w:pPr>
        <w:autoSpaceDE w:val="0"/>
        <w:autoSpaceDN w:val="0"/>
        <w:adjustRightInd w:val="0"/>
        <w:rPr>
          <w:rFonts w:ascii="宋体" w:hAnsi="宋体" w:cs="宋体"/>
          <w:color w:val="000000"/>
        </w:rPr>
      </w:pPr>
      <w:r>
        <w:rPr>
          <w:rFonts w:hint="eastAsia" w:ascii="宋体" w:hAnsi="宋体" w:cs="宋体"/>
          <w:color w:val="000000"/>
        </w:rPr>
        <w:t>（</w:t>
      </w:r>
      <w:r>
        <w:rPr>
          <w:rFonts w:ascii="宋体" w:hAnsi="宋体" w:cs="TimesNewRomanPSMT"/>
          <w:color w:val="000000"/>
        </w:rPr>
        <w:t>1</w:t>
      </w:r>
      <w:r>
        <w:rPr>
          <w:rFonts w:hint="eastAsia" w:ascii="宋体" w:hAnsi="宋体" w:cs="宋体"/>
          <w:color w:val="000000"/>
        </w:rPr>
        <w:t>）本周期已完成工程的价款；</w:t>
      </w:r>
    </w:p>
    <w:p>
      <w:pPr>
        <w:autoSpaceDE w:val="0"/>
        <w:autoSpaceDN w:val="0"/>
        <w:adjustRightInd w:val="0"/>
        <w:rPr>
          <w:rFonts w:ascii="宋体" w:hAnsi="宋体" w:cs="宋体"/>
          <w:color w:val="000000"/>
        </w:rPr>
      </w:pPr>
      <w:r>
        <w:rPr>
          <w:rFonts w:hint="eastAsia" w:ascii="宋体" w:hAnsi="宋体" w:cs="宋体"/>
          <w:color w:val="000000"/>
        </w:rPr>
        <w:t>（</w:t>
      </w:r>
      <w:r>
        <w:rPr>
          <w:rFonts w:ascii="宋体" w:hAnsi="宋体" w:cs="TimesNewRomanPSMT"/>
          <w:color w:val="000000"/>
        </w:rPr>
        <w:t>2</w:t>
      </w:r>
      <w:r>
        <w:rPr>
          <w:rFonts w:hint="eastAsia" w:ascii="宋体" w:hAnsi="宋体" w:cs="宋体"/>
          <w:color w:val="000000"/>
        </w:rPr>
        <w:t>）累计已完成的工程价款；</w:t>
      </w:r>
    </w:p>
    <w:p>
      <w:pPr>
        <w:autoSpaceDE w:val="0"/>
        <w:autoSpaceDN w:val="0"/>
        <w:adjustRightInd w:val="0"/>
        <w:rPr>
          <w:rFonts w:ascii="宋体" w:hAnsi="宋体" w:cs="宋体"/>
          <w:color w:val="000000"/>
        </w:rPr>
      </w:pPr>
      <w:r>
        <w:rPr>
          <w:rFonts w:hint="eastAsia" w:ascii="宋体" w:hAnsi="宋体" w:cs="宋体"/>
          <w:color w:val="000000"/>
        </w:rPr>
        <w:t>（</w:t>
      </w:r>
      <w:r>
        <w:rPr>
          <w:rFonts w:ascii="宋体" w:hAnsi="宋体" w:cs="TimesNewRomanPSMT"/>
          <w:color w:val="000000"/>
        </w:rPr>
        <w:t>3</w:t>
      </w:r>
      <w:r>
        <w:rPr>
          <w:rFonts w:hint="eastAsia" w:ascii="宋体" w:hAnsi="宋体" w:cs="宋体"/>
          <w:color w:val="000000"/>
        </w:rPr>
        <w:t>）累计已支付的工程价款；</w:t>
      </w:r>
    </w:p>
    <w:p>
      <w:pPr>
        <w:autoSpaceDE w:val="0"/>
        <w:autoSpaceDN w:val="0"/>
        <w:adjustRightInd w:val="0"/>
        <w:rPr>
          <w:rFonts w:ascii="宋体" w:hAnsi="宋体" w:cs="宋体"/>
          <w:color w:val="000000"/>
        </w:rPr>
      </w:pPr>
      <w:r>
        <w:rPr>
          <w:rFonts w:hint="eastAsia" w:ascii="宋体" w:hAnsi="宋体" w:cs="宋体"/>
          <w:color w:val="000000"/>
        </w:rPr>
        <w:t>（</w:t>
      </w:r>
      <w:r>
        <w:rPr>
          <w:rFonts w:ascii="宋体" w:hAnsi="宋体" w:cs="TimesNewRomanPSMT"/>
          <w:color w:val="000000"/>
        </w:rPr>
        <w:t>4</w:t>
      </w:r>
      <w:r>
        <w:rPr>
          <w:rFonts w:hint="eastAsia" w:ascii="宋体" w:hAnsi="宋体" w:cs="宋体"/>
          <w:color w:val="000000"/>
        </w:rPr>
        <w:t>）本周期已完成计日工金额；</w:t>
      </w:r>
    </w:p>
    <w:p>
      <w:pPr>
        <w:autoSpaceDE w:val="0"/>
        <w:autoSpaceDN w:val="0"/>
        <w:adjustRightInd w:val="0"/>
        <w:rPr>
          <w:rFonts w:ascii="宋体" w:hAnsi="宋体" w:cs="宋体"/>
          <w:color w:val="000000"/>
        </w:rPr>
      </w:pPr>
      <w:r>
        <w:rPr>
          <w:rFonts w:hint="eastAsia" w:ascii="宋体" w:hAnsi="宋体" w:cs="宋体"/>
          <w:color w:val="000000"/>
        </w:rPr>
        <w:t>（</w:t>
      </w:r>
      <w:r>
        <w:rPr>
          <w:rFonts w:ascii="宋体" w:hAnsi="宋体" w:cs="TimesNewRomanPSMT"/>
          <w:color w:val="000000"/>
        </w:rPr>
        <w:t>5</w:t>
      </w:r>
      <w:r>
        <w:rPr>
          <w:rFonts w:hint="eastAsia" w:ascii="宋体" w:hAnsi="宋体" w:cs="宋体"/>
          <w:color w:val="000000"/>
        </w:rPr>
        <w:t>）应增加和扣减的变更金额；</w:t>
      </w:r>
    </w:p>
    <w:p>
      <w:pPr>
        <w:autoSpaceDE w:val="0"/>
        <w:autoSpaceDN w:val="0"/>
        <w:adjustRightInd w:val="0"/>
        <w:rPr>
          <w:rFonts w:ascii="宋体" w:hAnsi="宋体" w:cs="宋体"/>
          <w:color w:val="000000"/>
        </w:rPr>
      </w:pPr>
      <w:r>
        <w:rPr>
          <w:rFonts w:hint="eastAsia" w:ascii="宋体" w:hAnsi="宋体" w:cs="宋体"/>
          <w:color w:val="000000"/>
        </w:rPr>
        <w:t>（</w:t>
      </w:r>
      <w:r>
        <w:rPr>
          <w:rFonts w:ascii="宋体" w:hAnsi="宋体" w:cs="TimesNewRomanPSMT"/>
          <w:color w:val="000000"/>
        </w:rPr>
        <w:t>6</w:t>
      </w:r>
      <w:r>
        <w:rPr>
          <w:rFonts w:hint="eastAsia" w:ascii="宋体" w:hAnsi="宋体" w:cs="宋体"/>
          <w:color w:val="000000"/>
        </w:rPr>
        <w:t>）应增加和扣减的索赔金额；</w:t>
      </w:r>
    </w:p>
    <w:p>
      <w:pPr>
        <w:autoSpaceDE w:val="0"/>
        <w:autoSpaceDN w:val="0"/>
        <w:adjustRightInd w:val="0"/>
        <w:rPr>
          <w:rFonts w:ascii="宋体" w:hAnsi="宋体" w:cs="宋体"/>
          <w:color w:val="000000"/>
        </w:rPr>
      </w:pPr>
      <w:r>
        <w:rPr>
          <w:rFonts w:hint="eastAsia" w:ascii="宋体" w:hAnsi="宋体" w:cs="宋体"/>
          <w:color w:val="000000"/>
        </w:rPr>
        <w:t>（7）应抵扣的工程预付款；</w:t>
      </w:r>
    </w:p>
    <w:p>
      <w:pPr>
        <w:autoSpaceDE w:val="0"/>
        <w:autoSpaceDN w:val="0"/>
        <w:adjustRightInd w:val="0"/>
        <w:rPr>
          <w:rFonts w:ascii="宋体" w:hAnsi="宋体" w:cs="宋体"/>
          <w:color w:val="000000"/>
        </w:rPr>
      </w:pPr>
      <w:r>
        <w:rPr>
          <w:rFonts w:hint="eastAsia" w:ascii="宋体" w:hAnsi="宋体" w:cs="宋体"/>
          <w:color w:val="000000"/>
        </w:rPr>
        <w:t>（8）应扣减的质量保证金；</w:t>
      </w:r>
    </w:p>
    <w:p>
      <w:pPr>
        <w:autoSpaceDE w:val="0"/>
        <w:autoSpaceDN w:val="0"/>
        <w:adjustRightInd w:val="0"/>
        <w:rPr>
          <w:rFonts w:ascii="宋体" w:hAnsi="宋体" w:cs="宋体"/>
          <w:color w:val="000000"/>
        </w:rPr>
      </w:pPr>
      <w:r>
        <w:rPr>
          <w:rFonts w:hint="eastAsia" w:ascii="宋体" w:hAnsi="宋体" w:cs="宋体"/>
          <w:color w:val="000000"/>
        </w:rPr>
        <w:t>（9）根据合同应增加和扣减的其他金额；</w:t>
      </w:r>
    </w:p>
    <w:p>
      <w:pPr>
        <w:autoSpaceDE w:val="0"/>
        <w:autoSpaceDN w:val="0"/>
        <w:adjustRightInd w:val="0"/>
        <w:rPr>
          <w:rFonts w:ascii="宋体" w:hAnsi="宋体" w:cs="宋体"/>
          <w:color w:val="000000"/>
        </w:rPr>
      </w:pPr>
      <w:r>
        <w:rPr>
          <w:rFonts w:hint="eastAsia" w:ascii="宋体" w:hAnsi="宋体" w:cs="宋体"/>
          <w:color w:val="000000"/>
        </w:rPr>
        <w:t>（10）本付款周期实际应支付的工程价款。</w:t>
      </w:r>
    </w:p>
    <w:p>
      <w:pPr>
        <w:autoSpaceDE w:val="0"/>
        <w:autoSpaceDN w:val="0"/>
        <w:adjustRightInd w:val="0"/>
        <w:rPr>
          <w:rFonts w:ascii="宋体" w:hAnsi="宋体" w:cs="宋体"/>
        </w:rPr>
      </w:pPr>
      <w:r>
        <w:rPr>
          <w:rFonts w:ascii="宋体" w:hAnsi="宋体" w:cs="TimesNewRomanPSMT"/>
        </w:rPr>
        <w:t xml:space="preserve">17.3.3 </w:t>
      </w:r>
      <w:r>
        <w:rPr>
          <w:rFonts w:hint="eastAsia" w:ascii="宋体" w:hAnsi="宋体" w:cs="宋体"/>
        </w:rPr>
        <w:t>进度付款证书和支付时间</w:t>
      </w:r>
    </w:p>
    <w:p>
      <w:pPr>
        <w:autoSpaceDE w:val="0"/>
        <w:autoSpaceDN w:val="0"/>
        <w:adjustRightInd w:val="0"/>
        <w:rPr>
          <w:rFonts w:ascii="宋体" w:hAnsi="宋体" w:cs="宋体"/>
        </w:rPr>
      </w:pPr>
      <w:r>
        <w:rPr>
          <w:rFonts w:hint="eastAsia" w:ascii="宋体" w:hAnsi="宋体" w:cs="宋体"/>
        </w:rPr>
        <w:t>（</w:t>
      </w:r>
      <w:r>
        <w:rPr>
          <w:rFonts w:ascii="宋体" w:hAnsi="宋体" w:cs="TimesNewRomanPSMT"/>
        </w:rPr>
        <w:t>1</w:t>
      </w:r>
      <w:r>
        <w:rPr>
          <w:rFonts w:hint="eastAsia" w:ascii="宋体" w:hAnsi="宋体" w:cs="宋体"/>
        </w:rPr>
        <w:t>）监理人在收到承包人进度付款申请单以及相应的支持性证明文件后的</w:t>
      </w:r>
      <w:r>
        <w:rPr>
          <w:rFonts w:ascii="宋体" w:hAnsi="宋体" w:cs="TimesNewRomanPSMT"/>
        </w:rPr>
        <w:t xml:space="preserve">14 </w:t>
      </w:r>
      <w:r>
        <w:rPr>
          <w:rFonts w:hint="eastAsia" w:ascii="宋体" w:hAnsi="宋体" w:cs="宋体"/>
        </w:rPr>
        <w:t>天内完成核查，提出发包人到期应支付给承包人的金额以及相应的支持性材料，经发包人审查同意后，由监理人向承包人出具经发包人签认的进度付款证书。监理人有权扣发承包人未能按照合同要求履行任何工作或义务的相应金额。</w:t>
      </w:r>
    </w:p>
    <w:p>
      <w:pPr>
        <w:autoSpaceDE w:val="0"/>
        <w:autoSpaceDN w:val="0"/>
        <w:adjustRightInd w:val="0"/>
        <w:rPr>
          <w:rFonts w:ascii="宋体" w:hAnsi="宋体" w:cs="宋体"/>
        </w:rPr>
      </w:pPr>
      <w:r>
        <w:rPr>
          <w:rFonts w:hint="eastAsia" w:ascii="宋体" w:hAnsi="宋体" w:cs="宋体"/>
        </w:rPr>
        <w:t>（</w:t>
      </w:r>
      <w:r>
        <w:rPr>
          <w:rFonts w:ascii="宋体" w:hAnsi="宋体" w:cs="TimesNewRomanPSMT"/>
        </w:rPr>
        <w:t>2</w:t>
      </w:r>
      <w:r>
        <w:rPr>
          <w:rFonts w:hint="eastAsia" w:ascii="宋体" w:hAnsi="宋体" w:cs="宋体"/>
        </w:rPr>
        <w:t>）发包人应在监理人收到进度付款申请单后的</w:t>
      </w:r>
      <w:r>
        <w:rPr>
          <w:rFonts w:ascii="宋体" w:hAnsi="宋体" w:cs="TimesNewRomanPSMT"/>
        </w:rPr>
        <w:t xml:space="preserve">28 </w:t>
      </w:r>
      <w:r>
        <w:rPr>
          <w:rFonts w:hint="eastAsia" w:ascii="宋体" w:hAnsi="宋体" w:cs="宋体"/>
        </w:rPr>
        <w:t>天内，将进度应付款支付给承</w:t>
      </w:r>
    </w:p>
    <w:p>
      <w:pPr>
        <w:autoSpaceDE w:val="0"/>
        <w:autoSpaceDN w:val="0"/>
        <w:adjustRightInd w:val="0"/>
        <w:rPr>
          <w:rFonts w:ascii="宋体" w:hAnsi="宋体" w:cs="宋体"/>
        </w:rPr>
      </w:pPr>
      <w:r>
        <w:rPr>
          <w:rFonts w:hint="eastAsia" w:ascii="宋体" w:hAnsi="宋体" w:cs="宋体"/>
        </w:rPr>
        <w:t>包人。</w:t>
      </w:r>
      <w:r>
        <w:rPr>
          <w:rFonts w:hint="eastAsia" w:ascii="宋体" w:hAnsi="宋体" w:cs="宋体"/>
          <w:color w:val="000000"/>
        </w:rPr>
        <w:t>发包人应扣回的工程预付款，与工程进度款同期结算抵扣。</w:t>
      </w:r>
      <w:r>
        <w:rPr>
          <w:rFonts w:hint="eastAsia" w:ascii="宋体" w:hAnsi="宋体" w:cs="宋体"/>
        </w:rPr>
        <w:t>发包人不按期支付的，按专用合同条款的约定支付逾期付款违约金。</w:t>
      </w:r>
    </w:p>
    <w:p>
      <w:pPr>
        <w:autoSpaceDE w:val="0"/>
        <w:autoSpaceDN w:val="0"/>
        <w:adjustRightInd w:val="0"/>
        <w:rPr>
          <w:rFonts w:ascii="宋体" w:hAnsi="宋体" w:cs="宋体"/>
        </w:rPr>
      </w:pPr>
      <w:r>
        <w:rPr>
          <w:rFonts w:hint="eastAsia" w:ascii="宋体" w:hAnsi="宋体" w:cs="宋体"/>
        </w:rPr>
        <w:t>（</w:t>
      </w:r>
      <w:r>
        <w:rPr>
          <w:rFonts w:ascii="宋体" w:hAnsi="宋体" w:cs="TimesNewRomanPSMT"/>
        </w:rPr>
        <w:t>3</w:t>
      </w:r>
      <w:r>
        <w:rPr>
          <w:rFonts w:hint="eastAsia" w:ascii="宋体" w:hAnsi="宋体" w:cs="宋体"/>
        </w:rPr>
        <w:t>）监理人出具进度付款证书，不应视为监理人已同意、批准或接受了承包人完成的该部分工作。</w:t>
      </w:r>
    </w:p>
    <w:p>
      <w:pPr>
        <w:autoSpaceDE w:val="0"/>
        <w:autoSpaceDN w:val="0"/>
        <w:adjustRightInd w:val="0"/>
        <w:rPr>
          <w:rFonts w:ascii="宋体" w:hAnsi="宋体" w:cs="宋体"/>
        </w:rPr>
      </w:pPr>
      <w:r>
        <w:rPr>
          <w:rFonts w:hint="eastAsia" w:ascii="宋体" w:hAnsi="宋体" w:cs="宋体"/>
        </w:rPr>
        <w:t>（</w:t>
      </w:r>
      <w:r>
        <w:rPr>
          <w:rFonts w:ascii="宋体" w:hAnsi="宋体" w:cs="TimesNewRomanPSMT"/>
        </w:rPr>
        <w:t>4</w:t>
      </w:r>
      <w:r>
        <w:rPr>
          <w:rFonts w:hint="eastAsia" w:ascii="宋体" w:hAnsi="宋体" w:cs="宋体"/>
        </w:rPr>
        <w:t>）进度付款涉及政府投资资金的，按照国库集中支付等国家相关规定和专用合同条款的约定办理。</w:t>
      </w:r>
    </w:p>
    <w:p>
      <w:pPr>
        <w:autoSpaceDE w:val="0"/>
        <w:autoSpaceDN w:val="0"/>
        <w:adjustRightInd w:val="0"/>
        <w:rPr>
          <w:rFonts w:ascii="宋体" w:hAnsi="宋体" w:cs="宋体"/>
        </w:rPr>
      </w:pPr>
      <w:r>
        <w:rPr>
          <w:rFonts w:ascii="宋体" w:hAnsi="宋体" w:cs="TimesNewRomanPSMT"/>
        </w:rPr>
        <w:t xml:space="preserve">17.3.4 </w:t>
      </w:r>
      <w:r>
        <w:rPr>
          <w:rFonts w:hint="eastAsia" w:ascii="宋体" w:hAnsi="宋体" w:cs="宋体"/>
        </w:rPr>
        <w:t>工程进度付款的修正</w:t>
      </w:r>
    </w:p>
    <w:p>
      <w:pPr>
        <w:autoSpaceDE w:val="0"/>
        <w:autoSpaceDN w:val="0"/>
        <w:adjustRightInd w:val="0"/>
        <w:rPr>
          <w:rFonts w:ascii="宋体" w:hAnsi="宋体" w:cs="宋体"/>
        </w:rPr>
      </w:pPr>
      <w:r>
        <w:rPr>
          <w:rFonts w:hint="eastAsia" w:ascii="宋体" w:hAnsi="宋体" w:cs="宋体"/>
        </w:rPr>
        <w:t>在对以往历次已签发的进度付款证书进行汇总和复核中发现错、漏或重复的，监理人有权予以修正，承包人也有权提出修正申请。经双方复核同意的修正，应在本次进度付款中支付或扣除。</w:t>
      </w:r>
    </w:p>
    <w:p>
      <w:pPr>
        <w:keepNext/>
        <w:keepLines/>
        <w:spacing w:before="120" w:after="120"/>
        <w:jc w:val="both"/>
        <w:outlineLvl w:val="2"/>
        <w:rPr>
          <w:rFonts w:ascii="宋体" w:hAnsi="宋体" w:cs="TimesNewRomanPSMT"/>
          <w:b/>
        </w:rPr>
      </w:pPr>
      <w:bookmarkStart w:id="160" w:name="_Toc260305508"/>
      <w:r>
        <w:rPr>
          <w:rFonts w:ascii="宋体" w:hAnsi="宋体" w:cs="TimesNewRomanPSMT"/>
          <w:b/>
        </w:rPr>
        <w:t xml:space="preserve">17.4 </w:t>
      </w:r>
      <w:r>
        <w:rPr>
          <w:rFonts w:hint="eastAsia" w:ascii="宋体" w:hAnsi="宋体" w:cs="TimesNewRomanPSMT"/>
          <w:b/>
        </w:rPr>
        <w:t>质量保证金</w:t>
      </w:r>
      <w:bookmarkEnd w:id="160"/>
    </w:p>
    <w:p>
      <w:pPr>
        <w:autoSpaceDE w:val="0"/>
        <w:autoSpaceDN w:val="0"/>
        <w:adjustRightInd w:val="0"/>
        <w:rPr>
          <w:rFonts w:ascii="宋体" w:hAnsi="宋体" w:cs="宋体"/>
        </w:rPr>
      </w:pPr>
      <w:r>
        <w:rPr>
          <w:rFonts w:ascii="宋体" w:hAnsi="宋体" w:cs="TimesNewRomanPSMT"/>
        </w:rPr>
        <w:t xml:space="preserve">17.4.1 </w:t>
      </w:r>
      <w:r>
        <w:rPr>
          <w:rFonts w:hint="eastAsia" w:ascii="宋体" w:hAnsi="宋体" w:cs="宋体"/>
        </w:rPr>
        <w:t>监理人应从第一个付款周期开始，在发包人的进度付款中，按专用合同条款的约定扣留质量保证金，直至扣留的质量保证金总额达到专用合同条款约定的金额或比例为止。质量保证金的计算额度不包括预付款的支付、扣回以及价格调整的金额。</w:t>
      </w:r>
    </w:p>
    <w:p>
      <w:pPr>
        <w:autoSpaceDE w:val="0"/>
        <w:autoSpaceDN w:val="0"/>
        <w:adjustRightInd w:val="0"/>
        <w:rPr>
          <w:rFonts w:ascii="宋体" w:hAnsi="宋体" w:cs="宋体"/>
        </w:rPr>
      </w:pPr>
      <w:r>
        <w:rPr>
          <w:rFonts w:ascii="宋体" w:hAnsi="宋体" w:cs="TimesNewRomanPSMT"/>
        </w:rPr>
        <w:t xml:space="preserve">17.4.2 </w:t>
      </w:r>
      <w:r>
        <w:rPr>
          <w:rFonts w:hint="eastAsia" w:ascii="宋体" w:hAnsi="宋体" w:cs="宋体"/>
        </w:rPr>
        <w:t>在第</w:t>
      </w:r>
      <w:r>
        <w:rPr>
          <w:rFonts w:ascii="宋体" w:hAnsi="宋体" w:cs="TimesNewRomanPSMT"/>
        </w:rPr>
        <w:t xml:space="preserve">1.1.4.5 </w:t>
      </w:r>
      <w:r>
        <w:rPr>
          <w:rFonts w:hint="eastAsia" w:ascii="宋体" w:hAnsi="宋体" w:cs="宋体"/>
        </w:rPr>
        <w:t>目约定的缺陷责任期满时，承包人向发包人申请到期应返还承包人剩余的质量保证金金额，发包人应在</w:t>
      </w:r>
      <w:r>
        <w:rPr>
          <w:rFonts w:ascii="宋体" w:hAnsi="宋体" w:cs="TimesNewRomanPSMT"/>
        </w:rPr>
        <w:t xml:space="preserve">14 </w:t>
      </w:r>
      <w:r>
        <w:rPr>
          <w:rFonts w:hint="eastAsia" w:ascii="宋体" w:hAnsi="宋体" w:cs="宋体"/>
        </w:rPr>
        <w:t>天内会同承包人按照合同约定的内容核实承包人是否完成缺陷责任。如无异议，发包人应当在核实后将剩余保证金返还承包人。</w:t>
      </w:r>
    </w:p>
    <w:p>
      <w:pPr>
        <w:autoSpaceDE w:val="0"/>
        <w:autoSpaceDN w:val="0"/>
        <w:adjustRightInd w:val="0"/>
        <w:rPr>
          <w:rFonts w:ascii="宋体" w:hAnsi="宋体" w:cs="宋体"/>
        </w:rPr>
      </w:pPr>
      <w:r>
        <w:rPr>
          <w:rFonts w:ascii="宋体" w:hAnsi="宋体" w:cs="TimesNewRomanPSMT"/>
        </w:rPr>
        <w:t xml:space="preserve">17.4.3 </w:t>
      </w:r>
      <w:r>
        <w:rPr>
          <w:rFonts w:hint="eastAsia" w:ascii="宋体" w:hAnsi="宋体" w:cs="宋体"/>
        </w:rPr>
        <w:t>在第</w:t>
      </w:r>
      <w:r>
        <w:rPr>
          <w:rFonts w:ascii="宋体" w:hAnsi="宋体" w:cs="TimesNewRomanPSMT"/>
        </w:rPr>
        <w:t xml:space="preserve">1.1.4.5 </w:t>
      </w:r>
      <w:r>
        <w:rPr>
          <w:rFonts w:hint="eastAsia" w:ascii="宋体" w:hAnsi="宋体" w:cs="宋体"/>
        </w:rPr>
        <w:t>目约定的缺陷责任期满时，承包人没有完成缺陷责任的，发包人有权扣留与未履行责任剩余工作所需金额相应的质量保证金余额，并有权根据第</w:t>
      </w:r>
      <w:r>
        <w:rPr>
          <w:rFonts w:ascii="宋体" w:hAnsi="宋体" w:cs="TimesNewRomanPSMT"/>
        </w:rPr>
        <w:t xml:space="preserve">19.3 </w:t>
      </w:r>
      <w:r>
        <w:rPr>
          <w:rFonts w:hint="eastAsia" w:ascii="宋体" w:hAnsi="宋体" w:cs="宋体"/>
        </w:rPr>
        <w:t>款约定要求延长缺陷责任期，直至完成剩余工作为止。</w:t>
      </w:r>
    </w:p>
    <w:p>
      <w:pPr>
        <w:keepNext/>
        <w:keepLines/>
        <w:spacing w:before="120" w:after="120"/>
        <w:jc w:val="both"/>
        <w:outlineLvl w:val="2"/>
        <w:rPr>
          <w:rFonts w:ascii="宋体" w:hAnsi="宋体" w:cs="TimesNewRomanPSMT"/>
          <w:b/>
        </w:rPr>
      </w:pPr>
      <w:bookmarkStart w:id="161" w:name="_Toc260305509"/>
      <w:r>
        <w:rPr>
          <w:rFonts w:ascii="宋体" w:hAnsi="宋体" w:cs="TimesNewRomanPSMT"/>
          <w:b/>
        </w:rPr>
        <w:t xml:space="preserve">17.5 </w:t>
      </w:r>
      <w:r>
        <w:rPr>
          <w:rFonts w:hint="eastAsia" w:ascii="宋体" w:hAnsi="宋体" w:cs="TimesNewRomanPSMT"/>
          <w:b/>
        </w:rPr>
        <w:t>竣工结算</w:t>
      </w:r>
      <w:bookmarkEnd w:id="161"/>
    </w:p>
    <w:p>
      <w:pPr>
        <w:autoSpaceDE w:val="0"/>
        <w:autoSpaceDN w:val="0"/>
        <w:adjustRightInd w:val="0"/>
        <w:rPr>
          <w:rFonts w:ascii="宋体" w:hAnsi="宋体" w:cs="宋体"/>
        </w:rPr>
      </w:pPr>
      <w:r>
        <w:rPr>
          <w:rFonts w:ascii="宋体" w:hAnsi="宋体" w:cs="TimesNewRomanPSMT"/>
        </w:rPr>
        <w:t xml:space="preserve">17.5.1 </w:t>
      </w:r>
      <w:r>
        <w:rPr>
          <w:rFonts w:hint="eastAsia" w:ascii="宋体" w:hAnsi="宋体" w:cs="宋体"/>
        </w:rPr>
        <w:t>竣工付款申请单</w:t>
      </w:r>
    </w:p>
    <w:p>
      <w:pPr>
        <w:autoSpaceDE w:val="0"/>
        <w:autoSpaceDN w:val="0"/>
        <w:adjustRightInd w:val="0"/>
        <w:rPr>
          <w:rFonts w:ascii="宋体" w:hAnsi="宋体" w:cs="宋体"/>
        </w:rPr>
      </w:pPr>
      <w:r>
        <w:rPr>
          <w:rFonts w:hint="eastAsia" w:ascii="宋体" w:hAnsi="宋体" w:cs="宋体"/>
        </w:rPr>
        <w:t>（</w:t>
      </w:r>
      <w:r>
        <w:rPr>
          <w:rFonts w:ascii="宋体" w:hAnsi="宋体" w:cs="TimesNewRomanPSMT"/>
        </w:rPr>
        <w:t>1</w:t>
      </w:r>
      <w:r>
        <w:rPr>
          <w:rFonts w:hint="eastAsia" w:ascii="宋体" w:hAnsi="宋体" w:cs="宋体"/>
        </w:rPr>
        <w:t>）工程接收证书颁发后，承包人应按专用合同条款约定的份数和期限向监理人提交竣工付款申请单，并提供相关证明材料。除专用合同条款另有约定外，竣工付款申请单应包括下列内容：竣工结算合同总价（</w:t>
      </w:r>
      <w:r>
        <w:rPr>
          <w:rFonts w:hint="eastAsia" w:ascii="宋体" w:hAnsi="宋体" w:cs="宋体"/>
          <w:b/>
        </w:rPr>
        <w:t>中标价一次性包死</w:t>
      </w:r>
      <w:r>
        <w:rPr>
          <w:rFonts w:hint="eastAsia" w:ascii="宋体" w:hAnsi="宋体" w:cs="宋体"/>
        </w:rPr>
        <w:t>）、发包人已支付承包人的工程价款、应扣留的质量保证金、应支付的竣工付款金额。</w:t>
      </w:r>
    </w:p>
    <w:p>
      <w:pPr>
        <w:autoSpaceDE w:val="0"/>
        <w:autoSpaceDN w:val="0"/>
        <w:adjustRightInd w:val="0"/>
        <w:rPr>
          <w:rFonts w:ascii="宋体" w:hAnsi="宋体" w:cs="宋体"/>
        </w:rPr>
      </w:pPr>
      <w:r>
        <w:rPr>
          <w:rFonts w:hint="eastAsia" w:ascii="宋体" w:hAnsi="宋体" w:cs="宋体"/>
        </w:rPr>
        <w:t>（</w:t>
      </w:r>
      <w:r>
        <w:rPr>
          <w:rFonts w:ascii="宋体" w:hAnsi="宋体" w:cs="TimesNewRomanPSMT"/>
        </w:rPr>
        <w:t>2</w:t>
      </w:r>
      <w:r>
        <w:rPr>
          <w:rFonts w:hint="eastAsia" w:ascii="宋体" w:hAnsi="宋体" w:cs="宋体"/>
        </w:rPr>
        <w:t>）监理人对竣工付款申请单有异议的，有权要求承包人进行修正和提供补充资料。经监理人和承包人协商后，由承包人向监理人提交修正后的竣工付款申请单。</w:t>
      </w:r>
    </w:p>
    <w:p>
      <w:pPr>
        <w:autoSpaceDE w:val="0"/>
        <w:autoSpaceDN w:val="0"/>
        <w:adjustRightInd w:val="0"/>
        <w:rPr>
          <w:rFonts w:ascii="宋体" w:hAnsi="宋体" w:cs="宋体"/>
        </w:rPr>
      </w:pPr>
      <w:r>
        <w:rPr>
          <w:rFonts w:ascii="宋体" w:hAnsi="宋体" w:cs="TimesNewRomanPSMT"/>
        </w:rPr>
        <w:t xml:space="preserve">17.5.2 </w:t>
      </w:r>
      <w:r>
        <w:rPr>
          <w:rFonts w:hint="eastAsia" w:ascii="宋体" w:hAnsi="宋体" w:cs="宋体"/>
        </w:rPr>
        <w:t>竣工付款证书及支付时间</w:t>
      </w:r>
    </w:p>
    <w:p>
      <w:pPr>
        <w:autoSpaceDE w:val="0"/>
        <w:autoSpaceDN w:val="0"/>
        <w:adjustRightInd w:val="0"/>
        <w:rPr>
          <w:rFonts w:ascii="宋体" w:hAnsi="宋体" w:cs="宋体"/>
        </w:rPr>
      </w:pPr>
      <w:r>
        <w:rPr>
          <w:rFonts w:hint="eastAsia" w:ascii="宋体" w:hAnsi="宋体" w:cs="宋体"/>
        </w:rPr>
        <w:t>（</w:t>
      </w:r>
      <w:r>
        <w:rPr>
          <w:rFonts w:ascii="宋体" w:hAnsi="宋体" w:cs="TimesNewRomanPSMT"/>
        </w:rPr>
        <w:t>1</w:t>
      </w:r>
      <w:r>
        <w:rPr>
          <w:rFonts w:hint="eastAsia" w:ascii="宋体" w:hAnsi="宋体" w:cs="宋体"/>
        </w:rPr>
        <w:t>）监理人在收到承包人提交的竣工付款申请单后的</w:t>
      </w:r>
      <w:r>
        <w:rPr>
          <w:rFonts w:ascii="宋体" w:hAnsi="宋体" w:cs="TimesNewRomanPSMT"/>
        </w:rPr>
        <w:t xml:space="preserve">14 </w:t>
      </w:r>
      <w:r>
        <w:rPr>
          <w:rFonts w:hint="eastAsia" w:ascii="宋体" w:hAnsi="宋体" w:cs="宋体"/>
        </w:rPr>
        <w:t>天内完成核查，提出发包</w:t>
      </w:r>
    </w:p>
    <w:p>
      <w:pPr>
        <w:autoSpaceDE w:val="0"/>
        <w:autoSpaceDN w:val="0"/>
        <w:adjustRightInd w:val="0"/>
        <w:rPr>
          <w:rFonts w:ascii="宋体" w:hAnsi="宋体" w:cs="宋体"/>
        </w:rPr>
      </w:pPr>
      <w:r>
        <w:rPr>
          <w:rFonts w:hint="eastAsia" w:ascii="宋体" w:hAnsi="宋体" w:cs="宋体"/>
        </w:rPr>
        <w:t>人到期应支付给承包人的价款送发包人审核并抄送承包人。发包人应在收到后</w:t>
      </w:r>
      <w:r>
        <w:rPr>
          <w:rFonts w:ascii="宋体" w:hAnsi="宋体" w:cs="TimesNewRomanPSMT"/>
        </w:rPr>
        <w:t xml:space="preserve">14 </w:t>
      </w:r>
      <w:r>
        <w:rPr>
          <w:rFonts w:hint="eastAsia" w:ascii="宋体" w:hAnsi="宋体" w:cs="宋体"/>
        </w:rPr>
        <w:t>天内审核完毕，由监理人向承包人出具经发包人签认的竣工付款证书。监理人未在约定时间内核查，又未提出具体意见的，视为承包人提交的竣工付款申请单已经监理人核查同意；发包人未在约定时间内审核又未提出具体意见的，监理人提出发包人到期应支付给承包人的价款视为已经发包人同意。</w:t>
      </w:r>
    </w:p>
    <w:p>
      <w:pPr>
        <w:autoSpaceDE w:val="0"/>
        <w:autoSpaceDN w:val="0"/>
        <w:adjustRightInd w:val="0"/>
        <w:rPr>
          <w:rFonts w:ascii="宋体" w:hAnsi="宋体" w:cs="宋体"/>
        </w:rPr>
      </w:pPr>
      <w:r>
        <w:rPr>
          <w:rFonts w:hint="eastAsia" w:ascii="宋体" w:hAnsi="宋体" w:cs="宋体"/>
        </w:rPr>
        <w:t>（</w:t>
      </w:r>
      <w:r>
        <w:rPr>
          <w:rFonts w:ascii="宋体" w:hAnsi="宋体" w:cs="TimesNewRomanPSMT"/>
        </w:rPr>
        <w:t>2</w:t>
      </w:r>
      <w:r>
        <w:rPr>
          <w:rFonts w:hint="eastAsia" w:ascii="宋体" w:hAnsi="宋体" w:cs="宋体"/>
        </w:rPr>
        <w:t>）发包人应在监理人出具竣工付款证书后的</w:t>
      </w:r>
      <w:r>
        <w:rPr>
          <w:rFonts w:ascii="宋体" w:hAnsi="宋体" w:cs="TimesNewRomanPSMT"/>
        </w:rPr>
        <w:t xml:space="preserve">14 </w:t>
      </w:r>
      <w:r>
        <w:rPr>
          <w:rFonts w:hint="eastAsia" w:ascii="宋体" w:hAnsi="宋体" w:cs="宋体"/>
        </w:rPr>
        <w:t>天内，将应支付款支付给承包人。发包人不按期支付的，按第</w:t>
      </w:r>
      <w:r>
        <w:rPr>
          <w:rFonts w:ascii="宋体" w:hAnsi="宋体" w:cs="TimesNewRomanPSMT"/>
        </w:rPr>
        <w:t>17.3.3</w:t>
      </w:r>
      <w:r>
        <w:rPr>
          <w:rFonts w:hint="eastAsia" w:ascii="宋体" w:hAnsi="宋体" w:cs="宋体"/>
        </w:rPr>
        <w:t>（</w:t>
      </w:r>
      <w:r>
        <w:rPr>
          <w:rFonts w:ascii="宋体" w:hAnsi="宋体" w:cs="TimesNewRomanPSMT"/>
        </w:rPr>
        <w:t>2</w:t>
      </w:r>
      <w:r>
        <w:rPr>
          <w:rFonts w:hint="eastAsia" w:ascii="宋体" w:hAnsi="宋体" w:cs="宋体"/>
        </w:rPr>
        <w:t>）目的约定，将逾期付款违约金支付给承包人。</w:t>
      </w:r>
    </w:p>
    <w:p>
      <w:pPr>
        <w:autoSpaceDE w:val="0"/>
        <w:autoSpaceDN w:val="0"/>
        <w:adjustRightInd w:val="0"/>
        <w:rPr>
          <w:rFonts w:ascii="宋体" w:hAnsi="宋体" w:cs="宋体"/>
        </w:rPr>
      </w:pPr>
      <w:r>
        <w:rPr>
          <w:rFonts w:hint="eastAsia" w:ascii="宋体" w:hAnsi="宋体" w:cs="宋体"/>
        </w:rPr>
        <w:t>（</w:t>
      </w:r>
      <w:r>
        <w:rPr>
          <w:rFonts w:ascii="宋体" w:hAnsi="宋体" w:cs="TimesNewRomanPSMT"/>
        </w:rPr>
        <w:t>3</w:t>
      </w:r>
      <w:r>
        <w:rPr>
          <w:rFonts w:hint="eastAsia" w:ascii="宋体" w:hAnsi="宋体" w:cs="宋体"/>
        </w:rPr>
        <w:t>）承包人对发包人签认的竣工付款证书有异议的，发包人可出具竣工付款申请单中承包人已同意部分的临时付款证书。存在争议的部分，按第</w:t>
      </w:r>
      <w:r>
        <w:rPr>
          <w:rFonts w:ascii="宋体" w:hAnsi="宋体" w:cs="TimesNewRomanPSMT"/>
        </w:rPr>
        <w:t xml:space="preserve">24 </w:t>
      </w:r>
      <w:r>
        <w:rPr>
          <w:rFonts w:hint="eastAsia" w:ascii="宋体" w:hAnsi="宋体" w:cs="宋体"/>
        </w:rPr>
        <w:t>条的约定办理。</w:t>
      </w:r>
    </w:p>
    <w:p>
      <w:pPr>
        <w:autoSpaceDE w:val="0"/>
        <w:autoSpaceDN w:val="0"/>
        <w:adjustRightInd w:val="0"/>
        <w:rPr>
          <w:rFonts w:ascii="宋体" w:hAnsi="宋体" w:cs="宋体"/>
        </w:rPr>
      </w:pPr>
      <w:r>
        <w:rPr>
          <w:rFonts w:hint="eastAsia" w:ascii="宋体" w:hAnsi="宋体" w:cs="宋体"/>
        </w:rPr>
        <w:t>（</w:t>
      </w:r>
      <w:r>
        <w:rPr>
          <w:rFonts w:ascii="宋体" w:hAnsi="宋体" w:cs="TimesNewRomanPSMT"/>
        </w:rPr>
        <w:t>4</w:t>
      </w:r>
      <w:r>
        <w:rPr>
          <w:rFonts w:hint="eastAsia" w:ascii="宋体" w:hAnsi="宋体" w:cs="宋体"/>
        </w:rPr>
        <w:t>）竣工付款涉及政府投资资金的，按第</w:t>
      </w:r>
      <w:r>
        <w:rPr>
          <w:rFonts w:hint="eastAsia" w:asciiTheme="minorEastAsia" w:hAnsiTheme="minorEastAsia" w:eastAsiaTheme="minorEastAsia" w:cstheme="minorEastAsia"/>
        </w:rPr>
        <w:t>17.3.3</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lang w:val="en-US" w:eastAsia="zh-CN"/>
        </w:rPr>
        <w:t>4</w:t>
      </w:r>
      <w:r>
        <w:rPr>
          <w:rFonts w:hint="eastAsia" w:asciiTheme="minorEastAsia" w:hAnsiTheme="minorEastAsia" w:eastAsiaTheme="minorEastAsia" w:cstheme="minorEastAsia"/>
          <w:lang w:eastAsia="zh-CN"/>
        </w:rPr>
        <w:t>）</w:t>
      </w:r>
      <w:r>
        <w:rPr>
          <w:rFonts w:hint="eastAsia" w:ascii="宋体" w:hAnsi="宋体" w:cs="宋体"/>
        </w:rPr>
        <w:t>目的约定办理。</w:t>
      </w:r>
    </w:p>
    <w:p>
      <w:pPr>
        <w:keepNext/>
        <w:keepLines/>
        <w:spacing w:before="120" w:after="120"/>
        <w:jc w:val="both"/>
        <w:outlineLvl w:val="2"/>
        <w:rPr>
          <w:rFonts w:ascii="宋体" w:hAnsi="宋体" w:cs="TimesNewRomanPSMT"/>
          <w:b/>
        </w:rPr>
      </w:pPr>
      <w:bookmarkStart w:id="162" w:name="_Toc260305510"/>
      <w:r>
        <w:rPr>
          <w:rFonts w:ascii="宋体" w:hAnsi="宋体" w:cs="TimesNewRomanPSMT"/>
          <w:b/>
        </w:rPr>
        <w:t xml:space="preserve">17.6 </w:t>
      </w:r>
      <w:r>
        <w:rPr>
          <w:rFonts w:hint="eastAsia" w:ascii="宋体" w:hAnsi="宋体" w:cs="TimesNewRomanPSMT"/>
          <w:b/>
        </w:rPr>
        <w:t>最终结清</w:t>
      </w:r>
      <w:bookmarkEnd w:id="162"/>
    </w:p>
    <w:p>
      <w:pPr>
        <w:autoSpaceDE w:val="0"/>
        <w:autoSpaceDN w:val="0"/>
        <w:adjustRightInd w:val="0"/>
        <w:rPr>
          <w:rFonts w:ascii="宋体" w:hAnsi="宋体" w:cs="宋体"/>
        </w:rPr>
      </w:pPr>
      <w:r>
        <w:rPr>
          <w:rFonts w:ascii="宋体" w:hAnsi="宋体" w:cs="TimesNewRomanPSMT"/>
        </w:rPr>
        <w:t xml:space="preserve">17.6.1 </w:t>
      </w:r>
      <w:r>
        <w:rPr>
          <w:rFonts w:hint="eastAsia" w:ascii="宋体" w:hAnsi="宋体" w:cs="宋体"/>
        </w:rPr>
        <w:t>最终结清申请单</w:t>
      </w:r>
    </w:p>
    <w:p>
      <w:pPr>
        <w:autoSpaceDE w:val="0"/>
        <w:autoSpaceDN w:val="0"/>
        <w:adjustRightInd w:val="0"/>
        <w:rPr>
          <w:rFonts w:ascii="宋体" w:hAnsi="宋体" w:cs="宋体"/>
        </w:rPr>
      </w:pPr>
      <w:r>
        <w:rPr>
          <w:rFonts w:hint="eastAsia" w:ascii="宋体" w:hAnsi="宋体" w:cs="宋体"/>
        </w:rPr>
        <w:t>（</w:t>
      </w:r>
      <w:r>
        <w:rPr>
          <w:rFonts w:ascii="宋体" w:hAnsi="宋体" w:cs="TimesNewRomanPSMT"/>
        </w:rPr>
        <w:t>1</w:t>
      </w:r>
      <w:r>
        <w:rPr>
          <w:rFonts w:hint="eastAsia" w:ascii="宋体" w:hAnsi="宋体" w:cs="宋体"/>
        </w:rPr>
        <w:t>）缺陷责任期终止证书签发后，承包人可按专用合同条款约定的份数和期限向监理人提交最终结清申请单，并提供相关证明材料。</w:t>
      </w:r>
    </w:p>
    <w:p>
      <w:pPr>
        <w:autoSpaceDE w:val="0"/>
        <w:autoSpaceDN w:val="0"/>
        <w:adjustRightInd w:val="0"/>
        <w:rPr>
          <w:rFonts w:ascii="宋体" w:hAnsi="宋体" w:cs="宋体"/>
        </w:rPr>
      </w:pPr>
      <w:r>
        <w:rPr>
          <w:rFonts w:hint="eastAsia" w:ascii="宋体" w:hAnsi="宋体" w:cs="宋体"/>
        </w:rPr>
        <w:t>（</w:t>
      </w:r>
      <w:r>
        <w:rPr>
          <w:rFonts w:ascii="宋体" w:hAnsi="宋体" w:cs="TimesNewRomanPSMT"/>
        </w:rPr>
        <w:t>2</w:t>
      </w:r>
      <w:r>
        <w:rPr>
          <w:rFonts w:hint="eastAsia" w:ascii="宋体" w:hAnsi="宋体" w:cs="宋体"/>
        </w:rPr>
        <w:t>）发包人对最终结清申请单内容有异议的，有权要求承包人进行修正和提供补充资料，由承包人向监理人提交修正后的最终结清申请单。</w:t>
      </w:r>
    </w:p>
    <w:p>
      <w:pPr>
        <w:autoSpaceDE w:val="0"/>
        <w:autoSpaceDN w:val="0"/>
        <w:adjustRightInd w:val="0"/>
        <w:rPr>
          <w:rFonts w:ascii="宋体" w:hAnsi="宋体" w:cs="宋体"/>
        </w:rPr>
      </w:pPr>
      <w:r>
        <w:rPr>
          <w:rFonts w:ascii="宋体" w:hAnsi="宋体" w:cs="TimesNewRomanPSMT"/>
        </w:rPr>
        <w:t xml:space="preserve">17.6.2 </w:t>
      </w:r>
      <w:r>
        <w:rPr>
          <w:rFonts w:hint="eastAsia" w:ascii="宋体" w:hAnsi="宋体" w:cs="宋体"/>
        </w:rPr>
        <w:t>最终结清证书和支付时间</w:t>
      </w:r>
    </w:p>
    <w:p>
      <w:pPr>
        <w:autoSpaceDE w:val="0"/>
        <w:autoSpaceDN w:val="0"/>
        <w:adjustRightInd w:val="0"/>
        <w:rPr>
          <w:rFonts w:ascii="宋体" w:hAnsi="宋体" w:cs="宋体"/>
        </w:rPr>
      </w:pPr>
      <w:r>
        <w:rPr>
          <w:rFonts w:hint="eastAsia" w:ascii="宋体" w:hAnsi="宋体" w:cs="宋体"/>
        </w:rPr>
        <w:t>（</w:t>
      </w:r>
      <w:r>
        <w:rPr>
          <w:rFonts w:ascii="宋体" w:hAnsi="宋体" w:cs="TimesNewRomanPSMT"/>
        </w:rPr>
        <w:t>1</w:t>
      </w:r>
      <w:r>
        <w:rPr>
          <w:rFonts w:hint="eastAsia" w:ascii="宋体" w:hAnsi="宋体" w:cs="宋体"/>
        </w:rPr>
        <w:t>）监理人收到承包人提交的最终结清申请单后的</w:t>
      </w:r>
      <w:r>
        <w:rPr>
          <w:rFonts w:ascii="宋体" w:hAnsi="宋体" w:cs="TimesNewRomanPSMT"/>
        </w:rPr>
        <w:t xml:space="preserve">14 </w:t>
      </w:r>
      <w:r>
        <w:rPr>
          <w:rFonts w:hint="eastAsia" w:ascii="宋体" w:hAnsi="宋体" w:cs="宋体"/>
        </w:rPr>
        <w:t>天内，提出发包人应支付给承包人的价款送发包人审核并抄送承包人。发包人应在收到后</w:t>
      </w:r>
      <w:r>
        <w:rPr>
          <w:rFonts w:ascii="宋体" w:hAnsi="宋体" w:cs="TimesNewRomanPSMT"/>
        </w:rPr>
        <w:t xml:space="preserve">14 </w:t>
      </w:r>
      <w:r>
        <w:rPr>
          <w:rFonts w:hint="eastAsia" w:ascii="宋体" w:hAnsi="宋体" w:cs="宋体"/>
        </w:rPr>
        <w:t>天内审核完毕，由监理人向承包人出具经发包人签认的最终结清证书。监理人未在约定时间内核查，又未提出具体意见的，视为承包人提交的最终结清申请已经监理人核查同意；发包人未在约定时间内审核又未提出具体意见的，监理人提出应支付给承包人的价款视为已经发包人同意。</w:t>
      </w:r>
    </w:p>
    <w:p>
      <w:pPr>
        <w:autoSpaceDE w:val="0"/>
        <w:autoSpaceDN w:val="0"/>
        <w:adjustRightInd w:val="0"/>
        <w:rPr>
          <w:rFonts w:ascii="宋体" w:hAnsi="宋体" w:cs="宋体"/>
        </w:rPr>
      </w:pPr>
      <w:r>
        <w:rPr>
          <w:rFonts w:hint="eastAsia" w:ascii="宋体" w:hAnsi="宋体" w:cs="宋体"/>
        </w:rPr>
        <w:t>（</w:t>
      </w:r>
      <w:r>
        <w:rPr>
          <w:rFonts w:ascii="宋体" w:hAnsi="宋体" w:cs="TimesNewRomanPSMT"/>
        </w:rPr>
        <w:t>2</w:t>
      </w:r>
      <w:r>
        <w:rPr>
          <w:rFonts w:hint="eastAsia" w:ascii="宋体" w:hAnsi="宋体" w:cs="宋体"/>
        </w:rPr>
        <w:t>）发包人应在监理人出具最终结清证书后的</w:t>
      </w:r>
      <w:r>
        <w:rPr>
          <w:rFonts w:ascii="宋体" w:hAnsi="宋体" w:cs="TimesNewRomanPSMT"/>
        </w:rPr>
        <w:t xml:space="preserve">14 </w:t>
      </w:r>
      <w:r>
        <w:rPr>
          <w:rFonts w:hint="eastAsia" w:ascii="宋体" w:hAnsi="宋体" w:cs="宋体"/>
        </w:rPr>
        <w:t>天内，将应支付款支付给承包人。发包人不按期支付的，按第</w:t>
      </w:r>
      <w:r>
        <w:rPr>
          <w:rFonts w:ascii="宋体" w:hAnsi="宋体" w:cs="TimesNewRomanPSMT"/>
        </w:rPr>
        <w:t>17.3.3</w:t>
      </w:r>
      <w:r>
        <w:rPr>
          <w:rFonts w:hint="eastAsia" w:ascii="宋体" w:hAnsi="宋体" w:cs="宋体"/>
        </w:rPr>
        <w:t>（</w:t>
      </w:r>
      <w:r>
        <w:rPr>
          <w:rFonts w:ascii="宋体" w:hAnsi="宋体" w:cs="TimesNewRomanPSMT"/>
        </w:rPr>
        <w:t>2</w:t>
      </w:r>
      <w:r>
        <w:rPr>
          <w:rFonts w:hint="eastAsia" w:ascii="宋体" w:hAnsi="宋体" w:cs="宋体"/>
        </w:rPr>
        <w:t>）目的约定，将逾期付款违约金支付给承包人。</w:t>
      </w:r>
    </w:p>
    <w:p>
      <w:pPr>
        <w:autoSpaceDE w:val="0"/>
        <w:autoSpaceDN w:val="0"/>
        <w:adjustRightInd w:val="0"/>
        <w:rPr>
          <w:rFonts w:ascii="宋体" w:hAnsi="宋体" w:cs="宋体"/>
        </w:rPr>
      </w:pPr>
      <w:r>
        <w:rPr>
          <w:rFonts w:hint="eastAsia" w:ascii="宋体" w:hAnsi="宋体" w:cs="宋体"/>
        </w:rPr>
        <w:t>（</w:t>
      </w:r>
      <w:r>
        <w:rPr>
          <w:rFonts w:ascii="宋体" w:hAnsi="宋体" w:cs="TimesNewRomanPSMT"/>
        </w:rPr>
        <w:t>3</w:t>
      </w:r>
      <w:r>
        <w:rPr>
          <w:rFonts w:hint="eastAsia" w:ascii="宋体" w:hAnsi="宋体" w:cs="宋体"/>
        </w:rPr>
        <w:t>）承包人对发包人签认的最终结清证书有异议的，按第</w:t>
      </w:r>
      <w:r>
        <w:rPr>
          <w:rFonts w:ascii="宋体" w:hAnsi="宋体" w:cs="TimesNewRomanPSMT"/>
        </w:rPr>
        <w:t xml:space="preserve">24 </w:t>
      </w:r>
      <w:r>
        <w:rPr>
          <w:rFonts w:hint="eastAsia" w:ascii="宋体" w:hAnsi="宋体" w:cs="宋体"/>
        </w:rPr>
        <w:t>条的约定办理。</w:t>
      </w:r>
    </w:p>
    <w:p>
      <w:pPr>
        <w:autoSpaceDE w:val="0"/>
        <w:autoSpaceDN w:val="0"/>
        <w:adjustRightInd w:val="0"/>
        <w:rPr>
          <w:rFonts w:ascii="宋体" w:hAnsi="宋体" w:cs="宋体"/>
        </w:rPr>
      </w:pPr>
      <w:r>
        <w:rPr>
          <w:rFonts w:hint="eastAsia" w:ascii="宋体" w:hAnsi="宋体" w:cs="宋体"/>
        </w:rPr>
        <w:t>（</w:t>
      </w:r>
      <w:r>
        <w:rPr>
          <w:rFonts w:ascii="宋体" w:hAnsi="宋体" w:cs="TimesNewRomanPSMT"/>
        </w:rPr>
        <w:t>4</w:t>
      </w:r>
      <w:r>
        <w:rPr>
          <w:rFonts w:hint="eastAsia" w:ascii="宋体" w:hAnsi="宋体" w:cs="宋体"/>
        </w:rPr>
        <w:t>）最终结清付款涉及政府投资资金的，按第</w:t>
      </w:r>
      <w:r>
        <w:rPr>
          <w:rFonts w:ascii="宋体" w:hAnsi="宋体" w:cs="TimesNewRomanPSMT"/>
        </w:rPr>
        <w:t>17.3.3</w:t>
      </w:r>
      <w:r>
        <w:rPr>
          <w:rFonts w:hint="eastAsia" w:ascii="宋体" w:hAnsi="宋体" w:cs="宋体"/>
        </w:rPr>
        <w:t>（4）目的约定办理。</w:t>
      </w:r>
    </w:p>
    <w:p>
      <w:pPr>
        <w:keepNext/>
        <w:keepLines/>
        <w:spacing w:before="120" w:after="120"/>
        <w:jc w:val="both"/>
        <w:outlineLvl w:val="1"/>
        <w:rPr>
          <w:rFonts w:ascii="宋体" w:hAnsi="宋体" w:cs="TimesNewRomanPSMT"/>
          <w:b/>
          <w:sz w:val="28"/>
          <w:szCs w:val="28"/>
        </w:rPr>
      </w:pPr>
      <w:bookmarkStart w:id="163" w:name="_Toc12200"/>
      <w:bookmarkStart w:id="164" w:name="_Toc260305511"/>
      <w:r>
        <w:rPr>
          <w:rFonts w:ascii="宋体" w:hAnsi="宋体" w:cs="TimesNewRomanPSMT"/>
          <w:b/>
          <w:sz w:val="28"/>
          <w:szCs w:val="28"/>
        </w:rPr>
        <w:t xml:space="preserve">18. </w:t>
      </w:r>
      <w:r>
        <w:rPr>
          <w:rFonts w:hint="eastAsia" w:ascii="宋体" w:hAnsi="宋体" w:cs="TimesNewRomanPSMT"/>
          <w:b/>
          <w:sz w:val="28"/>
          <w:szCs w:val="28"/>
        </w:rPr>
        <w:t>竣工验收</w:t>
      </w:r>
      <w:bookmarkEnd w:id="163"/>
      <w:bookmarkEnd w:id="164"/>
    </w:p>
    <w:p>
      <w:pPr>
        <w:keepNext/>
        <w:keepLines/>
        <w:spacing w:before="120" w:after="120"/>
        <w:jc w:val="both"/>
        <w:outlineLvl w:val="2"/>
        <w:rPr>
          <w:rFonts w:ascii="宋体" w:hAnsi="宋体" w:cs="TimesNewRomanPSMT"/>
          <w:b/>
        </w:rPr>
      </w:pPr>
      <w:bookmarkStart w:id="165" w:name="_Toc260305512"/>
      <w:r>
        <w:rPr>
          <w:rFonts w:ascii="宋体" w:hAnsi="宋体" w:cs="TimesNewRomanPSMT"/>
          <w:b/>
        </w:rPr>
        <w:t xml:space="preserve">18.1 </w:t>
      </w:r>
      <w:r>
        <w:rPr>
          <w:rFonts w:hint="eastAsia" w:ascii="宋体" w:hAnsi="宋体" w:cs="TimesNewRomanPSMT"/>
          <w:b/>
        </w:rPr>
        <w:t>竣工验收的含义</w:t>
      </w:r>
      <w:bookmarkEnd w:id="165"/>
    </w:p>
    <w:p>
      <w:pPr>
        <w:autoSpaceDE w:val="0"/>
        <w:autoSpaceDN w:val="0"/>
        <w:adjustRightInd w:val="0"/>
        <w:rPr>
          <w:rFonts w:ascii="宋体" w:hAnsi="宋体" w:cs="宋体"/>
        </w:rPr>
      </w:pPr>
      <w:r>
        <w:rPr>
          <w:rFonts w:ascii="宋体" w:hAnsi="宋体" w:cs="TimesNewRomanPSMT"/>
        </w:rPr>
        <w:t xml:space="preserve">18.1.1 </w:t>
      </w:r>
      <w:r>
        <w:rPr>
          <w:rFonts w:hint="eastAsia" w:ascii="宋体" w:hAnsi="宋体" w:cs="宋体"/>
        </w:rPr>
        <w:t>竣工验收指承包人完成了全部合同工作后，发包人按合同要求进行的验收。</w:t>
      </w:r>
    </w:p>
    <w:p>
      <w:pPr>
        <w:autoSpaceDE w:val="0"/>
        <w:autoSpaceDN w:val="0"/>
        <w:adjustRightInd w:val="0"/>
        <w:rPr>
          <w:rFonts w:ascii="宋体" w:hAnsi="宋体" w:cs="宋体"/>
        </w:rPr>
      </w:pPr>
      <w:r>
        <w:rPr>
          <w:rFonts w:ascii="宋体" w:hAnsi="宋体" w:cs="TimesNewRomanPSMT"/>
        </w:rPr>
        <w:t xml:space="preserve">18.1.2 </w:t>
      </w:r>
      <w:r>
        <w:rPr>
          <w:rFonts w:hint="eastAsia" w:ascii="宋体" w:hAnsi="宋体" w:cs="宋体"/>
        </w:rPr>
        <w:t>国家验收是政府有关部门根据法律、规范、规程和政策要求，针对发包人全面组织实施的整个工程正式交付投运前的验收。</w:t>
      </w:r>
    </w:p>
    <w:p>
      <w:pPr>
        <w:autoSpaceDE w:val="0"/>
        <w:autoSpaceDN w:val="0"/>
        <w:adjustRightInd w:val="0"/>
        <w:rPr>
          <w:rFonts w:ascii="宋体" w:hAnsi="宋体" w:cs="宋体"/>
        </w:rPr>
      </w:pPr>
      <w:r>
        <w:rPr>
          <w:rFonts w:ascii="宋体" w:hAnsi="宋体" w:cs="TimesNewRomanPSMT"/>
        </w:rPr>
        <w:t xml:space="preserve">18.1.3 </w:t>
      </w:r>
      <w:r>
        <w:rPr>
          <w:rFonts w:hint="eastAsia" w:ascii="宋体" w:hAnsi="宋体" w:cs="宋体"/>
        </w:rPr>
        <w:t>需要进行国家验收的，竣工验收是国家验收的一部分。竣工验收所采用的各项验收和评定标准应符合国家验收标准。发包人和承包人为竣工验收提供的各项竣工验收资料应符合国家验收的要求。</w:t>
      </w:r>
    </w:p>
    <w:p>
      <w:pPr>
        <w:keepNext/>
        <w:keepLines/>
        <w:spacing w:before="120" w:after="120"/>
        <w:jc w:val="both"/>
        <w:outlineLvl w:val="2"/>
        <w:rPr>
          <w:rFonts w:ascii="宋体" w:hAnsi="宋体" w:cs="TimesNewRomanPSMT"/>
          <w:b/>
        </w:rPr>
      </w:pPr>
      <w:bookmarkStart w:id="166" w:name="_Toc260305513"/>
      <w:r>
        <w:rPr>
          <w:rFonts w:ascii="宋体" w:hAnsi="宋体" w:cs="TimesNewRomanPSMT"/>
          <w:b/>
        </w:rPr>
        <w:t xml:space="preserve">18.2 </w:t>
      </w:r>
      <w:r>
        <w:rPr>
          <w:rFonts w:hint="eastAsia" w:ascii="宋体" w:hAnsi="宋体" w:cs="TimesNewRomanPSMT"/>
          <w:b/>
        </w:rPr>
        <w:t>竣工验收申请报告</w:t>
      </w:r>
      <w:bookmarkEnd w:id="166"/>
    </w:p>
    <w:p>
      <w:pPr>
        <w:autoSpaceDE w:val="0"/>
        <w:autoSpaceDN w:val="0"/>
        <w:adjustRightInd w:val="0"/>
        <w:rPr>
          <w:rFonts w:ascii="宋体" w:hAnsi="宋体" w:cs="宋体"/>
        </w:rPr>
      </w:pPr>
      <w:r>
        <w:rPr>
          <w:rFonts w:hint="eastAsia" w:ascii="宋体" w:hAnsi="宋体" w:cs="宋体"/>
        </w:rPr>
        <w:t>当工程具备以下条件时，承包人即可向监理人报送竣工验收申请报告：</w:t>
      </w:r>
    </w:p>
    <w:p>
      <w:pPr>
        <w:autoSpaceDE w:val="0"/>
        <w:autoSpaceDN w:val="0"/>
        <w:adjustRightInd w:val="0"/>
        <w:rPr>
          <w:rFonts w:ascii="宋体" w:hAnsi="宋体" w:cs="宋体"/>
        </w:rPr>
      </w:pPr>
      <w:r>
        <w:rPr>
          <w:rFonts w:hint="eastAsia" w:ascii="宋体" w:hAnsi="宋体" w:cs="宋体"/>
        </w:rPr>
        <w:t>（</w:t>
      </w:r>
      <w:r>
        <w:rPr>
          <w:rFonts w:ascii="宋体" w:hAnsi="宋体" w:cs="TimesNewRomanPSMT"/>
        </w:rPr>
        <w:t>1</w:t>
      </w:r>
      <w:r>
        <w:rPr>
          <w:rFonts w:hint="eastAsia" w:ascii="宋体" w:hAnsi="宋体" w:cs="宋体"/>
        </w:rPr>
        <w:t>）除监理人同意列入缺陷责任期内完成的尾工（甩项）工程和缺陷修补工作外，合同范围内的全部单位工程以及有关工作，包括合同要求的试验、试运行以及检验和验收均已完成，并符合合同要求；</w:t>
      </w:r>
    </w:p>
    <w:p>
      <w:pPr>
        <w:autoSpaceDE w:val="0"/>
        <w:autoSpaceDN w:val="0"/>
        <w:adjustRightInd w:val="0"/>
        <w:rPr>
          <w:rFonts w:ascii="宋体" w:hAnsi="宋体" w:cs="宋体"/>
        </w:rPr>
      </w:pPr>
      <w:r>
        <w:rPr>
          <w:rFonts w:hint="eastAsia" w:ascii="宋体" w:hAnsi="宋体" w:cs="宋体"/>
        </w:rPr>
        <w:t>（</w:t>
      </w:r>
      <w:r>
        <w:rPr>
          <w:rFonts w:ascii="宋体" w:hAnsi="宋体" w:cs="TimesNewRomanPSMT"/>
        </w:rPr>
        <w:t>2</w:t>
      </w:r>
      <w:r>
        <w:rPr>
          <w:rFonts w:hint="eastAsia" w:ascii="宋体" w:hAnsi="宋体" w:cs="宋体"/>
        </w:rPr>
        <w:t>）已按合同约定的内容和份数备齐了符合要求的竣工资料；</w:t>
      </w:r>
    </w:p>
    <w:p>
      <w:pPr>
        <w:autoSpaceDE w:val="0"/>
        <w:autoSpaceDN w:val="0"/>
        <w:adjustRightInd w:val="0"/>
        <w:rPr>
          <w:rFonts w:ascii="宋体" w:hAnsi="宋体" w:cs="宋体"/>
        </w:rPr>
      </w:pPr>
      <w:r>
        <w:rPr>
          <w:rFonts w:hint="eastAsia" w:ascii="宋体" w:hAnsi="宋体" w:cs="宋体"/>
        </w:rPr>
        <w:t>（</w:t>
      </w:r>
      <w:r>
        <w:rPr>
          <w:rFonts w:ascii="宋体" w:hAnsi="宋体" w:cs="TimesNewRomanPSMT"/>
        </w:rPr>
        <w:t>3</w:t>
      </w:r>
      <w:r>
        <w:rPr>
          <w:rFonts w:hint="eastAsia" w:ascii="宋体" w:hAnsi="宋体" w:cs="宋体"/>
        </w:rPr>
        <w:t>）已按监理人的要求编制了在缺陷责任期内完成的尾工（甩项）工程和缺陷修补工作清单以及相应施工计划；</w:t>
      </w:r>
    </w:p>
    <w:p>
      <w:pPr>
        <w:autoSpaceDE w:val="0"/>
        <w:autoSpaceDN w:val="0"/>
        <w:adjustRightInd w:val="0"/>
        <w:rPr>
          <w:rFonts w:ascii="宋体" w:hAnsi="宋体" w:cs="宋体"/>
        </w:rPr>
      </w:pPr>
      <w:r>
        <w:rPr>
          <w:rFonts w:hint="eastAsia" w:ascii="宋体" w:hAnsi="宋体" w:cs="宋体"/>
        </w:rPr>
        <w:t>（</w:t>
      </w:r>
      <w:r>
        <w:rPr>
          <w:rFonts w:ascii="宋体" w:hAnsi="宋体" w:cs="TimesNewRomanPSMT"/>
        </w:rPr>
        <w:t>4</w:t>
      </w:r>
      <w:r>
        <w:rPr>
          <w:rFonts w:hint="eastAsia" w:ascii="宋体" w:hAnsi="宋体" w:cs="宋体"/>
        </w:rPr>
        <w:t>）监理人要求在竣工验收前应完成的其他工作；</w:t>
      </w:r>
    </w:p>
    <w:p>
      <w:pPr>
        <w:autoSpaceDE w:val="0"/>
        <w:autoSpaceDN w:val="0"/>
        <w:adjustRightInd w:val="0"/>
        <w:rPr>
          <w:rFonts w:ascii="宋体" w:hAnsi="宋体" w:cs="宋体"/>
        </w:rPr>
      </w:pPr>
      <w:r>
        <w:rPr>
          <w:rFonts w:hint="eastAsia" w:ascii="宋体" w:hAnsi="宋体" w:cs="宋体"/>
        </w:rPr>
        <w:t>（</w:t>
      </w:r>
      <w:r>
        <w:rPr>
          <w:rFonts w:ascii="宋体" w:hAnsi="宋体" w:cs="TimesNewRomanPSMT"/>
        </w:rPr>
        <w:t>5</w:t>
      </w:r>
      <w:r>
        <w:rPr>
          <w:rFonts w:hint="eastAsia" w:ascii="宋体" w:hAnsi="宋体" w:cs="宋体"/>
        </w:rPr>
        <w:t>）监理人要求提交的竣工验收资料清单。</w:t>
      </w:r>
    </w:p>
    <w:p>
      <w:pPr>
        <w:keepNext/>
        <w:keepLines/>
        <w:spacing w:before="120" w:after="120"/>
        <w:jc w:val="both"/>
        <w:outlineLvl w:val="2"/>
        <w:rPr>
          <w:rFonts w:ascii="宋体" w:hAnsi="宋体" w:cs="TimesNewRomanPSMT"/>
          <w:b/>
        </w:rPr>
      </w:pPr>
      <w:bookmarkStart w:id="167" w:name="_Toc260305514"/>
      <w:r>
        <w:rPr>
          <w:rFonts w:ascii="宋体" w:hAnsi="宋体" w:cs="TimesNewRomanPSMT"/>
          <w:b/>
        </w:rPr>
        <w:t xml:space="preserve">18.3 </w:t>
      </w:r>
      <w:r>
        <w:rPr>
          <w:rFonts w:hint="eastAsia" w:ascii="宋体" w:hAnsi="宋体" w:cs="TimesNewRomanPSMT"/>
          <w:b/>
        </w:rPr>
        <w:t>验收</w:t>
      </w:r>
      <w:bookmarkEnd w:id="167"/>
    </w:p>
    <w:p>
      <w:pPr>
        <w:autoSpaceDE w:val="0"/>
        <w:autoSpaceDN w:val="0"/>
        <w:adjustRightInd w:val="0"/>
        <w:rPr>
          <w:rFonts w:ascii="宋体" w:hAnsi="宋体" w:cs="宋体"/>
        </w:rPr>
      </w:pPr>
      <w:r>
        <w:rPr>
          <w:rFonts w:hint="eastAsia" w:ascii="宋体" w:hAnsi="宋体" w:cs="宋体"/>
        </w:rPr>
        <w:t>监理人收到承包人按第</w:t>
      </w:r>
      <w:r>
        <w:rPr>
          <w:rFonts w:ascii="宋体" w:hAnsi="宋体" w:cs="TimesNewRomanPSMT"/>
        </w:rPr>
        <w:t xml:space="preserve">18.2 </w:t>
      </w:r>
      <w:r>
        <w:rPr>
          <w:rFonts w:hint="eastAsia" w:ascii="宋体" w:hAnsi="宋体" w:cs="宋体"/>
        </w:rPr>
        <w:t>款约定提交的竣工验收申请报告后，应审查申请报告的各项内容，并按以下不同情况进行处理。</w:t>
      </w:r>
    </w:p>
    <w:p>
      <w:pPr>
        <w:autoSpaceDE w:val="0"/>
        <w:autoSpaceDN w:val="0"/>
        <w:adjustRightInd w:val="0"/>
        <w:rPr>
          <w:rFonts w:ascii="宋体" w:hAnsi="宋体" w:cs="宋体"/>
        </w:rPr>
      </w:pPr>
      <w:r>
        <w:rPr>
          <w:rFonts w:ascii="宋体" w:hAnsi="宋体" w:cs="TimesNewRomanPSMT"/>
        </w:rPr>
        <w:t xml:space="preserve">18.3.1 </w:t>
      </w:r>
      <w:r>
        <w:rPr>
          <w:rFonts w:hint="eastAsia" w:ascii="宋体" w:hAnsi="宋体" w:cs="宋体"/>
        </w:rPr>
        <w:t>监理人审查后认为尚不具备竣工验收条件的，应在收到竣工验收申请报告后的</w:t>
      </w:r>
      <w:r>
        <w:rPr>
          <w:rFonts w:ascii="宋体" w:hAnsi="宋体" w:cs="TimesNewRomanPSMT"/>
        </w:rPr>
        <w:t xml:space="preserve">28 </w:t>
      </w:r>
      <w:r>
        <w:rPr>
          <w:rFonts w:hint="eastAsia" w:ascii="宋体" w:hAnsi="宋体" w:cs="宋体"/>
        </w:rPr>
        <w:t>天内通知承包人，指出在颁发接收证书前承包人还需进行的工作内容。承包人完成监理人通知的全部工作内容后，应再次提交竣工验收申请报告，直至监理人同意为止。</w:t>
      </w:r>
    </w:p>
    <w:p>
      <w:pPr>
        <w:autoSpaceDE w:val="0"/>
        <w:autoSpaceDN w:val="0"/>
        <w:adjustRightInd w:val="0"/>
        <w:rPr>
          <w:rFonts w:ascii="宋体" w:hAnsi="宋体" w:cs="宋体"/>
        </w:rPr>
      </w:pPr>
      <w:r>
        <w:rPr>
          <w:rFonts w:ascii="宋体" w:hAnsi="宋体" w:cs="TimesNewRomanPSMT"/>
        </w:rPr>
        <w:t xml:space="preserve">18.3.2 </w:t>
      </w:r>
      <w:r>
        <w:rPr>
          <w:rFonts w:hint="eastAsia" w:ascii="宋体" w:hAnsi="宋体" w:cs="宋体"/>
        </w:rPr>
        <w:t>监理人审查后认为已具备竣工验收条件的，应在收到竣工验收申请报告后的</w:t>
      </w:r>
      <w:r>
        <w:rPr>
          <w:rFonts w:ascii="宋体" w:hAnsi="宋体" w:cs="TimesNewRomanPSMT"/>
        </w:rPr>
        <w:t>28</w:t>
      </w:r>
      <w:r>
        <w:rPr>
          <w:rFonts w:hint="eastAsia" w:ascii="宋体" w:hAnsi="宋体" w:cs="宋体"/>
        </w:rPr>
        <w:t>天内提请发包人进行工程验收。</w:t>
      </w:r>
    </w:p>
    <w:p>
      <w:pPr>
        <w:autoSpaceDE w:val="0"/>
        <w:autoSpaceDN w:val="0"/>
        <w:adjustRightInd w:val="0"/>
        <w:rPr>
          <w:rFonts w:ascii="宋体" w:hAnsi="宋体" w:cs="宋体"/>
        </w:rPr>
      </w:pPr>
      <w:r>
        <w:rPr>
          <w:rFonts w:ascii="宋体" w:hAnsi="宋体" w:cs="TimesNewRomanPSMT"/>
        </w:rPr>
        <w:t xml:space="preserve">18.3.3 </w:t>
      </w:r>
      <w:r>
        <w:rPr>
          <w:rFonts w:hint="eastAsia" w:ascii="宋体" w:hAnsi="宋体" w:cs="宋体"/>
        </w:rPr>
        <w:t>发包人经过验收后同意接受工程的，应在监理人收到竣工验收申请报告后的</w:t>
      </w:r>
      <w:r>
        <w:rPr>
          <w:rFonts w:ascii="宋体" w:hAnsi="宋体" w:cs="TimesNewRomanPSMT"/>
        </w:rPr>
        <w:t>56</w:t>
      </w:r>
      <w:r>
        <w:rPr>
          <w:rFonts w:hint="eastAsia" w:ascii="宋体" w:hAnsi="宋体" w:cs="宋体"/>
        </w:rPr>
        <w:t>天内，由监理人向承包人出具经发包人签认的工程接收证书。发包人验收后同意接收工程但提出整修和完善要求的，限期修好，并缓发工程接收证书。整修和完善工作完成后，监理人复查达到要求的，经发包人同意后，再向承包人出具工程接收证书。</w:t>
      </w:r>
    </w:p>
    <w:p>
      <w:pPr>
        <w:autoSpaceDE w:val="0"/>
        <w:autoSpaceDN w:val="0"/>
        <w:adjustRightInd w:val="0"/>
        <w:rPr>
          <w:rFonts w:ascii="宋体" w:hAnsi="宋体" w:cs="宋体"/>
        </w:rPr>
      </w:pPr>
      <w:r>
        <w:rPr>
          <w:rFonts w:ascii="宋体" w:hAnsi="宋体" w:cs="TimesNewRomanPSMT"/>
        </w:rPr>
        <w:t xml:space="preserve">18.3.4 </w:t>
      </w:r>
      <w:r>
        <w:rPr>
          <w:rFonts w:hint="eastAsia" w:ascii="宋体" w:hAnsi="宋体" w:cs="宋体"/>
        </w:rPr>
        <w:t>发包人验收后不同意接收工程的，监理人应按照发包人的验收意见发出指示，要求承包人对不合格工程认真返工重作或进行补救处理，并承担由此产生的费用。承包人在完成不合格工程的返工重作或补救工作后，应重新提交竣工验收申请报告，按第</w:t>
      </w:r>
      <w:r>
        <w:rPr>
          <w:rFonts w:ascii="宋体" w:hAnsi="宋体" w:cs="TimesNewRomanPSMT"/>
        </w:rPr>
        <w:t xml:space="preserve">18.3.1 </w:t>
      </w:r>
      <w:r>
        <w:rPr>
          <w:rFonts w:hint="eastAsia" w:ascii="宋体" w:hAnsi="宋体" w:cs="宋体"/>
        </w:rPr>
        <w:t>项、第</w:t>
      </w:r>
      <w:r>
        <w:rPr>
          <w:rFonts w:ascii="宋体" w:hAnsi="宋体" w:cs="TimesNewRomanPSMT"/>
        </w:rPr>
        <w:t xml:space="preserve">18.3.2 </w:t>
      </w:r>
      <w:r>
        <w:rPr>
          <w:rFonts w:hint="eastAsia" w:ascii="宋体" w:hAnsi="宋体" w:cs="宋体"/>
        </w:rPr>
        <w:t>项和第</w:t>
      </w:r>
      <w:r>
        <w:rPr>
          <w:rFonts w:ascii="宋体" w:hAnsi="宋体" w:cs="TimesNewRomanPSMT"/>
        </w:rPr>
        <w:t xml:space="preserve">18.3.3 </w:t>
      </w:r>
      <w:r>
        <w:rPr>
          <w:rFonts w:hint="eastAsia" w:ascii="宋体" w:hAnsi="宋体" w:cs="宋体"/>
        </w:rPr>
        <w:t>项的约定进行。</w:t>
      </w:r>
    </w:p>
    <w:p>
      <w:pPr>
        <w:autoSpaceDE w:val="0"/>
        <w:autoSpaceDN w:val="0"/>
        <w:adjustRightInd w:val="0"/>
        <w:rPr>
          <w:rFonts w:ascii="宋体" w:hAnsi="宋体" w:cs="宋体"/>
        </w:rPr>
      </w:pPr>
      <w:r>
        <w:rPr>
          <w:rFonts w:ascii="宋体" w:hAnsi="宋体" w:cs="TimesNewRomanPSMT"/>
        </w:rPr>
        <w:t xml:space="preserve">18.3.5 </w:t>
      </w:r>
      <w:r>
        <w:rPr>
          <w:rFonts w:hint="eastAsia" w:ascii="宋体" w:hAnsi="宋体" w:cs="宋体"/>
        </w:rPr>
        <w:t>除专用合同条款另有约定外，经验收合格工程的实际竣工日期，以提交竣工验收申请报告的日期为准，并在工程接收证书中写明。</w:t>
      </w:r>
    </w:p>
    <w:p>
      <w:pPr>
        <w:autoSpaceDE w:val="0"/>
        <w:autoSpaceDN w:val="0"/>
        <w:adjustRightInd w:val="0"/>
        <w:rPr>
          <w:rFonts w:ascii="宋体" w:hAnsi="宋体" w:cs="宋体"/>
        </w:rPr>
      </w:pPr>
      <w:r>
        <w:rPr>
          <w:rFonts w:ascii="宋体" w:hAnsi="宋体" w:cs="TimesNewRomanPSMT"/>
        </w:rPr>
        <w:t xml:space="preserve">18.3.6 </w:t>
      </w:r>
      <w:r>
        <w:rPr>
          <w:rFonts w:hint="eastAsia" w:ascii="宋体" w:hAnsi="宋体" w:cs="宋体"/>
        </w:rPr>
        <w:t>发包人在收到承包人竣工验收申请报告</w:t>
      </w:r>
      <w:r>
        <w:rPr>
          <w:rFonts w:ascii="宋体" w:hAnsi="宋体" w:cs="TimesNewRomanPSMT"/>
        </w:rPr>
        <w:t xml:space="preserve">56 </w:t>
      </w:r>
      <w:r>
        <w:rPr>
          <w:rFonts w:hint="eastAsia" w:ascii="宋体" w:hAnsi="宋体" w:cs="宋体"/>
        </w:rPr>
        <w:t>天后未进行验收的，视为验收合格，实际竣工日期以提交竣工验收申请报告的日期为准，但发包人由于不可抗力不能进行验收的除外。</w:t>
      </w:r>
    </w:p>
    <w:p>
      <w:pPr>
        <w:keepNext/>
        <w:keepLines/>
        <w:spacing w:before="120" w:after="120"/>
        <w:jc w:val="both"/>
        <w:outlineLvl w:val="2"/>
        <w:rPr>
          <w:rFonts w:ascii="宋体" w:hAnsi="宋体" w:cs="TimesNewRomanPSMT"/>
          <w:b/>
        </w:rPr>
      </w:pPr>
      <w:bookmarkStart w:id="168" w:name="_Toc260305515"/>
      <w:r>
        <w:rPr>
          <w:rFonts w:ascii="宋体" w:hAnsi="宋体" w:cs="TimesNewRomanPSMT"/>
          <w:b/>
        </w:rPr>
        <w:t xml:space="preserve">18.4 </w:t>
      </w:r>
      <w:r>
        <w:rPr>
          <w:rFonts w:hint="eastAsia" w:ascii="宋体" w:hAnsi="宋体" w:cs="TimesNewRomanPSMT"/>
          <w:b/>
        </w:rPr>
        <w:t>单位工程验收</w:t>
      </w:r>
      <w:bookmarkEnd w:id="168"/>
    </w:p>
    <w:p>
      <w:pPr>
        <w:autoSpaceDE w:val="0"/>
        <w:autoSpaceDN w:val="0"/>
        <w:adjustRightInd w:val="0"/>
        <w:rPr>
          <w:rFonts w:ascii="宋体" w:hAnsi="宋体" w:cs="宋体"/>
        </w:rPr>
      </w:pPr>
      <w:r>
        <w:rPr>
          <w:rFonts w:ascii="宋体" w:hAnsi="宋体" w:cs="TimesNewRomanPSMT"/>
        </w:rPr>
        <w:t xml:space="preserve">18.4.1 </w:t>
      </w:r>
      <w:r>
        <w:rPr>
          <w:rFonts w:hint="eastAsia" w:ascii="宋体" w:hAnsi="宋体" w:cs="宋体"/>
        </w:rPr>
        <w:t>发包人根据合同进度计划安排，在全部工程竣工前需要使用已经竣工的单位工程时，或承包人提出经发包人同意时，可进行单位工程验收。验收的程序可参照第</w:t>
      </w:r>
      <w:r>
        <w:rPr>
          <w:rFonts w:ascii="宋体" w:hAnsi="宋体" w:cs="TimesNewRomanPSMT"/>
        </w:rPr>
        <w:t xml:space="preserve">18.2 </w:t>
      </w:r>
      <w:r>
        <w:rPr>
          <w:rFonts w:hint="eastAsia" w:ascii="宋体" w:hAnsi="宋体" w:cs="宋体"/>
        </w:rPr>
        <w:t>款与第</w:t>
      </w:r>
      <w:r>
        <w:rPr>
          <w:rFonts w:ascii="宋体" w:hAnsi="宋体" w:cs="TimesNewRomanPSMT"/>
        </w:rPr>
        <w:t xml:space="preserve">18.3 </w:t>
      </w:r>
      <w:r>
        <w:rPr>
          <w:rFonts w:hint="eastAsia" w:ascii="宋体" w:hAnsi="宋体" w:cs="宋体"/>
        </w:rPr>
        <w:t>款的约定进行。验收合格后，由监理人向承包人出具经发包人签认的单位工程验收证书。已签发单位工程接收证书的单位工程由发包人负责照管。单位工程的验收成果和结论作为全部工程竣工验收申请报告的附件。</w:t>
      </w:r>
    </w:p>
    <w:p>
      <w:pPr>
        <w:autoSpaceDE w:val="0"/>
        <w:autoSpaceDN w:val="0"/>
        <w:adjustRightInd w:val="0"/>
        <w:rPr>
          <w:rFonts w:ascii="宋体" w:hAnsi="宋体" w:cs="宋体"/>
        </w:rPr>
      </w:pPr>
      <w:r>
        <w:rPr>
          <w:rFonts w:ascii="宋体" w:hAnsi="宋体" w:cs="TimesNewRomanPSMT"/>
        </w:rPr>
        <w:t xml:space="preserve">18.4.2 </w:t>
      </w:r>
      <w:r>
        <w:rPr>
          <w:rFonts w:hint="eastAsia" w:ascii="宋体" w:hAnsi="宋体" w:cs="宋体"/>
        </w:rPr>
        <w:t>发包人在全部工程竣工前，使用已接收的单位工程导致承包人费用增加的，发包人应承担由此增加的费用和（或）工期延误，并支付承包人合理利润。</w:t>
      </w:r>
    </w:p>
    <w:p>
      <w:pPr>
        <w:keepNext/>
        <w:keepLines/>
        <w:spacing w:before="120" w:after="120"/>
        <w:jc w:val="both"/>
        <w:outlineLvl w:val="2"/>
        <w:rPr>
          <w:rFonts w:ascii="宋体" w:hAnsi="宋体" w:cs="TimesNewRomanPSMT"/>
          <w:b/>
        </w:rPr>
      </w:pPr>
      <w:bookmarkStart w:id="169" w:name="_Toc260305516"/>
      <w:r>
        <w:rPr>
          <w:rFonts w:ascii="宋体" w:hAnsi="宋体" w:cs="TimesNewRomanPSMT"/>
          <w:b/>
        </w:rPr>
        <w:t xml:space="preserve">18.5 </w:t>
      </w:r>
      <w:r>
        <w:rPr>
          <w:rFonts w:hint="eastAsia" w:ascii="宋体" w:hAnsi="宋体" w:cs="TimesNewRomanPSMT"/>
          <w:b/>
        </w:rPr>
        <w:t>施工期运行</w:t>
      </w:r>
      <w:bookmarkEnd w:id="169"/>
    </w:p>
    <w:p>
      <w:pPr>
        <w:autoSpaceDE w:val="0"/>
        <w:autoSpaceDN w:val="0"/>
        <w:adjustRightInd w:val="0"/>
        <w:rPr>
          <w:rFonts w:ascii="宋体" w:hAnsi="宋体" w:cs="宋体"/>
        </w:rPr>
      </w:pPr>
      <w:r>
        <w:rPr>
          <w:rFonts w:ascii="宋体" w:hAnsi="宋体" w:cs="TimesNewRomanPSMT"/>
        </w:rPr>
        <w:t xml:space="preserve">18.5.1 </w:t>
      </w:r>
      <w:r>
        <w:rPr>
          <w:rFonts w:hint="eastAsia" w:ascii="宋体" w:hAnsi="宋体" w:cs="宋体"/>
        </w:rPr>
        <w:t>施工期运行是指合同工程尚未全部竣工，其中某项或某几项单位工程或工程设备安装已竣工，根据专用合同条款约定，需要投入施工期运行的，经发包人按第</w:t>
      </w:r>
      <w:r>
        <w:rPr>
          <w:rFonts w:ascii="宋体" w:hAnsi="宋体" w:cs="TimesNewRomanPSMT"/>
        </w:rPr>
        <w:t xml:space="preserve">18.4 </w:t>
      </w:r>
      <w:r>
        <w:rPr>
          <w:rFonts w:hint="eastAsia" w:ascii="宋体" w:hAnsi="宋体" w:cs="宋体"/>
        </w:rPr>
        <w:t>款的约定验收合格，证明能确保安全后，才能在施工期投入运行。</w:t>
      </w:r>
    </w:p>
    <w:p>
      <w:pPr>
        <w:autoSpaceDE w:val="0"/>
        <w:autoSpaceDN w:val="0"/>
        <w:adjustRightInd w:val="0"/>
        <w:rPr>
          <w:rFonts w:ascii="宋体" w:hAnsi="宋体" w:cs="宋体"/>
        </w:rPr>
      </w:pPr>
      <w:r>
        <w:rPr>
          <w:rFonts w:ascii="宋体" w:hAnsi="宋体" w:cs="TimesNewRomanPSMT"/>
        </w:rPr>
        <w:t xml:space="preserve">18.5.2 </w:t>
      </w:r>
      <w:r>
        <w:rPr>
          <w:rFonts w:hint="eastAsia" w:ascii="宋体" w:hAnsi="宋体" w:cs="宋体"/>
        </w:rPr>
        <w:t>在施工期运行中发现工程或工程设备损坏或存在缺陷的，由承包人按第1</w:t>
      </w:r>
      <w:r>
        <w:rPr>
          <w:rFonts w:ascii="宋体" w:hAnsi="宋体" w:cs="TimesNewRomanPSMT"/>
        </w:rPr>
        <w:t xml:space="preserve">9.2 </w:t>
      </w:r>
      <w:r>
        <w:rPr>
          <w:rFonts w:hint="eastAsia" w:ascii="宋体" w:hAnsi="宋体" w:cs="宋体"/>
        </w:rPr>
        <w:t>款约定进行修复。</w:t>
      </w:r>
    </w:p>
    <w:p>
      <w:pPr>
        <w:keepNext/>
        <w:keepLines/>
        <w:spacing w:before="120" w:after="120"/>
        <w:jc w:val="both"/>
        <w:outlineLvl w:val="2"/>
        <w:rPr>
          <w:rFonts w:ascii="宋体" w:hAnsi="宋体" w:cs="TimesNewRomanPSMT"/>
          <w:b/>
        </w:rPr>
      </w:pPr>
      <w:bookmarkStart w:id="170" w:name="_Toc260305517"/>
      <w:r>
        <w:rPr>
          <w:rFonts w:ascii="宋体" w:hAnsi="宋体" w:cs="TimesNewRomanPSMT"/>
          <w:b/>
        </w:rPr>
        <w:t xml:space="preserve">18.6 </w:t>
      </w:r>
      <w:r>
        <w:rPr>
          <w:rFonts w:hint="eastAsia" w:ascii="宋体" w:hAnsi="宋体" w:cs="TimesNewRomanPSMT"/>
          <w:b/>
        </w:rPr>
        <w:t>试运行</w:t>
      </w:r>
      <w:bookmarkEnd w:id="170"/>
    </w:p>
    <w:p>
      <w:pPr>
        <w:autoSpaceDE w:val="0"/>
        <w:autoSpaceDN w:val="0"/>
        <w:adjustRightInd w:val="0"/>
        <w:rPr>
          <w:rFonts w:ascii="宋体" w:hAnsi="宋体" w:cs="宋体"/>
        </w:rPr>
      </w:pPr>
      <w:r>
        <w:rPr>
          <w:rFonts w:ascii="宋体" w:hAnsi="宋体" w:cs="TimesNewRomanPSMT"/>
        </w:rPr>
        <w:t xml:space="preserve">18.6.1 </w:t>
      </w:r>
      <w:r>
        <w:rPr>
          <w:rFonts w:hint="eastAsia" w:ascii="宋体" w:hAnsi="宋体" w:cs="宋体"/>
        </w:rPr>
        <w:t>除专用合同条款另有约定外，承包人应按专用合同条款约定进行工程及工程设备试运行，负责提供试运行所需的人员、器材和必要的条件，并承担全部试运行费用。</w:t>
      </w:r>
    </w:p>
    <w:p>
      <w:pPr>
        <w:autoSpaceDE w:val="0"/>
        <w:autoSpaceDN w:val="0"/>
        <w:adjustRightInd w:val="0"/>
        <w:rPr>
          <w:rFonts w:ascii="宋体" w:hAnsi="宋体" w:cs="宋体"/>
        </w:rPr>
      </w:pPr>
      <w:r>
        <w:rPr>
          <w:rFonts w:ascii="宋体" w:hAnsi="宋体" w:cs="TimesNewRomanPSMT"/>
        </w:rPr>
        <w:t xml:space="preserve">18.6.2 </w:t>
      </w:r>
      <w:r>
        <w:rPr>
          <w:rFonts w:hint="eastAsia" w:ascii="宋体" w:hAnsi="宋体" w:cs="宋体"/>
        </w:rPr>
        <w:t>由于承包人的原因导致试运行失败的，承包人应采取措施保证试运行合格，并承担相应费用。由于发包人的原因导致试运行失败的，承包人应当采取措施保证试运行合格，发包人应承担由此产生的费用，并支付承包人合理利润。</w:t>
      </w:r>
    </w:p>
    <w:p>
      <w:pPr>
        <w:keepNext/>
        <w:keepLines/>
        <w:spacing w:before="120" w:after="120"/>
        <w:jc w:val="both"/>
        <w:outlineLvl w:val="2"/>
        <w:rPr>
          <w:rFonts w:ascii="宋体" w:hAnsi="宋体" w:cs="TimesNewRomanPSMT"/>
          <w:b/>
        </w:rPr>
      </w:pPr>
      <w:bookmarkStart w:id="171" w:name="_Toc260305518"/>
      <w:r>
        <w:rPr>
          <w:rFonts w:ascii="宋体" w:hAnsi="宋体" w:cs="TimesNewRomanPSMT"/>
          <w:b/>
        </w:rPr>
        <w:t xml:space="preserve">18.7 </w:t>
      </w:r>
      <w:r>
        <w:rPr>
          <w:rFonts w:hint="eastAsia" w:ascii="宋体" w:hAnsi="宋体" w:cs="TimesNewRomanPSMT"/>
          <w:b/>
        </w:rPr>
        <w:t>竣工清场</w:t>
      </w:r>
      <w:bookmarkEnd w:id="171"/>
    </w:p>
    <w:p>
      <w:pPr>
        <w:autoSpaceDE w:val="0"/>
        <w:autoSpaceDN w:val="0"/>
        <w:adjustRightInd w:val="0"/>
        <w:rPr>
          <w:rFonts w:ascii="宋体" w:hAnsi="宋体" w:cs="宋体"/>
        </w:rPr>
      </w:pPr>
      <w:r>
        <w:rPr>
          <w:rFonts w:ascii="宋体" w:hAnsi="宋体" w:cs="TimesNewRomanPSMT"/>
        </w:rPr>
        <w:t xml:space="preserve">18.7.1 </w:t>
      </w:r>
      <w:r>
        <w:rPr>
          <w:rFonts w:hint="eastAsia" w:ascii="宋体" w:hAnsi="宋体" w:cs="宋体"/>
        </w:rPr>
        <w:t>除合同另有约定外，工程接收证书颁发后，承包人应按以下要求对施工场地进行清理，直至监理人检验合格为止。竣工清场费用由承包人承担。</w:t>
      </w:r>
    </w:p>
    <w:p>
      <w:pPr>
        <w:autoSpaceDE w:val="0"/>
        <w:autoSpaceDN w:val="0"/>
        <w:adjustRightInd w:val="0"/>
        <w:rPr>
          <w:rFonts w:ascii="宋体" w:hAnsi="宋体" w:cs="宋体"/>
        </w:rPr>
      </w:pPr>
      <w:r>
        <w:rPr>
          <w:rFonts w:hint="eastAsia" w:ascii="宋体" w:hAnsi="宋体" w:cs="宋体"/>
        </w:rPr>
        <w:t>（</w:t>
      </w:r>
      <w:r>
        <w:rPr>
          <w:rFonts w:ascii="宋体" w:hAnsi="宋体" w:cs="TimesNewRomanPSMT"/>
        </w:rPr>
        <w:t>1</w:t>
      </w:r>
      <w:r>
        <w:rPr>
          <w:rFonts w:hint="eastAsia" w:ascii="宋体" w:hAnsi="宋体" w:cs="宋体"/>
        </w:rPr>
        <w:t>）施工场地内残留的垃圾已全部清除出场；</w:t>
      </w:r>
    </w:p>
    <w:p>
      <w:pPr>
        <w:autoSpaceDE w:val="0"/>
        <w:autoSpaceDN w:val="0"/>
        <w:adjustRightInd w:val="0"/>
        <w:rPr>
          <w:rFonts w:ascii="宋体" w:hAnsi="宋体" w:cs="宋体"/>
        </w:rPr>
      </w:pPr>
      <w:r>
        <w:rPr>
          <w:rFonts w:hint="eastAsia" w:ascii="宋体" w:hAnsi="宋体" w:cs="宋体"/>
        </w:rPr>
        <w:t>（</w:t>
      </w:r>
      <w:r>
        <w:rPr>
          <w:rFonts w:ascii="宋体" w:hAnsi="宋体" w:cs="TimesNewRomanPSMT"/>
        </w:rPr>
        <w:t>2</w:t>
      </w:r>
      <w:r>
        <w:rPr>
          <w:rFonts w:hint="eastAsia" w:ascii="宋体" w:hAnsi="宋体" w:cs="宋体"/>
        </w:rPr>
        <w:t>）临时工程已拆除，场地已按合同要求进行清理、平整或复原；</w:t>
      </w:r>
    </w:p>
    <w:p>
      <w:pPr>
        <w:autoSpaceDE w:val="0"/>
        <w:autoSpaceDN w:val="0"/>
        <w:adjustRightInd w:val="0"/>
        <w:rPr>
          <w:rFonts w:ascii="宋体" w:hAnsi="宋体" w:cs="宋体"/>
        </w:rPr>
      </w:pPr>
      <w:r>
        <w:rPr>
          <w:rFonts w:hint="eastAsia" w:ascii="宋体" w:hAnsi="宋体" w:cs="宋体"/>
        </w:rPr>
        <w:t>（</w:t>
      </w:r>
      <w:r>
        <w:rPr>
          <w:rFonts w:ascii="宋体" w:hAnsi="宋体" w:cs="TimesNewRomanPSMT"/>
        </w:rPr>
        <w:t>3</w:t>
      </w:r>
      <w:r>
        <w:rPr>
          <w:rFonts w:hint="eastAsia" w:ascii="宋体" w:hAnsi="宋体" w:cs="宋体"/>
        </w:rPr>
        <w:t>）按合同约定应撤离的承包人设备和剩余的材料，包括废弃的施工设备和材料，已按计划撤离施工场地；</w:t>
      </w:r>
    </w:p>
    <w:p>
      <w:pPr>
        <w:autoSpaceDE w:val="0"/>
        <w:autoSpaceDN w:val="0"/>
        <w:adjustRightInd w:val="0"/>
        <w:rPr>
          <w:rFonts w:ascii="宋体" w:hAnsi="宋体" w:cs="宋体"/>
        </w:rPr>
      </w:pPr>
      <w:r>
        <w:rPr>
          <w:rFonts w:hint="eastAsia" w:ascii="宋体" w:hAnsi="宋体" w:cs="宋体"/>
        </w:rPr>
        <w:t>（</w:t>
      </w:r>
      <w:r>
        <w:rPr>
          <w:rFonts w:ascii="宋体" w:hAnsi="宋体" w:cs="TimesNewRomanPSMT"/>
        </w:rPr>
        <w:t>4</w:t>
      </w:r>
      <w:r>
        <w:rPr>
          <w:rFonts w:hint="eastAsia" w:ascii="宋体" w:hAnsi="宋体" w:cs="宋体"/>
        </w:rPr>
        <w:t>）工程建筑物周边及其附近道路、河道的施工堆积物，已按监理人指示全部清理；</w:t>
      </w:r>
    </w:p>
    <w:p>
      <w:pPr>
        <w:autoSpaceDE w:val="0"/>
        <w:autoSpaceDN w:val="0"/>
        <w:adjustRightInd w:val="0"/>
        <w:rPr>
          <w:rFonts w:ascii="宋体" w:hAnsi="宋体" w:cs="宋体"/>
        </w:rPr>
      </w:pPr>
      <w:r>
        <w:rPr>
          <w:rFonts w:hint="eastAsia" w:ascii="宋体" w:hAnsi="宋体" w:cs="宋体"/>
        </w:rPr>
        <w:t>（</w:t>
      </w:r>
      <w:r>
        <w:rPr>
          <w:rFonts w:ascii="宋体" w:hAnsi="宋体" w:cs="TimesNewRomanPSMT"/>
        </w:rPr>
        <w:t>5</w:t>
      </w:r>
      <w:r>
        <w:rPr>
          <w:rFonts w:hint="eastAsia" w:ascii="宋体" w:hAnsi="宋体" w:cs="宋体"/>
        </w:rPr>
        <w:t>）监理人指示的其他场地清理工作已全部完成。</w:t>
      </w:r>
    </w:p>
    <w:p>
      <w:pPr>
        <w:autoSpaceDE w:val="0"/>
        <w:autoSpaceDN w:val="0"/>
        <w:adjustRightInd w:val="0"/>
        <w:rPr>
          <w:rFonts w:ascii="宋体" w:hAnsi="宋体" w:cs="宋体"/>
        </w:rPr>
      </w:pPr>
      <w:r>
        <w:rPr>
          <w:rFonts w:ascii="宋体" w:hAnsi="宋体" w:cs="TimesNewRomanPSMT"/>
        </w:rPr>
        <w:t xml:space="preserve">18.7.2 </w:t>
      </w:r>
      <w:r>
        <w:rPr>
          <w:rFonts w:hint="eastAsia" w:ascii="宋体" w:hAnsi="宋体" w:cs="宋体"/>
        </w:rPr>
        <w:t>承包人未按监理人的要求恢复临时占地，或者场地清理未达到合同约定的，发包人有权委托其他人恢复或清理，所发生的金额从拟支付给承包人的款项中扣除。</w:t>
      </w:r>
    </w:p>
    <w:p>
      <w:pPr>
        <w:keepNext/>
        <w:keepLines/>
        <w:spacing w:before="120" w:after="120"/>
        <w:jc w:val="both"/>
        <w:outlineLvl w:val="2"/>
        <w:rPr>
          <w:rFonts w:ascii="宋体" w:hAnsi="宋体" w:cs="TimesNewRomanPSMT"/>
          <w:b/>
        </w:rPr>
      </w:pPr>
      <w:bookmarkStart w:id="172" w:name="_Toc260305519"/>
      <w:r>
        <w:rPr>
          <w:rFonts w:ascii="宋体" w:hAnsi="宋体" w:cs="TimesNewRomanPSMT"/>
          <w:b/>
        </w:rPr>
        <w:t xml:space="preserve">18.8 </w:t>
      </w:r>
      <w:r>
        <w:rPr>
          <w:rFonts w:hint="eastAsia" w:ascii="宋体" w:hAnsi="宋体" w:cs="TimesNewRomanPSMT"/>
          <w:b/>
        </w:rPr>
        <w:t>施工队伍的撤离</w:t>
      </w:r>
      <w:bookmarkEnd w:id="172"/>
    </w:p>
    <w:p>
      <w:pPr>
        <w:autoSpaceDE w:val="0"/>
        <w:autoSpaceDN w:val="0"/>
        <w:adjustRightInd w:val="0"/>
        <w:rPr>
          <w:rFonts w:ascii="宋体" w:hAnsi="宋体" w:cs="宋体"/>
        </w:rPr>
      </w:pPr>
      <w:r>
        <w:rPr>
          <w:rFonts w:hint="eastAsia" w:ascii="宋体" w:hAnsi="宋体" w:cs="宋体"/>
        </w:rPr>
        <w:t>工程接收证书颁发后的</w:t>
      </w:r>
      <w:r>
        <w:rPr>
          <w:rFonts w:ascii="宋体" w:hAnsi="宋体" w:cs="TimesNewRomanPSMT"/>
        </w:rPr>
        <w:t xml:space="preserve">56 </w:t>
      </w:r>
      <w:r>
        <w:rPr>
          <w:rFonts w:hint="eastAsia" w:ascii="宋体" w:hAnsi="宋体" w:cs="宋体"/>
        </w:rPr>
        <w:t>天内，除了经监理人同意需在缺陷责任期内继续工作和使用的人员、施工设备和临时工程外，其余的人员、施工设备和临时工程均应撤离施工场地或拆除。除合同另有约定外，缺陷责任期满时，承包人的人员和施工设备应全部撤离施工场地。</w:t>
      </w:r>
    </w:p>
    <w:p>
      <w:pPr>
        <w:keepNext/>
        <w:keepLines/>
        <w:spacing w:before="120" w:after="120"/>
        <w:jc w:val="both"/>
        <w:outlineLvl w:val="1"/>
        <w:rPr>
          <w:rFonts w:ascii="宋体" w:hAnsi="宋体" w:cs="TimesNewRomanPSMT"/>
          <w:b/>
          <w:sz w:val="28"/>
          <w:szCs w:val="28"/>
        </w:rPr>
      </w:pPr>
      <w:bookmarkStart w:id="173" w:name="_Toc260305520"/>
      <w:bookmarkStart w:id="174" w:name="_Toc18390"/>
      <w:r>
        <w:rPr>
          <w:rFonts w:ascii="宋体" w:hAnsi="宋体" w:cs="TimesNewRomanPSMT"/>
          <w:b/>
          <w:sz w:val="28"/>
          <w:szCs w:val="28"/>
        </w:rPr>
        <w:t xml:space="preserve">19. </w:t>
      </w:r>
      <w:r>
        <w:rPr>
          <w:rFonts w:hint="eastAsia" w:ascii="宋体" w:hAnsi="宋体" w:cs="TimesNewRomanPSMT"/>
          <w:b/>
          <w:sz w:val="28"/>
          <w:szCs w:val="28"/>
        </w:rPr>
        <w:t>缺陷责任与保修责任</w:t>
      </w:r>
      <w:bookmarkEnd w:id="173"/>
      <w:bookmarkEnd w:id="174"/>
    </w:p>
    <w:p>
      <w:pPr>
        <w:keepNext/>
        <w:keepLines/>
        <w:spacing w:before="120" w:after="120"/>
        <w:jc w:val="both"/>
        <w:outlineLvl w:val="2"/>
        <w:rPr>
          <w:rFonts w:ascii="宋体" w:hAnsi="宋体" w:cs="TimesNewRomanPSMT"/>
          <w:b/>
        </w:rPr>
      </w:pPr>
      <w:bookmarkStart w:id="175" w:name="_Toc260305521"/>
      <w:r>
        <w:rPr>
          <w:rFonts w:ascii="宋体" w:hAnsi="宋体" w:cs="TimesNewRomanPSMT"/>
          <w:b/>
        </w:rPr>
        <w:t xml:space="preserve">19.1 </w:t>
      </w:r>
      <w:r>
        <w:rPr>
          <w:rFonts w:hint="eastAsia" w:ascii="宋体" w:hAnsi="宋体" w:cs="TimesNewRomanPSMT"/>
          <w:b/>
        </w:rPr>
        <w:t>缺陷责任期的起算时间</w:t>
      </w:r>
      <w:bookmarkEnd w:id="175"/>
    </w:p>
    <w:p>
      <w:pPr>
        <w:autoSpaceDE w:val="0"/>
        <w:autoSpaceDN w:val="0"/>
        <w:adjustRightInd w:val="0"/>
        <w:rPr>
          <w:rFonts w:ascii="宋体" w:hAnsi="宋体" w:cs="宋体"/>
        </w:rPr>
      </w:pPr>
      <w:r>
        <w:rPr>
          <w:rFonts w:hint="eastAsia" w:ascii="宋体" w:hAnsi="宋体" w:cs="宋体"/>
        </w:rPr>
        <w:t>缺陷责任期自实际竣工日期起计算。在全部工程竣工验收前，已经发包人提前验收的单位工程，其缺陷责任期的起算日期相应提前。</w:t>
      </w:r>
    </w:p>
    <w:p>
      <w:pPr>
        <w:keepNext/>
        <w:keepLines/>
        <w:spacing w:before="120" w:after="120"/>
        <w:jc w:val="both"/>
        <w:outlineLvl w:val="2"/>
        <w:rPr>
          <w:rFonts w:ascii="宋体" w:hAnsi="宋体" w:cs="TimesNewRomanPSMT"/>
          <w:b/>
        </w:rPr>
      </w:pPr>
      <w:bookmarkStart w:id="176" w:name="_Toc260305522"/>
      <w:r>
        <w:rPr>
          <w:rFonts w:ascii="宋体" w:hAnsi="宋体" w:cs="TimesNewRomanPSMT"/>
          <w:b/>
        </w:rPr>
        <w:t xml:space="preserve">19.2 </w:t>
      </w:r>
      <w:r>
        <w:rPr>
          <w:rFonts w:hint="eastAsia" w:ascii="宋体" w:hAnsi="宋体" w:cs="TimesNewRomanPSMT"/>
          <w:b/>
        </w:rPr>
        <w:t>缺陷责任</w:t>
      </w:r>
      <w:bookmarkEnd w:id="176"/>
    </w:p>
    <w:p>
      <w:pPr>
        <w:autoSpaceDE w:val="0"/>
        <w:autoSpaceDN w:val="0"/>
        <w:adjustRightInd w:val="0"/>
        <w:rPr>
          <w:rFonts w:ascii="宋体" w:hAnsi="宋体" w:cs="宋体"/>
        </w:rPr>
      </w:pPr>
      <w:r>
        <w:rPr>
          <w:rFonts w:ascii="宋体" w:hAnsi="宋体" w:cs="TimesNewRomanPSMT"/>
        </w:rPr>
        <w:t xml:space="preserve">19.2.1 </w:t>
      </w:r>
      <w:r>
        <w:rPr>
          <w:rFonts w:hint="eastAsia" w:ascii="宋体" w:hAnsi="宋体" w:cs="宋体"/>
        </w:rPr>
        <w:t>承包人应在缺陷责任期内对已交付使用的工程承担缺陷责任。</w:t>
      </w:r>
    </w:p>
    <w:p>
      <w:pPr>
        <w:autoSpaceDE w:val="0"/>
        <w:autoSpaceDN w:val="0"/>
        <w:adjustRightInd w:val="0"/>
        <w:rPr>
          <w:rFonts w:ascii="宋体" w:hAnsi="宋体" w:cs="宋体"/>
        </w:rPr>
      </w:pPr>
      <w:r>
        <w:rPr>
          <w:rFonts w:ascii="宋体" w:hAnsi="宋体" w:cs="TimesNewRomanPSMT"/>
        </w:rPr>
        <w:t xml:space="preserve">19.2.2 </w:t>
      </w:r>
      <w:r>
        <w:rPr>
          <w:rFonts w:hint="eastAsia" w:ascii="宋体" w:hAnsi="宋体" w:cs="宋体"/>
        </w:rPr>
        <w:t>缺陷责任期内，发包人对已接收使用的工程负责日常维护工作。发包人在使用过程中，发现已接收的工程存在新的缺陷或已修复的缺陷部位或部件又遭损坏的，承包人应负责修复，直至检验合格为止。</w:t>
      </w:r>
    </w:p>
    <w:p>
      <w:pPr>
        <w:autoSpaceDE w:val="0"/>
        <w:autoSpaceDN w:val="0"/>
        <w:adjustRightInd w:val="0"/>
        <w:rPr>
          <w:rFonts w:ascii="宋体" w:hAnsi="宋体" w:cs="宋体"/>
        </w:rPr>
      </w:pPr>
      <w:r>
        <w:rPr>
          <w:rFonts w:ascii="宋体" w:hAnsi="宋体" w:cs="TimesNewRomanPSMT"/>
        </w:rPr>
        <w:t xml:space="preserve">19.2.3 </w:t>
      </w:r>
      <w:r>
        <w:rPr>
          <w:rFonts w:hint="eastAsia" w:ascii="宋体" w:hAnsi="宋体" w:cs="宋体"/>
        </w:rPr>
        <w:t>监理人和承包人应共同查清缺陷和（或）损坏的原因。经查明属承包人原因造成的，应由承包人承担修复和查验的费用。经查验属发包人原因造成的，发包人应承担修复和查验的费用，并支付承包人合理利润。</w:t>
      </w:r>
    </w:p>
    <w:p>
      <w:pPr>
        <w:autoSpaceDE w:val="0"/>
        <w:autoSpaceDN w:val="0"/>
        <w:adjustRightInd w:val="0"/>
        <w:rPr>
          <w:rFonts w:ascii="宋体" w:hAnsi="宋体" w:cs="宋体"/>
        </w:rPr>
      </w:pPr>
      <w:r>
        <w:rPr>
          <w:rFonts w:ascii="宋体" w:hAnsi="宋体" w:cs="TimesNewRomanPSMT"/>
        </w:rPr>
        <w:t xml:space="preserve">19.2.4 </w:t>
      </w:r>
      <w:r>
        <w:rPr>
          <w:rFonts w:hint="eastAsia" w:ascii="宋体" w:hAnsi="宋体" w:cs="宋体"/>
        </w:rPr>
        <w:t>承包人不能在合理时间内修复缺陷的，发包人可自行修复或委托其他人修复，所需费用和利润的承担，按第</w:t>
      </w:r>
      <w:r>
        <w:rPr>
          <w:rFonts w:ascii="宋体" w:hAnsi="宋体" w:cs="TimesNewRomanPSMT"/>
        </w:rPr>
        <w:t xml:space="preserve">19.2.3 </w:t>
      </w:r>
      <w:r>
        <w:rPr>
          <w:rFonts w:hint="eastAsia" w:ascii="宋体" w:hAnsi="宋体" w:cs="宋体"/>
        </w:rPr>
        <w:t>项约定办理。</w:t>
      </w:r>
    </w:p>
    <w:p>
      <w:pPr>
        <w:keepNext/>
        <w:keepLines/>
        <w:spacing w:before="120" w:after="120"/>
        <w:jc w:val="both"/>
        <w:outlineLvl w:val="2"/>
        <w:rPr>
          <w:rFonts w:ascii="宋体" w:hAnsi="宋体" w:cs="TimesNewRomanPSMT"/>
          <w:b/>
        </w:rPr>
      </w:pPr>
      <w:bookmarkStart w:id="177" w:name="_Toc260305523"/>
      <w:r>
        <w:rPr>
          <w:rFonts w:ascii="宋体" w:hAnsi="宋体" w:cs="TimesNewRomanPSMT"/>
          <w:b/>
        </w:rPr>
        <w:t xml:space="preserve">19.3 </w:t>
      </w:r>
      <w:r>
        <w:rPr>
          <w:rFonts w:hint="eastAsia" w:ascii="宋体" w:hAnsi="宋体" w:cs="TimesNewRomanPSMT"/>
          <w:b/>
        </w:rPr>
        <w:t>缺陷责任期的延长</w:t>
      </w:r>
      <w:bookmarkEnd w:id="177"/>
    </w:p>
    <w:p>
      <w:pPr>
        <w:autoSpaceDE w:val="0"/>
        <w:autoSpaceDN w:val="0"/>
        <w:adjustRightInd w:val="0"/>
        <w:rPr>
          <w:rFonts w:ascii="宋体" w:hAnsi="宋体" w:cs="宋体"/>
        </w:rPr>
      </w:pPr>
      <w:r>
        <w:rPr>
          <w:rFonts w:hint="eastAsia" w:ascii="宋体" w:hAnsi="宋体" w:cs="宋体"/>
        </w:rPr>
        <w:t>由于承包人原因造成某项缺陷或损坏使某项工程或工程设备不能按原定目标使用而需要再次检查、检验和修复的，发包人有权要求承包人相应延长缺陷责任期，但缺陷责任期最长不超过</w:t>
      </w:r>
      <w:r>
        <w:rPr>
          <w:rFonts w:ascii="宋体" w:hAnsi="宋体" w:cs="TimesNewRomanPSMT"/>
        </w:rPr>
        <w:t xml:space="preserve">2 </w:t>
      </w:r>
      <w:r>
        <w:rPr>
          <w:rFonts w:hint="eastAsia" w:ascii="宋体" w:hAnsi="宋体" w:cs="宋体"/>
        </w:rPr>
        <w:t>年。</w:t>
      </w:r>
    </w:p>
    <w:p>
      <w:pPr>
        <w:keepNext/>
        <w:keepLines/>
        <w:spacing w:before="120" w:after="120"/>
        <w:jc w:val="both"/>
        <w:outlineLvl w:val="2"/>
        <w:rPr>
          <w:rFonts w:ascii="宋体" w:hAnsi="宋体" w:cs="TimesNewRomanPSMT"/>
          <w:b/>
        </w:rPr>
      </w:pPr>
      <w:bookmarkStart w:id="178" w:name="_Toc260305524"/>
      <w:r>
        <w:rPr>
          <w:rFonts w:ascii="宋体" w:hAnsi="宋体" w:cs="TimesNewRomanPSMT"/>
          <w:b/>
        </w:rPr>
        <w:t xml:space="preserve">19.4 </w:t>
      </w:r>
      <w:r>
        <w:rPr>
          <w:rFonts w:hint="eastAsia" w:ascii="宋体" w:hAnsi="宋体" w:cs="TimesNewRomanPSMT"/>
          <w:b/>
        </w:rPr>
        <w:t>进一步试验和试运行</w:t>
      </w:r>
      <w:bookmarkEnd w:id="178"/>
    </w:p>
    <w:p>
      <w:pPr>
        <w:autoSpaceDE w:val="0"/>
        <w:autoSpaceDN w:val="0"/>
        <w:adjustRightInd w:val="0"/>
        <w:rPr>
          <w:rFonts w:ascii="宋体" w:hAnsi="宋体" w:cs="宋体"/>
        </w:rPr>
      </w:pPr>
      <w:r>
        <w:rPr>
          <w:rFonts w:hint="eastAsia" w:ascii="宋体" w:hAnsi="宋体" w:cs="宋体"/>
        </w:rPr>
        <w:t>任何一项缺陷或损坏修复后，经检查证明其影响了工程或工程设备的使用性能，承包人应重新进行合同约定的试验和试运行，试验和试运行的全部费用应由责任方承担。</w:t>
      </w:r>
    </w:p>
    <w:p>
      <w:pPr>
        <w:keepNext/>
        <w:keepLines/>
        <w:spacing w:before="120" w:after="120"/>
        <w:jc w:val="both"/>
        <w:outlineLvl w:val="2"/>
        <w:rPr>
          <w:rFonts w:ascii="宋体" w:hAnsi="宋体" w:cs="TimesNewRomanPSMT"/>
          <w:b/>
        </w:rPr>
      </w:pPr>
      <w:bookmarkStart w:id="179" w:name="_Toc260305525"/>
      <w:r>
        <w:rPr>
          <w:rFonts w:ascii="宋体" w:hAnsi="宋体" w:cs="TimesNewRomanPSMT"/>
          <w:b/>
        </w:rPr>
        <w:t xml:space="preserve">19.5 </w:t>
      </w:r>
      <w:r>
        <w:rPr>
          <w:rFonts w:hint="eastAsia" w:ascii="宋体" w:hAnsi="宋体" w:cs="TimesNewRomanPSMT"/>
          <w:b/>
        </w:rPr>
        <w:t>承包人的进入权</w:t>
      </w:r>
      <w:bookmarkEnd w:id="179"/>
    </w:p>
    <w:p>
      <w:pPr>
        <w:autoSpaceDE w:val="0"/>
        <w:autoSpaceDN w:val="0"/>
        <w:adjustRightInd w:val="0"/>
        <w:rPr>
          <w:rFonts w:ascii="宋体" w:hAnsi="宋体" w:cs="TimesNewRomanPSMT"/>
        </w:rPr>
      </w:pPr>
      <w:r>
        <w:rPr>
          <w:rFonts w:hint="eastAsia" w:ascii="宋体" w:hAnsi="宋体" w:cs="宋体"/>
        </w:rPr>
        <w:t>缺陷责任期内承包人为缺陷修复工作需要，有权进入工程现场，但应遵守发包人的保安和保密规定。</w:t>
      </w:r>
    </w:p>
    <w:p>
      <w:pPr>
        <w:keepNext/>
        <w:keepLines/>
        <w:spacing w:before="120" w:after="120"/>
        <w:jc w:val="both"/>
        <w:outlineLvl w:val="2"/>
        <w:rPr>
          <w:rFonts w:ascii="宋体" w:hAnsi="宋体" w:cs="TimesNewRomanPSMT"/>
          <w:b/>
        </w:rPr>
      </w:pPr>
      <w:bookmarkStart w:id="180" w:name="_Toc260305526"/>
      <w:r>
        <w:rPr>
          <w:rFonts w:ascii="宋体" w:hAnsi="宋体" w:cs="TimesNewRomanPSMT"/>
          <w:b/>
        </w:rPr>
        <w:t xml:space="preserve">19.6 </w:t>
      </w:r>
      <w:r>
        <w:rPr>
          <w:rFonts w:hint="eastAsia" w:ascii="宋体" w:hAnsi="宋体" w:cs="TimesNewRomanPSMT"/>
          <w:b/>
        </w:rPr>
        <w:t>缺陷责任期终止证书</w:t>
      </w:r>
      <w:bookmarkEnd w:id="180"/>
    </w:p>
    <w:p>
      <w:pPr>
        <w:autoSpaceDE w:val="0"/>
        <w:autoSpaceDN w:val="0"/>
        <w:adjustRightInd w:val="0"/>
        <w:rPr>
          <w:rFonts w:ascii="宋体" w:hAnsi="宋体" w:cs="宋体"/>
        </w:rPr>
      </w:pPr>
      <w:r>
        <w:rPr>
          <w:rFonts w:hint="eastAsia" w:ascii="宋体" w:hAnsi="宋体" w:cs="宋体"/>
        </w:rPr>
        <w:t>在第</w:t>
      </w:r>
      <w:r>
        <w:rPr>
          <w:rFonts w:ascii="宋体" w:hAnsi="宋体" w:cs="TimesNewRomanPSMT"/>
        </w:rPr>
        <w:t xml:space="preserve">1.1.4.5 </w:t>
      </w:r>
      <w:r>
        <w:rPr>
          <w:rFonts w:hint="eastAsia" w:ascii="宋体" w:hAnsi="宋体" w:cs="宋体"/>
        </w:rPr>
        <w:t>目约定的缺陷责任期，包括根据第</w:t>
      </w:r>
      <w:r>
        <w:rPr>
          <w:rFonts w:ascii="宋体" w:hAnsi="宋体" w:cs="TimesNewRomanPSMT"/>
        </w:rPr>
        <w:t xml:space="preserve">19.3 </w:t>
      </w:r>
      <w:r>
        <w:rPr>
          <w:rFonts w:hint="eastAsia" w:ascii="宋体" w:hAnsi="宋体" w:cs="宋体"/>
        </w:rPr>
        <w:t>款延长的期限终止后</w:t>
      </w:r>
      <w:r>
        <w:rPr>
          <w:rFonts w:ascii="宋体" w:hAnsi="宋体" w:cs="TimesNewRomanPSMT"/>
        </w:rPr>
        <w:t xml:space="preserve">14 </w:t>
      </w:r>
      <w:r>
        <w:rPr>
          <w:rFonts w:hint="eastAsia" w:ascii="宋体" w:hAnsi="宋体" w:cs="宋体"/>
        </w:rPr>
        <w:t>天内，由监理人向承包人出具经发包人签认的缺陷责任期终止证书，并退还剩余的质量保证金。</w:t>
      </w:r>
    </w:p>
    <w:p>
      <w:pPr>
        <w:keepNext/>
        <w:keepLines/>
        <w:spacing w:before="120" w:after="120"/>
        <w:jc w:val="both"/>
        <w:outlineLvl w:val="2"/>
        <w:rPr>
          <w:rFonts w:ascii="宋体" w:hAnsi="宋体" w:cs="TimesNewRomanPSMT"/>
          <w:b/>
        </w:rPr>
      </w:pPr>
      <w:bookmarkStart w:id="181" w:name="_Toc260305527"/>
      <w:r>
        <w:rPr>
          <w:rFonts w:ascii="宋体" w:hAnsi="宋体" w:cs="TimesNewRomanPSMT"/>
          <w:b/>
        </w:rPr>
        <w:t xml:space="preserve">19.7 </w:t>
      </w:r>
      <w:r>
        <w:rPr>
          <w:rFonts w:hint="eastAsia" w:ascii="宋体" w:hAnsi="宋体" w:cs="TimesNewRomanPSMT"/>
          <w:b/>
        </w:rPr>
        <w:t>保修责任</w:t>
      </w:r>
      <w:bookmarkEnd w:id="181"/>
    </w:p>
    <w:p>
      <w:pPr>
        <w:autoSpaceDE w:val="0"/>
        <w:autoSpaceDN w:val="0"/>
        <w:adjustRightInd w:val="0"/>
        <w:rPr>
          <w:rFonts w:ascii="宋体" w:hAnsi="宋体" w:cs="宋体"/>
        </w:rPr>
      </w:pPr>
      <w:r>
        <w:rPr>
          <w:rFonts w:hint="eastAsia" w:ascii="宋体" w:hAnsi="宋体" w:cs="宋体"/>
        </w:rPr>
        <w:t>合同当事人根据有关法律规定，在专用合同条款中约定工程质量保修范围、期限和责任。保修期自实际竣工日期起计算。在全部工程竣工验收前，已经发包人提前验收的单位工程，其保修期的起算日期相应提前。</w:t>
      </w:r>
    </w:p>
    <w:p>
      <w:pPr>
        <w:keepNext/>
        <w:keepLines/>
        <w:spacing w:before="120" w:after="120"/>
        <w:jc w:val="both"/>
        <w:outlineLvl w:val="1"/>
        <w:rPr>
          <w:rFonts w:ascii="宋体" w:hAnsi="宋体" w:cs="TimesNewRomanPSMT"/>
          <w:b/>
          <w:sz w:val="28"/>
          <w:szCs w:val="28"/>
        </w:rPr>
      </w:pPr>
      <w:bookmarkStart w:id="182" w:name="_Toc260305528"/>
      <w:bookmarkStart w:id="183" w:name="_Toc6012"/>
      <w:r>
        <w:rPr>
          <w:rFonts w:ascii="宋体" w:hAnsi="宋体" w:cs="TimesNewRomanPSMT"/>
          <w:b/>
          <w:sz w:val="28"/>
          <w:szCs w:val="28"/>
        </w:rPr>
        <w:t xml:space="preserve">20. </w:t>
      </w:r>
      <w:r>
        <w:rPr>
          <w:rFonts w:hint="eastAsia" w:ascii="宋体" w:hAnsi="宋体" w:cs="TimesNewRomanPSMT"/>
          <w:b/>
          <w:sz w:val="28"/>
          <w:szCs w:val="28"/>
        </w:rPr>
        <w:t>保险</w:t>
      </w:r>
      <w:bookmarkEnd w:id="182"/>
      <w:bookmarkEnd w:id="183"/>
    </w:p>
    <w:p>
      <w:pPr>
        <w:keepNext/>
        <w:keepLines/>
        <w:spacing w:before="120" w:after="120"/>
        <w:jc w:val="both"/>
        <w:outlineLvl w:val="2"/>
        <w:rPr>
          <w:rFonts w:ascii="宋体" w:hAnsi="宋体" w:cs="TimesNewRomanPSMT"/>
          <w:b/>
        </w:rPr>
      </w:pPr>
      <w:bookmarkStart w:id="184" w:name="_Toc260305529"/>
      <w:r>
        <w:rPr>
          <w:rFonts w:ascii="宋体" w:hAnsi="宋体" w:cs="TimesNewRomanPSMT"/>
          <w:b/>
        </w:rPr>
        <w:t xml:space="preserve">20.1 </w:t>
      </w:r>
      <w:r>
        <w:rPr>
          <w:rFonts w:hint="eastAsia" w:ascii="宋体" w:hAnsi="宋体" w:cs="TimesNewRomanPSMT"/>
          <w:b/>
        </w:rPr>
        <w:t>工程保险</w:t>
      </w:r>
      <w:bookmarkEnd w:id="184"/>
    </w:p>
    <w:p>
      <w:pPr>
        <w:autoSpaceDE w:val="0"/>
        <w:autoSpaceDN w:val="0"/>
        <w:adjustRightInd w:val="0"/>
        <w:rPr>
          <w:rFonts w:ascii="宋体" w:hAnsi="宋体" w:cs="宋体"/>
        </w:rPr>
      </w:pPr>
      <w:r>
        <w:rPr>
          <w:rFonts w:hint="eastAsia" w:ascii="宋体" w:hAnsi="宋体" w:cs="宋体"/>
        </w:rPr>
        <w:t>除专用合同条款另有约定外，承包人应以发包人和承包人的共同名义向双方同意的保险人投保建筑工程一切险、安装工程一切险。其具体的投保内容、保险金额、保险费率、保险期限等有关内容在专用合同条款中约定。</w:t>
      </w:r>
    </w:p>
    <w:p>
      <w:pPr>
        <w:keepNext/>
        <w:keepLines/>
        <w:spacing w:before="120" w:after="120"/>
        <w:jc w:val="both"/>
        <w:outlineLvl w:val="2"/>
        <w:rPr>
          <w:rFonts w:ascii="宋体" w:hAnsi="宋体" w:cs="TimesNewRomanPSMT"/>
          <w:b/>
        </w:rPr>
      </w:pPr>
      <w:bookmarkStart w:id="185" w:name="_Toc260305530"/>
      <w:r>
        <w:rPr>
          <w:rFonts w:ascii="宋体" w:hAnsi="宋体" w:cs="TimesNewRomanPSMT"/>
          <w:b/>
        </w:rPr>
        <w:t xml:space="preserve">20.2 </w:t>
      </w:r>
      <w:r>
        <w:rPr>
          <w:rFonts w:hint="eastAsia" w:ascii="宋体" w:hAnsi="宋体" w:cs="TimesNewRomanPSMT"/>
          <w:b/>
        </w:rPr>
        <w:t>人员工伤事故的保险</w:t>
      </w:r>
      <w:bookmarkEnd w:id="185"/>
    </w:p>
    <w:p>
      <w:pPr>
        <w:autoSpaceDE w:val="0"/>
        <w:autoSpaceDN w:val="0"/>
        <w:adjustRightInd w:val="0"/>
        <w:rPr>
          <w:rFonts w:ascii="宋体" w:hAnsi="宋体" w:cs="宋体"/>
        </w:rPr>
      </w:pPr>
      <w:r>
        <w:rPr>
          <w:rFonts w:ascii="宋体" w:hAnsi="宋体" w:cs="TimesNewRomanPSMT"/>
        </w:rPr>
        <w:t xml:space="preserve">20.2.1 </w:t>
      </w:r>
      <w:r>
        <w:rPr>
          <w:rFonts w:hint="eastAsia" w:ascii="宋体" w:hAnsi="宋体" w:cs="宋体"/>
        </w:rPr>
        <w:t>承包人员工伤事故的保险</w:t>
      </w:r>
    </w:p>
    <w:p>
      <w:pPr>
        <w:autoSpaceDE w:val="0"/>
        <w:autoSpaceDN w:val="0"/>
        <w:adjustRightInd w:val="0"/>
        <w:rPr>
          <w:rFonts w:ascii="宋体" w:hAnsi="宋体" w:cs="宋体"/>
        </w:rPr>
      </w:pPr>
      <w:r>
        <w:rPr>
          <w:rFonts w:hint="eastAsia" w:ascii="宋体" w:hAnsi="宋体" w:cs="宋体"/>
        </w:rPr>
        <w:t>承包人应依照有关法律规定参加工伤保险，为其履行合同所雇佣的全部人员，缴纳工伤保险费，并要求其分包人也进行此项保险。</w:t>
      </w:r>
    </w:p>
    <w:p>
      <w:pPr>
        <w:autoSpaceDE w:val="0"/>
        <w:autoSpaceDN w:val="0"/>
        <w:adjustRightInd w:val="0"/>
        <w:rPr>
          <w:rFonts w:ascii="宋体" w:hAnsi="宋体" w:cs="宋体"/>
        </w:rPr>
      </w:pPr>
      <w:r>
        <w:rPr>
          <w:rFonts w:ascii="宋体" w:hAnsi="宋体" w:cs="TimesNewRomanPSMT"/>
        </w:rPr>
        <w:t xml:space="preserve">20.2.2 </w:t>
      </w:r>
      <w:r>
        <w:rPr>
          <w:rFonts w:hint="eastAsia" w:ascii="宋体" w:hAnsi="宋体" w:cs="宋体"/>
        </w:rPr>
        <w:t>发包人员工伤事故的保险</w:t>
      </w:r>
    </w:p>
    <w:p>
      <w:pPr>
        <w:autoSpaceDE w:val="0"/>
        <w:autoSpaceDN w:val="0"/>
        <w:adjustRightInd w:val="0"/>
        <w:rPr>
          <w:rFonts w:ascii="宋体" w:hAnsi="宋体" w:cs="宋体"/>
        </w:rPr>
      </w:pPr>
      <w:r>
        <w:rPr>
          <w:rFonts w:hint="eastAsia" w:ascii="宋体" w:hAnsi="宋体" w:cs="宋体"/>
        </w:rPr>
        <w:t>发包人应依照有关法律规定参加工伤保险，为其现场机构雇佣的全部人员，缴纳工伤保险费，并要求其监理人也进行此项保险。</w:t>
      </w:r>
    </w:p>
    <w:p>
      <w:pPr>
        <w:keepNext/>
        <w:keepLines/>
        <w:spacing w:before="120" w:after="120"/>
        <w:jc w:val="both"/>
        <w:outlineLvl w:val="2"/>
        <w:rPr>
          <w:rFonts w:ascii="宋体" w:hAnsi="宋体" w:cs="TimesNewRomanPSMT"/>
          <w:b/>
        </w:rPr>
      </w:pPr>
      <w:bookmarkStart w:id="186" w:name="_Toc260305531"/>
      <w:r>
        <w:rPr>
          <w:rFonts w:ascii="宋体" w:hAnsi="宋体" w:cs="TimesNewRomanPSMT"/>
          <w:b/>
        </w:rPr>
        <w:t xml:space="preserve">20.3 </w:t>
      </w:r>
      <w:r>
        <w:rPr>
          <w:rFonts w:hint="eastAsia" w:ascii="宋体" w:hAnsi="宋体" w:cs="TimesNewRomanPSMT"/>
          <w:b/>
        </w:rPr>
        <w:t>人身意外伤害险</w:t>
      </w:r>
      <w:bookmarkEnd w:id="186"/>
    </w:p>
    <w:p>
      <w:pPr>
        <w:autoSpaceDE w:val="0"/>
        <w:autoSpaceDN w:val="0"/>
        <w:adjustRightInd w:val="0"/>
        <w:rPr>
          <w:rFonts w:ascii="宋体" w:hAnsi="宋体" w:cs="宋体"/>
        </w:rPr>
      </w:pPr>
      <w:r>
        <w:rPr>
          <w:rFonts w:ascii="宋体" w:hAnsi="宋体" w:cs="TimesNewRomanPSMT"/>
        </w:rPr>
        <w:t xml:space="preserve">20.3.1 </w:t>
      </w:r>
      <w:r>
        <w:rPr>
          <w:rFonts w:hint="eastAsia" w:ascii="宋体" w:hAnsi="宋体" w:cs="宋体"/>
        </w:rPr>
        <w:t>发包人应在整个施工期间为其现场机构雇用的全部人员，投保人身意外伤害险，缴纳保险费，并要求其监理人也进行此项保险。</w:t>
      </w:r>
    </w:p>
    <w:p>
      <w:pPr>
        <w:autoSpaceDE w:val="0"/>
        <w:autoSpaceDN w:val="0"/>
        <w:adjustRightInd w:val="0"/>
        <w:rPr>
          <w:rFonts w:ascii="宋体" w:hAnsi="宋体" w:cs="宋体"/>
        </w:rPr>
      </w:pPr>
      <w:r>
        <w:rPr>
          <w:rFonts w:ascii="宋体" w:hAnsi="宋体" w:cs="TimesNewRomanPSMT"/>
        </w:rPr>
        <w:t xml:space="preserve">20.3.2 </w:t>
      </w:r>
      <w:r>
        <w:rPr>
          <w:rFonts w:hint="eastAsia" w:ascii="宋体" w:hAnsi="宋体" w:cs="宋体"/>
        </w:rPr>
        <w:t>承包人应在整个施工期间为其现场机构雇用的全部人员，投保人身意外伤害险，缴纳保险费，并要求其分包人也进行此项保险。</w:t>
      </w:r>
    </w:p>
    <w:p>
      <w:pPr>
        <w:keepNext/>
        <w:keepLines/>
        <w:spacing w:before="120" w:after="120"/>
        <w:jc w:val="both"/>
        <w:outlineLvl w:val="2"/>
        <w:rPr>
          <w:rFonts w:ascii="宋体" w:hAnsi="宋体" w:cs="TimesNewRomanPSMT"/>
          <w:b/>
        </w:rPr>
      </w:pPr>
      <w:bookmarkStart w:id="187" w:name="_Toc260305532"/>
      <w:r>
        <w:rPr>
          <w:rFonts w:ascii="宋体" w:hAnsi="宋体" w:cs="TimesNewRomanPSMT"/>
          <w:b/>
        </w:rPr>
        <w:t xml:space="preserve">20.4 </w:t>
      </w:r>
      <w:r>
        <w:rPr>
          <w:rFonts w:hint="eastAsia" w:ascii="宋体" w:hAnsi="宋体" w:cs="TimesNewRomanPSMT"/>
          <w:b/>
        </w:rPr>
        <w:t>第三者责任险</w:t>
      </w:r>
      <w:bookmarkEnd w:id="187"/>
    </w:p>
    <w:p>
      <w:pPr>
        <w:autoSpaceDE w:val="0"/>
        <w:autoSpaceDN w:val="0"/>
        <w:adjustRightInd w:val="0"/>
        <w:rPr>
          <w:rFonts w:ascii="宋体" w:hAnsi="宋体" w:cs="宋体"/>
        </w:rPr>
      </w:pPr>
      <w:r>
        <w:rPr>
          <w:rFonts w:ascii="宋体" w:hAnsi="宋体" w:cs="TimesNewRomanPSMT"/>
        </w:rPr>
        <w:t xml:space="preserve">20.4.1 </w:t>
      </w:r>
      <w:r>
        <w:rPr>
          <w:rFonts w:hint="eastAsia" w:ascii="宋体" w:hAnsi="宋体" w:cs="宋体"/>
        </w:rPr>
        <w:t>第三者责任系指在保险期内，对因工程意外事故造成的、依法应由被保险人负责的工地上及毗邻地区的第三者人身伤亡、疾病或财产损失（本工程除外），以及被保险人因此而支付的诉讼费用和事先经保险人书面同意支付的其他费用等赔偿责任。</w:t>
      </w:r>
    </w:p>
    <w:p>
      <w:pPr>
        <w:autoSpaceDE w:val="0"/>
        <w:autoSpaceDN w:val="0"/>
        <w:adjustRightInd w:val="0"/>
        <w:rPr>
          <w:rFonts w:ascii="宋体" w:hAnsi="宋体" w:cs="宋体"/>
        </w:rPr>
      </w:pPr>
      <w:r>
        <w:rPr>
          <w:rFonts w:ascii="宋体" w:hAnsi="宋体" w:cs="TimesNewRomanPSMT"/>
        </w:rPr>
        <w:t xml:space="preserve">20.4.2 </w:t>
      </w:r>
      <w:r>
        <w:rPr>
          <w:rFonts w:hint="eastAsia" w:ascii="宋体" w:hAnsi="宋体" w:cs="宋体"/>
        </w:rPr>
        <w:t>在缺陷责任期终止证书颁发前，承包人应以承包人和发包人的共同名义，投保第</w:t>
      </w:r>
      <w:r>
        <w:rPr>
          <w:rFonts w:ascii="宋体" w:hAnsi="宋体" w:cs="TimesNewRomanPSMT"/>
        </w:rPr>
        <w:t xml:space="preserve">20.4.1 </w:t>
      </w:r>
      <w:r>
        <w:rPr>
          <w:rFonts w:hint="eastAsia" w:ascii="宋体" w:hAnsi="宋体" w:cs="宋体"/>
        </w:rPr>
        <w:t>项约定的第三者责任险，其保险费率、保险金额等有关内容在专用合同条款中约定。</w:t>
      </w:r>
    </w:p>
    <w:p>
      <w:pPr>
        <w:keepNext/>
        <w:keepLines/>
        <w:spacing w:before="120" w:after="120"/>
        <w:jc w:val="both"/>
        <w:outlineLvl w:val="2"/>
        <w:rPr>
          <w:rFonts w:ascii="宋体" w:hAnsi="宋体" w:cs="TimesNewRomanPSMT"/>
          <w:b/>
        </w:rPr>
      </w:pPr>
      <w:bookmarkStart w:id="188" w:name="_Toc260305533"/>
      <w:r>
        <w:rPr>
          <w:rFonts w:ascii="宋体" w:hAnsi="宋体" w:cs="TimesNewRomanPSMT"/>
          <w:b/>
        </w:rPr>
        <w:t xml:space="preserve">20.5 </w:t>
      </w:r>
      <w:r>
        <w:rPr>
          <w:rFonts w:hint="eastAsia" w:ascii="宋体" w:hAnsi="宋体" w:cs="TimesNewRomanPSMT"/>
          <w:b/>
        </w:rPr>
        <w:t>其他保险</w:t>
      </w:r>
      <w:bookmarkEnd w:id="188"/>
    </w:p>
    <w:p>
      <w:pPr>
        <w:autoSpaceDE w:val="0"/>
        <w:autoSpaceDN w:val="0"/>
        <w:adjustRightInd w:val="0"/>
        <w:rPr>
          <w:rFonts w:ascii="宋体" w:hAnsi="宋体" w:cs="宋体"/>
        </w:rPr>
      </w:pPr>
      <w:r>
        <w:rPr>
          <w:rFonts w:hint="eastAsia" w:ascii="宋体" w:hAnsi="宋体" w:cs="宋体"/>
        </w:rPr>
        <w:t>除专用合同条款另有约定外，承包人应为其施工设备、进场的材料和工程设备等办理保险。</w:t>
      </w:r>
    </w:p>
    <w:p>
      <w:pPr>
        <w:keepNext/>
        <w:keepLines/>
        <w:spacing w:before="120" w:after="120"/>
        <w:jc w:val="both"/>
        <w:outlineLvl w:val="2"/>
        <w:rPr>
          <w:rFonts w:ascii="宋体" w:hAnsi="宋体" w:cs="TimesNewRomanPSMT"/>
          <w:b/>
        </w:rPr>
      </w:pPr>
      <w:bookmarkStart w:id="189" w:name="_Toc260305534"/>
      <w:r>
        <w:rPr>
          <w:rFonts w:ascii="宋体" w:hAnsi="宋体" w:cs="TimesNewRomanPSMT"/>
          <w:b/>
        </w:rPr>
        <w:t xml:space="preserve">20.6 </w:t>
      </w:r>
      <w:r>
        <w:rPr>
          <w:rFonts w:hint="eastAsia" w:ascii="宋体" w:hAnsi="宋体" w:cs="TimesNewRomanPSMT"/>
          <w:b/>
        </w:rPr>
        <w:t>对各项保险的一般要求</w:t>
      </w:r>
      <w:bookmarkEnd w:id="189"/>
    </w:p>
    <w:p>
      <w:pPr>
        <w:autoSpaceDE w:val="0"/>
        <w:autoSpaceDN w:val="0"/>
        <w:adjustRightInd w:val="0"/>
        <w:rPr>
          <w:rFonts w:ascii="宋体" w:hAnsi="宋体" w:cs="宋体"/>
        </w:rPr>
      </w:pPr>
      <w:r>
        <w:rPr>
          <w:rFonts w:ascii="宋体" w:hAnsi="宋体" w:cs="TimesNewRomanPSMT"/>
        </w:rPr>
        <w:t xml:space="preserve">20.6.1 </w:t>
      </w:r>
      <w:r>
        <w:rPr>
          <w:rFonts w:hint="eastAsia" w:ascii="宋体" w:hAnsi="宋体" w:cs="宋体"/>
        </w:rPr>
        <w:t>保险凭证</w:t>
      </w:r>
    </w:p>
    <w:p>
      <w:pPr>
        <w:autoSpaceDE w:val="0"/>
        <w:autoSpaceDN w:val="0"/>
        <w:adjustRightInd w:val="0"/>
        <w:rPr>
          <w:rFonts w:ascii="宋体" w:hAnsi="宋体" w:cs="宋体"/>
        </w:rPr>
      </w:pPr>
      <w:r>
        <w:rPr>
          <w:rFonts w:hint="eastAsia" w:ascii="宋体" w:hAnsi="宋体" w:cs="宋体"/>
        </w:rPr>
        <w:t>承包人应在专用合同条款约定的期限内向发包人提交各项保险生效的证据和保险单副本，保险单必须与专用合同条款约定的条件保持一致。</w:t>
      </w:r>
    </w:p>
    <w:p>
      <w:pPr>
        <w:autoSpaceDE w:val="0"/>
        <w:autoSpaceDN w:val="0"/>
        <w:adjustRightInd w:val="0"/>
        <w:rPr>
          <w:rFonts w:ascii="宋体" w:hAnsi="宋体" w:cs="宋体"/>
        </w:rPr>
      </w:pPr>
      <w:r>
        <w:rPr>
          <w:rFonts w:ascii="宋体" w:hAnsi="宋体" w:cs="TimesNewRomanPSMT"/>
        </w:rPr>
        <w:t xml:space="preserve">20.6.2 </w:t>
      </w:r>
      <w:r>
        <w:rPr>
          <w:rFonts w:hint="eastAsia" w:ascii="宋体" w:hAnsi="宋体" w:cs="宋体"/>
        </w:rPr>
        <w:t>保险合同条款的变动</w:t>
      </w:r>
    </w:p>
    <w:p>
      <w:pPr>
        <w:autoSpaceDE w:val="0"/>
        <w:autoSpaceDN w:val="0"/>
        <w:adjustRightInd w:val="0"/>
        <w:rPr>
          <w:rFonts w:ascii="宋体" w:hAnsi="宋体" w:cs="宋体"/>
        </w:rPr>
      </w:pPr>
      <w:r>
        <w:rPr>
          <w:rFonts w:hint="eastAsia" w:ascii="宋体" w:hAnsi="宋体" w:cs="宋体"/>
        </w:rPr>
        <w:t>承包人需要变动保险合同条款时，应事先征得发包人同意，并通知监理人。保险人作出变动的，承包人应在收到保险人通知后立即通知发包人和监理人。</w:t>
      </w:r>
    </w:p>
    <w:p>
      <w:pPr>
        <w:autoSpaceDE w:val="0"/>
        <w:autoSpaceDN w:val="0"/>
        <w:adjustRightInd w:val="0"/>
        <w:rPr>
          <w:rFonts w:ascii="宋体" w:hAnsi="宋体" w:cs="宋体"/>
        </w:rPr>
      </w:pPr>
      <w:r>
        <w:rPr>
          <w:rFonts w:ascii="宋体" w:hAnsi="宋体" w:cs="TimesNewRomanPSMT"/>
        </w:rPr>
        <w:t xml:space="preserve">20.6.3 </w:t>
      </w:r>
      <w:r>
        <w:rPr>
          <w:rFonts w:hint="eastAsia" w:ascii="宋体" w:hAnsi="宋体" w:cs="宋体"/>
        </w:rPr>
        <w:t>持续保险</w:t>
      </w:r>
    </w:p>
    <w:p>
      <w:pPr>
        <w:autoSpaceDE w:val="0"/>
        <w:autoSpaceDN w:val="0"/>
        <w:adjustRightInd w:val="0"/>
        <w:rPr>
          <w:rFonts w:ascii="宋体" w:hAnsi="宋体" w:cs="宋体"/>
        </w:rPr>
      </w:pPr>
      <w:r>
        <w:rPr>
          <w:rFonts w:hint="eastAsia" w:ascii="宋体" w:hAnsi="宋体" w:cs="宋体"/>
        </w:rPr>
        <w:t>承包人应与保险人保持联系，使保险人能够随时了解工程实施中的变动，并确保按保险合同条款要求持续保险。</w:t>
      </w:r>
    </w:p>
    <w:p>
      <w:pPr>
        <w:autoSpaceDE w:val="0"/>
        <w:autoSpaceDN w:val="0"/>
        <w:adjustRightInd w:val="0"/>
        <w:rPr>
          <w:rFonts w:ascii="宋体" w:hAnsi="宋体" w:cs="宋体"/>
        </w:rPr>
      </w:pPr>
      <w:r>
        <w:rPr>
          <w:rFonts w:ascii="宋体" w:hAnsi="宋体" w:cs="TimesNewRomanPSMT"/>
        </w:rPr>
        <w:t xml:space="preserve">20.6.4 </w:t>
      </w:r>
      <w:r>
        <w:rPr>
          <w:rFonts w:hint="eastAsia" w:ascii="宋体" w:hAnsi="宋体" w:cs="宋体"/>
        </w:rPr>
        <w:t>保险金不足的补偿</w:t>
      </w:r>
    </w:p>
    <w:p>
      <w:pPr>
        <w:autoSpaceDE w:val="0"/>
        <w:autoSpaceDN w:val="0"/>
        <w:adjustRightInd w:val="0"/>
        <w:rPr>
          <w:rFonts w:ascii="宋体" w:hAnsi="宋体" w:cs="宋体"/>
        </w:rPr>
      </w:pPr>
      <w:r>
        <w:rPr>
          <w:rFonts w:hint="eastAsia" w:ascii="宋体" w:hAnsi="宋体" w:cs="宋体"/>
        </w:rPr>
        <w:t>保险金不足以补偿损失的，应由承包人和（或）发包人按合同约定负责补偿。</w:t>
      </w:r>
    </w:p>
    <w:p>
      <w:pPr>
        <w:autoSpaceDE w:val="0"/>
        <w:autoSpaceDN w:val="0"/>
        <w:adjustRightInd w:val="0"/>
        <w:rPr>
          <w:rFonts w:ascii="宋体" w:hAnsi="宋体" w:cs="宋体"/>
        </w:rPr>
      </w:pPr>
      <w:r>
        <w:rPr>
          <w:rFonts w:ascii="宋体" w:hAnsi="宋体" w:cs="TimesNewRomanPSMT"/>
        </w:rPr>
        <w:t xml:space="preserve">20.6.5 </w:t>
      </w:r>
      <w:r>
        <w:rPr>
          <w:rFonts w:hint="eastAsia" w:ascii="宋体" w:hAnsi="宋体" w:cs="宋体"/>
        </w:rPr>
        <w:t>未按约定投保的补救</w:t>
      </w:r>
    </w:p>
    <w:p>
      <w:pPr>
        <w:autoSpaceDE w:val="0"/>
        <w:autoSpaceDN w:val="0"/>
        <w:adjustRightInd w:val="0"/>
        <w:rPr>
          <w:rFonts w:ascii="宋体" w:hAnsi="宋体" w:cs="宋体"/>
        </w:rPr>
      </w:pPr>
      <w:r>
        <w:rPr>
          <w:rFonts w:hint="eastAsia" w:ascii="宋体" w:hAnsi="宋体" w:cs="宋体"/>
        </w:rPr>
        <w:t>（</w:t>
      </w:r>
      <w:r>
        <w:rPr>
          <w:rFonts w:ascii="宋体" w:hAnsi="宋体" w:cs="TimesNewRomanPSMT"/>
        </w:rPr>
        <w:t>1</w:t>
      </w:r>
      <w:r>
        <w:rPr>
          <w:rFonts w:hint="eastAsia" w:ascii="宋体" w:hAnsi="宋体" w:cs="宋体"/>
        </w:rPr>
        <w:t>）由于负有投保义务的一方当事人未按合同约定办理保险，或未能使保险持续有效的，另一方当事人可代为办理，所需费用由对方当事人承担。</w:t>
      </w:r>
    </w:p>
    <w:p>
      <w:pPr>
        <w:autoSpaceDE w:val="0"/>
        <w:autoSpaceDN w:val="0"/>
        <w:adjustRightInd w:val="0"/>
        <w:rPr>
          <w:rFonts w:ascii="宋体" w:hAnsi="宋体" w:cs="宋体"/>
        </w:rPr>
      </w:pPr>
      <w:r>
        <w:rPr>
          <w:rFonts w:hint="eastAsia" w:ascii="宋体" w:hAnsi="宋体" w:cs="宋体"/>
        </w:rPr>
        <w:t>（</w:t>
      </w:r>
      <w:r>
        <w:rPr>
          <w:rFonts w:ascii="宋体" w:hAnsi="宋体" w:cs="TimesNewRomanPSMT"/>
        </w:rPr>
        <w:t>2</w:t>
      </w:r>
      <w:r>
        <w:rPr>
          <w:rFonts w:hint="eastAsia" w:ascii="宋体" w:hAnsi="宋体" w:cs="宋体"/>
        </w:rPr>
        <w:t>）由于负有投保义务的一方当事人未按合同约定办理某项保险，导致受益人未能得到保险人的赔偿，原应从该项保险得到的保险金应由负有投保义务的一方当事人支付。</w:t>
      </w:r>
    </w:p>
    <w:p>
      <w:pPr>
        <w:autoSpaceDE w:val="0"/>
        <w:autoSpaceDN w:val="0"/>
        <w:adjustRightInd w:val="0"/>
        <w:rPr>
          <w:rFonts w:ascii="宋体" w:hAnsi="宋体" w:cs="宋体"/>
        </w:rPr>
      </w:pPr>
      <w:r>
        <w:rPr>
          <w:rFonts w:ascii="宋体" w:hAnsi="宋体" w:cs="TimesNewRomanPSMT"/>
        </w:rPr>
        <w:t xml:space="preserve">20.6.6 </w:t>
      </w:r>
      <w:r>
        <w:rPr>
          <w:rFonts w:hint="eastAsia" w:ascii="宋体" w:hAnsi="宋体" w:cs="宋体"/>
        </w:rPr>
        <w:t>报告义务</w:t>
      </w:r>
    </w:p>
    <w:p>
      <w:pPr>
        <w:autoSpaceDE w:val="0"/>
        <w:autoSpaceDN w:val="0"/>
        <w:adjustRightInd w:val="0"/>
        <w:rPr>
          <w:rFonts w:ascii="宋体" w:hAnsi="宋体" w:cs="宋体"/>
        </w:rPr>
      </w:pPr>
      <w:r>
        <w:rPr>
          <w:rFonts w:hint="eastAsia" w:ascii="宋体" w:hAnsi="宋体" w:cs="宋体"/>
        </w:rPr>
        <w:t>当保险事故发生时，投保人应按照保险单规定的条件和期限及时向保险人报告。</w:t>
      </w:r>
    </w:p>
    <w:p>
      <w:pPr>
        <w:keepNext/>
        <w:keepLines/>
        <w:spacing w:before="120" w:after="120"/>
        <w:jc w:val="both"/>
        <w:outlineLvl w:val="1"/>
        <w:rPr>
          <w:rFonts w:ascii="宋体" w:hAnsi="宋体" w:cs="TimesNewRomanPSMT"/>
          <w:b/>
          <w:sz w:val="28"/>
          <w:szCs w:val="28"/>
        </w:rPr>
      </w:pPr>
      <w:bookmarkStart w:id="190" w:name="_Toc30895"/>
      <w:bookmarkStart w:id="191" w:name="_Toc260305535"/>
      <w:r>
        <w:rPr>
          <w:rFonts w:ascii="宋体" w:hAnsi="宋体" w:cs="TimesNewRomanPSMT"/>
          <w:b/>
          <w:sz w:val="28"/>
          <w:szCs w:val="28"/>
        </w:rPr>
        <w:t xml:space="preserve">21. </w:t>
      </w:r>
      <w:r>
        <w:rPr>
          <w:rFonts w:hint="eastAsia" w:ascii="宋体" w:hAnsi="宋体" w:cs="TimesNewRomanPSMT"/>
          <w:b/>
          <w:sz w:val="28"/>
          <w:szCs w:val="28"/>
        </w:rPr>
        <w:t>不可抗力</w:t>
      </w:r>
      <w:bookmarkEnd w:id="190"/>
      <w:bookmarkEnd w:id="191"/>
    </w:p>
    <w:p>
      <w:pPr>
        <w:keepNext/>
        <w:keepLines/>
        <w:spacing w:before="120" w:after="120"/>
        <w:jc w:val="both"/>
        <w:outlineLvl w:val="2"/>
        <w:rPr>
          <w:rFonts w:ascii="宋体" w:hAnsi="宋体" w:cs="TimesNewRomanPSMT"/>
          <w:b/>
        </w:rPr>
      </w:pPr>
      <w:bookmarkStart w:id="192" w:name="_Toc260305536"/>
      <w:r>
        <w:rPr>
          <w:rFonts w:ascii="宋体" w:hAnsi="宋体" w:cs="TimesNewRomanPSMT"/>
          <w:b/>
        </w:rPr>
        <w:t xml:space="preserve">21.1 </w:t>
      </w:r>
      <w:r>
        <w:rPr>
          <w:rFonts w:hint="eastAsia" w:ascii="宋体" w:hAnsi="宋体" w:cs="TimesNewRomanPSMT"/>
          <w:b/>
        </w:rPr>
        <w:t>不可抗力的确认</w:t>
      </w:r>
      <w:bookmarkEnd w:id="192"/>
    </w:p>
    <w:p>
      <w:pPr>
        <w:autoSpaceDE w:val="0"/>
        <w:autoSpaceDN w:val="0"/>
        <w:adjustRightInd w:val="0"/>
        <w:rPr>
          <w:rFonts w:ascii="宋体" w:hAnsi="宋体" w:cs="宋体"/>
        </w:rPr>
      </w:pPr>
      <w:r>
        <w:rPr>
          <w:rFonts w:ascii="宋体" w:hAnsi="宋体" w:cs="TimesNewRomanPSMT"/>
        </w:rPr>
        <w:t xml:space="preserve">21.1.1 </w:t>
      </w:r>
      <w:r>
        <w:rPr>
          <w:rFonts w:hint="eastAsia" w:ascii="宋体" w:hAnsi="宋体" w:cs="宋体"/>
        </w:rPr>
        <w:t>不可抗力是指承包人和发包人在订立合同时不可预见，在工程施工过程中不可避免发生并不能克服的自然灾害和社会性突发事件，如地震、海啸、瘟疫、水灾、骚乱、暴动、战争和专用合同条款约定的其他情形。</w:t>
      </w:r>
    </w:p>
    <w:p>
      <w:pPr>
        <w:autoSpaceDE w:val="0"/>
        <w:autoSpaceDN w:val="0"/>
        <w:adjustRightInd w:val="0"/>
        <w:rPr>
          <w:rFonts w:ascii="宋体" w:hAnsi="宋体" w:cs="宋体"/>
        </w:rPr>
      </w:pPr>
      <w:r>
        <w:rPr>
          <w:rFonts w:ascii="宋体" w:hAnsi="宋体" w:cs="TimesNewRomanPSMT"/>
        </w:rPr>
        <w:t xml:space="preserve">21.1.2 </w:t>
      </w:r>
      <w:r>
        <w:rPr>
          <w:rFonts w:hint="eastAsia" w:ascii="宋体" w:hAnsi="宋体" w:cs="宋体"/>
        </w:rPr>
        <w:t>不可抗力发生后，发包人和承包人应及时认真统计所造成的损失，收集不可抗力造成损失的证据。合同双方对是否属于不可抗力或其损失的意见不一致的，由监理人按第</w:t>
      </w:r>
      <w:r>
        <w:rPr>
          <w:rFonts w:ascii="宋体" w:hAnsi="宋体" w:cs="TimesNewRomanPSMT"/>
        </w:rPr>
        <w:t xml:space="preserve">3.5 </w:t>
      </w:r>
      <w:r>
        <w:rPr>
          <w:rFonts w:hint="eastAsia" w:ascii="宋体" w:hAnsi="宋体" w:cs="宋体"/>
        </w:rPr>
        <w:t>款商定或确定。发生争议时，按第</w:t>
      </w:r>
      <w:r>
        <w:rPr>
          <w:rFonts w:ascii="宋体" w:hAnsi="宋体" w:cs="TimesNewRomanPSMT"/>
        </w:rPr>
        <w:t xml:space="preserve">24 </w:t>
      </w:r>
      <w:r>
        <w:rPr>
          <w:rFonts w:hint="eastAsia" w:ascii="宋体" w:hAnsi="宋体" w:cs="宋体"/>
        </w:rPr>
        <w:t>条的约定办理。</w:t>
      </w:r>
    </w:p>
    <w:p>
      <w:pPr>
        <w:keepNext/>
        <w:keepLines/>
        <w:spacing w:before="120" w:after="120"/>
        <w:jc w:val="both"/>
        <w:outlineLvl w:val="2"/>
        <w:rPr>
          <w:rFonts w:ascii="宋体" w:hAnsi="宋体" w:cs="TimesNewRomanPSMT"/>
          <w:b/>
        </w:rPr>
      </w:pPr>
      <w:bookmarkStart w:id="193" w:name="_Toc260305537"/>
      <w:r>
        <w:rPr>
          <w:rFonts w:ascii="宋体" w:hAnsi="宋体" w:cs="TimesNewRomanPSMT"/>
          <w:b/>
        </w:rPr>
        <w:t xml:space="preserve">21.2 </w:t>
      </w:r>
      <w:r>
        <w:rPr>
          <w:rFonts w:hint="eastAsia" w:ascii="宋体" w:hAnsi="宋体" w:cs="TimesNewRomanPSMT"/>
          <w:b/>
        </w:rPr>
        <w:t>不可抗力的通知</w:t>
      </w:r>
      <w:bookmarkEnd w:id="193"/>
    </w:p>
    <w:p>
      <w:pPr>
        <w:autoSpaceDE w:val="0"/>
        <w:autoSpaceDN w:val="0"/>
        <w:adjustRightInd w:val="0"/>
        <w:rPr>
          <w:rFonts w:ascii="宋体" w:hAnsi="宋体" w:cs="宋体"/>
        </w:rPr>
      </w:pPr>
      <w:r>
        <w:rPr>
          <w:rFonts w:ascii="宋体" w:hAnsi="宋体" w:cs="TimesNewRomanPSMT"/>
        </w:rPr>
        <w:t xml:space="preserve">21.2.1 </w:t>
      </w:r>
      <w:r>
        <w:rPr>
          <w:rFonts w:hint="eastAsia" w:ascii="宋体" w:hAnsi="宋体" w:cs="宋体"/>
        </w:rPr>
        <w:t>合同一方当事人遇到不可抗力事件，使其履行合同义务受到阻碍时，应立即通知合同另一方当事人和监理人，书面说明不可抗力和受阻碍的详细情况，并提供必要的证明。</w:t>
      </w:r>
    </w:p>
    <w:p>
      <w:pPr>
        <w:autoSpaceDE w:val="0"/>
        <w:autoSpaceDN w:val="0"/>
        <w:adjustRightInd w:val="0"/>
        <w:rPr>
          <w:rFonts w:ascii="宋体" w:hAnsi="宋体" w:cs="宋体"/>
        </w:rPr>
      </w:pPr>
      <w:r>
        <w:rPr>
          <w:rFonts w:ascii="宋体" w:hAnsi="宋体" w:cs="TimesNewRomanPSMT"/>
        </w:rPr>
        <w:t xml:space="preserve">21.2.2 </w:t>
      </w:r>
      <w:r>
        <w:rPr>
          <w:rFonts w:hint="eastAsia" w:ascii="宋体" w:hAnsi="宋体" w:cs="宋体"/>
        </w:rPr>
        <w:t>如不可抗力持续发生，合同一方当事人应及时向合同另一方当事人和监理人提交中间报告，说明不可抗力和履行合同受阻的情况，并于不可抗力事件结束后</w:t>
      </w:r>
      <w:r>
        <w:rPr>
          <w:rFonts w:ascii="宋体" w:hAnsi="宋体" w:cs="TimesNewRomanPSMT"/>
        </w:rPr>
        <w:t xml:space="preserve">28 </w:t>
      </w:r>
      <w:r>
        <w:rPr>
          <w:rFonts w:hint="eastAsia" w:ascii="宋体" w:hAnsi="宋体" w:cs="宋体"/>
        </w:rPr>
        <w:t>天内提交最终报告及有关资料。</w:t>
      </w:r>
    </w:p>
    <w:p>
      <w:pPr>
        <w:keepNext/>
        <w:keepLines/>
        <w:spacing w:before="120" w:after="120"/>
        <w:jc w:val="both"/>
        <w:outlineLvl w:val="2"/>
        <w:rPr>
          <w:rFonts w:ascii="宋体" w:hAnsi="宋体" w:cs="TimesNewRomanPSMT"/>
          <w:b/>
        </w:rPr>
      </w:pPr>
      <w:bookmarkStart w:id="194" w:name="_Toc260305538"/>
      <w:r>
        <w:rPr>
          <w:rFonts w:ascii="宋体" w:hAnsi="宋体" w:cs="TimesNewRomanPSMT"/>
          <w:b/>
        </w:rPr>
        <w:t xml:space="preserve">21.3 </w:t>
      </w:r>
      <w:r>
        <w:rPr>
          <w:rFonts w:hint="eastAsia" w:ascii="宋体" w:hAnsi="宋体" w:cs="TimesNewRomanPSMT"/>
          <w:b/>
        </w:rPr>
        <w:t>不可抗力后果及其处理</w:t>
      </w:r>
      <w:bookmarkEnd w:id="194"/>
    </w:p>
    <w:p>
      <w:pPr>
        <w:autoSpaceDE w:val="0"/>
        <w:autoSpaceDN w:val="0"/>
        <w:adjustRightInd w:val="0"/>
        <w:rPr>
          <w:rFonts w:ascii="宋体" w:hAnsi="宋体" w:cs="宋体"/>
        </w:rPr>
      </w:pPr>
      <w:r>
        <w:rPr>
          <w:rFonts w:ascii="宋体" w:hAnsi="宋体" w:cs="TimesNewRomanPSMT"/>
        </w:rPr>
        <w:t xml:space="preserve">21.3.1 </w:t>
      </w:r>
      <w:r>
        <w:rPr>
          <w:rFonts w:hint="eastAsia" w:ascii="宋体" w:hAnsi="宋体" w:cs="宋体"/>
        </w:rPr>
        <w:t>不可抗力造成损害的责任</w:t>
      </w:r>
    </w:p>
    <w:p>
      <w:pPr>
        <w:autoSpaceDE w:val="0"/>
        <w:autoSpaceDN w:val="0"/>
        <w:adjustRightInd w:val="0"/>
        <w:rPr>
          <w:rFonts w:ascii="宋体" w:hAnsi="宋体" w:cs="宋体"/>
        </w:rPr>
      </w:pPr>
      <w:r>
        <w:rPr>
          <w:rFonts w:hint="eastAsia" w:ascii="宋体" w:hAnsi="宋体" w:cs="宋体"/>
        </w:rPr>
        <w:t>除专用合同条款另有约定外，不可抗力导致的人员伤亡、财产损失、费用增加和（或）工期延误等后果，由合同双方按以下原则承担：</w:t>
      </w:r>
    </w:p>
    <w:p>
      <w:pPr>
        <w:autoSpaceDE w:val="0"/>
        <w:autoSpaceDN w:val="0"/>
        <w:adjustRightInd w:val="0"/>
        <w:rPr>
          <w:rFonts w:ascii="宋体" w:hAnsi="宋体" w:cs="宋体"/>
        </w:rPr>
      </w:pPr>
      <w:r>
        <w:rPr>
          <w:rFonts w:hint="eastAsia" w:ascii="宋体" w:hAnsi="宋体" w:cs="宋体"/>
        </w:rPr>
        <w:t>（</w:t>
      </w:r>
      <w:r>
        <w:rPr>
          <w:rFonts w:ascii="宋体" w:hAnsi="宋体" w:cs="TimesNewRomanPSMT"/>
        </w:rPr>
        <w:t>1</w:t>
      </w:r>
      <w:r>
        <w:rPr>
          <w:rFonts w:hint="eastAsia" w:ascii="宋体" w:hAnsi="宋体" w:cs="宋体"/>
        </w:rPr>
        <w:t>）永久工程，包括已运至施工场地的材料和工程设备的损害，以及因工程损害造成的第三者人员伤亡和财产损失由发包人承担；</w:t>
      </w:r>
    </w:p>
    <w:p>
      <w:pPr>
        <w:autoSpaceDE w:val="0"/>
        <w:autoSpaceDN w:val="0"/>
        <w:adjustRightInd w:val="0"/>
        <w:rPr>
          <w:rFonts w:ascii="宋体" w:hAnsi="宋体" w:cs="宋体"/>
        </w:rPr>
      </w:pPr>
      <w:r>
        <w:rPr>
          <w:rFonts w:hint="eastAsia" w:ascii="宋体" w:hAnsi="宋体" w:cs="宋体"/>
        </w:rPr>
        <w:t>（</w:t>
      </w:r>
      <w:r>
        <w:rPr>
          <w:rFonts w:ascii="宋体" w:hAnsi="宋体" w:cs="TimesNewRomanPSMT"/>
        </w:rPr>
        <w:t>2</w:t>
      </w:r>
      <w:r>
        <w:rPr>
          <w:rFonts w:hint="eastAsia" w:ascii="宋体" w:hAnsi="宋体" w:cs="宋体"/>
        </w:rPr>
        <w:t>）承包人设备的损坏由承包人承担；</w:t>
      </w:r>
    </w:p>
    <w:p>
      <w:pPr>
        <w:autoSpaceDE w:val="0"/>
        <w:autoSpaceDN w:val="0"/>
        <w:adjustRightInd w:val="0"/>
        <w:rPr>
          <w:rFonts w:ascii="宋体" w:hAnsi="宋体" w:cs="宋体"/>
        </w:rPr>
      </w:pPr>
      <w:r>
        <w:rPr>
          <w:rFonts w:hint="eastAsia" w:ascii="宋体" w:hAnsi="宋体" w:cs="宋体"/>
        </w:rPr>
        <w:t>（</w:t>
      </w:r>
      <w:r>
        <w:rPr>
          <w:rFonts w:ascii="宋体" w:hAnsi="宋体" w:cs="TimesNewRomanPSMT"/>
        </w:rPr>
        <w:t>3</w:t>
      </w:r>
      <w:r>
        <w:rPr>
          <w:rFonts w:hint="eastAsia" w:ascii="宋体" w:hAnsi="宋体" w:cs="宋体"/>
        </w:rPr>
        <w:t>）发包人和承包人各自承担其人员伤亡和其他财产损失及其相关费用；</w:t>
      </w:r>
    </w:p>
    <w:p>
      <w:pPr>
        <w:autoSpaceDE w:val="0"/>
        <w:autoSpaceDN w:val="0"/>
        <w:adjustRightInd w:val="0"/>
        <w:rPr>
          <w:rFonts w:ascii="宋体" w:hAnsi="宋体" w:cs="宋体"/>
        </w:rPr>
      </w:pPr>
      <w:r>
        <w:rPr>
          <w:rFonts w:hint="eastAsia" w:ascii="宋体" w:hAnsi="宋体" w:cs="宋体"/>
        </w:rPr>
        <w:t>（</w:t>
      </w:r>
      <w:r>
        <w:rPr>
          <w:rFonts w:ascii="宋体" w:hAnsi="宋体" w:cs="TimesNewRomanPSMT"/>
        </w:rPr>
        <w:t>4</w:t>
      </w:r>
      <w:r>
        <w:rPr>
          <w:rFonts w:hint="eastAsia" w:ascii="宋体" w:hAnsi="宋体" w:cs="宋体"/>
        </w:rPr>
        <w:t>）承包人的停工损失由承包人承担，但停工期间应监理人要求照管工程和清理、修复工程的金额由发包人承担；</w:t>
      </w:r>
    </w:p>
    <w:p>
      <w:pPr>
        <w:autoSpaceDE w:val="0"/>
        <w:autoSpaceDN w:val="0"/>
        <w:adjustRightInd w:val="0"/>
        <w:rPr>
          <w:rFonts w:ascii="宋体" w:hAnsi="宋体" w:cs="宋体"/>
        </w:rPr>
      </w:pPr>
      <w:r>
        <w:rPr>
          <w:rFonts w:hint="eastAsia" w:ascii="宋体" w:hAnsi="宋体" w:cs="宋体"/>
        </w:rPr>
        <w:t>（</w:t>
      </w:r>
      <w:r>
        <w:rPr>
          <w:rFonts w:ascii="宋体" w:hAnsi="宋体" w:cs="TimesNewRomanPSMT"/>
        </w:rPr>
        <w:t>5</w:t>
      </w:r>
      <w:r>
        <w:rPr>
          <w:rFonts w:hint="eastAsia" w:ascii="宋体" w:hAnsi="宋体" w:cs="宋体"/>
        </w:rPr>
        <w:t>）不能按期竣工的，应合理延长工期，承包人不需支付逾期竣工违约金。发包人要求赶工的，承包人应采取赶工措施，赶工费用由发包人承担。</w:t>
      </w:r>
    </w:p>
    <w:p>
      <w:pPr>
        <w:autoSpaceDE w:val="0"/>
        <w:autoSpaceDN w:val="0"/>
        <w:adjustRightInd w:val="0"/>
        <w:rPr>
          <w:rFonts w:ascii="宋体" w:hAnsi="宋体" w:cs="宋体"/>
        </w:rPr>
      </w:pPr>
      <w:r>
        <w:rPr>
          <w:rFonts w:ascii="宋体" w:hAnsi="宋体" w:cs="TimesNewRomanPSMT"/>
        </w:rPr>
        <w:t xml:space="preserve">21.3.2 </w:t>
      </w:r>
      <w:r>
        <w:rPr>
          <w:rFonts w:hint="eastAsia" w:ascii="宋体" w:hAnsi="宋体" w:cs="宋体"/>
        </w:rPr>
        <w:t>延迟履行期间发生的不可抗力</w:t>
      </w:r>
    </w:p>
    <w:p>
      <w:pPr>
        <w:autoSpaceDE w:val="0"/>
        <w:autoSpaceDN w:val="0"/>
        <w:adjustRightInd w:val="0"/>
        <w:rPr>
          <w:rFonts w:ascii="宋体" w:hAnsi="宋体" w:cs="宋体"/>
        </w:rPr>
      </w:pPr>
      <w:r>
        <w:rPr>
          <w:rFonts w:hint="eastAsia" w:ascii="宋体" w:hAnsi="宋体" w:cs="宋体"/>
        </w:rPr>
        <w:t>合同一方当事人延迟履行，在延迟履行期间发生不可抗力的，不免除其责任。</w:t>
      </w:r>
    </w:p>
    <w:p>
      <w:pPr>
        <w:autoSpaceDE w:val="0"/>
        <w:autoSpaceDN w:val="0"/>
        <w:adjustRightInd w:val="0"/>
        <w:rPr>
          <w:rFonts w:ascii="宋体" w:hAnsi="宋体" w:cs="宋体"/>
        </w:rPr>
      </w:pPr>
      <w:r>
        <w:rPr>
          <w:rFonts w:ascii="宋体" w:hAnsi="宋体" w:cs="TimesNewRomanPSMT"/>
        </w:rPr>
        <w:t xml:space="preserve">21.3.3 </w:t>
      </w:r>
      <w:r>
        <w:rPr>
          <w:rFonts w:hint="eastAsia" w:ascii="宋体" w:hAnsi="宋体" w:cs="宋体"/>
        </w:rPr>
        <w:t>避免和减少不可抗力损失</w:t>
      </w:r>
    </w:p>
    <w:p>
      <w:pPr>
        <w:autoSpaceDE w:val="0"/>
        <w:autoSpaceDN w:val="0"/>
        <w:adjustRightInd w:val="0"/>
        <w:rPr>
          <w:rFonts w:ascii="宋体" w:hAnsi="宋体" w:cs="宋体"/>
        </w:rPr>
      </w:pPr>
      <w:r>
        <w:rPr>
          <w:rFonts w:hint="eastAsia" w:ascii="宋体" w:hAnsi="宋体" w:cs="宋体"/>
        </w:rPr>
        <w:t>不可抗力发生后，发包人和承包人均应采取措施尽量避免和减少损失的扩大，任何一方没有采取有效措施导致损失扩大的，应对扩大的损失承担责任。</w:t>
      </w:r>
    </w:p>
    <w:p>
      <w:pPr>
        <w:autoSpaceDE w:val="0"/>
        <w:autoSpaceDN w:val="0"/>
        <w:adjustRightInd w:val="0"/>
        <w:rPr>
          <w:rFonts w:ascii="宋体" w:hAnsi="宋体" w:cs="宋体"/>
        </w:rPr>
      </w:pPr>
      <w:r>
        <w:rPr>
          <w:rFonts w:ascii="宋体" w:hAnsi="宋体" w:cs="TimesNewRomanPSMT"/>
        </w:rPr>
        <w:t xml:space="preserve">21.3.4 </w:t>
      </w:r>
      <w:r>
        <w:rPr>
          <w:rFonts w:hint="eastAsia" w:ascii="宋体" w:hAnsi="宋体" w:cs="宋体"/>
        </w:rPr>
        <w:t>因不可抗力解除合同</w:t>
      </w:r>
    </w:p>
    <w:p>
      <w:pPr>
        <w:autoSpaceDE w:val="0"/>
        <w:autoSpaceDN w:val="0"/>
        <w:adjustRightInd w:val="0"/>
        <w:rPr>
          <w:rFonts w:ascii="宋体" w:hAnsi="宋体" w:cs="宋体"/>
        </w:rPr>
      </w:pPr>
      <w:r>
        <w:rPr>
          <w:rFonts w:hint="eastAsia" w:ascii="宋体" w:hAnsi="宋体" w:cs="宋体"/>
        </w:rPr>
        <w:t>合同一方当事人因不可抗力不能履行合同的，应当及时通知对方解除合同。合同解除后，承包人应按照第</w:t>
      </w:r>
      <w:r>
        <w:rPr>
          <w:rFonts w:ascii="宋体" w:hAnsi="宋体" w:cs="TimesNewRomanPSMT"/>
        </w:rPr>
        <w:t xml:space="preserve">22.2.5 </w:t>
      </w:r>
      <w:r>
        <w:rPr>
          <w:rFonts w:hint="eastAsia" w:ascii="宋体" w:hAnsi="宋体" w:cs="宋体"/>
        </w:rPr>
        <w:t>项约定撤离施工场地。已经订货的材料、设备由订货方负责退货或解除订货合同，不能退还的货款和因退货、解除订货合同发生的费用，由发包人承担，因未及时退货造成的损失由责任方承担。合同解除后的付款，参照第</w:t>
      </w:r>
      <w:r>
        <w:rPr>
          <w:rFonts w:ascii="宋体" w:hAnsi="宋体" w:cs="TimesNewRomanPSMT"/>
        </w:rPr>
        <w:t xml:space="preserve">22.2.4 </w:t>
      </w:r>
      <w:r>
        <w:rPr>
          <w:rFonts w:hint="eastAsia" w:ascii="宋体" w:hAnsi="宋体" w:cs="宋体"/>
        </w:rPr>
        <w:t>项约定，由监理人按第</w:t>
      </w:r>
      <w:r>
        <w:rPr>
          <w:rFonts w:ascii="宋体" w:hAnsi="宋体" w:cs="TimesNewRomanPSMT"/>
        </w:rPr>
        <w:t xml:space="preserve">3.5 </w:t>
      </w:r>
      <w:r>
        <w:rPr>
          <w:rFonts w:hint="eastAsia" w:ascii="宋体" w:hAnsi="宋体" w:cs="宋体"/>
        </w:rPr>
        <w:t>款商定或确定。</w:t>
      </w:r>
    </w:p>
    <w:p>
      <w:pPr>
        <w:keepNext/>
        <w:keepLines/>
        <w:spacing w:before="120" w:after="120"/>
        <w:jc w:val="both"/>
        <w:outlineLvl w:val="1"/>
        <w:rPr>
          <w:rFonts w:ascii="宋体" w:hAnsi="宋体" w:cs="TimesNewRomanPSMT"/>
          <w:b/>
          <w:sz w:val="28"/>
          <w:szCs w:val="28"/>
        </w:rPr>
      </w:pPr>
      <w:bookmarkStart w:id="195" w:name="_Toc260305539"/>
      <w:bookmarkStart w:id="196" w:name="_Toc23191"/>
      <w:r>
        <w:rPr>
          <w:rFonts w:ascii="宋体" w:hAnsi="宋体" w:cs="TimesNewRomanPSMT"/>
          <w:b/>
          <w:sz w:val="28"/>
          <w:szCs w:val="28"/>
        </w:rPr>
        <w:t xml:space="preserve">22. </w:t>
      </w:r>
      <w:r>
        <w:rPr>
          <w:rFonts w:hint="eastAsia" w:ascii="宋体" w:hAnsi="宋体" w:cs="TimesNewRomanPSMT"/>
          <w:b/>
          <w:sz w:val="28"/>
          <w:szCs w:val="28"/>
        </w:rPr>
        <w:t>违约</w:t>
      </w:r>
      <w:bookmarkEnd w:id="195"/>
      <w:bookmarkEnd w:id="196"/>
    </w:p>
    <w:p>
      <w:pPr>
        <w:keepNext/>
        <w:keepLines/>
        <w:spacing w:before="120" w:after="120"/>
        <w:jc w:val="both"/>
        <w:outlineLvl w:val="2"/>
        <w:rPr>
          <w:rFonts w:ascii="宋体" w:hAnsi="宋体" w:cs="TimesNewRomanPSMT"/>
          <w:b/>
        </w:rPr>
      </w:pPr>
      <w:bookmarkStart w:id="197" w:name="_Toc260305540"/>
      <w:r>
        <w:rPr>
          <w:rFonts w:ascii="宋体" w:hAnsi="宋体" w:cs="TimesNewRomanPSMT"/>
          <w:b/>
        </w:rPr>
        <w:t xml:space="preserve">22.1 </w:t>
      </w:r>
      <w:r>
        <w:rPr>
          <w:rFonts w:hint="eastAsia" w:ascii="宋体" w:hAnsi="宋体" w:cs="TimesNewRomanPSMT"/>
          <w:b/>
        </w:rPr>
        <w:t>承包人违约</w:t>
      </w:r>
      <w:bookmarkEnd w:id="197"/>
    </w:p>
    <w:p>
      <w:pPr>
        <w:autoSpaceDE w:val="0"/>
        <w:autoSpaceDN w:val="0"/>
        <w:adjustRightInd w:val="0"/>
        <w:rPr>
          <w:rFonts w:ascii="宋体" w:hAnsi="宋体" w:cs="宋体"/>
        </w:rPr>
      </w:pPr>
      <w:r>
        <w:rPr>
          <w:rFonts w:ascii="宋体" w:hAnsi="宋体" w:cs="TimesNewRomanPSMT"/>
        </w:rPr>
        <w:t xml:space="preserve">22.1.1 </w:t>
      </w:r>
      <w:r>
        <w:rPr>
          <w:rFonts w:hint="eastAsia" w:ascii="宋体" w:hAnsi="宋体" w:cs="宋体"/>
        </w:rPr>
        <w:t>承包人违约的情形</w:t>
      </w:r>
    </w:p>
    <w:p>
      <w:pPr>
        <w:autoSpaceDE w:val="0"/>
        <w:autoSpaceDN w:val="0"/>
        <w:adjustRightInd w:val="0"/>
        <w:rPr>
          <w:rFonts w:ascii="宋体" w:hAnsi="宋体" w:cs="宋体"/>
        </w:rPr>
      </w:pPr>
      <w:r>
        <w:rPr>
          <w:rFonts w:hint="eastAsia" w:ascii="宋体" w:hAnsi="宋体" w:cs="宋体"/>
        </w:rPr>
        <w:t>在履行合同过程中发生的下列情况属承包人违约：</w:t>
      </w:r>
    </w:p>
    <w:p>
      <w:pPr>
        <w:autoSpaceDE w:val="0"/>
        <w:autoSpaceDN w:val="0"/>
        <w:adjustRightInd w:val="0"/>
        <w:rPr>
          <w:rFonts w:ascii="宋体" w:hAnsi="宋体" w:cs="宋体"/>
        </w:rPr>
      </w:pPr>
      <w:r>
        <w:rPr>
          <w:rFonts w:hint="eastAsia" w:ascii="宋体" w:hAnsi="宋体" w:cs="宋体"/>
        </w:rPr>
        <w:t>（</w:t>
      </w:r>
      <w:r>
        <w:rPr>
          <w:rFonts w:ascii="宋体" w:hAnsi="宋体" w:cs="TimesNewRomanPSMT"/>
        </w:rPr>
        <w:t>1</w:t>
      </w:r>
      <w:r>
        <w:rPr>
          <w:rFonts w:hint="eastAsia" w:ascii="宋体" w:hAnsi="宋体" w:cs="宋体"/>
        </w:rPr>
        <w:t>）承包人违反第</w:t>
      </w:r>
      <w:r>
        <w:rPr>
          <w:rFonts w:ascii="宋体" w:hAnsi="宋体" w:cs="TimesNewRomanPSMT"/>
        </w:rPr>
        <w:t xml:space="preserve">1.8 </w:t>
      </w:r>
      <w:r>
        <w:rPr>
          <w:rFonts w:hint="eastAsia" w:ascii="宋体" w:hAnsi="宋体" w:cs="宋体"/>
        </w:rPr>
        <w:t>款或第</w:t>
      </w:r>
      <w:r>
        <w:rPr>
          <w:rFonts w:ascii="宋体" w:hAnsi="宋体" w:cs="TimesNewRomanPSMT"/>
        </w:rPr>
        <w:t xml:space="preserve">4.3 </w:t>
      </w:r>
      <w:r>
        <w:rPr>
          <w:rFonts w:hint="eastAsia" w:ascii="宋体" w:hAnsi="宋体" w:cs="宋体"/>
        </w:rPr>
        <w:t>款的约定，私自将合同的全部或部分权利转让给其他人，或私自将合同的全部或部分义务转移给其他人；</w:t>
      </w:r>
    </w:p>
    <w:p>
      <w:pPr>
        <w:autoSpaceDE w:val="0"/>
        <w:autoSpaceDN w:val="0"/>
        <w:adjustRightInd w:val="0"/>
        <w:rPr>
          <w:rFonts w:ascii="宋体" w:hAnsi="宋体" w:cs="宋体"/>
        </w:rPr>
      </w:pPr>
      <w:r>
        <w:rPr>
          <w:rFonts w:hint="eastAsia" w:ascii="宋体" w:hAnsi="宋体" w:cs="宋体"/>
        </w:rPr>
        <w:t>（</w:t>
      </w:r>
      <w:r>
        <w:rPr>
          <w:rFonts w:ascii="宋体" w:hAnsi="宋体" w:cs="TimesNewRomanPSMT"/>
        </w:rPr>
        <w:t>2</w:t>
      </w:r>
      <w:r>
        <w:rPr>
          <w:rFonts w:hint="eastAsia" w:ascii="宋体" w:hAnsi="宋体" w:cs="宋体"/>
        </w:rPr>
        <w:t>）承包人违反第</w:t>
      </w:r>
      <w:r>
        <w:rPr>
          <w:rFonts w:ascii="宋体" w:hAnsi="宋体" w:cs="TimesNewRomanPSMT"/>
        </w:rPr>
        <w:t xml:space="preserve">5.3 </w:t>
      </w:r>
      <w:r>
        <w:rPr>
          <w:rFonts w:hint="eastAsia" w:ascii="宋体" w:hAnsi="宋体" w:cs="宋体"/>
        </w:rPr>
        <w:t>款或第</w:t>
      </w:r>
      <w:r>
        <w:rPr>
          <w:rFonts w:ascii="宋体" w:hAnsi="宋体" w:cs="TimesNewRomanPSMT"/>
        </w:rPr>
        <w:t xml:space="preserve">6.4 </w:t>
      </w:r>
      <w:r>
        <w:rPr>
          <w:rFonts w:hint="eastAsia" w:ascii="宋体" w:hAnsi="宋体" w:cs="宋体"/>
        </w:rPr>
        <w:t>款的约定，未经监理人批准，私自将已按合同约定进入施工场地的施工设备、临时设施或材料撤离施工场地；</w:t>
      </w:r>
    </w:p>
    <w:p>
      <w:pPr>
        <w:autoSpaceDE w:val="0"/>
        <w:autoSpaceDN w:val="0"/>
        <w:adjustRightInd w:val="0"/>
        <w:rPr>
          <w:rFonts w:ascii="宋体" w:hAnsi="宋体" w:cs="宋体"/>
        </w:rPr>
      </w:pPr>
      <w:r>
        <w:rPr>
          <w:rFonts w:hint="eastAsia" w:ascii="宋体" w:hAnsi="宋体" w:cs="宋体"/>
        </w:rPr>
        <w:t>（</w:t>
      </w:r>
      <w:r>
        <w:rPr>
          <w:rFonts w:ascii="宋体" w:hAnsi="宋体" w:cs="TimesNewRomanPSMT"/>
        </w:rPr>
        <w:t>3</w:t>
      </w:r>
      <w:r>
        <w:rPr>
          <w:rFonts w:hint="eastAsia" w:ascii="宋体" w:hAnsi="宋体" w:cs="宋体"/>
        </w:rPr>
        <w:t>）承包人违反第</w:t>
      </w:r>
      <w:r>
        <w:rPr>
          <w:rFonts w:ascii="宋体" w:hAnsi="宋体" w:cs="TimesNewRomanPSMT"/>
        </w:rPr>
        <w:t xml:space="preserve">5.4 </w:t>
      </w:r>
      <w:r>
        <w:rPr>
          <w:rFonts w:hint="eastAsia" w:ascii="宋体" w:hAnsi="宋体" w:cs="宋体"/>
        </w:rPr>
        <w:t>款的约定使用了不合格材料或工程设备，工程质量达不到标准要求，又拒绝清除不合格工程；</w:t>
      </w:r>
    </w:p>
    <w:p>
      <w:pPr>
        <w:autoSpaceDE w:val="0"/>
        <w:autoSpaceDN w:val="0"/>
        <w:adjustRightInd w:val="0"/>
        <w:rPr>
          <w:rFonts w:ascii="宋体" w:hAnsi="宋体" w:cs="宋体"/>
        </w:rPr>
      </w:pPr>
      <w:r>
        <w:rPr>
          <w:rFonts w:hint="eastAsia" w:ascii="宋体" w:hAnsi="宋体" w:cs="宋体"/>
        </w:rPr>
        <w:t>（</w:t>
      </w:r>
      <w:r>
        <w:rPr>
          <w:rFonts w:ascii="宋体" w:hAnsi="宋体" w:cs="TimesNewRomanPSMT"/>
        </w:rPr>
        <w:t>4</w:t>
      </w:r>
      <w:r>
        <w:rPr>
          <w:rFonts w:hint="eastAsia" w:ascii="宋体" w:hAnsi="宋体" w:cs="宋体"/>
        </w:rPr>
        <w:t>）承包人未能按合同进度计划及时完成合同约定的工作，已造成或预期造成工期延误；</w:t>
      </w:r>
    </w:p>
    <w:p>
      <w:pPr>
        <w:autoSpaceDE w:val="0"/>
        <w:autoSpaceDN w:val="0"/>
        <w:adjustRightInd w:val="0"/>
        <w:rPr>
          <w:rFonts w:ascii="宋体" w:hAnsi="宋体" w:cs="宋体"/>
        </w:rPr>
      </w:pPr>
      <w:r>
        <w:rPr>
          <w:rFonts w:hint="eastAsia" w:ascii="宋体" w:hAnsi="宋体" w:cs="宋体"/>
        </w:rPr>
        <w:t>（</w:t>
      </w:r>
      <w:r>
        <w:rPr>
          <w:rFonts w:ascii="宋体" w:hAnsi="宋体" w:cs="TimesNewRomanPSMT"/>
        </w:rPr>
        <w:t>5</w:t>
      </w:r>
      <w:r>
        <w:rPr>
          <w:rFonts w:hint="eastAsia" w:ascii="宋体" w:hAnsi="宋体" w:cs="宋体"/>
        </w:rPr>
        <w:t>）承包人在缺陷责任期内，未能对工程接收证书所列的缺陷清单的内容或缺陷责任期内发生的缺陷进行修复，而又拒绝按监理人指示再进行修补；</w:t>
      </w:r>
    </w:p>
    <w:p>
      <w:pPr>
        <w:autoSpaceDE w:val="0"/>
        <w:autoSpaceDN w:val="0"/>
        <w:adjustRightInd w:val="0"/>
        <w:rPr>
          <w:rFonts w:ascii="宋体" w:hAnsi="宋体" w:cs="宋体"/>
        </w:rPr>
      </w:pPr>
      <w:r>
        <w:rPr>
          <w:rFonts w:hint="eastAsia" w:ascii="宋体" w:hAnsi="宋体" w:cs="宋体"/>
        </w:rPr>
        <w:t>（</w:t>
      </w:r>
      <w:r>
        <w:rPr>
          <w:rFonts w:ascii="宋体" w:hAnsi="宋体" w:cs="TimesNewRomanPSMT"/>
        </w:rPr>
        <w:t>6</w:t>
      </w:r>
      <w:r>
        <w:rPr>
          <w:rFonts w:hint="eastAsia" w:ascii="宋体" w:hAnsi="宋体" w:cs="宋体"/>
        </w:rPr>
        <w:t>）承包人无法继续履行或明确表示不履行或实质上已停止履行合同；</w:t>
      </w:r>
    </w:p>
    <w:p>
      <w:pPr>
        <w:autoSpaceDE w:val="0"/>
        <w:autoSpaceDN w:val="0"/>
        <w:adjustRightInd w:val="0"/>
        <w:rPr>
          <w:rFonts w:ascii="宋体" w:hAnsi="宋体" w:cs="宋体"/>
        </w:rPr>
      </w:pPr>
      <w:r>
        <w:rPr>
          <w:rFonts w:hint="eastAsia" w:ascii="宋体" w:hAnsi="宋体" w:cs="宋体"/>
        </w:rPr>
        <w:t>（</w:t>
      </w:r>
      <w:r>
        <w:rPr>
          <w:rFonts w:ascii="宋体" w:hAnsi="宋体" w:cs="TimesNewRomanPSMT"/>
        </w:rPr>
        <w:t>7</w:t>
      </w:r>
      <w:r>
        <w:rPr>
          <w:rFonts w:hint="eastAsia" w:ascii="宋体" w:hAnsi="宋体" w:cs="宋体"/>
        </w:rPr>
        <w:t>）承包人不按合同约定履行义务的其他情况。</w:t>
      </w:r>
    </w:p>
    <w:p>
      <w:pPr>
        <w:autoSpaceDE w:val="0"/>
        <w:autoSpaceDN w:val="0"/>
        <w:adjustRightInd w:val="0"/>
        <w:rPr>
          <w:rFonts w:ascii="宋体" w:hAnsi="宋体" w:cs="宋体"/>
        </w:rPr>
      </w:pPr>
      <w:r>
        <w:rPr>
          <w:rFonts w:ascii="宋体" w:hAnsi="宋体" w:cs="TimesNewRomanPSMT"/>
        </w:rPr>
        <w:t xml:space="preserve">22.1.2 </w:t>
      </w:r>
      <w:r>
        <w:rPr>
          <w:rFonts w:hint="eastAsia" w:ascii="宋体" w:hAnsi="宋体" w:cs="宋体"/>
        </w:rPr>
        <w:t>对承包人违约的处理</w:t>
      </w:r>
    </w:p>
    <w:p>
      <w:pPr>
        <w:autoSpaceDE w:val="0"/>
        <w:autoSpaceDN w:val="0"/>
        <w:adjustRightInd w:val="0"/>
        <w:rPr>
          <w:rFonts w:ascii="宋体" w:hAnsi="宋体" w:cs="宋体"/>
        </w:rPr>
      </w:pPr>
      <w:r>
        <w:rPr>
          <w:rFonts w:hint="eastAsia" w:ascii="宋体" w:hAnsi="宋体" w:cs="宋体"/>
        </w:rPr>
        <w:t>（</w:t>
      </w:r>
      <w:r>
        <w:rPr>
          <w:rFonts w:ascii="宋体" w:hAnsi="宋体" w:cs="TimesNewRomanPSMT"/>
        </w:rPr>
        <w:t>1</w:t>
      </w:r>
      <w:r>
        <w:rPr>
          <w:rFonts w:hint="eastAsia" w:ascii="宋体" w:hAnsi="宋体" w:cs="宋体"/>
        </w:rPr>
        <w:t>）承包人发生第</w:t>
      </w:r>
      <w:r>
        <w:rPr>
          <w:rFonts w:ascii="宋体" w:hAnsi="宋体" w:cs="TimesNewRomanPSMT"/>
        </w:rPr>
        <w:t>22.1.1</w:t>
      </w:r>
      <w:r>
        <w:rPr>
          <w:rFonts w:hint="eastAsia" w:ascii="宋体" w:hAnsi="宋体" w:cs="宋体"/>
        </w:rPr>
        <w:t>（</w:t>
      </w:r>
      <w:r>
        <w:rPr>
          <w:rFonts w:ascii="宋体" w:hAnsi="宋体" w:cs="TimesNewRomanPSMT"/>
        </w:rPr>
        <w:t>6</w:t>
      </w:r>
      <w:r>
        <w:rPr>
          <w:rFonts w:hint="eastAsia" w:ascii="宋体" w:hAnsi="宋体" w:cs="宋体"/>
        </w:rPr>
        <w:t>）目约定的违约情况时，发包人可通知承包人立即解除合同，并按有关法律处理。</w:t>
      </w:r>
    </w:p>
    <w:p>
      <w:pPr>
        <w:autoSpaceDE w:val="0"/>
        <w:autoSpaceDN w:val="0"/>
        <w:adjustRightInd w:val="0"/>
        <w:rPr>
          <w:rFonts w:ascii="宋体" w:hAnsi="宋体" w:cs="宋体"/>
        </w:rPr>
      </w:pPr>
      <w:r>
        <w:rPr>
          <w:rFonts w:hint="eastAsia" w:ascii="宋体" w:hAnsi="宋体" w:cs="宋体"/>
        </w:rPr>
        <w:t>（</w:t>
      </w:r>
      <w:r>
        <w:rPr>
          <w:rFonts w:ascii="宋体" w:hAnsi="宋体" w:cs="TimesNewRomanPSMT"/>
        </w:rPr>
        <w:t>2</w:t>
      </w:r>
      <w:r>
        <w:rPr>
          <w:rFonts w:hint="eastAsia" w:ascii="宋体" w:hAnsi="宋体" w:cs="宋体"/>
        </w:rPr>
        <w:t>）承包人发生除第</w:t>
      </w:r>
      <w:r>
        <w:rPr>
          <w:rFonts w:ascii="宋体" w:hAnsi="宋体" w:cs="TimesNewRomanPSMT"/>
        </w:rPr>
        <w:t>22.1.1</w:t>
      </w:r>
      <w:r>
        <w:rPr>
          <w:rFonts w:hint="eastAsia" w:ascii="宋体" w:hAnsi="宋体" w:cs="宋体"/>
        </w:rPr>
        <w:t>（</w:t>
      </w:r>
      <w:r>
        <w:rPr>
          <w:rFonts w:ascii="宋体" w:hAnsi="宋体" w:cs="TimesNewRomanPSMT"/>
        </w:rPr>
        <w:t>6</w:t>
      </w:r>
      <w:r>
        <w:rPr>
          <w:rFonts w:hint="eastAsia" w:ascii="宋体" w:hAnsi="宋体" w:cs="宋体"/>
        </w:rPr>
        <w:t>）目约定以外的其他违约情况时，监理人可向承包人发出整改通知，要求其在指定的期限内改正。承包人应承担其违约所引起的费用增加和（或）工期延误。</w:t>
      </w:r>
    </w:p>
    <w:p>
      <w:pPr>
        <w:autoSpaceDE w:val="0"/>
        <w:autoSpaceDN w:val="0"/>
        <w:adjustRightInd w:val="0"/>
        <w:rPr>
          <w:rFonts w:ascii="宋体" w:hAnsi="宋体" w:cs="宋体"/>
        </w:rPr>
      </w:pPr>
      <w:r>
        <w:rPr>
          <w:rFonts w:hint="eastAsia" w:ascii="宋体" w:hAnsi="宋体" w:cs="宋体"/>
        </w:rPr>
        <w:t>（</w:t>
      </w:r>
      <w:r>
        <w:rPr>
          <w:rFonts w:ascii="宋体" w:hAnsi="宋体" w:cs="TimesNewRomanPSMT"/>
        </w:rPr>
        <w:t>3</w:t>
      </w:r>
      <w:r>
        <w:rPr>
          <w:rFonts w:hint="eastAsia" w:ascii="宋体" w:hAnsi="宋体" w:cs="宋体"/>
        </w:rPr>
        <w:t>）经检查证明承包人已采取了有效措施纠正违约行为，具备复工条件的，可由监理人签发复工通知复工。</w:t>
      </w:r>
    </w:p>
    <w:p>
      <w:pPr>
        <w:autoSpaceDE w:val="0"/>
        <w:autoSpaceDN w:val="0"/>
        <w:adjustRightInd w:val="0"/>
        <w:rPr>
          <w:rFonts w:ascii="宋体" w:hAnsi="宋体" w:cs="宋体"/>
        </w:rPr>
      </w:pPr>
      <w:r>
        <w:rPr>
          <w:rFonts w:ascii="宋体" w:hAnsi="宋体" w:cs="TimesNewRomanPSMT"/>
        </w:rPr>
        <w:t xml:space="preserve">22.1.3 </w:t>
      </w:r>
      <w:r>
        <w:rPr>
          <w:rFonts w:hint="eastAsia" w:ascii="宋体" w:hAnsi="宋体" w:cs="宋体"/>
        </w:rPr>
        <w:t>承包人违约解除合同</w:t>
      </w:r>
    </w:p>
    <w:p>
      <w:pPr>
        <w:autoSpaceDE w:val="0"/>
        <w:autoSpaceDN w:val="0"/>
        <w:adjustRightInd w:val="0"/>
        <w:rPr>
          <w:rFonts w:ascii="宋体" w:hAnsi="宋体" w:cs="宋体"/>
        </w:rPr>
      </w:pPr>
      <w:r>
        <w:rPr>
          <w:rFonts w:hint="eastAsia" w:ascii="宋体" w:hAnsi="宋体" w:cs="宋体"/>
        </w:rPr>
        <w:t>监理人发出整改通知</w:t>
      </w:r>
      <w:r>
        <w:rPr>
          <w:rFonts w:ascii="宋体" w:hAnsi="宋体" w:cs="TimesNewRomanPSMT"/>
        </w:rPr>
        <w:t xml:space="preserve">28 </w:t>
      </w:r>
      <w:r>
        <w:rPr>
          <w:rFonts w:hint="eastAsia" w:ascii="宋体" w:hAnsi="宋体" w:cs="宋体"/>
        </w:rPr>
        <w:t>天后，承包人仍不纠正违约行为的，发包人可向承包人发出解除合同通知。合同解除后，发包人可派员进驻施工场地，另行组织人员或委托其他承包人施工。发包人因继续完成该工程的需要，有权扣留使用承包人在现场的材料、设备和临时设施。但发包人的这一行动不免除承包人应承担的违约责任，也不影响发包人根据合同约定享有的索赔权利。</w:t>
      </w:r>
    </w:p>
    <w:p>
      <w:pPr>
        <w:autoSpaceDE w:val="0"/>
        <w:autoSpaceDN w:val="0"/>
        <w:adjustRightInd w:val="0"/>
        <w:rPr>
          <w:rFonts w:ascii="宋体" w:hAnsi="宋体" w:cs="宋体"/>
        </w:rPr>
      </w:pPr>
      <w:r>
        <w:rPr>
          <w:rFonts w:ascii="宋体" w:hAnsi="宋体" w:cs="TimesNewRomanPSMT"/>
        </w:rPr>
        <w:t xml:space="preserve">22.1.4 </w:t>
      </w:r>
      <w:r>
        <w:rPr>
          <w:rFonts w:hint="eastAsia" w:ascii="宋体" w:hAnsi="宋体" w:cs="宋体"/>
        </w:rPr>
        <w:t>合同解除后的估价、付款和结清</w:t>
      </w:r>
    </w:p>
    <w:p>
      <w:pPr>
        <w:autoSpaceDE w:val="0"/>
        <w:autoSpaceDN w:val="0"/>
        <w:adjustRightInd w:val="0"/>
        <w:rPr>
          <w:rFonts w:ascii="宋体" w:hAnsi="宋体" w:cs="宋体"/>
        </w:rPr>
      </w:pPr>
      <w:r>
        <w:rPr>
          <w:rFonts w:hint="eastAsia" w:ascii="宋体" w:hAnsi="宋体" w:cs="宋体"/>
        </w:rPr>
        <w:t>（</w:t>
      </w:r>
      <w:r>
        <w:rPr>
          <w:rFonts w:ascii="宋体" w:hAnsi="宋体" w:cs="TimesNewRomanPSMT"/>
        </w:rPr>
        <w:t>1</w:t>
      </w:r>
      <w:r>
        <w:rPr>
          <w:rFonts w:hint="eastAsia" w:ascii="宋体" w:hAnsi="宋体" w:cs="宋体"/>
        </w:rPr>
        <w:t>）合同解除后，监理人按第</w:t>
      </w:r>
      <w:r>
        <w:rPr>
          <w:rFonts w:ascii="宋体" w:hAnsi="宋体" w:cs="TimesNewRomanPSMT"/>
        </w:rPr>
        <w:t xml:space="preserve">3.5 </w:t>
      </w:r>
      <w:r>
        <w:rPr>
          <w:rFonts w:hint="eastAsia" w:ascii="宋体" w:hAnsi="宋体" w:cs="宋体"/>
        </w:rPr>
        <w:t>款商定或确定承包人实际完成工作的价值，以及承包人已提供的材料、施工设备、工程设备和临时工程等的价值。</w:t>
      </w:r>
    </w:p>
    <w:p>
      <w:pPr>
        <w:autoSpaceDE w:val="0"/>
        <w:autoSpaceDN w:val="0"/>
        <w:adjustRightInd w:val="0"/>
        <w:rPr>
          <w:rFonts w:ascii="宋体" w:hAnsi="宋体" w:cs="宋体"/>
        </w:rPr>
      </w:pPr>
      <w:r>
        <w:rPr>
          <w:rFonts w:hint="eastAsia" w:ascii="宋体" w:hAnsi="宋体" w:cs="宋体"/>
        </w:rPr>
        <w:t>（</w:t>
      </w:r>
      <w:r>
        <w:rPr>
          <w:rFonts w:ascii="宋体" w:hAnsi="宋体" w:cs="TimesNewRomanPSMT"/>
        </w:rPr>
        <w:t>2</w:t>
      </w:r>
      <w:r>
        <w:rPr>
          <w:rFonts w:hint="eastAsia" w:ascii="宋体" w:hAnsi="宋体" w:cs="宋体"/>
        </w:rPr>
        <w:t>）合同解除后，发包人应暂停对承包人的一切付款，查清各项付款和已扣款金额，包括承包人应支付的违约金。</w:t>
      </w:r>
    </w:p>
    <w:p>
      <w:pPr>
        <w:autoSpaceDE w:val="0"/>
        <w:autoSpaceDN w:val="0"/>
        <w:adjustRightInd w:val="0"/>
        <w:rPr>
          <w:rFonts w:ascii="宋体" w:hAnsi="宋体" w:cs="宋体"/>
        </w:rPr>
      </w:pPr>
      <w:r>
        <w:rPr>
          <w:rFonts w:hint="eastAsia" w:ascii="宋体" w:hAnsi="宋体" w:cs="宋体"/>
        </w:rPr>
        <w:t>（</w:t>
      </w:r>
      <w:r>
        <w:rPr>
          <w:rFonts w:ascii="宋体" w:hAnsi="宋体" w:cs="TimesNewRomanPSMT"/>
        </w:rPr>
        <w:t>3</w:t>
      </w:r>
      <w:r>
        <w:rPr>
          <w:rFonts w:hint="eastAsia" w:ascii="宋体" w:hAnsi="宋体" w:cs="宋体"/>
        </w:rPr>
        <w:t>）合同解除后，发包人应按第</w:t>
      </w:r>
      <w:r>
        <w:rPr>
          <w:rFonts w:ascii="宋体" w:hAnsi="宋体" w:cs="TimesNewRomanPSMT"/>
        </w:rPr>
        <w:t xml:space="preserve">23.4 </w:t>
      </w:r>
      <w:r>
        <w:rPr>
          <w:rFonts w:hint="eastAsia" w:ascii="宋体" w:hAnsi="宋体" w:cs="宋体"/>
        </w:rPr>
        <w:t>款的约定向承包人索赔由于解除合同给发包人造成的损失。</w:t>
      </w:r>
    </w:p>
    <w:p>
      <w:pPr>
        <w:autoSpaceDE w:val="0"/>
        <w:autoSpaceDN w:val="0"/>
        <w:adjustRightInd w:val="0"/>
        <w:rPr>
          <w:rFonts w:ascii="宋体" w:hAnsi="宋体" w:cs="宋体"/>
        </w:rPr>
      </w:pPr>
      <w:r>
        <w:rPr>
          <w:rFonts w:hint="eastAsia" w:ascii="宋体" w:hAnsi="宋体" w:cs="宋体"/>
        </w:rPr>
        <w:t>（</w:t>
      </w:r>
      <w:r>
        <w:rPr>
          <w:rFonts w:ascii="宋体" w:hAnsi="宋体" w:cs="TimesNewRomanPSMT"/>
        </w:rPr>
        <w:t>4</w:t>
      </w:r>
      <w:r>
        <w:rPr>
          <w:rFonts w:hint="eastAsia" w:ascii="宋体" w:hAnsi="宋体" w:cs="宋体"/>
        </w:rPr>
        <w:t>）合同双方确认上述往来款项后，出具最终结清付款证书，结清全部合同款项。</w:t>
      </w:r>
    </w:p>
    <w:p>
      <w:pPr>
        <w:autoSpaceDE w:val="0"/>
        <w:autoSpaceDN w:val="0"/>
        <w:adjustRightInd w:val="0"/>
        <w:rPr>
          <w:rFonts w:ascii="宋体" w:hAnsi="宋体" w:cs="宋体"/>
        </w:rPr>
      </w:pPr>
      <w:r>
        <w:rPr>
          <w:rFonts w:hint="eastAsia" w:ascii="宋体" w:hAnsi="宋体" w:cs="宋体"/>
        </w:rPr>
        <w:t>（</w:t>
      </w:r>
      <w:r>
        <w:rPr>
          <w:rFonts w:ascii="宋体" w:hAnsi="宋体" w:cs="TimesNewRomanPSMT"/>
        </w:rPr>
        <w:t>5</w:t>
      </w:r>
      <w:r>
        <w:rPr>
          <w:rFonts w:hint="eastAsia" w:ascii="宋体" w:hAnsi="宋体" w:cs="宋体"/>
        </w:rPr>
        <w:t>）发包人和承包人未能就解除合同后的结清达成一致而形成争议的，按第</w:t>
      </w:r>
      <w:r>
        <w:rPr>
          <w:rFonts w:ascii="宋体" w:hAnsi="宋体" w:cs="TimesNewRomanPSMT"/>
        </w:rPr>
        <w:t xml:space="preserve">24 </w:t>
      </w:r>
      <w:r>
        <w:rPr>
          <w:rFonts w:hint="eastAsia" w:ascii="宋体" w:hAnsi="宋体" w:cs="宋体"/>
        </w:rPr>
        <w:t>条的约定办理。</w:t>
      </w:r>
    </w:p>
    <w:p>
      <w:pPr>
        <w:autoSpaceDE w:val="0"/>
        <w:autoSpaceDN w:val="0"/>
        <w:adjustRightInd w:val="0"/>
        <w:rPr>
          <w:rFonts w:ascii="宋体" w:hAnsi="宋体" w:cs="宋体"/>
        </w:rPr>
      </w:pPr>
      <w:r>
        <w:rPr>
          <w:rFonts w:ascii="宋体" w:hAnsi="宋体" w:cs="TimesNewRomanPSMT"/>
        </w:rPr>
        <w:t xml:space="preserve">22.1.5 </w:t>
      </w:r>
      <w:r>
        <w:rPr>
          <w:rFonts w:hint="eastAsia" w:ascii="宋体" w:hAnsi="宋体" w:cs="宋体"/>
        </w:rPr>
        <w:t>协议利益的转让</w:t>
      </w:r>
    </w:p>
    <w:p>
      <w:pPr>
        <w:autoSpaceDE w:val="0"/>
        <w:autoSpaceDN w:val="0"/>
        <w:adjustRightInd w:val="0"/>
        <w:rPr>
          <w:rFonts w:ascii="宋体" w:hAnsi="宋体" w:cs="宋体"/>
        </w:rPr>
      </w:pPr>
      <w:r>
        <w:rPr>
          <w:rFonts w:hint="eastAsia" w:ascii="宋体" w:hAnsi="宋体" w:cs="宋体"/>
        </w:rPr>
        <w:t>因承包人违约解除合同的，发包人有权要求承包人将其为实施合同而签订的材料和设备的订货协议或任何服务协议利益转让给发包人，并在解除合同后的</w:t>
      </w:r>
      <w:r>
        <w:rPr>
          <w:rFonts w:ascii="宋体" w:hAnsi="宋体" w:cs="TimesNewRomanPSMT"/>
        </w:rPr>
        <w:t xml:space="preserve">14 </w:t>
      </w:r>
      <w:r>
        <w:rPr>
          <w:rFonts w:hint="eastAsia" w:ascii="宋体" w:hAnsi="宋体" w:cs="宋体"/>
        </w:rPr>
        <w:t>天内，依法办理转让手续。</w:t>
      </w:r>
    </w:p>
    <w:p>
      <w:pPr>
        <w:autoSpaceDE w:val="0"/>
        <w:autoSpaceDN w:val="0"/>
        <w:adjustRightInd w:val="0"/>
        <w:rPr>
          <w:rFonts w:ascii="宋体" w:hAnsi="宋体" w:cs="宋体"/>
        </w:rPr>
      </w:pPr>
      <w:r>
        <w:rPr>
          <w:rFonts w:ascii="宋体" w:hAnsi="宋体" w:cs="TimesNewRomanPSMT"/>
        </w:rPr>
        <w:t xml:space="preserve">22.1.6 </w:t>
      </w:r>
      <w:r>
        <w:rPr>
          <w:rFonts w:hint="eastAsia" w:ascii="宋体" w:hAnsi="宋体" w:cs="宋体"/>
        </w:rPr>
        <w:t>紧急情况下无能力或不愿进行抢救</w:t>
      </w:r>
    </w:p>
    <w:p>
      <w:pPr>
        <w:autoSpaceDE w:val="0"/>
        <w:autoSpaceDN w:val="0"/>
        <w:adjustRightInd w:val="0"/>
        <w:rPr>
          <w:rFonts w:ascii="宋体" w:hAnsi="宋体" w:cs="TimesNewRomanPSMT"/>
        </w:rPr>
      </w:pPr>
      <w:r>
        <w:rPr>
          <w:rFonts w:hint="eastAsia" w:ascii="宋体" w:hAnsi="宋体" w:cs="宋体"/>
        </w:rPr>
        <w:t>在工程实施期间或缺陷责任期内发生危及工程安全的事件，监理人通知承包人进行抢救，承包人声明无能力或不愿立即执行的，发包人有权雇佣其他人员进行抢救。此类抢救按合同约定属于承包人义务的，由此发生的金额和（或）工期延误由承包人承担。</w:t>
      </w:r>
    </w:p>
    <w:p>
      <w:pPr>
        <w:keepNext/>
        <w:keepLines/>
        <w:spacing w:before="120" w:after="120"/>
        <w:jc w:val="both"/>
        <w:outlineLvl w:val="2"/>
        <w:rPr>
          <w:rFonts w:ascii="宋体" w:hAnsi="宋体" w:cs="TimesNewRomanPSMT"/>
          <w:b/>
        </w:rPr>
      </w:pPr>
      <w:bookmarkStart w:id="198" w:name="_Toc260305541"/>
      <w:r>
        <w:rPr>
          <w:rFonts w:ascii="宋体" w:hAnsi="宋体" w:cs="TimesNewRomanPSMT"/>
          <w:b/>
        </w:rPr>
        <w:t xml:space="preserve">22.2 </w:t>
      </w:r>
      <w:r>
        <w:rPr>
          <w:rFonts w:hint="eastAsia" w:ascii="宋体" w:hAnsi="宋体" w:cs="TimesNewRomanPSMT"/>
          <w:b/>
        </w:rPr>
        <w:t>发包人违约</w:t>
      </w:r>
      <w:bookmarkEnd w:id="198"/>
    </w:p>
    <w:p>
      <w:pPr>
        <w:autoSpaceDE w:val="0"/>
        <w:autoSpaceDN w:val="0"/>
        <w:adjustRightInd w:val="0"/>
        <w:rPr>
          <w:rFonts w:ascii="宋体" w:hAnsi="宋体" w:cs="宋体"/>
        </w:rPr>
      </w:pPr>
      <w:r>
        <w:rPr>
          <w:rFonts w:ascii="宋体" w:hAnsi="宋体" w:cs="TimesNewRomanPSMT"/>
        </w:rPr>
        <w:t xml:space="preserve">22.2.1 </w:t>
      </w:r>
      <w:r>
        <w:rPr>
          <w:rFonts w:hint="eastAsia" w:ascii="宋体" w:hAnsi="宋体" w:cs="宋体"/>
        </w:rPr>
        <w:t>发包人违约的情形</w:t>
      </w:r>
    </w:p>
    <w:p>
      <w:pPr>
        <w:autoSpaceDE w:val="0"/>
        <w:autoSpaceDN w:val="0"/>
        <w:adjustRightInd w:val="0"/>
        <w:rPr>
          <w:rFonts w:ascii="宋体" w:hAnsi="宋体" w:cs="宋体"/>
        </w:rPr>
      </w:pPr>
      <w:r>
        <w:rPr>
          <w:rFonts w:hint="eastAsia" w:ascii="宋体" w:hAnsi="宋体" w:cs="宋体"/>
        </w:rPr>
        <w:t>在履行合同过程中发生的下列情形，属发包人违约：</w:t>
      </w:r>
    </w:p>
    <w:p>
      <w:pPr>
        <w:autoSpaceDE w:val="0"/>
        <w:autoSpaceDN w:val="0"/>
        <w:adjustRightInd w:val="0"/>
        <w:rPr>
          <w:rFonts w:ascii="宋体" w:hAnsi="宋体" w:cs="宋体"/>
        </w:rPr>
      </w:pPr>
      <w:r>
        <w:rPr>
          <w:rFonts w:hint="eastAsia" w:ascii="宋体" w:hAnsi="宋体" w:cs="宋体"/>
        </w:rPr>
        <w:t>（</w:t>
      </w:r>
      <w:r>
        <w:rPr>
          <w:rFonts w:ascii="宋体" w:hAnsi="宋体" w:cs="TimesNewRomanPSMT"/>
        </w:rPr>
        <w:t>1</w:t>
      </w:r>
      <w:r>
        <w:rPr>
          <w:rFonts w:hint="eastAsia" w:ascii="宋体" w:hAnsi="宋体" w:cs="宋体"/>
        </w:rPr>
        <w:t>）发包人未能按合同约定支付预付款或合同价款，或拖延、拒绝批准付款申请和支付凭证，导致付款延误的；</w:t>
      </w:r>
    </w:p>
    <w:p>
      <w:pPr>
        <w:autoSpaceDE w:val="0"/>
        <w:autoSpaceDN w:val="0"/>
        <w:adjustRightInd w:val="0"/>
        <w:rPr>
          <w:rFonts w:ascii="宋体" w:hAnsi="宋体" w:cs="宋体"/>
        </w:rPr>
      </w:pPr>
      <w:r>
        <w:rPr>
          <w:rFonts w:hint="eastAsia" w:ascii="宋体" w:hAnsi="宋体" w:cs="宋体"/>
        </w:rPr>
        <w:t>（</w:t>
      </w:r>
      <w:r>
        <w:rPr>
          <w:rFonts w:ascii="宋体" w:hAnsi="宋体" w:cs="TimesNewRomanPSMT"/>
        </w:rPr>
        <w:t>2</w:t>
      </w:r>
      <w:r>
        <w:rPr>
          <w:rFonts w:hint="eastAsia" w:ascii="宋体" w:hAnsi="宋体" w:cs="宋体"/>
        </w:rPr>
        <w:t>）发包人原因造成停工的；</w:t>
      </w:r>
    </w:p>
    <w:p>
      <w:pPr>
        <w:autoSpaceDE w:val="0"/>
        <w:autoSpaceDN w:val="0"/>
        <w:adjustRightInd w:val="0"/>
        <w:rPr>
          <w:rFonts w:ascii="宋体" w:hAnsi="宋体" w:cs="宋体"/>
        </w:rPr>
      </w:pPr>
      <w:r>
        <w:rPr>
          <w:rFonts w:hint="eastAsia" w:ascii="宋体" w:hAnsi="宋体" w:cs="宋体"/>
        </w:rPr>
        <w:t>（</w:t>
      </w:r>
      <w:r>
        <w:rPr>
          <w:rFonts w:ascii="宋体" w:hAnsi="宋体" w:cs="TimesNewRomanPSMT"/>
        </w:rPr>
        <w:t>3</w:t>
      </w:r>
      <w:r>
        <w:rPr>
          <w:rFonts w:hint="eastAsia" w:ascii="宋体" w:hAnsi="宋体" w:cs="宋体"/>
        </w:rPr>
        <w:t>）监理人无正当理由没有在约定期限内发出复工指示，导致承包人无法复工的；</w:t>
      </w:r>
    </w:p>
    <w:p>
      <w:pPr>
        <w:autoSpaceDE w:val="0"/>
        <w:autoSpaceDN w:val="0"/>
        <w:adjustRightInd w:val="0"/>
        <w:rPr>
          <w:rFonts w:ascii="宋体" w:hAnsi="宋体" w:cs="宋体"/>
        </w:rPr>
      </w:pPr>
      <w:r>
        <w:rPr>
          <w:rFonts w:hint="eastAsia" w:ascii="宋体" w:hAnsi="宋体" w:cs="宋体"/>
        </w:rPr>
        <w:t>（</w:t>
      </w:r>
      <w:r>
        <w:rPr>
          <w:rFonts w:ascii="宋体" w:hAnsi="宋体" w:cs="TimesNewRomanPSMT"/>
        </w:rPr>
        <w:t>4</w:t>
      </w:r>
      <w:r>
        <w:rPr>
          <w:rFonts w:hint="eastAsia" w:ascii="宋体" w:hAnsi="宋体" w:cs="宋体"/>
        </w:rPr>
        <w:t>）发包人无法继续履行或明确表示不履行或实质上已停止履行合同的；</w:t>
      </w:r>
    </w:p>
    <w:p>
      <w:pPr>
        <w:autoSpaceDE w:val="0"/>
        <w:autoSpaceDN w:val="0"/>
        <w:adjustRightInd w:val="0"/>
        <w:rPr>
          <w:rFonts w:ascii="宋体" w:hAnsi="宋体" w:cs="宋体"/>
        </w:rPr>
      </w:pPr>
      <w:r>
        <w:rPr>
          <w:rFonts w:hint="eastAsia" w:ascii="宋体" w:hAnsi="宋体" w:cs="宋体"/>
        </w:rPr>
        <w:t>（</w:t>
      </w:r>
      <w:r>
        <w:rPr>
          <w:rFonts w:ascii="宋体" w:hAnsi="宋体" w:cs="TimesNewRomanPSMT"/>
        </w:rPr>
        <w:t>5</w:t>
      </w:r>
      <w:r>
        <w:rPr>
          <w:rFonts w:hint="eastAsia" w:ascii="宋体" w:hAnsi="宋体" w:cs="宋体"/>
        </w:rPr>
        <w:t>）发包人不履行合同约定其他义务的。</w:t>
      </w:r>
    </w:p>
    <w:p>
      <w:pPr>
        <w:autoSpaceDE w:val="0"/>
        <w:autoSpaceDN w:val="0"/>
        <w:adjustRightInd w:val="0"/>
        <w:rPr>
          <w:rFonts w:ascii="宋体" w:hAnsi="宋体" w:cs="宋体"/>
        </w:rPr>
      </w:pPr>
      <w:r>
        <w:rPr>
          <w:rFonts w:ascii="宋体" w:hAnsi="宋体" w:cs="TimesNewRomanPSMT"/>
        </w:rPr>
        <w:t xml:space="preserve">22.2.2 </w:t>
      </w:r>
      <w:r>
        <w:rPr>
          <w:rFonts w:hint="eastAsia" w:ascii="宋体" w:hAnsi="宋体" w:cs="宋体"/>
        </w:rPr>
        <w:t>承包人有权暂停施工</w:t>
      </w:r>
    </w:p>
    <w:p>
      <w:pPr>
        <w:autoSpaceDE w:val="0"/>
        <w:autoSpaceDN w:val="0"/>
        <w:adjustRightInd w:val="0"/>
        <w:rPr>
          <w:rFonts w:ascii="宋体" w:hAnsi="宋体" w:cs="宋体"/>
        </w:rPr>
      </w:pPr>
      <w:r>
        <w:rPr>
          <w:rFonts w:hint="eastAsia" w:ascii="宋体" w:hAnsi="宋体" w:cs="宋体"/>
        </w:rPr>
        <w:t>发包人发生除第</w:t>
      </w:r>
      <w:r>
        <w:rPr>
          <w:rFonts w:ascii="宋体" w:hAnsi="宋体" w:cs="TimesNewRomanPSMT"/>
        </w:rPr>
        <w:t>22.2.1</w:t>
      </w:r>
      <w:r>
        <w:rPr>
          <w:rFonts w:hint="eastAsia" w:ascii="宋体" w:hAnsi="宋体" w:cs="宋体"/>
        </w:rPr>
        <w:t>（</w:t>
      </w:r>
      <w:r>
        <w:rPr>
          <w:rFonts w:ascii="宋体" w:hAnsi="宋体" w:cs="TimesNewRomanPSMT"/>
        </w:rPr>
        <w:t>4</w:t>
      </w:r>
      <w:r>
        <w:rPr>
          <w:rFonts w:hint="eastAsia" w:ascii="宋体" w:hAnsi="宋体" w:cs="宋体"/>
        </w:rPr>
        <w:t>）目以外的违约情况时，承包人可向发包人发出通知，要求发包人采取有效措施纠正违约行为。发包人收到承包人通知后的</w:t>
      </w:r>
      <w:r>
        <w:rPr>
          <w:rFonts w:ascii="宋体" w:hAnsi="宋体" w:cs="TimesNewRomanPSMT"/>
        </w:rPr>
        <w:t xml:space="preserve">28 </w:t>
      </w:r>
      <w:r>
        <w:rPr>
          <w:rFonts w:hint="eastAsia" w:ascii="宋体" w:hAnsi="宋体" w:cs="宋体"/>
        </w:rPr>
        <w:t>天内仍不履行合同义务，承包人有权暂停施工，并通知监理人，发包人应承担由此增加的费用和（或）工期延误，并支付承包人合理利润。</w:t>
      </w:r>
    </w:p>
    <w:p>
      <w:pPr>
        <w:autoSpaceDE w:val="0"/>
        <w:autoSpaceDN w:val="0"/>
        <w:adjustRightInd w:val="0"/>
        <w:rPr>
          <w:rFonts w:ascii="宋体" w:hAnsi="宋体" w:cs="宋体"/>
        </w:rPr>
      </w:pPr>
      <w:r>
        <w:rPr>
          <w:rFonts w:ascii="宋体" w:hAnsi="宋体" w:cs="TimesNewRomanPSMT"/>
        </w:rPr>
        <w:t xml:space="preserve">22.2.3 </w:t>
      </w:r>
      <w:r>
        <w:rPr>
          <w:rFonts w:hint="eastAsia" w:ascii="宋体" w:hAnsi="宋体" w:cs="宋体"/>
        </w:rPr>
        <w:t>发包人违约解除合同</w:t>
      </w:r>
    </w:p>
    <w:p>
      <w:pPr>
        <w:autoSpaceDE w:val="0"/>
        <w:autoSpaceDN w:val="0"/>
        <w:adjustRightInd w:val="0"/>
        <w:rPr>
          <w:rFonts w:ascii="宋体" w:hAnsi="宋体" w:cs="宋体"/>
        </w:rPr>
      </w:pPr>
      <w:r>
        <w:rPr>
          <w:rFonts w:hint="eastAsia" w:ascii="宋体" w:hAnsi="宋体" w:cs="宋体"/>
        </w:rPr>
        <w:t>（</w:t>
      </w:r>
      <w:r>
        <w:rPr>
          <w:rFonts w:ascii="宋体" w:hAnsi="宋体" w:cs="TimesNewRomanPSMT"/>
        </w:rPr>
        <w:t>1</w:t>
      </w:r>
      <w:r>
        <w:rPr>
          <w:rFonts w:hint="eastAsia" w:ascii="宋体" w:hAnsi="宋体" w:cs="宋体"/>
        </w:rPr>
        <w:t>）发生第</w:t>
      </w:r>
      <w:r>
        <w:rPr>
          <w:rFonts w:ascii="宋体" w:hAnsi="宋体" w:cs="TimesNewRomanPSMT"/>
        </w:rPr>
        <w:t>22.2.1</w:t>
      </w:r>
      <w:r>
        <w:rPr>
          <w:rFonts w:hint="eastAsia" w:ascii="宋体" w:hAnsi="宋体" w:cs="宋体"/>
        </w:rPr>
        <w:t>（</w:t>
      </w:r>
      <w:r>
        <w:rPr>
          <w:rFonts w:ascii="宋体" w:hAnsi="宋体" w:cs="TimesNewRomanPSMT"/>
        </w:rPr>
        <w:t>4</w:t>
      </w:r>
      <w:r>
        <w:rPr>
          <w:rFonts w:hint="eastAsia" w:ascii="宋体" w:hAnsi="宋体" w:cs="宋体"/>
        </w:rPr>
        <w:t>）目的违约情况时，承包人可书面通知发包人解除合同。</w:t>
      </w:r>
    </w:p>
    <w:p>
      <w:pPr>
        <w:autoSpaceDE w:val="0"/>
        <w:autoSpaceDN w:val="0"/>
        <w:adjustRightInd w:val="0"/>
        <w:rPr>
          <w:rFonts w:ascii="宋体" w:hAnsi="宋体" w:cs="宋体"/>
        </w:rPr>
      </w:pPr>
      <w:r>
        <w:rPr>
          <w:rFonts w:hint="eastAsia" w:ascii="宋体" w:hAnsi="宋体" w:cs="宋体"/>
        </w:rPr>
        <w:t>（</w:t>
      </w:r>
      <w:r>
        <w:rPr>
          <w:rFonts w:ascii="宋体" w:hAnsi="宋体" w:cs="TimesNewRomanPSMT"/>
        </w:rPr>
        <w:t>2</w:t>
      </w:r>
      <w:r>
        <w:rPr>
          <w:rFonts w:hint="eastAsia" w:ascii="宋体" w:hAnsi="宋体" w:cs="宋体"/>
        </w:rPr>
        <w:t>）承包人按</w:t>
      </w:r>
      <w:r>
        <w:rPr>
          <w:rFonts w:ascii="宋体" w:hAnsi="宋体" w:cs="TimesNewRomanPSMT"/>
        </w:rPr>
        <w:t xml:space="preserve">22.2.2 </w:t>
      </w:r>
      <w:r>
        <w:rPr>
          <w:rFonts w:hint="eastAsia" w:ascii="宋体" w:hAnsi="宋体" w:cs="宋体"/>
        </w:rPr>
        <w:t>项暂停施工</w:t>
      </w:r>
      <w:r>
        <w:rPr>
          <w:rFonts w:ascii="宋体" w:hAnsi="宋体" w:cs="TimesNewRomanPSMT"/>
        </w:rPr>
        <w:t xml:space="preserve">28 </w:t>
      </w:r>
      <w:r>
        <w:rPr>
          <w:rFonts w:hint="eastAsia" w:ascii="宋体" w:hAnsi="宋体" w:cs="宋体"/>
        </w:rPr>
        <w:t>天后，发包人仍不纠正违约行为的，承包人可向发包人发出解除合同通知。但承包人的这一行动不免除发包人承担的违约责任，也不影响承包人根据合同约定享有的索赔权利。</w:t>
      </w:r>
    </w:p>
    <w:p>
      <w:pPr>
        <w:autoSpaceDE w:val="0"/>
        <w:autoSpaceDN w:val="0"/>
        <w:adjustRightInd w:val="0"/>
        <w:rPr>
          <w:rFonts w:ascii="宋体" w:hAnsi="宋体" w:cs="宋体"/>
        </w:rPr>
      </w:pPr>
      <w:r>
        <w:rPr>
          <w:rFonts w:ascii="宋体" w:hAnsi="宋体" w:cs="TimesNewRomanPSMT"/>
        </w:rPr>
        <w:t xml:space="preserve">22.2.4 </w:t>
      </w:r>
      <w:r>
        <w:rPr>
          <w:rFonts w:hint="eastAsia" w:ascii="宋体" w:hAnsi="宋体" w:cs="宋体"/>
        </w:rPr>
        <w:t>解除合同后的付款</w:t>
      </w:r>
    </w:p>
    <w:p>
      <w:pPr>
        <w:autoSpaceDE w:val="0"/>
        <w:autoSpaceDN w:val="0"/>
        <w:adjustRightInd w:val="0"/>
        <w:rPr>
          <w:rFonts w:ascii="宋体" w:hAnsi="宋体" w:cs="宋体"/>
        </w:rPr>
      </w:pPr>
      <w:r>
        <w:rPr>
          <w:rFonts w:hint="eastAsia" w:ascii="宋体" w:hAnsi="宋体" w:cs="宋体"/>
        </w:rPr>
        <w:t>因发包人违约解除合同的，发包人应在解除合同后</w:t>
      </w:r>
      <w:r>
        <w:rPr>
          <w:rFonts w:ascii="宋体" w:hAnsi="宋体" w:cs="TimesNewRomanPSMT"/>
        </w:rPr>
        <w:t xml:space="preserve">28 </w:t>
      </w:r>
      <w:r>
        <w:rPr>
          <w:rFonts w:hint="eastAsia" w:ascii="宋体" w:hAnsi="宋体" w:cs="宋体"/>
        </w:rPr>
        <w:t>天内向承包人支付下列金额，承包人应在此期限内及时向发包人提交要求支付下列金额的有关资料和凭证：</w:t>
      </w:r>
    </w:p>
    <w:p>
      <w:pPr>
        <w:autoSpaceDE w:val="0"/>
        <w:autoSpaceDN w:val="0"/>
        <w:adjustRightInd w:val="0"/>
        <w:rPr>
          <w:rFonts w:ascii="宋体" w:hAnsi="宋体" w:cs="宋体"/>
        </w:rPr>
      </w:pPr>
      <w:r>
        <w:rPr>
          <w:rFonts w:hint="eastAsia" w:ascii="宋体" w:hAnsi="宋体" w:cs="宋体"/>
        </w:rPr>
        <w:t>（</w:t>
      </w:r>
      <w:r>
        <w:rPr>
          <w:rFonts w:ascii="宋体" w:hAnsi="宋体" w:cs="TimesNewRomanPSMT"/>
        </w:rPr>
        <w:t>1</w:t>
      </w:r>
      <w:r>
        <w:rPr>
          <w:rFonts w:hint="eastAsia" w:ascii="宋体" w:hAnsi="宋体" w:cs="宋体"/>
        </w:rPr>
        <w:t>）合同解除日以前所完成工作的价款；</w:t>
      </w:r>
    </w:p>
    <w:p>
      <w:pPr>
        <w:autoSpaceDE w:val="0"/>
        <w:autoSpaceDN w:val="0"/>
        <w:adjustRightInd w:val="0"/>
        <w:rPr>
          <w:rFonts w:ascii="宋体" w:hAnsi="宋体" w:cs="宋体"/>
        </w:rPr>
      </w:pPr>
      <w:r>
        <w:rPr>
          <w:rFonts w:hint="eastAsia" w:ascii="宋体" w:hAnsi="宋体" w:cs="宋体"/>
        </w:rPr>
        <w:t>（</w:t>
      </w:r>
      <w:r>
        <w:rPr>
          <w:rFonts w:ascii="宋体" w:hAnsi="宋体" w:cs="TimesNewRomanPSMT"/>
        </w:rPr>
        <w:t>2</w:t>
      </w:r>
      <w:r>
        <w:rPr>
          <w:rFonts w:hint="eastAsia" w:ascii="宋体" w:hAnsi="宋体" w:cs="宋体"/>
        </w:rPr>
        <w:t>）承包人为该工程施工订购并已付款的材料、工程设备和其他物品的金额。发包人付还后，该材料、工程设备和其他物品归发包人所有；</w:t>
      </w:r>
    </w:p>
    <w:p>
      <w:pPr>
        <w:autoSpaceDE w:val="0"/>
        <w:autoSpaceDN w:val="0"/>
        <w:adjustRightInd w:val="0"/>
        <w:rPr>
          <w:rFonts w:ascii="宋体" w:hAnsi="宋体" w:cs="宋体"/>
        </w:rPr>
      </w:pPr>
      <w:r>
        <w:rPr>
          <w:rFonts w:hint="eastAsia" w:ascii="宋体" w:hAnsi="宋体" w:cs="宋体"/>
        </w:rPr>
        <w:t>（</w:t>
      </w:r>
      <w:r>
        <w:rPr>
          <w:rFonts w:ascii="宋体" w:hAnsi="宋体" w:cs="TimesNewRomanPSMT"/>
        </w:rPr>
        <w:t>3</w:t>
      </w:r>
      <w:r>
        <w:rPr>
          <w:rFonts w:hint="eastAsia" w:ascii="宋体" w:hAnsi="宋体" w:cs="宋体"/>
        </w:rPr>
        <w:t>）承包人为完成工程所发生的，而发包人未支付的金额；</w:t>
      </w:r>
    </w:p>
    <w:p>
      <w:pPr>
        <w:autoSpaceDE w:val="0"/>
        <w:autoSpaceDN w:val="0"/>
        <w:adjustRightInd w:val="0"/>
        <w:rPr>
          <w:rFonts w:ascii="宋体" w:hAnsi="宋体" w:cs="宋体"/>
        </w:rPr>
      </w:pPr>
      <w:r>
        <w:rPr>
          <w:rFonts w:hint="eastAsia" w:ascii="宋体" w:hAnsi="宋体" w:cs="宋体"/>
        </w:rPr>
        <w:t>（</w:t>
      </w:r>
      <w:r>
        <w:rPr>
          <w:rFonts w:ascii="宋体" w:hAnsi="宋体" w:cs="TimesNewRomanPSMT"/>
        </w:rPr>
        <w:t>4</w:t>
      </w:r>
      <w:r>
        <w:rPr>
          <w:rFonts w:hint="eastAsia" w:ascii="宋体" w:hAnsi="宋体" w:cs="宋体"/>
        </w:rPr>
        <w:t>）承包人撤离施工场地以及遣散承包人人员的金额；</w:t>
      </w:r>
    </w:p>
    <w:p>
      <w:pPr>
        <w:autoSpaceDE w:val="0"/>
        <w:autoSpaceDN w:val="0"/>
        <w:adjustRightInd w:val="0"/>
        <w:rPr>
          <w:rFonts w:ascii="宋体" w:hAnsi="宋体" w:cs="宋体"/>
        </w:rPr>
      </w:pPr>
      <w:r>
        <w:rPr>
          <w:rFonts w:hint="eastAsia" w:ascii="宋体" w:hAnsi="宋体" w:cs="宋体"/>
        </w:rPr>
        <w:t>（</w:t>
      </w:r>
      <w:r>
        <w:rPr>
          <w:rFonts w:ascii="宋体" w:hAnsi="宋体" w:cs="TimesNewRomanPSMT"/>
        </w:rPr>
        <w:t>5</w:t>
      </w:r>
      <w:r>
        <w:rPr>
          <w:rFonts w:hint="eastAsia" w:ascii="宋体" w:hAnsi="宋体" w:cs="宋体"/>
        </w:rPr>
        <w:t>）由于解除合同应赔偿的承包人损失；</w:t>
      </w:r>
    </w:p>
    <w:p>
      <w:pPr>
        <w:autoSpaceDE w:val="0"/>
        <w:autoSpaceDN w:val="0"/>
        <w:adjustRightInd w:val="0"/>
        <w:rPr>
          <w:rFonts w:ascii="宋体" w:hAnsi="宋体" w:cs="宋体"/>
        </w:rPr>
      </w:pPr>
      <w:r>
        <w:rPr>
          <w:rFonts w:hint="eastAsia" w:ascii="宋体" w:hAnsi="宋体" w:cs="宋体"/>
        </w:rPr>
        <w:t>（</w:t>
      </w:r>
      <w:r>
        <w:rPr>
          <w:rFonts w:ascii="宋体" w:hAnsi="宋体" w:cs="TimesNewRomanPSMT"/>
        </w:rPr>
        <w:t>6</w:t>
      </w:r>
      <w:r>
        <w:rPr>
          <w:rFonts w:hint="eastAsia" w:ascii="宋体" w:hAnsi="宋体" w:cs="宋体"/>
        </w:rPr>
        <w:t>）按合同约定在合同解除日前应支付给承包人的其他金额。</w:t>
      </w:r>
    </w:p>
    <w:p>
      <w:pPr>
        <w:autoSpaceDE w:val="0"/>
        <w:autoSpaceDN w:val="0"/>
        <w:adjustRightInd w:val="0"/>
        <w:rPr>
          <w:rFonts w:ascii="宋体" w:hAnsi="宋体" w:cs="宋体"/>
        </w:rPr>
      </w:pPr>
      <w:r>
        <w:rPr>
          <w:rFonts w:hint="eastAsia" w:ascii="宋体" w:hAnsi="宋体" w:cs="宋体"/>
        </w:rPr>
        <w:t>发包人应按本项约定支付上述金额并退还质量保证金和履约担保，但有权要求承包人支付应偿还给发包人的各项金额。</w:t>
      </w:r>
    </w:p>
    <w:p>
      <w:pPr>
        <w:autoSpaceDE w:val="0"/>
        <w:autoSpaceDN w:val="0"/>
        <w:adjustRightInd w:val="0"/>
        <w:rPr>
          <w:rFonts w:ascii="宋体" w:hAnsi="宋体" w:cs="宋体"/>
        </w:rPr>
      </w:pPr>
      <w:r>
        <w:rPr>
          <w:rFonts w:ascii="宋体" w:hAnsi="宋体" w:cs="TimesNewRomanPSMT"/>
        </w:rPr>
        <w:t xml:space="preserve">22.2.5 </w:t>
      </w:r>
      <w:r>
        <w:rPr>
          <w:rFonts w:hint="eastAsia" w:ascii="宋体" w:hAnsi="宋体" w:cs="宋体"/>
        </w:rPr>
        <w:t>解除合同后的承包人撤离</w:t>
      </w:r>
    </w:p>
    <w:p>
      <w:pPr>
        <w:autoSpaceDE w:val="0"/>
        <w:autoSpaceDN w:val="0"/>
        <w:adjustRightInd w:val="0"/>
        <w:rPr>
          <w:rFonts w:ascii="宋体" w:hAnsi="宋体" w:cs="宋体"/>
        </w:rPr>
      </w:pPr>
      <w:r>
        <w:rPr>
          <w:rFonts w:hint="eastAsia" w:ascii="宋体" w:hAnsi="宋体" w:cs="宋体"/>
        </w:rPr>
        <w:t>因发包人违约而解除合同后，承包人应妥善做好已竣工工程和已购材料、设备的保护和移交工作，按发包人要求将承包人设备和人员撤出施工场地。承包人撤出施工场地应遵守第</w:t>
      </w:r>
      <w:r>
        <w:rPr>
          <w:rFonts w:ascii="宋体" w:hAnsi="宋体" w:cs="TimesNewRomanPSMT"/>
        </w:rPr>
        <w:t xml:space="preserve">18.7.1 </w:t>
      </w:r>
      <w:r>
        <w:rPr>
          <w:rFonts w:hint="eastAsia" w:ascii="宋体" w:hAnsi="宋体" w:cs="宋体"/>
        </w:rPr>
        <w:t>项的约定，发包人应为承包人撤出提供必要条件。</w:t>
      </w:r>
    </w:p>
    <w:p>
      <w:pPr>
        <w:keepNext/>
        <w:keepLines/>
        <w:spacing w:before="120" w:after="120"/>
        <w:jc w:val="both"/>
        <w:outlineLvl w:val="2"/>
        <w:rPr>
          <w:rFonts w:ascii="宋体" w:hAnsi="宋体" w:cs="TimesNewRomanPSMT"/>
          <w:b/>
        </w:rPr>
      </w:pPr>
      <w:bookmarkStart w:id="199" w:name="_Toc260305542"/>
      <w:r>
        <w:rPr>
          <w:rFonts w:ascii="宋体" w:hAnsi="宋体" w:cs="TimesNewRomanPSMT"/>
          <w:b/>
        </w:rPr>
        <w:t xml:space="preserve">22.3 </w:t>
      </w:r>
      <w:r>
        <w:rPr>
          <w:rFonts w:hint="eastAsia" w:ascii="宋体" w:hAnsi="宋体" w:cs="TimesNewRomanPSMT"/>
          <w:b/>
        </w:rPr>
        <w:t>第三人造成的违约</w:t>
      </w:r>
      <w:bookmarkEnd w:id="199"/>
    </w:p>
    <w:p>
      <w:pPr>
        <w:autoSpaceDE w:val="0"/>
        <w:autoSpaceDN w:val="0"/>
        <w:adjustRightInd w:val="0"/>
        <w:rPr>
          <w:rFonts w:ascii="宋体" w:hAnsi="宋体" w:cs="宋体"/>
        </w:rPr>
      </w:pPr>
      <w:r>
        <w:rPr>
          <w:rFonts w:hint="eastAsia" w:ascii="宋体" w:hAnsi="宋体" w:cs="宋体"/>
        </w:rPr>
        <w:t>在履行合同过程中，一方当事人因第三人的原因造成违约的，应当向对方当事人承担违约责任。一方当事人和第三人之间的纠纷，依照法律规定或者按照约定解决。</w:t>
      </w:r>
    </w:p>
    <w:p>
      <w:pPr>
        <w:keepNext/>
        <w:keepLines/>
        <w:spacing w:before="120" w:after="120"/>
        <w:jc w:val="both"/>
        <w:outlineLvl w:val="1"/>
        <w:rPr>
          <w:rFonts w:ascii="宋体" w:hAnsi="宋体" w:cs="TimesNewRomanPSMT"/>
          <w:b/>
          <w:sz w:val="28"/>
          <w:szCs w:val="28"/>
        </w:rPr>
      </w:pPr>
      <w:bookmarkStart w:id="200" w:name="_Toc648"/>
      <w:bookmarkStart w:id="201" w:name="_Toc260305543"/>
      <w:r>
        <w:rPr>
          <w:rFonts w:ascii="宋体" w:hAnsi="宋体" w:cs="TimesNewRomanPSMT"/>
          <w:b/>
          <w:sz w:val="28"/>
          <w:szCs w:val="28"/>
        </w:rPr>
        <w:t xml:space="preserve">23. </w:t>
      </w:r>
      <w:r>
        <w:rPr>
          <w:rFonts w:hint="eastAsia" w:ascii="宋体" w:hAnsi="宋体" w:cs="TimesNewRomanPSMT"/>
          <w:b/>
          <w:sz w:val="28"/>
          <w:szCs w:val="28"/>
        </w:rPr>
        <w:t>索赔</w:t>
      </w:r>
      <w:bookmarkEnd w:id="200"/>
      <w:bookmarkEnd w:id="201"/>
    </w:p>
    <w:p>
      <w:pPr>
        <w:keepNext/>
        <w:keepLines/>
        <w:spacing w:before="120" w:after="120"/>
        <w:jc w:val="both"/>
        <w:outlineLvl w:val="2"/>
        <w:rPr>
          <w:rFonts w:ascii="宋体" w:hAnsi="宋体" w:cs="TimesNewRomanPSMT"/>
          <w:b/>
        </w:rPr>
      </w:pPr>
      <w:bookmarkStart w:id="202" w:name="_Toc260305544"/>
      <w:r>
        <w:rPr>
          <w:rFonts w:ascii="宋体" w:hAnsi="宋体" w:cs="TimesNewRomanPSMT"/>
          <w:b/>
        </w:rPr>
        <w:t xml:space="preserve">23.1 </w:t>
      </w:r>
      <w:r>
        <w:rPr>
          <w:rFonts w:hint="eastAsia" w:ascii="宋体" w:hAnsi="宋体" w:cs="TimesNewRomanPSMT"/>
          <w:b/>
        </w:rPr>
        <w:t>承包人索赔的提出</w:t>
      </w:r>
      <w:bookmarkEnd w:id="202"/>
    </w:p>
    <w:p>
      <w:pPr>
        <w:autoSpaceDE w:val="0"/>
        <w:autoSpaceDN w:val="0"/>
        <w:adjustRightInd w:val="0"/>
        <w:rPr>
          <w:rFonts w:ascii="宋体" w:hAnsi="宋体" w:cs="宋体"/>
        </w:rPr>
      </w:pPr>
      <w:r>
        <w:rPr>
          <w:rFonts w:hint="eastAsia" w:ascii="宋体" w:hAnsi="宋体" w:cs="宋体"/>
        </w:rPr>
        <w:t>根据合同约定，承包人认为有权得到追加付款和（或）延长工期的，应按以下程序向发包人提出索赔：</w:t>
      </w:r>
    </w:p>
    <w:p>
      <w:pPr>
        <w:autoSpaceDE w:val="0"/>
        <w:autoSpaceDN w:val="0"/>
        <w:adjustRightInd w:val="0"/>
        <w:rPr>
          <w:rFonts w:ascii="宋体" w:hAnsi="宋体" w:cs="宋体"/>
        </w:rPr>
      </w:pPr>
      <w:r>
        <w:rPr>
          <w:rFonts w:hint="eastAsia" w:ascii="宋体" w:hAnsi="宋体" w:cs="宋体"/>
        </w:rPr>
        <w:t>（</w:t>
      </w:r>
      <w:r>
        <w:rPr>
          <w:rFonts w:ascii="宋体" w:hAnsi="宋体" w:cs="TimesNewRomanPSMT"/>
        </w:rPr>
        <w:t>1</w:t>
      </w:r>
      <w:r>
        <w:rPr>
          <w:rFonts w:hint="eastAsia" w:ascii="宋体" w:hAnsi="宋体" w:cs="宋体"/>
        </w:rPr>
        <w:t>）承包人应在知道或应当知道索赔事件发生后</w:t>
      </w:r>
      <w:r>
        <w:rPr>
          <w:rFonts w:ascii="宋体" w:hAnsi="宋体" w:cs="TimesNewRomanPSMT"/>
        </w:rPr>
        <w:t xml:space="preserve">28 </w:t>
      </w:r>
      <w:r>
        <w:rPr>
          <w:rFonts w:hint="eastAsia" w:ascii="宋体" w:hAnsi="宋体" w:cs="宋体"/>
        </w:rPr>
        <w:t>天内，向监理人递交索赔意向通知书，并说明发生索赔事件的事由。承包人未在前述</w:t>
      </w:r>
      <w:r>
        <w:rPr>
          <w:rFonts w:ascii="宋体" w:hAnsi="宋体" w:cs="TimesNewRomanPSMT"/>
        </w:rPr>
        <w:t xml:space="preserve">28 </w:t>
      </w:r>
      <w:r>
        <w:rPr>
          <w:rFonts w:hint="eastAsia" w:ascii="宋体" w:hAnsi="宋体" w:cs="宋体"/>
        </w:rPr>
        <w:t>天内发出索赔意向通知书的，丧失要求追加付款和（或）延长工期的权利；</w:t>
      </w:r>
    </w:p>
    <w:p>
      <w:pPr>
        <w:autoSpaceDE w:val="0"/>
        <w:autoSpaceDN w:val="0"/>
        <w:adjustRightInd w:val="0"/>
        <w:rPr>
          <w:rFonts w:ascii="宋体" w:hAnsi="宋体" w:cs="宋体"/>
        </w:rPr>
      </w:pPr>
      <w:r>
        <w:rPr>
          <w:rFonts w:hint="eastAsia" w:ascii="宋体" w:hAnsi="宋体" w:cs="宋体"/>
        </w:rPr>
        <w:t>（</w:t>
      </w:r>
      <w:r>
        <w:rPr>
          <w:rFonts w:ascii="宋体" w:hAnsi="宋体" w:cs="TimesNewRomanPSMT"/>
        </w:rPr>
        <w:t>2</w:t>
      </w:r>
      <w:r>
        <w:rPr>
          <w:rFonts w:hint="eastAsia" w:ascii="宋体" w:hAnsi="宋体" w:cs="宋体"/>
        </w:rPr>
        <w:t>）承包人应在发出索赔意向通知书后</w:t>
      </w:r>
      <w:r>
        <w:rPr>
          <w:rFonts w:ascii="宋体" w:hAnsi="宋体" w:cs="TimesNewRomanPSMT"/>
        </w:rPr>
        <w:t xml:space="preserve">28 </w:t>
      </w:r>
      <w:r>
        <w:rPr>
          <w:rFonts w:hint="eastAsia" w:ascii="宋体" w:hAnsi="宋体" w:cs="宋体"/>
        </w:rPr>
        <w:t>天内，向监理人正式递交索赔通知书。索赔通知书应详细说明索赔理由以及要求追加的付款金额和（或）延长的工期，并附必要的记录和证明材料；</w:t>
      </w:r>
    </w:p>
    <w:p>
      <w:pPr>
        <w:autoSpaceDE w:val="0"/>
        <w:autoSpaceDN w:val="0"/>
        <w:adjustRightInd w:val="0"/>
        <w:rPr>
          <w:rFonts w:ascii="宋体" w:hAnsi="宋体" w:cs="宋体"/>
        </w:rPr>
      </w:pPr>
      <w:r>
        <w:rPr>
          <w:rFonts w:hint="eastAsia" w:ascii="宋体" w:hAnsi="宋体" w:cs="宋体"/>
        </w:rPr>
        <w:t>（</w:t>
      </w:r>
      <w:r>
        <w:rPr>
          <w:rFonts w:ascii="宋体" w:hAnsi="宋体" w:cs="TimesNewRomanPSMT"/>
        </w:rPr>
        <w:t>3</w:t>
      </w:r>
      <w:r>
        <w:rPr>
          <w:rFonts w:hint="eastAsia" w:ascii="宋体" w:hAnsi="宋体" w:cs="宋体"/>
        </w:rPr>
        <w:t>）索赔事件具有连续影响的，承包人应按合理时间间隔继续递交延续索赔通知，说明连续影响的实际情况和记录，列出累计的追加付款金额和（或）工期延长天数；</w:t>
      </w:r>
    </w:p>
    <w:p>
      <w:pPr>
        <w:autoSpaceDE w:val="0"/>
        <w:autoSpaceDN w:val="0"/>
        <w:adjustRightInd w:val="0"/>
        <w:rPr>
          <w:rFonts w:ascii="宋体" w:hAnsi="宋体" w:cs="宋体"/>
        </w:rPr>
      </w:pPr>
      <w:r>
        <w:rPr>
          <w:rFonts w:hint="eastAsia" w:ascii="宋体" w:hAnsi="宋体" w:cs="宋体"/>
        </w:rPr>
        <w:t>（</w:t>
      </w:r>
      <w:r>
        <w:rPr>
          <w:rFonts w:ascii="宋体" w:hAnsi="宋体" w:cs="TimesNewRomanPSMT"/>
        </w:rPr>
        <w:t>4</w:t>
      </w:r>
      <w:r>
        <w:rPr>
          <w:rFonts w:hint="eastAsia" w:ascii="宋体" w:hAnsi="宋体" w:cs="宋体"/>
        </w:rPr>
        <w:t>）在索赔事件影响结束后的</w:t>
      </w:r>
      <w:r>
        <w:rPr>
          <w:rFonts w:ascii="宋体" w:hAnsi="宋体" w:cs="TimesNewRomanPSMT"/>
        </w:rPr>
        <w:t xml:space="preserve">28 </w:t>
      </w:r>
      <w:r>
        <w:rPr>
          <w:rFonts w:hint="eastAsia" w:ascii="宋体" w:hAnsi="宋体" w:cs="宋体"/>
        </w:rPr>
        <w:t>天内，承包人应向监理人递交最终索赔通知书，说明最终要求索赔的追加付款金额和延长的工期，并附必要的记录和证明材料。</w:t>
      </w:r>
    </w:p>
    <w:p>
      <w:pPr>
        <w:keepNext/>
        <w:keepLines/>
        <w:spacing w:before="120" w:after="120"/>
        <w:jc w:val="both"/>
        <w:outlineLvl w:val="2"/>
        <w:rPr>
          <w:rFonts w:ascii="宋体" w:hAnsi="宋体" w:cs="TimesNewRomanPSMT"/>
          <w:b/>
        </w:rPr>
      </w:pPr>
      <w:bookmarkStart w:id="203" w:name="_Toc260305545"/>
      <w:r>
        <w:rPr>
          <w:rFonts w:ascii="宋体" w:hAnsi="宋体" w:cs="TimesNewRomanPSMT"/>
          <w:b/>
        </w:rPr>
        <w:t xml:space="preserve">23.2 </w:t>
      </w:r>
      <w:r>
        <w:rPr>
          <w:rFonts w:hint="eastAsia" w:ascii="宋体" w:hAnsi="宋体" w:cs="TimesNewRomanPSMT"/>
          <w:b/>
        </w:rPr>
        <w:t>承包人索赔处理程序</w:t>
      </w:r>
      <w:bookmarkEnd w:id="203"/>
    </w:p>
    <w:p>
      <w:pPr>
        <w:autoSpaceDE w:val="0"/>
        <w:autoSpaceDN w:val="0"/>
        <w:adjustRightInd w:val="0"/>
        <w:rPr>
          <w:rFonts w:ascii="宋体" w:hAnsi="宋体" w:cs="宋体"/>
        </w:rPr>
      </w:pPr>
      <w:r>
        <w:rPr>
          <w:rFonts w:hint="eastAsia" w:ascii="宋体" w:hAnsi="宋体" w:cs="宋体"/>
        </w:rPr>
        <w:t>（</w:t>
      </w:r>
      <w:r>
        <w:rPr>
          <w:rFonts w:ascii="宋体" w:hAnsi="宋体" w:cs="TimesNewRomanPSMT"/>
        </w:rPr>
        <w:t>1</w:t>
      </w:r>
      <w:r>
        <w:rPr>
          <w:rFonts w:hint="eastAsia" w:ascii="宋体" w:hAnsi="宋体" w:cs="宋体"/>
        </w:rPr>
        <w:t>）监理人收到承包人提交的索赔通知书后，应及时审查索赔通知书的内容、查验承包人的记录和证明材料，必要时监理人可要求承包人提交全部原始记录副本。</w:t>
      </w:r>
    </w:p>
    <w:p>
      <w:pPr>
        <w:autoSpaceDE w:val="0"/>
        <w:autoSpaceDN w:val="0"/>
        <w:adjustRightInd w:val="0"/>
        <w:rPr>
          <w:rFonts w:ascii="宋体" w:hAnsi="宋体" w:cs="宋体"/>
        </w:rPr>
      </w:pPr>
      <w:r>
        <w:rPr>
          <w:rFonts w:hint="eastAsia" w:ascii="宋体" w:hAnsi="宋体" w:cs="宋体"/>
        </w:rPr>
        <w:t>（</w:t>
      </w:r>
      <w:r>
        <w:rPr>
          <w:rFonts w:ascii="宋体" w:hAnsi="宋体" w:cs="TimesNewRomanPSMT"/>
        </w:rPr>
        <w:t>2</w:t>
      </w:r>
      <w:r>
        <w:rPr>
          <w:rFonts w:hint="eastAsia" w:ascii="宋体" w:hAnsi="宋体" w:cs="宋体"/>
        </w:rPr>
        <w:t>）监理人应按第</w:t>
      </w:r>
      <w:r>
        <w:rPr>
          <w:rFonts w:ascii="宋体" w:hAnsi="宋体" w:cs="TimesNewRomanPSMT"/>
        </w:rPr>
        <w:t xml:space="preserve">3.5 </w:t>
      </w:r>
      <w:r>
        <w:rPr>
          <w:rFonts w:hint="eastAsia" w:ascii="宋体" w:hAnsi="宋体" w:cs="宋体"/>
        </w:rPr>
        <w:t>款商定或确定追加的付款和（或）延长的工期，并在收到上述索赔通知书或有关索赔的进一步证明材料后的</w:t>
      </w:r>
      <w:r>
        <w:rPr>
          <w:rFonts w:ascii="宋体" w:hAnsi="宋体" w:cs="TimesNewRomanPSMT"/>
        </w:rPr>
        <w:t>42</w:t>
      </w:r>
      <w:r>
        <w:rPr>
          <w:rFonts w:hint="eastAsia" w:ascii="宋体" w:hAnsi="宋体" w:cs="宋体"/>
        </w:rPr>
        <w:t>天内，将索赔处理结果答复承包人。</w:t>
      </w:r>
    </w:p>
    <w:p>
      <w:pPr>
        <w:autoSpaceDE w:val="0"/>
        <w:autoSpaceDN w:val="0"/>
        <w:adjustRightInd w:val="0"/>
        <w:rPr>
          <w:rFonts w:ascii="宋体" w:hAnsi="宋体" w:cs="宋体"/>
        </w:rPr>
      </w:pPr>
      <w:r>
        <w:rPr>
          <w:rFonts w:hint="eastAsia" w:ascii="宋体" w:hAnsi="宋体" w:cs="宋体"/>
        </w:rPr>
        <w:t>（</w:t>
      </w:r>
      <w:r>
        <w:rPr>
          <w:rFonts w:ascii="宋体" w:hAnsi="宋体" w:cs="TimesNewRomanPSMT"/>
        </w:rPr>
        <w:t>3</w:t>
      </w:r>
      <w:r>
        <w:rPr>
          <w:rFonts w:hint="eastAsia" w:ascii="宋体" w:hAnsi="宋体" w:cs="宋体"/>
        </w:rPr>
        <w:t>）承包人接受索赔处理结果的，发包人应在作出索赔处理结果答复后</w:t>
      </w:r>
      <w:r>
        <w:rPr>
          <w:rFonts w:ascii="宋体" w:hAnsi="宋体" w:cs="TimesNewRomanPSMT"/>
        </w:rPr>
        <w:t xml:space="preserve">28 </w:t>
      </w:r>
      <w:r>
        <w:rPr>
          <w:rFonts w:hint="eastAsia" w:ascii="宋体" w:hAnsi="宋体" w:cs="宋体"/>
        </w:rPr>
        <w:t>天内完成赔付。承包人不接受索赔处理结果的，按第</w:t>
      </w:r>
      <w:r>
        <w:rPr>
          <w:rFonts w:ascii="宋体" w:hAnsi="宋体" w:cs="TimesNewRomanPSMT"/>
        </w:rPr>
        <w:t>24</w:t>
      </w:r>
      <w:r>
        <w:rPr>
          <w:rFonts w:hint="eastAsia" w:ascii="宋体" w:hAnsi="宋体" w:cs="宋体"/>
        </w:rPr>
        <w:t>条的约定办理。</w:t>
      </w:r>
    </w:p>
    <w:p>
      <w:pPr>
        <w:keepNext/>
        <w:keepLines/>
        <w:spacing w:before="120" w:after="120"/>
        <w:jc w:val="both"/>
        <w:outlineLvl w:val="2"/>
        <w:rPr>
          <w:rFonts w:ascii="宋体" w:hAnsi="宋体" w:cs="TimesNewRomanPSMT"/>
          <w:b/>
        </w:rPr>
      </w:pPr>
      <w:bookmarkStart w:id="204" w:name="_Toc260305546"/>
      <w:r>
        <w:rPr>
          <w:rFonts w:ascii="宋体" w:hAnsi="宋体" w:cs="TimesNewRomanPSMT"/>
          <w:b/>
        </w:rPr>
        <w:t xml:space="preserve">23.3 </w:t>
      </w:r>
      <w:r>
        <w:rPr>
          <w:rFonts w:hint="eastAsia" w:ascii="宋体" w:hAnsi="宋体" w:cs="TimesNewRomanPSMT"/>
          <w:b/>
        </w:rPr>
        <w:t>承包人提出索赔的期限</w:t>
      </w:r>
      <w:bookmarkEnd w:id="204"/>
    </w:p>
    <w:p>
      <w:pPr>
        <w:autoSpaceDE w:val="0"/>
        <w:autoSpaceDN w:val="0"/>
        <w:adjustRightInd w:val="0"/>
        <w:rPr>
          <w:rFonts w:ascii="宋体" w:hAnsi="宋体" w:cs="宋体"/>
        </w:rPr>
      </w:pPr>
      <w:r>
        <w:rPr>
          <w:rFonts w:ascii="宋体" w:hAnsi="宋体" w:cs="TimesNewRomanPSMT"/>
        </w:rPr>
        <w:t xml:space="preserve">23.3.1 </w:t>
      </w:r>
      <w:r>
        <w:rPr>
          <w:rFonts w:hint="eastAsia" w:ascii="宋体" w:hAnsi="宋体" w:cs="宋体"/>
        </w:rPr>
        <w:t>承包人按第</w:t>
      </w:r>
      <w:r>
        <w:rPr>
          <w:rFonts w:ascii="宋体" w:hAnsi="宋体" w:cs="TimesNewRomanPSMT"/>
        </w:rPr>
        <w:t xml:space="preserve">17.5 </w:t>
      </w:r>
      <w:r>
        <w:rPr>
          <w:rFonts w:hint="eastAsia" w:ascii="宋体" w:hAnsi="宋体" w:cs="宋体"/>
        </w:rPr>
        <w:t>款的约定接受了竣工付款证书后，应被认为已无权再提出在合同工程接收证书颁发前所发生的任何索赔。</w:t>
      </w:r>
    </w:p>
    <w:p>
      <w:pPr>
        <w:autoSpaceDE w:val="0"/>
        <w:autoSpaceDN w:val="0"/>
        <w:adjustRightInd w:val="0"/>
        <w:rPr>
          <w:rFonts w:ascii="宋体" w:hAnsi="宋体" w:cs="宋体"/>
        </w:rPr>
      </w:pPr>
      <w:r>
        <w:rPr>
          <w:rFonts w:ascii="宋体" w:hAnsi="宋体" w:cs="TimesNewRomanPSMT"/>
        </w:rPr>
        <w:t xml:space="preserve">23.3.2 </w:t>
      </w:r>
      <w:r>
        <w:rPr>
          <w:rFonts w:hint="eastAsia" w:ascii="宋体" w:hAnsi="宋体" w:cs="宋体"/>
        </w:rPr>
        <w:t>承包人按第</w:t>
      </w:r>
      <w:r>
        <w:rPr>
          <w:rFonts w:ascii="宋体" w:hAnsi="宋体" w:cs="TimesNewRomanPSMT"/>
        </w:rPr>
        <w:t xml:space="preserve">17.6 </w:t>
      </w:r>
      <w:r>
        <w:rPr>
          <w:rFonts w:hint="eastAsia" w:ascii="宋体" w:hAnsi="宋体" w:cs="宋体"/>
        </w:rPr>
        <w:t>款的约定提交的最终结清申请单中，只限于提出工程接收证书颁发后发生的索赔。提出索赔的期限自接受最终结清证书时终止。</w:t>
      </w:r>
    </w:p>
    <w:p>
      <w:pPr>
        <w:keepNext/>
        <w:keepLines/>
        <w:spacing w:before="120" w:after="120"/>
        <w:jc w:val="both"/>
        <w:outlineLvl w:val="2"/>
        <w:rPr>
          <w:rFonts w:ascii="宋体" w:hAnsi="宋体" w:cs="TimesNewRomanPSMT"/>
          <w:b/>
        </w:rPr>
      </w:pPr>
      <w:bookmarkStart w:id="205" w:name="_Toc260305547"/>
      <w:r>
        <w:rPr>
          <w:rFonts w:ascii="宋体" w:hAnsi="宋体" w:cs="TimesNewRomanPSMT"/>
          <w:b/>
        </w:rPr>
        <w:t xml:space="preserve">23.4 </w:t>
      </w:r>
      <w:r>
        <w:rPr>
          <w:rFonts w:hint="eastAsia" w:ascii="宋体" w:hAnsi="宋体" w:cs="TimesNewRomanPSMT"/>
          <w:b/>
        </w:rPr>
        <w:t>发包人的索赔</w:t>
      </w:r>
      <w:bookmarkEnd w:id="205"/>
    </w:p>
    <w:p>
      <w:pPr>
        <w:autoSpaceDE w:val="0"/>
        <w:autoSpaceDN w:val="0"/>
        <w:adjustRightInd w:val="0"/>
        <w:rPr>
          <w:rFonts w:ascii="宋体" w:hAnsi="宋体" w:cs="宋体"/>
        </w:rPr>
      </w:pPr>
      <w:r>
        <w:rPr>
          <w:rFonts w:ascii="宋体" w:hAnsi="宋体" w:cs="TimesNewRomanPSMT"/>
        </w:rPr>
        <w:t xml:space="preserve">23.4.1 </w:t>
      </w:r>
      <w:r>
        <w:rPr>
          <w:rFonts w:hint="eastAsia" w:ascii="宋体" w:hAnsi="宋体" w:cs="宋体"/>
        </w:rPr>
        <w:t>发生索赔事件后，监理人应及时书面通知承包人，详细说明发包人有权得到的索赔金额和（或）延长缺陷责任期的细节和依据。发包人提出索赔的期限和要求与第</w:t>
      </w:r>
      <w:r>
        <w:rPr>
          <w:rFonts w:ascii="宋体" w:hAnsi="宋体" w:cs="TimesNewRomanPSMT"/>
        </w:rPr>
        <w:t xml:space="preserve">23.3 </w:t>
      </w:r>
      <w:r>
        <w:rPr>
          <w:rFonts w:hint="eastAsia" w:ascii="宋体" w:hAnsi="宋体" w:cs="宋体"/>
        </w:rPr>
        <w:t>款的约定相同，延长缺陷责任期的通知应在缺陷责任期届满前发出。</w:t>
      </w:r>
    </w:p>
    <w:p>
      <w:pPr>
        <w:autoSpaceDE w:val="0"/>
        <w:autoSpaceDN w:val="0"/>
        <w:adjustRightInd w:val="0"/>
        <w:rPr>
          <w:rFonts w:ascii="宋体" w:hAnsi="宋体" w:cs="宋体"/>
        </w:rPr>
      </w:pPr>
      <w:r>
        <w:rPr>
          <w:rFonts w:ascii="宋体" w:hAnsi="宋体" w:cs="TimesNewRomanPSMT"/>
        </w:rPr>
        <w:t xml:space="preserve">23.4.2 </w:t>
      </w:r>
      <w:r>
        <w:rPr>
          <w:rFonts w:hint="eastAsia" w:ascii="宋体" w:hAnsi="宋体" w:cs="宋体"/>
        </w:rPr>
        <w:t>监理人按第</w:t>
      </w:r>
      <w:r>
        <w:rPr>
          <w:rFonts w:ascii="宋体" w:hAnsi="宋体" w:cs="TimesNewRomanPSMT"/>
        </w:rPr>
        <w:t xml:space="preserve">3.5 </w:t>
      </w:r>
      <w:r>
        <w:rPr>
          <w:rFonts w:hint="eastAsia" w:ascii="宋体" w:hAnsi="宋体" w:cs="宋体"/>
        </w:rPr>
        <w:t>款商定或确定发包人从承包人处得到赔付的金额和（或）缺陷责任期的延长期。承包人应付给发包人的金额可从拟支付给承包人的合同价款中扣除，或由承包人以其他方式支付给发包人。</w:t>
      </w:r>
    </w:p>
    <w:p>
      <w:pPr>
        <w:keepNext/>
        <w:keepLines/>
        <w:spacing w:before="120" w:after="120"/>
        <w:jc w:val="both"/>
        <w:outlineLvl w:val="1"/>
        <w:rPr>
          <w:rFonts w:ascii="宋体" w:hAnsi="宋体" w:cs="TimesNewRomanPSMT"/>
          <w:b/>
          <w:sz w:val="28"/>
          <w:szCs w:val="28"/>
        </w:rPr>
      </w:pPr>
      <w:bookmarkStart w:id="206" w:name="_Toc18215"/>
      <w:bookmarkStart w:id="207" w:name="_Toc260305548"/>
      <w:r>
        <w:rPr>
          <w:rFonts w:ascii="宋体" w:hAnsi="宋体" w:cs="TimesNewRomanPSMT"/>
          <w:b/>
          <w:sz w:val="28"/>
          <w:szCs w:val="28"/>
        </w:rPr>
        <w:t xml:space="preserve">24. </w:t>
      </w:r>
      <w:r>
        <w:rPr>
          <w:rFonts w:hint="eastAsia" w:ascii="宋体" w:hAnsi="宋体" w:cs="TimesNewRomanPSMT"/>
          <w:b/>
          <w:sz w:val="28"/>
          <w:szCs w:val="28"/>
        </w:rPr>
        <w:t>争议的解决</w:t>
      </w:r>
      <w:bookmarkEnd w:id="206"/>
      <w:bookmarkEnd w:id="207"/>
    </w:p>
    <w:p>
      <w:pPr>
        <w:keepNext/>
        <w:keepLines/>
        <w:spacing w:before="120" w:after="120"/>
        <w:jc w:val="both"/>
        <w:outlineLvl w:val="2"/>
        <w:rPr>
          <w:rFonts w:ascii="宋体" w:hAnsi="宋体" w:cs="TimesNewRomanPSMT"/>
          <w:b/>
        </w:rPr>
      </w:pPr>
      <w:bookmarkStart w:id="208" w:name="_Toc260305549"/>
      <w:r>
        <w:rPr>
          <w:rFonts w:ascii="宋体" w:hAnsi="宋体" w:cs="TimesNewRomanPSMT"/>
          <w:b/>
        </w:rPr>
        <w:t xml:space="preserve">24.1 </w:t>
      </w:r>
      <w:r>
        <w:rPr>
          <w:rFonts w:hint="eastAsia" w:ascii="宋体" w:hAnsi="宋体" w:cs="TimesNewRomanPSMT"/>
          <w:b/>
        </w:rPr>
        <w:t>争议的解决方式</w:t>
      </w:r>
      <w:bookmarkEnd w:id="208"/>
    </w:p>
    <w:p>
      <w:pPr>
        <w:autoSpaceDE w:val="0"/>
        <w:autoSpaceDN w:val="0"/>
        <w:adjustRightInd w:val="0"/>
        <w:rPr>
          <w:rFonts w:ascii="宋体" w:hAnsi="宋体" w:cs="宋体"/>
        </w:rPr>
      </w:pPr>
      <w:r>
        <w:rPr>
          <w:rFonts w:hint="eastAsia" w:ascii="宋体" w:hAnsi="宋体" w:cs="宋体"/>
        </w:rPr>
        <w:t>发包人和承包人在履行合同中发生争议的，可以友好协商解决或者提请争议评审组评审。合同当事人友好协商解决不成、不愿提请争议评审或者不接受争议评审组意见的，可在专用合同条款中约定下列一种方式解决。</w:t>
      </w:r>
    </w:p>
    <w:p>
      <w:pPr>
        <w:autoSpaceDE w:val="0"/>
        <w:autoSpaceDN w:val="0"/>
        <w:adjustRightInd w:val="0"/>
        <w:rPr>
          <w:rFonts w:ascii="宋体" w:hAnsi="宋体" w:cs="宋体"/>
        </w:rPr>
      </w:pPr>
      <w:r>
        <w:rPr>
          <w:rFonts w:hint="eastAsia" w:ascii="宋体" w:hAnsi="宋体" w:cs="宋体"/>
        </w:rPr>
        <w:t>（</w:t>
      </w:r>
      <w:r>
        <w:rPr>
          <w:rFonts w:ascii="宋体" w:hAnsi="宋体" w:cs="TimesNewRomanPSMT"/>
        </w:rPr>
        <w:t>1</w:t>
      </w:r>
      <w:r>
        <w:rPr>
          <w:rFonts w:hint="eastAsia" w:ascii="宋体" w:hAnsi="宋体" w:cs="宋体"/>
        </w:rPr>
        <w:t>）向约定的仲裁委员会申请仲裁；</w:t>
      </w:r>
    </w:p>
    <w:p>
      <w:pPr>
        <w:autoSpaceDE w:val="0"/>
        <w:autoSpaceDN w:val="0"/>
        <w:adjustRightInd w:val="0"/>
        <w:rPr>
          <w:rFonts w:ascii="宋体" w:hAnsi="宋体" w:cs="宋体"/>
        </w:rPr>
      </w:pPr>
      <w:r>
        <w:rPr>
          <w:rFonts w:hint="eastAsia" w:ascii="宋体" w:hAnsi="宋体" w:cs="宋体"/>
        </w:rPr>
        <w:t>（</w:t>
      </w:r>
      <w:r>
        <w:rPr>
          <w:rFonts w:ascii="宋体" w:hAnsi="宋体" w:cs="TimesNewRomanPSMT"/>
        </w:rPr>
        <w:t>2</w:t>
      </w:r>
      <w:r>
        <w:rPr>
          <w:rFonts w:hint="eastAsia" w:ascii="宋体" w:hAnsi="宋体" w:cs="宋体"/>
        </w:rPr>
        <w:t>）向有管辖权的人民法院提起诉讼。</w:t>
      </w:r>
    </w:p>
    <w:p>
      <w:pPr>
        <w:keepNext/>
        <w:keepLines/>
        <w:spacing w:before="120" w:after="120"/>
        <w:jc w:val="both"/>
        <w:outlineLvl w:val="2"/>
        <w:rPr>
          <w:rFonts w:ascii="宋体" w:hAnsi="宋体" w:cs="TimesNewRomanPSMT"/>
          <w:b/>
        </w:rPr>
      </w:pPr>
      <w:bookmarkStart w:id="209" w:name="_Toc260305550"/>
      <w:r>
        <w:rPr>
          <w:rFonts w:ascii="宋体" w:hAnsi="宋体" w:cs="TimesNewRomanPSMT"/>
          <w:b/>
        </w:rPr>
        <w:t xml:space="preserve">24.2 </w:t>
      </w:r>
      <w:r>
        <w:rPr>
          <w:rFonts w:hint="eastAsia" w:ascii="宋体" w:hAnsi="宋体" w:cs="TimesNewRomanPSMT"/>
          <w:b/>
        </w:rPr>
        <w:t>友好解决</w:t>
      </w:r>
      <w:bookmarkEnd w:id="209"/>
    </w:p>
    <w:p>
      <w:pPr>
        <w:autoSpaceDE w:val="0"/>
        <w:autoSpaceDN w:val="0"/>
        <w:adjustRightInd w:val="0"/>
        <w:rPr>
          <w:rFonts w:ascii="宋体" w:hAnsi="宋体" w:cs="宋体"/>
        </w:rPr>
      </w:pPr>
      <w:r>
        <w:rPr>
          <w:rFonts w:hint="eastAsia" w:ascii="宋体" w:hAnsi="宋体" w:cs="宋体"/>
        </w:rPr>
        <w:t>在提请争议评审、仲裁或者诉讼前，以及在争议评审、仲裁或诉讼过程中，发包人和承包人均可共同努力友好协商解决争议。</w:t>
      </w:r>
    </w:p>
    <w:p>
      <w:pPr>
        <w:keepNext/>
        <w:keepLines/>
        <w:spacing w:before="120" w:after="120"/>
        <w:jc w:val="both"/>
        <w:outlineLvl w:val="2"/>
        <w:rPr>
          <w:rFonts w:ascii="宋体" w:hAnsi="宋体" w:cs="TimesNewRomanPSMT"/>
          <w:b/>
        </w:rPr>
      </w:pPr>
      <w:bookmarkStart w:id="210" w:name="_Toc260305551"/>
      <w:r>
        <w:rPr>
          <w:rFonts w:ascii="宋体" w:hAnsi="宋体" w:cs="TimesNewRomanPSMT"/>
          <w:b/>
        </w:rPr>
        <w:t xml:space="preserve">24.3 </w:t>
      </w:r>
      <w:r>
        <w:rPr>
          <w:rFonts w:hint="eastAsia" w:ascii="宋体" w:hAnsi="宋体" w:cs="TimesNewRomanPSMT"/>
          <w:b/>
        </w:rPr>
        <w:t>争议评审</w:t>
      </w:r>
      <w:bookmarkEnd w:id="210"/>
    </w:p>
    <w:p>
      <w:pPr>
        <w:autoSpaceDE w:val="0"/>
        <w:autoSpaceDN w:val="0"/>
        <w:adjustRightInd w:val="0"/>
        <w:rPr>
          <w:rFonts w:ascii="宋体" w:hAnsi="宋体" w:cs="宋体"/>
        </w:rPr>
      </w:pPr>
      <w:r>
        <w:rPr>
          <w:rFonts w:ascii="宋体" w:hAnsi="宋体" w:cs="TimesNewRomanPSMT"/>
        </w:rPr>
        <w:t xml:space="preserve">24.3.1 </w:t>
      </w:r>
      <w:r>
        <w:rPr>
          <w:rFonts w:hint="eastAsia" w:ascii="宋体" w:hAnsi="宋体" w:cs="宋体"/>
        </w:rPr>
        <w:t>采用争议评审的，发包人和承包人应在开工日后的</w:t>
      </w:r>
      <w:r>
        <w:rPr>
          <w:rFonts w:ascii="宋体" w:hAnsi="宋体" w:cs="TimesNewRomanPSMT"/>
        </w:rPr>
        <w:t xml:space="preserve">28 </w:t>
      </w:r>
      <w:r>
        <w:rPr>
          <w:rFonts w:hint="eastAsia" w:ascii="宋体" w:hAnsi="宋体" w:cs="宋体"/>
        </w:rPr>
        <w:t>天内或在争议发生后，协商成立争议评审组。争议评审组由有合同管理和工程实践经验的专家组成。</w:t>
      </w:r>
    </w:p>
    <w:p>
      <w:pPr>
        <w:autoSpaceDE w:val="0"/>
        <w:autoSpaceDN w:val="0"/>
        <w:adjustRightInd w:val="0"/>
        <w:rPr>
          <w:rFonts w:ascii="宋体" w:hAnsi="宋体" w:cs="宋体"/>
        </w:rPr>
      </w:pPr>
      <w:r>
        <w:rPr>
          <w:rFonts w:ascii="宋体" w:hAnsi="宋体" w:cs="TimesNewRomanPSMT"/>
        </w:rPr>
        <w:t xml:space="preserve">24.3.2 </w:t>
      </w:r>
      <w:r>
        <w:rPr>
          <w:rFonts w:hint="eastAsia" w:ascii="宋体" w:hAnsi="宋体" w:cs="宋体"/>
        </w:rPr>
        <w:t>合同双方的争议，应首先由申请人向争议评审组提交一份详细的评审申请报告，并附必要的文件、图纸和证明材料，申请人还应将上述报告的副本同时提交给被申请人和监理人。</w:t>
      </w:r>
    </w:p>
    <w:p>
      <w:pPr>
        <w:autoSpaceDE w:val="0"/>
        <w:autoSpaceDN w:val="0"/>
        <w:adjustRightInd w:val="0"/>
        <w:rPr>
          <w:rFonts w:ascii="宋体" w:hAnsi="宋体" w:cs="宋体"/>
        </w:rPr>
      </w:pPr>
      <w:r>
        <w:rPr>
          <w:rFonts w:ascii="宋体" w:hAnsi="宋体" w:cs="TimesNewRomanPSMT"/>
        </w:rPr>
        <w:t xml:space="preserve">24.3.3 </w:t>
      </w:r>
      <w:r>
        <w:rPr>
          <w:rFonts w:hint="eastAsia" w:ascii="宋体" w:hAnsi="宋体" w:cs="宋体"/>
        </w:rPr>
        <w:t>被申请人在收到申请人评审申请报告副本后的</w:t>
      </w:r>
      <w:r>
        <w:rPr>
          <w:rFonts w:ascii="宋体" w:hAnsi="宋体" w:cs="TimesNewRomanPSMT"/>
        </w:rPr>
        <w:t xml:space="preserve">28 </w:t>
      </w:r>
      <w:r>
        <w:rPr>
          <w:rFonts w:hint="eastAsia" w:ascii="宋体" w:hAnsi="宋体" w:cs="宋体"/>
        </w:rPr>
        <w:t>天内，向争议评审组提交一份答辩报告，并附证明材料。被申请人应将答辩报告的副本同时提交给申请人和监理人。</w:t>
      </w:r>
    </w:p>
    <w:p>
      <w:pPr>
        <w:autoSpaceDE w:val="0"/>
        <w:autoSpaceDN w:val="0"/>
        <w:adjustRightInd w:val="0"/>
        <w:rPr>
          <w:rFonts w:ascii="宋体" w:hAnsi="宋体" w:cs="宋体"/>
        </w:rPr>
      </w:pPr>
      <w:r>
        <w:rPr>
          <w:rFonts w:ascii="宋体" w:hAnsi="宋体" w:cs="TimesNewRomanPSMT"/>
        </w:rPr>
        <w:t xml:space="preserve">24.3.4 </w:t>
      </w:r>
      <w:r>
        <w:rPr>
          <w:rFonts w:hint="eastAsia" w:ascii="宋体" w:hAnsi="宋体" w:cs="宋体"/>
        </w:rPr>
        <w:t>除专用合同条款另有约定外，争议评审组在收到合同双方报告后的</w:t>
      </w:r>
      <w:r>
        <w:rPr>
          <w:rFonts w:ascii="宋体" w:hAnsi="宋体" w:cs="TimesNewRomanPSMT"/>
        </w:rPr>
        <w:t xml:space="preserve">14 </w:t>
      </w:r>
      <w:r>
        <w:rPr>
          <w:rFonts w:hint="eastAsia" w:ascii="宋体" w:hAnsi="宋体" w:cs="宋体"/>
        </w:rPr>
        <w:t>天内，邀请双方代表和有关人员举行调查会，向双方调查争议细节；必要时争议评审组可要求双方进一步提供补充材料。</w:t>
      </w:r>
    </w:p>
    <w:p>
      <w:pPr>
        <w:autoSpaceDE w:val="0"/>
        <w:autoSpaceDN w:val="0"/>
        <w:adjustRightInd w:val="0"/>
        <w:rPr>
          <w:rFonts w:ascii="宋体" w:hAnsi="宋体" w:cs="宋体"/>
        </w:rPr>
      </w:pPr>
      <w:r>
        <w:rPr>
          <w:rFonts w:ascii="宋体" w:hAnsi="宋体" w:cs="TimesNewRomanPSMT"/>
        </w:rPr>
        <w:t xml:space="preserve">24.3.5 </w:t>
      </w:r>
      <w:r>
        <w:rPr>
          <w:rFonts w:hint="eastAsia" w:ascii="宋体" w:hAnsi="宋体" w:cs="宋体"/>
        </w:rPr>
        <w:t>除专用合同条款另有约定外，在调查会结束后的</w:t>
      </w:r>
      <w:r>
        <w:rPr>
          <w:rFonts w:ascii="宋体" w:hAnsi="宋体" w:cs="TimesNewRomanPSMT"/>
        </w:rPr>
        <w:t xml:space="preserve">14 </w:t>
      </w:r>
      <w:r>
        <w:rPr>
          <w:rFonts w:hint="eastAsia" w:ascii="宋体" w:hAnsi="宋体" w:cs="宋体"/>
        </w:rPr>
        <w:t>天内，争议评审组应在不受任何干扰的情况下进行独立、公正的评审，作出书面评审意见，并说明理由。在争议评审期间，争议双方暂按总监理工程师的确定执行。</w:t>
      </w:r>
    </w:p>
    <w:p>
      <w:pPr>
        <w:autoSpaceDE w:val="0"/>
        <w:autoSpaceDN w:val="0"/>
        <w:adjustRightInd w:val="0"/>
        <w:rPr>
          <w:rFonts w:ascii="宋体" w:hAnsi="宋体" w:cs="宋体"/>
        </w:rPr>
      </w:pPr>
      <w:r>
        <w:rPr>
          <w:rFonts w:ascii="宋体" w:hAnsi="宋体" w:cs="TimesNewRomanPSMT"/>
        </w:rPr>
        <w:t xml:space="preserve">24.3.6 </w:t>
      </w:r>
      <w:r>
        <w:rPr>
          <w:rFonts w:hint="eastAsia" w:ascii="宋体" w:hAnsi="宋体" w:cs="宋体"/>
        </w:rPr>
        <w:t>发包人和承包人接受评审意见的，由监理人根据评审意见拟定执行协议，经争议双方签字后作为合同的补充文件，并遵照执行。</w:t>
      </w:r>
    </w:p>
    <w:p>
      <w:pPr>
        <w:autoSpaceDE w:val="0"/>
        <w:autoSpaceDN w:val="0"/>
        <w:adjustRightInd w:val="0"/>
        <w:rPr>
          <w:rFonts w:ascii="宋体" w:hAnsi="宋体" w:cs="宋体"/>
        </w:rPr>
      </w:pPr>
      <w:r>
        <w:rPr>
          <w:rFonts w:ascii="宋体" w:hAnsi="宋体" w:cs="TimesNewRomanPSMT"/>
        </w:rPr>
        <w:t xml:space="preserve">24.3.7 </w:t>
      </w:r>
      <w:r>
        <w:rPr>
          <w:rFonts w:hint="eastAsia" w:ascii="宋体" w:hAnsi="宋体" w:cs="宋体"/>
        </w:rPr>
        <w:t>发包人或承包人不接受评审意见，并要求提交仲裁或提起诉讼的，应在收到评审意见后的</w:t>
      </w:r>
      <w:r>
        <w:rPr>
          <w:rFonts w:ascii="宋体" w:hAnsi="宋体" w:cs="TimesNewRomanPSMT"/>
        </w:rPr>
        <w:t xml:space="preserve">14 </w:t>
      </w:r>
      <w:r>
        <w:rPr>
          <w:rFonts w:hint="eastAsia" w:ascii="宋体" w:hAnsi="宋体" w:cs="宋体"/>
        </w:rPr>
        <w:t>天内将仲裁或起诉意向书面通知另一方，并抄送监理人，但在仲裁或诉讼结束前应暂按总监理工程师的确定执行。</w:t>
      </w:r>
    </w:p>
    <w:p>
      <w:pPr>
        <w:autoSpaceDE w:val="0"/>
        <w:autoSpaceDN w:val="0"/>
        <w:adjustRightInd w:val="0"/>
        <w:rPr>
          <w:rFonts w:ascii="宋体" w:hAnsi="宋体" w:cs="宋体"/>
        </w:rPr>
      </w:pPr>
    </w:p>
    <w:p>
      <w:pPr>
        <w:autoSpaceDE w:val="0"/>
        <w:autoSpaceDN w:val="0"/>
        <w:adjustRightInd w:val="0"/>
        <w:rPr>
          <w:rFonts w:ascii="宋体" w:hAnsi="宋体" w:cs="宋体"/>
        </w:rPr>
      </w:pPr>
    </w:p>
    <w:p>
      <w:pPr>
        <w:autoSpaceDE w:val="0"/>
        <w:autoSpaceDN w:val="0"/>
        <w:adjustRightInd w:val="0"/>
        <w:rPr>
          <w:rFonts w:ascii="宋体" w:hAnsi="宋体" w:cs="宋体"/>
        </w:rPr>
      </w:pPr>
    </w:p>
    <w:p>
      <w:pPr>
        <w:keepNext/>
        <w:keepLines/>
        <w:spacing w:before="120" w:after="120"/>
        <w:jc w:val="center"/>
        <w:outlineLvl w:val="1"/>
        <w:rPr>
          <w:rFonts w:ascii="宋体" w:hAnsi="宋体" w:cs="TimesNewRomanPSMT"/>
          <w:b/>
          <w:color w:val="000000"/>
          <w:sz w:val="28"/>
          <w:szCs w:val="28"/>
        </w:rPr>
      </w:pPr>
      <w:bookmarkStart w:id="211" w:name="_Toc5032"/>
      <w:bookmarkStart w:id="212" w:name="_Toc3723"/>
      <w:bookmarkStart w:id="213" w:name="_Toc199151991"/>
      <w:bookmarkStart w:id="214" w:name="_Toc260305552"/>
      <w:bookmarkStart w:id="215" w:name="_Toc152045764"/>
      <w:bookmarkStart w:id="216" w:name="_Toc152042543"/>
      <w:bookmarkStart w:id="217" w:name="_Toc179632782"/>
      <w:bookmarkStart w:id="218" w:name="_Toc144974734"/>
      <w:r>
        <w:rPr>
          <w:rFonts w:hint="eastAsia" w:ascii="宋体" w:hAnsi="宋体" w:cs="TimesNewRomanPSMT"/>
          <w:b/>
          <w:color w:val="000000"/>
          <w:sz w:val="28"/>
          <w:szCs w:val="28"/>
        </w:rPr>
        <w:t>第三节</w:t>
      </w:r>
      <w:r>
        <w:rPr>
          <w:rFonts w:ascii="宋体" w:hAnsi="宋体" w:cs="TimesNewRomanPSMT"/>
          <w:b/>
          <w:color w:val="000000"/>
          <w:sz w:val="28"/>
          <w:szCs w:val="28"/>
        </w:rPr>
        <w:t xml:space="preserve"> </w:t>
      </w:r>
      <w:r>
        <w:rPr>
          <w:rFonts w:hint="eastAsia" w:ascii="宋体" w:hAnsi="宋体" w:cs="TimesNewRomanPSMT"/>
          <w:b/>
          <w:color w:val="000000"/>
          <w:sz w:val="28"/>
          <w:szCs w:val="28"/>
        </w:rPr>
        <w:t>专用合同条款</w:t>
      </w:r>
      <w:bookmarkEnd w:id="211"/>
      <w:bookmarkEnd w:id="212"/>
      <w:bookmarkEnd w:id="213"/>
      <w:bookmarkEnd w:id="214"/>
    </w:p>
    <w:p>
      <w:pPr>
        <w:keepNext/>
        <w:keepLines/>
        <w:spacing w:before="120" w:after="120"/>
        <w:jc w:val="both"/>
        <w:outlineLvl w:val="1"/>
        <w:rPr>
          <w:rFonts w:ascii="宋体" w:hAnsi="宋体" w:cs="TimesNewRomanPSMT"/>
          <w:b/>
          <w:color w:val="000000"/>
          <w:sz w:val="28"/>
          <w:szCs w:val="28"/>
        </w:rPr>
      </w:pPr>
      <w:bookmarkStart w:id="219" w:name="_Toc260305553"/>
      <w:bookmarkStart w:id="220" w:name="_Toc199151992"/>
      <w:r>
        <w:rPr>
          <w:rFonts w:ascii="宋体" w:hAnsi="宋体" w:cs="TimesNewRomanPSMT"/>
          <w:b/>
          <w:color w:val="000000"/>
          <w:sz w:val="28"/>
          <w:szCs w:val="28"/>
        </w:rPr>
        <w:t>1. 一般约定</w:t>
      </w:r>
      <w:bookmarkEnd w:id="219"/>
      <w:bookmarkEnd w:id="220"/>
    </w:p>
    <w:p>
      <w:pPr>
        <w:keepNext/>
        <w:keepLines/>
        <w:spacing w:before="120" w:after="120"/>
        <w:jc w:val="both"/>
        <w:outlineLvl w:val="2"/>
        <w:rPr>
          <w:rFonts w:ascii="宋体" w:hAnsi="宋体" w:cs="TimesNewRomanPSMT"/>
          <w:b/>
          <w:color w:val="000000"/>
        </w:rPr>
      </w:pPr>
      <w:bookmarkStart w:id="221" w:name="_Toc144974580"/>
      <w:bookmarkStart w:id="222" w:name="_Toc260305554"/>
      <w:bookmarkStart w:id="223" w:name="_Toc199151993"/>
      <w:bookmarkStart w:id="224" w:name="_Toc152045612"/>
      <w:bookmarkStart w:id="225" w:name="_Toc179632630"/>
      <w:bookmarkStart w:id="226" w:name="_Toc152042390"/>
      <w:r>
        <w:rPr>
          <w:rFonts w:ascii="宋体" w:hAnsi="宋体" w:cs="TimesNewRomanPSMT"/>
          <w:b/>
          <w:color w:val="000000"/>
        </w:rPr>
        <w:t>1.1 词语定义</w:t>
      </w:r>
      <w:bookmarkEnd w:id="221"/>
      <w:bookmarkEnd w:id="222"/>
      <w:bookmarkEnd w:id="223"/>
      <w:bookmarkEnd w:id="224"/>
      <w:bookmarkEnd w:id="225"/>
      <w:bookmarkEnd w:id="226"/>
    </w:p>
    <w:p>
      <w:pPr>
        <w:jc w:val="both"/>
        <w:rPr>
          <w:rFonts w:ascii="宋体" w:hAnsi="宋体"/>
          <w:color w:val="000000"/>
          <w:kern w:val="2"/>
        </w:rPr>
      </w:pPr>
      <w:r>
        <w:rPr>
          <w:rFonts w:hint="eastAsia" w:ascii="宋体" w:hAnsi="宋体"/>
          <w:color w:val="000000"/>
          <w:kern w:val="2"/>
        </w:rPr>
        <w:t>1.1.2合同当事人和人员</w:t>
      </w:r>
    </w:p>
    <w:p>
      <w:pPr>
        <w:spacing w:line="360" w:lineRule="auto"/>
        <w:rPr>
          <w:rFonts w:ascii="宋体" w:hAnsi="宋体"/>
          <w:color w:val="000000"/>
        </w:rPr>
      </w:pPr>
      <w:r>
        <w:rPr>
          <w:rFonts w:hint="eastAsia" w:ascii="宋体" w:hAnsi="宋体"/>
          <w:color w:val="000000"/>
          <w:kern w:val="2"/>
        </w:rPr>
        <w:t>1.1.2.2发包人：</w:t>
      </w:r>
      <w:r>
        <w:rPr>
          <w:rFonts w:hint="eastAsia" w:ascii="宋体" w:hAnsi="宋体"/>
          <w:color w:val="000000"/>
          <w:kern w:val="2"/>
          <w:u w:val="single"/>
          <w:lang w:val="en-US" w:eastAsia="zh-CN"/>
        </w:rPr>
        <w:t xml:space="preserve">          </w:t>
      </w:r>
      <w:r>
        <w:rPr>
          <w:rFonts w:ascii="宋体" w:hAnsi="宋体"/>
          <w:color w:val="000000"/>
        </w:rPr>
        <w:t>。</w:t>
      </w:r>
    </w:p>
    <w:p>
      <w:pPr>
        <w:rPr>
          <w:rFonts w:ascii="宋体" w:hAnsi="宋体"/>
          <w:color w:val="000000"/>
          <w:kern w:val="2"/>
        </w:rPr>
      </w:pPr>
      <w:r>
        <w:rPr>
          <w:rFonts w:hint="eastAsia" w:ascii="宋体" w:hAnsi="宋体"/>
          <w:color w:val="000000"/>
          <w:kern w:val="2"/>
        </w:rPr>
        <w:t>1.1.2.6监理人：</w:t>
      </w:r>
      <w:r>
        <w:rPr>
          <w:rFonts w:hint="eastAsia" w:ascii="宋体" w:hAnsi="宋体"/>
          <w:color w:val="000000"/>
          <w:kern w:val="2"/>
          <w:u w:val="single"/>
        </w:rPr>
        <w:t>　同《通用条款》　　　</w:t>
      </w:r>
      <w:r>
        <w:rPr>
          <w:rFonts w:hint="eastAsia" w:ascii="宋体" w:hAnsi="宋体"/>
          <w:color w:val="000000"/>
          <w:kern w:val="2"/>
        </w:rPr>
        <w:t>。</w:t>
      </w:r>
    </w:p>
    <w:p>
      <w:pPr>
        <w:rPr>
          <w:rFonts w:ascii="宋体" w:hAnsi="宋体"/>
          <w:color w:val="000000"/>
          <w:kern w:val="2"/>
        </w:rPr>
      </w:pPr>
      <w:r>
        <w:rPr>
          <w:rFonts w:hint="eastAsia" w:ascii="宋体" w:hAnsi="宋体"/>
          <w:color w:val="000000"/>
          <w:kern w:val="2"/>
        </w:rPr>
        <w:t>1.1.2.8发包人代表：指发包人指定的派驻施工场地的全权代表。</w:t>
      </w:r>
    </w:p>
    <w:p>
      <w:pPr>
        <w:rPr>
          <w:rFonts w:ascii="宋体" w:hAnsi="宋体"/>
          <w:color w:val="000000"/>
          <w:kern w:val="2"/>
        </w:rPr>
      </w:pPr>
      <w:r>
        <w:rPr>
          <w:rFonts w:hint="eastAsia" w:ascii="宋体" w:hAnsi="宋体"/>
          <w:color w:val="000000"/>
          <w:kern w:val="2"/>
        </w:rPr>
        <w:t>姓    名：</w:t>
      </w:r>
      <w:r>
        <w:rPr>
          <w:rFonts w:hint="eastAsia" w:ascii="宋体" w:hAnsi="宋体"/>
          <w:color w:val="000000"/>
          <w:kern w:val="2"/>
          <w:u w:val="single"/>
        </w:rPr>
        <w:t>　签定合同时约定　　　</w:t>
      </w:r>
      <w:r>
        <w:rPr>
          <w:rFonts w:hint="eastAsia" w:ascii="宋体" w:hAnsi="宋体"/>
          <w:color w:val="000000"/>
          <w:kern w:val="2"/>
        </w:rPr>
        <w:t>。</w:t>
      </w:r>
    </w:p>
    <w:p>
      <w:pPr>
        <w:rPr>
          <w:rFonts w:ascii="宋体" w:hAnsi="宋体"/>
          <w:color w:val="000000"/>
          <w:kern w:val="2"/>
        </w:rPr>
      </w:pPr>
      <w:r>
        <w:rPr>
          <w:rFonts w:hint="eastAsia" w:ascii="宋体" w:hAnsi="宋体"/>
          <w:color w:val="000000"/>
          <w:kern w:val="2"/>
        </w:rPr>
        <w:t>职    称：</w:t>
      </w:r>
      <w:r>
        <w:rPr>
          <w:rFonts w:hint="eastAsia" w:ascii="宋体" w:hAnsi="宋体"/>
          <w:color w:val="000000"/>
          <w:kern w:val="2"/>
          <w:u w:val="single"/>
        </w:rPr>
        <w:t>　签定合同时约定　　　</w:t>
      </w:r>
      <w:r>
        <w:rPr>
          <w:rFonts w:hint="eastAsia" w:ascii="宋体" w:hAnsi="宋体"/>
          <w:color w:val="000000"/>
          <w:kern w:val="2"/>
        </w:rPr>
        <w:t>。</w:t>
      </w:r>
    </w:p>
    <w:p>
      <w:pPr>
        <w:rPr>
          <w:rFonts w:ascii="宋体" w:hAnsi="宋体"/>
          <w:color w:val="000000"/>
          <w:kern w:val="2"/>
        </w:rPr>
      </w:pPr>
      <w:r>
        <w:rPr>
          <w:rFonts w:hint="eastAsia" w:ascii="宋体" w:hAnsi="宋体"/>
          <w:color w:val="000000"/>
          <w:kern w:val="2"/>
        </w:rPr>
        <w:t>联系电话：</w:t>
      </w:r>
      <w:r>
        <w:rPr>
          <w:rFonts w:hint="eastAsia" w:ascii="宋体" w:hAnsi="宋体"/>
          <w:color w:val="000000"/>
          <w:kern w:val="2"/>
          <w:u w:val="single"/>
        </w:rPr>
        <w:t>　签定合同时约定　　　</w:t>
      </w:r>
      <w:r>
        <w:rPr>
          <w:rFonts w:hint="eastAsia" w:ascii="宋体" w:hAnsi="宋体"/>
          <w:color w:val="000000"/>
          <w:kern w:val="2"/>
        </w:rPr>
        <w:t>。</w:t>
      </w:r>
    </w:p>
    <w:p>
      <w:pPr>
        <w:rPr>
          <w:rFonts w:ascii="宋体" w:hAnsi="宋体"/>
          <w:color w:val="000000"/>
          <w:kern w:val="2"/>
        </w:rPr>
      </w:pPr>
      <w:r>
        <w:rPr>
          <w:rFonts w:hint="eastAsia" w:ascii="宋体" w:hAnsi="宋体"/>
          <w:color w:val="000000"/>
          <w:kern w:val="2"/>
        </w:rPr>
        <w:t>电子信箱：</w:t>
      </w:r>
      <w:r>
        <w:rPr>
          <w:rFonts w:hint="eastAsia" w:ascii="宋体" w:hAnsi="宋体"/>
          <w:color w:val="000000"/>
          <w:kern w:val="2"/>
          <w:u w:val="single"/>
        </w:rPr>
        <w:t>　签定合同时约定　　　</w:t>
      </w:r>
      <w:r>
        <w:rPr>
          <w:rFonts w:hint="eastAsia" w:ascii="宋体" w:hAnsi="宋体"/>
          <w:color w:val="000000"/>
          <w:kern w:val="2"/>
        </w:rPr>
        <w:t>。</w:t>
      </w:r>
    </w:p>
    <w:p>
      <w:pPr>
        <w:rPr>
          <w:rFonts w:ascii="宋体" w:hAnsi="宋体"/>
          <w:color w:val="000000"/>
          <w:kern w:val="2"/>
        </w:rPr>
      </w:pPr>
      <w:r>
        <w:rPr>
          <w:rFonts w:hint="eastAsia" w:ascii="宋体" w:hAnsi="宋体"/>
          <w:color w:val="000000"/>
          <w:kern w:val="2"/>
        </w:rPr>
        <w:t>通信地址：</w:t>
      </w:r>
      <w:r>
        <w:rPr>
          <w:rFonts w:hint="eastAsia" w:ascii="宋体" w:hAnsi="宋体"/>
          <w:color w:val="000000"/>
          <w:kern w:val="2"/>
          <w:u w:val="single"/>
        </w:rPr>
        <w:t>　签定合同时约定　　</w:t>
      </w:r>
      <w:r>
        <w:rPr>
          <w:rFonts w:hint="eastAsia" w:ascii="宋体" w:hAnsi="宋体"/>
          <w:color w:val="000000"/>
          <w:kern w:val="2"/>
        </w:rPr>
        <w:t>。</w:t>
      </w:r>
    </w:p>
    <w:p>
      <w:pPr>
        <w:rPr>
          <w:rFonts w:ascii="宋体" w:hAnsi="宋体"/>
          <w:color w:val="000000"/>
          <w:kern w:val="2"/>
        </w:rPr>
      </w:pPr>
      <w:r>
        <w:rPr>
          <w:rFonts w:hint="eastAsia" w:ascii="宋体" w:hAnsi="宋体"/>
          <w:color w:val="000000"/>
          <w:kern w:val="2"/>
        </w:rPr>
        <w:t>1.1.2.9专业分包人：指根据合同条款第15.8.1款的约定，由发包人和承包人以共同招标方式选择的分包人。</w:t>
      </w:r>
    </w:p>
    <w:p>
      <w:pPr>
        <w:rPr>
          <w:rFonts w:ascii="宋体" w:hAnsi="宋体"/>
          <w:color w:val="000000"/>
          <w:kern w:val="2"/>
        </w:rPr>
      </w:pPr>
      <w:r>
        <w:rPr>
          <w:rFonts w:hint="eastAsia" w:ascii="宋体" w:hAnsi="宋体"/>
          <w:color w:val="000000"/>
          <w:kern w:val="2"/>
        </w:rPr>
        <w:t>1.1.2.10专项供应商：指根据合同条款第15.8.1款的约定，由发包人和承包人以共同招标方式选择的供应商。</w:t>
      </w:r>
    </w:p>
    <w:p>
      <w:pPr>
        <w:rPr>
          <w:rFonts w:ascii="宋体" w:hAnsi="宋体"/>
          <w:color w:val="000000"/>
          <w:kern w:val="2"/>
          <w:u w:val="single"/>
        </w:rPr>
      </w:pPr>
      <w:r>
        <w:rPr>
          <w:rFonts w:hint="eastAsia" w:ascii="宋体" w:hAnsi="宋体"/>
          <w:color w:val="000000"/>
          <w:kern w:val="2"/>
        </w:rPr>
        <w:t>1.1.2.11独立承包人：指与发包人直接订立工程承包合同，负责实施与工程有关的其他工作的当事人。</w:t>
      </w:r>
    </w:p>
    <w:p>
      <w:pPr>
        <w:rPr>
          <w:rFonts w:ascii="宋体" w:hAnsi="宋体"/>
          <w:color w:val="000000"/>
          <w:kern w:val="2"/>
        </w:rPr>
      </w:pPr>
      <w:r>
        <w:rPr>
          <w:rFonts w:hint="eastAsia" w:ascii="宋体" w:hAnsi="宋体"/>
          <w:color w:val="000000"/>
          <w:kern w:val="2"/>
        </w:rPr>
        <w:t>1.1.3工程和设备</w:t>
      </w:r>
    </w:p>
    <w:p>
      <w:pPr>
        <w:rPr>
          <w:rFonts w:ascii="宋体" w:hAnsi="宋体"/>
          <w:color w:val="000000"/>
          <w:kern w:val="2"/>
          <w:u w:val="single"/>
        </w:rPr>
      </w:pPr>
      <w:r>
        <w:rPr>
          <w:rFonts w:hint="eastAsia" w:ascii="宋体" w:hAnsi="宋体"/>
          <w:color w:val="000000"/>
          <w:kern w:val="2"/>
        </w:rPr>
        <w:t>1.1.3.2永久工程：</w:t>
      </w:r>
      <w:r>
        <w:rPr>
          <w:rFonts w:hint="eastAsia" w:ascii="宋体" w:hAnsi="宋体"/>
          <w:color w:val="000000"/>
          <w:kern w:val="2"/>
          <w:u w:val="single"/>
        </w:rPr>
        <w:t>　同《通用条款》　　　</w:t>
      </w:r>
      <w:r>
        <w:rPr>
          <w:rFonts w:hint="eastAsia" w:ascii="宋体" w:hAnsi="宋体"/>
          <w:color w:val="000000"/>
          <w:kern w:val="2"/>
        </w:rPr>
        <w:t>。</w:t>
      </w:r>
    </w:p>
    <w:p>
      <w:pPr>
        <w:rPr>
          <w:rFonts w:ascii="宋体" w:hAnsi="宋体"/>
          <w:color w:val="000000"/>
          <w:kern w:val="2"/>
        </w:rPr>
      </w:pPr>
      <w:r>
        <w:rPr>
          <w:rFonts w:hint="eastAsia" w:ascii="宋体" w:hAnsi="宋体"/>
          <w:color w:val="000000"/>
          <w:kern w:val="2"/>
        </w:rPr>
        <w:t>1.1.3.3临时工程：</w:t>
      </w:r>
      <w:r>
        <w:rPr>
          <w:rFonts w:hint="eastAsia" w:ascii="宋体" w:hAnsi="宋体"/>
          <w:color w:val="000000"/>
          <w:kern w:val="2"/>
          <w:u w:val="single"/>
        </w:rPr>
        <w:t>　同《通用条款》　　</w:t>
      </w:r>
      <w:r>
        <w:rPr>
          <w:rFonts w:hint="eastAsia" w:ascii="宋体" w:hAnsi="宋体"/>
          <w:color w:val="000000"/>
          <w:kern w:val="2"/>
        </w:rPr>
        <w:t>。</w:t>
      </w:r>
    </w:p>
    <w:p>
      <w:pPr>
        <w:rPr>
          <w:rFonts w:ascii="宋体" w:hAnsi="宋体"/>
          <w:color w:val="000000"/>
          <w:kern w:val="2"/>
        </w:rPr>
      </w:pPr>
      <w:r>
        <w:rPr>
          <w:rFonts w:hint="eastAsia" w:ascii="宋体" w:hAnsi="宋体"/>
          <w:color w:val="000000"/>
          <w:kern w:val="2"/>
        </w:rPr>
        <w:t>1.1.3.4</w:t>
      </w:r>
      <w:r>
        <w:rPr>
          <w:rFonts w:ascii="宋体" w:hAnsi="宋体"/>
          <w:color w:val="000000"/>
          <w:kern w:val="2"/>
        </w:rPr>
        <w:t>单位工程</w:t>
      </w:r>
      <w:r>
        <w:rPr>
          <w:rFonts w:hint="eastAsia" w:ascii="宋体" w:hAnsi="宋体"/>
          <w:color w:val="000000"/>
          <w:kern w:val="2"/>
        </w:rPr>
        <w:t>：指具有相对独立的设计文件，能够独立组织施工并能形成独立使用功能的永久工程的组成部分。</w:t>
      </w:r>
    </w:p>
    <w:p>
      <w:pPr>
        <w:rPr>
          <w:rFonts w:ascii="宋体" w:hAnsi="宋体"/>
          <w:color w:val="000000"/>
          <w:kern w:val="2"/>
          <w:u w:val="single"/>
        </w:rPr>
      </w:pPr>
      <w:r>
        <w:rPr>
          <w:rFonts w:hint="eastAsia" w:ascii="宋体" w:hAnsi="宋体"/>
          <w:color w:val="000000"/>
          <w:kern w:val="2"/>
        </w:rPr>
        <w:t>1.1.3.10永久占地：</w:t>
      </w:r>
      <w:r>
        <w:rPr>
          <w:rFonts w:hint="eastAsia" w:ascii="宋体" w:hAnsi="宋体"/>
          <w:color w:val="000000"/>
          <w:kern w:val="2"/>
          <w:u w:val="single"/>
        </w:rPr>
        <w:t>同《通用条款》　　　</w:t>
      </w:r>
      <w:r>
        <w:rPr>
          <w:rFonts w:hint="eastAsia" w:ascii="宋体" w:hAnsi="宋体"/>
          <w:color w:val="000000"/>
          <w:kern w:val="2"/>
        </w:rPr>
        <w:t>。</w:t>
      </w:r>
    </w:p>
    <w:p>
      <w:pPr>
        <w:rPr>
          <w:rFonts w:ascii="宋体" w:hAnsi="宋体"/>
          <w:color w:val="000000"/>
          <w:kern w:val="2"/>
        </w:rPr>
      </w:pPr>
      <w:r>
        <w:rPr>
          <w:rFonts w:hint="eastAsia" w:ascii="宋体" w:hAnsi="宋体"/>
          <w:color w:val="000000"/>
          <w:kern w:val="2"/>
        </w:rPr>
        <w:t>1.1.3.11临时占地：</w:t>
      </w:r>
      <w:r>
        <w:rPr>
          <w:rFonts w:hint="eastAsia" w:ascii="宋体" w:hAnsi="宋体"/>
          <w:color w:val="000000"/>
          <w:kern w:val="2"/>
          <w:u w:val="single"/>
        </w:rPr>
        <w:t>同《通用条款》　　　</w:t>
      </w:r>
      <w:r>
        <w:rPr>
          <w:rFonts w:hint="eastAsia" w:ascii="宋体" w:hAnsi="宋体"/>
          <w:color w:val="000000"/>
          <w:kern w:val="2"/>
        </w:rPr>
        <w:t>。</w:t>
      </w:r>
    </w:p>
    <w:p>
      <w:pPr>
        <w:rPr>
          <w:rFonts w:ascii="宋体" w:hAnsi="宋体"/>
          <w:color w:val="000000"/>
          <w:kern w:val="2"/>
        </w:rPr>
      </w:pPr>
      <w:r>
        <w:rPr>
          <w:rFonts w:hint="eastAsia" w:ascii="宋体" w:hAnsi="宋体"/>
          <w:color w:val="000000"/>
          <w:kern w:val="2"/>
        </w:rPr>
        <w:t>1.1.4日期</w:t>
      </w:r>
    </w:p>
    <w:p>
      <w:pPr>
        <w:rPr>
          <w:rFonts w:ascii="宋体" w:hAnsi="宋体"/>
          <w:color w:val="000000"/>
          <w:kern w:val="2"/>
        </w:rPr>
      </w:pPr>
      <w:r>
        <w:rPr>
          <w:rFonts w:hint="eastAsia" w:ascii="宋体" w:hAnsi="宋体"/>
          <w:color w:val="000000"/>
          <w:kern w:val="2"/>
        </w:rPr>
        <w:t>1.1.4.5缺陷责任期期</w:t>
      </w:r>
      <w:r>
        <w:rPr>
          <w:rFonts w:hint="eastAsia" w:ascii="宋体" w:hAnsi="宋体"/>
          <w:color w:val="000000"/>
          <w:kern w:val="2"/>
          <w:u w:val="single"/>
        </w:rPr>
        <w:t>限：24个月，</w:t>
      </w:r>
      <w:r>
        <w:rPr>
          <w:rFonts w:hint="eastAsia" w:ascii="宋体" w:hAnsi="宋体"/>
          <w:color w:val="000000"/>
          <w:kern w:val="2"/>
        </w:rPr>
        <w:t>缺陷责任期自实际竣工日期起计算，合同当事人应在专用合同条款约定缺陷责任期的具体期限，但该期限最长不超过24个月。</w:t>
      </w:r>
    </w:p>
    <w:p>
      <w:pPr>
        <w:rPr>
          <w:rFonts w:ascii="宋体" w:hAnsi="宋体"/>
          <w:color w:val="000000"/>
          <w:kern w:val="2"/>
        </w:rPr>
      </w:pPr>
      <w:r>
        <w:rPr>
          <w:rFonts w:hint="eastAsia" w:ascii="宋体" w:hAnsi="宋体"/>
          <w:color w:val="000000"/>
          <w:kern w:val="2"/>
        </w:rPr>
        <w:t>1.1.4.8保修期：是根据现行有关法律规定，在合同条款第19.7款中约定的由承包人负责对合同约定的保修范围内发生的质量问题履行保修义务并对造成的损失承担赔偿责任的期限。</w:t>
      </w:r>
    </w:p>
    <w:p>
      <w:pPr>
        <w:rPr>
          <w:rFonts w:ascii="宋体" w:hAnsi="宋体"/>
          <w:color w:val="000000"/>
          <w:kern w:val="2"/>
        </w:rPr>
      </w:pPr>
      <w:r>
        <w:rPr>
          <w:rFonts w:hint="eastAsia" w:ascii="宋体" w:hAnsi="宋体"/>
          <w:color w:val="000000"/>
          <w:kern w:val="2"/>
        </w:rPr>
        <w:t>1.1.6其他</w:t>
      </w:r>
    </w:p>
    <w:p>
      <w:pPr>
        <w:jc w:val="both"/>
        <w:rPr>
          <w:rFonts w:ascii="宋体" w:hAnsi="宋体"/>
          <w:color w:val="000000"/>
          <w:kern w:val="2"/>
        </w:rPr>
      </w:pPr>
      <w:r>
        <w:rPr>
          <w:rFonts w:hint="eastAsia" w:ascii="宋体" w:hAnsi="宋体"/>
          <w:color w:val="000000"/>
          <w:kern w:val="2"/>
        </w:rPr>
        <w:t>1.1.6.2材料：指构成或将构成永久工程组成部分的各类物品(工程设备除外)，包括合同中可能约定的承包人只负责供应的材料。</w:t>
      </w:r>
    </w:p>
    <w:p>
      <w:pPr>
        <w:rPr>
          <w:rFonts w:ascii="宋体" w:hAnsi="宋体"/>
          <w:color w:val="000000"/>
          <w:kern w:val="2"/>
        </w:rPr>
      </w:pPr>
      <w:r>
        <w:rPr>
          <w:rFonts w:hint="eastAsia" w:ascii="宋体" w:hAnsi="宋体"/>
          <w:color w:val="000000"/>
          <w:kern w:val="2"/>
        </w:rPr>
        <w:t>1.1.6.3争议评议组：是由发包人和承包人共同聘请的或者委托社会公信机构推荐的人员组成的独立、公正的第三方临时性组织，一般由一名或者三名合同管理和（或）工程管理专家组成。争议评审组负责对发包人和（或）承包人提请进行评审的本合同项下的争议进行评审并在规定的期限内给出评审意见，合同双方在规定的期限内均未对评审意见提出异议时，评审意见对合同双方有最终约束力。接受聘请的争议评审专家应当分别与发包人和承包人签订聘用协议。</w:t>
      </w:r>
    </w:p>
    <w:p>
      <w:pPr>
        <w:widowControl w:val="0"/>
        <w:spacing w:after="120" w:afterLines="50" w:line="500" w:lineRule="exact"/>
        <w:jc w:val="both"/>
        <w:rPr>
          <w:rFonts w:ascii="宋体" w:hAnsi="宋体"/>
          <w:color w:val="000000"/>
          <w:kern w:val="2"/>
        </w:rPr>
      </w:pPr>
      <w:r>
        <w:rPr>
          <w:rFonts w:hint="eastAsia" w:ascii="宋体" w:hAnsi="宋体"/>
          <w:color w:val="000000"/>
          <w:kern w:val="2"/>
        </w:rPr>
        <w:t>1.1.6.4 除另有特别指明外，专用合同条款中使用的措辞“合同条款”指通用合同条款和专用合同条款两者的组合。</w:t>
      </w:r>
    </w:p>
    <w:p>
      <w:pPr>
        <w:keepNext/>
        <w:keepLines/>
        <w:spacing w:before="120" w:after="120"/>
        <w:jc w:val="both"/>
        <w:outlineLvl w:val="2"/>
        <w:rPr>
          <w:rFonts w:ascii="宋体" w:hAnsi="宋体" w:cs="TimesNewRomanPSMT"/>
          <w:b/>
          <w:color w:val="000000"/>
        </w:rPr>
      </w:pPr>
      <w:bookmarkStart w:id="227" w:name="_Toc152045615"/>
      <w:bookmarkStart w:id="228" w:name="_Toc260305555"/>
      <w:bookmarkStart w:id="229" w:name="_Toc152042393"/>
      <w:bookmarkStart w:id="230" w:name="_Toc199151994"/>
      <w:bookmarkStart w:id="231" w:name="_Toc179632633"/>
      <w:bookmarkStart w:id="232" w:name="_Toc144974583"/>
      <w:r>
        <w:rPr>
          <w:rFonts w:ascii="宋体" w:hAnsi="宋体" w:cs="TimesNewRomanPSMT"/>
          <w:b/>
          <w:color w:val="000000"/>
        </w:rPr>
        <w:t>1.4 合同文件的优先顺序</w:t>
      </w:r>
      <w:bookmarkEnd w:id="227"/>
      <w:bookmarkEnd w:id="228"/>
      <w:bookmarkEnd w:id="229"/>
      <w:bookmarkEnd w:id="230"/>
      <w:bookmarkEnd w:id="231"/>
      <w:bookmarkEnd w:id="232"/>
    </w:p>
    <w:p>
      <w:pPr>
        <w:jc w:val="both"/>
        <w:rPr>
          <w:rFonts w:ascii="宋体" w:hAnsi="宋体" w:cs="Arial"/>
          <w:color w:val="000000"/>
          <w:kern w:val="2"/>
        </w:rPr>
      </w:pPr>
      <w:r>
        <w:rPr>
          <w:rFonts w:hint="eastAsia" w:ascii="宋体" w:hAnsi="宋体" w:cs="Arial"/>
          <w:color w:val="000000"/>
          <w:kern w:val="2"/>
        </w:rPr>
        <w:t>合同文件的优先解释顺序如下：</w:t>
      </w:r>
    </w:p>
    <w:p>
      <w:pPr>
        <w:jc w:val="both"/>
        <w:rPr>
          <w:rFonts w:ascii="宋体" w:hAnsi="宋体" w:cs="Arial"/>
          <w:color w:val="000000"/>
          <w:kern w:val="2"/>
        </w:rPr>
      </w:pPr>
      <w:r>
        <w:rPr>
          <w:rFonts w:hint="eastAsia" w:ascii="宋体" w:hAnsi="宋体" w:cs="Arial"/>
          <w:color w:val="000000"/>
          <w:kern w:val="2"/>
        </w:rPr>
        <w:t>（1）合同协议书；</w:t>
      </w:r>
    </w:p>
    <w:p>
      <w:pPr>
        <w:jc w:val="both"/>
        <w:rPr>
          <w:rFonts w:ascii="宋体" w:hAnsi="宋体" w:cs="Arial"/>
          <w:color w:val="000000"/>
          <w:kern w:val="2"/>
        </w:rPr>
      </w:pPr>
      <w:r>
        <w:rPr>
          <w:rFonts w:hint="eastAsia" w:ascii="宋体" w:hAnsi="宋体" w:cs="Arial"/>
          <w:color w:val="000000"/>
          <w:kern w:val="2"/>
        </w:rPr>
        <w:t>（2）中标通知书；</w:t>
      </w:r>
    </w:p>
    <w:p>
      <w:pPr>
        <w:jc w:val="both"/>
        <w:rPr>
          <w:rFonts w:ascii="宋体" w:hAnsi="宋体" w:cs="Arial"/>
          <w:color w:val="000000"/>
          <w:kern w:val="2"/>
        </w:rPr>
      </w:pPr>
      <w:r>
        <w:rPr>
          <w:rFonts w:hint="eastAsia" w:ascii="宋体" w:hAnsi="宋体" w:cs="Arial"/>
          <w:color w:val="000000"/>
          <w:kern w:val="2"/>
        </w:rPr>
        <w:t>（3）投标函及投标函附录；</w:t>
      </w:r>
    </w:p>
    <w:p>
      <w:pPr>
        <w:jc w:val="both"/>
        <w:rPr>
          <w:rFonts w:ascii="宋体" w:hAnsi="宋体" w:cs="Arial"/>
          <w:color w:val="000000"/>
          <w:kern w:val="2"/>
        </w:rPr>
      </w:pPr>
      <w:r>
        <w:rPr>
          <w:rFonts w:hint="eastAsia" w:ascii="宋体" w:hAnsi="宋体" w:cs="Arial"/>
          <w:color w:val="000000"/>
          <w:kern w:val="2"/>
        </w:rPr>
        <w:t>（4）专用合同条款；</w:t>
      </w:r>
    </w:p>
    <w:p>
      <w:pPr>
        <w:jc w:val="both"/>
        <w:rPr>
          <w:rFonts w:ascii="宋体" w:hAnsi="宋体" w:cs="Arial"/>
          <w:color w:val="000000"/>
          <w:kern w:val="2"/>
        </w:rPr>
      </w:pPr>
      <w:r>
        <w:rPr>
          <w:rFonts w:hint="eastAsia" w:ascii="宋体" w:hAnsi="宋体" w:cs="Arial"/>
          <w:color w:val="000000"/>
          <w:kern w:val="2"/>
        </w:rPr>
        <w:t>（5）通用合同条款；</w:t>
      </w:r>
    </w:p>
    <w:p>
      <w:pPr>
        <w:jc w:val="both"/>
        <w:rPr>
          <w:rFonts w:ascii="宋体" w:hAnsi="宋体" w:cs="Arial"/>
          <w:color w:val="000000"/>
          <w:kern w:val="2"/>
        </w:rPr>
      </w:pPr>
      <w:r>
        <w:rPr>
          <w:rFonts w:hint="eastAsia" w:ascii="宋体" w:hAnsi="宋体" w:cs="Arial"/>
          <w:color w:val="000000"/>
          <w:kern w:val="2"/>
        </w:rPr>
        <w:t>（6）技术标准和要求；</w:t>
      </w:r>
    </w:p>
    <w:p>
      <w:pPr>
        <w:jc w:val="both"/>
        <w:rPr>
          <w:rFonts w:ascii="宋体" w:hAnsi="宋体" w:cs="Arial"/>
          <w:color w:val="000000"/>
          <w:kern w:val="2"/>
        </w:rPr>
      </w:pPr>
      <w:r>
        <w:rPr>
          <w:rFonts w:hint="eastAsia" w:ascii="宋体" w:hAnsi="宋体" w:cs="Arial"/>
          <w:color w:val="000000"/>
          <w:kern w:val="2"/>
        </w:rPr>
        <w:t>（7）图纸；</w:t>
      </w:r>
    </w:p>
    <w:p>
      <w:pPr>
        <w:jc w:val="both"/>
        <w:rPr>
          <w:rFonts w:ascii="宋体" w:hAnsi="宋体" w:cs="Arial"/>
          <w:color w:val="000000"/>
          <w:kern w:val="2"/>
        </w:rPr>
      </w:pPr>
      <w:r>
        <w:rPr>
          <w:rFonts w:hint="eastAsia" w:ascii="宋体" w:hAnsi="宋体" w:cs="Arial"/>
          <w:color w:val="000000"/>
          <w:kern w:val="2"/>
        </w:rPr>
        <w:t>（8）已标价工程量清单；</w:t>
      </w:r>
    </w:p>
    <w:p>
      <w:pPr>
        <w:jc w:val="both"/>
        <w:rPr>
          <w:rFonts w:ascii="宋体" w:hAnsi="宋体" w:cs="Arial"/>
          <w:color w:val="000000"/>
          <w:kern w:val="2"/>
        </w:rPr>
      </w:pPr>
      <w:r>
        <w:rPr>
          <w:rFonts w:hint="eastAsia" w:ascii="宋体" w:hAnsi="宋体" w:cs="Arial"/>
          <w:color w:val="000000"/>
          <w:kern w:val="2"/>
        </w:rPr>
        <w:t>（9）组成合同文件的其他文件：</w:t>
      </w:r>
      <w:r>
        <w:rPr>
          <w:rFonts w:hint="eastAsia" w:ascii="宋体" w:hAnsi="宋体"/>
          <w:color w:val="000000"/>
          <w:kern w:val="2"/>
          <w:u w:val="single"/>
        </w:rPr>
        <w:t>　　　　</w:t>
      </w:r>
      <w:r>
        <w:rPr>
          <w:rFonts w:hint="eastAsia" w:ascii="宋体" w:hAnsi="宋体"/>
          <w:color w:val="000000"/>
          <w:kern w:val="2"/>
        </w:rPr>
        <w:t>。</w:t>
      </w:r>
    </w:p>
    <w:p>
      <w:pPr>
        <w:jc w:val="both"/>
        <w:rPr>
          <w:rFonts w:ascii="宋体" w:hAnsi="宋体" w:cs="Arial"/>
          <w:color w:val="000000"/>
          <w:kern w:val="2"/>
        </w:rPr>
      </w:pPr>
      <w:r>
        <w:rPr>
          <w:rFonts w:hint="eastAsia" w:ascii="宋体" w:hAnsi="宋体" w:cs="Arial"/>
          <w:color w:val="000000"/>
          <w:kern w:val="2"/>
        </w:rPr>
        <w:t>如果图纸与技术标准和要求之间有矛盾或者不一致，以其中要求较严格的标准为准。专用合同条款中没有约定的但在“技术标准和要求”第一节“一般要求”中有约定的内容，具有与专用合同条款的同等的优先解释顺序，但其中与通用合同条款和专用合同条款约定内容有抵触的对合同双方不具合同约束力。</w:t>
      </w:r>
    </w:p>
    <w:p>
      <w:pPr>
        <w:jc w:val="both"/>
        <w:rPr>
          <w:rFonts w:ascii="宋体" w:hAnsi="宋体" w:cs="Arial"/>
          <w:color w:val="000000"/>
          <w:kern w:val="2"/>
        </w:rPr>
      </w:pPr>
      <w:r>
        <w:rPr>
          <w:rFonts w:hint="eastAsia" w:ascii="宋体" w:hAnsi="宋体" w:cs="Arial"/>
          <w:color w:val="000000"/>
          <w:kern w:val="2"/>
        </w:rPr>
        <w:t>合同双方在合同订立和履行过程中签订的其他文件亦构成合同文件的组成部分，其解释顺序视其内容与其他合同文件的相互关系而定，但是任何补充或者修改性质的文件均不能与上述合同文件有实质性内容的矛盾或者不一致，否则为无效补充或者修改，对合同双方均不具合同约束力。</w:t>
      </w:r>
    </w:p>
    <w:p>
      <w:pPr>
        <w:keepNext/>
        <w:keepLines/>
        <w:spacing w:before="120" w:after="120"/>
        <w:jc w:val="both"/>
        <w:outlineLvl w:val="2"/>
        <w:rPr>
          <w:rFonts w:ascii="宋体" w:hAnsi="宋体" w:cs="TimesNewRomanPSMT"/>
          <w:b/>
          <w:color w:val="000000"/>
        </w:rPr>
      </w:pPr>
      <w:bookmarkStart w:id="233" w:name="_Toc152042394"/>
      <w:bookmarkStart w:id="234" w:name="_Toc144974584"/>
      <w:bookmarkStart w:id="235" w:name="_Toc199151995"/>
      <w:bookmarkStart w:id="236" w:name="_Toc260305556"/>
      <w:bookmarkStart w:id="237" w:name="_Toc152045616"/>
      <w:bookmarkStart w:id="238" w:name="_Toc179632634"/>
      <w:r>
        <w:rPr>
          <w:rFonts w:ascii="宋体" w:hAnsi="宋体" w:cs="TimesNewRomanPSMT"/>
          <w:b/>
          <w:color w:val="000000"/>
        </w:rPr>
        <w:t>1.5 合同协议书</w:t>
      </w:r>
      <w:bookmarkEnd w:id="233"/>
      <w:bookmarkEnd w:id="234"/>
      <w:bookmarkEnd w:id="235"/>
      <w:bookmarkEnd w:id="236"/>
      <w:bookmarkEnd w:id="237"/>
      <w:bookmarkEnd w:id="238"/>
    </w:p>
    <w:p>
      <w:pPr>
        <w:jc w:val="both"/>
        <w:rPr>
          <w:rFonts w:ascii="宋体" w:hAnsi="宋体"/>
          <w:color w:val="000000"/>
          <w:kern w:val="2"/>
          <w:u w:val="single"/>
        </w:rPr>
      </w:pPr>
      <w:r>
        <w:rPr>
          <w:rFonts w:hint="eastAsia" w:ascii="宋体" w:hAnsi="宋体"/>
          <w:color w:val="000000"/>
          <w:kern w:val="2"/>
        </w:rPr>
        <w:t>合同生效的条件：</w:t>
      </w:r>
      <w:r>
        <w:rPr>
          <w:rFonts w:hint="eastAsia" w:ascii="宋体" w:hAnsi="宋体"/>
          <w:color w:val="000000"/>
          <w:kern w:val="2"/>
          <w:u w:val="single"/>
        </w:rPr>
        <w:t>　　签字盖章　　</w:t>
      </w:r>
      <w:r>
        <w:rPr>
          <w:rFonts w:hint="eastAsia" w:ascii="宋体" w:hAnsi="宋体"/>
          <w:color w:val="000000"/>
          <w:kern w:val="2"/>
        </w:rPr>
        <w:t>。</w:t>
      </w:r>
    </w:p>
    <w:p>
      <w:pPr>
        <w:keepNext/>
        <w:keepLines/>
        <w:spacing w:before="120" w:after="120"/>
        <w:jc w:val="both"/>
        <w:outlineLvl w:val="2"/>
        <w:rPr>
          <w:rFonts w:ascii="宋体" w:hAnsi="宋体" w:cs="TimesNewRomanPSMT"/>
          <w:b/>
          <w:color w:val="000000"/>
        </w:rPr>
      </w:pPr>
      <w:bookmarkStart w:id="239" w:name="_Toc144974585"/>
      <w:bookmarkStart w:id="240" w:name="_Toc260305557"/>
      <w:bookmarkStart w:id="241" w:name="_Toc152042395"/>
      <w:bookmarkStart w:id="242" w:name="_Toc152045617"/>
      <w:bookmarkStart w:id="243" w:name="_Toc199151996"/>
      <w:bookmarkStart w:id="244" w:name="_Toc179632635"/>
      <w:r>
        <w:rPr>
          <w:rFonts w:ascii="宋体" w:hAnsi="宋体" w:cs="TimesNewRomanPSMT"/>
          <w:b/>
          <w:color w:val="000000"/>
        </w:rPr>
        <w:t>1.6 图纸和承包人文件</w:t>
      </w:r>
      <w:bookmarkEnd w:id="239"/>
      <w:bookmarkEnd w:id="240"/>
      <w:bookmarkEnd w:id="241"/>
      <w:bookmarkEnd w:id="242"/>
      <w:bookmarkEnd w:id="243"/>
      <w:bookmarkEnd w:id="244"/>
    </w:p>
    <w:p>
      <w:pPr>
        <w:rPr>
          <w:rFonts w:ascii="宋体" w:hAnsi="宋体"/>
          <w:color w:val="000000"/>
          <w:kern w:val="2"/>
        </w:rPr>
      </w:pPr>
      <w:r>
        <w:rPr>
          <w:rFonts w:hint="eastAsia" w:ascii="宋体" w:hAnsi="宋体"/>
          <w:color w:val="000000"/>
          <w:kern w:val="2"/>
        </w:rPr>
        <w:t>1.6.1图纸的提供</w:t>
      </w:r>
    </w:p>
    <w:p>
      <w:pPr>
        <w:jc w:val="both"/>
        <w:rPr>
          <w:rFonts w:ascii="宋体" w:hAnsi="宋体"/>
          <w:color w:val="000000"/>
          <w:kern w:val="2"/>
        </w:rPr>
      </w:pPr>
      <w:r>
        <w:rPr>
          <w:rFonts w:hint="eastAsia" w:ascii="宋体" w:hAnsi="宋体"/>
          <w:color w:val="000000"/>
          <w:kern w:val="2"/>
        </w:rPr>
        <w:t>（1）发包人按照合同条款本项的约定向承包人提供图纸。承包人需要增加图纸套数的，发包人应代为复制，复制费用由承包人承担。</w:t>
      </w:r>
    </w:p>
    <w:p>
      <w:pPr>
        <w:jc w:val="both"/>
        <w:rPr>
          <w:rFonts w:ascii="宋体" w:hAnsi="宋体"/>
          <w:color w:val="000000"/>
          <w:kern w:val="2"/>
        </w:rPr>
      </w:pPr>
      <w:r>
        <w:rPr>
          <w:rFonts w:hint="eastAsia" w:ascii="宋体" w:hAnsi="宋体"/>
          <w:color w:val="000000"/>
          <w:kern w:val="2"/>
        </w:rPr>
        <w:t>（2） 在监理人批准合同条款第10.1款约定的合同进度计划或者合同条款10.2款约定的合同进度计划修改后7天内,承包人应当根据合同进度计划和本项约定的图纸提供期限和数量，编制或者修改图纸供应计划并报送监理人，其中应当载明承包人对各区段最新版本图纸(包括合同条款第1.6.3项约定的图纸修改图)的最迟需求时间，监理人应当在收到图纸供应计划后7天内批复或提出修改意见，否则该图纸供应计划视为得到批准。经监理人批准的最新的图纸供应计划对合同双方有合同约束力，作为发包人或者监理人向承包人提供图纸的主要依据。发包人或者监理人不按照图纸供应计划提供图纸给承包人造成的损失和（或）延误的工期由发包人承担。承包人不按图纸供应计划组织施工所造成的损失和（或）延误的工期由承包人承担。</w:t>
      </w:r>
    </w:p>
    <w:p>
      <w:pPr>
        <w:jc w:val="both"/>
        <w:rPr>
          <w:rFonts w:ascii="宋体" w:hAnsi="宋体"/>
          <w:color w:val="000000"/>
          <w:kern w:val="2"/>
        </w:rPr>
      </w:pPr>
      <w:r>
        <w:rPr>
          <w:rFonts w:hint="eastAsia" w:ascii="宋体" w:hAnsi="宋体"/>
          <w:color w:val="000000"/>
          <w:kern w:val="2"/>
        </w:rPr>
        <w:t>（3）发包人提供图纸的期限：</w:t>
      </w:r>
      <w:r>
        <w:rPr>
          <w:rFonts w:hint="eastAsia" w:ascii="宋体" w:hAnsi="宋体"/>
          <w:color w:val="000000"/>
          <w:kern w:val="2"/>
          <w:u w:val="single"/>
        </w:rPr>
        <w:t>　签定合同时约定　　　</w:t>
      </w:r>
      <w:r>
        <w:rPr>
          <w:rFonts w:hint="eastAsia" w:ascii="宋体" w:hAnsi="宋体"/>
          <w:color w:val="000000"/>
          <w:kern w:val="2"/>
        </w:rPr>
        <w:t>。</w:t>
      </w:r>
    </w:p>
    <w:p>
      <w:pPr>
        <w:jc w:val="both"/>
        <w:rPr>
          <w:rFonts w:ascii="宋体" w:hAnsi="宋体"/>
          <w:color w:val="000000"/>
          <w:kern w:val="2"/>
        </w:rPr>
      </w:pPr>
      <w:r>
        <w:rPr>
          <w:rFonts w:hint="eastAsia" w:ascii="宋体" w:hAnsi="宋体"/>
          <w:color w:val="000000"/>
          <w:kern w:val="2"/>
        </w:rPr>
        <w:t>（4）发包人提供图纸的数量：</w:t>
      </w:r>
      <w:r>
        <w:rPr>
          <w:rFonts w:hint="eastAsia" w:ascii="宋体" w:hAnsi="宋体"/>
          <w:color w:val="000000"/>
          <w:kern w:val="2"/>
          <w:u w:val="single"/>
        </w:rPr>
        <w:t>　签定合同时约定　　　</w:t>
      </w:r>
      <w:r>
        <w:rPr>
          <w:rFonts w:hint="eastAsia" w:ascii="宋体" w:hAnsi="宋体"/>
          <w:color w:val="000000"/>
          <w:kern w:val="2"/>
        </w:rPr>
        <w:t>。</w:t>
      </w:r>
    </w:p>
    <w:p>
      <w:pPr>
        <w:rPr>
          <w:rFonts w:ascii="宋体" w:hAnsi="宋体"/>
          <w:color w:val="000000"/>
          <w:kern w:val="2"/>
        </w:rPr>
      </w:pPr>
      <w:r>
        <w:rPr>
          <w:rFonts w:hint="eastAsia" w:ascii="宋体" w:hAnsi="宋体"/>
          <w:color w:val="000000"/>
          <w:kern w:val="2"/>
        </w:rPr>
        <w:t>1.6.2 承包人提供的文件</w:t>
      </w:r>
    </w:p>
    <w:p>
      <w:pPr>
        <w:jc w:val="both"/>
        <w:rPr>
          <w:rFonts w:ascii="宋体" w:hAnsi="宋体"/>
          <w:color w:val="000000"/>
          <w:kern w:val="2"/>
        </w:rPr>
      </w:pPr>
      <w:r>
        <w:rPr>
          <w:rFonts w:hint="eastAsia" w:ascii="宋体" w:hAnsi="宋体"/>
          <w:color w:val="000000"/>
          <w:kern w:val="2"/>
        </w:rPr>
        <w:t>（1）除专用合同条款第4.1.10(1)目约定的由承包人提供的设计文件外，本项约定的其他应由承包人提供的文件，包括必要的加工图和大样图，均不是合同计量与支付的依据文件。由承包人提供的文件范围：</w:t>
      </w:r>
      <w:r>
        <w:rPr>
          <w:rFonts w:hint="eastAsia" w:ascii="宋体" w:hAnsi="宋体"/>
          <w:color w:val="000000"/>
          <w:kern w:val="2"/>
          <w:u w:val="single"/>
        </w:rPr>
        <w:t>　签定合同时约定　　　</w:t>
      </w:r>
      <w:r>
        <w:rPr>
          <w:rFonts w:hint="eastAsia" w:ascii="宋体" w:hAnsi="宋体"/>
          <w:color w:val="000000"/>
          <w:kern w:val="2"/>
        </w:rPr>
        <w:t>。</w:t>
      </w:r>
    </w:p>
    <w:p>
      <w:pPr>
        <w:jc w:val="both"/>
        <w:rPr>
          <w:rFonts w:ascii="宋体" w:hAnsi="宋体"/>
          <w:color w:val="000000"/>
          <w:kern w:val="2"/>
        </w:rPr>
      </w:pPr>
      <w:r>
        <w:rPr>
          <w:rFonts w:hint="eastAsia" w:ascii="宋体" w:hAnsi="宋体"/>
          <w:color w:val="000000"/>
          <w:kern w:val="2"/>
        </w:rPr>
        <w:t>（2）承包人提供文件的期限：</w:t>
      </w:r>
      <w:r>
        <w:rPr>
          <w:rFonts w:hint="eastAsia" w:ascii="宋体" w:hAnsi="宋体"/>
          <w:color w:val="000000"/>
          <w:kern w:val="2"/>
          <w:u w:val="single"/>
        </w:rPr>
        <w:t>　签定合同时约定　　　</w:t>
      </w:r>
      <w:r>
        <w:rPr>
          <w:rFonts w:hint="eastAsia" w:ascii="宋体" w:hAnsi="宋体"/>
          <w:color w:val="000000"/>
          <w:kern w:val="2"/>
        </w:rPr>
        <w:t>。</w:t>
      </w:r>
    </w:p>
    <w:p>
      <w:pPr>
        <w:jc w:val="both"/>
        <w:rPr>
          <w:rFonts w:ascii="宋体" w:hAnsi="宋体"/>
          <w:color w:val="000000"/>
          <w:kern w:val="2"/>
        </w:rPr>
      </w:pPr>
      <w:r>
        <w:rPr>
          <w:rFonts w:hint="eastAsia" w:ascii="宋体" w:hAnsi="宋体"/>
          <w:color w:val="000000"/>
          <w:kern w:val="2"/>
        </w:rPr>
        <w:t>（3）承包人提供文件的数量：</w:t>
      </w:r>
      <w:r>
        <w:rPr>
          <w:rFonts w:hint="eastAsia" w:ascii="宋体" w:hAnsi="宋体"/>
          <w:color w:val="000000"/>
          <w:kern w:val="2"/>
          <w:u w:val="single"/>
        </w:rPr>
        <w:t>　签定合同时约定　　　</w:t>
      </w:r>
      <w:r>
        <w:rPr>
          <w:rFonts w:hint="eastAsia" w:ascii="宋体" w:hAnsi="宋体"/>
          <w:color w:val="000000"/>
          <w:kern w:val="2"/>
        </w:rPr>
        <w:t>。</w:t>
      </w:r>
    </w:p>
    <w:p>
      <w:pPr>
        <w:jc w:val="both"/>
        <w:rPr>
          <w:rFonts w:ascii="宋体" w:hAnsi="宋体"/>
          <w:color w:val="000000"/>
          <w:kern w:val="2"/>
        </w:rPr>
      </w:pPr>
      <w:r>
        <w:rPr>
          <w:rFonts w:hint="eastAsia" w:ascii="宋体" w:hAnsi="宋体"/>
          <w:color w:val="000000"/>
          <w:kern w:val="2"/>
        </w:rPr>
        <w:t>（4）监理人批复承包人提供文件的期限：</w:t>
      </w:r>
      <w:r>
        <w:rPr>
          <w:rFonts w:hint="eastAsia" w:ascii="宋体" w:hAnsi="宋体"/>
          <w:color w:val="000000"/>
          <w:kern w:val="2"/>
          <w:u w:val="single"/>
        </w:rPr>
        <w:t>签定合同时约定　　　　</w:t>
      </w:r>
      <w:r>
        <w:rPr>
          <w:rFonts w:hint="eastAsia" w:ascii="宋体" w:hAnsi="宋体"/>
          <w:color w:val="000000"/>
          <w:kern w:val="2"/>
        </w:rPr>
        <w:t>。</w:t>
      </w:r>
    </w:p>
    <w:p>
      <w:pPr>
        <w:rPr>
          <w:rFonts w:ascii="宋体" w:hAnsi="宋体"/>
          <w:color w:val="000000"/>
          <w:kern w:val="2"/>
        </w:rPr>
      </w:pPr>
      <w:r>
        <w:rPr>
          <w:rFonts w:hint="eastAsia" w:ascii="宋体" w:hAnsi="宋体"/>
          <w:color w:val="000000"/>
          <w:kern w:val="2"/>
        </w:rPr>
        <w:t>（5）其他约定：</w:t>
      </w:r>
      <w:r>
        <w:rPr>
          <w:rFonts w:hint="eastAsia" w:ascii="宋体" w:hAnsi="宋体"/>
          <w:color w:val="000000"/>
          <w:kern w:val="2"/>
          <w:u w:val="single"/>
        </w:rPr>
        <w:t>　签定合同时约定　　　</w:t>
      </w:r>
      <w:r>
        <w:rPr>
          <w:rFonts w:hint="eastAsia" w:ascii="宋体" w:hAnsi="宋体"/>
          <w:color w:val="000000"/>
          <w:kern w:val="2"/>
        </w:rPr>
        <w:t>。</w:t>
      </w:r>
    </w:p>
    <w:p>
      <w:pPr>
        <w:rPr>
          <w:rFonts w:ascii="宋体" w:hAnsi="宋体"/>
          <w:color w:val="000000"/>
          <w:kern w:val="2"/>
        </w:rPr>
      </w:pPr>
      <w:r>
        <w:rPr>
          <w:rFonts w:hint="eastAsia" w:ascii="宋体" w:hAnsi="宋体"/>
          <w:color w:val="000000"/>
          <w:kern w:val="2"/>
        </w:rPr>
        <w:t>1.6.3 图纸的修改</w:t>
      </w:r>
    </w:p>
    <w:p>
      <w:pPr>
        <w:jc w:val="both"/>
        <w:rPr>
          <w:rFonts w:ascii="Arial" w:hAnsi="Arial" w:cs="Arial"/>
          <w:color w:val="000000"/>
          <w:kern w:val="2"/>
          <w:sz w:val="21"/>
          <w:szCs w:val="22"/>
        </w:rPr>
      </w:pPr>
      <w:r>
        <w:rPr>
          <w:rFonts w:hint="eastAsia" w:ascii="宋体" w:hAnsi="宋体"/>
          <w:color w:val="000000"/>
          <w:kern w:val="2"/>
        </w:rPr>
        <w:t>监理人应当按照合同条款第1.6.1（2）目约定的有合同约束力的图纸供应计划，签发图纸修改图给承包人。</w:t>
      </w:r>
    </w:p>
    <w:p>
      <w:pPr>
        <w:keepNext/>
        <w:keepLines/>
        <w:spacing w:before="120" w:after="120"/>
        <w:jc w:val="both"/>
        <w:outlineLvl w:val="2"/>
        <w:rPr>
          <w:rFonts w:ascii="宋体" w:hAnsi="宋体" w:cs="TimesNewRomanPSMT"/>
          <w:b/>
          <w:color w:val="000000"/>
        </w:rPr>
      </w:pPr>
      <w:bookmarkStart w:id="245" w:name="_Toc152042396"/>
      <w:bookmarkStart w:id="246" w:name="_Toc152045618"/>
      <w:bookmarkStart w:id="247" w:name="_Toc199151997"/>
      <w:bookmarkStart w:id="248" w:name="_Toc179632636"/>
      <w:bookmarkStart w:id="249" w:name="_Toc144974586"/>
      <w:bookmarkStart w:id="250" w:name="_Toc260305558"/>
      <w:r>
        <w:rPr>
          <w:rFonts w:ascii="宋体" w:hAnsi="宋体" w:cs="TimesNewRomanPSMT"/>
          <w:b/>
          <w:color w:val="000000"/>
        </w:rPr>
        <w:t>1.7 联络</w:t>
      </w:r>
      <w:bookmarkEnd w:id="245"/>
      <w:bookmarkEnd w:id="246"/>
      <w:bookmarkEnd w:id="247"/>
      <w:bookmarkEnd w:id="248"/>
      <w:bookmarkEnd w:id="249"/>
      <w:bookmarkEnd w:id="250"/>
    </w:p>
    <w:p>
      <w:pPr>
        <w:spacing w:line="400" w:lineRule="exact"/>
        <w:rPr>
          <w:rFonts w:ascii="宋体" w:hAnsi="宋体" w:cs="Arial"/>
          <w:color w:val="000000"/>
          <w:kern w:val="2"/>
        </w:rPr>
      </w:pPr>
      <w:r>
        <w:rPr>
          <w:rFonts w:hint="eastAsia" w:ascii="宋体" w:hAnsi="宋体"/>
          <w:color w:val="000000"/>
          <w:kern w:val="2"/>
        </w:rPr>
        <w:t>1.7.2联络来往函件的送达和接收</w:t>
      </w:r>
    </w:p>
    <w:p>
      <w:pPr>
        <w:spacing w:line="400" w:lineRule="exact"/>
        <w:jc w:val="both"/>
        <w:rPr>
          <w:rFonts w:ascii="宋体" w:hAnsi="宋体"/>
          <w:color w:val="000000"/>
          <w:kern w:val="2"/>
        </w:rPr>
      </w:pPr>
      <w:r>
        <w:rPr>
          <w:rFonts w:hint="eastAsia" w:ascii="宋体" w:hAnsi="宋体"/>
          <w:color w:val="000000"/>
          <w:kern w:val="2"/>
        </w:rPr>
        <w:t>（1）联络来往信函的送达期限：合同约定了发出期限的，送达期间为合同约定的发出期限后的24小时内；合同约定了通知、提供或者报送期限的，通知、提供或者报送期间即为送达期间。</w:t>
      </w:r>
    </w:p>
    <w:p>
      <w:pPr>
        <w:spacing w:line="400" w:lineRule="exact"/>
        <w:jc w:val="both"/>
        <w:rPr>
          <w:rFonts w:ascii="宋体" w:hAnsi="宋体"/>
          <w:color w:val="000000"/>
          <w:kern w:val="2"/>
        </w:rPr>
      </w:pPr>
      <w:r>
        <w:rPr>
          <w:rFonts w:hint="eastAsia" w:ascii="宋体" w:hAnsi="宋体"/>
          <w:color w:val="000000"/>
          <w:kern w:val="2"/>
        </w:rPr>
        <w:t>（2）发包人指定的接收地点：</w:t>
      </w:r>
      <w:r>
        <w:rPr>
          <w:rFonts w:hint="eastAsia" w:ascii="宋体" w:hAnsi="宋体"/>
          <w:color w:val="000000"/>
          <w:kern w:val="2"/>
          <w:u w:val="single"/>
        </w:rPr>
        <w:t>　签定合同时约定　　　</w:t>
      </w:r>
      <w:r>
        <w:rPr>
          <w:rFonts w:hint="eastAsia" w:ascii="宋体" w:hAnsi="宋体"/>
          <w:color w:val="000000"/>
          <w:kern w:val="2"/>
        </w:rPr>
        <w:t>。</w:t>
      </w:r>
    </w:p>
    <w:p>
      <w:pPr>
        <w:spacing w:line="400" w:lineRule="exact"/>
        <w:jc w:val="both"/>
        <w:rPr>
          <w:rFonts w:ascii="宋体" w:hAnsi="宋体"/>
          <w:color w:val="000000"/>
          <w:kern w:val="2"/>
        </w:rPr>
      </w:pPr>
      <w:r>
        <w:rPr>
          <w:rFonts w:hint="eastAsia" w:ascii="宋体" w:hAnsi="宋体"/>
          <w:color w:val="000000"/>
          <w:kern w:val="2"/>
        </w:rPr>
        <w:t>（3）发包人指定的接收人为：</w:t>
      </w:r>
      <w:r>
        <w:rPr>
          <w:rFonts w:hint="eastAsia" w:ascii="宋体" w:hAnsi="宋体"/>
          <w:color w:val="000000"/>
          <w:kern w:val="2"/>
          <w:u w:val="single"/>
        </w:rPr>
        <w:t>　签定合同时约定　　　</w:t>
      </w:r>
      <w:r>
        <w:rPr>
          <w:rFonts w:hint="eastAsia" w:ascii="宋体" w:hAnsi="宋体"/>
          <w:color w:val="000000"/>
          <w:kern w:val="2"/>
        </w:rPr>
        <w:t>。</w:t>
      </w:r>
    </w:p>
    <w:p>
      <w:pPr>
        <w:spacing w:line="400" w:lineRule="exact"/>
        <w:jc w:val="both"/>
        <w:rPr>
          <w:rFonts w:ascii="宋体" w:hAnsi="宋体"/>
          <w:color w:val="000000"/>
          <w:kern w:val="2"/>
        </w:rPr>
      </w:pPr>
      <w:r>
        <w:rPr>
          <w:rFonts w:hint="eastAsia" w:ascii="宋体" w:hAnsi="宋体"/>
          <w:color w:val="000000"/>
          <w:kern w:val="2"/>
        </w:rPr>
        <w:t>（4）监理人指定的接收地点：</w:t>
      </w:r>
      <w:r>
        <w:rPr>
          <w:rFonts w:hint="eastAsia" w:ascii="宋体" w:hAnsi="宋体"/>
          <w:color w:val="000000"/>
          <w:kern w:val="2"/>
          <w:u w:val="single"/>
        </w:rPr>
        <w:t>　签定合同时约定　　　</w:t>
      </w:r>
      <w:r>
        <w:rPr>
          <w:rFonts w:hint="eastAsia" w:ascii="宋体" w:hAnsi="宋体"/>
          <w:color w:val="000000"/>
          <w:kern w:val="2"/>
        </w:rPr>
        <w:t>。</w:t>
      </w:r>
    </w:p>
    <w:p>
      <w:pPr>
        <w:spacing w:line="400" w:lineRule="exact"/>
        <w:jc w:val="both"/>
        <w:rPr>
          <w:rFonts w:ascii="宋体" w:hAnsi="宋体"/>
          <w:color w:val="000000"/>
          <w:kern w:val="2"/>
        </w:rPr>
      </w:pPr>
      <w:r>
        <w:rPr>
          <w:rFonts w:hint="eastAsia" w:ascii="宋体" w:hAnsi="宋体"/>
          <w:color w:val="000000"/>
          <w:kern w:val="2"/>
        </w:rPr>
        <w:t>（5）监理人指定的接收人为：</w:t>
      </w:r>
      <w:r>
        <w:rPr>
          <w:rFonts w:hint="eastAsia" w:ascii="宋体" w:hAnsi="宋体"/>
          <w:color w:val="000000"/>
          <w:kern w:val="2"/>
          <w:u w:val="single"/>
        </w:rPr>
        <w:t>　签定合同时约定　　　</w:t>
      </w:r>
      <w:r>
        <w:rPr>
          <w:rFonts w:hint="eastAsia" w:ascii="宋体" w:hAnsi="宋体"/>
          <w:color w:val="000000"/>
          <w:kern w:val="2"/>
        </w:rPr>
        <w:t>。</w:t>
      </w:r>
    </w:p>
    <w:p>
      <w:pPr>
        <w:spacing w:line="400" w:lineRule="exact"/>
        <w:jc w:val="both"/>
        <w:rPr>
          <w:rFonts w:ascii="宋体" w:hAnsi="宋体" w:cs="Arial"/>
          <w:color w:val="000000"/>
          <w:kern w:val="2"/>
        </w:rPr>
      </w:pPr>
      <w:r>
        <w:rPr>
          <w:rFonts w:hint="eastAsia" w:ascii="宋体" w:hAnsi="宋体"/>
          <w:color w:val="000000"/>
          <w:kern w:val="2"/>
        </w:rPr>
        <w:t>（6）承包人指定的接收人为合同协议书中载明的承包人项目经理本人或者项目经理的授权代表。承包人应在收到开工通知后7天内，按照合同条款第4.5.4项的约定，将授权代表其接收来往信函的授权代表姓名和授权范围通知监理人。除合同另有约定外，承包人施工场地管理机构的办公地点即为承包人指定的接收地点。</w:t>
      </w:r>
    </w:p>
    <w:p>
      <w:pPr>
        <w:spacing w:line="400" w:lineRule="exact"/>
        <w:jc w:val="both"/>
        <w:rPr>
          <w:rFonts w:ascii="宋体" w:hAnsi="宋体" w:cs="Arial"/>
          <w:color w:val="000000"/>
          <w:kern w:val="2"/>
        </w:rPr>
      </w:pPr>
      <w:r>
        <w:rPr>
          <w:rFonts w:hint="eastAsia" w:ascii="宋体" w:hAnsi="宋体"/>
          <w:color w:val="000000"/>
          <w:kern w:val="2"/>
        </w:rPr>
        <w:t>（7）发包人（包括监理人）和承包人中任何一方指定的接收人或者接收地点发生变动，应当在实际变动前提前至少一个工作日以书面方式通知另一方。发包人（包括监理人）和承包人应当确保其各自指定的接收人在法定的和（或）符合合同约定的工作时间内始终工作在指定的接收地点，指定接收人离开工作岗位而无法及时签收来往信函构成拒不签收。</w:t>
      </w:r>
    </w:p>
    <w:p>
      <w:pPr>
        <w:spacing w:line="400" w:lineRule="exact"/>
        <w:jc w:val="both"/>
        <w:rPr>
          <w:rFonts w:ascii="宋体" w:hAnsi="宋体"/>
          <w:color w:val="000000"/>
          <w:kern w:val="2"/>
        </w:rPr>
      </w:pPr>
      <w:r>
        <w:rPr>
          <w:rFonts w:hint="eastAsia" w:ascii="宋体" w:hAnsi="宋体"/>
          <w:color w:val="000000"/>
          <w:kern w:val="2"/>
        </w:rPr>
        <w:t>（8）发包人（包括监理人）和承包人中任何一方均应当及时签收另一方送达其指定接收地点的来往信函，同一来往信函拒不签收达三次的，送达信函的一方可以采用挂号或者公证方式送达，所造成的损失（包括被迫采用特殊送达方式所发生的费用）和（或）延误的工期由拒绝签收一方承担。</w:t>
      </w:r>
    </w:p>
    <w:p>
      <w:pPr>
        <w:keepNext/>
        <w:keepLines/>
        <w:spacing w:before="120" w:after="120"/>
        <w:jc w:val="both"/>
        <w:outlineLvl w:val="1"/>
        <w:rPr>
          <w:rFonts w:ascii="宋体" w:hAnsi="宋体" w:cs="TimesNewRomanPSMT"/>
          <w:b/>
          <w:color w:val="000000"/>
          <w:sz w:val="28"/>
          <w:szCs w:val="28"/>
        </w:rPr>
      </w:pPr>
      <w:bookmarkStart w:id="251" w:name="_Toc199151998"/>
      <w:bookmarkStart w:id="252" w:name="_Toc152045624"/>
      <w:bookmarkStart w:id="253" w:name="_Toc260305559"/>
      <w:bookmarkStart w:id="254" w:name="_Toc144974592"/>
      <w:bookmarkStart w:id="255" w:name="_Toc152042402"/>
      <w:bookmarkStart w:id="256" w:name="_Toc179632642"/>
      <w:r>
        <w:rPr>
          <w:rFonts w:ascii="宋体" w:hAnsi="宋体" w:cs="TimesNewRomanPSMT"/>
          <w:b/>
          <w:color w:val="000000"/>
          <w:sz w:val="28"/>
          <w:szCs w:val="28"/>
        </w:rPr>
        <w:t>2. 发包人义务</w:t>
      </w:r>
      <w:bookmarkEnd w:id="251"/>
      <w:bookmarkEnd w:id="252"/>
      <w:bookmarkEnd w:id="253"/>
      <w:bookmarkEnd w:id="254"/>
      <w:bookmarkEnd w:id="255"/>
      <w:bookmarkEnd w:id="256"/>
    </w:p>
    <w:p>
      <w:pPr>
        <w:keepNext/>
        <w:keepLines/>
        <w:spacing w:before="120" w:after="120"/>
        <w:jc w:val="both"/>
        <w:outlineLvl w:val="2"/>
        <w:rPr>
          <w:rFonts w:ascii="宋体" w:hAnsi="宋体" w:cs="TimesNewRomanPSMT"/>
          <w:b/>
          <w:color w:val="000000"/>
        </w:rPr>
      </w:pPr>
      <w:bookmarkStart w:id="257" w:name="_Toc144974595"/>
      <w:bookmarkStart w:id="258" w:name="_Toc152042405"/>
      <w:bookmarkStart w:id="259" w:name="_Toc260305560"/>
      <w:bookmarkStart w:id="260" w:name="_Toc199151999"/>
      <w:bookmarkStart w:id="261" w:name="_Toc152045627"/>
      <w:bookmarkStart w:id="262" w:name="_Toc179632645"/>
      <w:r>
        <w:rPr>
          <w:rFonts w:ascii="宋体" w:hAnsi="宋体" w:cs="TimesNewRomanPSMT"/>
          <w:b/>
          <w:color w:val="000000"/>
        </w:rPr>
        <w:t>2.3 提供施工场地</w:t>
      </w:r>
      <w:bookmarkEnd w:id="257"/>
      <w:bookmarkEnd w:id="258"/>
      <w:bookmarkEnd w:id="259"/>
      <w:bookmarkEnd w:id="260"/>
      <w:bookmarkEnd w:id="261"/>
      <w:bookmarkEnd w:id="262"/>
    </w:p>
    <w:p>
      <w:pPr>
        <w:spacing w:line="400" w:lineRule="exact"/>
        <w:jc w:val="both"/>
        <w:rPr>
          <w:rFonts w:ascii="宋体" w:hAnsi="宋体"/>
          <w:color w:val="000000"/>
          <w:kern w:val="2"/>
        </w:rPr>
      </w:pPr>
      <w:r>
        <w:rPr>
          <w:rFonts w:hint="eastAsia" w:ascii="宋体" w:hAnsi="宋体"/>
          <w:color w:val="000000"/>
          <w:kern w:val="2"/>
        </w:rPr>
        <w:t>（1）施工场地具备施工条件的要求及完成的时间：</w:t>
      </w:r>
      <w:r>
        <w:rPr>
          <w:rFonts w:hint="eastAsia" w:ascii="宋体" w:hAnsi="宋体"/>
          <w:color w:val="000000"/>
          <w:kern w:val="2"/>
          <w:u w:val="single"/>
        </w:rPr>
        <w:t>　签定合同时约定　　　　</w:t>
      </w:r>
      <w:r>
        <w:rPr>
          <w:rFonts w:hint="eastAsia" w:ascii="宋体" w:hAnsi="宋体"/>
          <w:color w:val="000000"/>
          <w:kern w:val="2"/>
        </w:rPr>
        <w:t>。</w:t>
      </w:r>
    </w:p>
    <w:p>
      <w:pPr>
        <w:spacing w:line="400" w:lineRule="exact"/>
        <w:jc w:val="both"/>
        <w:rPr>
          <w:rFonts w:ascii="宋体" w:hAnsi="宋体"/>
          <w:color w:val="000000"/>
          <w:kern w:val="2"/>
        </w:rPr>
      </w:pPr>
      <w:r>
        <w:rPr>
          <w:rFonts w:hint="eastAsia" w:ascii="宋体" w:hAnsi="宋体"/>
          <w:color w:val="000000"/>
          <w:kern w:val="2"/>
        </w:rPr>
        <w:t>（2）将施工所需的水、电、电讯等管线接至施工场地的时间、地点和供应要求：</w:t>
      </w:r>
    </w:p>
    <w:p>
      <w:pPr>
        <w:spacing w:line="400" w:lineRule="exact"/>
        <w:jc w:val="both"/>
        <w:rPr>
          <w:rFonts w:ascii="宋体" w:hAnsi="宋体"/>
          <w:color w:val="000000"/>
          <w:kern w:val="2"/>
        </w:rPr>
      </w:pPr>
      <w:r>
        <w:rPr>
          <w:rFonts w:hint="eastAsia" w:ascii="宋体" w:hAnsi="宋体"/>
          <w:color w:val="000000"/>
          <w:kern w:val="2"/>
          <w:u w:val="single"/>
        </w:rPr>
        <w:t>　签定合同时约定　　　　</w:t>
      </w:r>
      <w:r>
        <w:rPr>
          <w:rFonts w:hint="eastAsia" w:ascii="宋体" w:hAnsi="宋体"/>
          <w:color w:val="000000"/>
          <w:kern w:val="2"/>
        </w:rPr>
        <w:t>。</w:t>
      </w:r>
    </w:p>
    <w:p>
      <w:pPr>
        <w:spacing w:line="400" w:lineRule="exact"/>
        <w:jc w:val="both"/>
        <w:rPr>
          <w:rFonts w:ascii="宋体" w:hAnsi="宋体"/>
          <w:color w:val="000000"/>
          <w:kern w:val="2"/>
        </w:rPr>
      </w:pPr>
      <w:r>
        <w:rPr>
          <w:rFonts w:hint="eastAsia" w:ascii="宋体" w:hAnsi="宋体"/>
          <w:color w:val="000000"/>
          <w:kern w:val="2"/>
        </w:rPr>
        <w:t>（3）施工场地与公共道路之间通道的开通时间和要求：</w:t>
      </w:r>
      <w:r>
        <w:rPr>
          <w:rFonts w:hint="eastAsia" w:ascii="宋体" w:hAnsi="宋体"/>
          <w:color w:val="000000"/>
          <w:kern w:val="2"/>
          <w:u w:val="single"/>
        </w:rPr>
        <w:t>　签定合同时约定　　　　</w:t>
      </w:r>
      <w:r>
        <w:rPr>
          <w:rFonts w:hint="eastAsia" w:ascii="宋体" w:hAnsi="宋体"/>
          <w:color w:val="000000"/>
          <w:kern w:val="2"/>
        </w:rPr>
        <w:t>。</w:t>
      </w:r>
    </w:p>
    <w:p>
      <w:pPr>
        <w:spacing w:line="400" w:lineRule="exact"/>
        <w:jc w:val="both"/>
        <w:rPr>
          <w:rFonts w:ascii="宋体" w:hAnsi="宋体"/>
          <w:color w:val="000000"/>
          <w:kern w:val="2"/>
        </w:rPr>
      </w:pPr>
      <w:r>
        <w:rPr>
          <w:rFonts w:hint="eastAsia" w:ascii="宋体" w:hAnsi="宋体"/>
          <w:color w:val="000000"/>
          <w:kern w:val="2"/>
        </w:rPr>
        <w:t>（4）工程地质、地下管线和地下设施等资料的提供时间：</w:t>
      </w:r>
      <w:r>
        <w:rPr>
          <w:rFonts w:hint="eastAsia" w:ascii="宋体" w:hAnsi="宋体"/>
          <w:color w:val="000000"/>
          <w:kern w:val="2"/>
          <w:u w:val="single"/>
        </w:rPr>
        <w:t>　签定合同时约定　　　　</w:t>
      </w:r>
      <w:r>
        <w:rPr>
          <w:rFonts w:hint="eastAsia" w:ascii="宋体" w:hAnsi="宋体"/>
          <w:color w:val="000000"/>
          <w:kern w:val="2"/>
        </w:rPr>
        <w:t>。</w:t>
      </w:r>
    </w:p>
    <w:p>
      <w:pPr>
        <w:spacing w:line="400" w:lineRule="exact"/>
        <w:jc w:val="both"/>
        <w:rPr>
          <w:rFonts w:ascii="宋体" w:hAnsi="宋体"/>
          <w:color w:val="000000"/>
          <w:kern w:val="2"/>
        </w:rPr>
      </w:pPr>
      <w:r>
        <w:rPr>
          <w:rFonts w:hint="eastAsia" w:ascii="宋体" w:hAnsi="宋体"/>
          <w:color w:val="000000"/>
          <w:kern w:val="2"/>
        </w:rPr>
        <w:t>（5）协助处理施工场地周围地下管线和邻近建筑物、构筑物（含文物保护建筑）、古树名木的保护工作，并承担相关费用：</w:t>
      </w:r>
      <w:r>
        <w:rPr>
          <w:rFonts w:hint="eastAsia" w:ascii="宋体" w:hAnsi="宋体"/>
          <w:color w:val="000000"/>
          <w:kern w:val="2"/>
          <w:u w:val="single"/>
        </w:rPr>
        <w:t>　同《通用条款》　　　</w:t>
      </w:r>
      <w:r>
        <w:rPr>
          <w:rFonts w:hint="eastAsia" w:ascii="宋体" w:hAnsi="宋体"/>
          <w:color w:val="000000"/>
          <w:kern w:val="2"/>
        </w:rPr>
        <w:t>。</w:t>
      </w:r>
      <w:bookmarkStart w:id="263" w:name="_Toc179632646"/>
      <w:bookmarkStart w:id="264" w:name="_Toc144974596"/>
      <w:bookmarkStart w:id="265" w:name="_Toc152045628"/>
      <w:bookmarkStart w:id="266" w:name="_Toc152042406"/>
    </w:p>
    <w:p>
      <w:pPr>
        <w:spacing w:line="400" w:lineRule="exact"/>
        <w:jc w:val="both"/>
        <w:rPr>
          <w:rFonts w:ascii="黑体" w:hAnsi="Calibri" w:eastAsia="黑体"/>
          <w:color w:val="000000"/>
          <w:kern w:val="2"/>
          <w:sz w:val="21"/>
          <w:szCs w:val="21"/>
        </w:rPr>
      </w:pPr>
      <w:r>
        <w:rPr>
          <w:rFonts w:hint="eastAsia" w:ascii="宋体" w:hAnsi="宋体"/>
          <w:color w:val="000000"/>
          <w:kern w:val="2"/>
        </w:rPr>
        <w:t>（6）在专用合同条款第8.1.1项约定的期限内通过监理人向承包人提供测量基准点、基准线和水准点及其书面资料。</w:t>
      </w:r>
    </w:p>
    <w:bookmarkEnd w:id="263"/>
    <w:bookmarkEnd w:id="264"/>
    <w:bookmarkEnd w:id="265"/>
    <w:bookmarkEnd w:id="266"/>
    <w:p>
      <w:pPr>
        <w:keepNext/>
        <w:keepLines/>
        <w:spacing w:before="120" w:after="120"/>
        <w:jc w:val="both"/>
        <w:outlineLvl w:val="2"/>
        <w:rPr>
          <w:rFonts w:ascii="宋体" w:hAnsi="宋体" w:cs="TimesNewRomanPSMT"/>
          <w:b/>
          <w:color w:val="000000"/>
        </w:rPr>
      </w:pPr>
      <w:bookmarkStart w:id="267" w:name="_Toc144974597"/>
      <w:bookmarkStart w:id="268" w:name="_Toc260305561"/>
      <w:bookmarkStart w:id="269" w:name="_Toc199152000"/>
      <w:bookmarkStart w:id="270" w:name="_Toc152042407"/>
      <w:bookmarkStart w:id="271" w:name="_Toc179632647"/>
      <w:bookmarkStart w:id="272" w:name="_Toc152045629"/>
      <w:r>
        <w:rPr>
          <w:rFonts w:ascii="宋体" w:hAnsi="宋体" w:cs="TimesNewRomanPSMT"/>
          <w:b/>
          <w:color w:val="000000"/>
        </w:rPr>
        <w:t>2.5 组织设计交底</w:t>
      </w:r>
      <w:bookmarkEnd w:id="267"/>
      <w:bookmarkEnd w:id="268"/>
      <w:bookmarkEnd w:id="269"/>
      <w:bookmarkEnd w:id="270"/>
      <w:bookmarkEnd w:id="271"/>
      <w:bookmarkEnd w:id="272"/>
    </w:p>
    <w:p>
      <w:pPr>
        <w:jc w:val="both"/>
        <w:rPr>
          <w:rFonts w:ascii="宋体" w:hAnsi="宋体"/>
          <w:color w:val="000000"/>
          <w:kern w:val="2"/>
        </w:rPr>
      </w:pPr>
      <w:bookmarkStart w:id="273" w:name="_Toc152045630"/>
      <w:bookmarkStart w:id="274" w:name="_Toc144974598"/>
      <w:bookmarkStart w:id="275" w:name="_Toc152042408"/>
      <w:bookmarkStart w:id="276" w:name="_Toc179632648"/>
      <w:r>
        <w:rPr>
          <w:rFonts w:hint="eastAsia" w:ascii="宋体" w:hAnsi="宋体"/>
          <w:color w:val="000000"/>
          <w:kern w:val="2"/>
        </w:rPr>
        <w:t>发包人应当在合同条款11.1.1项约定的开工日期前组织设计单位向承包人进行合同工程总体设计交底（包括图纸会审）。发包人还应按照合同进度计划中载明的阶段性设计交底时间组织和安排阶段工程设计交底（包括图纸会审）。承包人可以书面方式通过监理人向发包人申请增加紧急的设计交底，发包人在认为确有必要且条件许可时，应当尽快组织这类设计交底。</w:t>
      </w:r>
    </w:p>
    <w:bookmarkEnd w:id="273"/>
    <w:bookmarkEnd w:id="274"/>
    <w:bookmarkEnd w:id="275"/>
    <w:bookmarkEnd w:id="276"/>
    <w:p>
      <w:pPr>
        <w:keepNext/>
        <w:keepLines/>
        <w:spacing w:before="120" w:after="120"/>
        <w:jc w:val="both"/>
        <w:outlineLvl w:val="2"/>
        <w:rPr>
          <w:rFonts w:ascii="宋体" w:hAnsi="宋体" w:cs="TimesNewRomanPSMT"/>
          <w:b/>
          <w:color w:val="000000"/>
        </w:rPr>
      </w:pPr>
      <w:bookmarkStart w:id="277" w:name="_Toc260305562"/>
      <w:bookmarkStart w:id="278" w:name="_Toc144974600"/>
      <w:bookmarkStart w:id="279" w:name="_Toc179632650"/>
      <w:bookmarkStart w:id="280" w:name="_Toc199152001"/>
      <w:bookmarkStart w:id="281" w:name="_Toc152042410"/>
      <w:bookmarkStart w:id="282" w:name="_Toc152045632"/>
      <w:r>
        <w:rPr>
          <w:rFonts w:ascii="宋体" w:hAnsi="宋体" w:cs="TimesNewRomanPSMT"/>
          <w:b/>
          <w:color w:val="000000"/>
        </w:rPr>
        <w:t>2.8 其他义务</w:t>
      </w:r>
      <w:bookmarkEnd w:id="277"/>
      <w:bookmarkEnd w:id="278"/>
      <w:bookmarkEnd w:id="279"/>
      <w:bookmarkEnd w:id="280"/>
      <w:bookmarkEnd w:id="281"/>
      <w:bookmarkEnd w:id="282"/>
    </w:p>
    <w:p>
      <w:pPr>
        <w:jc w:val="both"/>
        <w:rPr>
          <w:rFonts w:ascii="宋体" w:hAnsi="宋体"/>
          <w:color w:val="000000"/>
          <w:kern w:val="2"/>
        </w:rPr>
      </w:pPr>
      <w:r>
        <w:rPr>
          <w:rFonts w:hint="eastAsia" w:ascii="宋体" w:hAnsi="宋体"/>
          <w:color w:val="000000"/>
          <w:kern w:val="2"/>
        </w:rPr>
        <w:t>（1）按有关规定及时办理工程质量监督手续。</w:t>
      </w:r>
    </w:p>
    <w:p>
      <w:pPr>
        <w:jc w:val="both"/>
        <w:rPr>
          <w:rFonts w:ascii="宋体" w:hAnsi="宋体"/>
          <w:color w:val="000000"/>
          <w:kern w:val="2"/>
        </w:rPr>
      </w:pPr>
      <w:r>
        <w:rPr>
          <w:rFonts w:hint="eastAsia" w:ascii="宋体" w:hAnsi="宋体"/>
          <w:color w:val="000000"/>
          <w:kern w:val="2"/>
        </w:rPr>
        <w:t>（2）根据建设行政主管部门和（或）城市建设档案管理机构的规定，收集、整理、立卷、归档工程资料，并按规定时间向建设行政主管部门或者城市建设档案管理机构移交规定的工程档案。</w:t>
      </w:r>
    </w:p>
    <w:p>
      <w:pPr>
        <w:jc w:val="both"/>
        <w:rPr>
          <w:rFonts w:ascii="宋体" w:hAnsi="宋体"/>
          <w:color w:val="000000"/>
          <w:kern w:val="2"/>
        </w:rPr>
      </w:pPr>
      <w:r>
        <w:rPr>
          <w:rFonts w:hint="eastAsia" w:ascii="宋体" w:hAnsi="宋体"/>
          <w:color w:val="000000"/>
          <w:kern w:val="2"/>
        </w:rPr>
        <w:t>（3）</w:t>
      </w:r>
      <w:r>
        <w:rPr>
          <w:rFonts w:ascii="宋体" w:hAnsi="宋体"/>
          <w:color w:val="000000"/>
          <w:kern w:val="2"/>
        </w:rPr>
        <w:t>批准和确认：按合同约定</w:t>
      </w:r>
      <w:r>
        <w:rPr>
          <w:rFonts w:hint="eastAsia" w:ascii="宋体" w:hAnsi="宋体"/>
          <w:color w:val="000000"/>
          <w:kern w:val="2"/>
        </w:rPr>
        <w:t>应当由监理人或者发包人</w:t>
      </w:r>
      <w:r>
        <w:rPr>
          <w:rFonts w:ascii="宋体" w:hAnsi="宋体"/>
          <w:color w:val="000000"/>
          <w:kern w:val="2"/>
        </w:rPr>
        <w:t>回复、</w:t>
      </w:r>
      <w:r>
        <w:rPr>
          <w:rFonts w:hint="eastAsia" w:ascii="宋体" w:hAnsi="宋体"/>
          <w:color w:val="000000"/>
          <w:kern w:val="2"/>
        </w:rPr>
        <w:t>批复、</w:t>
      </w:r>
      <w:r>
        <w:rPr>
          <w:rFonts w:ascii="宋体" w:hAnsi="宋体"/>
          <w:color w:val="000000"/>
          <w:kern w:val="2"/>
        </w:rPr>
        <w:t>批</w:t>
      </w:r>
      <w:r>
        <w:rPr>
          <w:rFonts w:hint="eastAsia" w:ascii="宋体" w:hAnsi="宋体"/>
          <w:color w:val="000000"/>
          <w:kern w:val="2"/>
        </w:rPr>
        <w:t>准、确认或提出修改意见的</w:t>
      </w:r>
      <w:r>
        <w:rPr>
          <w:rFonts w:ascii="宋体" w:hAnsi="宋体"/>
          <w:color w:val="000000"/>
          <w:kern w:val="2"/>
        </w:rPr>
        <w:t>承包人的</w:t>
      </w:r>
      <w:r>
        <w:rPr>
          <w:rFonts w:hint="eastAsia" w:ascii="宋体" w:hAnsi="宋体"/>
          <w:color w:val="000000"/>
          <w:kern w:val="2"/>
        </w:rPr>
        <w:t>要求</w:t>
      </w:r>
      <w:r>
        <w:rPr>
          <w:rFonts w:ascii="宋体" w:hAnsi="宋体"/>
          <w:color w:val="000000"/>
          <w:kern w:val="2"/>
        </w:rPr>
        <w:t>、</w:t>
      </w:r>
      <w:r>
        <w:rPr>
          <w:rFonts w:hint="eastAsia" w:ascii="宋体" w:hAnsi="宋体"/>
          <w:color w:val="000000"/>
          <w:kern w:val="2"/>
        </w:rPr>
        <w:t>请求、</w:t>
      </w:r>
      <w:r>
        <w:rPr>
          <w:rFonts w:ascii="宋体" w:hAnsi="宋体"/>
          <w:color w:val="000000"/>
          <w:kern w:val="2"/>
        </w:rPr>
        <w:t>申请</w:t>
      </w:r>
      <w:r>
        <w:rPr>
          <w:rFonts w:hint="eastAsia" w:ascii="宋体" w:hAnsi="宋体"/>
          <w:color w:val="000000"/>
          <w:kern w:val="2"/>
        </w:rPr>
        <w:t>和报批等，自监理人或者发包人指定的接收人收到承包人发出的相应要求、请求、申请和报批之日起，如果监理人或者发包人在合同约定的期限内未予回复、批复、批准、确认或提出修改意见的，视为监理人和发包人已经同意、确认或者批准。</w:t>
      </w:r>
    </w:p>
    <w:p>
      <w:pPr>
        <w:jc w:val="both"/>
        <w:rPr>
          <w:rFonts w:ascii="宋体" w:hAnsi="宋体" w:cs="Arial"/>
          <w:color w:val="000000"/>
          <w:kern w:val="2"/>
        </w:rPr>
      </w:pPr>
      <w:r>
        <w:rPr>
          <w:rFonts w:hint="eastAsia" w:ascii="宋体" w:hAnsi="宋体" w:cs="Arial"/>
          <w:color w:val="000000"/>
          <w:kern w:val="2"/>
        </w:rPr>
        <w:t>（4）</w:t>
      </w:r>
      <w:r>
        <w:rPr>
          <w:rFonts w:hint="eastAsia" w:ascii="宋体" w:hAnsi="宋体"/>
          <w:color w:val="000000"/>
          <w:kern w:val="2"/>
        </w:rPr>
        <w:t>发包人应履行合同约定的其他义务以及</w:t>
      </w:r>
      <w:r>
        <w:rPr>
          <w:rFonts w:hint="eastAsia" w:ascii="宋体" w:hAnsi="宋体" w:cs="Arial"/>
          <w:color w:val="000000"/>
          <w:kern w:val="2"/>
        </w:rPr>
        <w:t>下述义务：</w:t>
      </w:r>
      <w:r>
        <w:rPr>
          <w:rFonts w:hint="eastAsia" w:ascii="宋体" w:hAnsi="宋体"/>
          <w:color w:val="000000"/>
          <w:kern w:val="2"/>
          <w:u w:val="single"/>
        </w:rPr>
        <w:t>　签定合同时约定　　　　</w:t>
      </w:r>
      <w:r>
        <w:rPr>
          <w:rFonts w:hint="eastAsia" w:ascii="宋体" w:hAnsi="宋体"/>
          <w:color w:val="000000"/>
          <w:kern w:val="2"/>
        </w:rPr>
        <w:t>。</w:t>
      </w:r>
    </w:p>
    <w:p>
      <w:pPr>
        <w:keepNext/>
        <w:keepLines/>
        <w:spacing w:before="120" w:after="120"/>
        <w:jc w:val="both"/>
        <w:outlineLvl w:val="1"/>
        <w:rPr>
          <w:rFonts w:ascii="宋体" w:hAnsi="宋体" w:cs="TimesNewRomanPSMT"/>
          <w:b/>
          <w:color w:val="000000"/>
          <w:sz w:val="28"/>
          <w:szCs w:val="28"/>
        </w:rPr>
      </w:pPr>
      <w:bookmarkStart w:id="283" w:name="_Toc152045633"/>
      <w:bookmarkStart w:id="284" w:name="_Toc144974601"/>
      <w:bookmarkStart w:id="285" w:name="_Toc152042411"/>
      <w:bookmarkStart w:id="286" w:name="_Toc260305563"/>
      <w:bookmarkStart w:id="287" w:name="_Toc179632651"/>
      <w:bookmarkStart w:id="288" w:name="_Toc199152002"/>
      <w:r>
        <w:rPr>
          <w:rFonts w:ascii="宋体" w:hAnsi="宋体" w:cs="TimesNewRomanPSMT"/>
          <w:b/>
          <w:color w:val="000000"/>
          <w:sz w:val="28"/>
          <w:szCs w:val="28"/>
        </w:rPr>
        <w:t>3. 监理人</w:t>
      </w:r>
      <w:bookmarkEnd w:id="283"/>
      <w:bookmarkEnd w:id="284"/>
      <w:bookmarkEnd w:id="285"/>
      <w:bookmarkEnd w:id="286"/>
      <w:bookmarkEnd w:id="287"/>
      <w:bookmarkEnd w:id="288"/>
    </w:p>
    <w:p>
      <w:pPr>
        <w:keepNext/>
        <w:keepLines/>
        <w:spacing w:before="120" w:after="120"/>
        <w:jc w:val="both"/>
        <w:outlineLvl w:val="2"/>
        <w:rPr>
          <w:rFonts w:ascii="宋体" w:hAnsi="宋体" w:cs="TimesNewRomanPSMT"/>
          <w:b/>
          <w:color w:val="000000"/>
        </w:rPr>
      </w:pPr>
      <w:bookmarkStart w:id="289" w:name="_Toc199152003"/>
      <w:bookmarkStart w:id="290" w:name="_Toc152045634"/>
      <w:bookmarkStart w:id="291" w:name="_Toc260305564"/>
      <w:bookmarkStart w:id="292" w:name="_Toc144974602"/>
      <w:bookmarkStart w:id="293" w:name="_Toc152042412"/>
      <w:bookmarkStart w:id="294" w:name="_Toc179632652"/>
      <w:r>
        <w:rPr>
          <w:rFonts w:ascii="宋体" w:hAnsi="宋体" w:cs="TimesNewRomanPSMT"/>
          <w:b/>
          <w:color w:val="000000"/>
        </w:rPr>
        <w:t>3.1 监理人的职责和权力</w:t>
      </w:r>
      <w:bookmarkEnd w:id="289"/>
      <w:bookmarkEnd w:id="290"/>
      <w:bookmarkEnd w:id="291"/>
      <w:bookmarkEnd w:id="292"/>
      <w:bookmarkEnd w:id="293"/>
      <w:bookmarkEnd w:id="294"/>
    </w:p>
    <w:p>
      <w:pPr>
        <w:jc w:val="both"/>
        <w:rPr>
          <w:rFonts w:ascii="黑体" w:hAnsi="Calibri" w:eastAsia="黑体"/>
          <w:color w:val="000000"/>
          <w:kern w:val="2"/>
        </w:rPr>
      </w:pPr>
      <w:r>
        <w:rPr>
          <w:rFonts w:hint="eastAsia" w:ascii="宋体" w:hAnsi="宋体"/>
          <w:color w:val="000000"/>
          <w:kern w:val="2"/>
        </w:rPr>
        <w:t>3.1.1须经发包人批准行使的权力：</w:t>
      </w:r>
      <w:r>
        <w:rPr>
          <w:rFonts w:hint="eastAsia" w:ascii="宋体" w:hAnsi="宋体"/>
          <w:color w:val="000000"/>
          <w:kern w:val="2"/>
          <w:u w:val="single"/>
        </w:rPr>
        <w:t>　同《通用条款》　　　</w:t>
      </w:r>
      <w:r>
        <w:rPr>
          <w:rFonts w:hint="eastAsia" w:ascii="宋体" w:hAnsi="宋体"/>
          <w:color w:val="000000"/>
          <w:kern w:val="2"/>
        </w:rPr>
        <w:t>。</w:t>
      </w:r>
    </w:p>
    <w:p>
      <w:pPr>
        <w:keepNext/>
        <w:keepLines/>
        <w:numPr>
          <w:ilvl w:val="1"/>
          <w:numId w:val="8"/>
        </w:numPr>
        <w:spacing w:before="120" w:after="120"/>
        <w:jc w:val="both"/>
        <w:outlineLvl w:val="2"/>
        <w:rPr>
          <w:rFonts w:ascii="宋体" w:hAnsi="宋体" w:cs="TimesNewRomanPSMT"/>
          <w:b/>
          <w:color w:val="000000"/>
        </w:rPr>
      </w:pPr>
      <w:bookmarkStart w:id="295" w:name="_Toc152042414"/>
      <w:bookmarkStart w:id="296" w:name="_Toc144974604"/>
      <w:bookmarkStart w:id="297" w:name="_Toc179632654"/>
      <w:bookmarkStart w:id="298" w:name="_Toc260305565"/>
      <w:bookmarkStart w:id="299" w:name="_Toc199152004"/>
      <w:bookmarkStart w:id="300" w:name="_Toc152045636"/>
      <w:r>
        <w:rPr>
          <w:rFonts w:ascii="宋体" w:hAnsi="宋体" w:cs="TimesNewRomanPSMT"/>
          <w:b/>
          <w:color w:val="000000"/>
        </w:rPr>
        <w:t>监理人员</w:t>
      </w:r>
      <w:bookmarkEnd w:id="295"/>
      <w:bookmarkEnd w:id="296"/>
      <w:bookmarkEnd w:id="297"/>
      <w:bookmarkEnd w:id="298"/>
      <w:bookmarkEnd w:id="299"/>
      <w:bookmarkEnd w:id="300"/>
    </w:p>
    <w:p>
      <w:pPr>
        <w:jc w:val="both"/>
        <w:rPr>
          <w:rFonts w:ascii="宋体" w:hAnsi="宋体" w:cs="Arial"/>
          <w:color w:val="000000"/>
          <w:kern w:val="2"/>
        </w:rPr>
      </w:pPr>
      <w:r>
        <w:rPr>
          <w:rFonts w:hint="eastAsia" w:ascii="宋体" w:hAnsi="宋体"/>
          <w:color w:val="000000"/>
          <w:kern w:val="2"/>
        </w:rPr>
        <w:t>3.3.4 总监理工程师不应将第3.5款约定应由总监理工程师作出确定的权力授权或者委托给其他监理人员。</w:t>
      </w:r>
      <w:bookmarkStart w:id="301" w:name="_Toc260305566"/>
      <w:bookmarkStart w:id="302" w:name="_Toc152045637"/>
      <w:bookmarkStart w:id="303" w:name="_Toc179632655"/>
      <w:bookmarkStart w:id="304" w:name="_Toc152042415"/>
      <w:bookmarkStart w:id="305" w:name="_Toc144974605"/>
      <w:bookmarkStart w:id="306" w:name="_Toc199152005"/>
    </w:p>
    <w:p>
      <w:pPr>
        <w:jc w:val="both"/>
        <w:rPr>
          <w:rFonts w:ascii="宋体" w:hAnsi="宋体" w:cs="Arial"/>
          <w:color w:val="000000"/>
          <w:kern w:val="2"/>
        </w:rPr>
      </w:pPr>
      <w:r>
        <w:rPr>
          <w:rFonts w:ascii="宋体" w:hAnsi="宋体" w:cs="TimesNewRomanPSMT"/>
          <w:b/>
          <w:color w:val="000000"/>
        </w:rPr>
        <w:t>3.4 监理人的指示</w:t>
      </w:r>
      <w:bookmarkEnd w:id="301"/>
      <w:bookmarkEnd w:id="302"/>
      <w:bookmarkEnd w:id="303"/>
      <w:bookmarkEnd w:id="304"/>
      <w:bookmarkEnd w:id="305"/>
      <w:bookmarkEnd w:id="306"/>
    </w:p>
    <w:p>
      <w:pPr>
        <w:jc w:val="both"/>
        <w:rPr>
          <w:rFonts w:ascii="宋体" w:hAnsi="宋体"/>
          <w:color w:val="000000"/>
          <w:kern w:val="2"/>
        </w:rPr>
      </w:pPr>
      <w:r>
        <w:rPr>
          <w:rFonts w:hint="eastAsia" w:ascii="宋体" w:hAnsi="宋体"/>
          <w:color w:val="000000"/>
          <w:kern w:val="2"/>
        </w:rPr>
        <w:t>3.4.4除通用合同条款已有的专门约定外，承包人只能从总监理工程师或按第3.3.1项授权的监理人员处取得指示，发包人应当通过监理人向承包人发出指示。</w:t>
      </w:r>
    </w:p>
    <w:p>
      <w:pPr>
        <w:keepNext/>
        <w:keepLines/>
        <w:spacing w:before="120" w:after="120"/>
        <w:jc w:val="both"/>
        <w:outlineLvl w:val="1"/>
        <w:rPr>
          <w:rFonts w:ascii="宋体" w:hAnsi="宋体" w:cs="TimesNewRomanPSMT"/>
          <w:b/>
          <w:color w:val="000000"/>
          <w:sz w:val="28"/>
          <w:szCs w:val="28"/>
        </w:rPr>
      </w:pPr>
      <w:bookmarkStart w:id="307" w:name="_Toc152045639"/>
      <w:bookmarkStart w:id="308" w:name="_Toc144974607"/>
      <w:bookmarkStart w:id="309" w:name="_Toc260305567"/>
      <w:bookmarkStart w:id="310" w:name="_Toc179632657"/>
      <w:bookmarkStart w:id="311" w:name="_Toc152042417"/>
      <w:bookmarkStart w:id="312" w:name="_Toc199152006"/>
      <w:r>
        <w:rPr>
          <w:rFonts w:ascii="宋体" w:hAnsi="宋体" w:cs="TimesNewRomanPSMT"/>
          <w:b/>
          <w:color w:val="000000"/>
          <w:sz w:val="28"/>
          <w:szCs w:val="28"/>
        </w:rPr>
        <w:t>4. 承包人</w:t>
      </w:r>
      <w:bookmarkEnd w:id="307"/>
      <w:bookmarkEnd w:id="308"/>
      <w:bookmarkEnd w:id="309"/>
      <w:bookmarkEnd w:id="310"/>
      <w:bookmarkEnd w:id="311"/>
      <w:bookmarkEnd w:id="312"/>
    </w:p>
    <w:p>
      <w:pPr>
        <w:keepNext/>
        <w:keepLines/>
        <w:spacing w:before="120" w:after="120"/>
        <w:jc w:val="both"/>
        <w:outlineLvl w:val="2"/>
        <w:rPr>
          <w:rFonts w:ascii="宋体" w:hAnsi="宋体" w:cs="TimesNewRomanPSMT"/>
          <w:b/>
          <w:color w:val="000000"/>
        </w:rPr>
      </w:pPr>
      <w:bookmarkStart w:id="313" w:name="_Toc152042418"/>
      <w:bookmarkStart w:id="314" w:name="_Toc179632658"/>
      <w:bookmarkStart w:id="315" w:name="_Toc260305568"/>
      <w:bookmarkStart w:id="316" w:name="_Toc199152007"/>
      <w:bookmarkStart w:id="317" w:name="_Toc152045640"/>
      <w:bookmarkStart w:id="318" w:name="_Toc144974608"/>
      <w:r>
        <w:rPr>
          <w:rFonts w:ascii="宋体" w:hAnsi="宋体" w:cs="TimesNewRomanPSMT"/>
          <w:b/>
          <w:color w:val="000000"/>
        </w:rPr>
        <w:t>4.1 承包人的一般义务</w:t>
      </w:r>
      <w:bookmarkEnd w:id="313"/>
      <w:bookmarkEnd w:id="314"/>
      <w:bookmarkEnd w:id="315"/>
      <w:bookmarkEnd w:id="316"/>
      <w:bookmarkEnd w:id="317"/>
      <w:bookmarkEnd w:id="318"/>
    </w:p>
    <w:p>
      <w:pPr>
        <w:jc w:val="both"/>
        <w:rPr>
          <w:rFonts w:ascii="宋体" w:hAnsi="宋体"/>
          <w:color w:val="000000"/>
          <w:kern w:val="2"/>
        </w:rPr>
      </w:pPr>
      <w:r>
        <w:rPr>
          <w:rFonts w:hint="eastAsia" w:ascii="宋体" w:hAnsi="宋体"/>
          <w:color w:val="000000"/>
          <w:kern w:val="2"/>
        </w:rPr>
        <w:t>4.1.3除专用合同条款第5.2款约定由发包人提供的材料和工程设备和第6.2款约定由发包人提供的施工设备和临时设施外，承包人应负责提供为完成合同工作所需的劳务、材料、施工设备、工程设备和其他物品，并按合同约定负责临时设施的设计、建造、运行、维护、管理和拆除。</w:t>
      </w:r>
    </w:p>
    <w:p>
      <w:pPr>
        <w:jc w:val="both"/>
        <w:rPr>
          <w:rFonts w:ascii="宋体" w:hAnsi="宋体"/>
          <w:color w:val="000000"/>
          <w:kern w:val="2"/>
        </w:rPr>
      </w:pPr>
      <w:r>
        <w:rPr>
          <w:rFonts w:hint="eastAsia" w:ascii="宋体" w:hAnsi="宋体"/>
          <w:color w:val="000000"/>
          <w:kern w:val="2"/>
        </w:rPr>
        <w:t>4.1.8为他人提供方便</w:t>
      </w:r>
    </w:p>
    <w:p>
      <w:pPr>
        <w:jc w:val="both"/>
        <w:rPr>
          <w:rFonts w:ascii="宋体" w:hAnsi="宋体"/>
          <w:color w:val="000000"/>
          <w:kern w:val="2"/>
        </w:rPr>
      </w:pPr>
      <w:r>
        <w:rPr>
          <w:rFonts w:hint="eastAsia" w:ascii="宋体" w:hAnsi="宋体"/>
          <w:color w:val="000000"/>
          <w:kern w:val="2"/>
        </w:rPr>
        <w:t>（1）承包人应当对在施工场地或者附近实施与合同工程有关的其他工作的独立承包人履行管理、协调、配合、照管和服务义务，由此发生的费用被认为已经包括在承包人的签约合同价（投标总报价）中，具体工作内容和要求包括：</w:t>
      </w:r>
      <w:r>
        <w:rPr>
          <w:rFonts w:hint="eastAsia" w:ascii="宋体" w:hAnsi="宋体"/>
          <w:color w:val="000000"/>
          <w:kern w:val="2"/>
          <w:u w:val="single"/>
        </w:rPr>
        <w:t>　同《通用条款》　　　</w:t>
      </w:r>
      <w:r>
        <w:rPr>
          <w:rFonts w:hint="eastAsia" w:ascii="宋体" w:hAnsi="宋体"/>
          <w:color w:val="000000"/>
          <w:kern w:val="2"/>
        </w:rPr>
        <w:t>。</w:t>
      </w:r>
    </w:p>
    <w:p>
      <w:pPr>
        <w:jc w:val="both"/>
        <w:rPr>
          <w:rFonts w:ascii="宋体" w:hAnsi="宋体"/>
          <w:color w:val="000000"/>
          <w:kern w:val="2"/>
        </w:rPr>
      </w:pPr>
      <w:r>
        <w:rPr>
          <w:rFonts w:hint="eastAsia" w:ascii="宋体" w:hAnsi="宋体"/>
          <w:color w:val="000000"/>
          <w:kern w:val="2"/>
        </w:rPr>
        <w:t>（2）承包人还应按监理人指示为独立承包人以外的他人在施工场地或者附近实施与合同工程有关的其他工作提供可能的条件，可能发生费用由监理人按第3.5款商定或者确定。</w:t>
      </w:r>
    </w:p>
    <w:p>
      <w:pPr>
        <w:jc w:val="both"/>
        <w:rPr>
          <w:rFonts w:ascii="宋体" w:hAnsi="宋体"/>
          <w:color w:val="000000"/>
          <w:kern w:val="2"/>
        </w:rPr>
      </w:pPr>
      <w:r>
        <w:rPr>
          <w:rFonts w:hint="eastAsia" w:ascii="宋体" w:hAnsi="宋体"/>
          <w:color w:val="000000"/>
          <w:kern w:val="2"/>
        </w:rPr>
        <w:t xml:space="preserve">4.1.10其他义务  </w:t>
      </w:r>
    </w:p>
    <w:p>
      <w:pPr>
        <w:jc w:val="both"/>
        <w:rPr>
          <w:rFonts w:ascii="宋体" w:hAnsi="宋体"/>
          <w:color w:val="000000"/>
          <w:kern w:val="2"/>
        </w:rPr>
      </w:pPr>
      <w:r>
        <w:rPr>
          <w:rFonts w:ascii="宋体" w:hAnsi="宋体"/>
          <w:color w:val="000000"/>
          <w:kern w:val="2"/>
        </w:rPr>
        <w:t>（1）</w:t>
      </w:r>
      <w:r>
        <w:rPr>
          <w:rFonts w:hint="eastAsia" w:ascii="宋体" w:hAnsi="宋体"/>
          <w:color w:val="000000"/>
          <w:kern w:val="2"/>
        </w:rPr>
        <w:t>根据发包人委托，在其设计资质等级和业务允许的范围内，完成施工图设计或与工程配套的设计，经监理人确认后使用，发包人承担由此发生的费用。由承包人负责完成的设计文件属于合同条款第1.6.2项约定的承包人提供的文件，承包人应按照专用合同条款第1.6.2项约定的期限和数量提交，由此发生的费用被认为已经包括在承包人的签约合同价（投标总报价）中。由承包人承担的施工图设计或与工程配套的设计工作内容：</w:t>
      </w:r>
      <w:r>
        <w:rPr>
          <w:rFonts w:hint="eastAsia" w:ascii="宋体" w:hAnsi="宋体"/>
          <w:color w:val="000000"/>
          <w:kern w:val="2"/>
          <w:u w:val="single"/>
        </w:rPr>
        <w:t>　同《通用条款》　　　</w:t>
      </w:r>
      <w:r>
        <w:rPr>
          <w:rFonts w:hint="eastAsia" w:ascii="宋体" w:hAnsi="宋体"/>
          <w:color w:val="000000"/>
          <w:kern w:val="2"/>
        </w:rPr>
        <w:t>。</w:t>
      </w:r>
    </w:p>
    <w:p>
      <w:pPr>
        <w:jc w:val="both"/>
        <w:rPr>
          <w:rFonts w:ascii="宋体" w:hAnsi="宋体" w:cs="Arial"/>
          <w:color w:val="000000"/>
          <w:kern w:val="2"/>
        </w:rPr>
      </w:pPr>
      <w:r>
        <w:rPr>
          <w:rFonts w:hint="eastAsia" w:ascii="宋体" w:hAnsi="宋体"/>
          <w:color w:val="000000"/>
          <w:kern w:val="2"/>
        </w:rPr>
        <w:t>（2）承包人应履行合同约定的其他义务以及</w:t>
      </w:r>
      <w:r>
        <w:rPr>
          <w:rFonts w:hint="eastAsia" w:ascii="宋体" w:hAnsi="宋体" w:cs="Arial"/>
          <w:color w:val="000000"/>
          <w:kern w:val="2"/>
        </w:rPr>
        <w:t>下述义务：</w:t>
      </w:r>
      <w:r>
        <w:rPr>
          <w:rFonts w:hint="eastAsia" w:ascii="宋体" w:hAnsi="宋体"/>
          <w:color w:val="000000"/>
          <w:kern w:val="2"/>
          <w:u w:val="single"/>
        </w:rPr>
        <w:t>签定合同时约定　</w:t>
      </w:r>
      <w:r>
        <w:rPr>
          <w:rFonts w:hint="eastAsia" w:ascii="宋体" w:hAnsi="宋体"/>
          <w:color w:val="000000"/>
          <w:kern w:val="2"/>
        </w:rPr>
        <w:t>。</w:t>
      </w:r>
    </w:p>
    <w:p>
      <w:pPr>
        <w:keepNext/>
        <w:keepLines/>
        <w:spacing w:before="120" w:after="120"/>
        <w:jc w:val="both"/>
        <w:outlineLvl w:val="2"/>
        <w:rPr>
          <w:rFonts w:ascii="宋体" w:hAnsi="宋体" w:cs="TimesNewRomanPSMT"/>
          <w:b/>
          <w:color w:val="000000"/>
        </w:rPr>
      </w:pPr>
      <w:bookmarkStart w:id="319" w:name="_Toc152045642"/>
      <w:bookmarkStart w:id="320" w:name="_Toc260305569"/>
      <w:bookmarkStart w:id="321" w:name="_Toc144974610"/>
      <w:bookmarkStart w:id="322" w:name="_Toc199152008"/>
      <w:bookmarkStart w:id="323" w:name="_Toc152042420"/>
      <w:bookmarkStart w:id="324" w:name="_Toc179632660"/>
      <w:r>
        <w:rPr>
          <w:rFonts w:ascii="宋体" w:hAnsi="宋体" w:cs="TimesNewRomanPSMT"/>
          <w:b/>
          <w:color w:val="000000"/>
        </w:rPr>
        <w:t>4.3 分包</w:t>
      </w:r>
      <w:bookmarkEnd w:id="319"/>
      <w:bookmarkEnd w:id="320"/>
      <w:bookmarkEnd w:id="321"/>
      <w:bookmarkEnd w:id="322"/>
      <w:bookmarkEnd w:id="323"/>
      <w:bookmarkEnd w:id="324"/>
      <w:r>
        <w:rPr>
          <w:rFonts w:hint="eastAsia" w:ascii="宋体" w:hAnsi="宋体" w:cs="TimesNewRomanPSMT"/>
          <w:b/>
          <w:color w:val="000000"/>
        </w:rPr>
        <w:t xml:space="preserve"> </w:t>
      </w:r>
    </w:p>
    <w:p>
      <w:pPr>
        <w:jc w:val="both"/>
        <w:rPr>
          <w:rFonts w:ascii="宋体" w:hAnsi="宋体"/>
          <w:color w:val="000000"/>
          <w:kern w:val="2"/>
        </w:rPr>
      </w:pPr>
      <w:r>
        <w:rPr>
          <w:rFonts w:hint="eastAsia" w:ascii="宋体" w:hAnsi="宋体"/>
          <w:color w:val="000000"/>
          <w:kern w:val="2"/>
        </w:rPr>
        <w:t>4.3.2发包人同意承包人分包的非主体、非关键性工作见投标函附录。除通用合同条款第4.3款的约定外，分包还应遵循以下约定：</w:t>
      </w:r>
    </w:p>
    <w:p>
      <w:pPr>
        <w:jc w:val="both"/>
        <w:rPr>
          <w:rFonts w:ascii="宋体" w:hAnsi="宋体"/>
          <w:color w:val="000000"/>
          <w:kern w:val="2"/>
        </w:rPr>
      </w:pPr>
      <w:r>
        <w:rPr>
          <w:rFonts w:hint="eastAsia" w:ascii="宋体" w:hAnsi="宋体"/>
          <w:color w:val="000000"/>
          <w:kern w:val="2"/>
        </w:rPr>
        <w:t>（1）除投标函附录中约定的分包内容外，经过发包人和监理人同意，承包人可以将其他非主体、非关键性工作分包给第三人，但分包人应当经过发包人和监理人审批。发包人和监理人有权拒绝承包人的分包请求和承包人选择的分包人。</w:t>
      </w:r>
    </w:p>
    <w:p>
      <w:pPr>
        <w:jc w:val="both"/>
        <w:rPr>
          <w:rFonts w:ascii="宋体" w:hAnsi="宋体"/>
          <w:color w:val="000000"/>
          <w:kern w:val="2"/>
        </w:rPr>
      </w:pPr>
      <w:r>
        <w:rPr>
          <w:rFonts w:hint="eastAsia" w:ascii="宋体" w:hAnsi="宋体"/>
          <w:color w:val="000000"/>
          <w:kern w:val="2"/>
        </w:rPr>
        <w:t>（2）发包人在工程量清单中给定暂估价的专业工程，包括从暂列金额开支的专业工程，</w:t>
      </w:r>
      <w:r>
        <w:rPr>
          <w:rFonts w:hint="eastAsia" w:ascii="宋体" w:hAnsi="宋体" w:cs="Arial"/>
          <w:color w:val="000000"/>
          <w:kern w:val="2"/>
        </w:rPr>
        <w:t>达到依法应当招标的规模标准的，以及虽未达到规定的规模标准但合同中约定采用分包方式或者招标方式实施的，应当按专用合同条款第15.8.1款的约定，</w:t>
      </w:r>
      <w:r>
        <w:rPr>
          <w:rFonts w:hint="eastAsia" w:ascii="宋体" w:hAnsi="宋体"/>
          <w:color w:val="000000"/>
          <w:kern w:val="2"/>
        </w:rPr>
        <w:t>由发包人和承包人以招标方式确定专业分包人。</w:t>
      </w:r>
      <w:r>
        <w:rPr>
          <w:rFonts w:hint="eastAsia" w:ascii="宋体" w:hAnsi="宋体" w:cs="Arial"/>
          <w:color w:val="000000"/>
          <w:kern w:val="2"/>
        </w:rPr>
        <w:t>除项目审批部门有特别核准外，暂估价的专业工程的招标应当采用与施工总承包同样的招标方式。</w:t>
      </w:r>
    </w:p>
    <w:p>
      <w:pPr>
        <w:jc w:val="both"/>
        <w:rPr>
          <w:rFonts w:ascii="宋体" w:hAnsi="宋体"/>
          <w:color w:val="000000"/>
          <w:kern w:val="2"/>
        </w:rPr>
      </w:pPr>
      <w:r>
        <w:rPr>
          <w:rFonts w:hint="eastAsia" w:ascii="宋体" w:hAnsi="宋体"/>
          <w:color w:val="000000"/>
          <w:kern w:val="2"/>
        </w:rPr>
        <w:t>（3）在相关分包合同签订并报送有关建设行政主管部门备案后7天内，承包人应当将一份副本提交给监理人，承包人应保障分包工作不得</w:t>
      </w:r>
      <w:r>
        <w:rPr>
          <w:rFonts w:ascii="宋体" w:hAnsi="宋体"/>
          <w:color w:val="000000"/>
          <w:kern w:val="2"/>
        </w:rPr>
        <w:t>再次分包。</w:t>
      </w:r>
    </w:p>
    <w:p>
      <w:pPr>
        <w:jc w:val="both"/>
        <w:rPr>
          <w:rFonts w:ascii="宋体" w:hAnsi="宋体" w:cs="Arial"/>
          <w:color w:val="000000"/>
          <w:kern w:val="2"/>
        </w:rPr>
      </w:pPr>
      <w:r>
        <w:rPr>
          <w:rFonts w:hint="eastAsia" w:ascii="宋体" w:hAnsi="宋体"/>
          <w:color w:val="000000"/>
          <w:kern w:val="2"/>
        </w:rPr>
        <w:t>（4）分包工程价款由承包人与分包人（包括专业分包人）结算。发包人未经承包人同意不得以任何形式向分包人（包括专业分包人）支付各种工程款项。</w:t>
      </w:r>
    </w:p>
    <w:p>
      <w:pPr>
        <w:jc w:val="both"/>
        <w:rPr>
          <w:rFonts w:ascii="黑体" w:hAnsi="Calibri" w:eastAsia="黑体"/>
          <w:color w:val="000000"/>
          <w:kern w:val="2"/>
          <w:sz w:val="21"/>
          <w:szCs w:val="21"/>
        </w:rPr>
      </w:pPr>
      <w:bookmarkStart w:id="325" w:name="_Toc152045644"/>
      <w:bookmarkStart w:id="326" w:name="_Toc144974612"/>
      <w:bookmarkStart w:id="327" w:name="_Toc179632662"/>
      <w:bookmarkStart w:id="328" w:name="_Toc152042422"/>
      <w:r>
        <w:rPr>
          <w:rFonts w:hint="eastAsia" w:ascii="宋体" w:hAnsi="宋体"/>
          <w:color w:val="000000"/>
          <w:kern w:val="2"/>
        </w:rPr>
        <w:t>（5）未经发包人和监理人审批同意的分包工程和分包人，发包人有权拒绝验收分包工程和支付相应款项，由此引起的发包人损失和（或）延误的工期由承包人承担。</w:t>
      </w:r>
    </w:p>
    <w:p>
      <w:pPr>
        <w:keepNext/>
        <w:keepLines/>
        <w:spacing w:before="120" w:after="120"/>
        <w:jc w:val="both"/>
        <w:outlineLvl w:val="2"/>
        <w:rPr>
          <w:rFonts w:ascii="宋体" w:hAnsi="宋体" w:cs="TimesNewRomanPSMT"/>
          <w:b/>
          <w:color w:val="000000"/>
        </w:rPr>
      </w:pPr>
      <w:bookmarkStart w:id="329" w:name="_Toc260305570"/>
      <w:bookmarkStart w:id="330" w:name="_Toc199152009"/>
      <w:r>
        <w:rPr>
          <w:rFonts w:ascii="宋体" w:hAnsi="宋体" w:cs="TimesNewRomanPSMT"/>
          <w:b/>
          <w:color w:val="000000"/>
        </w:rPr>
        <w:t>4.5 承包人项目经理</w:t>
      </w:r>
      <w:bookmarkEnd w:id="325"/>
      <w:bookmarkEnd w:id="326"/>
      <w:bookmarkEnd w:id="327"/>
      <w:bookmarkEnd w:id="328"/>
      <w:bookmarkEnd w:id="329"/>
      <w:bookmarkEnd w:id="330"/>
    </w:p>
    <w:p>
      <w:pPr>
        <w:jc w:val="both"/>
        <w:rPr>
          <w:rFonts w:ascii="宋体" w:hAnsi="宋体" w:cs="Arial"/>
          <w:color w:val="000000"/>
          <w:kern w:val="2"/>
        </w:rPr>
      </w:pPr>
      <w:r>
        <w:rPr>
          <w:rFonts w:ascii="宋体" w:hAnsi="宋体"/>
          <w:color w:val="000000"/>
          <w:kern w:val="2"/>
        </w:rPr>
        <w:t>4.5.</w:t>
      </w:r>
      <w:r>
        <w:rPr>
          <w:rFonts w:hint="eastAsia" w:ascii="宋体" w:hAnsi="宋体"/>
          <w:color w:val="000000"/>
          <w:kern w:val="2"/>
        </w:rPr>
        <w:t>1承包人</w:t>
      </w:r>
      <w:r>
        <w:rPr>
          <w:rFonts w:ascii="宋体" w:hAnsi="宋体"/>
          <w:color w:val="000000"/>
          <w:kern w:val="2"/>
        </w:rPr>
        <w:t>项目经理必须与承包人投标</w:t>
      </w:r>
      <w:r>
        <w:rPr>
          <w:rFonts w:hint="eastAsia" w:ascii="宋体" w:hAnsi="宋体"/>
          <w:color w:val="000000"/>
          <w:kern w:val="2"/>
        </w:rPr>
        <w:t>时</w:t>
      </w:r>
      <w:r>
        <w:rPr>
          <w:rFonts w:ascii="宋体" w:hAnsi="宋体"/>
          <w:color w:val="000000"/>
          <w:kern w:val="2"/>
        </w:rPr>
        <w:t>所</w:t>
      </w:r>
      <w:r>
        <w:rPr>
          <w:rFonts w:hint="eastAsia" w:ascii="宋体" w:hAnsi="宋体"/>
          <w:color w:val="000000"/>
          <w:kern w:val="2"/>
        </w:rPr>
        <w:t>承诺的</w:t>
      </w:r>
      <w:r>
        <w:rPr>
          <w:rFonts w:ascii="宋体" w:hAnsi="宋体"/>
          <w:color w:val="000000"/>
          <w:kern w:val="2"/>
        </w:rPr>
        <w:t>人员一致</w:t>
      </w:r>
      <w:r>
        <w:rPr>
          <w:rFonts w:hint="eastAsia" w:ascii="宋体" w:hAnsi="宋体"/>
          <w:color w:val="000000"/>
          <w:kern w:val="2"/>
        </w:rPr>
        <w:t>，并在根据通用合同条款第11.1.1项确定的开工日期前到任</w:t>
      </w:r>
      <w:r>
        <w:rPr>
          <w:rFonts w:ascii="宋体" w:hAnsi="宋体"/>
          <w:color w:val="000000"/>
          <w:kern w:val="2"/>
        </w:rPr>
        <w:t>。</w:t>
      </w:r>
      <w:r>
        <w:rPr>
          <w:rFonts w:hint="eastAsia" w:ascii="宋体" w:hAnsi="宋体"/>
          <w:color w:val="000000"/>
          <w:kern w:val="2"/>
        </w:rPr>
        <w:t>在监理人颁发本工程工程接收证书前，</w:t>
      </w:r>
      <w:r>
        <w:rPr>
          <w:rFonts w:ascii="宋体" w:hAnsi="宋体"/>
          <w:color w:val="000000"/>
          <w:kern w:val="2"/>
        </w:rPr>
        <w:t>项目经理不得同时兼任</w:t>
      </w:r>
      <w:r>
        <w:rPr>
          <w:rFonts w:hint="eastAsia" w:ascii="宋体" w:hAnsi="宋体"/>
          <w:color w:val="000000"/>
          <w:kern w:val="2"/>
        </w:rPr>
        <w:t>其他任何</w:t>
      </w:r>
      <w:r>
        <w:rPr>
          <w:rFonts w:ascii="宋体" w:hAnsi="宋体"/>
          <w:color w:val="000000"/>
          <w:kern w:val="2"/>
        </w:rPr>
        <w:t>项目的项目经理。</w:t>
      </w:r>
      <w:r>
        <w:rPr>
          <w:rFonts w:hint="eastAsia" w:ascii="宋体" w:hAnsi="宋体"/>
          <w:color w:val="000000"/>
          <w:kern w:val="2"/>
        </w:rPr>
        <w:t>未经发包人书面许可，承包人</w:t>
      </w:r>
      <w:r>
        <w:rPr>
          <w:rFonts w:ascii="宋体" w:hAnsi="宋体"/>
          <w:color w:val="000000"/>
          <w:kern w:val="2"/>
        </w:rPr>
        <w:t>不得更换</w:t>
      </w:r>
      <w:r>
        <w:rPr>
          <w:rFonts w:hint="eastAsia" w:ascii="宋体" w:hAnsi="宋体"/>
          <w:color w:val="000000"/>
          <w:kern w:val="2"/>
        </w:rPr>
        <w:t>项目经理。承包人项目经理的姓名、职称、身份证号、注册执业资格证书号、注册证书号、执业印章号等细节资料应当在合同协议书中载明。</w:t>
      </w:r>
    </w:p>
    <w:p>
      <w:pPr>
        <w:keepNext/>
        <w:keepLines/>
        <w:spacing w:before="120" w:after="120"/>
        <w:jc w:val="both"/>
        <w:outlineLvl w:val="2"/>
        <w:rPr>
          <w:rFonts w:ascii="宋体" w:hAnsi="宋体" w:cs="TimesNewRomanPSMT"/>
          <w:b/>
          <w:color w:val="000000"/>
        </w:rPr>
      </w:pPr>
      <w:bookmarkStart w:id="331" w:name="_Toc144974618"/>
      <w:bookmarkStart w:id="332" w:name="_Toc179632668"/>
      <w:bookmarkStart w:id="333" w:name="_Toc260305571"/>
      <w:bookmarkStart w:id="334" w:name="_Toc152045650"/>
      <w:bookmarkStart w:id="335" w:name="_Toc152042428"/>
      <w:bookmarkStart w:id="336" w:name="_Toc199152010"/>
      <w:r>
        <w:rPr>
          <w:rFonts w:ascii="宋体" w:hAnsi="宋体" w:cs="TimesNewRomanPSMT"/>
          <w:b/>
          <w:color w:val="000000"/>
        </w:rPr>
        <w:t>4.11 不利物质条件</w:t>
      </w:r>
      <w:bookmarkEnd w:id="331"/>
      <w:bookmarkEnd w:id="332"/>
      <w:bookmarkEnd w:id="333"/>
      <w:bookmarkEnd w:id="334"/>
      <w:bookmarkEnd w:id="335"/>
      <w:bookmarkEnd w:id="336"/>
    </w:p>
    <w:p>
      <w:pPr>
        <w:jc w:val="both"/>
        <w:rPr>
          <w:rFonts w:ascii="仿宋_GB2312" w:hAnsi="宋体" w:eastAsia="仿宋_GB2312"/>
          <w:color w:val="000000"/>
          <w:kern w:val="2"/>
          <w:sz w:val="21"/>
          <w:szCs w:val="21"/>
          <w:u w:val="single"/>
        </w:rPr>
      </w:pPr>
      <w:bookmarkStart w:id="337" w:name="_Toc152042429"/>
      <w:bookmarkStart w:id="338" w:name="_Toc144974619"/>
      <w:bookmarkStart w:id="339" w:name="_Toc179632669"/>
      <w:bookmarkStart w:id="340" w:name="_Toc152045651"/>
      <w:r>
        <w:rPr>
          <w:rFonts w:hint="eastAsia" w:ascii="宋体" w:hAnsi="宋体"/>
          <w:color w:val="000000"/>
          <w:kern w:val="2"/>
        </w:rPr>
        <w:t>4.11.1不利物质条件的范围：</w:t>
      </w:r>
      <w:r>
        <w:rPr>
          <w:rFonts w:hint="eastAsia" w:ascii="宋体" w:hAnsi="宋体"/>
          <w:color w:val="000000"/>
          <w:kern w:val="2"/>
          <w:u w:val="single"/>
        </w:rPr>
        <w:t>　　无　　</w:t>
      </w:r>
      <w:r>
        <w:rPr>
          <w:rFonts w:hint="eastAsia" w:ascii="宋体" w:hAnsi="宋体"/>
          <w:color w:val="000000"/>
          <w:kern w:val="2"/>
        </w:rPr>
        <w:t>。</w:t>
      </w:r>
    </w:p>
    <w:p>
      <w:pPr>
        <w:keepNext/>
        <w:keepLines/>
        <w:spacing w:before="120" w:after="120"/>
        <w:jc w:val="both"/>
        <w:outlineLvl w:val="1"/>
        <w:rPr>
          <w:rFonts w:ascii="宋体" w:hAnsi="宋体" w:cs="TimesNewRomanPSMT"/>
          <w:b/>
          <w:color w:val="000000"/>
          <w:sz w:val="28"/>
          <w:szCs w:val="28"/>
        </w:rPr>
      </w:pPr>
      <w:bookmarkStart w:id="341" w:name="_Toc260305572"/>
      <w:bookmarkStart w:id="342" w:name="_Toc199152011"/>
      <w:r>
        <w:rPr>
          <w:rFonts w:ascii="宋体" w:hAnsi="宋体" w:cs="TimesNewRomanPSMT"/>
          <w:b/>
          <w:color w:val="000000"/>
          <w:sz w:val="28"/>
          <w:szCs w:val="28"/>
        </w:rPr>
        <w:t>5. 材料和工程设备</w:t>
      </w:r>
      <w:bookmarkEnd w:id="337"/>
      <w:bookmarkEnd w:id="338"/>
      <w:bookmarkEnd w:id="339"/>
      <w:bookmarkEnd w:id="340"/>
      <w:bookmarkEnd w:id="341"/>
      <w:bookmarkEnd w:id="342"/>
    </w:p>
    <w:p>
      <w:pPr>
        <w:keepNext/>
        <w:keepLines/>
        <w:spacing w:before="120" w:after="120"/>
        <w:jc w:val="both"/>
        <w:outlineLvl w:val="2"/>
        <w:rPr>
          <w:rFonts w:ascii="宋体" w:hAnsi="宋体" w:cs="TimesNewRomanPSMT"/>
          <w:b/>
          <w:color w:val="000000"/>
        </w:rPr>
      </w:pPr>
      <w:bookmarkStart w:id="343" w:name="_Toc152042430"/>
      <w:bookmarkStart w:id="344" w:name="_Toc179632670"/>
      <w:bookmarkStart w:id="345" w:name="_Toc144974620"/>
      <w:bookmarkStart w:id="346" w:name="_Toc152045652"/>
      <w:bookmarkStart w:id="347" w:name="_Toc260305573"/>
      <w:bookmarkStart w:id="348" w:name="_Toc199152012"/>
      <w:r>
        <w:rPr>
          <w:rFonts w:ascii="宋体" w:hAnsi="宋体" w:cs="TimesNewRomanPSMT"/>
          <w:b/>
          <w:color w:val="000000"/>
        </w:rPr>
        <w:t>5.1 承包人提供的材料和工程设备</w:t>
      </w:r>
      <w:bookmarkEnd w:id="343"/>
      <w:bookmarkEnd w:id="344"/>
      <w:bookmarkEnd w:id="345"/>
      <w:bookmarkEnd w:id="346"/>
      <w:bookmarkEnd w:id="347"/>
      <w:bookmarkEnd w:id="348"/>
    </w:p>
    <w:p>
      <w:pPr>
        <w:jc w:val="both"/>
        <w:rPr>
          <w:rFonts w:ascii="宋体" w:hAnsi="宋体"/>
          <w:color w:val="000000"/>
          <w:kern w:val="2"/>
        </w:rPr>
      </w:pPr>
      <w:r>
        <w:rPr>
          <w:rFonts w:hint="eastAsia" w:ascii="宋体" w:hAnsi="宋体"/>
          <w:color w:val="000000"/>
          <w:kern w:val="2"/>
        </w:rPr>
        <w:t>5.1.1除专用合同条款第5.2款约定由发包人提供的材料和工程设备外，由承包人提供的材料和工程设备均由承包人负责采购、运输和保管。但是，发包人在工程量清单中给定暂估价的材料和工程设备，包括从暂列金额开支的材料和工程设备，其中属于依法必须招标的范围并</w:t>
      </w:r>
      <w:r>
        <w:rPr>
          <w:rFonts w:hint="eastAsia" w:ascii="宋体" w:hAnsi="宋体" w:cs="Arial"/>
          <w:color w:val="000000"/>
          <w:kern w:val="2"/>
        </w:rPr>
        <w:t>达到规定的规模标准的，以及虽不属于依法必须招标的范围但合同中约定采用招标方式采购的，应当按专用合同条款第15.8.1款的约定，</w:t>
      </w:r>
      <w:r>
        <w:rPr>
          <w:rFonts w:hint="eastAsia" w:ascii="宋体" w:hAnsi="宋体"/>
          <w:color w:val="000000"/>
          <w:kern w:val="2"/>
        </w:rPr>
        <w:t>由发包人和承包人以招标方式确定专项供应商。承包人负责提供的主要材料和工程设备清单见附件二“承包人提供的材料和工程设备一览表”。</w:t>
      </w:r>
    </w:p>
    <w:p>
      <w:pPr>
        <w:jc w:val="both"/>
        <w:rPr>
          <w:rFonts w:ascii="Arial" w:hAnsi="Arial" w:cs="Arial"/>
          <w:color w:val="000000"/>
          <w:kern w:val="2"/>
          <w:sz w:val="21"/>
          <w:szCs w:val="22"/>
        </w:rPr>
      </w:pPr>
      <w:r>
        <w:rPr>
          <w:rFonts w:hint="eastAsia" w:ascii="宋体" w:hAnsi="宋体"/>
          <w:color w:val="000000"/>
          <w:kern w:val="2"/>
        </w:rPr>
        <w:t>5.1.2 承包人将由其提供的材料和工程设备的供货人及品种、规格、数量和供货时间等报送监理人审批的期限：</w:t>
      </w:r>
      <w:r>
        <w:rPr>
          <w:rFonts w:hint="eastAsia" w:ascii="宋体" w:hAnsi="宋体"/>
          <w:color w:val="000000"/>
          <w:kern w:val="2"/>
          <w:u w:val="single"/>
        </w:rPr>
        <w:t>　同《通用条款》　　　</w:t>
      </w:r>
      <w:r>
        <w:rPr>
          <w:rFonts w:hint="eastAsia" w:ascii="宋体" w:hAnsi="宋体"/>
          <w:color w:val="000000"/>
          <w:kern w:val="2"/>
        </w:rPr>
        <w:t>。</w:t>
      </w:r>
      <w:r>
        <w:rPr>
          <w:rFonts w:hint="eastAsia" w:ascii="黑体" w:hAnsi="Calibri" w:eastAsia="黑体"/>
          <w:color w:val="000000"/>
          <w:kern w:val="2"/>
          <w:sz w:val="21"/>
          <w:szCs w:val="21"/>
        </w:rPr>
        <w:t xml:space="preserve"> </w:t>
      </w:r>
    </w:p>
    <w:p>
      <w:pPr>
        <w:keepNext/>
        <w:keepLines/>
        <w:spacing w:before="120" w:after="120"/>
        <w:jc w:val="both"/>
        <w:outlineLvl w:val="2"/>
        <w:rPr>
          <w:rFonts w:ascii="宋体" w:hAnsi="宋体" w:cs="TimesNewRomanPSMT"/>
          <w:b/>
          <w:color w:val="000000"/>
        </w:rPr>
      </w:pPr>
      <w:bookmarkStart w:id="349" w:name="_Toc199152013"/>
      <w:bookmarkStart w:id="350" w:name="_Toc260305574"/>
      <w:bookmarkStart w:id="351" w:name="_Toc144974621"/>
      <w:bookmarkStart w:id="352" w:name="_Toc179632671"/>
      <w:bookmarkStart w:id="353" w:name="_Toc152042431"/>
      <w:bookmarkStart w:id="354" w:name="_Toc152045653"/>
      <w:r>
        <w:rPr>
          <w:rFonts w:ascii="宋体" w:hAnsi="宋体" w:cs="TimesNewRomanPSMT"/>
          <w:b/>
          <w:color w:val="000000"/>
        </w:rPr>
        <w:t>5.2 发包人提供的材料和工程设备</w:t>
      </w:r>
      <w:bookmarkEnd w:id="349"/>
      <w:bookmarkEnd w:id="350"/>
      <w:bookmarkEnd w:id="351"/>
      <w:bookmarkEnd w:id="352"/>
      <w:bookmarkEnd w:id="353"/>
      <w:bookmarkEnd w:id="354"/>
    </w:p>
    <w:p>
      <w:pPr>
        <w:jc w:val="both"/>
        <w:rPr>
          <w:rFonts w:ascii="宋体" w:hAnsi="宋体"/>
          <w:color w:val="000000"/>
          <w:kern w:val="2"/>
        </w:rPr>
      </w:pPr>
      <w:r>
        <w:rPr>
          <w:rFonts w:hint="eastAsia" w:ascii="宋体" w:hAnsi="宋体"/>
          <w:color w:val="000000"/>
          <w:kern w:val="2"/>
        </w:rPr>
        <w:t>5.2.1发包人负责提供的材料和工程设备的名称、规格、数量、价格、交货方式、交货地点和计划交货日期等见附件三“发包人提供的材料和工程设备一览表”。</w:t>
      </w:r>
    </w:p>
    <w:p>
      <w:pPr>
        <w:jc w:val="both"/>
        <w:rPr>
          <w:rFonts w:ascii="宋体" w:hAnsi="宋体"/>
          <w:color w:val="000000"/>
          <w:kern w:val="2"/>
        </w:rPr>
      </w:pPr>
      <w:r>
        <w:rPr>
          <w:rFonts w:hint="eastAsia" w:ascii="宋体" w:hAnsi="宋体"/>
          <w:color w:val="000000"/>
          <w:kern w:val="2"/>
        </w:rPr>
        <w:t>5.2.3由发包人提供的材料和工程设备验收后，由承包人负责接收、运输和保管。</w:t>
      </w:r>
    </w:p>
    <w:p>
      <w:pPr>
        <w:keepNext/>
        <w:keepLines/>
        <w:spacing w:before="120" w:after="120"/>
        <w:jc w:val="both"/>
        <w:outlineLvl w:val="1"/>
        <w:rPr>
          <w:rFonts w:ascii="宋体" w:hAnsi="宋体" w:cs="TimesNewRomanPSMT"/>
          <w:b/>
          <w:color w:val="000000"/>
          <w:sz w:val="28"/>
          <w:szCs w:val="28"/>
        </w:rPr>
      </w:pPr>
      <w:bookmarkStart w:id="355" w:name="_Toc260305575"/>
      <w:bookmarkStart w:id="356" w:name="_Toc199152014"/>
      <w:bookmarkStart w:id="357" w:name="_Toc179632674"/>
      <w:bookmarkStart w:id="358" w:name="_Toc144974624"/>
      <w:bookmarkStart w:id="359" w:name="_Toc152045656"/>
      <w:bookmarkStart w:id="360" w:name="_Toc152042434"/>
      <w:r>
        <w:rPr>
          <w:rFonts w:ascii="宋体" w:hAnsi="宋体" w:cs="TimesNewRomanPSMT"/>
          <w:b/>
          <w:color w:val="000000"/>
          <w:sz w:val="28"/>
          <w:szCs w:val="28"/>
        </w:rPr>
        <w:t>6. 施工设备和临时设施</w:t>
      </w:r>
      <w:bookmarkEnd w:id="355"/>
      <w:bookmarkEnd w:id="356"/>
      <w:bookmarkEnd w:id="357"/>
      <w:bookmarkEnd w:id="358"/>
      <w:bookmarkEnd w:id="359"/>
      <w:bookmarkEnd w:id="360"/>
    </w:p>
    <w:p>
      <w:pPr>
        <w:keepNext/>
        <w:keepLines/>
        <w:spacing w:before="120" w:after="120"/>
        <w:jc w:val="both"/>
        <w:outlineLvl w:val="2"/>
        <w:rPr>
          <w:rFonts w:ascii="宋体" w:hAnsi="宋体" w:cs="TimesNewRomanPSMT"/>
          <w:b/>
          <w:color w:val="000000"/>
        </w:rPr>
      </w:pPr>
      <w:bookmarkStart w:id="361" w:name="_Toc260305576"/>
      <w:bookmarkStart w:id="362" w:name="_Toc179632675"/>
      <w:bookmarkStart w:id="363" w:name="_Toc199152015"/>
      <w:bookmarkStart w:id="364" w:name="_Toc144974625"/>
      <w:bookmarkStart w:id="365" w:name="_Toc152045657"/>
      <w:bookmarkStart w:id="366" w:name="_Toc152042435"/>
      <w:r>
        <w:rPr>
          <w:rFonts w:ascii="宋体" w:hAnsi="宋体" w:cs="TimesNewRomanPSMT"/>
          <w:b/>
          <w:color w:val="000000"/>
        </w:rPr>
        <w:t>6.1 承包人提供的施工设备和临时设施</w:t>
      </w:r>
      <w:bookmarkEnd w:id="361"/>
      <w:bookmarkEnd w:id="362"/>
      <w:bookmarkEnd w:id="363"/>
      <w:bookmarkEnd w:id="364"/>
      <w:bookmarkEnd w:id="365"/>
      <w:bookmarkEnd w:id="366"/>
    </w:p>
    <w:p>
      <w:pPr>
        <w:jc w:val="both"/>
        <w:rPr>
          <w:rFonts w:ascii="宋体" w:hAnsi="宋体"/>
          <w:color w:val="000000"/>
          <w:kern w:val="2"/>
        </w:rPr>
      </w:pPr>
      <w:r>
        <w:rPr>
          <w:rFonts w:hint="eastAsia" w:ascii="宋体" w:hAnsi="宋体"/>
          <w:color w:val="000000"/>
          <w:kern w:val="2"/>
        </w:rPr>
        <w:t>6.1.2发包人承担修建临时设施的费用的范围：</w:t>
      </w:r>
      <w:r>
        <w:rPr>
          <w:rFonts w:hint="eastAsia" w:ascii="宋体" w:hAnsi="宋体"/>
          <w:color w:val="000000"/>
          <w:kern w:val="2"/>
          <w:u w:val="single"/>
        </w:rPr>
        <w:t>　无　　　</w:t>
      </w:r>
      <w:r>
        <w:rPr>
          <w:rFonts w:hint="eastAsia" w:ascii="宋体" w:hAnsi="宋体"/>
          <w:color w:val="000000"/>
          <w:kern w:val="2"/>
        </w:rPr>
        <w:t xml:space="preserve">。 </w:t>
      </w:r>
    </w:p>
    <w:p>
      <w:pPr>
        <w:jc w:val="both"/>
        <w:rPr>
          <w:rFonts w:ascii="宋体" w:hAnsi="宋体" w:cs="Arial"/>
          <w:color w:val="000000"/>
          <w:kern w:val="2"/>
        </w:rPr>
      </w:pPr>
      <w:r>
        <w:rPr>
          <w:rFonts w:hint="eastAsia" w:ascii="宋体" w:hAnsi="宋体"/>
          <w:color w:val="000000"/>
          <w:kern w:val="2"/>
        </w:rPr>
        <w:t>需要发包人办理申请手续和承担相关费用的临时占地：</w:t>
      </w:r>
      <w:r>
        <w:rPr>
          <w:rFonts w:hint="eastAsia" w:ascii="宋体" w:hAnsi="宋体"/>
          <w:color w:val="000000"/>
          <w:kern w:val="2"/>
          <w:u w:val="single"/>
        </w:rPr>
        <w:t>　无　　　</w:t>
      </w:r>
      <w:r>
        <w:rPr>
          <w:rFonts w:hint="eastAsia" w:ascii="宋体" w:hAnsi="宋体"/>
          <w:color w:val="000000"/>
          <w:kern w:val="2"/>
        </w:rPr>
        <w:t xml:space="preserve">。 </w:t>
      </w:r>
    </w:p>
    <w:p>
      <w:pPr>
        <w:keepNext/>
        <w:keepLines/>
        <w:spacing w:before="120" w:after="120"/>
        <w:jc w:val="both"/>
        <w:outlineLvl w:val="2"/>
        <w:rPr>
          <w:rFonts w:ascii="宋体" w:hAnsi="宋体" w:cs="TimesNewRomanPSMT"/>
          <w:b/>
          <w:color w:val="000000"/>
        </w:rPr>
      </w:pPr>
      <w:bookmarkStart w:id="367" w:name="_Toc152042436"/>
      <w:bookmarkStart w:id="368" w:name="_Toc199152016"/>
      <w:bookmarkStart w:id="369" w:name="_Toc260305577"/>
      <w:bookmarkStart w:id="370" w:name="_Toc152045658"/>
      <w:bookmarkStart w:id="371" w:name="_Toc144974626"/>
      <w:bookmarkStart w:id="372" w:name="_Toc179632676"/>
      <w:r>
        <w:rPr>
          <w:rFonts w:ascii="宋体" w:hAnsi="宋体" w:cs="TimesNewRomanPSMT"/>
          <w:b/>
          <w:color w:val="000000"/>
        </w:rPr>
        <w:t>6.2 发包人提供的施工设备和临时设施</w:t>
      </w:r>
      <w:bookmarkEnd w:id="367"/>
      <w:bookmarkEnd w:id="368"/>
      <w:bookmarkEnd w:id="369"/>
      <w:bookmarkEnd w:id="370"/>
      <w:bookmarkEnd w:id="371"/>
      <w:bookmarkEnd w:id="372"/>
    </w:p>
    <w:p>
      <w:pPr>
        <w:jc w:val="both"/>
        <w:rPr>
          <w:rFonts w:ascii="宋体" w:hAnsi="宋体" w:cs="Arial"/>
          <w:color w:val="000000"/>
          <w:kern w:val="2"/>
        </w:rPr>
      </w:pPr>
      <w:r>
        <w:rPr>
          <w:rFonts w:hint="eastAsia" w:ascii="宋体" w:hAnsi="宋体"/>
          <w:color w:val="000000"/>
          <w:kern w:val="2"/>
        </w:rPr>
        <w:t>发包人提供的施工设备和临时设施：</w:t>
      </w:r>
      <w:r>
        <w:rPr>
          <w:rFonts w:hint="eastAsia" w:ascii="宋体" w:hAnsi="宋体"/>
          <w:color w:val="000000"/>
          <w:kern w:val="2"/>
          <w:u w:val="single"/>
        </w:rPr>
        <w:t>　无　　　</w:t>
      </w:r>
      <w:r>
        <w:rPr>
          <w:rFonts w:hint="eastAsia" w:ascii="宋体" w:hAnsi="宋体"/>
          <w:color w:val="000000"/>
          <w:kern w:val="2"/>
        </w:rPr>
        <w:t>。</w:t>
      </w:r>
    </w:p>
    <w:p>
      <w:pPr>
        <w:keepNext/>
        <w:keepLines/>
        <w:spacing w:before="120" w:after="120"/>
        <w:jc w:val="both"/>
        <w:outlineLvl w:val="2"/>
        <w:rPr>
          <w:rFonts w:ascii="宋体" w:hAnsi="宋体" w:cs="TimesNewRomanPSMT"/>
          <w:b/>
          <w:color w:val="000000"/>
        </w:rPr>
      </w:pPr>
      <w:bookmarkStart w:id="373" w:name="_Toc260305578"/>
      <w:bookmarkStart w:id="374" w:name="_Toc179632678"/>
      <w:bookmarkStart w:id="375" w:name="_Toc144974628"/>
      <w:bookmarkStart w:id="376" w:name="_Toc152042438"/>
      <w:bookmarkStart w:id="377" w:name="_Toc199152017"/>
      <w:bookmarkStart w:id="378" w:name="_Toc152045660"/>
      <w:r>
        <w:rPr>
          <w:rFonts w:ascii="宋体" w:hAnsi="宋体" w:cs="TimesNewRomanPSMT"/>
          <w:b/>
          <w:color w:val="000000"/>
        </w:rPr>
        <w:t>6.4 施工设备和临时设施专用于合同工程</w:t>
      </w:r>
      <w:bookmarkEnd w:id="373"/>
      <w:bookmarkEnd w:id="374"/>
      <w:bookmarkEnd w:id="375"/>
      <w:bookmarkEnd w:id="376"/>
      <w:bookmarkEnd w:id="377"/>
      <w:bookmarkEnd w:id="378"/>
    </w:p>
    <w:p>
      <w:pPr>
        <w:jc w:val="both"/>
        <w:rPr>
          <w:rFonts w:ascii="宋体" w:hAnsi="宋体" w:cs="Arial"/>
          <w:color w:val="000000"/>
          <w:kern w:val="2"/>
          <w:u w:val="single"/>
          <w:bdr w:val="single" w:color="auto" w:sz="4" w:space="0"/>
        </w:rPr>
      </w:pPr>
      <w:r>
        <w:rPr>
          <w:rFonts w:hint="eastAsia" w:ascii="宋体" w:hAnsi="宋体"/>
          <w:color w:val="000000"/>
          <w:kern w:val="2"/>
        </w:rPr>
        <w:t>6.4.1除为专用合同条款第4.1.8款约定的其他独立承包人和监理人指示的他人提供条件外,承包人运入施工场地的所有</w:t>
      </w:r>
      <w:r>
        <w:rPr>
          <w:rFonts w:ascii="宋体" w:hAnsi="宋体"/>
          <w:color w:val="000000"/>
          <w:kern w:val="2"/>
        </w:rPr>
        <w:t>施工设备</w:t>
      </w:r>
      <w:r>
        <w:rPr>
          <w:rFonts w:hint="eastAsia" w:ascii="宋体" w:hAnsi="宋体"/>
          <w:color w:val="000000"/>
          <w:kern w:val="2"/>
        </w:rPr>
        <w:t>以及在施工场地建设的</w:t>
      </w:r>
      <w:r>
        <w:rPr>
          <w:rFonts w:ascii="宋体" w:hAnsi="宋体"/>
          <w:color w:val="000000"/>
          <w:kern w:val="2"/>
        </w:rPr>
        <w:t>临时设施</w:t>
      </w:r>
      <w:r>
        <w:rPr>
          <w:rFonts w:hint="eastAsia" w:ascii="宋体" w:hAnsi="宋体"/>
          <w:color w:val="000000"/>
          <w:kern w:val="2"/>
        </w:rPr>
        <w:t>仅限于用于合同工程。</w:t>
      </w:r>
    </w:p>
    <w:p>
      <w:pPr>
        <w:keepNext/>
        <w:keepLines/>
        <w:spacing w:before="120" w:after="120"/>
        <w:jc w:val="both"/>
        <w:outlineLvl w:val="1"/>
        <w:rPr>
          <w:rFonts w:ascii="宋体" w:hAnsi="宋体" w:cs="TimesNewRomanPSMT"/>
          <w:b/>
          <w:color w:val="000000"/>
          <w:sz w:val="28"/>
          <w:szCs w:val="28"/>
        </w:rPr>
      </w:pPr>
      <w:bookmarkStart w:id="379" w:name="_Toc144974629"/>
      <w:bookmarkStart w:id="380" w:name="_Toc179632679"/>
      <w:bookmarkStart w:id="381" w:name="_Toc199152018"/>
      <w:bookmarkStart w:id="382" w:name="_Toc260305579"/>
      <w:bookmarkStart w:id="383" w:name="_Toc152045661"/>
      <w:bookmarkStart w:id="384" w:name="_Toc152042439"/>
      <w:r>
        <w:rPr>
          <w:rFonts w:ascii="宋体" w:hAnsi="宋体" w:cs="TimesNewRomanPSMT"/>
          <w:b/>
          <w:color w:val="000000"/>
          <w:sz w:val="28"/>
          <w:szCs w:val="28"/>
        </w:rPr>
        <w:t>7. 交通运输</w:t>
      </w:r>
      <w:bookmarkEnd w:id="379"/>
      <w:bookmarkEnd w:id="380"/>
      <w:bookmarkEnd w:id="381"/>
      <w:bookmarkEnd w:id="382"/>
      <w:bookmarkEnd w:id="383"/>
      <w:bookmarkEnd w:id="384"/>
    </w:p>
    <w:p>
      <w:pPr>
        <w:keepNext/>
        <w:keepLines/>
        <w:spacing w:before="120" w:after="120"/>
        <w:jc w:val="both"/>
        <w:outlineLvl w:val="2"/>
        <w:rPr>
          <w:rFonts w:ascii="宋体" w:hAnsi="宋体" w:cs="TimesNewRomanPSMT"/>
          <w:b/>
          <w:color w:val="000000"/>
        </w:rPr>
      </w:pPr>
      <w:bookmarkStart w:id="385" w:name="_Toc179632680"/>
      <w:bookmarkStart w:id="386" w:name="_Toc144974630"/>
      <w:bookmarkStart w:id="387" w:name="_Toc260305580"/>
      <w:bookmarkStart w:id="388" w:name="_Toc199152019"/>
      <w:bookmarkStart w:id="389" w:name="_Toc152042440"/>
      <w:bookmarkStart w:id="390" w:name="_Toc152045662"/>
      <w:r>
        <w:rPr>
          <w:rFonts w:ascii="宋体" w:hAnsi="宋体" w:cs="TimesNewRomanPSMT"/>
          <w:b/>
          <w:color w:val="000000"/>
        </w:rPr>
        <w:t>7.1 道路通行权和场外设施</w:t>
      </w:r>
      <w:bookmarkEnd w:id="385"/>
      <w:bookmarkEnd w:id="386"/>
      <w:bookmarkEnd w:id="387"/>
      <w:bookmarkEnd w:id="388"/>
      <w:bookmarkEnd w:id="389"/>
      <w:bookmarkEnd w:id="390"/>
    </w:p>
    <w:p>
      <w:pPr>
        <w:jc w:val="both"/>
        <w:rPr>
          <w:rFonts w:ascii="宋体" w:hAnsi="宋体"/>
          <w:color w:val="000000"/>
          <w:kern w:val="2"/>
          <w:u w:val="single"/>
        </w:rPr>
      </w:pPr>
      <w:r>
        <w:rPr>
          <w:rFonts w:hint="eastAsia" w:ascii="宋体" w:hAnsi="宋体"/>
          <w:color w:val="000000"/>
          <w:kern w:val="2"/>
        </w:rPr>
        <w:t>取得道路通行权、修建场外设施权并承担相关费用的办理人:</w:t>
      </w:r>
      <w:r>
        <w:rPr>
          <w:rFonts w:hint="eastAsia" w:ascii="宋体" w:hAnsi="宋体"/>
          <w:color w:val="000000"/>
          <w:kern w:val="2"/>
          <w:u w:val="single"/>
        </w:rPr>
        <w:t xml:space="preserve"> 　无　　　</w:t>
      </w:r>
      <w:r>
        <w:rPr>
          <w:rFonts w:hint="eastAsia" w:ascii="宋体" w:hAnsi="宋体"/>
          <w:color w:val="000000"/>
          <w:kern w:val="2"/>
        </w:rPr>
        <w:t>。</w:t>
      </w:r>
    </w:p>
    <w:p>
      <w:pPr>
        <w:keepNext/>
        <w:keepLines/>
        <w:spacing w:before="120" w:after="120"/>
        <w:jc w:val="both"/>
        <w:outlineLvl w:val="2"/>
        <w:rPr>
          <w:rFonts w:ascii="宋体" w:hAnsi="宋体" w:cs="TimesNewRomanPSMT"/>
          <w:b/>
          <w:color w:val="000000"/>
        </w:rPr>
      </w:pPr>
      <w:bookmarkStart w:id="391" w:name="_Toc179632681"/>
      <w:bookmarkStart w:id="392" w:name="_Toc144974631"/>
      <w:bookmarkStart w:id="393" w:name="_Toc260305581"/>
      <w:bookmarkStart w:id="394" w:name="_Toc199152020"/>
      <w:bookmarkStart w:id="395" w:name="_Toc152042441"/>
      <w:bookmarkStart w:id="396" w:name="_Toc152045663"/>
      <w:r>
        <w:rPr>
          <w:rFonts w:ascii="宋体" w:hAnsi="宋体" w:cs="TimesNewRomanPSMT"/>
          <w:b/>
          <w:color w:val="000000"/>
        </w:rPr>
        <w:t>7.2 场内施工道路</w:t>
      </w:r>
      <w:bookmarkEnd w:id="391"/>
      <w:bookmarkEnd w:id="392"/>
      <w:bookmarkEnd w:id="393"/>
      <w:bookmarkEnd w:id="394"/>
      <w:bookmarkEnd w:id="395"/>
      <w:bookmarkEnd w:id="396"/>
    </w:p>
    <w:p>
      <w:pPr>
        <w:jc w:val="both"/>
        <w:rPr>
          <w:rFonts w:ascii="宋体" w:hAnsi="宋体"/>
          <w:color w:val="000000"/>
          <w:kern w:val="2"/>
        </w:rPr>
      </w:pPr>
      <w:r>
        <w:rPr>
          <w:rFonts w:hint="eastAsia" w:ascii="宋体" w:hAnsi="宋体"/>
          <w:color w:val="000000"/>
          <w:kern w:val="2"/>
        </w:rPr>
        <w:t>7.2.1施工所需的场内临时道路和交通设施的修建、维护、养护和管理人</w:t>
      </w:r>
      <w:r>
        <w:rPr>
          <w:rFonts w:hint="eastAsia" w:ascii="宋体" w:hAnsi="宋体"/>
          <w:color w:val="000000"/>
          <w:kern w:val="2"/>
          <w:u w:val="single"/>
        </w:rPr>
        <w:t>　承包人　　　</w:t>
      </w:r>
      <w:r>
        <w:rPr>
          <w:rFonts w:hint="eastAsia" w:ascii="宋体" w:hAnsi="宋体"/>
          <w:color w:val="000000"/>
          <w:kern w:val="2"/>
        </w:rPr>
        <w:t>。</w:t>
      </w:r>
    </w:p>
    <w:p>
      <w:pPr>
        <w:jc w:val="both"/>
        <w:rPr>
          <w:rFonts w:ascii="宋体" w:hAnsi="宋体"/>
          <w:color w:val="000000"/>
          <w:kern w:val="2"/>
        </w:rPr>
      </w:pPr>
      <w:r>
        <w:rPr>
          <w:rFonts w:hint="eastAsia" w:ascii="宋体" w:hAnsi="宋体"/>
          <w:color w:val="000000"/>
          <w:kern w:val="2"/>
        </w:rPr>
        <w:t>7.2.2发包人和监理人有权无偿使用承包人修建的临时道路和交通设施，不需要交纳任何费用。</w:t>
      </w:r>
    </w:p>
    <w:p>
      <w:pPr>
        <w:keepNext/>
        <w:keepLines/>
        <w:spacing w:before="120" w:after="120"/>
        <w:jc w:val="both"/>
        <w:outlineLvl w:val="2"/>
        <w:rPr>
          <w:rFonts w:ascii="宋体" w:hAnsi="宋体" w:cs="TimesNewRomanPSMT"/>
          <w:b/>
          <w:color w:val="000000"/>
        </w:rPr>
      </w:pPr>
      <w:bookmarkStart w:id="397" w:name="_Toc152045665"/>
      <w:bookmarkStart w:id="398" w:name="_Toc260305582"/>
      <w:bookmarkStart w:id="399" w:name="_Toc179632683"/>
      <w:bookmarkStart w:id="400" w:name="_Toc152042443"/>
      <w:bookmarkStart w:id="401" w:name="_Toc199152021"/>
      <w:bookmarkStart w:id="402" w:name="_Toc144974633"/>
      <w:r>
        <w:rPr>
          <w:rFonts w:ascii="宋体" w:hAnsi="宋体" w:cs="TimesNewRomanPSMT"/>
          <w:b/>
          <w:color w:val="000000"/>
        </w:rPr>
        <w:t>7.4 超大件和超重件的运输</w:t>
      </w:r>
      <w:bookmarkEnd w:id="397"/>
      <w:bookmarkEnd w:id="398"/>
      <w:bookmarkEnd w:id="399"/>
      <w:bookmarkEnd w:id="400"/>
      <w:bookmarkEnd w:id="401"/>
      <w:bookmarkEnd w:id="402"/>
    </w:p>
    <w:p>
      <w:pPr>
        <w:jc w:val="both"/>
        <w:rPr>
          <w:rFonts w:ascii="黑体" w:hAnsi="Calibri" w:eastAsia="黑体"/>
          <w:color w:val="000000"/>
          <w:kern w:val="2"/>
          <w:sz w:val="21"/>
          <w:szCs w:val="21"/>
        </w:rPr>
      </w:pPr>
      <w:bookmarkStart w:id="403" w:name="_Toc152042444"/>
      <w:bookmarkStart w:id="404" w:name="_Toc144974634"/>
      <w:bookmarkStart w:id="405" w:name="_Toc152045666"/>
      <w:bookmarkStart w:id="406" w:name="_Toc179632684"/>
      <w:r>
        <w:rPr>
          <w:rFonts w:hint="eastAsia" w:ascii="宋体" w:hAnsi="宋体"/>
          <w:color w:val="000000"/>
          <w:kern w:val="2"/>
        </w:rPr>
        <w:t>运输超大件或超重件所需的道路和桥梁临时加固改造等费用的承担人：</w:t>
      </w:r>
      <w:r>
        <w:rPr>
          <w:rFonts w:hint="eastAsia" w:ascii="宋体" w:hAnsi="宋体"/>
          <w:color w:val="000000"/>
          <w:kern w:val="2"/>
          <w:u w:val="single"/>
        </w:rPr>
        <w:t>　无　　　</w:t>
      </w:r>
      <w:r>
        <w:rPr>
          <w:rFonts w:hint="eastAsia" w:ascii="宋体" w:hAnsi="宋体"/>
          <w:color w:val="000000"/>
          <w:kern w:val="2"/>
        </w:rPr>
        <w:t>。</w:t>
      </w:r>
    </w:p>
    <w:bookmarkEnd w:id="403"/>
    <w:bookmarkEnd w:id="404"/>
    <w:bookmarkEnd w:id="405"/>
    <w:bookmarkEnd w:id="406"/>
    <w:p>
      <w:pPr>
        <w:keepNext/>
        <w:keepLines/>
        <w:spacing w:before="120" w:after="120"/>
        <w:jc w:val="both"/>
        <w:outlineLvl w:val="1"/>
        <w:rPr>
          <w:rFonts w:ascii="宋体" w:hAnsi="宋体" w:cs="TimesNewRomanPSMT"/>
          <w:b/>
          <w:color w:val="000000"/>
          <w:sz w:val="28"/>
          <w:szCs w:val="28"/>
        </w:rPr>
      </w:pPr>
      <w:bookmarkStart w:id="407" w:name="_Toc179632686"/>
      <w:bookmarkStart w:id="408" w:name="_Toc152045668"/>
      <w:bookmarkStart w:id="409" w:name="_Toc144974636"/>
      <w:bookmarkStart w:id="410" w:name="_Toc199152022"/>
      <w:bookmarkStart w:id="411" w:name="_Toc260305583"/>
      <w:bookmarkStart w:id="412" w:name="_Toc152042446"/>
      <w:r>
        <w:rPr>
          <w:rFonts w:ascii="宋体" w:hAnsi="宋体" w:cs="TimesNewRomanPSMT"/>
          <w:b/>
          <w:color w:val="000000"/>
          <w:sz w:val="28"/>
          <w:szCs w:val="28"/>
        </w:rPr>
        <w:t>8. 测量放线</w:t>
      </w:r>
      <w:bookmarkEnd w:id="407"/>
      <w:bookmarkEnd w:id="408"/>
      <w:bookmarkEnd w:id="409"/>
      <w:bookmarkEnd w:id="410"/>
      <w:bookmarkEnd w:id="411"/>
      <w:bookmarkEnd w:id="412"/>
    </w:p>
    <w:p>
      <w:pPr>
        <w:keepNext/>
        <w:keepLines/>
        <w:spacing w:before="120" w:after="120"/>
        <w:jc w:val="both"/>
        <w:outlineLvl w:val="2"/>
        <w:rPr>
          <w:rFonts w:ascii="宋体" w:hAnsi="宋体" w:cs="TimesNewRomanPSMT"/>
          <w:b/>
          <w:color w:val="000000"/>
        </w:rPr>
      </w:pPr>
      <w:bookmarkStart w:id="413" w:name="_Toc152045669"/>
      <w:bookmarkStart w:id="414" w:name="_Toc179632687"/>
      <w:bookmarkStart w:id="415" w:name="_Toc144974637"/>
      <w:bookmarkStart w:id="416" w:name="_Toc152042447"/>
      <w:bookmarkStart w:id="417" w:name="_Toc199152023"/>
      <w:bookmarkStart w:id="418" w:name="_Toc260305584"/>
      <w:r>
        <w:rPr>
          <w:rFonts w:ascii="宋体" w:hAnsi="宋体" w:cs="TimesNewRomanPSMT"/>
          <w:b/>
          <w:color w:val="000000"/>
        </w:rPr>
        <w:t>8.1 施工控制网</w:t>
      </w:r>
      <w:bookmarkEnd w:id="413"/>
      <w:bookmarkEnd w:id="414"/>
      <w:bookmarkEnd w:id="415"/>
      <w:bookmarkEnd w:id="416"/>
      <w:bookmarkEnd w:id="417"/>
      <w:bookmarkEnd w:id="418"/>
    </w:p>
    <w:p>
      <w:pPr>
        <w:jc w:val="both"/>
        <w:rPr>
          <w:rFonts w:ascii="宋体" w:hAnsi="宋体"/>
          <w:color w:val="000000"/>
          <w:kern w:val="2"/>
        </w:rPr>
      </w:pPr>
      <w:r>
        <w:rPr>
          <w:rFonts w:hint="eastAsia" w:ascii="宋体" w:hAnsi="宋体"/>
          <w:color w:val="000000"/>
          <w:kern w:val="2"/>
        </w:rPr>
        <w:t>8.1.1发包人提供测量基准点、基准线和水准点及其书面资料的期限：</w:t>
      </w:r>
      <w:r>
        <w:rPr>
          <w:rFonts w:hint="eastAsia" w:ascii="宋体" w:hAnsi="宋体"/>
          <w:color w:val="000000"/>
          <w:kern w:val="2"/>
          <w:u w:val="single"/>
        </w:rPr>
        <w:t>　开工后七日内　　　</w:t>
      </w:r>
      <w:r>
        <w:rPr>
          <w:rFonts w:hint="eastAsia" w:ascii="宋体" w:hAnsi="宋体"/>
          <w:color w:val="000000"/>
          <w:kern w:val="2"/>
        </w:rPr>
        <w:t>。</w:t>
      </w:r>
    </w:p>
    <w:p>
      <w:pPr>
        <w:jc w:val="both"/>
        <w:rPr>
          <w:rFonts w:ascii="宋体" w:hAnsi="宋体"/>
          <w:color w:val="000000"/>
          <w:kern w:val="2"/>
        </w:rPr>
      </w:pPr>
      <w:r>
        <w:rPr>
          <w:rFonts w:hint="eastAsia" w:ascii="宋体" w:hAnsi="宋体"/>
          <w:color w:val="000000"/>
          <w:kern w:val="2"/>
        </w:rPr>
        <w:t>承包人测设施工控制网的要求：</w:t>
      </w:r>
      <w:r>
        <w:rPr>
          <w:rFonts w:hint="eastAsia" w:ascii="宋体" w:hAnsi="宋体"/>
          <w:color w:val="000000"/>
          <w:kern w:val="2"/>
          <w:u w:val="single"/>
        </w:rPr>
        <w:t>　签定合同时约定　　　　</w:t>
      </w:r>
      <w:r>
        <w:rPr>
          <w:rFonts w:hint="eastAsia" w:ascii="宋体" w:hAnsi="宋体"/>
          <w:color w:val="000000"/>
          <w:kern w:val="2"/>
        </w:rPr>
        <w:t>。</w:t>
      </w:r>
    </w:p>
    <w:p>
      <w:pPr>
        <w:jc w:val="both"/>
        <w:rPr>
          <w:rFonts w:ascii="宋体" w:hAnsi="宋体"/>
          <w:color w:val="000000"/>
          <w:kern w:val="2"/>
        </w:rPr>
      </w:pPr>
      <w:r>
        <w:rPr>
          <w:rFonts w:hint="eastAsia" w:ascii="宋体" w:hAnsi="宋体"/>
          <w:color w:val="000000"/>
          <w:kern w:val="2"/>
        </w:rPr>
        <w:t>承包人将施工控制网资料报送监理人审批的期限：</w:t>
      </w:r>
      <w:r>
        <w:rPr>
          <w:rFonts w:hint="eastAsia" w:ascii="宋体" w:hAnsi="宋体"/>
          <w:color w:val="000000"/>
          <w:kern w:val="2"/>
          <w:u w:val="single"/>
        </w:rPr>
        <w:t>　签定合同时约定　　　　</w:t>
      </w:r>
      <w:r>
        <w:rPr>
          <w:rFonts w:hint="eastAsia" w:ascii="宋体" w:hAnsi="宋体"/>
          <w:color w:val="000000"/>
          <w:kern w:val="2"/>
        </w:rPr>
        <w:t>。</w:t>
      </w:r>
    </w:p>
    <w:p>
      <w:pPr>
        <w:keepNext/>
        <w:keepLines/>
        <w:spacing w:before="120" w:after="120"/>
        <w:jc w:val="both"/>
        <w:outlineLvl w:val="1"/>
        <w:rPr>
          <w:rFonts w:ascii="宋体" w:hAnsi="宋体" w:cs="TimesNewRomanPSMT"/>
          <w:b/>
          <w:color w:val="000000"/>
          <w:sz w:val="28"/>
          <w:szCs w:val="28"/>
        </w:rPr>
      </w:pPr>
      <w:bookmarkStart w:id="419" w:name="_Toc199152024"/>
      <w:bookmarkStart w:id="420" w:name="_Toc179632691"/>
      <w:bookmarkStart w:id="421" w:name="_Toc144974641"/>
      <w:bookmarkStart w:id="422" w:name="_Toc152042451"/>
      <w:bookmarkStart w:id="423" w:name="_Toc152045673"/>
      <w:bookmarkStart w:id="424" w:name="_Toc260305585"/>
      <w:r>
        <w:rPr>
          <w:rFonts w:ascii="宋体" w:hAnsi="宋体" w:cs="TimesNewRomanPSMT"/>
          <w:b/>
          <w:color w:val="000000"/>
          <w:sz w:val="28"/>
          <w:szCs w:val="28"/>
        </w:rPr>
        <w:t>9. 施工安全、治安保卫和环境保护</w:t>
      </w:r>
      <w:bookmarkEnd w:id="419"/>
      <w:bookmarkEnd w:id="420"/>
      <w:bookmarkEnd w:id="421"/>
      <w:bookmarkEnd w:id="422"/>
      <w:bookmarkEnd w:id="423"/>
      <w:bookmarkEnd w:id="424"/>
    </w:p>
    <w:p>
      <w:pPr>
        <w:keepNext/>
        <w:keepLines/>
        <w:spacing w:before="120" w:after="120"/>
        <w:jc w:val="both"/>
        <w:outlineLvl w:val="2"/>
        <w:rPr>
          <w:rFonts w:ascii="宋体" w:hAnsi="宋体" w:cs="TimesNewRomanPSMT"/>
          <w:b/>
          <w:color w:val="000000"/>
        </w:rPr>
      </w:pPr>
      <w:bookmarkStart w:id="425" w:name="_Toc199152025"/>
      <w:bookmarkStart w:id="426" w:name="_Toc260305586"/>
      <w:bookmarkStart w:id="427" w:name="_Toc152042453"/>
      <w:bookmarkStart w:id="428" w:name="_Toc144974643"/>
      <w:bookmarkStart w:id="429" w:name="_Toc152045675"/>
      <w:bookmarkStart w:id="430" w:name="_Toc179632693"/>
      <w:r>
        <w:rPr>
          <w:rFonts w:ascii="宋体" w:hAnsi="宋体" w:cs="TimesNewRomanPSMT"/>
          <w:b/>
          <w:color w:val="000000"/>
        </w:rPr>
        <w:t>9.2 承包人的施工安全责任</w:t>
      </w:r>
      <w:bookmarkEnd w:id="425"/>
      <w:bookmarkEnd w:id="426"/>
      <w:bookmarkEnd w:id="427"/>
      <w:bookmarkEnd w:id="428"/>
      <w:bookmarkEnd w:id="429"/>
      <w:bookmarkEnd w:id="430"/>
    </w:p>
    <w:p>
      <w:pPr>
        <w:jc w:val="both"/>
        <w:rPr>
          <w:rFonts w:ascii="宋体" w:hAnsi="宋体"/>
          <w:color w:val="000000"/>
          <w:kern w:val="2"/>
        </w:rPr>
      </w:pPr>
      <w:r>
        <w:rPr>
          <w:rFonts w:hint="eastAsia" w:ascii="宋体" w:hAnsi="宋体"/>
          <w:color w:val="000000"/>
          <w:kern w:val="2"/>
        </w:rPr>
        <w:t>9.2.1承包人向监理人报送施工安全措施计划的期限：</w:t>
      </w:r>
      <w:r>
        <w:rPr>
          <w:rFonts w:hint="eastAsia" w:ascii="宋体" w:hAnsi="宋体"/>
          <w:color w:val="000000"/>
          <w:kern w:val="2"/>
          <w:u w:val="single"/>
        </w:rPr>
        <w:t>　　签定合同时约定　　　</w:t>
      </w:r>
      <w:r>
        <w:rPr>
          <w:rFonts w:hint="eastAsia" w:ascii="宋体" w:hAnsi="宋体"/>
          <w:color w:val="000000"/>
          <w:kern w:val="2"/>
        </w:rPr>
        <w:t>。</w:t>
      </w:r>
    </w:p>
    <w:p>
      <w:pPr>
        <w:keepNext/>
        <w:keepLines/>
        <w:spacing w:before="120" w:after="120"/>
        <w:jc w:val="both"/>
        <w:outlineLvl w:val="2"/>
        <w:rPr>
          <w:rFonts w:ascii="宋体" w:hAnsi="宋体" w:cs="TimesNewRomanPSMT"/>
          <w:b/>
          <w:color w:val="000000"/>
        </w:rPr>
      </w:pPr>
      <w:bookmarkStart w:id="431" w:name="_Toc199152026"/>
      <w:bookmarkStart w:id="432" w:name="_Toc179632694"/>
      <w:bookmarkStart w:id="433" w:name="_Toc260305587"/>
      <w:bookmarkStart w:id="434" w:name="_Toc152042454"/>
      <w:bookmarkStart w:id="435" w:name="_Toc152045676"/>
      <w:bookmarkStart w:id="436" w:name="_Toc144974644"/>
      <w:r>
        <w:rPr>
          <w:rFonts w:ascii="宋体" w:hAnsi="宋体" w:cs="TimesNewRomanPSMT"/>
          <w:b/>
          <w:color w:val="000000"/>
        </w:rPr>
        <w:t>9.3 治安保卫</w:t>
      </w:r>
      <w:bookmarkEnd w:id="431"/>
      <w:bookmarkEnd w:id="432"/>
      <w:bookmarkEnd w:id="433"/>
      <w:bookmarkEnd w:id="434"/>
      <w:bookmarkEnd w:id="435"/>
      <w:bookmarkEnd w:id="436"/>
    </w:p>
    <w:p>
      <w:pPr>
        <w:jc w:val="both"/>
        <w:rPr>
          <w:rFonts w:ascii="宋体" w:hAnsi="宋体"/>
          <w:color w:val="000000"/>
          <w:kern w:val="2"/>
        </w:rPr>
      </w:pPr>
      <w:bookmarkStart w:id="437" w:name="_Toc152045677"/>
      <w:bookmarkStart w:id="438" w:name="_Toc144974645"/>
      <w:bookmarkStart w:id="439" w:name="_Toc179632695"/>
      <w:bookmarkStart w:id="440" w:name="_Toc152042455"/>
      <w:r>
        <w:rPr>
          <w:rFonts w:hint="eastAsia" w:ascii="宋体" w:hAnsi="宋体"/>
          <w:color w:val="000000"/>
          <w:kern w:val="2"/>
        </w:rPr>
        <w:t>9.3.1承包人应当负责统一管理施工场地的治安保卫事项，履行合同工程的治安保卫职责。</w:t>
      </w:r>
    </w:p>
    <w:p>
      <w:pPr>
        <w:jc w:val="both"/>
        <w:rPr>
          <w:rFonts w:ascii="宋体" w:hAnsi="宋体"/>
          <w:color w:val="000000"/>
          <w:kern w:val="2"/>
        </w:rPr>
      </w:pPr>
      <w:r>
        <w:rPr>
          <w:rFonts w:hint="eastAsia" w:ascii="宋体" w:hAnsi="宋体"/>
          <w:color w:val="000000"/>
          <w:kern w:val="2"/>
        </w:rPr>
        <w:t>9.3.3施工场地治安管理计划和突发治安事件紧急预案的编制责任人：</w:t>
      </w:r>
      <w:r>
        <w:rPr>
          <w:rFonts w:hint="eastAsia" w:ascii="宋体" w:hAnsi="宋体"/>
          <w:color w:val="000000"/>
          <w:kern w:val="2"/>
          <w:u w:val="single"/>
        </w:rPr>
        <w:t>　投标时报送　　　</w:t>
      </w:r>
      <w:r>
        <w:rPr>
          <w:rFonts w:hint="eastAsia" w:ascii="宋体" w:hAnsi="宋体"/>
          <w:color w:val="000000"/>
          <w:kern w:val="2"/>
        </w:rPr>
        <w:t>。</w:t>
      </w:r>
    </w:p>
    <w:bookmarkEnd w:id="437"/>
    <w:bookmarkEnd w:id="438"/>
    <w:bookmarkEnd w:id="439"/>
    <w:bookmarkEnd w:id="440"/>
    <w:p>
      <w:pPr>
        <w:keepNext/>
        <w:keepLines/>
        <w:spacing w:before="120" w:after="120"/>
        <w:jc w:val="both"/>
        <w:outlineLvl w:val="1"/>
        <w:rPr>
          <w:rFonts w:ascii="宋体" w:hAnsi="宋体" w:cs="TimesNewRomanPSMT"/>
          <w:b/>
          <w:color w:val="000000"/>
          <w:sz w:val="28"/>
          <w:szCs w:val="28"/>
        </w:rPr>
      </w:pPr>
      <w:bookmarkStart w:id="441" w:name="_Toc199152027"/>
      <w:bookmarkStart w:id="442" w:name="_Toc179632697"/>
      <w:bookmarkStart w:id="443" w:name="_Toc152042457"/>
      <w:bookmarkStart w:id="444" w:name="_Toc260305588"/>
      <w:bookmarkStart w:id="445" w:name="_Toc152045679"/>
      <w:bookmarkStart w:id="446" w:name="_Toc144974647"/>
      <w:r>
        <w:rPr>
          <w:rFonts w:ascii="宋体" w:hAnsi="宋体" w:cs="TimesNewRomanPSMT"/>
          <w:b/>
          <w:color w:val="000000"/>
          <w:sz w:val="28"/>
          <w:szCs w:val="28"/>
        </w:rPr>
        <w:t>10. 进度计划</w:t>
      </w:r>
      <w:bookmarkEnd w:id="441"/>
      <w:bookmarkEnd w:id="442"/>
      <w:bookmarkEnd w:id="443"/>
      <w:bookmarkEnd w:id="444"/>
      <w:bookmarkEnd w:id="445"/>
      <w:bookmarkEnd w:id="446"/>
    </w:p>
    <w:p>
      <w:pPr>
        <w:keepNext/>
        <w:keepLines/>
        <w:spacing w:before="120" w:after="120"/>
        <w:jc w:val="both"/>
        <w:outlineLvl w:val="2"/>
        <w:rPr>
          <w:rFonts w:ascii="宋体" w:hAnsi="宋体" w:cs="TimesNewRomanPSMT"/>
          <w:b/>
          <w:color w:val="000000"/>
        </w:rPr>
      </w:pPr>
      <w:bookmarkStart w:id="447" w:name="_Toc152045680"/>
      <w:bookmarkStart w:id="448" w:name="_Toc144974648"/>
      <w:bookmarkStart w:id="449" w:name="_Toc152042458"/>
      <w:bookmarkStart w:id="450" w:name="_Toc179632698"/>
      <w:bookmarkStart w:id="451" w:name="_Toc260305589"/>
      <w:bookmarkStart w:id="452" w:name="_Toc199152028"/>
      <w:r>
        <w:rPr>
          <w:rFonts w:ascii="宋体" w:hAnsi="宋体" w:cs="TimesNewRomanPSMT"/>
          <w:b/>
          <w:color w:val="000000"/>
        </w:rPr>
        <w:t>10.1 合同进度计划</w:t>
      </w:r>
      <w:bookmarkEnd w:id="447"/>
      <w:bookmarkEnd w:id="448"/>
      <w:bookmarkEnd w:id="449"/>
      <w:bookmarkEnd w:id="450"/>
      <w:bookmarkEnd w:id="451"/>
      <w:bookmarkEnd w:id="452"/>
    </w:p>
    <w:p>
      <w:pPr>
        <w:jc w:val="both"/>
        <w:rPr>
          <w:rFonts w:ascii="宋体" w:hAnsi="宋体"/>
          <w:color w:val="000000"/>
          <w:kern w:val="2"/>
        </w:rPr>
      </w:pPr>
      <w:r>
        <w:rPr>
          <w:rFonts w:hint="eastAsia" w:ascii="宋体" w:hAnsi="宋体"/>
          <w:color w:val="000000"/>
          <w:kern w:val="2"/>
        </w:rPr>
        <w:t>（1）承包人应当在收到监理人按照通用合同条款第11.1.1项发出的开工通知后7天内，编制详细的施工进度计划和施工方案说明并报送监理人。承包人编制施工进度计划和施工方案说明的内容：</w:t>
      </w:r>
      <w:r>
        <w:rPr>
          <w:rFonts w:hint="eastAsia" w:ascii="宋体" w:hAnsi="宋体"/>
          <w:color w:val="000000"/>
          <w:kern w:val="2"/>
          <w:u w:val="single"/>
        </w:rPr>
        <w:t>　同《通用条款》　　　</w:t>
      </w:r>
      <w:r>
        <w:rPr>
          <w:rFonts w:hint="eastAsia" w:ascii="宋体" w:hAnsi="宋体"/>
          <w:color w:val="000000"/>
          <w:kern w:val="2"/>
        </w:rPr>
        <w:t>，施工进度计划中还应载明要求发包人组织设计单位进行阶段性工程设计交底的时间。</w:t>
      </w:r>
    </w:p>
    <w:p>
      <w:pPr>
        <w:jc w:val="both"/>
        <w:rPr>
          <w:rFonts w:ascii="宋体" w:hAnsi="宋体"/>
          <w:color w:val="000000"/>
          <w:kern w:val="2"/>
        </w:rPr>
      </w:pPr>
      <w:r>
        <w:rPr>
          <w:rFonts w:hint="eastAsia" w:ascii="宋体" w:hAnsi="宋体"/>
          <w:color w:val="000000"/>
          <w:kern w:val="2"/>
        </w:rPr>
        <w:t>（2）监理人批复或对施工进度计划和施工方案说明提出修改意见的期限：自监理人收到承包人报送的相关进度计划和施工方案说明后14天内。</w:t>
      </w:r>
    </w:p>
    <w:p>
      <w:pPr>
        <w:jc w:val="both"/>
        <w:rPr>
          <w:rFonts w:ascii="宋体" w:hAnsi="宋体"/>
          <w:color w:val="000000"/>
          <w:kern w:val="2"/>
        </w:rPr>
      </w:pPr>
      <w:r>
        <w:rPr>
          <w:rFonts w:hint="eastAsia" w:ascii="宋体" w:hAnsi="宋体"/>
          <w:color w:val="000000"/>
          <w:kern w:val="2"/>
        </w:rPr>
        <w:t>（3）</w:t>
      </w:r>
      <w:r>
        <w:rPr>
          <w:rFonts w:ascii="宋体" w:hAnsi="宋体"/>
          <w:color w:val="000000"/>
          <w:kern w:val="2"/>
        </w:rPr>
        <w:t>承包</w:t>
      </w:r>
      <w:r>
        <w:rPr>
          <w:rFonts w:hint="eastAsia" w:ascii="宋体" w:hAnsi="宋体"/>
          <w:color w:val="000000"/>
          <w:kern w:val="2"/>
        </w:rPr>
        <w:t>人编制</w:t>
      </w:r>
      <w:r>
        <w:rPr>
          <w:rFonts w:ascii="宋体" w:hAnsi="宋体"/>
          <w:color w:val="000000"/>
          <w:kern w:val="2"/>
        </w:rPr>
        <w:t>分阶段或分项</w:t>
      </w:r>
      <w:r>
        <w:rPr>
          <w:rFonts w:hint="eastAsia" w:ascii="宋体" w:hAnsi="宋体"/>
          <w:color w:val="000000"/>
          <w:kern w:val="2"/>
        </w:rPr>
        <w:t>施工</w:t>
      </w:r>
      <w:r>
        <w:rPr>
          <w:rFonts w:ascii="宋体" w:hAnsi="宋体"/>
          <w:color w:val="000000"/>
          <w:kern w:val="2"/>
        </w:rPr>
        <w:t>进度计划</w:t>
      </w:r>
      <w:r>
        <w:rPr>
          <w:rFonts w:hint="eastAsia" w:ascii="宋体" w:hAnsi="宋体"/>
          <w:color w:val="000000"/>
          <w:kern w:val="2"/>
        </w:rPr>
        <w:t>和施工方案说明</w:t>
      </w:r>
      <w:r>
        <w:rPr>
          <w:rFonts w:ascii="宋体" w:hAnsi="宋体"/>
          <w:color w:val="000000"/>
          <w:kern w:val="2"/>
        </w:rPr>
        <w:t>的内容</w:t>
      </w:r>
      <w:r>
        <w:rPr>
          <w:rFonts w:hint="eastAsia" w:ascii="宋体" w:hAnsi="宋体"/>
          <w:color w:val="000000"/>
          <w:kern w:val="2"/>
        </w:rPr>
        <w:t>：</w:t>
      </w:r>
      <w:r>
        <w:rPr>
          <w:rFonts w:hint="eastAsia" w:ascii="宋体" w:hAnsi="宋体"/>
          <w:color w:val="000000"/>
          <w:kern w:val="2"/>
          <w:u w:val="single"/>
        </w:rPr>
        <w:t>　同《通用条款》　　　</w:t>
      </w:r>
      <w:r>
        <w:rPr>
          <w:rFonts w:hint="eastAsia" w:ascii="宋体" w:hAnsi="宋体"/>
          <w:color w:val="000000"/>
          <w:kern w:val="2"/>
        </w:rPr>
        <w:t>。</w:t>
      </w:r>
      <w:r>
        <w:rPr>
          <w:rFonts w:ascii="宋体" w:hAnsi="宋体"/>
          <w:color w:val="000000"/>
          <w:kern w:val="2"/>
        </w:rPr>
        <w:t>承包</w:t>
      </w:r>
      <w:r>
        <w:rPr>
          <w:rFonts w:hint="eastAsia" w:ascii="宋体" w:hAnsi="宋体"/>
          <w:color w:val="000000"/>
          <w:kern w:val="2"/>
        </w:rPr>
        <w:t>人报送</w:t>
      </w:r>
      <w:r>
        <w:rPr>
          <w:rFonts w:ascii="宋体" w:hAnsi="宋体"/>
          <w:color w:val="000000"/>
          <w:kern w:val="2"/>
        </w:rPr>
        <w:t>分阶段或分项</w:t>
      </w:r>
      <w:r>
        <w:rPr>
          <w:rFonts w:hint="eastAsia" w:ascii="宋体" w:hAnsi="宋体"/>
          <w:color w:val="000000"/>
          <w:kern w:val="2"/>
        </w:rPr>
        <w:t>施工</w:t>
      </w:r>
      <w:r>
        <w:rPr>
          <w:rFonts w:ascii="宋体" w:hAnsi="宋体"/>
          <w:color w:val="000000"/>
          <w:kern w:val="2"/>
        </w:rPr>
        <w:t>进度计划</w:t>
      </w:r>
      <w:r>
        <w:rPr>
          <w:rFonts w:hint="eastAsia" w:ascii="宋体" w:hAnsi="宋体"/>
          <w:color w:val="000000"/>
          <w:kern w:val="2"/>
        </w:rPr>
        <w:t>和施工方案说明</w:t>
      </w:r>
      <w:r>
        <w:rPr>
          <w:rFonts w:ascii="宋体" w:hAnsi="宋体"/>
          <w:color w:val="000000"/>
          <w:kern w:val="2"/>
        </w:rPr>
        <w:t>的期限</w:t>
      </w:r>
      <w:r>
        <w:rPr>
          <w:rFonts w:hint="eastAsia" w:ascii="宋体" w:hAnsi="宋体"/>
          <w:color w:val="000000"/>
          <w:kern w:val="2"/>
          <w:u w:val="single"/>
        </w:rPr>
        <w:t>　同《通用条款》　　　</w:t>
      </w:r>
      <w:r>
        <w:rPr>
          <w:rFonts w:hint="eastAsia" w:ascii="宋体" w:hAnsi="宋体"/>
          <w:color w:val="000000"/>
          <w:kern w:val="2"/>
        </w:rPr>
        <w:t>。</w:t>
      </w:r>
    </w:p>
    <w:p>
      <w:pPr>
        <w:jc w:val="both"/>
        <w:rPr>
          <w:rFonts w:ascii="宋体" w:hAnsi="宋体"/>
          <w:color w:val="000000"/>
          <w:kern w:val="2"/>
        </w:rPr>
      </w:pPr>
      <w:r>
        <w:rPr>
          <w:rFonts w:hint="eastAsia" w:ascii="宋体" w:hAnsi="宋体"/>
          <w:color w:val="000000"/>
          <w:kern w:val="2"/>
        </w:rPr>
        <w:t>（4）群体工程中单位工程分期进行施工的，承包人应按照发包人提供图纸及有关资料的时间，按单位工程编制进度计划和施工方案说明。群体工程中有关进度计划和施工方案说明的要求：</w:t>
      </w:r>
      <w:r>
        <w:rPr>
          <w:rFonts w:hint="eastAsia" w:ascii="宋体" w:hAnsi="宋体"/>
          <w:color w:val="000000"/>
          <w:kern w:val="2"/>
          <w:u w:val="single"/>
        </w:rPr>
        <w:t>签定合同时约定　　　　</w:t>
      </w:r>
      <w:r>
        <w:rPr>
          <w:rFonts w:hint="eastAsia" w:ascii="宋体" w:hAnsi="宋体"/>
          <w:color w:val="000000"/>
          <w:kern w:val="2"/>
        </w:rPr>
        <w:t>。</w:t>
      </w:r>
    </w:p>
    <w:p>
      <w:pPr>
        <w:keepNext/>
        <w:keepLines/>
        <w:spacing w:before="120" w:after="120"/>
        <w:jc w:val="both"/>
        <w:outlineLvl w:val="2"/>
        <w:rPr>
          <w:rFonts w:ascii="宋体" w:hAnsi="宋体" w:cs="TimesNewRomanPSMT"/>
          <w:b/>
          <w:color w:val="000000"/>
        </w:rPr>
      </w:pPr>
      <w:bookmarkStart w:id="453" w:name="_Toc144974649"/>
      <w:bookmarkStart w:id="454" w:name="_Toc199152029"/>
      <w:bookmarkStart w:id="455" w:name="_Toc260305590"/>
      <w:bookmarkStart w:id="456" w:name="_Toc152042459"/>
      <w:bookmarkStart w:id="457" w:name="_Toc179632699"/>
      <w:bookmarkStart w:id="458" w:name="_Toc152045681"/>
      <w:r>
        <w:rPr>
          <w:rFonts w:ascii="宋体" w:hAnsi="宋体" w:cs="TimesNewRomanPSMT"/>
          <w:b/>
          <w:color w:val="000000"/>
        </w:rPr>
        <w:t>10.2 合同进度计划的修订</w:t>
      </w:r>
      <w:bookmarkEnd w:id="453"/>
      <w:bookmarkEnd w:id="454"/>
      <w:bookmarkEnd w:id="455"/>
      <w:bookmarkEnd w:id="456"/>
      <w:bookmarkEnd w:id="457"/>
      <w:bookmarkEnd w:id="458"/>
    </w:p>
    <w:p>
      <w:pPr>
        <w:jc w:val="both"/>
        <w:rPr>
          <w:rFonts w:ascii="宋体" w:hAnsi="宋体"/>
          <w:color w:val="000000"/>
          <w:kern w:val="2"/>
        </w:rPr>
      </w:pPr>
      <w:r>
        <w:rPr>
          <w:rFonts w:hint="eastAsia" w:ascii="宋体" w:hAnsi="宋体"/>
          <w:color w:val="000000"/>
          <w:kern w:val="2"/>
        </w:rPr>
        <w:t>（1）承包人报送修订合同进度计划申请报告和相关资料的期限：</w:t>
      </w:r>
      <w:r>
        <w:rPr>
          <w:rFonts w:hint="eastAsia" w:ascii="宋体" w:hAnsi="宋体"/>
          <w:color w:val="000000"/>
          <w:kern w:val="2"/>
          <w:u w:val="single"/>
        </w:rPr>
        <w:t>同《通用条款》　　</w:t>
      </w:r>
      <w:r>
        <w:rPr>
          <w:rFonts w:hint="eastAsia" w:ascii="宋体" w:hAnsi="宋体"/>
          <w:color w:val="000000"/>
          <w:kern w:val="2"/>
        </w:rPr>
        <w:t>。</w:t>
      </w:r>
    </w:p>
    <w:p>
      <w:pPr>
        <w:jc w:val="both"/>
        <w:rPr>
          <w:rFonts w:ascii="宋体" w:hAnsi="宋体"/>
          <w:color w:val="000000"/>
          <w:kern w:val="2"/>
        </w:rPr>
      </w:pPr>
      <w:r>
        <w:rPr>
          <w:rFonts w:hint="eastAsia" w:ascii="宋体" w:hAnsi="宋体"/>
          <w:color w:val="000000"/>
          <w:kern w:val="2"/>
        </w:rPr>
        <w:t>（2）监理人批复修订合同进度计划申请报告的期限：</w:t>
      </w:r>
      <w:r>
        <w:rPr>
          <w:rFonts w:hint="eastAsia" w:ascii="宋体" w:hAnsi="宋体"/>
          <w:color w:val="000000"/>
          <w:kern w:val="2"/>
          <w:u w:val="single"/>
        </w:rPr>
        <w:t>同《通用条款》　　</w:t>
      </w:r>
      <w:r>
        <w:rPr>
          <w:rFonts w:hint="eastAsia" w:ascii="宋体" w:hAnsi="宋体"/>
          <w:color w:val="000000"/>
          <w:kern w:val="2"/>
        </w:rPr>
        <w:t>。</w:t>
      </w:r>
    </w:p>
    <w:p>
      <w:pPr>
        <w:jc w:val="both"/>
        <w:rPr>
          <w:rFonts w:ascii="宋体" w:hAnsi="宋体"/>
          <w:color w:val="000000"/>
          <w:kern w:val="2"/>
        </w:rPr>
      </w:pPr>
      <w:r>
        <w:rPr>
          <w:rFonts w:hint="eastAsia" w:ascii="宋体" w:hAnsi="宋体"/>
          <w:color w:val="000000"/>
          <w:kern w:val="2"/>
        </w:rPr>
        <w:t>（3）监理人批复修订合同进度计划的期限：</w:t>
      </w:r>
      <w:r>
        <w:rPr>
          <w:rFonts w:hint="eastAsia" w:ascii="宋体" w:hAnsi="宋体"/>
          <w:color w:val="000000"/>
          <w:kern w:val="2"/>
          <w:u w:val="single"/>
        </w:rPr>
        <w:t>同《通用条款》　</w:t>
      </w:r>
      <w:r>
        <w:rPr>
          <w:rFonts w:hint="eastAsia" w:ascii="宋体" w:hAnsi="宋体"/>
          <w:color w:val="000000"/>
          <w:kern w:val="2"/>
        </w:rPr>
        <w:t>。</w:t>
      </w:r>
    </w:p>
    <w:p>
      <w:pPr>
        <w:keepNext/>
        <w:keepLines/>
        <w:spacing w:before="120" w:after="120"/>
        <w:jc w:val="both"/>
        <w:outlineLvl w:val="1"/>
        <w:rPr>
          <w:rFonts w:ascii="宋体" w:hAnsi="宋体" w:cs="TimesNewRomanPSMT"/>
          <w:b/>
          <w:color w:val="000000"/>
          <w:sz w:val="28"/>
          <w:szCs w:val="28"/>
        </w:rPr>
      </w:pPr>
      <w:bookmarkStart w:id="459" w:name="_Toc152045682"/>
      <w:bookmarkStart w:id="460" w:name="_Toc179632700"/>
      <w:bookmarkStart w:id="461" w:name="_Toc260305591"/>
      <w:bookmarkStart w:id="462" w:name="_Toc199152030"/>
      <w:bookmarkStart w:id="463" w:name="_Toc152042460"/>
      <w:bookmarkStart w:id="464" w:name="_Toc144974650"/>
      <w:r>
        <w:rPr>
          <w:rFonts w:ascii="宋体" w:hAnsi="宋体" w:cs="TimesNewRomanPSMT"/>
          <w:b/>
          <w:color w:val="000000"/>
          <w:sz w:val="28"/>
          <w:szCs w:val="28"/>
        </w:rPr>
        <w:t>11. 开工和竣工</w:t>
      </w:r>
      <w:bookmarkEnd w:id="459"/>
      <w:bookmarkEnd w:id="460"/>
      <w:bookmarkEnd w:id="461"/>
      <w:bookmarkEnd w:id="462"/>
      <w:bookmarkEnd w:id="463"/>
      <w:bookmarkEnd w:id="464"/>
    </w:p>
    <w:p>
      <w:pPr>
        <w:keepNext/>
        <w:keepLines/>
        <w:spacing w:before="120" w:after="120"/>
        <w:jc w:val="both"/>
        <w:outlineLvl w:val="2"/>
        <w:rPr>
          <w:rFonts w:ascii="宋体" w:hAnsi="宋体" w:cs="TimesNewRomanPSMT"/>
          <w:b/>
          <w:color w:val="000000"/>
        </w:rPr>
      </w:pPr>
      <w:bookmarkStart w:id="465" w:name="_Toc260305592"/>
      <w:bookmarkStart w:id="466" w:name="_Toc152042463"/>
      <w:bookmarkStart w:id="467" w:name="_Toc199152031"/>
      <w:bookmarkStart w:id="468" w:name="_Toc179632703"/>
      <w:bookmarkStart w:id="469" w:name="_Toc144974653"/>
      <w:bookmarkStart w:id="470" w:name="_Toc152045685"/>
      <w:r>
        <w:rPr>
          <w:rFonts w:ascii="宋体" w:hAnsi="宋体" w:cs="TimesNewRomanPSMT"/>
          <w:b/>
          <w:color w:val="000000"/>
        </w:rPr>
        <w:t>11.3 发包人的工期延误</w:t>
      </w:r>
      <w:bookmarkEnd w:id="465"/>
      <w:bookmarkEnd w:id="466"/>
      <w:bookmarkEnd w:id="467"/>
      <w:bookmarkEnd w:id="468"/>
      <w:bookmarkEnd w:id="469"/>
      <w:bookmarkEnd w:id="470"/>
    </w:p>
    <w:p>
      <w:pPr>
        <w:jc w:val="both"/>
        <w:rPr>
          <w:rFonts w:ascii="宋体" w:hAnsi="宋体"/>
          <w:color w:val="000000"/>
          <w:kern w:val="2"/>
        </w:rPr>
      </w:pPr>
      <w:r>
        <w:rPr>
          <w:rFonts w:hint="eastAsia" w:ascii="宋体" w:hAnsi="宋体"/>
          <w:color w:val="000000"/>
          <w:kern w:val="2"/>
        </w:rPr>
        <w:t>(7) 因发包人原因不能按照合同协议书约定的计划开工日期开工。除发包人原因延期开工外，发包人造成工期延误的其他原因还包括：</w:t>
      </w:r>
      <w:r>
        <w:rPr>
          <w:rFonts w:hint="eastAsia" w:ascii="宋体" w:hAnsi="宋体"/>
          <w:color w:val="000000"/>
          <w:kern w:val="2"/>
          <w:u w:val="single"/>
        </w:rPr>
        <w:t>业主造成原因　</w:t>
      </w:r>
      <w:r>
        <w:rPr>
          <w:rFonts w:hint="eastAsia" w:ascii="宋体" w:hAnsi="宋体"/>
          <w:color w:val="000000"/>
          <w:kern w:val="2"/>
        </w:rPr>
        <w:t>。</w:t>
      </w:r>
    </w:p>
    <w:p>
      <w:pPr>
        <w:keepNext/>
        <w:keepLines/>
        <w:spacing w:before="120" w:after="120"/>
        <w:jc w:val="both"/>
        <w:outlineLvl w:val="2"/>
        <w:rPr>
          <w:rFonts w:ascii="宋体" w:hAnsi="宋体" w:cs="TimesNewRomanPSMT"/>
          <w:b/>
          <w:color w:val="000000"/>
        </w:rPr>
      </w:pPr>
      <w:bookmarkStart w:id="471" w:name="_Toc260305593"/>
      <w:bookmarkStart w:id="472" w:name="_Toc144974654"/>
      <w:bookmarkStart w:id="473" w:name="_Toc152042464"/>
      <w:bookmarkStart w:id="474" w:name="_Toc152045686"/>
      <w:bookmarkStart w:id="475" w:name="_Toc199152032"/>
      <w:bookmarkStart w:id="476" w:name="_Toc179632704"/>
      <w:r>
        <w:rPr>
          <w:rFonts w:ascii="宋体" w:hAnsi="宋体" w:cs="TimesNewRomanPSMT"/>
          <w:b/>
          <w:color w:val="000000"/>
        </w:rPr>
        <w:t>11.4 异常恶劣的气候条件</w:t>
      </w:r>
      <w:bookmarkEnd w:id="471"/>
      <w:bookmarkEnd w:id="472"/>
      <w:bookmarkEnd w:id="473"/>
      <w:bookmarkEnd w:id="474"/>
      <w:bookmarkEnd w:id="475"/>
      <w:bookmarkEnd w:id="476"/>
    </w:p>
    <w:p>
      <w:pPr>
        <w:jc w:val="both"/>
        <w:rPr>
          <w:rFonts w:ascii="宋体" w:hAnsi="宋体"/>
          <w:color w:val="000000"/>
          <w:kern w:val="2"/>
        </w:rPr>
      </w:pPr>
      <w:bookmarkStart w:id="477" w:name="_Toc152045687"/>
      <w:bookmarkStart w:id="478" w:name="_Toc144974655"/>
      <w:bookmarkStart w:id="479" w:name="_Toc179632705"/>
      <w:bookmarkStart w:id="480" w:name="_Toc152042465"/>
      <w:r>
        <w:rPr>
          <w:rFonts w:hint="eastAsia" w:ascii="宋体" w:hAnsi="宋体"/>
          <w:color w:val="000000"/>
          <w:kern w:val="2"/>
        </w:rPr>
        <w:t>异常恶劣的气候条件的范围和标准：</w:t>
      </w:r>
      <w:r>
        <w:rPr>
          <w:rFonts w:hint="eastAsia" w:ascii="宋体" w:hAnsi="宋体"/>
          <w:color w:val="000000"/>
          <w:kern w:val="2"/>
          <w:u w:val="single"/>
        </w:rPr>
        <w:t>　同通用条款　　　</w:t>
      </w:r>
      <w:r>
        <w:rPr>
          <w:rFonts w:hint="eastAsia" w:ascii="宋体" w:hAnsi="宋体"/>
          <w:color w:val="000000"/>
          <w:kern w:val="2"/>
        </w:rPr>
        <w:t>。</w:t>
      </w:r>
    </w:p>
    <w:p>
      <w:pPr>
        <w:keepNext/>
        <w:keepLines/>
        <w:spacing w:before="120" w:after="120"/>
        <w:jc w:val="both"/>
        <w:outlineLvl w:val="2"/>
        <w:rPr>
          <w:rFonts w:ascii="宋体" w:hAnsi="宋体" w:cs="TimesNewRomanPSMT"/>
          <w:b/>
          <w:color w:val="000000"/>
        </w:rPr>
      </w:pPr>
      <w:bookmarkStart w:id="481" w:name="_Toc199152033"/>
      <w:bookmarkStart w:id="482" w:name="_Toc260305594"/>
      <w:r>
        <w:rPr>
          <w:rFonts w:ascii="宋体" w:hAnsi="宋体" w:cs="TimesNewRomanPSMT"/>
          <w:b/>
          <w:color w:val="000000"/>
        </w:rPr>
        <w:t>11.5 承包人的工期延误</w:t>
      </w:r>
      <w:bookmarkEnd w:id="477"/>
      <w:bookmarkEnd w:id="478"/>
      <w:bookmarkEnd w:id="479"/>
      <w:bookmarkEnd w:id="480"/>
      <w:bookmarkEnd w:id="481"/>
      <w:bookmarkEnd w:id="482"/>
    </w:p>
    <w:p>
      <w:pPr>
        <w:jc w:val="both"/>
        <w:rPr>
          <w:rFonts w:ascii="宋体" w:hAnsi="宋体"/>
          <w:color w:val="000000"/>
          <w:kern w:val="2"/>
        </w:rPr>
      </w:pPr>
      <w:bookmarkStart w:id="483" w:name="_Toc144974656"/>
      <w:bookmarkStart w:id="484" w:name="_Toc152042466"/>
      <w:bookmarkStart w:id="485" w:name="_Toc152045688"/>
      <w:bookmarkStart w:id="486" w:name="_Toc179632706"/>
      <w:r>
        <w:rPr>
          <w:rFonts w:hint="eastAsia" w:ascii="宋体" w:hAnsi="宋体"/>
          <w:color w:val="000000"/>
          <w:kern w:val="2"/>
        </w:rPr>
        <w:t>由于承包人原因造成不能按期竣工的，在按合同约定确定的竣工日期（包括按合同延长的工期）后7天内，监理人应当按通用合同条款第23.4.1的约定书面通知承包人,说明发包人有权得到按本款约定的下列标准和方法计算的逾期竣工违约金，但最终违约金的金额不应超过本款约定的逾期竣工违约金最高限额。监理人未在规定的期限内发出本款约定的书面通知的，发包人丧失要求逾期竣工违约金的权利。</w:t>
      </w:r>
    </w:p>
    <w:p>
      <w:pPr>
        <w:jc w:val="both"/>
        <w:rPr>
          <w:rFonts w:ascii="宋体" w:hAnsi="宋体"/>
          <w:color w:val="000000"/>
          <w:kern w:val="2"/>
        </w:rPr>
      </w:pPr>
      <w:r>
        <w:rPr>
          <w:rFonts w:hint="eastAsia" w:ascii="宋体" w:hAnsi="宋体"/>
          <w:color w:val="000000"/>
          <w:kern w:val="2"/>
        </w:rPr>
        <w:t>逾期竣工违约金的计算标准：</w:t>
      </w:r>
      <w:r>
        <w:rPr>
          <w:rFonts w:hint="eastAsia" w:ascii="宋体" w:hAnsi="宋体"/>
          <w:color w:val="000000"/>
          <w:kern w:val="2"/>
          <w:u w:val="single"/>
        </w:rPr>
        <w:t>　中标价的万分之一　　　　</w:t>
      </w:r>
      <w:r>
        <w:rPr>
          <w:rFonts w:hint="eastAsia" w:ascii="宋体" w:hAnsi="宋体"/>
          <w:color w:val="000000"/>
          <w:kern w:val="2"/>
        </w:rPr>
        <w:t>。</w:t>
      </w:r>
    </w:p>
    <w:p>
      <w:pPr>
        <w:jc w:val="both"/>
        <w:rPr>
          <w:rFonts w:ascii="宋体" w:hAnsi="宋体"/>
          <w:color w:val="000000"/>
          <w:kern w:val="2"/>
        </w:rPr>
      </w:pPr>
      <w:r>
        <w:rPr>
          <w:rFonts w:hint="eastAsia" w:ascii="宋体" w:hAnsi="宋体"/>
          <w:color w:val="000000"/>
          <w:kern w:val="2"/>
        </w:rPr>
        <w:t>逾期竣工违约金的计算方法：</w:t>
      </w:r>
      <w:r>
        <w:rPr>
          <w:rFonts w:hint="eastAsia" w:ascii="宋体" w:hAnsi="宋体"/>
          <w:color w:val="000000"/>
          <w:kern w:val="2"/>
          <w:u w:val="single"/>
        </w:rPr>
        <w:t>　天　　　　</w:t>
      </w:r>
      <w:r>
        <w:rPr>
          <w:rFonts w:hint="eastAsia" w:ascii="宋体" w:hAnsi="宋体"/>
          <w:color w:val="000000"/>
          <w:kern w:val="2"/>
        </w:rPr>
        <w:t xml:space="preserve">。 </w:t>
      </w:r>
    </w:p>
    <w:p>
      <w:pPr>
        <w:jc w:val="both"/>
        <w:rPr>
          <w:rFonts w:ascii="宋体" w:hAnsi="宋体"/>
          <w:color w:val="000000"/>
          <w:kern w:val="2"/>
        </w:rPr>
      </w:pPr>
      <w:r>
        <w:rPr>
          <w:rFonts w:hint="eastAsia" w:ascii="宋体" w:hAnsi="宋体"/>
          <w:color w:val="000000"/>
          <w:kern w:val="2"/>
        </w:rPr>
        <w:t>逾期竣工</w:t>
      </w:r>
      <w:r>
        <w:rPr>
          <w:rFonts w:ascii="宋体" w:hAnsi="宋体"/>
          <w:color w:val="000000"/>
          <w:kern w:val="2"/>
        </w:rPr>
        <w:t>违约</w:t>
      </w:r>
      <w:r>
        <w:rPr>
          <w:rFonts w:hint="eastAsia" w:ascii="宋体" w:hAnsi="宋体"/>
          <w:color w:val="000000"/>
          <w:kern w:val="2"/>
        </w:rPr>
        <w:t>金</w:t>
      </w:r>
      <w:r>
        <w:rPr>
          <w:rFonts w:ascii="宋体" w:hAnsi="宋体"/>
          <w:color w:val="000000"/>
          <w:kern w:val="2"/>
        </w:rPr>
        <w:t>最高限额</w:t>
      </w:r>
      <w:r>
        <w:rPr>
          <w:rFonts w:hint="eastAsia" w:ascii="宋体" w:hAnsi="宋体"/>
          <w:color w:val="000000"/>
          <w:kern w:val="2"/>
        </w:rPr>
        <w:t>：</w:t>
      </w:r>
      <w:r>
        <w:rPr>
          <w:rFonts w:hint="eastAsia" w:ascii="宋体" w:hAnsi="宋体"/>
          <w:color w:val="000000"/>
          <w:kern w:val="2"/>
          <w:u w:val="single"/>
        </w:rPr>
        <w:t>　无　　　　</w:t>
      </w:r>
      <w:r>
        <w:rPr>
          <w:rFonts w:hint="eastAsia" w:ascii="宋体" w:hAnsi="宋体"/>
          <w:color w:val="000000"/>
          <w:kern w:val="2"/>
        </w:rPr>
        <w:t>。</w:t>
      </w:r>
    </w:p>
    <w:p>
      <w:pPr>
        <w:keepNext/>
        <w:keepLines/>
        <w:spacing w:before="120" w:after="120"/>
        <w:jc w:val="both"/>
        <w:outlineLvl w:val="2"/>
        <w:rPr>
          <w:rFonts w:ascii="宋体" w:hAnsi="宋体" w:cs="TimesNewRomanPSMT"/>
          <w:b/>
          <w:color w:val="000000"/>
        </w:rPr>
      </w:pPr>
      <w:bookmarkStart w:id="487" w:name="_Toc199152034"/>
      <w:bookmarkStart w:id="488" w:name="_Toc260305595"/>
      <w:r>
        <w:rPr>
          <w:rFonts w:ascii="宋体" w:hAnsi="宋体" w:cs="TimesNewRomanPSMT"/>
          <w:b/>
          <w:color w:val="000000"/>
        </w:rPr>
        <w:t>11.6</w:t>
      </w:r>
      <w:bookmarkEnd w:id="483"/>
      <w:bookmarkStart w:id="489" w:name="_Toc144974657"/>
      <w:r>
        <w:rPr>
          <w:rFonts w:ascii="宋体" w:hAnsi="宋体" w:cs="TimesNewRomanPSMT"/>
          <w:b/>
          <w:color w:val="000000"/>
        </w:rPr>
        <w:t xml:space="preserve"> 工期提前</w:t>
      </w:r>
      <w:bookmarkEnd w:id="484"/>
      <w:bookmarkEnd w:id="485"/>
      <w:bookmarkEnd w:id="486"/>
      <w:bookmarkEnd w:id="487"/>
      <w:bookmarkEnd w:id="488"/>
      <w:bookmarkEnd w:id="489"/>
    </w:p>
    <w:p>
      <w:pPr>
        <w:jc w:val="both"/>
        <w:rPr>
          <w:rFonts w:ascii="宋体" w:hAnsi="宋体"/>
          <w:color w:val="000000"/>
          <w:kern w:val="2"/>
        </w:rPr>
      </w:pPr>
      <w:bookmarkStart w:id="490" w:name="_Toc179632707"/>
      <w:bookmarkStart w:id="491" w:name="_Toc152045689"/>
      <w:bookmarkStart w:id="492" w:name="_Toc144974658"/>
      <w:bookmarkStart w:id="493" w:name="_Toc152042467"/>
      <w:r>
        <w:rPr>
          <w:rFonts w:hint="eastAsia" w:ascii="宋体" w:hAnsi="宋体"/>
          <w:color w:val="000000"/>
          <w:kern w:val="2"/>
        </w:rPr>
        <w:t>提前竣工的奖励办法：</w:t>
      </w:r>
      <w:r>
        <w:rPr>
          <w:rFonts w:hint="eastAsia" w:ascii="宋体" w:hAnsi="宋体"/>
          <w:color w:val="000000"/>
          <w:kern w:val="2"/>
          <w:u w:val="single"/>
        </w:rPr>
        <w:t>签定合同时约定　　　　　</w:t>
      </w:r>
      <w:r>
        <w:rPr>
          <w:rFonts w:hint="eastAsia" w:ascii="宋体" w:hAnsi="宋体"/>
          <w:color w:val="000000"/>
          <w:kern w:val="2"/>
        </w:rPr>
        <w:t>。</w:t>
      </w:r>
    </w:p>
    <w:p>
      <w:pPr>
        <w:keepNext/>
        <w:keepLines/>
        <w:spacing w:before="120" w:after="120"/>
        <w:jc w:val="both"/>
        <w:outlineLvl w:val="1"/>
        <w:rPr>
          <w:rFonts w:ascii="宋体" w:hAnsi="宋体" w:cs="TimesNewRomanPSMT"/>
          <w:b/>
          <w:color w:val="000000"/>
          <w:sz w:val="28"/>
          <w:szCs w:val="28"/>
        </w:rPr>
      </w:pPr>
      <w:bookmarkStart w:id="494" w:name="_Toc260305596"/>
      <w:bookmarkStart w:id="495" w:name="_Toc199152035"/>
      <w:r>
        <w:rPr>
          <w:rFonts w:ascii="宋体" w:hAnsi="宋体" w:cs="TimesNewRomanPSMT"/>
          <w:b/>
          <w:color w:val="000000"/>
          <w:sz w:val="28"/>
          <w:szCs w:val="28"/>
        </w:rPr>
        <w:t>12. 暂停施工</w:t>
      </w:r>
      <w:bookmarkEnd w:id="490"/>
      <w:bookmarkEnd w:id="491"/>
      <w:bookmarkEnd w:id="492"/>
      <w:bookmarkEnd w:id="493"/>
      <w:bookmarkEnd w:id="494"/>
      <w:bookmarkEnd w:id="495"/>
    </w:p>
    <w:p>
      <w:pPr>
        <w:keepNext/>
        <w:keepLines/>
        <w:spacing w:before="120" w:after="120"/>
        <w:jc w:val="both"/>
        <w:outlineLvl w:val="2"/>
        <w:rPr>
          <w:rFonts w:ascii="宋体" w:hAnsi="宋体" w:cs="TimesNewRomanPSMT"/>
          <w:b/>
          <w:color w:val="000000"/>
        </w:rPr>
      </w:pPr>
      <w:bookmarkStart w:id="496" w:name="_Toc152045690"/>
      <w:bookmarkStart w:id="497" w:name="_Toc199152036"/>
      <w:bookmarkStart w:id="498" w:name="_Toc152042468"/>
      <w:bookmarkStart w:id="499" w:name="_Toc179632708"/>
      <w:bookmarkStart w:id="500" w:name="_Toc144974659"/>
      <w:bookmarkStart w:id="501" w:name="_Toc260305597"/>
      <w:r>
        <w:rPr>
          <w:rFonts w:ascii="宋体" w:hAnsi="宋体" w:cs="TimesNewRomanPSMT"/>
          <w:b/>
          <w:color w:val="000000"/>
        </w:rPr>
        <w:t>12.1 承包人暂停施工的责任</w:t>
      </w:r>
      <w:bookmarkEnd w:id="496"/>
      <w:bookmarkEnd w:id="497"/>
      <w:bookmarkEnd w:id="498"/>
      <w:bookmarkEnd w:id="499"/>
      <w:bookmarkEnd w:id="500"/>
      <w:bookmarkEnd w:id="501"/>
    </w:p>
    <w:p>
      <w:pPr>
        <w:jc w:val="both"/>
        <w:rPr>
          <w:rFonts w:ascii="宋体" w:hAnsi="宋体"/>
          <w:color w:val="000000"/>
          <w:kern w:val="2"/>
        </w:rPr>
      </w:pPr>
      <w:r>
        <w:rPr>
          <w:rFonts w:hint="eastAsia" w:ascii="宋体" w:hAnsi="宋体"/>
          <w:color w:val="000000"/>
          <w:kern w:val="2"/>
        </w:rPr>
        <w:t>（5）承包人承担暂停施工责任的其他情形</w:t>
      </w:r>
      <w:r>
        <w:rPr>
          <w:rFonts w:hint="eastAsia" w:ascii="宋体" w:hAnsi="宋体"/>
          <w:color w:val="000000"/>
          <w:kern w:val="2"/>
          <w:u w:val="single"/>
        </w:rPr>
        <w:t>　签定合同时约定　　　　</w:t>
      </w:r>
      <w:r>
        <w:rPr>
          <w:rFonts w:hint="eastAsia" w:ascii="宋体" w:hAnsi="宋体"/>
          <w:color w:val="000000"/>
          <w:kern w:val="2"/>
        </w:rPr>
        <w:t>。</w:t>
      </w:r>
    </w:p>
    <w:p>
      <w:pPr>
        <w:keepNext/>
        <w:keepLines/>
        <w:spacing w:before="120" w:after="120"/>
        <w:jc w:val="both"/>
        <w:outlineLvl w:val="1"/>
        <w:rPr>
          <w:rFonts w:ascii="宋体" w:hAnsi="宋体" w:cs="TimesNewRomanPSMT"/>
          <w:b/>
          <w:color w:val="000000"/>
          <w:sz w:val="28"/>
          <w:szCs w:val="28"/>
        </w:rPr>
      </w:pPr>
      <w:bookmarkStart w:id="502" w:name="_Toc260305598"/>
      <w:bookmarkStart w:id="503" w:name="_Toc144974664"/>
      <w:bookmarkStart w:id="504" w:name="_Toc152042473"/>
      <w:bookmarkStart w:id="505" w:name="_Toc152045695"/>
      <w:bookmarkStart w:id="506" w:name="_Toc199152037"/>
      <w:bookmarkStart w:id="507" w:name="_Toc179632713"/>
      <w:r>
        <w:rPr>
          <w:rFonts w:ascii="宋体" w:hAnsi="宋体" w:cs="TimesNewRomanPSMT"/>
          <w:b/>
          <w:color w:val="000000"/>
          <w:sz w:val="28"/>
          <w:szCs w:val="28"/>
        </w:rPr>
        <w:t>13. 工程质量</w:t>
      </w:r>
      <w:bookmarkEnd w:id="502"/>
      <w:bookmarkEnd w:id="503"/>
      <w:bookmarkEnd w:id="504"/>
      <w:bookmarkEnd w:id="505"/>
      <w:bookmarkEnd w:id="506"/>
      <w:bookmarkEnd w:id="507"/>
      <w:bookmarkStart w:id="508" w:name="_Toc179632715"/>
      <w:bookmarkStart w:id="509" w:name="_Toc144974666"/>
      <w:bookmarkStart w:id="510" w:name="_Toc152042475"/>
      <w:bookmarkStart w:id="511" w:name="_Toc152045697"/>
    </w:p>
    <w:p>
      <w:pPr>
        <w:keepNext/>
        <w:keepLines/>
        <w:spacing w:before="120" w:after="120"/>
        <w:jc w:val="both"/>
        <w:outlineLvl w:val="2"/>
        <w:rPr>
          <w:rFonts w:ascii="宋体" w:hAnsi="宋体" w:cs="TimesNewRomanPSMT"/>
          <w:b/>
          <w:color w:val="000000"/>
        </w:rPr>
      </w:pPr>
      <w:bookmarkStart w:id="512" w:name="_Toc260305599"/>
      <w:bookmarkStart w:id="513" w:name="_Toc199152038"/>
      <w:r>
        <w:rPr>
          <w:rFonts w:ascii="宋体" w:hAnsi="宋体" w:cs="TimesNewRomanPSMT"/>
          <w:b/>
          <w:color w:val="000000"/>
        </w:rPr>
        <w:t>13.2 承包人的质量管理</w:t>
      </w:r>
      <w:bookmarkEnd w:id="508"/>
      <w:bookmarkEnd w:id="509"/>
      <w:bookmarkEnd w:id="510"/>
      <w:bookmarkEnd w:id="511"/>
      <w:bookmarkEnd w:id="512"/>
      <w:bookmarkEnd w:id="513"/>
    </w:p>
    <w:p>
      <w:pPr>
        <w:jc w:val="both"/>
        <w:rPr>
          <w:rFonts w:ascii="宋体" w:hAnsi="宋体"/>
          <w:color w:val="000000"/>
          <w:kern w:val="2"/>
        </w:rPr>
      </w:pPr>
      <w:bookmarkStart w:id="514" w:name="_Toc144974667"/>
      <w:bookmarkStart w:id="515" w:name="_Toc152045698"/>
      <w:bookmarkStart w:id="516" w:name="_Toc179632716"/>
      <w:bookmarkStart w:id="517" w:name="_Toc152042476"/>
      <w:r>
        <w:rPr>
          <w:rFonts w:ascii="宋体" w:hAnsi="宋体"/>
          <w:color w:val="000000"/>
          <w:kern w:val="2"/>
        </w:rPr>
        <w:t>1</w:t>
      </w:r>
      <w:r>
        <w:rPr>
          <w:rFonts w:hint="eastAsia" w:ascii="宋体" w:hAnsi="宋体"/>
          <w:color w:val="000000"/>
          <w:kern w:val="2"/>
        </w:rPr>
        <w:t>3</w:t>
      </w:r>
      <w:r>
        <w:rPr>
          <w:rFonts w:ascii="宋体" w:hAnsi="宋体"/>
          <w:color w:val="000000"/>
          <w:kern w:val="2"/>
        </w:rPr>
        <w:t>.</w:t>
      </w:r>
      <w:r>
        <w:rPr>
          <w:rFonts w:hint="eastAsia" w:ascii="宋体" w:hAnsi="宋体"/>
          <w:color w:val="000000"/>
          <w:kern w:val="2"/>
        </w:rPr>
        <w:t>2</w:t>
      </w:r>
      <w:r>
        <w:rPr>
          <w:rFonts w:ascii="宋体" w:hAnsi="宋体"/>
          <w:color w:val="000000"/>
          <w:kern w:val="2"/>
        </w:rPr>
        <w:t>.</w:t>
      </w:r>
      <w:r>
        <w:rPr>
          <w:rFonts w:hint="eastAsia" w:ascii="宋体" w:hAnsi="宋体"/>
          <w:color w:val="000000"/>
          <w:kern w:val="2"/>
        </w:rPr>
        <w:t>1承包人向监理人提交工程质量保证措施文件的期限：</w:t>
      </w:r>
      <w:r>
        <w:rPr>
          <w:rFonts w:hint="eastAsia" w:ascii="宋体" w:hAnsi="宋体"/>
          <w:color w:val="000000"/>
          <w:kern w:val="2"/>
          <w:u w:val="single"/>
        </w:rPr>
        <w:t>　　同《通用条款》　　</w:t>
      </w:r>
      <w:r>
        <w:rPr>
          <w:rFonts w:hint="eastAsia" w:ascii="宋体" w:hAnsi="宋体"/>
          <w:color w:val="000000"/>
          <w:kern w:val="2"/>
        </w:rPr>
        <w:t>。</w:t>
      </w:r>
    </w:p>
    <w:p>
      <w:pPr>
        <w:jc w:val="both"/>
        <w:rPr>
          <w:rFonts w:ascii="宋体" w:hAnsi="宋体"/>
          <w:color w:val="000000"/>
          <w:kern w:val="2"/>
        </w:rPr>
      </w:pPr>
      <w:r>
        <w:rPr>
          <w:rFonts w:hint="eastAsia" w:ascii="宋体" w:hAnsi="宋体"/>
          <w:color w:val="000000"/>
          <w:kern w:val="2"/>
        </w:rPr>
        <w:t>监理人审批工程质量保证措施文件的期限：</w:t>
      </w:r>
      <w:r>
        <w:rPr>
          <w:rFonts w:hint="eastAsia" w:ascii="宋体" w:hAnsi="宋体"/>
          <w:color w:val="000000"/>
          <w:kern w:val="2"/>
          <w:u w:val="single"/>
        </w:rPr>
        <w:t>同《通用条款》　　　　</w:t>
      </w:r>
      <w:r>
        <w:rPr>
          <w:rFonts w:hint="eastAsia" w:ascii="宋体" w:hAnsi="宋体"/>
          <w:color w:val="000000"/>
          <w:kern w:val="2"/>
        </w:rPr>
        <w:t>。</w:t>
      </w:r>
    </w:p>
    <w:p>
      <w:pPr>
        <w:keepNext/>
        <w:keepLines/>
        <w:spacing w:before="120" w:after="120"/>
        <w:jc w:val="both"/>
        <w:outlineLvl w:val="2"/>
        <w:rPr>
          <w:rFonts w:ascii="宋体" w:hAnsi="宋体" w:cs="TimesNewRomanPSMT"/>
          <w:b/>
          <w:color w:val="000000"/>
        </w:rPr>
      </w:pPr>
      <w:bookmarkStart w:id="518" w:name="_Toc199152039"/>
      <w:bookmarkStart w:id="519" w:name="_Toc260305600"/>
      <w:r>
        <w:rPr>
          <w:rFonts w:ascii="宋体" w:hAnsi="宋体" w:cs="TimesNewRomanPSMT"/>
          <w:b/>
          <w:color w:val="000000"/>
        </w:rPr>
        <w:t>13.3 承包人的质量检查</w:t>
      </w:r>
      <w:bookmarkEnd w:id="514"/>
      <w:bookmarkEnd w:id="515"/>
      <w:bookmarkEnd w:id="516"/>
      <w:bookmarkEnd w:id="517"/>
      <w:bookmarkEnd w:id="518"/>
      <w:bookmarkEnd w:id="519"/>
    </w:p>
    <w:p>
      <w:pPr>
        <w:jc w:val="both"/>
        <w:rPr>
          <w:rFonts w:ascii="宋体" w:hAnsi="宋体"/>
          <w:color w:val="000000"/>
          <w:kern w:val="2"/>
        </w:rPr>
      </w:pPr>
      <w:bookmarkStart w:id="520" w:name="_Toc152042477"/>
      <w:bookmarkStart w:id="521" w:name="_Toc152045699"/>
      <w:bookmarkStart w:id="522" w:name="_Toc144974668"/>
      <w:bookmarkStart w:id="523" w:name="_Toc179632717"/>
      <w:r>
        <w:rPr>
          <w:rFonts w:hint="eastAsia" w:ascii="宋体" w:hAnsi="宋体"/>
          <w:color w:val="000000"/>
          <w:kern w:val="2"/>
        </w:rPr>
        <w:t>承包人向监理人报送工程质量报表的期限：</w:t>
      </w:r>
      <w:r>
        <w:rPr>
          <w:rFonts w:hint="eastAsia" w:ascii="宋体" w:hAnsi="宋体"/>
          <w:color w:val="000000"/>
          <w:kern w:val="2"/>
          <w:u w:val="single"/>
        </w:rPr>
        <w:t>同《通用条款》　　　　</w:t>
      </w:r>
      <w:r>
        <w:rPr>
          <w:rFonts w:hint="eastAsia" w:ascii="宋体" w:hAnsi="宋体"/>
          <w:color w:val="000000"/>
          <w:kern w:val="2"/>
        </w:rPr>
        <w:t>。</w:t>
      </w:r>
    </w:p>
    <w:bookmarkEnd w:id="520"/>
    <w:bookmarkEnd w:id="521"/>
    <w:bookmarkEnd w:id="522"/>
    <w:bookmarkEnd w:id="523"/>
    <w:p>
      <w:pPr>
        <w:jc w:val="both"/>
        <w:rPr>
          <w:rFonts w:ascii="宋体" w:hAnsi="宋体"/>
          <w:color w:val="000000"/>
          <w:kern w:val="2"/>
        </w:rPr>
      </w:pPr>
      <w:bookmarkStart w:id="524" w:name="_Toc179632718"/>
      <w:bookmarkStart w:id="525" w:name="_Toc152045700"/>
      <w:bookmarkStart w:id="526" w:name="_Toc152042478"/>
      <w:bookmarkStart w:id="527" w:name="_Toc144974669"/>
      <w:r>
        <w:rPr>
          <w:rFonts w:hint="eastAsia" w:ascii="宋体" w:hAnsi="宋体"/>
          <w:color w:val="000000"/>
          <w:kern w:val="2"/>
        </w:rPr>
        <w:t>承包人向监理人报送工程质量报表的要求：</w:t>
      </w:r>
      <w:r>
        <w:rPr>
          <w:rFonts w:hint="eastAsia" w:ascii="宋体" w:hAnsi="宋体"/>
          <w:color w:val="000000"/>
          <w:kern w:val="2"/>
          <w:u w:val="single"/>
        </w:rPr>
        <w:t>同《通用条款》　　　　</w:t>
      </w:r>
      <w:r>
        <w:rPr>
          <w:rFonts w:hint="eastAsia" w:ascii="宋体" w:hAnsi="宋体"/>
          <w:color w:val="000000"/>
          <w:kern w:val="2"/>
        </w:rPr>
        <w:t>。</w:t>
      </w:r>
    </w:p>
    <w:p>
      <w:pPr>
        <w:jc w:val="both"/>
        <w:rPr>
          <w:rFonts w:ascii="宋体" w:hAnsi="宋体"/>
          <w:color w:val="000000"/>
          <w:kern w:val="2"/>
        </w:rPr>
      </w:pPr>
      <w:r>
        <w:rPr>
          <w:rFonts w:hint="eastAsia" w:ascii="宋体" w:hAnsi="宋体"/>
          <w:color w:val="000000"/>
          <w:kern w:val="2"/>
        </w:rPr>
        <w:t>监理人审查工程质量报表的期限</w:t>
      </w:r>
      <w:r>
        <w:rPr>
          <w:rFonts w:hint="eastAsia" w:ascii="宋体" w:hAnsi="宋体"/>
          <w:color w:val="000000"/>
          <w:kern w:val="2"/>
          <w:u w:val="single"/>
        </w:rPr>
        <w:t>　同《通用条款》　　　</w:t>
      </w:r>
      <w:r>
        <w:rPr>
          <w:rFonts w:hint="eastAsia" w:ascii="宋体" w:hAnsi="宋体"/>
          <w:color w:val="000000"/>
          <w:kern w:val="2"/>
        </w:rPr>
        <w:t>。</w:t>
      </w:r>
    </w:p>
    <w:p>
      <w:pPr>
        <w:keepNext/>
        <w:keepLines/>
        <w:spacing w:before="120" w:after="120"/>
        <w:jc w:val="both"/>
        <w:outlineLvl w:val="2"/>
        <w:rPr>
          <w:rFonts w:ascii="宋体" w:hAnsi="宋体" w:cs="TimesNewRomanPSMT"/>
          <w:b/>
          <w:color w:val="000000"/>
        </w:rPr>
      </w:pPr>
      <w:bookmarkStart w:id="528" w:name="_Toc199152040"/>
      <w:bookmarkStart w:id="529" w:name="_Toc260305601"/>
      <w:r>
        <w:rPr>
          <w:rFonts w:ascii="宋体" w:hAnsi="宋体" w:cs="TimesNewRomanPSMT"/>
          <w:b/>
          <w:color w:val="000000"/>
        </w:rPr>
        <w:t>13.</w:t>
      </w:r>
      <w:r>
        <w:rPr>
          <w:rFonts w:hint="eastAsia" w:ascii="宋体" w:hAnsi="宋体" w:cs="TimesNewRomanPSMT"/>
          <w:b/>
          <w:color w:val="000000"/>
        </w:rPr>
        <w:t>4</w:t>
      </w:r>
      <w:r>
        <w:rPr>
          <w:rFonts w:ascii="宋体" w:hAnsi="宋体" w:cs="TimesNewRomanPSMT"/>
          <w:b/>
          <w:color w:val="000000"/>
        </w:rPr>
        <w:t xml:space="preserve"> </w:t>
      </w:r>
      <w:r>
        <w:rPr>
          <w:rFonts w:hint="eastAsia" w:ascii="宋体" w:hAnsi="宋体" w:cs="TimesNewRomanPSMT"/>
          <w:b/>
          <w:color w:val="000000"/>
        </w:rPr>
        <w:t>监理</w:t>
      </w:r>
      <w:r>
        <w:rPr>
          <w:rFonts w:ascii="宋体" w:hAnsi="宋体" w:cs="TimesNewRomanPSMT"/>
          <w:b/>
          <w:color w:val="000000"/>
        </w:rPr>
        <w:t>人的质量检查</w:t>
      </w:r>
      <w:bookmarkEnd w:id="528"/>
      <w:bookmarkEnd w:id="529"/>
    </w:p>
    <w:p>
      <w:pPr>
        <w:jc w:val="both"/>
        <w:rPr>
          <w:rFonts w:ascii="宋体" w:hAnsi="宋体"/>
          <w:color w:val="000000"/>
          <w:kern w:val="2"/>
        </w:rPr>
      </w:pPr>
      <w:r>
        <w:rPr>
          <w:rFonts w:hint="eastAsia" w:ascii="宋体" w:hAnsi="宋体"/>
          <w:color w:val="000000"/>
          <w:kern w:val="2"/>
        </w:rPr>
        <w:t>承包人应当为监理人的检查和检验提供方便，监理人可以进行察看和查阅施工原始记录的其他地方包括：</w:t>
      </w:r>
      <w:r>
        <w:rPr>
          <w:rFonts w:hint="eastAsia" w:ascii="宋体" w:hAnsi="宋体"/>
          <w:color w:val="000000"/>
          <w:kern w:val="2"/>
          <w:u w:val="single"/>
        </w:rPr>
        <w:t>　同《通用条款》　　　</w:t>
      </w:r>
      <w:r>
        <w:rPr>
          <w:rFonts w:hint="eastAsia" w:ascii="宋体" w:hAnsi="宋体"/>
          <w:color w:val="000000"/>
          <w:kern w:val="2"/>
        </w:rPr>
        <w:t>。</w:t>
      </w:r>
    </w:p>
    <w:p>
      <w:pPr>
        <w:keepNext/>
        <w:keepLines/>
        <w:spacing w:before="120" w:after="120"/>
        <w:jc w:val="both"/>
        <w:outlineLvl w:val="2"/>
        <w:rPr>
          <w:rFonts w:ascii="宋体" w:hAnsi="宋体" w:cs="TimesNewRomanPSMT"/>
          <w:b/>
          <w:color w:val="000000"/>
        </w:rPr>
      </w:pPr>
      <w:bookmarkStart w:id="530" w:name="_Toc199152041"/>
      <w:bookmarkStart w:id="531" w:name="_Toc260305602"/>
      <w:r>
        <w:rPr>
          <w:rFonts w:ascii="宋体" w:hAnsi="宋体" w:cs="TimesNewRomanPSMT"/>
          <w:b/>
          <w:color w:val="000000"/>
        </w:rPr>
        <w:t>13.5 工程隐蔽部位覆盖前的检查</w:t>
      </w:r>
      <w:bookmarkEnd w:id="524"/>
      <w:bookmarkEnd w:id="525"/>
      <w:bookmarkEnd w:id="526"/>
      <w:bookmarkEnd w:id="527"/>
      <w:bookmarkEnd w:id="530"/>
      <w:bookmarkEnd w:id="531"/>
    </w:p>
    <w:p>
      <w:pPr>
        <w:jc w:val="both"/>
        <w:rPr>
          <w:rFonts w:ascii="宋体" w:hAnsi="宋体"/>
          <w:color w:val="000000"/>
          <w:kern w:val="2"/>
        </w:rPr>
      </w:pPr>
      <w:r>
        <w:rPr>
          <w:rFonts w:ascii="宋体" w:hAnsi="宋体"/>
          <w:color w:val="000000"/>
          <w:kern w:val="2"/>
        </w:rPr>
        <w:t>1</w:t>
      </w:r>
      <w:r>
        <w:rPr>
          <w:rFonts w:hint="eastAsia" w:ascii="宋体" w:hAnsi="宋体"/>
          <w:color w:val="000000"/>
          <w:kern w:val="2"/>
        </w:rPr>
        <w:t>3</w:t>
      </w:r>
      <w:r>
        <w:rPr>
          <w:rFonts w:ascii="宋体" w:hAnsi="宋体"/>
          <w:color w:val="000000"/>
          <w:kern w:val="2"/>
        </w:rPr>
        <w:t>.</w:t>
      </w:r>
      <w:r>
        <w:rPr>
          <w:rFonts w:hint="eastAsia" w:ascii="宋体" w:hAnsi="宋体"/>
          <w:color w:val="000000"/>
          <w:kern w:val="2"/>
        </w:rPr>
        <w:t>5</w:t>
      </w:r>
      <w:r>
        <w:rPr>
          <w:rFonts w:ascii="宋体" w:hAnsi="宋体"/>
          <w:color w:val="000000"/>
          <w:kern w:val="2"/>
        </w:rPr>
        <w:t>.</w:t>
      </w:r>
      <w:r>
        <w:rPr>
          <w:rFonts w:hint="eastAsia" w:ascii="宋体" w:hAnsi="宋体"/>
          <w:color w:val="000000"/>
          <w:kern w:val="2"/>
        </w:rPr>
        <w:t>1</w:t>
      </w:r>
      <w:r>
        <w:rPr>
          <w:rFonts w:ascii="宋体" w:hAnsi="宋体"/>
          <w:color w:val="000000"/>
          <w:kern w:val="2"/>
        </w:rPr>
        <w:t xml:space="preserve"> </w:t>
      </w:r>
      <w:r>
        <w:rPr>
          <w:rFonts w:hint="eastAsia" w:ascii="宋体" w:hAnsi="宋体"/>
          <w:color w:val="000000"/>
          <w:kern w:val="2"/>
        </w:rPr>
        <w:t>监理人对工程隐蔽部位进行检查的期限：</w:t>
      </w:r>
      <w:r>
        <w:rPr>
          <w:rFonts w:hint="eastAsia" w:ascii="宋体" w:hAnsi="宋体"/>
          <w:color w:val="000000"/>
          <w:kern w:val="2"/>
          <w:u w:val="single"/>
        </w:rPr>
        <w:t>同《通用条款》　　　　</w:t>
      </w:r>
      <w:r>
        <w:rPr>
          <w:rFonts w:hint="eastAsia" w:ascii="宋体" w:hAnsi="宋体"/>
          <w:color w:val="000000"/>
          <w:kern w:val="2"/>
        </w:rPr>
        <w:t>。</w:t>
      </w:r>
    </w:p>
    <w:p>
      <w:pPr>
        <w:keepNext/>
        <w:keepLines/>
        <w:spacing w:before="120" w:after="120"/>
        <w:jc w:val="both"/>
        <w:outlineLvl w:val="1"/>
        <w:rPr>
          <w:rFonts w:ascii="宋体" w:hAnsi="宋体" w:cs="TimesNewRomanPSMT"/>
          <w:b/>
          <w:color w:val="000000"/>
          <w:sz w:val="28"/>
          <w:szCs w:val="28"/>
        </w:rPr>
      </w:pPr>
      <w:bookmarkStart w:id="532" w:name="_Toc152045706"/>
      <w:bookmarkStart w:id="533" w:name="_Toc152042484"/>
      <w:bookmarkStart w:id="534" w:name="_Toc260305603"/>
      <w:bookmarkStart w:id="535" w:name="_Toc179632724"/>
      <w:bookmarkStart w:id="536" w:name="_Toc144974675"/>
      <w:bookmarkStart w:id="537" w:name="_Toc199152042"/>
      <w:r>
        <w:rPr>
          <w:rFonts w:ascii="宋体" w:hAnsi="宋体" w:cs="TimesNewRomanPSMT"/>
          <w:b/>
          <w:color w:val="000000"/>
          <w:sz w:val="28"/>
          <w:szCs w:val="28"/>
        </w:rPr>
        <w:t>15. 变更</w:t>
      </w:r>
      <w:bookmarkEnd w:id="532"/>
      <w:bookmarkEnd w:id="533"/>
      <w:bookmarkEnd w:id="534"/>
      <w:bookmarkEnd w:id="535"/>
      <w:bookmarkEnd w:id="536"/>
      <w:bookmarkEnd w:id="537"/>
    </w:p>
    <w:p>
      <w:pPr>
        <w:keepNext/>
        <w:keepLines/>
        <w:spacing w:before="120" w:after="120"/>
        <w:jc w:val="both"/>
        <w:outlineLvl w:val="2"/>
        <w:rPr>
          <w:rFonts w:ascii="宋体" w:hAnsi="宋体" w:cs="TimesNewRomanPSMT"/>
          <w:b/>
          <w:color w:val="000000"/>
        </w:rPr>
      </w:pPr>
      <w:bookmarkStart w:id="538" w:name="_Toc144974676"/>
      <w:bookmarkStart w:id="539" w:name="_Toc260305604"/>
      <w:bookmarkStart w:id="540" w:name="_Toc152045707"/>
      <w:bookmarkStart w:id="541" w:name="_Toc179632725"/>
      <w:bookmarkStart w:id="542" w:name="_Toc152042485"/>
      <w:bookmarkStart w:id="543" w:name="_Toc199152043"/>
      <w:r>
        <w:rPr>
          <w:rFonts w:ascii="宋体" w:hAnsi="宋体" w:cs="TimesNewRomanPSMT"/>
          <w:b/>
          <w:color w:val="000000"/>
        </w:rPr>
        <w:t>15.1 变更的范围和内容</w:t>
      </w:r>
      <w:bookmarkEnd w:id="538"/>
      <w:bookmarkEnd w:id="539"/>
      <w:bookmarkEnd w:id="540"/>
      <w:bookmarkEnd w:id="541"/>
      <w:bookmarkEnd w:id="542"/>
      <w:bookmarkEnd w:id="543"/>
    </w:p>
    <w:p>
      <w:pPr>
        <w:jc w:val="both"/>
        <w:rPr>
          <w:rFonts w:ascii="宋体" w:hAnsi="宋体"/>
          <w:color w:val="000000"/>
          <w:kern w:val="2"/>
        </w:rPr>
      </w:pPr>
      <w:r>
        <w:rPr>
          <w:rFonts w:hint="eastAsia" w:ascii="宋体" w:hAnsi="宋体"/>
          <w:color w:val="000000"/>
          <w:kern w:val="2"/>
        </w:rPr>
        <w:t>应当进行变更的其他情形：</w:t>
      </w:r>
      <w:r>
        <w:rPr>
          <w:rFonts w:hint="eastAsia" w:ascii="宋体" w:hAnsi="宋体"/>
          <w:color w:val="000000"/>
          <w:kern w:val="2"/>
          <w:u w:val="single"/>
        </w:rPr>
        <w:t>　　无　　</w:t>
      </w:r>
      <w:r>
        <w:rPr>
          <w:rFonts w:hint="eastAsia" w:ascii="宋体" w:hAnsi="宋体"/>
          <w:color w:val="000000"/>
          <w:kern w:val="2"/>
        </w:rPr>
        <w:t>。</w:t>
      </w:r>
    </w:p>
    <w:p>
      <w:pPr>
        <w:jc w:val="both"/>
        <w:rPr>
          <w:rFonts w:ascii="宋体" w:hAnsi="宋体"/>
          <w:color w:val="000000"/>
          <w:kern w:val="2"/>
        </w:rPr>
      </w:pPr>
      <w:r>
        <w:rPr>
          <w:rFonts w:hint="eastAsia" w:ascii="宋体" w:hAnsi="宋体"/>
          <w:color w:val="000000"/>
          <w:kern w:val="2"/>
        </w:rPr>
        <w:t>发包人违背通用合同条款15.1（1）目的约定，将被取消的合同中的工作转由发包人或其他人实施的，承包人可向监理人发出通知，要求发包人采取有效措施纠正违约行为，发包人在监理人收到承包人通知后28天内仍不纠正违约行为的，应当赔偿承包人损失并承担由此引起的其他责任。承包人应当按通用合同条款第23.1.1（1）目的约定，在上述28天期限到期后的28天内，向监理人递交索赔意向通知书,并按通用合同条款第23.1.1（2）目的约定，及时向监理人递交正式索赔通知书，说明有权得到的损失赔偿金额并附必要的记录和证明材料。发包人支付给承包人的损失赔偿金额应当包括被取消工作的合同价值中所包含的承包人管理费、利润以及相应的税金和规费。</w:t>
      </w:r>
    </w:p>
    <w:p>
      <w:pPr>
        <w:keepNext/>
        <w:keepLines/>
        <w:spacing w:before="120" w:after="120"/>
        <w:jc w:val="both"/>
        <w:outlineLvl w:val="2"/>
        <w:rPr>
          <w:rFonts w:ascii="宋体" w:hAnsi="宋体" w:cs="TimesNewRomanPSMT"/>
          <w:b/>
          <w:color w:val="000000"/>
        </w:rPr>
      </w:pPr>
      <w:bookmarkStart w:id="544" w:name="_Toc199152044"/>
      <w:bookmarkStart w:id="545" w:name="_Toc152042487"/>
      <w:bookmarkStart w:id="546" w:name="_Toc144974678"/>
      <w:bookmarkStart w:id="547" w:name="_Toc260305605"/>
      <w:bookmarkStart w:id="548" w:name="_Toc179632727"/>
      <w:bookmarkStart w:id="549" w:name="_Toc152045709"/>
      <w:r>
        <w:rPr>
          <w:rFonts w:ascii="宋体" w:hAnsi="宋体" w:cs="TimesNewRomanPSMT"/>
          <w:b/>
          <w:color w:val="000000"/>
        </w:rPr>
        <w:t>15.3 变更程序</w:t>
      </w:r>
      <w:bookmarkEnd w:id="544"/>
      <w:bookmarkEnd w:id="545"/>
      <w:bookmarkEnd w:id="546"/>
      <w:bookmarkEnd w:id="547"/>
      <w:bookmarkEnd w:id="548"/>
      <w:bookmarkEnd w:id="549"/>
    </w:p>
    <w:p>
      <w:pPr>
        <w:jc w:val="both"/>
        <w:rPr>
          <w:rFonts w:ascii="宋体" w:hAnsi="宋体"/>
          <w:color w:val="000000"/>
          <w:kern w:val="2"/>
        </w:rPr>
      </w:pPr>
      <w:r>
        <w:rPr>
          <w:rFonts w:ascii="宋体" w:hAnsi="宋体"/>
          <w:color w:val="000000"/>
          <w:kern w:val="2"/>
        </w:rPr>
        <w:t>15.3.2 变更估价</w:t>
      </w:r>
    </w:p>
    <w:p>
      <w:pPr>
        <w:jc w:val="both"/>
        <w:rPr>
          <w:rFonts w:ascii="宋体" w:hAnsi="宋体"/>
          <w:color w:val="000000"/>
          <w:kern w:val="2"/>
        </w:rPr>
      </w:pPr>
      <w:r>
        <w:rPr>
          <w:rFonts w:hint="eastAsia" w:ascii="宋体" w:hAnsi="宋体"/>
          <w:color w:val="000000"/>
          <w:kern w:val="2"/>
        </w:rPr>
        <w:t>（1）承包人提交变更报价书的期限：</w:t>
      </w:r>
      <w:r>
        <w:rPr>
          <w:rFonts w:hint="eastAsia" w:ascii="宋体" w:hAnsi="宋体"/>
          <w:color w:val="000000"/>
          <w:kern w:val="2"/>
          <w:u w:val="single"/>
        </w:rPr>
        <w:t>　同《通用条款》　　　</w:t>
      </w:r>
      <w:r>
        <w:rPr>
          <w:rFonts w:hint="eastAsia" w:ascii="宋体" w:hAnsi="宋体"/>
          <w:color w:val="000000"/>
          <w:kern w:val="2"/>
        </w:rPr>
        <w:t>。</w:t>
      </w:r>
    </w:p>
    <w:p>
      <w:pPr>
        <w:jc w:val="both"/>
        <w:rPr>
          <w:rFonts w:ascii="宋体" w:hAnsi="宋体"/>
          <w:color w:val="000000"/>
          <w:kern w:val="2"/>
        </w:rPr>
      </w:pPr>
      <w:r>
        <w:rPr>
          <w:rFonts w:hint="eastAsia" w:ascii="宋体" w:hAnsi="宋体"/>
          <w:color w:val="000000"/>
          <w:kern w:val="2"/>
        </w:rPr>
        <w:t>（２）监理人商定或确定变更价格的期限：</w:t>
      </w:r>
      <w:r>
        <w:rPr>
          <w:rFonts w:hint="eastAsia" w:ascii="宋体" w:hAnsi="宋体"/>
          <w:color w:val="000000"/>
          <w:kern w:val="2"/>
          <w:u w:val="single"/>
        </w:rPr>
        <w:t>　同《通用条款》　　</w:t>
      </w:r>
      <w:r>
        <w:rPr>
          <w:rFonts w:hint="eastAsia" w:ascii="宋体" w:hAnsi="宋体"/>
          <w:color w:val="000000"/>
          <w:kern w:val="2"/>
        </w:rPr>
        <w:t>。</w:t>
      </w:r>
    </w:p>
    <w:p>
      <w:pPr>
        <w:keepNext/>
        <w:keepLines/>
        <w:spacing w:before="120" w:after="120"/>
        <w:jc w:val="both"/>
        <w:outlineLvl w:val="2"/>
        <w:rPr>
          <w:rFonts w:ascii="宋体" w:hAnsi="宋体" w:cs="TimesNewRomanPSMT"/>
          <w:b/>
          <w:color w:val="000000"/>
        </w:rPr>
      </w:pPr>
      <w:bookmarkStart w:id="550" w:name="_Toc179632728"/>
      <w:bookmarkStart w:id="551" w:name="_Toc260305606"/>
      <w:bookmarkStart w:id="552" w:name="_Toc152042488"/>
      <w:bookmarkStart w:id="553" w:name="_Toc144974679"/>
      <w:bookmarkStart w:id="554" w:name="_Toc152045710"/>
      <w:bookmarkStart w:id="555" w:name="_Toc199152045"/>
      <w:r>
        <w:rPr>
          <w:rFonts w:ascii="宋体" w:hAnsi="宋体" w:cs="TimesNewRomanPSMT"/>
          <w:b/>
          <w:color w:val="000000"/>
        </w:rPr>
        <w:t>15.4 变更的估价原则</w:t>
      </w:r>
      <w:bookmarkEnd w:id="550"/>
      <w:bookmarkEnd w:id="551"/>
      <w:bookmarkEnd w:id="552"/>
      <w:bookmarkEnd w:id="553"/>
      <w:bookmarkEnd w:id="554"/>
      <w:bookmarkEnd w:id="555"/>
    </w:p>
    <w:p>
      <w:pPr>
        <w:jc w:val="both"/>
        <w:rPr>
          <w:rFonts w:ascii="宋体" w:hAnsi="宋体"/>
          <w:color w:val="000000"/>
          <w:kern w:val="2"/>
        </w:rPr>
      </w:pPr>
      <w:r>
        <w:rPr>
          <w:rFonts w:hint="eastAsia" w:ascii="宋体" w:hAnsi="宋体"/>
          <w:color w:val="000000"/>
          <w:kern w:val="2"/>
        </w:rPr>
        <w:t>因变更引起价格调整的其他处理方式：</w:t>
      </w:r>
      <w:r>
        <w:rPr>
          <w:rFonts w:hint="eastAsia" w:ascii="宋体" w:hAnsi="宋体"/>
          <w:color w:val="000000"/>
          <w:kern w:val="2"/>
          <w:u w:val="single"/>
        </w:rPr>
        <w:t>　签定合同时约定　　　　</w:t>
      </w:r>
      <w:r>
        <w:rPr>
          <w:rFonts w:hint="eastAsia" w:ascii="宋体" w:hAnsi="宋体"/>
          <w:color w:val="000000"/>
          <w:kern w:val="2"/>
        </w:rPr>
        <w:t>。</w:t>
      </w:r>
    </w:p>
    <w:p>
      <w:pPr>
        <w:keepNext/>
        <w:keepLines/>
        <w:spacing w:before="120" w:after="120"/>
        <w:jc w:val="both"/>
        <w:outlineLvl w:val="2"/>
        <w:rPr>
          <w:rFonts w:ascii="宋体" w:hAnsi="宋体" w:cs="TimesNewRomanPSMT"/>
          <w:b/>
          <w:color w:val="000000"/>
        </w:rPr>
      </w:pPr>
      <w:bookmarkStart w:id="556" w:name="_Toc152042489"/>
      <w:bookmarkStart w:id="557" w:name="_Toc144974680"/>
      <w:bookmarkStart w:id="558" w:name="_Toc260305607"/>
      <w:bookmarkStart w:id="559" w:name="_Toc199152046"/>
      <w:bookmarkStart w:id="560" w:name="_Toc152045711"/>
      <w:bookmarkStart w:id="561" w:name="_Toc179632729"/>
      <w:r>
        <w:rPr>
          <w:rFonts w:ascii="宋体" w:hAnsi="宋体" w:cs="TimesNewRomanPSMT"/>
          <w:b/>
          <w:color w:val="000000"/>
        </w:rPr>
        <w:t>15.5 承包人的合理化建议</w:t>
      </w:r>
      <w:bookmarkEnd w:id="556"/>
      <w:bookmarkEnd w:id="557"/>
      <w:bookmarkEnd w:id="558"/>
      <w:bookmarkEnd w:id="559"/>
      <w:bookmarkEnd w:id="560"/>
      <w:bookmarkEnd w:id="561"/>
    </w:p>
    <w:p>
      <w:pPr>
        <w:jc w:val="both"/>
        <w:rPr>
          <w:rFonts w:ascii="宋体" w:hAnsi="宋体"/>
          <w:color w:val="000000"/>
          <w:kern w:val="2"/>
        </w:rPr>
      </w:pPr>
      <w:r>
        <w:rPr>
          <w:rFonts w:hint="eastAsia" w:ascii="宋体" w:hAnsi="宋体"/>
          <w:color w:val="000000"/>
          <w:kern w:val="2"/>
        </w:rPr>
        <w:t>15.5.2对承包人提出合理化建议的奖励方法：</w:t>
      </w:r>
      <w:r>
        <w:rPr>
          <w:rFonts w:hint="eastAsia" w:ascii="宋体" w:hAnsi="宋体"/>
          <w:color w:val="000000"/>
          <w:kern w:val="2"/>
          <w:u w:val="single"/>
        </w:rPr>
        <w:t>　　无　　</w:t>
      </w:r>
      <w:r>
        <w:rPr>
          <w:rFonts w:hint="eastAsia" w:ascii="宋体" w:hAnsi="宋体"/>
          <w:color w:val="000000"/>
          <w:kern w:val="2"/>
        </w:rPr>
        <w:t>。</w:t>
      </w:r>
      <w:bookmarkStart w:id="562" w:name="_Toc144974681"/>
      <w:bookmarkStart w:id="563" w:name="_Toc152045712"/>
      <w:bookmarkStart w:id="564" w:name="_Toc179632730"/>
      <w:bookmarkStart w:id="565" w:name="_Toc152042490"/>
    </w:p>
    <w:bookmarkEnd w:id="562"/>
    <w:bookmarkEnd w:id="563"/>
    <w:bookmarkEnd w:id="564"/>
    <w:bookmarkEnd w:id="565"/>
    <w:p>
      <w:pPr>
        <w:keepNext/>
        <w:keepLines/>
        <w:spacing w:before="120" w:after="120"/>
        <w:jc w:val="both"/>
        <w:outlineLvl w:val="2"/>
        <w:rPr>
          <w:rFonts w:ascii="宋体" w:hAnsi="宋体" w:cs="TimesNewRomanPSMT"/>
          <w:b/>
          <w:color w:val="000000"/>
        </w:rPr>
      </w:pPr>
      <w:bookmarkStart w:id="566" w:name="_Toc152045714"/>
      <w:bookmarkStart w:id="567" w:name="_Toc144974683"/>
      <w:bookmarkStart w:id="568" w:name="_Toc152042492"/>
      <w:bookmarkStart w:id="569" w:name="_Toc199152047"/>
      <w:bookmarkStart w:id="570" w:name="_Toc260305608"/>
      <w:bookmarkStart w:id="571" w:name="_Toc179632732"/>
      <w:r>
        <w:rPr>
          <w:rFonts w:ascii="宋体" w:hAnsi="宋体" w:cs="TimesNewRomanPSMT"/>
          <w:b/>
          <w:color w:val="000000"/>
        </w:rPr>
        <w:t>15.8 暂估价</w:t>
      </w:r>
      <w:bookmarkEnd w:id="566"/>
      <w:bookmarkEnd w:id="567"/>
      <w:bookmarkEnd w:id="568"/>
      <w:bookmarkEnd w:id="569"/>
      <w:bookmarkEnd w:id="570"/>
      <w:bookmarkEnd w:id="571"/>
    </w:p>
    <w:p>
      <w:pPr>
        <w:jc w:val="both"/>
        <w:rPr>
          <w:rFonts w:ascii="宋体" w:hAnsi="宋体"/>
          <w:color w:val="000000"/>
          <w:kern w:val="2"/>
        </w:rPr>
      </w:pPr>
      <w:r>
        <w:rPr>
          <w:rFonts w:hint="eastAsia" w:ascii="宋体" w:hAnsi="宋体"/>
          <w:color w:val="000000"/>
          <w:kern w:val="2"/>
        </w:rPr>
        <w:t>15.8.1按合同约定应当由发包人选择专项供应商或专业分包人的，供应的材料和专业分包的配合费、以及相应的管理费、税金等应当被认为已经包括在承包人的签约合同价（投标总报价）中：</w:t>
      </w:r>
    </w:p>
    <w:p>
      <w:pPr>
        <w:spacing w:after="120" w:afterLines="50"/>
        <w:jc w:val="both"/>
        <w:rPr>
          <w:rFonts w:ascii="仿宋_GB2312" w:hAnsi="宋体" w:eastAsia="仿宋_GB2312"/>
          <w:color w:val="000000"/>
          <w:kern w:val="2"/>
          <w:sz w:val="21"/>
          <w:szCs w:val="21"/>
        </w:rPr>
      </w:pPr>
      <w:r>
        <w:rPr>
          <w:rFonts w:hint="eastAsia" w:ascii="宋体" w:hAnsi="宋体"/>
          <w:color w:val="000000"/>
          <w:kern w:val="2"/>
        </w:rPr>
        <w:t>15.8.2发包人在工程量清单中给定暂估价的专业工程，其最终价格的估价人为：</w:t>
      </w:r>
      <w:r>
        <w:rPr>
          <w:rFonts w:hint="eastAsia" w:ascii="宋体" w:hAnsi="宋体"/>
          <w:color w:val="000000"/>
          <w:kern w:val="2"/>
          <w:u w:val="single"/>
        </w:rPr>
        <w:t>　发包人　　　</w:t>
      </w:r>
      <w:r>
        <w:rPr>
          <w:rFonts w:hint="eastAsia" w:ascii="宋体" w:hAnsi="宋体"/>
          <w:color w:val="000000"/>
          <w:kern w:val="2"/>
        </w:rPr>
        <w:t>。</w:t>
      </w:r>
    </w:p>
    <w:p>
      <w:pPr>
        <w:keepNext/>
        <w:keepLines/>
        <w:spacing w:before="120" w:after="120"/>
        <w:jc w:val="both"/>
        <w:outlineLvl w:val="1"/>
        <w:rPr>
          <w:rFonts w:ascii="宋体" w:hAnsi="宋体" w:cs="TimesNewRomanPSMT"/>
          <w:b/>
          <w:color w:val="000000"/>
          <w:sz w:val="28"/>
          <w:szCs w:val="28"/>
        </w:rPr>
      </w:pPr>
      <w:bookmarkStart w:id="572" w:name="_Toc152045715"/>
      <w:bookmarkStart w:id="573" w:name="_Toc199152048"/>
      <w:bookmarkStart w:id="574" w:name="_Toc179632733"/>
      <w:bookmarkStart w:id="575" w:name="_Toc152042493"/>
      <w:bookmarkStart w:id="576" w:name="_Toc260305609"/>
      <w:bookmarkStart w:id="577" w:name="_Toc144974684"/>
      <w:r>
        <w:rPr>
          <w:rFonts w:ascii="宋体" w:hAnsi="宋体" w:cs="TimesNewRomanPSMT"/>
          <w:b/>
          <w:color w:val="000000"/>
          <w:sz w:val="28"/>
          <w:szCs w:val="28"/>
        </w:rPr>
        <w:t>16. 价格调整</w:t>
      </w:r>
      <w:bookmarkEnd w:id="572"/>
      <w:bookmarkEnd w:id="573"/>
      <w:bookmarkEnd w:id="574"/>
      <w:bookmarkEnd w:id="575"/>
      <w:bookmarkEnd w:id="576"/>
      <w:bookmarkEnd w:id="577"/>
    </w:p>
    <w:p>
      <w:pPr>
        <w:spacing w:after="120" w:afterLines="50" w:line="300" w:lineRule="auto"/>
        <w:jc w:val="both"/>
        <w:rPr>
          <w:rFonts w:ascii="宋体" w:hAnsi="宋体"/>
          <w:color w:val="000000"/>
          <w:kern w:val="2"/>
        </w:rPr>
      </w:pPr>
      <w:bookmarkStart w:id="578" w:name="_Toc144974685"/>
      <w:bookmarkStart w:id="579" w:name="_Toc179632734"/>
      <w:bookmarkStart w:id="580" w:name="_Toc260305610"/>
      <w:bookmarkStart w:id="581" w:name="_Toc152042494"/>
      <w:bookmarkStart w:id="582" w:name="_Toc199152049"/>
      <w:bookmarkStart w:id="583" w:name="_Toc152045716"/>
      <w:r>
        <w:rPr>
          <w:rFonts w:ascii="宋体" w:hAnsi="宋体" w:cs="TimesNewRomanPSMT"/>
          <w:color w:val="000000"/>
        </w:rPr>
        <w:t xml:space="preserve">16.1 </w:t>
      </w:r>
      <w:bookmarkEnd w:id="578"/>
      <w:bookmarkEnd w:id="579"/>
      <w:bookmarkEnd w:id="580"/>
      <w:bookmarkEnd w:id="581"/>
      <w:bookmarkEnd w:id="582"/>
      <w:bookmarkEnd w:id="583"/>
      <w:r>
        <w:rPr>
          <w:rFonts w:hint="eastAsia" w:ascii="宋体" w:hAnsi="宋体" w:cs="TimesNewRomanPSMT"/>
          <w:color w:val="000000"/>
        </w:rPr>
        <w:t>本合同不执行《通用条款》第16.1款，本合同为固定总价合同，除因</w:t>
      </w:r>
      <w:r>
        <w:rPr>
          <w:rFonts w:hint="eastAsia"/>
        </w:rPr>
        <w:t>新</w:t>
      </w:r>
      <w:r>
        <w:t>增</w:t>
      </w:r>
      <w:r>
        <w:rPr>
          <w:rFonts w:hint="eastAsia"/>
        </w:rPr>
        <w:t>工程</w:t>
      </w:r>
      <w:r>
        <w:t>项目</w:t>
      </w:r>
      <w:r>
        <w:rPr>
          <w:rFonts w:hint="eastAsia" w:ascii="宋体" w:hAnsi="宋体" w:cs="TimesNewRomanPSMT"/>
          <w:color w:val="000000"/>
        </w:rPr>
        <w:t>造成的变更外，合同价不作调整。</w:t>
      </w:r>
    </w:p>
    <w:p>
      <w:pPr>
        <w:keepNext/>
        <w:keepLines/>
        <w:spacing w:before="120" w:after="120"/>
        <w:jc w:val="both"/>
        <w:outlineLvl w:val="1"/>
        <w:rPr>
          <w:rFonts w:ascii="宋体" w:hAnsi="宋体" w:cs="TimesNewRomanPSMT"/>
          <w:b/>
          <w:color w:val="000000"/>
          <w:sz w:val="28"/>
          <w:szCs w:val="28"/>
        </w:rPr>
      </w:pPr>
      <w:bookmarkStart w:id="584" w:name="_Toc199152050"/>
      <w:bookmarkStart w:id="585" w:name="_Toc179632736"/>
      <w:bookmarkStart w:id="586" w:name="_Toc152042497"/>
      <w:bookmarkStart w:id="587" w:name="_Toc260305611"/>
      <w:bookmarkStart w:id="588" w:name="_Toc152045718"/>
      <w:bookmarkStart w:id="589" w:name="_Toc144974689"/>
      <w:r>
        <w:rPr>
          <w:rFonts w:ascii="宋体" w:hAnsi="宋体" w:cs="TimesNewRomanPSMT"/>
          <w:b/>
          <w:color w:val="000000"/>
          <w:sz w:val="28"/>
          <w:szCs w:val="28"/>
        </w:rPr>
        <w:t>17. 计量与支付</w:t>
      </w:r>
      <w:bookmarkEnd w:id="584"/>
      <w:bookmarkEnd w:id="585"/>
      <w:bookmarkEnd w:id="586"/>
      <w:bookmarkEnd w:id="587"/>
      <w:bookmarkEnd w:id="588"/>
      <w:bookmarkEnd w:id="589"/>
    </w:p>
    <w:p>
      <w:pPr>
        <w:keepNext/>
        <w:keepLines/>
        <w:spacing w:before="120" w:after="120"/>
        <w:jc w:val="both"/>
        <w:outlineLvl w:val="2"/>
        <w:rPr>
          <w:rFonts w:ascii="宋体" w:hAnsi="宋体" w:cs="TimesNewRomanPSMT"/>
          <w:b/>
          <w:color w:val="000000"/>
        </w:rPr>
      </w:pPr>
      <w:bookmarkStart w:id="590" w:name="_Toc179632737"/>
      <w:bookmarkStart w:id="591" w:name="_Toc144974690"/>
      <w:bookmarkStart w:id="592" w:name="_Toc152045719"/>
      <w:bookmarkStart w:id="593" w:name="_Toc260305612"/>
      <w:bookmarkStart w:id="594" w:name="_Toc152042498"/>
      <w:bookmarkStart w:id="595" w:name="_Toc199152051"/>
      <w:r>
        <w:rPr>
          <w:rFonts w:ascii="宋体" w:hAnsi="宋体" w:cs="TimesNewRomanPSMT"/>
          <w:b/>
          <w:color w:val="000000"/>
        </w:rPr>
        <w:t>17.1 计量</w:t>
      </w:r>
      <w:bookmarkEnd w:id="590"/>
      <w:bookmarkEnd w:id="591"/>
      <w:bookmarkEnd w:id="592"/>
      <w:bookmarkEnd w:id="593"/>
      <w:bookmarkEnd w:id="594"/>
      <w:bookmarkEnd w:id="595"/>
    </w:p>
    <w:p>
      <w:pPr>
        <w:jc w:val="both"/>
        <w:rPr>
          <w:rFonts w:ascii="宋体" w:hAnsi="宋体"/>
          <w:color w:val="000000"/>
          <w:kern w:val="2"/>
        </w:rPr>
      </w:pPr>
      <w:r>
        <w:rPr>
          <w:rFonts w:ascii="宋体" w:hAnsi="宋体"/>
          <w:color w:val="000000"/>
          <w:kern w:val="2"/>
        </w:rPr>
        <w:t>17.1.2 计量方法</w:t>
      </w:r>
    </w:p>
    <w:p>
      <w:pPr>
        <w:jc w:val="both"/>
        <w:rPr>
          <w:rFonts w:ascii="宋体" w:hAnsi="宋体"/>
          <w:color w:val="000000"/>
          <w:kern w:val="2"/>
        </w:rPr>
      </w:pPr>
      <w:r>
        <w:rPr>
          <w:rFonts w:ascii="宋体" w:hAnsi="宋体"/>
          <w:color w:val="000000"/>
          <w:kern w:val="2"/>
        </w:rPr>
        <w:t>工程量计算规则</w:t>
      </w:r>
      <w:r>
        <w:rPr>
          <w:rFonts w:hint="eastAsia" w:ascii="宋体" w:hAnsi="宋体"/>
          <w:color w:val="000000"/>
          <w:kern w:val="2"/>
        </w:rPr>
        <w:t>执行国家有关主管部门发布的现行国家标准</w:t>
      </w:r>
      <w:r>
        <w:rPr>
          <w:rFonts w:ascii="宋体" w:hAnsi="宋体"/>
          <w:color w:val="000000"/>
          <w:kern w:val="2"/>
        </w:rPr>
        <w:t>《建设工程工程量清单计价规范》。</w:t>
      </w:r>
      <w:r>
        <w:rPr>
          <w:rFonts w:hint="eastAsia" w:ascii="宋体" w:hAnsi="宋体"/>
          <w:color w:val="000000"/>
          <w:kern w:val="2"/>
        </w:rPr>
        <w:t>承包人实际完成的工程量按约定的工程量计算规则和有合同约束力的图纸进行计量。</w:t>
      </w:r>
    </w:p>
    <w:p>
      <w:pPr>
        <w:keepNext/>
        <w:keepLines/>
        <w:spacing w:before="120" w:after="120"/>
        <w:jc w:val="both"/>
        <w:outlineLvl w:val="2"/>
        <w:rPr>
          <w:rFonts w:ascii="宋体" w:hAnsi="宋体" w:cs="TimesNewRomanPSMT"/>
          <w:b/>
          <w:color w:val="000000"/>
        </w:rPr>
      </w:pPr>
      <w:bookmarkStart w:id="596" w:name="_Toc152042499"/>
      <w:bookmarkStart w:id="597" w:name="_Toc144974691"/>
      <w:bookmarkStart w:id="598" w:name="_Toc152045720"/>
      <w:bookmarkStart w:id="599" w:name="_Toc260305613"/>
      <w:bookmarkStart w:id="600" w:name="_Toc199152052"/>
      <w:bookmarkStart w:id="601" w:name="_Toc179632738"/>
      <w:r>
        <w:rPr>
          <w:rFonts w:ascii="宋体" w:hAnsi="宋体" w:cs="TimesNewRomanPSMT"/>
          <w:b/>
          <w:color w:val="000000"/>
        </w:rPr>
        <w:t xml:space="preserve">17.2 </w:t>
      </w:r>
      <w:r>
        <w:rPr>
          <w:rFonts w:hint="eastAsia" w:ascii="宋体" w:hAnsi="宋体" w:cs="TimesNewRomanPSMT"/>
          <w:b/>
          <w:color w:val="000000"/>
        </w:rPr>
        <w:t>材料</w:t>
      </w:r>
      <w:r>
        <w:rPr>
          <w:rFonts w:ascii="宋体" w:hAnsi="宋体" w:cs="TimesNewRomanPSMT"/>
          <w:b/>
          <w:color w:val="000000"/>
        </w:rPr>
        <w:t>预付款</w:t>
      </w:r>
      <w:bookmarkEnd w:id="596"/>
      <w:bookmarkEnd w:id="597"/>
      <w:bookmarkEnd w:id="598"/>
      <w:bookmarkEnd w:id="599"/>
      <w:bookmarkEnd w:id="600"/>
      <w:bookmarkEnd w:id="601"/>
    </w:p>
    <w:p>
      <w:pPr>
        <w:jc w:val="both"/>
        <w:rPr>
          <w:rFonts w:ascii="宋体" w:hAnsi="宋体"/>
          <w:color w:val="000000"/>
          <w:kern w:val="2"/>
        </w:rPr>
      </w:pPr>
      <w:r>
        <w:rPr>
          <w:rFonts w:ascii="宋体" w:hAnsi="宋体"/>
          <w:color w:val="000000"/>
          <w:kern w:val="2"/>
        </w:rPr>
        <w:t xml:space="preserve">17.2.1 </w:t>
      </w:r>
      <w:r>
        <w:rPr>
          <w:rFonts w:hint="eastAsia" w:ascii="宋体" w:hAnsi="宋体"/>
          <w:color w:val="000000"/>
          <w:kern w:val="2"/>
        </w:rPr>
        <w:t>材料</w:t>
      </w:r>
      <w:r>
        <w:rPr>
          <w:rFonts w:ascii="宋体" w:hAnsi="宋体"/>
          <w:color w:val="000000"/>
          <w:kern w:val="2"/>
        </w:rPr>
        <w:t>预付款</w:t>
      </w:r>
      <w:r>
        <w:rPr>
          <w:rFonts w:hint="eastAsia" w:ascii="宋体" w:hAnsi="宋体"/>
          <w:color w:val="000000"/>
          <w:kern w:val="2"/>
        </w:rPr>
        <w:t>：无</w:t>
      </w:r>
    </w:p>
    <w:p>
      <w:pPr>
        <w:jc w:val="both"/>
        <w:rPr>
          <w:rFonts w:ascii="宋体" w:hAnsi="宋体"/>
          <w:color w:val="000000"/>
          <w:kern w:val="2"/>
        </w:rPr>
      </w:pPr>
    </w:p>
    <w:p>
      <w:pPr>
        <w:keepNext/>
        <w:keepLines/>
        <w:spacing w:before="120" w:after="120"/>
        <w:jc w:val="both"/>
        <w:outlineLvl w:val="2"/>
        <w:rPr>
          <w:rFonts w:ascii="宋体" w:hAnsi="宋体" w:cs="TimesNewRomanPSMT"/>
          <w:b/>
          <w:color w:val="000000"/>
        </w:rPr>
      </w:pPr>
      <w:bookmarkStart w:id="602" w:name="_Toc199152053"/>
      <w:bookmarkStart w:id="603" w:name="_Toc179632739"/>
      <w:bookmarkStart w:id="604" w:name="_Toc144974692"/>
      <w:bookmarkStart w:id="605" w:name="_Toc152042500"/>
      <w:bookmarkStart w:id="606" w:name="_Toc260305614"/>
      <w:bookmarkStart w:id="607" w:name="_Toc152045721"/>
      <w:r>
        <w:rPr>
          <w:rFonts w:ascii="宋体" w:hAnsi="宋体" w:cs="TimesNewRomanPSMT"/>
          <w:b/>
          <w:color w:val="000000"/>
        </w:rPr>
        <w:t>17.3 工程进度付款</w:t>
      </w:r>
      <w:bookmarkEnd w:id="602"/>
      <w:bookmarkEnd w:id="603"/>
      <w:bookmarkEnd w:id="604"/>
      <w:bookmarkEnd w:id="605"/>
      <w:bookmarkEnd w:id="606"/>
      <w:bookmarkEnd w:id="607"/>
    </w:p>
    <w:p>
      <w:pPr>
        <w:spacing w:line="400" w:lineRule="exact"/>
        <w:rPr>
          <w:rFonts w:ascii="宋体" w:hAnsi="宋体"/>
        </w:rPr>
      </w:pPr>
      <w:r>
        <w:rPr>
          <w:rFonts w:hint="eastAsia" w:ascii="宋体" w:hAnsi="宋体"/>
          <w:color w:val="000000"/>
          <w:kern w:val="2"/>
        </w:rPr>
        <w:t>17.3.1</w:t>
      </w:r>
      <w:r>
        <w:rPr>
          <w:rFonts w:hint="eastAsia" w:ascii="宋体" w:hAnsi="宋体"/>
        </w:rPr>
        <w:t>付款周期：工程竣工验收合格后支付至合同总价的 60% ，经甲方或其聘请的第三方审计机构审核完成后，支付至结算总价的97%，余3%待缺陷责任期满后支付。</w:t>
      </w:r>
    </w:p>
    <w:p>
      <w:pPr>
        <w:jc w:val="both"/>
        <w:rPr>
          <w:rFonts w:ascii="宋体" w:hAnsi="宋体"/>
          <w:color w:val="000000"/>
          <w:kern w:val="2"/>
        </w:rPr>
      </w:pPr>
      <w:r>
        <w:rPr>
          <w:rFonts w:hint="eastAsia" w:ascii="宋体" w:hAnsi="宋体"/>
          <w:color w:val="000000"/>
          <w:kern w:val="2"/>
        </w:rPr>
        <w:t>17.3.2进度付款申请单</w:t>
      </w:r>
    </w:p>
    <w:p>
      <w:pPr>
        <w:jc w:val="both"/>
        <w:rPr>
          <w:rFonts w:ascii="宋体" w:hAnsi="宋体"/>
          <w:color w:val="000000"/>
          <w:kern w:val="2"/>
        </w:rPr>
      </w:pPr>
      <w:r>
        <w:rPr>
          <w:rFonts w:hint="eastAsia" w:ascii="宋体" w:hAnsi="宋体"/>
          <w:color w:val="000000"/>
          <w:kern w:val="2"/>
        </w:rPr>
        <w:t>进度付款申请单的份数：</w:t>
      </w:r>
      <w:r>
        <w:rPr>
          <w:rFonts w:hint="eastAsia" w:ascii="宋体" w:hAnsi="宋体"/>
          <w:color w:val="000000"/>
          <w:kern w:val="2"/>
          <w:u w:val="single"/>
        </w:rPr>
        <w:t>签定合同时约定　　　　</w:t>
      </w:r>
      <w:r>
        <w:rPr>
          <w:rFonts w:hint="eastAsia" w:ascii="宋体" w:hAnsi="宋体"/>
          <w:color w:val="000000"/>
          <w:kern w:val="2"/>
        </w:rPr>
        <w:t>。</w:t>
      </w:r>
    </w:p>
    <w:p>
      <w:pPr>
        <w:jc w:val="both"/>
        <w:rPr>
          <w:rFonts w:ascii="宋体" w:hAnsi="宋体"/>
          <w:color w:val="000000"/>
          <w:kern w:val="2"/>
        </w:rPr>
      </w:pPr>
      <w:r>
        <w:rPr>
          <w:rFonts w:hint="eastAsia" w:ascii="宋体" w:hAnsi="宋体"/>
          <w:color w:val="000000"/>
          <w:kern w:val="2"/>
        </w:rPr>
        <w:t>进度付款申请单的内容：</w:t>
      </w:r>
      <w:r>
        <w:rPr>
          <w:rFonts w:hint="eastAsia" w:ascii="宋体" w:hAnsi="宋体"/>
          <w:color w:val="000000"/>
          <w:kern w:val="2"/>
          <w:u w:val="single"/>
        </w:rPr>
        <w:t>签定合同时约定　　　</w:t>
      </w:r>
      <w:r>
        <w:rPr>
          <w:rFonts w:hint="eastAsia" w:ascii="宋体" w:hAnsi="宋体"/>
          <w:color w:val="000000"/>
          <w:kern w:val="2"/>
        </w:rPr>
        <w:t>。</w:t>
      </w:r>
    </w:p>
    <w:p>
      <w:pPr>
        <w:jc w:val="both"/>
        <w:rPr>
          <w:rFonts w:ascii="宋体" w:hAnsi="宋体"/>
          <w:color w:val="000000"/>
          <w:kern w:val="2"/>
        </w:rPr>
      </w:pPr>
      <w:r>
        <w:rPr>
          <w:rFonts w:hint="eastAsia" w:ascii="宋体" w:hAnsi="宋体"/>
          <w:color w:val="000000"/>
          <w:kern w:val="2"/>
        </w:rPr>
        <w:t>17.3.2进度款支付时间：</w:t>
      </w:r>
    </w:p>
    <w:p>
      <w:pPr>
        <w:jc w:val="both"/>
        <w:rPr>
          <w:rFonts w:ascii="宋体" w:hAnsi="宋体"/>
          <w:color w:val="000000"/>
          <w:kern w:val="2"/>
        </w:rPr>
      </w:pPr>
      <w:r>
        <w:rPr>
          <w:rFonts w:hint="eastAsia" w:ascii="宋体" w:hAnsi="宋体"/>
          <w:color w:val="000000"/>
          <w:kern w:val="2"/>
        </w:rPr>
        <w:t>（１）监理与收到承包人进度付款申请单及相应的支持性文件后的20天内完成核查，并将应支付工程款金额及支持性文件提交总承包方。总承包在10日内报业主单位。</w:t>
      </w:r>
    </w:p>
    <w:p>
      <w:pPr>
        <w:jc w:val="both"/>
        <w:rPr>
          <w:rFonts w:ascii="宋体" w:hAnsi="宋体"/>
          <w:color w:val="000000"/>
          <w:kern w:val="2"/>
        </w:rPr>
      </w:pPr>
      <w:r>
        <w:rPr>
          <w:rFonts w:hint="eastAsia" w:ascii="宋体" w:hAnsi="宋体"/>
          <w:color w:val="000000"/>
          <w:kern w:val="2"/>
        </w:rPr>
        <w:t>（２）总承包方应在15日内支付工程进度款。</w:t>
      </w:r>
    </w:p>
    <w:p>
      <w:pPr>
        <w:keepNext/>
        <w:keepLines/>
        <w:spacing w:before="120" w:after="120"/>
        <w:jc w:val="both"/>
        <w:outlineLvl w:val="2"/>
        <w:rPr>
          <w:rFonts w:ascii="宋体" w:hAnsi="宋体" w:cs="TimesNewRomanPSMT"/>
          <w:b/>
          <w:color w:val="000000"/>
        </w:rPr>
      </w:pPr>
      <w:bookmarkStart w:id="608" w:name="_Toc144974693"/>
      <w:bookmarkStart w:id="609" w:name="_Toc152042501"/>
      <w:bookmarkStart w:id="610" w:name="_Toc152045722"/>
      <w:bookmarkStart w:id="611" w:name="_Toc260305615"/>
      <w:bookmarkStart w:id="612" w:name="_Toc199152054"/>
      <w:bookmarkStart w:id="613" w:name="_Toc179632740"/>
      <w:r>
        <w:rPr>
          <w:rFonts w:ascii="宋体" w:hAnsi="宋体" w:cs="TimesNewRomanPSMT"/>
          <w:b/>
          <w:color w:val="000000"/>
        </w:rPr>
        <w:t xml:space="preserve">17.4 </w:t>
      </w:r>
      <w:bookmarkEnd w:id="608"/>
      <w:bookmarkEnd w:id="609"/>
      <w:bookmarkEnd w:id="610"/>
      <w:r>
        <w:rPr>
          <w:rFonts w:ascii="宋体" w:hAnsi="宋体" w:cs="TimesNewRomanPSMT"/>
          <w:b/>
          <w:color w:val="000000"/>
        </w:rPr>
        <w:t>质量保证金</w:t>
      </w:r>
      <w:bookmarkEnd w:id="611"/>
      <w:bookmarkEnd w:id="612"/>
      <w:bookmarkEnd w:id="613"/>
    </w:p>
    <w:p>
      <w:pPr>
        <w:jc w:val="both"/>
        <w:rPr>
          <w:rFonts w:ascii="宋体" w:hAnsi="宋体"/>
          <w:color w:val="000000"/>
          <w:kern w:val="2"/>
        </w:rPr>
      </w:pPr>
      <w:bookmarkStart w:id="614" w:name="_Toc152045723"/>
      <w:bookmarkStart w:id="615" w:name="_Toc179632741"/>
      <w:bookmarkStart w:id="616" w:name="_Toc152042502"/>
      <w:bookmarkStart w:id="617" w:name="_Toc144974694"/>
      <w:r>
        <w:rPr>
          <w:rFonts w:hint="eastAsia" w:ascii="宋体" w:hAnsi="宋体"/>
          <w:color w:val="000000"/>
          <w:kern w:val="2"/>
        </w:rPr>
        <w:t>17.4.1质量保证金由监理人从第一个付款周期开始按进度付款证书确认的已实施工程的价款、根据合同条款第15条增加和扣减的变更金额、根据合同条款第23条增加和扣减的索赔金额以及根据合同应增加和扣减的其他金额（不包括预付款的支付、返还、合同条款第16条约定的价格调整金额、此前已经按合同约定支付给承包人的进度款以及已经扣留的质量保证金）的总额的百分之三（ 3% ）扣留，直至质量保证金累计扣留金额达到   签约合同价的百分之三（ 3% ） 为止。</w:t>
      </w:r>
    </w:p>
    <w:p>
      <w:pPr>
        <w:keepNext/>
        <w:keepLines/>
        <w:spacing w:before="120" w:after="120"/>
        <w:jc w:val="both"/>
        <w:outlineLvl w:val="2"/>
        <w:rPr>
          <w:rFonts w:ascii="宋体" w:hAnsi="宋体" w:cs="TimesNewRomanPSMT"/>
          <w:b/>
          <w:color w:val="000000"/>
        </w:rPr>
      </w:pPr>
      <w:bookmarkStart w:id="618" w:name="_Toc199152055"/>
      <w:bookmarkStart w:id="619" w:name="_Toc260305616"/>
      <w:r>
        <w:rPr>
          <w:rFonts w:ascii="宋体" w:hAnsi="宋体" w:cs="TimesNewRomanPSMT"/>
          <w:b/>
          <w:color w:val="000000"/>
        </w:rPr>
        <w:t>17.5 竣工结算</w:t>
      </w:r>
      <w:bookmarkEnd w:id="614"/>
      <w:bookmarkEnd w:id="615"/>
      <w:bookmarkEnd w:id="616"/>
      <w:bookmarkEnd w:id="617"/>
      <w:bookmarkEnd w:id="618"/>
      <w:bookmarkEnd w:id="619"/>
    </w:p>
    <w:p>
      <w:pPr>
        <w:jc w:val="both"/>
        <w:rPr>
          <w:rFonts w:ascii="宋体" w:hAnsi="宋体"/>
          <w:color w:val="000000"/>
          <w:kern w:val="2"/>
        </w:rPr>
      </w:pPr>
      <w:bookmarkStart w:id="620" w:name="_Toc152042503"/>
      <w:bookmarkStart w:id="621" w:name="_Toc144974695"/>
      <w:bookmarkStart w:id="622" w:name="_Toc179632742"/>
      <w:bookmarkStart w:id="623" w:name="_Toc152045724"/>
      <w:r>
        <w:rPr>
          <w:rFonts w:hint="eastAsia" w:ascii="宋体" w:hAnsi="宋体"/>
          <w:color w:val="000000"/>
          <w:kern w:val="2"/>
        </w:rPr>
        <w:t>17.5.1竣工付款申请单</w:t>
      </w:r>
    </w:p>
    <w:p>
      <w:pPr>
        <w:jc w:val="both"/>
        <w:rPr>
          <w:rFonts w:ascii="宋体" w:hAnsi="宋体"/>
          <w:color w:val="000000"/>
          <w:kern w:val="2"/>
        </w:rPr>
      </w:pPr>
      <w:r>
        <w:rPr>
          <w:rFonts w:hint="eastAsia" w:ascii="宋体" w:hAnsi="宋体"/>
          <w:color w:val="000000"/>
          <w:kern w:val="2"/>
        </w:rPr>
        <w:t>承包人提交竣工付款申请单的份数：</w:t>
      </w:r>
      <w:r>
        <w:rPr>
          <w:rFonts w:hint="eastAsia" w:ascii="宋体" w:hAnsi="宋体"/>
          <w:color w:val="000000"/>
          <w:kern w:val="2"/>
          <w:u w:val="single"/>
        </w:rPr>
        <w:t>　签定合同时约定　　　</w:t>
      </w:r>
      <w:r>
        <w:rPr>
          <w:rFonts w:hint="eastAsia" w:ascii="宋体" w:hAnsi="宋体"/>
          <w:color w:val="000000"/>
          <w:kern w:val="2"/>
        </w:rPr>
        <w:t>。</w:t>
      </w:r>
    </w:p>
    <w:p>
      <w:pPr>
        <w:jc w:val="both"/>
        <w:rPr>
          <w:rFonts w:ascii="宋体" w:hAnsi="宋体"/>
          <w:color w:val="000000"/>
          <w:kern w:val="2"/>
        </w:rPr>
      </w:pPr>
      <w:r>
        <w:rPr>
          <w:rFonts w:hint="eastAsia" w:ascii="宋体" w:hAnsi="宋体"/>
          <w:color w:val="000000"/>
          <w:kern w:val="2"/>
        </w:rPr>
        <w:t>承包人提交竣工付款申请单的期限：</w:t>
      </w:r>
      <w:r>
        <w:rPr>
          <w:rFonts w:hint="eastAsia" w:ascii="宋体" w:hAnsi="宋体"/>
          <w:color w:val="000000"/>
          <w:kern w:val="2"/>
          <w:u w:val="single"/>
        </w:rPr>
        <w:t>　签定合同时约定　　　</w:t>
      </w:r>
      <w:r>
        <w:rPr>
          <w:rFonts w:hint="eastAsia" w:ascii="宋体" w:hAnsi="宋体"/>
          <w:color w:val="000000"/>
          <w:kern w:val="2"/>
        </w:rPr>
        <w:t>。</w:t>
      </w:r>
    </w:p>
    <w:p>
      <w:pPr>
        <w:jc w:val="both"/>
        <w:rPr>
          <w:rFonts w:ascii="宋体" w:hAnsi="宋体"/>
          <w:color w:val="000000"/>
          <w:kern w:val="2"/>
        </w:rPr>
      </w:pPr>
      <w:r>
        <w:rPr>
          <w:rFonts w:hint="eastAsia" w:ascii="宋体" w:hAnsi="宋体"/>
          <w:color w:val="000000"/>
          <w:kern w:val="2"/>
        </w:rPr>
        <w:t>竣工付款申请单的内容：</w:t>
      </w:r>
      <w:r>
        <w:rPr>
          <w:rFonts w:hint="eastAsia" w:ascii="宋体" w:hAnsi="宋体"/>
          <w:color w:val="000000"/>
          <w:kern w:val="2"/>
          <w:u w:val="single"/>
        </w:rPr>
        <w:t>　签定合同时约定　　　</w:t>
      </w:r>
      <w:r>
        <w:rPr>
          <w:rFonts w:hint="eastAsia" w:ascii="宋体" w:hAnsi="宋体"/>
          <w:color w:val="000000"/>
          <w:kern w:val="2"/>
        </w:rPr>
        <w:t>。</w:t>
      </w:r>
    </w:p>
    <w:p>
      <w:pPr>
        <w:keepNext/>
        <w:keepLines/>
        <w:spacing w:before="120" w:after="120"/>
        <w:jc w:val="both"/>
        <w:outlineLvl w:val="2"/>
        <w:rPr>
          <w:rFonts w:ascii="宋体" w:hAnsi="宋体" w:cs="TimesNewRomanPSMT"/>
          <w:b/>
          <w:color w:val="000000"/>
        </w:rPr>
      </w:pPr>
      <w:bookmarkStart w:id="624" w:name="_Toc199152056"/>
      <w:bookmarkStart w:id="625" w:name="_Toc260305617"/>
      <w:r>
        <w:rPr>
          <w:rFonts w:ascii="宋体" w:hAnsi="宋体" w:cs="TimesNewRomanPSMT"/>
          <w:b/>
          <w:color w:val="000000"/>
        </w:rPr>
        <w:t>17.6 最终结清</w:t>
      </w:r>
      <w:bookmarkEnd w:id="620"/>
      <w:bookmarkEnd w:id="621"/>
      <w:bookmarkEnd w:id="622"/>
      <w:bookmarkEnd w:id="623"/>
      <w:bookmarkEnd w:id="624"/>
      <w:bookmarkEnd w:id="625"/>
    </w:p>
    <w:p>
      <w:pPr>
        <w:jc w:val="both"/>
        <w:rPr>
          <w:rFonts w:ascii="宋体" w:hAnsi="宋体"/>
          <w:color w:val="000000"/>
          <w:kern w:val="2"/>
        </w:rPr>
      </w:pPr>
      <w:r>
        <w:rPr>
          <w:rFonts w:hint="eastAsia" w:ascii="宋体" w:hAnsi="宋体"/>
          <w:color w:val="000000"/>
          <w:kern w:val="2"/>
        </w:rPr>
        <w:t>17.6.1最终结清申请单</w:t>
      </w:r>
    </w:p>
    <w:p>
      <w:pPr>
        <w:jc w:val="both"/>
        <w:rPr>
          <w:rFonts w:ascii="宋体" w:hAnsi="宋体"/>
          <w:color w:val="000000"/>
          <w:kern w:val="2"/>
        </w:rPr>
      </w:pPr>
      <w:r>
        <w:rPr>
          <w:rFonts w:hint="eastAsia" w:ascii="宋体" w:hAnsi="宋体"/>
          <w:color w:val="000000"/>
          <w:kern w:val="2"/>
        </w:rPr>
        <w:t>承包人提交最终结清申请单的份数：</w:t>
      </w:r>
      <w:r>
        <w:rPr>
          <w:rFonts w:hint="eastAsia" w:ascii="宋体" w:hAnsi="宋体"/>
          <w:color w:val="000000"/>
          <w:kern w:val="2"/>
          <w:u w:val="single"/>
        </w:rPr>
        <w:t>　签定合同时约定　　　</w:t>
      </w:r>
      <w:r>
        <w:rPr>
          <w:rFonts w:hint="eastAsia" w:ascii="宋体" w:hAnsi="宋体"/>
          <w:color w:val="000000"/>
          <w:kern w:val="2"/>
        </w:rPr>
        <w:t>。</w:t>
      </w:r>
    </w:p>
    <w:p>
      <w:pPr>
        <w:jc w:val="both"/>
        <w:rPr>
          <w:rFonts w:ascii="宋体" w:hAnsi="宋体"/>
          <w:color w:val="000000"/>
          <w:kern w:val="2"/>
        </w:rPr>
      </w:pPr>
      <w:r>
        <w:rPr>
          <w:rFonts w:hint="eastAsia" w:ascii="宋体" w:hAnsi="宋体"/>
          <w:color w:val="000000"/>
          <w:kern w:val="2"/>
        </w:rPr>
        <w:t>承包人提交最终结清申请单的期限：</w:t>
      </w:r>
      <w:r>
        <w:rPr>
          <w:rFonts w:hint="eastAsia" w:ascii="宋体" w:hAnsi="宋体"/>
          <w:color w:val="000000"/>
          <w:kern w:val="2"/>
          <w:u w:val="single"/>
        </w:rPr>
        <w:t>　签定合同时约定　　　</w:t>
      </w:r>
      <w:r>
        <w:rPr>
          <w:rFonts w:hint="eastAsia" w:ascii="宋体" w:hAnsi="宋体"/>
          <w:color w:val="000000"/>
          <w:kern w:val="2"/>
        </w:rPr>
        <w:t>。</w:t>
      </w:r>
    </w:p>
    <w:p>
      <w:pPr>
        <w:keepNext/>
        <w:keepLines/>
        <w:spacing w:before="120" w:after="120"/>
        <w:jc w:val="both"/>
        <w:outlineLvl w:val="1"/>
        <w:rPr>
          <w:rFonts w:ascii="宋体" w:hAnsi="宋体" w:cs="TimesNewRomanPSMT"/>
          <w:b/>
          <w:color w:val="000000"/>
          <w:sz w:val="28"/>
          <w:szCs w:val="28"/>
        </w:rPr>
      </w:pPr>
      <w:bookmarkStart w:id="626" w:name="_Toc144974696"/>
      <w:bookmarkStart w:id="627" w:name="_Toc152042504"/>
      <w:bookmarkStart w:id="628" w:name="_Toc199152057"/>
      <w:bookmarkStart w:id="629" w:name="_Toc260305618"/>
      <w:bookmarkStart w:id="630" w:name="_Toc179632743"/>
      <w:bookmarkStart w:id="631" w:name="_Toc152045725"/>
      <w:r>
        <w:rPr>
          <w:rFonts w:ascii="宋体" w:hAnsi="宋体" w:cs="TimesNewRomanPSMT"/>
          <w:b/>
          <w:color w:val="000000"/>
          <w:sz w:val="28"/>
          <w:szCs w:val="28"/>
        </w:rPr>
        <w:t>18. 竣工验收</w:t>
      </w:r>
      <w:bookmarkEnd w:id="626"/>
      <w:bookmarkEnd w:id="627"/>
      <w:bookmarkEnd w:id="628"/>
      <w:bookmarkEnd w:id="629"/>
      <w:bookmarkEnd w:id="630"/>
      <w:bookmarkEnd w:id="631"/>
    </w:p>
    <w:p>
      <w:pPr>
        <w:keepNext/>
        <w:keepLines/>
        <w:spacing w:before="120" w:after="120"/>
        <w:jc w:val="both"/>
        <w:outlineLvl w:val="2"/>
        <w:rPr>
          <w:rFonts w:ascii="宋体" w:hAnsi="宋体" w:cs="TimesNewRomanPSMT"/>
          <w:b/>
          <w:color w:val="000000"/>
        </w:rPr>
      </w:pPr>
      <w:bookmarkStart w:id="632" w:name="_Toc152045727"/>
      <w:bookmarkStart w:id="633" w:name="_Toc199152058"/>
      <w:bookmarkStart w:id="634" w:name="_Toc260305619"/>
      <w:bookmarkStart w:id="635" w:name="_Toc144974698"/>
      <w:bookmarkStart w:id="636" w:name="_Toc179632745"/>
      <w:bookmarkStart w:id="637" w:name="_Toc152042506"/>
      <w:r>
        <w:rPr>
          <w:rFonts w:ascii="宋体" w:hAnsi="宋体" w:cs="TimesNewRomanPSMT"/>
          <w:b/>
          <w:color w:val="000000"/>
        </w:rPr>
        <w:t>18.2 竣工验收申请报告</w:t>
      </w:r>
      <w:bookmarkEnd w:id="632"/>
      <w:bookmarkEnd w:id="633"/>
      <w:bookmarkEnd w:id="634"/>
      <w:bookmarkEnd w:id="635"/>
      <w:bookmarkEnd w:id="636"/>
      <w:bookmarkEnd w:id="637"/>
    </w:p>
    <w:p>
      <w:pPr>
        <w:jc w:val="both"/>
        <w:rPr>
          <w:rFonts w:ascii="宋体" w:hAnsi="宋体"/>
          <w:color w:val="000000"/>
          <w:kern w:val="2"/>
        </w:rPr>
      </w:pPr>
      <w:r>
        <w:rPr>
          <w:rFonts w:hint="eastAsia" w:ascii="宋体" w:hAnsi="宋体"/>
          <w:color w:val="000000"/>
          <w:kern w:val="2"/>
        </w:rPr>
        <w:t>（１）承包人负责整理和提交的竣工验收资料应当符合工程所在地建设行政主管部门和（或）城市建设档案管理机构有关施工资料的要求，具体内容包括</w:t>
      </w:r>
      <w:r>
        <w:rPr>
          <w:rFonts w:hint="eastAsia" w:ascii="宋体" w:hAnsi="宋体"/>
          <w:color w:val="000000"/>
          <w:kern w:val="2"/>
          <w:u w:val="single"/>
        </w:rPr>
        <w:t>　签定合同时约定</w:t>
      </w:r>
      <w:r>
        <w:rPr>
          <w:rFonts w:hint="eastAsia" w:ascii="宋体" w:hAnsi="宋体"/>
          <w:color w:val="000000"/>
          <w:kern w:val="2"/>
        </w:rPr>
        <w:t>。</w:t>
      </w:r>
    </w:p>
    <w:p>
      <w:pPr>
        <w:jc w:val="both"/>
        <w:rPr>
          <w:rFonts w:ascii="宋体" w:hAnsi="宋体"/>
          <w:color w:val="000000"/>
          <w:kern w:val="2"/>
        </w:rPr>
      </w:pPr>
      <w:r>
        <w:rPr>
          <w:rFonts w:hint="eastAsia" w:ascii="宋体" w:hAnsi="宋体"/>
          <w:color w:val="000000"/>
          <w:kern w:val="2"/>
        </w:rPr>
        <w:t>竣工验收资料的份数：</w:t>
      </w:r>
      <w:r>
        <w:rPr>
          <w:rFonts w:hint="eastAsia" w:ascii="宋体" w:hAnsi="宋体"/>
          <w:color w:val="000000"/>
          <w:kern w:val="2"/>
          <w:u w:val="single"/>
        </w:rPr>
        <w:t>　签定合同时约定　　　</w:t>
      </w:r>
      <w:r>
        <w:rPr>
          <w:rFonts w:hint="eastAsia" w:ascii="宋体" w:hAnsi="宋体"/>
          <w:color w:val="000000"/>
          <w:kern w:val="2"/>
        </w:rPr>
        <w:t>。</w:t>
      </w:r>
    </w:p>
    <w:p>
      <w:pPr>
        <w:jc w:val="both"/>
        <w:rPr>
          <w:rFonts w:ascii="宋体" w:hAnsi="宋体"/>
          <w:color w:val="000000"/>
          <w:kern w:val="2"/>
        </w:rPr>
      </w:pPr>
      <w:bookmarkStart w:id="638" w:name="_Toc152042507"/>
      <w:bookmarkStart w:id="639" w:name="_Toc152045728"/>
      <w:bookmarkStart w:id="640" w:name="_Toc144974699"/>
      <w:bookmarkStart w:id="641" w:name="_Toc179632746"/>
      <w:r>
        <w:rPr>
          <w:rFonts w:hint="eastAsia" w:ascii="宋体" w:hAnsi="宋体"/>
          <w:color w:val="000000"/>
          <w:kern w:val="2"/>
        </w:rPr>
        <w:t>竣工验收资料的费用支付方式：</w:t>
      </w:r>
      <w:r>
        <w:rPr>
          <w:rFonts w:hint="eastAsia" w:ascii="宋体" w:hAnsi="宋体"/>
          <w:color w:val="000000"/>
          <w:kern w:val="2"/>
          <w:u w:val="single"/>
        </w:rPr>
        <w:t>签定合同时约定　　　　</w:t>
      </w:r>
      <w:r>
        <w:rPr>
          <w:rFonts w:hint="eastAsia" w:ascii="宋体" w:hAnsi="宋体"/>
          <w:color w:val="000000"/>
          <w:kern w:val="2"/>
        </w:rPr>
        <w:t>。</w:t>
      </w:r>
    </w:p>
    <w:p>
      <w:pPr>
        <w:keepNext/>
        <w:keepLines/>
        <w:spacing w:before="120" w:after="120"/>
        <w:jc w:val="both"/>
        <w:outlineLvl w:val="2"/>
        <w:rPr>
          <w:rFonts w:ascii="宋体" w:hAnsi="宋体" w:cs="TimesNewRomanPSMT"/>
          <w:b/>
          <w:color w:val="000000"/>
        </w:rPr>
      </w:pPr>
      <w:bookmarkStart w:id="642" w:name="_Toc199152059"/>
      <w:bookmarkStart w:id="643" w:name="_Toc260305620"/>
      <w:r>
        <w:rPr>
          <w:rFonts w:ascii="宋体" w:hAnsi="宋体" w:cs="TimesNewRomanPSMT"/>
          <w:b/>
          <w:color w:val="000000"/>
        </w:rPr>
        <w:t>18.3 验收</w:t>
      </w:r>
      <w:bookmarkEnd w:id="638"/>
      <w:bookmarkEnd w:id="639"/>
      <w:bookmarkEnd w:id="640"/>
      <w:bookmarkEnd w:id="641"/>
      <w:bookmarkEnd w:id="642"/>
      <w:bookmarkEnd w:id="643"/>
    </w:p>
    <w:p>
      <w:pPr>
        <w:jc w:val="both"/>
        <w:rPr>
          <w:rFonts w:ascii="宋体" w:hAnsi="宋体"/>
          <w:color w:val="000000"/>
          <w:kern w:val="2"/>
        </w:rPr>
      </w:pPr>
      <w:r>
        <w:rPr>
          <w:rFonts w:hint="eastAsia" w:ascii="宋体" w:hAnsi="宋体"/>
          <w:color w:val="000000"/>
          <w:kern w:val="2"/>
        </w:rPr>
        <w:t>18.3.5经验收合格的工程,实际竣工日期为承包人提交竣工验收申请报告的日期。</w:t>
      </w:r>
    </w:p>
    <w:p>
      <w:pPr>
        <w:keepNext/>
        <w:keepLines/>
        <w:spacing w:before="120" w:after="120"/>
        <w:jc w:val="both"/>
        <w:outlineLvl w:val="2"/>
        <w:rPr>
          <w:rFonts w:ascii="宋体" w:hAnsi="宋体" w:cs="TimesNewRomanPSMT"/>
          <w:b/>
          <w:color w:val="000000"/>
        </w:rPr>
      </w:pPr>
      <w:bookmarkStart w:id="644" w:name="_Toc152045732"/>
      <w:bookmarkStart w:id="645" w:name="_Toc260305621"/>
      <w:bookmarkStart w:id="646" w:name="_Toc179632750"/>
      <w:bookmarkStart w:id="647" w:name="_Toc199152062"/>
      <w:bookmarkStart w:id="648" w:name="_Toc144974703"/>
      <w:bookmarkStart w:id="649" w:name="_Toc152042511"/>
      <w:r>
        <w:rPr>
          <w:rFonts w:ascii="宋体" w:hAnsi="宋体" w:cs="TimesNewRomanPSMT"/>
          <w:b/>
          <w:color w:val="000000"/>
        </w:rPr>
        <w:t>18.４竣工清场</w:t>
      </w:r>
      <w:bookmarkEnd w:id="644"/>
      <w:bookmarkEnd w:id="645"/>
      <w:bookmarkEnd w:id="646"/>
      <w:bookmarkEnd w:id="647"/>
      <w:bookmarkEnd w:id="648"/>
      <w:bookmarkEnd w:id="649"/>
    </w:p>
    <w:p>
      <w:pPr>
        <w:jc w:val="both"/>
        <w:rPr>
          <w:rFonts w:ascii="宋体" w:hAnsi="宋体"/>
          <w:color w:val="000000"/>
          <w:kern w:val="2"/>
        </w:rPr>
      </w:pPr>
      <w:r>
        <w:rPr>
          <w:rFonts w:hint="eastAsia" w:ascii="宋体" w:hAnsi="宋体"/>
          <w:color w:val="000000"/>
          <w:kern w:val="2"/>
        </w:rPr>
        <w:t>工程接收证书颁发后，承包人负责按照通用合同条款本项约定的要求对施工场地进行清理并承担相关费用，直至监理人检验合格为止。</w:t>
      </w:r>
    </w:p>
    <w:p>
      <w:pPr>
        <w:keepNext/>
        <w:keepLines/>
        <w:spacing w:before="120" w:after="120"/>
        <w:jc w:val="both"/>
        <w:outlineLvl w:val="2"/>
        <w:rPr>
          <w:rFonts w:ascii="宋体" w:hAnsi="宋体" w:cs="TimesNewRomanPSMT"/>
          <w:b/>
          <w:color w:val="000000"/>
        </w:rPr>
      </w:pPr>
      <w:bookmarkStart w:id="650" w:name="_Toc152042512"/>
      <w:bookmarkStart w:id="651" w:name="_Toc144974704"/>
      <w:bookmarkStart w:id="652" w:name="_Toc260305622"/>
      <w:bookmarkStart w:id="653" w:name="_Toc152045733"/>
      <w:bookmarkStart w:id="654" w:name="_Toc179632751"/>
      <w:bookmarkStart w:id="655" w:name="_Toc199152063"/>
      <w:r>
        <w:rPr>
          <w:rFonts w:ascii="宋体" w:hAnsi="宋体" w:cs="TimesNewRomanPSMT"/>
          <w:b/>
          <w:color w:val="000000"/>
        </w:rPr>
        <w:t>18.</w:t>
      </w:r>
      <w:r>
        <w:rPr>
          <w:rFonts w:hint="eastAsia" w:ascii="宋体" w:hAnsi="宋体" w:cs="TimesNewRomanPSMT"/>
          <w:b/>
          <w:color w:val="000000"/>
        </w:rPr>
        <w:t>５</w:t>
      </w:r>
      <w:r>
        <w:rPr>
          <w:rFonts w:ascii="宋体" w:hAnsi="宋体" w:cs="TimesNewRomanPSMT"/>
          <w:b/>
          <w:color w:val="000000"/>
        </w:rPr>
        <w:t xml:space="preserve"> 施工队伍的撤离</w:t>
      </w:r>
      <w:bookmarkEnd w:id="650"/>
      <w:bookmarkEnd w:id="651"/>
      <w:bookmarkEnd w:id="652"/>
      <w:bookmarkEnd w:id="653"/>
      <w:bookmarkEnd w:id="654"/>
      <w:bookmarkEnd w:id="655"/>
    </w:p>
    <w:p>
      <w:pPr>
        <w:jc w:val="both"/>
        <w:rPr>
          <w:rFonts w:ascii="宋体" w:hAnsi="宋体"/>
          <w:color w:val="000000"/>
          <w:kern w:val="2"/>
        </w:rPr>
      </w:pPr>
      <w:bookmarkStart w:id="656" w:name="_Toc179632752"/>
      <w:bookmarkStart w:id="657" w:name="_Toc152042513"/>
      <w:bookmarkStart w:id="658" w:name="_Toc152045734"/>
      <w:bookmarkStart w:id="659" w:name="_Toc144974705"/>
      <w:r>
        <w:rPr>
          <w:rFonts w:hint="eastAsia" w:ascii="宋体" w:hAnsi="宋体"/>
          <w:color w:val="000000"/>
          <w:kern w:val="2"/>
        </w:rPr>
        <w:t>缺陷责任期满时，承包人可以继续在施工场地保留的人员和施工设备以及最终撤离的期限：</w:t>
      </w:r>
      <w:r>
        <w:rPr>
          <w:rFonts w:hint="eastAsia" w:ascii="宋体" w:hAnsi="宋体"/>
          <w:color w:val="000000"/>
          <w:kern w:val="2"/>
          <w:u w:val="single"/>
        </w:rPr>
        <w:t>签定合同时约定　</w:t>
      </w:r>
      <w:r>
        <w:rPr>
          <w:rFonts w:hint="eastAsia" w:ascii="宋体" w:hAnsi="宋体"/>
          <w:color w:val="000000"/>
          <w:kern w:val="2"/>
        </w:rPr>
        <w:t>。</w:t>
      </w:r>
    </w:p>
    <w:p>
      <w:pPr>
        <w:keepNext/>
        <w:keepLines/>
        <w:spacing w:before="120" w:after="120"/>
        <w:jc w:val="both"/>
        <w:outlineLvl w:val="1"/>
        <w:rPr>
          <w:rFonts w:ascii="宋体" w:hAnsi="宋体" w:cs="TimesNewRomanPSMT"/>
          <w:b/>
          <w:color w:val="000000"/>
          <w:sz w:val="28"/>
          <w:szCs w:val="28"/>
        </w:rPr>
      </w:pPr>
      <w:bookmarkStart w:id="660" w:name="_Toc260305623"/>
      <w:bookmarkStart w:id="661" w:name="_Toc199152064"/>
      <w:r>
        <w:rPr>
          <w:rFonts w:ascii="宋体" w:hAnsi="宋体" w:cs="TimesNewRomanPSMT"/>
          <w:b/>
          <w:color w:val="000000"/>
          <w:sz w:val="28"/>
          <w:szCs w:val="28"/>
        </w:rPr>
        <w:t>19. 缺陷责任与保修责任</w:t>
      </w:r>
      <w:bookmarkEnd w:id="656"/>
      <w:bookmarkEnd w:id="657"/>
      <w:bookmarkEnd w:id="658"/>
      <w:bookmarkEnd w:id="659"/>
      <w:bookmarkEnd w:id="660"/>
      <w:bookmarkEnd w:id="661"/>
    </w:p>
    <w:p>
      <w:pPr>
        <w:keepNext/>
        <w:keepLines/>
        <w:spacing w:before="120" w:after="120"/>
        <w:jc w:val="both"/>
        <w:outlineLvl w:val="2"/>
        <w:rPr>
          <w:rFonts w:ascii="宋体" w:hAnsi="宋体" w:cs="TimesNewRomanPSMT"/>
          <w:b/>
          <w:color w:val="000000"/>
        </w:rPr>
      </w:pPr>
      <w:bookmarkStart w:id="662" w:name="_Toc260305624"/>
      <w:bookmarkStart w:id="663" w:name="_Toc144974712"/>
      <w:bookmarkStart w:id="664" w:name="_Toc152045741"/>
      <w:bookmarkStart w:id="665" w:name="_Toc179632759"/>
      <w:bookmarkStart w:id="666" w:name="_Toc199152065"/>
      <w:bookmarkStart w:id="667" w:name="_Toc152042520"/>
      <w:r>
        <w:rPr>
          <w:rFonts w:ascii="宋体" w:hAnsi="宋体" w:cs="TimesNewRomanPSMT"/>
          <w:b/>
          <w:color w:val="000000"/>
        </w:rPr>
        <w:t>19.１ 保修责任</w:t>
      </w:r>
      <w:bookmarkEnd w:id="662"/>
      <w:bookmarkEnd w:id="663"/>
      <w:bookmarkEnd w:id="664"/>
      <w:bookmarkEnd w:id="665"/>
      <w:bookmarkEnd w:id="666"/>
      <w:bookmarkEnd w:id="667"/>
    </w:p>
    <w:p>
      <w:pPr>
        <w:jc w:val="both"/>
        <w:rPr>
          <w:rFonts w:ascii="宋体" w:hAnsi="宋体"/>
          <w:color w:val="000000"/>
          <w:kern w:val="2"/>
        </w:rPr>
      </w:pPr>
      <w:r>
        <w:rPr>
          <w:rFonts w:hint="eastAsia" w:ascii="宋体" w:hAnsi="宋体"/>
          <w:color w:val="000000"/>
          <w:kern w:val="2"/>
        </w:rPr>
        <w:t>（1）工程质量保修范围：</w:t>
      </w:r>
      <w:r>
        <w:rPr>
          <w:rFonts w:hint="eastAsia" w:ascii="宋体" w:hAnsi="宋体"/>
          <w:color w:val="000000"/>
          <w:kern w:val="2"/>
          <w:u w:val="single"/>
        </w:rPr>
        <w:t>　按《质量保修书》约定　　　</w:t>
      </w:r>
      <w:r>
        <w:rPr>
          <w:rFonts w:hint="eastAsia" w:ascii="宋体" w:hAnsi="宋体"/>
          <w:color w:val="000000"/>
          <w:kern w:val="2"/>
        </w:rPr>
        <w:t>。</w:t>
      </w:r>
    </w:p>
    <w:p>
      <w:pPr>
        <w:jc w:val="both"/>
        <w:rPr>
          <w:rFonts w:ascii="宋体" w:hAnsi="宋体"/>
          <w:color w:val="000000"/>
          <w:kern w:val="2"/>
        </w:rPr>
      </w:pPr>
      <w:r>
        <w:rPr>
          <w:rFonts w:hint="eastAsia" w:ascii="宋体" w:hAnsi="宋体"/>
          <w:color w:val="000000"/>
          <w:kern w:val="2"/>
        </w:rPr>
        <w:t>（2）工程质量保修期限：</w:t>
      </w:r>
      <w:r>
        <w:rPr>
          <w:rFonts w:hint="eastAsia" w:ascii="宋体" w:hAnsi="宋体"/>
          <w:color w:val="000000"/>
          <w:kern w:val="2"/>
          <w:u w:val="single"/>
        </w:rPr>
        <w:t>　按《质量保修书》约定　　　</w:t>
      </w:r>
      <w:r>
        <w:rPr>
          <w:rFonts w:hint="eastAsia" w:ascii="宋体" w:hAnsi="宋体"/>
          <w:color w:val="000000"/>
          <w:kern w:val="2"/>
        </w:rPr>
        <w:t>。</w:t>
      </w:r>
    </w:p>
    <w:p>
      <w:pPr>
        <w:jc w:val="both"/>
        <w:rPr>
          <w:rFonts w:ascii="宋体" w:hAnsi="宋体"/>
          <w:color w:val="000000"/>
          <w:kern w:val="2"/>
        </w:rPr>
      </w:pPr>
      <w:r>
        <w:rPr>
          <w:rFonts w:hint="eastAsia" w:ascii="宋体" w:hAnsi="宋体"/>
          <w:color w:val="000000"/>
          <w:kern w:val="2"/>
        </w:rPr>
        <w:t>（3）工程质量保修责任：</w:t>
      </w:r>
      <w:r>
        <w:rPr>
          <w:rFonts w:hint="eastAsia" w:ascii="宋体" w:hAnsi="宋体"/>
          <w:color w:val="000000"/>
          <w:kern w:val="2"/>
          <w:u w:val="single"/>
        </w:rPr>
        <w:t>　按《质量保修书》约定　　　</w:t>
      </w:r>
      <w:r>
        <w:rPr>
          <w:rFonts w:hint="eastAsia" w:ascii="宋体" w:hAnsi="宋体"/>
          <w:color w:val="000000"/>
          <w:kern w:val="2"/>
        </w:rPr>
        <w:t>。</w:t>
      </w:r>
    </w:p>
    <w:p>
      <w:pPr>
        <w:jc w:val="both"/>
        <w:rPr>
          <w:rFonts w:ascii="宋体" w:hAnsi="宋体"/>
          <w:color w:val="000000"/>
          <w:kern w:val="2"/>
        </w:rPr>
      </w:pPr>
      <w:r>
        <w:rPr>
          <w:rFonts w:hint="eastAsia" w:ascii="宋体" w:hAnsi="宋体"/>
          <w:color w:val="000000"/>
          <w:kern w:val="2"/>
        </w:rPr>
        <w:t>承包人按照有关法律法规规定出具的质量保修书的主要内容应当与本款上述约定内容一致，并在向监理人报送合同条款第18.１款约定的竣工验收申请报告时，一并报送监理人。</w:t>
      </w:r>
    </w:p>
    <w:p>
      <w:pPr>
        <w:keepNext/>
        <w:keepLines/>
        <w:spacing w:before="120" w:after="120"/>
        <w:jc w:val="both"/>
        <w:outlineLvl w:val="1"/>
        <w:rPr>
          <w:rFonts w:ascii="宋体" w:hAnsi="宋体" w:cs="TimesNewRomanPSMT"/>
          <w:b/>
          <w:color w:val="000000"/>
          <w:sz w:val="28"/>
          <w:szCs w:val="28"/>
        </w:rPr>
      </w:pPr>
      <w:bookmarkStart w:id="668" w:name="_Toc152045742"/>
      <w:bookmarkStart w:id="669" w:name="_Toc144974713"/>
      <w:bookmarkStart w:id="670" w:name="_Toc260305625"/>
      <w:bookmarkStart w:id="671" w:name="_Toc199152066"/>
      <w:bookmarkStart w:id="672" w:name="_Toc179632760"/>
      <w:bookmarkStart w:id="673" w:name="_Toc152042521"/>
      <w:r>
        <w:rPr>
          <w:rFonts w:ascii="宋体" w:hAnsi="宋体" w:cs="TimesNewRomanPSMT"/>
          <w:b/>
          <w:color w:val="000000"/>
          <w:sz w:val="28"/>
          <w:szCs w:val="28"/>
        </w:rPr>
        <w:t>20. 保险</w:t>
      </w:r>
      <w:bookmarkEnd w:id="668"/>
      <w:bookmarkEnd w:id="669"/>
      <w:bookmarkEnd w:id="670"/>
      <w:bookmarkEnd w:id="671"/>
      <w:bookmarkEnd w:id="672"/>
      <w:bookmarkEnd w:id="673"/>
    </w:p>
    <w:p>
      <w:pPr>
        <w:keepNext/>
        <w:keepLines/>
        <w:spacing w:before="120" w:after="120"/>
        <w:jc w:val="both"/>
        <w:outlineLvl w:val="2"/>
        <w:rPr>
          <w:rFonts w:ascii="宋体" w:hAnsi="宋体" w:cs="TimesNewRomanPSMT"/>
          <w:b/>
          <w:color w:val="000000"/>
        </w:rPr>
      </w:pPr>
      <w:bookmarkStart w:id="674" w:name="_Toc179632761"/>
      <w:bookmarkStart w:id="675" w:name="_Toc152042522"/>
      <w:bookmarkStart w:id="676" w:name="_Toc199152067"/>
      <w:bookmarkStart w:id="677" w:name="_Toc144974714"/>
      <w:bookmarkStart w:id="678" w:name="_Toc152045743"/>
      <w:bookmarkStart w:id="679" w:name="_Toc260305626"/>
      <w:r>
        <w:rPr>
          <w:rFonts w:ascii="宋体" w:hAnsi="宋体" w:cs="TimesNewRomanPSMT"/>
          <w:b/>
          <w:color w:val="000000"/>
        </w:rPr>
        <w:t>20.1 工程保险</w:t>
      </w:r>
      <w:bookmarkEnd w:id="674"/>
      <w:bookmarkEnd w:id="675"/>
      <w:bookmarkEnd w:id="676"/>
      <w:bookmarkEnd w:id="677"/>
      <w:bookmarkEnd w:id="678"/>
      <w:bookmarkEnd w:id="679"/>
    </w:p>
    <w:p>
      <w:pPr>
        <w:jc w:val="both"/>
        <w:rPr>
          <w:rFonts w:ascii="宋体" w:hAnsi="宋体"/>
          <w:color w:val="000000"/>
          <w:kern w:val="2"/>
        </w:rPr>
      </w:pPr>
      <w:bookmarkStart w:id="680" w:name="_Toc152042523"/>
      <w:bookmarkStart w:id="681" w:name="_Toc179632762"/>
      <w:bookmarkStart w:id="682" w:name="_Toc152045744"/>
      <w:bookmarkStart w:id="683" w:name="_Toc144974715"/>
      <w:r>
        <w:rPr>
          <w:rFonts w:hint="eastAsia" w:ascii="宋体" w:hAnsi="宋体"/>
          <w:color w:val="000000"/>
          <w:kern w:val="2"/>
        </w:rPr>
        <w:t>本工程</w:t>
      </w:r>
      <w:bookmarkEnd w:id="680"/>
      <w:bookmarkEnd w:id="681"/>
      <w:bookmarkEnd w:id="682"/>
      <w:bookmarkEnd w:id="683"/>
      <w:bookmarkStart w:id="684" w:name="_Toc179632765"/>
      <w:bookmarkStart w:id="685" w:name="_Toc144974718"/>
      <w:bookmarkStart w:id="686" w:name="_Toc152042526"/>
      <w:bookmarkStart w:id="687" w:name="_Toc152045747"/>
      <w:r>
        <w:rPr>
          <w:rFonts w:hint="eastAsia" w:ascii="宋体" w:hAnsi="宋体"/>
          <w:color w:val="000000"/>
          <w:kern w:val="2"/>
          <w:u w:val="single"/>
        </w:rPr>
        <w:t>要求承包人必须办理人员意外伤害险。费用由承包人承担。</w:t>
      </w:r>
    </w:p>
    <w:p>
      <w:pPr>
        <w:keepNext/>
        <w:keepLines/>
        <w:spacing w:before="120" w:after="120"/>
        <w:jc w:val="both"/>
        <w:outlineLvl w:val="2"/>
        <w:rPr>
          <w:rFonts w:ascii="宋体" w:hAnsi="宋体" w:cs="TimesNewRomanPSMT"/>
          <w:b/>
          <w:color w:val="000000"/>
        </w:rPr>
      </w:pPr>
      <w:bookmarkStart w:id="688" w:name="_Toc199152069"/>
      <w:bookmarkStart w:id="689" w:name="_Toc260305627"/>
      <w:r>
        <w:rPr>
          <w:rFonts w:ascii="宋体" w:hAnsi="宋体" w:cs="TimesNewRomanPSMT"/>
          <w:b/>
          <w:color w:val="000000"/>
        </w:rPr>
        <w:t>20.5 其他保险</w:t>
      </w:r>
      <w:bookmarkEnd w:id="684"/>
      <w:bookmarkEnd w:id="685"/>
      <w:bookmarkEnd w:id="686"/>
      <w:bookmarkEnd w:id="687"/>
      <w:bookmarkEnd w:id="688"/>
      <w:bookmarkEnd w:id="689"/>
    </w:p>
    <w:p>
      <w:pPr>
        <w:jc w:val="both"/>
        <w:rPr>
          <w:rFonts w:ascii="宋体" w:hAnsi="宋体"/>
          <w:color w:val="000000"/>
          <w:kern w:val="2"/>
        </w:rPr>
      </w:pPr>
      <w:r>
        <w:rPr>
          <w:rFonts w:hint="eastAsia" w:ascii="宋体" w:hAnsi="宋体"/>
          <w:color w:val="000000"/>
          <w:kern w:val="2"/>
        </w:rPr>
        <w:t>承包人应办理的其它保险：</w:t>
      </w:r>
      <w:r>
        <w:rPr>
          <w:rFonts w:hint="eastAsia" w:ascii="宋体" w:hAnsi="宋体"/>
          <w:color w:val="000000"/>
          <w:kern w:val="2"/>
          <w:u w:val="single"/>
        </w:rPr>
        <w:t>由承包人自行决定，其费用发包人视为已包含在合同总价中　</w:t>
      </w:r>
      <w:r>
        <w:rPr>
          <w:rFonts w:hint="eastAsia" w:ascii="宋体" w:hAnsi="宋体"/>
          <w:color w:val="000000"/>
          <w:kern w:val="2"/>
        </w:rPr>
        <w:t>。</w:t>
      </w:r>
    </w:p>
    <w:p>
      <w:pPr>
        <w:keepNext/>
        <w:keepLines/>
        <w:spacing w:before="120" w:after="120"/>
        <w:jc w:val="both"/>
        <w:outlineLvl w:val="1"/>
        <w:rPr>
          <w:rFonts w:ascii="宋体" w:hAnsi="宋体" w:cs="TimesNewRomanPSMT"/>
          <w:b/>
          <w:color w:val="000000"/>
          <w:sz w:val="28"/>
          <w:szCs w:val="28"/>
        </w:rPr>
      </w:pPr>
      <w:bookmarkStart w:id="690" w:name="_Toc152045749"/>
      <w:bookmarkStart w:id="691" w:name="_Toc152042528"/>
      <w:bookmarkStart w:id="692" w:name="_Toc260305628"/>
      <w:bookmarkStart w:id="693" w:name="_Toc199152071"/>
      <w:bookmarkStart w:id="694" w:name="_Toc179632767"/>
      <w:bookmarkStart w:id="695" w:name="_Toc144974720"/>
      <w:r>
        <w:rPr>
          <w:rFonts w:ascii="宋体" w:hAnsi="宋体" w:cs="TimesNewRomanPSMT"/>
          <w:b/>
          <w:color w:val="000000"/>
          <w:sz w:val="28"/>
          <w:szCs w:val="28"/>
        </w:rPr>
        <w:t>21. 不可抗力</w:t>
      </w:r>
      <w:bookmarkEnd w:id="690"/>
      <w:bookmarkEnd w:id="691"/>
      <w:bookmarkEnd w:id="692"/>
      <w:bookmarkEnd w:id="693"/>
      <w:bookmarkEnd w:id="694"/>
      <w:bookmarkEnd w:id="695"/>
    </w:p>
    <w:p>
      <w:pPr>
        <w:keepNext/>
        <w:keepLines/>
        <w:spacing w:before="120" w:after="120"/>
        <w:jc w:val="both"/>
        <w:outlineLvl w:val="2"/>
        <w:rPr>
          <w:rFonts w:ascii="宋体" w:hAnsi="宋体" w:cs="TimesNewRomanPSMT"/>
          <w:b/>
          <w:color w:val="000000"/>
        </w:rPr>
      </w:pPr>
      <w:bookmarkStart w:id="696" w:name="_Toc144974721"/>
      <w:bookmarkStart w:id="697" w:name="_Toc260305629"/>
      <w:bookmarkStart w:id="698" w:name="_Toc179632768"/>
      <w:bookmarkStart w:id="699" w:name="_Toc152045750"/>
      <w:bookmarkStart w:id="700" w:name="_Toc152042529"/>
      <w:bookmarkStart w:id="701" w:name="_Toc199152072"/>
      <w:r>
        <w:rPr>
          <w:rFonts w:ascii="宋体" w:hAnsi="宋体" w:cs="TimesNewRomanPSMT"/>
          <w:b/>
          <w:color w:val="000000"/>
        </w:rPr>
        <w:t>21.1 不可抗力的确认</w:t>
      </w:r>
      <w:bookmarkEnd w:id="696"/>
      <w:bookmarkEnd w:id="697"/>
      <w:bookmarkEnd w:id="698"/>
      <w:bookmarkEnd w:id="699"/>
      <w:bookmarkEnd w:id="700"/>
      <w:bookmarkEnd w:id="701"/>
    </w:p>
    <w:p>
      <w:pPr>
        <w:jc w:val="both"/>
        <w:rPr>
          <w:rFonts w:ascii="宋体" w:hAnsi="宋体"/>
          <w:color w:val="000000"/>
          <w:kern w:val="2"/>
        </w:rPr>
      </w:pPr>
      <w:r>
        <w:rPr>
          <w:rFonts w:hint="eastAsia" w:ascii="宋体" w:hAnsi="宋体"/>
          <w:color w:val="000000"/>
          <w:kern w:val="2"/>
        </w:rPr>
        <w:t>21.1.1通用合同条款第21.1.1项约定的不可抗力以外的其他情形：</w:t>
      </w:r>
      <w:r>
        <w:rPr>
          <w:rFonts w:hint="eastAsia" w:ascii="宋体" w:hAnsi="宋体"/>
          <w:color w:val="000000"/>
          <w:kern w:val="2"/>
          <w:u w:val="single"/>
        </w:rPr>
        <w:t>　无　</w:t>
      </w:r>
      <w:r>
        <w:rPr>
          <w:rFonts w:hint="eastAsia" w:ascii="宋体" w:hAnsi="宋体"/>
          <w:color w:val="000000"/>
          <w:kern w:val="2"/>
        </w:rPr>
        <w:t>。</w:t>
      </w:r>
    </w:p>
    <w:p>
      <w:pPr>
        <w:jc w:val="both"/>
        <w:rPr>
          <w:rFonts w:ascii="宋体" w:hAnsi="宋体"/>
          <w:color w:val="000000"/>
          <w:kern w:val="2"/>
        </w:rPr>
      </w:pPr>
      <w:r>
        <w:rPr>
          <w:rFonts w:hint="eastAsia" w:ascii="宋体" w:hAnsi="宋体"/>
          <w:color w:val="000000"/>
          <w:kern w:val="2"/>
        </w:rPr>
        <w:t>不可抗力的等级范围约定：</w:t>
      </w:r>
      <w:r>
        <w:rPr>
          <w:rFonts w:hint="eastAsia" w:ascii="宋体" w:hAnsi="宋体"/>
          <w:color w:val="000000"/>
          <w:kern w:val="2"/>
          <w:u w:val="single"/>
        </w:rPr>
        <w:t>　　　　</w:t>
      </w:r>
      <w:r>
        <w:rPr>
          <w:rFonts w:hint="eastAsia" w:ascii="宋体" w:hAnsi="宋体"/>
          <w:color w:val="000000"/>
          <w:kern w:val="2"/>
        </w:rPr>
        <w:t>。</w:t>
      </w:r>
    </w:p>
    <w:p>
      <w:pPr>
        <w:keepNext/>
        <w:keepLines/>
        <w:spacing w:before="120" w:after="120"/>
        <w:jc w:val="both"/>
        <w:outlineLvl w:val="2"/>
        <w:rPr>
          <w:rFonts w:ascii="宋体" w:hAnsi="宋体" w:cs="TimesNewRomanPSMT"/>
          <w:b/>
          <w:color w:val="000000"/>
        </w:rPr>
      </w:pPr>
      <w:bookmarkStart w:id="702" w:name="_Toc179632770"/>
      <w:bookmarkStart w:id="703" w:name="_Toc152042531"/>
      <w:bookmarkStart w:id="704" w:name="_Toc260305630"/>
      <w:bookmarkStart w:id="705" w:name="_Toc152045752"/>
      <w:bookmarkStart w:id="706" w:name="_Toc199152073"/>
      <w:bookmarkStart w:id="707" w:name="_Toc144974723"/>
      <w:r>
        <w:rPr>
          <w:rFonts w:ascii="宋体" w:hAnsi="宋体" w:cs="TimesNewRomanPSMT"/>
          <w:b/>
          <w:color w:val="000000"/>
        </w:rPr>
        <w:t>21.3 不可抗力后果及其处理</w:t>
      </w:r>
      <w:bookmarkEnd w:id="702"/>
      <w:bookmarkEnd w:id="703"/>
      <w:bookmarkEnd w:id="704"/>
      <w:bookmarkEnd w:id="705"/>
      <w:bookmarkEnd w:id="706"/>
      <w:bookmarkEnd w:id="707"/>
    </w:p>
    <w:p>
      <w:pPr>
        <w:jc w:val="both"/>
        <w:rPr>
          <w:rFonts w:ascii="宋体" w:hAnsi="宋体"/>
          <w:color w:val="000000"/>
          <w:kern w:val="2"/>
        </w:rPr>
      </w:pPr>
      <w:r>
        <w:rPr>
          <w:rFonts w:hint="eastAsia" w:ascii="宋体" w:hAnsi="宋体"/>
          <w:color w:val="000000"/>
          <w:kern w:val="2"/>
        </w:rPr>
        <w:t>21.3.1不可抗力造成损害的责任</w:t>
      </w:r>
    </w:p>
    <w:p>
      <w:pPr>
        <w:jc w:val="both"/>
        <w:rPr>
          <w:rFonts w:ascii="宋体" w:hAnsi="宋体"/>
          <w:color w:val="000000"/>
          <w:kern w:val="2"/>
        </w:rPr>
      </w:pPr>
      <w:r>
        <w:rPr>
          <w:rFonts w:hint="eastAsia" w:ascii="宋体" w:hAnsi="宋体"/>
          <w:color w:val="000000"/>
          <w:kern w:val="2"/>
        </w:rPr>
        <w:t>不可抗力导致的人员伤亡、财产损失、费用增加和（或）工期延误等后果，由合同双方按通用合同条款第21.3.1款约定的原则承担。</w:t>
      </w:r>
    </w:p>
    <w:p>
      <w:pPr>
        <w:keepNext/>
        <w:keepLines/>
        <w:spacing w:before="120" w:after="120"/>
        <w:jc w:val="both"/>
        <w:outlineLvl w:val="1"/>
        <w:rPr>
          <w:rFonts w:ascii="宋体" w:hAnsi="宋体" w:cs="TimesNewRomanPSMT"/>
          <w:b/>
          <w:color w:val="000000"/>
          <w:sz w:val="28"/>
          <w:szCs w:val="28"/>
        </w:rPr>
      </w:pPr>
      <w:bookmarkStart w:id="708" w:name="_Toc152042541"/>
      <w:bookmarkStart w:id="709" w:name="_Toc260305631"/>
      <w:bookmarkStart w:id="710" w:name="_Toc179632780"/>
      <w:bookmarkStart w:id="711" w:name="_Toc152045762"/>
      <w:bookmarkStart w:id="712" w:name="_Toc199152074"/>
      <w:bookmarkStart w:id="713" w:name="_Toc144974732"/>
      <w:r>
        <w:rPr>
          <w:rFonts w:ascii="宋体" w:hAnsi="宋体" w:cs="TimesNewRomanPSMT"/>
          <w:b/>
          <w:color w:val="000000"/>
          <w:sz w:val="28"/>
          <w:szCs w:val="28"/>
        </w:rPr>
        <w:t>24. 争议的解决</w:t>
      </w:r>
      <w:bookmarkEnd w:id="708"/>
      <w:bookmarkEnd w:id="709"/>
      <w:bookmarkEnd w:id="710"/>
      <w:bookmarkEnd w:id="711"/>
      <w:bookmarkEnd w:id="712"/>
      <w:bookmarkEnd w:id="713"/>
    </w:p>
    <w:p>
      <w:pPr>
        <w:keepNext/>
        <w:keepLines/>
        <w:spacing w:before="120" w:after="120"/>
        <w:jc w:val="both"/>
        <w:outlineLvl w:val="2"/>
        <w:rPr>
          <w:rFonts w:ascii="宋体" w:hAnsi="宋体" w:cs="TimesNewRomanPSMT"/>
          <w:b/>
          <w:color w:val="000000"/>
        </w:rPr>
      </w:pPr>
      <w:bookmarkStart w:id="714" w:name="_Toc152045763"/>
      <w:bookmarkStart w:id="715" w:name="_Toc144974733"/>
      <w:bookmarkStart w:id="716" w:name="_Toc179632781"/>
      <w:bookmarkStart w:id="717" w:name="_Toc260305632"/>
      <w:bookmarkStart w:id="718" w:name="_Toc199152075"/>
      <w:bookmarkStart w:id="719" w:name="_Toc152042542"/>
      <w:r>
        <w:rPr>
          <w:rFonts w:ascii="宋体" w:hAnsi="宋体" w:cs="TimesNewRomanPSMT"/>
          <w:b/>
          <w:color w:val="000000"/>
        </w:rPr>
        <w:t>24.1 争议的解决方式</w:t>
      </w:r>
      <w:bookmarkEnd w:id="714"/>
      <w:bookmarkEnd w:id="715"/>
      <w:bookmarkEnd w:id="716"/>
      <w:bookmarkEnd w:id="717"/>
      <w:bookmarkEnd w:id="718"/>
      <w:bookmarkEnd w:id="719"/>
    </w:p>
    <w:p>
      <w:pPr>
        <w:jc w:val="both"/>
        <w:rPr>
          <w:rFonts w:ascii="宋体" w:hAnsi="宋体"/>
          <w:color w:val="000000"/>
          <w:kern w:val="2"/>
        </w:rPr>
      </w:pPr>
      <w:r>
        <w:rPr>
          <w:rFonts w:hint="eastAsia" w:ascii="宋体" w:hAnsi="宋体"/>
          <w:color w:val="000000"/>
          <w:kern w:val="2"/>
        </w:rPr>
        <w:t>因本合同引起的或与本合同有关的任何争议，合同双方友好协商不成、不愿提请争议组评审或者不愿接受争议评审组意见的，选择下列第</w:t>
      </w:r>
      <w:r>
        <w:rPr>
          <w:rFonts w:hint="eastAsia" w:ascii="宋体" w:hAnsi="宋体"/>
          <w:color w:val="000000"/>
          <w:kern w:val="2"/>
          <w:u w:val="single"/>
        </w:rPr>
        <w:t xml:space="preserve">   2   </w:t>
      </w:r>
      <w:r>
        <w:rPr>
          <w:rFonts w:hint="eastAsia" w:ascii="宋体" w:hAnsi="宋体"/>
          <w:color w:val="000000"/>
          <w:kern w:val="2"/>
        </w:rPr>
        <w:t>种方式解决：</w:t>
      </w:r>
    </w:p>
    <w:p>
      <w:pPr>
        <w:jc w:val="both"/>
        <w:rPr>
          <w:rFonts w:ascii="宋体" w:hAnsi="宋体"/>
          <w:color w:val="000000"/>
          <w:kern w:val="2"/>
        </w:rPr>
      </w:pPr>
      <w:r>
        <w:rPr>
          <w:rFonts w:hint="eastAsia" w:ascii="宋体" w:hAnsi="宋体"/>
          <w:color w:val="000000"/>
          <w:kern w:val="2"/>
        </w:rPr>
        <w:t>（1）提请</w:t>
      </w:r>
      <w:r>
        <w:rPr>
          <w:rFonts w:hint="eastAsia" w:ascii="宋体" w:hAnsi="宋体"/>
          <w:color w:val="000000"/>
          <w:kern w:val="2"/>
          <w:u w:val="single"/>
        </w:rPr>
        <w:t xml:space="preserve">     </w:t>
      </w:r>
      <w:r>
        <w:rPr>
          <w:rFonts w:hint="eastAsia" w:ascii="宋体" w:hAnsi="宋体"/>
          <w:color w:val="000000"/>
          <w:kern w:val="2"/>
        </w:rPr>
        <w:t>仲裁委员会按照该会仲裁规则进行仲裁，仲裁裁决是终局的，对合同双方均有约束力。</w:t>
      </w:r>
    </w:p>
    <w:p>
      <w:pPr>
        <w:jc w:val="both"/>
        <w:rPr>
          <w:rFonts w:ascii="宋体" w:hAnsi="宋体"/>
          <w:color w:val="000000"/>
          <w:kern w:val="2"/>
        </w:rPr>
      </w:pPr>
      <w:r>
        <w:rPr>
          <w:rFonts w:hint="eastAsia" w:ascii="宋体" w:hAnsi="宋体"/>
          <w:color w:val="000000"/>
          <w:kern w:val="2"/>
        </w:rPr>
        <w:t>（2）向有管辖权的人民法院提起诉讼。</w:t>
      </w:r>
    </w:p>
    <w:p>
      <w:pPr>
        <w:keepNext/>
        <w:keepLines/>
        <w:spacing w:before="120" w:after="120"/>
        <w:jc w:val="both"/>
        <w:outlineLvl w:val="2"/>
        <w:rPr>
          <w:rFonts w:ascii="宋体" w:hAnsi="宋体" w:cs="TimesNewRomanPSMT"/>
          <w:b/>
          <w:color w:val="000000"/>
        </w:rPr>
      </w:pPr>
      <w:bookmarkStart w:id="720" w:name="_Toc152042544"/>
      <w:bookmarkStart w:id="721" w:name="_Toc179632783"/>
      <w:bookmarkStart w:id="722" w:name="_Toc152045765"/>
      <w:bookmarkStart w:id="723" w:name="_Toc260305633"/>
      <w:bookmarkStart w:id="724" w:name="_Toc199152076"/>
      <w:bookmarkStart w:id="725" w:name="_Toc144974735"/>
      <w:r>
        <w:rPr>
          <w:rFonts w:ascii="宋体" w:hAnsi="宋体" w:cs="TimesNewRomanPSMT"/>
          <w:b/>
          <w:color w:val="000000"/>
        </w:rPr>
        <w:t>24.3 争议评审</w:t>
      </w:r>
      <w:bookmarkEnd w:id="720"/>
      <w:bookmarkEnd w:id="721"/>
      <w:bookmarkEnd w:id="722"/>
      <w:bookmarkEnd w:id="723"/>
      <w:bookmarkEnd w:id="724"/>
      <w:bookmarkEnd w:id="725"/>
    </w:p>
    <w:p>
      <w:pPr>
        <w:jc w:val="both"/>
        <w:rPr>
          <w:rFonts w:ascii="宋体" w:hAnsi="宋体"/>
          <w:color w:val="000000"/>
          <w:kern w:val="2"/>
        </w:rPr>
      </w:pPr>
      <w:r>
        <w:rPr>
          <w:rFonts w:hint="eastAsia" w:ascii="宋体" w:hAnsi="宋体"/>
          <w:color w:val="000000"/>
          <w:kern w:val="2"/>
        </w:rPr>
        <w:t>24.3.4争议评审组邀请合同双方代表人和有关人员举行调查会的期限</w:t>
      </w:r>
      <w:r>
        <w:rPr>
          <w:rFonts w:hint="eastAsia" w:ascii="宋体" w:hAnsi="宋体"/>
          <w:color w:val="000000"/>
          <w:kern w:val="2"/>
          <w:u w:val="single"/>
        </w:rPr>
        <w:t>　　签定合同时约定　　</w:t>
      </w:r>
      <w:r>
        <w:rPr>
          <w:rFonts w:hint="eastAsia" w:ascii="宋体" w:hAnsi="宋体"/>
          <w:color w:val="000000"/>
          <w:kern w:val="2"/>
        </w:rPr>
        <w:t>。</w:t>
      </w:r>
    </w:p>
    <w:p>
      <w:pPr>
        <w:jc w:val="both"/>
        <w:rPr>
          <w:rFonts w:ascii="宋体" w:hAnsi="Calibri" w:cs="宋体"/>
          <w:color w:val="000000"/>
        </w:rPr>
      </w:pPr>
      <w:r>
        <w:rPr>
          <w:rFonts w:hint="eastAsia" w:ascii="宋体" w:hAnsi="宋体"/>
          <w:color w:val="000000"/>
          <w:kern w:val="2"/>
        </w:rPr>
        <w:t>24.3.5争议评审组在调查会后作出争议评审意见的期限：</w:t>
      </w:r>
      <w:r>
        <w:rPr>
          <w:rFonts w:hint="eastAsia" w:ascii="宋体" w:hAnsi="宋体"/>
          <w:color w:val="000000"/>
          <w:kern w:val="2"/>
          <w:u w:val="single"/>
        </w:rPr>
        <w:t>签定合同时约定　</w:t>
      </w:r>
      <w:r>
        <w:rPr>
          <w:rFonts w:hint="eastAsia" w:ascii="宋体" w:hAnsi="宋体"/>
          <w:color w:val="000000"/>
          <w:kern w:val="2"/>
        </w:rPr>
        <w:t>。</w:t>
      </w:r>
      <w:bookmarkEnd w:id="215"/>
      <w:bookmarkEnd w:id="216"/>
      <w:bookmarkEnd w:id="217"/>
      <w:bookmarkEnd w:id="218"/>
    </w:p>
    <w:p>
      <w:pPr>
        <w:autoSpaceDE w:val="0"/>
        <w:autoSpaceDN w:val="0"/>
        <w:adjustRightInd w:val="0"/>
        <w:rPr>
          <w:rFonts w:ascii="宋体" w:hAnsi="宋体" w:cs="宋体"/>
          <w:color w:val="000000"/>
        </w:rPr>
      </w:pPr>
    </w:p>
    <w:bookmarkEnd w:id="28"/>
    <w:p>
      <w:pPr>
        <w:jc w:val="both"/>
        <w:rPr>
          <w:rFonts w:ascii="Calibri" w:hAnsi="Calibri"/>
          <w:kern w:val="2"/>
          <w:sz w:val="21"/>
          <w:szCs w:val="22"/>
        </w:rPr>
      </w:pPr>
    </w:p>
    <w:p>
      <w:pPr>
        <w:jc w:val="both"/>
        <w:rPr>
          <w:rFonts w:ascii="Calibri" w:hAnsi="Calibri"/>
          <w:kern w:val="2"/>
          <w:sz w:val="21"/>
          <w:szCs w:val="22"/>
        </w:rPr>
      </w:pPr>
    </w:p>
    <w:p>
      <w:pPr>
        <w:jc w:val="both"/>
        <w:rPr>
          <w:rFonts w:ascii="Calibri" w:hAnsi="Calibri"/>
          <w:kern w:val="2"/>
          <w:sz w:val="21"/>
          <w:szCs w:val="22"/>
        </w:rPr>
      </w:pPr>
    </w:p>
    <w:p>
      <w:pPr>
        <w:jc w:val="both"/>
        <w:rPr>
          <w:rFonts w:ascii="Calibri" w:hAnsi="Calibri"/>
          <w:kern w:val="2"/>
          <w:sz w:val="21"/>
          <w:szCs w:val="22"/>
        </w:rPr>
      </w:pPr>
    </w:p>
    <w:p>
      <w:pPr>
        <w:jc w:val="both"/>
        <w:rPr>
          <w:rFonts w:ascii="Calibri" w:hAnsi="Calibri"/>
          <w:kern w:val="2"/>
          <w:sz w:val="21"/>
          <w:szCs w:val="22"/>
        </w:rPr>
      </w:pPr>
    </w:p>
    <w:p>
      <w:pPr>
        <w:jc w:val="both"/>
        <w:rPr>
          <w:rFonts w:ascii="Calibri" w:hAnsi="Calibri"/>
          <w:kern w:val="2"/>
          <w:sz w:val="21"/>
          <w:szCs w:val="22"/>
        </w:rPr>
      </w:pPr>
    </w:p>
    <w:p>
      <w:pPr>
        <w:jc w:val="both"/>
        <w:rPr>
          <w:rFonts w:ascii="Calibri" w:hAnsi="Calibri"/>
          <w:kern w:val="2"/>
          <w:sz w:val="21"/>
          <w:szCs w:val="22"/>
        </w:rPr>
      </w:pPr>
    </w:p>
    <w:p>
      <w:pPr>
        <w:jc w:val="both"/>
        <w:rPr>
          <w:rFonts w:ascii="Calibri" w:hAnsi="Calibri"/>
          <w:kern w:val="2"/>
          <w:sz w:val="21"/>
          <w:szCs w:val="22"/>
        </w:rPr>
      </w:pPr>
    </w:p>
    <w:p>
      <w:pPr>
        <w:jc w:val="both"/>
        <w:rPr>
          <w:rFonts w:ascii="Calibri" w:hAnsi="Calibri"/>
          <w:kern w:val="2"/>
          <w:sz w:val="21"/>
          <w:szCs w:val="22"/>
        </w:rPr>
      </w:pPr>
    </w:p>
    <w:p>
      <w:pPr>
        <w:jc w:val="both"/>
        <w:rPr>
          <w:rFonts w:ascii="Calibri" w:hAnsi="Calibri"/>
          <w:kern w:val="2"/>
          <w:sz w:val="21"/>
          <w:szCs w:val="22"/>
        </w:rPr>
      </w:pPr>
    </w:p>
    <w:p>
      <w:pPr>
        <w:jc w:val="both"/>
        <w:rPr>
          <w:rFonts w:ascii="Calibri" w:hAnsi="Calibri"/>
          <w:kern w:val="2"/>
          <w:sz w:val="21"/>
          <w:szCs w:val="22"/>
        </w:rPr>
      </w:pPr>
    </w:p>
    <w:p>
      <w:pPr>
        <w:jc w:val="both"/>
        <w:rPr>
          <w:rFonts w:ascii="Calibri" w:hAnsi="Calibri"/>
          <w:kern w:val="2"/>
          <w:sz w:val="21"/>
          <w:szCs w:val="22"/>
        </w:rPr>
      </w:pPr>
    </w:p>
    <w:p>
      <w:pPr>
        <w:jc w:val="both"/>
        <w:rPr>
          <w:rFonts w:ascii="Calibri" w:hAnsi="Calibri"/>
          <w:kern w:val="2"/>
          <w:sz w:val="21"/>
          <w:szCs w:val="22"/>
        </w:rPr>
      </w:pPr>
    </w:p>
    <w:p>
      <w:pPr>
        <w:jc w:val="both"/>
        <w:rPr>
          <w:rFonts w:ascii="Calibri" w:hAnsi="Calibri"/>
          <w:kern w:val="2"/>
          <w:sz w:val="21"/>
          <w:szCs w:val="22"/>
        </w:rPr>
      </w:pPr>
    </w:p>
    <w:p>
      <w:pPr>
        <w:jc w:val="both"/>
        <w:rPr>
          <w:rFonts w:ascii="Calibri" w:hAnsi="Calibri"/>
          <w:kern w:val="2"/>
          <w:sz w:val="21"/>
          <w:szCs w:val="22"/>
        </w:rPr>
      </w:pPr>
    </w:p>
    <w:bookmarkEnd w:id="29"/>
    <w:p>
      <w:pPr>
        <w:keepNext/>
        <w:keepLines/>
        <w:spacing w:before="260" w:after="260" w:line="413" w:lineRule="auto"/>
        <w:jc w:val="center"/>
        <w:outlineLvl w:val="2"/>
        <w:rPr>
          <w:rFonts w:hint="eastAsia" w:ascii="宋体" w:hAnsi="宋体"/>
          <w:bCs/>
          <w:sz w:val="32"/>
          <w:szCs w:val="32"/>
        </w:rPr>
      </w:pPr>
    </w:p>
    <w:p>
      <w:pPr>
        <w:pStyle w:val="2"/>
        <w:rPr>
          <w:rFonts w:hint="eastAsia" w:ascii="宋体" w:hAnsi="宋体"/>
          <w:bCs/>
          <w:sz w:val="32"/>
          <w:szCs w:val="32"/>
        </w:rPr>
      </w:pPr>
    </w:p>
    <w:p>
      <w:pPr>
        <w:pStyle w:val="3"/>
        <w:rPr>
          <w:rFonts w:hint="eastAsia" w:ascii="宋体" w:hAnsi="宋体"/>
          <w:bCs/>
          <w:sz w:val="32"/>
          <w:szCs w:val="32"/>
        </w:rPr>
      </w:pPr>
    </w:p>
    <w:p>
      <w:pPr>
        <w:pStyle w:val="5"/>
        <w:rPr>
          <w:rFonts w:hint="eastAsia" w:ascii="宋体" w:hAnsi="宋体"/>
          <w:bCs/>
          <w:sz w:val="32"/>
          <w:szCs w:val="32"/>
        </w:rPr>
      </w:pPr>
    </w:p>
    <w:p>
      <w:pPr>
        <w:rPr>
          <w:rFonts w:hint="eastAsia" w:ascii="宋体" w:hAnsi="宋体"/>
          <w:bCs/>
          <w:sz w:val="32"/>
          <w:szCs w:val="32"/>
        </w:rPr>
      </w:pPr>
    </w:p>
    <w:p>
      <w:pPr>
        <w:pStyle w:val="2"/>
        <w:rPr>
          <w:rFonts w:hint="eastAsia" w:ascii="宋体" w:hAnsi="宋体"/>
          <w:bCs/>
          <w:sz w:val="32"/>
          <w:szCs w:val="32"/>
        </w:rPr>
      </w:pPr>
    </w:p>
    <w:p>
      <w:pPr>
        <w:pStyle w:val="3"/>
        <w:rPr>
          <w:rFonts w:hint="eastAsia" w:ascii="宋体" w:hAnsi="宋体"/>
          <w:bCs/>
          <w:sz w:val="32"/>
          <w:szCs w:val="32"/>
        </w:rPr>
      </w:pPr>
    </w:p>
    <w:p>
      <w:pPr>
        <w:pStyle w:val="5"/>
        <w:rPr>
          <w:rFonts w:hint="eastAsia" w:ascii="宋体" w:hAnsi="宋体"/>
          <w:bCs/>
          <w:sz w:val="32"/>
          <w:szCs w:val="32"/>
        </w:rPr>
      </w:pPr>
    </w:p>
    <w:p>
      <w:pPr>
        <w:rPr>
          <w:rFonts w:hint="eastAsia" w:ascii="宋体" w:hAnsi="宋体"/>
          <w:bCs/>
          <w:sz w:val="32"/>
          <w:szCs w:val="32"/>
        </w:rPr>
      </w:pPr>
    </w:p>
    <w:p>
      <w:pPr>
        <w:pStyle w:val="2"/>
        <w:rPr>
          <w:rFonts w:hint="eastAsia" w:ascii="宋体" w:hAnsi="宋体"/>
          <w:bCs/>
          <w:sz w:val="32"/>
          <w:szCs w:val="32"/>
        </w:rPr>
      </w:pPr>
    </w:p>
    <w:p>
      <w:pPr>
        <w:pStyle w:val="3"/>
        <w:rPr>
          <w:rFonts w:hint="eastAsia" w:ascii="宋体" w:hAnsi="宋体"/>
          <w:bCs/>
          <w:sz w:val="32"/>
          <w:szCs w:val="32"/>
        </w:rPr>
      </w:pPr>
    </w:p>
    <w:p>
      <w:pPr>
        <w:pStyle w:val="5"/>
        <w:rPr>
          <w:rFonts w:hint="eastAsia" w:ascii="宋体" w:hAnsi="宋体"/>
          <w:bCs/>
          <w:sz w:val="32"/>
          <w:szCs w:val="32"/>
        </w:rPr>
      </w:pPr>
    </w:p>
    <w:p>
      <w:pPr>
        <w:rPr>
          <w:rFonts w:hint="eastAsia" w:ascii="宋体" w:hAnsi="宋体"/>
          <w:bCs/>
          <w:sz w:val="32"/>
          <w:szCs w:val="32"/>
        </w:rPr>
      </w:pPr>
    </w:p>
    <w:p>
      <w:pPr>
        <w:pStyle w:val="2"/>
        <w:rPr>
          <w:rFonts w:hint="eastAsia" w:ascii="宋体" w:hAnsi="宋体"/>
          <w:bCs/>
          <w:sz w:val="32"/>
          <w:szCs w:val="32"/>
        </w:rPr>
      </w:pPr>
    </w:p>
    <w:p>
      <w:pPr>
        <w:pStyle w:val="3"/>
        <w:rPr>
          <w:rFonts w:hint="eastAsia"/>
        </w:rPr>
      </w:pPr>
    </w:p>
    <w:p>
      <w:pPr>
        <w:keepNext/>
        <w:keepLines/>
        <w:spacing w:before="260" w:after="260" w:line="413" w:lineRule="auto"/>
        <w:jc w:val="center"/>
        <w:outlineLvl w:val="2"/>
        <w:rPr>
          <w:rFonts w:ascii="宋体" w:hAnsi="宋体"/>
          <w:bCs/>
          <w:sz w:val="32"/>
          <w:szCs w:val="32"/>
        </w:rPr>
      </w:pPr>
      <w:r>
        <w:rPr>
          <w:rFonts w:hint="eastAsia" w:ascii="宋体" w:hAnsi="宋体"/>
          <w:b/>
          <w:bCs w:val="0"/>
          <w:sz w:val="32"/>
          <w:szCs w:val="32"/>
        </w:rPr>
        <w:t>第四节  合同附件格式</w:t>
      </w:r>
    </w:p>
    <w:p>
      <w:pPr>
        <w:spacing w:line="360" w:lineRule="auto"/>
        <w:rPr>
          <w:rFonts w:hint="eastAsia" w:ascii="宋体" w:hAnsi="宋体"/>
          <w:b/>
        </w:rPr>
      </w:pPr>
    </w:p>
    <w:p>
      <w:pPr>
        <w:spacing w:line="360" w:lineRule="auto"/>
        <w:rPr>
          <w:rFonts w:ascii="宋体" w:hAnsi="宋体"/>
          <w:b/>
        </w:rPr>
      </w:pPr>
      <w:r>
        <w:rPr>
          <w:rFonts w:hint="eastAsia" w:ascii="宋体" w:hAnsi="宋体"/>
          <w:b/>
        </w:rPr>
        <w:t>附件一：质量保修书、安全生产合同</w:t>
      </w:r>
    </w:p>
    <w:p>
      <w:pPr>
        <w:spacing w:line="360" w:lineRule="auto"/>
        <w:jc w:val="both"/>
        <w:rPr>
          <w:rFonts w:ascii="宋体" w:hAnsi="宋体"/>
          <w:b/>
          <w:sz w:val="28"/>
          <w:szCs w:val="28"/>
        </w:rPr>
      </w:pPr>
    </w:p>
    <w:p>
      <w:pPr>
        <w:pStyle w:val="2"/>
      </w:pPr>
    </w:p>
    <w:p>
      <w:pPr>
        <w:spacing w:line="360" w:lineRule="auto"/>
        <w:jc w:val="center"/>
        <w:rPr>
          <w:rFonts w:ascii="宋体" w:hAnsi="宋体"/>
          <w:szCs w:val="21"/>
        </w:rPr>
      </w:pPr>
      <w:r>
        <w:rPr>
          <w:rFonts w:hint="eastAsia" w:ascii="宋体" w:hAnsi="宋体"/>
          <w:b/>
          <w:sz w:val="28"/>
          <w:szCs w:val="28"/>
        </w:rPr>
        <w:t>工程质量保修书</w:t>
      </w:r>
    </w:p>
    <w:p>
      <w:pPr>
        <w:spacing w:line="360" w:lineRule="auto"/>
        <w:rPr>
          <w:rFonts w:ascii="宋体" w:hAnsi="宋体"/>
          <w:szCs w:val="21"/>
          <w:u w:val="single"/>
        </w:rPr>
      </w:pPr>
      <w:r>
        <w:rPr>
          <w:rFonts w:hint="eastAsia" w:ascii="宋体" w:hAnsi="宋体"/>
          <w:szCs w:val="21"/>
        </w:rPr>
        <w:t>发包人（全称）：</w:t>
      </w:r>
      <w:r>
        <w:rPr>
          <w:rFonts w:hint="eastAsia" w:ascii="宋体" w:hAnsi="宋体"/>
          <w:szCs w:val="21"/>
          <w:u w:val="single"/>
        </w:rPr>
        <w:t xml:space="preserve">                                               </w:t>
      </w:r>
    </w:p>
    <w:p>
      <w:pPr>
        <w:spacing w:line="360" w:lineRule="auto"/>
        <w:rPr>
          <w:rFonts w:ascii="宋体" w:hAnsi="宋体"/>
          <w:szCs w:val="21"/>
          <w:u w:val="single"/>
        </w:rPr>
      </w:pPr>
      <w:r>
        <w:rPr>
          <w:rFonts w:hint="eastAsia" w:ascii="宋体" w:hAnsi="宋体"/>
          <w:szCs w:val="21"/>
        </w:rPr>
        <w:t>承包人（全称）：</w:t>
      </w:r>
      <w:r>
        <w:rPr>
          <w:rFonts w:hint="eastAsia" w:ascii="宋体" w:hAnsi="宋体"/>
          <w:szCs w:val="21"/>
          <w:u w:val="single"/>
        </w:rPr>
        <w:t xml:space="preserve">                                               </w:t>
      </w:r>
    </w:p>
    <w:p>
      <w:pPr>
        <w:spacing w:line="360" w:lineRule="auto"/>
        <w:ind w:firstLine="480" w:firstLineChars="200"/>
        <w:rPr>
          <w:rFonts w:ascii="宋体" w:hAnsi="宋体"/>
          <w:szCs w:val="21"/>
          <w:u w:val="single"/>
        </w:rPr>
      </w:pPr>
      <w:r>
        <w:rPr>
          <w:rFonts w:hint="eastAsia" w:ascii="宋体" w:hAnsi="宋体"/>
          <w:szCs w:val="21"/>
        </w:rPr>
        <w:t>发包人、承包人根据《中华人民共和国建筑法》、《建设工程质量管理条例》和《房屋建筑工程质量保修办法》，经协商一致，对</w:t>
      </w:r>
      <w:r>
        <w:rPr>
          <w:rFonts w:hint="eastAsia" w:ascii="宋体" w:hAnsi="宋体"/>
          <w:szCs w:val="21"/>
          <w:u w:val="single"/>
        </w:rPr>
        <w:t xml:space="preserve">          </w:t>
      </w:r>
      <w:r>
        <w:rPr>
          <w:rFonts w:hint="eastAsia" w:ascii="宋体" w:hAnsi="宋体"/>
          <w:szCs w:val="21"/>
        </w:rPr>
        <w:t>签订工程质量保修书。</w:t>
      </w:r>
    </w:p>
    <w:p>
      <w:pPr>
        <w:spacing w:line="360" w:lineRule="auto"/>
        <w:ind w:firstLine="480" w:firstLineChars="200"/>
        <w:rPr>
          <w:rFonts w:ascii="宋体" w:hAnsi="宋体"/>
          <w:szCs w:val="21"/>
        </w:rPr>
      </w:pPr>
      <w:r>
        <w:rPr>
          <w:rFonts w:hint="eastAsia" w:ascii="宋体" w:hAnsi="宋体"/>
          <w:szCs w:val="21"/>
        </w:rPr>
        <w:t>1、工程质量保修范围和内容</w:t>
      </w:r>
    </w:p>
    <w:p>
      <w:pPr>
        <w:spacing w:line="360" w:lineRule="auto"/>
        <w:ind w:firstLine="480" w:firstLineChars="200"/>
        <w:rPr>
          <w:rFonts w:ascii="宋体" w:hAnsi="宋体"/>
          <w:szCs w:val="21"/>
        </w:rPr>
      </w:pPr>
      <w:r>
        <w:rPr>
          <w:rFonts w:hint="eastAsia" w:ascii="宋体" w:hAnsi="宋体"/>
          <w:szCs w:val="21"/>
        </w:rPr>
        <w:t>承包人在质量保修期内，按照有关法律、法规、规章规定和双方约定，承担本工程质量保修责任。</w:t>
      </w:r>
    </w:p>
    <w:p>
      <w:pPr>
        <w:spacing w:line="360" w:lineRule="auto"/>
        <w:ind w:firstLine="480" w:firstLineChars="200"/>
        <w:rPr>
          <w:rFonts w:ascii="宋体" w:hAnsi="宋体"/>
          <w:szCs w:val="21"/>
        </w:rPr>
      </w:pPr>
      <w:r>
        <w:rPr>
          <w:rFonts w:hint="eastAsia" w:ascii="宋体" w:hAnsi="宋体"/>
          <w:szCs w:val="21"/>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质保期：</w:t>
      </w:r>
      <w:r>
        <w:rPr>
          <w:rFonts w:hint="eastAsia" w:ascii="宋体" w:hAnsi="宋体"/>
          <w:szCs w:val="21"/>
          <w:u w:val="single"/>
        </w:rPr>
        <w:t>详见《建设工程质管管理条例》第六章第39—42条。</w:t>
      </w:r>
    </w:p>
    <w:p>
      <w:pPr>
        <w:spacing w:line="360" w:lineRule="auto"/>
        <w:ind w:firstLine="480" w:firstLineChars="200"/>
        <w:rPr>
          <w:rFonts w:ascii="宋体" w:hAnsi="宋体"/>
          <w:szCs w:val="21"/>
        </w:rPr>
      </w:pPr>
      <w:r>
        <w:rPr>
          <w:rFonts w:hint="eastAsia" w:ascii="宋体" w:hAnsi="宋体"/>
          <w:szCs w:val="21"/>
        </w:rPr>
        <w:t>2、质量保修期</w:t>
      </w:r>
    </w:p>
    <w:p>
      <w:pPr>
        <w:spacing w:line="360" w:lineRule="auto"/>
        <w:ind w:firstLine="480" w:firstLineChars="200"/>
        <w:rPr>
          <w:rFonts w:ascii="宋体" w:hAnsi="宋体"/>
          <w:szCs w:val="21"/>
        </w:rPr>
      </w:pPr>
      <w:r>
        <w:rPr>
          <w:rFonts w:hint="eastAsia" w:ascii="宋体" w:hAnsi="宋体"/>
          <w:szCs w:val="21"/>
        </w:rPr>
        <w:t>2.1双方根据《建设工程质量管理条例》及有关规定，约定本工程的质量保修期如下：</w:t>
      </w:r>
    </w:p>
    <w:p>
      <w:pPr>
        <w:spacing w:line="360" w:lineRule="auto"/>
        <w:ind w:firstLine="360" w:firstLineChars="150"/>
        <w:rPr>
          <w:rFonts w:ascii="宋体" w:hAnsi="宋体"/>
          <w:szCs w:val="21"/>
        </w:rPr>
      </w:pPr>
      <w:r>
        <w:rPr>
          <w:rFonts w:hint="eastAsia" w:ascii="宋体" w:hAnsi="宋体"/>
          <w:szCs w:val="21"/>
        </w:rPr>
        <w:t>（1）地基基础工程和主体结构工程为设计文件规定的该工程合理使用年限；</w:t>
      </w:r>
    </w:p>
    <w:p>
      <w:pPr>
        <w:spacing w:line="360" w:lineRule="auto"/>
        <w:ind w:firstLine="342" w:firstLineChars="150"/>
        <w:rPr>
          <w:rFonts w:ascii="宋体" w:hAnsi="宋体"/>
          <w:spacing w:val="-6"/>
          <w:szCs w:val="21"/>
        </w:rPr>
      </w:pPr>
      <w:r>
        <w:rPr>
          <w:rFonts w:hint="eastAsia" w:ascii="宋体" w:hAnsi="宋体"/>
          <w:spacing w:val="-6"/>
          <w:szCs w:val="21"/>
        </w:rPr>
        <w:t>（2）屋面防水工程、有防水要求的卫生间、房间和外墙面的防渗漏为</w:t>
      </w:r>
      <w:r>
        <w:rPr>
          <w:rFonts w:hint="eastAsia" w:ascii="宋体" w:hAnsi="宋体"/>
          <w:spacing w:val="-6"/>
          <w:szCs w:val="21"/>
          <w:u w:val="single"/>
        </w:rPr>
        <w:t xml:space="preserve">  伍  </w:t>
      </w:r>
      <w:r>
        <w:rPr>
          <w:rFonts w:hint="eastAsia" w:ascii="宋体" w:hAnsi="宋体"/>
          <w:spacing w:val="-6"/>
          <w:szCs w:val="21"/>
        </w:rPr>
        <w:t>年；</w:t>
      </w:r>
    </w:p>
    <w:p>
      <w:pPr>
        <w:spacing w:line="360" w:lineRule="auto"/>
        <w:ind w:firstLine="360" w:firstLineChars="150"/>
        <w:rPr>
          <w:rFonts w:ascii="宋体" w:hAnsi="宋体"/>
          <w:szCs w:val="21"/>
        </w:rPr>
      </w:pPr>
      <w:r>
        <w:rPr>
          <w:rFonts w:hint="eastAsia" w:ascii="宋体" w:hAnsi="宋体"/>
          <w:szCs w:val="21"/>
        </w:rPr>
        <w:t>（3）装修工程为</w:t>
      </w:r>
      <w:r>
        <w:rPr>
          <w:rFonts w:hint="eastAsia" w:ascii="宋体" w:hAnsi="宋体"/>
          <w:szCs w:val="21"/>
          <w:u w:val="single"/>
        </w:rPr>
        <w:t xml:space="preserve">  贰  </w:t>
      </w:r>
      <w:r>
        <w:rPr>
          <w:rFonts w:hint="eastAsia" w:ascii="宋体" w:hAnsi="宋体"/>
          <w:szCs w:val="21"/>
        </w:rPr>
        <w:t>年；</w:t>
      </w:r>
    </w:p>
    <w:p>
      <w:pPr>
        <w:spacing w:line="360" w:lineRule="auto"/>
        <w:ind w:firstLine="360" w:firstLineChars="150"/>
        <w:rPr>
          <w:rFonts w:ascii="宋体" w:hAnsi="宋体"/>
          <w:szCs w:val="21"/>
        </w:rPr>
      </w:pPr>
      <w:r>
        <w:rPr>
          <w:rFonts w:hint="eastAsia" w:ascii="宋体" w:hAnsi="宋体"/>
          <w:szCs w:val="21"/>
        </w:rPr>
        <w:t>（4）供热与供冷系统为</w:t>
      </w:r>
      <w:r>
        <w:rPr>
          <w:rFonts w:hint="eastAsia" w:ascii="宋体" w:hAnsi="宋体"/>
          <w:szCs w:val="21"/>
          <w:u w:val="single"/>
        </w:rPr>
        <w:t xml:space="preserve">  贰  </w:t>
      </w:r>
      <w:r>
        <w:rPr>
          <w:rFonts w:hint="eastAsia" w:ascii="宋体" w:hAnsi="宋体"/>
          <w:szCs w:val="21"/>
        </w:rPr>
        <w:t>个采暖期、供冷期；</w:t>
      </w:r>
    </w:p>
    <w:p>
      <w:pPr>
        <w:spacing w:line="360" w:lineRule="auto"/>
        <w:ind w:firstLine="360" w:firstLineChars="150"/>
        <w:rPr>
          <w:rFonts w:ascii="宋体" w:hAnsi="宋体"/>
          <w:szCs w:val="21"/>
        </w:rPr>
      </w:pPr>
      <w:r>
        <w:rPr>
          <w:rFonts w:hint="eastAsia" w:ascii="宋体" w:hAnsi="宋体"/>
          <w:szCs w:val="21"/>
        </w:rPr>
        <w:t>（5）电气管线、给排水管道、设备安装工程为</w:t>
      </w:r>
      <w:r>
        <w:rPr>
          <w:rFonts w:hint="eastAsia" w:ascii="宋体" w:hAnsi="宋体"/>
          <w:szCs w:val="21"/>
          <w:u w:val="single"/>
        </w:rPr>
        <w:t xml:space="preserve">  贰  </w:t>
      </w:r>
      <w:r>
        <w:rPr>
          <w:rFonts w:hint="eastAsia" w:ascii="宋体" w:hAnsi="宋体"/>
          <w:szCs w:val="21"/>
        </w:rPr>
        <w:t>年；</w:t>
      </w:r>
    </w:p>
    <w:p>
      <w:pPr>
        <w:pStyle w:val="26"/>
        <w:spacing w:line="360" w:lineRule="auto"/>
        <w:ind w:firstLine="357" w:firstLineChars="149"/>
        <w:rPr>
          <w:rFonts w:hint="default" w:ascii="宋体" w:hAnsi="宋体" w:eastAsia="宋体" w:cs="Times New Roman"/>
          <w:sz w:val="24"/>
          <w:szCs w:val="21"/>
          <w:lang w:val="en-US" w:eastAsia="zh-CN" w:bidi="ar-SA"/>
        </w:rPr>
      </w:pPr>
      <w:r>
        <w:rPr>
          <w:rFonts w:hint="eastAsia" w:ascii="宋体" w:hAnsi="宋体" w:eastAsia="宋体" w:cs="Times New Roman"/>
          <w:sz w:val="24"/>
          <w:szCs w:val="21"/>
          <w:lang w:val="en-US" w:eastAsia="zh-CN" w:bidi="ar-SA"/>
        </w:rPr>
        <w:t>（6）住宅小区内的给排水设施、道路等配套工程为</w:t>
      </w:r>
      <w:r>
        <w:rPr>
          <w:rFonts w:hint="eastAsia" w:ascii="宋体" w:hAnsi="宋体" w:eastAsia="宋体" w:cs="Times New Roman"/>
          <w:sz w:val="24"/>
          <w:szCs w:val="21"/>
          <w:u w:val="single"/>
          <w:lang w:val="en-US" w:eastAsia="zh-CN" w:bidi="ar-SA"/>
        </w:rPr>
        <w:t xml:space="preserve">  贰  </w:t>
      </w:r>
      <w:r>
        <w:rPr>
          <w:rFonts w:hint="eastAsia" w:ascii="宋体" w:hAnsi="宋体" w:eastAsia="宋体" w:cs="Times New Roman"/>
          <w:sz w:val="24"/>
          <w:szCs w:val="21"/>
          <w:lang w:val="en-US" w:eastAsia="zh-CN" w:bidi="ar-SA"/>
        </w:rPr>
        <w:t>年；</w:t>
      </w:r>
    </w:p>
    <w:p>
      <w:pPr>
        <w:spacing w:line="360" w:lineRule="auto"/>
        <w:ind w:firstLine="480"/>
        <w:rPr>
          <w:rFonts w:ascii="宋体" w:hAnsi="宋体"/>
          <w:szCs w:val="21"/>
        </w:rPr>
      </w:pPr>
      <w:r>
        <w:rPr>
          <w:rFonts w:hint="eastAsia" w:ascii="宋体" w:hAnsi="宋体"/>
          <w:szCs w:val="21"/>
        </w:rPr>
        <w:t>2.2 质量保修期自工程竣工验收合格之日起计算。</w:t>
      </w:r>
    </w:p>
    <w:p>
      <w:pPr>
        <w:spacing w:line="360" w:lineRule="auto"/>
        <w:ind w:firstLine="480"/>
        <w:rPr>
          <w:rFonts w:ascii="宋体" w:hAnsi="宋体"/>
          <w:szCs w:val="21"/>
        </w:rPr>
      </w:pPr>
      <w:r>
        <w:rPr>
          <w:rFonts w:hint="eastAsia" w:ascii="宋体" w:hAnsi="宋体"/>
          <w:szCs w:val="21"/>
        </w:rPr>
        <w:t>3、质量保修责任</w:t>
      </w:r>
    </w:p>
    <w:p>
      <w:pPr>
        <w:spacing w:line="360" w:lineRule="auto"/>
        <w:ind w:firstLine="480"/>
        <w:rPr>
          <w:rFonts w:ascii="宋体" w:hAnsi="宋体"/>
          <w:szCs w:val="21"/>
        </w:rPr>
      </w:pPr>
      <w:r>
        <w:rPr>
          <w:rFonts w:hint="eastAsia" w:ascii="宋体" w:hAnsi="宋体"/>
          <w:szCs w:val="21"/>
        </w:rPr>
        <w:t>3.1 属于保修范围、内容的项目，承包人应当在接到保修通知之日起7天内派人保修。承包人不在约定期限内派人保修的，发包人可以委托他人修理。</w:t>
      </w:r>
    </w:p>
    <w:p>
      <w:pPr>
        <w:spacing w:line="360" w:lineRule="auto"/>
        <w:ind w:firstLine="480"/>
        <w:rPr>
          <w:rFonts w:ascii="宋体" w:hAnsi="宋体"/>
          <w:szCs w:val="21"/>
        </w:rPr>
      </w:pPr>
      <w:r>
        <w:rPr>
          <w:rFonts w:hint="eastAsia" w:ascii="宋体" w:hAnsi="宋体"/>
          <w:szCs w:val="21"/>
        </w:rPr>
        <w:t>3.2 发生紧急抢修事故的，承包人在接到事故通知后，应当立即到达事故现场抢修。</w:t>
      </w:r>
    </w:p>
    <w:p>
      <w:pPr>
        <w:spacing w:line="360" w:lineRule="auto"/>
        <w:ind w:firstLine="480"/>
        <w:rPr>
          <w:rFonts w:ascii="宋体" w:hAnsi="宋体"/>
          <w:szCs w:val="21"/>
        </w:rPr>
      </w:pPr>
      <w:r>
        <w:rPr>
          <w:rFonts w:hint="eastAsia" w:ascii="宋体" w:hAnsi="宋体"/>
          <w:szCs w:val="21"/>
        </w:rPr>
        <w:t>3.3 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pPr>
        <w:spacing w:line="360" w:lineRule="auto"/>
        <w:ind w:firstLine="480"/>
        <w:rPr>
          <w:rFonts w:ascii="宋体" w:hAnsi="宋体"/>
          <w:szCs w:val="21"/>
        </w:rPr>
      </w:pPr>
      <w:r>
        <w:rPr>
          <w:rFonts w:hint="eastAsia" w:ascii="宋体" w:hAnsi="宋体"/>
          <w:szCs w:val="21"/>
        </w:rPr>
        <w:t>3.4 质量保修完成后，由发包人组织验收。</w:t>
      </w:r>
    </w:p>
    <w:p>
      <w:pPr>
        <w:spacing w:line="360" w:lineRule="auto"/>
        <w:ind w:firstLine="480"/>
        <w:rPr>
          <w:rFonts w:ascii="宋体" w:hAnsi="宋体"/>
          <w:szCs w:val="21"/>
        </w:rPr>
      </w:pPr>
      <w:r>
        <w:rPr>
          <w:rFonts w:hint="eastAsia" w:ascii="宋体" w:hAnsi="宋体"/>
          <w:szCs w:val="21"/>
        </w:rPr>
        <w:t>4、保修费用</w:t>
      </w:r>
    </w:p>
    <w:p>
      <w:pPr>
        <w:spacing w:line="360" w:lineRule="auto"/>
        <w:ind w:firstLine="480"/>
        <w:rPr>
          <w:rFonts w:ascii="宋体" w:hAnsi="宋体"/>
          <w:szCs w:val="21"/>
        </w:rPr>
      </w:pPr>
      <w:r>
        <w:rPr>
          <w:rFonts w:hint="eastAsia" w:ascii="宋体" w:hAnsi="宋体"/>
          <w:szCs w:val="21"/>
        </w:rPr>
        <w:t>4.1保修费用由造成质量缺陷的责任方承担。</w:t>
      </w:r>
    </w:p>
    <w:p>
      <w:pPr>
        <w:spacing w:line="360" w:lineRule="auto"/>
        <w:ind w:firstLine="480"/>
        <w:rPr>
          <w:rFonts w:ascii="宋体" w:hAnsi="宋体"/>
          <w:szCs w:val="21"/>
        </w:rPr>
      </w:pPr>
      <w:r>
        <w:rPr>
          <w:rFonts w:hint="eastAsia" w:ascii="宋体" w:hAnsi="宋体"/>
          <w:szCs w:val="21"/>
        </w:rPr>
        <w:t>5、其他</w:t>
      </w:r>
    </w:p>
    <w:p>
      <w:pPr>
        <w:spacing w:line="360" w:lineRule="auto"/>
        <w:ind w:firstLine="480"/>
        <w:rPr>
          <w:rFonts w:ascii="宋体" w:hAnsi="宋体"/>
          <w:szCs w:val="21"/>
        </w:rPr>
      </w:pPr>
      <w:bookmarkStart w:id="726" w:name="_Toc247945911"/>
      <w:bookmarkStart w:id="727" w:name="_Toc211643904"/>
      <w:bookmarkStart w:id="728" w:name="_Toc435626179"/>
      <w:bookmarkStart w:id="729" w:name="_Toc207526821"/>
      <w:bookmarkStart w:id="730" w:name="_Toc199318336"/>
      <w:r>
        <w:rPr>
          <w:rFonts w:hint="eastAsia" w:ascii="宋体" w:hAnsi="宋体"/>
          <w:szCs w:val="21"/>
        </w:rPr>
        <w:t>5.1 双方约定的其他工程质量保修事项:</w:t>
      </w:r>
      <w:bookmarkEnd w:id="726"/>
      <w:bookmarkEnd w:id="727"/>
      <w:bookmarkEnd w:id="728"/>
      <w:bookmarkEnd w:id="729"/>
      <w:bookmarkEnd w:id="730"/>
    </w:p>
    <w:p>
      <w:pPr>
        <w:spacing w:line="360" w:lineRule="auto"/>
        <w:ind w:firstLine="560"/>
        <w:rPr>
          <w:rFonts w:ascii="宋体" w:hAnsi="宋体"/>
          <w:szCs w:val="21"/>
          <w:u w:val="single"/>
        </w:rPr>
      </w:pPr>
      <w:r>
        <w:rPr>
          <w:rFonts w:hint="eastAsia" w:ascii="宋体" w:hAnsi="宋体"/>
          <w:szCs w:val="21"/>
          <w:u w:val="single"/>
        </w:rPr>
        <w:t xml:space="preserve"> 质量保证金按工程竣工</w:t>
      </w:r>
      <w:r>
        <w:rPr>
          <w:rFonts w:ascii="宋体" w:hAnsi="宋体"/>
          <w:szCs w:val="21"/>
          <w:u w:val="single"/>
        </w:rPr>
        <w:t>结</w:t>
      </w:r>
      <w:r>
        <w:rPr>
          <w:rFonts w:hint="eastAsia" w:ascii="宋体" w:hAnsi="宋体"/>
          <w:szCs w:val="21"/>
          <w:u w:val="single"/>
        </w:rPr>
        <w:t>算价的3%计算，质量保证金的退还按</w:t>
      </w:r>
      <w:r>
        <w:rPr>
          <w:rFonts w:ascii="宋体" w:hAnsi="宋体"/>
          <w:szCs w:val="21"/>
          <w:u w:val="single"/>
        </w:rPr>
        <w:t>合同约定</w:t>
      </w:r>
      <w:r>
        <w:rPr>
          <w:rFonts w:hint="eastAsia" w:ascii="宋体" w:hAnsi="宋体"/>
          <w:szCs w:val="21"/>
          <w:u w:val="single"/>
        </w:rPr>
        <w:t xml:space="preserve">，不计利息。承包方接到保修通知书后三天内必须到场保修，否则发包方可请人保修，所发生的费用在保修金中支付。 </w:t>
      </w:r>
    </w:p>
    <w:p>
      <w:pPr>
        <w:spacing w:line="360" w:lineRule="auto"/>
        <w:ind w:firstLine="480"/>
        <w:rPr>
          <w:rFonts w:ascii="宋体" w:hAnsi="宋体"/>
          <w:szCs w:val="21"/>
        </w:rPr>
      </w:pPr>
      <w:bookmarkStart w:id="731" w:name="_Toc211643905"/>
      <w:bookmarkStart w:id="732" w:name="_Toc247945912"/>
      <w:bookmarkStart w:id="733" w:name="_Toc207526822"/>
      <w:bookmarkStart w:id="734" w:name="_Toc199318337"/>
      <w:bookmarkStart w:id="735" w:name="_Toc435626180"/>
      <w:r>
        <w:rPr>
          <w:rFonts w:hint="eastAsia" w:ascii="宋体" w:hAnsi="宋体"/>
          <w:szCs w:val="21"/>
        </w:rPr>
        <w:t>5.2 本工程质量保修书,由施工合同发包人、承包人双方在竣工验收前共同签署，作为施工合同附件，其有效期限至保修期满。</w:t>
      </w:r>
      <w:bookmarkEnd w:id="731"/>
      <w:bookmarkEnd w:id="732"/>
      <w:bookmarkEnd w:id="733"/>
      <w:bookmarkEnd w:id="734"/>
      <w:bookmarkEnd w:id="735"/>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发  包  人（公章）：                     承  包  人（公章）：</w:t>
      </w: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法定代表人（签字）：                     法定代表人（签字）：</w:t>
      </w:r>
    </w:p>
    <w:p>
      <w:pPr>
        <w:spacing w:line="360" w:lineRule="auto"/>
        <w:rPr>
          <w:rFonts w:ascii="宋体" w:hAnsi="宋体"/>
          <w:szCs w:val="21"/>
        </w:rPr>
      </w:pPr>
    </w:p>
    <w:p>
      <w:pPr>
        <w:spacing w:line="440" w:lineRule="exact"/>
        <w:rPr>
          <w:rFonts w:ascii="宋体" w:hAnsi="宋体"/>
        </w:rPr>
      </w:pP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 xml:space="preserve">日       </w:t>
      </w:r>
      <w:r>
        <w:rPr>
          <w:rFonts w:hint="eastAsia" w:ascii="宋体" w:hAnsi="宋体"/>
          <w:lang w:val="en-US" w:eastAsia="zh-CN"/>
        </w:rPr>
        <w:t xml:space="preserve">           </w:t>
      </w:r>
      <w:r>
        <w:rPr>
          <w:rFonts w:hint="eastAsia" w:ascii="宋体" w:hAnsi="宋体"/>
        </w:rPr>
        <w:t xml:space="preserve">       </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p>
    <w:p>
      <w:pPr>
        <w:jc w:val="center"/>
        <w:rPr>
          <w:rFonts w:hint="default" w:ascii="宋体" w:hAnsi="宋体" w:eastAsia="宋体"/>
          <w:b/>
          <w:lang w:val="en-US" w:eastAsia="zh-CN"/>
        </w:rPr>
      </w:pPr>
      <w:r>
        <w:rPr>
          <w:rFonts w:hint="eastAsia" w:ascii="宋体" w:hAnsi="宋体"/>
          <w:b/>
          <w:lang w:val="en-US" w:eastAsia="zh-CN"/>
        </w:rPr>
        <w:t xml:space="preserve">   </w:t>
      </w:r>
    </w:p>
    <w:p/>
    <w:p>
      <w:pPr>
        <w:jc w:val="center"/>
        <w:rPr>
          <w:rFonts w:hint="eastAsia" w:ascii="宋体" w:hAnsi="宋体"/>
          <w:b/>
          <w:sz w:val="28"/>
          <w:szCs w:val="28"/>
        </w:rPr>
      </w:pPr>
    </w:p>
    <w:p>
      <w:pPr>
        <w:jc w:val="center"/>
        <w:rPr>
          <w:rFonts w:hint="eastAsia" w:ascii="宋体" w:hAnsi="宋体"/>
          <w:b/>
          <w:sz w:val="28"/>
          <w:szCs w:val="28"/>
        </w:rPr>
      </w:pPr>
    </w:p>
    <w:p>
      <w:pPr>
        <w:jc w:val="center"/>
        <w:rPr>
          <w:rFonts w:hint="eastAsia" w:ascii="宋体" w:hAnsi="宋体"/>
          <w:b/>
          <w:sz w:val="28"/>
          <w:szCs w:val="28"/>
        </w:rPr>
      </w:pPr>
    </w:p>
    <w:p>
      <w:pPr>
        <w:jc w:val="center"/>
        <w:rPr>
          <w:rFonts w:ascii="宋体" w:hAnsi="宋体"/>
          <w:b/>
          <w:sz w:val="28"/>
          <w:szCs w:val="28"/>
        </w:rPr>
      </w:pPr>
      <w:r>
        <w:rPr>
          <w:rFonts w:hint="eastAsia" w:ascii="宋体" w:hAnsi="宋体"/>
          <w:b/>
          <w:sz w:val="28"/>
          <w:szCs w:val="28"/>
        </w:rPr>
        <w:t>安全生产合同</w:t>
      </w:r>
    </w:p>
    <w:p>
      <w:pPr>
        <w:rPr>
          <w:rFonts w:ascii="宋体" w:hAnsi="宋体"/>
        </w:rPr>
      </w:pPr>
    </w:p>
    <w:p>
      <w:pPr>
        <w:spacing w:line="440" w:lineRule="exact"/>
        <w:ind w:firstLine="480" w:firstLineChars="200"/>
        <w:rPr>
          <w:rFonts w:ascii="宋体" w:hAnsi="宋体"/>
        </w:rPr>
      </w:pPr>
      <w:r>
        <w:rPr>
          <w:rFonts w:hint="eastAsia" w:ascii="宋体" w:hAnsi="宋体"/>
        </w:rPr>
        <w:t>为在</w:t>
      </w:r>
      <w:r>
        <w:rPr>
          <w:rFonts w:hint="eastAsia" w:ascii="宋体" w:hAnsi="宋体"/>
          <w:u w:val="single"/>
        </w:rPr>
        <w:t xml:space="preserve">              </w:t>
      </w:r>
      <w:r>
        <w:rPr>
          <w:rFonts w:hint="eastAsia" w:ascii="宋体" w:hAnsi="宋体"/>
        </w:rPr>
        <w:t>（项目名称）施工合同的实施过程中创造安全、高效的施工环境，切实搞好本项目的安全管理工作，本项目发包人</w:t>
      </w:r>
      <w:r>
        <w:rPr>
          <w:rFonts w:hint="eastAsia" w:ascii="宋体" w:hAnsi="宋体"/>
          <w:u w:val="single"/>
        </w:rPr>
        <w:t xml:space="preserve">              </w:t>
      </w:r>
      <w:r>
        <w:rPr>
          <w:rFonts w:hint="eastAsia" w:ascii="宋体" w:hAnsi="宋体"/>
        </w:rPr>
        <w:t>（发包人名称，以下简称“发包人”)与承包人</w:t>
      </w:r>
      <w:r>
        <w:rPr>
          <w:rFonts w:hint="eastAsia" w:ascii="宋体" w:hAnsi="宋体"/>
          <w:u w:val="single"/>
        </w:rPr>
        <w:t xml:space="preserve">            </w:t>
      </w:r>
      <w:r>
        <w:rPr>
          <w:rFonts w:hint="eastAsia" w:ascii="宋体" w:hAnsi="宋体"/>
        </w:rPr>
        <w:t>（承包人名称，以下简称“承包人”)特此签订安全生产合同：</w:t>
      </w:r>
    </w:p>
    <w:p>
      <w:pPr>
        <w:spacing w:line="440" w:lineRule="exact"/>
        <w:rPr>
          <w:rFonts w:ascii="宋体" w:hAnsi="宋体"/>
        </w:rPr>
      </w:pPr>
      <w:r>
        <w:rPr>
          <w:rFonts w:hint="eastAsia" w:ascii="宋体" w:hAnsi="宋体"/>
        </w:rPr>
        <w:t xml:space="preserve">     1．发包人职责</w:t>
      </w:r>
    </w:p>
    <w:p>
      <w:pPr>
        <w:spacing w:line="440" w:lineRule="exact"/>
        <w:ind w:firstLine="480" w:firstLineChars="200"/>
        <w:rPr>
          <w:rFonts w:ascii="宋体" w:hAnsi="宋体"/>
        </w:rPr>
      </w:pPr>
      <w:r>
        <w:rPr>
          <w:rFonts w:hint="eastAsia" w:ascii="宋体" w:hAnsi="宋体"/>
        </w:rPr>
        <w:t xml:space="preserve">（1）严格遵守国家有关安全生产的法律法规，认真执行工程承包合同中的有关安全要求。    </w:t>
      </w:r>
    </w:p>
    <w:p>
      <w:pPr>
        <w:spacing w:line="440" w:lineRule="exact"/>
        <w:rPr>
          <w:rFonts w:ascii="宋体" w:hAnsi="宋体"/>
        </w:rPr>
      </w:pPr>
      <w:r>
        <w:rPr>
          <w:rFonts w:hint="eastAsia" w:ascii="宋体" w:hAnsi="宋体"/>
        </w:rPr>
        <w:t xml:space="preserve">    （2）按照“安全第一、预防为主”和坚持“管生产必须管安全”的原则进行安全生产管理，做到生产与安全工作同时计划、布置、检查、总结和评比。</w:t>
      </w:r>
    </w:p>
    <w:p>
      <w:pPr>
        <w:spacing w:line="440" w:lineRule="exact"/>
        <w:rPr>
          <w:rFonts w:ascii="宋体" w:hAnsi="宋体"/>
        </w:rPr>
      </w:pPr>
      <w:r>
        <w:rPr>
          <w:rFonts w:hint="eastAsia" w:ascii="宋体" w:hAnsi="宋体"/>
        </w:rPr>
        <w:t xml:space="preserve">    （3）重要的安全设施必须坚持与主体工程“三同时”的原则，即：同时设计、审批，同时施工，同时验收，投入使用。</w:t>
      </w:r>
    </w:p>
    <w:p>
      <w:pPr>
        <w:spacing w:line="440" w:lineRule="exact"/>
        <w:rPr>
          <w:rFonts w:ascii="宋体" w:hAnsi="宋体"/>
        </w:rPr>
      </w:pPr>
      <w:r>
        <w:rPr>
          <w:rFonts w:hint="eastAsia" w:ascii="宋体" w:hAnsi="宋体"/>
        </w:rPr>
        <w:t xml:space="preserve">    （4）定期召开安全生产调度会，及时传达中央及地方有关安全生产的精神。</w:t>
      </w:r>
    </w:p>
    <w:p>
      <w:pPr>
        <w:spacing w:line="440" w:lineRule="exact"/>
        <w:ind w:firstLine="435"/>
        <w:rPr>
          <w:rFonts w:ascii="宋体" w:hAnsi="宋体"/>
        </w:rPr>
      </w:pPr>
      <w:r>
        <w:rPr>
          <w:rFonts w:hint="eastAsia" w:ascii="宋体" w:hAnsi="宋体"/>
        </w:rPr>
        <w:t>（5）组织对承包人施工现场进行安全生产检查，监督承包人及时处理发现的各种安全隐患。</w:t>
      </w:r>
    </w:p>
    <w:p>
      <w:pPr>
        <w:spacing w:line="440" w:lineRule="exact"/>
        <w:ind w:firstLine="435"/>
        <w:rPr>
          <w:rFonts w:ascii="宋体" w:hAnsi="宋体"/>
        </w:rPr>
      </w:pPr>
      <w:r>
        <w:rPr>
          <w:rFonts w:hint="eastAsia" w:ascii="宋体" w:hAnsi="宋体"/>
        </w:rPr>
        <w:t>2.承包人职责</w:t>
      </w:r>
    </w:p>
    <w:p>
      <w:pPr>
        <w:spacing w:line="440" w:lineRule="exact"/>
        <w:ind w:firstLine="435"/>
        <w:rPr>
          <w:rFonts w:ascii="宋体" w:hAnsi="宋体"/>
        </w:rPr>
      </w:pPr>
      <w:r>
        <w:rPr>
          <w:rFonts w:hint="eastAsia" w:ascii="宋体" w:hAnsi="宋体"/>
        </w:rPr>
        <w:t>（1）严格遵守《中华人民共和国安全生产法》、《建设工程安全生产管理条例》等国家有关安全生产的法律法规、《公路水运工程安全生产监督管理办法》、《公路工程施工安全技术规程》和《公路筑养路机械操作规程》等有关安全生产的规定。认真执行工程承包合同中的有关安全要求。</w:t>
      </w:r>
    </w:p>
    <w:p>
      <w:pPr>
        <w:spacing w:line="440" w:lineRule="exact"/>
        <w:rPr>
          <w:rFonts w:ascii="宋体" w:hAnsi="宋体"/>
        </w:rPr>
      </w:pPr>
      <w:r>
        <w:rPr>
          <w:rFonts w:hint="eastAsia" w:ascii="宋体" w:hAnsi="宋体"/>
        </w:rPr>
        <w:t xml:space="preserve">    （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合同的各项规定，做到生产与安全工作同时计划、布置、检查、总结和评比。</w:t>
      </w:r>
    </w:p>
    <w:p>
      <w:pPr>
        <w:spacing w:line="440" w:lineRule="exact"/>
        <w:rPr>
          <w:rFonts w:ascii="宋体" w:hAnsi="宋体"/>
        </w:rPr>
      </w:pPr>
      <w:r>
        <w:rPr>
          <w:rFonts w:hint="eastAsia" w:ascii="宋体" w:hAnsi="宋体"/>
        </w:rPr>
        <w:t xml:space="preserve">    （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公路水运工程安全生产监督管理办法》规定的最低数量和资质条件配备专职安全生产管理人员，专职负责所有员工的安全和治安保卫工作及预防事故的发生。安全机构人员有权按有关规定发布指令，并采取保护性措施防止事故发生。从开工到验收交付期间施工方发生财产损失，人生伤害，人员伤亡等均由承包方负责，发包方概不负担任何责任。。</w:t>
      </w:r>
    </w:p>
    <w:p>
      <w:pPr>
        <w:spacing w:line="440" w:lineRule="exact"/>
        <w:rPr>
          <w:rFonts w:ascii="宋体" w:hAnsi="宋体"/>
        </w:rPr>
      </w:pPr>
      <w:r>
        <w:rPr>
          <w:rFonts w:hint="eastAsia" w:ascii="宋体" w:hAnsi="宋体"/>
        </w:rPr>
        <w:t xml:space="preserve">    （4）承包人在任何时候都应采取各种合理的预防措施，防止其员工发生任何违法、违禁、暴力或妨碍治安的行为。</w:t>
      </w:r>
    </w:p>
    <w:p>
      <w:pPr>
        <w:spacing w:line="440" w:lineRule="exact"/>
        <w:ind w:firstLine="480" w:firstLineChars="200"/>
        <w:rPr>
          <w:rFonts w:ascii="宋体" w:hAnsi="宋体"/>
        </w:rPr>
      </w:pPr>
      <w:r>
        <w:rPr>
          <w:rFonts w:hint="eastAsia" w:ascii="宋体" w:hAnsi="宋体"/>
        </w:rPr>
        <w:t>（5）承包人必须具有劳动安全管理部门颁发的安全生产考核合格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pPr>
        <w:spacing w:line="440" w:lineRule="exact"/>
        <w:rPr>
          <w:rFonts w:ascii="宋体" w:hAnsi="宋体"/>
        </w:rPr>
      </w:pPr>
      <w:r>
        <w:rPr>
          <w:rFonts w:hint="eastAsia" w:ascii="宋体" w:hAnsi="宋体"/>
        </w:rPr>
        <w:t xml:space="preserve">    （6）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pPr>
        <w:spacing w:line="440" w:lineRule="exact"/>
        <w:rPr>
          <w:rFonts w:ascii="宋体" w:hAnsi="宋体"/>
        </w:rPr>
      </w:pPr>
      <w:r>
        <w:rPr>
          <w:rFonts w:hint="eastAsia" w:ascii="宋体" w:hAnsi="宋体"/>
        </w:rPr>
        <w:t xml:space="preserve">    （7）操作人员上岗，必须按规定穿戴防护用品。施工负责人和安全检查员应随时检查劳动防护用品的穿戴情况，不按规定穿戴防护用品的人员不得上岗。</w:t>
      </w:r>
    </w:p>
    <w:p>
      <w:pPr>
        <w:spacing w:line="440" w:lineRule="exact"/>
        <w:rPr>
          <w:rFonts w:ascii="宋体" w:hAnsi="宋体"/>
        </w:rPr>
      </w:pPr>
      <w:r>
        <w:rPr>
          <w:rFonts w:hint="eastAsia" w:ascii="宋体" w:hAnsi="宋体"/>
        </w:rPr>
        <w:t xml:space="preserve">    （8）所有施工机具设备和高空作业的设备均应定期检查，并有安全员的签字记录，保证其经常处于完好状态；不合格的机具、设备和劳动保护用品严禁使用。</w:t>
      </w:r>
    </w:p>
    <w:p>
      <w:pPr>
        <w:spacing w:line="440" w:lineRule="exact"/>
        <w:rPr>
          <w:rFonts w:ascii="宋体" w:hAnsi="宋体"/>
        </w:rPr>
      </w:pPr>
      <w:r>
        <w:rPr>
          <w:rFonts w:hint="eastAsia" w:ascii="宋体" w:hAnsi="宋体"/>
        </w:rPr>
        <w:t xml:space="preserve">    （9）施工中采用新技术、新工艺、新设备、新材料时，必须制定相应的安全技术措施，施工现场必须具有相关的安全标志牌。</w:t>
      </w:r>
    </w:p>
    <w:p>
      <w:pPr>
        <w:spacing w:line="440" w:lineRule="exact"/>
        <w:rPr>
          <w:rFonts w:ascii="宋体" w:hAnsi="宋体"/>
        </w:rPr>
      </w:pPr>
      <w:r>
        <w:rPr>
          <w:rFonts w:hint="eastAsia" w:ascii="宋体" w:hAnsi="宋体"/>
        </w:rPr>
        <w:t xml:space="preserve">    （10）承包人必须按照本工程项目特点，组织制定本工程实施中的生产安全事故应急救援预案；如果发生安全事故，应按照《国务院关于特大安全事故行政责任追究的规定》以及其他有关规定，及时上报有关部门，并坚持“四不放过”的原则，严肃处理相关责任人。</w:t>
      </w:r>
    </w:p>
    <w:p>
      <w:pPr>
        <w:spacing w:line="440" w:lineRule="exact"/>
        <w:ind w:firstLine="420"/>
        <w:rPr>
          <w:rFonts w:ascii="宋体" w:hAnsi="宋体"/>
        </w:rPr>
      </w:pPr>
      <w:r>
        <w:rPr>
          <w:rFonts w:hint="eastAsia" w:ascii="宋体" w:hAnsi="宋体"/>
        </w:rPr>
        <w:t>（11）安全生产费用按照《公路水运工程安全生产监督管理办法》的相关规定使用和管理。</w:t>
      </w:r>
    </w:p>
    <w:p>
      <w:pPr>
        <w:spacing w:line="440" w:lineRule="exact"/>
        <w:rPr>
          <w:rFonts w:ascii="宋体" w:hAnsi="宋体"/>
        </w:rPr>
      </w:pPr>
      <w:r>
        <w:rPr>
          <w:rFonts w:hint="eastAsia" w:ascii="宋体" w:hAnsi="宋体"/>
        </w:rPr>
        <w:t xml:space="preserve">    3．违约责任</w:t>
      </w:r>
    </w:p>
    <w:p>
      <w:pPr>
        <w:spacing w:line="440" w:lineRule="exact"/>
        <w:rPr>
          <w:rFonts w:ascii="宋体" w:hAnsi="宋体"/>
        </w:rPr>
      </w:pPr>
      <w:r>
        <w:rPr>
          <w:rFonts w:hint="eastAsia" w:ascii="宋体" w:hAnsi="宋体"/>
        </w:rPr>
        <w:t xml:space="preserve">    如因发包人或承包人违约造成安全事故，将依法追究责任。</w:t>
      </w:r>
    </w:p>
    <w:p>
      <w:pPr>
        <w:spacing w:line="440" w:lineRule="exact"/>
        <w:rPr>
          <w:rFonts w:ascii="宋体" w:hAnsi="宋体"/>
        </w:rPr>
      </w:pPr>
      <w:r>
        <w:rPr>
          <w:rFonts w:hint="eastAsia" w:ascii="宋体" w:hAnsi="宋体"/>
        </w:rPr>
        <w:t xml:space="preserve">    4．本合同由双方法定代表人或其授权的代理人签署并加盖单位章后生效，全部工程竣工验收后失效。</w:t>
      </w:r>
    </w:p>
    <w:p>
      <w:pPr>
        <w:spacing w:line="440" w:lineRule="exact"/>
        <w:rPr>
          <w:rFonts w:ascii="宋体" w:hAnsi="宋体"/>
        </w:rPr>
      </w:pPr>
      <w:r>
        <w:rPr>
          <w:rFonts w:hint="eastAsia" w:ascii="宋体" w:hAnsi="宋体"/>
        </w:rPr>
        <w:t xml:space="preserve">    5．本合同正本二份、副本</w:t>
      </w:r>
      <w:r>
        <w:rPr>
          <w:rFonts w:hint="eastAsia" w:ascii="宋体" w:hAnsi="宋体"/>
          <w:u w:val="single"/>
        </w:rPr>
        <w:t xml:space="preserve">     </w:t>
      </w:r>
      <w:r>
        <w:rPr>
          <w:rFonts w:hint="eastAsia" w:ascii="宋体" w:hAnsi="宋体"/>
        </w:rPr>
        <w:t>份，合同双方各执正本一份，副本</w:t>
      </w:r>
      <w:r>
        <w:rPr>
          <w:rFonts w:hint="eastAsia" w:ascii="宋体" w:hAnsi="宋体"/>
          <w:u w:val="single"/>
        </w:rPr>
        <w:t xml:space="preserve">     </w:t>
      </w:r>
      <w:r>
        <w:rPr>
          <w:rFonts w:hint="eastAsia" w:ascii="宋体" w:hAnsi="宋体"/>
        </w:rPr>
        <w:t>份，当正本与副本的内容不一致时，以正本为准。</w:t>
      </w: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r>
        <w:rPr>
          <w:rFonts w:hint="eastAsia" w:ascii="宋体" w:hAnsi="宋体"/>
        </w:rPr>
        <w:t>发包人：</w:t>
      </w:r>
      <w:r>
        <w:rPr>
          <w:rFonts w:hint="eastAsia" w:ascii="宋体" w:hAnsi="宋体"/>
          <w:u w:val="single"/>
        </w:rPr>
        <w:t xml:space="preserve">                      </w:t>
      </w:r>
      <w:r>
        <w:rPr>
          <w:rFonts w:hint="eastAsia" w:ascii="宋体" w:hAnsi="宋体"/>
        </w:rPr>
        <w:t>（盖单位单）    承包人：</w:t>
      </w:r>
      <w:r>
        <w:rPr>
          <w:rFonts w:hint="eastAsia" w:ascii="宋体" w:hAnsi="宋体"/>
          <w:u w:val="single"/>
        </w:rPr>
        <w:t xml:space="preserve">                      </w:t>
      </w:r>
      <w:r>
        <w:rPr>
          <w:rFonts w:hint="eastAsia" w:ascii="宋体" w:hAnsi="宋体"/>
        </w:rPr>
        <w:t>（盖单位单）</w:t>
      </w:r>
    </w:p>
    <w:p>
      <w:pPr>
        <w:spacing w:line="440" w:lineRule="exact"/>
        <w:rPr>
          <w:rFonts w:ascii="宋体" w:hAnsi="宋体"/>
        </w:rPr>
      </w:pPr>
      <w:r>
        <w:rPr>
          <w:rFonts w:hint="eastAsia" w:ascii="宋体" w:hAnsi="宋体"/>
        </w:rPr>
        <w:t>法定代表人或委托代理人：</w:t>
      </w:r>
      <w:r>
        <w:rPr>
          <w:rFonts w:hint="eastAsia" w:ascii="宋体" w:hAnsi="宋体"/>
          <w:u w:val="single"/>
        </w:rPr>
        <w:t xml:space="preserve">        </w:t>
      </w:r>
      <w:r>
        <w:rPr>
          <w:rFonts w:hint="eastAsia" w:ascii="宋体" w:hAnsi="宋体"/>
        </w:rPr>
        <w:t>（签字）   法定代表人或委托代理人：</w:t>
      </w:r>
      <w:r>
        <w:rPr>
          <w:rFonts w:hint="eastAsia" w:ascii="宋体" w:hAnsi="宋体"/>
          <w:u w:val="single"/>
        </w:rPr>
        <w:t xml:space="preserve">         </w:t>
      </w:r>
      <w:r>
        <w:rPr>
          <w:rFonts w:hint="eastAsia" w:ascii="宋体" w:hAnsi="宋体"/>
        </w:rPr>
        <w:t>（签字）</w:t>
      </w:r>
    </w:p>
    <w:p>
      <w:pPr>
        <w:spacing w:line="440" w:lineRule="exact"/>
        <w:ind w:firstLine="720" w:firstLineChars="300"/>
        <w:rPr>
          <w:rFonts w:ascii="宋体" w:hAnsi="宋体"/>
        </w:rPr>
      </w:pP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 xml:space="preserve">日              </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p>
    <w:p>
      <w:pPr>
        <w:spacing w:line="440" w:lineRule="exact"/>
        <w:ind w:firstLine="2280" w:firstLineChars="950"/>
        <w:rPr>
          <w:rFonts w:ascii="宋体" w:hAnsi="宋体"/>
        </w:rPr>
      </w:pPr>
    </w:p>
    <w:p/>
    <w:p>
      <w:pPr>
        <w:pStyle w:val="26"/>
        <w:snapToGrid w:val="0"/>
        <w:spacing w:line="300" w:lineRule="auto"/>
        <w:ind w:firstLine="480" w:firstLineChars="200"/>
        <w:rPr>
          <w:rFonts w:hint="default" w:hAnsi="宋体"/>
          <w:color w:val="000000"/>
          <w:sz w:val="24"/>
          <w:szCs w:val="24"/>
        </w:rPr>
      </w:pPr>
    </w:p>
    <w:p>
      <w:pPr>
        <w:pStyle w:val="26"/>
        <w:snapToGrid w:val="0"/>
        <w:spacing w:line="300" w:lineRule="auto"/>
        <w:ind w:firstLine="480" w:firstLineChars="200"/>
        <w:rPr>
          <w:rFonts w:hint="default" w:hAnsi="宋体"/>
          <w:color w:val="000000"/>
          <w:sz w:val="24"/>
          <w:szCs w:val="24"/>
        </w:rPr>
      </w:pPr>
    </w:p>
    <w:p>
      <w:pPr>
        <w:pStyle w:val="26"/>
        <w:snapToGrid w:val="0"/>
        <w:spacing w:line="300" w:lineRule="auto"/>
        <w:ind w:firstLine="480" w:firstLineChars="200"/>
        <w:rPr>
          <w:rFonts w:hint="default" w:hAnsi="宋体"/>
          <w:color w:val="000000"/>
          <w:sz w:val="24"/>
          <w:szCs w:val="24"/>
        </w:rPr>
      </w:pPr>
    </w:p>
    <w:p>
      <w:pPr>
        <w:pStyle w:val="26"/>
        <w:snapToGrid w:val="0"/>
        <w:spacing w:line="300" w:lineRule="auto"/>
        <w:ind w:firstLine="480" w:firstLineChars="200"/>
        <w:rPr>
          <w:rFonts w:hint="default" w:hAnsi="宋体"/>
          <w:color w:val="000000"/>
          <w:sz w:val="24"/>
          <w:szCs w:val="24"/>
        </w:rPr>
      </w:pPr>
    </w:p>
    <w:p>
      <w:pPr>
        <w:pStyle w:val="26"/>
        <w:snapToGrid w:val="0"/>
        <w:spacing w:line="300" w:lineRule="auto"/>
        <w:ind w:firstLine="480" w:firstLineChars="200"/>
        <w:rPr>
          <w:rFonts w:hint="default" w:hAnsi="宋体"/>
          <w:color w:val="000000"/>
          <w:sz w:val="24"/>
          <w:szCs w:val="24"/>
        </w:rPr>
      </w:pPr>
    </w:p>
    <w:p>
      <w:pPr>
        <w:pStyle w:val="26"/>
        <w:snapToGrid w:val="0"/>
        <w:spacing w:line="300" w:lineRule="auto"/>
        <w:ind w:firstLine="480" w:firstLineChars="200"/>
        <w:rPr>
          <w:rFonts w:hint="default" w:hAnsi="宋体"/>
          <w:color w:val="000000"/>
          <w:sz w:val="24"/>
          <w:szCs w:val="24"/>
        </w:rPr>
      </w:pPr>
    </w:p>
    <w:p>
      <w:pPr>
        <w:pStyle w:val="26"/>
        <w:snapToGrid w:val="0"/>
        <w:spacing w:line="300" w:lineRule="auto"/>
        <w:ind w:firstLine="480" w:firstLineChars="200"/>
        <w:rPr>
          <w:rFonts w:hint="default" w:hAnsi="宋体"/>
          <w:color w:val="000000"/>
          <w:sz w:val="24"/>
          <w:szCs w:val="24"/>
        </w:rPr>
      </w:pPr>
    </w:p>
    <w:p>
      <w:pPr>
        <w:pStyle w:val="26"/>
        <w:snapToGrid w:val="0"/>
        <w:spacing w:line="300" w:lineRule="auto"/>
        <w:ind w:firstLine="480" w:firstLineChars="200"/>
        <w:rPr>
          <w:rFonts w:hint="default" w:hAnsi="宋体"/>
          <w:color w:val="000000"/>
          <w:sz w:val="24"/>
          <w:szCs w:val="24"/>
        </w:rPr>
      </w:pPr>
    </w:p>
    <w:p>
      <w:pPr>
        <w:pStyle w:val="26"/>
        <w:snapToGrid w:val="0"/>
        <w:spacing w:line="300" w:lineRule="auto"/>
        <w:ind w:firstLine="480" w:firstLineChars="200"/>
        <w:rPr>
          <w:rFonts w:hint="default" w:hAnsi="宋体"/>
          <w:color w:val="000000"/>
          <w:sz w:val="24"/>
          <w:szCs w:val="24"/>
        </w:rPr>
      </w:pPr>
    </w:p>
    <w:p>
      <w:pPr>
        <w:pStyle w:val="26"/>
        <w:snapToGrid w:val="0"/>
        <w:spacing w:line="300" w:lineRule="auto"/>
        <w:ind w:firstLine="480" w:firstLineChars="200"/>
        <w:rPr>
          <w:rFonts w:hint="default" w:hAnsi="宋体"/>
          <w:color w:val="000000"/>
          <w:sz w:val="24"/>
          <w:szCs w:val="24"/>
        </w:rPr>
      </w:pPr>
    </w:p>
    <w:p>
      <w:pPr>
        <w:pStyle w:val="26"/>
        <w:snapToGrid w:val="0"/>
        <w:spacing w:line="300" w:lineRule="auto"/>
        <w:ind w:firstLine="480" w:firstLineChars="200"/>
        <w:rPr>
          <w:rFonts w:hint="default" w:hAnsi="宋体"/>
          <w:color w:val="000000"/>
          <w:sz w:val="24"/>
          <w:szCs w:val="24"/>
        </w:rPr>
      </w:pPr>
    </w:p>
    <w:p>
      <w:pPr>
        <w:pStyle w:val="6"/>
        <w:numPr>
          <w:ilvl w:val="0"/>
          <w:numId w:val="0"/>
        </w:numPr>
        <w:rPr>
          <w:rFonts w:ascii="宋体" w:hAnsi="宋体" w:eastAsia="宋体"/>
          <w:sz w:val="28"/>
          <w:szCs w:val="28"/>
        </w:rPr>
      </w:pPr>
    </w:p>
    <w:p>
      <w:pPr>
        <w:rPr>
          <w:rFonts w:ascii="宋体" w:hAnsi="宋体" w:eastAsia="宋体"/>
          <w:sz w:val="28"/>
          <w:szCs w:val="28"/>
        </w:rPr>
      </w:pPr>
    </w:p>
    <w:p>
      <w:pPr>
        <w:pStyle w:val="2"/>
        <w:rPr>
          <w:rFonts w:ascii="宋体" w:hAnsi="宋体" w:eastAsia="宋体"/>
          <w:sz w:val="28"/>
          <w:szCs w:val="28"/>
        </w:rPr>
      </w:pPr>
    </w:p>
    <w:p>
      <w:pPr>
        <w:pStyle w:val="3"/>
      </w:pPr>
    </w:p>
    <w:p>
      <w:pPr>
        <w:pStyle w:val="6"/>
        <w:numPr>
          <w:ilvl w:val="0"/>
          <w:numId w:val="0"/>
        </w:numPr>
        <w:rPr>
          <w:rFonts w:ascii="宋体" w:hAnsi="宋体" w:eastAsia="宋体"/>
          <w:sz w:val="28"/>
          <w:szCs w:val="28"/>
        </w:rPr>
      </w:pPr>
      <w:bookmarkStart w:id="736" w:name="_Toc2680"/>
      <w:r>
        <w:rPr>
          <w:rFonts w:ascii="宋体" w:hAnsi="宋体" w:eastAsia="宋体"/>
          <w:sz w:val="28"/>
          <w:szCs w:val="28"/>
        </w:rPr>
        <w:t>第七章</w:t>
      </w:r>
      <w:r>
        <w:rPr>
          <w:rFonts w:hint="eastAsia" w:ascii="宋体" w:hAnsi="宋体" w:eastAsia="宋体"/>
          <w:sz w:val="28"/>
          <w:szCs w:val="28"/>
        </w:rPr>
        <w:t xml:space="preserve">  </w:t>
      </w:r>
      <w:r>
        <w:rPr>
          <w:rFonts w:ascii="宋体" w:hAnsi="宋体" w:eastAsia="宋体"/>
          <w:sz w:val="28"/>
          <w:szCs w:val="28"/>
        </w:rPr>
        <w:t>响应文件（格式）</w:t>
      </w:r>
      <w:bookmarkEnd w:id="736"/>
    </w:p>
    <w:p>
      <w:pPr>
        <w:rPr>
          <w:rFonts w:ascii="宋体" w:hAnsi="宋体"/>
          <w:b/>
          <w:color w:val="000000"/>
          <w:sz w:val="72"/>
        </w:rPr>
      </w:pPr>
    </w:p>
    <w:p>
      <w:pPr>
        <w:jc w:val="center"/>
        <w:rPr>
          <w:rFonts w:ascii="宋体" w:hAnsi="宋体"/>
          <w:b/>
          <w:color w:val="000000"/>
          <w:sz w:val="72"/>
        </w:rPr>
      </w:pPr>
      <w:r>
        <w:rPr>
          <w:rFonts w:ascii="宋体" w:hAnsi="宋体"/>
          <w:b/>
          <w:color w:val="000000"/>
          <w:sz w:val="72"/>
        </w:rPr>
        <w:t>政府采购项目</w:t>
      </w:r>
    </w:p>
    <w:p>
      <w:pPr>
        <w:jc w:val="center"/>
        <w:rPr>
          <w:rFonts w:ascii="宋体" w:hAnsi="宋体"/>
          <w:b/>
          <w:color w:val="000000"/>
          <w:sz w:val="72"/>
        </w:rPr>
      </w:pPr>
      <w:r>
        <w:rPr>
          <w:rFonts w:ascii="宋体" w:hAnsi="宋体"/>
          <w:b/>
          <w:color w:val="000000"/>
          <w:sz w:val="72"/>
        </w:rPr>
        <w:t>响 应 文 件</w:t>
      </w:r>
    </w:p>
    <w:p>
      <w:pPr>
        <w:jc w:val="center"/>
        <w:rPr>
          <w:rFonts w:ascii="宋体" w:hAnsi="宋体"/>
          <w:b/>
          <w:color w:val="000000"/>
          <w:sz w:val="44"/>
        </w:rPr>
      </w:pPr>
      <w:r>
        <w:rPr>
          <w:rFonts w:ascii="宋体" w:hAnsi="宋体"/>
          <w:b/>
          <w:color w:val="000000"/>
          <w:sz w:val="44"/>
        </w:rPr>
        <w:t>（封面）</w:t>
      </w:r>
    </w:p>
    <w:p>
      <w:pPr>
        <w:jc w:val="center"/>
        <w:rPr>
          <w:rFonts w:ascii="宋体" w:hAnsi="宋体"/>
          <w:b/>
          <w:color w:val="000000"/>
          <w:sz w:val="36"/>
        </w:rPr>
      </w:pPr>
    </w:p>
    <w:p>
      <w:pPr>
        <w:jc w:val="center"/>
        <w:rPr>
          <w:rFonts w:ascii="宋体" w:hAnsi="宋体"/>
          <w:b/>
          <w:color w:val="000000"/>
          <w:sz w:val="36"/>
        </w:rPr>
      </w:pPr>
    </w:p>
    <w:p>
      <w:pPr>
        <w:ind w:firstLine="1970" w:firstLineChars="545"/>
        <w:rPr>
          <w:rFonts w:ascii="宋体" w:hAnsi="宋体"/>
          <w:b/>
          <w:color w:val="000000"/>
          <w:sz w:val="36"/>
          <w:u w:val="single"/>
        </w:rPr>
      </w:pPr>
      <w:r>
        <w:rPr>
          <w:rFonts w:ascii="宋体" w:hAnsi="宋体"/>
          <w:b/>
          <w:color w:val="000000"/>
          <w:sz w:val="36"/>
        </w:rPr>
        <w:t>项目名称：</w:t>
      </w:r>
      <w:r>
        <w:rPr>
          <w:rFonts w:ascii="宋体" w:hAnsi="宋体"/>
          <w:b/>
          <w:color w:val="000000"/>
          <w:sz w:val="36"/>
          <w:u w:val="single"/>
        </w:rPr>
        <w:t xml:space="preserve">               </w:t>
      </w:r>
    </w:p>
    <w:p>
      <w:pPr>
        <w:ind w:firstLine="1970" w:firstLineChars="545"/>
        <w:rPr>
          <w:rFonts w:ascii="宋体" w:hAnsi="宋体"/>
          <w:b/>
          <w:color w:val="000000"/>
          <w:sz w:val="36"/>
          <w:u w:val="single"/>
        </w:rPr>
      </w:pPr>
      <w:r>
        <w:rPr>
          <w:rFonts w:ascii="宋体" w:hAnsi="宋体"/>
          <w:b/>
          <w:color w:val="000000"/>
          <w:sz w:val="36"/>
        </w:rPr>
        <w:t>项目编号：</w:t>
      </w:r>
      <w:r>
        <w:rPr>
          <w:rFonts w:ascii="宋体" w:hAnsi="宋体"/>
          <w:b/>
          <w:color w:val="000000"/>
          <w:sz w:val="36"/>
          <w:u w:val="single"/>
        </w:rPr>
        <w:t xml:space="preserve">               </w:t>
      </w:r>
    </w:p>
    <w:p>
      <w:pPr>
        <w:ind w:firstLine="1970" w:firstLineChars="545"/>
        <w:rPr>
          <w:rFonts w:ascii="宋体" w:hAnsi="宋体"/>
          <w:b/>
          <w:color w:val="000000"/>
          <w:sz w:val="36"/>
        </w:rPr>
      </w:pPr>
      <w:r>
        <w:rPr>
          <w:rFonts w:hint="eastAsia" w:ascii="宋体" w:hAnsi="宋体"/>
          <w:b/>
          <w:color w:val="000000"/>
          <w:sz w:val="36"/>
        </w:rPr>
        <w:t>包    号：</w:t>
      </w:r>
      <w:r>
        <w:rPr>
          <w:rFonts w:ascii="宋体" w:hAnsi="宋体"/>
          <w:b/>
          <w:color w:val="000000"/>
          <w:sz w:val="36"/>
          <w:u w:val="single"/>
        </w:rPr>
        <w:t xml:space="preserve">               </w:t>
      </w:r>
      <w:r>
        <w:rPr>
          <w:rFonts w:hint="eastAsia" w:ascii="宋体" w:hAnsi="宋体"/>
          <w:b/>
          <w:color w:val="000000"/>
          <w:sz w:val="36"/>
        </w:rPr>
        <w:t xml:space="preserve">              </w:t>
      </w:r>
    </w:p>
    <w:p>
      <w:pPr>
        <w:spacing w:line="360" w:lineRule="auto"/>
        <w:jc w:val="center"/>
        <w:rPr>
          <w:rFonts w:ascii="宋体" w:hAnsi="宋体"/>
          <w:b/>
          <w:color w:val="000000"/>
          <w:sz w:val="36"/>
        </w:rPr>
      </w:pPr>
    </w:p>
    <w:p>
      <w:pPr>
        <w:jc w:val="center"/>
        <w:rPr>
          <w:rFonts w:ascii="宋体" w:hAnsi="宋体"/>
          <w:b/>
          <w:color w:val="000000"/>
          <w:sz w:val="36"/>
        </w:rPr>
      </w:pPr>
      <w:r>
        <w:rPr>
          <w:rFonts w:ascii="宋体" w:hAnsi="宋体"/>
          <w:b/>
          <w:color w:val="000000"/>
          <w:sz w:val="36"/>
        </w:rPr>
        <w:t>（正本/副本）</w:t>
      </w:r>
    </w:p>
    <w:p>
      <w:pPr>
        <w:rPr>
          <w:rFonts w:ascii="宋体" w:hAnsi="宋体"/>
          <w:b/>
          <w:color w:val="000000"/>
          <w:sz w:val="36"/>
        </w:rPr>
      </w:pPr>
    </w:p>
    <w:p>
      <w:pPr>
        <w:rPr>
          <w:rFonts w:ascii="宋体" w:hAnsi="宋体"/>
          <w:b/>
          <w:color w:val="000000"/>
          <w:sz w:val="36"/>
        </w:rPr>
      </w:pPr>
    </w:p>
    <w:p>
      <w:pPr>
        <w:rPr>
          <w:rFonts w:ascii="宋体" w:hAnsi="宋体"/>
          <w:b/>
          <w:color w:val="000000"/>
          <w:sz w:val="36"/>
        </w:rPr>
      </w:pPr>
    </w:p>
    <w:p>
      <w:pPr>
        <w:spacing w:line="440" w:lineRule="exact"/>
        <w:rPr>
          <w:rFonts w:ascii="宋体" w:hAnsi="宋体"/>
          <w:b/>
          <w:color w:val="000000"/>
          <w:sz w:val="36"/>
        </w:rPr>
      </w:pPr>
    </w:p>
    <w:p>
      <w:pPr>
        <w:spacing w:line="500" w:lineRule="exact"/>
        <w:rPr>
          <w:rFonts w:ascii="宋体" w:hAnsi="宋体"/>
          <w:b/>
          <w:color w:val="000000"/>
          <w:sz w:val="32"/>
          <w:u w:val="single"/>
        </w:rPr>
      </w:pPr>
      <w:r>
        <w:rPr>
          <w:rFonts w:ascii="宋体" w:hAnsi="宋体"/>
          <w:b/>
          <w:color w:val="000000"/>
          <w:sz w:val="32"/>
        </w:rPr>
        <w:t xml:space="preserve">     供应商名称 ：</w:t>
      </w:r>
      <w:r>
        <w:rPr>
          <w:rFonts w:ascii="宋体" w:hAnsi="宋体"/>
          <w:b/>
          <w:color w:val="000000"/>
          <w:sz w:val="32"/>
          <w:u w:val="single"/>
        </w:rPr>
        <w:t xml:space="preserve">                                </w:t>
      </w:r>
    </w:p>
    <w:p>
      <w:pPr>
        <w:spacing w:line="500" w:lineRule="exact"/>
        <w:ind w:firstLine="157" w:firstLineChars="49"/>
        <w:rPr>
          <w:rFonts w:ascii="宋体" w:hAnsi="宋体"/>
          <w:b/>
          <w:color w:val="000000"/>
          <w:sz w:val="32"/>
          <w:u w:val="single"/>
        </w:rPr>
      </w:pPr>
      <w:r>
        <w:rPr>
          <w:rFonts w:ascii="宋体" w:hAnsi="宋体"/>
          <w:b/>
          <w:color w:val="000000"/>
          <w:sz w:val="32"/>
        </w:rPr>
        <w:t xml:space="preserve">    </w:t>
      </w:r>
      <w:r>
        <w:rPr>
          <w:rFonts w:hint="eastAsia" w:ascii="宋体" w:hAnsi="宋体"/>
          <w:b/>
          <w:color w:val="000000"/>
          <w:sz w:val="32"/>
        </w:rPr>
        <w:t>法定代表人</w:t>
      </w:r>
      <w:r>
        <w:rPr>
          <w:rFonts w:ascii="宋体" w:hAnsi="宋体"/>
          <w:b/>
          <w:color w:val="000000"/>
          <w:sz w:val="32"/>
        </w:rPr>
        <w:t>姓名：</w:t>
      </w:r>
      <w:r>
        <w:rPr>
          <w:rFonts w:ascii="宋体" w:hAnsi="宋体"/>
          <w:b/>
          <w:color w:val="000000"/>
          <w:sz w:val="32"/>
          <w:u w:val="single"/>
        </w:rPr>
        <w:t xml:space="preserve">                 </w:t>
      </w:r>
    </w:p>
    <w:p>
      <w:pPr>
        <w:spacing w:line="500" w:lineRule="exact"/>
        <w:ind w:firstLine="790" w:firstLineChars="246"/>
        <w:rPr>
          <w:rFonts w:ascii="宋体" w:hAnsi="宋体"/>
          <w:b/>
          <w:color w:val="000000"/>
          <w:sz w:val="32"/>
          <w:u w:val="single"/>
        </w:rPr>
      </w:pPr>
      <w:r>
        <w:rPr>
          <w:rFonts w:ascii="宋体" w:hAnsi="宋体"/>
          <w:b/>
          <w:color w:val="000000"/>
          <w:sz w:val="32"/>
        </w:rPr>
        <w:t>日期 ：</w:t>
      </w:r>
      <w:r>
        <w:rPr>
          <w:rFonts w:ascii="宋体" w:hAnsi="宋体"/>
          <w:b/>
          <w:color w:val="000000"/>
          <w:sz w:val="32"/>
          <w:u w:val="single"/>
        </w:rPr>
        <w:t xml:space="preserve">  </w:t>
      </w:r>
      <w:r>
        <w:rPr>
          <w:rFonts w:ascii="宋体" w:hAnsi="宋体"/>
          <w:b/>
          <w:color w:val="000000"/>
          <w:sz w:val="32"/>
        </w:rPr>
        <w:t>年</w:t>
      </w:r>
      <w:r>
        <w:rPr>
          <w:rFonts w:ascii="宋体" w:hAnsi="宋体"/>
          <w:b/>
          <w:color w:val="000000"/>
          <w:sz w:val="32"/>
          <w:u w:val="single"/>
        </w:rPr>
        <w:t xml:space="preserve">   </w:t>
      </w:r>
      <w:r>
        <w:rPr>
          <w:rFonts w:ascii="宋体" w:hAnsi="宋体"/>
          <w:b/>
          <w:color w:val="000000"/>
          <w:sz w:val="32"/>
        </w:rPr>
        <w:t>月</w:t>
      </w:r>
      <w:r>
        <w:rPr>
          <w:rFonts w:ascii="宋体" w:hAnsi="宋体"/>
          <w:b/>
          <w:color w:val="000000"/>
          <w:sz w:val="32"/>
          <w:u w:val="single"/>
        </w:rPr>
        <w:t xml:space="preserve">   </w:t>
      </w:r>
      <w:r>
        <w:rPr>
          <w:rFonts w:ascii="宋体" w:hAnsi="宋体"/>
          <w:b/>
          <w:color w:val="000000"/>
          <w:sz w:val="32"/>
        </w:rPr>
        <w:t>日</w:t>
      </w:r>
    </w:p>
    <w:p>
      <w:pPr>
        <w:spacing w:line="360" w:lineRule="auto"/>
        <w:jc w:val="center"/>
        <w:rPr>
          <w:rFonts w:ascii="宋体" w:hAnsi="宋体"/>
          <w:color w:val="000000"/>
        </w:rPr>
        <w:sectPr>
          <w:headerReference r:id="rId6" w:type="default"/>
          <w:footerReference r:id="rId7" w:type="default"/>
          <w:footerReference r:id="rId8" w:type="even"/>
          <w:type w:val="continuous"/>
          <w:pgSz w:w="11907" w:h="16840"/>
          <w:pgMar w:top="1440" w:right="1800" w:bottom="1440" w:left="1800" w:header="851" w:footer="992" w:gutter="0"/>
          <w:cols w:space="720" w:num="1"/>
          <w:docGrid w:linePitch="326" w:charSpace="0"/>
        </w:sectPr>
      </w:pPr>
    </w:p>
    <w:p>
      <w:pPr>
        <w:tabs>
          <w:tab w:val="left" w:pos="900"/>
        </w:tabs>
        <w:spacing w:line="360" w:lineRule="auto"/>
        <w:jc w:val="center"/>
        <w:rPr>
          <w:rFonts w:ascii="宋体" w:hAnsi="宋体"/>
          <w:b/>
          <w:color w:val="000000"/>
          <w:sz w:val="32"/>
        </w:rPr>
      </w:pPr>
      <w:r>
        <w:rPr>
          <w:rFonts w:ascii="宋体" w:hAnsi="宋体"/>
          <w:b/>
          <w:color w:val="000000"/>
          <w:sz w:val="32"/>
        </w:rPr>
        <w:t>第一部分     资格性响应文件（格式）</w:t>
      </w:r>
    </w:p>
    <w:p>
      <w:pPr>
        <w:spacing w:line="360" w:lineRule="auto"/>
        <w:jc w:val="center"/>
        <w:rPr>
          <w:rFonts w:ascii="宋体" w:hAnsi="宋体"/>
          <w:color w:val="000000"/>
        </w:rPr>
      </w:pPr>
      <w:r>
        <w:rPr>
          <w:rFonts w:ascii="宋体" w:hAnsi="宋体"/>
          <w:b/>
          <w:color w:val="000000"/>
        </w:rPr>
        <w:t>一、供应商的资格证明文件</w:t>
      </w:r>
    </w:p>
    <w:p>
      <w:pPr>
        <w:spacing w:line="360" w:lineRule="auto"/>
        <w:rPr>
          <w:rFonts w:ascii="宋体" w:hAnsi="宋体"/>
          <w:b/>
          <w:color w:val="000000"/>
        </w:rPr>
      </w:pPr>
      <w:r>
        <w:rPr>
          <w:rFonts w:ascii="宋体" w:hAnsi="宋体"/>
          <w:b/>
          <w:color w:val="000000"/>
        </w:rPr>
        <w:t>附件1－</w:t>
      </w:r>
      <w:r>
        <w:rPr>
          <w:rFonts w:hint="eastAsia" w:ascii="宋体" w:hAnsi="宋体"/>
          <w:b/>
          <w:color w:val="000000"/>
        </w:rPr>
        <w:t>1</w:t>
      </w:r>
    </w:p>
    <w:p>
      <w:pPr>
        <w:pStyle w:val="43"/>
        <w:spacing w:before="0" w:beforeAutospacing="0" w:after="0" w:afterAutospacing="0" w:line="600" w:lineRule="exact"/>
        <w:ind w:left="-485" w:leftChars="-202"/>
        <w:jc w:val="center"/>
        <w:rPr>
          <w:b/>
        </w:rPr>
      </w:pPr>
      <w:r>
        <w:rPr>
          <w:rFonts w:hint="eastAsia"/>
          <w:b/>
        </w:rPr>
        <w:t>法定代表人身份</w:t>
      </w:r>
      <w:r>
        <w:rPr>
          <w:b/>
        </w:rPr>
        <w:t>证明</w:t>
      </w:r>
    </w:p>
    <w:p>
      <w:pPr>
        <w:pStyle w:val="26"/>
        <w:snapToGrid w:val="0"/>
        <w:spacing w:line="360" w:lineRule="auto"/>
        <w:jc w:val="left"/>
        <w:rPr>
          <w:rFonts w:hint="default" w:hAnsi="宋体"/>
          <w:sz w:val="24"/>
        </w:rPr>
      </w:pPr>
    </w:p>
    <w:p>
      <w:pPr>
        <w:pStyle w:val="26"/>
        <w:snapToGrid w:val="0"/>
        <w:spacing w:line="360" w:lineRule="auto"/>
        <w:jc w:val="left"/>
        <w:rPr>
          <w:rFonts w:hint="default" w:hAnsi="宋体"/>
          <w:sz w:val="24"/>
        </w:rPr>
      </w:pPr>
      <w:r>
        <w:rPr>
          <w:rFonts w:hAnsi="宋体"/>
          <w:sz w:val="24"/>
        </w:rPr>
        <w:t xml:space="preserve">供应商名称： </w:t>
      </w:r>
      <w:r>
        <w:rPr>
          <w:rFonts w:hAnsi="宋体"/>
          <w:sz w:val="24"/>
        </w:rPr>
        <w:br w:type="textWrapping"/>
      </w:r>
      <w:r>
        <w:rPr>
          <w:rFonts w:hAnsi="宋体"/>
          <w:sz w:val="24"/>
        </w:rPr>
        <w:t xml:space="preserve">单位性质： </w:t>
      </w:r>
      <w:r>
        <w:rPr>
          <w:rFonts w:hAnsi="宋体"/>
          <w:sz w:val="24"/>
        </w:rPr>
        <w:br w:type="textWrapping"/>
      </w:r>
      <w:r>
        <w:rPr>
          <w:rFonts w:hAnsi="宋体"/>
          <w:sz w:val="24"/>
        </w:rPr>
        <w:t xml:space="preserve">地址： </w:t>
      </w:r>
      <w:r>
        <w:rPr>
          <w:rFonts w:hAnsi="宋体"/>
          <w:sz w:val="24"/>
        </w:rPr>
        <w:br w:type="textWrapping"/>
      </w:r>
      <w:r>
        <w:rPr>
          <w:rFonts w:hAnsi="宋体"/>
          <w:sz w:val="24"/>
        </w:rPr>
        <w:t>成立时间：   年   月   日</w:t>
      </w:r>
      <w:r>
        <w:rPr>
          <w:rFonts w:hAnsi="宋体"/>
          <w:sz w:val="24"/>
        </w:rPr>
        <w:br w:type="textWrapping"/>
      </w:r>
      <w:r>
        <w:rPr>
          <w:rFonts w:hAnsi="宋体"/>
          <w:sz w:val="24"/>
        </w:rPr>
        <w:t xml:space="preserve">经营期限： </w:t>
      </w:r>
    </w:p>
    <w:p>
      <w:pPr>
        <w:pStyle w:val="26"/>
        <w:snapToGrid w:val="0"/>
        <w:spacing w:line="360" w:lineRule="auto"/>
        <w:ind w:firstLine="480" w:firstLineChars="200"/>
        <w:jc w:val="left"/>
        <w:rPr>
          <w:rFonts w:hint="default" w:hAnsi="宋体"/>
          <w:sz w:val="24"/>
        </w:rPr>
      </w:pPr>
      <w:r>
        <w:rPr>
          <w:rFonts w:hAnsi="宋体"/>
          <w:sz w:val="24"/>
          <w:u w:val="single"/>
        </w:rPr>
        <w:t xml:space="preserve">姓名         </w:t>
      </w:r>
      <w:r>
        <w:rPr>
          <w:rFonts w:hAnsi="宋体"/>
          <w:sz w:val="24"/>
          <w:u w:val="single"/>
        </w:rPr>
        <w:tab/>
      </w:r>
      <w:r>
        <w:rPr>
          <w:rFonts w:hAnsi="宋体"/>
          <w:sz w:val="24"/>
        </w:rPr>
        <w:t>系</w:t>
      </w:r>
      <w:r>
        <w:rPr>
          <w:rFonts w:hAnsi="宋体"/>
          <w:sz w:val="24"/>
          <w:u w:val="single"/>
        </w:rPr>
        <w:t xml:space="preserve">                        </w:t>
      </w:r>
      <w:r>
        <w:rPr>
          <w:rFonts w:hAnsi="宋体"/>
          <w:sz w:val="24"/>
          <w:u w:val="single"/>
        </w:rPr>
        <w:tab/>
      </w:r>
      <w:r>
        <w:rPr>
          <w:rFonts w:hAnsi="宋体"/>
          <w:sz w:val="24"/>
          <w:u w:val="single"/>
        </w:rPr>
        <w:t xml:space="preserve">（投标人名称） </w:t>
      </w:r>
      <w:r>
        <w:rPr>
          <w:rFonts w:hAnsi="宋体"/>
          <w:sz w:val="24"/>
        </w:rPr>
        <w:t>的法定代表人（</w:t>
      </w:r>
      <w:r>
        <w:rPr>
          <w:rFonts w:hAnsi="宋体"/>
          <w:sz w:val="24"/>
          <w:u w:val="single"/>
        </w:rPr>
        <w:t xml:space="preserve">职务：      电话：        </w:t>
      </w:r>
      <w:r>
        <w:rPr>
          <w:rFonts w:hAnsi="宋体"/>
          <w:sz w:val="24"/>
        </w:rPr>
        <w:t>）。</w:t>
      </w:r>
    </w:p>
    <w:p>
      <w:pPr>
        <w:pStyle w:val="26"/>
        <w:snapToGrid w:val="0"/>
        <w:spacing w:line="360" w:lineRule="auto"/>
        <w:ind w:firstLine="480" w:firstLineChars="200"/>
        <w:jc w:val="left"/>
        <w:rPr>
          <w:rFonts w:hint="default" w:hAnsi="宋体"/>
          <w:sz w:val="24"/>
        </w:rPr>
      </w:pPr>
      <w:r>
        <w:rPr>
          <w:rFonts w:hAnsi="宋体"/>
          <w:sz w:val="24"/>
        </w:rPr>
        <w:t>特此证明。</w:t>
      </w:r>
    </w:p>
    <w:p>
      <w:pPr>
        <w:pStyle w:val="26"/>
        <w:snapToGrid w:val="0"/>
        <w:spacing w:line="360" w:lineRule="auto"/>
        <w:ind w:firstLine="480" w:firstLineChars="200"/>
        <w:jc w:val="left"/>
        <w:rPr>
          <w:rFonts w:hint="default" w:hAnsi="宋体"/>
          <w:sz w:val="24"/>
        </w:rPr>
      </w:pPr>
    </w:p>
    <w:p>
      <w:pPr>
        <w:pStyle w:val="26"/>
        <w:snapToGrid w:val="0"/>
        <w:spacing w:line="360" w:lineRule="auto"/>
        <w:ind w:firstLine="480" w:firstLineChars="200"/>
        <w:jc w:val="left"/>
        <w:rPr>
          <w:rFonts w:hint="default" w:hAnsi="宋体"/>
          <w:sz w:val="24"/>
        </w:rPr>
      </w:pPr>
      <w:r>
        <w:rPr>
          <w:rFonts w:hAnsi="宋体"/>
          <w:sz w:val="24"/>
        </w:rPr>
        <w:t>附：法定代表人身份证复印件</w:t>
      </w:r>
    </w:p>
    <w:p>
      <w:pPr>
        <w:pStyle w:val="26"/>
        <w:snapToGrid w:val="0"/>
        <w:spacing w:line="360" w:lineRule="auto"/>
        <w:ind w:firstLine="480" w:firstLineChars="200"/>
        <w:jc w:val="left"/>
        <w:rPr>
          <w:rFonts w:hint="default" w:hAnsi="宋体"/>
          <w:sz w:val="24"/>
        </w:rPr>
      </w:pPr>
    </w:p>
    <w:p>
      <w:pPr>
        <w:pStyle w:val="26"/>
        <w:snapToGrid w:val="0"/>
        <w:spacing w:line="360" w:lineRule="auto"/>
        <w:ind w:right="960" w:firstLine="3120" w:firstLineChars="1300"/>
        <w:rPr>
          <w:rFonts w:hint="default" w:hAnsi="宋体"/>
          <w:sz w:val="24"/>
        </w:rPr>
      </w:pPr>
    </w:p>
    <w:p>
      <w:pPr>
        <w:pStyle w:val="26"/>
        <w:snapToGrid w:val="0"/>
        <w:spacing w:line="360" w:lineRule="auto"/>
        <w:ind w:right="960" w:firstLine="3120" w:firstLineChars="1300"/>
        <w:rPr>
          <w:rFonts w:hint="default" w:hAnsi="宋体"/>
          <w:sz w:val="24"/>
        </w:rPr>
      </w:pPr>
    </w:p>
    <w:p>
      <w:pPr>
        <w:pStyle w:val="26"/>
        <w:snapToGrid w:val="0"/>
        <w:spacing w:line="360" w:lineRule="auto"/>
        <w:ind w:right="960" w:firstLine="3120" w:firstLineChars="1300"/>
        <w:rPr>
          <w:rFonts w:hint="default" w:hAnsi="宋体"/>
          <w:sz w:val="24"/>
        </w:rPr>
      </w:pPr>
      <w:r>
        <w:rPr>
          <w:rFonts w:hAnsi="宋体"/>
          <w:sz w:val="24"/>
        </w:rPr>
        <w:t>供应商：（盖单位章）</w:t>
      </w:r>
    </w:p>
    <w:p>
      <w:pPr>
        <w:pStyle w:val="43"/>
        <w:spacing w:before="0" w:beforeAutospacing="0" w:after="0" w:afterAutospacing="0" w:line="600" w:lineRule="exact"/>
        <w:ind w:left="-485" w:leftChars="-202" w:firstLine="338" w:firstLineChars="141"/>
        <w:jc w:val="center"/>
        <w:rPr>
          <w:rFonts w:ascii="Arial" w:hAnsi="Arial"/>
          <w:sz w:val="21"/>
          <w:szCs w:val="21"/>
        </w:rPr>
      </w:pPr>
      <w:r>
        <w:rPr>
          <w:rFonts w:hint="eastAsia"/>
        </w:rPr>
        <w:t>法定代表人</w:t>
      </w:r>
      <w:r>
        <w:t>（签字）</w:t>
      </w:r>
      <w:r>
        <w:rPr>
          <w:bCs/>
        </w:rPr>
        <w:t>：</w:t>
      </w:r>
      <w:r>
        <w:rPr>
          <w:u w:val="single"/>
        </w:rPr>
        <w:t xml:space="preserve">                     </w:t>
      </w:r>
    </w:p>
    <w:p>
      <w:pPr>
        <w:pStyle w:val="43"/>
        <w:spacing w:before="0" w:beforeAutospacing="0" w:after="0" w:afterAutospacing="0" w:line="600" w:lineRule="exact"/>
        <w:ind w:left="-485" w:leftChars="-202" w:firstLine="296" w:firstLineChars="141"/>
        <w:jc w:val="center"/>
        <w:rPr>
          <w:rFonts w:ascii="Arial" w:hAnsi="Arial"/>
          <w:sz w:val="21"/>
          <w:szCs w:val="21"/>
        </w:rPr>
      </w:pPr>
    </w:p>
    <w:p>
      <w:pPr>
        <w:spacing w:line="360" w:lineRule="auto"/>
        <w:ind w:right="480"/>
        <w:jc w:val="center"/>
        <w:rPr>
          <w:rFonts w:ascii="宋体" w:hAnsi="宋体"/>
          <w:b/>
          <w:sz w:val="32"/>
        </w:rPr>
      </w:pPr>
      <w:r>
        <w:rPr>
          <w:rFonts w:hint="eastAsia" w:ascii="Arial" w:hAnsi="Arial"/>
          <w:szCs w:val="21"/>
        </w:rPr>
        <w:t xml:space="preserve">                              </w:t>
      </w:r>
      <w:r>
        <w:rPr>
          <w:rFonts w:ascii="Arial" w:hAnsi="Arial"/>
          <w:szCs w:val="21"/>
        </w:rPr>
        <w:t>年   月   日</w:t>
      </w:r>
    </w:p>
    <w:p>
      <w:pPr>
        <w:spacing w:line="360" w:lineRule="auto"/>
        <w:ind w:right="480"/>
        <w:jc w:val="center"/>
        <w:rPr>
          <w:rFonts w:ascii="宋体" w:hAnsi="宋体"/>
          <w:b/>
        </w:rPr>
      </w:pPr>
    </w:p>
    <w:p>
      <w:pPr>
        <w:spacing w:line="360" w:lineRule="auto"/>
        <w:ind w:right="480"/>
        <w:jc w:val="center"/>
        <w:rPr>
          <w:rFonts w:ascii="宋体" w:hAnsi="宋体"/>
          <w:b/>
        </w:rPr>
      </w:pPr>
    </w:p>
    <w:p>
      <w:pPr>
        <w:spacing w:line="360" w:lineRule="auto"/>
        <w:ind w:right="480"/>
        <w:jc w:val="center"/>
        <w:rPr>
          <w:rFonts w:ascii="宋体" w:hAnsi="宋体"/>
          <w:b/>
        </w:rPr>
      </w:pPr>
    </w:p>
    <w:p>
      <w:pPr>
        <w:spacing w:line="360" w:lineRule="auto"/>
        <w:ind w:right="480"/>
        <w:jc w:val="center"/>
        <w:rPr>
          <w:rFonts w:ascii="宋体" w:hAnsi="宋体"/>
          <w:b/>
        </w:rPr>
      </w:pPr>
    </w:p>
    <w:p>
      <w:pPr>
        <w:spacing w:line="360" w:lineRule="auto"/>
        <w:ind w:right="480"/>
        <w:jc w:val="center"/>
        <w:rPr>
          <w:rFonts w:ascii="宋体" w:hAnsi="宋体"/>
          <w:b/>
        </w:rPr>
      </w:pPr>
    </w:p>
    <w:p>
      <w:pPr>
        <w:spacing w:line="360" w:lineRule="auto"/>
        <w:ind w:right="480"/>
        <w:jc w:val="center"/>
        <w:rPr>
          <w:rFonts w:ascii="宋体" w:hAnsi="宋体"/>
          <w:b/>
        </w:rPr>
      </w:pPr>
    </w:p>
    <w:p>
      <w:pPr>
        <w:spacing w:line="360" w:lineRule="auto"/>
        <w:ind w:right="480"/>
        <w:jc w:val="center"/>
        <w:rPr>
          <w:rFonts w:ascii="宋体" w:hAnsi="宋体"/>
        </w:rPr>
      </w:pPr>
      <w:r>
        <w:rPr>
          <w:rFonts w:hint="eastAsia" w:ascii="宋体" w:hAnsi="宋体"/>
          <w:b/>
        </w:rPr>
        <w:t>法定代表人</w:t>
      </w:r>
      <w:r>
        <w:rPr>
          <w:rFonts w:ascii="宋体" w:hAnsi="宋体"/>
          <w:b/>
        </w:rPr>
        <w:t>授权书</w:t>
      </w:r>
    </w:p>
    <w:p>
      <w:pPr>
        <w:pStyle w:val="325"/>
        <w:tabs>
          <w:tab w:val="clear" w:pos="1740"/>
        </w:tabs>
        <w:adjustRightInd/>
        <w:spacing w:before="0" w:line="360" w:lineRule="auto"/>
        <w:ind w:left="0" w:firstLine="0"/>
        <w:outlineLvl w:val="9"/>
        <w:rPr>
          <w:rFonts w:ascii="宋体" w:hAnsi="宋体" w:eastAsia="宋体"/>
          <w:sz w:val="24"/>
        </w:rPr>
      </w:pPr>
    </w:p>
    <w:p>
      <w:pPr>
        <w:spacing w:line="360" w:lineRule="auto"/>
        <w:rPr>
          <w:rFonts w:ascii="宋体" w:hAnsi="宋体"/>
        </w:rPr>
      </w:pPr>
      <w:r>
        <w:rPr>
          <w:rFonts w:ascii="宋体" w:hAnsi="宋体"/>
        </w:rPr>
        <w:t>致：</w:t>
      </w:r>
      <w:r>
        <w:rPr>
          <w:rFonts w:hint="eastAsia" w:ascii="宋体" w:hAnsi="宋体"/>
          <w:u w:val="single"/>
        </w:rPr>
        <w:t xml:space="preserve">                </w:t>
      </w:r>
      <w:r>
        <w:rPr>
          <w:rFonts w:ascii="宋体" w:hAnsi="宋体"/>
          <w:u w:val="single"/>
        </w:rPr>
        <w:t xml:space="preserve"> </w:t>
      </w:r>
    </w:p>
    <w:p>
      <w:pPr>
        <w:pStyle w:val="26"/>
        <w:snapToGrid w:val="0"/>
        <w:spacing w:line="360" w:lineRule="auto"/>
        <w:ind w:firstLine="480" w:firstLineChars="200"/>
        <w:jc w:val="left"/>
        <w:rPr>
          <w:rFonts w:hint="default" w:hAnsi="宋体"/>
          <w:sz w:val="24"/>
        </w:rPr>
      </w:pPr>
      <w:r>
        <w:rPr>
          <w:rFonts w:hAnsi="宋体"/>
          <w:sz w:val="24"/>
          <w:u w:val="single"/>
        </w:rPr>
        <w:t>（供应商全称）</w:t>
      </w:r>
      <w:r>
        <w:rPr>
          <w:rFonts w:hAnsi="宋体"/>
          <w:sz w:val="24"/>
        </w:rPr>
        <w:t>法定代表人</w:t>
      </w:r>
      <w:r>
        <w:rPr>
          <w:rFonts w:hAnsi="宋体"/>
          <w:sz w:val="24"/>
          <w:u w:val="single"/>
        </w:rPr>
        <w:t xml:space="preserve">        </w:t>
      </w:r>
      <w:r>
        <w:rPr>
          <w:rFonts w:hAnsi="宋体"/>
          <w:sz w:val="24"/>
        </w:rPr>
        <w:t xml:space="preserve"> 授权</w:t>
      </w:r>
      <w:r>
        <w:rPr>
          <w:rFonts w:hAnsi="宋体"/>
          <w:sz w:val="24"/>
          <w:u w:val="single"/>
        </w:rPr>
        <w:t xml:space="preserve">  （响应代表姓名）</w:t>
      </w:r>
      <w:r>
        <w:rPr>
          <w:rFonts w:hAnsi="宋体"/>
          <w:sz w:val="24"/>
        </w:rPr>
        <w:t>为响应代表，代表本公司参加贵司组织的</w:t>
      </w:r>
      <w:r>
        <w:rPr>
          <w:rFonts w:hAnsi="宋体"/>
          <w:sz w:val="24"/>
          <w:u w:val="single"/>
        </w:rPr>
        <w:t xml:space="preserve">            </w:t>
      </w:r>
      <w:r>
        <w:rPr>
          <w:rFonts w:hAnsi="宋体"/>
          <w:sz w:val="24"/>
        </w:rPr>
        <w:t>项目（项目编号</w:t>
      </w:r>
      <w:r>
        <w:rPr>
          <w:rFonts w:hAnsi="宋体"/>
          <w:sz w:val="24"/>
          <w:u w:val="single"/>
        </w:rPr>
        <w:t xml:space="preserve">       </w:t>
      </w:r>
      <w:r>
        <w:rPr>
          <w:rFonts w:hAnsi="宋体"/>
          <w:sz w:val="24"/>
        </w:rPr>
        <w:t>）磋商活动，全权代表本公司处理响应过程的一切事宜，包括但不限于：响应、磋商、签约等。响应代表在响应过程中所签署的一切文件和处理与之有关的一切事务，本公司均予以认可并对此承担责任。响应代表无转委托权。</w:t>
      </w:r>
    </w:p>
    <w:p>
      <w:pPr>
        <w:pStyle w:val="26"/>
        <w:snapToGrid w:val="0"/>
        <w:spacing w:line="360" w:lineRule="auto"/>
        <w:ind w:firstLine="480" w:firstLineChars="200"/>
        <w:jc w:val="left"/>
        <w:rPr>
          <w:rFonts w:hint="default" w:hAnsi="宋体"/>
          <w:sz w:val="24"/>
        </w:rPr>
      </w:pPr>
      <w:r>
        <w:rPr>
          <w:rFonts w:hAnsi="宋体"/>
          <w:sz w:val="24"/>
        </w:rPr>
        <w:t>特此授权！本授权书自出具之日起生效。</w:t>
      </w:r>
    </w:p>
    <w:p>
      <w:pPr>
        <w:spacing w:line="360" w:lineRule="auto"/>
        <w:rPr>
          <w:rFonts w:ascii="宋体" w:hAnsi="宋体"/>
        </w:rPr>
      </w:pPr>
    </w:p>
    <w:p>
      <w:pPr>
        <w:spacing w:line="360" w:lineRule="auto"/>
        <w:rPr>
          <w:rFonts w:ascii="宋体" w:hAnsi="宋体"/>
        </w:rPr>
      </w:pPr>
      <w:r>
        <w:rPr>
          <w:rFonts w:hint="eastAsia" w:ascii="宋体" w:hAnsi="宋体"/>
        </w:rPr>
        <w:t>法定代表人</w:t>
      </w:r>
      <w:r>
        <w:rPr>
          <w:rFonts w:ascii="宋体" w:hAnsi="宋体"/>
        </w:rPr>
        <w:t>：</w:t>
      </w:r>
      <w:r>
        <w:rPr>
          <w:rFonts w:ascii="宋体" w:hAnsi="宋体"/>
          <w:u w:val="single"/>
        </w:rPr>
        <w:t xml:space="preserve">        </w:t>
      </w:r>
      <w:r>
        <w:rPr>
          <w:rFonts w:ascii="宋体" w:hAnsi="宋体"/>
        </w:rPr>
        <w:t xml:space="preserve"> 性别：</w:t>
      </w:r>
      <w:r>
        <w:rPr>
          <w:rFonts w:ascii="宋体" w:hAnsi="宋体"/>
          <w:u w:val="single"/>
        </w:rPr>
        <w:t xml:space="preserve">       </w:t>
      </w:r>
      <w:r>
        <w:rPr>
          <w:rFonts w:ascii="宋体" w:hAnsi="宋体"/>
        </w:rPr>
        <w:t>证</w:t>
      </w:r>
      <w:r>
        <w:rPr>
          <w:rFonts w:hint="eastAsia" w:ascii="宋体" w:hAnsi="宋体"/>
        </w:rPr>
        <w:t>件</w:t>
      </w:r>
      <w:r>
        <w:rPr>
          <w:rFonts w:ascii="宋体" w:hAnsi="宋体"/>
        </w:rPr>
        <w:t>号：</w:t>
      </w:r>
      <w:r>
        <w:rPr>
          <w:rFonts w:ascii="宋体" w:hAnsi="宋体"/>
          <w:u w:val="single"/>
        </w:rPr>
        <w:t xml:space="preserve">                  </w:t>
      </w:r>
    </w:p>
    <w:p>
      <w:pPr>
        <w:spacing w:line="360" w:lineRule="auto"/>
        <w:rPr>
          <w:rFonts w:ascii="宋体" w:hAnsi="宋体"/>
        </w:rPr>
      </w:pPr>
      <w:r>
        <w:rPr>
          <w:rFonts w:ascii="宋体" w:hAnsi="宋体"/>
        </w:rPr>
        <w:t>响应代表：</w:t>
      </w:r>
      <w:r>
        <w:rPr>
          <w:rFonts w:ascii="宋体" w:hAnsi="宋体"/>
          <w:u w:val="single"/>
        </w:rPr>
        <w:t xml:space="preserve">            </w:t>
      </w:r>
      <w:r>
        <w:rPr>
          <w:rFonts w:ascii="宋体" w:hAnsi="宋体"/>
        </w:rPr>
        <w:t xml:space="preserve">  性别：</w:t>
      </w:r>
      <w:r>
        <w:rPr>
          <w:rFonts w:ascii="宋体" w:hAnsi="宋体"/>
          <w:u w:val="single"/>
        </w:rPr>
        <w:t xml:space="preserve">       </w:t>
      </w:r>
      <w:r>
        <w:rPr>
          <w:rFonts w:ascii="宋体" w:hAnsi="宋体"/>
        </w:rPr>
        <w:t>证</w:t>
      </w:r>
      <w:r>
        <w:rPr>
          <w:rFonts w:hint="eastAsia" w:ascii="宋体" w:hAnsi="宋体"/>
        </w:rPr>
        <w:t>件</w:t>
      </w:r>
      <w:r>
        <w:rPr>
          <w:rFonts w:ascii="宋体" w:hAnsi="宋体"/>
        </w:rPr>
        <w:t>号：</w:t>
      </w:r>
      <w:r>
        <w:rPr>
          <w:rFonts w:ascii="宋体" w:hAnsi="宋体"/>
          <w:u w:val="single"/>
        </w:rPr>
        <w:t xml:space="preserve">                  </w:t>
      </w:r>
    </w:p>
    <w:p>
      <w:pPr>
        <w:spacing w:line="360" w:lineRule="auto"/>
        <w:rPr>
          <w:rFonts w:ascii="宋体" w:hAnsi="宋体"/>
        </w:rPr>
      </w:pPr>
      <w:r>
        <w:rPr>
          <w:rFonts w:ascii="宋体" w:hAnsi="宋体"/>
        </w:rPr>
        <w:t>单位：</w:t>
      </w:r>
      <w:r>
        <w:rPr>
          <w:rFonts w:ascii="宋体" w:hAnsi="宋体"/>
          <w:u w:val="single"/>
        </w:rPr>
        <w:t xml:space="preserve">                  </w:t>
      </w:r>
      <w:r>
        <w:rPr>
          <w:rFonts w:ascii="宋体" w:hAnsi="宋体"/>
        </w:rPr>
        <w:t xml:space="preserve">  部门：</w:t>
      </w:r>
      <w:r>
        <w:rPr>
          <w:rFonts w:ascii="宋体" w:hAnsi="宋体"/>
          <w:u w:val="single"/>
        </w:rPr>
        <w:t xml:space="preserve">       </w:t>
      </w:r>
      <w:r>
        <w:rPr>
          <w:rFonts w:ascii="宋体" w:hAnsi="宋体"/>
        </w:rPr>
        <w:t xml:space="preserve">    职务：</w:t>
      </w:r>
      <w:r>
        <w:rPr>
          <w:rFonts w:ascii="宋体" w:hAnsi="宋体"/>
          <w:u w:val="single"/>
        </w:rPr>
        <w:t xml:space="preserve">                  </w:t>
      </w:r>
    </w:p>
    <w:p>
      <w:pPr>
        <w:spacing w:line="360" w:lineRule="auto"/>
        <w:rPr>
          <w:rFonts w:ascii="宋体" w:hAnsi="宋体"/>
        </w:rPr>
      </w:pPr>
      <w:r>
        <w:rPr>
          <w:rFonts w:ascii="宋体" w:hAnsi="宋体"/>
        </w:rPr>
        <w:t>详细通讯地址：</w:t>
      </w:r>
      <w:r>
        <w:rPr>
          <w:rFonts w:ascii="宋体" w:hAnsi="宋体"/>
          <w:u w:val="single"/>
        </w:rPr>
        <w:t xml:space="preserve">          </w:t>
      </w:r>
      <w:r>
        <w:rPr>
          <w:rFonts w:ascii="宋体" w:hAnsi="宋体"/>
        </w:rPr>
        <w:t xml:space="preserve"> </w:t>
      </w:r>
      <w:r>
        <w:rPr>
          <w:rFonts w:ascii="宋体" w:hAnsi="宋体"/>
          <w:b/>
        </w:rPr>
        <w:t xml:space="preserve"> </w:t>
      </w:r>
      <w:r>
        <w:rPr>
          <w:rFonts w:ascii="宋体" w:hAnsi="宋体"/>
        </w:rPr>
        <w:t>邮政编码:</w:t>
      </w:r>
      <w:r>
        <w:rPr>
          <w:rFonts w:ascii="宋体" w:hAnsi="宋体"/>
          <w:u w:val="single"/>
        </w:rPr>
        <w:t xml:space="preserve">           </w:t>
      </w:r>
      <w:r>
        <w:rPr>
          <w:rFonts w:ascii="宋体" w:hAnsi="宋体"/>
        </w:rPr>
        <w:t xml:space="preserve"> 电话：</w:t>
      </w:r>
      <w:r>
        <w:rPr>
          <w:rFonts w:ascii="宋体" w:hAnsi="宋体"/>
          <w:u w:val="single"/>
        </w:rPr>
        <w:t xml:space="preserve">              </w:t>
      </w:r>
    </w:p>
    <w:p>
      <w:pPr>
        <w:spacing w:line="360" w:lineRule="auto"/>
        <w:rPr>
          <w:rFonts w:ascii="宋体" w:hAnsi="宋体"/>
        </w:rPr>
      </w:pPr>
    </w:p>
    <w:p>
      <w:pPr>
        <w:widowControl w:val="0"/>
        <w:tabs>
          <w:tab w:val="left" w:pos="420"/>
          <w:tab w:val="left" w:pos="1134"/>
        </w:tabs>
        <w:ind w:left="420"/>
        <w:jc w:val="both"/>
        <w:rPr>
          <w:rFonts w:ascii="宋体" w:hAnsi="宋体"/>
        </w:rPr>
      </w:pPr>
      <w:r>
        <w:rPr>
          <w:rFonts w:ascii="宋体" w:hAnsi="宋体"/>
        </w:rPr>
        <w:t>附：</w:t>
      </w:r>
      <w:r>
        <w:rPr>
          <w:rFonts w:hint="eastAsia" w:ascii="宋体" w:hAnsi="宋体"/>
        </w:rPr>
        <w:t>法定代表人</w:t>
      </w:r>
      <w:r>
        <w:rPr>
          <w:rFonts w:ascii="宋体" w:hAnsi="宋体"/>
        </w:rPr>
        <w:t>和被授权人(响应代表)</w:t>
      </w:r>
      <w:r>
        <w:rPr>
          <w:rFonts w:hint="eastAsia" w:ascii="宋体" w:hAnsi="宋体"/>
        </w:rPr>
        <w:t>有效</w:t>
      </w:r>
      <w:r>
        <w:rPr>
          <w:rFonts w:ascii="宋体" w:hAnsi="宋体"/>
        </w:rPr>
        <w:t>身份证</w:t>
      </w:r>
      <w:r>
        <w:rPr>
          <w:rFonts w:hint="eastAsia" w:ascii="宋体" w:hAnsi="宋体"/>
        </w:rPr>
        <w:t>明文</w:t>
      </w:r>
      <w:r>
        <w:rPr>
          <w:rFonts w:ascii="宋体" w:hAnsi="宋体"/>
        </w:rPr>
        <w:t>件复印件。</w:t>
      </w:r>
    </w:p>
    <w:tbl>
      <w:tblPr>
        <w:tblStyle w:val="46"/>
        <w:tblW w:w="86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3"/>
        <w:gridCol w:w="4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1" w:hRule="atLeast"/>
        </w:trPr>
        <w:tc>
          <w:tcPr>
            <w:tcW w:w="4203" w:type="dxa"/>
            <w:vAlign w:val="center"/>
          </w:tcPr>
          <w:p>
            <w:pPr>
              <w:spacing w:line="360" w:lineRule="auto"/>
              <w:jc w:val="center"/>
              <w:rPr>
                <w:rFonts w:ascii="宋体" w:hAnsi="宋体"/>
              </w:rPr>
            </w:pPr>
            <w:r>
              <w:rPr>
                <w:rFonts w:hint="eastAsia" w:ascii="宋体" w:hAnsi="宋体"/>
              </w:rPr>
              <w:t>法定代表人</w:t>
            </w:r>
            <w:r>
              <w:rPr>
                <w:rFonts w:ascii="宋体" w:hAnsi="宋体"/>
              </w:rPr>
              <w:t>身份证</w:t>
            </w:r>
            <w:r>
              <w:rPr>
                <w:rFonts w:hint="eastAsia" w:ascii="宋体" w:hAnsi="宋体"/>
              </w:rPr>
              <w:t>明文</w:t>
            </w:r>
            <w:r>
              <w:rPr>
                <w:rFonts w:ascii="宋体" w:hAnsi="宋体"/>
              </w:rPr>
              <w:t>件粘贴处</w:t>
            </w:r>
          </w:p>
        </w:tc>
        <w:tc>
          <w:tcPr>
            <w:tcW w:w="4416" w:type="dxa"/>
            <w:vAlign w:val="center"/>
          </w:tcPr>
          <w:p>
            <w:pPr>
              <w:spacing w:line="360" w:lineRule="auto"/>
              <w:jc w:val="center"/>
              <w:rPr>
                <w:rFonts w:ascii="宋体" w:hAnsi="宋体"/>
              </w:rPr>
            </w:pPr>
            <w:r>
              <w:rPr>
                <w:rFonts w:ascii="宋体" w:hAnsi="宋体"/>
              </w:rPr>
              <w:t xml:space="preserve">  被授权人(响应代表)身份证</w:t>
            </w:r>
            <w:r>
              <w:rPr>
                <w:rFonts w:hint="eastAsia" w:ascii="宋体" w:hAnsi="宋体"/>
              </w:rPr>
              <w:t>明文</w:t>
            </w:r>
            <w:r>
              <w:rPr>
                <w:rFonts w:ascii="宋体" w:hAnsi="宋体"/>
              </w:rPr>
              <w:t>件粘贴处</w:t>
            </w:r>
          </w:p>
        </w:tc>
      </w:tr>
    </w:tbl>
    <w:p>
      <w:pPr>
        <w:spacing w:line="360" w:lineRule="auto"/>
        <w:rPr>
          <w:rFonts w:ascii="宋体" w:hAnsi="宋体"/>
        </w:rPr>
      </w:pPr>
    </w:p>
    <w:p>
      <w:pPr>
        <w:spacing w:line="360" w:lineRule="auto"/>
        <w:rPr>
          <w:rFonts w:ascii="宋体" w:hAnsi="宋体"/>
        </w:rPr>
      </w:pPr>
      <w:r>
        <w:rPr>
          <w:rFonts w:ascii="宋体" w:hAnsi="宋体"/>
        </w:rPr>
        <w:t>供应商（全称并加盖公章）：</w:t>
      </w:r>
      <w:r>
        <w:rPr>
          <w:rFonts w:ascii="宋体" w:hAnsi="宋体"/>
          <w:u w:val="single"/>
        </w:rPr>
        <w:t xml:space="preserve">            </w:t>
      </w:r>
    </w:p>
    <w:p>
      <w:pPr>
        <w:spacing w:line="400" w:lineRule="exact"/>
        <w:rPr>
          <w:rFonts w:ascii="宋体" w:hAnsi="宋体"/>
        </w:rPr>
      </w:pPr>
      <w:r>
        <w:rPr>
          <w:rFonts w:hint="eastAsia" w:ascii="宋体" w:hAnsi="宋体"/>
        </w:rPr>
        <w:t>法定代表人</w:t>
      </w:r>
      <w:r>
        <w:rPr>
          <w:rFonts w:ascii="宋体" w:hAnsi="宋体"/>
        </w:rPr>
        <w:t>（签字）</w:t>
      </w:r>
      <w:r>
        <w:rPr>
          <w:rFonts w:ascii="宋体" w:hAnsi="宋体"/>
          <w:bCs/>
        </w:rPr>
        <w:t>：</w:t>
      </w:r>
      <w:r>
        <w:rPr>
          <w:rFonts w:ascii="宋体" w:hAnsi="宋体"/>
          <w:u w:val="single"/>
        </w:rPr>
        <w:t xml:space="preserve">                     </w:t>
      </w:r>
    </w:p>
    <w:p>
      <w:pPr>
        <w:spacing w:line="360" w:lineRule="auto"/>
        <w:rPr>
          <w:rFonts w:ascii="宋体" w:hAnsi="宋体"/>
          <w:u w:val="single"/>
        </w:rPr>
      </w:pPr>
      <w:r>
        <w:rPr>
          <w:rFonts w:ascii="宋体" w:hAnsi="宋体"/>
        </w:rPr>
        <w:t>日     期：</w:t>
      </w:r>
      <w:r>
        <w:rPr>
          <w:rFonts w:ascii="宋体" w:hAnsi="宋体"/>
          <w:u w:val="single"/>
        </w:rPr>
        <w:t xml:space="preserve">                   </w:t>
      </w:r>
    </w:p>
    <w:p>
      <w:pPr>
        <w:spacing w:line="360" w:lineRule="auto"/>
        <w:ind w:right="480"/>
        <w:rPr>
          <w:rFonts w:ascii="宋体" w:hAnsi="宋体"/>
          <w:b/>
          <w:color w:val="000000"/>
        </w:rPr>
      </w:pPr>
      <w:r>
        <w:rPr>
          <w:rFonts w:ascii="宋体" w:hAnsi="宋体"/>
          <w:color w:val="000000"/>
        </w:rPr>
        <w:br w:type="page"/>
      </w:r>
      <w:r>
        <w:rPr>
          <w:rFonts w:ascii="宋体" w:hAnsi="宋体"/>
          <w:b/>
          <w:color w:val="000000"/>
        </w:rPr>
        <w:t>附件1－</w:t>
      </w:r>
      <w:r>
        <w:rPr>
          <w:rFonts w:hint="eastAsia" w:ascii="宋体" w:hAnsi="宋体"/>
          <w:b/>
          <w:color w:val="000000"/>
        </w:rPr>
        <w:t>2</w:t>
      </w:r>
    </w:p>
    <w:p>
      <w:pPr>
        <w:spacing w:line="360" w:lineRule="auto"/>
        <w:ind w:right="480"/>
        <w:jc w:val="center"/>
        <w:rPr>
          <w:rFonts w:ascii="宋体" w:hAnsi="宋体"/>
          <w:b/>
          <w:color w:val="000000"/>
        </w:rPr>
      </w:pPr>
      <w:r>
        <w:rPr>
          <w:rFonts w:ascii="宋体" w:hAnsi="宋体"/>
          <w:b/>
          <w:color w:val="000000"/>
        </w:rPr>
        <w:t>法人营业执照、税务登记证</w:t>
      </w:r>
      <w:r>
        <w:rPr>
          <w:rFonts w:hint="eastAsia" w:ascii="宋体" w:hAnsi="宋体"/>
          <w:b/>
          <w:color w:val="000000"/>
        </w:rPr>
        <w:t>、组织机构代码证</w:t>
      </w:r>
    </w:p>
    <w:p>
      <w:pPr>
        <w:spacing w:line="360" w:lineRule="auto"/>
        <w:rPr>
          <w:rFonts w:ascii="宋体" w:hAnsi="宋体"/>
          <w:color w:val="000000"/>
        </w:rPr>
      </w:pPr>
    </w:p>
    <w:p>
      <w:pPr>
        <w:spacing w:line="360" w:lineRule="auto"/>
        <w:rPr>
          <w:rFonts w:ascii="宋体" w:hAnsi="宋体"/>
          <w:color w:val="000000"/>
        </w:rPr>
      </w:pPr>
      <w:r>
        <w:rPr>
          <w:rFonts w:ascii="宋体" w:hAnsi="宋体"/>
          <w:color w:val="000000"/>
        </w:rPr>
        <w:t>致：</w:t>
      </w:r>
      <w:r>
        <w:rPr>
          <w:rFonts w:hint="eastAsia" w:ascii="宋体" w:hAnsi="宋体"/>
          <w:color w:val="000000"/>
          <w:u w:val="single"/>
        </w:rPr>
        <w:t xml:space="preserve">                </w:t>
      </w:r>
      <w:r>
        <w:rPr>
          <w:rFonts w:ascii="宋体" w:hAnsi="宋体"/>
          <w:color w:val="000000"/>
          <w:u w:val="single"/>
        </w:rPr>
        <w:t xml:space="preserve"> （采购代理机构）</w:t>
      </w:r>
    </w:p>
    <w:p>
      <w:pPr>
        <w:spacing w:line="360" w:lineRule="auto"/>
        <w:ind w:firstLine="480" w:firstLineChars="200"/>
        <w:rPr>
          <w:rFonts w:ascii="宋体" w:hAnsi="宋体"/>
          <w:color w:val="000000"/>
        </w:rPr>
      </w:pPr>
      <w:r>
        <w:rPr>
          <w:rFonts w:ascii="宋体" w:hAnsi="宋体"/>
          <w:color w:val="000000"/>
        </w:rPr>
        <w:t>现附上由</w:t>
      </w:r>
      <w:r>
        <w:rPr>
          <w:rFonts w:ascii="宋体" w:hAnsi="宋体"/>
          <w:color w:val="000000"/>
          <w:u w:val="single"/>
        </w:rPr>
        <w:t xml:space="preserve">                         </w:t>
      </w:r>
      <w:r>
        <w:rPr>
          <w:rFonts w:ascii="宋体" w:hAnsi="宋体"/>
          <w:color w:val="000000"/>
        </w:rPr>
        <w:t>（签发机关名称）签发的我方法人营业执照副本复印件，该执照真实有效。</w:t>
      </w:r>
    </w:p>
    <w:p>
      <w:pPr>
        <w:spacing w:line="360" w:lineRule="auto"/>
        <w:ind w:firstLine="480" w:firstLineChars="200"/>
        <w:rPr>
          <w:rFonts w:ascii="宋体" w:hAnsi="宋体"/>
          <w:color w:val="000000"/>
        </w:rPr>
      </w:pPr>
      <w:r>
        <w:rPr>
          <w:rFonts w:ascii="宋体" w:hAnsi="宋体"/>
          <w:color w:val="000000"/>
        </w:rPr>
        <w:t>现附上由</w:t>
      </w:r>
      <w:r>
        <w:rPr>
          <w:rFonts w:ascii="宋体" w:hAnsi="宋体"/>
          <w:color w:val="000000"/>
          <w:u w:val="single"/>
        </w:rPr>
        <w:t xml:space="preserve">                         </w:t>
      </w:r>
      <w:r>
        <w:rPr>
          <w:rFonts w:ascii="宋体" w:hAnsi="宋体"/>
          <w:color w:val="000000"/>
        </w:rPr>
        <w:t>（签发机关名称）签发的我方税务登记证副本复印件，该证件真实有效。</w:t>
      </w:r>
    </w:p>
    <w:p>
      <w:pPr>
        <w:spacing w:line="360" w:lineRule="auto"/>
        <w:ind w:firstLine="480" w:firstLineChars="200"/>
        <w:rPr>
          <w:rFonts w:ascii="宋体" w:hAnsi="宋体"/>
          <w:color w:val="000000"/>
        </w:rPr>
      </w:pPr>
      <w:r>
        <w:rPr>
          <w:rFonts w:ascii="宋体" w:hAnsi="宋体"/>
          <w:color w:val="000000"/>
        </w:rPr>
        <w:t>现附上由</w:t>
      </w:r>
      <w:r>
        <w:rPr>
          <w:rFonts w:ascii="宋体" w:hAnsi="宋体"/>
          <w:color w:val="000000"/>
          <w:u w:val="single"/>
        </w:rPr>
        <w:t xml:space="preserve">                         </w:t>
      </w:r>
      <w:r>
        <w:rPr>
          <w:rFonts w:ascii="宋体" w:hAnsi="宋体"/>
          <w:color w:val="000000"/>
        </w:rPr>
        <w:t>（签发机关名称）签发的我方组织代码证复印件，该证件真实有效。</w:t>
      </w:r>
    </w:p>
    <w:p>
      <w:pPr>
        <w:spacing w:line="360" w:lineRule="auto"/>
        <w:ind w:firstLine="480" w:firstLineChars="200"/>
        <w:rPr>
          <w:rFonts w:ascii="宋体" w:hAnsi="宋体"/>
          <w:color w:val="000000"/>
        </w:rPr>
      </w:pPr>
    </w:p>
    <w:p>
      <w:pPr>
        <w:spacing w:line="360" w:lineRule="auto"/>
        <w:rPr>
          <w:rFonts w:ascii="宋体" w:hAnsi="宋体"/>
          <w:color w:val="000000"/>
        </w:rPr>
      </w:pPr>
    </w:p>
    <w:p>
      <w:pPr>
        <w:pStyle w:val="2"/>
        <w:spacing w:line="360" w:lineRule="auto"/>
        <w:ind w:firstLine="480" w:firstLineChars="200"/>
        <w:rPr>
          <w:rFonts w:ascii="宋体" w:hAnsi="宋体"/>
          <w:color w:val="000000"/>
        </w:rPr>
      </w:pPr>
      <w:r>
        <w:rPr>
          <w:rFonts w:ascii="宋体" w:hAnsi="宋体"/>
          <w:color w:val="000000"/>
        </w:rPr>
        <w:t>（注：</w:t>
      </w:r>
      <w:r>
        <w:rPr>
          <w:rFonts w:hint="eastAsia" w:ascii="宋体" w:hAnsi="宋体"/>
          <w:color w:val="000000"/>
        </w:rPr>
        <w:t>1、</w:t>
      </w:r>
      <w:r>
        <w:rPr>
          <w:rFonts w:ascii="宋体" w:hAnsi="宋体"/>
          <w:color w:val="000000"/>
        </w:rPr>
        <w:t>法人营业执照、税务登记证、组织代码证等相关证明文件提供复印件，由企业加盖公章并注明复印件与原件一致</w:t>
      </w:r>
      <w:r>
        <w:rPr>
          <w:rFonts w:hint="eastAsia" w:ascii="宋体" w:hAnsi="宋体"/>
          <w:color w:val="000000"/>
        </w:rPr>
        <w:t>；2、已办理三证合一的供应商只需要提供营业执照副本复印件。</w:t>
      </w:r>
      <w:r>
        <w:rPr>
          <w:rFonts w:ascii="宋体" w:hAnsi="宋体"/>
          <w:color w:val="000000"/>
        </w:rPr>
        <w:t>）</w:t>
      </w:r>
    </w:p>
    <w:p>
      <w:pPr>
        <w:spacing w:line="360" w:lineRule="auto"/>
        <w:rPr>
          <w:rFonts w:ascii="宋体" w:hAnsi="宋体"/>
          <w:color w:val="000000"/>
        </w:rPr>
      </w:pPr>
    </w:p>
    <w:p>
      <w:pPr>
        <w:spacing w:line="360" w:lineRule="auto"/>
        <w:rPr>
          <w:rFonts w:ascii="宋体" w:hAnsi="宋体"/>
          <w:color w:val="000000"/>
        </w:rPr>
      </w:pPr>
      <w:r>
        <w:rPr>
          <w:rFonts w:hint="eastAsia" w:ascii="宋体" w:hAnsi="宋体"/>
          <w:color w:val="000000"/>
        </w:rPr>
        <w:t>供应商</w:t>
      </w:r>
      <w:r>
        <w:rPr>
          <w:rFonts w:ascii="宋体" w:hAnsi="宋体"/>
          <w:color w:val="000000"/>
        </w:rPr>
        <w:t>（全称并加盖公章）：</w:t>
      </w:r>
      <w:r>
        <w:rPr>
          <w:rFonts w:ascii="宋体" w:hAnsi="宋体"/>
          <w:color w:val="000000"/>
          <w:u w:val="single"/>
        </w:rPr>
        <w:t xml:space="preserve">                 </w:t>
      </w:r>
    </w:p>
    <w:p>
      <w:pPr>
        <w:spacing w:line="400" w:lineRule="exact"/>
        <w:rPr>
          <w:rFonts w:ascii="宋体" w:hAnsi="宋体"/>
          <w:color w:val="000000"/>
        </w:rPr>
      </w:pPr>
      <w:r>
        <w:rPr>
          <w:rFonts w:hint="eastAsia" w:ascii="宋体" w:hAnsi="宋体"/>
          <w:color w:val="000000"/>
        </w:rPr>
        <w:t>法定代表人</w:t>
      </w:r>
      <w:r>
        <w:rPr>
          <w:rFonts w:ascii="宋体" w:hAnsi="宋体"/>
          <w:color w:val="000000"/>
        </w:rPr>
        <w:t>或委托代理人（签字）</w:t>
      </w:r>
      <w:r>
        <w:rPr>
          <w:rFonts w:ascii="宋体" w:hAnsi="宋体"/>
          <w:bCs/>
          <w:color w:val="000000"/>
        </w:rPr>
        <w:t>：</w:t>
      </w:r>
      <w:r>
        <w:rPr>
          <w:rFonts w:ascii="宋体" w:hAnsi="宋体"/>
          <w:color w:val="000000"/>
          <w:u w:val="single"/>
        </w:rPr>
        <w:t xml:space="preserve">  </w:t>
      </w:r>
      <w:r>
        <w:rPr>
          <w:rFonts w:hint="eastAsia" w:ascii="宋体" w:hAnsi="宋体"/>
          <w:color w:val="000000"/>
          <w:u w:val="single"/>
        </w:rPr>
        <w:t xml:space="preserve">           </w:t>
      </w:r>
      <w:r>
        <w:rPr>
          <w:rFonts w:ascii="宋体" w:hAnsi="宋体"/>
          <w:color w:val="000000"/>
          <w:u w:val="single"/>
        </w:rPr>
        <w:t xml:space="preserve"> </w:t>
      </w:r>
    </w:p>
    <w:p>
      <w:pPr>
        <w:spacing w:line="360" w:lineRule="auto"/>
        <w:rPr>
          <w:rFonts w:ascii="宋体" w:hAnsi="宋体"/>
          <w:color w:val="000000"/>
          <w:u w:val="single"/>
        </w:rPr>
      </w:pPr>
      <w:r>
        <w:rPr>
          <w:rFonts w:ascii="宋体" w:hAnsi="宋体"/>
          <w:color w:val="000000"/>
        </w:rPr>
        <w:t>日      期：</w:t>
      </w:r>
      <w:r>
        <w:rPr>
          <w:rFonts w:ascii="宋体" w:hAnsi="宋体"/>
          <w:color w:val="000000"/>
          <w:u w:val="single"/>
        </w:rPr>
        <w:t xml:space="preserve">                                </w:t>
      </w:r>
    </w:p>
    <w:p>
      <w:pPr>
        <w:spacing w:line="360" w:lineRule="auto"/>
        <w:rPr>
          <w:rFonts w:ascii="宋体" w:hAnsi="宋体"/>
          <w:color w:val="000000"/>
          <w:u w:val="single"/>
        </w:rPr>
      </w:pPr>
    </w:p>
    <w:p>
      <w:pPr>
        <w:spacing w:line="360" w:lineRule="auto"/>
        <w:rPr>
          <w:rFonts w:ascii="宋体" w:hAnsi="宋体"/>
          <w:color w:val="000000"/>
          <w:u w:val="single"/>
        </w:rPr>
      </w:pPr>
    </w:p>
    <w:p>
      <w:pPr>
        <w:spacing w:line="360" w:lineRule="auto"/>
        <w:rPr>
          <w:rFonts w:ascii="宋体" w:hAnsi="宋体"/>
          <w:color w:val="000000"/>
          <w:u w:val="single"/>
        </w:rPr>
      </w:pPr>
    </w:p>
    <w:p>
      <w:pPr>
        <w:spacing w:line="360" w:lineRule="auto"/>
        <w:rPr>
          <w:rFonts w:ascii="宋体" w:hAnsi="宋体"/>
          <w:color w:val="000000"/>
          <w:u w:val="single"/>
        </w:rPr>
      </w:pPr>
    </w:p>
    <w:p>
      <w:pPr>
        <w:spacing w:line="360" w:lineRule="auto"/>
        <w:rPr>
          <w:rFonts w:ascii="宋体" w:hAnsi="宋体"/>
          <w:color w:val="000000"/>
          <w:u w:val="single"/>
        </w:rPr>
      </w:pPr>
    </w:p>
    <w:p>
      <w:pPr>
        <w:spacing w:line="360" w:lineRule="auto"/>
        <w:ind w:right="480"/>
        <w:rPr>
          <w:rFonts w:ascii="宋体" w:hAnsi="宋体"/>
          <w:color w:val="000000"/>
        </w:rPr>
      </w:pPr>
      <w:r>
        <w:rPr>
          <w:rFonts w:ascii="宋体" w:hAnsi="宋体"/>
          <w:b/>
          <w:color w:val="000000"/>
        </w:rPr>
        <w:br w:type="page"/>
      </w:r>
      <w:r>
        <w:rPr>
          <w:rFonts w:hint="eastAsia" w:ascii="宋体" w:hAnsi="宋体"/>
          <w:b/>
          <w:color w:val="000000"/>
        </w:rPr>
        <w:t>附件1-3</w:t>
      </w:r>
    </w:p>
    <w:p>
      <w:pPr>
        <w:spacing w:line="360" w:lineRule="auto"/>
        <w:jc w:val="center"/>
        <w:rPr>
          <w:rFonts w:ascii="宋体" w:hAnsi="宋体"/>
          <w:bCs/>
          <w:color w:val="000000"/>
          <w:szCs w:val="28"/>
        </w:rPr>
      </w:pPr>
      <w:r>
        <w:rPr>
          <w:rFonts w:hint="eastAsia" w:ascii="宋体" w:hAnsi="宋体"/>
          <w:b/>
          <w:color w:val="000000"/>
        </w:rPr>
        <w:t>供应商符合《政府采购法》第二十二条规定条件的承诺函</w:t>
      </w:r>
    </w:p>
    <w:p>
      <w:pPr>
        <w:rPr>
          <w:rFonts w:ascii="宋体" w:hAnsi="宋体"/>
          <w:color w:val="000000"/>
        </w:rPr>
      </w:pPr>
    </w:p>
    <w:p>
      <w:pPr>
        <w:rPr>
          <w:rFonts w:ascii="宋体" w:hAnsi="宋体"/>
          <w:color w:val="000000"/>
        </w:rPr>
      </w:pPr>
    </w:p>
    <w:p>
      <w:pPr>
        <w:pStyle w:val="22"/>
        <w:spacing w:line="400" w:lineRule="exact"/>
        <w:ind w:firstLine="432"/>
        <w:rPr>
          <w:rFonts w:hAnsi="宋体"/>
          <w:color w:val="000000"/>
          <w:sz w:val="24"/>
          <w:u w:val="single"/>
        </w:rPr>
      </w:pPr>
      <w:r>
        <w:rPr>
          <w:rFonts w:hint="eastAsia" w:hAnsi="宋体"/>
          <w:color w:val="000000"/>
          <w:sz w:val="24"/>
        </w:rPr>
        <w:t>致</w:t>
      </w:r>
      <w:r>
        <w:rPr>
          <w:rFonts w:hint="eastAsia" w:hAnsi="宋体"/>
          <w:color w:val="000000"/>
          <w:u w:val="single"/>
        </w:rPr>
        <w:t xml:space="preserve">               </w:t>
      </w:r>
      <w:r>
        <w:rPr>
          <w:rFonts w:hint="eastAsia" w:hAnsi="宋体"/>
          <w:color w:val="000000"/>
          <w:sz w:val="24"/>
          <w:u w:val="single"/>
        </w:rPr>
        <w:t xml:space="preserve"> </w:t>
      </w:r>
      <w:r>
        <w:rPr>
          <w:rFonts w:hAnsi="宋体"/>
          <w:color w:val="000000"/>
          <w:sz w:val="24"/>
          <w:u w:val="single"/>
        </w:rPr>
        <w:t xml:space="preserve"> （采购代理机构）</w:t>
      </w:r>
      <w:r>
        <w:rPr>
          <w:rFonts w:hint="eastAsia" w:hAnsi="宋体"/>
          <w:color w:val="000000"/>
          <w:sz w:val="24"/>
          <w:u w:val="single"/>
        </w:rPr>
        <w:t xml:space="preserve">： </w:t>
      </w:r>
    </w:p>
    <w:p>
      <w:pPr>
        <w:pStyle w:val="22"/>
        <w:spacing w:line="400" w:lineRule="exact"/>
        <w:ind w:firstLineChars="225"/>
        <w:rPr>
          <w:rFonts w:hAnsi="宋体"/>
          <w:color w:val="000000"/>
          <w:sz w:val="24"/>
        </w:rPr>
      </w:pPr>
      <w:r>
        <w:rPr>
          <w:rFonts w:hint="eastAsia" w:hAnsi="宋体"/>
          <w:color w:val="000000"/>
          <w:sz w:val="24"/>
        </w:rPr>
        <w:t>本公司</w:t>
      </w:r>
      <w:r>
        <w:rPr>
          <w:rFonts w:hint="eastAsia" w:hAnsi="宋体"/>
          <w:color w:val="000000"/>
          <w:sz w:val="24"/>
          <w:u w:val="single"/>
        </w:rPr>
        <w:t xml:space="preserve">                   （公司名称）</w:t>
      </w:r>
      <w:r>
        <w:rPr>
          <w:rFonts w:hint="eastAsia" w:hAnsi="宋体"/>
          <w:color w:val="000000"/>
          <w:sz w:val="24"/>
        </w:rPr>
        <w:t>参加</w:t>
      </w:r>
      <w:r>
        <w:rPr>
          <w:rFonts w:hint="eastAsia" w:hAnsi="宋体"/>
          <w:color w:val="000000"/>
          <w:sz w:val="24"/>
          <w:u w:val="single"/>
        </w:rPr>
        <w:t xml:space="preserve">                 （项目名称）</w:t>
      </w:r>
      <w:r>
        <w:rPr>
          <w:rFonts w:hint="eastAsia" w:hAnsi="宋体"/>
          <w:color w:val="000000"/>
          <w:sz w:val="24"/>
        </w:rPr>
        <w:t>的磋商活动，现承诺：</w:t>
      </w:r>
    </w:p>
    <w:p>
      <w:pPr>
        <w:pStyle w:val="22"/>
        <w:spacing w:line="400" w:lineRule="exact"/>
        <w:ind w:firstLineChars="225"/>
        <w:rPr>
          <w:rFonts w:hAnsi="宋体"/>
          <w:color w:val="000000"/>
          <w:sz w:val="24"/>
        </w:rPr>
      </w:pPr>
      <w:r>
        <w:rPr>
          <w:rFonts w:hint="eastAsia" w:hAnsi="宋体"/>
          <w:color w:val="000000"/>
          <w:sz w:val="24"/>
        </w:rPr>
        <w:t>我公司满足政府采购法第二十二条关于供应商的资格要求：</w:t>
      </w:r>
    </w:p>
    <w:p>
      <w:pPr>
        <w:pStyle w:val="22"/>
        <w:spacing w:line="400" w:lineRule="exact"/>
        <w:ind w:firstLine="432"/>
        <w:rPr>
          <w:rFonts w:hAnsi="宋体"/>
          <w:color w:val="000000"/>
          <w:sz w:val="24"/>
        </w:rPr>
      </w:pPr>
      <w:r>
        <w:rPr>
          <w:rFonts w:hint="eastAsia" w:hAnsi="宋体"/>
          <w:color w:val="000000"/>
          <w:sz w:val="24"/>
        </w:rPr>
        <w:t xml:space="preserve">（一）具有独立承担民事责任的能力； </w:t>
      </w:r>
    </w:p>
    <w:p>
      <w:pPr>
        <w:pStyle w:val="22"/>
        <w:spacing w:line="400" w:lineRule="exact"/>
        <w:ind w:firstLine="432"/>
        <w:rPr>
          <w:rFonts w:hAnsi="宋体"/>
          <w:color w:val="000000"/>
          <w:sz w:val="24"/>
        </w:rPr>
      </w:pPr>
      <w:r>
        <w:rPr>
          <w:rFonts w:hint="eastAsia" w:hAnsi="宋体"/>
          <w:color w:val="000000"/>
          <w:sz w:val="24"/>
        </w:rPr>
        <w:t xml:space="preserve">（二）具有良好的商业信誉和健全的财务会计制度； </w:t>
      </w:r>
    </w:p>
    <w:p>
      <w:pPr>
        <w:pStyle w:val="22"/>
        <w:spacing w:line="400" w:lineRule="exact"/>
        <w:ind w:firstLine="432"/>
        <w:rPr>
          <w:rFonts w:hAnsi="宋体"/>
          <w:color w:val="000000"/>
          <w:sz w:val="24"/>
        </w:rPr>
      </w:pPr>
      <w:r>
        <w:rPr>
          <w:rFonts w:hint="eastAsia" w:hAnsi="宋体"/>
          <w:color w:val="000000"/>
          <w:sz w:val="24"/>
        </w:rPr>
        <w:t xml:space="preserve">（三）具有履行合同所必需的设备和专业技术能力； </w:t>
      </w:r>
    </w:p>
    <w:p>
      <w:pPr>
        <w:pStyle w:val="22"/>
        <w:spacing w:line="400" w:lineRule="exact"/>
        <w:ind w:firstLine="432"/>
        <w:rPr>
          <w:rFonts w:hAnsi="宋体"/>
          <w:color w:val="000000"/>
          <w:sz w:val="24"/>
        </w:rPr>
      </w:pPr>
      <w:r>
        <w:rPr>
          <w:rFonts w:hint="eastAsia" w:hAnsi="宋体"/>
          <w:color w:val="000000"/>
          <w:sz w:val="24"/>
        </w:rPr>
        <w:t xml:space="preserve">（四）有依法缴纳税收和社会保障资金的良好记录； </w:t>
      </w:r>
    </w:p>
    <w:p>
      <w:pPr>
        <w:pStyle w:val="22"/>
        <w:spacing w:line="400" w:lineRule="exact"/>
        <w:ind w:firstLine="432"/>
        <w:rPr>
          <w:rFonts w:hAnsi="宋体"/>
          <w:color w:val="000000"/>
          <w:sz w:val="24"/>
        </w:rPr>
      </w:pPr>
      <w:r>
        <w:rPr>
          <w:rFonts w:hint="eastAsia" w:hAnsi="宋体"/>
          <w:color w:val="000000"/>
          <w:sz w:val="24"/>
        </w:rPr>
        <w:t>（五）参加政府采购活动前三年内，在经营活动中没有重大违法记录；</w:t>
      </w:r>
    </w:p>
    <w:p>
      <w:pPr>
        <w:pStyle w:val="22"/>
        <w:spacing w:line="400" w:lineRule="exact"/>
        <w:ind w:firstLine="432"/>
        <w:rPr>
          <w:rFonts w:hAnsi="宋体"/>
          <w:color w:val="000000"/>
          <w:sz w:val="24"/>
        </w:rPr>
      </w:pPr>
      <w:r>
        <w:rPr>
          <w:rFonts w:hint="eastAsia" w:hAnsi="宋体"/>
          <w:color w:val="000000"/>
          <w:sz w:val="24"/>
        </w:rPr>
        <w:t>（六</w:t>
      </w:r>
      <w:r>
        <w:rPr>
          <w:rFonts w:hAnsi="宋体"/>
          <w:color w:val="000000"/>
          <w:sz w:val="24"/>
        </w:rPr>
        <w:t>）</w:t>
      </w:r>
      <w:r>
        <w:rPr>
          <w:rFonts w:hint="eastAsia" w:hAnsi="宋体"/>
          <w:color w:val="000000"/>
          <w:sz w:val="24"/>
        </w:rPr>
        <w:t>具备法律、行政法规规定的其他条件。</w:t>
      </w:r>
    </w:p>
    <w:p>
      <w:pPr>
        <w:pStyle w:val="22"/>
        <w:spacing w:line="400" w:lineRule="exact"/>
        <w:ind w:firstLineChars="225"/>
        <w:rPr>
          <w:rFonts w:hAnsi="宋体"/>
          <w:color w:val="000000"/>
          <w:sz w:val="24"/>
        </w:rPr>
      </w:pPr>
      <w:r>
        <w:rPr>
          <w:rFonts w:hint="eastAsia" w:hAnsi="宋体"/>
          <w:color w:val="000000"/>
          <w:sz w:val="24"/>
        </w:rPr>
        <w:t>同时也满足本项目法律法规规章规定关于供应商的其他资格性条件，未参与本采购项目前期咨询论证，不属于禁止参加磋商的供应商。</w:t>
      </w:r>
    </w:p>
    <w:p>
      <w:pPr>
        <w:pStyle w:val="22"/>
        <w:spacing w:line="400" w:lineRule="exact"/>
        <w:ind w:firstLineChars="225"/>
        <w:rPr>
          <w:rFonts w:hAnsi="宋体"/>
          <w:color w:val="000000"/>
          <w:sz w:val="24"/>
        </w:rPr>
      </w:pPr>
      <w:r>
        <w:rPr>
          <w:rFonts w:hint="eastAsia" w:hAnsi="宋体"/>
          <w:color w:val="000000"/>
          <w:sz w:val="24"/>
        </w:rPr>
        <w:t>如违反以上承诺，本公司愿承担一切法律责任。</w:t>
      </w:r>
    </w:p>
    <w:p>
      <w:pPr>
        <w:pStyle w:val="22"/>
        <w:spacing w:line="400" w:lineRule="exact"/>
        <w:ind w:firstLine="432"/>
        <w:rPr>
          <w:rFonts w:hAnsi="宋体"/>
          <w:color w:val="000000"/>
          <w:sz w:val="24"/>
        </w:rPr>
      </w:pPr>
    </w:p>
    <w:p>
      <w:pPr>
        <w:pStyle w:val="22"/>
        <w:spacing w:line="400" w:lineRule="exact"/>
        <w:ind w:firstLine="432"/>
        <w:rPr>
          <w:rFonts w:hAnsi="宋体"/>
          <w:color w:val="000000"/>
          <w:sz w:val="24"/>
        </w:rPr>
      </w:pPr>
    </w:p>
    <w:p>
      <w:pPr>
        <w:spacing w:line="360" w:lineRule="auto"/>
        <w:rPr>
          <w:rFonts w:ascii="宋体" w:hAnsi="宋体"/>
          <w:color w:val="000000"/>
        </w:rPr>
      </w:pPr>
      <w:r>
        <w:rPr>
          <w:rFonts w:hint="eastAsia" w:ascii="宋体" w:hAnsi="宋体"/>
          <w:color w:val="000000"/>
        </w:rPr>
        <w:t>供应商</w:t>
      </w:r>
      <w:r>
        <w:rPr>
          <w:rFonts w:ascii="宋体" w:hAnsi="宋体"/>
          <w:color w:val="000000"/>
        </w:rPr>
        <w:t>（全称并加盖公章）：</w:t>
      </w:r>
      <w:r>
        <w:rPr>
          <w:rFonts w:ascii="宋体" w:hAnsi="宋体"/>
          <w:color w:val="000000"/>
          <w:u w:val="single"/>
        </w:rPr>
        <w:t xml:space="preserve">                 </w:t>
      </w:r>
    </w:p>
    <w:p>
      <w:pPr>
        <w:spacing w:line="400" w:lineRule="exact"/>
        <w:rPr>
          <w:rFonts w:ascii="宋体" w:hAnsi="宋体"/>
          <w:color w:val="000000"/>
        </w:rPr>
      </w:pPr>
      <w:r>
        <w:rPr>
          <w:rFonts w:hint="eastAsia" w:ascii="宋体" w:hAnsi="宋体"/>
          <w:color w:val="000000"/>
        </w:rPr>
        <w:t>法定代表人</w:t>
      </w:r>
      <w:r>
        <w:rPr>
          <w:rFonts w:ascii="宋体" w:hAnsi="宋体"/>
          <w:color w:val="000000"/>
        </w:rPr>
        <w:t>或委托代理人（签字）</w:t>
      </w:r>
      <w:r>
        <w:rPr>
          <w:rFonts w:ascii="宋体" w:hAnsi="宋体"/>
          <w:bCs/>
          <w:color w:val="000000"/>
        </w:rPr>
        <w:t>：</w:t>
      </w:r>
      <w:r>
        <w:rPr>
          <w:rFonts w:ascii="宋体" w:hAnsi="宋体"/>
          <w:color w:val="000000"/>
          <w:u w:val="single"/>
        </w:rPr>
        <w:t xml:space="preserve">  </w:t>
      </w:r>
      <w:r>
        <w:rPr>
          <w:rFonts w:hint="eastAsia" w:ascii="宋体" w:hAnsi="宋体"/>
          <w:color w:val="000000"/>
          <w:u w:val="single"/>
        </w:rPr>
        <w:t xml:space="preserve">     </w:t>
      </w:r>
      <w:r>
        <w:rPr>
          <w:rFonts w:ascii="宋体" w:hAnsi="宋体"/>
          <w:color w:val="000000"/>
          <w:u w:val="single"/>
        </w:rPr>
        <w:t xml:space="preserve"> </w:t>
      </w:r>
    </w:p>
    <w:p>
      <w:pPr>
        <w:spacing w:line="360" w:lineRule="auto"/>
        <w:rPr>
          <w:rFonts w:ascii="宋体" w:hAnsi="宋体"/>
          <w:color w:val="000000"/>
          <w:u w:val="single"/>
        </w:rPr>
      </w:pPr>
      <w:r>
        <w:rPr>
          <w:rFonts w:ascii="宋体" w:hAnsi="宋体"/>
          <w:color w:val="000000"/>
        </w:rPr>
        <w:t>日      期：</w:t>
      </w:r>
      <w:r>
        <w:rPr>
          <w:rFonts w:ascii="宋体" w:hAnsi="宋体"/>
          <w:color w:val="000000"/>
          <w:u w:val="single"/>
        </w:rPr>
        <w:t xml:space="preserve">                                </w:t>
      </w:r>
    </w:p>
    <w:p>
      <w:pPr>
        <w:rPr>
          <w:rFonts w:ascii="宋体" w:hAnsi="宋体"/>
          <w:color w:val="000000"/>
        </w:rPr>
      </w:pPr>
    </w:p>
    <w:p>
      <w:pPr>
        <w:rPr>
          <w:rFonts w:ascii="宋体" w:hAnsi="宋体"/>
          <w:color w:val="000000"/>
        </w:rPr>
      </w:pPr>
    </w:p>
    <w:p>
      <w:pPr>
        <w:rPr>
          <w:rFonts w:ascii="宋体" w:hAnsi="宋体"/>
          <w:color w:val="000000"/>
        </w:rPr>
        <w:sectPr>
          <w:type w:val="continuous"/>
          <w:pgSz w:w="11906" w:h="16838"/>
          <w:pgMar w:top="1440" w:right="1800" w:bottom="1440" w:left="1800" w:header="851" w:footer="992" w:gutter="0"/>
          <w:cols w:space="720" w:num="1"/>
          <w:docGrid w:type="lines" w:linePitch="326" w:charSpace="0"/>
        </w:sectPr>
      </w:pPr>
      <w:r>
        <w:rPr>
          <w:rFonts w:hint="eastAsia" w:ascii="宋体" w:hAnsi="宋体"/>
          <w:bCs/>
          <w:color w:val="000000"/>
        </w:rPr>
        <w:t>注：本承诺函可自行提供具有有效签字或盖章的格式</w:t>
      </w:r>
    </w:p>
    <w:p>
      <w:pPr>
        <w:spacing w:line="360" w:lineRule="auto"/>
        <w:rPr>
          <w:rFonts w:hAnsi="宋体"/>
          <w:b/>
          <w:color w:val="000000"/>
        </w:rPr>
      </w:pPr>
      <w:r>
        <w:rPr>
          <w:rFonts w:hint="eastAsia" w:hAnsi="宋体"/>
          <w:b/>
          <w:color w:val="000000"/>
        </w:rPr>
        <w:t>附件1-4</w:t>
      </w:r>
    </w:p>
    <w:p>
      <w:pPr>
        <w:spacing w:line="360" w:lineRule="auto"/>
        <w:rPr>
          <w:rFonts w:ascii="宋体" w:hAnsi="宋体"/>
          <w:b/>
          <w:color w:val="000000"/>
        </w:rPr>
      </w:pPr>
    </w:p>
    <w:p>
      <w:pPr>
        <w:spacing w:line="360" w:lineRule="auto"/>
        <w:jc w:val="center"/>
        <w:rPr>
          <w:rFonts w:ascii="宋体" w:hAnsi="宋体"/>
          <w:color w:val="000000"/>
        </w:rPr>
      </w:pPr>
      <w:r>
        <w:rPr>
          <w:rFonts w:ascii="宋体" w:hAnsi="宋体"/>
          <w:color w:val="000000"/>
        </w:rPr>
        <w:t>磋商文件要求提供的其他证明文件。</w:t>
      </w:r>
    </w:p>
    <w:p>
      <w:pPr>
        <w:spacing w:line="360" w:lineRule="auto"/>
        <w:jc w:val="center"/>
        <w:rPr>
          <w:sz w:val="21"/>
          <w:szCs w:val="21"/>
          <w:lang w:val="zh-CN"/>
        </w:rPr>
      </w:pPr>
    </w:p>
    <w:p>
      <w:pPr>
        <w:spacing w:line="360" w:lineRule="auto"/>
        <w:jc w:val="center"/>
        <w:rPr>
          <w:sz w:val="21"/>
          <w:szCs w:val="21"/>
          <w:lang w:val="zh-CN"/>
        </w:rPr>
      </w:pPr>
    </w:p>
    <w:p>
      <w:pPr>
        <w:spacing w:line="360" w:lineRule="auto"/>
        <w:jc w:val="center"/>
        <w:rPr>
          <w:sz w:val="21"/>
          <w:szCs w:val="21"/>
          <w:lang w:val="zh-CN"/>
        </w:rPr>
      </w:pPr>
    </w:p>
    <w:p>
      <w:pPr>
        <w:spacing w:line="360" w:lineRule="auto"/>
        <w:jc w:val="center"/>
        <w:rPr>
          <w:sz w:val="21"/>
          <w:szCs w:val="21"/>
          <w:lang w:val="zh-CN"/>
        </w:rPr>
      </w:pPr>
    </w:p>
    <w:p>
      <w:pPr>
        <w:spacing w:line="360" w:lineRule="auto"/>
        <w:jc w:val="center"/>
        <w:rPr>
          <w:sz w:val="21"/>
          <w:szCs w:val="21"/>
          <w:lang w:val="zh-CN"/>
        </w:rPr>
      </w:pPr>
    </w:p>
    <w:p>
      <w:pPr>
        <w:spacing w:line="360" w:lineRule="auto"/>
        <w:jc w:val="center"/>
        <w:rPr>
          <w:sz w:val="21"/>
          <w:szCs w:val="21"/>
          <w:lang w:val="zh-CN"/>
        </w:rPr>
      </w:pPr>
    </w:p>
    <w:p>
      <w:pPr>
        <w:spacing w:line="360" w:lineRule="auto"/>
        <w:jc w:val="center"/>
        <w:rPr>
          <w:sz w:val="21"/>
          <w:szCs w:val="21"/>
          <w:lang w:val="zh-CN"/>
        </w:rPr>
      </w:pPr>
    </w:p>
    <w:p>
      <w:pPr>
        <w:spacing w:line="360" w:lineRule="auto"/>
        <w:jc w:val="center"/>
        <w:rPr>
          <w:sz w:val="21"/>
          <w:szCs w:val="21"/>
          <w:lang w:val="zh-CN"/>
        </w:rPr>
      </w:pPr>
    </w:p>
    <w:p>
      <w:pPr>
        <w:spacing w:line="360" w:lineRule="auto"/>
        <w:jc w:val="center"/>
        <w:rPr>
          <w:sz w:val="21"/>
          <w:szCs w:val="21"/>
          <w:lang w:val="zh-CN"/>
        </w:rPr>
      </w:pPr>
    </w:p>
    <w:p>
      <w:pPr>
        <w:spacing w:line="360" w:lineRule="auto"/>
        <w:jc w:val="center"/>
        <w:rPr>
          <w:sz w:val="21"/>
          <w:szCs w:val="21"/>
          <w:lang w:val="zh-CN"/>
        </w:rPr>
      </w:pPr>
    </w:p>
    <w:p>
      <w:pPr>
        <w:spacing w:line="360" w:lineRule="auto"/>
        <w:jc w:val="center"/>
        <w:rPr>
          <w:sz w:val="21"/>
          <w:szCs w:val="21"/>
          <w:lang w:val="zh-CN"/>
        </w:rPr>
      </w:pPr>
    </w:p>
    <w:p>
      <w:pPr>
        <w:spacing w:line="360" w:lineRule="auto"/>
        <w:jc w:val="center"/>
        <w:rPr>
          <w:sz w:val="21"/>
          <w:szCs w:val="21"/>
          <w:lang w:val="zh-CN"/>
        </w:rPr>
      </w:pPr>
    </w:p>
    <w:p>
      <w:pPr>
        <w:spacing w:line="360" w:lineRule="auto"/>
        <w:jc w:val="center"/>
        <w:rPr>
          <w:sz w:val="21"/>
          <w:szCs w:val="21"/>
          <w:lang w:val="zh-CN"/>
        </w:rPr>
      </w:pPr>
    </w:p>
    <w:p>
      <w:pPr>
        <w:spacing w:line="360" w:lineRule="auto"/>
        <w:jc w:val="center"/>
        <w:rPr>
          <w:sz w:val="21"/>
          <w:szCs w:val="21"/>
          <w:lang w:val="zh-CN"/>
        </w:rPr>
      </w:pPr>
    </w:p>
    <w:p>
      <w:pPr>
        <w:spacing w:line="360" w:lineRule="auto"/>
        <w:jc w:val="center"/>
        <w:rPr>
          <w:sz w:val="21"/>
          <w:szCs w:val="21"/>
          <w:lang w:val="zh-CN"/>
        </w:rPr>
      </w:pPr>
    </w:p>
    <w:p>
      <w:pPr>
        <w:spacing w:line="360" w:lineRule="auto"/>
        <w:jc w:val="center"/>
        <w:rPr>
          <w:sz w:val="21"/>
          <w:szCs w:val="21"/>
          <w:lang w:val="zh-CN"/>
        </w:rPr>
      </w:pPr>
    </w:p>
    <w:p>
      <w:pPr>
        <w:spacing w:line="360" w:lineRule="auto"/>
        <w:jc w:val="center"/>
        <w:rPr>
          <w:sz w:val="21"/>
          <w:szCs w:val="21"/>
          <w:lang w:val="zh-CN"/>
        </w:rPr>
      </w:pPr>
    </w:p>
    <w:p>
      <w:pPr>
        <w:spacing w:line="360" w:lineRule="auto"/>
        <w:jc w:val="center"/>
        <w:rPr>
          <w:sz w:val="21"/>
          <w:szCs w:val="21"/>
          <w:lang w:val="zh-CN"/>
        </w:rPr>
      </w:pPr>
    </w:p>
    <w:p>
      <w:pPr>
        <w:spacing w:line="360" w:lineRule="auto"/>
        <w:jc w:val="center"/>
        <w:rPr>
          <w:sz w:val="21"/>
          <w:szCs w:val="21"/>
          <w:lang w:val="zh-CN"/>
        </w:rPr>
      </w:pPr>
    </w:p>
    <w:p>
      <w:pPr>
        <w:spacing w:line="360" w:lineRule="auto"/>
        <w:jc w:val="center"/>
        <w:rPr>
          <w:sz w:val="21"/>
          <w:szCs w:val="21"/>
          <w:lang w:val="zh-CN"/>
        </w:rPr>
      </w:pPr>
    </w:p>
    <w:p>
      <w:pPr>
        <w:spacing w:line="360" w:lineRule="auto"/>
        <w:jc w:val="center"/>
        <w:rPr>
          <w:sz w:val="21"/>
          <w:szCs w:val="21"/>
          <w:lang w:val="zh-CN"/>
        </w:rPr>
      </w:pPr>
    </w:p>
    <w:p>
      <w:pPr>
        <w:spacing w:line="360" w:lineRule="auto"/>
        <w:jc w:val="center"/>
        <w:rPr>
          <w:sz w:val="21"/>
          <w:szCs w:val="21"/>
          <w:lang w:val="zh-CN"/>
        </w:rPr>
      </w:pPr>
    </w:p>
    <w:p>
      <w:pPr>
        <w:spacing w:line="360" w:lineRule="auto"/>
        <w:jc w:val="center"/>
        <w:rPr>
          <w:sz w:val="21"/>
          <w:szCs w:val="21"/>
          <w:lang w:val="zh-CN"/>
        </w:rPr>
      </w:pPr>
    </w:p>
    <w:p>
      <w:pPr>
        <w:spacing w:line="360" w:lineRule="auto"/>
        <w:jc w:val="center"/>
        <w:rPr>
          <w:sz w:val="21"/>
          <w:szCs w:val="21"/>
          <w:lang w:val="zh-CN"/>
        </w:rPr>
      </w:pPr>
    </w:p>
    <w:p>
      <w:pPr>
        <w:spacing w:line="360" w:lineRule="auto"/>
        <w:jc w:val="center"/>
        <w:rPr>
          <w:sz w:val="21"/>
          <w:szCs w:val="21"/>
          <w:lang w:val="zh-CN"/>
        </w:rPr>
      </w:pPr>
    </w:p>
    <w:p>
      <w:pPr>
        <w:spacing w:line="360" w:lineRule="auto"/>
        <w:jc w:val="center"/>
        <w:rPr>
          <w:sz w:val="21"/>
          <w:szCs w:val="21"/>
          <w:lang w:val="zh-CN"/>
        </w:rPr>
      </w:pPr>
    </w:p>
    <w:p>
      <w:pPr>
        <w:spacing w:line="360" w:lineRule="auto"/>
        <w:jc w:val="center"/>
        <w:rPr>
          <w:sz w:val="21"/>
          <w:szCs w:val="21"/>
          <w:lang w:val="zh-CN"/>
        </w:rPr>
      </w:pPr>
    </w:p>
    <w:p>
      <w:pPr>
        <w:spacing w:line="360" w:lineRule="auto"/>
        <w:jc w:val="center"/>
        <w:rPr>
          <w:sz w:val="21"/>
          <w:szCs w:val="21"/>
          <w:lang w:val="zh-CN"/>
        </w:rPr>
      </w:pPr>
    </w:p>
    <w:p>
      <w:pPr>
        <w:spacing w:line="360" w:lineRule="auto"/>
        <w:jc w:val="center"/>
        <w:rPr>
          <w:sz w:val="21"/>
          <w:szCs w:val="21"/>
          <w:lang w:val="zh-CN"/>
        </w:rPr>
      </w:pPr>
    </w:p>
    <w:p>
      <w:pPr>
        <w:spacing w:line="360" w:lineRule="auto"/>
        <w:jc w:val="center"/>
        <w:rPr>
          <w:sz w:val="21"/>
          <w:szCs w:val="21"/>
          <w:lang w:val="zh-CN"/>
        </w:rPr>
      </w:pPr>
    </w:p>
    <w:p>
      <w:pPr>
        <w:spacing w:line="360" w:lineRule="auto"/>
        <w:jc w:val="center"/>
        <w:rPr>
          <w:sz w:val="21"/>
          <w:szCs w:val="21"/>
          <w:lang w:val="zh-CN"/>
        </w:rPr>
      </w:pPr>
    </w:p>
    <w:p>
      <w:pPr>
        <w:spacing w:line="360" w:lineRule="auto"/>
        <w:jc w:val="center"/>
        <w:rPr>
          <w:sz w:val="21"/>
          <w:szCs w:val="21"/>
          <w:lang w:val="zh-CN"/>
        </w:rPr>
      </w:pPr>
    </w:p>
    <w:p>
      <w:pPr>
        <w:spacing w:line="360" w:lineRule="auto"/>
        <w:rPr>
          <w:rFonts w:hAnsi="宋体"/>
          <w:b/>
          <w:color w:val="000000"/>
        </w:rPr>
      </w:pPr>
    </w:p>
    <w:p>
      <w:pPr>
        <w:spacing w:line="360" w:lineRule="auto"/>
        <w:jc w:val="center"/>
        <w:outlineLvl w:val="1"/>
        <w:rPr>
          <w:rFonts w:ascii="黑体" w:eastAsia="黑体"/>
          <w:b/>
          <w:sz w:val="32"/>
          <w:szCs w:val="32"/>
        </w:rPr>
      </w:pPr>
      <w:r>
        <w:rPr>
          <w:rFonts w:hint="eastAsia" w:ascii="黑体" w:eastAsia="黑体"/>
          <w:b/>
          <w:sz w:val="32"/>
          <w:szCs w:val="32"/>
        </w:rPr>
        <w:t>承诺函</w:t>
      </w:r>
    </w:p>
    <w:p>
      <w:pPr>
        <w:spacing w:line="360" w:lineRule="auto"/>
        <w:jc w:val="center"/>
        <w:outlineLvl w:val="1"/>
        <w:rPr>
          <w:rFonts w:ascii="宋体"/>
          <w:b/>
        </w:rPr>
      </w:pPr>
    </w:p>
    <w:p>
      <w:pPr>
        <w:spacing w:line="360" w:lineRule="auto"/>
        <w:rPr>
          <w:rFonts w:ascii="宋体" w:hAnsi="宋体"/>
        </w:rPr>
      </w:pPr>
      <w:r>
        <w:rPr>
          <w:rFonts w:hint="eastAsia" w:ascii="宋体" w:hAnsi="宋体"/>
        </w:rPr>
        <w:t>XXX（采购代理机构名称）：</w:t>
      </w:r>
    </w:p>
    <w:p>
      <w:pPr>
        <w:spacing w:line="360" w:lineRule="auto"/>
        <w:ind w:firstLine="480" w:firstLineChars="200"/>
        <w:rPr>
          <w:rFonts w:ascii="宋体" w:hAnsi="宋体"/>
        </w:rPr>
      </w:pPr>
      <w:r>
        <w:rPr>
          <w:rFonts w:hint="eastAsia" w:ascii="宋体" w:hAnsi="宋体"/>
        </w:rPr>
        <w:t>我公司作为本次采购项目的供应商，根据磋商文件要求，现郑重承诺如下：</w:t>
      </w:r>
    </w:p>
    <w:p>
      <w:pPr>
        <w:spacing w:line="360" w:lineRule="auto"/>
        <w:ind w:firstLine="480" w:firstLineChars="200"/>
        <w:rPr>
          <w:rFonts w:ascii="宋体" w:hAnsi="宋体"/>
        </w:rPr>
      </w:pPr>
      <w:r>
        <w:rPr>
          <w:rFonts w:hint="eastAsia" w:ascii="宋体" w:hAnsi="宋体"/>
        </w:rPr>
        <w:t>一、具备《中华人民共和国政府采购法》第二十二条第一款和本项目规定的条件：</w:t>
      </w:r>
    </w:p>
    <w:p>
      <w:pPr>
        <w:spacing w:line="360" w:lineRule="auto"/>
        <w:ind w:firstLine="480" w:firstLineChars="200"/>
        <w:rPr>
          <w:rFonts w:ascii="宋体" w:hAnsi="宋体"/>
        </w:rPr>
      </w:pPr>
      <w:r>
        <w:rPr>
          <w:rFonts w:hint="eastAsia" w:ascii="宋体" w:hAnsi="宋体"/>
        </w:rPr>
        <w:t>（一）具有独立承担民事责任的能力；</w:t>
      </w:r>
    </w:p>
    <w:p>
      <w:pPr>
        <w:spacing w:line="360" w:lineRule="auto"/>
        <w:ind w:firstLine="480" w:firstLineChars="200"/>
        <w:rPr>
          <w:rFonts w:ascii="宋体" w:hAnsi="宋体"/>
        </w:rPr>
      </w:pPr>
      <w:r>
        <w:rPr>
          <w:rFonts w:hint="eastAsia" w:ascii="宋体" w:hAnsi="宋体"/>
        </w:rPr>
        <w:t>（二）具有良好的商业信誉和健全的财务会计制度；</w:t>
      </w:r>
    </w:p>
    <w:p>
      <w:pPr>
        <w:spacing w:line="360" w:lineRule="auto"/>
        <w:ind w:firstLine="480" w:firstLineChars="200"/>
        <w:rPr>
          <w:rFonts w:ascii="宋体" w:hAnsi="宋体"/>
        </w:rPr>
      </w:pPr>
      <w:r>
        <w:rPr>
          <w:rFonts w:hint="eastAsia" w:ascii="宋体" w:hAnsi="宋体"/>
        </w:rPr>
        <w:t>（三）具有履行合同所必需的设备和专业技术能力；</w:t>
      </w:r>
    </w:p>
    <w:p>
      <w:pPr>
        <w:spacing w:line="360" w:lineRule="auto"/>
        <w:ind w:firstLine="480" w:firstLineChars="200"/>
        <w:rPr>
          <w:rFonts w:ascii="宋体" w:hAnsi="宋体"/>
        </w:rPr>
      </w:pPr>
      <w:r>
        <w:rPr>
          <w:rFonts w:hint="eastAsia" w:ascii="宋体" w:hAnsi="宋体"/>
        </w:rPr>
        <w:t>（四）有依法缴纳税收和社会保障资金的良好记录；</w:t>
      </w:r>
    </w:p>
    <w:p>
      <w:pPr>
        <w:spacing w:line="360" w:lineRule="auto"/>
        <w:ind w:firstLine="480" w:firstLineChars="200"/>
        <w:rPr>
          <w:rFonts w:ascii="宋体" w:hAnsi="宋体"/>
        </w:rPr>
      </w:pPr>
      <w:r>
        <w:rPr>
          <w:rFonts w:hint="eastAsia" w:ascii="宋体" w:hAnsi="宋体"/>
        </w:rPr>
        <w:t>（五）参加政府采购活动前三年内，在经营活动中没有重大违法记录；</w:t>
      </w:r>
    </w:p>
    <w:p>
      <w:pPr>
        <w:spacing w:line="360" w:lineRule="auto"/>
        <w:ind w:firstLine="480" w:firstLineChars="200"/>
        <w:rPr>
          <w:rFonts w:ascii="宋体" w:hAnsi="宋体"/>
        </w:rPr>
      </w:pPr>
      <w:r>
        <w:rPr>
          <w:rFonts w:hint="eastAsia" w:ascii="宋体" w:hAnsi="宋体"/>
        </w:rPr>
        <w:t>（六）法律、行政法规规定的其他条件；</w:t>
      </w:r>
    </w:p>
    <w:p>
      <w:pPr>
        <w:spacing w:line="360" w:lineRule="auto"/>
        <w:ind w:firstLine="480" w:firstLineChars="200"/>
        <w:rPr>
          <w:rFonts w:ascii="宋体" w:hAnsi="宋体"/>
        </w:rPr>
      </w:pPr>
      <w:r>
        <w:rPr>
          <w:rFonts w:hint="eastAsia" w:ascii="宋体" w:hAnsi="宋体"/>
        </w:rPr>
        <w:t>（七）根据采购项目提出的特殊条件。</w:t>
      </w:r>
    </w:p>
    <w:p>
      <w:pPr>
        <w:spacing w:line="360" w:lineRule="auto"/>
        <w:ind w:firstLine="480" w:firstLineChars="200"/>
        <w:rPr>
          <w:rFonts w:ascii="宋体" w:hAnsi="宋体"/>
        </w:rPr>
      </w:pPr>
      <w:r>
        <w:rPr>
          <w:rFonts w:hint="eastAsia" w:ascii="宋体" w:hAnsi="宋体"/>
        </w:rPr>
        <w:t>二、完全接受和满足本项目磋商文件中规定的实质性要求</w:t>
      </w:r>
      <w:r>
        <w:rPr>
          <w:rFonts w:hint="eastAsia"/>
        </w:rPr>
        <w:t>（如采购预算、最高限价、进口产品、联合体、低于成本价不正当竞争预防措施、国家规定的强制采购范围、合格供应商、充分、公平竞争保障措施、联合体竞争性磋商、磋商保证金、响应文件有效期、知识产权、磋商文件的构成、响应文件的组成、响应文件的语言、计量单位、报价货币、合同分包、合同转包、履约保证金等实质性要求）</w:t>
      </w:r>
      <w:r>
        <w:rPr>
          <w:rFonts w:hint="eastAsia" w:ascii="宋体" w:hAnsi="宋体"/>
        </w:rPr>
        <w:t>，如对磋商文件有异议，已经在递交响应文件截止时间届满前依法进行维权救济，不存在对磋商文件有异议的同时又参加磋商以求侥幸成交或者为实现其他非法目的的行为。</w:t>
      </w:r>
    </w:p>
    <w:p>
      <w:pPr>
        <w:spacing w:line="360" w:lineRule="auto"/>
        <w:ind w:firstLine="480" w:firstLineChars="200"/>
        <w:rPr>
          <w:rFonts w:ascii="宋体" w:hAnsi="宋体"/>
        </w:rPr>
      </w:pPr>
      <w:r>
        <w:rPr>
          <w:rFonts w:hint="eastAsia" w:ascii="宋体" w:hAnsi="宋体"/>
        </w:rPr>
        <w:t>三、在参加本次采购活动中，不存在与单位负责人为同一人或者存在直接控股、管理关系的其他供应商参与同一合同项下的政府采购活动的行为。</w:t>
      </w:r>
    </w:p>
    <w:p>
      <w:pPr>
        <w:spacing w:line="360" w:lineRule="auto"/>
        <w:ind w:firstLine="480" w:firstLineChars="200"/>
        <w:rPr>
          <w:rFonts w:ascii="宋体" w:hAnsi="宋体"/>
        </w:rPr>
      </w:pPr>
      <w:r>
        <w:rPr>
          <w:rFonts w:hint="eastAsia" w:ascii="宋体" w:hAnsi="宋体"/>
        </w:rPr>
        <w:t>四、在参加本次采购活动中，不存在和其他供应商在同一合同项下的采购项目中，同时委托同一个自然人、同一家庭的人员、同一单位的人员作为代理人的行为。</w:t>
      </w:r>
    </w:p>
    <w:p>
      <w:pPr>
        <w:spacing w:line="360" w:lineRule="auto"/>
        <w:ind w:firstLine="480" w:firstLineChars="200"/>
        <w:rPr>
          <w:rFonts w:ascii="宋体" w:hAnsi="宋体"/>
        </w:rPr>
      </w:pPr>
      <w:r>
        <w:rPr>
          <w:rFonts w:hint="eastAsia" w:ascii="宋体" w:hAnsi="宋体"/>
        </w:rPr>
        <w:t>五、响应文件中提供的任何资料和技术、服务、商务等响应承诺情况都是真实的、有效的、合法的。</w:t>
      </w:r>
    </w:p>
    <w:p>
      <w:pPr>
        <w:spacing w:line="360" w:lineRule="auto"/>
        <w:ind w:firstLine="480" w:firstLineChars="200"/>
        <w:rPr>
          <w:rFonts w:ascii="宋体" w:hAnsi="宋体"/>
        </w:rPr>
      </w:pPr>
      <w:r>
        <w:rPr>
          <w:rFonts w:hint="eastAsia" w:ascii="宋体" w:hAnsi="宋体"/>
        </w:rPr>
        <w:t>六、如本项目磋商采购过程中需要提供样品，则我公司提供的样品即为成交后将要提供的成交产品，我公司对提供样品的性能和质量负责，因样品存在缺陷或者不符合磋商文件要求导致未能成交的，我公司愿意承担相应不利后果。</w:t>
      </w:r>
    </w:p>
    <w:p>
      <w:pPr>
        <w:spacing w:line="360" w:lineRule="auto"/>
        <w:ind w:firstLine="480" w:firstLineChars="200"/>
        <w:rPr>
          <w:rFonts w:ascii="宋体" w:hAnsi="宋体"/>
        </w:rPr>
      </w:pPr>
      <w:r>
        <w:rPr>
          <w:rFonts w:hint="eastAsia" w:ascii="宋体" w:hAnsi="宋体"/>
        </w:rPr>
        <w:t>本公司对上述承诺的内容事项真实性负责。如经查实上述承诺的内容事项存在虚假，我公司愿意接受以提供虚假材料谋取成交的法律责任。</w:t>
      </w:r>
    </w:p>
    <w:p>
      <w:pPr>
        <w:spacing w:line="360" w:lineRule="auto"/>
        <w:ind w:firstLine="480" w:firstLineChars="200"/>
        <w:rPr>
          <w:rFonts w:ascii="宋体" w:hAnsi="宋体"/>
        </w:rPr>
      </w:pPr>
    </w:p>
    <w:p>
      <w:pPr>
        <w:spacing w:line="360" w:lineRule="auto"/>
        <w:ind w:firstLine="480" w:firstLineChars="200"/>
        <w:rPr>
          <w:rFonts w:ascii="宋体" w:hAnsi="宋体"/>
        </w:rPr>
      </w:pPr>
    </w:p>
    <w:p>
      <w:pPr>
        <w:spacing w:line="360" w:lineRule="auto"/>
        <w:ind w:firstLine="480" w:firstLineChars="200"/>
        <w:rPr>
          <w:rFonts w:ascii="宋体" w:hAnsi="宋体"/>
        </w:rPr>
      </w:pPr>
      <w:r>
        <w:rPr>
          <w:rFonts w:hint="eastAsia" w:ascii="宋体" w:hAnsi="宋体"/>
        </w:rPr>
        <w:t xml:space="preserve">法定代表人签字或加盖个人印章：              </w:t>
      </w:r>
    </w:p>
    <w:p>
      <w:pPr>
        <w:spacing w:line="360" w:lineRule="auto"/>
        <w:ind w:firstLine="480" w:firstLineChars="200"/>
        <w:rPr>
          <w:rFonts w:ascii="宋体" w:hAnsi="宋体"/>
        </w:rPr>
      </w:pPr>
      <w:r>
        <w:rPr>
          <w:rFonts w:hint="eastAsia" w:ascii="宋体" w:hAnsi="宋体"/>
        </w:rPr>
        <w:t xml:space="preserve">授权代表签字：                    </w:t>
      </w:r>
    </w:p>
    <w:p>
      <w:pPr>
        <w:spacing w:line="360" w:lineRule="auto"/>
        <w:ind w:firstLine="480" w:firstLineChars="200"/>
        <w:rPr>
          <w:rFonts w:ascii="宋体" w:hAnsi="宋体"/>
        </w:rPr>
      </w:pPr>
      <w:r>
        <w:rPr>
          <w:rFonts w:hint="eastAsia" w:ascii="宋体" w:hAnsi="宋体"/>
        </w:rPr>
        <w:t>供应商名称：                 （盖章）</w:t>
      </w:r>
    </w:p>
    <w:p>
      <w:pPr>
        <w:spacing w:line="360" w:lineRule="auto"/>
        <w:ind w:firstLine="480" w:firstLineChars="200"/>
        <w:rPr>
          <w:rFonts w:ascii="宋体" w:hAnsi="宋体"/>
        </w:rPr>
      </w:pPr>
      <w:r>
        <w:rPr>
          <w:rFonts w:hint="eastAsia" w:ascii="宋体" w:hAnsi="宋体"/>
        </w:rPr>
        <w:t>日    期：       年     月     日</w:t>
      </w:r>
    </w:p>
    <w:p>
      <w:pPr>
        <w:spacing w:line="360" w:lineRule="auto"/>
        <w:ind w:firstLine="480" w:firstLineChars="200"/>
        <w:rPr>
          <w:rFonts w:ascii="宋体" w:hAnsi="宋体"/>
        </w:rPr>
      </w:pPr>
    </w:p>
    <w:p>
      <w:pPr>
        <w:spacing w:line="360" w:lineRule="auto"/>
        <w:ind w:firstLine="480" w:firstLineChars="200"/>
        <w:rPr>
          <w:rFonts w:ascii="宋体" w:hAnsi="宋体"/>
          <w:color w:val="000000"/>
        </w:rPr>
      </w:pPr>
      <w:r>
        <w:rPr>
          <w:rFonts w:hint="eastAsia" w:ascii="宋体" w:hAnsi="宋体"/>
        </w:rPr>
        <w:br w:type="page"/>
      </w:r>
    </w:p>
    <w:p>
      <w:pPr>
        <w:tabs>
          <w:tab w:val="left" w:pos="3600"/>
        </w:tabs>
        <w:autoSpaceDE w:val="0"/>
        <w:autoSpaceDN w:val="0"/>
        <w:adjustRightInd w:val="0"/>
        <w:spacing w:line="279" w:lineRule="exact"/>
        <w:ind w:left="-485" w:leftChars="-202" w:right="-20" w:firstLine="340" w:firstLineChars="141"/>
        <w:rPr>
          <w:rFonts w:hAnsi="宋体"/>
          <w:b/>
          <w:color w:val="000000"/>
        </w:rPr>
      </w:pPr>
      <w:r>
        <w:rPr>
          <w:rFonts w:hint="eastAsia" w:hAnsi="宋体"/>
          <w:b/>
          <w:color w:val="000000"/>
        </w:rPr>
        <w:t>附件1-</w:t>
      </w:r>
      <w:r>
        <w:rPr>
          <w:rFonts w:hAnsi="宋体"/>
          <w:b/>
          <w:color w:val="000000"/>
        </w:rPr>
        <w:t>5</w:t>
      </w:r>
    </w:p>
    <w:p>
      <w:pPr>
        <w:tabs>
          <w:tab w:val="left" w:pos="3600"/>
        </w:tabs>
        <w:autoSpaceDE w:val="0"/>
        <w:autoSpaceDN w:val="0"/>
        <w:adjustRightInd w:val="0"/>
        <w:spacing w:line="279" w:lineRule="exact"/>
        <w:ind w:left="-485" w:leftChars="-202" w:right="-20" w:firstLine="340" w:firstLineChars="141"/>
        <w:rPr>
          <w:rFonts w:hAnsi="宋体"/>
          <w:b/>
          <w:color w:val="000000"/>
        </w:rPr>
      </w:pPr>
    </w:p>
    <w:p>
      <w:pPr>
        <w:tabs>
          <w:tab w:val="left" w:pos="3600"/>
        </w:tabs>
        <w:autoSpaceDE w:val="0"/>
        <w:autoSpaceDN w:val="0"/>
        <w:adjustRightInd w:val="0"/>
        <w:spacing w:line="279" w:lineRule="exact"/>
        <w:ind w:left="-485" w:leftChars="-202" w:right="-20" w:firstLine="338" w:firstLineChars="141"/>
        <w:rPr>
          <w:rFonts w:ascii="宋体" w:cs="宋体"/>
          <w:position w:val="-2"/>
          <w:szCs w:val="21"/>
        </w:rPr>
      </w:pPr>
      <w:bookmarkStart w:id="737" w:name="_Hlk530152238"/>
      <w:r>
        <w:rPr>
          <w:rFonts w:hint="eastAsia" w:ascii="宋体" w:hAnsi="宋体"/>
          <w:u w:val="single"/>
        </w:rPr>
        <w:t xml:space="preserve">                        </w:t>
      </w:r>
      <w:r>
        <w:rPr>
          <w:rFonts w:hint="eastAsia" w:ascii="宋体" w:hAnsi="宋体"/>
        </w:rPr>
        <w:t>（采购代理机构名称）</w:t>
      </w:r>
      <w:r>
        <w:rPr>
          <w:rFonts w:hint="eastAsia" w:ascii="宋体" w:cs="宋体"/>
          <w:position w:val="-2"/>
          <w:szCs w:val="21"/>
        </w:rPr>
        <w:t>：</w:t>
      </w:r>
    </w:p>
    <w:p>
      <w:pPr>
        <w:autoSpaceDE w:val="0"/>
        <w:autoSpaceDN w:val="0"/>
        <w:adjustRightInd w:val="0"/>
        <w:spacing w:line="200" w:lineRule="exact"/>
        <w:ind w:left="-485" w:leftChars="-202" w:right="-20" w:firstLine="338" w:firstLineChars="141"/>
        <w:rPr>
          <w:rFonts w:ascii="宋体" w:cs="宋体"/>
          <w:szCs w:val="21"/>
        </w:rPr>
      </w:pPr>
    </w:p>
    <w:p>
      <w:pPr>
        <w:autoSpaceDE w:val="0"/>
        <w:autoSpaceDN w:val="0"/>
        <w:adjustRightInd w:val="0"/>
        <w:spacing w:line="200" w:lineRule="exact"/>
        <w:ind w:left="-485" w:leftChars="-202" w:right="-20" w:firstLine="338" w:firstLineChars="141"/>
        <w:rPr>
          <w:rFonts w:ascii="宋体" w:cs="宋体"/>
          <w:szCs w:val="21"/>
        </w:rPr>
      </w:pPr>
    </w:p>
    <w:p>
      <w:pPr>
        <w:autoSpaceDE w:val="0"/>
        <w:autoSpaceDN w:val="0"/>
        <w:adjustRightInd w:val="0"/>
        <w:spacing w:line="200" w:lineRule="exact"/>
        <w:ind w:left="-485" w:leftChars="-202" w:right="-20" w:firstLine="338" w:firstLineChars="141"/>
        <w:rPr>
          <w:rFonts w:ascii="宋体" w:cs="宋体"/>
          <w:szCs w:val="21"/>
        </w:rPr>
      </w:pPr>
    </w:p>
    <w:p>
      <w:pPr>
        <w:autoSpaceDE w:val="0"/>
        <w:autoSpaceDN w:val="0"/>
        <w:adjustRightInd w:val="0"/>
        <w:spacing w:before="15" w:line="220" w:lineRule="exact"/>
        <w:ind w:left="-485" w:leftChars="-202" w:right="-20" w:firstLine="338" w:firstLineChars="141"/>
        <w:rPr>
          <w:rFonts w:ascii="宋体" w:cs="宋体"/>
          <w:szCs w:val="21"/>
        </w:rPr>
      </w:pPr>
    </w:p>
    <w:p>
      <w:pPr>
        <w:tabs>
          <w:tab w:val="left" w:pos="2060"/>
          <w:tab w:val="left" w:pos="4160"/>
          <w:tab w:val="left" w:pos="4760"/>
          <w:tab w:val="left" w:pos="7860"/>
        </w:tabs>
        <w:autoSpaceDE w:val="0"/>
        <w:autoSpaceDN w:val="0"/>
        <w:adjustRightInd w:val="0"/>
        <w:spacing w:line="360" w:lineRule="auto"/>
        <w:ind w:left="-485" w:leftChars="-202" w:right="159" w:firstLine="352" w:firstLineChars="141"/>
        <w:rPr>
          <w:rFonts w:hint="default" w:ascii="宋体" w:eastAsia="宋体" w:cs="宋体"/>
          <w:szCs w:val="21"/>
          <w:lang w:val="en-US" w:eastAsia="zh-CN"/>
        </w:rPr>
      </w:pPr>
      <w:r>
        <w:rPr>
          <w:rFonts w:hint="eastAsia" w:ascii="宋体" w:cs="宋体"/>
          <w:spacing w:val="5"/>
          <w:szCs w:val="21"/>
        </w:rPr>
        <w:t>本</w:t>
      </w:r>
      <w:r>
        <w:rPr>
          <w:rFonts w:hint="eastAsia" w:ascii="宋体" w:cs="宋体"/>
          <w:szCs w:val="21"/>
        </w:rPr>
        <w:t>投</w:t>
      </w:r>
      <w:r>
        <w:rPr>
          <w:rFonts w:hint="eastAsia" w:ascii="宋体" w:cs="宋体"/>
          <w:spacing w:val="5"/>
          <w:szCs w:val="21"/>
        </w:rPr>
        <w:t>标人</w:t>
      </w:r>
      <w:r>
        <w:rPr>
          <w:rFonts w:hint="eastAsia" w:ascii="宋体" w:cs="宋体"/>
          <w:szCs w:val="21"/>
        </w:rPr>
        <w:t>自</w:t>
      </w:r>
      <w:r>
        <w:rPr>
          <w:rFonts w:hint="eastAsia" w:ascii="宋体" w:cs="宋体"/>
          <w:spacing w:val="5"/>
          <w:szCs w:val="21"/>
        </w:rPr>
        <w:t>愿</w:t>
      </w:r>
      <w:r>
        <w:rPr>
          <w:rFonts w:hint="eastAsia" w:ascii="宋体" w:cs="宋体"/>
          <w:szCs w:val="21"/>
        </w:rPr>
        <w:t>参</w:t>
      </w:r>
      <w:r>
        <w:rPr>
          <w:rFonts w:hint="eastAsia" w:ascii="宋体" w:cs="宋体"/>
          <w:spacing w:val="5"/>
          <w:szCs w:val="21"/>
        </w:rPr>
        <w:t>加</w:t>
      </w:r>
      <w:r>
        <w:rPr>
          <w:rFonts w:ascii="宋体" w:cs="宋体"/>
          <w:spacing w:val="-3"/>
          <w:szCs w:val="21"/>
          <w:u w:val="single"/>
        </w:rPr>
        <w:t xml:space="preserve"> </w:t>
      </w:r>
      <w:r>
        <w:rPr>
          <w:rFonts w:ascii="宋体" w:cs="宋体"/>
          <w:spacing w:val="-3"/>
          <w:szCs w:val="21"/>
          <w:u w:val="single"/>
        </w:rPr>
        <w:tab/>
      </w:r>
      <w:r>
        <w:rPr>
          <w:rFonts w:ascii="宋体" w:cs="宋体"/>
          <w:spacing w:val="-3"/>
          <w:szCs w:val="21"/>
          <w:u w:val="single"/>
        </w:rPr>
        <w:tab/>
      </w:r>
      <w:r>
        <w:rPr>
          <w:rFonts w:hint="eastAsia" w:ascii="宋体" w:cs="宋体"/>
          <w:szCs w:val="21"/>
        </w:rPr>
        <w:t>（</w:t>
      </w:r>
      <w:r>
        <w:rPr>
          <w:rFonts w:hint="eastAsia" w:ascii="宋体" w:cs="宋体"/>
          <w:spacing w:val="5"/>
          <w:szCs w:val="21"/>
        </w:rPr>
        <w:t>项</w:t>
      </w:r>
      <w:r>
        <w:rPr>
          <w:rFonts w:hint="eastAsia" w:ascii="宋体" w:cs="宋体"/>
          <w:szCs w:val="21"/>
        </w:rPr>
        <w:t>目</w:t>
      </w:r>
      <w:r>
        <w:rPr>
          <w:rFonts w:hint="eastAsia" w:ascii="宋体" w:cs="宋体"/>
          <w:spacing w:val="5"/>
          <w:szCs w:val="21"/>
        </w:rPr>
        <w:t>名</w:t>
      </w:r>
      <w:r>
        <w:rPr>
          <w:rFonts w:hint="eastAsia" w:ascii="宋体" w:cs="宋体"/>
          <w:szCs w:val="21"/>
        </w:rPr>
        <w:t>称</w:t>
      </w:r>
      <w:r>
        <w:rPr>
          <w:rFonts w:hint="eastAsia" w:ascii="宋体" w:cs="宋体"/>
          <w:spacing w:val="5"/>
          <w:szCs w:val="21"/>
        </w:rPr>
        <w:t>）</w:t>
      </w:r>
      <w:r>
        <w:rPr>
          <w:rFonts w:hint="eastAsia" w:ascii="宋体" w:cs="宋体"/>
          <w:szCs w:val="21"/>
        </w:rPr>
        <w:t>的</w:t>
      </w:r>
      <w:r>
        <w:rPr>
          <w:rFonts w:hint="eastAsia" w:ascii="宋体" w:cs="宋体"/>
          <w:spacing w:val="5"/>
          <w:szCs w:val="21"/>
        </w:rPr>
        <w:t>磋商</w:t>
      </w:r>
      <w:r>
        <w:rPr>
          <w:rFonts w:hint="eastAsia" w:ascii="宋体" w:cs="宋体"/>
          <w:spacing w:val="-29"/>
          <w:szCs w:val="21"/>
        </w:rPr>
        <w:t>，</w:t>
      </w:r>
      <w:r>
        <w:rPr>
          <w:rFonts w:hint="eastAsia" w:ascii="宋体" w:cs="宋体"/>
          <w:szCs w:val="21"/>
        </w:rPr>
        <w:t>并按</w:t>
      </w:r>
      <w:r>
        <w:rPr>
          <w:rFonts w:hint="eastAsia" w:ascii="宋体" w:cs="宋体"/>
          <w:spacing w:val="5"/>
          <w:szCs w:val="21"/>
        </w:rPr>
        <w:t>竞争性磋商</w:t>
      </w:r>
      <w:r>
        <w:rPr>
          <w:rFonts w:hint="eastAsia" w:ascii="宋体" w:cs="宋体"/>
          <w:szCs w:val="21"/>
        </w:rPr>
        <w:t>文</w:t>
      </w:r>
      <w:r>
        <w:rPr>
          <w:rFonts w:hint="eastAsia" w:ascii="宋体" w:cs="宋体"/>
          <w:spacing w:val="5"/>
          <w:szCs w:val="21"/>
        </w:rPr>
        <w:t>件</w:t>
      </w:r>
      <w:r>
        <w:rPr>
          <w:rFonts w:hint="eastAsia" w:ascii="宋体" w:cs="宋体"/>
          <w:szCs w:val="21"/>
        </w:rPr>
        <w:t>要求</w:t>
      </w:r>
      <w:r>
        <w:rPr>
          <w:rFonts w:hint="eastAsia" w:ascii="宋体" w:cs="宋体"/>
          <w:spacing w:val="5"/>
          <w:szCs w:val="21"/>
        </w:rPr>
        <w:t>交</w:t>
      </w:r>
      <w:r>
        <w:rPr>
          <w:rFonts w:hint="eastAsia" w:ascii="宋体" w:cs="宋体"/>
          <w:szCs w:val="21"/>
        </w:rPr>
        <w:t>纳</w:t>
      </w:r>
      <w:r>
        <w:rPr>
          <w:rFonts w:hint="eastAsia" w:ascii="宋体" w:cs="宋体"/>
          <w:spacing w:val="5"/>
          <w:szCs w:val="21"/>
        </w:rPr>
        <w:t>磋商</w:t>
      </w:r>
      <w:r>
        <w:rPr>
          <w:rFonts w:hint="eastAsia" w:ascii="宋体" w:cs="宋体"/>
          <w:szCs w:val="21"/>
        </w:rPr>
        <w:t>保证</w:t>
      </w:r>
      <w:r>
        <w:rPr>
          <w:rFonts w:hint="eastAsia" w:ascii="宋体" w:cs="宋体"/>
          <w:spacing w:val="5"/>
          <w:szCs w:val="21"/>
        </w:rPr>
        <w:t>金</w:t>
      </w:r>
      <w:r>
        <w:rPr>
          <w:rFonts w:hint="eastAsia" w:ascii="宋体" w:cs="宋体"/>
          <w:spacing w:val="-34"/>
          <w:szCs w:val="21"/>
        </w:rPr>
        <w:t>，</w:t>
      </w:r>
      <w:r>
        <w:rPr>
          <w:rFonts w:hint="eastAsia" w:ascii="宋体" w:cs="宋体"/>
          <w:spacing w:val="5"/>
          <w:szCs w:val="21"/>
        </w:rPr>
        <w:t>金</w:t>
      </w:r>
      <w:r>
        <w:rPr>
          <w:rFonts w:hint="eastAsia" w:ascii="宋体" w:cs="宋体"/>
          <w:szCs w:val="21"/>
        </w:rPr>
        <w:t>额为</w:t>
      </w:r>
      <w:r>
        <w:rPr>
          <w:rFonts w:hint="eastAsia" w:ascii="宋体" w:cs="宋体"/>
          <w:spacing w:val="5"/>
          <w:szCs w:val="21"/>
        </w:rPr>
        <w:t>人</w:t>
      </w:r>
      <w:r>
        <w:rPr>
          <w:rFonts w:hint="eastAsia" w:ascii="宋体" w:cs="宋体"/>
          <w:szCs w:val="21"/>
        </w:rPr>
        <w:t>民</w:t>
      </w:r>
      <w:r>
        <w:rPr>
          <w:rFonts w:hint="eastAsia" w:ascii="宋体" w:cs="宋体"/>
          <w:spacing w:val="-29"/>
          <w:szCs w:val="21"/>
        </w:rPr>
        <w:t>币</w:t>
      </w:r>
      <w:r>
        <w:rPr>
          <w:rFonts w:hint="eastAsia" w:ascii="宋体" w:cs="宋体"/>
          <w:szCs w:val="21"/>
        </w:rPr>
        <w:t>（大</w:t>
      </w:r>
      <w:r>
        <w:rPr>
          <w:rFonts w:ascii="宋体" w:cs="宋体"/>
          <w:szCs w:val="21"/>
        </w:rPr>
        <w:t xml:space="preserve"> </w:t>
      </w:r>
      <w:r>
        <w:rPr>
          <w:rFonts w:hint="eastAsia" w:ascii="宋体" w:cs="宋体"/>
          <w:szCs w:val="21"/>
        </w:rPr>
        <w:t>写）</w:t>
      </w:r>
      <w:r>
        <w:rPr>
          <w:rFonts w:ascii="宋体" w:cs="宋体"/>
          <w:spacing w:val="-2"/>
          <w:szCs w:val="21"/>
          <w:u w:val="single"/>
        </w:rPr>
        <w:t xml:space="preserve"> </w:t>
      </w:r>
      <w:r>
        <w:rPr>
          <w:rFonts w:hint="eastAsia" w:ascii="宋体" w:cs="宋体"/>
          <w:spacing w:val="-2"/>
          <w:szCs w:val="21"/>
          <w:u w:val="single"/>
        </w:rPr>
        <w:t xml:space="preserve">                      </w:t>
      </w:r>
      <w:r>
        <w:rPr>
          <w:rFonts w:hint="eastAsia" w:ascii="宋体" w:cs="宋体"/>
          <w:szCs w:val="21"/>
        </w:rPr>
        <w:t>元（¥</w:t>
      </w:r>
      <w:r>
        <w:rPr>
          <w:rFonts w:ascii="宋体" w:cs="宋体"/>
          <w:spacing w:val="-2"/>
          <w:szCs w:val="21"/>
          <w:u w:val="single"/>
        </w:rPr>
        <w:t xml:space="preserve"> </w:t>
      </w:r>
      <w:r>
        <w:rPr>
          <w:rFonts w:hint="eastAsia" w:ascii="宋体" w:cs="宋体"/>
          <w:spacing w:val="-2"/>
          <w:szCs w:val="21"/>
          <w:u w:val="single"/>
        </w:rPr>
        <w:t xml:space="preserve">     </w:t>
      </w:r>
      <w:r>
        <w:rPr>
          <w:rFonts w:hint="eastAsia" w:ascii="宋体" w:cs="宋体"/>
          <w:spacing w:val="-2"/>
          <w:szCs w:val="21"/>
          <w:u w:val="single"/>
          <w:lang w:eastAsia="zh-CN"/>
        </w:rPr>
        <w:t>）</w:t>
      </w:r>
      <w:r>
        <w:rPr>
          <w:rFonts w:hint="eastAsia" w:ascii="宋体" w:cs="宋体"/>
          <w:spacing w:val="-2"/>
          <w:szCs w:val="21"/>
          <w:u w:val="single"/>
          <w:lang w:val="en-US" w:eastAsia="zh-CN"/>
        </w:rPr>
        <w:t>.</w:t>
      </w:r>
    </w:p>
    <w:p>
      <w:pPr>
        <w:autoSpaceDE w:val="0"/>
        <w:autoSpaceDN w:val="0"/>
        <w:adjustRightInd w:val="0"/>
        <w:spacing w:before="12" w:line="280" w:lineRule="exact"/>
        <w:ind w:left="-485" w:leftChars="-202" w:right="-20" w:firstLine="338" w:firstLineChars="141"/>
        <w:rPr>
          <w:rFonts w:ascii="宋体" w:cs="宋体"/>
          <w:szCs w:val="21"/>
        </w:rPr>
      </w:pPr>
    </w:p>
    <w:p>
      <w:pPr>
        <w:autoSpaceDE w:val="0"/>
        <w:autoSpaceDN w:val="0"/>
        <w:adjustRightInd w:val="0"/>
        <w:spacing w:before="12" w:line="280" w:lineRule="exact"/>
        <w:ind w:left="-485" w:leftChars="-202" w:right="-20" w:firstLine="338" w:firstLineChars="141"/>
        <w:rPr>
          <w:rFonts w:ascii="宋体" w:cs="宋体"/>
          <w:szCs w:val="21"/>
        </w:rPr>
      </w:pPr>
    </w:p>
    <w:p>
      <w:pPr>
        <w:tabs>
          <w:tab w:val="left" w:pos="2060"/>
          <w:tab w:val="left" w:pos="4160"/>
          <w:tab w:val="left" w:pos="4760"/>
          <w:tab w:val="left" w:pos="7860"/>
        </w:tabs>
        <w:autoSpaceDE w:val="0"/>
        <w:autoSpaceDN w:val="0"/>
        <w:adjustRightInd w:val="0"/>
        <w:spacing w:line="360" w:lineRule="auto"/>
        <w:ind w:left="-485" w:leftChars="-202" w:right="159" w:firstLine="352" w:firstLineChars="141"/>
        <w:rPr>
          <w:rFonts w:ascii="宋体" w:cs="宋体"/>
          <w:spacing w:val="5"/>
          <w:szCs w:val="21"/>
        </w:rPr>
      </w:pPr>
      <w:r>
        <w:rPr>
          <w:rFonts w:hint="eastAsia" w:ascii="宋体" w:cs="宋体"/>
          <w:spacing w:val="5"/>
          <w:szCs w:val="21"/>
        </w:rPr>
        <w:t xml:space="preserve">附:   保证金交款证明复印件（加盖公章） </w:t>
      </w:r>
      <w:r>
        <w:rPr>
          <w:rFonts w:ascii="宋体" w:cs="宋体"/>
          <w:spacing w:val="5"/>
          <w:szCs w:val="21"/>
        </w:rPr>
        <w:t xml:space="preserve">                                                                                                                                                                                                                                                                                                                                                                                                                                                                                                                                                                                                                                                                                                                                                                                                                                                                                                                                                                                                                                                                                                                                                                                                                                                                                                                                                                                                                                                                                     </w:t>
      </w:r>
    </w:p>
    <w:p>
      <w:pPr>
        <w:tabs>
          <w:tab w:val="left" w:pos="2060"/>
          <w:tab w:val="left" w:pos="4160"/>
          <w:tab w:val="left" w:pos="4760"/>
          <w:tab w:val="left" w:pos="7860"/>
        </w:tabs>
        <w:autoSpaceDE w:val="0"/>
        <w:autoSpaceDN w:val="0"/>
        <w:adjustRightInd w:val="0"/>
        <w:spacing w:line="360" w:lineRule="auto"/>
        <w:ind w:left="-485" w:leftChars="-202" w:right="159" w:firstLine="352" w:firstLineChars="141"/>
        <w:rPr>
          <w:rFonts w:ascii="宋体" w:cs="宋体"/>
          <w:spacing w:val="5"/>
          <w:szCs w:val="21"/>
        </w:rPr>
      </w:pPr>
      <w:r>
        <w:rPr>
          <w:rFonts w:hint="eastAsia" w:ascii="宋体" w:cs="宋体"/>
          <w:spacing w:val="5"/>
          <w:szCs w:val="21"/>
        </w:rPr>
        <w:t xml:space="preserve">      基本户开户许可证复印件（加盖公章）</w:t>
      </w:r>
    </w:p>
    <w:p>
      <w:pPr>
        <w:ind w:left="-485" w:leftChars="-202" w:firstLine="338" w:firstLineChars="141"/>
      </w:pPr>
    </w:p>
    <w:p>
      <w:pPr>
        <w:autoSpaceDE w:val="0"/>
        <w:autoSpaceDN w:val="0"/>
        <w:adjustRightInd w:val="0"/>
        <w:spacing w:line="200" w:lineRule="exact"/>
        <w:ind w:left="-485" w:leftChars="-202" w:right="-20" w:firstLine="338" w:firstLineChars="141"/>
        <w:rPr>
          <w:rFonts w:ascii="宋体" w:hAnsi="Courier New" w:cs="宋体"/>
          <w:szCs w:val="21"/>
        </w:rPr>
      </w:pPr>
    </w:p>
    <w:p>
      <w:pPr>
        <w:autoSpaceDE w:val="0"/>
        <w:autoSpaceDN w:val="0"/>
        <w:adjustRightInd w:val="0"/>
        <w:spacing w:line="200" w:lineRule="exact"/>
        <w:ind w:left="-485" w:leftChars="-202" w:right="-20" w:firstLine="338" w:firstLineChars="141"/>
        <w:rPr>
          <w:rFonts w:ascii="宋体" w:hAnsi="Courier New" w:cs="宋体"/>
          <w:szCs w:val="21"/>
        </w:rPr>
      </w:pPr>
    </w:p>
    <w:p>
      <w:pPr>
        <w:autoSpaceDE w:val="0"/>
        <w:autoSpaceDN w:val="0"/>
        <w:adjustRightInd w:val="0"/>
        <w:spacing w:line="200" w:lineRule="exact"/>
        <w:ind w:left="-485" w:leftChars="-202" w:right="-20" w:firstLine="338" w:firstLineChars="141"/>
        <w:rPr>
          <w:rFonts w:ascii="宋体" w:hAnsi="Courier New" w:cs="宋体"/>
          <w:szCs w:val="21"/>
        </w:rPr>
      </w:pPr>
    </w:p>
    <w:p>
      <w:pPr>
        <w:autoSpaceDE w:val="0"/>
        <w:autoSpaceDN w:val="0"/>
        <w:adjustRightInd w:val="0"/>
        <w:spacing w:line="200" w:lineRule="exact"/>
        <w:ind w:left="-485" w:leftChars="-202" w:right="-20" w:firstLine="338" w:firstLineChars="141"/>
        <w:rPr>
          <w:rFonts w:ascii="宋体" w:hAnsi="Courier New" w:cs="宋体"/>
          <w:szCs w:val="21"/>
        </w:rPr>
      </w:pPr>
    </w:p>
    <w:p>
      <w:pPr>
        <w:autoSpaceDE w:val="0"/>
        <w:autoSpaceDN w:val="0"/>
        <w:adjustRightInd w:val="0"/>
        <w:spacing w:before="14" w:line="200" w:lineRule="exact"/>
        <w:ind w:left="-485" w:leftChars="-202" w:right="-20" w:firstLine="338" w:firstLineChars="141"/>
        <w:rPr>
          <w:rFonts w:ascii="宋体" w:hAnsi="Courier New" w:cs="宋体"/>
          <w:szCs w:val="21"/>
        </w:rPr>
      </w:pPr>
    </w:p>
    <w:p>
      <w:pPr>
        <w:tabs>
          <w:tab w:val="left" w:pos="6880"/>
        </w:tabs>
        <w:autoSpaceDE w:val="0"/>
        <w:autoSpaceDN w:val="0"/>
        <w:adjustRightInd w:val="0"/>
        <w:ind w:left="-485" w:leftChars="-202" w:right="-20" w:firstLine="338" w:firstLineChars="141"/>
        <w:rPr>
          <w:rFonts w:ascii="宋体" w:hAnsi="Courier New" w:cs="宋体"/>
          <w:szCs w:val="21"/>
        </w:rPr>
      </w:pPr>
      <w:r>
        <w:rPr>
          <w:rFonts w:hint="eastAsia" w:ascii="宋体" w:hAnsi="Courier New" w:cs="宋体"/>
          <w:szCs w:val="21"/>
        </w:rPr>
        <w:t>供应商</w:t>
      </w:r>
      <w:r>
        <w:rPr>
          <w:rFonts w:hint="eastAsia" w:ascii="宋体" w:hAnsi="宋体"/>
        </w:rPr>
        <w:t>名称</w:t>
      </w:r>
      <w:r>
        <w:rPr>
          <w:rFonts w:hint="eastAsia" w:ascii="宋体" w:hAnsi="Courier New" w:cs="宋体"/>
          <w:spacing w:val="-48"/>
          <w:szCs w:val="21"/>
        </w:rPr>
        <w:t>：</w:t>
      </w:r>
      <w:r>
        <w:rPr>
          <w:rFonts w:ascii="宋体" w:hAnsi="Courier New" w:cs="宋体"/>
          <w:szCs w:val="21"/>
          <w:u w:val="single"/>
        </w:rPr>
        <w:tab/>
      </w:r>
      <w:r>
        <w:rPr>
          <w:rFonts w:hint="eastAsia" w:ascii="宋体" w:hAnsi="Courier New" w:cs="宋体"/>
          <w:szCs w:val="21"/>
          <w:u w:val="single"/>
        </w:rPr>
        <w:t>（</w:t>
      </w:r>
      <w:r>
        <w:rPr>
          <w:rFonts w:hint="eastAsia" w:ascii="宋体" w:hAnsi="Courier New" w:cs="宋体"/>
          <w:szCs w:val="21"/>
        </w:rPr>
        <w:t>盖</w:t>
      </w:r>
      <w:r>
        <w:rPr>
          <w:rFonts w:hint="eastAsia" w:ascii="宋体" w:hAnsi="Courier New" w:cs="宋体"/>
          <w:spacing w:val="5"/>
          <w:szCs w:val="21"/>
        </w:rPr>
        <w:t>单</w:t>
      </w:r>
      <w:r>
        <w:rPr>
          <w:rFonts w:hint="eastAsia" w:ascii="宋体" w:hAnsi="Courier New" w:cs="宋体"/>
          <w:szCs w:val="21"/>
        </w:rPr>
        <w:t>位章）</w:t>
      </w:r>
    </w:p>
    <w:p>
      <w:pPr>
        <w:autoSpaceDE w:val="0"/>
        <w:autoSpaceDN w:val="0"/>
        <w:adjustRightInd w:val="0"/>
        <w:spacing w:before="11" w:line="200" w:lineRule="exact"/>
        <w:ind w:left="-485" w:leftChars="-202" w:right="-20" w:firstLine="338" w:firstLineChars="141"/>
        <w:rPr>
          <w:rFonts w:ascii="宋体" w:hAnsi="Courier New" w:cs="宋体"/>
          <w:szCs w:val="21"/>
        </w:rPr>
      </w:pPr>
    </w:p>
    <w:p>
      <w:pPr>
        <w:tabs>
          <w:tab w:val="left" w:pos="7380"/>
        </w:tabs>
        <w:autoSpaceDE w:val="0"/>
        <w:autoSpaceDN w:val="0"/>
        <w:adjustRightInd w:val="0"/>
        <w:spacing w:line="413" w:lineRule="exact"/>
        <w:ind w:left="-485" w:leftChars="-202" w:right="-20" w:firstLine="352" w:firstLineChars="141"/>
        <w:rPr>
          <w:rFonts w:ascii="宋体" w:hAnsi="Courier New" w:cs="宋体"/>
          <w:szCs w:val="21"/>
        </w:rPr>
      </w:pPr>
      <w:r>
        <w:rPr>
          <w:rFonts w:hint="eastAsia" w:ascii="宋体" w:hAnsi="Courier New" w:cs="宋体"/>
          <w:spacing w:val="5"/>
          <w:position w:val="-4"/>
          <w:szCs w:val="21"/>
        </w:rPr>
        <w:t>法</w:t>
      </w:r>
      <w:r>
        <w:rPr>
          <w:rFonts w:hint="eastAsia" w:ascii="宋体" w:hAnsi="Courier New" w:cs="宋体"/>
          <w:position w:val="-4"/>
          <w:szCs w:val="21"/>
        </w:rPr>
        <w:t>定代</w:t>
      </w:r>
      <w:r>
        <w:rPr>
          <w:rFonts w:hint="eastAsia" w:ascii="宋体" w:hAnsi="Courier New" w:cs="宋体"/>
          <w:spacing w:val="5"/>
          <w:position w:val="-4"/>
          <w:szCs w:val="21"/>
        </w:rPr>
        <w:t>表</w:t>
      </w:r>
      <w:r>
        <w:rPr>
          <w:rFonts w:hint="eastAsia" w:ascii="宋体" w:hAnsi="Courier New" w:cs="宋体"/>
          <w:position w:val="-4"/>
          <w:szCs w:val="21"/>
        </w:rPr>
        <w:t>人或委托</w:t>
      </w:r>
      <w:r>
        <w:rPr>
          <w:rFonts w:hint="eastAsia" w:ascii="宋体" w:hAnsi="Courier New" w:cs="宋体"/>
          <w:spacing w:val="5"/>
          <w:position w:val="-4"/>
          <w:szCs w:val="21"/>
        </w:rPr>
        <w:t>代理</w:t>
      </w:r>
      <w:r>
        <w:rPr>
          <w:rFonts w:hint="eastAsia" w:ascii="宋体" w:hAnsi="Courier New" w:cs="宋体"/>
          <w:position w:val="-4"/>
          <w:szCs w:val="21"/>
        </w:rPr>
        <w:t>人：</w:t>
      </w:r>
      <w:r>
        <w:rPr>
          <w:rFonts w:ascii="宋体" w:hAnsi="Courier New" w:cs="宋体"/>
          <w:spacing w:val="-4"/>
          <w:position w:val="-4"/>
          <w:szCs w:val="21"/>
          <w:u w:val="single"/>
        </w:rPr>
        <w:t xml:space="preserve"> </w:t>
      </w:r>
      <w:r>
        <w:rPr>
          <w:rFonts w:ascii="宋体" w:hAnsi="Courier New" w:cs="宋体"/>
          <w:spacing w:val="-4"/>
          <w:position w:val="-4"/>
          <w:szCs w:val="21"/>
          <w:u w:val="single"/>
        </w:rPr>
        <w:tab/>
      </w:r>
      <w:r>
        <w:rPr>
          <w:rFonts w:hint="eastAsia" w:ascii="宋体" w:hAnsi="Courier New" w:cs="宋体"/>
          <w:spacing w:val="5"/>
          <w:position w:val="-4"/>
          <w:szCs w:val="21"/>
        </w:rPr>
        <w:t>（</w:t>
      </w:r>
      <w:r>
        <w:rPr>
          <w:rFonts w:hint="eastAsia" w:ascii="宋体" w:hAnsi="Courier New" w:cs="宋体"/>
          <w:position w:val="-4"/>
          <w:szCs w:val="21"/>
        </w:rPr>
        <w:t>签</w:t>
      </w:r>
      <w:r>
        <w:rPr>
          <w:rFonts w:hint="eastAsia" w:ascii="宋体" w:hAnsi="Courier New" w:cs="宋体"/>
          <w:spacing w:val="5"/>
          <w:position w:val="-4"/>
          <w:szCs w:val="21"/>
        </w:rPr>
        <w:t>字</w:t>
      </w:r>
      <w:r>
        <w:rPr>
          <w:rFonts w:hint="eastAsia" w:ascii="宋体" w:hAnsi="Courier New" w:cs="宋体"/>
          <w:position w:val="-4"/>
          <w:szCs w:val="21"/>
        </w:rPr>
        <w:t>）</w:t>
      </w:r>
    </w:p>
    <w:p>
      <w:pPr>
        <w:autoSpaceDE w:val="0"/>
        <w:autoSpaceDN w:val="0"/>
        <w:adjustRightInd w:val="0"/>
        <w:spacing w:before="10" w:line="160" w:lineRule="exact"/>
        <w:ind w:left="-485" w:leftChars="-202" w:right="-20" w:firstLine="338" w:firstLineChars="141"/>
        <w:rPr>
          <w:rFonts w:ascii="宋体" w:hAnsi="Courier New" w:cs="宋体"/>
          <w:szCs w:val="21"/>
        </w:rPr>
      </w:pPr>
    </w:p>
    <w:p>
      <w:pPr>
        <w:autoSpaceDE w:val="0"/>
        <w:autoSpaceDN w:val="0"/>
        <w:adjustRightInd w:val="0"/>
        <w:spacing w:line="200" w:lineRule="exact"/>
        <w:ind w:left="-485" w:leftChars="-202" w:right="-20" w:firstLine="338" w:firstLineChars="141"/>
        <w:rPr>
          <w:rFonts w:ascii="宋体" w:hAnsi="Courier New" w:cs="宋体"/>
          <w:szCs w:val="21"/>
        </w:rPr>
      </w:pPr>
    </w:p>
    <w:p>
      <w:pPr>
        <w:autoSpaceDE w:val="0"/>
        <w:autoSpaceDN w:val="0"/>
        <w:adjustRightInd w:val="0"/>
        <w:spacing w:line="200" w:lineRule="exact"/>
        <w:ind w:left="-485" w:leftChars="-202" w:right="-20" w:firstLine="338" w:firstLineChars="141"/>
        <w:rPr>
          <w:rFonts w:ascii="宋体" w:hAnsi="Courier New" w:cs="宋体"/>
          <w:szCs w:val="21"/>
        </w:rPr>
      </w:pPr>
    </w:p>
    <w:p>
      <w:pPr>
        <w:autoSpaceDE w:val="0"/>
        <w:autoSpaceDN w:val="0"/>
        <w:adjustRightInd w:val="0"/>
        <w:spacing w:line="200" w:lineRule="exact"/>
        <w:ind w:left="-485" w:leftChars="-202" w:right="-20" w:firstLine="338" w:firstLineChars="141"/>
        <w:rPr>
          <w:rFonts w:ascii="宋体" w:hAnsi="Courier New" w:cs="宋体"/>
          <w:szCs w:val="21"/>
        </w:rPr>
      </w:pPr>
    </w:p>
    <w:p>
      <w:pPr>
        <w:autoSpaceDE w:val="0"/>
        <w:autoSpaceDN w:val="0"/>
        <w:adjustRightInd w:val="0"/>
        <w:spacing w:line="200" w:lineRule="exact"/>
        <w:ind w:left="-485" w:leftChars="-202" w:right="-20" w:firstLine="338" w:firstLineChars="141"/>
        <w:rPr>
          <w:rFonts w:ascii="宋体" w:hAnsi="Courier New" w:cs="宋体"/>
          <w:szCs w:val="21"/>
        </w:rPr>
      </w:pPr>
    </w:p>
    <w:p>
      <w:pPr>
        <w:spacing w:line="360" w:lineRule="auto"/>
        <w:jc w:val="center"/>
        <w:rPr>
          <w:rFonts w:ascii="宋体" w:hAnsi="宋体"/>
          <w:color w:val="000000"/>
        </w:rPr>
      </w:pPr>
      <w:r>
        <w:rPr>
          <w:rFonts w:hint="eastAsia" w:ascii="宋体" w:hAnsi="Courier New" w:cs="宋体"/>
          <w:w w:val="99"/>
          <w:position w:val="-2"/>
          <w:szCs w:val="21"/>
          <w:u w:val="none"/>
          <w:lang w:val="en-US" w:eastAsia="zh-CN"/>
        </w:rPr>
        <w:t xml:space="preserve">                                      </w:t>
      </w:r>
      <w:r>
        <w:rPr>
          <w:rFonts w:ascii="宋体" w:hAnsi="Courier New" w:cs="宋体"/>
          <w:w w:val="99"/>
          <w:position w:val="-2"/>
          <w:szCs w:val="21"/>
          <w:u w:val="single"/>
        </w:rPr>
        <w:t xml:space="preserve"> </w:t>
      </w:r>
      <w:r>
        <w:rPr>
          <w:rFonts w:ascii="宋体" w:hAnsi="Courier New" w:cs="宋体"/>
          <w:position w:val="-2"/>
          <w:szCs w:val="21"/>
          <w:u w:val="single"/>
        </w:rPr>
        <w:tab/>
      </w:r>
      <w:r>
        <w:rPr>
          <w:rFonts w:hint="eastAsia" w:ascii="宋体" w:hAnsi="Courier New" w:cs="宋体"/>
          <w:position w:val="-2"/>
          <w:szCs w:val="21"/>
        </w:rPr>
        <w:t>年</w:t>
      </w:r>
      <w:r>
        <w:rPr>
          <w:rFonts w:hint="eastAsia" w:ascii="宋体" w:hAnsi="Courier New" w:cs="宋体"/>
          <w:position w:val="-2"/>
          <w:szCs w:val="21"/>
          <w:lang w:val="en-US" w:eastAsia="zh-CN"/>
        </w:rPr>
        <w:t xml:space="preserve"> </w:t>
      </w:r>
      <w:r>
        <w:rPr>
          <w:rFonts w:ascii="宋体" w:hAnsi="Courier New" w:cs="宋体"/>
          <w:spacing w:val="-2"/>
          <w:position w:val="-2"/>
          <w:szCs w:val="21"/>
          <w:u w:val="single"/>
        </w:rPr>
        <w:t xml:space="preserve"> </w:t>
      </w:r>
      <w:r>
        <w:rPr>
          <w:rFonts w:ascii="宋体" w:hAnsi="Courier New" w:cs="宋体"/>
          <w:spacing w:val="-2"/>
          <w:position w:val="-2"/>
          <w:szCs w:val="21"/>
          <w:u w:val="single"/>
        </w:rPr>
        <w:tab/>
      </w:r>
      <w:r>
        <w:rPr>
          <w:rFonts w:hint="eastAsia" w:ascii="宋体" w:hAnsi="Courier New" w:cs="宋体"/>
          <w:position w:val="-2"/>
          <w:szCs w:val="21"/>
        </w:rPr>
        <w:t>月</w:t>
      </w:r>
      <w:r>
        <w:rPr>
          <w:rFonts w:ascii="宋体" w:hAnsi="Courier New" w:cs="宋体"/>
          <w:spacing w:val="-2"/>
          <w:position w:val="-2"/>
          <w:szCs w:val="21"/>
          <w:u w:val="single"/>
        </w:rPr>
        <w:t xml:space="preserve"> </w:t>
      </w:r>
      <w:r>
        <w:rPr>
          <w:rFonts w:hint="eastAsia" w:ascii="宋体" w:hAnsi="Courier New" w:cs="宋体"/>
          <w:spacing w:val="-2"/>
          <w:position w:val="-2"/>
          <w:szCs w:val="21"/>
          <w:u w:val="single"/>
          <w:lang w:val="en-US" w:eastAsia="zh-CN"/>
        </w:rPr>
        <w:t xml:space="preserve"> </w:t>
      </w:r>
      <w:r>
        <w:rPr>
          <w:rFonts w:ascii="宋体" w:hAnsi="Courier New" w:cs="宋体"/>
          <w:spacing w:val="-2"/>
          <w:position w:val="-2"/>
          <w:szCs w:val="21"/>
          <w:u w:val="single"/>
        </w:rPr>
        <w:tab/>
      </w:r>
      <w:r>
        <w:rPr>
          <w:rFonts w:hint="eastAsia" w:ascii="宋体" w:hAnsi="Courier New" w:cs="宋体"/>
          <w:position w:val="-2"/>
          <w:szCs w:val="21"/>
        </w:rPr>
        <w:t>日</w:t>
      </w:r>
    </w:p>
    <w:bookmarkEnd w:id="737"/>
    <w:p>
      <w:pPr>
        <w:tabs>
          <w:tab w:val="left" w:pos="900"/>
        </w:tabs>
        <w:spacing w:line="360" w:lineRule="auto"/>
        <w:jc w:val="center"/>
        <w:rPr>
          <w:rFonts w:ascii="宋体" w:hAnsi="宋体"/>
          <w:b/>
          <w:color w:val="000000"/>
          <w:sz w:val="32"/>
        </w:rPr>
      </w:pPr>
      <w:r>
        <w:rPr>
          <w:rFonts w:ascii="宋体" w:hAnsi="宋体"/>
          <w:color w:val="000000"/>
        </w:rPr>
        <w:br w:type="page"/>
      </w:r>
      <w:r>
        <w:rPr>
          <w:rFonts w:ascii="宋体" w:hAnsi="宋体"/>
          <w:b/>
          <w:color w:val="000000"/>
          <w:sz w:val="32"/>
        </w:rPr>
        <w:t xml:space="preserve">第二部分     </w:t>
      </w:r>
      <w:r>
        <w:rPr>
          <w:rFonts w:hint="eastAsia" w:ascii="宋体" w:hAnsi="宋体"/>
          <w:b/>
          <w:color w:val="000000"/>
          <w:sz w:val="32"/>
        </w:rPr>
        <w:t>其他</w:t>
      </w:r>
      <w:r>
        <w:rPr>
          <w:rFonts w:ascii="宋体" w:hAnsi="宋体"/>
          <w:b/>
          <w:color w:val="000000"/>
          <w:sz w:val="32"/>
        </w:rPr>
        <w:t>响应文件（格式）</w:t>
      </w:r>
    </w:p>
    <w:p>
      <w:pPr>
        <w:spacing w:line="420" w:lineRule="exact"/>
        <w:rPr>
          <w:rFonts w:ascii="宋体" w:hAnsi="宋体"/>
          <w:b/>
          <w:color w:val="000000"/>
          <w:sz w:val="28"/>
        </w:rPr>
      </w:pPr>
      <w:r>
        <w:rPr>
          <w:rFonts w:ascii="宋体" w:hAnsi="宋体"/>
          <w:b/>
          <w:color w:val="000000"/>
        </w:rPr>
        <w:t xml:space="preserve">                            一、</w:t>
      </w:r>
      <w:r>
        <w:rPr>
          <w:rFonts w:ascii="宋体" w:hAnsi="宋体"/>
          <w:b/>
          <w:color w:val="000000"/>
          <w:sz w:val="28"/>
        </w:rPr>
        <w:t xml:space="preserve">响 应 </w:t>
      </w:r>
      <w:r>
        <w:rPr>
          <w:rFonts w:hint="eastAsia" w:ascii="宋体" w:hAnsi="宋体"/>
          <w:b/>
          <w:color w:val="000000"/>
          <w:sz w:val="28"/>
        </w:rPr>
        <w:t>函</w:t>
      </w:r>
    </w:p>
    <w:p>
      <w:pPr>
        <w:pStyle w:val="26"/>
        <w:spacing w:line="520" w:lineRule="exact"/>
        <w:rPr>
          <w:rFonts w:hint="default" w:ascii="宋体" w:hAnsi="宋体" w:eastAsia="宋体" w:cs="Times New Roman"/>
          <w:color w:val="000000"/>
          <w:sz w:val="24"/>
          <w:szCs w:val="24"/>
          <w:lang w:val="en-US" w:eastAsia="zh-CN" w:bidi="ar-SA"/>
        </w:rPr>
      </w:pPr>
      <w:r>
        <w:rPr>
          <w:rFonts w:hAnsi="宋体"/>
          <w:color w:val="000000"/>
          <w:sz w:val="24"/>
          <w:szCs w:val="24"/>
        </w:rPr>
        <w:t>致：</w:t>
      </w:r>
      <w:r>
        <w:rPr>
          <w:rFonts w:hAnsi="宋体"/>
          <w:color w:val="000000"/>
          <w:u w:val="single"/>
        </w:rPr>
        <w:t xml:space="preserve">                 </w:t>
      </w:r>
      <w:r>
        <w:rPr>
          <w:rFonts w:hint="default" w:ascii="宋体" w:hAnsi="宋体" w:eastAsia="宋体" w:cs="Times New Roman"/>
          <w:color w:val="000000"/>
          <w:sz w:val="24"/>
          <w:szCs w:val="24"/>
          <w:lang w:val="en-US" w:eastAsia="zh-CN" w:bidi="ar-SA"/>
        </w:rPr>
        <w:t>（采购代理机构）</w:t>
      </w:r>
    </w:p>
    <w:p>
      <w:pPr>
        <w:autoSpaceDE w:val="0"/>
        <w:autoSpaceDN w:val="0"/>
        <w:snapToGrid w:val="0"/>
        <w:spacing w:line="520" w:lineRule="exact"/>
        <w:ind w:firstLine="360" w:firstLineChars="150"/>
        <w:rPr>
          <w:rFonts w:ascii="宋体" w:hAnsi="宋体"/>
          <w:color w:val="000000"/>
          <w:u w:val="single"/>
        </w:rPr>
      </w:pPr>
      <w:r>
        <w:rPr>
          <w:rFonts w:ascii="宋体" w:hAnsi="宋体"/>
          <w:color w:val="000000"/>
        </w:rPr>
        <w:t>根据贵方</w:t>
      </w:r>
      <w:r>
        <w:rPr>
          <w:rFonts w:ascii="宋体" w:hAnsi="宋体"/>
          <w:color w:val="000000"/>
          <w:u w:val="single"/>
        </w:rPr>
        <w:t xml:space="preserve">                     </w:t>
      </w:r>
      <w:r>
        <w:rPr>
          <w:rFonts w:ascii="宋体" w:hAnsi="宋体"/>
          <w:color w:val="000000"/>
        </w:rPr>
        <w:t>项目，编号为</w:t>
      </w:r>
      <w:r>
        <w:rPr>
          <w:rFonts w:ascii="宋体" w:hAnsi="宋体"/>
          <w:color w:val="000000"/>
          <w:u w:val="single"/>
        </w:rPr>
        <w:t xml:space="preserve">              </w:t>
      </w:r>
      <w:r>
        <w:rPr>
          <w:rFonts w:ascii="宋体" w:hAnsi="宋体"/>
          <w:color w:val="000000"/>
        </w:rPr>
        <w:t>的磋商邀请，正式授权的下述签字人</w:t>
      </w:r>
      <w:r>
        <w:rPr>
          <w:rFonts w:ascii="宋体" w:hAnsi="宋体"/>
          <w:color w:val="000000"/>
          <w:u w:val="single"/>
        </w:rPr>
        <w:t xml:space="preserve">               </w:t>
      </w:r>
      <w:r>
        <w:rPr>
          <w:rFonts w:ascii="宋体" w:hAnsi="宋体"/>
          <w:color w:val="000000"/>
        </w:rPr>
        <w:t xml:space="preserve"> (姓名和职务)代表供应商</w:t>
      </w:r>
      <w:r>
        <w:rPr>
          <w:rFonts w:ascii="宋体" w:hAnsi="宋体"/>
          <w:color w:val="000000"/>
          <w:u w:val="single"/>
        </w:rPr>
        <w:t xml:space="preserve"> </w:t>
      </w:r>
      <w:r>
        <w:rPr>
          <w:rFonts w:hint="eastAsia" w:ascii="宋体" w:hAnsi="宋体"/>
          <w:color w:val="000000"/>
          <w:u w:val="single"/>
        </w:rPr>
        <w:t xml:space="preserve">           </w:t>
      </w:r>
      <w:r>
        <w:rPr>
          <w:rFonts w:ascii="宋体" w:hAnsi="宋体"/>
          <w:color w:val="000000"/>
        </w:rPr>
        <w:t>(供应商的名称)，提交文件正本1份，副本</w:t>
      </w:r>
      <w:r>
        <w:rPr>
          <w:rFonts w:ascii="宋体" w:hAnsi="宋体"/>
          <w:color w:val="000000"/>
          <w:u w:val="single"/>
        </w:rPr>
        <w:t xml:space="preserve">     </w:t>
      </w:r>
      <w:r>
        <w:rPr>
          <w:rFonts w:ascii="宋体" w:hAnsi="宋体"/>
          <w:color w:val="000000"/>
        </w:rPr>
        <w:t>份。</w:t>
      </w:r>
    </w:p>
    <w:p>
      <w:pPr>
        <w:autoSpaceDE w:val="0"/>
        <w:autoSpaceDN w:val="0"/>
        <w:snapToGrid w:val="0"/>
        <w:spacing w:line="520" w:lineRule="exact"/>
        <w:ind w:firstLine="571" w:firstLineChars="238"/>
        <w:rPr>
          <w:rFonts w:ascii="宋体" w:hAnsi="宋体"/>
          <w:color w:val="000000"/>
        </w:rPr>
      </w:pPr>
      <w:r>
        <w:rPr>
          <w:rFonts w:ascii="宋体" w:hAnsi="宋体"/>
          <w:color w:val="000000"/>
        </w:rPr>
        <w:t>据此函，签字人兹宣布同意如下：</w:t>
      </w:r>
    </w:p>
    <w:p>
      <w:pPr>
        <w:autoSpaceDE w:val="0"/>
        <w:autoSpaceDN w:val="0"/>
        <w:snapToGrid w:val="0"/>
        <w:spacing w:line="520" w:lineRule="exact"/>
        <w:ind w:left="398" w:hanging="398" w:hangingChars="166"/>
        <w:rPr>
          <w:rFonts w:ascii="宋体" w:hAnsi="宋体" w:cs="宋体"/>
          <w:color w:val="000000"/>
          <w:spacing w:val="8"/>
        </w:rPr>
      </w:pPr>
      <w:r>
        <w:rPr>
          <w:rFonts w:ascii="宋体" w:hAnsi="宋体"/>
          <w:color w:val="000000"/>
        </w:rPr>
        <w:t>(</w:t>
      </w:r>
      <w:r>
        <w:rPr>
          <w:rFonts w:hint="eastAsia" w:ascii="宋体" w:hAnsi="宋体"/>
          <w:color w:val="000000"/>
        </w:rPr>
        <w:t>1</w:t>
      </w:r>
      <w:r>
        <w:rPr>
          <w:rFonts w:ascii="宋体" w:hAnsi="宋体"/>
          <w:color w:val="000000"/>
        </w:rPr>
        <w:t>)</w:t>
      </w:r>
      <w:r>
        <w:rPr>
          <w:rFonts w:hint="eastAsia" w:ascii="宋体" w:hAnsi="宋体" w:cs="宋体"/>
          <w:color w:val="000000"/>
          <w:spacing w:val="8"/>
        </w:rPr>
        <w:t>我方愿意以人民币（大写）</w:t>
      </w:r>
      <w:r>
        <w:rPr>
          <w:rFonts w:hint="eastAsia" w:ascii="宋体" w:hAnsi="宋体" w:cs="宋体"/>
          <w:color w:val="000000"/>
          <w:spacing w:val="8"/>
          <w:u w:val="single"/>
        </w:rPr>
        <w:t xml:space="preserve">                    </w:t>
      </w:r>
      <w:r>
        <w:rPr>
          <w:rFonts w:hint="eastAsia" w:ascii="宋体" w:hAnsi="宋体" w:cs="宋体"/>
          <w:color w:val="000000"/>
          <w:spacing w:val="8"/>
        </w:rPr>
        <w:t>（小写：¥</w:t>
      </w:r>
      <w:r>
        <w:rPr>
          <w:rFonts w:hint="eastAsia" w:ascii="宋体" w:hAnsi="宋体" w:cs="宋体"/>
          <w:color w:val="000000"/>
          <w:spacing w:val="8"/>
          <w:u w:val="single"/>
        </w:rPr>
        <w:t xml:space="preserve">          </w:t>
      </w:r>
      <w:r>
        <w:rPr>
          <w:rFonts w:hint="eastAsia" w:ascii="宋体" w:hAnsi="宋体" w:cs="宋体"/>
          <w:color w:val="000000"/>
          <w:spacing w:val="8"/>
        </w:rPr>
        <w:t>元）的总报价，按合同约定实施和完成承包工程，工期为</w:t>
      </w:r>
      <w:r>
        <w:rPr>
          <w:rFonts w:hint="eastAsia" w:ascii="宋体" w:hAnsi="宋体" w:cs="宋体"/>
          <w:color w:val="000000"/>
          <w:spacing w:val="8"/>
          <w:u w:val="single"/>
        </w:rPr>
        <w:t xml:space="preserve">       </w:t>
      </w:r>
      <w:r>
        <w:rPr>
          <w:rFonts w:hint="eastAsia" w:ascii="宋体" w:hAnsi="宋体" w:cs="宋体"/>
          <w:color w:val="000000"/>
          <w:spacing w:val="8"/>
        </w:rPr>
        <w:t>日历天，工程质量达到</w:t>
      </w:r>
      <w:r>
        <w:rPr>
          <w:rFonts w:hint="eastAsia" w:ascii="宋体" w:hAnsi="宋体" w:cs="宋体"/>
          <w:color w:val="000000"/>
          <w:spacing w:val="8"/>
          <w:u w:val="single"/>
        </w:rPr>
        <w:t xml:space="preserve">        </w:t>
      </w:r>
      <w:r>
        <w:rPr>
          <w:rFonts w:hint="eastAsia" w:ascii="宋体" w:hAnsi="宋体" w:cs="宋体"/>
          <w:color w:val="000000"/>
          <w:spacing w:val="8"/>
        </w:rPr>
        <w:t>标准。</w:t>
      </w:r>
    </w:p>
    <w:p>
      <w:pPr>
        <w:autoSpaceDE w:val="0"/>
        <w:autoSpaceDN w:val="0"/>
        <w:snapToGrid w:val="0"/>
        <w:spacing w:line="520" w:lineRule="exact"/>
        <w:ind w:left="398" w:hanging="398" w:hangingChars="166"/>
        <w:rPr>
          <w:rFonts w:ascii="宋体" w:hAnsi="宋体"/>
          <w:color w:val="000000"/>
        </w:rPr>
      </w:pPr>
      <w:r>
        <w:rPr>
          <w:rFonts w:ascii="宋体" w:hAnsi="宋体"/>
          <w:color w:val="000000"/>
        </w:rPr>
        <w:t>(</w:t>
      </w:r>
      <w:r>
        <w:rPr>
          <w:rFonts w:hint="eastAsia" w:ascii="宋体" w:hAnsi="宋体"/>
          <w:color w:val="000000"/>
        </w:rPr>
        <w:t>2</w:t>
      </w:r>
      <w:r>
        <w:rPr>
          <w:rFonts w:ascii="宋体" w:hAnsi="宋体"/>
          <w:color w:val="000000"/>
        </w:rPr>
        <w:t>) 我们根据磋商文件的规定，承担完成合同的责任和义务。</w:t>
      </w:r>
    </w:p>
    <w:p>
      <w:pPr>
        <w:autoSpaceDE w:val="0"/>
        <w:autoSpaceDN w:val="0"/>
        <w:snapToGrid w:val="0"/>
        <w:spacing w:line="520" w:lineRule="exact"/>
        <w:ind w:left="398" w:hanging="398" w:hangingChars="166"/>
        <w:rPr>
          <w:rFonts w:ascii="宋体" w:hAnsi="宋体"/>
          <w:color w:val="000000"/>
        </w:rPr>
      </w:pPr>
      <w:r>
        <w:rPr>
          <w:rFonts w:ascii="宋体" w:hAnsi="宋体"/>
          <w:color w:val="000000"/>
        </w:rPr>
        <w:t>(</w:t>
      </w:r>
      <w:r>
        <w:rPr>
          <w:rFonts w:hint="eastAsia" w:ascii="宋体" w:hAnsi="宋体"/>
          <w:color w:val="000000"/>
        </w:rPr>
        <w:t>3</w:t>
      </w:r>
      <w:r>
        <w:rPr>
          <w:rFonts w:ascii="宋体" w:hAnsi="宋体"/>
          <w:color w:val="000000"/>
        </w:rPr>
        <w:t>) 我们已详细审核全部磋商文件，包括磋商文件修改书(如果有的话)，参考资料及有关附件，我们完全理解并放弃提出含糊不清或误解的问题的权利。</w:t>
      </w:r>
    </w:p>
    <w:p>
      <w:pPr>
        <w:autoSpaceDE w:val="0"/>
        <w:autoSpaceDN w:val="0"/>
        <w:snapToGrid w:val="0"/>
        <w:spacing w:line="520" w:lineRule="exact"/>
        <w:ind w:left="398" w:hanging="398" w:hangingChars="166"/>
        <w:rPr>
          <w:rFonts w:ascii="宋体" w:hAnsi="宋体"/>
          <w:color w:val="000000"/>
        </w:rPr>
      </w:pPr>
      <w:r>
        <w:rPr>
          <w:rFonts w:ascii="宋体" w:hAnsi="宋体"/>
          <w:color w:val="000000"/>
        </w:rPr>
        <w:t>(</w:t>
      </w:r>
      <w:r>
        <w:rPr>
          <w:rFonts w:hint="eastAsia" w:ascii="宋体" w:hAnsi="宋体"/>
          <w:color w:val="000000"/>
        </w:rPr>
        <w:t>4</w:t>
      </w:r>
      <w:r>
        <w:rPr>
          <w:rFonts w:ascii="宋体" w:hAnsi="宋体"/>
          <w:color w:val="000000"/>
        </w:rPr>
        <w:t>) 本报价有效期为</w:t>
      </w:r>
      <w:r>
        <w:rPr>
          <w:rFonts w:hint="eastAsia" w:ascii="宋体" w:hAnsi="宋体"/>
          <w:color w:val="000000"/>
          <w:u w:val="single"/>
          <w:lang w:val="en-US" w:eastAsia="zh-CN"/>
        </w:rPr>
        <w:t xml:space="preserve">          </w:t>
      </w:r>
      <w:r>
        <w:rPr>
          <w:rFonts w:ascii="宋体" w:hAnsi="宋体"/>
          <w:color w:val="000000"/>
        </w:rPr>
        <w:t>。报价有效期满之前均具有约束力。</w:t>
      </w:r>
    </w:p>
    <w:p>
      <w:pPr>
        <w:autoSpaceDE w:val="0"/>
        <w:autoSpaceDN w:val="0"/>
        <w:snapToGrid w:val="0"/>
        <w:spacing w:line="520" w:lineRule="exact"/>
        <w:ind w:left="398" w:hanging="398" w:hangingChars="166"/>
        <w:rPr>
          <w:rFonts w:ascii="宋体" w:hAnsi="宋体"/>
          <w:color w:val="000000"/>
        </w:rPr>
      </w:pPr>
      <w:r>
        <w:rPr>
          <w:rFonts w:ascii="宋体" w:hAnsi="宋体"/>
          <w:color w:val="000000"/>
        </w:rPr>
        <w:t>(</w:t>
      </w:r>
      <w:r>
        <w:rPr>
          <w:rFonts w:hint="eastAsia" w:ascii="宋体" w:hAnsi="宋体"/>
          <w:color w:val="000000"/>
        </w:rPr>
        <w:t>5</w:t>
      </w:r>
      <w:r>
        <w:rPr>
          <w:rFonts w:ascii="宋体" w:hAnsi="宋体"/>
          <w:color w:val="000000"/>
        </w:rPr>
        <w:t>) 同意按磋商须知中关于不予退还磋商保证金的规定。</w:t>
      </w:r>
    </w:p>
    <w:p>
      <w:pPr>
        <w:autoSpaceDE w:val="0"/>
        <w:autoSpaceDN w:val="0"/>
        <w:snapToGrid w:val="0"/>
        <w:spacing w:line="520" w:lineRule="exact"/>
        <w:ind w:left="398" w:hanging="398" w:hangingChars="166"/>
        <w:rPr>
          <w:rFonts w:ascii="宋体" w:hAnsi="宋体"/>
          <w:color w:val="000000"/>
        </w:rPr>
      </w:pPr>
      <w:r>
        <w:rPr>
          <w:rFonts w:ascii="宋体" w:hAnsi="宋体"/>
          <w:color w:val="000000"/>
        </w:rPr>
        <w:t>(</w:t>
      </w:r>
      <w:r>
        <w:rPr>
          <w:rFonts w:hint="eastAsia" w:ascii="宋体" w:hAnsi="宋体"/>
          <w:color w:val="000000"/>
        </w:rPr>
        <w:t>6</w:t>
      </w:r>
      <w:r>
        <w:rPr>
          <w:rFonts w:ascii="宋体" w:hAnsi="宋体"/>
          <w:color w:val="000000"/>
        </w:rPr>
        <w:t>) 同意向贵方提供贵方可能要求的与本报价有关任何证据或资料。</w:t>
      </w:r>
    </w:p>
    <w:p>
      <w:pPr>
        <w:autoSpaceDE w:val="0"/>
        <w:autoSpaceDN w:val="0"/>
        <w:snapToGrid w:val="0"/>
        <w:spacing w:line="520" w:lineRule="exact"/>
        <w:ind w:left="398" w:hanging="398" w:hangingChars="166"/>
        <w:rPr>
          <w:rFonts w:ascii="宋体" w:hAnsi="宋体"/>
          <w:color w:val="000000"/>
        </w:rPr>
      </w:pPr>
      <w:r>
        <w:rPr>
          <w:rFonts w:ascii="宋体" w:hAnsi="宋体"/>
          <w:color w:val="000000"/>
        </w:rPr>
        <w:t>(</w:t>
      </w:r>
      <w:r>
        <w:rPr>
          <w:rFonts w:hint="eastAsia" w:ascii="宋体" w:hAnsi="宋体"/>
          <w:color w:val="000000"/>
        </w:rPr>
        <w:t>7</w:t>
      </w:r>
      <w:r>
        <w:rPr>
          <w:rFonts w:ascii="宋体" w:hAnsi="宋体"/>
          <w:color w:val="000000"/>
        </w:rPr>
        <w:t>) 我们完全理解贵方不一定要接受最低报价的报价或收到的任何报价。</w:t>
      </w:r>
    </w:p>
    <w:p>
      <w:pPr>
        <w:autoSpaceDE w:val="0"/>
        <w:autoSpaceDN w:val="0"/>
        <w:snapToGrid w:val="0"/>
        <w:spacing w:line="520" w:lineRule="exact"/>
        <w:ind w:left="398" w:hanging="398" w:hangingChars="166"/>
        <w:rPr>
          <w:rFonts w:ascii="宋体" w:hAnsi="宋体"/>
          <w:color w:val="000000"/>
        </w:rPr>
      </w:pPr>
      <w:r>
        <w:rPr>
          <w:rFonts w:ascii="宋体" w:hAnsi="宋体"/>
          <w:color w:val="000000"/>
        </w:rPr>
        <w:t>与本报价有关的正式通讯地址为：</w:t>
      </w:r>
    </w:p>
    <w:p>
      <w:pPr>
        <w:autoSpaceDE w:val="0"/>
        <w:autoSpaceDN w:val="0"/>
        <w:snapToGrid w:val="0"/>
        <w:spacing w:line="520" w:lineRule="exact"/>
        <w:rPr>
          <w:rFonts w:ascii="宋体" w:hAnsi="宋体"/>
          <w:color w:val="000000"/>
        </w:rPr>
      </w:pPr>
      <w:r>
        <w:rPr>
          <w:rFonts w:ascii="宋体" w:hAnsi="宋体"/>
          <w:color w:val="000000"/>
        </w:rPr>
        <w:t>供应商名称：</w:t>
      </w:r>
      <w:r>
        <w:rPr>
          <w:rFonts w:hint="eastAsia" w:ascii="宋体" w:hAnsi="宋体"/>
          <w:color w:val="000000"/>
          <w:u w:val="single"/>
        </w:rPr>
        <w:t xml:space="preserve">                              </w:t>
      </w:r>
      <w:r>
        <w:rPr>
          <w:rFonts w:hint="eastAsia" w:ascii="宋体" w:hAnsi="宋体"/>
          <w:color w:val="000000"/>
        </w:rPr>
        <w:t>（加盖供应商鲜章）</w:t>
      </w:r>
    </w:p>
    <w:p>
      <w:pPr>
        <w:spacing w:line="520" w:lineRule="exact"/>
        <w:rPr>
          <w:rFonts w:ascii="宋体" w:hAnsi="宋体"/>
          <w:color w:val="000000"/>
          <w:u w:val="single"/>
        </w:rPr>
      </w:pPr>
      <w:r>
        <w:rPr>
          <w:rFonts w:ascii="宋体" w:hAnsi="宋体"/>
          <w:color w:val="000000"/>
        </w:rPr>
        <w:t>地址：</w:t>
      </w:r>
      <w:r>
        <w:rPr>
          <w:rFonts w:ascii="宋体" w:hAnsi="宋体"/>
          <w:color w:val="000000"/>
          <w:u w:val="single"/>
        </w:rPr>
        <w:t xml:space="preserve">                                </w:t>
      </w:r>
    </w:p>
    <w:p>
      <w:pPr>
        <w:autoSpaceDE w:val="0"/>
        <w:autoSpaceDN w:val="0"/>
        <w:snapToGrid w:val="0"/>
        <w:spacing w:line="520" w:lineRule="exact"/>
        <w:rPr>
          <w:rFonts w:ascii="宋体" w:hAnsi="宋体"/>
          <w:color w:val="000000"/>
          <w:u w:val="single"/>
        </w:rPr>
      </w:pPr>
      <w:r>
        <w:rPr>
          <w:rFonts w:ascii="宋体" w:hAnsi="宋体"/>
          <w:color w:val="000000"/>
        </w:rPr>
        <w:t>电话：</w:t>
      </w:r>
      <w:r>
        <w:rPr>
          <w:rFonts w:ascii="宋体" w:hAnsi="宋体"/>
          <w:color w:val="000000"/>
          <w:u w:val="single"/>
        </w:rPr>
        <w:t xml:space="preserve">              </w:t>
      </w:r>
      <w:r>
        <w:rPr>
          <w:rFonts w:ascii="宋体" w:hAnsi="宋体"/>
          <w:color w:val="000000"/>
        </w:rPr>
        <w:t xml:space="preserve">      传真：</w:t>
      </w:r>
      <w:r>
        <w:rPr>
          <w:rFonts w:ascii="宋体" w:hAnsi="宋体"/>
          <w:color w:val="000000"/>
          <w:u w:val="single"/>
        </w:rPr>
        <w:t xml:space="preserve">                       </w:t>
      </w:r>
    </w:p>
    <w:p>
      <w:pPr>
        <w:autoSpaceDE w:val="0"/>
        <w:autoSpaceDN w:val="0"/>
        <w:snapToGrid w:val="0"/>
        <w:spacing w:line="520" w:lineRule="exact"/>
        <w:rPr>
          <w:rFonts w:ascii="宋体" w:hAnsi="宋体"/>
          <w:color w:val="000000"/>
          <w:u w:val="single"/>
        </w:rPr>
      </w:pPr>
      <w:r>
        <w:rPr>
          <w:rFonts w:ascii="宋体" w:hAnsi="宋体"/>
          <w:color w:val="000000"/>
        </w:rPr>
        <w:t>邮政编码：</w:t>
      </w:r>
      <w:r>
        <w:rPr>
          <w:rFonts w:ascii="宋体" w:hAnsi="宋体"/>
          <w:color w:val="000000"/>
          <w:u w:val="single"/>
        </w:rPr>
        <w:t xml:space="preserve">                               </w:t>
      </w:r>
    </w:p>
    <w:p>
      <w:pPr>
        <w:spacing w:line="520" w:lineRule="exact"/>
        <w:rPr>
          <w:rFonts w:ascii="宋体" w:hAnsi="宋体"/>
          <w:color w:val="000000"/>
          <w:u w:val="single"/>
        </w:rPr>
      </w:pPr>
      <w:r>
        <w:rPr>
          <w:rFonts w:hint="eastAsia" w:ascii="宋体" w:hAnsi="宋体"/>
          <w:color w:val="000000"/>
        </w:rPr>
        <w:t>法定代表人</w:t>
      </w:r>
      <w:r>
        <w:rPr>
          <w:rFonts w:ascii="宋体" w:hAnsi="宋体"/>
          <w:color w:val="000000"/>
        </w:rPr>
        <w:t>或委托代理人（签字）</w:t>
      </w:r>
      <w:r>
        <w:rPr>
          <w:rFonts w:ascii="宋体" w:hAnsi="宋体"/>
          <w:bCs/>
          <w:color w:val="000000"/>
        </w:rPr>
        <w:t>：</w:t>
      </w:r>
      <w:r>
        <w:rPr>
          <w:rFonts w:ascii="宋体" w:hAnsi="宋体"/>
          <w:color w:val="000000"/>
          <w:u w:val="single"/>
        </w:rPr>
        <w:t xml:space="preserve">                 </w:t>
      </w:r>
    </w:p>
    <w:p>
      <w:pPr>
        <w:autoSpaceDE w:val="0"/>
        <w:autoSpaceDN w:val="0"/>
        <w:snapToGrid w:val="0"/>
        <w:spacing w:line="520" w:lineRule="exact"/>
        <w:rPr>
          <w:rFonts w:ascii="宋体" w:hAnsi="宋体"/>
          <w:color w:val="000000"/>
          <w:u w:val="single"/>
        </w:rPr>
      </w:pPr>
      <w:r>
        <w:rPr>
          <w:rFonts w:ascii="宋体" w:hAnsi="宋体"/>
          <w:color w:val="000000"/>
        </w:rPr>
        <w:t>日期：</w:t>
      </w:r>
      <w:r>
        <w:rPr>
          <w:rFonts w:ascii="宋体" w:hAnsi="宋体"/>
          <w:color w:val="000000"/>
          <w:u w:val="single"/>
        </w:rPr>
        <w:t xml:space="preserve">        </w:t>
      </w:r>
      <w:r>
        <w:rPr>
          <w:rFonts w:ascii="宋体" w:hAnsi="宋体"/>
          <w:color w:val="000000"/>
        </w:rPr>
        <w:t>年</w:t>
      </w:r>
      <w:r>
        <w:rPr>
          <w:rFonts w:ascii="宋体" w:hAnsi="宋体"/>
          <w:color w:val="000000"/>
          <w:u w:val="single"/>
        </w:rPr>
        <w:t xml:space="preserve">      </w:t>
      </w:r>
      <w:r>
        <w:rPr>
          <w:rFonts w:ascii="宋体" w:hAnsi="宋体"/>
          <w:color w:val="000000"/>
        </w:rPr>
        <w:t>月</w:t>
      </w:r>
      <w:r>
        <w:rPr>
          <w:rFonts w:ascii="宋体" w:hAnsi="宋体"/>
          <w:color w:val="000000"/>
          <w:u w:val="single"/>
        </w:rPr>
        <w:t xml:space="preserve">      </w:t>
      </w:r>
      <w:r>
        <w:rPr>
          <w:rFonts w:ascii="宋体" w:hAnsi="宋体"/>
          <w:color w:val="000000"/>
        </w:rPr>
        <w:t>日</w:t>
      </w:r>
      <w:r>
        <w:rPr>
          <w:rFonts w:ascii="宋体" w:hAnsi="宋体"/>
          <w:color w:val="000000"/>
          <w:u w:val="single"/>
        </w:rPr>
        <w:t xml:space="preserve">         </w:t>
      </w:r>
    </w:p>
    <w:p>
      <w:pPr>
        <w:spacing w:line="360" w:lineRule="auto"/>
        <w:jc w:val="center"/>
        <w:rPr>
          <w:rFonts w:ascii="宋体" w:hAnsi="宋体"/>
          <w:color w:val="000000"/>
        </w:rPr>
      </w:pPr>
      <w:r>
        <w:rPr>
          <w:rFonts w:ascii="宋体" w:hAnsi="宋体"/>
          <w:color w:val="000000"/>
        </w:rPr>
        <w:br w:type="page"/>
      </w:r>
      <w:r>
        <w:rPr>
          <w:rFonts w:hint="eastAsia" w:ascii="宋体" w:hAnsi="宋体"/>
          <w:b/>
          <w:color w:val="000000"/>
        </w:rPr>
        <w:t>二</w:t>
      </w:r>
      <w:r>
        <w:rPr>
          <w:rFonts w:ascii="宋体" w:hAnsi="宋体"/>
          <w:b/>
          <w:color w:val="000000"/>
        </w:rPr>
        <w:t>、</w:t>
      </w:r>
      <w:r>
        <w:rPr>
          <w:rFonts w:hint="eastAsia" w:ascii="宋体" w:hAnsi="宋体"/>
          <w:b/>
          <w:color w:val="000000"/>
        </w:rPr>
        <w:t>已标价工程量清单</w:t>
      </w:r>
    </w:p>
    <w:p>
      <w:pPr>
        <w:pStyle w:val="26"/>
        <w:spacing w:line="580" w:lineRule="exact"/>
        <w:ind w:left="420" w:hanging="420" w:hangingChars="200"/>
        <w:rPr>
          <w:rFonts w:hint="default" w:hAnsi="宋体"/>
          <w:bCs/>
          <w:color w:val="000000"/>
          <w:szCs w:val="24"/>
        </w:rPr>
      </w:pPr>
    </w:p>
    <w:p>
      <w:pPr>
        <w:pStyle w:val="140"/>
        <w:ind w:left="360" w:hanging="360"/>
        <w:jc w:val="center"/>
        <w:rPr>
          <w:rFonts w:ascii="宋体" w:hAnsi="宋体"/>
          <w:color w:val="000000"/>
        </w:rPr>
      </w:pPr>
      <w:r>
        <w:rPr>
          <w:rFonts w:ascii="宋体" w:hAnsi="宋体"/>
          <w:b w:val="0"/>
          <w:color w:val="000000"/>
        </w:rPr>
        <w:br w:type="page"/>
      </w:r>
      <w:r>
        <w:rPr>
          <w:rFonts w:hint="eastAsia" w:ascii="宋体" w:hAnsi="宋体"/>
          <w:color w:val="000000"/>
          <w:sz w:val="28"/>
        </w:rPr>
        <w:t>三、施工组织设计</w:t>
      </w:r>
    </w:p>
    <w:p>
      <w:pPr>
        <w:autoSpaceDE w:val="0"/>
        <w:autoSpaceDN w:val="0"/>
        <w:adjustRightInd w:val="0"/>
        <w:spacing w:line="360" w:lineRule="auto"/>
        <w:ind w:left="120" w:right="91" w:firstLine="557"/>
        <w:rPr>
          <w:rFonts w:ascii="宋体" w:hAnsi="宋体"/>
          <w:color w:val="000000"/>
          <w:szCs w:val="21"/>
        </w:rPr>
      </w:pPr>
      <w:r>
        <w:rPr>
          <w:rFonts w:hint="eastAsia" w:ascii="宋体" w:hAnsi="宋体"/>
          <w:color w:val="000000"/>
          <w:szCs w:val="21"/>
        </w:rPr>
        <w:t>1. 供应商编制施工组织设计的要求：编制时应采用文字并结合 图表形式说明施工方法；拟投入本标段的主要施工设备情况及证明材料、拟配备本标段的试验和检测仪器设备情况、劳动力计划等；结合工程特点提 出切实可行的工程质量、安全生产、文明施工、工程进度、技术组织 措施，同时应对关键工序、复杂环节重点提出相应技术措施，如冬雨 季施工技术、减少噪音、降低环境污染、地下管线及其他地上地下设 施的保护加固措施等。</w:t>
      </w:r>
    </w:p>
    <w:p>
      <w:pPr>
        <w:autoSpaceDE w:val="0"/>
        <w:autoSpaceDN w:val="0"/>
        <w:adjustRightInd w:val="0"/>
        <w:spacing w:line="360" w:lineRule="auto"/>
        <w:ind w:left="120" w:right="-157" w:firstLine="557"/>
        <w:rPr>
          <w:rFonts w:ascii="宋体" w:hAnsi="宋体"/>
          <w:color w:val="000000"/>
          <w:szCs w:val="21"/>
        </w:rPr>
      </w:pPr>
      <w:r>
        <w:rPr>
          <w:rFonts w:hint="eastAsia" w:ascii="宋体" w:hAnsi="宋体"/>
          <w:color w:val="000000"/>
          <w:szCs w:val="21"/>
        </w:rPr>
        <w:t>2. 施工组织设计除采用文字表述外可附下列图表，图表及格式要求附后。</w:t>
      </w:r>
    </w:p>
    <w:p>
      <w:pPr>
        <w:tabs>
          <w:tab w:val="left" w:pos="2200"/>
        </w:tabs>
        <w:autoSpaceDE w:val="0"/>
        <w:autoSpaceDN w:val="0"/>
        <w:adjustRightInd w:val="0"/>
        <w:spacing w:line="360" w:lineRule="auto"/>
        <w:ind w:left="1094" w:right="-20"/>
        <w:rPr>
          <w:rFonts w:ascii="宋体" w:hAnsi="宋体"/>
          <w:color w:val="000000"/>
          <w:szCs w:val="21"/>
        </w:rPr>
      </w:pPr>
      <w:r>
        <w:rPr>
          <w:rFonts w:hint="eastAsia" w:ascii="宋体" w:hAnsi="宋体"/>
          <w:color w:val="000000"/>
          <w:szCs w:val="21"/>
        </w:rPr>
        <w:t>附表一</w:t>
      </w:r>
      <w:r>
        <w:rPr>
          <w:rFonts w:hint="eastAsia" w:ascii="宋体" w:hAnsi="宋体"/>
          <w:color w:val="000000"/>
          <w:szCs w:val="21"/>
        </w:rPr>
        <w:tab/>
      </w:r>
      <w:r>
        <w:rPr>
          <w:rFonts w:hint="eastAsia" w:ascii="宋体" w:hAnsi="宋体"/>
          <w:color w:val="000000"/>
          <w:szCs w:val="21"/>
        </w:rPr>
        <w:t>拟投入本标段的主要施工设备表</w:t>
      </w:r>
    </w:p>
    <w:p>
      <w:pPr>
        <w:tabs>
          <w:tab w:val="left" w:pos="2200"/>
        </w:tabs>
        <w:autoSpaceDE w:val="0"/>
        <w:autoSpaceDN w:val="0"/>
        <w:adjustRightInd w:val="0"/>
        <w:spacing w:line="360" w:lineRule="auto"/>
        <w:ind w:left="1094" w:right="-20"/>
        <w:rPr>
          <w:rFonts w:ascii="宋体" w:hAnsi="宋体"/>
          <w:color w:val="000000"/>
          <w:szCs w:val="21"/>
        </w:rPr>
      </w:pPr>
      <w:r>
        <w:rPr>
          <w:rFonts w:hint="eastAsia" w:ascii="宋体" w:hAnsi="宋体"/>
          <w:color w:val="000000"/>
          <w:szCs w:val="21"/>
        </w:rPr>
        <w:t>附表二</w:t>
      </w:r>
      <w:r>
        <w:rPr>
          <w:rFonts w:hint="eastAsia" w:ascii="宋体" w:hAnsi="宋体"/>
          <w:color w:val="000000"/>
          <w:szCs w:val="21"/>
        </w:rPr>
        <w:tab/>
      </w:r>
      <w:r>
        <w:rPr>
          <w:rFonts w:hint="eastAsia" w:ascii="宋体" w:hAnsi="宋体"/>
          <w:color w:val="000000"/>
          <w:szCs w:val="21"/>
        </w:rPr>
        <w:t>拟配备本标段的试验和检测仪器设备表</w:t>
      </w:r>
    </w:p>
    <w:p>
      <w:pPr>
        <w:tabs>
          <w:tab w:val="left" w:pos="2200"/>
        </w:tabs>
        <w:autoSpaceDE w:val="0"/>
        <w:autoSpaceDN w:val="0"/>
        <w:adjustRightInd w:val="0"/>
        <w:spacing w:line="360" w:lineRule="auto"/>
        <w:ind w:left="1094" w:right="-20"/>
        <w:rPr>
          <w:rFonts w:ascii="宋体" w:hAnsi="宋体"/>
          <w:color w:val="000000"/>
          <w:szCs w:val="21"/>
        </w:rPr>
      </w:pPr>
      <w:r>
        <w:rPr>
          <w:rFonts w:hint="eastAsia" w:ascii="宋体" w:hAnsi="宋体"/>
          <w:color w:val="000000"/>
          <w:szCs w:val="21"/>
        </w:rPr>
        <w:t>附表三</w:t>
      </w:r>
      <w:r>
        <w:rPr>
          <w:rFonts w:hint="eastAsia" w:ascii="宋体" w:hAnsi="宋体"/>
          <w:color w:val="000000"/>
          <w:szCs w:val="21"/>
        </w:rPr>
        <w:tab/>
      </w:r>
      <w:r>
        <w:rPr>
          <w:rFonts w:hint="eastAsia" w:ascii="宋体" w:hAnsi="宋体"/>
          <w:color w:val="000000"/>
          <w:szCs w:val="21"/>
        </w:rPr>
        <w:t>劳动力计划表</w:t>
      </w:r>
    </w:p>
    <w:p>
      <w:pPr>
        <w:tabs>
          <w:tab w:val="left" w:pos="2200"/>
        </w:tabs>
        <w:autoSpaceDE w:val="0"/>
        <w:autoSpaceDN w:val="0"/>
        <w:adjustRightInd w:val="0"/>
        <w:spacing w:line="360" w:lineRule="auto"/>
        <w:ind w:left="1094" w:right="-20"/>
        <w:rPr>
          <w:rFonts w:ascii="宋体" w:hAnsi="宋体"/>
          <w:color w:val="000000"/>
          <w:sz w:val="22"/>
        </w:rPr>
      </w:pPr>
      <w:r>
        <w:rPr>
          <w:rFonts w:hint="eastAsia" w:ascii="宋体" w:hAnsi="宋体"/>
          <w:color w:val="000000"/>
          <w:szCs w:val="21"/>
        </w:rPr>
        <w:t>附表四</w:t>
      </w:r>
      <w:r>
        <w:rPr>
          <w:rFonts w:hint="eastAsia" w:ascii="宋体" w:hAnsi="宋体"/>
          <w:color w:val="000000"/>
          <w:szCs w:val="21"/>
        </w:rPr>
        <w:tab/>
      </w:r>
      <w:r>
        <w:rPr>
          <w:rFonts w:hint="eastAsia" w:ascii="宋体" w:hAnsi="宋体"/>
          <w:color w:val="000000"/>
          <w:szCs w:val="21"/>
        </w:rPr>
        <w:t>计划开、竣工日期和施工进度网络图</w:t>
      </w:r>
    </w:p>
    <w:p>
      <w:pPr>
        <w:autoSpaceDE w:val="0"/>
        <w:autoSpaceDN w:val="0"/>
        <w:adjustRightInd w:val="0"/>
        <w:spacing w:before="14" w:line="360" w:lineRule="auto"/>
        <w:rPr>
          <w:rFonts w:ascii="Courier New" w:hAnsi="Courier New"/>
          <w:color w:val="000000"/>
          <w:sz w:val="10"/>
        </w:rPr>
      </w:pPr>
    </w:p>
    <w:p>
      <w:pPr>
        <w:autoSpaceDE w:val="0"/>
        <w:autoSpaceDN w:val="0"/>
        <w:adjustRightInd w:val="0"/>
        <w:spacing w:line="360" w:lineRule="auto"/>
        <w:rPr>
          <w:rFonts w:ascii="Courier New" w:hAnsi="Courier New"/>
          <w:color w:val="000000"/>
          <w:sz w:val="20"/>
        </w:rPr>
      </w:pPr>
    </w:p>
    <w:p>
      <w:pPr>
        <w:autoSpaceDE w:val="0"/>
        <w:autoSpaceDN w:val="0"/>
        <w:adjustRightInd w:val="0"/>
        <w:spacing w:line="360" w:lineRule="auto"/>
        <w:rPr>
          <w:rFonts w:ascii="Courier New" w:hAnsi="Courier New"/>
          <w:color w:val="000000"/>
          <w:sz w:val="20"/>
        </w:rPr>
      </w:pPr>
    </w:p>
    <w:p>
      <w:pPr>
        <w:autoSpaceDE w:val="0"/>
        <w:autoSpaceDN w:val="0"/>
        <w:adjustRightInd w:val="0"/>
        <w:spacing w:line="360" w:lineRule="auto"/>
        <w:rPr>
          <w:rFonts w:ascii="Courier New" w:hAnsi="Courier New"/>
          <w:color w:val="000000"/>
          <w:sz w:val="20"/>
        </w:rPr>
      </w:pPr>
    </w:p>
    <w:p>
      <w:pPr>
        <w:autoSpaceDE w:val="0"/>
        <w:autoSpaceDN w:val="0"/>
        <w:adjustRightInd w:val="0"/>
        <w:spacing w:line="360" w:lineRule="auto"/>
        <w:rPr>
          <w:rFonts w:ascii="Courier New" w:hAnsi="Courier New"/>
          <w:color w:val="000000"/>
          <w:sz w:val="20"/>
        </w:rPr>
      </w:pPr>
    </w:p>
    <w:p>
      <w:pPr>
        <w:autoSpaceDE w:val="0"/>
        <w:autoSpaceDN w:val="0"/>
        <w:adjustRightInd w:val="0"/>
        <w:spacing w:line="360" w:lineRule="auto"/>
        <w:rPr>
          <w:rFonts w:ascii="Courier New" w:hAnsi="Courier New"/>
          <w:color w:val="000000"/>
          <w:sz w:val="20"/>
        </w:rPr>
      </w:pPr>
    </w:p>
    <w:p>
      <w:pPr>
        <w:autoSpaceDE w:val="0"/>
        <w:autoSpaceDN w:val="0"/>
        <w:adjustRightInd w:val="0"/>
        <w:spacing w:line="360" w:lineRule="auto"/>
        <w:rPr>
          <w:rFonts w:ascii="Courier New" w:hAnsi="Courier New"/>
          <w:color w:val="000000"/>
          <w:sz w:val="20"/>
        </w:rPr>
      </w:pPr>
    </w:p>
    <w:p>
      <w:pPr>
        <w:autoSpaceDE w:val="0"/>
        <w:autoSpaceDN w:val="0"/>
        <w:adjustRightInd w:val="0"/>
        <w:spacing w:line="360" w:lineRule="auto"/>
        <w:rPr>
          <w:rFonts w:ascii="Courier New" w:hAnsi="Courier New"/>
          <w:color w:val="000000"/>
          <w:sz w:val="20"/>
        </w:rPr>
      </w:pPr>
    </w:p>
    <w:p>
      <w:pPr>
        <w:autoSpaceDE w:val="0"/>
        <w:autoSpaceDN w:val="0"/>
        <w:adjustRightInd w:val="0"/>
        <w:spacing w:line="360" w:lineRule="auto"/>
        <w:rPr>
          <w:rFonts w:ascii="Courier New" w:hAnsi="Courier New"/>
          <w:color w:val="000000"/>
          <w:sz w:val="20"/>
        </w:rPr>
      </w:pPr>
    </w:p>
    <w:p>
      <w:pPr>
        <w:autoSpaceDE w:val="0"/>
        <w:autoSpaceDN w:val="0"/>
        <w:adjustRightInd w:val="0"/>
        <w:spacing w:line="360" w:lineRule="auto"/>
        <w:rPr>
          <w:rFonts w:ascii="Courier New" w:hAnsi="Courier New"/>
          <w:color w:val="000000"/>
          <w:sz w:val="20"/>
        </w:rPr>
      </w:pPr>
    </w:p>
    <w:p>
      <w:pPr>
        <w:autoSpaceDE w:val="0"/>
        <w:autoSpaceDN w:val="0"/>
        <w:adjustRightInd w:val="0"/>
        <w:spacing w:line="360" w:lineRule="auto"/>
        <w:rPr>
          <w:rFonts w:ascii="Courier New" w:hAnsi="Courier New"/>
          <w:color w:val="000000"/>
          <w:sz w:val="20"/>
        </w:rPr>
      </w:pPr>
    </w:p>
    <w:p>
      <w:pPr>
        <w:autoSpaceDE w:val="0"/>
        <w:autoSpaceDN w:val="0"/>
        <w:adjustRightInd w:val="0"/>
        <w:spacing w:line="360" w:lineRule="auto"/>
        <w:rPr>
          <w:rFonts w:ascii="Courier New" w:hAnsi="Courier New"/>
          <w:color w:val="000000"/>
          <w:sz w:val="20"/>
        </w:rPr>
      </w:pPr>
    </w:p>
    <w:p>
      <w:pPr>
        <w:autoSpaceDE w:val="0"/>
        <w:autoSpaceDN w:val="0"/>
        <w:adjustRightInd w:val="0"/>
        <w:spacing w:before="78" w:line="360" w:lineRule="auto"/>
        <w:ind w:left="220" w:right="-20"/>
        <w:rPr>
          <w:rFonts w:ascii="黑体" w:hAnsi="黑体" w:eastAsia="黑体"/>
          <w:color w:val="000000"/>
        </w:rPr>
      </w:pPr>
      <w:r>
        <w:rPr>
          <w:rFonts w:hint="eastAsia" w:ascii="黑体" w:hAnsi="黑体" w:eastAsia="黑体"/>
          <w:color w:val="000000"/>
          <w:sz w:val="30"/>
        </w:rPr>
        <w:br w:type="page"/>
      </w:r>
      <w:r>
        <w:rPr>
          <w:rFonts w:hint="eastAsia" w:ascii="黑体" w:hAnsi="黑体" w:eastAsia="黑体"/>
          <w:color w:val="000000"/>
          <w:sz w:val="30"/>
        </w:rPr>
        <w:t>附表一：拟投入本项目的主要施工设备表</w:t>
      </w:r>
    </w:p>
    <w:tbl>
      <w:tblPr>
        <w:tblStyle w:val="46"/>
        <w:tblW w:w="8525" w:type="dxa"/>
        <w:tblInd w:w="110" w:type="dxa"/>
        <w:tblLayout w:type="fixed"/>
        <w:tblCellMar>
          <w:top w:w="0" w:type="dxa"/>
          <w:left w:w="0" w:type="dxa"/>
          <w:bottom w:w="0" w:type="dxa"/>
          <w:right w:w="0" w:type="dxa"/>
        </w:tblCellMar>
      </w:tblPr>
      <w:tblGrid>
        <w:gridCol w:w="470"/>
        <w:gridCol w:w="903"/>
        <w:gridCol w:w="1080"/>
        <w:gridCol w:w="720"/>
        <w:gridCol w:w="897"/>
        <w:gridCol w:w="720"/>
        <w:gridCol w:w="1258"/>
        <w:gridCol w:w="773"/>
        <w:gridCol w:w="1022"/>
        <w:gridCol w:w="682"/>
      </w:tblGrid>
      <w:tr>
        <w:tblPrEx>
          <w:tblCellMar>
            <w:top w:w="0" w:type="dxa"/>
            <w:left w:w="0" w:type="dxa"/>
            <w:bottom w:w="0" w:type="dxa"/>
            <w:right w:w="0" w:type="dxa"/>
          </w:tblCellMar>
        </w:tblPrEx>
        <w:trPr>
          <w:trHeight w:val="909" w:hRule="exact"/>
        </w:trPr>
        <w:tc>
          <w:tcPr>
            <w:tcW w:w="47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20" w:line="360" w:lineRule="auto"/>
              <w:ind w:left="110" w:right="-20"/>
              <w:rPr>
                <w:rFonts w:ascii="宋体" w:hAnsi="宋体"/>
                <w:b/>
                <w:color w:val="000000"/>
                <w:sz w:val="21"/>
              </w:rPr>
            </w:pPr>
            <w:r>
              <w:rPr>
                <w:rFonts w:hint="eastAsia" w:ascii="宋体" w:hAnsi="宋体"/>
                <w:b/>
                <w:color w:val="000000"/>
                <w:sz w:val="21"/>
              </w:rPr>
              <w:t>序</w:t>
            </w:r>
          </w:p>
          <w:p>
            <w:pPr>
              <w:autoSpaceDE w:val="0"/>
              <w:autoSpaceDN w:val="0"/>
              <w:adjustRightInd w:val="0"/>
              <w:spacing w:before="36" w:line="360" w:lineRule="auto"/>
              <w:ind w:left="110" w:right="-20"/>
              <w:rPr>
                <w:rFonts w:ascii="宋体" w:hAnsi="宋体"/>
                <w:b/>
                <w:color w:val="000000"/>
                <w:sz w:val="21"/>
              </w:rPr>
            </w:pPr>
            <w:r>
              <w:rPr>
                <w:rFonts w:hint="eastAsia" w:ascii="宋体" w:hAnsi="宋体"/>
                <w:b/>
                <w:color w:val="000000"/>
                <w:sz w:val="21"/>
              </w:rPr>
              <w:t>号</w:t>
            </w:r>
          </w:p>
        </w:tc>
        <w:tc>
          <w:tcPr>
            <w:tcW w:w="90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20" w:line="360" w:lineRule="auto"/>
              <w:ind w:left="206" w:right="-20"/>
              <w:rPr>
                <w:rFonts w:ascii="宋体" w:hAnsi="宋体"/>
                <w:b/>
                <w:color w:val="000000"/>
                <w:sz w:val="21"/>
              </w:rPr>
            </w:pPr>
            <w:r>
              <w:rPr>
                <w:rFonts w:hint="eastAsia" w:ascii="宋体" w:hAnsi="宋体"/>
                <w:b/>
                <w:color w:val="000000"/>
                <w:sz w:val="21"/>
              </w:rPr>
              <w:t>设备</w:t>
            </w:r>
          </w:p>
          <w:p>
            <w:pPr>
              <w:autoSpaceDE w:val="0"/>
              <w:autoSpaceDN w:val="0"/>
              <w:adjustRightInd w:val="0"/>
              <w:spacing w:before="36" w:line="360" w:lineRule="auto"/>
              <w:ind w:left="206" w:right="-20"/>
              <w:rPr>
                <w:rFonts w:ascii="宋体" w:hAnsi="宋体"/>
                <w:b/>
                <w:color w:val="000000"/>
                <w:sz w:val="21"/>
              </w:rPr>
            </w:pPr>
            <w:r>
              <w:rPr>
                <w:rFonts w:hint="eastAsia" w:ascii="宋体" w:hAnsi="宋体"/>
                <w:b/>
                <w:color w:val="000000"/>
                <w:sz w:val="21"/>
              </w:rPr>
              <w:t>名称</w:t>
            </w:r>
          </w:p>
        </w:tc>
        <w:tc>
          <w:tcPr>
            <w:tcW w:w="108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20" w:line="360" w:lineRule="auto"/>
              <w:ind w:left="293" w:right="-20"/>
              <w:rPr>
                <w:rFonts w:ascii="宋体" w:hAnsi="宋体"/>
                <w:b/>
                <w:color w:val="000000"/>
                <w:sz w:val="21"/>
              </w:rPr>
            </w:pPr>
            <w:r>
              <w:rPr>
                <w:rFonts w:hint="eastAsia" w:ascii="宋体" w:hAnsi="宋体"/>
                <w:b/>
                <w:color w:val="000000"/>
                <w:sz w:val="21"/>
              </w:rPr>
              <w:t>型号</w:t>
            </w:r>
          </w:p>
          <w:p>
            <w:pPr>
              <w:autoSpaceDE w:val="0"/>
              <w:autoSpaceDN w:val="0"/>
              <w:adjustRightInd w:val="0"/>
              <w:spacing w:before="36" w:line="360" w:lineRule="auto"/>
              <w:ind w:left="293" w:right="-20"/>
              <w:rPr>
                <w:rFonts w:ascii="宋体" w:hAnsi="宋体"/>
                <w:b/>
                <w:color w:val="000000"/>
                <w:sz w:val="21"/>
              </w:rPr>
            </w:pPr>
            <w:r>
              <w:rPr>
                <w:rFonts w:hint="eastAsia" w:ascii="宋体" w:hAnsi="宋体"/>
                <w:b/>
                <w:color w:val="000000"/>
                <w:sz w:val="21"/>
              </w:rPr>
              <w:t>规格</w:t>
            </w:r>
          </w:p>
        </w:tc>
        <w:tc>
          <w:tcPr>
            <w:tcW w:w="72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60" w:lineRule="auto"/>
              <w:ind w:right="-20"/>
              <w:jc w:val="center"/>
              <w:rPr>
                <w:rFonts w:ascii="宋体" w:hAnsi="宋体"/>
                <w:b/>
                <w:color w:val="000000"/>
                <w:sz w:val="21"/>
              </w:rPr>
            </w:pPr>
            <w:r>
              <w:rPr>
                <w:rFonts w:hint="eastAsia" w:ascii="宋体" w:hAnsi="宋体"/>
                <w:b/>
                <w:color w:val="000000"/>
                <w:sz w:val="21"/>
              </w:rPr>
              <w:t>数量</w:t>
            </w:r>
          </w:p>
        </w:tc>
        <w:tc>
          <w:tcPr>
            <w:tcW w:w="89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20" w:line="360" w:lineRule="auto"/>
              <w:ind w:left="202" w:right="171"/>
              <w:jc w:val="center"/>
              <w:rPr>
                <w:rFonts w:ascii="宋体" w:hAnsi="宋体"/>
                <w:b/>
                <w:color w:val="000000"/>
                <w:sz w:val="21"/>
              </w:rPr>
            </w:pPr>
            <w:r>
              <w:rPr>
                <w:rFonts w:hint="eastAsia" w:ascii="宋体" w:hAnsi="宋体"/>
                <w:b/>
                <w:color w:val="000000"/>
                <w:sz w:val="21"/>
              </w:rPr>
              <w:t>国别 产地</w:t>
            </w:r>
          </w:p>
        </w:tc>
        <w:tc>
          <w:tcPr>
            <w:tcW w:w="72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20" w:line="360" w:lineRule="auto"/>
              <w:ind w:left="115" w:right="-20"/>
              <w:rPr>
                <w:rFonts w:ascii="宋体" w:hAnsi="宋体"/>
                <w:b/>
                <w:color w:val="000000"/>
                <w:sz w:val="21"/>
              </w:rPr>
            </w:pPr>
            <w:r>
              <w:rPr>
                <w:rFonts w:hint="eastAsia" w:ascii="宋体" w:hAnsi="宋体"/>
                <w:b/>
                <w:color w:val="000000"/>
                <w:sz w:val="21"/>
              </w:rPr>
              <w:t>制造</w:t>
            </w:r>
          </w:p>
          <w:p>
            <w:pPr>
              <w:autoSpaceDE w:val="0"/>
              <w:autoSpaceDN w:val="0"/>
              <w:adjustRightInd w:val="0"/>
              <w:spacing w:before="36" w:line="360" w:lineRule="auto"/>
              <w:ind w:left="115" w:right="-20"/>
              <w:rPr>
                <w:rFonts w:ascii="宋体" w:hAnsi="宋体"/>
                <w:b/>
                <w:color w:val="000000"/>
                <w:sz w:val="21"/>
              </w:rPr>
            </w:pPr>
            <w:r>
              <w:rPr>
                <w:rFonts w:hint="eastAsia" w:ascii="宋体" w:hAnsi="宋体"/>
                <w:b/>
                <w:color w:val="000000"/>
                <w:sz w:val="21"/>
              </w:rPr>
              <w:t>年份</w:t>
            </w:r>
          </w:p>
        </w:tc>
        <w:tc>
          <w:tcPr>
            <w:tcW w:w="125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20" w:line="360" w:lineRule="auto"/>
              <w:ind w:left="144" w:right="-20"/>
              <w:rPr>
                <w:rFonts w:ascii="宋体" w:hAnsi="宋体"/>
                <w:b/>
                <w:color w:val="000000"/>
                <w:sz w:val="21"/>
              </w:rPr>
            </w:pPr>
            <w:r>
              <w:rPr>
                <w:rFonts w:hint="eastAsia" w:ascii="宋体" w:hAnsi="宋体"/>
                <w:b/>
                <w:color w:val="000000"/>
                <w:sz w:val="21"/>
              </w:rPr>
              <w:t>额定功率</w:t>
            </w:r>
          </w:p>
          <w:p>
            <w:pPr>
              <w:autoSpaceDE w:val="0"/>
              <w:autoSpaceDN w:val="0"/>
              <w:adjustRightInd w:val="0"/>
              <w:spacing w:before="36" w:line="360" w:lineRule="auto"/>
              <w:ind w:left="264" w:right="-20"/>
              <w:rPr>
                <w:rFonts w:ascii="宋体" w:hAnsi="宋体"/>
                <w:b/>
                <w:color w:val="000000"/>
                <w:sz w:val="21"/>
              </w:rPr>
            </w:pPr>
            <w:r>
              <w:rPr>
                <w:rFonts w:hint="eastAsia" w:ascii="宋体" w:hAnsi="宋体"/>
                <w:b/>
                <w:color w:val="000000"/>
                <w:sz w:val="21"/>
              </w:rPr>
              <w:t>（KW）</w:t>
            </w:r>
          </w:p>
        </w:tc>
        <w:tc>
          <w:tcPr>
            <w:tcW w:w="77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20" w:line="360" w:lineRule="auto"/>
              <w:ind w:left="139" w:right="-20"/>
              <w:rPr>
                <w:rFonts w:ascii="宋体" w:hAnsi="宋体"/>
                <w:b/>
                <w:color w:val="000000"/>
                <w:sz w:val="21"/>
              </w:rPr>
            </w:pPr>
            <w:r>
              <w:rPr>
                <w:rFonts w:hint="eastAsia" w:ascii="宋体" w:hAnsi="宋体"/>
                <w:b/>
                <w:color w:val="000000"/>
                <w:sz w:val="21"/>
              </w:rPr>
              <w:t>生产</w:t>
            </w:r>
          </w:p>
          <w:p>
            <w:pPr>
              <w:autoSpaceDE w:val="0"/>
              <w:autoSpaceDN w:val="0"/>
              <w:adjustRightInd w:val="0"/>
              <w:spacing w:before="36" w:line="360" w:lineRule="auto"/>
              <w:ind w:left="139" w:right="-20"/>
              <w:rPr>
                <w:rFonts w:ascii="宋体" w:hAnsi="宋体"/>
                <w:b/>
                <w:color w:val="000000"/>
                <w:sz w:val="21"/>
              </w:rPr>
            </w:pPr>
            <w:r>
              <w:rPr>
                <w:rFonts w:hint="eastAsia" w:ascii="宋体" w:hAnsi="宋体"/>
                <w:b/>
                <w:color w:val="000000"/>
                <w:sz w:val="21"/>
              </w:rPr>
              <w:t>能力</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20" w:line="360" w:lineRule="auto"/>
              <w:ind w:left="144" w:right="106"/>
              <w:rPr>
                <w:rFonts w:ascii="宋体" w:hAnsi="宋体"/>
                <w:b/>
                <w:color w:val="000000"/>
                <w:sz w:val="21"/>
              </w:rPr>
            </w:pPr>
            <w:r>
              <w:rPr>
                <w:rFonts w:hint="eastAsia" w:ascii="宋体" w:hAnsi="宋体"/>
                <w:b/>
                <w:color w:val="000000"/>
                <w:sz w:val="21"/>
              </w:rPr>
              <w:t>用于施 工部位</w:t>
            </w:r>
          </w:p>
        </w:tc>
        <w:tc>
          <w:tcPr>
            <w:tcW w:w="68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20" w:line="360" w:lineRule="auto"/>
              <w:ind w:left="216" w:right="-20"/>
              <w:rPr>
                <w:rFonts w:ascii="宋体" w:hAnsi="宋体"/>
                <w:b/>
                <w:color w:val="000000"/>
                <w:sz w:val="21"/>
              </w:rPr>
            </w:pPr>
            <w:r>
              <w:rPr>
                <w:rFonts w:hint="eastAsia" w:ascii="宋体" w:hAnsi="宋体"/>
                <w:b/>
                <w:color w:val="000000"/>
                <w:sz w:val="21"/>
              </w:rPr>
              <w:t>备注</w:t>
            </w:r>
          </w:p>
        </w:tc>
      </w:tr>
      <w:tr>
        <w:tblPrEx>
          <w:tblCellMar>
            <w:top w:w="0" w:type="dxa"/>
            <w:left w:w="0" w:type="dxa"/>
            <w:bottom w:w="0" w:type="dxa"/>
            <w:right w:w="0" w:type="dxa"/>
          </w:tblCellMar>
        </w:tblPrEx>
        <w:trPr>
          <w:trHeight w:val="518" w:hRule="exact"/>
        </w:trPr>
        <w:tc>
          <w:tcPr>
            <w:tcW w:w="47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黑体" w:hAnsi="黑体" w:eastAsia="黑体"/>
                <w:color w:val="000000"/>
              </w:rPr>
            </w:pPr>
          </w:p>
        </w:tc>
        <w:tc>
          <w:tcPr>
            <w:tcW w:w="90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黑体" w:hAnsi="黑体" w:eastAsia="黑体"/>
                <w:color w:val="000000"/>
              </w:rPr>
            </w:pPr>
          </w:p>
        </w:tc>
        <w:tc>
          <w:tcPr>
            <w:tcW w:w="108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黑体" w:hAnsi="黑体" w:eastAsia="黑体"/>
                <w:color w:val="000000"/>
              </w:rPr>
            </w:pPr>
          </w:p>
        </w:tc>
        <w:tc>
          <w:tcPr>
            <w:tcW w:w="72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黑体" w:hAnsi="黑体" w:eastAsia="黑体"/>
                <w:color w:val="000000"/>
              </w:rPr>
            </w:pPr>
          </w:p>
        </w:tc>
        <w:tc>
          <w:tcPr>
            <w:tcW w:w="897"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黑体" w:hAnsi="黑体" w:eastAsia="黑体"/>
                <w:color w:val="000000"/>
              </w:rPr>
            </w:pPr>
          </w:p>
        </w:tc>
        <w:tc>
          <w:tcPr>
            <w:tcW w:w="72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黑体" w:hAnsi="黑体" w:eastAsia="黑体"/>
                <w:color w:val="000000"/>
              </w:rPr>
            </w:pPr>
          </w:p>
        </w:tc>
        <w:tc>
          <w:tcPr>
            <w:tcW w:w="125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黑体" w:hAnsi="黑体" w:eastAsia="黑体"/>
                <w:color w:val="000000"/>
              </w:rPr>
            </w:pPr>
          </w:p>
        </w:tc>
        <w:tc>
          <w:tcPr>
            <w:tcW w:w="77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黑体" w:hAnsi="黑体" w:eastAsia="黑体"/>
                <w:color w:val="000000"/>
              </w:rPr>
            </w:pPr>
          </w:p>
        </w:tc>
        <w:tc>
          <w:tcPr>
            <w:tcW w:w="102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黑体" w:hAnsi="黑体" w:eastAsia="黑体"/>
                <w:color w:val="000000"/>
              </w:rPr>
            </w:pPr>
          </w:p>
        </w:tc>
        <w:tc>
          <w:tcPr>
            <w:tcW w:w="68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黑体" w:hAnsi="黑体" w:eastAsia="黑体"/>
                <w:color w:val="000000"/>
              </w:rPr>
            </w:pPr>
          </w:p>
        </w:tc>
      </w:tr>
      <w:tr>
        <w:tblPrEx>
          <w:tblCellMar>
            <w:top w:w="0" w:type="dxa"/>
            <w:left w:w="0" w:type="dxa"/>
            <w:bottom w:w="0" w:type="dxa"/>
            <w:right w:w="0" w:type="dxa"/>
          </w:tblCellMar>
        </w:tblPrEx>
        <w:trPr>
          <w:trHeight w:val="523" w:hRule="exact"/>
        </w:trPr>
        <w:tc>
          <w:tcPr>
            <w:tcW w:w="47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90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108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72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897"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72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125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77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102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68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r>
      <w:tr>
        <w:tblPrEx>
          <w:tblCellMar>
            <w:top w:w="0" w:type="dxa"/>
            <w:left w:w="0" w:type="dxa"/>
            <w:bottom w:w="0" w:type="dxa"/>
            <w:right w:w="0" w:type="dxa"/>
          </w:tblCellMar>
        </w:tblPrEx>
        <w:trPr>
          <w:trHeight w:val="518" w:hRule="exact"/>
        </w:trPr>
        <w:tc>
          <w:tcPr>
            <w:tcW w:w="47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90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108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72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897"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72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125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77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102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68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r>
      <w:tr>
        <w:tblPrEx>
          <w:tblCellMar>
            <w:top w:w="0" w:type="dxa"/>
            <w:left w:w="0" w:type="dxa"/>
            <w:bottom w:w="0" w:type="dxa"/>
            <w:right w:w="0" w:type="dxa"/>
          </w:tblCellMar>
        </w:tblPrEx>
        <w:trPr>
          <w:trHeight w:val="518" w:hRule="exact"/>
        </w:trPr>
        <w:tc>
          <w:tcPr>
            <w:tcW w:w="47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90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108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72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897"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72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125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77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102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68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r>
      <w:tr>
        <w:tblPrEx>
          <w:tblCellMar>
            <w:top w:w="0" w:type="dxa"/>
            <w:left w:w="0" w:type="dxa"/>
            <w:bottom w:w="0" w:type="dxa"/>
            <w:right w:w="0" w:type="dxa"/>
          </w:tblCellMar>
        </w:tblPrEx>
        <w:trPr>
          <w:trHeight w:val="523" w:hRule="exact"/>
        </w:trPr>
        <w:tc>
          <w:tcPr>
            <w:tcW w:w="47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90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108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72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897"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72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125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77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102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68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r>
      <w:tr>
        <w:tblPrEx>
          <w:tblCellMar>
            <w:top w:w="0" w:type="dxa"/>
            <w:left w:w="0" w:type="dxa"/>
            <w:bottom w:w="0" w:type="dxa"/>
            <w:right w:w="0" w:type="dxa"/>
          </w:tblCellMar>
        </w:tblPrEx>
        <w:trPr>
          <w:trHeight w:val="518" w:hRule="exact"/>
        </w:trPr>
        <w:tc>
          <w:tcPr>
            <w:tcW w:w="47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90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108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72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897"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72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125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77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102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68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r>
      <w:tr>
        <w:tblPrEx>
          <w:tblCellMar>
            <w:top w:w="0" w:type="dxa"/>
            <w:left w:w="0" w:type="dxa"/>
            <w:bottom w:w="0" w:type="dxa"/>
            <w:right w:w="0" w:type="dxa"/>
          </w:tblCellMar>
        </w:tblPrEx>
        <w:trPr>
          <w:trHeight w:val="518" w:hRule="exact"/>
        </w:trPr>
        <w:tc>
          <w:tcPr>
            <w:tcW w:w="47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90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108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72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897"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72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125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77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102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68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r>
      <w:tr>
        <w:tblPrEx>
          <w:tblCellMar>
            <w:top w:w="0" w:type="dxa"/>
            <w:left w:w="0" w:type="dxa"/>
            <w:bottom w:w="0" w:type="dxa"/>
            <w:right w:w="0" w:type="dxa"/>
          </w:tblCellMar>
        </w:tblPrEx>
        <w:trPr>
          <w:trHeight w:val="523" w:hRule="exact"/>
        </w:trPr>
        <w:tc>
          <w:tcPr>
            <w:tcW w:w="47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90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108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72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897"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72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125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77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102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68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r>
      <w:tr>
        <w:tblPrEx>
          <w:tblCellMar>
            <w:top w:w="0" w:type="dxa"/>
            <w:left w:w="0" w:type="dxa"/>
            <w:bottom w:w="0" w:type="dxa"/>
            <w:right w:w="0" w:type="dxa"/>
          </w:tblCellMar>
        </w:tblPrEx>
        <w:trPr>
          <w:trHeight w:val="518" w:hRule="exact"/>
        </w:trPr>
        <w:tc>
          <w:tcPr>
            <w:tcW w:w="47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90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108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72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897"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72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125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77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102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68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r>
      <w:tr>
        <w:tblPrEx>
          <w:tblCellMar>
            <w:top w:w="0" w:type="dxa"/>
            <w:left w:w="0" w:type="dxa"/>
            <w:bottom w:w="0" w:type="dxa"/>
            <w:right w:w="0" w:type="dxa"/>
          </w:tblCellMar>
        </w:tblPrEx>
        <w:trPr>
          <w:trHeight w:val="518" w:hRule="exact"/>
        </w:trPr>
        <w:tc>
          <w:tcPr>
            <w:tcW w:w="47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90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108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72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897"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72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125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77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102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68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r>
      <w:tr>
        <w:tblPrEx>
          <w:tblCellMar>
            <w:top w:w="0" w:type="dxa"/>
            <w:left w:w="0" w:type="dxa"/>
            <w:bottom w:w="0" w:type="dxa"/>
            <w:right w:w="0" w:type="dxa"/>
          </w:tblCellMar>
        </w:tblPrEx>
        <w:trPr>
          <w:trHeight w:val="523" w:hRule="exact"/>
        </w:trPr>
        <w:tc>
          <w:tcPr>
            <w:tcW w:w="47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90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108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72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897"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72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125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77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102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68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r>
      <w:tr>
        <w:tblPrEx>
          <w:tblCellMar>
            <w:top w:w="0" w:type="dxa"/>
            <w:left w:w="0" w:type="dxa"/>
            <w:bottom w:w="0" w:type="dxa"/>
            <w:right w:w="0" w:type="dxa"/>
          </w:tblCellMar>
        </w:tblPrEx>
        <w:trPr>
          <w:trHeight w:val="518" w:hRule="exact"/>
        </w:trPr>
        <w:tc>
          <w:tcPr>
            <w:tcW w:w="47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90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108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72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897"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72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125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77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102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68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r>
      <w:tr>
        <w:tblPrEx>
          <w:tblCellMar>
            <w:top w:w="0" w:type="dxa"/>
            <w:left w:w="0" w:type="dxa"/>
            <w:bottom w:w="0" w:type="dxa"/>
            <w:right w:w="0" w:type="dxa"/>
          </w:tblCellMar>
        </w:tblPrEx>
        <w:trPr>
          <w:trHeight w:val="518" w:hRule="exact"/>
        </w:trPr>
        <w:tc>
          <w:tcPr>
            <w:tcW w:w="47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90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108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72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897"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72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125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77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102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68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r>
      <w:tr>
        <w:tblPrEx>
          <w:tblCellMar>
            <w:top w:w="0" w:type="dxa"/>
            <w:left w:w="0" w:type="dxa"/>
            <w:bottom w:w="0" w:type="dxa"/>
            <w:right w:w="0" w:type="dxa"/>
          </w:tblCellMar>
        </w:tblPrEx>
        <w:trPr>
          <w:trHeight w:val="523" w:hRule="exact"/>
        </w:trPr>
        <w:tc>
          <w:tcPr>
            <w:tcW w:w="47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90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108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72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897"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72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125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77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102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68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r>
      <w:tr>
        <w:tblPrEx>
          <w:tblCellMar>
            <w:top w:w="0" w:type="dxa"/>
            <w:left w:w="0" w:type="dxa"/>
            <w:bottom w:w="0" w:type="dxa"/>
            <w:right w:w="0" w:type="dxa"/>
          </w:tblCellMar>
        </w:tblPrEx>
        <w:trPr>
          <w:trHeight w:val="518" w:hRule="exact"/>
        </w:trPr>
        <w:tc>
          <w:tcPr>
            <w:tcW w:w="47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90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108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72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897"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72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125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77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102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68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r>
      <w:tr>
        <w:tblPrEx>
          <w:tblCellMar>
            <w:top w:w="0" w:type="dxa"/>
            <w:left w:w="0" w:type="dxa"/>
            <w:bottom w:w="0" w:type="dxa"/>
            <w:right w:w="0" w:type="dxa"/>
          </w:tblCellMar>
        </w:tblPrEx>
        <w:trPr>
          <w:trHeight w:val="518" w:hRule="exact"/>
        </w:trPr>
        <w:tc>
          <w:tcPr>
            <w:tcW w:w="47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90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108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72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897"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72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125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77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102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68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r>
      <w:tr>
        <w:tblPrEx>
          <w:tblCellMar>
            <w:top w:w="0" w:type="dxa"/>
            <w:left w:w="0" w:type="dxa"/>
            <w:bottom w:w="0" w:type="dxa"/>
            <w:right w:w="0" w:type="dxa"/>
          </w:tblCellMar>
        </w:tblPrEx>
        <w:trPr>
          <w:trHeight w:val="523" w:hRule="exact"/>
        </w:trPr>
        <w:tc>
          <w:tcPr>
            <w:tcW w:w="47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90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108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72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897"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72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125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77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102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68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r>
    </w:tbl>
    <w:p>
      <w:pPr>
        <w:autoSpaceDE w:val="0"/>
        <w:autoSpaceDN w:val="0"/>
        <w:adjustRightInd w:val="0"/>
        <w:spacing w:line="360" w:lineRule="auto"/>
        <w:rPr>
          <w:color w:val="000000"/>
          <w:sz w:val="20"/>
        </w:rPr>
      </w:pPr>
    </w:p>
    <w:p>
      <w:pPr>
        <w:autoSpaceDE w:val="0"/>
        <w:autoSpaceDN w:val="0"/>
        <w:adjustRightInd w:val="0"/>
        <w:spacing w:line="360" w:lineRule="auto"/>
        <w:rPr>
          <w:color w:val="000000"/>
          <w:sz w:val="20"/>
        </w:rPr>
      </w:pPr>
    </w:p>
    <w:p>
      <w:pPr>
        <w:autoSpaceDE w:val="0"/>
        <w:autoSpaceDN w:val="0"/>
        <w:adjustRightInd w:val="0"/>
        <w:spacing w:line="360" w:lineRule="auto"/>
        <w:ind w:left="3960" w:right="3926"/>
        <w:jc w:val="center"/>
        <w:rPr>
          <w:rFonts w:ascii="Arial" w:hAnsi="Arial"/>
          <w:color w:val="000000"/>
          <w:sz w:val="18"/>
        </w:rPr>
        <w:sectPr>
          <w:type w:val="continuous"/>
          <w:pgSz w:w="11900" w:h="16840"/>
          <w:pgMar w:top="1500" w:right="1580" w:bottom="1900" w:left="1580" w:header="720" w:footer="720" w:gutter="0"/>
          <w:cols w:space="720" w:num="1"/>
        </w:sectPr>
      </w:pPr>
    </w:p>
    <w:p>
      <w:pPr>
        <w:autoSpaceDE w:val="0"/>
        <w:autoSpaceDN w:val="0"/>
        <w:adjustRightInd w:val="0"/>
        <w:spacing w:before="78" w:line="360" w:lineRule="auto"/>
        <w:ind w:left="220" w:right="-20"/>
        <w:rPr>
          <w:rFonts w:ascii="黑体" w:hAnsi="黑体" w:eastAsia="黑体"/>
          <w:color w:val="000000"/>
          <w:sz w:val="30"/>
        </w:rPr>
      </w:pPr>
      <w:r>
        <w:rPr>
          <w:rFonts w:hint="eastAsia" w:ascii="黑体" w:hAnsi="黑体" w:eastAsia="黑体"/>
          <w:color w:val="000000"/>
          <w:sz w:val="30"/>
        </w:rPr>
        <w:t>附表二：拟配备本项目的试验和检测仪器设备表</w:t>
      </w:r>
    </w:p>
    <w:tbl>
      <w:tblPr>
        <w:tblStyle w:val="46"/>
        <w:tblW w:w="8525" w:type="dxa"/>
        <w:tblInd w:w="110" w:type="dxa"/>
        <w:tblLayout w:type="fixed"/>
        <w:tblCellMar>
          <w:top w:w="0" w:type="dxa"/>
          <w:left w:w="0" w:type="dxa"/>
          <w:bottom w:w="0" w:type="dxa"/>
          <w:right w:w="0" w:type="dxa"/>
        </w:tblCellMar>
      </w:tblPr>
      <w:tblGrid>
        <w:gridCol w:w="830"/>
        <w:gridCol w:w="1066"/>
        <w:gridCol w:w="734"/>
        <w:gridCol w:w="720"/>
        <w:gridCol w:w="1080"/>
        <w:gridCol w:w="898"/>
        <w:gridCol w:w="1085"/>
        <w:gridCol w:w="1430"/>
        <w:gridCol w:w="682"/>
      </w:tblGrid>
      <w:tr>
        <w:tblPrEx>
          <w:tblCellMar>
            <w:top w:w="0" w:type="dxa"/>
            <w:left w:w="0" w:type="dxa"/>
            <w:bottom w:w="0" w:type="dxa"/>
            <w:right w:w="0" w:type="dxa"/>
          </w:tblCellMar>
        </w:tblPrEx>
        <w:trPr>
          <w:trHeight w:val="984" w:hRule="exact"/>
        </w:trPr>
        <w:tc>
          <w:tcPr>
            <w:tcW w:w="83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before="13" w:line="360" w:lineRule="auto"/>
              <w:rPr>
                <w:rFonts w:ascii="黑体" w:hAnsi="黑体" w:eastAsia="黑体"/>
                <w:color w:val="000000"/>
                <w:sz w:val="16"/>
              </w:rPr>
            </w:pPr>
          </w:p>
          <w:p>
            <w:pPr>
              <w:autoSpaceDE w:val="0"/>
              <w:autoSpaceDN w:val="0"/>
              <w:adjustRightInd w:val="0"/>
              <w:spacing w:line="360" w:lineRule="auto"/>
              <w:ind w:left="173" w:right="-20"/>
              <w:rPr>
                <w:rFonts w:ascii="黑体" w:hAnsi="黑体" w:eastAsia="黑体"/>
                <w:color w:val="000000"/>
              </w:rPr>
            </w:pPr>
            <w:r>
              <w:rPr>
                <w:rFonts w:hint="eastAsia" w:ascii="黑体" w:hAnsi="黑体" w:eastAsia="黑体"/>
                <w:color w:val="000000"/>
              </w:rPr>
              <w:t>序号</w:t>
            </w:r>
          </w:p>
        </w:tc>
        <w:tc>
          <w:tcPr>
            <w:tcW w:w="106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before="20" w:line="360" w:lineRule="auto"/>
              <w:ind w:left="168" w:right="-20"/>
              <w:rPr>
                <w:rFonts w:ascii="黑体" w:hAnsi="黑体" w:eastAsia="黑体"/>
                <w:color w:val="000000"/>
              </w:rPr>
            </w:pPr>
            <w:r>
              <w:rPr>
                <w:rFonts w:hint="eastAsia" w:ascii="黑体" w:hAnsi="黑体" w:eastAsia="黑体"/>
                <w:color w:val="000000"/>
              </w:rPr>
              <w:t>仪器设备名称</w:t>
            </w:r>
          </w:p>
        </w:tc>
        <w:tc>
          <w:tcPr>
            <w:tcW w:w="734"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before="20" w:line="360" w:lineRule="auto"/>
              <w:ind w:left="120" w:right="-20"/>
              <w:rPr>
                <w:rFonts w:ascii="黑体" w:hAnsi="黑体" w:eastAsia="黑体"/>
                <w:color w:val="000000"/>
              </w:rPr>
            </w:pPr>
            <w:r>
              <w:rPr>
                <w:rFonts w:hint="eastAsia" w:ascii="黑体" w:hAnsi="黑体" w:eastAsia="黑体"/>
                <w:color w:val="000000"/>
              </w:rPr>
              <w:t>型号规格</w:t>
            </w:r>
          </w:p>
        </w:tc>
        <w:tc>
          <w:tcPr>
            <w:tcW w:w="72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ind w:left="110" w:right="-20"/>
              <w:rPr>
                <w:rFonts w:ascii="黑体" w:hAnsi="黑体" w:eastAsia="黑体"/>
                <w:color w:val="000000"/>
              </w:rPr>
            </w:pPr>
            <w:r>
              <w:rPr>
                <w:rFonts w:hint="eastAsia" w:ascii="黑体" w:hAnsi="黑体" w:eastAsia="黑体"/>
                <w:color w:val="000000"/>
              </w:rPr>
              <w:t>数量</w:t>
            </w:r>
          </w:p>
        </w:tc>
        <w:tc>
          <w:tcPr>
            <w:tcW w:w="108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before="20" w:line="360" w:lineRule="auto"/>
              <w:ind w:left="293" w:right="262"/>
              <w:rPr>
                <w:rFonts w:ascii="黑体" w:hAnsi="黑体" w:eastAsia="黑体"/>
                <w:color w:val="000000"/>
              </w:rPr>
            </w:pPr>
            <w:r>
              <w:rPr>
                <w:rFonts w:hint="eastAsia" w:ascii="黑体" w:hAnsi="黑体" w:eastAsia="黑体"/>
                <w:color w:val="000000"/>
              </w:rPr>
              <w:t>国别 产地</w:t>
            </w:r>
          </w:p>
        </w:tc>
        <w:tc>
          <w:tcPr>
            <w:tcW w:w="89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before="20" w:line="360" w:lineRule="auto"/>
              <w:ind w:left="202" w:right="-20"/>
              <w:rPr>
                <w:rFonts w:ascii="黑体" w:hAnsi="黑体" w:eastAsia="黑体"/>
                <w:color w:val="000000"/>
              </w:rPr>
            </w:pPr>
            <w:r>
              <w:rPr>
                <w:rFonts w:hint="eastAsia" w:ascii="黑体" w:hAnsi="黑体" w:eastAsia="黑体"/>
                <w:color w:val="000000"/>
              </w:rPr>
              <w:t>制造</w:t>
            </w:r>
          </w:p>
          <w:p>
            <w:pPr>
              <w:autoSpaceDE w:val="0"/>
              <w:autoSpaceDN w:val="0"/>
              <w:adjustRightInd w:val="0"/>
              <w:spacing w:before="36" w:line="360" w:lineRule="auto"/>
              <w:ind w:left="202" w:right="-20"/>
              <w:rPr>
                <w:rFonts w:ascii="黑体" w:hAnsi="黑体" w:eastAsia="黑体"/>
                <w:color w:val="000000"/>
              </w:rPr>
            </w:pPr>
            <w:r>
              <w:rPr>
                <w:rFonts w:hint="eastAsia" w:ascii="黑体" w:hAnsi="黑体" w:eastAsia="黑体"/>
                <w:color w:val="000000"/>
              </w:rPr>
              <w:t>年份</w:t>
            </w:r>
          </w:p>
        </w:tc>
        <w:tc>
          <w:tcPr>
            <w:tcW w:w="108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before="20" w:line="360" w:lineRule="auto"/>
              <w:ind w:left="173" w:right="-20"/>
              <w:rPr>
                <w:rFonts w:ascii="黑体" w:hAnsi="黑体" w:eastAsia="黑体"/>
                <w:color w:val="000000"/>
              </w:rPr>
            </w:pPr>
            <w:r>
              <w:rPr>
                <w:rFonts w:hint="eastAsia" w:ascii="黑体" w:hAnsi="黑体" w:eastAsia="黑体"/>
                <w:color w:val="000000"/>
              </w:rPr>
              <w:t>已使用</w:t>
            </w:r>
          </w:p>
          <w:p>
            <w:pPr>
              <w:autoSpaceDE w:val="0"/>
              <w:autoSpaceDN w:val="0"/>
              <w:adjustRightInd w:val="0"/>
              <w:spacing w:before="36" w:line="360" w:lineRule="auto"/>
              <w:ind w:left="173" w:right="-20"/>
              <w:rPr>
                <w:rFonts w:ascii="黑体" w:hAnsi="黑体" w:eastAsia="黑体"/>
                <w:color w:val="000000"/>
              </w:rPr>
            </w:pPr>
            <w:r>
              <w:rPr>
                <w:rFonts w:hint="eastAsia" w:ascii="黑体" w:hAnsi="黑体" w:eastAsia="黑体"/>
                <w:color w:val="000000"/>
              </w:rPr>
              <w:t>台时数</w:t>
            </w:r>
          </w:p>
        </w:tc>
        <w:tc>
          <w:tcPr>
            <w:tcW w:w="143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before="13" w:line="360" w:lineRule="auto"/>
              <w:rPr>
                <w:rFonts w:ascii="黑体" w:hAnsi="黑体" w:eastAsia="黑体"/>
                <w:color w:val="000000"/>
                <w:sz w:val="16"/>
              </w:rPr>
            </w:pPr>
          </w:p>
          <w:p>
            <w:pPr>
              <w:autoSpaceDE w:val="0"/>
              <w:autoSpaceDN w:val="0"/>
              <w:adjustRightInd w:val="0"/>
              <w:spacing w:line="360" w:lineRule="auto"/>
              <w:ind w:left="470" w:right="-20"/>
              <w:rPr>
                <w:rFonts w:ascii="黑体" w:hAnsi="黑体" w:eastAsia="黑体"/>
                <w:color w:val="000000"/>
              </w:rPr>
            </w:pPr>
            <w:r>
              <w:rPr>
                <w:rFonts w:hint="eastAsia" w:ascii="黑体" w:hAnsi="黑体" w:eastAsia="黑体"/>
                <w:color w:val="000000"/>
              </w:rPr>
              <w:t>用途</w:t>
            </w:r>
          </w:p>
        </w:tc>
        <w:tc>
          <w:tcPr>
            <w:tcW w:w="68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before="20" w:line="360" w:lineRule="auto"/>
              <w:ind w:left="216" w:right="-20"/>
              <w:rPr>
                <w:rFonts w:ascii="黑体" w:hAnsi="黑体" w:eastAsia="黑体"/>
                <w:color w:val="000000"/>
              </w:rPr>
            </w:pPr>
            <w:r>
              <w:rPr>
                <w:rFonts w:hint="eastAsia" w:ascii="黑体" w:hAnsi="黑体" w:eastAsia="黑体"/>
                <w:color w:val="000000"/>
              </w:rPr>
              <w:t>备注</w:t>
            </w:r>
          </w:p>
        </w:tc>
      </w:tr>
      <w:tr>
        <w:tblPrEx>
          <w:tblCellMar>
            <w:top w:w="0" w:type="dxa"/>
            <w:left w:w="0" w:type="dxa"/>
            <w:bottom w:w="0" w:type="dxa"/>
            <w:right w:w="0" w:type="dxa"/>
          </w:tblCellMar>
        </w:tblPrEx>
        <w:trPr>
          <w:trHeight w:val="518" w:hRule="exact"/>
        </w:trPr>
        <w:tc>
          <w:tcPr>
            <w:tcW w:w="83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黑体" w:hAnsi="黑体" w:eastAsia="黑体"/>
                <w:color w:val="000000"/>
              </w:rPr>
            </w:pPr>
          </w:p>
        </w:tc>
        <w:tc>
          <w:tcPr>
            <w:tcW w:w="106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黑体" w:hAnsi="黑体" w:eastAsia="黑体"/>
                <w:color w:val="000000"/>
              </w:rPr>
            </w:pPr>
          </w:p>
        </w:tc>
        <w:tc>
          <w:tcPr>
            <w:tcW w:w="734"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黑体" w:hAnsi="黑体" w:eastAsia="黑体"/>
                <w:color w:val="000000"/>
              </w:rPr>
            </w:pPr>
          </w:p>
        </w:tc>
        <w:tc>
          <w:tcPr>
            <w:tcW w:w="72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黑体" w:hAnsi="黑体" w:eastAsia="黑体"/>
                <w:color w:val="000000"/>
              </w:rPr>
            </w:pPr>
          </w:p>
        </w:tc>
        <w:tc>
          <w:tcPr>
            <w:tcW w:w="108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黑体" w:hAnsi="黑体" w:eastAsia="黑体"/>
                <w:color w:val="000000"/>
              </w:rPr>
            </w:pPr>
          </w:p>
        </w:tc>
        <w:tc>
          <w:tcPr>
            <w:tcW w:w="89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黑体" w:hAnsi="黑体" w:eastAsia="黑体"/>
                <w:color w:val="000000"/>
              </w:rPr>
            </w:pPr>
          </w:p>
        </w:tc>
        <w:tc>
          <w:tcPr>
            <w:tcW w:w="108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黑体" w:hAnsi="黑体" w:eastAsia="黑体"/>
                <w:color w:val="000000"/>
              </w:rPr>
            </w:pPr>
          </w:p>
        </w:tc>
        <w:tc>
          <w:tcPr>
            <w:tcW w:w="143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黑体" w:hAnsi="黑体" w:eastAsia="黑体"/>
                <w:color w:val="000000"/>
              </w:rPr>
            </w:pPr>
          </w:p>
        </w:tc>
        <w:tc>
          <w:tcPr>
            <w:tcW w:w="68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黑体" w:hAnsi="黑体" w:eastAsia="黑体"/>
                <w:color w:val="000000"/>
              </w:rPr>
            </w:pPr>
          </w:p>
        </w:tc>
      </w:tr>
      <w:tr>
        <w:tblPrEx>
          <w:tblCellMar>
            <w:top w:w="0" w:type="dxa"/>
            <w:left w:w="0" w:type="dxa"/>
            <w:bottom w:w="0" w:type="dxa"/>
            <w:right w:w="0" w:type="dxa"/>
          </w:tblCellMar>
        </w:tblPrEx>
        <w:trPr>
          <w:trHeight w:val="523" w:hRule="exact"/>
        </w:trPr>
        <w:tc>
          <w:tcPr>
            <w:tcW w:w="83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106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734"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72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108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89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108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143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68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r>
      <w:tr>
        <w:tblPrEx>
          <w:tblCellMar>
            <w:top w:w="0" w:type="dxa"/>
            <w:left w:w="0" w:type="dxa"/>
            <w:bottom w:w="0" w:type="dxa"/>
            <w:right w:w="0" w:type="dxa"/>
          </w:tblCellMar>
        </w:tblPrEx>
        <w:trPr>
          <w:trHeight w:val="518" w:hRule="exact"/>
        </w:trPr>
        <w:tc>
          <w:tcPr>
            <w:tcW w:w="83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106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734"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72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108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89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108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143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68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r>
      <w:tr>
        <w:tblPrEx>
          <w:tblCellMar>
            <w:top w:w="0" w:type="dxa"/>
            <w:left w:w="0" w:type="dxa"/>
            <w:bottom w:w="0" w:type="dxa"/>
            <w:right w:w="0" w:type="dxa"/>
          </w:tblCellMar>
        </w:tblPrEx>
        <w:trPr>
          <w:trHeight w:val="518" w:hRule="exact"/>
        </w:trPr>
        <w:tc>
          <w:tcPr>
            <w:tcW w:w="83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106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734"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72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108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89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108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143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68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r>
      <w:tr>
        <w:tblPrEx>
          <w:tblCellMar>
            <w:top w:w="0" w:type="dxa"/>
            <w:left w:w="0" w:type="dxa"/>
            <w:bottom w:w="0" w:type="dxa"/>
            <w:right w:w="0" w:type="dxa"/>
          </w:tblCellMar>
        </w:tblPrEx>
        <w:trPr>
          <w:trHeight w:val="523" w:hRule="exact"/>
        </w:trPr>
        <w:tc>
          <w:tcPr>
            <w:tcW w:w="83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106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734"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72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108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89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108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143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68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r>
      <w:tr>
        <w:tblPrEx>
          <w:tblCellMar>
            <w:top w:w="0" w:type="dxa"/>
            <w:left w:w="0" w:type="dxa"/>
            <w:bottom w:w="0" w:type="dxa"/>
            <w:right w:w="0" w:type="dxa"/>
          </w:tblCellMar>
        </w:tblPrEx>
        <w:trPr>
          <w:trHeight w:val="518" w:hRule="exact"/>
        </w:trPr>
        <w:tc>
          <w:tcPr>
            <w:tcW w:w="83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106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734"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72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108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89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108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143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68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r>
      <w:tr>
        <w:tblPrEx>
          <w:tblCellMar>
            <w:top w:w="0" w:type="dxa"/>
            <w:left w:w="0" w:type="dxa"/>
            <w:bottom w:w="0" w:type="dxa"/>
            <w:right w:w="0" w:type="dxa"/>
          </w:tblCellMar>
        </w:tblPrEx>
        <w:trPr>
          <w:trHeight w:val="518" w:hRule="exact"/>
        </w:trPr>
        <w:tc>
          <w:tcPr>
            <w:tcW w:w="83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106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734"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72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108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89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108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143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68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r>
      <w:tr>
        <w:tblPrEx>
          <w:tblCellMar>
            <w:top w:w="0" w:type="dxa"/>
            <w:left w:w="0" w:type="dxa"/>
            <w:bottom w:w="0" w:type="dxa"/>
            <w:right w:w="0" w:type="dxa"/>
          </w:tblCellMar>
        </w:tblPrEx>
        <w:trPr>
          <w:trHeight w:val="523" w:hRule="exact"/>
        </w:trPr>
        <w:tc>
          <w:tcPr>
            <w:tcW w:w="83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106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734"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72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108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89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108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143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68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r>
      <w:tr>
        <w:tblPrEx>
          <w:tblCellMar>
            <w:top w:w="0" w:type="dxa"/>
            <w:left w:w="0" w:type="dxa"/>
            <w:bottom w:w="0" w:type="dxa"/>
            <w:right w:w="0" w:type="dxa"/>
          </w:tblCellMar>
        </w:tblPrEx>
        <w:trPr>
          <w:trHeight w:val="518" w:hRule="exact"/>
        </w:trPr>
        <w:tc>
          <w:tcPr>
            <w:tcW w:w="83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106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734"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72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108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89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108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143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68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r>
      <w:tr>
        <w:tblPrEx>
          <w:tblCellMar>
            <w:top w:w="0" w:type="dxa"/>
            <w:left w:w="0" w:type="dxa"/>
            <w:bottom w:w="0" w:type="dxa"/>
            <w:right w:w="0" w:type="dxa"/>
          </w:tblCellMar>
        </w:tblPrEx>
        <w:trPr>
          <w:trHeight w:val="518" w:hRule="exact"/>
        </w:trPr>
        <w:tc>
          <w:tcPr>
            <w:tcW w:w="83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106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734"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72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108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89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108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143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68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r>
      <w:tr>
        <w:tblPrEx>
          <w:tblCellMar>
            <w:top w:w="0" w:type="dxa"/>
            <w:left w:w="0" w:type="dxa"/>
            <w:bottom w:w="0" w:type="dxa"/>
            <w:right w:w="0" w:type="dxa"/>
          </w:tblCellMar>
        </w:tblPrEx>
        <w:trPr>
          <w:trHeight w:val="523" w:hRule="exact"/>
        </w:trPr>
        <w:tc>
          <w:tcPr>
            <w:tcW w:w="83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106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734"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72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108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89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108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143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68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r>
      <w:tr>
        <w:tblPrEx>
          <w:tblCellMar>
            <w:top w:w="0" w:type="dxa"/>
            <w:left w:w="0" w:type="dxa"/>
            <w:bottom w:w="0" w:type="dxa"/>
            <w:right w:w="0" w:type="dxa"/>
          </w:tblCellMar>
        </w:tblPrEx>
        <w:trPr>
          <w:trHeight w:val="518" w:hRule="exact"/>
        </w:trPr>
        <w:tc>
          <w:tcPr>
            <w:tcW w:w="83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106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734"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72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108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89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108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143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68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r>
      <w:tr>
        <w:tblPrEx>
          <w:tblCellMar>
            <w:top w:w="0" w:type="dxa"/>
            <w:left w:w="0" w:type="dxa"/>
            <w:bottom w:w="0" w:type="dxa"/>
            <w:right w:w="0" w:type="dxa"/>
          </w:tblCellMar>
        </w:tblPrEx>
        <w:trPr>
          <w:trHeight w:val="518" w:hRule="exact"/>
        </w:trPr>
        <w:tc>
          <w:tcPr>
            <w:tcW w:w="83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106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734"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72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108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89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108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143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68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r>
      <w:tr>
        <w:tblPrEx>
          <w:tblCellMar>
            <w:top w:w="0" w:type="dxa"/>
            <w:left w:w="0" w:type="dxa"/>
            <w:bottom w:w="0" w:type="dxa"/>
            <w:right w:w="0" w:type="dxa"/>
          </w:tblCellMar>
        </w:tblPrEx>
        <w:trPr>
          <w:trHeight w:val="523" w:hRule="exact"/>
        </w:trPr>
        <w:tc>
          <w:tcPr>
            <w:tcW w:w="83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106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734"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72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108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89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108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143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68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r>
      <w:tr>
        <w:tblPrEx>
          <w:tblCellMar>
            <w:top w:w="0" w:type="dxa"/>
            <w:left w:w="0" w:type="dxa"/>
            <w:bottom w:w="0" w:type="dxa"/>
            <w:right w:w="0" w:type="dxa"/>
          </w:tblCellMar>
        </w:tblPrEx>
        <w:trPr>
          <w:trHeight w:val="518" w:hRule="exact"/>
        </w:trPr>
        <w:tc>
          <w:tcPr>
            <w:tcW w:w="83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106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734"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72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108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89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108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143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68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r>
      <w:tr>
        <w:tblPrEx>
          <w:tblCellMar>
            <w:top w:w="0" w:type="dxa"/>
            <w:left w:w="0" w:type="dxa"/>
            <w:bottom w:w="0" w:type="dxa"/>
            <w:right w:w="0" w:type="dxa"/>
          </w:tblCellMar>
        </w:tblPrEx>
        <w:trPr>
          <w:trHeight w:val="518" w:hRule="exact"/>
        </w:trPr>
        <w:tc>
          <w:tcPr>
            <w:tcW w:w="83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106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734"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72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108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89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108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143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68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r>
      <w:tr>
        <w:tblPrEx>
          <w:tblCellMar>
            <w:top w:w="0" w:type="dxa"/>
            <w:left w:w="0" w:type="dxa"/>
            <w:bottom w:w="0" w:type="dxa"/>
            <w:right w:w="0" w:type="dxa"/>
          </w:tblCellMar>
        </w:tblPrEx>
        <w:trPr>
          <w:trHeight w:val="523" w:hRule="exact"/>
        </w:trPr>
        <w:tc>
          <w:tcPr>
            <w:tcW w:w="83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106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734"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72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108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89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108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143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68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r>
      <w:tr>
        <w:tblPrEx>
          <w:tblCellMar>
            <w:top w:w="0" w:type="dxa"/>
            <w:left w:w="0" w:type="dxa"/>
            <w:bottom w:w="0" w:type="dxa"/>
            <w:right w:w="0" w:type="dxa"/>
          </w:tblCellMar>
        </w:tblPrEx>
        <w:trPr>
          <w:trHeight w:val="518" w:hRule="exact"/>
        </w:trPr>
        <w:tc>
          <w:tcPr>
            <w:tcW w:w="83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106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734"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72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108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89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108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143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68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r>
      <w:tr>
        <w:tblPrEx>
          <w:tblCellMar>
            <w:top w:w="0" w:type="dxa"/>
            <w:left w:w="0" w:type="dxa"/>
            <w:bottom w:w="0" w:type="dxa"/>
            <w:right w:w="0" w:type="dxa"/>
          </w:tblCellMar>
        </w:tblPrEx>
        <w:trPr>
          <w:trHeight w:val="518" w:hRule="exact"/>
        </w:trPr>
        <w:tc>
          <w:tcPr>
            <w:tcW w:w="83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106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734"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72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108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89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108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143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68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r>
      <w:tr>
        <w:tblPrEx>
          <w:tblCellMar>
            <w:top w:w="0" w:type="dxa"/>
            <w:left w:w="0" w:type="dxa"/>
            <w:bottom w:w="0" w:type="dxa"/>
            <w:right w:w="0" w:type="dxa"/>
          </w:tblCellMar>
        </w:tblPrEx>
        <w:trPr>
          <w:trHeight w:val="523" w:hRule="exact"/>
        </w:trPr>
        <w:tc>
          <w:tcPr>
            <w:tcW w:w="83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106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734"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72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108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89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108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143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68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r>
    </w:tbl>
    <w:p>
      <w:pPr>
        <w:autoSpaceDE w:val="0"/>
        <w:autoSpaceDN w:val="0"/>
        <w:adjustRightInd w:val="0"/>
        <w:spacing w:line="360" w:lineRule="auto"/>
        <w:rPr>
          <w:color w:val="000000"/>
          <w:sz w:val="20"/>
        </w:rPr>
      </w:pPr>
    </w:p>
    <w:p>
      <w:pPr>
        <w:autoSpaceDE w:val="0"/>
        <w:autoSpaceDN w:val="0"/>
        <w:adjustRightInd w:val="0"/>
        <w:spacing w:line="360" w:lineRule="auto"/>
        <w:rPr>
          <w:color w:val="000000"/>
          <w:sz w:val="20"/>
        </w:rPr>
      </w:pPr>
    </w:p>
    <w:p>
      <w:pPr>
        <w:autoSpaceDE w:val="0"/>
        <w:autoSpaceDN w:val="0"/>
        <w:adjustRightInd w:val="0"/>
        <w:spacing w:before="78" w:line="360" w:lineRule="auto"/>
        <w:ind w:left="220" w:right="-20"/>
        <w:rPr>
          <w:rFonts w:ascii="黑体" w:hAnsi="黑体" w:eastAsia="黑体"/>
          <w:color w:val="000000"/>
          <w:sz w:val="30"/>
        </w:rPr>
      </w:pPr>
      <w:r>
        <w:rPr>
          <w:rFonts w:hint="eastAsia" w:ascii="黑体" w:hAnsi="黑体" w:eastAsia="黑体"/>
          <w:color w:val="000000"/>
          <w:sz w:val="30"/>
        </w:rPr>
        <w:br w:type="page"/>
      </w:r>
      <w:r>
        <w:rPr>
          <w:rFonts w:hint="eastAsia" w:ascii="黑体" w:hAnsi="黑体" w:eastAsia="黑体"/>
          <w:color w:val="000000"/>
          <w:sz w:val="30"/>
        </w:rPr>
        <w:t>附表三：劳动力计划表</w:t>
      </w:r>
    </w:p>
    <w:p>
      <w:pPr>
        <w:autoSpaceDE w:val="0"/>
        <w:autoSpaceDN w:val="0"/>
        <w:adjustRightInd w:val="0"/>
        <w:spacing w:line="360" w:lineRule="auto"/>
        <w:ind w:left="6765" w:right="-20"/>
        <w:rPr>
          <w:rFonts w:ascii="黑体" w:hAnsi="黑体" w:eastAsia="黑体"/>
          <w:color w:val="000000"/>
          <w:sz w:val="28"/>
        </w:rPr>
      </w:pPr>
      <w:r>
        <w:rPr>
          <w:rFonts w:hint="eastAsia" w:ascii="黑体" w:hAnsi="黑体" w:eastAsia="黑体"/>
          <w:b/>
          <w:color w:val="000000"/>
          <w:sz w:val="28"/>
        </w:rPr>
        <w:t>单位：人</w:t>
      </w:r>
    </w:p>
    <w:p>
      <w:pPr>
        <w:autoSpaceDE w:val="0"/>
        <w:autoSpaceDN w:val="0"/>
        <w:adjustRightInd w:val="0"/>
        <w:spacing w:before="17" w:line="360" w:lineRule="auto"/>
        <w:rPr>
          <w:rFonts w:ascii="黑体" w:hAnsi="黑体" w:eastAsia="黑体"/>
          <w:color w:val="000000"/>
          <w:sz w:val="14"/>
        </w:rPr>
      </w:pPr>
    </w:p>
    <w:tbl>
      <w:tblPr>
        <w:tblStyle w:val="46"/>
        <w:tblW w:w="8525" w:type="dxa"/>
        <w:tblInd w:w="110" w:type="dxa"/>
        <w:tblLayout w:type="fixed"/>
        <w:tblCellMar>
          <w:top w:w="0" w:type="dxa"/>
          <w:left w:w="0" w:type="dxa"/>
          <w:bottom w:w="0" w:type="dxa"/>
          <w:right w:w="0" w:type="dxa"/>
        </w:tblCellMar>
      </w:tblPr>
      <w:tblGrid>
        <w:gridCol w:w="1070"/>
        <w:gridCol w:w="1066"/>
        <w:gridCol w:w="1065"/>
        <w:gridCol w:w="1061"/>
        <w:gridCol w:w="1066"/>
        <w:gridCol w:w="1065"/>
        <w:gridCol w:w="1066"/>
        <w:gridCol w:w="1066"/>
      </w:tblGrid>
      <w:tr>
        <w:trPr>
          <w:trHeight w:val="755" w:hRule="exact"/>
        </w:trPr>
        <w:tc>
          <w:tcPr>
            <w:tcW w:w="107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ind w:left="288" w:right="-20"/>
              <w:rPr>
                <w:rFonts w:ascii="黑体" w:hAnsi="黑体" w:eastAsia="黑体"/>
                <w:color w:val="000000"/>
              </w:rPr>
            </w:pPr>
            <w:r>
              <w:rPr>
                <w:rFonts w:hint="eastAsia" w:ascii="黑体" w:hAnsi="黑体" w:eastAsia="黑体"/>
                <w:color w:val="000000"/>
              </w:rPr>
              <w:t>工种</w:t>
            </w:r>
          </w:p>
        </w:tc>
        <w:tc>
          <w:tcPr>
            <w:tcW w:w="7455" w:type="dxa"/>
            <w:gridSpan w:val="7"/>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ind w:left="2040" w:right="-20"/>
              <w:rPr>
                <w:rFonts w:ascii="黑体" w:hAnsi="黑体" w:eastAsia="黑体"/>
                <w:color w:val="000000"/>
              </w:rPr>
            </w:pPr>
            <w:r>
              <w:rPr>
                <w:rFonts w:hint="eastAsia" w:ascii="黑体" w:hAnsi="黑体" w:eastAsia="黑体"/>
                <w:color w:val="000000"/>
              </w:rPr>
              <w:t>按工程施工阶段投入劳动力情况</w:t>
            </w:r>
          </w:p>
        </w:tc>
      </w:tr>
      <w:tr>
        <w:tblPrEx>
          <w:tblCellMar>
            <w:top w:w="0" w:type="dxa"/>
            <w:left w:w="0" w:type="dxa"/>
            <w:bottom w:w="0" w:type="dxa"/>
            <w:right w:w="0" w:type="dxa"/>
          </w:tblCellMar>
        </w:tblPrEx>
        <w:trPr>
          <w:trHeight w:val="485" w:hRule="exact"/>
        </w:trPr>
        <w:tc>
          <w:tcPr>
            <w:tcW w:w="107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黑体" w:hAnsi="黑体" w:eastAsia="黑体"/>
                <w:color w:val="000000"/>
              </w:rPr>
            </w:pPr>
          </w:p>
        </w:tc>
        <w:tc>
          <w:tcPr>
            <w:tcW w:w="106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黑体" w:hAnsi="黑体" w:eastAsia="黑体"/>
                <w:color w:val="000000"/>
              </w:rPr>
            </w:pPr>
          </w:p>
        </w:tc>
        <w:tc>
          <w:tcPr>
            <w:tcW w:w="106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黑体" w:hAnsi="黑体" w:eastAsia="黑体"/>
                <w:color w:val="000000"/>
              </w:rPr>
            </w:pPr>
          </w:p>
        </w:tc>
        <w:tc>
          <w:tcPr>
            <w:tcW w:w="106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黑体" w:hAnsi="黑体" w:eastAsia="黑体"/>
                <w:color w:val="000000"/>
              </w:rPr>
            </w:pPr>
          </w:p>
        </w:tc>
        <w:tc>
          <w:tcPr>
            <w:tcW w:w="106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黑体" w:hAnsi="黑体" w:eastAsia="黑体"/>
                <w:color w:val="000000"/>
              </w:rPr>
            </w:pPr>
          </w:p>
        </w:tc>
        <w:tc>
          <w:tcPr>
            <w:tcW w:w="106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黑体" w:hAnsi="黑体" w:eastAsia="黑体"/>
                <w:color w:val="000000"/>
              </w:rPr>
            </w:pPr>
          </w:p>
        </w:tc>
        <w:tc>
          <w:tcPr>
            <w:tcW w:w="106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黑体" w:hAnsi="黑体" w:eastAsia="黑体"/>
                <w:color w:val="000000"/>
              </w:rPr>
            </w:pPr>
          </w:p>
        </w:tc>
        <w:tc>
          <w:tcPr>
            <w:tcW w:w="106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黑体" w:hAnsi="黑体" w:eastAsia="黑体"/>
                <w:color w:val="000000"/>
              </w:rPr>
            </w:pPr>
          </w:p>
        </w:tc>
      </w:tr>
      <w:tr>
        <w:tblPrEx>
          <w:tblCellMar>
            <w:top w:w="0" w:type="dxa"/>
            <w:left w:w="0" w:type="dxa"/>
            <w:bottom w:w="0" w:type="dxa"/>
            <w:right w:w="0" w:type="dxa"/>
          </w:tblCellMar>
        </w:tblPrEx>
        <w:trPr>
          <w:trHeight w:val="490" w:hRule="exact"/>
        </w:trPr>
        <w:tc>
          <w:tcPr>
            <w:tcW w:w="107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黑体" w:hAnsi="黑体" w:eastAsia="黑体"/>
                <w:color w:val="000000"/>
              </w:rPr>
            </w:pPr>
          </w:p>
        </w:tc>
        <w:tc>
          <w:tcPr>
            <w:tcW w:w="106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黑体" w:hAnsi="黑体" w:eastAsia="黑体"/>
                <w:color w:val="000000"/>
              </w:rPr>
            </w:pPr>
          </w:p>
        </w:tc>
        <w:tc>
          <w:tcPr>
            <w:tcW w:w="106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黑体" w:hAnsi="黑体" w:eastAsia="黑体"/>
                <w:color w:val="000000"/>
              </w:rPr>
            </w:pPr>
          </w:p>
        </w:tc>
        <w:tc>
          <w:tcPr>
            <w:tcW w:w="106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黑体" w:hAnsi="黑体" w:eastAsia="黑体"/>
                <w:color w:val="000000"/>
              </w:rPr>
            </w:pPr>
          </w:p>
        </w:tc>
        <w:tc>
          <w:tcPr>
            <w:tcW w:w="106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黑体" w:hAnsi="黑体" w:eastAsia="黑体"/>
                <w:color w:val="000000"/>
              </w:rPr>
            </w:pPr>
          </w:p>
        </w:tc>
        <w:tc>
          <w:tcPr>
            <w:tcW w:w="106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黑体" w:hAnsi="黑体" w:eastAsia="黑体"/>
                <w:color w:val="000000"/>
              </w:rPr>
            </w:pPr>
          </w:p>
        </w:tc>
        <w:tc>
          <w:tcPr>
            <w:tcW w:w="106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黑体" w:hAnsi="黑体" w:eastAsia="黑体"/>
                <w:color w:val="000000"/>
              </w:rPr>
            </w:pPr>
          </w:p>
        </w:tc>
        <w:tc>
          <w:tcPr>
            <w:tcW w:w="106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黑体" w:hAnsi="黑体" w:eastAsia="黑体"/>
                <w:color w:val="000000"/>
              </w:rPr>
            </w:pPr>
          </w:p>
        </w:tc>
      </w:tr>
      <w:tr>
        <w:tblPrEx>
          <w:tblCellMar>
            <w:top w:w="0" w:type="dxa"/>
            <w:left w:w="0" w:type="dxa"/>
            <w:bottom w:w="0" w:type="dxa"/>
            <w:right w:w="0" w:type="dxa"/>
          </w:tblCellMar>
        </w:tblPrEx>
        <w:trPr>
          <w:trHeight w:val="485" w:hRule="exact"/>
        </w:trPr>
        <w:tc>
          <w:tcPr>
            <w:tcW w:w="107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黑体" w:hAnsi="黑体" w:eastAsia="黑体"/>
                <w:color w:val="000000"/>
              </w:rPr>
            </w:pPr>
          </w:p>
        </w:tc>
        <w:tc>
          <w:tcPr>
            <w:tcW w:w="106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黑体" w:hAnsi="黑体" w:eastAsia="黑体"/>
                <w:color w:val="000000"/>
              </w:rPr>
            </w:pPr>
          </w:p>
        </w:tc>
        <w:tc>
          <w:tcPr>
            <w:tcW w:w="106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黑体" w:hAnsi="黑体" w:eastAsia="黑体"/>
                <w:color w:val="000000"/>
              </w:rPr>
            </w:pPr>
          </w:p>
        </w:tc>
        <w:tc>
          <w:tcPr>
            <w:tcW w:w="106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黑体" w:hAnsi="黑体" w:eastAsia="黑体"/>
                <w:color w:val="000000"/>
              </w:rPr>
            </w:pPr>
          </w:p>
        </w:tc>
        <w:tc>
          <w:tcPr>
            <w:tcW w:w="106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黑体" w:hAnsi="黑体" w:eastAsia="黑体"/>
                <w:color w:val="000000"/>
              </w:rPr>
            </w:pPr>
          </w:p>
        </w:tc>
        <w:tc>
          <w:tcPr>
            <w:tcW w:w="106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黑体" w:hAnsi="黑体" w:eastAsia="黑体"/>
                <w:color w:val="000000"/>
              </w:rPr>
            </w:pPr>
          </w:p>
        </w:tc>
        <w:tc>
          <w:tcPr>
            <w:tcW w:w="106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黑体" w:hAnsi="黑体" w:eastAsia="黑体"/>
                <w:color w:val="000000"/>
              </w:rPr>
            </w:pPr>
          </w:p>
        </w:tc>
        <w:tc>
          <w:tcPr>
            <w:tcW w:w="106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黑体" w:hAnsi="黑体" w:eastAsia="黑体"/>
                <w:color w:val="000000"/>
              </w:rPr>
            </w:pPr>
          </w:p>
        </w:tc>
      </w:tr>
      <w:tr>
        <w:tblPrEx>
          <w:tblCellMar>
            <w:top w:w="0" w:type="dxa"/>
            <w:left w:w="0" w:type="dxa"/>
            <w:bottom w:w="0" w:type="dxa"/>
            <w:right w:w="0" w:type="dxa"/>
          </w:tblCellMar>
        </w:tblPrEx>
        <w:trPr>
          <w:trHeight w:val="485" w:hRule="exact"/>
        </w:trPr>
        <w:tc>
          <w:tcPr>
            <w:tcW w:w="107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黑体" w:hAnsi="黑体" w:eastAsia="黑体"/>
                <w:color w:val="000000"/>
              </w:rPr>
            </w:pPr>
          </w:p>
        </w:tc>
        <w:tc>
          <w:tcPr>
            <w:tcW w:w="106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黑体" w:hAnsi="黑体" w:eastAsia="黑体"/>
                <w:color w:val="000000"/>
              </w:rPr>
            </w:pPr>
          </w:p>
        </w:tc>
        <w:tc>
          <w:tcPr>
            <w:tcW w:w="106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黑体" w:hAnsi="黑体" w:eastAsia="黑体"/>
                <w:color w:val="000000"/>
              </w:rPr>
            </w:pPr>
          </w:p>
        </w:tc>
        <w:tc>
          <w:tcPr>
            <w:tcW w:w="106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黑体" w:hAnsi="黑体" w:eastAsia="黑体"/>
                <w:color w:val="000000"/>
              </w:rPr>
            </w:pPr>
          </w:p>
        </w:tc>
        <w:tc>
          <w:tcPr>
            <w:tcW w:w="106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黑体" w:hAnsi="黑体" w:eastAsia="黑体"/>
                <w:color w:val="000000"/>
              </w:rPr>
            </w:pPr>
          </w:p>
        </w:tc>
        <w:tc>
          <w:tcPr>
            <w:tcW w:w="106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黑体" w:hAnsi="黑体" w:eastAsia="黑体"/>
                <w:color w:val="000000"/>
              </w:rPr>
            </w:pPr>
          </w:p>
        </w:tc>
        <w:tc>
          <w:tcPr>
            <w:tcW w:w="106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黑体" w:hAnsi="黑体" w:eastAsia="黑体"/>
                <w:color w:val="000000"/>
              </w:rPr>
            </w:pPr>
          </w:p>
        </w:tc>
        <w:tc>
          <w:tcPr>
            <w:tcW w:w="106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黑体" w:hAnsi="黑体" w:eastAsia="黑体"/>
                <w:color w:val="000000"/>
              </w:rPr>
            </w:pPr>
          </w:p>
        </w:tc>
      </w:tr>
      <w:tr>
        <w:tblPrEx>
          <w:tblCellMar>
            <w:top w:w="0" w:type="dxa"/>
            <w:left w:w="0" w:type="dxa"/>
            <w:bottom w:w="0" w:type="dxa"/>
            <w:right w:w="0" w:type="dxa"/>
          </w:tblCellMar>
        </w:tblPrEx>
        <w:trPr>
          <w:trHeight w:val="485" w:hRule="exact"/>
        </w:trPr>
        <w:tc>
          <w:tcPr>
            <w:tcW w:w="107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黑体" w:hAnsi="黑体" w:eastAsia="黑体"/>
                <w:color w:val="000000"/>
              </w:rPr>
            </w:pPr>
          </w:p>
        </w:tc>
        <w:tc>
          <w:tcPr>
            <w:tcW w:w="106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黑体" w:hAnsi="黑体" w:eastAsia="黑体"/>
                <w:color w:val="000000"/>
              </w:rPr>
            </w:pPr>
          </w:p>
        </w:tc>
        <w:tc>
          <w:tcPr>
            <w:tcW w:w="106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黑体" w:hAnsi="黑体" w:eastAsia="黑体"/>
                <w:color w:val="000000"/>
              </w:rPr>
            </w:pPr>
          </w:p>
        </w:tc>
        <w:tc>
          <w:tcPr>
            <w:tcW w:w="106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黑体" w:hAnsi="黑体" w:eastAsia="黑体"/>
                <w:color w:val="000000"/>
              </w:rPr>
            </w:pPr>
          </w:p>
        </w:tc>
        <w:tc>
          <w:tcPr>
            <w:tcW w:w="106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黑体" w:hAnsi="黑体" w:eastAsia="黑体"/>
                <w:color w:val="000000"/>
              </w:rPr>
            </w:pPr>
          </w:p>
        </w:tc>
        <w:tc>
          <w:tcPr>
            <w:tcW w:w="106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黑体" w:hAnsi="黑体" w:eastAsia="黑体"/>
                <w:color w:val="000000"/>
              </w:rPr>
            </w:pPr>
          </w:p>
        </w:tc>
        <w:tc>
          <w:tcPr>
            <w:tcW w:w="106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黑体" w:hAnsi="黑体" w:eastAsia="黑体"/>
                <w:color w:val="000000"/>
              </w:rPr>
            </w:pPr>
          </w:p>
        </w:tc>
        <w:tc>
          <w:tcPr>
            <w:tcW w:w="106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黑体" w:hAnsi="黑体" w:eastAsia="黑体"/>
                <w:color w:val="000000"/>
              </w:rPr>
            </w:pPr>
          </w:p>
        </w:tc>
      </w:tr>
      <w:tr>
        <w:tblPrEx>
          <w:tblCellMar>
            <w:top w:w="0" w:type="dxa"/>
            <w:left w:w="0" w:type="dxa"/>
            <w:bottom w:w="0" w:type="dxa"/>
            <w:right w:w="0" w:type="dxa"/>
          </w:tblCellMar>
        </w:tblPrEx>
        <w:trPr>
          <w:trHeight w:val="490" w:hRule="exact"/>
        </w:trPr>
        <w:tc>
          <w:tcPr>
            <w:tcW w:w="107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黑体" w:hAnsi="黑体" w:eastAsia="黑体"/>
                <w:color w:val="000000"/>
              </w:rPr>
            </w:pPr>
          </w:p>
        </w:tc>
        <w:tc>
          <w:tcPr>
            <w:tcW w:w="106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黑体" w:hAnsi="黑体" w:eastAsia="黑体"/>
                <w:color w:val="000000"/>
              </w:rPr>
            </w:pPr>
          </w:p>
        </w:tc>
        <w:tc>
          <w:tcPr>
            <w:tcW w:w="106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黑体" w:hAnsi="黑体" w:eastAsia="黑体"/>
                <w:color w:val="000000"/>
              </w:rPr>
            </w:pPr>
          </w:p>
        </w:tc>
        <w:tc>
          <w:tcPr>
            <w:tcW w:w="106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黑体" w:hAnsi="黑体" w:eastAsia="黑体"/>
                <w:color w:val="000000"/>
              </w:rPr>
            </w:pPr>
          </w:p>
        </w:tc>
        <w:tc>
          <w:tcPr>
            <w:tcW w:w="106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黑体" w:hAnsi="黑体" w:eastAsia="黑体"/>
                <w:color w:val="000000"/>
              </w:rPr>
            </w:pPr>
          </w:p>
        </w:tc>
        <w:tc>
          <w:tcPr>
            <w:tcW w:w="106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黑体" w:hAnsi="黑体" w:eastAsia="黑体"/>
                <w:color w:val="000000"/>
              </w:rPr>
            </w:pPr>
          </w:p>
        </w:tc>
        <w:tc>
          <w:tcPr>
            <w:tcW w:w="106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黑体" w:hAnsi="黑体" w:eastAsia="黑体"/>
                <w:color w:val="000000"/>
              </w:rPr>
            </w:pPr>
          </w:p>
        </w:tc>
        <w:tc>
          <w:tcPr>
            <w:tcW w:w="106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黑体" w:hAnsi="黑体" w:eastAsia="黑体"/>
                <w:color w:val="000000"/>
              </w:rPr>
            </w:pPr>
          </w:p>
        </w:tc>
      </w:tr>
      <w:tr>
        <w:tblPrEx>
          <w:tblCellMar>
            <w:top w:w="0" w:type="dxa"/>
            <w:left w:w="0" w:type="dxa"/>
            <w:bottom w:w="0" w:type="dxa"/>
            <w:right w:w="0" w:type="dxa"/>
          </w:tblCellMar>
        </w:tblPrEx>
        <w:trPr>
          <w:trHeight w:val="485" w:hRule="exact"/>
        </w:trPr>
        <w:tc>
          <w:tcPr>
            <w:tcW w:w="107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黑体" w:hAnsi="黑体" w:eastAsia="黑体"/>
                <w:color w:val="000000"/>
              </w:rPr>
            </w:pPr>
          </w:p>
        </w:tc>
        <w:tc>
          <w:tcPr>
            <w:tcW w:w="106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黑体" w:hAnsi="黑体" w:eastAsia="黑体"/>
                <w:color w:val="000000"/>
              </w:rPr>
            </w:pPr>
          </w:p>
        </w:tc>
        <w:tc>
          <w:tcPr>
            <w:tcW w:w="106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黑体" w:hAnsi="黑体" w:eastAsia="黑体"/>
                <w:color w:val="000000"/>
              </w:rPr>
            </w:pPr>
          </w:p>
        </w:tc>
        <w:tc>
          <w:tcPr>
            <w:tcW w:w="106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黑体" w:hAnsi="黑体" w:eastAsia="黑体"/>
                <w:color w:val="000000"/>
              </w:rPr>
            </w:pPr>
          </w:p>
        </w:tc>
        <w:tc>
          <w:tcPr>
            <w:tcW w:w="106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黑体" w:hAnsi="黑体" w:eastAsia="黑体"/>
                <w:color w:val="000000"/>
              </w:rPr>
            </w:pPr>
          </w:p>
        </w:tc>
        <w:tc>
          <w:tcPr>
            <w:tcW w:w="106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黑体" w:hAnsi="黑体" w:eastAsia="黑体"/>
                <w:color w:val="000000"/>
              </w:rPr>
            </w:pPr>
          </w:p>
        </w:tc>
        <w:tc>
          <w:tcPr>
            <w:tcW w:w="106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黑体" w:hAnsi="黑体" w:eastAsia="黑体"/>
                <w:color w:val="000000"/>
              </w:rPr>
            </w:pPr>
          </w:p>
        </w:tc>
        <w:tc>
          <w:tcPr>
            <w:tcW w:w="106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黑体" w:hAnsi="黑体" w:eastAsia="黑体"/>
                <w:color w:val="000000"/>
              </w:rPr>
            </w:pPr>
          </w:p>
        </w:tc>
      </w:tr>
      <w:tr>
        <w:tblPrEx>
          <w:tblCellMar>
            <w:top w:w="0" w:type="dxa"/>
            <w:left w:w="0" w:type="dxa"/>
            <w:bottom w:w="0" w:type="dxa"/>
            <w:right w:w="0" w:type="dxa"/>
          </w:tblCellMar>
        </w:tblPrEx>
        <w:trPr>
          <w:trHeight w:val="485" w:hRule="exact"/>
        </w:trPr>
        <w:tc>
          <w:tcPr>
            <w:tcW w:w="107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黑体" w:hAnsi="黑体" w:eastAsia="黑体"/>
                <w:color w:val="000000"/>
              </w:rPr>
            </w:pPr>
          </w:p>
        </w:tc>
        <w:tc>
          <w:tcPr>
            <w:tcW w:w="106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黑体" w:hAnsi="黑体" w:eastAsia="黑体"/>
                <w:color w:val="000000"/>
              </w:rPr>
            </w:pPr>
          </w:p>
        </w:tc>
        <w:tc>
          <w:tcPr>
            <w:tcW w:w="106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黑体" w:hAnsi="黑体" w:eastAsia="黑体"/>
                <w:color w:val="000000"/>
              </w:rPr>
            </w:pPr>
          </w:p>
        </w:tc>
        <w:tc>
          <w:tcPr>
            <w:tcW w:w="106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黑体" w:hAnsi="黑体" w:eastAsia="黑体"/>
                <w:color w:val="000000"/>
              </w:rPr>
            </w:pPr>
          </w:p>
        </w:tc>
        <w:tc>
          <w:tcPr>
            <w:tcW w:w="106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黑体" w:hAnsi="黑体" w:eastAsia="黑体"/>
                <w:color w:val="000000"/>
              </w:rPr>
            </w:pPr>
          </w:p>
        </w:tc>
        <w:tc>
          <w:tcPr>
            <w:tcW w:w="106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黑体" w:hAnsi="黑体" w:eastAsia="黑体"/>
                <w:color w:val="000000"/>
              </w:rPr>
            </w:pPr>
          </w:p>
        </w:tc>
        <w:tc>
          <w:tcPr>
            <w:tcW w:w="106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黑体" w:hAnsi="黑体" w:eastAsia="黑体"/>
                <w:color w:val="000000"/>
              </w:rPr>
            </w:pPr>
          </w:p>
        </w:tc>
        <w:tc>
          <w:tcPr>
            <w:tcW w:w="106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黑体" w:hAnsi="黑体" w:eastAsia="黑体"/>
                <w:color w:val="000000"/>
              </w:rPr>
            </w:pPr>
          </w:p>
        </w:tc>
      </w:tr>
      <w:tr>
        <w:tblPrEx>
          <w:tblCellMar>
            <w:top w:w="0" w:type="dxa"/>
            <w:left w:w="0" w:type="dxa"/>
            <w:bottom w:w="0" w:type="dxa"/>
            <w:right w:w="0" w:type="dxa"/>
          </w:tblCellMar>
        </w:tblPrEx>
        <w:trPr>
          <w:trHeight w:val="485" w:hRule="exact"/>
        </w:trPr>
        <w:tc>
          <w:tcPr>
            <w:tcW w:w="107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黑体" w:hAnsi="黑体" w:eastAsia="黑体"/>
                <w:color w:val="000000"/>
              </w:rPr>
            </w:pPr>
          </w:p>
        </w:tc>
        <w:tc>
          <w:tcPr>
            <w:tcW w:w="106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黑体" w:hAnsi="黑体" w:eastAsia="黑体"/>
                <w:color w:val="000000"/>
              </w:rPr>
            </w:pPr>
          </w:p>
        </w:tc>
        <w:tc>
          <w:tcPr>
            <w:tcW w:w="106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黑体" w:hAnsi="黑体" w:eastAsia="黑体"/>
                <w:color w:val="000000"/>
              </w:rPr>
            </w:pPr>
          </w:p>
        </w:tc>
        <w:tc>
          <w:tcPr>
            <w:tcW w:w="106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黑体" w:hAnsi="黑体" w:eastAsia="黑体"/>
                <w:color w:val="000000"/>
              </w:rPr>
            </w:pPr>
          </w:p>
        </w:tc>
        <w:tc>
          <w:tcPr>
            <w:tcW w:w="106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黑体" w:hAnsi="黑体" w:eastAsia="黑体"/>
                <w:color w:val="000000"/>
              </w:rPr>
            </w:pPr>
          </w:p>
        </w:tc>
        <w:tc>
          <w:tcPr>
            <w:tcW w:w="106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黑体" w:hAnsi="黑体" w:eastAsia="黑体"/>
                <w:color w:val="000000"/>
              </w:rPr>
            </w:pPr>
          </w:p>
        </w:tc>
        <w:tc>
          <w:tcPr>
            <w:tcW w:w="106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黑体" w:hAnsi="黑体" w:eastAsia="黑体"/>
                <w:color w:val="000000"/>
              </w:rPr>
            </w:pPr>
          </w:p>
        </w:tc>
        <w:tc>
          <w:tcPr>
            <w:tcW w:w="106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黑体" w:hAnsi="黑体" w:eastAsia="黑体"/>
                <w:color w:val="000000"/>
              </w:rPr>
            </w:pPr>
          </w:p>
        </w:tc>
      </w:tr>
      <w:tr>
        <w:tblPrEx>
          <w:tblCellMar>
            <w:top w:w="0" w:type="dxa"/>
            <w:left w:w="0" w:type="dxa"/>
            <w:bottom w:w="0" w:type="dxa"/>
            <w:right w:w="0" w:type="dxa"/>
          </w:tblCellMar>
        </w:tblPrEx>
        <w:trPr>
          <w:trHeight w:val="490" w:hRule="exact"/>
        </w:trPr>
        <w:tc>
          <w:tcPr>
            <w:tcW w:w="107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黑体" w:hAnsi="黑体" w:eastAsia="黑体"/>
                <w:color w:val="000000"/>
              </w:rPr>
            </w:pPr>
          </w:p>
        </w:tc>
        <w:tc>
          <w:tcPr>
            <w:tcW w:w="106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黑体" w:hAnsi="黑体" w:eastAsia="黑体"/>
                <w:color w:val="000000"/>
              </w:rPr>
            </w:pPr>
          </w:p>
        </w:tc>
        <w:tc>
          <w:tcPr>
            <w:tcW w:w="106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黑体" w:hAnsi="黑体" w:eastAsia="黑体"/>
                <w:color w:val="000000"/>
              </w:rPr>
            </w:pPr>
          </w:p>
        </w:tc>
        <w:tc>
          <w:tcPr>
            <w:tcW w:w="106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黑体" w:hAnsi="黑体" w:eastAsia="黑体"/>
                <w:color w:val="000000"/>
              </w:rPr>
            </w:pPr>
          </w:p>
        </w:tc>
        <w:tc>
          <w:tcPr>
            <w:tcW w:w="106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黑体" w:hAnsi="黑体" w:eastAsia="黑体"/>
                <w:color w:val="000000"/>
              </w:rPr>
            </w:pPr>
          </w:p>
        </w:tc>
        <w:tc>
          <w:tcPr>
            <w:tcW w:w="106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黑体" w:hAnsi="黑体" w:eastAsia="黑体"/>
                <w:color w:val="000000"/>
              </w:rPr>
            </w:pPr>
          </w:p>
        </w:tc>
        <w:tc>
          <w:tcPr>
            <w:tcW w:w="106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黑体" w:hAnsi="黑体" w:eastAsia="黑体"/>
                <w:color w:val="000000"/>
              </w:rPr>
            </w:pPr>
          </w:p>
        </w:tc>
        <w:tc>
          <w:tcPr>
            <w:tcW w:w="106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黑体" w:hAnsi="黑体" w:eastAsia="黑体"/>
                <w:color w:val="000000"/>
              </w:rPr>
            </w:pPr>
          </w:p>
        </w:tc>
      </w:tr>
      <w:tr>
        <w:tblPrEx>
          <w:tblCellMar>
            <w:top w:w="0" w:type="dxa"/>
            <w:left w:w="0" w:type="dxa"/>
            <w:bottom w:w="0" w:type="dxa"/>
            <w:right w:w="0" w:type="dxa"/>
          </w:tblCellMar>
        </w:tblPrEx>
        <w:trPr>
          <w:trHeight w:val="485" w:hRule="exact"/>
        </w:trPr>
        <w:tc>
          <w:tcPr>
            <w:tcW w:w="107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黑体" w:hAnsi="黑体" w:eastAsia="黑体"/>
                <w:color w:val="000000"/>
              </w:rPr>
            </w:pPr>
          </w:p>
        </w:tc>
        <w:tc>
          <w:tcPr>
            <w:tcW w:w="106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黑体" w:hAnsi="黑体" w:eastAsia="黑体"/>
                <w:color w:val="000000"/>
              </w:rPr>
            </w:pPr>
          </w:p>
        </w:tc>
        <w:tc>
          <w:tcPr>
            <w:tcW w:w="106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黑体" w:hAnsi="黑体" w:eastAsia="黑体"/>
                <w:color w:val="000000"/>
              </w:rPr>
            </w:pPr>
          </w:p>
        </w:tc>
        <w:tc>
          <w:tcPr>
            <w:tcW w:w="106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黑体" w:hAnsi="黑体" w:eastAsia="黑体"/>
                <w:color w:val="000000"/>
              </w:rPr>
            </w:pPr>
          </w:p>
        </w:tc>
        <w:tc>
          <w:tcPr>
            <w:tcW w:w="106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黑体" w:hAnsi="黑体" w:eastAsia="黑体"/>
                <w:color w:val="000000"/>
              </w:rPr>
            </w:pPr>
          </w:p>
        </w:tc>
        <w:tc>
          <w:tcPr>
            <w:tcW w:w="106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黑体" w:hAnsi="黑体" w:eastAsia="黑体"/>
                <w:color w:val="000000"/>
              </w:rPr>
            </w:pPr>
          </w:p>
        </w:tc>
        <w:tc>
          <w:tcPr>
            <w:tcW w:w="106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黑体" w:hAnsi="黑体" w:eastAsia="黑体"/>
                <w:color w:val="000000"/>
              </w:rPr>
            </w:pPr>
          </w:p>
        </w:tc>
        <w:tc>
          <w:tcPr>
            <w:tcW w:w="106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黑体" w:hAnsi="黑体" w:eastAsia="黑体"/>
                <w:color w:val="000000"/>
              </w:rPr>
            </w:pPr>
          </w:p>
        </w:tc>
      </w:tr>
      <w:tr>
        <w:tblPrEx>
          <w:tblCellMar>
            <w:top w:w="0" w:type="dxa"/>
            <w:left w:w="0" w:type="dxa"/>
            <w:bottom w:w="0" w:type="dxa"/>
            <w:right w:w="0" w:type="dxa"/>
          </w:tblCellMar>
        </w:tblPrEx>
        <w:trPr>
          <w:trHeight w:val="485" w:hRule="exact"/>
        </w:trPr>
        <w:tc>
          <w:tcPr>
            <w:tcW w:w="107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黑体" w:hAnsi="黑体" w:eastAsia="黑体"/>
                <w:color w:val="000000"/>
              </w:rPr>
            </w:pPr>
          </w:p>
        </w:tc>
        <w:tc>
          <w:tcPr>
            <w:tcW w:w="106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黑体" w:hAnsi="黑体" w:eastAsia="黑体"/>
                <w:color w:val="000000"/>
              </w:rPr>
            </w:pPr>
          </w:p>
        </w:tc>
        <w:tc>
          <w:tcPr>
            <w:tcW w:w="106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黑体" w:hAnsi="黑体" w:eastAsia="黑体"/>
                <w:color w:val="000000"/>
              </w:rPr>
            </w:pPr>
          </w:p>
        </w:tc>
        <w:tc>
          <w:tcPr>
            <w:tcW w:w="106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黑体" w:hAnsi="黑体" w:eastAsia="黑体"/>
                <w:color w:val="000000"/>
              </w:rPr>
            </w:pPr>
          </w:p>
        </w:tc>
        <w:tc>
          <w:tcPr>
            <w:tcW w:w="106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黑体" w:hAnsi="黑体" w:eastAsia="黑体"/>
                <w:color w:val="000000"/>
              </w:rPr>
            </w:pPr>
          </w:p>
        </w:tc>
        <w:tc>
          <w:tcPr>
            <w:tcW w:w="106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黑体" w:hAnsi="黑体" w:eastAsia="黑体"/>
                <w:color w:val="000000"/>
              </w:rPr>
            </w:pPr>
          </w:p>
        </w:tc>
        <w:tc>
          <w:tcPr>
            <w:tcW w:w="106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黑体" w:hAnsi="黑体" w:eastAsia="黑体"/>
                <w:color w:val="000000"/>
              </w:rPr>
            </w:pPr>
          </w:p>
        </w:tc>
        <w:tc>
          <w:tcPr>
            <w:tcW w:w="106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黑体" w:hAnsi="黑体" w:eastAsia="黑体"/>
                <w:color w:val="000000"/>
              </w:rPr>
            </w:pPr>
          </w:p>
        </w:tc>
      </w:tr>
      <w:tr>
        <w:tblPrEx>
          <w:tblCellMar>
            <w:top w:w="0" w:type="dxa"/>
            <w:left w:w="0" w:type="dxa"/>
            <w:bottom w:w="0" w:type="dxa"/>
            <w:right w:w="0" w:type="dxa"/>
          </w:tblCellMar>
        </w:tblPrEx>
        <w:trPr>
          <w:trHeight w:val="485" w:hRule="exact"/>
        </w:trPr>
        <w:tc>
          <w:tcPr>
            <w:tcW w:w="107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黑体" w:hAnsi="黑体" w:eastAsia="黑体"/>
                <w:color w:val="000000"/>
              </w:rPr>
            </w:pPr>
          </w:p>
        </w:tc>
        <w:tc>
          <w:tcPr>
            <w:tcW w:w="106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黑体" w:hAnsi="黑体" w:eastAsia="黑体"/>
                <w:color w:val="000000"/>
              </w:rPr>
            </w:pPr>
          </w:p>
        </w:tc>
        <w:tc>
          <w:tcPr>
            <w:tcW w:w="106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黑体" w:hAnsi="黑体" w:eastAsia="黑体"/>
                <w:color w:val="000000"/>
              </w:rPr>
            </w:pPr>
          </w:p>
        </w:tc>
        <w:tc>
          <w:tcPr>
            <w:tcW w:w="106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黑体" w:hAnsi="黑体" w:eastAsia="黑体"/>
                <w:color w:val="000000"/>
              </w:rPr>
            </w:pPr>
          </w:p>
        </w:tc>
        <w:tc>
          <w:tcPr>
            <w:tcW w:w="106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黑体" w:hAnsi="黑体" w:eastAsia="黑体"/>
                <w:color w:val="000000"/>
              </w:rPr>
            </w:pPr>
          </w:p>
        </w:tc>
        <w:tc>
          <w:tcPr>
            <w:tcW w:w="106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黑体" w:hAnsi="黑体" w:eastAsia="黑体"/>
                <w:color w:val="000000"/>
              </w:rPr>
            </w:pPr>
          </w:p>
        </w:tc>
        <w:tc>
          <w:tcPr>
            <w:tcW w:w="106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黑体" w:hAnsi="黑体" w:eastAsia="黑体"/>
                <w:color w:val="000000"/>
              </w:rPr>
            </w:pPr>
          </w:p>
        </w:tc>
        <w:tc>
          <w:tcPr>
            <w:tcW w:w="106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黑体" w:hAnsi="黑体" w:eastAsia="黑体"/>
                <w:color w:val="000000"/>
              </w:rPr>
            </w:pPr>
          </w:p>
        </w:tc>
      </w:tr>
      <w:tr>
        <w:tblPrEx>
          <w:tblCellMar>
            <w:top w:w="0" w:type="dxa"/>
            <w:left w:w="0" w:type="dxa"/>
            <w:bottom w:w="0" w:type="dxa"/>
            <w:right w:w="0" w:type="dxa"/>
          </w:tblCellMar>
        </w:tblPrEx>
        <w:trPr>
          <w:trHeight w:val="490" w:hRule="exact"/>
        </w:trPr>
        <w:tc>
          <w:tcPr>
            <w:tcW w:w="107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黑体" w:hAnsi="黑体" w:eastAsia="黑体"/>
                <w:color w:val="000000"/>
              </w:rPr>
            </w:pPr>
          </w:p>
        </w:tc>
        <w:tc>
          <w:tcPr>
            <w:tcW w:w="106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黑体" w:hAnsi="黑体" w:eastAsia="黑体"/>
                <w:color w:val="000000"/>
              </w:rPr>
            </w:pPr>
          </w:p>
        </w:tc>
        <w:tc>
          <w:tcPr>
            <w:tcW w:w="106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黑体" w:hAnsi="黑体" w:eastAsia="黑体"/>
                <w:color w:val="000000"/>
              </w:rPr>
            </w:pPr>
          </w:p>
        </w:tc>
        <w:tc>
          <w:tcPr>
            <w:tcW w:w="106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黑体" w:hAnsi="黑体" w:eastAsia="黑体"/>
                <w:color w:val="000000"/>
              </w:rPr>
            </w:pPr>
          </w:p>
        </w:tc>
        <w:tc>
          <w:tcPr>
            <w:tcW w:w="106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黑体" w:hAnsi="黑体" w:eastAsia="黑体"/>
                <w:color w:val="000000"/>
              </w:rPr>
            </w:pPr>
          </w:p>
        </w:tc>
        <w:tc>
          <w:tcPr>
            <w:tcW w:w="106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黑体" w:hAnsi="黑体" w:eastAsia="黑体"/>
                <w:color w:val="000000"/>
              </w:rPr>
            </w:pPr>
          </w:p>
        </w:tc>
        <w:tc>
          <w:tcPr>
            <w:tcW w:w="106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黑体" w:hAnsi="黑体" w:eastAsia="黑体"/>
                <w:color w:val="000000"/>
              </w:rPr>
            </w:pPr>
          </w:p>
        </w:tc>
        <w:tc>
          <w:tcPr>
            <w:tcW w:w="106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黑体" w:hAnsi="黑体" w:eastAsia="黑体"/>
                <w:color w:val="000000"/>
              </w:rPr>
            </w:pPr>
          </w:p>
        </w:tc>
      </w:tr>
      <w:tr>
        <w:tblPrEx>
          <w:tblCellMar>
            <w:top w:w="0" w:type="dxa"/>
            <w:left w:w="0" w:type="dxa"/>
            <w:bottom w:w="0" w:type="dxa"/>
            <w:right w:w="0" w:type="dxa"/>
          </w:tblCellMar>
        </w:tblPrEx>
        <w:trPr>
          <w:trHeight w:val="485" w:hRule="exact"/>
        </w:trPr>
        <w:tc>
          <w:tcPr>
            <w:tcW w:w="107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黑体" w:hAnsi="黑体" w:eastAsia="黑体"/>
                <w:color w:val="000000"/>
              </w:rPr>
            </w:pPr>
          </w:p>
        </w:tc>
        <w:tc>
          <w:tcPr>
            <w:tcW w:w="106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黑体" w:hAnsi="黑体" w:eastAsia="黑体"/>
                <w:color w:val="000000"/>
              </w:rPr>
            </w:pPr>
          </w:p>
        </w:tc>
        <w:tc>
          <w:tcPr>
            <w:tcW w:w="106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黑体" w:hAnsi="黑体" w:eastAsia="黑体"/>
                <w:color w:val="000000"/>
              </w:rPr>
            </w:pPr>
          </w:p>
        </w:tc>
        <w:tc>
          <w:tcPr>
            <w:tcW w:w="106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黑体" w:hAnsi="黑体" w:eastAsia="黑体"/>
                <w:color w:val="000000"/>
              </w:rPr>
            </w:pPr>
          </w:p>
        </w:tc>
        <w:tc>
          <w:tcPr>
            <w:tcW w:w="106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黑体" w:hAnsi="黑体" w:eastAsia="黑体"/>
                <w:color w:val="000000"/>
              </w:rPr>
            </w:pPr>
          </w:p>
        </w:tc>
        <w:tc>
          <w:tcPr>
            <w:tcW w:w="106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黑体" w:hAnsi="黑体" w:eastAsia="黑体"/>
                <w:color w:val="000000"/>
              </w:rPr>
            </w:pPr>
          </w:p>
        </w:tc>
        <w:tc>
          <w:tcPr>
            <w:tcW w:w="106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黑体" w:hAnsi="黑体" w:eastAsia="黑体"/>
                <w:color w:val="000000"/>
              </w:rPr>
            </w:pPr>
          </w:p>
        </w:tc>
        <w:tc>
          <w:tcPr>
            <w:tcW w:w="106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黑体" w:hAnsi="黑体" w:eastAsia="黑体"/>
                <w:color w:val="000000"/>
              </w:rPr>
            </w:pPr>
          </w:p>
        </w:tc>
      </w:tr>
      <w:tr>
        <w:tblPrEx>
          <w:tblCellMar>
            <w:top w:w="0" w:type="dxa"/>
            <w:left w:w="0" w:type="dxa"/>
            <w:bottom w:w="0" w:type="dxa"/>
            <w:right w:w="0" w:type="dxa"/>
          </w:tblCellMar>
        </w:tblPrEx>
        <w:trPr>
          <w:trHeight w:val="485" w:hRule="exact"/>
        </w:trPr>
        <w:tc>
          <w:tcPr>
            <w:tcW w:w="107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黑体" w:hAnsi="黑体" w:eastAsia="黑体"/>
                <w:color w:val="000000"/>
              </w:rPr>
            </w:pPr>
          </w:p>
        </w:tc>
        <w:tc>
          <w:tcPr>
            <w:tcW w:w="106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黑体" w:hAnsi="黑体" w:eastAsia="黑体"/>
                <w:color w:val="000000"/>
              </w:rPr>
            </w:pPr>
          </w:p>
        </w:tc>
        <w:tc>
          <w:tcPr>
            <w:tcW w:w="106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黑体" w:hAnsi="黑体" w:eastAsia="黑体"/>
                <w:color w:val="000000"/>
              </w:rPr>
            </w:pPr>
          </w:p>
        </w:tc>
        <w:tc>
          <w:tcPr>
            <w:tcW w:w="106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黑体" w:hAnsi="黑体" w:eastAsia="黑体"/>
                <w:color w:val="000000"/>
              </w:rPr>
            </w:pPr>
          </w:p>
        </w:tc>
        <w:tc>
          <w:tcPr>
            <w:tcW w:w="106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黑体" w:hAnsi="黑体" w:eastAsia="黑体"/>
                <w:color w:val="000000"/>
              </w:rPr>
            </w:pPr>
          </w:p>
        </w:tc>
        <w:tc>
          <w:tcPr>
            <w:tcW w:w="106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黑体" w:hAnsi="黑体" w:eastAsia="黑体"/>
                <w:color w:val="000000"/>
              </w:rPr>
            </w:pPr>
          </w:p>
        </w:tc>
        <w:tc>
          <w:tcPr>
            <w:tcW w:w="106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黑体" w:hAnsi="黑体" w:eastAsia="黑体"/>
                <w:color w:val="000000"/>
              </w:rPr>
            </w:pPr>
          </w:p>
        </w:tc>
        <w:tc>
          <w:tcPr>
            <w:tcW w:w="106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黑体" w:hAnsi="黑体" w:eastAsia="黑体"/>
                <w:color w:val="000000"/>
              </w:rPr>
            </w:pPr>
          </w:p>
        </w:tc>
      </w:tr>
    </w:tbl>
    <w:p>
      <w:pPr>
        <w:autoSpaceDE w:val="0"/>
        <w:autoSpaceDN w:val="0"/>
        <w:adjustRightInd w:val="0"/>
        <w:spacing w:line="360" w:lineRule="auto"/>
        <w:rPr>
          <w:color w:val="000000"/>
          <w:sz w:val="20"/>
        </w:rPr>
      </w:pPr>
    </w:p>
    <w:p>
      <w:pPr>
        <w:autoSpaceDE w:val="0"/>
        <w:autoSpaceDN w:val="0"/>
        <w:adjustRightInd w:val="0"/>
        <w:spacing w:before="78" w:line="360" w:lineRule="auto"/>
        <w:ind w:left="120" w:right="-20"/>
        <w:rPr>
          <w:rFonts w:ascii="黑体" w:hAnsi="黑体" w:eastAsia="黑体"/>
          <w:color w:val="000000"/>
          <w:sz w:val="30"/>
        </w:rPr>
      </w:pPr>
    </w:p>
    <w:p>
      <w:pPr>
        <w:autoSpaceDE w:val="0"/>
        <w:autoSpaceDN w:val="0"/>
        <w:adjustRightInd w:val="0"/>
        <w:spacing w:before="78" w:line="360" w:lineRule="auto"/>
        <w:ind w:left="120" w:right="-20"/>
        <w:rPr>
          <w:rFonts w:ascii="黑体" w:hAnsi="黑体" w:eastAsia="黑体"/>
          <w:color w:val="000000"/>
          <w:sz w:val="30"/>
        </w:rPr>
      </w:pPr>
    </w:p>
    <w:p>
      <w:pPr>
        <w:autoSpaceDE w:val="0"/>
        <w:autoSpaceDN w:val="0"/>
        <w:adjustRightInd w:val="0"/>
        <w:spacing w:before="78" w:line="360" w:lineRule="auto"/>
        <w:ind w:left="120" w:right="-20"/>
        <w:rPr>
          <w:rFonts w:ascii="黑体" w:hAnsi="黑体" w:eastAsia="黑体"/>
          <w:color w:val="000000"/>
          <w:sz w:val="30"/>
        </w:rPr>
      </w:pPr>
    </w:p>
    <w:p>
      <w:pPr>
        <w:autoSpaceDE w:val="0"/>
        <w:autoSpaceDN w:val="0"/>
        <w:adjustRightInd w:val="0"/>
        <w:spacing w:before="78" w:line="360" w:lineRule="auto"/>
        <w:ind w:left="120" w:right="-20"/>
        <w:rPr>
          <w:rFonts w:ascii="黑体" w:hAnsi="黑体" w:eastAsia="黑体"/>
          <w:color w:val="000000"/>
          <w:sz w:val="30"/>
        </w:rPr>
      </w:pPr>
      <w:r>
        <w:rPr>
          <w:rFonts w:hint="eastAsia" w:ascii="黑体" w:hAnsi="黑体" w:eastAsia="黑体"/>
          <w:color w:val="000000"/>
          <w:sz w:val="30"/>
        </w:rPr>
        <w:br w:type="page"/>
      </w:r>
      <w:r>
        <w:rPr>
          <w:rFonts w:hint="eastAsia" w:ascii="黑体" w:hAnsi="黑体" w:eastAsia="黑体"/>
          <w:color w:val="000000"/>
          <w:sz w:val="30"/>
        </w:rPr>
        <w:t>表四：计划开、竣工日期和施工进度网络图</w:t>
      </w:r>
    </w:p>
    <w:p>
      <w:pPr>
        <w:autoSpaceDE w:val="0"/>
        <w:autoSpaceDN w:val="0"/>
        <w:adjustRightInd w:val="0"/>
        <w:spacing w:before="7" w:line="360" w:lineRule="auto"/>
        <w:rPr>
          <w:rFonts w:ascii="Arial" w:hAnsi="Arial"/>
          <w:color w:val="000000"/>
          <w:sz w:val="14"/>
        </w:rPr>
      </w:pPr>
    </w:p>
    <w:p>
      <w:pPr>
        <w:autoSpaceDE w:val="0"/>
        <w:autoSpaceDN w:val="0"/>
        <w:adjustRightInd w:val="0"/>
        <w:spacing w:line="360" w:lineRule="auto"/>
        <w:rPr>
          <w:rFonts w:ascii="仿宋_GB2312" w:hAnsi="仿宋_GB2312" w:eastAsia="仿宋_GB2312"/>
          <w:color w:val="000000"/>
          <w:sz w:val="20"/>
        </w:rPr>
      </w:pPr>
    </w:p>
    <w:p>
      <w:pPr>
        <w:autoSpaceDE w:val="0"/>
        <w:autoSpaceDN w:val="0"/>
        <w:adjustRightInd w:val="0"/>
        <w:spacing w:line="360" w:lineRule="auto"/>
        <w:ind w:left="120" w:right="-157" w:firstLine="557"/>
        <w:rPr>
          <w:rFonts w:asciiTheme="minorEastAsia" w:hAnsiTheme="minorEastAsia" w:eastAsiaTheme="minorEastAsia"/>
          <w:color w:val="000000"/>
          <w:sz w:val="28"/>
        </w:rPr>
      </w:pPr>
      <w:r>
        <w:rPr>
          <w:rFonts w:hint="eastAsia" w:asciiTheme="minorEastAsia" w:hAnsiTheme="minorEastAsia" w:eastAsiaTheme="minorEastAsia"/>
          <w:color w:val="000000"/>
          <w:sz w:val="28"/>
        </w:rPr>
        <w:t>1. 供应商应递交施工进度网络图或施工进度表，说明按磋商文件要求的计划工期进行施工的各个关键日期。</w:t>
      </w:r>
    </w:p>
    <w:p>
      <w:pPr>
        <w:autoSpaceDE w:val="0"/>
        <w:autoSpaceDN w:val="0"/>
        <w:adjustRightInd w:val="0"/>
        <w:spacing w:line="360" w:lineRule="auto"/>
        <w:ind w:left="677" w:right="-20"/>
        <w:rPr>
          <w:rFonts w:asciiTheme="minorEastAsia" w:hAnsiTheme="minorEastAsia" w:eastAsiaTheme="minorEastAsia"/>
          <w:color w:val="000000"/>
          <w:sz w:val="28"/>
        </w:rPr>
      </w:pPr>
      <w:r>
        <w:rPr>
          <w:rFonts w:hint="eastAsia" w:asciiTheme="minorEastAsia" w:hAnsiTheme="minorEastAsia" w:eastAsiaTheme="minorEastAsia"/>
          <w:color w:val="000000"/>
          <w:sz w:val="28"/>
        </w:rPr>
        <w:t>2. 施工进度表可采用网络图（或横道图）表示。</w:t>
      </w:r>
    </w:p>
    <w:p>
      <w:pPr>
        <w:autoSpaceDE w:val="0"/>
        <w:autoSpaceDN w:val="0"/>
        <w:adjustRightInd w:val="0"/>
        <w:spacing w:line="360" w:lineRule="auto"/>
        <w:rPr>
          <w:rFonts w:ascii="Courier New" w:hAnsi="Courier New"/>
          <w:color w:val="000000"/>
          <w:sz w:val="20"/>
        </w:rPr>
      </w:pPr>
    </w:p>
    <w:p>
      <w:pPr>
        <w:autoSpaceDE w:val="0"/>
        <w:autoSpaceDN w:val="0"/>
        <w:adjustRightInd w:val="0"/>
        <w:spacing w:line="360" w:lineRule="auto"/>
        <w:rPr>
          <w:rFonts w:ascii="Courier New" w:hAnsi="Courier New"/>
          <w:color w:val="000000"/>
          <w:sz w:val="20"/>
        </w:rPr>
      </w:pPr>
    </w:p>
    <w:p>
      <w:pPr>
        <w:autoSpaceDE w:val="0"/>
        <w:autoSpaceDN w:val="0"/>
        <w:adjustRightInd w:val="0"/>
        <w:spacing w:line="360" w:lineRule="auto"/>
        <w:rPr>
          <w:rFonts w:ascii="Courier New" w:hAnsi="Courier New"/>
          <w:color w:val="000000"/>
          <w:sz w:val="20"/>
        </w:rPr>
      </w:pPr>
    </w:p>
    <w:p>
      <w:pPr>
        <w:autoSpaceDE w:val="0"/>
        <w:autoSpaceDN w:val="0"/>
        <w:adjustRightInd w:val="0"/>
        <w:spacing w:line="360" w:lineRule="auto"/>
        <w:rPr>
          <w:rFonts w:ascii="Courier New" w:hAnsi="Courier New"/>
          <w:color w:val="000000"/>
          <w:sz w:val="20"/>
        </w:rPr>
      </w:pPr>
    </w:p>
    <w:p>
      <w:pPr>
        <w:autoSpaceDE w:val="0"/>
        <w:autoSpaceDN w:val="0"/>
        <w:adjustRightInd w:val="0"/>
        <w:spacing w:line="360" w:lineRule="auto"/>
        <w:rPr>
          <w:rFonts w:ascii="Courier New" w:hAnsi="Courier New"/>
          <w:color w:val="000000"/>
          <w:sz w:val="20"/>
        </w:rPr>
      </w:pPr>
    </w:p>
    <w:p>
      <w:pPr>
        <w:autoSpaceDE w:val="0"/>
        <w:autoSpaceDN w:val="0"/>
        <w:adjustRightInd w:val="0"/>
        <w:spacing w:line="360" w:lineRule="auto"/>
        <w:rPr>
          <w:rFonts w:ascii="Courier New" w:hAnsi="Courier New"/>
          <w:color w:val="000000"/>
          <w:sz w:val="20"/>
        </w:rPr>
      </w:pPr>
    </w:p>
    <w:p>
      <w:pPr>
        <w:autoSpaceDE w:val="0"/>
        <w:autoSpaceDN w:val="0"/>
        <w:adjustRightInd w:val="0"/>
        <w:spacing w:line="360" w:lineRule="auto"/>
        <w:rPr>
          <w:rFonts w:ascii="Courier New" w:hAnsi="Courier New"/>
          <w:color w:val="000000"/>
          <w:sz w:val="20"/>
        </w:rPr>
      </w:pPr>
    </w:p>
    <w:p>
      <w:pPr>
        <w:autoSpaceDE w:val="0"/>
        <w:autoSpaceDN w:val="0"/>
        <w:adjustRightInd w:val="0"/>
        <w:spacing w:line="360" w:lineRule="auto"/>
        <w:rPr>
          <w:rFonts w:ascii="Courier New" w:hAnsi="Courier New"/>
          <w:color w:val="000000"/>
          <w:sz w:val="20"/>
        </w:rPr>
      </w:pPr>
    </w:p>
    <w:p>
      <w:pPr>
        <w:autoSpaceDE w:val="0"/>
        <w:autoSpaceDN w:val="0"/>
        <w:adjustRightInd w:val="0"/>
        <w:spacing w:line="360" w:lineRule="auto"/>
        <w:rPr>
          <w:rFonts w:ascii="Courier New" w:hAnsi="Courier New"/>
          <w:color w:val="000000"/>
          <w:sz w:val="20"/>
        </w:rPr>
      </w:pPr>
    </w:p>
    <w:p>
      <w:pPr>
        <w:autoSpaceDE w:val="0"/>
        <w:autoSpaceDN w:val="0"/>
        <w:adjustRightInd w:val="0"/>
        <w:spacing w:line="360" w:lineRule="auto"/>
        <w:rPr>
          <w:rFonts w:ascii="Courier New" w:hAnsi="Courier New"/>
          <w:color w:val="000000"/>
          <w:sz w:val="20"/>
        </w:rPr>
      </w:pPr>
    </w:p>
    <w:p>
      <w:pPr>
        <w:autoSpaceDE w:val="0"/>
        <w:autoSpaceDN w:val="0"/>
        <w:adjustRightInd w:val="0"/>
        <w:spacing w:line="360" w:lineRule="auto"/>
        <w:rPr>
          <w:rFonts w:ascii="Courier New" w:hAnsi="Courier New"/>
          <w:color w:val="000000"/>
          <w:sz w:val="20"/>
        </w:rPr>
      </w:pPr>
    </w:p>
    <w:p>
      <w:pPr>
        <w:autoSpaceDE w:val="0"/>
        <w:autoSpaceDN w:val="0"/>
        <w:adjustRightInd w:val="0"/>
        <w:spacing w:line="360" w:lineRule="auto"/>
        <w:rPr>
          <w:rFonts w:ascii="Courier New" w:hAnsi="Courier New"/>
          <w:color w:val="000000"/>
          <w:sz w:val="20"/>
        </w:rPr>
      </w:pPr>
    </w:p>
    <w:p>
      <w:pPr>
        <w:autoSpaceDE w:val="0"/>
        <w:autoSpaceDN w:val="0"/>
        <w:adjustRightInd w:val="0"/>
        <w:spacing w:line="360" w:lineRule="auto"/>
        <w:rPr>
          <w:rFonts w:ascii="Courier New" w:hAnsi="Courier New"/>
          <w:color w:val="000000"/>
          <w:sz w:val="20"/>
        </w:rPr>
      </w:pPr>
    </w:p>
    <w:p>
      <w:pPr>
        <w:autoSpaceDE w:val="0"/>
        <w:autoSpaceDN w:val="0"/>
        <w:adjustRightInd w:val="0"/>
        <w:spacing w:line="360" w:lineRule="auto"/>
        <w:rPr>
          <w:rFonts w:ascii="Courier New" w:hAnsi="Courier New"/>
          <w:color w:val="000000"/>
          <w:sz w:val="20"/>
        </w:rPr>
      </w:pPr>
    </w:p>
    <w:p>
      <w:pPr>
        <w:autoSpaceDE w:val="0"/>
        <w:autoSpaceDN w:val="0"/>
        <w:adjustRightInd w:val="0"/>
        <w:spacing w:line="360" w:lineRule="auto"/>
        <w:rPr>
          <w:rFonts w:ascii="Courier New" w:hAnsi="Courier New"/>
          <w:color w:val="000000"/>
          <w:sz w:val="20"/>
        </w:rPr>
      </w:pPr>
    </w:p>
    <w:p>
      <w:pPr>
        <w:autoSpaceDE w:val="0"/>
        <w:autoSpaceDN w:val="0"/>
        <w:adjustRightInd w:val="0"/>
        <w:spacing w:line="360" w:lineRule="auto"/>
        <w:rPr>
          <w:rFonts w:ascii="Courier New" w:hAnsi="Courier New"/>
          <w:color w:val="000000"/>
          <w:sz w:val="20"/>
        </w:rPr>
      </w:pPr>
    </w:p>
    <w:p>
      <w:pPr>
        <w:autoSpaceDE w:val="0"/>
        <w:autoSpaceDN w:val="0"/>
        <w:adjustRightInd w:val="0"/>
        <w:spacing w:line="360" w:lineRule="auto"/>
        <w:rPr>
          <w:rFonts w:ascii="Courier New" w:hAnsi="Courier New"/>
          <w:color w:val="000000"/>
          <w:sz w:val="20"/>
        </w:rPr>
      </w:pPr>
    </w:p>
    <w:p>
      <w:pPr>
        <w:autoSpaceDE w:val="0"/>
        <w:autoSpaceDN w:val="0"/>
        <w:adjustRightInd w:val="0"/>
        <w:spacing w:line="360" w:lineRule="auto"/>
        <w:rPr>
          <w:rFonts w:ascii="Courier New" w:hAnsi="Courier New"/>
          <w:color w:val="000000"/>
          <w:sz w:val="20"/>
        </w:rPr>
      </w:pPr>
    </w:p>
    <w:p>
      <w:pPr>
        <w:autoSpaceDE w:val="0"/>
        <w:autoSpaceDN w:val="0"/>
        <w:adjustRightInd w:val="0"/>
        <w:spacing w:line="360" w:lineRule="auto"/>
        <w:rPr>
          <w:rFonts w:ascii="Courier New" w:hAnsi="Courier New"/>
          <w:color w:val="000000"/>
          <w:sz w:val="20"/>
        </w:rPr>
      </w:pPr>
    </w:p>
    <w:p>
      <w:pPr>
        <w:autoSpaceDE w:val="0"/>
        <w:autoSpaceDN w:val="0"/>
        <w:adjustRightInd w:val="0"/>
        <w:spacing w:line="360" w:lineRule="auto"/>
        <w:rPr>
          <w:rFonts w:ascii="Courier New" w:hAnsi="Courier New"/>
          <w:color w:val="000000"/>
          <w:sz w:val="20"/>
        </w:rPr>
      </w:pPr>
    </w:p>
    <w:p>
      <w:pPr>
        <w:spacing w:before="120"/>
        <w:jc w:val="both"/>
        <w:rPr>
          <w:rFonts w:hAnsi="宋体"/>
          <w:color w:val="000000"/>
        </w:rPr>
      </w:pPr>
      <w:r>
        <w:rPr>
          <w:rFonts w:hAnsi="宋体"/>
          <w:color w:val="000000"/>
        </w:rPr>
        <w:t xml:space="preserve">   </w:t>
      </w:r>
    </w:p>
    <w:p>
      <w:pPr>
        <w:pStyle w:val="26"/>
        <w:rPr>
          <w:rFonts w:hint="default" w:hAnsi="宋体"/>
          <w:color w:val="000000"/>
        </w:rPr>
      </w:pPr>
    </w:p>
    <w:p>
      <w:pPr>
        <w:spacing w:line="400" w:lineRule="atLeast"/>
        <w:jc w:val="center"/>
        <w:rPr>
          <w:rFonts w:ascii="宋体" w:hAnsi="宋体"/>
          <w:color w:val="000000"/>
        </w:rPr>
      </w:pPr>
      <w:r>
        <w:rPr>
          <w:rFonts w:ascii="宋体" w:hAnsi="宋体"/>
          <w:b/>
          <w:color w:val="000000"/>
        </w:rPr>
        <w:br w:type="page"/>
      </w:r>
      <w:r>
        <w:rPr>
          <w:rFonts w:hint="eastAsia" w:ascii="宋体" w:hAnsi="宋体"/>
          <w:b/>
          <w:color w:val="000000"/>
          <w:sz w:val="28"/>
        </w:rPr>
        <w:t>四、</w:t>
      </w:r>
      <w:r>
        <w:rPr>
          <w:rFonts w:ascii="宋体" w:hAnsi="宋体"/>
          <w:b/>
          <w:color w:val="000000"/>
          <w:sz w:val="28"/>
        </w:rPr>
        <w:t>拟派往本项目人员一览表</w:t>
      </w:r>
    </w:p>
    <w:p>
      <w:pPr>
        <w:spacing w:line="280" w:lineRule="atLeast"/>
        <w:rPr>
          <w:rFonts w:ascii="宋体" w:hAnsi="宋体"/>
          <w:color w:val="000000"/>
        </w:rPr>
      </w:pPr>
    </w:p>
    <w:tbl>
      <w:tblPr>
        <w:tblStyle w:val="46"/>
        <w:tblW w:w="9840" w:type="dxa"/>
        <w:jc w:val="center"/>
        <w:tblLayout w:type="fixed"/>
        <w:tblCellMar>
          <w:top w:w="0" w:type="dxa"/>
          <w:left w:w="0" w:type="dxa"/>
          <w:bottom w:w="0" w:type="dxa"/>
          <w:right w:w="0" w:type="dxa"/>
        </w:tblCellMar>
      </w:tblPr>
      <w:tblGrid>
        <w:gridCol w:w="830"/>
        <w:gridCol w:w="1658"/>
        <w:gridCol w:w="1036"/>
        <w:gridCol w:w="1346"/>
        <w:gridCol w:w="1553"/>
        <w:gridCol w:w="1864"/>
        <w:gridCol w:w="1553"/>
      </w:tblGrid>
      <w:tr>
        <w:tblPrEx>
          <w:tblCellMar>
            <w:top w:w="0" w:type="dxa"/>
            <w:left w:w="0" w:type="dxa"/>
            <w:bottom w:w="0" w:type="dxa"/>
            <w:right w:w="0" w:type="dxa"/>
          </w:tblCellMar>
        </w:tblPrEx>
        <w:trPr>
          <w:trHeight w:val="980" w:hRule="atLeast"/>
          <w:jc w:val="center"/>
        </w:trPr>
        <w:tc>
          <w:tcPr>
            <w:tcW w:w="830" w:type="dxa"/>
            <w:tcBorders>
              <w:top w:val="single" w:color="000000" w:sz="18" w:space="0"/>
              <w:left w:val="single" w:color="000000" w:sz="18" w:space="0"/>
              <w:bottom w:val="single" w:color="000000" w:sz="8" w:space="0"/>
              <w:right w:val="single" w:color="000000" w:sz="8" w:space="0"/>
            </w:tcBorders>
            <w:vAlign w:val="center"/>
          </w:tcPr>
          <w:p>
            <w:pPr>
              <w:spacing w:line="280" w:lineRule="atLeast"/>
              <w:jc w:val="center"/>
              <w:rPr>
                <w:rFonts w:ascii="宋体" w:hAnsi="宋体"/>
                <w:color w:val="000000"/>
              </w:rPr>
            </w:pPr>
            <w:r>
              <w:rPr>
                <w:rFonts w:ascii="宋体" w:hAnsi="宋体"/>
                <w:color w:val="000000"/>
              </w:rPr>
              <w:t>序</w:t>
            </w:r>
            <w:r>
              <w:rPr>
                <w:rFonts w:hint="eastAsia" w:ascii="宋体" w:hAnsi="宋体"/>
                <w:color w:val="000000"/>
                <w:lang w:val="en-US" w:eastAsia="zh-CN"/>
              </w:rPr>
              <w:t xml:space="preserve"> </w:t>
            </w:r>
            <w:r>
              <w:rPr>
                <w:rFonts w:ascii="宋体" w:hAnsi="宋体"/>
                <w:color w:val="000000"/>
              </w:rPr>
              <w:t>号</w:t>
            </w:r>
          </w:p>
        </w:tc>
        <w:tc>
          <w:tcPr>
            <w:tcW w:w="1658" w:type="dxa"/>
            <w:tcBorders>
              <w:top w:val="single" w:color="000000" w:sz="18" w:space="0"/>
              <w:left w:val="single" w:color="000000" w:sz="8" w:space="0"/>
              <w:bottom w:val="single" w:color="000000" w:sz="8" w:space="0"/>
              <w:right w:val="single" w:color="000000" w:sz="8" w:space="0"/>
            </w:tcBorders>
            <w:vAlign w:val="center"/>
          </w:tcPr>
          <w:p>
            <w:pPr>
              <w:spacing w:line="280" w:lineRule="atLeast"/>
              <w:jc w:val="center"/>
              <w:rPr>
                <w:rFonts w:ascii="宋体" w:hAnsi="宋体"/>
                <w:color w:val="000000"/>
              </w:rPr>
            </w:pPr>
            <w:r>
              <w:rPr>
                <w:rFonts w:ascii="宋体" w:hAnsi="宋体"/>
                <w:color w:val="000000"/>
              </w:rPr>
              <w:t xml:space="preserve">姓 </w:t>
            </w:r>
            <w:r>
              <w:rPr>
                <w:rFonts w:hint="eastAsia" w:ascii="宋体" w:hAnsi="宋体"/>
                <w:color w:val="000000"/>
                <w:lang w:val="en-US" w:eastAsia="zh-CN"/>
              </w:rPr>
              <w:t xml:space="preserve"> </w:t>
            </w:r>
            <w:r>
              <w:rPr>
                <w:rFonts w:ascii="宋体" w:hAnsi="宋体"/>
                <w:color w:val="000000"/>
              </w:rPr>
              <w:t>名</w:t>
            </w:r>
          </w:p>
        </w:tc>
        <w:tc>
          <w:tcPr>
            <w:tcW w:w="1036" w:type="dxa"/>
            <w:tcBorders>
              <w:top w:val="single" w:color="000000" w:sz="18" w:space="0"/>
              <w:left w:val="single" w:color="000000" w:sz="8" w:space="0"/>
              <w:bottom w:val="single" w:color="000000" w:sz="8" w:space="0"/>
              <w:right w:val="single" w:color="000000" w:sz="8" w:space="0"/>
            </w:tcBorders>
            <w:vAlign w:val="center"/>
          </w:tcPr>
          <w:p>
            <w:pPr>
              <w:spacing w:line="280" w:lineRule="atLeast"/>
              <w:jc w:val="center"/>
              <w:rPr>
                <w:rFonts w:ascii="宋体" w:hAnsi="宋体"/>
                <w:color w:val="000000"/>
              </w:rPr>
            </w:pPr>
            <w:r>
              <w:rPr>
                <w:rFonts w:ascii="宋体" w:hAnsi="宋体"/>
                <w:color w:val="000000"/>
              </w:rPr>
              <w:t>年</w:t>
            </w:r>
            <w:r>
              <w:rPr>
                <w:rFonts w:hint="eastAsia" w:ascii="宋体" w:hAnsi="宋体"/>
                <w:color w:val="000000"/>
                <w:lang w:val="en-US" w:eastAsia="zh-CN"/>
              </w:rPr>
              <w:t xml:space="preserve">  </w:t>
            </w:r>
            <w:r>
              <w:rPr>
                <w:rFonts w:ascii="宋体" w:hAnsi="宋体"/>
                <w:color w:val="000000"/>
              </w:rPr>
              <w:t>龄</w:t>
            </w:r>
          </w:p>
        </w:tc>
        <w:tc>
          <w:tcPr>
            <w:tcW w:w="1346" w:type="dxa"/>
            <w:tcBorders>
              <w:top w:val="single" w:color="000000" w:sz="18" w:space="0"/>
              <w:left w:val="single" w:color="000000" w:sz="8" w:space="0"/>
              <w:bottom w:val="single" w:color="000000" w:sz="8" w:space="0"/>
              <w:right w:val="single" w:color="000000" w:sz="8" w:space="0"/>
            </w:tcBorders>
            <w:vAlign w:val="center"/>
          </w:tcPr>
          <w:p>
            <w:pPr>
              <w:spacing w:line="280" w:lineRule="atLeast"/>
              <w:jc w:val="center"/>
              <w:rPr>
                <w:rFonts w:ascii="宋体" w:hAnsi="宋体"/>
                <w:color w:val="000000"/>
              </w:rPr>
            </w:pPr>
            <w:r>
              <w:rPr>
                <w:rFonts w:ascii="宋体" w:hAnsi="宋体"/>
                <w:color w:val="000000"/>
              </w:rPr>
              <w:t xml:space="preserve">职 </w:t>
            </w:r>
            <w:r>
              <w:rPr>
                <w:rFonts w:hint="eastAsia" w:ascii="宋体" w:hAnsi="宋体"/>
                <w:color w:val="000000"/>
                <w:lang w:val="en-US" w:eastAsia="zh-CN"/>
              </w:rPr>
              <w:t xml:space="preserve"> </w:t>
            </w:r>
            <w:r>
              <w:rPr>
                <w:rFonts w:ascii="宋体" w:hAnsi="宋体"/>
                <w:color w:val="000000"/>
              </w:rPr>
              <w:t>称</w:t>
            </w:r>
          </w:p>
        </w:tc>
        <w:tc>
          <w:tcPr>
            <w:tcW w:w="1553" w:type="dxa"/>
            <w:tcBorders>
              <w:top w:val="single" w:color="000000" w:sz="18" w:space="0"/>
              <w:left w:val="single" w:color="000000" w:sz="8" w:space="0"/>
              <w:bottom w:val="single" w:color="000000" w:sz="8" w:space="0"/>
              <w:right w:val="single" w:color="000000" w:sz="8" w:space="0"/>
            </w:tcBorders>
            <w:vAlign w:val="center"/>
          </w:tcPr>
          <w:p>
            <w:pPr>
              <w:spacing w:line="280" w:lineRule="atLeast"/>
              <w:jc w:val="center"/>
              <w:rPr>
                <w:rFonts w:ascii="宋体" w:hAnsi="宋体"/>
                <w:color w:val="000000"/>
              </w:rPr>
            </w:pPr>
            <w:r>
              <w:rPr>
                <w:rFonts w:ascii="宋体" w:hAnsi="宋体"/>
                <w:color w:val="000000"/>
              </w:rPr>
              <w:t>专</w:t>
            </w:r>
            <w:r>
              <w:rPr>
                <w:rFonts w:hint="eastAsia" w:ascii="宋体" w:hAnsi="宋体"/>
                <w:color w:val="000000"/>
                <w:lang w:val="en-US" w:eastAsia="zh-CN"/>
              </w:rPr>
              <w:t xml:space="preserve">  </w:t>
            </w:r>
            <w:r>
              <w:rPr>
                <w:rFonts w:ascii="宋体" w:hAnsi="宋体"/>
                <w:color w:val="000000"/>
              </w:rPr>
              <w:t>业</w:t>
            </w:r>
          </w:p>
        </w:tc>
        <w:tc>
          <w:tcPr>
            <w:tcW w:w="1864" w:type="dxa"/>
            <w:tcBorders>
              <w:top w:val="single" w:color="000000" w:sz="18" w:space="0"/>
              <w:left w:val="single" w:color="000000" w:sz="8" w:space="0"/>
              <w:bottom w:val="single" w:color="000000" w:sz="8" w:space="0"/>
              <w:right w:val="single" w:color="000000" w:sz="8" w:space="0"/>
            </w:tcBorders>
            <w:vAlign w:val="center"/>
          </w:tcPr>
          <w:p>
            <w:pPr>
              <w:spacing w:line="280" w:lineRule="atLeast"/>
              <w:jc w:val="center"/>
              <w:rPr>
                <w:rFonts w:ascii="宋体" w:hAnsi="宋体"/>
                <w:color w:val="000000"/>
              </w:rPr>
            </w:pPr>
            <w:r>
              <w:rPr>
                <w:rFonts w:ascii="宋体" w:hAnsi="宋体"/>
                <w:color w:val="000000"/>
              </w:rPr>
              <w:t>从事本专业工作年限</w:t>
            </w:r>
          </w:p>
        </w:tc>
        <w:tc>
          <w:tcPr>
            <w:tcW w:w="1553" w:type="dxa"/>
            <w:tcBorders>
              <w:top w:val="single" w:color="000000" w:sz="18" w:space="0"/>
              <w:left w:val="single" w:color="000000" w:sz="8" w:space="0"/>
              <w:bottom w:val="single" w:color="000000" w:sz="8" w:space="0"/>
              <w:right w:val="single" w:color="000000" w:sz="18" w:space="0"/>
            </w:tcBorders>
            <w:vAlign w:val="center"/>
          </w:tcPr>
          <w:p>
            <w:pPr>
              <w:spacing w:line="280" w:lineRule="atLeast"/>
              <w:jc w:val="center"/>
              <w:rPr>
                <w:rFonts w:ascii="宋体" w:hAnsi="宋体"/>
                <w:color w:val="000000"/>
              </w:rPr>
            </w:pPr>
            <w:r>
              <w:rPr>
                <w:rFonts w:ascii="宋体" w:hAnsi="宋体"/>
                <w:color w:val="000000"/>
              </w:rPr>
              <w:t>在本工程中拟任职务</w:t>
            </w:r>
          </w:p>
        </w:tc>
      </w:tr>
      <w:tr>
        <w:tblPrEx>
          <w:tblCellMar>
            <w:top w:w="0" w:type="dxa"/>
            <w:left w:w="0" w:type="dxa"/>
            <w:bottom w:w="0" w:type="dxa"/>
            <w:right w:w="0" w:type="dxa"/>
          </w:tblCellMar>
        </w:tblPrEx>
        <w:trPr>
          <w:trHeight w:val="980" w:hRule="atLeast"/>
          <w:jc w:val="center"/>
        </w:trPr>
        <w:tc>
          <w:tcPr>
            <w:tcW w:w="830" w:type="dxa"/>
            <w:tcBorders>
              <w:top w:val="single" w:color="000000" w:sz="8" w:space="0"/>
              <w:left w:val="single" w:color="000000" w:sz="18" w:space="0"/>
              <w:bottom w:val="single" w:color="000000" w:sz="8" w:space="0"/>
              <w:right w:val="single" w:color="000000" w:sz="8" w:space="0"/>
            </w:tcBorders>
          </w:tcPr>
          <w:p>
            <w:pPr>
              <w:spacing w:line="240" w:lineRule="atLeast"/>
              <w:rPr>
                <w:rFonts w:ascii="宋体" w:hAnsi="宋体"/>
                <w:color w:val="000000"/>
              </w:rPr>
            </w:pPr>
            <w:r>
              <w:rPr>
                <w:rFonts w:ascii="宋体" w:hAnsi="宋体"/>
                <w:color w:val="000000"/>
              </w:rPr>
              <w:t> </w:t>
            </w:r>
          </w:p>
        </w:tc>
        <w:tc>
          <w:tcPr>
            <w:tcW w:w="1658" w:type="dxa"/>
            <w:tcBorders>
              <w:top w:val="single" w:color="000000" w:sz="8" w:space="0"/>
              <w:left w:val="single" w:color="000000" w:sz="8" w:space="0"/>
              <w:bottom w:val="single" w:color="000000" w:sz="8" w:space="0"/>
              <w:right w:val="single" w:color="000000" w:sz="8" w:space="0"/>
            </w:tcBorders>
            <w:vAlign w:val="center"/>
          </w:tcPr>
          <w:p>
            <w:pPr>
              <w:spacing w:line="240" w:lineRule="atLeast"/>
              <w:rPr>
                <w:rFonts w:ascii="宋体" w:hAnsi="宋体"/>
                <w:color w:val="000000"/>
              </w:rPr>
            </w:pPr>
            <w:r>
              <w:rPr>
                <w:rFonts w:ascii="宋体" w:hAnsi="宋体"/>
                <w:color w:val="000000"/>
              </w:rPr>
              <w:t> </w:t>
            </w:r>
          </w:p>
        </w:tc>
        <w:tc>
          <w:tcPr>
            <w:tcW w:w="1036" w:type="dxa"/>
            <w:tcBorders>
              <w:top w:val="single" w:color="000000" w:sz="8" w:space="0"/>
              <w:left w:val="single" w:color="000000" w:sz="8" w:space="0"/>
              <w:bottom w:val="single" w:color="000000" w:sz="8" w:space="0"/>
              <w:right w:val="single" w:color="000000" w:sz="8" w:space="0"/>
            </w:tcBorders>
            <w:vAlign w:val="center"/>
          </w:tcPr>
          <w:p>
            <w:pPr>
              <w:spacing w:line="240" w:lineRule="atLeast"/>
              <w:rPr>
                <w:rFonts w:ascii="宋体" w:hAnsi="宋体"/>
                <w:color w:val="000000"/>
              </w:rPr>
            </w:pPr>
            <w:r>
              <w:rPr>
                <w:rFonts w:ascii="宋体" w:hAnsi="宋体"/>
                <w:color w:val="000000"/>
              </w:rPr>
              <w:t> </w:t>
            </w:r>
          </w:p>
        </w:tc>
        <w:tc>
          <w:tcPr>
            <w:tcW w:w="1346" w:type="dxa"/>
            <w:tcBorders>
              <w:top w:val="single" w:color="000000" w:sz="8" w:space="0"/>
              <w:left w:val="single" w:color="000000" w:sz="8" w:space="0"/>
              <w:bottom w:val="single" w:color="000000" w:sz="8" w:space="0"/>
              <w:right w:val="single" w:color="000000" w:sz="8" w:space="0"/>
            </w:tcBorders>
            <w:vAlign w:val="center"/>
          </w:tcPr>
          <w:p>
            <w:pPr>
              <w:spacing w:line="240" w:lineRule="atLeast"/>
              <w:rPr>
                <w:rFonts w:ascii="宋体" w:hAnsi="宋体"/>
                <w:color w:val="000000"/>
              </w:rPr>
            </w:pPr>
            <w:r>
              <w:rPr>
                <w:rFonts w:ascii="宋体" w:hAnsi="宋体"/>
                <w:color w:val="000000"/>
              </w:rPr>
              <w:t> </w:t>
            </w:r>
          </w:p>
        </w:tc>
        <w:tc>
          <w:tcPr>
            <w:tcW w:w="1553" w:type="dxa"/>
            <w:tcBorders>
              <w:top w:val="single" w:color="000000" w:sz="8" w:space="0"/>
              <w:left w:val="single" w:color="000000" w:sz="8" w:space="0"/>
              <w:bottom w:val="single" w:color="000000" w:sz="8" w:space="0"/>
              <w:right w:val="single" w:color="000000" w:sz="8" w:space="0"/>
            </w:tcBorders>
            <w:vAlign w:val="center"/>
          </w:tcPr>
          <w:p>
            <w:pPr>
              <w:spacing w:line="240" w:lineRule="atLeast"/>
              <w:rPr>
                <w:rFonts w:ascii="宋体" w:hAnsi="宋体"/>
                <w:color w:val="000000"/>
              </w:rPr>
            </w:pPr>
            <w:r>
              <w:rPr>
                <w:rFonts w:ascii="宋体" w:hAnsi="宋体"/>
                <w:color w:val="000000"/>
              </w:rPr>
              <w:t> </w:t>
            </w:r>
          </w:p>
        </w:tc>
        <w:tc>
          <w:tcPr>
            <w:tcW w:w="1864" w:type="dxa"/>
            <w:tcBorders>
              <w:top w:val="single" w:color="000000" w:sz="8" w:space="0"/>
              <w:left w:val="single" w:color="000000" w:sz="8" w:space="0"/>
              <w:bottom w:val="single" w:color="000000" w:sz="8" w:space="0"/>
              <w:right w:val="single" w:color="000000" w:sz="8" w:space="0"/>
            </w:tcBorders>
            <w:vAlign w:val="center"/>
          </w:tcPr>
          <w:p>
            <w:pPr>
              <w:spacing w:line="240" w:lineRule="atLeast"/>
              <w:rPr>
                <w:rFonts w:ascii="宋体" w:hAnsi="宋体"/>
                <w:color w:val="000000"/>
              </w:rPr>
            </w:pPr>
            <w:r>
              <w:rPr>
                <w:rFonts w:ascii="宋体" w:hAnsi="宋体"/>
                <w:color w:val="000000"/>
              </w:rPr>
              <w:t> </w:t>
            </w:r>
          </w:p>
        </w:tc>
        <w:tc>
          <w:tcPr>
            <w:tcW w:w="1553" w:type="dxa"/>
            <w:tcBorders>
              <w:top w:val="single" w:color="000000" w:sz="8" w:space="0"/>
              <w:left w:val="single" w:color="000000" w:sz="8" w:space="0"/>
              <w:bottom w:val="single" w:color="000000" w:sz="8" w:space="0"/>
              <w:right w:val="single" w:color="000000" w:sz="18" w:space="0"/>
            </w:tcBorders>
            <w:vAlign w:val="center"/>
          </w:tcPr>
          <w:p>
            <w:pPr>
              <w:spacing w:line="240" w:lineRule="atLeast"/>
              <w:rPr>
                <w:rFonts w:ascii="宋体" w:hAnsi="宋体"/>
                <w:color w:val="000000"/>
              </w:rPr>
            </w:pPr>
            <w:r>
              <w:rPr>
                <w:rFonts w:ascii="宋体" w:hAnsi="宋体"/>
                <w:color w:val="000000"/>
              </w:rPr>
              <w:t> </w:t>
            </w:r>
          </w:p>
        </w:tc>
      </w:tr>
      <w:tr>
        <w:tblPrEx>
          <w:tblCellMar>
            <w:top w:w="0" w:type="dxa"/>
            <w:left w:w="0" w:type="dxa"/>
            <w:bottom w:w="0" w:type="dxa"/>
            <w:right w:w="0" w:type="dxa"/>
          </w:tblCellMar>
        </w:tblPrEx>
        <w:trPr>
          <w:trHeight w:val="980" w:hRule="atLeast"/>
          <w:jc w:val="center"/>
        </w:trPr>
        <w:tc>
          <w:tcPr>
            <w:tcW w:w="830" w:type="dxa"/>
            <w:tcBorders>
              <w:top w:val="single" w:color="000000" w:sz="8" w:space="0"/>
              <w:left w:val="single" w:color="000000" w:sz="18" w:space="0"/>
              <w:bottom w:val="single" w:color="000000" w:sz="8" w:space="0"/>
              <w:right w:val="single" w:color="000000" w:sz="8" w:space="0"/>
            </w:tcBorders>
          </w:tcPr>
          <w:p>
            <w:pPr>
              <w:spacing w:line="240" w:lineRule="atLeast"/>
              <w:rPr>
                <w:rFonts w:ascii="宋体" w:hAnsi="宋体"/>
                <w:color w:val="000000"/>
              </w:rPr>
            </w:pPr>
            <w:r>
              <w:rPr>
                <w:rFonts w:ascii="宋体" w:hAnsi="宋体"/>
                <w:color w:val="000000"/>
              </w:rPr>
              <w:t> </w:t>
            </w:r>
          </w:p>
        </w:tc>
        <w:tc>
          <w:tcPr>
            <w:tcW w:w="1658" w:type="dxa"/>
            <w:tcBorders>
              <w:top w:val="single" w:color="000000" w:sz="8" w:space="0"/>
              <w:left w:val="single" w:color="000000" w:sz="8" w:space="0"/>
              <w:bottom w:val="single" w:color="000000" w:sz="8" w:space="0"/>
              <w:right w:val="single" w:color="000000" w:sz="8" w:space="0"/>
            </w:tcBorders>
          </w:tcPr>
          <w:p>
            <w:pPr>
              <w:spacing w:line="240" w:lineRule="atLeast"/>
              <w:rPr>
                <w:rFonts w:ascii="宋体" w:hAnsi="宋体"/>
                <w:color w:val="000000"/>
              </w:rPr>
            </w:pPr>
            <w:r>
              <w:rPr>
                <w:rFonts w:ascii="宋体" w:hAnsi="宋体"/>
                <w:color w:val="000000"/>
              </w:rPr>
              <w:t> </w:t>
            </w:r>
          </w:p>
        </w:tc>
        <w:tc>
          <w:tcPr>
            <w:tcW w:w="1036" w:type="dxa"/>
            <w:tcBorders>
              <w:top w:val="single" w:color="000000" w:sz="8" w:space="0"/>
              <w:left w:val="single" w:color="000000" w:sz="8" w:space="0"/>
              <w:bottom w:val="single" w:color="000000" w:sz="8" w:space="0"/>
              <w:right w:val="single" w:color="000000" w:sz="8" w:space="0"/>
            </w:tcBorders>
          </w:tcPr>
          <w:p>
            <w:pPr>
              <w:spacing w:line="240" w:lineRule="atLeast"/>
              <w:rPr>
                <w:rFonts w:ascii="宋体" w:hAnsi="宋体"/>
                <w:color w:val="000000"/>
              </w:rPr>
            </w:pPr>
            <w:r>
              <w:rPr>
                <w:rFonts w:ascii="宋体" w:hAnsi="宋体"/>
                <w:color w:val="000000"/>
              </w:rPr>
              <w:t> </w:t>
            </w:r>
          </w:p>
        </w:tc>
        <w:tc>
          <w:tcPr>
            <w:tcW w:w="1346" w:type="dxa"/>
            <w:tcBorders>
              <w:top w:val="single" w:color="000000" w:sz="8" w:space="0"/>
              <w:left w:val="single" w:color="000000" w:sz="8" w:space="0"/>
              <w:bottom w:val="single" w:color="000000" w:sz="8" w:space="0"/>
              <w:right w:val="single" w:color="000000" w:sz="8" w:space="0"/>
            </w:tcBorders>
          </w:tcPr>
          <w:p>
            <w:pPr>
              <w:spacing w:line="240" w:lineRule="atLeast"/>
              <w:rPr>
                <w:rFonts w:ascii="宋体" w:hAnsi="宋体"/>
                <w:color w:val="000000"/>
              </w:rPr>
            </w:pPr>
            <w:r>
              <w:rPr>
                <w:rFonts w:ascii="宋体" w:hAnsi="宋体"/>
                <w:color w:val="000000"/>
              </w:rPr>
              <w:t> </w:t>
            </w:r>
          </w:p>
        </w:tc>
        <w:tc>
          <w:tcPr>
            <w:tcW w:w="1553" w:type="dxa"/>
            <w:tcBorders>
              <w:top w:val="single" w:color="000000" w:sz="8" w:space="0"/>
              <w:left w:val="single" w:color="000000" w:sz="8" w:space="0"/>
              <w:bottom w:val="single" w:color="000000" w:sz="8" w:space="0"/>
              <w:right w:val="single" w:color="000000" w:sz="8" w:space="0"/>
            </w:tcBorders>
          </w:tcPr>
          <w:p>
            <w:pPr>
              <w:spacing w:line="240" w:lineRule="atLeast"/>
              <w:rPr>
                <w:rFonts w:ascii="宋体" w:hAnsi="宋体"/>
                <w:color w:val="000000"/>
              </w:rPr>
            </w:pPr>
            <w:r>
              <w:rPr>
                <w:rFonts w:ascii="宋体" w:hAnsi="宋体"/>
                <w:color w:val="000000"/>
              </w:rPr>
              <w:t> </w:t>
            </w:r>
          </w:p>
        </w:tc>
        <w:tc>
          <w:tcPr>
            <w:tcW w:w="1864" w:type="dxa"/>
            <w:tcBorders>
              <w:top w:val="single" w:color="000000" w:sz="8" w:space="0"/>
              <w:left w:val="single" w:color="000000" w:sz="8" w:space="0"/>
              <w:bottom w:val="single" w:color="000000" w:sz="8" w:space="0"/>
              <w:right w:val="single" w:color="000000" w:sz="8" w:space="0"/>
            </w:tcBorders>
          </w:tcPr>
          <w:p>
            <w:pPr>
              <w:spacing w:line="240" w:lineRule="atLeast"/>
              <w:rPr>
                <w:rFonts w:ascii="宋体" w:hAnsi="宋体"/>
                <w:color w:val="000000"/>
              </w:rPr>
            </w:pPr>
            <w:r>
              <w:rPr>
                <w:rFonts w:ascii="宋体" w:hAnsi="宋体"/>
                <w:color w:val="000000"/>
              </w:rPr>
              <w:t> </w:t>
            </w:r>
          </w:p>
        </w:tc>
        <w:tc>
          <w:tcPr>
            <w:tcW w:w="1553" w:type="dxa"/>
            <w:tcBorders>
              <w:top w:val="single" w:color="000000" w:sz="8" w:space="0"/>
              <w:left w:val="single" w:color="000000" w:sz="8" w:space="0"/>
              <w:bottom w:val="single" w:color="000000" w:sz="8" w:space="0"/>
              <w:right w:val="single" w:color="000000" w:sz="18" w:space="0"/>
            </w:tcBorders>
          </w:tcPr>
          <w:p>
            <w:pPr>
              <w:spacing w:line="240" w:lineRule="atLeast"/>
              <w:rPr>
                <w:rFonts w:ascii="宋体" w:hAnsi="宋体"/>
                <w:color w:val="000000"/>
              </w:rPr>
            </w:pPr>
            <w:r>
              <w:rPr>
                <w:rFonts w:ascii="宋体" w:hAnsi="宋体"/>
                <w:color w:val="000000"/>
              </w:rPr>
              <w:t> </w:t>
            </w:r>
          </w:p>
        </w:tc>
      </w:tr>
      <w:tr>
        <w:tblPrEx>
          <w:tblCellMar>
            <w:top w:w="0" w:type="dxa"/>
            <w:left w:w="0" w:type="dxa"/>
            <w:bottom w:w="0" w:type="dxa"/>
            <w:right w:w="0" w:type="dxa"/>
          </w:tblCellMar>
        </w:tblPrEx>
        <w:trPr>
          <w:trHeight w:val="980" w:hRule="atLeast"/>
          <w:jc w:val="center"/>
        </w:trPr>
        <w:tc>
          <w:tcPr>
            <w:tcW w:w="830" w:type="dxa"/>
            <w:tcBorders>
              <w:top w:val="single" w:color="000000" w:sz="8" w:space="0"/>
              <w:left w:val="single" w:color="000000" w:sz="18" w:space="0"/>
              <w:bottom w:val="single" w:color="000000" w:sz="8" w:space="0"/>
              <w:right w:val="single" w:color="000000" w:sz="8" w:space="0"/>
            </w:tcBorders>
          </w:tcPr>
          <w:p>
            <w:pPr>
              <w:spacing w:line="240" w:lineRule="atLeast"/>
              <w:rPr>
                <w:rFonts w:ascii="宋体" w:hAnsi="宋体"/>
                <w:color w:val="000000"/>
              </w:rPr>
            </w:pPr>
            <w:r>
              <w:rPr>
                <w:rFonts w:ascii="宋体" w:hAnsi="宋体"/>
                <w:color w:val="000000"/>
              </w:rPr>
              <w:t> </w:t>
            </w:r>
          </w:p>
        </w:tc>
        <w:tc>
          <w:tcPr>
            <w:tcW w:w="1658" w:type="dxa"/>
            <w:tcBorders>
              <w:top w:val="single" w:color="000000" w:sz="8" w:space="0"/>
              <w:left w:val="single" w:color="000000" w:sz="8" w:space="0"/>
              <w:bottom w:val="single" w:color="000000" w:sz="8" w:space="0"/>
              <w:right w:val="single" w:color="000000" w:sz="8" w:space="0"/>
            </w:tcBorders>
          </w:tcPr>
          <w:p>
            <w:pPr>
              <w:spacing w:line="240" w:lineRule="atLeast"/>
              <w:rPr>
                <w:rFonts w:ascii="宋体" w:hAnsi="宋体"/>
                <w:color w:val="000000"/>
              </w:rPr>
            </w:pPr>
            <w:r>
              <w:rPr>
                <w:rFonts w:ascii="宋体" w:hAnsi="宋体"/>
                <w:color w:val="000000"/>
              </w:rPr>
              <w:t> </w:t>
            </w:r>
          </w:p>
        </w:tc>
        <w:tc>
          <w:tcPr>
            <w:tcW w:w="1036" w:type="dxa"/>
            <w:tcBorders>
              <w:top w:val="single" w:color="000000" w:sz="8" w:space="0"/>
              <w:left w:val="single" w:color="000000" w:sz="8" w:space="0"/>
              <w:bottom w:val="single" w:color="000000" w:sz="8" w:space="0"/>
              <w:right w:val="single" w:color="000000" w:sz="8" w:space="0"/>
            </w:tcBorders>
          </w:tcPr>
          <w:p>
            <w:pPr>
              <w:spacing w:line="240" w:lineRule="atLeast"/>
              <w:rPr>
                <w:rFonts w:ascii="宋体" w:hAnsi="宋体"/>
                <w:color w:val="000000"/>
              </w:rPr>
            </w:pPr>
            <w:r>
              <w:rPr>
                <w:rFonts w:ascii="宋体" w:hAnsi="宋体"/>
                <w:color w:val="000000"/>
              </w:rPr>
              <w:t> </w:t>
            </w:r>
          </w:p>
        </w:tc>
        <w:tc>
          <w:tcPr>
            <w:tcW w:w="1346" w:type="dxa"/>
            <w:tcBorders>
              <w:top w:val="single" w:color="000000" w:sz="8" w:space="0"/>
              <w:left w:val="single" w:color="000000" w:sz="8" w:space="0"/>
              <w:bottom w:val="single" w:color="000000" w:sz="8" w:space="0"/>
              <w:right w:val="single" w:color="000000" w:sz="8" w:space="0"/>
            </w:tcBorders>
          </w:tcPr>
          <w:p>
            <w:pPr>
              <w:spacing w:line="240" w:lineRule="atLeast"/>
              <w:rPr>
                <w:rFonts w:ascii="宋体" w:hAnsi="宋体"/>
                <w:color w:val="000000"/>
              </w:rPr>
            </w:pPr>
            <w:r>
              <w:rPr>
                <w:rFonts w:ascii="宋体" w:hAnsi="宋体"/>
                <w:color w:val="000000"/>
              </w:rPr>
              <w:t> </w:t>
            </w:r>
          </w:p>
        </w:tc>
        <w:tc>
          <w:tcPr>
            <w:tcW w:w="1553" w:type="dxa"/>
            <w:tcBorders>
              <w:top w:val="single" w:color="000000" w:sz="8" w:space="0"/>
              <w:left w:val="single" w:color="000000" w:sz="8" w:space="0"/>
              <w:bottom w:val="single" w:color="000000" w:sz="8" w:space="0"/>
              <w:right w:val="single" w:color="000000" w:sz="8" w:space="0"/>
            </w:tcBorders>
          </w:tcPr>
          <w:p>
            <w:pPr>
              <w:spacing w:line="240" w:lineRule="atLeast"/>
              <w:rPr>
                <w:rFonts w:ascii="宋体" w:hAnsi="宋体"/>
                <w:color w:val="000000"/>
              </w:rPr>
            </w:pPr>
            <w:r>
              <w:rPr>
                <w:rFonts w:ascii="宋体" w:hAnsi="宋体"/>
                <w:color w:val="000000"/>
              </w:rPr>
              <w:t> </w:t>
            </w:r>
          </w:p>
        </w:tc>
        <w:tc>
          <w:tcPr>
            <w:tcW w:w="1864" w:type="dxa"/>
            <w:tcBorders>
              <w:top w:val="single" w:color="000000" w:sz="8" w:space="0"/>
              <w:left w:val="single" w:color="000000" w:sz="8" w:space="0"/>
              <w:bottom w:val="single" w:color="000000" w:sz="8" w:space="0"/>
              <w:right w:val="single" w:color="000000" w:sz="8" w:space="0"/>
            </w:tcBorders>
          </w:tcPr>
          <w:p>
            <w:pPr>
              <w:spacing w:line="240" w:lineRule="atLeast"/>
              <w:rPr>
                <w:rFonts w:ascii="宋体" w:hAnsi="宋体"/>
                <w:color w:val="000000"/>
              </w:rPr>
            </w:pPr>
            <w:r>
              <w:rPr>
                <w:rFonts w:ascii="宋体" w:hAnsi="宋体"/>
                <w:color w:val="000000"/>
              </w:rPr>
              <w:t> </w:t>
            </w:r>
          </w:p>
        </w:tc>
        <w:tc>
          <w:tcPr>
            <w:tcW w:w="1553" w:type="dxa"/>
            <w:tcBorders>
              <w:top w:val="single" w:color="000000" w:sz="8" w:space="0"/>
              <w:left w:val="single" w:color="000000" w:sz="8" w:space="0"/>
              <w:bottom w:val="single" w:color="000000" w:sz="8" w:space="0"/>
              <w:right w:val="single" w:color="000000" w:sz="18" w:space="0"/>
            </w:tcBorders>
          </w:tcPr>
          <w:p>
            <w:pPr>
              <w:spacing w:line="240" w:lineRule="atLeast"/>
              <w:rPr>
                <w:rFonts w:ascii="宋体" w:hAnsi="宋体"/>
                <w:color w:val="000000"/>
              </w:rPr>
            </w:pPr>
            <w:r>
              <w:rPr>
                <w:rFonts w:ascii="宋体" w:hAnsi="宋体"/>
                <w:color w:val="000000"/>
              </w:rPr>
              <w:t> </w:t>
            </w:r>
          </w:p>
        </w:tc>
      </w:tr>
      <w:tr>
        <w:tblPrEx>
          <w:tblCellMar>
            <w:top w:w="0" w:type="dxa"/>
            <w:left w:w="0" w:type="dxa"/>
            <w:bottom w:w="0" w:type="dxa"/>
            <w:right w:w="0" w:type="dxa"/>
          </w:tblCellMar>
        </w:tblPrEx>
        <w:trPr>
          <w:trHeight w:val="980" w:hRule="atLeast"/>
          <w:jc w:val="center"/>
        </w:trPr>
        <w:tc>
          <w:tcPr>
            <w:tcW w:w="830" w:type="dxa"/>
            <w:tcBorders>
              <w:top w:val="single" w:color="000000" w:sz="8" w:space="0"/>
              <w:left w:val="single" w:color="000000" w:sz="18" w:space="0"/>
              <w:bottom w:val="single" w:color="000000" w:sz="8" w:space="0"/>
              <w:right w:val="single" w:color="000000" w:sz="8" w:space="0"/>
            </w:tcBorders>
          </w:tcPr>
          <w:p>
            <w:pPr>
              <w:spacing w:line="240" w:lineRule="atLeast"/>
              <w:rPr>
                <w:rFonts w:ascii="宋体" w:hAnsi="宋体"/>
                <w:color w:val="000000"/>
              </w:rPr>
            </w:pPr>
            <w:r>
              <w:rPr>
                <w:rFonts w:ascii="宋体" w:hAnsi="宋体"/>
                <w:color w:val="000000"/>
              </w:rPr>
              <w:t> </w:t>
            </w:r>
          </w:p>
        </w:tc>
        <w:tc>
          <w:tcPr>
            <w:tcW w:w="1658" w:type="dxa"/>
            <w:tcBorders>
              <w:top w:val="single" w:color="000000" w:sz="8" w:space="0"/>
              <w:left w:val="single" w:color="000000" w:sz="8" w:space="0"/>
              <w:bottom w:val="single" w:color="000000" w:sz="8" w:space="0"/>
              <w:right w:val="single" w:color="000000" w:sz="8" w:space="0"/>
            </w:tcBorders>
            <w:vAlign w:val="center"/>
          </w:tcPr>
          <w:p>
            <w:pPr>
              <w:spacing w:line="240" w:lineRule="atLeast"/>
              <w:rPr>
                <w:rFonts w:ascii="宋体" w:hAnsi="宋体"/>
                <w:color w:val="000000"/>
              </w:rPr>
            </w:pPr>
            <w:r>
              <w:rPr>
                <w:rFonts w:ascii="宋体" w:hAnsi="宋体"/>
                <w:color w:val="000000"/>
              </w:rPr>
              <w:t> </w:t>
            </w:r>
          </w:p>
        </w:tc>
        <w:tc>
          <w:tcPr>
            <w:tcW w:w="1036" w:type="dxa"/>
            <w:tcBorders>
              <w:top w:val="single" w:color="000000" w:sz="8" w:space="0"/>
              <w:left w:val="single" w:color="000000" w:sz="8" w:space="0"/>
              <w:bottom w:val="single" w:color="000000" w:sz="8" w:space="0"/>
              <w:right w:val="single" w:color="000000" w:sz="8" w:space="0"/>
            </w:tcBorders>
            <w:vAlign w:val="center"/>
          </w:tcPr>
          <w:p>
            <w:pPr>
              <w:spacing w:line="240" w:lineRule="atLeast"/>
              <w:rPr>
                <w:rFonts w:ascii="宋体" w:hAnsi="宋体"/>
                <w:color w:val="000000"/>
              </w:rPr>
            </w:pPr>
            <w:r>
              <w:rPr>
                <w:rFonts w:ascii="宋体" w:hAnsi="宋体"/>
                <w:color w:val="000000"/>
              </w:rPr>
              <w:t> </w:t>
            </w:r>
          </w:p>
        </w:tc>
        <w:tc>
          <w:tcPr>
            <w:tcW w:w="1346" w:type="dxa"/>
            <w:tcBorders>
              <w:top w:val="single" w:color="000000" w:sz="8" w:space="0"/>
              <w:left w:val="single" w:color="000000" w:sz="8" w:space="0"/>
              <w:bottom w:val="single" w:color="000000" w:sz="8" w:space="0"/>
              <w:right w:val="single" w:color="000000" w:sz="8" w:space="0"/>
            </w:tcBorders>
            <w:vAlign w:val="center"/>
          </w:tcPr>
          <w:p>
            <w:pPr>
              <w:spacing w:line="240" w:lineRule="atLeast"/>
              <w:rPr>
                <w:rFonts w:ascii="宋体" w:hAnsi="宋体"/>
                <w:color w:val="000000"/>
              </w:rPr>
            </w:pPr>
            <w:r>
              <w:rPr>
                <w:rFonts w:ascii="宋体" w:hAnsi="宋体"/>
                <w:color w:val="000000"/>
              </w:rPr>
              <w:t> </w:t>
            </w:r>
          </w:p>
        </w:tc>
        <w:tc>
          <w:tcPr>
            <w:tcW w:w="1553" w:type="dxa"/>
            <w:tcBorders>
              <w:top w:val="single" w:color="000000" w:sz="8" w:space="0"/>
              <w:left w:val="single" w:color="000000" w:sz="8" w:space="0"/>
              <w:bottom w:val="single" w:color="000000" w:sz="8" w:space="0"/>
              <w:right w:val="single" w:color="000000" w:sz="8" w:space="0"/>
            </w:tcBorders>
            <w:vAlign w:val="center"/>
          </w:tcPr>
          <w:p>
            <w:pPr>
              <w:spacing w:line="240" w:lineRule="atLeast"/>
              <w:rPr>
                <w:rFonts w:ascii="宋体" w:hAnsi="宋体"/>
                <w:color w:val="000000"/>
              </w:rPr>
            </w:pPr>
            <w:r>
              <w:rPr>
                <w:rFonts w:ascii="宋体" w:hAnsi="宋体"/>
                <w:color w:val="000000"/>
              </w:rPr>
              <w:t> </w:t>
            </w:r>
          </w:p>
        </w:tc>
        <w:tc>
          <w:tcPr>
            <w:tcW w:w="1864" w:type="dxa"/>
            <w:tcBorders>
              <w:top w:val="single" w:color="000000" w:sz="8" w:space="0"/>
              <w:left w:val="single" w:color="000000" w:sz="8" w:space="0"/>
              <w:bottom w:val="single" w:color="000000" w:sz="8" w:space="0"/>
              <w:right w:val="single" w:color="000000" w:sz="8" w:space="0"/>
            </w:tcBorders>
            <w:vAlign w:val="center"/>
          </w:tcPr>
          <w:p>
            <w:pPr>
              <w:spacing w:line="240" w:lineRule="atLeast"/>
              <w:rPr>
                <w:rFonts w:ascii="宋体" w:hAnsi="宋体"/>
                <w:color w:val="000000"/>
              </w:rPr>
            </w:pPr>
            <w:r>
              <w:rPr>
                <w:rFonts w:ascii="宋体" w:hAnsi="宋体"/>
                <w:color w:val="000000"/>
              </w:rPr>
              <w:t> </w:t>
            </w:r>
          </w:p>
        </w:tc>
        <w:tc>
          <w:tcPr>
            <w:tcW w:w="1553" w:type="dxa"/>
            <w:tcBorders>
              <w:top w:val="single" w:color="000000" w:sz="8" w:space="0"/>
              <w:left w:val="single" w:color="000000" w:sz="8" w:space="0"/>
              <w:bottom w:val="single" w:color="000000" w:sz="8" w:space="0"/>
              <w:right w:val="single" w:color="000000" w:sz="18" w:space="0"/>
            </w:tcBorders>
            <w:vAlign w:val="center"/>
          </w:tcPr>
          <w:p>
            <w:pPr>
              <w:spacing w:line="240" w:lineRule="atLeast"/>
              <w:rPr>
                <w:rFonts w:ascii="宋体" w:hAnsi="宋体"/>
                <w:color w:val="000000"/>
              </w:rPr>
            </w:pPr>
            <w:r>
              <w:rPr>
                <w:rFonts w:ascii="宋体" w:hAnsi="宋体"/>
                <w:color w:val="000000"/>
              </w:rPr>
              <w:t> </w:t>
            </w:r>
          </w:p>
        </w:tc>
      </w:tr>
      <w:tr>
        <w:tblPrEx>
          <w:tblCellMar>
            <w:top w:w="0" w:type="dxa"/>
            <w:left w:w="0" w:type="dxa"/>
            <w:bottom w:w="0" w:type="dxa"/>
            <w:right w:w="0" w:type="dxa"/>
          </w:tblCellMar>
        </w:tblPrEx>
        <w:trPr>
          <w:trHeight w:val="980" w:hRule="atLeast"/>
          <w:jc w:val="center"/>
        </w:trPr>
        <w:tc>
          <w:tcPr>
            <w:tcW w:w="830" w:type="dxa"/>
            <w:tcBorders>
              <w:top w:val="single" w:color="000000" w:sz="8" w:space="0"/>
              <w:left w:val="single" w:color="000000" w:sz="18" w:space="0"/>
              <w:bottom w:val="single" w:color="000000" w:sz="8" w:space="0"/>
              <w:right w:val="single" w:color="000000" w:sz="8" w:space="0"/>
            </w:tcBorders>
          </w:tcPr>
          <w:p>
            <w:pPr>
              <w:spacing w:line="240" w:lineRule="atLeast"/>
              <w:rPr>
                <w:rFonts w:ascii="宋体" w:hAnsi="宋体"/>
                <w:color w:val="000000"/>
              </w:rPr>
            </w:pPr>
            <w:r>
              <w:rPr>
                <w:rFonts w:ascii="宋体" w:hAnsi="宋体"/>
                <w:color w:val="000000"/>
              </w:rPr>
              <w:t> </w:t>
            </w:r>
          </w:p>
        </w:tc>
        <w:tc>
          <w:tcPr>
            <w:tcW w:w="1658" w:type="dxa"/>
            <w:tcBorders>
              <w:top w:val="single" w:color="000000" w:sz="8" w:space="0"/>
              <w:left w:val="single" w:color="000000" w:sz="8" w:space="0"/>
              <w:bottom w:val="single" w:color="000000" w:sz="8" w:space="0"/>
              <w:right w:val="single" w:color="000000" w:sz="8" w:space="0"/>
            </w:tcBorders>
            <w:vAlign w:val="center"/>
          </w:tcPr>
          <w:p>
            <w:pPr>
              <w:spacing w:line="240" w:lineRule="atLeast"/>
              <w:rPr>
                <w:rFonts w:ascii="宋体" w:hAnsi="宋体"/>
                <w:color w:val="000000"/>
              </w:rPr>
            </w:pPr>
            <w:r>
              <w:rPr>
                <w:rFonts w:ascii="宋体" w:hAnsi="宋体"/>
                <w:color w:val="000000"/>
              </w:rPr>
              <w:t> </w:t>
            </w:r>
          </w:p>
        </w:tc>
        <w:tc>
          <w:tcPr>
            <w:tcW w:w="1036" w:type="dxa"/>
            <w:tcBorders>
              <w:top w:val="single" w:color="000000" w:sz="8" w:space="0"/>
              <w:left w:val="single" w:color="000000" w:sz="8" w:space="0"/>
              <w:bottom w:val="single" w:color="000000" w:sz="8" w:space="0"/>
              <w:right w:val="single" w:color="000000" w:sz="8" w:space="0"/>
            </w:tcBorders>
            <w:vAlign w:val="center"/>
          </w:tcPr>
          <w:p>
            <w:pPr>
              <w:spacing w:line="240" w:lineRule="atLeast"/>
              <w:rPr>
                <w:rFonts w:ascii="宋体" w:hAnsi="宋体"/>
                <w:color w:val="000000"/>
              </w:rPr>
            </w:pPr>
            <w:r>
              <w:rPr>
                <w:rFonts w:ascii="宋体" w:hAnsi="宋体"/>
                <w:color w:val="000000"/>
              </w:rPr>
              <w:t> </w:t>
            </w:r>
          </w:p>
        </w:tc>
        <w:tc>
          <w:tcPr>
            <w:tcW w:w="1346" w:type="dxa"/>
            <w:tcBorders>
              <w:top w:val="single" w:color="000000" w:sz="8" w:space="0"/>
              <w:left w:val="single" w:color="000000" w:sz="8" w:space="0"/>
              <w:bottom w:val="single" w:color="000000" w:sz="8" w:space="0"/>
              <w:right w:val="single" w:color="000000" w:sz="8" w:space="0"/>
            </w:tcBorders>
            <w:vAlign w:val="center"/>
          </w:tcPr>
          <w:p>
            <w:pPr>
              <w:spacing w:line="240" w:lineRule="atLeast"/>
              <w:rPr>
                <w:rFonts w:ascii="宋体" w:hAnsi="宋体"/>
                <w:color w:val="000000"/>
              </w:rPr>
            </w:pPr>
            <w:r>
              <w:rPr>
                <w:rFonts w:ascii="宋体" w:hAnsi="宋体"/>
                <w:color w:val="000000"/>
              </w:rPr>
              <w:t> </w:t>
            </w:r>
          </w:p>
        </w:tc>
        <w:tc>
          <w:tcPr>
            <w:tcW w:w="1553" w:type="dxa"/>
            <w:tcBorders>
              <w:top w:val="single" w:color="000000" w:sz="8" w:space="0"/>
              <w:left w:val="single" w:color="000000" w:sz="8" w:space="0"/>
              <w:bottom w:val="single" w:color="000000" w:sz="8" w:space="0"/>
              <w:right w:val="single" w:color="000000" w:sz="8" w:space="0"/>
            </w:tcBorders>
            <w:vAlign w:val="center"/>
          </w:tcPr>
          <w:p>
            <w:pPr>
              <w:spacing w:line="240" w:lineRule="atLeast"/>
              <w:rPr>
                <w:rFonts w:ascii="宋体" w:hAnsi="宋体"/>
                <w:color w:val="000000"/>
              </w:rPr>
            </w:pPr>
            <w:r>
              <w:rPr>
                <w:rFonts w:ascii="宋体" w:hAnsi="宋体"/>
                <w:color w:val="000000"/>
              </w:rPr>
              <w:t> </w:t>
            </w:r>
          </w:p>
        </w:tc>
        <w:tc>
          <w:tcPr>
            <w:tcW w:w="1864" w:type="dxa"/>
            <w:tcBorders>
              <w:top w:val="single" w:color="000000" w:sz="8" w:space="0"/>
              <w:left w:val="single" w:color="000000" w:sz="8" w:space="0"/>
              <w:bottom w:val="single" w:color="000000" w:sz="8" w:space="0"/>
              <w:right w:val="single" w:color="000000" w:sz="8" w:space="0"/>
            </w:tcBorders>
            <w:vAlign w:val="center"/>
          </w:tcPr>
          <w:p>
            <w:pPr>
              <w:spacing w:line="240" w:lineRule="atLeast"/>
              <w:rPr>
                <w:rFonts w:ascii="宋体" w:hAnsi="宋体"/>
                <w:color w:val="000000"/>
              </w:rPr>
            </w:pPr>
            <w:r>
              <w:rPr>
                <w:rFonts w:ascii="宋体" w:hAnsi="宋体"/>
                <w:color w:val="000000"/>
              </w:rPr>
              <w:t> </w:t>
            </w:r>
          </w:p>
        </w:tc>
        <w:tc>
          <w:tcPr>
            <w:tcW w:w="1553" w:type="dxa"/>
            <w:tcBorders>
              <w:top w:val="single" w:color="000000" w:sz="8" w:space="0"/>
              <w:left w:val="single" w:color="000000" w:sz="8" w:space="0"/>
              <w:bottom w:val="single" w:color="000000" w:sz="8" w:space="0"/>
              <w:right w:val="single" w:color="000000" w:sz="18" w:space="0"/>
            </w:tcBorders>
            <w:vAlign w:val="center"/>
          </w:tcPr>
          <w:p>
            <w:pPr>
              <w:spacing w:line="240" w:lineRule="atLeast"/>
              <w:rPr>
                <w:rFonts w:ascii="宋体" w:hAnsi="宋体"/>
                <w:color w:val="000000"/>
              </w:rPr>
            </w:pPr>
            <w:r>
              <w:rPr>
                <w:rFonts w:ascii="宋体" w:hAnsi="宋体"/>
                <w:color w:val="000000"/>
              </w:rPr>
              <w:t> </w:t>
            </w:r>
          </w:p>
        </w:tc>
      </w:tr>
      <w:tr>
        <w:tblPrEx>
          <w:tblCellMar>
            <w:top w:w="0" w:type="dxa"/>
            <w:left w:w="0" w:type="dxa"/>
            <w:bottom w:w="0" w:type="dxa"/>
            <w:right w:w="0" w:type="dxa"/>
          </w:tblCellMar>
        </w:tblPrEx>
        <w:trPr>
          <w:trHeight w:val="980" w:hRule="atLeast"/>
          <w:jc w:val="center"/>
        </w:trPr>
        <w:tc>
          <w:tcPr>
            <w:tcW w:w="830" w:type="dxa"/>
            <w:tcBorders>
              <w:top w:val="single" w:color="000000" w:sz="8" w:space="0"/>
              <w:left w:val="single" w:color="000000" w:sz="18" w:space="0"/>
              <w:bottom w:val="single" w:color="000000" w:sz="8" w:space="0"/>
              <w:right w:val="single" w:color="000000" w:sz="8" w:space="0"/>
            </w:tcBorders>
          </w:tcPr>
          <w:p>
            <w:pPr>
              <w:spacing w:line="240" w:lineRule="atLeast"/>
              <w:rPr>
                <w:rFonts w:ascii="宋体" w:hAnsi="宋体"/>
                <w:color w:val="000000"/>
              </w:rPr>
            </w:pPr>
            <w:r>
              <w:rPr>
                <w:rFonts w:ascii="宋体" w:hAnsi="宋体"/>
                <w:color w:val="000000"/>
              </w:rPr>
              <w:t> </w:t>
            </w:r>
          </w:p>
        </w:tc>
        <w:tc>
          <w:tcPr>
            <w:tcW w:w="1658" w:type="dxa"/>
            <w:tcBorders>
              <w:top w:val="single" w:color="000000" w:sz="8" w:space="0"/>
              <w:left w:val="single" w:color="000000" w:sz="8" w:space="0"/>
              <w:bottom w:val="single" w:color="000000" w:sz="8" w:space="0"/>
              <w:right w:val="single" w:color="000000" w:sz="8" w:space="0"/>
            </w:tcBorders>
            <w:vAlign w:val="center"/>
          </w:tcPr>
          <w:p>
            <w:pPr>
              <w:spacing w:line="240" w:lineRule="atLeast"/>
              <w:rPr>
                <w:rFonts w:ascii="宋体" w:hAnsi="宋体"/>
                <w:color w:val="000000"/>
              </w:rPr>
            </w:pPr>
            <w:r>
              <w:rPr>
                <w:rFonts w:ascii="宋体" w:hAnsi="宋体"/>
                <w:color w:val="000000"/>
              </w:rPr>
              <w:t> </w:t>
            </w:r>
          </w:p>
        </w:tc>
        <w:tc>
          <w:tcPr>
            <w:tcW w:w="1036" w:type="dxa"/>
            <w:tcBorders>
              <w:top w:val="single" w:color="000000" w:sz="8" w:space="0"/>
              <w:left w:val="single" w:color="000000" w:sz="8" w:space="0"/>
              <w:bottom w:val="single" w:color="000000" w:sz="8" w:space="0"/>
              <w:right w:val="single" w:color="000000" w:sz="8" w:space="0"/>
            </w:tcBorders>
            <w:vAlign w:val="center"/>
          </w:tcPr>
          <w:p>
            <w:pPr>
              <w:spacing w:line="240" w:lineRule="atLeast"/>
              <w:rPr>
                <w:rFonts w:ascii="宋体" w:hAnsi="宋体"/>
                <w:color w:val="000000"/>
              </w:rPr>
            </w:pPr>
            <w:r>
              <w:rPr>
                <w:rFonts w:ascii="宋体" w:hAnsi="宋体"/>
                <w:color w:val="000000"/>
              </w:rPr>
              <w:t> </w:t>
            </w:r>
          </w:p>
        </w:tc>
        <w:tc>
          <w:tcPr>
            <w:tcW w:w="1346" w:type="dxa"/>
            <w:tcBorders>
              <w:top w:val="single" w:color="000000" w:sz="8" w:space="0"/>
              <w:left w:val="single" w:color="000000" w:sz="8" w:space="0"/>
              <w:bottom w:val="single" w:color="000000" w:sz="8" w:space="0"/>
              <w:right w:val="single" w:color="000000" w:sz="8" w:space="0"/>
            </w:tcBorders>
            <w:vAlign w:val="center"/>
          </w:tcPr>
          <w:p>
            <w:pPr>
              <w:spacing w:line="240" w:lineRule="atLeast"/>
              <w:rPr>
                <w:rFonts w:ascii="宋体" w:hAnsi="宋体"/>
                <w:color w:val="000000"/>
              </w:rPr>
            </w:pPr>
            <w:r>
              <w:rPr>
                <w:rFonts w:ascii="宋体" w:hAnsi="宋体"/>
                <w:color w:val="000000"/>
              </w:rPr>
              <w:t> </w:t>
            </w:r>
          </w:p>
        </w:tc>
        <w:tc>
          <w:tcPr>
            <w:tcW w:w="1553" w:type="dxa"/>
            <w:tcBorders>
              <w:top w:val="single" w:color="000000" w:sz="8" w:space="0"/>
              <w:left w:val="single" w:color="000000" w:sz="8" w:space="0"/>
              <w:bottom w:val="single" w:color="000000" w:sz="8" w:space="0"/>
              <w:right w:val="single" w:color="000000" w:sz="8" w:space="0"/>
            </w:tcBorders>
            <w:vAlign w:val="center"/>
          </w:tcPr>
          <w:p>
            <w:pPr>
              <w:spacing w:line="240" w:lineRule="atLeast"/>
              <w:rPr>
                <w:rFonts w:ascii="宋体" w:hAnsi="宋体"/>
                <w:color w:val="000000"/>
              </w:rPr>
            </w:pPr>
            <w:r>
              <w:rPr>
                <w:rFonts w:ascii="宋体" w:hAnsi="宋体"/>
                <w:color w:val="000000"/>
              </w:rPr>
              <w:t> </w:t>
            </w:r>
          </w:p>
        </w:tc>
        <w:tc>
          <w:tcPr>
            <w:tcW w:w="1864" w:type="dxa"/>
            <w:tcBorders>
              <w:top w:val="single" w:color="000000" w:sz="8" w:space="0"/>
              <w:left w:val="single" w:color="000000" w:sz="8" w:space="0"/>
              <w:bottom w:val="single" w:color="000000" w:sz="8" w:space="0"/>
              <w:right w:val="single" w:color="000000" w:sz="8" w:space="0"/>
            </w:tcBorders>
            <w:vAlign w:val="center"/>
          </w:tcPr>
          <w:p>
            <w:pPr>
              <w:spacing w:line="240" w:lineRule="atLeast"/>
              <w:rPr>
                <w:rFonts w:ascii="宋体" w:hAnsi="宋体"/>
                <w:color w:val="000000"/>
              </w:rPr>
            </w:pPr>
            <w:r>
              <w:rPr>
                <w:rFonts w:ascii="宋体" w:hAnsi="宋体"/>
                <w:color w:val="000000"/>
              </w:rPr>
              <w:t> </w:t>
            </w:r>
          </w:p>
        </w:tc>
        <w:tc>
          <w:tcPr>
            <w:tcW w:w="1553" w:type="dxa"/>
            <w:tcBorders>
              <w:top w:val="single" w:color="000000" w:sz="8" w:space="0"/>
              <w:left w:val="single" w:color="000000" w:sz="8" w:space="0"/>
              <w:bottom w:val="single" w:color="000000" w:sz="8" w:space="0"/>
              <w:right w:val="single" w:color="000000" w:sz="18" w:space="0"/>
            </w:tcBorders>
            <w:vAlign w:val="center"/>
          </w:tcPr>
          <w:p>
            <w:pPr>
              <w:spacing w:line="240" w:lineRule="atLeast"/>
              <w:rPr>
                <w:rFonts w:ascii="宋体" w:hAnsi="宋体"/>
                <w:color w:val="000000"/>
              </w:rPr>
            </w:pPr>
            <w:r>
              <w:rPr>
                <w:rFonts w:ascii="宋体" w:hAnsi="宋体"/>
                <w:color w:val="000000"/>
              </w:rPr>
              <w:t> </w:t>
            </w:r>
          </w:p>
        </w:tc>
      </w:tr>
      <w:tr>
        <w:tblPrEx>
          <w:tblCellMar>
            <w:top w:w="0" w:type="dxa"/>
            <w:left w:w="0" w:type="dxa"/>
            <w:bottom w:w="0" w:type="dxa"/>
            <w:right w:w="0" w:type="dxa"/>
          </w:tblCellMar>
        </w:tblPrEx>
        <w:trPr>
          <w:trHeight w:val="980" w:hRule="atLeast"/>
          <w:jc w:val="center"/>
        </w:trPr>
        <w:tc>
          <w:tcPr>
            <w:tcW w:w="830" w:type="dxa"/>
            <w:tcBorders>
              <w:top w:val="single" w:color="000000" w:sz="8" w:space="0"/>
              <w:left w:val="single" w:color="000000" w:sz="18" w:space="0"/>
              <w:bottom w:val="single" w:color="000000" w:sz="8" w:space="0"/>
              <w:right w:val="single" w:color="000000" w:sz="8" w:space="0"/>
            </w:tcBorders>
          </w:tcPr>
          <w:p>
            <w:pPr>
              <w:spacing w:line="240" w:lineRule="atLeast"/>
              <w:rPr>
                <w:rFonts w:ascii="宋体" w:hAnsi="宋体"/>
                <w:color w:val="000000"/>
              </w:rPr>
            </w:pPr>
            <w:r>
              <w:rPr>
                <w:rFonts w:ascii="宋体" w:hAnsi="宋体"/>
                <w:color w:val="000000"/>
              </w:rPr>
              <w:t> </w:t>
            </w:r>
          </w:p>
        </w:tc>
        <w:tc>
          <w:tcPr>
            <w:tcW w:w="1658" w:type="dxa"/>
            <w:tcBorders>
              <w:top w:val="single" w:color="000000" w:sz="8" w:space="0"/>
              <w:left w:val="single" w:color="000000" w:sz="8" w:space="0"/>
              <w:bottom w:val="single" w:color="000000" w:sz="8" w:space="0"/>
              <w:right w:val="single" w:color="000000" w:sz="8" w:space="0"/>
            </w:tcBorders>
            <w:vAlign w:val="center"/>
          </w:tcPr>
          <w:p>
            <w:pPr>
              <w:spacing w:line="240" w:lineRule="atLeast"/>
              <w:rPr>
                <w:rFonts w:ascii="宋体" w:hAnsi="宋体"/>
                <w:color w:val="000000"/>
              </w:rPr>
            </w:pPr>
            <w:r>
              <w:rPr>
                <w:rFonts w:ascii="宋体" w:hAnsi="宋体"/>
                <w:color w:val="000000"/>
              </w:rPr>
              <w:t> </w:t>
            </w:r>
          </w:p>
        </w:tc>
        <w:tc>
          <w:tcPr>
            <w:tcW w:w="1036" w:type="dxa"/>
            <w:tcBorders>
              <w:top w:val="single" w:color="000000" w:sz="8" w:space="0"/>
              <w:left w:val="single" w:color="000000" w:sz="8" w:space="0"/>
              <w:bottom w:val="single" w:color="000000" w:sz="8" w:space="0"/>
              <w:right w:val="single" w:color="000000" w:sz="8" w:space="0"/>
            </w:tcBorders>
            <w:vAlign w:val="center"/>
          </w:tcPr>
          <w:p>
            <w:pPr>
              <w:spacing w:line="240" w:lineRule="atLeast"/>
              <w:rPr>
                <w:rFonts w:ascii="宋体" w:hAnsi="宋体"/>
                <w:color w:val="000000"/>
              </w:rPr>
            </w:pPr>
            <w:r>
              <w:rPr>
                <w:rFonts w:ascii="宋体" w:hAnsi="宋体"/>
                <w:color w:val="000000"/>
              </w:rPr>
              <w:t> </w:t>
            </w:r>
          </w:p>
        </w:tc>
        <w:tc>
          <w:tcPr>
            <w:tcW w:w="1346" w:type="dxa"/>
            <w:tcBorders>
              <w:top w:val="single" w:color="000000" w:sz="8" w:space="0"/>
              <w:left w:val="single" w:color="000000" w:sz="8" w:space="0"/>
              <w:bottom w:val="single" w:color="000000" w:sz="8" w:space="0"/>
              <w:right w:val="single" w:color="000000" w:sz="8" w:space="0"/>
            </w:tcBorders>
            <w:vAlign w:val="center"/>
          </w:tcPr>
          <w:p>
            <w:pPr>
              <w:spacing w:line="240" w:lineRule="atLeast"/>
              <w:rPr>
                <w:rFonts w:ascii="宋体" w:hAnsi="宋体"/>
                <w:color w:val="000000"/>
              </w:rPr>
            </w:pPr>
            <w:r>
              <w:rPr>
                <w:rFonts w:ascii="宋体" w:hAnsi="宋体"/>
                <w:color w:val="000000"/>
              </w:rPr>
              <w:t> </w:t>
            </w:r>
          </w:p>
        </w:tc>
        <w:tc>
          <w:tcPr>
            <w:tcW w:w="1553" w:type="dxa"/>
            <w:tcBorders>
              <w:top w:val="single" w:color="000000" w:sz="8" w:space="0"/>
              <w:left w:val="single" w:color="000000" w:sz="8" w:space="0"/>
              <w:bottom w:val="single" w:color="000000" w:sz="8" w:space="0"/>
              <w:right w:val="single" w:color="000000" w:sz="8" w:space="0"/>
            </w:tcBorders>
            <w:vAlign w:val="center"/>
          </w:tcPr>
          <w:p>
            <w:pPr>
              <w:spacing w:line="240" w:lineRule="atLeast"/>
              <w:rPr>
                <w:rFonts w:ascii="宋体" w:hAnsi="宋体"/>
                <w:color w:val="000000"/>
              </w:rPr>
            </w:pPr>
            <w:r>
              <w:rPr>
                <w:rFonts w:ascii="宋体" w:hAnsi="宋体"/>
                <w:color w:val="000000"/>
              </w:rPr>
              <w:t> </w:t>
            </w:r>
          </w:p>
        </w:tc>
        <w:tc>
          <w:tcPr>
            <w:tcW w:w="1864" w:type="dxa"/>
            <w:tcBorders>
              <w:top w:val="single" w:color="000000" w:sz="8" w:space="0"/>
              <w:left w:val="single" w:color="000000" w:sz="8" w:space="0"/>
              <w:bottom w:val="single" w:color="000000" w:sz="8" w:space="0"/>
              <w:right w:val="single" w:color="000000" w:sz="8" w:space="0"/>
            </w:tcBorders>
            <w:vAlign w:val="center"/>
          </w:tcPr>
          <w:p>
            <w:pPr>
              <w:spacing w:line="240" w:lineRule="atLeast"/>
              <w:rPr>
                <w:rFonts w:ascii="宋体" w:hAnsi="宋体"/>
                <w:color w:val="000000"/>
              </w:rPr>
            </w:pPr>
            <w:r>
              <w:rPr>
                <w:rFonts w:ascii="宋体" w:hAnsi="宋体"/>
                <w:color w:val="000000"/>
              </w:rPr>
              <w:t> </w:t>
            </w:r>
          </w:p>
        </w:tc>
        <w:tc>
          <w:tcPr>
            <w:tcW w:w="1553" w:type="dxa"/>
            <w:tcBorders>
              <w:top w:val="single" w:color="000000" w:sz="8" w:space="0"/>
              <w:left w:val="single" w:color="000000" w:sz="8" w:space="0"/>
              <w:bottom w:val="single" w:color="000000" w:sz="8" w:space="0"/>
              <w:right w:val="single" w:color="000000" w:sz="18" w:space="0"/>
            </w:tcBorders>
            <w:vAlign w:val="center"/>
          </w:tcPr>
          <w:p>
            <w:pPr>
              <w:spacing w:line="240" w:lineRule="atLeast"/>
              <w:rPr>
                <w:rFonts w:ascii="宋体" w:hAnsi="宋体"/>
                <w:color w:val="000000"/>
              </w:rPr>
            </w:pPr>
            <w:r>
              <w:rPr>
                <w:rFonts w:ascii="宋体" w:hAnsi="宋体"/>
                <w:color w:val="000000"/>
              </w:rPr>
              <w:t> </w:t>
            </w:r>
          </w:p>
        </w:tc>
      </w:tr>
      <w:tr>
        <w:tblPrEx>
          <w:tblCellMar>
            <w:top w:w="0" w:type="dxa"/>
            <w:left w:w="0" w:type="dxa"/>
            <w:bottom w:w="0" w:type="dxa"/>
            <w:right w:w="0" w:type="dxa"/>
          </w:tblCellMar>
        </w:tblPrEx>
        <w:trPr>
          <w:trHeight w:val="980" w:hRule="atLeast"/>
          <w:jc w:val="center"/>
        </w:trPr>
        <w:tc>
          <w:tcPr>
            <w:tcW w:w="830" w:type="dxa"/>
            <w:tcBorders>
              <w:top w:val="single" w:color="000000" w:sz="8" w:space="0"/>
              <w:left w:val="single" w:color="000000" w:sz="18" w:space="0"/>
              <w:bottom w:val="single" w:color="000000" w:sz="8" w:space="0"/>
              <w:right w:val="single" w:color="000000" w:sz="8" w:space="0"/>
            </w:tcBorders>
          </w:tcPr>
          <w:p>
            <w:pPr>
              <w:spacing w:line="240" w:lineRule="atLeast"/>
              <w:rPr>
                <w:rFonts w:ascii="宋体" w:hAnsi="宋体"/>
                <w:color w:val="000000"/>
              </w:rPr>
            </w:pPr>
            <w:r>
              <w:rPr>
                <w:rFonts w:ascii="宋体" w:hAnsi="宋体"/>
                <w:color w:val="000000"/>
              </w:rPr>
              <w:t> </w:t>
            </w:r>
          </w:p>
        </w:tc>
        <w:tc>
          <w:tcPr>
            <w:tcW w:w="1658" w:type="dxa"/>
            <w:tcBorders>
              <w:top w:val="single" w:color="000000" w:sz="8" w:space="0"/>
              <w:left w:val="single" w:color="000000" w:sz="8" w:space="0"/>
              <w:bottom w:val="single" w:color="000000" w:sz="8" w:space="0"/>
              <w:right w:val="single" w:color="000000" w:sz="8" w:space="0"/>
            </w:tcBorders>
            <w:vAlign w:val="center"/>
          </w:tcPr>
          <w:p>
            <w:pPr>
              <w:spacing w:line="240" w:lineRule="atLeast"/>
              <w:rPr>
                <w:rFonts w:ascii="宋体" w:hAnsi="宋体"/>
                <w:color w:val="000000"/>
              </w:rPr>
            </w:pPr>
            <w:r>
              <w:rPr>
                <w:rFonts w:ascii="宋体" w:hAnsi="宋体"/>
                <w:color w:val="000000"/>
              </w:rPr>
              <w:t> </w:t>
            </w:r>
          </w:p>
        </w:tc>
        <w:tc>
          <w:tcPr>
            <w:tcW w:w="1036" w:type="dxa"/>
            <w:tcBorders>
              <w:top w:val="single" w:color="000000" w:sz="8" w:space="0"/>
              <w:left w:val="single" w:color="000000" w:sz="8" w:space="0"/>
              <w:bottom w:val="single" w:color="000000" w:sz="8" w:space="0"/>
              <w:right w:val="single" w:color="000000" w:sz="8" w:space="0"/>
            </w:tcBorders>
            <w:vAlign w:val="center"/>
          </w:tcPr>
          <w:p>
            <w:pPr>
              <w:spacing w:line="240" w:lineRule="atLeast"/>
              <w:rPr>
                <w:rFonts w:ascii="宋体" w:hAnsi="宋体"/>
                <w:color w:val="000000"/>
              </w:rPr>
            </w:pPr>
            <w:r>
              <w:rPr>
                <w:rFonts w:ascii="宋体" w:hAnsi="宋体"/>
                <w:color w:val="000000"/>
              </w:rPr>
              <w:t> </w:t>
            </w:r>
          </w:p>
        </w:tc>
        <w:tc>
          <w:tcPr>
            <w:tcW w:w="1346" w:type="dxa"/>
            <w:tcBorders>
              <w:top w:val="single" w:color="000000" w:sz="8" w:space="0"/>
              <w:left w:val="single" w:color="000000" w:sz="8" w:space="0"/>
              <w:bottom w:val="single" w:color="000000" w:sz="8" w:space="0"/>
              <w:right w:val="single" w:color="000000" w:sz="8" w:space="0"/>
            </w:tcBorders>
            <w:vAlign w:val="center"/>
          </w:tcPr>
          <w:p>
            <w:pPr>
              <w:spacing w:line="240" w:lineRule="atLeast"/>
              <w:rPr>
                <w:rFonts w:ascii="宋体" w:hAnsi="宋体"/>
                <w:color w:val="000000"/>
              </w:rPr>
            </w:pPr>
            <w:r>
              <w:rPr>
                <w:rFonts w:ascii="宋体" w:hAnsi="宋体"/>
                <w:color w:val="000000"/>
              </w:rPr>
              <w:t> </w:t>
            </w:r>
          </w:p>
        </w:tc>
        <w:tc>
          <w:tcPr>
            <w:tcW w:w="1553" w:type="dxa"/>
            <w:tcBorders>
              <w:top w:val="single" w:color="000000" w:sz="8" w:space="0"/>
              <w:left w:val="single" w:color="000000" w:sz="8" w:space="0"/>
              <w:bottom w:val="single" w:color="000000" w:sz="8" w:space="0"/>
              <w:right w:val="single" w:color="000000" w:sz="8" w:space="0"/>
            </w:tcBorders>
            <w:vAlign w:val="center"/>
          </w:tcPr>
          <w:p>
            <w:pPr>
              <w:spacing w:line="240" w:lineRule="atLeast"/>
              <w:rPr>
                <w:rFonts w:ascii="宋体" w:hAnsi="宋体"/>
                <w:color w:val="000000"/>
              </w:rPr>
            </w:pPr>
            <w:r>
              <w:rPr>
                <w:rFonts w:ascii="宋体" w:hAnsi="宋体"/>
                <w:color w:val="000000"/>
              </w:rPr>
              <w:t> </w:t>
            </w:r>
          </w:p>
        </w:tc>
        <w:tc>
          <w:tcPr>
            <w:tcW w:w="1864" w:type="dxa"/>
            <w:tcBorders>
              <w:top w:val="single" w:color="000000" w:sz="8" w:space="0"/>
              <w:left w:val="single" w:color="000000" w:sz="8" w:space="0"/>
              <w:bottom w:val="single" w:color="000000" w:sz="8" w:space="0"/>
              <w:right w:val="single" w:color="000000" w:sz="8" w:space="0"/>
            </w:tcBorders>
            <w:vAlign w:val="center"/>
          </w:tcPr>
          <w:p>
            <w:pPr>
              <w:spacing w:line="240" w:lineRule="atLeast"/>
              <w:rPr>
                <w:rFonts w:ascii="宋体" w:hAnsi="宋体"/>
                <w:color w:val="000000"/>
              </w:rPr>
            </w:pPr>
            <w:r>
              <w:rPr>
                <w:rFonts w:ascii="宋体" w:hAnsi="宋体"/>
                <w:color w:val="000000"/>
              </w:rPr>
              <w:t> </w:t>
            </w:r>
          </w:p>
        </w:tc>
        <w:tc>
          <w:tcPr>
            <w:tcW w:w="1553" w:type="dxa"/>
            <w:tcBorders>
              <w:top w:val="single" w:color="000000" w:sz="8" w:space="0"/>
              <w:left w:val="single" w:color="000000" w:sz="8" w:space="0"/>
              <w:bottom w:val="single" w:color="000000" w:sz="8" w:space="0"/>
              <w:right w:val="single" w:color="000000" w:sz="18" w:space="0"/>
            </w:tcBorders>
            <w:vAlign w:val="center"/>
          </w:tcPr>
          <w:p>
            <w:pPr>
              <w:spacing w:line="240" w:lineRule="atLeast"/>
              <w:rPr>
                <w:rFonts w:ascii="宋体" w:hAnsi="宋体"/>
                <w:color w:val="000000"/>
              </w:rPr>
            </w:pPr>
            <w:r>
              <w:rPr>
                <w:rFonts w:ascii="宋体" w:hAnsi="宋体"/>
                <w:color w:val="000000"/>
              </w:rPr>
              <w:t> </w:t>
            </w:r>
          </w:p>
        </w:tc>
      </w:tr>
      <w:tr>
        <w:tblPrEx>
          <w:tblCellMar>
            <w:top w:w="0" w:type="dxa"/>
            <w:left w:w="0" w:type="dxa"/>
            <w:bottom w:w="0" w:type="dxa"/>
            <w:right w:w="0" w:type="dxa"/>
          </w:tblCellMar>
        </w:tblPrEx>
        <w:trPr>
          <w:trHeight w:val="980" w:hRule="atLeast"/>
          <w:jc w:val="center"/>
        </w:trPr>
        <w:tc>
          <w:tcPr>
            <w:tcW w:w="830" w:type="dxa"/>
            <w:tcBorders>
              <w:top w:val="single" w:color="000000" w:sz="8" w:space="0"/>
              <w:left w:val="single" w:color="000000" w:sz="18" w:space="0"/>
              <w:bottom w:val="single" w:color="000000" w:sz="8" w:space="0"/>
              <w:right w:val="single" w:color="000000" w:sz="8" w:space="0"/>
            </w:tcBorders>
          </w:tcPr>
          <w:p>
            <w:pPr>
              <w:spacing w:line="240" w:lineRule="atLeast"/>
              <w:rPr>
                <w:rFonts w:ascii="宋体" w:hAnsi="宋体"/>
                <w:color w:val="000000"/>
              </w:rPr>
            </w:pPr>
            <w:r>
              <w:rPr>
                <w:rFonts w:ascii="宋体" w:hAnsi="宋体"/>
                <w:color w:val="000000"/>
              </w:rPr>
              <w:t> </w:t>
            </w:r>
          </w:p>
        </w:tc>
        <w:tc>
          <w:tcPr>
            <w:tcW w:w="1658" w:type="dxa"/>
            <w:tcBorders>
              <w:top w:val="single" w:color="000000" w:sz="8" w:space="0"/>
              <w:left w:val="single" w:color="000000" w:sz="8" w:space="0"/>
              <w:bottom w:val="single" w:color="000000" w:sz="8" w:space="0"/>
              <w:right w:val="single" w:color="000000" w:sz="8" w:space="0"/>
            </w:tcBorders>
            <w:vAlign w:val="center"/>
          </w:tcPr>
          <w:p>
            <w:pPr>
              <w:spacing w:line="240" w:lineRule="atLeast"/>
              <w:rPr>
                <w:rFonts w:ascii="宋体" w:hAnsi="宋体"/>
                <w:color w:val="000000"/>
              </w:rPr>
            </w:pPr>
            <w:r>
              <w:rPr>
                <w:rFonts w:ascii="宋体" w:hAnsi="宋体"/>
                <w:color w:val="000000"/>
              </w:rPr>
              <w:t> </w:t>
            </w:r>
          </w:p>
        </w:tc>
        <w:tc>
          <w:tcPr>
            <w:tcW w:w="1036" w:type="dxa"/>
            <w:tcBorders>
              <w:top w:val="single" w:color="000000" w:sz="8" w:space="0"/>
              <w:left w:val="single" w:color="000000" w:sz="8" w:space="0"/>
              <w:bottom w:val="single" w:color="000000" w:sz="8" w:space="0"/>
              <w:right w:val="single" w:color="000000" w:sz="8" w:space="0"/>
            </w:tcBorders>
            <w:vAlign w:val="center"/>
          </w:tcPr>
          <w:p>
            <w:pPr>
              <w:spacing w:line="240" w:lineRule="atLeast"/>
              <w:rPr>
                <w:rFonts w:ascii="宋体" w:hAnsi="宋体"/>
                <w:color w:val="000000"/>
              </w:rPr>
            </w:pPr>
            <w:r>
              <w:rPr>
                <w:rFonts w:ascii="宋体" w:hAnsi="宋体"/>
                <w:color w:val="000000"/>
              </w:rPr>
              <w:t> </w:t>
            </w:r>
          </w:p>
        </w:tc>
        <w:tc>
          <w:tcPr>
            <w:tcW w:w="1346" w:type="dxa"/>
            <w:tcBorders>
              <w:top w:val="single" w:color="000000" w:sz="8" w:space="0"/>
              <w:left w:val="single" w:color="000000" w:sz="8" w:space="0"/>
              <w:bottom w:val="single" w:color="000000" w:sz="8" w:space="0"/>
              <w:right w:val="single" w:color="000000" w:sz="8" w:space="0"/>
            </w:tcBorders>
            <w:vAlign w:val="center"/>
          </w:tcPr>
          <w:p>
            <w:pPr>
              <w:spacing w:line="240" w:lineRule="atLeast"/>
              <w:rPr>
                <w:rFonts w:ascii="宋体" w:hAnsi="宋体"/>
                <w:color w:val="000000"/>
              </w:rPr>
            </w:pPr>
            <w:r>
              <w:rPr>
                <w:rFonts w:ascii="宋体" w:hAnsi="宋体"/>
                <w:color w:val="000000"/>
              </w:rPr>
              <w:t> </w:t>
            </w:r>
          </w:p>
        </w:tc>
        <w:tc>
          <w:tcPr>
            <w:tcW w:w="1553" w:type="dxa"/>
            <w:tcBorders>
              <w:top w:val="single" w:color="000000" w:sz="8" w:space="0"/>
              <w:left w:val="single" w:color="000000" w:sz="8" w:space="0"/>
              <w:bottom w:val="single" w:color="000000" w:sz="8" w:space="0"/>
              <w:right w:val="single" w:color="000000" w:sz="8" w:space="0"/>
            </w:tcBorders>
            <w:vAlign w:val="center"/>
          </w:tcPr>
          <w:p>
            <w:pPr>
              <w:spacing w:line="240" w:lineRule="atLeast"/>
              <w:rPr>
                <w:rFonts w:ascii="宋体" w:hAnsi="宋体"/>
                <w:color w:val="000000"/>
              </w:rPr>
            </w:pPr>
            <w:r>
              <w:rPr>
                <w:rFonts w:ascii="宋体" w:hAnsi="宋体"/>
                <w:color w:val="000000"/>
              </w:rPr>
              <w:t> </w:t>
            </w:r>
          </w:p>
        </w:tc>
        <w:tc>
          <w:tcPr>
            <w:tcW w:w="1864" w:type="dxa"/>
            <w:tcBorders>
              <w:top w:val="single" w:color="000000" w:sz="8" w:space="0"/>
              <w:left w:val="single" w:color="000000" w:sz="8" w:space="0"/>
              <w:bottom w:val="single" w:color="000000" w:sz="8" w:space="0"/>
              <w:right w:val="single" w:color="000000" w:sz="8" w:space="0"/>
            </w:tcBorders>
            <w:vAlign w:val="center"/>
          </w:tcPr>
          <w:p>
            <w:pPr>
              <w:spacing w:line="240" w:lineRule="atLeast"/>
              <w:rPr>
                <w:rFonts w:ascii="宋体" w:hAnsi="宋体"/>
                <w:color w:val="000000"/>
              </w:rPr>
            </w:pPr>
            <w:r>
              <w:rPr>
                <w:rFonts w:ascii="宋体" w:hAnsi="宋体"/>
                <w:color w:val="000000"/>
              </w:rPr>
              <w:t> </w:t>
            </w:r>
          </w:p>
        </w:tc>
        <w:tc>
          <w:tcPr>
            <w:tcW w:w="1553" w:type="dxa"/>
            <w:tcBorders>
              <w:top w:val="single" w:color="000000" w:sz="8" w:space="0"/>
              <w:left w:val="single" w:color="000000" w:sz="8" w:space="0"/>
              <w:bottom w:val="single" w:color="000000" w:sz="8" w:space="0"/>
              <w:right w:val="single" w:color="000000" w:sz="18" w:space="0"/>
            </w:tcBorders>
            <w:vAlign w:val="center"/>
          </w:tcPr>
          <w:p>
            <w:pPr>
              <w:spacing w:line="240" w:lineRule="atLeast"/>
              <w:rPr>
                <w:rFonts w:ascii="宋体" w:hAnsi="宋体"/>
                <w:color w:val="000000"/>
              </w:rPr>
            </w:pPr>
            <w:r>
              <w:rPr>
                <w:rFonts w:ascii="宋体" w:hAnsi="宋体"/>
                <w:color w:val="000000"/>
              </w:rPr>
              <w:t> </w:t>
            </w:r>
          </w:p>
        </w:tc>
      </w:tr>
      <w:tr>
        <w:tblPrEx>
          <w:tblCellMar>
            <w:top w:w="0" w:type="dxa"/>
            <w:left w:w="0" w:type="dxa"/>
            <w:bottom w:w="0" w:type="dxa"/>
            <w:right w:w="0" w:type="dxa"/>
          </w:tblCellMar>
        </w:tblPrEx>
        <w:trPr>
          <w:trHeight w:val="980" w:hRule="atLeast"/>
          <w:jc w:val="center"/>
        </w:trPr>
        <w:tc>
          <w:tcPr>
            <w:tcW w:w="830" w:type="dxa"/>
            <w:tcBorders>
              <w:top w:val="single" w:color="000000" w:sz="8" w:space="0"/>
              <w:left w:val="single" w:color="000000" w:sz="18" w:space="0"/>
              <w:bottom w:val="single" w:color="000000" w:sz="8" w:space="0"/>
              <w:right w:val="single" w:color="000000" w:sz="8" w:space="0"/>
            </w:tcBorders>
          </w:tcPr>
          <w:p>
            <w:pPr>
              <w:spacing w:line="240" w:lineRule="atLeast"/>
              <w:rPr>
                <w:rFonts w:ascii="宋体" w:hAnsi="宋体"/>
                <w:color w:val="000000"/>
              </w:rPr>
            </w:pPr>
            <w:r>
              <w:rPr>
                <w:rFonts w:ascii="宋体" w:hAnsi="宋体"/>
                <w:color w:val="000000"/>
              </w:rPr>
              <w:t> </w:t>
            </w:r>
          </w:p>
        </w:tc>
        <w:tc>
          <w:tcPr>
            <w:tcW w:w="1658" w:type="dxa"/>
            <w:tcBorders>
              <w:top w:val="single" w:color="000000" w:sz="8" w:space="0"/>
              <w:left w:val="single" w:color="000000" w:sz="8" w:space="0"/>
              <w:bottom w:val="single" w:color="000000" w:sz="8" w:space="0"/>
              <w:right w:val="single" w:color="000000" w:sz="8" w:space="0"/>
            </w:tcBorders>
            <w:vAlign w:val="center"/>
          </w:tcPr>
          <w:p>
            <w:pPr>
              <w:spacing w:line="240" w:lineRule="atLeast"/>
              <w:rPr>
                <w:rFonts w:ascii="宋体" w:hAnsi="宋体"/>
                <w:color w:val="000000"/>
              </w:rPr>
            </w:pPr>
            <w:r>
              <w:rPr>
                <w:rFonts w:ascii="宋体" w:hAnsi="宋体"/>
                <w:color w:val="000000"/>
              </w:rPr>
              <w:t> </w:t>
            </w:r>
          </w:p>
        </w:tc>
        <w:tc>
          <w:tcPr>
            <w:tcW w:w="1036" w:type="dxa"/>
            <w:tcBorders>
              <w:top w:val="single" w:color="000000" w:sz="8" w:space="0"/>
              <w:left w:val="single" w:color="000000" w:sz="8" w:space="0"/>
              <w:bottom w:val="single" w:color="000000" w:sz="8" w:space="0"/>
              <w:right w:val="single" w:color="000000" w:sz="8" w:space="0"/>
            </w:tcBorders>
            <w:vAlign w:val="center"/>
          </w:tcPr>
          <w:p>
            <w:pPr>
              <w:spacing w:line="240" w:lineRule="atLeast"/>
              <w:rPr>
                <w:rFonts w:ascii="宋体" w:hAnsi="宋体"/>
                <w:color w:val="000000"/>
              </w:rPr>
            </w:pPr>
            <w:r>
              <w:rPr>
                <w:rFonts w:ascii="宋体" w:hAnsi="宋体"/>
                <w:color w:val="000000"/>
              </w:rPr>
              <w:t> </w:t>
            </w:r>
          </w:p>
        </w:tc>
        <w:tc>
          <w:tcPr>
            <w:tcW w:w="1346" w:type="dxa"/>
            <w:tcBorders>
              <w:top w:val="single" w:color="000000" w:sz="8" w:space="0"/>
              <w:left w:val="single" w:color="000000" w:sz="8" w:space="0"/>
              <w:bottom w:val="single" w:color="000000" w:sz="8" w:space="0"/>
              <w:right w:val="single" w:color="000000" w:sz="8" w:space="0"/>
            </w:tcBorders>
            <w:vAlign w:val="center"/>
          </w:tcPr>
          <w:p>
            <w:pPr>
              <w:spacing w:line="240" w:lineRule="atLeast"/>
              <w:rPr>
                <w:rFonts w:ascii="宋体" w:hAnsi="宋体"/>
                <w:color w:val="000000"/>
              </w:rPr>
            </w:pPr>
            <w:r>
              <w:rPr>
                <w:rFonts w:ascii="宋体" w:hAnsi="宋体"/>
                <w:color w:val="000000"/>
              </w:rPr>
              <w:t> </w:t>
            </w:r>
          </w:p>
        </w:tc>
        <w:tc>
          <w:tcPr>
            <w:tcW w:w="1553" w:type="dxa"/>
            <w:tcBorders>
              <w:top w:val="single" w:color="000000" w:sz="8" w:space="0"/>
              <w:left w:val="single" w:color="000000" w:sz="8" w:space="0"/>
              <w:bottom w:val="single" w:color="000000" w:sz="8" w:space="0"/>
              <w:right w:val="single" w:color="000000" w:sz="8" w:space="0"/>
            </w:tcBorders>
            <w:vAlign w:val="center"/>
          </w:tcPr>
          <w:p>
            <w:pPr>
              <w:spacing w:line="240" w:lineRule="atLeast"/>
              <w:rPr>
                <w:rFonts w:ascii="宋体" w:hAnsi="宋体"/>
                <w:color w:val="000000"/>
              </w:rPr>
            </w:pPr>
            <w:r>
              <w:rPr>
                <w:rFonts w:ascii="宋体" w:hAnsi="宋体"/>
                <w:color w:val="000000"/>
              </w:rPr>
              <w:t> </w:t>
            </w:r>
          </w:p>
        </w:tc>
        <w:tc>
          <w:tcPr>
            <w:tcW w:w="1864" w:type="dxa"/>
            <w:tcBorders>
              <w:top w:val="single" w:color="000000" w:sz="8" w:space="0"/>
              <w:left w:val="single" w:color="000000" w:sz="8" w:space="0"/>
              <w:bottom w:val="single" w:color="000000" w:sz="8" w:space="0"/>
              <w:right w:val="single" w:color="000000" w:sz="8" w:space="0"/>
            </w:tcBorders>
            <w:vAlign w:val="center"/>
          </w:tcPr>
          <w:p>
            <w:pPr>
              <w:spacing w:line="240" w:lineRule="atLeast"/>
              <w:rPr>
                <w:rFonts w:ascii="宋体" w:hAnsi="宋体"/>
                <w:color w:val="000000"/>
              </w:rPr>
            </w:pPr>
            <w:r>
              <w:rPr>
                <w:rFonts w:ascii="宋体" w:hAnsi="宋体"/>
                <w:color w:val="000000"/>
              </w:rPr>
              <w:t> </w:t>
            </w:r>
          </w:p>
        </w:tc>
        <w:tc>
          <w:tcPr>
            <w:tcW w:w="1553" w:type="dxa"/>
            <w:tcBorders>
              <w:top w:val="single" w:color="000000" w:sz="8" w:space="0"/>
              <w:left w:val="single" w:color="000000" w:sz="8" w:space="0"/>
              <w:bottom w:val="single" w:color="000000" w:sz="8" w:space="0"/>
              <w:right w:val="single" w:color="000000" w:sz="18" w:space="0"/>
            </w:tcBorders>
            <w:vAlign w:val="center"/>
          </w:tcPr>
          <w:p>
            <w:pPr>
              <w:spacing w:line="240" w:lineRule="atLeast"/>
              <w:rPr>
                <w:rFonts w:ascii="宋体" w:hAnsi="宋体"/>
                <w:color w:val="000000"/>
              </w:rPr>
            </w:pPr>
            <w:r>
              <w:rPr>
                <w:rFonts w:ascii="宋体" w:hAnsi="宋体"/>
                <w:color w:val="000000"/>
              </w:rPr>
              <w:t> </w:t>
            </w:r>
          </w:p>
        </w:tc>
      </w:tr>
      <w:tr>
        <w:tblPrEx>
          <w:tblCellMar>
            <w:top w:w="0" w:type="dxa"/>
            <w:left w:w="0" w:type="dxa"/>
            <w:bottom w:w="0" w:type="dxa"/>
            <w:right w:w="0" w:type="dxa"/>
          </w:tblCellMar>
        </w:tblPrEx>
        <w:trPr>
          <w:trHeight w:val="980" w:hRule="atLeast"/>
          <w:jc w:val="center"/>
        </w:trPr>
        <w:tc>
          <w:tcPr>
            <w:tcW w:w="830" w:type="dxa"/>
            <w:tcBorders>
              <w:top w:val="single" w:color="000000" w:sz="8" w:space="0"/>
              <w:left w:val="single" w:color="000000" w:sz="18" w:space="0"/>
              <w:bottom w:val="single" w:color="000000" w:sz="18" w:space="0"/>
              <w:right w:val="single" w:color="000000" w:sz="8" w:space="0"/>
            </w:tcBorders>
          </w:tcPr>
          <w:p>
            <w:pPr>
              <w:spacing w:line="240" w:lineRule="atLeast"/>
              <w:rPr>
                <w:rFonts w:ascii="宋体" w:hAnsi="宋体"/>
                <w:color w:val="000000"/>
              </w:rPr>
            </w:pPr>
            <w:r>
              <w:rPr>
                <w:rFonts w:ascii="宋体" w:hAnsi="宋体"/>
                <w:color w:val="000000"/>
              </w:rPr>
              <w:t> </w:t>
            </w:r>
          </w:p>
        </w:tc>
        <w:tc>
          <w:tcPr>
            <w:tcW w:w="1658" w:type="dxa"/>
            <w:tcBorders>
              <w:top w:val="single" w:color="000000" w:sz="8" w:space="0"/>
              <w:left w:val="single" w:color="000000" w:sz="8" w:space="0"/>
              <w:bottom w:val="single" w:color="000000" w:sz="18" w:space="0"/>
              <w:right w:val="single" w:color="000000" w:sz="8" w:space="0"/>
            </w:tcBorders>
            <w:vAlign w:val="center"/>
          </w:tcPr>
          <w:p>
            <w:pPr>
              <w:spacing w:line="240" w:lineRule="atLeast"/>
              <w:rPr>
                <w:rFonts w:ascii="宋体" w:hAnsi="宋体"/>
                <w:color w:val="000000"/>
              </w:rPr>
            </w:pPr>
            <w:r>
              <w:rPr>
                <w:rFonts w:ascii="宋体" w:hAnsi="宋体"/>
                <w:color w:val="000000"/>
              </w:rPr>
              <w:t> </w:t>
            </w:r>
          </w:p>
        </w:tc>
        <w:tc>
          <w:tcPr>
            <w:tcW w:w="1036" w:type="dxa"/>
            <w:tcBorders>
              <w:top w:val="single" w:color="000000" w:sz="8" w:space="0"/>
              <w:left w:val="single" w:color="000000" w:sz="8" w:space="0"/>
              <w:bottom w:val="single" w:color="000000" w:sz="18" w:space="0"/>
              <w:right w:val="single" w:color="000000" w:sz="8" w:space="0"/>
            </w:tcBorders>
            <w:vAlign w:val="center"/>
          </w:tcPr>
          <w:p>
            <w:pPr>
              <w:spacing w:line="240" w:lineRule="atLeast"/>
              <w:rPr>
                <w:rFonts w:ascii="宋体" w:hAnsi="宋体"/>
                <w:color w:val="000000"/>
              </w:rPr>
            </w:pPr>
            <w:r>
              <w:rPr>
                <w:rFonts w:ascii="宋体" w:hAnsi="宋体"/>
                <w:color w:val="000000"/>
              </w:rPr>
              <w:t> </w:t>
            </w:r>
          </w:p>
        </w:tc>
        <w:tc>
          <w:tcPr>
            <w:tcW w:w="1346" w:type="dxa"/>
            <w:tcBorders>
              <w:top w:val="single" w:color="000000" w:sz="8" w:space="0"/>
              <w:left w:val="single" w:color="000000" w:sz="8" w:space="0"/>
              <w:bottom w:val="single" w:color="000000" w:sz="18" w:space="0"/>
              <w:right w:val="single" w:color="000000" w:sz="8" w:space="0"/>
            </w:tcBorders>
            <w:vAlign w:val="center"/>
          </w:tcPr>
          <w:p>
            <w:pPr>
              <w:spacing w:line="240" w:lineRule="atLeast"/>
              <w:rPr>
                <w:rFonts w:ascii="宋体" w:hAnsi="宋体"/>
                <w:color w:val="000000"/>
              </w:rPr>
            </w:pPr>
            <w:r>
              <w:rPr>
                <w:rFonts w:ascii="宋体" w:hAnsi="宋体"/>
                <w:color w:val="000000"/>
              </w:rPr>
              <w:t> </w:t>
            </w:r>
          </w:p>
        </w:tc>
        <w:tc>
          <w:tcPr>
            <w:tcW w:w="1553" w:type="dxa"/>
            <w:tcBorders>
              <w:top w:val="single" w:color="000000" w:sz="8" w:space="0"/>
              <w:left w:val="single" w:color="000000" w:sz="8" w:space="0"/>
              <w:bottom w:val="single" w:color="000000" w:sz="18" w:space="0"/>
              <w:right w:val="single" w:color="000000" w:sz="8" w:space="0"/>
            </w:tcBorders>
            <w:vAlign w:val="center"/>
          </w:tcPr>
          <w:p>
            <w:pPr>
              <w:spacing w:line="240" w:lineRule="atLeast"/>
              <w:rPr>
                <w:rFonts w:ascii="宋体" w:hAnsi="宋体"/>
                <w:color w:val="000000"/>
              </w:rPr>
            </w:pPr>
            <w:r>
              <w:rPr>
                <w:rFonts w:ascii="宋体" w:hAnsi="宋体"/>
                <w:color w:val="000000"/>
              </w:rPr>
              <w:t> </w:t>
            </w:r>
          </w:p>
        </w:tc>
        <w:tc>
          <w:tcPr>
            <w:tcW w:w="1864" w:type="dxa"/>
            <w:tcBorders>
              <w:top w:val="single" w:color="000000" w:sz="8" w:space="0"/>
              <w:left w:val="single" w:color="000000" w:sz="8" w:space="0"/>
              <w:bottom w:val="single" w:color="000000" w:sz="18" w:space="0"/>
              <w:right w:val="single" w:color="000000" w:sz="8" w:space="0"/>
            </w:tcBorders>
            <w:vAlign w:val="center"/>
          </w:tcPr>
          <w:p>
            <w:pPr>
              <w:spacing w:line="240" w:lineRule="atLeast"/>
              <w:rPr>
                <w:rFonts w:ascii="宋体" w:hAnsi="宋体"/>
                <w:color w:val="000000"/>
              </w:rPr>
            </w:pPr>
            <w:r>
              <w:rPr>
                <w:rFonts w:ascii="宋体" w:hAnsi="宋体"/>
                <w:color w:val="000000"/>
              </w:rPr>
              <w:t> </w:t>
            </w:r>
          </w:p>
        </w:tc>
        <w:tc>
          <w:tcPr>
            <w:tcW w:w="1553" w:type="dxa"/>
            <w:tcBorders>
              <w:top w:val="single" w:color="000000" w:sz="8" w:space="0"/>
              <w:left w:val="single" w:color="000000" w:sz="8" w:space="0"/>
              <w:bottom w:val="single" w:color="000000" w:sz="18" w:space="0"/>
              <w:right w:val="single" w:color="000000" w:sz="18" w:space="0"/>
            </w:tcBorders>
            <w:vAlign w:val="center"/>
          </w:tcPr>
          <w:p>
            <w:pPr>
              <w:spacing w:line="240" w:lineRule="atLeast"/>
              <w:rPr>
                <w:rFonts w:ascii="宋体" w:hAnsi="宋体"/>
                <w:color w:val="000000"/>
              </w:rPr>
            </w:pPr>
            <w:r>
              <w:rPr>
                <w:rFonts w:ascii="宋体" w:hAnsi="宋体"/>
                <w:color w:val="000000"/>
              </w:rPr>
              <w:t> </w:t>
            </w:r>
          </w:p>
        </w:tc>
      </w:tr>
    </w:tbl>
    <w:p>
      <w:pPr>
        <w:spacing w:line="280" w:lineRule="atLeast"/>
        <w:rPr>
          <w:rFonts w:ascii="宋体" w:hAnsi="宋体"/>
          <w:color w:val="000000"/>
        </w:rPr>
      </w:pPr>
    </w:p>
    <w:p>
      <w:pPr>
        <w:spacing w:line="280" w:lineRule="atLeast"/>
        <w:rPr>
          <w:rFonts w:ascii="宋体" w:hAnsi="宋体"/>
          <w:color w:val="000000"/>
        </w:rPr>
      </w:pPr>
      <w:r>
        <w:rPr>
          <w:rFonts w:ascii="宋体" w:hAnsi="宋体"/>
          <w:b/>
          <w:color w:val="000000"/>
        </w:rPr>
        <w:t> </w:t>
      </w:r>
    </w:p>
    <w:p>
      <w:pPr>
        <w:spacing w:line="400" w:lineRule="atLeast"/>
        <w:jc w:val="center"/>
        <w:rPr>
          <w:rFonts w:ascii="宋体" w:hAnsi="宋体"/>
          <w:color w:val="000000"/>
        </w:rPr>
      </w:pPr>
      <w:r>
        <w:rPr>
          <w:rFonts w:ascii="宋体" w:hAnsi="宋体"/>
          <w:b/>
          <w:color w:val="000000"/>
        </w:rPr>
        <w:br w:type="page"/>
      </w:r>
      <w:r>
        <w:rPr>
          <w:rFonts w:hint="eastAsia" w:ascii="宋体" w:hAnsi="宋体"/>
          <w:b/>
          <w:color w:val="000000"/>
        </w:rPr>
        <w:t>五、</w:t>
      </w:r>
      <w:r>
        <w:rPr>
          <w:rFonts w:ascii="宋体" w:hAnsi="宋体"/>
          <w:b/>
          <w:color w:val="000000"/>
          <w:sz w:val="28"/>
        </w:rPr>
        <w:t>拟派往本项目主要人员简历表</w:t>
      </w:r>
    </w:p>
    <w:tbl>
      <w:tblPr>
        <w:tblStyle w:val="46"/>
        <w:tblpPr w:leftFromText="180" w:rightFromText="180" w:vertAnchor="text" w:horzAnchor="page" w:tblpX="944" w:tblpY="303"/>
        <w:tblOverlap w:val="never"/>
        <w:tblW w:w="9960" w:type="dxa"/>
        <w:tblInd w:w="0" w:type="dxa"/>
        <w:tblLayout w:type="fixed"/>
        <w:tblCellMar>
          <w:top w:w="0" w:type="dxa"/>
          <w:left w:w="0" w:type="dxa"/>
          <w:bottom w:w="0" w:type="dxa"/>
          <w:right w:w="0" w:type="dxa"/>
        </w:tblCellMar>
      </w:tblPr>
      <w:tblGrid>
        <w:gridCol w:w="1910"/>
        <w:gridCol w:w="1406"/>
        <w:gridCol w:w="1510"/>
        <w:gridCol w:w="1711"/>
        <w:gridCol w:w="1811"/>
        <w:gridCol w:w="1612"/>
      </w:tblGrid>
      <w:tr>
        <w:tblPrEx>
          <w:tblCellMar>
            <w:top w:w="0" w:type="dxa"/>
            <w:left w:w="0" w:type="dxa"/>
            <w:bottom w:w="0" w:type="dxa"/>
            <w:right w:w="0" w:type="dxa"/>
          </w:tblCellMar>
        </w:tblPrEx>
        <w:trPr>
          <w:trHeight w:val="700" w:hRule="atLeast"/>
        </w:trPr>
        <w:tc>
          <w:tcPr>
            <w:tcW w:w="1910" w:type="dxa"/>
            <w:tcBorders>
              <w:top w:val="single" w:color="000000" w:sz="18" w:space="0"/>
              <w:left w:val="single" w:color="000000" w:sz="18" w:space="0"/>
              <w:bottom w:val="single" w:color="000000" w:sz="8" w:space="0"/>
              <w:right w:val="single" w:color="000000" w:sz="8" w:space="0"/>
            </w:tcBorders>
            <w:vAlign w:val="center"/>
          </w:tcPr>
          <w:p>
            <w:pPr>
              <w:spacing w:line="280" w:lineRule="atLeast"/>
              <w:jc w:val="center"/>
              <w:rPr>
                <w:rFonts w:ascii="宋体" w:hAnsi="宋体"/>
                <w:color w:val="000000"/>
              </w:rPr>
            </w:pPr>
            <w:r>
              <w:rPr>
                <w:rFonts w:ascii="宋体" w:hAnsi="宋体"/>
                <w:color w:val="000000"/>
              </w:rPr>
              <w:t>姓</w:t>
            </w:r>
            <w:r>
              <w:rPr>
                <w:rFonts w:hint="eastAsia" w:ascii="宋体" w:hAnsi="宋体"/>
                <w:color w:val="000000"/>
                <w:lang w:val="en-US" w:eastAsia="zh-CN"/>
              </w:rPr>
              <w:t xml:space="preserve"> </w:t>
            </w:r>
            <w:r>
              <w:rPr>
                <w:rFonts w:ascii="宋体" w:hAnsi="宋体"/>
                <w:color w:val="000000"/>
              </w:rPr>
              <w:t xml:space="preserve"> 名</w:t>
            </w:r>
          </w:p>
        </w:tc>
        <w:tc>
          <w:tcPr>
            <w:tcW w:w="1406" w:type="dxa"/>
            <w:tcBorders>
              <w:top w:val="single" w:color="000000" w:sz="18" w:space="0"/>
              <w:left w:val="single" w:color="000000" w:sz="8" w:space="0"/>
              <w:bottom w:val="single" w:color="000000" w:sz="8" w:space="0"/>
              <w:right w:val="single" w:color="000000" w:sz="8" w:space="0"/>
            </w:tcBorders>
            <w:vAlign w:val="center"/>
          </w:tcPr>
          <w:p>
            <w:pPr>
              <w:spacing w:line="240" w:lineRule="atLeast"/>
              <w:rPr>
                <w:rFonts w:ascii="宋体" w:hAnsi="宋体"/>
                <w:color w:val="000000"/>
              </w:rPr>
            </w:pPr>
            <w:r>
              <w:rPr>
                <w:rFonts w:ascii="宋体" w:hAnsi="宋体"/>
                <w:color w:val="000000"/>
              </w:rPr>
              <w:t> </w:t>
            </w:r>
          </w:p>
        </w:tc>
        <w:tc>
          <w:tcPr>
            <w:tcW w:w="1510" w:type="dxa"/>
            <w:tcBorders>
              <w:top w:val="single" w:color="000000" w:sz="18" w:space="0"/>
              <w:left w:val="single" w:color="000000" w:sz="8" w:space="0"/>
              <w:bottom w:val="single" w:color="000000" w:sz="8" w:space="0"/>
              <w:right w:val="single" w:color="000000" w:sz="8" w:space="0"/>
            </w:tcBorders>
            <w:vAlign w:val="center"/>
          </w:tcPr>
          <w:p>
            <w:pPr>
              <w:spacing w:line="280" w:lineRule="atLeast"/>
              <w:jc w:val="center"/>
              <w:rPr>
                <w:rFonts w:ascii="宋体" w:hAnsi="宋体"/>
                <w:color w:val="000000"/>
              </w:rPr>
            </w:pPr>
            <w:r>
              <w:rPr>
                <w:rFonts w:ascii="宋体" w:hAnsi="宋体"/>
                <w:color w:val="000000"/>
              </w:rPr>
              <w:t>性</w:t>
            </w:r>
            <w:r>
              <w:rPr>
                <w:rFonts w:hint="eastAsia" w:ascii="宋体" w:hAnsi="宋体"/>
                <w:color w:val="000000"/>
                <w:lang w:val="en-US" w:eastAsia="zh-CN"/>
              </w:rPr>
              <w:t xml:space="preserve">  </w:t>
            </w:r>
            <w:r>
              <w:rPr>
                <w:rFonts w:ascii="宋体" w:hAnsi="宋体"/>
                <w:color w:val="000000"/>
              </w:rPr>
              <w:t>别</w:t>
            </w:r>
          </w:p>
        </w:tc>
        <w:tc>
          <w:tcPr>
            <w:tcW w:w="1711" w:type="dxa"/>
            <w:tcBorders>
              <w:top w:val="single" w:color="000000" w:sz="18" w:space="0"/>
              <w:left w:val="single" w:color="000000" w:sz="8" w:space="0"/>
              <w:bottom w:val="single" w:color="000000" w:sz="8" w:space="0"/>
              <w:right w:val="single" w:color="000000" w:sz="8" w:space="0"/>
            </w:tcBorders>
            <w:vAlign w:val="center"/>
          </w:tcPr>
          <w:p>
            <w:pPr>
              <w:spacing w:line="240" w:lineRule="atLeast"/>
              <w:rPr>
                <w:rFonts w:ascii="宋体" w:hAnsi="宋体"/>
                <w:color w:val="000000"/>
              </w:rPr>
            </w:pPr>
            <w:r>
              <w:rPr>
                <w:rFonts w:ascii="宋体" w:hAnsi="宋体"/>
                <w:color w:val="000000"/>
              </w:rPr>
              <w:t> </w:t>
            </w:r>
          </w:p>
        </w:tc>
        <w:tc>
          <w:tcPr>
            <w:tcW w:w="1811" w:type="dxa"/>
            <w:tcBorders>
              <w:top w:val="single" w:color="000000" w:sz="18" w:space="0"/>
              <w:left w:val="single" w:color="000000" w:sz="8" w:space="0"/>
              <w:bottom w:val="single" w:color="000000" w:sz="8" w:space="0"/>
              <w:right w:val="single" w:color="000000" w:sz="8" w:space="0"/>
            </w:tcBorders>
            <w:vAlign w:val="center"/>
          </w:tcPr>
          <w:p>
            <w:pPr>
              <w:spacing w:line="280" w:lineRule="atLeast"/>
              <w:jc w:val="center"/>
              <w:rPr>
                <w:rFonts w:ascii="宋体" w:hAnsi="宋体"/>
                <w:color w:val="000000"/>
              </w:rPr>
            </w:pPr>
            <w:r>
              <w:rPr>
                <w:rFonts w:ascii="宋体" w:hAnsi="宋体"/>
                <w:color w:val="000000"/>
              </w:rPr>
              <w:t>出生年月</w:t>
            </w:r>
          </w:p>
        </w:tc>
        <w:tc>
          <w:tcPr>
            <w:tcW w:w="1612" w:type="dxa"/>
            <w:tcBorders>
              <w:top w:val="single" w:color="000000" w:sz="18" w:space="0"/>
              <w:left w:val="single" w:color="000000" w:sz="8" w:space="0"/>
              <w:bottom w:val="single" w:color="000000" w:sz="8" w:space="0"/>
              <w:right w:val="single" w:color="000000" w:sz="18" w:space="0"/>
            </w:tcBorders>
            <w:vAlign w:val="center"/>
          </w:tcPr>
          <w:p>
            <w:pPr>
              <w:spacing w:line="240" w:lineRule="atLeast"/>
              <w:rPr>
                <w:rFonts w:ascii="宋体" w:hAnsi="宋体"/>
                <w:color w:val="000000"/>
              </w:rPr>
            </w:pPr>
            <w:r>
              <w:rPr>
                <w:rFonts w:ascii="宋体" w:hAnsi="宋体"/>
                <w:color w:val="000000"/>
              </w:rPr>
              <w:t> </w:t>
            </w:r>
          </w:p>
        </w:tc>
      </w:tr>
      <w:tr>
        <w:tblPrEx>
          <w:tblCellMar>
            <w:top w:w="0" w:type="dxa"/>
            <w:left w:w="0" w:type="dxa"/>
            <w:bottom w:w="0" w:type="dxa"/>
            <w:right w:w="0" w:type="dxa"/>
          </w:tblCellMar>
        </w:tblPrEx>
        <w:trPr>
          <w:trHeight w:val="680" w:hRule="atLeast"/>
        </w:trPr>
        <w:tc>
          <w:tcPr>
            <w:tcW w:w="1910" w:type="dxa"/>
            <w:tcBorders>
              <w:top w:val="single" w:color="000000" w:sz="8" w:space="0"/>
              <w:left w:val="single" w:color="000000" w:sz="18" w:space="0"/>
              <w:bottom w:val="single" w:color="000000" w:sz="8" w:space="0"/>
              <w:right w:val="single" w:color="000000" w:sz="8" w:space="0"/>
            </w:tcBorders>
            <w:vAlign w:val="center"/>
          </w:tcPr>
          <w:p>
            <w:pPr>
              <w:spacing w:line="280" w:lineRule="atLeast"/>
              <w:jc w:val="center"/>
              <w:rPr>
                <w:rFonts w:ascii="宋体" w:hAnsi="宋体"/>
                <w:color w:val="000000"/>
              </w:rPr>
            </w:pPr>
            <w:r>
              <w:rPr>
                <w:rFonts w:ascii="宋体" w:hAnsi="宋体"/>
                <w:color w:val="000000"/>
              </w:rPr>
              <w:t>职</w:t>
            </w:r>
            <w:r>
              <w:rPr>
                <w:rFonts w:hint="eastAsia" w:ascii="宋体" w:hAnsi="宋体"/>
                <w:color w:val="000000"/>
                <w:lang w:val="en-US" w:eastAsia="zh-CN"/>
              </w:rPr>
              <w:t xml:space="preserve"> </w:t>
            </w:r>
            <w:r>
              <w:rPr>
                <w:rFonts w:ascii="宋体" w:hAnsi="宋体"/>
                <w:color w:val="000000"/>
              </w:rPr>
              <w:t xml:space="preserve"> 称</w:t>
            </w:r>
          </w:p>
        </w:tc>
        <w:tc>
          <w:tcPr>
            <w:tcW w:w="2916" w:type="dxa"/>
            <w:gridSpan w:val="2"/>
            <w:tcBorders>
              <w:top w:val="single" w:color="000000" w:sz="8" w:space="0"/>
              <w:left w:val="single" w:color="000000" w:sz="8" w:space="0"/>
              <w:bottom w:val="single" w:color="000000" w:sz="8" w:space="0"/>
              <w:right w:val="single" w:color="000000" w:sz="8" w:space="0"/>
            </w:tcBorders>
            <w:vAlign w:val="center"/>
          </w:tcPr>
          <w:p>
            <w:pPr>
              <w:spacing w:line="240" w:lineRule="atLeast"/>
              <w:rPr>
                <w:rFonts w:ascii="宋体" w:hAnsi="宋体"/>
                <w:color w:val="000000"/>
              </w:rPr>
            </w:pPr>
            <w:r>
              <w:rPr>
                <w:rFonts w:ascii="宋体" w:hAnsi="宋体"/>
                <w:color w:val="000000"/>
              </w:rPr>
              <w:t> </w:t>
            </w:r>
          </w:p>
        </w:tc>
        <w:tc>
          <w:tcPr>
            <w:tcW w:w="1711" w:type="dxa"/>
            <w:tcBorders>
              <w:top w:val="single" w:color="000000" w:sz="8" w:space="0"/>
              <w:left w:val="single" w:color="000000" w:sz="8" w:space="0"/>
              <w:bottom w:val="single" w:color="000000" w:sz="8" w:space="0"/>
              <w:right w:val="single" w:color="000000" w:sz="8" w:space="0"/>
            </w:tcBorders>
            <w:vAlign w:val="center"/>
          </w:tcPr>
          <w:p>
            <w:pPr>
              <w:spacing w:line="280" w:lineRule="atLeast"/>
              <w:jc w:val="center"/>
              <w:rPr>
                <w:rFonts w:ascii="宋体" w:hAnsi="宋体"/>
                <w:color w:val="000000"/>
              </w:rPr>
            </w:pPr>
            <w:r>
              <w:rPr>
                <w:rFonts w:ascii="宋体" w:hAnsi="宋体"/>
                <w:color w:val="000000"/>
              </w:rPr>
              <w:t>专</w:t>
            </w:r>
            <w:r>
              <w:rPr>
                <w:rFonts w:hint="eastAsia" w:ascii="宋体" w:hAnsi="宋体"/>
                <w:color w:val="000000"/>
                <w:lang w:val="en-US" w:eastAsia="zh-CN"/>
              </w:rPr>
              <w:t xml:space="preserve"> </w:t>
            </w:r>
            <w:r>
              <w:rPr>
                <w:rFonts w:ascii="宋体" w:hAnsi="宋体"/>
                <w:color w:val="000000"/>
              </w:rPr>
              <w:t xml:space="preserve"> 业</w:t>
            </w:r>
          </w:p>
        </w:tc>
        <w:tc>
          <w:tcPr>
            <w:tcW w:w="3423" w:type="dxa"/>
            <w:gridSpan w:val="2"/>
            <w:tcBorders>
              <w:top w:val="single" w:color="000000" w:sz="8" w:space="0"/>
              <w:left w:val="single" w:color="000000" w:sz="8" w:space="0"/>
              <w:bottom w:val="single" w:color="000000" w:sz="8" w:space="0"/>
              <w:right w:val="single" w:color="000000" w:sz="18" w:space="0"/>
            </w:tcBorders>
            <w:vAlign w:val="center"/>
          </w:tcPr>
          <w:p>
            <w:pPr>
              <w:spacing w:line="240" w:lineRule="atLeast"/>
              <w:rPr>
                <w:rFonts w:ascii="宋体" w:hAnsi="宋体"/>
                <w:color w:val="000000"/>
              </w:rPr>
            </w:pPr>
            <w:r>
              <w:rPr>
                <w:rFonts w:ascii="宋体" w:hAnsi="宋体"/>
                <w:color w:val="000000"/>
              </w:rPr>
              <w:t> </w:t>
            </w:r>
          </w:p>
        </w:tc>
      </w:tr>
      <w:tr>
        <w:tblPrEx>
          <w:tblCellMar>
            <w:top w:w="0" w:type="dxa"/>
            <w:left w:w="0" w:type="dxa"/>
            <w:bottom w:w="0" w:type="dxa"/>
            <w:right w:w="0" w:type="dxa"/>
          </w:tblCellMar>
        </w:tblPrEx>
        <w:trPr>
          <w:trHeight w:val="640" w:hRule="atLeast"/>
        </w:trPr>
        <w:tc>
          <w:tcPr>
            <w:tcW w:w="1910" w:type="dxa"/>
            <w:tcBorders>
              <w:top w:val="single" w:color="000000" w:sz="8" w:space="0"/>
              <w:left w:val="single" w:color="000000" w:sz="18" w:space="0"/>
              <w:bottom w:val="single" w:color="000000" w:sz="8" w:space="0"/>
              <w:right w:val="single" w:color="000000" w:sz="8" w:space="0"/>
            </w:tcBorders>
            <w:vAlign w:val="center"/>
          </w:tcPr>
          <w:p>
            <w:pPr>
              <w:spacing w:line="280" w:lineRule="atLeast"/>
              <w:jc w:val="center"/>
              <w:rPr>
                <w:rFonts w:ascii="宋体" w:hAnsi="宋体"/>
                <w:color w:val="000000"/>
              </w:rPr>
            </w:pPr>
            <w:r>
              <w:rPr>
                <w:rFonts w:ascii="宋体" w:hAnsi="宋体"/>
                <w:color w:val="000000"/>
              </w:rPr>
              <w:t>从事本专业工作年限</w:t>
            </w:r>
          </w:p>
        </w:tc>
        <w:tc>
          <w:tcPr>
            <w:tcW w:w="2916" w:type="dxa"/>
            <w:gridSpan w:val="2"/>
            <w:tcBorders>
              <w:top w:val="single" w:color="000000" w:sz="8" w:space="0"/>
              <w:left w:val="single" w:color="000000" w:sz="8" w:space="0"/>
              <w:bottom w:val="single" w:color="000000" w:sz="8" w:space="0"/>
              <w:right w:val="single" w:color="000000" w:sz="8" w:space="0"/>
            </w:tcBorders>
            <w:vAlign w:val="center"/>
          </w:tcPr>
          <w:p>
            <w:pPr>
              <w:spacing w:line="240" w:lineRule="atLeast"/>
              <w:rPr>
                <w:rFonts w:ascii="宋体" w:hAnsi="宋体"/>
                <w:color w:val="000000"/>
              </w:rPr>
            </w:pPr>
            <w:r>
              <w:rPr>
                <w:rFonts w:ascii="宋体" w:hAnsi="宋体"/>
                <w:color w:val="000000"/>
              </w:rPr>
              <w:t> </w:t>
            </w:r>
          </w:p>
        </w:tc>
        <w:tc>
          <w:tcPr>
            <w:tcW w:w="1711" w:type="dxa"/>
            <w:tcBorders>
              <w:top w:val="single" w:color="000000" w:sz="8" w:space="0"/>
              <w:left w:val="single" w:color="000000" w:sz="8" w:space="0"/>
              <w:bottom w:val="single" w:color="000000" w:sz="8" w:space="0"/>
              <w:right w:val="single" w:color="000000" w:sz="8" w:space="0"/>
            </w:tcBorders>
            <w:vAlign w:val="center"/>
          </w:tcPr>
          <w:p>
            <w:pPr>
              <w:spacing w:line="280" w:lineRule="atLeast"/>
              <w:jc w:val="center"/>
              <w:rPr>
                <w:rFonts w:ascii="宋体" w:hAnsi="宋体"/>
                <w:color w:val="000000"/>
              </w:rPr>
            </w:pPr>
            <w:r>
              <w:rPr>
                <w:rFonts w:ascii="宋体" w:hAnsi="宋体"/>
                <w:color w:val="000000"/>
              </w:rPr>
              <w:t>拟在本工程担任职务</w:t>
            </w:r>
          </w:p>
        </w:tc>
        <w:tc>
          <w:tcPr>
            <w:tcW w:w="3423" w:type="dxa"/>
            <w:gridSpan w:val="2"/>
            <w:tcBorders>
              <w:top w:val="single" w:color="000000" w:sz="8" w:space="0"/>
              <w:left w:val="single" w:color="000000" w:sz="8" w:space="0"/>
              <w:bottom w:val="single" w:color="000000" w:sz="8" w:space="0"/>
              <w:right w:val="single" w:color="000000" w:sz="18" w:space="0"/>
            </w:tcBorders>
            <w:vAlign w:val="center"/>
          </w:tcPr>
          <w:p>
            <w:pPr>
              <w:spacing w:line="240" w:lineRule="atLeast"/>
              <w:rPr>
                <w:rFonts w:ascii="宋体" w:hAnsi="宋体"/>
                <w:color w:val="000000"/>
              </w:rPr>
            </w:pPr>
            <w:r>
              <w:rPr>
                <w:rFonts w:ascii="宋体" w:hAnsi="宋体"/>
                <w:color w:val="000000"/>
              </w:rPr>
              <w:t> </w:t>
            </w:r>
          </w:p>
        </w:tc>
      </w:tr>
      <w:tr>
        <w:tblPrEx>
          <w:tblCellMar>
            <w:top w:w="0" w:type="dxa"/>
            <w:left w:w="0" w:type="dxa"/>
            <w:bottom w:w="0" w:type="dxa"/>
            <w:right w:w="0" w:type="dxa"/>
          </w:tblCellMar>
        </w:tblPrEx>
        <w:trPr>
          <w:trHeight w:val="680" w:hRule="atLeast"/>
        </w:trPr>
        <w:tc>
          <w:tcPr>
            <w:tcW w:w="1910" w:type="dxa"/>
            <w:tcBorders>
              <w:top w:val="single" w:color="000000" w:sz="8" w:space="0"/>
              <w:left w:val="single" w:color="000000" w:sz="18" w:space="0"/>
              <w:bottom w:val="single" w:color="000000" w:sz="8" w:space="0"/>
              <w:right w:val="single" w:color="000000" w:sz="8" w:space="0"/>
            </w:tcBorders>
            <w:vAlign w:val="center"/>
          </w:tcPr>
          <w:p>
            <w:pPr>
              <w:spacing w:line="280" w:lineRule="atLeast"/>
              <w:jc w:val="center"/>
              <w:rPr>
                <w:rFonts w:ascii="宋体" w:hAnsi="宋体"/>
                <w:color w:val="000000"/>
              </w:rPr>
            </w:pPr>
            <w:r>
              <w:rPr>
                <w:rFonts w:ascii="宋体" w:hAnsi="宋体"/>
                <w:color w:val="000000"/>
              </w:rPr>
              <w:t>岗位证书号</w:t>
            </w:r>
          </w:p>
        </w:tc>
        <w:tc>
          <w:tcPr>
            <w:tcW w:w="8050" w:type="dxa"/>
            <w:gridSpan w:val="5"/>
            <w:tcBorders>
              <w:top w:val="single" w:color="000000" w:sz="8" w:space="0"/>
              <w:left w:val="single" w:color="000000" w:sz="8" w:space="0"/>
              <w:bottom w:val="single" w:color="000000" w:sz="8" w:space="0"/>
              <w:right w:val="single" w:color="000000" w:sz="18" w:space="0"/>
            </w:tcBorders>
            <w:vAlign w:val="center"/>
          </w:tcPr>
          <w:p>
            <w:pPr>
              <w:spacing w:line="240" w:lineRule="atLeast"/>
              <w:jc w:val="center"/>
              <w:rPr>
                <w:rFonts w:ascii="宋体" w:hAnsi="宋体"/>
                <w:color w:val="000000"/>
              </w:rPr>
            </w:pPr>
            <w:r>
              <w:rPr>
                <w:rFonts w:ascii="宋体" w:hAnsi="宋体"/>
                <w:color w:val="000000"/>
              </w:rPr>
              <w:t> </w:t>
            </w:r>
          </w:p>
        </w:tc>
      </w:tr>
      <w:tr>
        <w:tblPrEx>
          <w:tblCellMar>
            <w:top w:w="0" w:type="dxa"/>
            <w:left w:w="0" w:type="dxa"/>
            <w:bottom w:w="0" w:type="dxa"/>
            <w:right w:w="0" w:type="dxa"/>
          </w:tblCellMar>
        </w:tblPrEx>
        <w:trPr>
          <w:trHeight w:val="740" w:hRule="atLeast"/>
        </w:trPr>
        <w:tc>
          <w:tcPr>
            <w:tcW w:w="1910" w:type="dxa"/>
            <w:tcBorders>
              <w:top w:val="single" w:color="000000" w:sz="8" w:space="0"/>
              <w:left w:val="single" w:color="000000" w:sz="18" w:space="0"/>
              <w:bottom w:val="single" w:color="000000" w:sz="8" w:space="0"/>
              <w:right w:val="single" w:color="000000" w:sz="8" w:space="0"/>
            </w:tcBorders>
            <w:vAlign w:val="center"/>
          </w:tcPr>
          <w:p>
            <w:pPr>
              <w:spacing w:line="280" w:lineRule="atLeast"/>
              <w:jc w:val="center"/>
              <w:rPr>
                <w:rFonts w:ascii="宋体" w:hAnsi="宋体"/>
                <w:color w:val="000000"/>
              </w:rPr>
            </w:pPr>
            <w:r>
              <w:rPr>
                <w:rFonts w:ascii="宋体" w:hAnsi="宋体"/>
                <w:color w:val="000000"/>
              </w:rPr>
              <w:t>时</w:t>
            </w:r>
            <w:r>
              <w:rPr>
                <w:rFonts w:hint="eastAsia" w:ascii="宋体" w:hAnsi="宋体"/>
                <w:color w:val="000000"/>
                <w:lang w:val="en-US" w:eastAsia="zh-CN"/>
              </w:rPr>
              <w:t xml:space="preserve">  </w:t>
            </w:r>
            <w:r>
              <w:rPr>
                <w:rFonts w:ascii="宋体" w:hAnsi="宋体"/>
                <w:color w:val="000000"/>
              </w:rPr>
              <w:t>间</w:t>
            </w:r>
          </w:p>
        </w:tc>
        <w:tc>
          <w:tcPr>
            <w:tcW w:w="4627" w:type="dxa"/>
            <w:gridSpan w:val="3"/>
            <w:tcBorders>
              <w:top w:val="single" w:color="000000" w:sz="8" w:space="0"/>
              <w:left w:val="single" w:color="000000" w:sz="8" w:space="0"/>
              <w:bottom w:val="single" w:color="000000" w:sz="8" w:space="0"/>
              <w:right w:val="single" w:color="000000" w:sz="8" w:space="0"/>
            </w:tcBorders>
            <w:vAlign w:val="center"/>
          </w:tcPr>
          <w:p>
            <w:pPr>
              <w:spacing w:line="280" w:lineRule="atLeast"/>
              <w:jc w:val="center"/>
              <w:rPr>
                <w:rFonts w:ascii="宋体" w:hAnsi="宋体"/>
                <w:color w:val="000000"/>
              </w:rPr>
            </w:pPr>
            <w:r>
              <w:rPr>
                <w:rFonts w:ascii="宋体" w:hAnsi="宋体"/>
                <w:color w:val="000000"/>
              </w:rPr>
              <w:t>参加过的工程项目名称</w:t>
            </w:r>
          </w:p>
        </w:tc>
        <w:tc>
          <w:tcPr>
            <w:tcW w:w="1811" w:type="dxa"/>
            <w:tcBorders>
              <w:top w:val="single" w:color="000000" w:sz="8" w:space="0"/>
              <w:left w:val="single" w:color="000000" w:sz="8" w:space="0"/>
              <w:bottom w:val="single" w:color="000000" w:sz="8" w:space="0"/>
              <w:right w:val="single" w:color="000000" w:sz="8" w:space="0"/>
            </w:tcBorders>
            <w:vAlign w:val="center"/>
          </w:tcPr>
          <w:p>
            <w:pPr>
              <w:spacing w:line="280" w:lineRule="atLeast"/>
              <w:jc w:val="center"/>
              <w:rPr>
                <w:rFonts w:ascii="宋体" w:hAnsi="宋体"/>
                <w:color w:val="000000"/>
              </w:rPr>
            </w:pPr>
            <w:r>
              <w:rPr>
                <w:rFonts w:ascii="宋体" w:hAnsi="宋体"/>
                <w:color w:val="000000"/>
              </w:rPr>
              <w:t>工程概况</w:t>
            </w:r>
          </w:p>
          <w:p>
            <w:pPr>
              <w:spacing w:line="280" w:lineRule="atLeast"/>
              <w:jc w:val="center"/>
              <w:rPr>
                <w:rFonts w:ascii="宋体" w:hAnsi="宋体"/>
                <w:color w:val="000000"/>
              </w:rPr>
            </w:pPr>
            <w:r>
              <w:rPr>
                <w:rFonts w:ascii="宋体" w:hAnsi="宋体"/>
                <w:color w:val="000000"/>
              </w:rPr>
              <w:t>(规模、投资等)</w:t>
            </w:r>
          </w:p>
        </w:tc>
        <w:tc>
          <w:tcPr>
            <w:tcW w:w="1612" w:type="dxa"/>
            <w:tcBorders>
              <w:top w:val="single" w:color="000000" w:sz="8" w:space="0"/>
              <w:left w:val="single" w:color="000000" w:sz="8" w:space="0"/>
              <w:bottom w:val="single" w:color="000000" w:sz="8" w:space="0"/>
              <w:right w:val="single" w:color="000000" w:sz="18" w:space="0"/>
            </w:tcBorders>
            <w:vAlign w:val="center"/>
          </w:tcPr>
          <w:p>
            <w:pPr>
              <w:spacing w:line="280" w:lineRule="atLeast"/>
              <w:jc w:val="center"/>
              <w:rPr>
                <w:rFonts w:ascii="宋体" w:hAnsi="宋体"/>
                <w:color w:val="000000"/>
              </w:rPr>
            </w:pPr>
            <w:r>
              <w:rPr>
                <w:rFonts w:ascii="宋体" w:hAnsi="宋体"/>
                <w:color w:val="000000"/>
              </w:rPr>
              <w:t>担任何职</w:t>
            </w:r>
          </w:p>
        </w:tc>
      </w:tr>
      <w:tr>
        <w:tblPrEx>
          <w:tblCellMar>
            <w:top w:w="0" w:type="dxa"/>
            <w:left w:w="0" w:type="dxa"/>
            <w:bottom w:w="0" w:type="dxa"/>
            <w:right w:w="0" w:type="dxa"/>
          </w:tblCellMar>
        </w:tblPrEx>
        <w:trPr>
          <w:trHeight w:val="920" w:hRule="atLeast"/>
        </w:trPr>
        <w:tc>
          <w:tcPr>
            <w:tcW w:w="1910" w:type="dxa"/>
            <w:tcBorders>
              <w:top w:val="single" w:color="000000" w:sz="8" w:space="0"/>
              <w:left w:val="single" w:color="000000" w:sz="18" w:space="0"/>
              <w:bottom w:val="single" w:color="000000" w:sz="8" w:space="0"/>
              <w:right w:val="single" w:color="000000" w:sz="8" w:space="0"/>
            </w:tcBorders>
            <w:vAlign w:val="center"/>
          </w:tcPr>
          <w:p>
            <w:pPr>
              <w:spacing w:line="240" w:lineRule="atLeast"/>
              <w:rPr>
                <w:rFonts w:ascii="宋体" w:hAnsi="宋体"/>
                <w:color w:val="000000"/>
              </w:rPr>
            </w:pPr>
            <w:r>
              <w:rPr>
                <w:rFonts w:ascii="宋体" w:hAnsi="宋体"/>
                <w:color w:val="000000"/>
              </w:rPr>
              <w:t> </w:t>
            </w:r>
          </w:p>
        </w:tc>
        <w:tc>
          <w:tcPr>
            <w:tcW w:w="4627" w:type="dxa"/>
            <w:gridSpan w:val="3"/>
            <w:tcBorders>
              <w:top w:val="single" w:color="000000" w:sz="8" w:space="0"/>
              <w:left w:val="single" w:color="000000" w:sz="8" w:space="0"/>
              <w:bottom w:val="single" w:color="000000" w:sz="8" w:space="0"/>
              <w:right w:val="single" w:color="000000" w:sz="8" w:space="0"/>
            </w:tcBorders>
            <w:vAlign w:val="center"/>
          </w:tcPr>
          <w:p>
            <w:pPr>
              <w:spacing w:line="240" w:lineRule="atLeast"/>
              <w:rPr>
                <w:rFonts w:ascii="宋体" w:hAnsi="宋体"/>
                <w:color w:val="000000"/>
              </w:rPr>
            </w:pPr>
            <w:r>
              <w:rPr>
                <w:rFonts w:ascii="宋体" w:hAnsi="宋体"/>
                <w:color w:val="000000"/>
              </w:rPr>
              <w:t> </w:t>
            </w:r>
          </w:p>
        </w:tc>
        <w:tc>
          <w:tcPr>
            <w:tcW w:w="1811" w:type="dxa"/>
            <w:tcBorders>
              <w:top w:val="single" w:color="000000" w:sz="8" w:space="0"/>
              <w:left w:val="single" w:color="000000" w:sz="8" w:space="0"/>
              <w:bottom w:val="single" w:color="000000" w:sz="8" w:space="0"/>
              <w:right w:val="single" w:color="000000" w:sz="8" w:space="0"/>
            </w:tcBorders>
            <w:vAlign w:val="center"/>
          </w:tcPr>
          <w:p>
            <w:pPr>
              <w:spacing w:line="240" w:lineRule="atLeast"/>
              <w:rPr>
                <w:rFonts w:ascii="宋体" w:hAnsi="宋体"/>
                <w:color w:val="000000"/>
              </w:rPr>
            </w:pPr>
            <w:r>
              <w:rPr>
                <w:rFonts w:ascii="宋体" w:hAnsi="宋体"/>
                <w:color w:val="000000"/>
              </w:rPr>
              <w:t> </w:t>
            </w:r>
          </w:p>
        </w:tc>
        <w:tc>
          <w:tcPr>
            <w:tcW w:w="1612" w:type="dxa"/>
            <w:tcBorders>
              <w:top w:val="single" w:color="000000" w:sz="8" w:space="0"/>
              <w:left w:val="single" w:color="000000" w:sz="8" w:space="0"/>
              <w:bottom w:val="single" w:color="000000" w:sz="8" w:space="0"/>
              <w:right w:val="single" w:color="000000" w:sz="18" w:space="0"/>
            </w:tcBorders>
            <w:vAlign w:val="center"/>
          </w:tcPr>
          <w:p>
            <w:pPr>
              <w:spacing w:line="240" w:lineRule="atLeast"/>
              <w:rPr>
                <w:rFonts w:ascii="宋体" w:hAnsi="宋体"/>
                <w:color w:val="000000"/>
              </w:rPr>
            </w:pPr>
            <w:r>
              <w:rPr>
                <w:rFonts w:ascii="宋体" w:hAnsi="宋体"/>
                <w:color w:val="000000"/>
              </w:rPr>
              <w:t> </w:t>
            </w:r>
          </w:p>
        </w:tc>
      </w:tr>
      <w:tr>
        <w:tblPrEx>
          <w:tblCellMar>
            <w:top w:w="0" w:type="dxa"/>
            <w:left w:w="0" w:type="dxa"/>
            <w:bottom w:w="0" w:type="dxa"/>
            <w:right w:w="0" w:type="dxa"/>
          </w:tblCellMar>
        </w:tblPrEx>
        <w:trPr>
          <w:trHeight w:val="920" w:hRule="atLeast"/>
        </w:trPr>
        <w:tc>
          <w:tcPr>
            <w:tcW w:w="1910" w:type="dxa"/>
            <w:tcBorders>
              <w:top w:val="single" w:color="000000" w:sz="8" w:space="0"/>
              <w:left w:val="single" w:color="000000" w:sz="18" w:space="0"/>
              <w:bottom w:val="single" w:color="000000" w:sz="8" w:space="0"/>
              <w:right w:val="single" w:color="000000" w:sz="8" w:space="0"/>
            </w:tcBorders>
            <w:vAlign w:val="center"/>
          </w:tcPr>
          <w:p>
            <w:pPr>
              <w:spacing w:line="240" w:lineRule="atLeast"/>
              <w:rPr>
                <w:rFonts w:ascii="宋体" w:hAnsi="宋体"/>
                <w:color w:val="000000"/>
              </w:rPr>
            </w:pPr>
            <w:r>
              <w:rPr>
                <w:rFonts w:ascii="宋体" w:hAnsi="宋体"/>
                <w:color w:val="000000"/>
              </w:rPr>
              <w:t> </w:t>
            </w:r>
          </w:p>
        </w:tc>
        <w:tc>
          <w:tcPr>
            <w:tcW w:w="4627" w:type="dxa"/>
            <w:gridSpan w:val="3"/>
            <w:tcBorders>
              <w:top w:val="single" w:color="000000" w:sz="8" w:space="0"/>
              <w:left w:val="single" w:color="000000" w:sz="8" w:space="0"/>
              <w:bottom w:val="single" w:color="000000" w:sz="8" w:space="0"/>
              <w:right w:val="single" w:color="000000" w:sz="8" w:space="0"/>
            </w:tcBorders>
            <w:vAlign w:val="center"/>
          </w:tcPr>
          <w:p>
            <w:pPr>
              <w:spacing w:line="240" w:lineRule="atLeast"/>
              <w:rPr>
                <w:rFonts w:ascii="宋体" w:hAnsi="宋体"/>
                <w:color w:val="000000"/>
              </w:rPr>
            </w:pPr>
            <w:r>
              <w:rPr>
                <w:rFonts w:ascii="宋体" w:hAnsi="宋体"/>
                <w:color w:val="000000"/>
              </w:rPr>
              <w:t> </w:t>
            </w:r>
          </w:p>
        </w:tc>
        <w:tc>
          <w:tcPr>
            <w:tcW w:w="1811" w:type="dxa"/>
            <w:tcBorders>
              <w:top w:val="single" w:color="000000" w:sz="8" w:space="0"/>
              <w:left w:val="single" w:color="000000" w:sz="8" w:space="0"/>
              <w:bottom w:val="single" w:color="000000" w:sz="8" w:space="0"/>
              <w:right w:val="single" w:color="000000" w:sz="8" w:space="0"/>
            </w:tcBorders>
            <w:vAlign w:val="center"/>
          </w:tcPr>
          <w:p>
            <w:pPr>
              <w:spacing w:line="240" w:lineRule="atLeast"/>
              <w:rPr>
                <w:rFonts w:ascii="宋体" w:hAnsi="宋体"/>
                <w:color w:val="000000"/>
              </w:rPr>
            </w:pPr>
            <w:r>
              <w:rPr>
                <w:rFonts w:ascii="宋体" w:hAnsi="宋体"/>
                <w:color w:val="000000"/>
              </w:rPr>
              <w:t> </w:t>
            </w:r>
          </w:p>
        </w:tc>
        <w:tc>
          <w:tcPr>
            <w:tcW w:w="1612" w:type="dxa"/>
            <w:tcBorders>
              <w:top w:val="single" w:color="000000" w:sz="8" w:space="0"/>
              <w:left w:val="single" w:color="000000" w:sz="8" w:space="0"/>
              <w:bottom w:val="single" w:color="000000" w:sz="8" w:space="0"/>
              <w:right w:val="single" w:color="000000" w:sz="18" w:space="0"/>
            </w:tcBorders>
            <w:vAlign w:val="center"/>
          </w:tcPr>
          <w:p>
            <w:pPr>
              <w:spacing w:line="240" w:lineRule="atLeast"/>
              <w:rPr>
                <w:rFonts w:ascii="宋体" w:hAnsi="宋体"/>
                <w:color w:val="000000"/>
              </w:rPr>
            </w:pPr>
            <w:r>
              <w:rPr>
                <w:rFonts w:ascii="宋体" w:hAnsi="宋体"/>
                <w:color w:val="000000"/>
              </w:rPr>
              <w:t> </w:t>
            </w:r>
          </w:p>
        </w:tc>
      </w:tr>
      <w:tr>
        <w:tblPrEx>
          <w:tblCellMar>
            <w:top w:w="0" w:type="dxa"/>
            <w:left w:w="0" w:type="dxa"/>
            <w:bottom w:w="0" w:type="dxa"/>
            <w:right w:w="0" w:type="dxa"/>
          </w:tblCellMar>
        </w:tblPrEx>
        <w:trPr>
          <w:trHeight w:val="920" w:hRule="atLeast"/>
        </w:trPr>
        <w:tc>
          <w:tcPr>
            <w:tcW w:w="1910" w:type="dxa"/>
            <w:tcBorders>
              <w:top w:val="single" w:color="000000" w:sz="8" w:space="0"/>
              <w:left w:val="single" w:color="000000" w:sz="18" w:space="0"/>
              <w:bottom w:val="single" w:color="000000" w:sz="8" w:space="0"/>
              <w:right w:val="single" w:color="000000" w:sz="8" w:space="0"/>
            </w:tcBorders>
            <w:vAlign w:val="center"/>
          </w:tcPr>
          <w:p>
            <w:pPr>
              <w:spacing w:line="240" w:lineRule="atLeast"/>
              <w:rPr>
                <w:rFonts w:ascii="宋体" w:hAnsi="宋体"/>
                <w:color w:val="000000"/>
              </w:rPr>
            </w:pPr>
            <w:r>
              <w:rPr>
                <w:rFonts w:ascii="宋体" w:hAnsi="宋体"/>
                <w:color w:val="000000"/>
              </w:rPr>
              <w:t> </w:t>
            </w:r>
          </w:p>
        </w:tc>
        <w:tc>
          <w:tcPr>
            <w:tcW w:w="4627" w:type="dxa"/>
            <w:gridSpan w:val="3"/>
            <w:tcBorders>
              <w:top w:val="single" w:color="000000" w:sz="8" w:space="0"/>
              <w:left w:val="single" w:color="000000" w:sz="8" w:space="0"/>
              <w:bottom w:val="single" w:color="000000" w:sz="8" w:space="0"/>
              <w:right w:val="single" w:color="000000" w:sz="8" w:space="0"/>
            </w:tcBorders>
            <w:vAlign w:val="center"/>
          </w:tcPr>
          <w:p>
            <w:pPr>
              <w:spacing w:line="240" w:lineRule="atLeast"/>
              <w:rPr>
                <w:rFonts w:ascii="宋体" w:hAnsi="宋体"/>
                <w:color w:val="000000"/>
              </w:rPr>
            </w:pPr>
            <w:r>
              <w:rPr>
                <w:rFonts w:ascii="宋体" w:hAnsi="宋体"/>
                <w:color w:val="000000"/>
              </w:rPr>
              <w:t> </w:t>
            </w:r>
          </w:p>
        </w:tc>
        <w:tc>
          <w:tcPr>
            <w:tcW w:w="1811" w:type="dxa"/>
            <w:tcBorders>
              <w:top w:val="single" w:color="000000" w:sz="8" w:space="0"/>
              <w:left w:val="single" w:color="000000" w:sz="8" w:space="0"/>
              <w:bottom w:val="single" w:color="000000" w:sz="8" w:space="0"/>
              <w:right w:val="single" w:color="000000" w:sz="8" w:space="0"/>
            </w:tcBorders>
            <w:vAlign w:val="center"/>
          </w:tcPr>
          <w:p>
            <w:pPr>
              <w:spacing w:line="240" w:lineRule="atLeast"/>
              <w:rPr>
                <w:rFonts w:ascii="宋体" w:hAnsi="宋体"/>
                <w:color w:val="000000"/>
              </w:rPr>
            </w:pPr>
            <w:r>
              <w:rPr>
                <w:rFonts w:ascii="宋体" w:hAnsi="宋体"/>
                <w:color w:val="000000"/>
              </w:rPr>
              <w:t> </w:t>
            </w:r>
          </w:p>
        </w:tc>
        <w:tc>
          <w:tcPr>
            <w:tcW w:w="1612" w:type="dxa"/>
            <w:tcBorders>
              <w:top w:val="single" w:color="000000" w:sz="8" w:space="0"/>
              <w:left w:val="single" w:color="000000" w:sz="8" w:space="0"/>
              <w:bottom w:val="single" w:color="000000" w:sz="8" w:space="0"/>
              <w:right w:val="single" w:color="000000" w:sz="18" w:space="0"/>
            </w:tcBorders>
            <w:vAlign w:val="center"/>
          </w:tcPr>
          <w:p>
            <w:pPr>
              <w:spacing w:line="240" w:lineRule="atLeast"/>
              <w:rPr>
                <w:rFonts w:ascii="宋体" w:hAnsi="宋体"/>
                <w:color w:val="000000"/>
              </w:rPr>
            </w:pPr>
            <w:r>
              <w:rPr>
                <w:rFonts w:ascii="宋体" w:hAnsi="宋体"/>
                <w:color w:val="000000"/>
              </w:rPr>
              <w:t> </w:t>
            </w:r>
          </w:p>
        </w:tc>
      </w:tr>
      <w:tr>
        <w:tblPrEx>
          <w:tblCellMar>
            <w:top w:w="0" w:type="dxa"/>
            <w:left w:w="0" w:type="dxa"/>
            <w:bottom w:w="0" w:type="dxa"/>
            <w:right w:w="0" w:type="dxa"/>
          </w:tblCellMar>
        </w:tblPrEx>
        <w:trPr>
          <w:trHeight w:val="920" w:hRule="atLeast"/>
        </w:trPr>
        <w:tc>
          <w:tcPr>
            <w:tcW w:w="1910" w:type="dxa"/>
            <w:tcBorders>
              <w:top w:val="single" w:color="000000" w:sz="8" w:space="0"/>
              <w:left w:val="single" w:color="000000" w:sz="18" w:space="0"/>
              <w:bottom w:val="single" w:color="000000" w:sz="8" w:space="0"/>
              <w:right w:val="single" w:color="000000" w:sz="8" w:space="0"/>
            </w:tcBorders>
            <w:vAlign w:val="center"/>
          </w:tcPr>
          <w:p>
            <w:pPr>
              <w:spacing w:line="240" w:lineRule="atLeast"/>
              <w:rPr>
                <w:rFonts w:ascii="宋体" w:hAnsi="宋体"/>
                <w:color w:val="000000"/>
              </w:rPr>
            </w:pPr>
            <w:r>
              <w:rPr>
                <w:rFonts w:ascii="宋体" w:hAnsi="宋体"/>
                <w:color w:val="000000"/>
              </w:rPr>
              <w:t> </w:t>
            </w:r>
          </w:p>
        </w:tc>
        <w:tc>
          <w:tcPr>
            <w:tcW w:w="4627" w:type="dxa"/>
            <w:gridSpan w:val="3"/>
            <w:tcBorders>
              <w:top w:val="single" w:color="000000" w:sz="8" w:space="0"/>
              <w:left w:val="single" w:color="000000" w:sz="8" w:space="0"/>
              <w:bottom w:val="single" w:color="000000" w:sz="8" w:space="0"/>
              <w:right w:val="single" w:color="000000" w:sz="8" w:space="0"/>
            </w:tcBorders>
            <w:vAlign w:val="center"/>
          </w:tcPr>
          <w:p>
            <w:pPr>
              <w:spacing w:line="240" w:lineRule="atLeast"/>
              <w:rPr>
                <w:rFonts w:ascii="宋体" w:hAnsi="宋体"/>
                <w:color w:val="000000"/>
              </w:rPr>
            </w:pPr>
            <w:r>
              <w:rPr>
                <w:rFonts w:ascii="宋体" w:hAnsi="宋体"/>
                <w:color w:val="000000"/>
              </w:rPr>
              <w:t> </w:t>
            </w:r>
          </w:p>
        </w:tc>
        <w:tc>
          <w:tcPr>
            <w:tcW w:w="1811" w:type="dxa"/>
            <w:tcBorders>
              <w:top w:val="single" w:color="000000" w:sz="8" w:space="0"/>
              <w:left w:val="single" w:color="000000" w:sz="8" w:space="0"/>
              <w:bottom w:val="single" w:color="000000" w:sz="8" w:space="0"/>
              <w:right w:val="single" w:color="000000" w:sz="8" w:space="0"/>
            </w:tcBorders>
            <w:vAlign w:val="center"/>
          </w:tcPr>
          <w:p>
            <w:pPr>
              <w:spacing w:line="240" w:lineRule="atLeast"/>
              <w:rPr>
                <w:rFonts w:ascii="宋体" w:hAnsi="宋体"/>
                <w:color w:val="000000"/>
              </w:rPr>
            </w:pPr>
            <w:r>
              <w:rPr>
                <w:rFonts w:ascii="宋体" w:hAnsi="宋体"/>
                <w:color w:val="000000"/>
              </w:rPr>
              <w:t> </w:t>
            </w:r>
          </w:p>
        </w:tc>
        <w:tc>
          <w:tcPr>
            <w:tcW w:w="1612" w:type="dxa"/>
            <w:tcBorders>
              <w:top w:val="single" w:color="000000" w:sz="8" w:space="0"/>
              <w:left w:val="single" w:color="000000" w:sz="8" w:space="0"/>
              <w:bottom w:val="single" w:color="000000" w:sz="8" w:space="0"/>
              <w:right w:val="single" w:color="000000" w:sz="18" w:space="0"/>
            </w:tcBorders>
            <w:vAlign w:val="center"/>
          </w:tcPr>
          <w:p>
            <w:pPr>
              <w:spacing w:line="240" w:lineRule="atLeast"/>
              <w:rPr>
                <w:rFonts w:ascii="宋体" w:hAnsi="宋体"/>
                <w:color w:val="000000"/>
              </w:rPr>
            </w:pPr>
            <w:r>
              <w:rPr>
                <w:rFonts w:ascii="宋体" w:hAnsi="宋体"/>
                <w:color w:val="000000"/>
              </w:rPr>
              <w:t> </w:t>
            </w:r>
          </w:p>
        </w:tc>
      </w:tr>
      <w:tr>
        <w:tblPrEx>
          <w:tblCellMar>
            <w:top w:w="0" w:type="dxa"/>
            <w:left w:w="0" w:type="dxa"/>
            <w:bottom w:w="0" w:type="dxa"/>
            <w:right w:w="0" w:type="dxa"/>
          </w:tblCellMar>
        </w:tblPrEx>
        <w:trPr>
          <w:trHeight w:val="920" w:hRule="atLeast"/>
        </w:trPr>
        <w:tc>
          <w:tcPr>
            <w:tcW w:w="1910" w:type="dxa"/>
            <w:tcBorders>
              <w:top w:val="single" w:color="000000" w:sz="8" w:space="0"/>
              <w:left w:val="single" w:color="000000" w:sz="18" w:space="0"/>
              <w:bottom w:val="single" w:color="000000" w:sz="8" w:space="0"/>
              <w:right w:val="single" w:color="000000" w:sz="8" w:space="0"/>
            </w:tcBorders>
            <w:vAlign w:val="center"/>
          </w:tcPr>
          <w:p>
            <w:pPr>
              <w:spacing w:line="240" w:lineRule="atLeast"/>
              <w:rPr>
                <w:rFonts w:ascii="宋体" w:hAnsi="宋体"/>
                <w:color w:val="000000"/>
              </w:rPr>
            </w:pPr>
            <w:r>
              <w:rPr>
                <w:rFonts w:ascii="宋体" w:hAnsi="宋体"/>
                <w:color w:val="000000"/>
              </w:rPr>
              <w:t> </w:t>
            </w:r>
          </w:p>
        </w:tc>
        <w:tc>
          <w:tcPr>
            <w:tcW w:w="4627" w:type="dxa"/>
            <w:gridSpan w:val="3"/>
            <w:tcBorders>
              <w:top w:val="single" w:color="000000" w:sz="8" w:space="0"/>
              <w:left w:val="single" w:color="000000" w:sz="8" w:space="0"/>
              <w:bottom w:val="single" w:color="000000" w:sz="8" w:space="0"/>
              <w:right w:val="single" w:color="000000" w:sz="8" w:space="0"/>
            </w:tcBorders>
            <w:vAlign w:val="center"/>
          </w:tcPr>
          <w:p>
            <w:pPr>
              <w:spacing w:line="240" w:lineRule="atLeast"/>
              <w:rPr>
                <w:rFonts w:ascii="宋体" w:hAnsi="宋体"/>
                <w:color w:val="000000"/>
              </w:rPr>
            </w:pPr>
            <w:r>
              <w:rPr>
                <w:rFonts w:ascii="宋体" w:hAnsi="宋体"/>
                <w:color w:val="000000"/>
              </w:rPr>
              <w:t> </w:t>
            </w:r>
          </w:p>
        </w:tc>
        <w:tc>
          <w:tcPr>
            <w:tcW w:w="1811" w:type="dxa"/>
            <w:tcBorders>
              <w:top w:val="single" w:color="000000" w:sz="8" w:space="0"/>
              <w:left w:val="single" w:color="000000" w:sz="8" w:space="0"/>
              <w:bottom w:val="single" w:color="000000" w:sz="8" w:space="0"/>
              <w:right w:val="single" w:color="000000" w:sz="8" w:space="0"/>
            </w:tcBorders>
            <w:vAlign w:val="center"/>
          </w:tcPr>
          <w:p>
            <w:pPr>
              <w:spacing w:line="240" w:lineRule="atLeast"/>
              <w:rPr>
                <w:rFonts w:ascii="宋体" w:hAnsi="宋体"/>
                <w:color w:val="000000"/>
              </w:rPr>
            </w:pPr>
            <w:r>
              <w:rPr>
                <w:rFonts w:ascii="宋体" w:hAnsi="宋体"/>
                <w:color w:val="000000"/>
              </w:rPr>
              <w:t> </w:t>
            </w:r>
          </w:p>
        </w:tc>
        <w:tc>
          <w:tcPr>
            <w:tcW w:w="1612" w:type="dxa"/>
            <w:tcBorders>
              <w:top w:val="single" w:color="000000" w:sz="8" w:space="0"/>
              <w:left w:val="single" w:color="000000" w:sz="8" w:space="0"/>
              <w:bottom w:val="single" w:color="000000" w:sz="8" w:space="0"/>
              <w:right w:val="single" w:color="000000" w:sz="18" w:space="0"/>
            </w:tcBorders>
            <w:vAlign w:val="center"/>
          </w:tcPr>
          <w:p>
            <w:pPr>
              <w:spacing w:line="240" w:lineRule="atLeast"/>
              <w:rPr>
                <w:rFonts w:ascii="宋体" w:hAnsi="宋体"/>
                <w:color w:val="000000"/>
              </w:rPr>
            </w:pPr>
            <w:r>
              <w:rPr>
                <w:rFonts w:ascii="宋体" w:hAnsi="宋体"/>
                <w:color w:val="000000"/>
              </w:rPr>
              <w:t> </w:t>
            </w:r>
          </w:p>
        </w:tc>
      </w:tr>
      <w:tr>
        <w:tblPrEx>
          <w:tblCellMar>
            <w:top w:w="0" w:type="dxa"/>
            <w:left w:w="0" w:type="dxa"/>
            <w:bottom w:w="0" w:type="dxa"/>
            <w:right w:w="0" w:type="dxa"/>
          </w:tblCellMar>
        </w:tblPrEx>
        <w:trPr>
          <w:trHeight w:val="920" w:hRule="atLeast"/>
        </w:trPr>
        <w:tc>
          <w:tcPr>
            <w:tcW w:w="1910" w:type="dxa"/>
            <w:tcBorders>
              <w:top w:val="single" w:color="000000" w:sz="8" w:space="0"/>
              <w:left w:val="single" w:color="000000" w:sz="18" w:space="0"/>
              <w:bottom w:val="single" w:color="000000" w:sz="8" w:space="0"/>
              <w:right w:val="single" w:color="000000" w:sz="8" w:space="0"/>
            </w:tcBorders>
            <w:vAlign w:val="center"/>
          </w:tcPr>
          <w:p>
            <w:pPr>
              <w:spacing w:line="240" w:lineRule="atLeast"/>
              <w:rPr>
                <w:rFonts w:ascii="宋体" w:hAnsi="宋体"/>
                <w:color w:val="000000"/>
              </w:rPr>
            </w:pPr>
            <w:r>
              <w:rPr>
                <w:rFonts w:ascii="宋体" w:hAnsi="宋体"/>
                <w:color w:val="000000"/>
              </w:rPr>
              <w:t> </w:t>
            </w:r>
          </w:p>
        </w:tc>
        <w:tc>
          <w:tcPr>
            <w:tcW w:w="4627" w:type="dxa"/>
            <w:gridSpan w:val="3"/>
            <w:tcBorders>
              <w:top w:val="single" w:color="000000" w:sz="8" w:space="0"/>
              <w:left w:val="single" w:color="000000" w:sz="8" w:space="0"/>
              <w:bottom w:val="single" w:color="000000" w:sz="8" w:space="0"/>
              <w:right w:val="single" w:color="000000" w:sz="8" w:space="0"/>
            </w:tcBorders>
            <w:vAlign w:val="center"/>
          </w:tcPr>
          <w:p>
            <w:pPr>
              <w:spacing w:line="240" w:lineRule="atLeast"/>
              <w:rPr>
                <w:rFonts w:ascii="宋体" w:hAnsi="宋体"/>
                <w:color w:val="000000"/>
              </w:rPr>
            </w:pPr>
            <w:r>
              <w:rPr>
                <w:rFonts w:ascii="宋体" w:hAnsi="宋体"/>
                <w:color w:val="000000"/>
              </w:rPr>
              <w:t> </w:t>
            </w:r>
          </w:p>
        </w:tc>
        <w:tc>
          <w:tcPr>
            <w:tcW w:w="1811" w:type="dxa"/>
            <w:tcBorders>
              <w:top w:val="single" w:color="000000" w:sz="8" w:space="0"/>
              <w:left w:val="single" w:color="000000" w:sz="8" w:space="0"/>
              <w:bottom w:val="single" w:color="000000" w:sz="8" w:space="0"/>
              <w:right w:val="single" w:color="000000" w:sz="8" w:space="0"/>
            </w:tcBorders>
            <w:vAlign w:val="center"/>
          </w:tcPr>
          <w:p>
            <w:pPr>
              <w:spacing w:line="240" w:lineRule="atLeast"/>
              <w:rPr>
                <w:rFonts w:ascii="宋体" w:hAnsi="宋体"/>
                <w:color w:val="000000"/>
              </w:rPr>
            </w:pPr>
            <w:r>
              <w:rPr>
                <w:rFonts w:ascii="宋体" w:hAnsi="宋体"/>
                <w:color w:val="000000"/>
              </w:rPr>
              <w:t> </w:t>
            </w:r>
          </w:p>
        </w:tc>
        <w:tc>
          <w:tcPr>
            <w:tcW w:w="1612" w:type="dxa"/>
            <w:tcBorders>
              <w:top w:val="single" w:color="000000" w:sz="8" w:space="0"/>
              <w:left w:val="single" w:color="000000" w:sz="8" w:space="0"/>
              <w:bottom w:val="single" w:color="000000" w:sz="8" w:space="0"/>
              <w:right w:val="single" w:color="000000" w:sz="18" w:space="0"/>
            </w:tcBorders>
            <w:vAlign w:val="center"/>
          </w:tcPr>
          <w:p>
            <w:pPr>
              <w:spacing w:line="240" w:lineRule="atLeast"/>
              <w:rPr>
                <w:rFonts w:ascii="宋体" w:hAnsi="宋体"/>
                <w:color w:val="000000"/>
              </w:rPr>
            </w:pPr>
            <w:r>
              <w:rPr>
                <w:rFonts w:ascii="宋体" w:hAnsi="宋体"/>
                <w:color w:val="000000"/>
              </w:rPr>
              <w:t> </w:t>
            </w:r>
          </w:p>
        </w:tc>
      </w:tr>
    </w:tbl>
    <w:p>
      <w:pPr>
        <w:pStyle w:val="26"/>
        <w:rPr>
          <w:rFonts w:hint="default" w:hAnsi="宋体"/>
          <w:color w:val="000000"/>
        </w:rPr>
        <w:sectPr>
          <w:type w:val="continuous"/>
          <w:pgSz w:w="11906" w:h="16838"/>
          <w:pgMar w:top="1440" w:right="1800" w:bottom="312" w:left="1800" w:header="851" w:footer="992" w:gutter="0"/>
          <w:cols w:space="720" w:num="1"/>
          <w:docGrid w:type="lines" w:linePitch="312" w:charSpace="0"/>
        </w:sectPr>
      </w:pPr>
    </w:p>
    <w:p>
      <w:pPr>
        <w:autoSpaceDE w:val="0"/>
        <w:autoSpaceDN w:val="0"/>
        <w:adjustRightInd w:val="0"/>
        <w:spacing w:line="360" w:lineRule="auto"/>
        <w:ind w:right="-20"/>
        <w:rPr>
          <w:rFonts w:ascii="宋体" w:hAnsi="宋体"/>
          <w:color w:val="000000"/>
          <w:sz w:val="21"/>
          <w:szCs w:val="21"/>
        </w:rPr>
      </w:pPr>
      <w:r>
        <w:rPr>
          <w:rFonts w:hint="eastAsia" w:ascii="宋体" w:hAnsi="宋体"/>
          <w:color w:val="000000"/>
          <w:sz w:val="21"/>
          <w:szCs w:val="21"/>
        </w:rPr>
        <w:t>注：（1）“主要人员简历表”中的项目经理应附项目经理证、身份证、职称证、养老保险复印件；技术负责人应附身份证、职称证、养老保险复印件；其他主要人员应附职称证（执业证或上岗证书）。 如不实，属于弄虚作假，取消中标资格。</w:t>
      </w:r>
    </w:p>
    <w:p>
      <w:pPr>
        <w:autoSpaceDE w:val="0"/>
        <w:autoSpaceDN w:val="0"/>
        <w:adjustRightInd w:val="0"/>
        <w:spacing w:line="360" w:lineRule="auto"/>
        <w:ind w:right="-20"/>
        <w:rPr>
          <w:rFonts w:ascii="宋体" w:hAnsi="宋体"/>
          <w:color w:val="000000"/>
          <w:sz w:val="21"/>
          <w:szCs w:val="21"/>
        </w:rPr>
      </w:pPr>
      <w:r>
        <w:rPr>
          <w:rFonts w:hint="eastAsia" w:ascii="宋体" w:hAnsi="宋体"/>
          <w:color w:val="000000"/>
          <w:sz w:val="21"/>
          <w:szCs w:val="21"/>
        </w:rPr>
        <w:t>（2</w:t>
      </w:r>
      <w:r>
        <w:rPr>
          <w:rFonts w:ascii="宋体" w:hAnsi="宋体"/>
          <w:color w:val="000000"/>
          <w:sz w:val="21"/>
          <w:szCs w:val="21"/>
        </w:rPr>
        <w:t>）</w:t>
      </w:r>
      <w:r>
        <w:rPr>
          <w:rFonts w:hint="eastAsia" w:ascii="宋体" w:hAnsi="宋体"/>
          <w:color w:val="000000"/>
          <w:sz w:val="21"/>
          <w:szCs w:val="21"/>
        </w:rPr>
        <w:t>主要人员的养老保险是指，主要人员在该供应商单位的养老保险缴纳凭证或由社保部门出具的主要人员在该供应商单位参保的证明。</w:t>
      </w:r>
    </w:p>
    <w:p>
      <w:pPr>
        <w:autoSpaceDE w:val="0"/>
        <w:autoSpaceDN w:val="0"/>
        <w:adjustRightInd w:val="0"/>
        <w:spacing w:line="360" w:lineRule="auto"/>
        <w:ind w:right="-20"/>
        <w:jc w:val="center"/>
        <w:rPr>
          <w:rFonts w:hAnsi="宋体"/>
          <w:b/>
          <w:color w:val="000000"/>
        </w:rPr>
      </w:pPr>
      <w:r>
        <w:rPr>
          <w:bCs/>
          <w:color w:val="000000"/>
        </w:rPr>
        <w:br w:type="page"/>
      </w:r>
      <w:r>
        <w:rPr>
          <w:rFonts w:hint="eastAsia" w:hAnsi="宋体"/>
          <w:b/>
          <w:color w:val="000000"/>
        </w:rPr>
        <w:t>六、类似项目情况表</w:t>
      </w:r>
    </w:p>
    <w:tbl>
      <w:tblPr>
        <w:tblStyle w:val="46"/>
        <w:tblW w:w="9333" w:type="dxa"/>
        <w:tblInd w:w="-704" w:type="dxa"/>
        <w:tblLayout w:type="fixed"/>
        <w:tblCellMar>
          <w:top w:w="0" w:type="dxa"/>
          <w:left w:w="0" w:type="dxa"/>
          <w:bottom w:w="0" w:type="dxa"/>
          <w:right w:w="0" w:type="dxa"/>
        </w:tblCellMar>
      </w:tblPr>
      <w:tblGrid>
        <w:gridCol w:w="2694"/>
        <w:gridCol w:w="6639"/>
      </w:tblGrid>
      <w:tr>
        <w:tblPrEx>
          <w:tblCellMar>
            <w:top w:w="0" w:type="dxa"/>
            <w:left w:w="0" w:type="dxa"/>
            <w:bottom w:w="0" w:type="dxa"/>
            <w:right w:w="0" w:type="dxa"/>
          </w:tblCellMar>
        </w:tblPrEx>
        <w:trPr>
          <w:trHeight w:val="466" w:hRule="exact"/>
        </w:trPr>
        <w:tc>
          <w:tcPr>
            <w:tcW w:w="2694"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45" w:lineRule="exact"/>
              <w:ind w:left="738" w:right="-20"/>
              <w:rPr>
                <w:color w:val="000000"/>
              </w:rPr>
            </w:pPr>
            <w:r>
              <w:rPr>
                <w:rFonts w:hint="eastAsia" w:ascii="宋体" w:cs="宋体"/>
                <w:color w:val="000000"/>
                <w:position w:val="-4"/>
              </w:rPr>
              <w:t>项目名称</w:t>
            </w:r>
          </w:p>
        </w:tc>
        <w:tc>
          <w:tcPr>
            <w:tcW w:w="663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rPr>
                <w:color w:val="000000"/>
              </w:rPr>
            </w:pPr>
          </w:p>
        </w:tc>
      </w:tr>
      <w:tr>
        <w:tblPrEx>
          <w:tblCellMar>
            <w:top w:w="0" w:type="dxa"/>
            <w:left w:w="0" w:type="dxa"/>
            <w:bottom w:w="0" w:type="dxa"/>
            <w:right w:w="0" w:type="dxa"/>
          </w:tblCellMar>
        </w:tblPrEx>
        <w:trPr>
          <w:trHeight w:val="461" w:hRule="exact"/>
        </w:trPr>
        <w:tc>
          <w:tcPr>
            <w:tcW w:w="2694"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40" w:lineRule="exact"/>
              <w:ind w:left="618" w:right="-20"/>
              <w:rPr>
                <w:color w:val="000000"/>
              </w:rPr>
            </w:pPr>
            <w:r>
              <w:rPr>
                <w:rFonts w:hint="eastAsia" w:ascii="宋体" w:cs="宋体"/>
                <w:color w:val="000000"/>
                <w:position w:val="-3"/>
              </w:rPr>
              <w:t>项目所在地</w:t>
            </w:r>
          </w:p>
        </w:tc>
        <w:tc>
          <w:tcPr>
            <w:tcW w:w="663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rPr>
                <w:color w:val="000000"/>
              </w:rPr>
            </w:pPr>
          </w:p>
        </w:tc>
      </w:tr>
      <w:tr>
        <w:tblPrEx>
          <w:tblCellMar>
            <w:top w:w="0" w:type="dxa"/>
            <w:left w:w="0" w:type="dxa"/>
            <w:bottom w:w="0" w:type="dxa"/>
            <w:right w:w="0" w:type="dxa"/>
          </w:tblCellMar>
        </w:tblPrEx>
        <w:trPr>
          <w:trHeight w:val="461" w:hRule="exact"/>
        </w:trPr>
        <w:tc>
          <w:tcPr>
            <w:tcW w:w="2694"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45" w:lineRule="exact"/>
              <w:ind w:left="618" w:right="-20"/>
              <w:rPr>
                <w:color w:val="000000"/>
              </w:rPr>
            </w:pPr>
            <w:r>
              <w:rPr>
                <w:rFonts w:hint="eastAsia" w:ascii="宋体" w:cs="宋体"/>
                <w:color w:val="000000"/>
                <w:position w:val="-4"/>
              </w:rPr>
              <w:t>发包人名称</w:t>
            </w:r>
          </w:p>
        </w:tc>
        <w:tc>
          <w:tcPr>
            <w:tcW w:w="663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rPr>
                <w:color w:val="000000"/>
              </w:rPr>
            </w:pPr>
          </w:p>
        </w:tc>
      </w:tr>
      <w:tr>
        <w:tblPrEx>
          <w:tblCellMar>
            <w:top w:w="0" w:type="dxa"/>
            <w:left w:w="0" w:type="dxa"/>
            <w:bottom w:w="0" w:type="dxa"/>
            <w:right w:w="0" w:type="dxa"/>
          </w:tblCellMar>
        </w:tblPrEx>
        <w:trPr>
          <w:trHeight w:val="470" w:hRule="exact"/>
        </w:trPr>
        <w:tc>
          <w:tcPr>
            <w:tcW w:w="2694"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45" w:lineRule="exact"/>
              <w:ind w:left="618" w:right="-20"/>
              <w:rPr>
                <w:color w:val="000000"/>
              </w:rPr>
            </w:pPr>
            <w:r>
              <w:rPr>
                <w:rFonts w:hint="eastAsia" w:ascii="宋体" w:cs="宋体"/>
                <w:color w:val="000000"/>
                <w:position w:val="-4"/>
              </w:rPr>
              <w:t>发包人地址</w:t>
            </w:r>
          </w:p>
        </w:tc>
        <w:tc>
          <w:tcPr>
            <w:tcW w:w="663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rPr>
                <w:color w:val="000000"/>
              </w:rPr>
            </w:pPr>
          </w:p>
        </w:tc>
      </w:tr>
      <w:tr>
        <w:tblPrEx>
          <w:tblCellMar>
            <w:top w:w="0" w:type="dxa"/>
            <w:left w:w="0" w:type="dxa"/>
            <w:bottom w:w="0" w:type="dxa"/>
            <w:right w:w="0" w:type="dxa"/>
          </w:tblCellMar>
        </w:tblPrEx>
        <w:trPr>
          <w:trHeight w:val="480" w:hRule="exact"/>
        </w:trPr>
        <w:tc>
          <w:tcPr>
            <w:tcW w:w="2694"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50" w:lineRule="exact"/>
              <w:ind w:left="618" w:right="-20"/>
              <w:rPr>
                <w:color w:val="000000"/>
              </w:rPr>
            </w:pPr>
            <w:r>
              <w:rPr>
                <w:rFonts w:hint="eastAsia" w:ascii="宋体" w:cs="宋体"/>
                <w:color w:val="000000"/>
                <w:position w:val="-4"/>
              </w:rPr>
              <w:t>发包人电话</w:t>
            </w:r>
          </w:p>
        </w:tc>
        <w:tc>
          <w:tcPr>
            <w:tcW w:w="663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rPr>
                <w:color w:val="000000"/>
              </w:rPr>
            </w:pPr>
          </w:p>
        </w:tc>
      </w:tr>
      <w:tr>
        <w:tblPrEx>
          <w:tblCellMar>
            <w:top w:w="0" w:type="dxa"/>
            <w:left w:w="0" w:type="dxa"/>
            <w:bottom w:w="0" w:type="dxa"/>
            <w:right w:w="0" w:type="dxa"/>
          </w:tblCellMar>
        </w:tblPrEx>
        <w:trPr>
          <w:trHeight w:val="456" w:hRule="exact"/>
        </w:trPr>
        <w:tc>
          <w:tcPr>
            <w:tcW w:w="2694"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40" w:lineRule="exact"/>
              <w:ind w:left="738" w:right="-20"/>
              <w:rPr>
                <w:color w:val="000000"/>
              </w:rPr>
            </w:pPr>
            <w:r>
              <w:rPr>
                <w:rFonts w:hint="eastAsia" w:ascii="宋体" w:cs="宋体"/>
                <w:color w:val="000000"/>
                <w:position w:val="-3"/>
              </w:rPr>
              <w:t>合同价格</w:t>
            </w:r>
          </w:p>
        </w:tc>
        <w:tc>
          <w:tcPr>
            <w:tcW w:w="663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rPr>
                <w:color w:val="000000"/>
              </w:rPr>
            </w:pPr>
          </w:p>
        </w:tc>
      </w:tr>
      <w:tr>
        <w:tblPrEx>
          <w:tblCellMar>
            <w:top w:w="0" w:type="dxa"/>
            <w:left w:w="0" w:type="dxa"/>
            <w:bottom w:w="0" w:type="dxa"/>
            <w:right w:w="0" w:type="dxa"/>
          </w:tblCellMar>
        </w:tblPrEx>
        <w:trPr>
          <w:trHeight w:val="475" w:hRule="exact"/>
        </w:trPr>
        <w:tc>
          <w:tcPr>
            <w:tcW w:w="2694"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50" w:lineRule="exact"/>
              <w:ind w:left="738" w:right="-20"/>
              <w:rPr>
                <w:color w:val="000000"/>
              </w:rPr>
            </w:pPr>
            <w:r>
              <w:rPr>
                <w:rFonts w:hint="eastAsia" w:ascii="宋体" w:cs="宋体"/>
                <w:color w:val="000000"/>
                <w:position w:val="-4"/>
              </w:rPr>
              <w:t>开工日期</w:t>
            </w:r>
          </w:p>
        </w:tc>
        <w:tc>
          <w:tcPr>
            <w:tcW w:w="663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rPr>
                <w:color w:val="000000"/>
              </w:rPr>
            </w:pPr>
          </w:p>
        </w:tc>
      </w:tr>
      <w:tr>
        <w:tblPrEx>
          <w:tblCellMar>
            <w:top w:w="0" w:type="dxa"/>
            <w:left w:w="0" w:type="dxa"/>
            <w:bottom w:w="0" w:type="dxa"/>
            <w:right w:w="0" w:type="dxa"/>
          </w:tblCellMar>
        </w:tblPrEx>
        <w:trPr>
          <w:trHeight w:val="576" w:hRule="exact"/>
        </w:trPr>
        <w:tc>
          <w:tcPr>
            <w:tcW w:w="2694"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before="44"/>
              <w:ind w:left="738" w:right="-20"/>
              <w:rPr>
                <w:color w:val="000000"/>
              </w:rPr>
            </w:pPr>
            <w:r>
              <w:rPr>
                <w:rFonts w:hint="eastAsia" w:ascii="宋体" w:cs="宋体"/>
                <w:color w:val="000000"/>
              </w:rPr>
              <w:t>竣工日期</w:t>
            </w:r>
          </w:p>
        </w:tc>
        <w:tc>
          <w:tcPr>
            <w:tcW w:w="663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rPr>
                <w:color w:val="000000"/>
              </w:rPr>
            </w:pPr>
          </w:p>
        </w:tc>
      </w:tr>
      <w:tr>
        <w:tblPrEx>
          <w:tblCellMar>
            <w:top w:w="0" w:type="dxa"/>
            <w:left w:w="0" w:type="dxa"/>
            <w:bottom w:w="0" w:type="dxa"/>
            <w:right w:w="0" w:type="dxa"/>
          </w:tblCellMar>
        </w:tblPrEx>
        <w:trPr>
          <w:trHeight w:val="514" w:hRule="exact"/>
        </w:trPr>
        <w:tc>
          <w:tcPr>
            <w:tcW w:w="2694"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before="15"/>
              <w:ind w:left="618" w:right="-20"/>
              <w:rPr>
                <w:color w:val="000000"/>
              </w:rPr>
            </w:pPr>
            <w:r>
              <w:rPr>
                <w:rFonts w:hint="eastAsia" w:ascii="宋体" w:cs="宋体"/>
                <w:color w:val="000000"/>
              </w:rPr>
              <w:t>承担的工作</w:t>
            </w:r>
          </w:p>
        </w:tc>
        <w:tc>
          <w:tcPr>
            <w:tcW w:w="663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rPr>
                <w:color w:val="000000"/>
              </w:rPr>
            </w:pPr>
          </w:p>
        </w:tc>
      </w:tr>
      <w:tr>
        <w:tblPrEx>
          <w:tblCellMar>
            <w:top w:w="0" w:type="dxa"/>
            <w:left w:w="0" w:type="dxa"/>
            <w:bottom w:w="0" w:type="dxa"/>
            <w:right w:w="0" w:type="dxa"/>
          </w:tblCellMar>
        </w:tblPrEx>
        <w:trPr>
          <w:trHeight w:val="581" w:hRule="exact"/>
        </w:trPr>
        <w:tc>
          <w:tcPr>
            <w:tcW w:w="2694"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before="44"/>
              <w:ind w:left="738" w:right="-20"/>
              <w:rPr>
                <w:color w:val="000000"/>
              </w:rPr>
            </w:pPr>
            <w:r>
              <w:rPr>
                <w:rFonts w:hint="eastAsia" w:ascii="宋体" w:cs="宋体"/>
                <w:color w:val="000000"/>
              </w:rPr>
              <w:t>工程质量</w:t>
            </w:r>
          </w:p>
        </w:tc>
        <w:tc>
          <w:tcPr>
            <w:tcW w:w="663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rPr>
                <w:color w:val="000000"/>
              </w:rPr>
            </w:pPr>
          </w:p>
        </w:tc>
      </w:tr>
      <w:tr>
        <w:tblPrEx>
          <w:tblCellMar>
            <w:top w:w="0" w:type="dxa"/>
            <w:left w:w="0" w:type="dxa"/>
            <w:bottom w:w="0" w:type="dxa"/>
            <w:right w:w="0" w:type="dxa"/>
          </w:tblCellMar>
        </w:tblPrEx>
        <w:trPr>
          <w:trHeight w:val="514" w:hRule="exact"/>
        </w:trPr>
        <w:tc>
          <w:tcPr>
            <w:tcW w:w="2694"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before="15"/>
              <w:ind w:left="738" w:right="-20"/>
              <w:rPr>
                <w:color w:val="000000"/>
              </w:rPr>
            </w:pPr>
            <w:r>
              <w:rPr>
                <w:rFonts w:hint="eastAsia" w:ascii="宋体" w:cs="宋体"/>
                <w:color w:val="000000"/>
              </w:rPr>
              <w:t>项目经理</w:t>
            </w:r>
          </w:p>
        </w:tc>
        <w:tc>
          <w:tcPr>
            <w:tcW w:w="663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rPr>
                <w:color w:val="000000"/>
              </w:rPr>
            </w:pPr>
          </w:p>
        </w:tc>
      </w:tr>
      <w:tr>
        <w:tblPrEx>
          <w:tblCellMar>
            <w:top w:w="0" w:type="dxa"/>
            <w:left w:w="0" w:type="dxa"/>
            <w:bottom w:w="0" w:type="dxa"/>
            <w:right w:w="0" w:type="dxa"/>
          </w:tblCellMar>
        </w:tblPrEx>
        <w:trPr>
          <w:trHeight w:val="451" w:hRule="exact"/>
        </w:trPr>
        <w:tc>
          <w:tcPr>
            <w:tcW w:w="2694"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35" w:lineRule="exact"/>
              <w:ind w:left="618" w:right="-20"/>
              <w:rPr>
                <w:color w:val="000000"/>
              </w:rPr>
            </w:pPr>
            <w:r>
              <w:rPr>
                <w:rFonts w:hint="eastAsia" w:ascii="宋体" w:cs="宋体"/>
                <w:color w:val="000000"/>
                <w:position w:val="-3"/>
              </w:rPr>
              <w:t>技术负责人</w:t>
            </w:r>
          </w:p>
        </w:tc>
        <w:tc>
          <w:tcPr>
            <w:tcW w:w="663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rPr>
                <w:color w:val="000000"/>
              </w:rPr>
            </w:pPr>
          </w:p>
        </w:tc>
      </w:tr>
      <w:tr>
        <w:tblPrEx>
          <w:tblCellMar>
            <w:top w:w="0" w:type="dxa"/>
            <w:left w:w="0" w:type="dxa"/>
            <w:bottom w:w="0" w:type="dxa"/>
            <w:right w:w="0" w:type="dxa"/>
          </w:tblCellMar>
        </w:tblPrEx>
        <w:trPr>
          <w:trHeight w:val="576" w:hRule="exact"/>
        </w:trPr>
        <w:tc>
          <w:tcPr>
            <w:tcW w:w="2694"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before="44"/>
              <w:ind w:left="138" w:right="-20"/>
              <w:rPr>
                <w:color w:val="000000"/>
              </w:rPr>
            </w:pPr>
            <w:r>
              <w:rPr>
                <w:rFonts w:hint="eastAsia" w:ascii="宋体" w:cs="宋体"/>
                <w:color w:val="000000"/>
              </w:rPr>
              <w:t>总监理工程师及电话</w:t>
            </w:r>
          </w:p>
        </w:tc>
        <w:tc>
          <w:tcPr>
            <w:tcW w:w="663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rPr>
                <w:color w:val="000000"/>
              </w:rPr>
            </w:pPr>
          </w:p>
        </w:tc>
      </w:tr>
      <w:tr>
        <w:tblPrEx>
          <w:tblCellMar>
            <w:top w:w="0" w:type="dxa"/>
            <w:left w:w="0" w:type="dxa"/>
            <w:bottom w:w="0" w:type="dxa"/>
            <w:right w:w="0" w:type="dxa"/>
          </w:tblCellMar>
        </w:tblPrEx>
        <w:trPr>
          <w:trHeight w:val="1454" w:hRule="exact"/>
        </w:trPr>
        <w:tc>
          <w:tcPr>
            <w:tcW w:w="269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ind w:right="-20"/>
              <w:jc w:val="center"/>
              <w:rPr>
                <w:color w:val="000000"/>
              </w:rPr>
            </w:pPr>
            <w:r>
              <w:rPr>
                <w:rFonts w:hint="eastAsia" w:ascii="宋体" w:cs="宋体"/>
                <w:color w:val="000000"/>
              </w:rPr>
              <w:t>项目描述</w:t>
            </w:r>
          </w:p>
        </w:tc>
        <w:tc>
          <w:tcPr>
            <w:tcW w:w="663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color w:val="000000"/>
              </w:rPr>
            </w:pPr>
          </w:p>
        </w:tc>
      </w:tr>
      <w:tr>
        <w:tblPrEx>
          <w:tblCellMar>
            <w:top w:w="0" w:type="dxa"/>
            <w:left w:w="0" w:type="dxa"/>
            <w:bottom w:w="0" w:type="dxa"/>
            <w:right w:w="0" w:type="dxa"/>
          </w:tblCellMar>
        </w:tblPrEx>
        <w:trPr>
          <w:trHeight w:val="576" w:hRule="exact"/>
        </w:trPr>
        <w:tc>
          <w:tcPr>
            <w:tcW w:w="2694"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before="44"/>
              <w:ind w:left="940" w:right="920"/>
              <w:jc w:val="center"/>
              <w:rPr>
                <w:color w:val="000000"/>
              </w:rPr>
            </w:pPr>
            <w:r>
              <w:rPr>
                <w:rFonts w:hint="eastAsia" w:ascii="宋体" w:cs="宋体"/>
                <w:color w:val="000000"/>
              </w:rPr>
              <w:t>备注</w:t>
            </w:r>
          </w:p>
        </w:tc>
        <w:tc>
          <w:tcPr>
            <w:tcW w:w="663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rPr>
                <w:color w:val="000000"/>
              </w:rPr>
            </w:pPr>
          </w:p>
        </w:tc>
      </w:tr>
    </w:tbl>
    <w:p>
      <w:pPr>
        <w:spacing w:line="400" w:lineRule="exact"/>
        <w:rPr>
          <w:rFonts w:ascii="宋体" w:hAnsi="宋体"/>
          <w:b/>
          <w:color w:val="000000"/>
        </w:rPr>
      </w:pPr>
    </w:p>
    <w:p>
      <w:pPr>
        <w:spacing w:line="360" w:lineRule="auto"/>
        <w:ind w:firstLine="463" w:firstLineChars="192"/>
        <w:jc w:val="center"/>
        <w:rPr>
          <w:rFonts w:hAnsi="宋体"/>
          <w:b/>
          <w:color w:val="000000"/>
        </w:rPr>
      </w:pPr>
      <w:r>
        <w:rPr>
          <w:rFonts w:hAnsi="宋体"/>
          <w:b/>
          <w:color w:val="000000"/>
        </w:rPr>
        <w:br w:type="page"/>
      </w:r>
      <w:r>
        <w:rPr>
          <w:rFonts w:hAnsi="宋体"/>
          <w:b/>
          <w:color w:val="000000"/>
        </w:rPr>
        <w:t>七、中小企业申明</w:t>
      </w:r>
    </w:p>
    <w:p>
      <w:pPr>
        <w:rPr>
          <w:color w:val="000000"/>
        </w:rPr>
      </w:pPr>
    </w:p>
    <w:p>
      <w:pPr>
        <w:spacing w:line="588" w:lineRule="exact"/>
        <w:ind w:firstLine="504" w:firstLineChars="200"/>
        <w:rPr>
          <w:rFonts w:ascii="宋体" w:hAnsi="宋体"/>
          <w:color w:val="000000"/>
          <w:spacing w:val="6"/>
        </w:rPr>
      </w:pPr>
      <w:r>
        <w:rPr>
          <w:rFonts w:hint="eastAsia" w:ascii="宋体" w:hAnsi="宋体"/>
          <w:color w:val="000000"/>
          <w:spacing w:val="6"/>
        </w:rPr>
        <w:t>本公司郑重声明，根据《政府采购促进中小企业发展暂行办法》（财库[2011]181号）的规定，本公司为</w:t>
      </w:r>
      <w:bookmarkStart w:id="738" w:name="OLE_LINK5"/>
      <w:bookmarkStart w:id="739" w:name="OLE_LINK2"/>
      <w:r>
        <w:rPr>
          <w:rFonts w:hint="eastAsia" w:ascii="宋体" w:hAnsi="宋体"/>
          <w:color w:val="000000"/>
          <w:spacing w:val="6"/>
        </w:rPr>
        <w:t>______（请填写：中型、小型、微型）企业</w:t>
      </w:r>
      <w:bookmarkEnd w:id="738"/>
      <w:bookmarkEnd w:id="739"/>
      <w:r>
        <w:rPr>
          <w:rFonts w:hint="eastAsia" w:ascii="宋体" w:hAnsi="宋体"/>
          <w:color w:val="000000"/>
          <w:spacing w:val="6"/>
        </w:rPr>
        <w:t>。即，本公司同时满足以下条件：</w:t>
      </w:r>
    </w:p>
    <w:p>
      <w:pPr>
        <w:spacing w:line="588" w:lineRule="exact"/>
        <w:ind w:firstLine="504" w:firstLineChars="200"/>
        <w:rPr>
          <w:rFonts w:ascii="宋体" w:hAnsi="宋体"/>
          <w:color w:val="000000"/>
          <w:spacing w:val="6"/>
        </w:rPr>
      </w:pPr>
      <w:r>
        <w:rPr>
          <w:rFonts w:hint="eastAsia" w:ascii="宋体" w:hAnsi="宋体"/>
          <w:color w:val="000000"/>
          <w:spacing w:val="6"/>
        </w:rPr>
        <w:t>1.根据《工业和信息化部、国家统计局、国家发展和改革委员会、财政部关于印发中小企业划型标准规定的通知》（工信部联企业[2011]300号）规定的划分标准，本公司为______（请填写：中型、小型、微型）企业。</w:t>
      </w:r>
    </w:p>
    <w:p>
      <w:pPr>
        <w:spacing w:line="588" w:lineRule="exact"/>
        <w:ind w:firstLine="504" w:firstLineChars="200"/>
        <w:rPr>
          <w:rFonts w:ascii="宋体" w:hAnsi="宋体"/>
          <w:color w:val="000000"/>
          <w:spacing w:val="6"/>
        </w:rPr>
      </w:pPr>
      <w:r>
        <w:rPr>
          <w:rFonts w:hint="eastAsia" w:ascii="宋体" w:hAnsi="宋体"/>
          <w:color w:val="000000"/>
          <w:spacing w:val="6"/>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pPr>
        <w:spacing w:line="588" w:lineRule="exact"/>
        <w:ind w:firstLine="504" w:firstLineChars="200"/>
        <w:rPr>
          <w:rFonts w:ascii="宋体" w:hAnsi="宋体"/>
          <w:color w:val="000000"/>
          <w:spacing w:val="6"/>
        </w:rPr>
      </w:pPr>
      <w:r>
        <w:rPr>
          <w:rFonts w:hint="eastAsia" w:ascii="宋体" w:hAnsi="宋体"/>
          <w:color w:val="000000"/>
          <w:spacing w:val="6"/>
        </w:rPr>
        <w:t>本公司对上述声明的真实性负责。如有虚假，将依法承担相应责任。</w:t>
      </w:r>
    </w:p>
    <w:p>
      <w:pPr>
        <w:spacing w:line="588" w:lineRule="exact"/>
        <w:ind w:firstLine="504" w:firstLineChars="200"/>
        <w:rPr>
          <w:rFonts w:ascii="宋体" w:hAnsi="宋体"/>
          <w:color w:val="000000"/>
          <w:spacing w:val="6"/>
        </w:rPr>
      </w:pPr>
    </w:p>
    <w:p>
      <w:pPr>
        <w:spacing w:line="588" w:lineRule="exact"/>
        <w:ind w:firstLine="504" w:firstLineChars="200"/>
        <w:rPr>
          <w:rFonts w:ascii="宋体" w:hAnsi="宋体"/>
          <w:color w:val="000000"/>
          <w:spacing w:val="6"/>
        </w:rPr>
      </w:pPr>
    </w:p>
    <w:p>
      <w:pPr>
        <w:tabs>
          <w:tab w:val="left" w:pos="4860"/>
        </w:tabs>
        <w:spacing w:line="588" w:lineRule="exact"/>
        <w:ind w:right="1560" w:firstLine="504" w:firstLineChars="200"/>
        <w:jc w:val="center"/>
        <w:rPr>
          <w:rFonts w:ascii="宋体" w:hAnsi="宋体"/>
          <w:color w:val="000000"/>
          <w:spacing w:val="6"/>
        </w:rPr>
      </w:pPr>
      <w:r>
        <w:rPr>
          <w:rFonts w:hint="eastAsia" w:ascii="宋体" w:hAnsi="宋体"/>
          <w:color w:val="000000"/>
          <w:spacing w:val="6"/>
        </w:rPr>
        <w:t xml:space="preserve">                            供应商名称（盖章）： </w:t>
      </w:r>
    </w:p>
    <w:p>
      <w:pPr>
        <w:tabs>
          <w:tab w:val="left" w:pos="4860"/>
        </w:tabs>
        <w:spacing w:line="588" w:lineRule="exact"/>
        <w:ind w:right="1560" w:firstLine="504" w:firstLineChars="200"/>
        <w:jc w:val="center"/>
        <w:rPr>
          <w:rFonts w:ascii="宋体" w:hAnsi="宋体"/>
          <w:color w:val="000000"/>
          <w:spacing w:val="6"/>
        </w:rPr>
      </w:pPr>
    </w:p>
    <w:p>
      <w:pPr>
        <w:rPr>
          <w:color w:val="000000"/>
        </w:rPr>
      </w:pPr>
      <w:r>
        <w:rPr>
          <w:rFonts w:hint="eastAsia" w:ascii="宋体" w:hAnsi="宋体"/>
          <w:color w:val="000000"/>
          <w:spacing w:val="6"/>
        </w:rPr>
        <w:t xml:space="preserve">                                   日  期：         </w:t>
      </w:r>
    </w:p>
    <w:p>
      <w:pPr>
        <w:rPr>
          <w:color w:val="000000"/>
        </w:rPr>
      </w:pPr>
    </w:p>
    <w:p>
      <w:pPr>
        <w:rPr>
          <w:color w:val="000000"/>
        </w:rPr>
      </w:pPr>
    </w:p>
    <w:p>
      <w:pPr>
        <w:rPr>
          <w:color w:val="000000"/>
        </w:rPr>
      </w:pPr>
    </w:p>
    <w:p>
      <w:pPr>
        <w:spacing w:line="360" w:lineRule="auto"/>
        <w:ind w:firstLine="460" w:firstLineChars="192"/>
        <w:rPr>
          <w:rFonts w:ascii="宋体" w:hAnsi="宋体"/>
          <w:color w:val="000000"/>
        </w:rPr>
      </w:pPr>
    </w:p>
    <w:p>
      <w:pPr>
        <w:rPr>
          <w:rFonts w:ascii="宋体" w:hAnsi="宋体"/>
          <w:b/>
          <w:color w:val="000000"/>
        </w:rPr>
      </w:pPr>
    </w:p>
    <w:p>
      <w:pPr>
        <w:rPr>
          <w:rFonts w:ascii="宋体" w:hAnsi="宋体"/>
          <w:b/>
          <w:color w:val="000000"/>
        </w:rPr>
      </w:pPr>
    </w:p>
    <w:p>
      <w:pPr>
        <w:rPr>
          <w:rFonts w:ascii="宋体" w:hAnsi="宋体"/>
          <w:b/>
          <w:color w:val="000000"/>
        </w:rPr>
      </w:pPr>
    </w:p>
    <w:p>
      <w:pPr>
        <w:rPr>
          <w:rFonts w:hint="eastAsia" w:ascii="宋体" w:hAnsi="宋体"/>
          <w:b/>
          <w:color w:val="000000"/>
        </w:rPr>
      </w:pPr>
      <w:r>
        <w:rPr>
          <w:rFonts w:ascii="宋体" w:hAnsi="宋体"/>
          <w:b/>
          <w:color w:val="000000"/>
        </w:rPr>
        <w:t>注</w:t>
      </w:r>
      <w:r>
        <w:rPr>
          <w:rFonts w:hint="eastAsia" w:ascii="宋体" w:hAnsi="宋体"/>
          <w:b/>
          <w:color w:val="000000"/>
        </w:rPr>
        <w:t>：供应商为非企业单位的，可不提供此声明</w:t>
      </w:r>
    </w:p>
    <w:p>
      <w:pPr>
        <w:pStyle w:val="38"/>
        <w:rPr>
          <w:rFonts w:hint="eastAsia" w:ascii="宋体" w:hAnsi="宋体"/>
          <w:b/>
          <w:color w:val="000000"/>
        </w:rPr>
      </w:pPr>
    </w:p>
    <w:p>
      <w:pPr>
        <w:rPr>
          <w:rFonts w:hint="eastAsia" w:ascii="宋体" w:hAnsi="宋体"/>
          <w:b/>
          <w:color w:val="000000"/>
        </w:rPr>
      </w:pPr>
    </w:p>
    <w:p>
      <w:pPr>
        <w:pStyle w:val="38"/>
        <w:rPr>
          <w:rFonts w:hint="eastAsia" w:ascii="宋体" w:hAnsi="宋体"/>
          <w:b/>
          <w:color w:val="000000"/>
        </w:rPr>
      </w:pPr>
    </w:p>
    <w:p>
      <w:pPr>
        <w:rPr>
          <w:b/>
          <w:bCs/>
          <w:color w:val="000000"/>
          <w:sz w:val="28"/>
          <w:szCs w:val="28"/>
        </w:rPr>
      </w:pPr>
      <w:r>
        <w:rPr>
          <w:b/>
          <w:bCs/>
          <w:color w:val="000000"/>
          <w:sz w:val="28"/>
          <w:szCs w:val="28"/>
        </w:rPr>
        <w:t>最终投标报价表格式</w:t>
      </w:r>
    </w:p>
    <w:p>
      <w:pPr>
        <w:pStyle w:val="9"/>
      </w:pPr>
    </w:p>
    <w:p>
      <w:pPr>
        <w:rPr>
          <w:b/>
          <w:bCs/>
          <w:color w:val="000000"/>
        </w:rPr>
      </w:pPr>
    </w:p>
    <w:p>
      <w:pPr>
        <w:jc w:val="center"/>
        <w:rPr>
          <w:color w:val="000000"/>
        </w:rPr>
      </w:pPr>
      <w:r>
        <w:rPr>
          <w:b/>
          <w:bCs/>
          <w:color w:val="000000"/>
        </w:rPr>
        <w:t>竞争性</w:t>
      </w:r>
      <w:r>
        <w:rPr>
          <w:rFonts w:hint="eastAsia"/>
          <w:b/>
          <w:bCs/>
          <w:color w:val="000000"/>
          <w:lang w:val="en-US" w:eastAsia="zh-CN"/>
        </w:rPr>
        <w:t>磋商</w:t>
      </w:r>
      <w:r>
        <w:rPr>
          <w:b/>
          <w:bCs/>
          <w:color w:val="000000"/>
        </w:rPr>
        <w:t>最终报价表</w:t>
      </w:r>
    </w:p>
    <w:p>
      <w:pPr>
        <w:rPr>
          <w:color w:val="000000"/>
        </w:rPr>
      </w:pPr>
    </w:p>
    <w:p>
      <w:pPr>
        <w:rPr>
          <w:color w:val="000000"/>
        </w:rPr>
      </w:pPr>
      <w:r>
        <w:rPr>
          <w:color w:val="000000"/>
        </w:rPr>
        <w:t>供应商名称：</w:t>
      </w:r>
      <w:r>
        <w:rPr>
          <w:rFonts w:hint="eastAsia"/>
          <w:color w:val="000000"/>
        </w:rPr>
        <w:t xml:space="preserve">                       </w:t>
      </w:r>
      <w:r>
        <w:rPr>
          <w:color w:val="000000"/>
        </w:rPr>
        <w:t>项目编号：</w:t>
      </w:r>
    </w:p>
    <w:p>
      <w:pPr>
        <w:rPr>
          <w:color w:val="000000"/>
        </w:rPr>
      </w:pPr>
      <w:r>
        <w:rPr>
          <w:color w:val="000000"/>
        </w:rPr>
        <w:t>单位：人民币（元）</w:t>
      </w:r>
    </w:p>
    <w:tbl>
      <w:tblPr>
        <w:tblStyle w:val="46"/>
        <w:tblW w:w="9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1800"/>
        <w:gridCol w:w="1185"/>
        <w:gridCol w:w="3045"/>
        <w:gridCol w:w="1290"/>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6" w:hRule="atLeast"/>
        </w:trPr>
        <w:tc>
          <w:tcPr>
            <w:tcW w:w="706" w:type="dxa"/>
            <w:vAlign w:val="center"/>
          </w:tcPr>
          <w:p>
            <w:pPr>
              <w:rPr>
                <w:color w:val="000000"/>
              </w:rPr>
            </w:pPr>
            <w:r>
              <w:rPr>
                <w:color w:val="000000"/>
              </w:rPr>
              <w:t>序号</w:t>
            </w:r>
          </w:p>
        </w:tc>
        <w:tc>
          <w:tcPr>
            <w:tcW w:w="1800" w:type="dxa"/>
            <w:vAlign w:val="center"/>
          </w:tcPr>
          <w:p>
            <w:pPr>
              <w:jc w:val="center"/>
              <w:rPr>
                <w:rFonts w:hint="eastAsia" w:eastAsia="宋体"/>
                <w:color w:val="000000"/>
                <w:lang w:eastAsia="zh-CN"/>
              </w:rPr>
            </w:pPr>
            <w:r>
              <w:rPr>
                <w:color w:val="000000"/>
              </w:rPr>
              <w:t>最初报价</w:t>
            </w:r>
            <w:r>
              <w:rPr>
                <w:rFonts w:hint="eastAsia"/>
                <w:color w:val="000000"/>
                <w:lang w:eastAsia="zh-CN"/>
              </w:rPr>
              <w:t>（</w:t>
            </w:r>
            <w:r>
              <w:rPr>
                <w:rFonts w:hint="eastAsia"/>
                <w:color w:val="000000"/>
                <w:lang w:val="en-US" w:eastAsia="zh-CN"/>
              </w:rPr>
              <w:t>元</w:t>
            </w:r>
            <w:r>
              <w:rPr>
                <w:rFonts w:hint="eastAsia"/>
                <w:color w:val="000000"/>
                <w:lang w:eastAsia="zh-CN"/>
              </w:rPr>
              <w:t>）</w:t>
            </w:r>
          </w:p>
        </w:tc>
        <w:tc>
          <w:tcPr>
            <w:tcW w:w="1185" w:type="dxa"/>
            <w:vAlign w:val="center"/>
          </w:tcPr>
          <w:p>
            <w:pPr>
              <w:jc w:val="center"/>
              <w:rPr>
                <w:color w:val="000000"/>
              </w:rPr>
            </w:pPr>
            <w:r>
              <w:rPr>
                <w:color w:val="000000"/>
              </w:rPr>
              <w:t>调整因素</w:t>
            </w:r>
          </w:p>
        </w:tc>
        <w:tc>
          <w:tcPr>
            <w:tcW w:w="3045" w:type="dxa"/>
            <w:vAlign w:val="center"/>
          </w:tcPr>
          <w:p>
            <w:pPr>
              <w:jc w:val="center"/>
              <w:rPr>
                <w:rFonts w:hint="eastAsia" w:eastAsia="宋体"/>
                <w:color w:val="000000"/>
                <w:lang w:eastAsia="zh-CN"/>
              </w:rPr>
            </w:pPr>
            <w:r>
              <w:rPr>
                <w:color w:val="000000"/>
              </w:rPr>
              <w:t>最终报价</w:t>
            </w:r>
            <w:r>
              <w:rPr>
                <w:rFonts w:hint="eastAsia"/>
                <w:color w:val="000000"/>
                <w:lang w:eastAsia="zh-CN"/>
              </w:rPr>
              <w:t>（</w:t>
            </w:r>
            <w:r>
              <w:rPr>
                <w:rFonts w:hint="eastAsia"/>
                <w:color w:val="000000"/>
                <w:lang w:val="en-US" w:eastAsia="zh-CN"/>
              </w:rPr>
              <w:t>元</w:t>
            </w:r>
            <w:r>
              <w:rPr>
                <w:rFonts w:hint="eastAsia"/>
                <w:color w:val="000000"/>
                <w:lang w:eastAsia="zh-CN"/>
              </w:rPr>
              <w:t>）</w:t>
            </w:r>
          </w:p>
        </w:tc>
        <w:tc>
          <w:tcPr>
            <w:tcW w:w="1290" w:type="dxa"/>
            <w:vAlign w:val="center"/>
          </w:tcPr>
          <w:p>
            <w:pPr>
              <w:jc w:val="left"/>
              <w:rPr>
                <w:rFonts w:hint="eastAsia" w:eastAsia="宋体"/>
                <w:color w:val="000000"/>
                <w:lang w:eastAsia="zh-CN"/>
              </w:rPr>
            </w:pPr>
            <w:r>
              <w:rPr>
                <w:rFonts w:hint="eastAsia"/>
                <w:color w:val="000000"/>
                <w:lang w:val="en-US" w:eastAsia="zh-CN"/>
              </w:rPr>
              <w:t>工</w:t>
            </w:r>
            <w:r>
              <w:rPr>
                <w:color w:val="000000"/>
              </w:rPr>
              <w:t>期</w:t>
            </w:r>
            <w:r>
              <w:rPr>
                <w:rFonts w:hint="eastAsia"/>
                <w:color w:val="000000"/>
                <w:lang w:eastAsia="zh-CN"/>
              </w:rPr>
              <w:t>（</w:t>
            </w:r>
            <w:r>
              <w:rPr>
                <w:rFonts w:hint="eastAsia"/>
                <w:color w:val="000000"/>
                <w:lang w:val="en-US" w:eastAsia="zh-CN"/>
              </w:rPr>
              <w:t>天</w:t>
            </w:r>
            <w:r>
              <w:rPr>
                <w:rFonts w:hint="eastAsia"/>
                <w:color w:val="000000"/>
                <w:lang w:eastAsia="zh-CN"/>
              </w:rPr>
              <w:t>）</w:t>
            </w:r>
          </w:p>
        </w:tc>
        <w:tc>
          <w:tcPr>
            <w:tcW w:w="1191" w:type="dxa"/>
            <w:vAlign w:val="center"/>
          </w:tcPr>
          <w:p>
            <w:pPr>
              <w:rPr>
                <w:rFonts w:hint="eastAsia"/>
                <w:color w:val="000000"/>
                <w:lang w:val="en-US" w:eastAsia="zh-CN"/>
              </w:rPr>
            </w:pPr>
            <w:r>
              <w:rPr>
                <w:rFonts w:hint="eastAsia" w:ascii="宋体" w:hAnsi="宋体"/>
                <w:color w:val="auto"/>
                <w:sz w:val="24"/>
                <w:lang w:eastAsia="zh-CN"/>
              </w:rPr>
              <w:t>工程质量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6" w:hRule="atLeast"/>
        </w:trPr>
        <w:tc>
          <w:tcPr>
            <w:tcW w:w="706" w:type="dxa"/>
            <w:vMerge w:val="restart"/>
          </w:tcPr>
          <w:p>
            <w:pPr>
              <w:rPr>
                <w:color w:val="000000"/>
              </w:rPr>
            </w:pPr>
          </w:p>
        </w:tc>
        <w:tc>
          <w:tcPr>
            <w:tcW w:w="1800" w:type="dxa"/>
            <w:vMerge w:val="restart"/>
          </w:tcPr>
          <w:p>
            <w:pPr>
              <w:rPr>
                <w:color w:val="000000"/>
              </w:rPr>
            </w:pPr>
          </w:p>
        </w:tc>
        <w:tc>
          <w:tcPr>
            <w:tcW w:w="1185" w:type="dxa"/>
            <w:vMerge w:val="restart"/>
          </w:tcPr>
          <w:p>
            <w:pPr>
              <w:rPr>
                <w:color w:val="000000"/>
              </w:rPr>
            </w:pPr>
          </w:p>
        </w:tc>
        <w:tc>
          <w:tcPr>
            <w:tcW w:w="3045" w:type="dxa"/>
            <w:tcBorders>
              <w:bottom w:val="single" w:color="auto" w:sz="4" w:space="0"/>
            </w:tcBorders>
            <w:vAlign w:val="center"/>
          </w:tcPr>
          <w:p>
            <w:pPr>
              <w:autoSpaceDE w:val="0"/>
              <w:autoSpaceDN w:val="0"/>
              <w:adjustRightInd w:val="0"/>
              <w:jc w:val="left"/>
              <w:rPr>
                <w:color w:val="000000"/>
              </w:rPr>
            </w:pPr>
            <w:r>
              <w:rPr>
                <w:rFonts w:hint="eastAsia" w:ascii="宋体" w:hAnsi="宋体"/>
                <w:color w:val="auto"/>
                <w:sz w:val="24"/>
              </w:rPr>
              <w:t>（大写）</w:t>
            </w:r>
          </w:p>
        </w:tc>
        <w:tc>
          <w:tcPr>
            <w:tcW w:w="1290" w:type="dxa"/>
            <w:vMerge w:val="restart"/>
          </w:tcPr>
          <w:p>
            <w:pPr>
              <w:rPr>
                <w:color w:val="000000"/>
              </w:rPr>
            </w:pPr>
          </w:p>
        </w:tc>
        <w:tc>
          <w:tcPr>
            <w:tcW w:w="1191" w:type="dxa"/>
            <w:vMerge w:val="restart"/>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6" w:hRule="atLeast"/>
        </w:trPr>
        <w:tc>
          <w:tcPr>
            <w:tcW w:w="706" w:type="dxa"/>
            <w:vMerge w:val="continue"/>
          </w:tcPr>
          <w:p>
            <w:pPr>
              <w:rPr>
                <w:color w:val="000000"/>
              </w:rPr>
            </w:pPr>
          </w:p>
        </w:tc>
        <w:tc>
          <w:tcPr>
            <w:tcW w:w="1800" w:type="dxa"/>
            <w:vMerge w:val="continue"/>
          </w:tcPr>
          <w:p>
            <w:pPr>
              <w:rPr>
                <w:color w:val="000000"/>
              </w:rPr>
            </w:pPr>
          </w:p>
        </w:tc>
        <w:tc>
          <w:tcPr>
            <w:tcW w:w="1185" w:type="dxa"/>
            <w:vMerge w:val="continue"/>
          </w:tcPr>
          <w:p>
            <w:pPr>
              <w:rPr>
                <w:color w:val="000000"/>
              </w:rPr>
            </w:pPr>
          </w:p>
        </w:tc>
        <w:tc>
          <w:tcPr>
            <w:tcW w:w="3045" w:type="dxa"/>
            <w:tcBorders>
              <w:bottom w:val="single" w:color="auto" w:sz="4" w:space="0"/>
            </w:tcBorders>
            <w:vAlign w:val="center"/>
          </w:tcPr>
          <w:p>
            <w:pPr>
              <w:autoSpaceDE w:val="0"/>
              <w:autoSpaceDN w:val="0"/>
              <w:adjustRightInd w:val="0"/>
              <w:jc w:val="left"/>
              <w:rPr>
                <w:color w:val="000000"/>
              </w:rPr>
            </w:pPr>
            <w:r>
              <w:rPr>
                <w:rFonts w:hint="eastAsia" w:ascii="宋体" w:hAnsi="宋体"/>
                <w:color w:val="auto"/>
                <w:sz w:val="24"/>
              </w:rPr>
              <w:t>（小写）</w:t>
            </w:r>
          </w:p>
        </w:tc>
        <w:tc>
          <w:tcPr>
            <w:tcW w:w="1290" w:type="dxa"/>
            <w:vMerge w:val="continue"/>
          </w:tcPr>
          <w:p>
            <w:pPr>
              <w:rPr>
                <w:color w:val="000000"/>
              </w:rPr>
            </w:pPr>
          </w:p>
        </w:tc>
        <w:tc>
          <w:tcPr>
            <w:tcW w:w="1191" w:type="dxa"/>
            <w:vMerge w:val="continue"/>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0" w:hRule="atLeast"/>
        </w:trPr>
        <w:tc>
          <w:tcPr>
            <w:tcW w:w="9217" w:type="dxa"/>
            <w:gridSpan w:val="6"/>
          </w:tcPr>
          <w:p>
            <w:pPr>
              <w:rPr>
                <w:color w:val="000000"/>
              </w:rPr>
            </w:pPr>
            <w:r>
              <w:rPr>
                <w:color w:val="000000"/>
              </w:rPr>
              <w:t>最终确定的质量保证及服务承诺（优惠条件）：</w:t>
            </w:r>
          </w:p>
        </w:tc>
      </w:tr>
    </w:tbl>
    <w:p>
      <w:pPr>
        <w:rPr>
          <w:color w:val="000000"/>
        </w:rPr>
      </w:pPr>
      <w:r>
        <w:rPr>
          <w:color w:val="000000"/>
        </w:rPr>
        <w:t>注：1.此表在</w:t>
      </w:r>
      <w:r>
        <w:rPr>
          <w:rFonts w:hint="eastAsia"/>
          <w:color w:val="000000"/>
          <w:lang w:val="en-US" w:eastAsia="zh-CN"/>
        </w:rPr>
        <w:t>磋商</w:t>
      </w:r>
      <w:r>
        <w:rPr>
          <w:color w:val="000000"/>
        </w:rPr>
        <w:t>开始前应提前将供应商、法定代表人或投标代表印章、签字准备好，待第一轮</w:t>
      </w:r>
      <w:r>
        <w:rPr>
          <w:rFonts w:hint="eastAsia"/>
          <w:color w:val="000000"/>
          <w:lang w:val="en-US" w:eastAsia="zh-CN"/>
        </w:rPr>
        <w:t>磋商</w:t>
      </w:r>
      <w:r>
        <w:rPr>
          <w:color w:val="000000"/>
        </w:rPr>
        <w:t>结束后填写投报。</w:t>
      </w:r>
    </w:p>
    <w:p>
      <w:pPr>
        <w:rPr>
          <w:color w:val="000000"/>
        </w:rPr>
      </w:pPr>
      <w:r>
        <w:rPr>
          <w:color w:val="000000"/>
        </w:rPr>
        <w:t xml:space="preserve"> 2.竞争性</w:t>
      </w:r>
      <w:r>
        <w:rPr>
          <w:rFonts w:hint="eastAsia"/>
          <w:color w:val="000000"/>
          <w:lang w:val="en-US" w:eastAsia="zh-CN"/>
        </w:rPr>
        <w:t>磋商</w:t>
      </w:r>
      <w:r>
        <w:rPr>
          <w:color w:val="000000"/>
        </w:rPr>
        <w:t>最终报价表按照</w:t>
      </w:r>
      <w:r>
        <w:rPr>
          <w:rFonts w:hint="eastAsia"/>
          <w:color w:val="000000"/>
          <w:lang w:val="en-US" w:eastAsia="zh-CN"/>
        </w:rPr>
        <w:t>磋商</w:t>
      </w:r>
      <w:r>
        <w:rPr>
          <w:color w:val="000000"/>
        </w:rPr>
        <w:t>文件的要求，填写完整后，供应商需自备信封密封完整，若因密封不完整等原因造成的一切后果由供应商自行承担，采购代理机构概不负责。</w:t>
      </w:r>
    </w:p>
    <w:p>
      <w:pPr>
        <w:rPr>
          <w:color w:val="000000"/>
        </w:rPr>
      </w:pPr>
    </w:p>
    <w:p>
      <w:pPr>
        <w:rPr>
          <w:color w:val="000000"/>
        </w:rPr>
      </w:pPr>
    </w:p>
    <w:p>
      <w:pPr>
        <w:pStyle w:val="9"/>
        <w:rPr>
          <w:color w:val="000000"/>
        </w:rPr>
      </w:pPr>
    </w:p>
    <w:p>
      <w:pPr>
        <w:rPr>
          <w:color w:val="000000"/>
        </w:rPr>
      </w:pPr>
    </w:p>
    <w:p>
      <w:pPr>
        <w:pStyle w:val="9"/>
      </w:pPr>
    </w:p>
    <w:p>
      <w:pPr>
        <w:rPr>
          <w:color w:val="000000"/>
        </w:rPr>
      </w:pPr>
    </w:p>
    <w:p>
      <w:pPr>
        <w:jc w:val="center"/>
        <w:rPr>
          <w:color w:val="000000"/>
        </w:rPr>
      </w:pPr>
      <w:r>
        <w:rPr>
          <w:rFonts w:hint="eastAsia"/>
          <w:color w:val="000000"/>
          <w:lang w:val="en-US" w:eastAsia="zh-CN"/>
        </w:rPr>
        <w:t xml:space="preserve">               </w:t>
      </w:r>
      <w:r>
        <w:rPr>
          <w:color w:val="000000"/>
        </w:rPr>
        <w:t>供应商名称（盖章）：</w:t>
      </w:r>
    </w:p>
    <w:p>
      <w:pPr>
        <w:jc w:val="center"/>
        <w:rPr>
          <w:color w:val="000000"/>
        </w:rPr>
      </w:pPr>
      <w:r>
        <w:rPr>
          <w:rFonts w:hint="eastAsia" w:ascii="宋体" w:hAnsi="Courier New" w:cs="宋体"/>
          <w:spacing w:val="5"/>
          <w:position w:val="-4"/>
          <w:szCs w:val="21"/>
        </w:rPr>
        <w:t>法</w:t>
      </w:r>
      <w:r>
        <w:rPr>
          <w:rFonts w:hint="eastAsia" w:ascii="宋体" w:hAnsi="Courier New" w:cs="宋体"/>
          <w:position w:val="-4"/>
          <w:szCs w:val="21"/>
        </w:rPr>
        <w:t>定代</w:t>
      </w:r>
      <w:r>
        <w:rPr>
          <w:rFonts w:hint="eastAsia" w:ascii="宋体" w:hAnsi="Courier New" w:cs="宋体"/>
          <w:spacing w:val="5"/>
          <w:position w:val="-4"/>
          <w:szCs w:val="21"/>
        </w:rPr>
        <w:t>表</w:t>
      </w:r>
      <w:r>
        <w:rPr>
          <w:rFonts w:hint="eastAsia" w:ascii="宋体" w:hAnsi="Courier New" w:cs="宋体"/>
          <w:position w:val="-4"/>
          <w:szCs w:val="21"/>
        </w:rPr>
        <w:t>人或委托</w:t>
      </w:r>
      <w:r>
        <w:rPr>
          <w:rFonts w:hint="eastAsia" w:ascii="宋体" w:hAnsi="Courier New" w:cs="宋体"/>
          <w:spacing w:val="5"/>
          <w:position w:val="-4"/>
          <w:szCs w:val="21"/>
        </w:rPr>
        <w:t>代理</w:t>
      </w:r>
      <w:r>
        <w:rPr>
          <w:rFonts w:hint="eastAsia" w:ascii="宋体" w:hAnsi="Courier New" w:cs="宋体"/>
          <w:position w:val="-4"/>
          <w:szCs w:val="21"/>
        </w:rPr>
        <w:t>人：</w:t>
      </w:r>
      <w:r>
        <w:rPr>
          <w:color w:val="000000"/>
        </w:rPr>
        <w:t>（签字）</w:t>
      </w:r>
      <w:r>
        <w:rPr>
          <w:rFonts w:hint="eastAsia"/>
          <w:color w:val="000000"/>
        </w:rPr>
        <w:t>：</w:t>
      </w:r>
    </w:p>
    <w:p>
      <w:pPr>
        <w:jc w:val="center"/>
      </w:pPr>
      <w:r>
        <w:rPr>
          <w:rFonts w:hint="eastAsia"/>
          <w:color w:val="000000"/>
          <w:lang w:val="en-US" w:eastAsia="zh-CN"/>
        </w:rPr>
        <w:t xml:space="preserve">            </w:t>
      </w:r>
      <w:r>
        <w:rPr>
          <w:color w:val="000000"/>
        </w:rPr>
        <w:t>年</w:t>
      </w:r>
      <w:r>
        <w:rPr>
          <w:rFonts w:hint="eastAsia"/>
          <w:color w:val="000000"/>
        </w:rPr>
        <w:t xml:space="preserve">    </w:t>
      </w:r>
      <w:r>
        <w:rPr>
          <w:color w:val="000000"/>
        </w:rPr>
        <w:t>月</w:t>
      </w:r>
      <w:r>
        <w:rPr>
          <w:rFonts w:hint="eastAsia"/>
          <w:color w:val="000000"/>
        </w:rPr>
        <w:t xml:space="preserve">   </w:t>
      </w:r>
      <w:r>
        <w:rPr>
          <w:color w:val="000000"/>
        </w:rPr>
        <w:t>日</w:t>
      </w:r>
    </w:p>
    <w:sectPr>
      <w:type w:val="continuous"/>
      <w:pgSz w:w="11906" w:h="16838"/>
      <w:pgMar w:top="1440" w:right="1800" w:bottom="1440" w:left="1800" w:header="851"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Arial Narrow">
    <w:panose1 w:val="020B0606020202030204"/>
    <w:charset w:val="00"/>
    <w:family w:val="swiss"/>
    <w:pitch w:val="default"/>
    <w:sig w:usb0="00000287" w:usb1="00000800" w:usb2="00000000" w:usb3="00000000" w:csb0="2000009F" w:csb1="DFD70000"/>
  </w:font>
  <w:font w:name="Tms Rmn">
    <w:altName w:val="Segoe Print"/>
    <w:panose1 w:val="02020603040505020304"/>
    <w:charset w:val="00"/>
    <w:family w:val="roman"/>
    <w:pitch w:val="default"/>
    <w:sig w:usb0="00000000" w:usb1="00000000" w:usb2="00000000" w:usb3="00000000" w:csb0="00000001" w:csb1="00000000"/>
  </w:font>
  <w:font w:name="Cambria">
    <w:panose1 w:val="02040503050406030204"/>
    <w:charset w:val="00"/>
    <w:family w:val="roman"/>
    <w:pitch w:val="default"/>
    <w:sig w:usb0="E00006FF" w:usb1="400004FF" w:usb2="00000000"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Eʩ">
    <w:altName w:val="微软雅黑"/>
    <w:panose1 w:val="00000000000000000000"/>
    <w:charset w:val="00"/>
    <w:family w:val="auto"/>
    <w:pitch w:val="default"/>
    <w:sig w:usb0="00000000" w:usb1="00000000" w:usb2="00000000" w:usb3="00000000" w:csb0="00040001" w:csb1="00000000"/>
  </w:font>
  <w:font w:name="仿宋_GB2312">
    <w:altName w:val="仿宋"/>
    <w:panose1 w:val="00000000000000000000"/>
    <w:charset w:val="86"/>
    <w:family w:val="auto"/>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楷体_GB2312">
    <w:altName w:val="楷体"/>
    <w:panose1 w:val="00000000000000000000"/>
    <w:charset w:val="86"/>
    <w:family w:val="roma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Times New (W1)">
    <w:altName w:val="Times New Roman"/>
    <w:panose1 w:val="00000000000000000000"/>
    <w:charset w:val="00"/>
    <w:family w:val="roman"/>
    <w:pitch w:val="default"/>
    <w:sig w:usb0="00000000" w:usb1="00000000" w:usb2="00000008" w:usb3="00000000" w:csb0="000001FF" w:csb1="00000000"/>
  </w:font>
  <w:font w:name="Verdana">
    <w:panose1 w:val="020B0604030504040204"/>
    <w:charset w:val="00"/>
    <w:family w:val="swiss"/>
    <w:pitch w:val="default"/>
    <w:sig w:usb0="A10006FF" w:usb1="4000205B" w:usb2="00000010" w:usb3="00000000" w:csb0="2000019F" w:csb1="00000000"/>
  </w:font>
  <w:font w:name="楷体à.ā">
    <w:altName w:val="黑体"/>
    <w:panose1 w:val="00000000000000000000"/>
    <w:charset w:val="86"/>
    <w:family w:val="modern"/>
    <w:pitch w:val="default"/>
    <w:sig w:usb0="00000000" w:usb1="00000000" w:usb2="00000010" w:usb3="00000000" w:csb0="00040000" w:csb1="00000000"/>
  </w:font>
  <w:font w:name="长城仿宋">
    <w:altName w:val="黑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TimesNewRomanPSMT">
    <w:altName w:val="宋体"/>
    <w:panose1 w:val="00000000000000000000"/>
    <w:charset w:val="00"/>
    <w:family w:val="roman"/>
    <w:pitch w:val="default"/>
    <w:sig w:usb0="00000000" w:usb1="00000000" w:usb2="00000010" w:usb3="00000000" w:csb0="00040001" w:csb1="00000000"/>
  </w:font>
  <w:font w:name="SymbolMT">
    <w:altName w:val="MS Gothic"/>
    <w:panose1 w:val="00000000000000000000"/>
    <w:charset w:val="80"/>
    <w:family w:val="auto"/>
    <w:pitch w:val="default"/>
    <w:sig w:usb0="00000000" w:usb1="0000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center"/>
    </w:pPr>
    <w:r>
      <w:fldChar w:fldCharType="begin"/>
    </w:r>
    <w:r>
      <w:rPr>
        <w:rStyle w:val="49"/>
      </w:rPr>
      <w:instrText xml:space="preserve"> PAGE </w:instrText>
    </w:r>
    <w:r>
      <w:fldChar w:fldCharType="separate"/>
    </w:r>
    <w:r>
      <w:rPr>
        <w:rStyle w:val="49"/>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center"/>
    </w:pPr>
    <w:r>
      <w:fldChar w:fldCharType="begin"/>
    </w:r>
    <w:r>
      <w:instrText xml:space="preserve"> PAGE   \* MERGEFORMAT </w:instrText>
    </w:r>
    <w:r>
      <w:fldChar w:fldCharType="separate"/>
    </w:r>
    <w:r>
      <w:rPr>
        <w:lang w:val="zh-CN"/>
      </w:rPr>
      <w:t>5</w:t>
    </w:r>
    <w:r>
      <w:rPr>
        <w:lang w:val="zh-CN"/>
      </w:rPr>
      <w:fldChar w:fldCharType="end"/>
    </w:r>
  </w:p>
  <w:p>
    <w:pPr>
      <w:pStyle w:val="31"/>
      <w:tabs>
        <w:tab w:val="center" w:pos="4533"/>
        <w:tab w:val="clear" w:pos="4153"/>
        <w:tab w:val="clear" w:pos="8306"/>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framePr w:wrap="around" w:vAnchor="text" w:hAnchor="margin" w:xAlign="center" w:y="1"/>
      <w:rPr>
        <w:rStyle w:val="49"/>
      </w:rPr>
    </w:pPr>
    <w:r>
      <w:fldChar w:fldCharType="begin"/>
    </w:r>
    <w:r>
      <w:rPr>
        <w:rStyle w:val="49"/>
      </w:rPr>
      <w:instrText xml:space="preserve">PAGE  </w:instrText>
    </w:r>
    <w:r>
      <w:fldChar w:fldCharType="separate"/>
    </w:r>
    <w:r>
      <w:rPr>
        <w:rStyle w:val="49"/>
      </w:rPr>
      <w:t>21</w:t>
    </w:r>
    <w:r>
      <w:fldChar w:fldCharType="end"/>
    </w:r>
  </w:p>
  <w:p>
    <w:pPr>
      <w:pStyle w:val="3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framePr w:wrap="around" w:vAnchor="text" w:hAnchor="margin" w:xAlign="center" w:y="1"/>
      <w:rPr>
        <w:rStyle w:val="49"/>
      </w:rPr>
    </w:pPr>
    <w:r>
      <w:fldChar w:fldCharType="begin"/>
    </w:r>
    <w:r>
      <w:rPr>
        <w:rStyle w:val="49"/>
      </w:rPr>
      <w:instrText xml:space="preserve">PAGE  </w:instrText>
    </w:r>
    <w:r>
      <w:fldChar w:fldCharType="end"/>
    </w:r>
  </w:p>
  <w:p>
    <w:pPr>
      <w:pStyle w:val="3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none" w:color="auto" w:sz="0" w:space="0"/>
      </w:pBdr>
      <w:ind w:left="-1133" w:leftChars="-472"/>
    </w:pP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none" w:color="auto" w:sz="0" w:space="0"/>
      </w:pBdr>
      <w:ind w:left="-1133" w:leftChars="-472"/>
    </w:pPr>
    <w:r>
      <w:t xml:space="preserve">               </w:t>
    </w:r>
  </w:p>
  <w:p>
    <w:pPr>
      <w:pStyle w:val="3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lvl w:ilvl="0" w:tentative="0">
      <w:start w:val="3"/>
      <w:numFmt w:val="decimal"/>
      <w:suff w:val="nothing"/>
      <w:lvlText w:val="%1、"/>
      <w:lvlJc w:val="left"/>
    </w:lvl>
  </w:abstractNum>
  <w:abstractNum w:abstractNumId="1">
    <w:nsid w:val="00000008"/>
    <w:multiLevelType w:val="multilevel"/>
    <w:tmpl w:val="00000008"/>
    <w:lvl w:ilvl="0" w:tentative="0">
      <w:start w:val="1"/>
      <w:numFmt w:val="decimal"/>
      <w:lvlText w:val="第%1章"/>
      <w:lvlJc w:val="left"/>
      <w:pPr>
        <w:tabs>
          <w:tab w:val="left" w:pos="537"/>
        </w:tabs>
        <w:ind w:left="537" w:hanging="432"/>
      </w:pPr>
      <w:rPr>
        <w:rFonts w:hint="default" w:ascii="Times New Roman" w:hAnsi="Times New Roman" w:eastAsia="宋体"/>
        <w:b/>
        <w:i w:val="0"/>
        <w:sz w:val="30"/>
        <w:szCs w:val="30"/>
      </w:rPr>
    </w:lvl>
    <w:lvl w:ilvl="1" w:tentative="0">
      <w:start w:val="1"/>
      <w:numFmt w:val="decimal"/>
      <w:pStyle w:val="238"/>
      <w:lvlText w:val="%1.%2"/>
      <w:lvlJc w:val="left"/>
      <w:pPr>
        <w:tabs>
          <w:tab w:val="left" w:pos="576"/>
        </w:tabs>
        <w:ind w:left="576" w:hanging="576"/>
      </w:pPr>
      <w:rPr>
        <w:rFonts w:hint="default" w:ascii="Times New Roman" w:hAnsi="Times New Roman" w:eastAsia="宋体"/>
        <w:b/>
        <w:i w:val="0"/>
        <w:sz w:val="28"/>
        <w:szCs w:val="28"/>
      </w:rPr>
    </w:lvl>
    <w:lvl w:ilvl="2" w:tentative="0">
      <w:start w:val="1"/>
      <w:numFmt w:val="decimal"/>
      <w:lvlText w:val="%1.%2.%3"/>
      <w:lvlJc w:val="left"/>
      <w:pPr>
        <w:tabs>
          <w:tab w:val="left" w:pos="720"/>
        </w:tabs>
        <w:ind w:left="720" w:hanging="720"/>
      </w:pPr>
      <w:rPr>
        <w:rFonts w:hint="default" w:ascii="Times New Roman" w:hAnsi="Times New Roman" w:eastAsia="宋体" w:cs="Times New Roman"/>
        <w:b/>
        <w:i w:val="0"/>
        <w:iCs w:val="0"/>
        <w:caps w:val="0"/>
        <w:strike w:val="0"/>
        <w:dstrike w:val="0"/>
        <w:vanish w:val="0"/>
        <w:color w:val="000000"/>
        <w:spacing w:val="0"/>
        <w:kern w:val="0"/>
        <w:position w:val="0"/>
        <w:sz w:val="28"/>
        <w:szCs w:val="28"/>
        <w:u w:val="none"/>
        <w:vertAlign w:val="baseline"/>
      </w:rPr>
    </w:lvl>
    <w:lvl w:ilvl="3" w:tentative="0">
      <w:start w:val="1"/>
      <w:numFmt w:val="decimal"/>
      <w:lvlText w:val="%1.%2.%3.%4"/>
      <w:lvlJc w:val="left"/>
      <w:pPr>
        <w:tabs>
          <w:tab w:val="left" w:pos="864"/>
        </w:tabs>
        <w:ind w:left="864" w:hanging="864"/>
      </w:pPr>
      <w:rPr>
        <w:rFonts w:hint="default" w:ascii="Times New Roman" w:hAnsi="Times New Roman" w:eastAsia="宋体"/>
        <w:b/>
        <w:i w:val="0"/>
        <w:sz w:val="28"/>
        <w:szCs w:val="28"/>
      </w:rPr>
    </w:lvl>
    <w:lvl w:ilvl="4" w:tentative="0">
      <w:start w:val="1"/>
      <w:numFmt w:val="decimal"/>
      <w:lvlText w:val="%1.%2.%3.%4.%5"/>
      <w:lvlJc w:val="left"/>
      <w:pPr>
        <w:tabs>
          <w:tab w:val="left" w:pos="1113"/>
        </w:tabs>
        <w:ind w:left="1113" w:hanging="1008"/>
      </w:pPr>
      <w:rPr>
        <w:rFonts w:hint="default" w:ascii="Times New Roman" w:hAnsi="Times New Roman" w:eastAsia="宋体"/>
        <w:b/>
        <w:i w:val="0"/>
        <w:sz w:val="28"/>
        <w:szCs w:val="28"/>
      </w:rPr>
    </w:lvl>
    <w:lvl w:ilvl="5" w:tentative="0">
      <w:start w:val="1"/>
      <w:numFmt w:val="decimal"/>
      <w:lvlText w:val="%1.%2.%3.%4.%5.%6"/>
      <w:lvlJc w:val="left"/>
      <w:pPr>
        <w:tabs>
          <w:tab w:val="left" w:pos="1257"/>
        </w:tabs>
        <w:ind w:left="1257" w:hanging="1152"/>
      </w:pPr>
      <w:rPr>
        <w:rFonts w:hint="eastAsia"/>
      </w:rPr>
    </w:lvl>
    <w:lvl w:ilvl="6" w:tentative="0">
      <w:start w:val="1"/>
      <w:numFmt w:val="decimal"/>
      <w:lvlText w:val="%1.%2.%3.%4.%5.%6.%7"/>
      <w:lvlJc w:val="left"/>
      <w:pPr>
        <w:tabs>
          <w:tab w:val="left" w:pos="1401"/>
        </w:tabs>
        <w:ind w:left="1401" w:hanging="1296"/>
      </w:pPr>
      <w:rPr>
        <w:rFonts w:hint="eastAsia"/>
      </w:rPr>
    </w:lvl>
    <w:lvl w:ilvl="7" w:tentative="0">
      <w:start w:val="1"/>
      <w:numFmt w:val="decimal"/>
      <w:lvlText w:val="%1.%2.%3.%4.%5.%6.%7.%8"/>
      <w:lvlJc w:val="left"/>
      <w:pPr>
        <w:tabs>
          <w:tab w:val="left" w:pos="1545"/>
        </w:tabs>
        <w:ind w:left="1545" w:hanging="1440"/>
      </w:pPr>
      <w:rPr>
        <w:rFonts w:hint="eastAsia"/>
      </w:rPr>
    </w:lvl>
    <w:lvl w:ilvl="8" w:tentative="0">
      <w:start w:val="1"/>
      <w:numFmt w:val="decimal"/>
      <w:lvlText w:val="%1.%2.%3.%4.%5.%6.%7.%8.%9"/>
      <w:lvlJc w:val="left"/>
      <w:pPr>
        <w:tabs>
          <w:tab w:val="left" w:pos="1689"/>
        </w:tabs>
        <w:ind w:left="1689" w:hanging="1584"/>
      </w:pPr>
      <w:rPr>
        <w:rFonts w:hint="eastAsia"/>
      </w:rPr>
    </w:lvl>
  </w:abstractNum>
  <w:abstractNum w:abstractNumId="2">
    <w:nsid w:val="0000000A"/>
    <w:multiLevelType w:val="multilevel"/>
    <w:tmpl w:val="0000000A"/>
    <w:lvl w:ilvl="0" w:tentative="0">
      <w:start w:val="1"/>
      <w:numFmt w:val="decimal"/>
      <w:pStyle w:val="182"/>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D"/>
    <w:multiLevelType w:val="multilevel"/>
    <w:tmpl w:val="0000000D"/>
    <w:lvl w:ilvl="0" w:tentative="0">
      <w:start w:val="1"/>
      <w:numFmt w:val="decimal"/>
      <w:pStyle w:val="6"/>
      <w:lvlText w:val="第%1章"/>
      <w:lvlJc w:val="left"/>
      <w:pPr>
        <w:tabs>
          <w:tab w:val="left" w:pos="4265"/>
        </w:tabs>
        <w:ind w:left="4265" w:hanging="425"/>
      </w:pPr>
      <w:rPr>
        <w:rFonts w:hint="default" w:ascii="Times New Roman" w:hAnsi="Times New Roman" w:eastAsia="宋体"/>
        <w:b/>
        <w:i w:val="0"/>
        <w:sz w:val="28"/>
        <w:szCs w:val="28"/>
      </w:rPr>
    </w:lvl>
    <w:lvl w:ilvl="1" w:tentative="0">
      <w:start w:val="1"/>
      <w:numFmt w:val="decimal"/>
      <w:lvlText w:val="%1.%2."/>
      <w:lvlJc w:val="left"/>
      <w:pPr>
        <w:tabs>
          <w:tab w:val="left" w:pos="4767"/>
        </w:tabs>
        <w:ind w:left="4767" w:hanging="567"/>
      </w:pPr>
      <w:rPr>
        <w:rFonts w:hint="default" w:ascii="Times New Roman" w:hAnsi="Times New Roman" w:eastAsia="宋体"/>
        <w:b/>
        <w:i w:val="0"/>
        <w:sz w:val="28"/>
        <w:szCs w:val="28"/>
      </w:rPr>
    </w:lvl>
    <w:lvl w:ilvl="2" w:tentative="0">
      <w:start w:val="1"/>
      <w:numFmt w:val="decimal"/>
      <w:pStyle w:val="8"/>
      <w:lvlText w:val="%1.%2.%3."/>
      <w:lvlJc w:val="left"/>
      <w:pPr>
        <w:tabs>
          <w:tab w:val="left" w:pos="5269"/>
        </w:tabs>
        <w:ind w:left="5269" w:hanging="709"/>
      </w:pPr>
      <w:rPr>
        <w:rFonts w:hint="default" w:ascii="Times New Roman" w:hAnsi="Times New Roman" w:eastAsia="宋体"/>
        <w:b/>
        <w:i w:val="0"/>
        <w:sz w:val="28"/>
        <w:szCs w:val="28"/>
      </w:rPr>
    </w:lvl>
    <w:lvl w:ilvl="3" w:tentative="0">
      <w:start w:val="1"/>
      <w:numFmt w:val="decimal"/>
      <w:pStyle w:val="336"/>
      <w:lvlText w:val="%1.1.%2.%4."/>
      <w:lvlJc w:val="left"/>
      <w:pPr>
        <w:tabs>
          <w:tab w:val="left" w:pos="6131"/>
        </w:tabs>
        <w:ind w:left="6131" w:hanging="851"/>
      </w:pPr>
      <w:rPr>
        <w:rFonts w:hint="default" w:ascii="Times New Roman" w:hAnsi="Times New Roman" w:eastAsia="宋体" w:cs="Times New Roman"/>
        <w:b/>
        <w:i w:val="0"/>
        <w:iCs w:val="0"/>
        <w:caps w:val="0"/>
        <w:smallCaps w:val="0"/>
        <w:strike w:val="0"/>
        <w:dstrike w:val="0"/>
        <w:vanish w:val="0"/>
        <w:color w:val="000000"/>
        <w:spacing w:val="0"/>
        <w:kern w:val="0"/>
        <w:position w:val="0"/>
        <w:sz w:val="28"/>
        <w:szCs w:val="28"/>
        <w:u w:val="none"/>
        <w:vertAlign w:val="baseline"/>
      </w:rPr>
    </w:lvl>
    <w:lvl w:ilvl="4" w:tentative="0">
      <w:start w:val="1"/>
      <w:numFmt w:val="decimal"/>
      <w:pStyle w:val="10"/>
      <w:lvlText w:val="%1.%2.%3.%4.%5."/>
      <w:lvlJc w:val="left"/>
      <w:pPr>
        <w:tabs>
          <w:tab w:val="left" w:pos="4832"/>
        </w:tabs>
        <w:ind w:left="4832" w:hanging="992"/>
      </w:pPr>
      <w:rPr>
        <w:rFonts w:hint="default" w:ascii="Times New Roman" w:hAnsi="Times New Roman" w:eastAsia="宋体"/>
        <w:b/>
        <w:i w:val="0"/>
        <w:sz w:val="28"/>
        <w:szCs w:val="28"/>
      </w:rPr>
    </w:lvl>
    <w:lvl w:ilvl="5" w:tentative="0">
      <w:start w:val="1"/>
      <w:numFmt w:val="decimal"/>
      <w:pStyle w:val="11"/>
      <w:lvlText w:val="%1.%2.%3.%4.%5.%6."/>
      <w:lvlJc w:val="left"/>
      <w:pPr>
        <w:tabs>
          <w:tab w:val="left" w:pos="4974"/>
        </w:tabs>
        <w:ind w:left="4974" w:hanging="1134"/>
      </w:pPr>
      <w:rPr>
        <w:rFonts w:hint="default" w:ascii="Times New Roman" w:hAnsi="Times New Roman" w:eastAsia="宋体"/>
        <w:b/>
        <w:i w:val="0"/>
        <w:sz w:val="28"/>
        <w:szCs w:val="28"/>
      </w:rPr>
    </w:lvl>
    <w:lvl w:ilvl="6" w:tentative="0">
      <w:start w:val="1"/>
      <w:numFmt w:val="decimal"/>
      <w:lvlText w:val="%1.%2.%3.%4.%5.%6.%7."/>
      <w:lvlJc w:val="left"/>
      <w:pPr>
        <w:tabs>
          <w:tab w:val="left" w:pos="5116"/>
        </w:tabs>
        <w:ind w:left="5116" w:hanging="1276"/>
      </w:pPr>
      <w:rPr>
        <w:rFonts w:hint="eastAsia"/>
      </w:rPr>
    </w:lvl>
    <w:lvl w:ilvl="7" w:tentative="0">
      <w:start w:val="1"/>
      <w:numFmt w:val="decimal"/>
      <w:pStyle w:val="176"/>
      <w:lvlText w:val="%1.%2.%3.%4.%5.%6.%7.%8."/>
      <w:lvlJc w:val="left"/>
      <w:pPr>
        <w:tabs>
          <w:tab w:val="left" w:pos="5258"/>
        </w:tabs>
        <w:ind w:left="5258" w:hanging="1418"/>
      </w:pPr>
      <w:rPr>
        <w:rFonts w:hint="eastAsia"/>
      </w:rPr>
    </w:lvl>
    <w:lvl w:ilvl="8" w:tentative="0">
      <w:start w:val="1"/>
      <w:numFmt w:val="decimal"/>
      <w:pStyle w:val="156"/>
      <w:lvlText w:val="%1.%2.%3.%4.%5.%6.%7.%8.%9."/>
      <w:lvlJc w:val="left"/>
      <w:pPr>
        <w:tabs>
          <w:tab w:val="left" w:pos="5399"/>
        </w:tabs>
        <w:ind w:left="5399" w:hanging="1559"/>
      </w:pPr>
      <w:rPr>
        <w:rFonts w:hint="eastAsia"/>
      </w:rPr>
    </w:lvl>
  </w:abstractNum>
  <w:abstractNum w:abstractNumId="4">
    <w:nsid w:val="00000013"/>
    <w:multiLevelType w:val="multilevel"/>
    <w:tmpl w:val="00000013"/>
    <w:lvl w:ilvl="0" w:tentative="0">
      <w:start w:val="1"/>
      <w:numFmt w:val="decimal"/>
      <w:pStyle w:val="251"/>
      <w:lvlText w:val="%1."/>
      <w:lvlJc w:val="left"/>
      <w:pPr>
        <w:tabs>
          <w:tab w:val="left" w:pos="360"/>
        </w:tabs>
        <w:ind w:left="360" w:hanging="360"/>
      </w:pPr>
      <w:rPr>
        <w:rFonts w:hint="eastAsia"/>
      </w:rPr>
    </w:lvl>
    <w:lvl w:ilvl="1" w:tentative="0">
      <w:start w:val="1"/>
      <w:numFmt w:val="lowerLetter"/>
      <w:pStyle w:val="227"/>
      <w:lvlText w:val="%2)"/>
      <w:lvlJc w:val="left"/>
      <w:pPr>
        <w:tabs>
          <w:tab w:val="left" w:pos="840"/>
        </w:tabs>
        <w:ind w:left="840" w:hanging="420"/>
      </w:pPr>
    </w:lvl>
    <w:lvl w:ilvl="2" w:tentative="0">
      <w:start w:val="1"/>
      <w:numFmt w:val="lowerRoman"/>
      <w:pStyle w:val="282"/>
      <w:lvlText w:val="%3."/>
      <w:lvlJc w:val="right"/>
      <w:pPr>
        <w:tabs>
          <w:tab w:val="left" w:pos="1260"/>
        </w:tabs>
        <w:ind w:left="1260" w:hanging="420"/>
      </w:pPr>
    </w:lvl>
    <w:lvl w:ilvl="3" w:tentative="0">
      <w:start w:val="1"/>
      <w:numFmt w:val="decimal"/>
      <w:pStyle w:val="275"/>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38554C57"/>
    <w:multiLevelType w:val="multilevel"/>
    <w:tmpl w:val="38554C57"/>
    <w:lvl w:ilvl="0" w:tentative="0">
      <w:start w:val="1"/>
      <w:numFmt w:val="decimal"/>
      <w:pStyle w:val="75"/>
      <w:lvlText w:val="2.3.%1."/>
      <w:lvlJc w:val="left"/>
      <w:pPr>
        <w:ind w:left="618" w:hanging="420"/>
      </w:pPr>
      <w:rPr>
        <w:rFonts w:hint="eastAsia"/>
      </w:rPr>
    </w:lvl>
    <w:lvl w:ilvl="1" w:tentative="0">
      <w:start w:val="1"/>
      <w:numFmt w:val="lowerLetter"/>
      <w:lvlText w:val="%2)"/>
      <w:lvlJc w:val="left"/>
      <w:pPr>
        <w:ind w:left="1038" w:hanging="420"/>
      </w:pPr>
    </w:lvl>
    <w:lvl w:ilvl="2" w:tentative="0">
      <w:start w:val="1"/>
      <w:numFmt w:val="lowerRoman"/>
      <w:lvlText w:val="%3."/>
      <w:lvlJc w:val="right"/>
      <w:pPr>
        <w:ind w:left="1458" w:hanging="420"/>
      </w:pPr>
    </w:lvl>
    <w:lvl w:ilvl="3" w:tentative="0">
      <w:start w:val="1"/>
      <w:numFmt w:val="decimal"/>
      <w:lvlText w:val="%4."/>
      <w:lvlJc w:val="left"/>
      <w:pPr>
        <w:ind w:left="1878" w:hanging="420"/>
      </w:pPr>
    </w:lvl>
    <w:lvl w:ilvl="4" w:tentative="0">
      <w:start w:val="1"/>
      <w:numFmt w:val="lowerLetter"/>
      <w:lvlText w:val="%5)"/>
      <w:lvlJc w:val="left"/>
      <w:pPr>
        <w:ind w:left="2298" w:hanging="420"/>
      </w:pPr>
    </w:lvl>
    <w:lvl w:ilvl="5" w:tentative="0">
      <w:start w:val="1"/>
      <w:numFmt w:val="lowerRoman"/>
      <w:lvlText w:val="%6."/>
      <w:lvlJc w:val="right"/>
      <w:pPr>
        <w:ind w:left="2718" w:hanging="420"/>
      </w:pPr>
    </w:lvl>
    <w:lvl w:ilvl="6" w:tentative="0">
      <w:start w:val="1"/>
      <w:numFmt w:val="decimal"/>
      <w:lvlText w:val="%7."/>
      <w:lvlJc w:val="left"/>
      <w:pPr>
        <w:ind w:left="3138" w:hanging="420"/>
      </w:pPr>
    </w:lvl>
    <w:lvl w:ilvl="7" w:tentative="0">
      <w:start w:val="1"/>
      <w:numFmt w:val="lowerLetter"/>
      <w:lvlText w:val="%8)"/>
      <w:lvlJc w:val="left"/>
      <w:pPr>
        <w:ind w:left="3558" w:hanging="420"/>
      </w:pPr>
    </w:lvl>
    <w:lvl w:ilvl="8" w:tentative="0">
      <w:start w:val="1"/>
      <w:numFmt w:val="lowerRoman"/>
      <w:lvlText w:val="%9."/>
      <w:lvlJc w:val="right"/>
      <w:pPr>
        <w:ind w:left="3978" w:hanging="420"/>
      </w:pPr>
    </w:lvl>
  </w:abstractNum>
  <w:abstractNum w:abstractNumId="6">
    <w:nsid w:val="47572742"/>
    <w:multiLevelType w:val="multilevel"/>
    <w:tmpl w:val="47572742"/>
    <w:lvl w:ilvl="0" w:tentative="0">
      <w:start w:val="3"/>
      <w:numFmt w:val="decimal"/>
      <w:lvlText w:val="%1."/>
      <w:lvlJc w:val="left"/>
      <w:pPr>
        <w:ind w:left="720" w:hanging="720"/>
      </w:pPr>
      <w:rPr>
        <w:rFonts w:hint="default" w:cs="Times New Roman"/>
        <w:b w:val="0"/>
      </w:rPr>
    </w:lvl>
    <w:lvl w:ilvl="1" w:tentative="0">
      <w:start w:val="3"/>
      <w:numFmt w:val="decimal"/>
      <w:lvlText w:val="%1.%2."/>
      <w:lvlJc w:val="left"/>
      <w:pPr>
        <w:ind w:left="720" w:hanging="720"/>
      </w:pPr>
      <w:rPr>
        <w:rFonts w:hint="default" w:cs="Times New Roman"/>
        <w:b w:val="0"/>
      </w:rPr>
    </w:lvl>
    <w:lvl w:ilvl="2" w:tentative="0">
      <w:start w:val="1"/>
      <w:numFmt w:val="decimal"/>
      <w:lvlText w:val="%1.%2.%3."/>
      <w:lvlJc w:val="left"/>
      <w:pPr>
        <w:ind w:left="1080" w:hanging="1080"/>
      </w:pPr>
      <w:rPr>
        <w:rFonts w:hint="default" w:cs="Times New Roman"/>
        <w:b w:val="0"/>
      </w:rPr>
    </w:lvl>
    <w:lvl w:ilvl="3" w:tentative="0">
      <w:start w:val="1"/>
      <w:numFmt w:val="decimal"/>
      <w:lvlText w:val="%1.%2..%3."/>
      <w:lvlJc w:val="left"/>
      <w:pPr>
        <w:ind w:left="1080" w:hanging="1080"/>
      </w:pPr>
      <w:rPr>
        <w:rFonts w:hint="default" w:cs="Times New Roman"/>
        <w:b w:val="0"/>
      </w:rPr>
    </w:lvl>
    <w:lvl w:ilvl="4" w:tentative="0">
      <w:start w:val="1"/>
      <w:numFmt w:val="decimal"/>
      <w:lvlText w:val="%1.%2..%3.%4."/>
      <w:lvlJc w:val="left"/>
      <w:pPr>
        <w:ind w:left="1440" w:hanging="1440"/>
      </w:pPr>
      <w:rPr>
        <w:rFonts w:hint="default" w:cs="Times New Roman"/>
        <w:b w:val="0"/>
      </w:rPr>
    </w:lvl>
    <w:lvl w:ilvl="5" w:tentative="0">
      <w:start w:val="1"/>
      <w:numFmt w:val="decimal"/>
      <w:lvlText w:val="%1.%2..%3.%4.%5."/>
      <w:lvlJc w:val="left"/>
      <w:pPr>
        <w:ind w:left="1800" w:hanging="1800"/>
      </w:pPr>
      <w:rPr>
        <w:rFonts w:hint="default" w:cs="Times New Roman"/>
        <w:b w:val="0"/>
      </w:rPr>
    </w:lvl>
    <w:lvl w:ilvl="6" w:tentative="0">
      <w:start w:val="1"/>
      <w:numFmt w:val="decimal"/>
      <w:lvlText w:val="%1.%2..%3.%4.%5.%6."/>
      <w:lvlJc w:val="left"/>
      <w:pPr>
        <w:ind w:left="1800" w:hanging="1800"/>
      </w:pPr>
      <w:rPr>
        <w:rFonts w:hint="default" w:cs="Times New Roman"/>
        <w:b w:val="0"/>
      </w:rPr>
    </w:lvl>
    <w:lvl w:ilvl="7" w:tentative="0">
      <w:start w:val="1"/>
      <w:numFmt w:val="decimal"/>
      <w:lvlText w:val="%1.%2..%3.%4.%5.%6.%7."/>
      <w:lvlJc w:val="left"/>
      <w:pPr>
        <w:ind w:left="2160" w:hanging="2160"/>
      </w:pPr>
      <w:rPr>
        <w:rFonts w:hint="default" w:cs="Times New Roman"/>
        <w:b w:val="0"/>
      </w:rPr>
    </w:lvl>
    <w:lvl w:ilvl="8" w:tentative="0">
      <w:start w:val="1"/>
      <w:numFmt w:val="decimal"/>
      <w:lvlText w:val="%1.%2..%3.%4.%5.%6.%7.%8."/>
      <w:lvlJc w:val="left"/>
      <w:pPr>
        <w:ind w:left="2520" w:hanging="2520"/>
      </w:pPr>
      <w:rPr>
        <w:rFonts w:hint="default" w:cs="Times New Roman"/>
        <w:b w:val="0"/>
      </w:rPr>
    </w:lvl>
  </w:abstractNum>
  <w:abstractNum w:abstractNumId="7">
    <w:nsid w:val="59624C81"/>
    <w:multiLevelType w:val="multilevel"/>
    <w:tmpl w:val="59624C81"/>
    <w:lvl w:ilvl="0" w:tentative="0">
      <w:start w:val="1"/>
      <w:numFmt w:val="decimal"/>
      <w:pStyle w:val="112"/>
      <w:lvlText w:val="2.2.5.%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5"/>
  </w:num>
  <w:num w:numId="3">
    <w:abstractNumId w:val="7"/>
  </w:num>
  <w:num w:numId="4">
    <w:abstractNumId w:val="2"/>
  </w:num>
  <w:num w:numId="5">
    <w:abstractNumId w:val="4"/>
  </w:num>
  <w:num w:numId="6">
    <w:abstractNumId w:val="1"/>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3517"/>
    <w:rsid w:val="0001569E"/>
    <w:rsid w:val="00021AE9"/>
    <w:rsid w:val="00026788"/>
    <w:rsid w:val="00026B7D"/>
    <w:rsid w:val="00034252"/>
    <w:rsid w:val="0003496C"/>
    <w:rsid w:val="00053A80"/>
    <w:rsid w:val="00055F3F"/>
    <w:rsid w:val="000602D4"/>
    <w:rsid w:val="000678C8"/>
    <w:rsid w:val="00093ADC"/>
    <w:rsid w:val="000A003D"/>
    <w:rsid w:val="000A140B"/>
    <w:rsid w:val="000B0CC1"/>
    <w:rsid w:val="000D15F6"/>
    <w:rsid w:val="000D1C09"/>
    <w:rsid w:val="000E2199"/>
    <w:rsid w:val="000E3DEA"/>
    <w:rsid w:val="000E7714"/>
    <w:rsid w:val="000F344F"/>
    <w:rsid w:val="000F4343"/>
    <w:rsid w:val="000F4CC9"/>
    <w:rsid w:val="000F5694"/>
    <w:rsid w:val="00112A12"/>
    <w:rsid w:val="001141EE"/>
    <w:rsid w:val="00117F54"/>
    <w:rsid w:val="00120670"/>
    <w:rsid w:val="00127124"/>
    <w:rsid w:val="00131C3E"/>
    <w:rsid w:val="00146575"/>
    <w:rsid w:val="00154532"/>
    <w:rsid w:val="001560E8"/>
    <w:rsid w:val="00170F56"/>
    <w:rsid w:val="00172A27"/>
    <w:rsid w:val="00177AE3"/>
    <w:rsid w:val="001812DB"/>
    <w:rsid w:val="00193CCA"/>
    <w:rsid w:val="00196A8E"/>
    <w:rsid w:val="00197985"/>
    <w:rsid w:val="001A3850"/>
    <w:rsid w:val="001B0677"/>
    <w:rsid w:val="001B43F3"/>
    <w:rsid w:val="001C7551"/>
    <w:rsid w:val="001D6AA3"/>
    <w:rsid w:val="001F1CCE"/>
    <w:rsid w:val="00203B86"/>
    <w:rsid w:val="0021242F"/>
    <w:rsid w:val="00221B2C"/>
    <w:rsid w:val="00226FE6"/>
    <w:rsid w:val="00233147"/>
    <w:rsid w:val="00260FD2"/>
    <w:rsid w:val="00267953"/>
    <w:rsid w:val="002929E9"/>
    <w:rsid w:val="0029591D"/>
    <w:rsid w:val="00295C98"/>
    <w:rsid w:val="002B0D74"/>
    <w:rsid w:val="002B446F"/>
    <w:rsid w:val="002C13FF"/>
    <w:rsid w:val="002C445E"/>
    <w:rsid w:val="002D52F6"/>
    <w:rsid w:val="002D6344"/>
    <w:rsid w:val="002E6F7A"/>
    <w:rsid w:val="002F05B0"/>
    <w:rsid w:val="002F07B8"/>
    <w:rsid w:val="002F3FCA"/>
    <w:rsid w:val="002F4F7D"/>
    <w:rsid w:val="00310BC6"/>
    <w:rsid w:val="00320D38"/>
    <w:rsid w:val="00321011"/>
    <w:rsid w:val="00321DA6"/>
    <w:rsid w:val="00333E12"/>
    <w:rsid w:val="00334601"/>
    <w:rsid w:val="0034308E"/>
    <w:rsid w:val="0034437E"/>
    <w:rsid w:val="003518A8"/>
    <w:rsid w:val="00355891"/>
    <w:rsid w:val="00364B15"/>
    <w:rsid w:val="0037301C"/>
    <w:rsid w:val="00396051"/>
    <w:rsid w:val="003A3D41"/>
    <w:rsid w:val="003C575D"/>
    <w:rsid w:val="003C7391"/>
    <w:rsid w:val="004030FE"/>
    <w:rsid w:val="00406FA9"/>
    <w:rsid w:val="00423B04"/>
    <w:rsid w:val="00425A87"/>
    <w:rsid w:val="00435AC5"/>
    <w:rsid w:val="00435E69"/>
    <w:rsid w:val="00444E54"/>
    <w:rsid w:val="00460F73"/>
    <w:rsid w:val="00463321"/>
    <w:rsid w:val="004664BA"/>
    <w:rsid w:val="004859E4"/>
    <w:rsid w:val="00485AB6"/>
    <w:rsid w:val="004909AB"/>
    <w:rsid w:val="0049170E"/>
    <w:rsid w:val="00492DE6"/>
    <w:rsid w:val="00493EF4"/>
    <w:rsid w:val="00494C7B"/>
    <w:rsid w:val="004A0838"/>
    <w:rsid w:val="004B0BB1"/>
    <w:rsid w:val="004B51E6"/>
    <w:rsid w:val="004C1404"/>
    <w:rsid w:val="004C3B5E"/>
    <w:rsid w:val="004C64E5"/>
    <w:rsid w:val="004C6FF0"/>
    <w:rsid w:val="004D35B4"/>
    <w:rsid w:val="004E4025"/>
    <w:rsid w:val="004F0991"/>
    <w:rsid w:val="004F195E"/>
    <w:rsid w:val="004F4EB7"/>
    <w:rsid w:val="00510CBD"/>
    <w:rsid w:val="00512214"/>
    <w:rsid w:val="005337F3"/>
    <w:rsid w:val="00536BA3"/>
    <w:rsid w:val="00546793"/>
    <w:rsid w:val="00550C32"/>
    <w:rsid w:val="00556563"/>
    <w:rsid w:val="005712ED"/>
    <w:rsid w:val="0058269C"/>
    <w:rsid w:val="005A3A91"/>
    <w:rsid w:val="005A63EB"/>
    <w:rsid w:val="005B26C4"/>
    <w:rsid w:val="005B2E80"/>
    <w:rsid w:val="005B6AF7"/>
    <w:rsid w:val="005B752F"/>
    <w:rsid w:val="005C0D51"/>
    <w:rsid w:val="005C24C3"/>
    <w:rsid w:val="005D34FF"/>
    <w:rsid w:val="005E76A4"/>
    <w:rsid w:val="005E79DE"/>
    <w:rsid w:val="005F10BC"/>
    <w:rsid w:val="00645496"/>
    <w:rsid w:val="006457AF"/>
    <w:rsid w:val="00646979"/>
    <w:rsid w:val="006538EB"/>
    <w:rsid w:val="00655F54"/>
    <w:rsid w:val="00657974"/>
    <w:rsid w:val="00663D8D"/>
    <w:rsid w:val="00666038"/>
    <w:rsid w:val="00684682"/>
    <w:rsid w:val="0068553B"/>
    <w:rsid w:val="0069013E"/>
    <w:rsid w:val="006B2C59"/>
    <w:rsid w:val="006B454C"/>
    <w:rsid w:val="006C61F8"/>
    <w:rsid w:val="006D64F8"/>
    <w:rsid w:val="006E693D"/>
    <w:rsid w:val="006F28B6"/>
    <w:rsid w:val="006F361A"/>
    <w:rsid w:val="006F4C7C"/>
    <w:rsid w:val="006F61CD"/>
    <w:rsid w:val="0070542C"/>
    <w:rsid w:val="00715A71"/>
    <w:rsid w:val="00717A51"/>
    <w:rsid w:val="00721A3A"/>
    <w:rsid w:val="007262E5"/>
    <w:rsid w:val="00735A62"/>
    <w:rsid w:val="007450B8"/>
    <w:rsid w:val="007528CC"/>
    <w:rsid w:val="00754197"/>
    <w:rsid w:val="00757E02"/>
    <w:rsid w:val="0077529B"/>
    <w:rsid w:val="007854D6"/>
    <w:rsid w:val="00791E8F"/>
    <w:rsid w:val="007A2796"/>
    <w:rsid w:val="007A7DE6"/>
    <w:rsid w:val="007B0311"/>
    <w:rsid w:val="007B2D20"/>
    <w:rsid w:val="007C622C"/>
    <w:rsid w:val="007D14BE"/>
    <w:rsid w:val="007D7BAC"/>
    <w:rsid w:val="007F18C3"/>
    <w:rsid w:val="007F5489"/>
    <w:rsid w:val="008010D8"/>
    <w:rsid w:val="00806407"/>
    <w:rsid w:val="00806E6A"/>
    <w:rsid w:val="008249C2"/>
    <w:rsid w:val="0083022F"/>
    <w:rsid w:val="00837279"/>
    <w:rsid w:val="00841297"/>
    <w:rsid w:val="00856D2B"/>
    <w:rsid w:val="00872902"/>
    <w:rsid w:val="00875EF3"/>
    <w:rsid w:val="008859AC"/>
    <w:rsid w:val="00890162"/>
    <w:rsid w:val="008934B7"/>
    <w:rsid w:val="008A49E5"/>
    <w:rsid w:val="008A7FD0"/>
    <w:rsid w:val="008B63FB"/>
    <w:rsid w:val="008C4444"/>
    <w:rsid w:val="008C55E6"/>
    <w:rsid w:val="008D1AFA"/>
    <w:rsid w:val="008D3BEE"/>
    <w:rsid w:val="008D5DFC"/>
    <w:rsid w:val="008D6E1B"/>
    <w:rsid w:val="008E4AA8"/>
    <w:rsid w:val="008E6B96"/>
    <w:rsid w:val="009059B9"/>
    <w:rsid w:val="00906BD9"/>
    <w:rsid w:val="009130DF"/>
    <w:rsid w:val="009148E2"/>
    <w:rsid w:val="00927B56"/>
    <w:rsid w:val="009310F8"/>
    <w:rsid w:val="0093376C"/>
    <w:rsid w:val="00945FAC"/>
    <w:rsid w:val="00951818"/>
    <w:rsid w:val="0099305F"/>
    <w:rsid w:val="0099782C"/>
    <w:rsid w:val="009C159B"/>
    <w:rsid w:val="009C1DC8"/>
    <w:rsid w:val="009C3130"/>
    <w:rsid w:val="009C428E"/>
    <w:rsid w:val="009C528A"/>
    <w:rsid w:val="009C5A47"/>
    <w:rsid w:val="00A05C89"/>
    <w:rsid w:val="00A21D0B"/>
    <w:rsid w:val="00A27D92"/>
    <w:rsid w:val="00A30491"/>
    <w:rsid w:val="00A46954"/>
    <w:rsid w:val="00A50D49"/>
    <w:rsid w:val="00A5142D"/>
    <w:rsid w:val="00A601C6"/>
    <w:rsid w:val="00A6465C"/>
    <w:rsid w:val="00A70111"/>
    <w:rsid w:val="00A721B2"/>
    <w:rsid w:val="00A923A5"/>
    <w:rsid w:val="00A95376"/>
    <w:rsid w:val="00AA156F"/>
    <w:rsid w:val="00AA35E7"/>
    <w:rsid w:val="00AC0595"/>
    <w:rsid w:val="00AD42F8"/>
    <w:rsid w:val="00AD5660"/>
    <w:rsid w:val="00AF39F4"/>
    <w:rsid w:val="00B0339A"/>
    <w:rsid w:val="00B048CA"/>
    <w:rsid w:val="00B12362"/>
    <w:rsid w:val="00B22709"/>
    <w:rsid w:val="00B3109A"/>
    <w:rsid w:val="00B36C09"/>
    <w:rsid w:val="00B45A0F"/>
    <w:rsid w:val="00B54B27"/>
    <w:rsid w:val="00B5621E"/>
    <w:rsid w:val="00B61A9D"/>
    <w:rsid w:val="00B62D0B"/>
    <w:rsid w:val="00B679B5"/>
    <w:rsid w:val="00B979F0"/>
    <w:rsid w:val="00BC0985"/>
    <w:rsid w:val="00BC137C"/>
    <w:rsid w:val="00BC3861"/>
    <w:rsid w:val="00BC55F3"/>
    <w:rsid w:val="00BD04E5"/>
    <w:rsid w:val="00BD231B"/>
    <w:rsid w:val="00BD7D3B"/>
    <w:rsid w:val="00BE15A8"/>
    <w:rsid w:val="00C038AC"/>
    <w:rsid w:val="00C12C83"/>
    <w:rsid w:val="00C1682D"/>
    <w:rsid w:val="00C213D8"/>
    <w:rsid w:val="00C2279C"/>
    <w:rsid w:val="00C30EBB"/>
    <w:rsid w:val="00C351C9"/>
    <w:rsid w:val="00C41511"/>
    <w:rsid w:val="00C417FE"/>
    <w:rsid w:val="00C43808"/>
    <w:rsid w:val="00C528AE"/>
    <w:rsid w:val="00C540C3"/>
    <w:rsid w:val="00C61174"/>
    <w:rsid w:val="00C76CE3"/>
    <w:rsid w:val="00C83DA4"/>
    <w:rsid w:val="00C84508"/>
    <w:rsid w:val="00C93FC3"/>
    <w:rsid w:val="00C95602"/>
    <w:rsid w:val="00CC124F"/>
    <w:rsid w:val="00CC78CE"/>
    <w:rsid w:val="00CD616C"/>
    <w:rsid w:val="00CF1F4C"/>
    <w:rsid w:val="00D01B0F"/>
    <w:rsid w:val="00D024EE"/>
    <w:rsid w:val="00D11843"/>
    <w:rsid w:val="00D13C42"/>
    <w:rsid w:val="00D216EA"/>
    <w:rsid w:val="00D23827"/>
    <w:rsid w:val="00D35B79"/>
    <w:rsid w:val="00D3738F"/>
    <w:rsid w:val="00D41186"/>
    <w:rsid w:val="00D5152F"/>
    <w:rsid w:val="00D61269"/>
    <w:rsid w:val="00D63493"/>
    <w:rsid w:val="00D65FDA"/>
    <w:rsid w:val="00D70B6F"/>
    <w:rsid w:val="00D83963"/>
    <w:rsid w:val="00D86B10"/>
    <w:rsid w:val="00D87364"/>
    <w:rsid w:val="00D9056A"/>
    <w:rsid w:val="00DA1803"/>
    <w:rsid w:val="00DA597A"/>
    <w:rsid w:val="00DB1004"/>
    <w:rsid w:val="00DB2DBC"/>
    <w:rsid w:val="00DB2FD0"/>
    <w:rsid w:val="00DB54FA"/>
    <w:rsid w:val="00DC07E5"/>
    <w:rsid w:val="00DE1F48"/>
    <w:rsid w:val="00DE5D7C"/>
    <w:rsid w:val="00DF1BDD"/>
    <w:rsid w:val="00DF335F"/>
    <w:rsid w:val="00E047B4"/>
    <w:rsid w:val="00E05DA8"/>
    <w:rsid w:val="00E062CF"/>
    <w:rsid w:val="00E06439"/>
    <w:rsid w:val="00E16EA9"/>
    <w:rsid w:val="00E16FB9"/>
    <w:rsid w:val="00E35C13"/>
    <w:rsid w:val="00E67E6B"/>
    <w:rsid w:val="00E73E66"/>
    <w:rsid w:val="00E77EDE"/>
    <w:rsid w:val="00E96373"/>
    <w:rsid w:val="00EA2CF7"/>
    <w:rsid w:val="00EC7F4F"/>
    <w:rsid w:val="00ED130E"/>
    <w:rsid w:val="00ED7634"/>
    <w:rsid w:val="00EE4422"/>
    <w:rsid w:val="00EE4C1D"/>
    <w:rsid w:val="00F14598"/>
    <w:rsid w:val="00F14AFF"/>
    <w:rsid w:val="00F168C0"/>
    <w:rsid w:val="00F37E37"/>
    <w:rsid w:val="00F449A5"/>
    <w:rsid w:val="00F47099"/>
    <w:rsid w:val="00F51AFF"/>
    <w:rsid w:val="00F5252A"/>
    <w:rsid w:val="00F53431"/>
    <w:rsid w:val="00F6111C"/>
    <w:rsid w:val="00F62DE1"/>
    <w:rsid w:val="00F82A4C"/>
    <w:rsid w:val="00F84535"/>
    <w:rsid w:val="00F85BF1"/>
    <w:rsid w:val="00F869FF"/>
    <w:rsid w:val="00FA4F0D"/>
    <w:rsid w:val="00FC378F"/>
    <w:rsid w:val="00FC561D"/>
    <w:rsid w:val="00FC5E38"/>
    <w:rsid w:val="00FD5D8C"/>
    <w:rsid w:val="00FD6905"/>
    <w:rsid w:val="00FE23B3"/>
    <w:rsid w:val="00FE7470"/>
    <w:rsid w:val="00FF3859"/>
    <w:rsid w:val="016F6B3F"/>
    <w:rsid w:val="01D40DED"/>
    <w:rsid w:val="01F03762"/>
    <w:rsid w:val="03510F2B"/>
    <w:rsid w:val="0378363B"/>
    <w:rsid w:val="038628F5"/>
    <w:rsid w:val="03B97C20"/>
    <w:rsid w:val="040D7137"/>
    <w:rsid w:val="042069C2"/>
    <w:rsid w:val="045E6855"/>
    <w:rsid w:val="04A00D26"/>
    <w:rsid w:val="0694425E"/>
    <w:rsid w:val="075A07E1"/>
    <w:rsid w:val="07F34EB7"/>
    <w:rsid w:val="0BEE5325"/>
    <w:rsid w:val="0C76579A"/>
    <w:rsid w:val="0DBA2BB0"/>
    <w:rsid w:val="0ECF260A"/>
    <w:rsid w:val="0F1D7536"/>
    <w:rsid w:val="0FDA225E"/>
    <w:rsid w:val="100B49A6"/>
    <w:rsid w:val="10410409"/>
    <w:rsid w:val="10B370BD"/>
    <w:rsid w:val="11C33887"/>
    <w:rsid w:val="12715D35"/>
    <w:rsid w:val="12C2786C"/>
    <w:rsid w:val="136C0F4E"/>
    <w:rsid w:val="1376209C"/>
    <w:rsid w:val="13CC0C9F"/>
    <w:rsid w:val="13D77B12"/>
    <w:rsid w:val="13F92894"/>
    <w:rsid w:val="14264AB7"/>
    <w:rsid w:val="14814658"/>
    <w:rsid w:val="149D395D"/>
    <w:rsid w:val="14CF7687"/>
    <w:rsid w:val="14DC7CC7"/>
    <w:rsid w:val="15DD1DE3"/>
    <w:rsid w:val="171724B6"/>
    <w:rsid w:val="17A046AB"/>
    <w:rsid w:val="181353E4"/>
    <w:rsid w:val="18B8177E"/>
    <w:rsid w:val="18D5242C"/>
    <w:rsid w:val="1B2D65B0"/>
    <w:rsid w:val="1BB14D26"/>
    <w:rsid w:val="1DEC3D73"/>
    <w:rsid w:val="1E192610"/>
    <w:rsid w:val="1EAC6AD2"/>
    <w:rsid w:val="20296F8B"/>
    <w:rsid w:val="205C44EC"/>
    <w:rsid w:val="20D23307"/>
    <w:rsid w:val="221514DF"/>
    <w:rsid w:val="226E7EFB"/>
    <w:rsid w:val="232F1B6C"/>
    <w:rsid w:val="234049F7"/>
    <w:rsid w:val="248A1385"/>
    <w:rsid w:val="24D64C3A"/>
    <w:rsid w:val="258F015C"/>
    <w:rsid w:val="25C04B80"/>
    <w:rsid w:val="27AA4210"/>
    <w:rsid w:val="28C74442"/>
    <w:rsid w:val="29042189"/>
    <w:rsid w:val="29436173"/>
    <w:rsid w:val="2A9C3297"/>
    <w:rsid w:val="2C757BB1"/>
    <w:rsid w:val="2D110E04"/>
    <w:rsid w:val="2DB51D06"/>
    <w:rsid w:val="2E653776"/>
    <w:rsid w:val="2E6745FE"/>
    <w:rsid w:val="2E806BEB"/>
    <w:rsid w:val="31036D8A"/>
    <w:rsid w:val="31F075F6"/>
    <w:rsid w:val="32BF5543"/>
    <w:rsid w:val="33556816"/>
    <w:rsid w:val="341C7DF6"/>
    <w:rsid w:val="362637EF"/>
    <w:rsid w:val="36454D75"/>
    <w:rsid w:val="36E61221"/>
    <w:rsid w:val="37593D60"/>
    <w:rsid w:val="380219A9"/>
    <w:rsid w:val="3826366F"/>
    <w:rsid w:val="38F77658"/>
    <w:rsid w:val="3B3F73C7"/>
    <w:rsid w:val="3D6155D3"/>
    <w:rsid w:val="3EEC37CE"/>
    <w:rsid w:val="3EF62E6E"/>
    <w:rsid w:val="3FD87969"/>
    <w:rsid w:val="40A77BEF"/>
    <w:rsid w:val="410C2A4C"/>
    <w:rsid w:val="41367879"/>
    <w:rsid w:val="43C94544"/>
    <w:rsid w:val="46AE2C7C"/>
    <w:rsid w:val="472C76A7"/>
    <w:rsid w:val="47B36F1D"/>
    <w:rsid w:val="496B27C5"/>
    <w:rsid w:val="497748E7"/>
    <w:rsid w:val="4A1467AD"/>
    <w:rsid w:val="4AA113AA"/>
    <w:rsid w:val="4C787306"/>
    <w:rsid w:val="4C9D2F48"/>
    <w:rsid w:val="4CDC1C7D"/>
    <w:rsid w:val="4D730BD3"/>
    <w:rsid w:val="4E536E56"/>
    <w:rsid w:val="4E920B56"/>
    <w:rsid w:val="4EA7451D"/>
    <w:rsid w:val="4FD92BEE"/>
    <w:rsid w:val="4FF36321"/>
    <w:rsid w:val="4FF36EC3"/>
    <w:rsid w:val="504A5E7C"/>
    <w:rsid w:val="50B8390F"/>
    <w:rsid w:val="525F449A"/>
    <w:rsid w:val="53422C74"/>
    <w:rsid w:val="53652F4B"/>
    <w:rsid w:val="53B24F8D"/>
    <w:rsid w:val="55337709"/>
    <w:rsid w:val="55FD3CC7"/>
    <w:rsid w:val="58D079BD"/>
    <w:rsid w:val="596E4E83"/>
    <w:rsid w:val="5B614E11"/>
    <w:rsid w:val="5CA83589"/>
    <w:rsid w:val="5D505D75"/>
    <w:rsid w:val="5D7222E3"/>
    <w:rsid w:val="5E690870"/>
    <w:rsid w:val="606A13C6"/>
    <w:rsid w:val="6302079A"/>
    <w:rsid w:val="632E1D8E"/>
    <w:rsid w:val="63370342"/>
    <w:rsid w:val="63487F70"/>
    <w:rsid w:val="63B77B46"/>
    <w:rsid w:val="647C2CD0"/>
    <w:rsid w:val="66323DF0"/>
    <w:rsid w:val="664860E7"/>
    <w:rsid w:val="66AF67B5"/>
    <w:rsid w:val="66B86246"/>
    <w:rsid w:val="67A43998"/>
    <w:rsid w:val="67E54A90"/>
    <w:rsid w:val="67F47CE1"/>
    <w:rsid w:val="69DA6CC9"/>
    <w:rsid w:val="6A40586D"/>
    <w:rsid w:val="6AA95B10"/>
    <w:rsid w:val="6BF843B5"/>
    <w:rsid w:val="6CCE0FAB"/>
    <w:rsid w:val="6F6F4153"/>
    <w:rsid w:val="70691332"/>
    <w:rsid w:val="706B6164"/>
    <w:rsid w:val="70EC623C"/>
    <w:rsid w:val="710F77C2"/>
    <w:rsid w:val="71695C13"/>
    <w:rsid w:val="71E41D70"/>
    <w:rsid w:val="71ED1114"/>
    <w:rsid w:val="726F77C2"/>
    <w:rsid w:val="729F406A"/>
    <w:rsid w:val="72B10DA6"/>
    <w:rsid w:val="732F6107"/>
    <w:rsid w:val="7376112A"/>
    <w:rsid w:val="74836DCC"/>
    <w:rsid w:val="75C02761"/>
    <w:rsid w:val="77B90874"/>
    <w:rsid w:val="79007D56"/>
    <w:rsid w:val="79AB564F"/>
    <w:rsid w:val="7AD1329B"/>
    <w:rsid w:val="7B295ECF"/>
    <w:rsid w:val="7B2A1F7F"/>
    <w:rsid w:val="7C164997"/>
    <w:rsid w:val="7C421EB8"/>
    <w:rsid w:val="7DF04A97"/>
    <w:rsid w:val="7E865CAF"/>
    <w:rsid w:val="7F282A55"/>
    <w:rsid w:val="7F6C21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qFormat="1" w:uiPriority="99" w:semiHidden="0"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sz w:val="24"/>
      <w:szCs w:val="24"/>
      <w:lang w:val="en-US" w:eastAsia="zh-CN" w:bidi="ar-SA"/>
    </w:rPr>
  </w:style>
  <w:style w:type="paragraph" w:styleId="6">
    <w:name w:val="heading 1"/>
    <w:basedOn w:val="1"/>
    <w:next w:val="1"/>
    <w:link w:val="100"/>
    <w:qFormat/>
    <w:uiPriority w:val="0"/>
    <w:pPr>
      <w:keepNext/>
      <w:keepLines/>
      <w:numPr>
        <w:ilvl w:val="0"/>
        <w:numId w:val="1"/>
      </w:numPr>
      <w:tabs>
        <w:tab w:val="left" w:pos="425"/>
      </w:tabs>
      <w:spacing w:before="340" w:after="330" w:line="360" w:lineRule="auto"/>
      <w:jc w:val="center"/>
      <w:outlineLvl w:val="0"/>
    </w:pPr>
    <w:rPr>
      <w:rFonts w:ascii="华文中宋" w:hAnsi="华文中宋" w:eastAsia="华文中宋"/>
      <w:b/>
      <w:bCs/>
      <w:color w:val="000000"/>
      <w:kern w:val="44"/>
      <w:sz w:val="32"/>
      <w:szCs w:val="32"/>
    </w:rPr>
  </w:style>
  <w:style w:type="paragraph" w:styleId="7">
    <w:name w:val="heading 2"/>
    <w:basedOn w:val="1"/>
    <w:next w:val="1"/>
    <w:link w:val="68"/>
    <w:qFormat/>
    <w:uiPriority w:val="0"/>
    <w:pPr>
      <w:keepNext/>
      <w:keepLines/>
      <w:widowControl w:val="0"/>
      <w:tabs>
        <w:tab w:val="left" w:pos="720"/>
      </w:tabs>
      <w:spacing w:before="260" w:after="260" w:line="360" w:lineRule="auto"/>
      <w:jc w:val="center"/>
      <w:outlineLvl w:val="1"/>
    </w:pPr>
    <w:rPr>
      <w:rFonts w:ascii="宋体" w:hAnsi="宋体"/>
      <w:b/>
      <w:bCs/>
      <w:iCs/>
      <w:sz w:val="28"/>
      <w:szCs w:val="28"/>
    </w:rPr>
  </w:style>
  <w:style w:type="paragraph" w:styleId="8">
    <w:name w:val="heading 3"/>
    <w:basedOn w:val="1"/>
    <w:next w:val="1"/>
    <w:link w:val="118"/>
    <w:qFormat/>
    <w:uiPriority w:val="0"/>
    <w:pPr>
      <w:keepNext/>
      <w:keepLines/>
      <w:widowControl w:val="0"/>
      <w:numPr>
        <w:ilvl w:val="2"/>
        <w:numId w:val="1"/>
      </w:numPr>
      <w:tabs>
        <w:tab w:val="left" w:pos="900"/>
        <w:tab w:val="clear" w:pos="5269"/>
      </w:tabs>
      <w:spacing w:before="260" w:after="260" w:line="360" w:lineRule="auto"/>
      <w:ind w:hanging="1249"/>
      <w:jc w:val="both"/>
      <w:outlineLvl w:val="2"/>
    </w:pPr>
    <w:rPr>
      <w:rFonts w:ascii="宋体" w:hAnsi="宋体"/>
      <w:b/>
      <w:bCs/>
      <w:kern w:val="2"/>
      <w:sz w:val="28"/>
      <w:szCs w:val="28"/>
    </w:rPr>
  </w:style>
  <w:style w:type="paragraph" w:styleId="9">
    <w:name w:val="heading 4"/>
    <w:basedOn w:val="1"/>
    <w:next w:val="1"/>
    <w:link w:val="76"/>
    <w:qFormat/>
    <w:uiPriority w:val="0"/>
    <w:pPr>
      <w:keepNext/>
      <w:spacing w:before="240" w:after="60"/>
      <w:outlineLvl w:val="3"/>
    </w:pPr>
    <w:rPr>
      <w:b/>
      <w:bCs/>
      <w:sz w:val="28"/>
      <w:szCs w:val="28"/>
    </w:rPr>
  </w:style>
  <w:style w:type="paragraph" w:styleId="10">
    <w:name w:val="heading 5"/>
    <w:basedOn w:val="1"/>
    <w:next w:val="1"/>
    <w:link w:val="97"/>
    <w:qFormat/>
    <w:uiPriority w:val="0"/>
    <w:pPr>
      <w:keepNext/>
      <w:keepLines/>
      <w:widowControl w:val="0"/>
      <w:numPr>
        <w:ilvl w:val="4"/>
        <w:numId w:val="1"/>
      </w:numPr>
      <w:autoSpaceDE w:val="0"/>
      <w:autoSpaceDN w:val="0"/>
      <w:adjustRightInd w:val="0"/>
      <w:spacing w:before="280" w:after="290" w:line="374" w:lineRule="auto"/>
      <w:jc w:val="both"/>
      <w:outlineLvl w:val="4"/>
    </w:pPr>
    <w:rPr>
      <w:b/>
      <w:bCs/>
      <w:sz w:val="28"/>
      <w:szCs w:val="28"/>
    </w:rPr>
  </w:style>
  <w:style w:type="paragraph" w:styleId="11">
    <w:name w:val="heading 6"/>
    <w:basedOn w:val="1"/>
    <w:next w:val="1"/>
    <w:qFormat/>
    <w:uiPriority w:val="0"/>
    <w:pPr>
      <w:keepNext/>
      <w:keepLines/>
      <w:widowControl w:val="0"/>
      <w:numPr>
        <w:ilvl w:val="5"/>
        <w:numId w:val="1"/>
      </w:numPr>
      <w:spacing w:before="240" w:after="64" w:line="319" w:lineRule="auto"/>
      <w:jc w:val="both"/>
      <w:outlineLvl w:val="5"/>
    </w:pPr>
    <w:rPr>
      <w:rFonts w:ascii="Arial" w:hAnsi="Arial" w:eastAsia="黑体"/>
      <w:b/>
      <w:bCs/>
      <w:kern w:val="2"/>
    </w:rPr>
  </w:style>
  <w:style w:type="paragraph" w:styleId="12">
    <w:name w:val="heading 7"/>
    <w:basedOn w:val="1"/>
    <w:next w:val="1"/>
    <w:qFormat/>
    <w:uiPriority w:val="0"/>
    <w:pPr>
      <w:keepNext/>
      <w:tabs>
        <w:tab w:val="left" w:pos="3600"/>
      </w:tabs>
      <w:spacing w:after="120"/>
      <w:outlineLvl w:val="6"/>
    </w:pPr>
    <w:rPr>
      <w:rFonts w:ascii="Arial Narrow" w:hAnsi="Arial Narrow"/>
      <w:b/>
      <w:sz w:val="20"/>
      <w:szCs w:val="20"/>
      <w:lang w:eastAsia="en-US"/>
    </w:rPr>
  </w:style>
  <w:style w:type="paragraph" w:styleId="13">
    <w:name w:val="heading 8"/>
    <w:basedOn w:val="1"/>
    <w:next w:val="1"/>
    <w:qFormat/>
    <w:uiPriority w:val="0"/>
    <w:pPr>
      <w:keepNext/>
      <w:keepLines/>
      <w:widowControl w:val="0"/>
      <w:spacing w:before="240" w:after="64" w:line="317" w:lineRule="auto"/>
      <w:jc w:val="both"/>
      <w:outlineLvl w:val="7"/>
    </w:pPr>
    <w:rPr>
      <w:rFonts w:ascii="Arial" w:hAnsi="Arial" w:eastAsia="黑体"/>
      <w:kern w:val="2"/>
      <w:szCs w:val="20"/>
    </w:rPr>
  </w:style>
  <w:style w:type="paragraph" w:styleId="14">
    <w:name w:val="heading 9"/>
    <w:basedOn w:val="1"/>
    <w:next w:val="1"/>
    <w:qFormat/>
    <w:uiPriority w:val="0"/>
    <w:pPr>
      <w:keepNext/>
      <w:keepLines/>
      <w:widowControl w:val="0"/>
      <w:spacing w:before="240" w:after="64" w:line="317" w:lineRule="auto"/>
      <w:jc w:val="both"/>
      <w:outlineLvl w:val="8"/>
    </w:pPr>
    <w:rPr>
      <w:rFonts w:ascii="Arial" w:hAnsi="Arial" w:eastAsia="黑体"/>
      <w:kern w:val="2"/>
      <w:sz w:val="21"/>
      <w:szCs w:val="20"/>
    </w:rPr>
  </w:style>
  <w:style w:type="character" w:default="1" w:styleId="47">
    <w:name w:val="Default Paragraph Font"/>
    <w:semiHidden/>
    <w:unhideWhenUsed/>
    <w:qFormat/>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89"/>
    <w:qFormat/>
    <w:uiPriority w:val="0"/>
    <w:pPr>
      <w:spacing w:after="120"/>
    </w:pPr>
  </w:style>
  <w:style w:type="paragraph" w:customStyle="1" w:styleId="3">
    <w:name w:val="一级条标题"/>
    <w:basedOn w:val="4"/>
    <w:next w:val="5"/>
    <w:qFormat/>
    <w:uiPriority w:val="0"/>
    <w:pPr>
      <w:spacing w:line="240" w:lineRule="auto"/>
      <w:ind w:left="420"/>
      <w:outlineLvl w:val="2"/>
    </w:pPr>
  </w:style>
  <w:style w:type="paragraph" w:customStyle="1" w:styleId="4">
    <w:name w:val="章标题"/>
    <w:next w:val="1"/>
    <w:qFormat/>
    <w:uiPriority w:val="0"/>
    <w:pPr>
      <w:spacing w:line="360" w:lineRule="auto"/>
      <w:jc w:val="both"/>
      <w:outlineLvl w:val="1"/>
    </w:pPr>
    <w:rPr>
      <w:rFonts w:ascii="黑体" w:hAnsi="Calibri" w:eastAsia="黑体" w:cs="黑体"/>
      <w:sz w:val="21"/>
      <w:szCs w:val="21"/>
      <w:lang w:val="en-US" w:eastAsia="zh-CN" w:bidi="ar-SA"/>
    </w:rPr>
  </w:style>
  <w:style w:type="paragraph" w:customStyle="1" w:styleId="5">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styleId="15">
    <w:name w:val="toc 7"/>
    <w:basedOn w:val="1"/>
    <w:next w:val="1"/>
    <w:qFormat/>
    <w:uiPriority w:val="0"/>
    <w:pPr>
      <w:widowControl w:val="0"/>
      <w:ind w:left="1080"/>
    </w:pPr>
    <w:rPr>
      <w:kern w:val="2"/>
      <w:sz w:val="18"/>
      <w:szCs w:val="20"/>
    </w:rPr>
  </w:style>
  <w:style w:type="paragraph" w:styleId="16">
    <w:name w:val="Normal Indent"/>
    <w:basedOn w:val="1"/>
    <w:link w:val="86"/>
    <w:qFormat/>
    <w:uiPriority w:val="0"/>
    <w:pPr>
      <w:widowControl w:val="0"/>
      <w:spacing w:line="360" w:lineRule="auto"/>
      <w:ind w:firstLine="420" w:firstLineChars="200"/>
      <w:jc w:val="both"/>
    </w:pPr>
    <w:rPr>
      <w:kern w:val="2"/>
      <w:sz w:val="21"/>
    </w:rPr>
  </w:style>
  <w:style w:type="paragraph" w:styleId="17">
    <w:name w:val="caption"/>
    <w:basedOn w:val="1"/>
    <w:next w:val="1"/>
    <w:qFormat/>
    <w:uiPriority w:val="0"/>
    <w:pPr>
      <w:widowControl w:val="0"/>
      <w:spacing w:before="152" w:after="160" w:line="360" w:lineRule="auto"/>
      <w:jc w:val="both"/>
    </w:pPr>
    <w:rPr>
      <w:rFonts w:ascii="Arial" w:hAnsi="Arial" w:eastAsia="黑体"/>
      <w:kern w:val="2"/>
      <w:sz w:val="20"/>
      <w:szCs w:val="20"/>
    </w:rPr>
  </w:style>
  <w:style w:type="paragraph" w:styleId="18">
    <w:name w:val="Document Map"/>
    <w:basedOn w:val="1"/>
    <w:link w:val="108"/>
    <w:qFormat/>
    <w:uiPriority w:val="0"/>
    <w:pPr>
      <w:shd w:val="clear" w:color="auto" w:fill="000080"/>
    </w:pPr>
  </w:style>
  <w:style w:type="paragraph" w:styleId="19">
    <w:name w:val="annotation text"/>
    <w:basedOn w:val="1"/>
    <w:link w:val="61"/>
    <w:qFormat/>
    <w:uiPriority w:val="0"/>
    <w:pPr>
      <w:widowControl w:val="0"/>
    </w:pPr>
    <w:rPr>
      <w:kern w:val="2"/>
      <w:sz w:val="18"/>
      <w:szCs w:val="20"/>
    </w:rPr>
  </w:style>
  <w:style w:type="paragraph" w:styleId="20">
    <w:name w:val="Salutation"/>
    <w:basedOn w:val="1"/>
    <w:next w:val="1"/>
    <w:qFormat/>
    <w:uiPriority w:val="0"/>
    <w:pPr>
      <w:widowControl w:val="0"/>
      <w:jc w:val="both"/>
    </w:pPr>
    <w:rPr>
      <w:rFonts w:eastAsia="黑体"/>
      <w:kern w:val="2"/>
      <w:szCs w:val="20"/>
    </w:rPr>
  </w:style>
  <w:style w:type="paragraph" w:styleId="21">
    <w:name w:val="Body Text 3"/>
    <w:basedOn w:val="1"/>
    <w:qFormat/>
    <w:uiPriority w:val="0"/>
    <w:pPr>
      <w:spacing w:after="120"/>
    </w:pPr>
    <w:rPr>
      <w:sz w:val="16"/>
      <w:szCs w:val="16"/>
    </w:rPr>
  </w:style>
  <w:style w:type="paragraph" w:styleId="22">
    <w:name w:val="Body Text Indent"/>
    <w:basedOn w:val="1"/>
    <w:link w:val="81"/>
    <w:qFormat/>
    <w:uiPriority w:val="0"/>
    <w:pPr>
      <w:widowControl w:val="0"/>
      <w:autoSpaceDE w:val="0"/>
      <w:autoSpaceDN w:val="0"/>
      <w:adjustRightInd w:val="0"/>
      <w:spacing w:line="360" w:lineRule="auto"/>
      <w:ind w:firstLine="540" w:firstLineChars="180"/>
      <w:jc w:val="both"/>
    </w:pPr>
    <w:rPr>
      <w:rFonts w:ascii="宋体"/>
      <w:sz w:val="30"/>
    </w:rPr>
  </w:style>
  <w:style w:type="paragraph" w:styleId="23">
    <w:name w:val="Block Text"/>
    <w:basedOn w:val="1"/>
    <w:qFormat/>
    <w:uiPriority w:val="0"/>
    <w:pPr>
      <w:widowControl w:val="0"/>
      <w:ind w:left="-540" w:leftChars="-257" w:right="-334" w:rightChars="-159" w:firstLine="540" w:firstLineChars="180"/>
      <w:jc w:val="both"/>
    </w:pPr>
    <w:rPr>
      <w:kern w:val="2"/>
      <w:sz w:val="30"/>
    </w:rPr>
  </w:style>
  <w:style w:type="paragraph" w:styleId="24">
    <w:name w:val="toc 5"/>
    <w:basedOn w:val="1"/>
    <w:next w:val="1"/>
    <w:qFormat/>
    <w:uiPriority w:val="0"/>
    <w:pPr>
      <w:widowControl w:val="0"/>
      <w:ind w:left="720"/>
    </w:pPr>
    <w:rPr>
      <w:kern w:val="2"/>
      <w:sz w:val="18"/>
      <w:szCs w:val="20"/>
    </w:rPr>
  </w:style>
  <w:style w:type="paragraph" w:styleId="25">
    <w:name w:val="toc 3"/>
    <w:basedOn w:val="1"/>
    <w:next w:val="1"/>
    <w:qFormat/>
    <w:uiPriority w:val="0"/>
    <w:pPr>
      <w:widowControl w:val="0"/>
      <w:ind w:left="360"/>
    </w:pPr>
    <w:rPr>
      <w:i/>
      <w:kern w:val="2"/>
      <w:sz w:val="20"/>
      <w:szCs w:val="20"/>
    </w:rPr>
  </w:style>
  <w:style w:type="paragraph" w:styleId="26">
    <w:name w:val="Plain Text"/>
    <w:basedOn w:val="1"/>
    <w:link w:val="82"/>
    <w:qFormat/>
    <w:uiPriority w:val="99"/>
    <w:pPr>
      <w:widowControl w:val="0"/>
      <w:autoSpaceDE w:val="0"/>
      <w:autoSpaceDN w:val="0"/>
      <w:adjustRightInd w:val="0"/>
      <w:jc w:val="both"/>
    </w:pPr>
    <w:rPr>
      <w:rFonts w:hint="eastAsia" w:ascii="宋体" w:hAnsi="Tms Rmn"/>
      <w:sz w:val="21"/>
      <w:szCs w:val="20"/>
    </w:rPr>
  </w:style>
  <w:style w:type="paragraph" w:styleId="27">
    <w:name w:val="toc 8"/>
    <w:basedOn w:val="1"/>
    <w:next w:val="1"/>
    <w:qFormat/>
    <w:uiPriority w:val="0"/>
    <w:pPr>
      <w:widowControl w:val="0"/>
      <w:ind w:left="1260"/>
    </w:pPr>
    <w:rPr>
      <w:kern w:val="2"/>
      <w:sz w:val="18"/>
      <w:szCs w:val="20"/>
    </w:rPr>
  </w:style>
  <w:style w:type="paragraph" w:styleId="28">
    <w:name w:val="Date"/>
    <w:basedOn w:val="1"/>
    <w:next w:val="1"/>
    <w:link w:val="116"/>
    <w:qFormat/>
    <w:uiPriority w:val="0"/>
    <w:pPr>
      <w:ind w:left="100" w:leftChars="2500"/>
    </w:pPr>
  </w:style>
  <w:style w:type="paragraph" w:styleId="29">
    <w:name w:val="Body Text Indent 2"/>
    <w:basedOn w:val="1"/>
    <w:link w:val="58"/>
    <w:qFormat/>
    <w:uiPriority w:val="0"/>
    <w:pPr>
      <w:widowControl w:val="0"/>
      <w:ind w:firstLine="540" w:firstLineChars="257"/>
      <w:jc w:val="both"/>
    </w:pPr>
    <w:rPr>
      <w:kern w:val="2"/>
      <w:sz w:val="21"/>
    </w:rPr>
  </w:style>
  <w:style w:type="paragraph" w:styleId="30">
    <w:name w:val="Balloon Text"/>
    <w:basedOn w:val="1"/>
    <w:qFormat/>
    <w:uiPriority w:val="0"/>
    <w:rPr>
      <w:sz w:val="18"/>
      <w:szCs w:val="18"/>
    </w:rPr>
  </w:style>
  <w:style w:type="paragraph" w:styleId="31">
    <w:name w:val="footer"/>
    <w:basedOn w:val="1"/>
    <w:link w:val="62"/>
    <w:qFormat/>
    <w:uiPriority w:val="0"/>
    <w:pPr>
      <w:tabs>
        <w:tab w:val="center" w:pos="4153"/>
        <w:tab w:val="right" w:pos="8306"/>
      </w:tabs>
      <w:snapToGrid w:val="0"/>
    </w:pPr>
    <w:rPr>
      <w:sz w:val="18"/>
      <w:szCs w:val="18"/>
    </w:rPr>
  </w:style>
  <w:style w:type="paragraph" w:styleId="32">
    <w:name w:val="header"/>
    <w:basedOn w:val="1"/>
    <w:link w:val="119"/>
    <w:qFormat/>
    <w:uiPriority w:val="0"/>
    <w:pPr>
      <w:pBdr>
        <w:bottom w:val="single" w:color="auto" w:sz="6" w:space="1"/>
      </w:pBdr>
      <w:tabs>
        <w:tab w:val="center" w:pos="4153"/>
        <w:tab w:val="right" w:pos="8306"/>
      </w:tabs>
      <w:snapToGrid w:val="0"/>
      <w:jc w:val="center"/>
    </w:pPr>
    <w:rPr>
      <w:sz w:val="18"/>
      <w:szCs w:val="18"/>
    </w:rPr>
  </w:style>
  <w:style w:type="paragraph" w:styleId="33">
    <w:name w:val="toc 1"/>
    <w:basedOn w:val="1"/>
    <w:next w:val="1"/>
    <w:qFormat/>
    <w:uiPriority w:val="39"/>
    <w:pPr>
      <w:spacing w:before="120" w:after="120"/>
    </w:pPr>
    <w:rPr>
      <w:b/>
      <w:bCs/>
      <w:caps/>
      <w:szCs w:val="20"/>
    </w:rPr>
  </w:style>
  <w:style w:type="paragraph" w:styleId="34">
    <w:name w:val="toc 4"/>
    <w:basedOn w:val="1"/>
    <w:next w:val="1"/>
    <w:qFormat/>
    <w:uiPriority w:val="0"/>
    <w:pPr>
      <w:widowControl w:val="0"/>
      <w:ind w:left="540"/>
    </w:pPr>
    <w:rPr>
      <w:kern w:val="2"/>
      <w:sz w:val="18"/>
      <w:szCs w:val="20"/>
    </w:rPr>
  </w:style>
  <w:style w:type="paragraph" w:styleId="35">
    <w:name w:val="Subtitle"/>
    <w:basedOn w:val="1"/>
    <w:qFormat/>
    <w:uiPriority w:val="0"/>
    <w:pPr>
      <w:widowControl w:val="0"/>
      <w:jc w:val="both"/>
    </w:pPr>
    <w:rPr>
      <w:kern w:val="2"/>
      <w:sz w:val="28"/>
      <w:szCs w:val="20"/>
    </w:rPr>
  </w:style>
  <w:style w:type="paragraph" w:styleId="36">
    <w:name w:val="toc 6"/>
    <w:basedOn w:val="1"/>
    <w:next w:val="1"/>
    <w:qFormat/>
    <w:uiPriority w:val="0"/>
    <w:pPr>
      <w:ind w:left="1200"/>
    </w:pPr>
    <w:rPr>
      <w:sz w:val="18"/>
      <w:szCs w:val="18"/>
    </w:rPr>
  </w:style>
  <w:style w:type="paragraph" w:styleId="37">
    <w:name w:val="Body Text Indent 3"/>
    <w:basedOn w:val="1"/>
    <w:qFormat/>
    <w:uiPriority w:val="0"/>
    <w:pPr>
      <w:widowControl w:val="0"/>
      <w:spacing w:after="120"/>
      <w:ind w:left="420" w:leftChars="200"/>
      <w:jc w:val="both"/>
    </w:pPr>
    <w:rPr>
      <w:kern w:val="2"/>
      <w:sz w:val="16"/>
      <w:szCs w:val="16"/>
    </w:rPr>
  </w:style>
  <w:style w:type="paragraph" w:styleId="38">
    <w:name w:val="toc 2"/>
    <w:basedOn w:val="1"/>
    <w:next w:val="1"/>
    <w:qFormat/>
    <w:uiPriority w:val="0"/>
    <w:pPr>
      <w:ind w:left="240"/>
    </w:pPr>
    <w:rPr>
      <w:smallCaps/>
      <w:szCs w:val="20"/>
    </w:rPr>
  </w:style>
  <w:style w:type="paragraph" w:styleId="39">
    <w:name w:val="toc 9"/>
    <w:basedOn w:val="1"/>
    <w:next w:val="1"/>
    <w:qFormat/>
    <w:uiPriority w:val="0"/>
    <w:pPr>
      <w:widowControl w:val="0"/>
      <w:ind w:left="1440"/>
    </w:pPr>
    <w:rPr>
      <w:kern w:val="2"/>
      <w:sz w:val="18"/>
      <w:szCs w:val="20"/>
    </w:rPr>
  </w:style>
  <w:style w:type="paragraph" w:styleId="40">
    <w:name w:val="Body Text 2"/>
    <w:basedOn w:val="1"/>
    <w:qFormat/>
    <w:uiPriority w:val="0"/>
    <w:pPr>
      <w:widowControl w:val="0"/>
      <w:autoSpaceDE w:val="0"/>
      <w:autoSpaceDN w:val="0"/>
      <w:adjustRightInd w:val="0"/>
      <w:spacing w:after="120" w:line="480" w:lineRule="auto"/>
      <w:jc w:val="both"/>
    </w:pPr>
    <w:rPr>
      <w:sz w:val="21"/>
      <w:szCs w:val="21"/>
    </w:rPr>
  </w:style>
  <w:style w:type="paragraph" w:styleId="41">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rPr>
  </w:style>
  <w:style w:type="paragraph" w:styleId="4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hAnsi="Arial Unicode MS" w:eastAsia="Arial Unicode MS" w:cs="Arial Unicode MS"/>
      <w:sz w:val="20"/>
      <w:szCs w:val="20"/>
    </w:rPr>
  </w:style>
  <w:style w:type="paragraph" w:styleId="43">
    <w:name w:val="Normal (Web)"/>
    <w:basedOn w:val="1"/>
    <w:qFormat/>
    <w:uiPriority w:val="0"/>
    <w:pPr>
      <w:spacing w:before="100" w:beforeAutospacing="1" w:after="100" w:afterAutospacing="1"/>
    </w:pPr>
    <w:rPr>
      <w:rFonts w:ascii="宋体" w:hAnsi="宋体"/>
    </w:rPr>
  </w:style>
  <w:style w:type="paragraph" w:styleId="44">
    <w:name w:val="Title"/>
    <w:basedOn w:val="1"/>
    <w:next w:val="1"/>
    <w:link w:val="57"/>
    <w:qFormat/>
    <w:uiPriority w:val="0"/>
    <w:pPr>
      <w:widowControl w:val="0"/>
      <w:spacing w:before="240" w:after="60"/>
      <w:jc w:val="center"/>
      <w:outlineLvl w:val="0"/>
    </w:pPr>
    <w:rPr>
      <w:rFonts w:ascii="Cambria" w:hAnsi="Cambria"/>
      <w:b/>
      <w:bCs/>
      <w:kern w:val="2"/>
      <w:sz w:val="32"/>
      <w:szCs w:val="32"/>
    </w:rPr>
  </w:style>
  <w:style w:type="paragraph" w:styleId="45">
    <w:name w:val="annotation subject"/>
    <w:basedOn w:val="19"/>
    <w:next w:val="19"/>
    <w:qFormat/>
    <w:uiPriority w:val="0"/>
    <w:rPr>
      <w:b/>
    </w:rPr>
  </w:style>
  <w:style w:type="character" w:styleId="48">
    <w:name w:val="Strong"/>
    <w:qFormat/>
    <w:uiPriority w:val="0"/>
    <w:rPr>
      <w:b/>
    </w:rPr>
  </w:style>
  <w:style w:type="character" w:styleId="49">
    <w:name w:val="page number"/>
    <w:basedOn w:val="47"/>
    <w:qFormat/>
    <w:uiPriority w:val="0"/>
  </w:style>
  <w:style w:type="character" w:styleId="50">
    <w:name w:val="FollowedHyperlink"/>
    <w:qFormat/>
    <w:uiPriority w:val="0"/>
    <w:rPr>
      <w:color w:val="800080"/>
      <w:u w:val="single"/>
    </w:rPr>
  </w:style>
  <w:style w:type="character" w:styleId="51">
    <w:name w:val="Emphasis"/>
    <w:qFormat/>
    <w:uiPriority w:val="20"/>
    <w:rPr>
      <w:color w:val="CC0000"/>
    </w:rPr>
  </w:style>
  <w:style w:type="character" w:styleId="52">
    <w:name w:val="Hyperlink"/>
    <w:qFormat/>
    <w:uiPriority w:val="99"/>
    <w:rPr>
      <w:color w:val="0000FF"/>
      <w:u w:val="single"/>
    </w:rPr>
  </w:style>
  <w:style w:type="character" w:styleId="53">
    <w:name w:val="annotation reference"/>
    <w:qFormat/>
    <w:uiPriority w:val="0"/>
    <w:rPr>
      <w:sz w:val="21"/>
    </w:rPr>
  </w:style>
  <w:style w:type="character" w:styleId="54">
    <w:name w:val="HTML Cite"/>
    <w:unhideWhenUsed/>
    <w:qFormat/>
    <w:uiPriority w:val="99"/>
    <w:rPr>
      <w:color w:val="008000"/>
    </w:rPr>
  </w:style>
  <w:style w:type="character" w:customStyle="1" w:styleId="55">
    <w:name w:val="标题2 Char"/>
    <w:qFormat/>
    <w:uiPriority w:val="0"/>
    <w:rPr>
      <w:rFonts w:eastAsia="宋体"/>
      <w:sz w:val="24"/>
    </w:rPr>
  </w:style>
  <w:style w:type="character" w:customStyle="1" w:styleId="56">
    <w:name w:val="font111"/>
    <w:qFormat/>
    <w:uiPriority w:val="0"/>
    <w:rPr>
      <w:rFonts w:hint="default" w:ascii="Eʩ" w:hAnsi="Eʩ" w:eastAsia="Eʩ" w:cs="Eʩ"/>
      <w:color w:val="000000"/>
      <w:sz w:val="21"/>
      <w:szCs w:val="21"/>
      <w:u w:val="single"/>
    </w:rPr>
  </w:style>
  <w:style w:type="character" w:customStyle="1" w:styleId="57">
    <w:name w:val="标题 字符"/>
    <w:link w:val="44"/>
    <w:qFormat/>
    <w:uiPriority w:val="0"/>
    <w:rPr>
      <w:rFonts w:ascii="Cambria" w:hAnsi="Cambria"/>
      <w:b/>
      <w:bCs/>
      <w:kern w:val="2"/>
      <w:sz w:val="32"/>
      <w:szCs w:val="32"/>
    </w:rPr>
  </w:style>
  <w:style w:type="character" w:customStyle="1" w:styleId="58">
    <w:name w:val="正文文本缩进 2 字符"/>
    <w:link w:val="29"/>
    <w:qFormat/>
    <w:uiPriority w:val="0"/>
    <w:rPr>
      <w:kern w:val="2"/>
      <w:sz w:val="21"/>
      <w:szCs w:val="24"/>
    </w:rPr>
  </w:style>
  <w:style w:type="character" w:customStyle="1" w:styleId="59">
    <w:name w:val="ca-01"/>
    <w:qFormat/>
    <w:uiPriority w:val="0"/>
    <w:rPr>
      <w:rFonts w:hint="eastAsia" w:ascii="宋体" w:hAnsi="宋体" w:eastAsia="宋体"/>
      <w:b/>
      <w:bCs/>
      <w:color w:val="000000"/>
      <w:spacing w:val="-20"/>
      <w:sz w:val="36"/>
      <w:szCs w:val="36"/>
    </w:rPr>
  </w:style>
  <w:style w:type="character" w:customStyle="1" w:styleId="60">
    <w:name w:val="WW8Num9z0"/>
    <w:qFormat/>
    <w:uiPriority w:val="0"/>
    <w:rPr>
      <w:rFonts w:ascii="Wingdings" w:hAnsi="Wingdings"/>
    </w:rPr>
  </w:style>
  <w:style w:type="character" w:customStyle="1" w:styleId="61">
    <w:name w:val="批注文字 字符"/>
    <w:link w:val="19"/>
    <w:qFormat/>
    <w:uiPriority w:val="0"/>
    <w:rPr>
      <w:kern w:val="2"/>
      <w:sz w:val="18"/>
    </w:rPr>
  </w:style>
  <w:style w:type="character" w:customStyle="1" w:styleId="62">
    <w:name w:val="页脚 字符"/>
    <w:link w:val="31"/>
    <w:qFormat/>
    <w:uiPriority w:val="0"/>
    <w:rPr>
      <w:sz w:val="18"/>
      <w:szCs w:val="18"/>
    </w:rPr>
  </w:style>
  <w:style w:type="character" w:customStyle="1" w:styleId="63">
    <w:name w:val="huei12b"/>
    <w:basedOn w:val="47"/>
    <w:qFormat/>
    <w:uiPriority w:val="0"/>
  </w:style>
  <w:style w:type="character" w:customStyle="1" w:styleId="64">
    <w:name w:val="标题 2 Char"/>
    <w:qFormat/>
    <w:uiPriority w:val="0"/>
    <w:rPr>
      <w:rFonts w:ascii="Arial" w:hAnsi="Arial"/>
      <w:b/>
      <w:sz w:val="28"/>
    </w:rPr>
  </w:style>
  <w:style w:type="character" w:customStyle="1" w:styleId="65">
    <w:name w:val="fontblank12"/>
    <w:basedOn w:val="47"/>
    <w:qFormat/>
    <w:uiPriority w:val="0"/>
  </w:style>
  <w:style w:type="character" w:customStyle="1" w:styleId="66">
    <w:name w:val="Char Char1"/>
    <w:qFormat/>
    <w:uiPriority w:val="0"/>
    <w:rPr>
      <w:rFonts w:ascii="宋体" w:hAnsi="Courier New" w:eastAsia="宋体"/>
      <w:kern w:val="2"/>
      <w:sz w:val="21"/>
      <w:szCs w:val="21"/>
      <w:lang w:bidi="ar-SA"/>
    </w:rPr>
  </w:style>
  <w:style w:type="character" w:customStyle="1" w:styleId="67">
    <w:name w:val="Char1 Char Char1"/>
    <w:qFormat/>
    <w:uiPriority w:val="0"/>
    <w:rPr>
      <w:rFonts w:ascii="宋体" w:hAnsi="Courier New" w:eastAsia="宋体"/>
      <w:kern w:val="2"/>
      <w:sz w:val="24"/>
      <w:lang w:val="en-US" w:eastAsia="zh-CN" w:bidi="ar-SA"/>
    </w:rPr>
  </w:style>
  <w:style w:type="character" w:customStyle="1" w:styleId="68">
    <w:name w:val="标题 2 字符"/>
    <w:link w:val="7"/>
    <w:qFormat/>
    <w:uiPriority w:val="0"/>
    <w:rPr>
      <w:rFonts w:ascii="宋体" w:hAnsi="宋体" w:cs="Arial"/>
      <w:b/>
      <w:bCs/>
      <w:iCs/>
      <w:sz w:val="28"/>
      <w:szCs w:val="28"/>
    </w:rPr>
  </w:style>
  <w:style w:type="character" w:customStyle="1" w:styleId="69">
    <w:name w:val="表正文 Char2"/>
    <w:qFormat/>
    <w:uiPriority w:val="0"/>
    <w:rPr>
      <w:rFonts w:eastAsia="宋体"/>
      <w:kern w:val="2"/>
      <w:sz w:val="21"/>
      <w:lang w:val="en-US" w:eastAsia="zh-CN" w:bidi="ar-SA"/>
    </w:rPr>
  </w:style>
  <w:style w:type="character" w:customStyle="1" w:styleId="70">
    <w:name w:val="标题 3 Char Char Char"/>
    <w:qFormat/>
    <w:uiPriority w:val="0"/>
    <w:rPr>
      <w:rFonts w:eastAsia="宋体"/>
      <w:b/>
      <w:kern w:val="2"/>
      <w:sz w:val="32"/>
      <w:lang w:val="en-US" w:eastAsia="zh-CN" w:bidi="ar-SA"/>
    </w:rPr>
  </w:style>
  <w:style w:type="character" w:customStyle="1" w:styleId="71">
    <w:name w:val="文章正文 Char Char"/>
    <w:link w:val="72"/>
    <w:qFormat/>
    <w:uiPriority w:val="0"/>
    <w:rPr>
      <w:rFonts w:eastAsia="宋体"/>
      <w:kern w:val="2"/>
      <w:sz w:val="24"/>
      <w:szCs w:val="24"/>
      <w:lang w:val="en-US" w:eastAsia="zh-CN" w:bidi="ar-SA"/>
    </w:rPr>
  </w:style>
  <w:style w:type="paragraph" w:customStyle="1" w:styleId="72">
    <w:name w:val="文章正文"/>
    <w:basedOn w:val="1"/>
    <w:link w:val="71"/>
    <w:qFormat/>
    <w:uiPriority w:val="0"/>
    <w:pPr>
      <w:widowControl w:val="0"/>
      <w:spacing w:line="360" w:lineRule="auto"/>
      <w:ind w:firstLine="420"/>
      <w:jc w:val="both"/>
    </w:pPr>
    <w:rPr>
      <w:kern w:val="2"/>
    </w:rPr>
  </w:style>
  <w:style w:type="character" w:customStyle="1" w:styleId="73">
    <w:name w:val="style61"/>
    <w:qFormat/>
    <w:uiPriority w:val="0"/>
    <w:rPr>
      <w:rFonts w:hint="default" w:ascii="Arial" w:hAnsi="Arial" w:cs="Arial"/>
      <w:color w:val="003399"/>
      <w:sz w:val="18"/>
      <w:szCs w:val="18"/>
    </w:rPr>
  </w:style>
  <w:style w:type="character" w:customStyle="1" w:styleId="74">
    <w:name w:val="h4-1 Char"/>
    <w:link w:val="75"/>
    <w:qFormat/>
    <w:uiPriority w:val="0"/>
    <w:rPr>
      <w:rFonts w:ascii="Arial" w:hAnsi="Arial" w:eastAsia="仿宋_GB2312" w:cs="Arial"/>
      <w:b/>
      <w:bCs/>
      <w:kern w:val="2"/>
      <w:sz w:val="28"/>
      <w:szCs w:val="28"/>
      <w:lang w:val="zh-CN" w:eastAsia="zh-CN" w:bidi="ar-SA"/>
    </w:rPr>
  </w:style>
  <w:style w:type="paragraph" w:customStyle="1" w:styleId="75">
    <w:name w:val="h4-1"/>
    <w:basedOn w:val="9"/>
    <w:link w:val="74"/>
    <w:qFormat/>
    <w:uiPriority w:val="0"/>
    <w:pPr>
      <w:keepLines/>
      <w:widowControl w:val="0"/>
      <w:numPr>
        <w:ilvl w:val="0"/>
        <w:numId w:val="2"/>
      </w:numPr>
      <w:spacing w:beforeLines="50" w:afterLines="50"/>
      <w:ind w:left="200" w:leftChars="200" w:right="420" w:rightChars="200"/>
      <w:jc w:val="both"/>
    </w:pPr>
    <w:rPr>
      <w:rFonts w:ascii="Arial" w:hAnsi="Arial" w:eastAsia="仿宋_GB2312" w:cs="Arial"/>
      <w:kern w:val="2"/>
      <w:lang w:val="zh-CN"/>
    </w:rPr>
  </w:style>
  <w:style w:type="character" w:customStyle="1" w:styleId="76">
    <w:name w:val="标题 4 字符"/>
    <w:link w:val="9"/>
    <w:qFormat/>
    <w:uiPriority w:val="0"/>
    <w:rPr>
      <w:rFonts w:eastAsia="宋体"/>
      <w:b/>
      <w:bCs/>
      <w:sz w:val="28"/>
      <w:szCs w:val="28"/>
      <w:lang w:val="en-US" w:eastAsia="zh-CN" w:bidi="ar-SA"/>
    </w:rPr>
  </w:style>
  <w:style w:type="character" w:customStyle="1" w:styleId="77">
    <w:name w:val="ca-111"/>
    <w:qFormat/>
    <w:uiPriority w:val="0"/>
    <w:rPr>
      <w:rFonts w:hint="eastAsia" w:ascii="宋体" w:hAnsi="宋体" w:eastAsia="宋体"/>
      <w:color w:val="000000"/>
      <w:sz w:val="24"/>
      <w:szCs w:val="24"/>
    </w:rPr>
  </w:style>
  <w:style w:type="character" w:customStyle="1" w:styleId="78">
    <w:name w:val="font91"/>
    <w:qFormat/>
    <w:uiPriority w:val="0"/>
    <w:rPr>
      <w:rFonts w:hint="eastAsia" w:ascii="宋体" w:hAnsi="宋体" w:eastAsia="宋体" w:cs="宋体"/>
      <w:color w:val="FF0000"/>
      <w:sz w:val="21"/>
      <w:szCs w:val="21"/>
      <w:u w:val="single"/>
    </w:rPr>
  </w:style>
  <w:style w:type="character" w:customStyle="1" w:styleId="79">
    <w:name w:val="纯文本 Char"/>
    <w:qFormat/>
    <w:uiPriority w:val="0"/>
    <w:rPr>
      <w:rFonts w:ascii="宋体" w:hAnsi="Tms Rmn" w:eastAsia="宋体" w:cs="宋体"/>
      <w:sz w:val="21"/>
      <w:szCs w:val="21"/>
      <w:lang w:val="en-US" w:eastAsia="zh-CN" w:bidi="ar-SA"/>
    </w:rPr>
  </w:style>
  <w:style w:type="character" w:customStyle="1" w:styleId="80">
    <w:name w:val="font101"/>
    <w:qFormat/>
    <w:uiPriority w:val="0"/>
    <w:rPr>
      <w:rFonts w:hint="eastAsia" w:ascii="宋体" w:hAnsi="宋体" w:eastAsia="宋体" w:cs="宋体"/>
      <w:color w:val="000000"/>
      <w:sz w:val="21"/>
      <w:szCs w:val="21"/>
      <w:u w:val="single"/>
    </w:rPr>
  </w:style>
  <w:style w:type="character" w:customStyle="1" w:styleId="81">
    <w:name w:val="正文文本缩进 字符"/>
    <w:link w:val="22"/>
    <w:qFormat/>
    <w:uiPriority w:val="0"/>
    <w:rPr>
      <w:rFonts w:ascii="宋体" w:eastAsia="宋体"/>
      <w:sz w:val="30"/>
      <w:szCs w:val="24"/>
      <w:lang w:val="en-US" w:eastAsia="zh-CN" w:bidi="ar-SA"/>
    </w:rPr>
  </w:style>
  <w:style w:type="character" w:customStyle="1" w:styleId="82">
    <w:name w:val="纯文本 字符"/>
    <w:link w:val="26"/>
    <w:unhideWhenUsed/>
    <w:qFormat/>
    <w:uiPriority w:val="99"/>
    <w:rPr>
      <w:rFonts w:hint="eastAsia" w:ascii="宋体" w:hAnsi="Tms Rmn" w:eastAsia="宋体"/>
      <w:sz w:val="21"/>
      <w:lang w:val="en-US" w:eastAsia="zh-CN"/>
    </w:rPr>
  </w:style>
  <w:style w:type="character" w:customStyle="1" w:styleId="83">
    <w:name w:val="magic-list1"/>
    <w:qFormat/>
    <w:uiPriority w:val="0"/>
    <w:rPr>
      <w:rFonts w:hint="default" w:ascii="ˎ̥" w:hAnsi="ˎ̥"/>
      <w:color w:val="000000"/>
      <w:sz w:val="20"/>
      <w:u w:val="none"/>
    </w:rPr>
  </w:style>
  <w:style w:type="character" w:customStyle="1" w:styleId="84">
    <w:name w:val="正文首行缩进两字符 Char Char"/>
    <w:qFormat/>
    <w:uiPriority w:val="0"/>
    <w:rPr>
      <w:rFonts w:eastAsia="宋体"/>
      <w:kern w:val="2"/>
      <w:sz w:val="21"/>
      <w:szCs w:val="24"/>
      <w:lang w:val="en-US" w:eastAsia="zh-CN" w:bidi="ar-SA"/>
    </w:rPr>
  </w:style>
  <w:style w:type="character" w:customStyle="1" w:styleId="85">
    <w:name w:val="grame"/>
    <w:basedOn w:val="47"/>
    <w:qFormat/>
    <w:uiPriority w:val="0"/>
  </w:style>
  <w:style w:type="character" w:customStyle="1" w:styleId="86">
    <w:name w:val="正文缩进 字符"/>
    <w:link w:val="16"/>
    <w:qFormat/>
    <w:uiPriority w:val="0"/>
    <w:rPr>
      <w:rFonts w:eastAsia="宋体"/>
      <w:kern w:val="2"/>
      <w:sz w:val="21"/>
      <w:szCs w:val="24"/>
      <w:lang w:val="en-US" w:eastAsia="zh-CN" w:bidi="ar-SA"/>
    </w:rPr>
  </w:style>
  <w:style w:type="character" w:customStyle="1" w:styleId="87">
    <w:name w:val="纯文本 Char Char"/>
    <w:qFormat/>
    <w:uiPriority w:val="0"/>
    <w:rPr>
      <w:rFonts w:ascii="宋体" w:hAnsi="Courier New" w:eastAsia="宋体"/>
      <w:kern w:val="2"/>
      <w:sz w:val="21"/>
      <w:lang w:val="en-US" w:eastAsia="zh-CN" w:bidi="ar-SA"/>
    </w:rPr>
  </w:style>
  <w:style w:type="character" w:customStyle="1" w:styleId="88">
    <w:name w:val="Char Char4"/>
    <w:qFormat/>
    <w:uiPriority w:val="0"/>
    <w:rPr>
      <w:rFonts w:ascii="宋体" w:hAnsi="Courier New" w:eastAsia="宋体"/>
      <w:kern w:val="2"/>
      <w:sz w:val="21"/>
      <w:lang w:val="en-US" w:eastAsia="zh-CN"/>
    </w:rPr>
  </w:style>
  <w:style w:type="character" w:customStyle="1" w:styleId="89">
    <w:name w:val="正文文本 字符"/>
    <w:link w:val="2"/>
    <w:qFormat/>
    <w:uiPriority w:val="0"/>
    <w:rPr>
      <w:sz w:val="24"/>
      <w:szCs w:val="24"/>
    </w:rPr>
  </w:style>
  <w:style w:type="character" w:customStyle="1" w:styleId="90">
    <w:name w:val="huei12b1"/>
    <w:qFormat/>
    <w:uiPriority w:val="0"/>
    <w:rPr>
      <w:b/>
      <w:bCs/>
      <w:color w:val="333333"/>
      <w:sz w:val="18"/>
      <w:szCs w:val="18"/>
    </w:rPr>
  </w:style>
  <w:style w:type="character" w:customStyle="1" w:styleId="91">
    <w:name w:val="textnormchn1"/>
    <w:basedOn w:val="47"/>
    <w:qFormat/>
    <w:uiPriority w:val="0"/>
  </w:style>
  <w:style w:type="character" w:customStyle="1" w:styleId="92">
    <w:name w:val="正文3 Char"/>
    <w:link w:val="93"/>
    <w:qFormat/>
    <w:uiPriority w:val="0"/>
    <w:rPr>
      <w:rFonts w:ascii="Calibri" w:hAnsi="Calibri"/>
      <w:sz w:val="24"/>
      <w:szCs w:val="24"/>
      <w:lang w:val="en-US" w:eastAsia="zh-CN" w:bidi="ar-SA"/>
    </w:rPr>
  </w:style>
  <w:style w:type="paragraph" w:customStyle="1" w:styleId="93">
    <w:name w:val="正文3"/>
    <w:link w:val="92"/>
    <w:qFormat/>
    <w:uiPriority w:val="0"/>
    <w:pPr>
      <w:spacing w:before="120" w:after="120" w:line="360" w:lineRule="auto"/>
      <w:ind w:firstLine="200" w:firstLineChars="200"/>
    </w:pPr>
    <w:rPr>
      <w:rFonts w:ascii="Calibri" w:hAnsi="Calibri" w:eastAsia="宋体" w:cs="Times New Roman"/>
      <w:sz w:val="24"/>
      <w:szCs w:val="24"/>
      <w:lang w:val="en-US" w:eastAsia="zh-CN" w:bidi="ar-SA"/>
    </w:rPr>
  </w:style>
  <w:style w:type="character" w:customStyle="1" w:styleId="94">
    <w:name w:val="style31"/>
    <w:qFormat/>
    <w:uiPriority w:val="0"/>
    <w:rPr>
      <w:rFonts w:hint="default" w:ascii="Arial" w:hAnsi="Arial" w:cs="Arial"/>
      <w:b/>
      <w:bCs/>
      <w:sz w:val="21"/>
      <w:szCs w:val="21"/>
    </w:rPr>
  </w:style>
  <w:style w:type="character" w:customStyle="1" w:styleId="95">
    <w:name w:val="headline-content2"/>
    <w:basedOn w:val="47"/>
    <w:qFormat/>
    <w:uiPriority w:val="0"/>
  </w:style>
  <w:style w:type="character" w:customStyle="1" w:styleId="96">
    <w:name w:val="param_td12"/>
    <w:basedOn w:val="47"/>
    <w:qFormat/>
    <w:uiPriority w:val="0"/>
  </w:style>
  <w:style w:type="character" w:customStyle="1" w:styleId="97">
    <w:name w:val="标题 5 字符"/>
    <w:link w:val="10"/>
    <w:qFormat/>
    <w:uiPriority w:val="0"/>
    <w:rPr>
      <w:rFonts w:eastAsia="宋体"/>
      <w:b/>
      <w:bCs/>
      <w:sz w:val="28"/>
      <w:szCs w:val="28"/>
      <w:lang w:val="en-US" w:eastAsia="zh-CN" w:bidi="ar-SA"/>
    </w:rPr>
  </w:style>
  <w:style w:type="character" w:customStyle="1" w:styleId="98">
    <w:name w:val="textnorm_chn1"/>
    <w:qFormat/>
    <w:uiPriority w:val="0"/>
    <w:rPr>
      <w:rFonts w:hint="default" w:ascii="Arial" w:hAnsi="Arial" w:cs="Arial"/>
      <w:color w:val="21254A"/>
      <w:sz w:val="22"/>
      <w:szCs w:val="22"/>
    </w:rPr>
  </w:style>
  <w:style w:type="character" w:customStyle="1" w:styleId="99">
    <w:name w:val="font31"/>
    <w:qFormat/>
    <w:uiPriority w:val="0"/>
    <w:rPr>
      <w:rFonts w:hint="eastAsia" w:ascii="宋体" w:hAnsi="宋体" w:eastAsia="宋体" w:cs="宋体"/>
      <w:color w:val="000000"/>
      <w:sz w:val="21"/>
      <w:szCs w:val="21"/>
      <w:u w:val="none"/>
    </w:rPr>
  </w:style>
  <w:style w:type="character" w:customStyle="1" w:styleId="100">
    <w:name w:val="标题 1 字符"/>
    <w:link w:val="6"/>
    <w:qFormat/>
    <w:uiPriority w:val="0"/>
    <w:rPr>
      <w:rFonts w:ascii="华文中宋" w:hAnsi="华文中宋" w:eastAsia="华文中宋"/>
      <w:b/>
      <w:bCs/>
      <w:color w:val="000000"/>
      <w:kern w:val="44"/>
      <w:sz w:val="32"/>
      <w:szCs w:val="32"/>
    </w:rPr>
  </w:style>
  <w:style w:type="character" w:customStyle="1" w:styleId="101">
    <w:name w:val="small"/>
    <w:basedOn w:val="47"/>
    <w:qFormat/>
    <w:uiPriority w:val="0"/>
  </w:style>
  <w:style w:type="character" w:customStyle="1" w:styleId="102">
    <w:name w:val="标书（正文） Char Char"/>
    <w:link w:val="103"/>
    <w:qFormat/>
    <w:uiPriority w:val="0"/>
    <w:rPr>
      <w:rFonts w:ascii="宋体" w:hAnsi="宋体" w:eastAsia="宋体"/>
      <w:b/>
      <w:kern w:val="10"/>
      <w:sz w:val="21"/>
      <w:lang w:val="en-US" w:eastAsia="zh-CN" w:bidi="ar-SA"/>
    </w:rPr>
  </w:style>
  <w:style w:type="paragraph" w:customStyle="1" w:styleId="103">
    <w:name w:val="标书（正文）"/>
    <w:basedOn w:val="1"/>
    <w:link w:val="102"/>
    <w:qFormat/>
    <w:uiPriority w:val="0"/>
    <w:pPr>
      <w:widowControl w:val="0"/>
      <w:spacing w:line="360" w:lineRule="auto"/>
      <w:ind w:firstLine="560" w:firstLineChars="200"/>
      <w:jc w:val="both"/>
    </w:pPr>
    <w:rPr>
      <w:rFonts w:ascii="宋体" w:hAnsi="宋体"/>
      <w:b/>
      <w:kern w:val="10"/>
      <w:sz w:val="21"/>
      <w:szCs w:val="20"/>
    </w:rPr>
  </w:style>
  <w:style w:type="character" w:customStyle="1" w:styleId="104">
    <w:name w:val="unnamed31"/>
    <w:qFormat/>
    <w:uiPriority w:val="0"/>
    <w:rPr>
      <w:sz w:val="22"/>
      <w:szCs w:val="22"/>
    </w:rPr>
  </w:style>
  <w:style w:type="character" w:customStyle="1" w:styleId="105">
    <w:name w:val="font01"/>
    <w:qFormat/>
    <w:uiPriority w:val="0"/>
    <w:rPr>
      <w:rFonts w:hint="eastAsia" w:ascii="宋体" w:hAnsi="宋体" w:eastAsia="宋体" w:cs="宋体"/>
      <w:color w:val="FF0000"/>
      <w:sz w:val="21"/>
      <w:szCs w:val="21"/>
      <w:u w:val="none"/>
    </w:rPr>
  </w:style>
  <w:style w:type="character" w:customStyle="1" w:styleId="106">
    <w:name w:val="CD正文 Char Char"/>
    <w:link w:val="107"/>
    <w:qFormat/>
    <w:uiPriority w:val="0"/>
    <w:rPr>
      <w:rFonts w:eastAsia="宋体"/>
      <w:kern w:val="2"/>
      <w:sz w:val="30"/>
      <w:szCs w:val="28"/>
      <w:lang w:val="en-US" w:eastAsia="zh-CN" w:bidi="ar-SA"/>
    </w:rPr>
  </w:style>
  <w:style w:type="paragraph" w:customStyle="1" w:styleId="107">
    <w:name w:val="CD正文"/>
    <w:basedOn w:val="1"/>
    <w:link w:val="106"/>
    <w:qFormat/>
    <w:uiPriority w:val="0"/>
    <w:pPr>
      <w:widowControl w:val="0"/>
      <w:spacing w:line="360" w:lineRule="auto"/>
      <w:ind w:firstLine="493"/>
      <w:jc w:val="both"/>
    </w:pPr>
    <w:rPr>
      <w:kern w:val="2"/>
      <w:sz w:val="30"/>
      <w:szCs w:val="28"/>
    </w:rPr>
  </w:style>
  <w:style w:type="character" w:customStyle="1" w:styleId="108">
    <w:name w:val="文档结构图 字符"/>
    <w:link w:val="18"/>
    <w:qFormat/>
    <w:uiPriority w:val="0"/>
    <w:rPr>
      <w:sz w:val="24"/>
      <w:szCs w:val="24"/>
      <w:shd w:val="clear" w:color="auto" w:fill="000080"/>
    </w:rPr>
  </w:style>
  <w:style w:type="character" w:customStyle="1" w:styleId="109">
    <w:name w:val="Char1 Char Char"/>
    <w:qFormat/>
    <w:uiPriority w:val="0"/>
    <w:rPr>
      <w:rFonts w:ascii="宋体" w:hAnsi="Courier New" w:eastAsia="宋体"/>
      <w:kern w:val="2"/>
      <w:sz w:val="24"/>
      <w:lang w:val="en-US" w:eastAsia="zh-CN" w:bidi="ar-SA"/>
    </w:rPr>
  </w:style>
  <w:style w:type="character" w:customStyle="1" w:styleId="110">
    <w:name w:val="productdetailname"/>
    <w:basedOn w:val="47"/>
    <w:qFormat/>
    <w:uiPriority w:val="0"/>
  </w:style>
  <w:style w:type="character" w:customStyle="1" w:styleId="111">
    <w:name w:val="h5-1 Char"/>
    <w:link w:val="112"/>
    <w:qFormat/>
    <w:uiPriority w:val="0"/>
    <w:rPr>
      <w:rFonts w:ascii="Arial" w:hAnsi="Arial" w:eastAsia="仿宋_GB2312" w:cs="Arial"/>
      <w:b/>
      <w:bCs/>
      <w:kern w:val="2"/>
      <w:sz w:val="24"/>
      <w:szCs w:val="28"/>
      <w:lang w:val="en-US" w:eastAsia="zh-CN" w:bidi="ar-SA"/>
    </w:rPr>
  </w:style>
  <w:style w:type="paragraph" w:customStyle="1" w:styleId="112">
    <w:name w:val="h5-1"/>
    <w:basedOn w:val="10"/>
    <w:link w:val="111"/>
    <w:qFormat/>
    <w:uiPriority w:val="0"/>
    <w:pPr>
      <w:numPr>
        <w:ilvl w:val="0"/>
        <w:numId w:val="3"/>
      </w:numPr>
      <w:tabs>
        <w:tab w:val="clear" w:pos="4832"/>
      </w:tabs>
      <w:autoSpaceDE/>
      <w:autoSpaceDN/>
      <w:snapToGrid w:val="0"/>
      <w:spacing w:before="80" w:after="80" w:line="360" w:lineRule="auto"/>
      <w:ind w:left="200" w:leftChars="200"/>
    </w:pPr>
    <w:rPr>
      <w:rFonts w:ascii="Arial" w:hAnsi="Arial" w:eastAsia="仿宋_GB2312" w:cs="Arial"/>
      <w:kern w:val="2"/>
      <w:sz w:val="24"/>
    </w:rPr>
  </w:style>
  <w:style w:type="character" w:customStyle="1" w:styleId="113">
    <w:name w:val="H4 Char"/>
    <w:qFormat/>
    <w:uiPriority w:val="0"/>
    <w:rPr>
      <w:rFonts w:ascii="Arial" w:hAnsi="Arial" w:eastAsia="宋体"/>
      <w:b/>
      <w:kern w:val="2"/>
      <w:sz w:val="28"/>
      <w:lang w:val="en-US" w:eastAsia="zh-CN"/>
    </w:rPr>
  </w:style>
  <w:style w:type="character" w:customStyle="1" w:styleId="114">
    <w:name w:val="ca-221"/>
    <w:qFormat/>
    <w:uiPriority w:val="0"/>
    <w:rPr>
      <w:rFonts w:hint="default" w:ascii="Times New Roman" w:hAnsi="Times New Roman" w:cs="Times New Roman"/>
      <w:color w:val="000000"/>
      <w:sz w:val="24"/>
      <w:szCs w:val="24"/>
    </w:rPr>
  </w:style>
  <w:style w:type="character" w:customStyle="1" w:styleId="115">
    <w:name w:val="h Char"/>
    <w:qFormat/>
    <w:uiPriority w:val="0"/>
    <w:rPr>
      <w:rFonts w:eastAsia="仿宋_GB2312"/>
      <w:kern w:val="2"/>
      <w:sz w:val="18"/>
      <w:szCs w:val="18"/>
      <w:lang w:val="en-US" w:eastAsia="zh-CN" w:bidi="ar-SA"/>
    </w:rPr>
  </w:style>
  <w:style w:type="character" w:customStyle="1" w:styleId="116">
    <w:name w:val="日期 字符"/>
    <w:link w:val="28"/>
    <w:uiPriority w:val="0"/>
    <w:rPr>
      <w:rFonts w:eastAsia="宋体"/>
      <w:sz w:val="24"/>
      <w:szCs w:val="24"/>
      <w:lang w:val="en-US" w:eastAsia="zh-CN" w:bidi="ar-SA"/>
    </w:rPr>
  </w:style>
  <w:style w:type="character" w:customStyle="1" w:styleId="117">
    <w:name w:val="fo Char"/>
    <w:qFormat/>
    <w:uiPriority w:val="0"/>
    <w:rPr>
      <w:rFonts w:eastAsia="宋体"/>
      <w:kern w:val="2"/>
      <w:sz w:val="18"/>
      <w:lang w:bidi="ar-SA"/>
    </w:rPr>
  </w:style>
  <w:style w:type="character" w:customStyle="1" w:styleId="118">
    <w:name w:val="标题 3 字符"/>
    <w:link w:val="8"/>
    <w:uiPriority w:val="0"/>
    <w:rPr>
      <w:rFonts w:ascii="宋体" w:hAnsi="宋体" w:eastAsia="宋体"/>
      <w:b/>
      <w:bCs/>
      <w:kern w:val="2"/>
      <w:sz w:val="28"/>
      <w:szCs w:val="28"/>
      <w:lang w:val="en-US" w:eastAsia="zh-CN" w:bidi="ar-SA"/>
    </w:rPr>
  </w:style>
  <w:style w:type="character" w:customStyle="1" w:styleId="119">
    <w:name w:val="页眉 字符"/>
    <w:link w:val="32"/>
    <w:qFormat/>
    <w:uiPriority w:val="0"/>
    <w:rPr>
      <w:rFonts w:eastAsia="宋体"/>
      <w:sz w:val="18"/>
      <w:szCs w:val="18"/>
      <w:lang w:val="en-US" w:eastAsia="zh-CN" w:bidi="ar-SA"/>
    </w:rPr>
  </w:style>
  <w:style w:type="character" w:customStyle="1" w:styleId="120">
    <w:name w:val="keyword"/>
    <w:basedOn w:val="47"/>
    <w:qFormat/>
    <w:uiPriority w:val="0"/>
  </w:style>
  <w:style w:type="paragraph" w:customStyle="1" w:styleId="121">
    <w:name w:val="正文文本首行缩进1"/>
    <w:basedOn w:val="2"/>
    <w:qFormat/>
    <w:uiPriority w:val="0"/>
    <w:pPr>
      <w:widowControl w:val="0"/>
      <w:ind w:firstLine="420" w:firstLineChars="100"/>
      <w:jc w:val="both"/>
    </w:pPr>
    <w:rPr>
      <w:rFonts w:ascii="宋体" w:hAnsi="宋体"/>
      <w:kern w:val="2"/>
      <w:sz w:val="21"/>
      <w:szCs w:val="20"/>
    </w:rPr>
  </w:style>
  <w:style w:type="paragraph" w:customStyle="1" w:styleId="122">
    <w:name w:val="font5"/>
    <w:basedOn w:val="1"/>
    <w:qFormat/>
    <w:uiPriority w:val="0"/>
    <w:pPr>
      <w:spacing w:before="100" w:beforeAutospacing="1" w:after="100" w:afterAutospacing="1"/>
    </w:pPr>
    <w:rPr>
      <w:rFonts w:ascii="宋体" w:hAnsi="宋体" w:cs="宋体"/>
      <w:sz w:val="22"/>
      <w:szCs w:val="22"/>
    </w:rPr>
  </w:style>
  <w:style w:type="paragraph" w:customStyle="1" w:styleId="123">
    <w:name w:val="页眉 New New New"/>
    <w:basedOn w:val="124"/>
    <w:qFormat/>
    <w:uiPriority w:val="0"/>
    <w:pPr>
      <w:pBdr>
        <w:bottom w:val="single" w:color="auto" w:sz="6" w:space="1"/>
      </w:pBdr>
      <w:tabs>
        <w:tab w:val="center" w:pos="4153"/>
        <w:tab w:val="right" w:pos="8306"/>
      </w:tabs>
      <w:snapToGrid w:val="0"/>
      <w:jc w:val="center"/>
    </w:pPr>
    <w:rPr>
      <w:sz w:val="18"/>
      <w:szCs w:val="18"/>
    </w:rPr>
  </w:style>
  <w:style w:type="paragraph" w:customStyle="1" w:styleId="124">
    <w:name w:val="正文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5">
    <w:name w:val="plaintext"/>
    <w:basedOn w:val="1"/>
    <w:uiPriority w:val="0"/>
    <w:pPr>
      <w:spacing w:before="100" w:beforeAutospacing="1" w:after="100" w:afterAutospacing="1"/>
    </w:pPr>
    <w:rPr>
      <w:rFonts w:ascii="宋体" w:hAnsi="宋体"/>
    </w:rPr>
  </w:style>
  <w:style w:type="paragraph" w:customStyle="1" w:styleId="126">
    <w:name w:val="xl112"/>
    <w:basedOn w:val="1"/>
    <w:qFormat/>
    <w:uiPriority w:val="0"/>
    <w:pPr>
      <w:pBdr>
        <w:top w:val="single" w:color="auto" w:sz="4" w:space="0"/>
        <w:bottom w:val="single" w:color="auto" w:sz="4" w:space="0"/>
        <w:right w:val="single" w:color="auto" w:sz="4" w:space="0"/>
      </w:pBdr>
      <w:spacing w:before="100" w:beforeAutospacing="1" w:after="100" w:afterAutospacing="1"/>
    </w:pPr>
    <w:rPr>
      <w:rFonts w:ascii="宋体" w:hAnsi="宋体" w:cs="宋体"/>
    </w:rPr>
  </w:style>
  <w:style w:type="paragraph" w:customStyle="1" w:styleId="127">
    <w:name w:val="页眉 New New New New New New New New New"/>
    <w:basedOn w:val="128"/>
    <w:qFormat/>
    <w:uiPriority w:val="0"/>
    <w:pPr>
      <w:pBdr>
        <w:bottom w:val="single" w:color="auto" w:sz="6" w:space="1"/>
      </w:pBdr>
      <w:tabs>
        <w:tab w:val="center" w:pos="4153"/>
        <w:tab w:val="right" w:pos="8306"/>
      </w:tabs>
      <w:snapToGrid w:val="0"/>
      <w:jc w:val="center"/>
    </w:pPr>
    <w:rPr>
      <w:sz w:val="18"/>
      <w:szCs w:val="18"/>
    </w:rPr>
  </w:style>
  <w:style w:type="paragraph" w:customStyle="1" w:styleId="128">
    <w:name w:val="正文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9">
    <w:name w:val="页脚 New New New New New New New New"/>
    <w:basedOn w:val="130"/>
    <w:uiPriority w:val="0"/>
    <w:pPr>
      <w:tabs>
        <w:tab w:val="center" w:pos="4153"/>
        <w:tab w:val="right" w:pos="8306"/>
      </w:tabs>
      <w:snapToGrid w:val="0"/>
      <w:jc w:val="left"/>
    </w:pPr>
    <w:rPr>
      <w:sz w:val="18"/>
      <w:szCs w:val="18"/>
    </w:rPr>
  </w:style>
  <w:style w:type="paragraph" w:customStyle="1" w:styleId="130">
    <w:name w:val="正文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1">
    <w:name w:val="style3"/>
    <w:basedOn w:val="1"/>
    <w:qFormat/>
    <w:uiPriority w:val="0"/>
    <w:pPr>
      <w:spacing w:before="100" w:beforeAutospacing="1" w:after="100" w:afterAutospacing="1" w:line="450" w:lineRule="atLeast"/>
    </w:pPr>
    <w:rPr>
      <w:rFonts w:ascii="Arial" w:hAnsi="Arial" w:cs="Arial"/>
      <w:b/>
      <w:bCs/>
      <w:sz w:val="21"/>
      <w:szCs w:val="21"/>
    </w:rPr>
  </w:style>
  <w:style w:type="paragraph" w:customStyle="1" w:styleId="132">
    <w:name w:val="我的正文"/>
    <w:basedOn w:val="1"/>
    <w:qFormat/>
    <w:uiPriority w:val="0"/>
    <w:pPr>
      <w:widowControl w:val="0"/>
      <w:spacing w:line="360" w:lineRule="auto"/>
      <w:ind w:firstLine="420" w:firstLineChars="200"/>
      <w:jc w:val="both"/>
    </w:pPr>
    <w:rPr>
      <w:rFonts w:ascii="宋体" w:hAnsi="宋体"/>
      <w:kern w:val="2"/>
      <w:sz w:val="21"/>
      <w:szCs w:val="20"/>
    </w:rPr>
  </w:style>
  <w:style w:type="paragraph" w:customStyle="1" w:styleId="133">
    <w:name w:val="xl10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rPr>
  </w:style>
  <w:style w:type="paragraph" w:customStyle="1" w:styleId="134">
    <w:name w:val="页脚 New New New"/>
    <w:basedOn w:val="124"/>
    <w:qFormat/>
    <w:uiPriority w:val="0"/>
    <w:pPr>
      <w:tabs>
        <w:tab w:val="center" w:pos="4153"/>
        <w:tab w:val="right" w:pos="8306"/>
      </w:tabs>
      <w:snapToGrid w:val="0"/>
      <w:jc w:val="left"/>
    </w:pPr>
    <w:rPr>
      <w:sz w:val="18"/>
      <w:szCs w:val="18"/>
    </w:rPr>
  </w:style>
  <w:style w:type="paragraph" w:customStyle="1" w:styleId="135">
    <w:name w:val="标题样式"/>
    <w:basedOn w:val="1"/>
    <w:qFormat/>
    <w:uiPriority w:val="0"/>
    <w:pPr>
      <w:widowControl w:val="0"/>
      <w:tabs>
        <w:tab w:val="left" w:pos="420"/>
      </w:tabs>
      <w:spacing w:line="360" w:lineRule="auto"/>
      <w:jc w:val="both"/>
    </w:pPr>
    <w:rPr>
      <w:rFonts w:ascii="宋体" w:hAnsi="宋体"/>
      <w:kern w:val="2"/>
      <w:szCs w:val="20"/>
    </w:rPr>
  </w:style>
  <w:style w:type="paragraph" w:customStyle="1" w:styleId="136">
    <w:name w:val="Style8"/>
    <w:basedOn w:val="1"/>
    <w:qFormat/>
    <w:uiPriority w:val="0"/>
    <w:pPr>
      <w:widowControl w:val="0"/>
      <w:tabs>
        <w:tab w:val="left" w:pos="1304"/>
      </w:tabs>
      <w:spacing w:beforeLines="50" w:afterLines="50" w:line="276" w:lineRule="auto"/>
      <w:ind w:left="1304" w:hanging="397"/>
      <w:jc w:val="both"/>
    </w:pPr>
    <w:rPr>
      <w:rFonts w:ascii="Arial" w:hAnsi="Arial"/>
      <w:kern w:val="2"/>
      <w:szCs w:val="20"/>
    </w:rPr>
  </w:style>
  <w:style w:type="paragraph" w:customStyle="1" w:styleId="137">
    <w:name w:val="xl9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138">
    <w:name w:val="Char1"/>
    <w:basedOn w:val="1"/>
    <w:next w:val="1"/>
    <w:qFormat/>
    <w:uiPriority w:val="0"/>
    <w:pPr>
      <w:widowControl w:val="0"/>
      <w:spacing w:line="240" w:lineRule="atLeast"/>
      <w:ind w:left="420" w:firstLine="420"/>
    </w:pPr>
    <w:rPr>
      <w:sz w:val="21"/>
      <w:szCs w:val="21"/>
    </w:rPr>
  </w:style>
  <w:style w:type="paragraph" w:customStyle="1" w:styleId="139">
    <w:name w:val="xl10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20"/>
      <w:szCs w:val="20"/>
    </w:rPr>
  </w:style>
  <w:style w:type="paragraph" w:customStyle="1" w:styleId="140">
    <w:name w:val="标题 3 （加黑）"/>
    <w:basedOn w:val="8"/>
    <w:qFormat/>
    <w:uiPriority w:val="0"/>
    <w:pPr>
      <w:keepNext w:val="0"/>
      <w:numPr>
        <w:numId w:val="0"/>
      </w:numPr>
      <w:tabs>
        <w:tab w:val="clear" w:pos="900"/>
      </w:tabs>
      <w:spacing w:before="120" w:after="120" w:line="413" w:lineRule="auto"/>
      <w:ind w:left="354" w:hanging="354" w:hangingChars="150"/>
    </w:pPr>
    <w:rPr>
      <w:rFonts w:ascii="Times New Roman" w:hAnsi="Times New Roman"/>
      <w:sz w:val="24"/>
      <w:szCs w:val="32"/>
    </w:rPr>
  </w:style>
  <w:style w:type="paragraph" w:customStyle="1" w:styleId="141">
    <w:name w:val="样式 仿宋_GB2312 小四 左侧:  0.63 厘米"/>
    <w:basedOn w:val="1"/>
    <w:qFormat/>
    <w:uiPriority w:val="0"/>
    <w:pPr>
      <w:widowControl w:val="0"/>
      <w:spacing w:before="120" w:after="120" w:line="360" w:lineRule="auto"/>
      <w:ind w:left="357" w:firstLine="200" w:firstLineChars="200"/>
      <w:jc w:val="both"/>
    </w:pPr>
    <w:rPr>
      <w:rFonts w:ascii="仿宋_GB2312" w:hAnsi="仿宋_GB2312" w:eastAsia="仿宋_GB2312"/>
      <w:kern w:val="2"/>
      <w:szCs w:val="20"/>
    </w:rPr>
  </w:style>
  <w:style w:type="paragraph" w:customStyle="1" w:styleId="142">
    <w:name w:val="xl103"/>
    <w:basedOn w:val="1"/>
    <w:qFormat/>
    <w:uiPriority w:val="0"/>
    <w:pPr>
      <w:pBdr>
        <w:top w:val="single" w:color="auto" w:sz="4" w:space="0"/>
        <w:bottom w:val="single" w:color="auto" w:sz="4" w:space="0"/>
        <w:right w:val="single" w:color="auto" w:sz="4" w:space="0"/>
      </w:pBdr>
      <w:spacing w:before="100" w:beforeAutospacing="1" w:after="100" w:afterAutospacing="1"/>
    </w:pPr>
    <w:rPr>
      <w:rFonts w:ascii="宋体" w:hAnsi="宋体" w:cs="宋体"/>
      <w:b/>
      <w:bCs/>
      <w:sz w:val="28"/>
      <w:szCs w:val="28"/>
    </w:rPr>
  </w:style>
  <w:style w:type="paragraph" w:customStyle="1" w:styleId="143">
    <w:name w:val="页眉 New New New New New New New New New New New New New New New"/>
    <w:basedOn w:val="144"/>
    <w:qFormat/>
    <w:uiPriority w:val="0"/>
    <w:pPr>
      <w:pBdr>
        <w:bottom w:val="single" w:color="auto" w:sz="6" w:space="1"/>
      </w:pBdr>
      <w:tabs>
        <w:tab w:val="center" w:pos="4153"/>
        <w:tab w:val="right" w:pos="8306"/>
      </w:tabs>
      <w:snapToGrid w:val="0"/>
      <w:jc w:val="center"/>
    </w:pPr>
    <w:rPr>
      <w:sz w:val="18"/>
      <w:szCs w:val="18"/>
    </w:rPr>
  </w:style>
  <w:style w:type="paragraph" w:customStyle="1" w:styleId="144">
    <w:name w:val="正文 New New New New New New New New New New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5">
    <w:name w:val="样式 正文缩进 + 首行缩进:  2 字符"/>
    <w:basedOn w:val="16"/>
    <w:uiPriority w:val="0"/>
    <w:pPr>
      <w:ind w:firstLine="480"/>
    </w:pPr>
    <w:rPr>
      <w:sz w:val="24"/>
      <w:szCs w:val="20"/>
    </w:rPr>
  </w:style>
  <w:style w:type="paragraph" w:customStyle="1" w:styleId="146">
    <w:name w:val="Char2 Char Char Char Char Char Char"/>
    <w:basedOn w:val="1"/>
    <w:qFormat/>
    <w:uiPriority w:val="0"/>
    <w:pPr>
      <w:widowControl w:val="0"/>
      <w:jc w:val="both"/>
    </w:pPr>
    <w:rPr>
      <w:rFonts w:ascii="仿宋_GB2312"/>
      <w:b/>
      <w:kern w:val="2"/>
      <w:sz w:val="30"/>
      <w:szCs w:val="20"/>
    </w:rPr>
  </w:style>
  <w:style w:type="paragraph" w:customStyle="1" w:styleId="147">
    <w:name w:val="正文 New New New New New New New New New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8">
    <w:name w:val="xl101"/>
    <w:basedOn w:val="1"/>
    <w:qFormat/>
    <w:uiPriority w:val="0"/>
    <w:pPr>
      <w:spacing w:before="100" w:beforeAutospacing="1" w:after="100" w:afterAutospacing="1"/>
    </w:pPr>
    <w:rPr>
      <w:rFonts w:ascii="宋体" w:hAnsi="宋体" w:cs="宋体"/>
      <w:sz w:val="20"/>
      <w:szCs w:val="20"/>
    </w:rPr>
  </w:style>
  <w:style w:type="paragraph" w:customStyle="1" w:styleId="149">
    <w:name w:val="black1"/>
    <w:basedOn w:val="1"/>
    <w:qFormat/>
    <w:uiPriority w:val="0"/>
    <w:pPr>
      <w:spacing w:before="100" w:beforeAutospacing="1" w:after="100" w:afterAutospacing="1" w:line="280" w:lineRule="atLeast"/>
    </w:pPr>
    <w:rPr>
      <w:rFonts w:ascii="Arial" w:hAnsi="Arial" w:eastAsia="Arial Unicode MS"/>
      <w:color w:val="000000"/>
      <w:sz w:val="18"/>
      <w:szCs w:val="20"/>
    </w:rPr>
  </w:style>
  <w:style w:type="paragraph" w:customStyle="1" w:styleId="150">
    <w:name w:val="标准正文"/>
    <w:basedOn w:val="1"/>
    <w:qFormat/>
    <w:uiPriority w:val="0"/>
    <w:pPr>
      <w:widowControl w:val="0"/>
      <w:adjustRightInd w:val="0"/>
      <w:spacing w:before="120" w:line="400" w:lineRule="atLeast"/>
      <w:ind w:firstLine="576"/>
      <w:textAlignment w:val="baseline"/>
    </w:pPr>
    <w:rPr>
      <w:rFonts w:eastAsia="楷体_GB2312"/>
      <w:sz w:val="28"/>
      <w:szCs w:val="20"/>
    </w:rPr>
  </w:style>
  <w:style w:type="paragraph" w:customStyle="1" w:styleId="151">
    <w:name w:val="p0"/>
    <w:basedOn w:val="1"/>
    <w:qFormat/>
    <w:uiPriority w:val="0"/>
    <w:pPr>
      <w:jc w:val="both"/>
    </w:pPr>
    <w:rPr>
      <w:sz w:val="21"/>
      <w:szCs w:val="20"/>
    </w:rPr>
  </w:style>
  <w:style w:type="paragraph" w:customStyle="1" w:styleId="152">
    <w:name w:val="中等深浅列表 2 - 着色 21"/>
    <w:unhideWhenUsed/>
    <w:qFormat/>
    <w:uiPriority w:val="99"/>
    <w:rPr>
      <w:rFonts w:ascii="Times New Roman" w:hAnsi="Times New Roman" w:eastAsia="宋体" w:cs="Times New Roman"/>
      <w:sz w:val="24"/>
      <w:szCs w:val="24"/>
      <w:lang w:val="en-US" w:eastAsia="zh-CN" w:bidi="ar-SA"/>
    </w:rPr>
  </w:style>
  <w:style w:type="paragraph" w:customStyle="1" w:styleId="153">
    <w:name w:val="MM Topic 7"/>
    <w:basedOn w:val="12"/>
    <w:qFormat/>
    <w:uiPriority w:val="0"/>
    <w:pPr>
      <w:keepLines/>
      <w:widowControl w:val="0"/>
      <w:tabs>
        <w:tab w:val="left" w:pos="3827"/>
        <w:tab w:val="clear" w:pos="3600"/>
      </w:tabs>
      <w:spacing w:before="240" w:after="64" w:line="317" w:lineRule="auto"/>
      <w:jc w:val="both"/>
    </w:pPr>
    <w:rPr>
      <w:rFonts w:ascii="Times New Roman" w:hAnsi="Times New Roman"/>
      <w:kern w:val="2"/>
      <w:sz w:val="24"/>
      <w:lang w:eastAsia="zh-CN"/>
    </w:rPr>
  </w:style>
  <w:style w:type="paragraph" w:customStyle="1" w:styleId="154">
    <w:name w:val="正文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5">
    <w:name w:val="xl9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b/>
      <w:bCs/>
    </w:rPr>
  </w:style>
  <w:style w:type="paragraph" w:customStyle="1" w:styleId="156">
    <w:name w:val="表格题注"/>
    <w:next w:val="1"/>
    <w:qFormat/>
    <w:uiPriority w:val="0"/>
    <w:pPr>
      <w:keepLines/>
      <w:numPr>
        <w:ilvl w:val="8"/>
        <w:numId w:val="1"/>
      </w:numPr>
      <w:tabs>
        <w:tab w:val="left" w:pos="1559"/>
        <w:tab w:val="clear" w:pos="5399"/>
      </w:tabs>
      <w:spacing w:beforeLines="100"/>
      <w:jc w:val="center"/>
    </w:pPr>
    <w:rPr>
      <w:rFonts w:ascii="Arial" w:hAnsi="Arial" w:eastAsia="宋体" w:cs="Times New Roman"/>
      <w:sz w:val="18"/>
      <w:lang w:val="en-US" w:eastAsia="zh-CN" w:bidi="ar-SA"/>
    </w:rPr>
  </w:style>
  <w:style w:type="paragraph" w:customStyle="1" w:styleId="157">
    <w:name w:val="MM Topic 6"/>
    <w:basedOn w:val="11"/>
    <w:qFormat/>
    <w:uiPriority w:val="0"/>
    <w:pPr>
      <w:numPr>
        <w:numId w:val="0"/>
      </w:numPr>
      <w:tabs>
        <w:tab w:val="left" w:pos="3260"/>
      </w:tabs>
      <w:spacing w:line="317" w:lineRule="auto"/>
    </w:pPr>
    <w:rPr>
      <w:bCs w:val="0"/>
      <w:sz w:val="28"/>
      <w:szCs w:val="20"/>
    </w:rPr>
  </w:style>
  <w:style w:type="paragraph" w:customStyle="1" w:styleId="158">
    <w:name w:val="页脚 New New New New New New New New New New New New New New"/>
    <w:basedOn w:val="147"/>
    <w:qFormat/>
    <w:uiPriority w:val="0"/>
    <w:pPr>
      <w:tabs>
        <w:tab w:val="center" w:pos="4153"/>
        <w:tab w:val="right" w:pos="8306"/>
      </w:tabs>
      <w:snapToGrid w:val="0"/>
      <w:jc w:val="left"/>
    </w:pPr>
    <w:rPr>
      <w:sz w:val="18"/>
      <w:szCs w:val="18"/>
    </w:rPr>
  </w:style>
  <w:style w:type="paragraph" w:customStyle="1" w:styleId="159">
    <w:name w:val="Char Char Char Char Char Char1 Char"/>
    <w:basedOn w:val="18"/>
    <w:qFormat/>
    <w:uiPriority w:val="0"/>
    <w:pPr>
      <w:widowControl w:val="0"/>
      <w:jc w:val="both"/>
    </w:pPr>
    <w:rPr>
      <w:rFonts w:ascii="Tahoma" w:hAnsi="Tahoma"/>
      <w:kern w:val="2"/>
    </w:rPr>
  </w:style>
  <w:style w:type="paragraph" w:customStyle="1" w:styleId="160">
    <w:name w:val="ptdl"/>
    <w:basedOn w:val="1"/>
    <w:qFormat/>
    <w:uiPriority w:val="0"/>
    <w:pPr>
      <w:widowControl w:val="0"/>
      <w:spacing w:after="156"/>
      <w:ind w:firstLine="480"/>
      <w:jc w:val="both"/>
    </w:pPr>
    <w:rPr>
      <w:kern w:val="2"/>
      <w:szCs w:val="20"/>
    </w:rPr>
  </w:style>
  <w:style w:type="paragraph" w:customStyle="1" w:styleId="161">
    <w:name w:val="Char11"/>
    <w:basedOn w:val="1"/>
    <w:next w:val="1"/>
    <w:qFormat/>
    <w:uiPriority w:val="0"/>
    <w:pPr>
      <w:widowControl w:val="0"/>
      <w:spacing w:line="240" w:lineRule="atLeast"/>
      <w:ind w:left="420" w:firstLine="420"/>
    </w:pPr>
    <w:rPr>
      <w:sz w:val="21"/>
      <w:szCs w:val="21"/>
    </w:rPr>
  </w:style>
  <w:style w:type="paragraph" w:customStyle="1" w:styleId="162">
    <w:name w:val="MM Title"/>
    <w:basedOn w:val="1"/>
    <w:qFormat/>
    <w:uiPriority w:val="0"/>
    <w:pPr>
      <w:widowControl w:val="0"/>
      <w:spacing w:before="240" w:after="60"/>
      <w:jc w:val="center"/>
      <w:outlineLvl w:val="0"/>
    </w:pPr>
    <w:rPr>
      <w:rFonts w:ascii="Arial" w:hAnsi="Arial"/>
      <w:b/>
      <w:kern w:val="2"/>
      <w:sz w:val="32"/>
      <w:szCs w:val="20"/>
    </w:rPr>
  </w:style>
  <w:style w:type="paragraph" w:customStyle="1" w:styleId="163">
    <w:name w:val="xl79"/>
    <w:basedOn w:val="1"/>
    <w:qFormat/>
    <w:uiPriority w:val="0"/>
    <w:pPr>
      <w:spacing w:before="100" w:beforeAutospacing="1" w:after="100" w:afterAutospacing="1"/>
      <w:jc w:val="center"/>
    </w:pPr>
    <w:rPr>
      <w:rFonts w:ascii="宋体" w:hAnsi="宋体" w:cs="宋体"/>
    </w:rPr>
  </w:style>
  <w:style w:type="paragraph" w:customStyle="1" w:styleId="164">
    <w:name w:val="表格文字"/>
    <w:basedOn w:val="1"/>
    <w:qFormat/>
    <w:uiPriority w:val="0"/>
    <w:pPr>
      <w:widowControl w:val="0"/>
      <w:spacing w:beforeLines="25" w:afterLines="25"/>
      <w:jc w:val="both"/>
    </w:pPr>
    <w:rPr>
      <w:rFonts w:ascii="Times New (W1)" w:hAnsi="Times New (W1)"/>
      <w:spacing w:val="10"/>
      <w:kern w:val="2"/>
      <w:sz w:val="21"/>
      <w:szCs w:val="20"/>
    </w:rPr>
  </w:style>
  <w:style w:type="paragraph" w:customStyle="1" w:styleId="165">
    <w:name w:val="页脚 New New New New New New"/>
    <w:basedOn w:val="166"/>
    <w:qFormat/>
    <w:uiPriority w:val="0"/>
    <w:pPr>
      <w:tabs>
        <w:tab w:val="center" w:pos="4153"/>
        <w:tab w:val="right" w:pos="8306"/>
      </w:tabs>
      <w:snapToGrid w:val="0"/>
      <w:jc w:val="left"/>
    </w:pPr>
    <w:rPr>
      <w:sz w:val="18"/>
      <w:szCs w:val="18"/>
    </w:rPr>
  </w:style>
  <w:style w:type="paragraph" w:customStyle="1" w:styleId="166">
    <w:name w:val="正文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7">
    <w:name w:val="页眉 New New New New New New New New New New New New New New New New"/>
    <w:basedOn w:val="154"/>
    <w:qFormat/>
    <w:uiPriority w:val="0"/>
    <w:pPr>
      <w:pBdr>
        <w:bottom w:val="single" w:color="auto" w:sz="6" w:space="1"/>
      </w:pBdr>
      <w:tabs>
        <w:tab w:val="center" w:pos="4153"/>
        <w:tab w:val="right" w:pos="8306"/>
      </w:tabs>
      <w:snapToGrid w:val="0"/>
      <w:jc w:val="center"/>
    </w:pPr>
    <w:rPr>
      <w:sz w:val="18"/>
      <w:szCs w:val="18"/>
    </w:rPr>
  </w:style>
  <w:style w:type="paragraph" w:customStyle="1" w:styleId="168">
    <w:name w:val="xl8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b/>
      <w:bCs/>
    </w:rPr>
  </w:style>
  <w:style w:type="paragraph" w:customStyle="1" w:styleId="169">
    <w:name w:val="MM Topic 9"/>
    <w:basedOn w:val="14"/>
    <w:qFormat/>
    <w:uiPriority w:val="0"/>
    <w:pPr>
      <w:tabs>
        <w:tab w:val="left" w:pos="5102"/>
      </w:tabs>
    </w:pPr>
  </w:style>
  <w:style w:type="paragraph" w:customStyle="1" w:styleId="170">
    <w:name w:val="正文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1">
    <w:name w:val="xl78"/>
    <w:basedOn w:val="1"/>
    <w:qFormat/>
    <w:uiPriority w:val="0"/>
    <w:pPr>
      <w:spacing w:before="100" w:beforeAutospacing="1" w:after="100" w:afterAutospacing="1"/>
      <w:jc w:val="center"/>
    </w:pPr>
    <w:rPr>
      <w:rFonts w:ascii="宋体" w:hAnsi="宋体" w:cs="宋体"/>
    </w:rPr>
  </w:style>
  <w:style w:type="paragraph" w:customStyle="1" w:styleId="172">
    <w:name w:val="xl9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20"/>
      <w:szCs w:val="20"/>
    </w:rPr>
  </w:style>
  <w:style w:type="paragraph" w:customStyle="1" w:styleId="173">
    <w:name w:val="页眉 New New New New New New New New New New New"/>
    <w:basedOn w:val="174"/>
    <w:qFormat/>
    <w:uiPriority w:val="0"/>
    <w:pPr>
      <w:pBdr>
        <w:bottom w:val="single" w:color="auto" w:sz="6" w:space="1"/>
      </w:pBdr>
      <w:tabs>
        <w:tab w:val="center" w:pos="4153"/>
        <w:tab w:val="right" w:pos="8306"/>
      </w:tabs>
      <w:snapToGrid w:val="0"/>
      <w:jc w:val="center"/>
    </w:pPr>
    <w:rPr>
      <w:sz w:val="18"/>
      <w:szCs w:val="18"/>
    </w:rPr>
  </w:style>
  <w:style w:type="paragraph" w:customStyle="1" w:styleId="174">
    <w:name w:val="正文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5">
    <w:name w:val="xl9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20"/>
      <w:szCs w:val="20"/>
    </w:rPr>
  </w:style>
  <w:style w:type="paragraph" w:customStyle="1" w:styleId="176">
    <w:name w:val="插图题注"/>
    <w:next w:val="1"/>
    <w:qFormat/>
    <w:uiPriority w:val="0"/>
    <w:pPr>
      <w:numPr>
        <w:ilvl w:val="7"/>
        <w:numId w:val="1"/>
      </w:numPr>
      <w:tabs>
        <w:tab w:val="left" w:pos="1418"/>
        <w:tab w:val="clear" w:pos="5258"/>
      </w:tabs>
      <w:spacing w:afterLines="100"/>
      <w:jc w:val="center"/>
    </w:pPr>
    <w:rPr>
      <w:rFonts w:ascii="Arial" w:hAnsi="Arial" w:eastAsia="宋体" w:cs="Times New Roman"/>
      <w:sz w:val="18"/>
      <w:lang w:val="en-US" w:eastAsia="zh-CN" w:bidi="ar-SA"/>
    </w:rPr>
  </w:style>
  <w:style w:type="paragraph" w:customStyle="1" w:styleId="177">
    <w:name w:val="font6"/>
    <w:basedOn w:val="1"/>
    <w:qFormat/>
    <w:uiPriority w:val="0"/>
    <w:pPr>
      <w:spacing w:before="100" w:beforeAutospacing="1" w:after="100" w:afterAutospacing="1"/>
    </w:pPr>
    <w:rPr>
      <w:rFonts w:ascii="宋体" w:hAnsi="宋体" w:cs="宋体"/>
      <w:sz w:val="18"/>
      <w:szCs w:val="18"/>
    </w:rPr>
  </w:style>
  <w:style w:type="paragraph" w:customStyle="1" w:styleId="178">
    <w:name w:val="xl115"/>
    <w:basedOn w:val="1"/>
    <w:qFormat/>
    <w:uiPriority w:val="0"/>
    <w:pPr>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sz w:val="32"/>
      <w:szCs w:val="32"/>
    </w:rPr>
  </w:style>
  <w:style w:type="paragraph" w:customStyle="1" w:styleId="179">
    <w:name w:val="WW-正文（首行缩进两字）"/>
    <w:basedOn w:val="1"/>
    <w:qFormat/>
    <w:uiPriority w:val="0"/>
    <w:pPr>
      <w:widowControl w:val="0"/>
      <w:autoSpaceDE w:val="0"/>
      <w:autoSpaceDN w:val="0"/>
      <w:adjustRightInd w:val="0"/>
      <w:ind w:firstLine="420"/>
      <w:jc w:val="both"/>
    </w:pPr>
    <w:rPr>
      <w:sz w:val="21"/>
      <w:szCs w:val="21"/>
    </w:rPr>
  </w:style>
  <w:style w:type="paragraph" w:customStyle="1" w:styleId="180">
    <w:name w:val="font9"/>
    <w:basedOn w:val="1"/>
    <w:qFormat/>
    <w:uiPriority w:val="0"/>
    <w:pPr>
      <w:spacing w:before="100" w:beforeAutospacing="1" w:after="100" w:afterAutospacing="1"/>
    </w:pPr>
    <w:rPr>
      <w:rFonts w:ascii="宋体" w:hAnsi="宋体" w:cs="宋体"/>
      <w:sz w:val="18"/>
      <w:szCs w:val="18"/>
    </w:rPr>
  </w:style>
  <w:style w:type="paragraph" w:customStyle="1" w:styleId="181">
    <w:name w:val="正文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2">
    <w:name w:val="条目正文"/>
    <w:basedOn w:val="1"/>
    <w:qFormat/>
    <w:uiPriority w:val="0"/>
    <w:pPr>
      <w:widowControl w:val="0"/>
      <w:numPr>
        <w:ilvl w:val="0"/>
        <w:numId w:val="4"/>
      </w:numPr>
      <w:tabs>
        <w:tab w:val="left" w:pos="1050"/>
        <w:tab w:val="clear" w:pos="1230"/>
      </w:tabs>
      <w:spacing w:after="120" w:line="360" w:lineRule="auto"/>
      <w:ind w:left="1050" w:hanging="450"/>
      <w:jc w:val="both"/>
    </w:pPr>
    <w:rPr>
      <w:rFonts w:ascii="宋体" w:hAnsi="Arial" w:cs="Arial"/>
      <w:szCs w:val="20"/>
    </w:rPr>
  </w:style>
  <w:style w:type="paragraph" w:customStyle="1" w:styleId="183">
    <w:name w:val="xl7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184">
    <w:name w:val="页眉 New New New New"/>
    <w:basedOn w:val="170"/>
    <w:qFormat/>
    <w:uiPriority w:val="0"/>
    <w:pPr>
      <w:pBdr>
        <w:bottom w:val="single" w:color="auto" w:sz="6" w:space="1"/>
      </w:pBdr>
      <w:tabs>
        <w:tab w:val="center" w:pos="4153"/>
        <w:tab w:val="right" w:pos="8306"/>
      </w:tabs>
      <w:snapToGrid w:val="0"/>
      <w:jc w:val="center"/>
    </w:pPr>
    <w:rPr>
      <w:sz w:val="18"/>
      <w:szCs w:val="18"/>
    </w:rPr>
  </w:style>
  <w:style w:type="paragraph" w:customStyle="1" w:styleId="185">
    <w:name w:val="xl98"/>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cs="宋体"/>
      <w:sz w:val="20"/>
      <w:szCs w:val="20"/>
    </w:rPr>
  </w:style>
  <w:style w:type="paragraph" w:customStyle="1" w:styleId="186">
    <w:name w:val="pa-107"/>
    <w:basedOn w:val="1"/>
    <w:qFormat/>
    <w:uiPriority w:val="0"/>
    <w:pPr>
      <w:spacing w:line="360" w:lineRule="atLeast"/>
      <w:jc w:val="both"/>
    </w:pPr>
    <w:rPr>
      <w:rFonts w:ascii="宋体" w:hAnsi="宋体" w:cs="宋体"/>
    </w:rPr>
  </w:style>
  <w:style w:type="paragraph" w:customStyle="1" w:styleId="187">
    <w:name w:val="xl76"/>
    <w:basedOn w:val="1"/>
    <w:qFormat/>
    <w:uiPriority w:val="0"/>
    <w:pPr>
      <w:spacing w:before="100" w:beforeAutospacing="1" w:after="100" w:afterAutospacing="1"/>
      <w:jc w:val="center"/>
    </w:pPr>
    <w:rPr>
      <w:rFonts w:ascii="宋体" w:hAnsi="宋体" w:cs="宋体"/>
    </w:rPr>
  </w:style>
  <w:style w:type="paragraph" w:customStyle="1" w:styleId="188">
    <w:name w:val="Char1 Char Char Char Char Char Char"/>
    <w:basedOn w:val="1"/>
    <w:qFormat/>
    <w:uiPriority w:val="0"/>
    <w:pPr>
      <w:widowControl w:val="0"/>
      <w:jc w:val="both"/>
    </w:pPr>
    <w:rPr>
      <w:rFonts w:ascii="Tahoma" w:hAnsi="Tahoma"/>
      <w:kern w:val="2"/>
      <w:szCs w:val="20"/>
    </w:rPr>
  </w:style>
  <w:style w:type="paragraph" w:customStyle="1" w:styleId="189">
    <w:name w:val="页眉 New New New New New New New"/>
    <w:basedOn w:val="190"/>
    <w:qFormat/>
    <w:uiPriority w:val="0"/>
    <w:pPr>
      <w:pBdr>
        <w:bottom w:val="single" w:color="auto" w:sz="6" w:space="1"/>
      </w:pBdr>
      <w:tabs>
        <w:tab w:val="center" w:pos="4153"/>
        <w:tab w:val="right" w:pos="8306"/>
      </w:tabs>
      <w:snapToGrid w:val="0"/>
      <w:jc w:val="center"/>
    </w:pPr>
    <w:rPr>
      <w:sz w:val="18"/>
      <w:szCs w:val="18"/>
    </w:rPr>
  </w:style>
  <w:style w:type="paragraph" w:customStyle="1" w:styleId="190">
    <w:name w:val="正文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1">
    <w:name w:val="正文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2">
    <w:name w:val="Char Char Char Char"/>
    <w:basedOn w:val="1"/>
    <w:next w:val="1"/>
    <w:qFormat/>
    <w:uiPriority w:val="0"/>
    <w:pPr>
      <w:widowControl w:val="0"/>
      <w:spacing w:line="240" w:lineRule="atLeast"/>
      <w:ind w:left="420" w:firstLine="420"/>
    </w:pPr>
    <w:rPr>
      <w:sz w:val="21"/>
      <w:szCs w:val="21"/>
    </w:rPr>
  </w:style>
  <w:style w:type="paragraph" w:customStyle="1" w:styleId="193">
    <w:name w:val="xl114"/>
    <w:basedOn w:val="1"/>
    <w:qFormat/>
    <w:uiPriority w:val="0"/>
    <w:pPr>
      <w:pBdr>
        <w:top w:val="single" w:color="auto" w:sz="4" w:space="0"/>
        <w:bottom w:val="single" w:color="auto" w:sz="4" w:space="0"/>
      </w:pBdr>
      <w:spacing w:before="100" w:beforeAutospacing="1" w:after="100" w:afterAutospacing="1"/>
      <w:jc w:val="center"/>
    </w:pPr>
    <w:rPr>
      <w:rFonts w:ascii="宋体" w:hAnsi="宋体" w:cs="宋体"/>
      <w:b/>
      <w:bCs/>
      <w:sz w:val="32"/>
      <w:szCs w:val="32"/>
    </w:rPr>
  </w:style>
  <w:style w:type="paragraph" w:customStyle="1" w:styleId="194">
    <w:name w:val="op_mapdots_left"/>
    <w:basedOn w:val="1"/>
    <w:qFormat/>
    <w:uiPriority w:val="0"/>
  </w:style>
  <w:style w:type="paragraph" w:customStyle="1" w:styleId="195">
    <w:name w:val="表格"/>
    <w:basedOn w:val="1"/>
    <w:qFormat/>
    <w:uiPriority w:val="0"/>
    <w:pPr>
      <w:widowControl w:val="0"/>
      <w:spacing w:line="400" w:lineRule="exact"/>
      <w:jc w:val="both"/>
    </w:pPr>
    <w:rPr>
      <w:kern w:val="2"/>
    </w:rPr>
  </w:style>
  <w:style w:type="paragraph" w:customStyle="1" w:styleId="196">
    <w:name w:val="xl70"/>
    <w:basedOn w:val="1"/>
    <w:qFormat/>
    <w:uiPriority w:val="0"/>
    <w:pPr>
      <w:spacing w:before="100" w:beforeAutospacing="1" w:after="100" w:afterAutospacing="1"/>
      <w:jc w:val="center"/>
    </w:pPr>
    <w:rPr>
      <w:rFonts w:ascii="宋体" w:hAnsi="宋体" w:cs="宋体"/>
    </w:rPr>
  </w:style>
  <w:style w:type="paragraph" w:customStyle="1" w:styleId="197">
    <w:name w:val="正文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8">
    <w:name w:val="xl8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rPr>
  </w:style>
  <w:style w:type="paragraph" w:customStyle="1" w:styleId="199">
    <w:name w:val="页脚 New"/>
    <w:basedOn w:val="200"/>
    <w:qFormat/>
    <w:uiPriority w:val="0"/>
    <w:pPr>
      <w:tabs>
        <w:tab w:val="center" w:pos="4153"/>
        <w:tab w:val="right" w:pos="8306"/>
      </w:tabs>
      <w:snapToGrid w:val="0"/>
      <w:jc w:val="left"/>
    </w:pPr>
    <w:rPr>
      <w:sz w:val="18"/>
      <w:szCs w:val="18"/>
    </w:rPr>
  </w:style>
  <w:style w:type="paragraph" w:customStyle="1" w:styleId="200">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1">
    <w:name w:val="默认段落字体 Para Char Char"/>
    <w:basedOn w:val="1"/>
    <w:qFormat/>
    <w:uiPriority w:val="0"/>
    <w:pPr>
      <w:widowControl w:val="0"/>
      <w:jc w:val="both"/>
    </w:pPr>
    <w:rPr>
      <w:kern w:val="2"/>
      <w:sz w:val="21"/>
      <w:szCs w:val="20"/>
    </w:rPr>
  </w:style>
  <w:style w:type="paragraph" w:customStyle="1" w:styleId="202">
    <w:name w:val="xl9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20"/>
      <w:szCs w:val="20"/>
    </w:rPr>
  </w:style>
  <w:style w:type="paragraph" w:customStyle="1" w:styleId="203">
    <w:name w:val="正文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4">
    <w:name w:val="Char Char1 Char Char Char Char Char Char Char Char Char Char Char Char Char Char"/>
    <w:basedOn w:val="1"/>
    <w:qFormat/>
    <w:uiPriority w:val="0"/>
    <w:pPr>
      <w:spacing w:after="160" w:line="240" w:lineRule="exact"/>
    </w:pPr>
    <w:rPr>
      <w:rFonts w:ascii="Verdana" w:hAnsi="Verdana"/>
      <w:sz w:val="20"/>
      <w:szCs w:val="20"/>
      <w:lang w:eastAsia="en-US"/>
    </w:rPr>
  </w:style>
  <w:style w:type="paragraph" w:customStyle="1" w:styleId="205">
    <w:name w:val="xl111"/>
    <w:basedOn w:val="1"/>
    <w:qFormat/>
    <w:uiPriority w:val="0"/>
    <w:pPr>
      <w:pBdr>
        <w:top w:val="single" w:color="auto" w:sz="4" w:space="0"/>
        <w:left w:val="single" w:color="auto" w:sz="4" w:space="0"/>
        <w:bottom w:val="single" w:color="auto" w:sz="4" w:space="0"/>
      </w:pBdr>
      <w:spacing w:before="100" w:beforeAutospacing="1" w:after="100" w:afterAutospacing="1"/>
    </w:pPr>
    <w:rPr>
      <w:rFonts w:ascii="宋体" w:hAnsi="宋体" w:cs="宋体"/>
    </w:rPr>
  </w:style>
  <w:style w:type="paragraph" w:customStyle="1" w:styleId="206">
    <w:name w:val="默认段落字体 Para Char Char Char Char Char Char Char Char Char1 Char Char Char Char"/>
    <w:basedOn w:val="1"/>
    <w:qFormat/>
    <w:uiPriority w:val="0"/>
    <w:pPr>
      <w:widowControl w:val="0"/>
      <w:jc w:val="both"/>
    </w:pPr>
    <w:rPr>
      <w:rFonts w:ascii="Tahoma" w:hAnsi="Tahoma"/>
      <w:kern w:val="2"/>
      <w:szCs w:val="20"/>
    </w:rPr>
  </w:style>
  <w:style w:type="paragraph" w:customStyle="1" w:styleId="207">
    <w:name w:val="正文文本 21"/>
    <w:basedOn w:val="1"/>
    <w:qFormat/>
    <w:uiPriority w:val="0"/>
    <w:pPr>
      <w:widowControl w:val="0"/>
      <w:adjustRightInd w:val="0"/>
      <w:spacing w:line="300" w:lineRule="auto"/>
      <w:jc w:val="center"/>
      <w:textAlignment w:val="baseline"/>
    </w:pPr>
    <w:rPr>
      <w:rFonts w:ascii="宋体" w:hAnsi="宋体"/>
      <w:kern w:val="2"/>
      <w:szCs w:val="20"/>
    </w:rPr>
  </w:style>
  <w:style w:type="paragraph" w:customStyle="1" w:styleId="208">
    <w:name w:val="MM Topic 4"/>
    <w:basedOn w:val="9"/>
    <w:qFormat/>
    <w:uiPriority w:val="0"/>
    <w:pPr>
      <w:keepLines/>
      <w:widowControl w:val="0"/>
      <w:tabs>
        <w:tab w:val="left" w:pos="1984"/>
      </w:tabs>
      <w:spacing w:before="280" w:after="290" w:line="372" w:lineRule="auto"/>
      <w:jc w:val="both"/>
    </w:pPr>
    <w:rPr>
      <w:rFonts w:ascii="宋体" w:hAnsi="宋体"/>
      <w:bCs w:val="0"/>
      <w:kern w:val="2"/>
      <w:szCs w:val="20"/>
    </w:rPr>
  </w:style>
  <w:style w:type="paragraph" w:customStyle="1" w:styleId="209">
    <w:name w:val="pa-106"/>
    <w:basedOn w:val="1"/>
    <w:qFormat/>
    <w:uiPriority w:val="0"/>
    <w:pPr>
      <w:spacing w:line="360" w:lineRule="atLeast"/>
      <w:ind w:firstLine="460"/>
      <w:jc w:val="both"/>
    </w:pPr>
    <w:rPr>
      <w:rFonts w:ascii="宋体" w:hAnsi="宋体" w:cs="宋体"/>
    </w:rPr>
  </w:style>
  <w:style w:type="paragraph" w:customStyle="1" w:styleId="210">
    <w:name w:val="MM Topic 5"/>
    <w:basedOn w:val="10"/>
    <w:qFormat/>
    <w:uiPriority w:val="0"/>
    <w:pPr>
      <w:numPr>
        <w:numId w:val="0"/>
      </w:numPr>
      <w:tabs>
        <w:tab w:val="left" w:pos="2551"/>
      </w:tabs>
      <w:autoSpaceDE/>
      <w:autoSpaceDN/>
      <w:adjustRightInd/>
      <w:spacing w:line="372" w:lineRule="auto"/>
    </w:pPr>
    <w:rPr>
      <w:bCs w:val="0"/>
      <w:kern w:val="2"/>
      <w:szCs w:val="20"/>
    </w:rPr>
  </w:style>
  <w:style w:type="paragraph" w:customStyle="1" w:styleId="211">
    <w:name w:val="Default"/>
    <w:qFormat/>
    <w:uiPriority w:val="0"/>
    <w:pPr>
      <w:widowControl w:val="0"/>
      <w:autoSpaceDE w:val="0"/>
      <w:autoSpaceDN w:val="0"/>
      <w:adjustRightInd w:val="0"/>
    </w:pPr>
    <w:rPr>
      <w:rFonts w:ascii="楷体à.ā" w:hAnsi="Times New Roman" w:eastAsia="楷体à.ā" w:cs="Times New Roman"/>
      <w:color w:val="000000"/>
      <w:sz w:val="24"/>
      <w:lang w:val="en-US" w:eastAsia="zh-CN" w:bidi="ar-SA"/>
    </w:rPr>
  </w:style>
  <w:style w:type="paragraph" w:customStyle="1" w:styleId="212">
    <w:name w:val="1"/>
    <w:basedOn w:val="1"/>
    <w:qFormat/>
    <w:uiPriority w:val="0"/>
    <w:pPr>
      <w:widowControl w:val="0"/>
      <w:jc w:val="both"/>
    </w:pPr>
    <w:rPr>
      <w:rFonts w:ascii="Tahoma" w:hAnsi="Tahoma"/>
      <w:kern w:val="2"/>
      <w:szCs w:val="20"/>
    </w:rPr>
  </w:style>
  <w:style w:type="paragraph" w:customStyle="1" w:styleId="213">
    <w:name w:val="页脚 New New New New New New New New New New New New New New New"/>
    <w:basedOn w:val="144"/>
    <w:qFormat/>
    <w:uiPriority w:val="0"/>
    <w:pPr>
      <w:tabs>
        <w:tab w:val="center" w:pos="4153"/>
        <w:tab w:val="right" w:pos="8306"/>
      </w:tabs>
      <w:snapToGrid w:val="0"/>
      <w:jc w:val="left"/>
    </w:pPr>
    <w:rPr>
      <w:sz w:val="18"/>
      <w:szCs w:val="18"/>
    </w:rPr>
  </w:style>
  <w:style w:type="paragraph" w:customStyle="1" w:styleId="214">
    <w:name w:val="xl8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style>
  <w:style w:type="paragraph" w:customStyle="1" w:styleId="215">
    <w:name w:val="样式 首行缩进:  2 字符"/>
    <w:basedOn w:val="1"/>
    <w:qFormat/>
    <w:uiPriority w:val="0"/>
    <w:pPr>
      <w:widowControl w:val="0"/>
      <w:ind w:firstLine="420" w:firstLineChars="200"/>
      <w:jc w:val="both"/>
    </w:pPr>
    <w:rPr>
      <w:rFonts w:cs="宋体"/>
      <w:kern w:val="2"/>
      <w:sz w:val="21"/>
      <w:szCs w:val="20"/>
    </w:rPr>
  </w:style>
  <w:style w:type="paragraph" w:customStyle="1" w:styleId="216">
    <w:name w:val="页脚 New New New New New"/>
    <w:basedOn w:val="181"/>
    <w:qFormat/>
    <w:uiPriority w:val="0"/>
    <w:pPr>
      <w:tabs>
        <w:tab w:val="center" w:pos="4153"/>
        <w:tab w:val="right" w:pos="8306"/>
      </w:tabs>
      <w:snapToGrid w:val="0"/>
      <w:jc w:val="left"/>
    </w:pPr>
    <w:rPr>
      <w:sz w:val="18"/>
      <w:szCs w:val="18"/>
    </w:rPr>
  </w:style>
  <w:style w:type="paragraph" w:customStyle="1" w:styleId="217">
    <w:name w:val="页脚 New New New New New New New"/>
    <w:basedOn w:val="190"/>
    <w:qFormat/>
    <w:uiPriority w:val="0"/>
    <w:pPr>
      <w:tabs>
        <w:tab w:val="center" w:pos="4153"/>
        <w:tab w:val="right" w:pos="8306"/>
      </w:tabs>
      <w:snapToGrid w:val="0"/>
      <w:jc w:val="left"/>
    </w:pPr>
    <w:rPr>
      <w:sz w:val="18"/>
      <w:szCs w:val="18"/>
    </w:rPr>
  </w:style>
  <w:style w:type="paragraph" w:customStyle="1" w:styleId="218">
    <w:name w:val="论文正文"/>
    <w:basedOn w:val="1"/>
    <w:qFormat/>
    <w:uiPriority w:val="0"/>
    <w:pPr>
      <w:widowControl w:val="0"/>
      <w:spacing w:line="300" w:lineRule="auto"/>
      <w:ind w:firstLine="200" w:firstLineChars="200"/>
      <w:jc w:val="both"/>
    </w:pPr>
    <w:rPr>
      <w:kern w:val="2"/>
    </w:rPr>
  </w:style>
  <w:style w:type="paragraph" w:customStyle="1" w:styleId="219">
    <w:name w:val="样式 标题 1 + 宋体 居中 段前: 17 磅 段后: 16.5 磅"/>
    <w:basedOn w:val="6"/>
    <w:qFormat/>
    <w:uiPriority w:val="0"/>
    <w:pPr>
      <w:pageBreakBefore/>
      <w:numPr>
        <w:numId w:val="0"/>
      </w:numPr>
      <w:tabs>
        <w:tab w:val="left" w:pos="840"/>
        <w:tab w:val="clear" w:pos="425"/>
      </w:tabs>
      <w:ind w:left="840" w:hanging="420"/>
    </w:pPr>
    <w:rPr>
      <w:rFonts w:cs="宋体"/>
      <w:sz w:val="28"/>
      <w:szCs w:val="20"/>
    </w:rPr>
  </w:style>
  <w:style w:type="paragraph" w:customStyle="1" w:styleId="220">
    <w:name w:val="中等深浅网格 1 - 着色 21"/>
    <w:basedOn w:val="1"/>
    <w:qFormat/>
    <w:uiPriority w:val="0"/>
    <w:pPr>
      <w:widowControl w:val="0"/>
      <w:ind w:firstLine="420" w:firstLineChars="200"/>
      <w:jc w:val="both"/>
    </w:pPr>
    <w:rPr>
      <w:rFonts w:ascii="Calibri" w:hAnsi="Calibri"/>
      <w:kern w:val="2"/>
      <w:sz w:val="21"/>
      <w:szCs w:val="22"/>
    </w:rPr>
  </w:style>
  <w:style w:type="paragraph" w:customStyle="1" w:styleId="221">
    <w:name w:val="Char2 Char Char Char"/>
    <w:basedOn w:val="1"/>
    <w:qFormat/>
    <w:uiPriority w:val="0"/>
    <w:pPr>
      <w:widowControl w:val="0"/>
      <w:jc w:val="both"/>
    </w:pPr>
    <w:rPr>
      <w:rFonts w:ascii="仿宋_GB2312"/>
      <w:b/>
      <w:kern w:val="2"/>
      <w:sz w:val="30"/>
      <w:szCs w:val="20"/>
    </w:rPr>
  </w:style>
  <w:style w:type="paragraph" w:customStyle="1" w:styleId="222">
    <w:name w:val="大纲正文"/>
    <w:basedOn w:val="1"/>
    <w:qFormat/>
    <w:uiPriority w:val="0"/>
    <w:pPr>
      <w:widowControl w:val="0"/>
      <w:spacing w:line="360" w:lineRule="auto"/>
      <w:ind w:firstLine="480" w:firstLineChars="200"/>
      <w:jc w:val="both"/>
    </w:pPr>
    <w:rPr>
      <w:kern w:val="2"/>
      <w:szCs w:val="20"/>
    </w:rPr>
  </w:style>
  <w:style w:type="paragraph" w:customStyle="1" w:styleId="223">
    <w:name w:val="2"/>
    <w:basedOn w:val="1"/>
    <w:qFormat/>
    <w:uiPriority w:val="0"/>
    <w:pPr>
      <w:spacing w:before="100" w:beforeAutospacing="1" w:after="100" w:afterAutospacing="1"/>
    </w:pPr>
    <w:rPr>
      <w:rFonts w:ascii="宋体" w:hAnsi="宋体"/>
      <w:sz w:val="21"/>
      <w:szCs w:val="21"/>
    </w:rPr>
  </w:style>
  <w:style w:type="paragraph" w:customStyle="1" w:styleId="224">
    <w:name w:val="xl102"/>
    <w:basedOn w:val="1"/>
    <w:qFormat/>
    <w:uiPriority w:val="0"/>
    <w:pPr>
      <w:pBdr>
        <w:top w:val="single" w:color="auto" w:sz="4" w:space="0"/>
        <w:left w:val="single" w:color="auto" w:sz="4" w:space="0"/>
        <w:bottom w:val="single" w:color="auto" w:sz="4" w:space="0"/>
      </w:pBdr>
      <w:spacing w:before="100" w:beforeAutospacing="1" w:after="100" w:afterAutospacing="1"/>
    </w:pPr>
    <w:rPr>
      <w:rFonts w:ascii="宋体" w:hAnsi="宋体" w:cs="宋体"/>
      <w:b/>
      <w:bCs/>
      <w:sz w:val="28"/>
      <w:szCs w:val="28"/>
    </w:rPr>
  </w:style>
  <w:style w:type="paragraph" w:customStyle="1" w:styleId="225">
    <w:name w:val="页脚 New New New New New New New New New New"/>
    <w:basedOn w:val="226"/>
    <w:qFormat/>
    <w:uiPriority w:val="0"/>
    <w:pPr>
      <w:tabs>
        <w:tab w:val="center" w:pos="4153"/>
        <w:tab w:val="right" w:pos="8306"/>
      </w:tabs>
      <w:snapToGrid w:val="0"/>
      <w:jc w:val="left"/>
    </w:pPr>
    <w:rPr>
      <w:sz w:val="18"/>
      <w:szCs w:val="18"/>
    </w:rPr>
  </w:style>
  <w:style w:type="paragraph" w:customStyle="1" w:styleId="226">
    <w:name w:val="正文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7">
    <w:name w:val="正文序号 2"/>
    <w:basedOn w:val="1"/>
    <w:qFormat/>
    <w:uiPriority w:val="0"/>
    <w:pPr>
      <w:widowControl w:val="0"/>
      <w:numPr>
        <w:ilvl w:val="1"/>
        <w:numId w:val="5"/>
      </w:numPr>
      <w:tabs>
        <w:tab w:val="left" w:pos="1049"/>
        <w:tab w:val="clear" w:pos="840"/>
      </w:tabs>
      <w:spacing w:before="60"/>
      <w:jc w:val="both"/>
    </w:pPr>
    <w:rPr>
      <w:kern w:val="2"/>
      <w:sz w:val="21"/>
      <w:szCs w:val="20"/>
    </w:rPr>
  </w:style>
  <w:style w:type="paragraph" w:customStyle="1" w:styleId="228">
    <w:name w:val="font7"/>
    <w:basedOn w:val="1"/>
    <w:qFormat/>
    <w:uiPriority w:val="0"/>
    <w:pPr>
      <w:spacing w:before="100" w:beforeAutospacing="1" w:after="100" w:afterAutospacing="1"/>
    </w:pPr>
    <w:rPr>
      <w:rFonts w:ascii="宋体" w:hAnsi="宋体" w:cs="宋体"/>
      <w:color w:val="000000"/>
      <w:sz w:val="22"/>
      <w:szCs w:val="22"/>
    </w:rPr>
  </w:style>
  <w:style w:type="paragraph" w:customStyle="1" w:styleId="229">
    <w:name w:val="font11"/>
    <w:basedOn w:val="1"/>
    <w:qFormat/>
    <w:uiPriority w:val="0"/>
    <w:pPr>
      <w:spacing w:before="100" w:beforeAutospacing="1" w:after="100" w:afterAutospacing="1"/>
    </w:pPr>
    <w:rPr>
      <w:rFonts w:ascii="宋体" w:hAnsi="宋体" w:cs="宋体"/>
      <w:b/>
      <w:bCs/>
      <w:sz w:val="40"/>
      <w:szCs w:val="40"/>
    </w:rPr>
  </w:style>
  <w:style w:type="paragraph" w:customStyle="1" w:styleId="230">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1">
    <w:name w:val="正文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2">
    <w:name w:val="font0"/>
    <w:basedOn w:val="1"/>
    <w:qFormat/>
    <w:uiPriority w:val="0"/>
    <w:pPr>
      <w:spacing w:before="100" w:beforeAutospacing="1" w:after="100" w:afterAutospacing="1"/>
    </w:pPr>
    <w:rPr>
      <w:rFonts w:ascii="宋体" w:hAnsi="宋体" w:cs="宋体"/>
      <w:color w:val="000000"/>
      <w:sz w:val="22"/>
      <w:szCs w:val="22"/>
    </w:rPr>
  </w:style>
  <w:style w:type="paragraph" w:customStyle="1" w:styleId="233">
    <w:name w:val="Char Char1 Char Char Char Char Char Char Char Char Char Char Char Char Char Char Char"/>
    <w:basedOn w:val="1"/>
    <w:qFormat/>
    <w:uiPriority w:val="0"/>
    <w:pPr>
      <w:spacing w:after="160" w:line="240" w:lineRule="exact"/>
    </w:pPr>
    <w:rPr>
      <w:rFonts w:ascii="Verdana" w:hAnsi="Verdana"/>
      <w:sz w:val="20"/>
      <w:szCs w:val="20"/>
      <w:lang w:eastAsia="en-US"/>
    </w:rPr>
  </w:style>
  <w:style w:type="paragraph" w:customStyle="1" w:styleId="234">
    <w:name w:val="xl107"/>
    <w:basedOn w:val="1"/>
    <w:qFormat/>
    <w:uiPriority w:val="0"/>
    <w:pPr>
      <w:spacing w:before="100" w:beforeAutospacing="1" w:after="100" w:afterAutospacing="1"/>
      <w:jc w:val="center"/>
    </w:pPr>
    <w:rPr>
      <w:rFonts w:ascii="宋体" w:hAnsi="宋体" w:cs="宋体"/>
      <w:b/>
      <w:bCs/>
      <w:sz w:val="20"/>
      <w:szCs w:val="20"/>
    </w:rPr>
  </w:style>
  <w:style w:type="paragraph" w:customStyle="1" w:styleId="235">
    <w:name w:val="xl8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rPr>
  </w:style>
  <w:style w:type="paragraph" w:customStyle="1" w:styleId="236">
    <w:name w:val="样式"/>
    <w:qFormat/>
    <w:uiPriority w:val="0"/>
    <w:pPr>
      <w:widowControl w:val="0"/>
      <w:autoSpaceDE w:val="0"/>
      <w:autoSpaceDN w:val="0"/>
      <w:adjustRightInd w:val="0"/>
    </w:pPr>
    <w:rPr>
      <w:rFonts w:ascii="Courier New" w:hAnsi="Courier New" w:eastAsia="宋体" w:cs="Courier New"/>
      <w:sz w:val="24"/>
      <w:szCs w:val="24"/>
      <w:lang w:val="en-US" w:eastAsia="zh-CN" w:bidi="ar-SA"/>
    </w:rPr>
  </w:style>
  <w:style w:type="paragraph" w:customStyle="1" w:styleId="237">
    <w:name w:val="xl104"/>
    <w:basedOn w:val="1"/>
    <w:qFormat/>
    <w:uiPriority w:val="0"/>
    <w:pPr>
      <w:pBdr>
        <w:top w:val="single" w:color="auto" w:sz="4" w:space="0"/>
        <w:left w:val="single" w:color="auto" w:sz="4" w:space="0"/>
        <w:bottom w:val="single" w:color="auto" w:sz="4" w:space="0"/>
      </w:pBdr>
      <w:spacing w:before="100" w:beforeAutospacing="1" w:after="100" w:afterAutospacing="1"/>
    </w:pPr>
    <w:rPr>
      <w:rFonts w:ascii="宋体" w:hAnsi="宋体" w:cs="宋体"/>
      <w:b/>
      <w:bCs/>
    </w:rPr>
  </w:style>
  <w:style w:type="paragraph" w:customStyle="1" w:styleId="238">
    <w:name w:val="标题 2 + 楷体_GB2312"/>
    <w:basedOn w:val="7"/>
    <w:qFormat/>
    <w:uiPriority w:val="0"/>
    <w:pPr>
      <w:numPr>
        <w:ilvl w:val="1"/>
        <w:numId w:val="6"/>
      </w:numPr>
      <w:tabs>
        <w:tab w:val="clear" w:pos="720"/>
      </w:tabs>
      <w:spacing w:before="0" w:after="0"/>
    </w:pPr>
    <w:rPr>
      <w:rFonts w:ascii="楷体_GB2312" w:eastAsia="楷体_GB2312"/>
      <w:b w:val="0"/>
      <w:bCs w:val="0"/>
      <w:i/>
      <w:iCs w:val="0"/>
      <w:kern w:val="2"/>
      <w:sz w:val="24"/>
      <w:szCs w:val="20"/>
    </w:rPr>
  </w:style>
  <w:style w:type="paragraph" w:customStyle="1" w:styleId="239">
    <w:name w:val="xl94"/>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cs="宋体"/>
      <w:sz w:val="20"/>
      <w:szCs w:val="20"/>
    </w:rPr>
  </w:style>
  <w:style w:type="paragraph" w:customStyle="1" w:styleId="240">
    <w:name w:val="xl9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rPr>
  </w:style>
  <w:style w:type="paragraph" w:customStyle="1" w:styleId="241">
    <w:name w:val="MM Topic 8"/>
    <w:basedOn w:val="13"/>
    <w:qFormat/>
    <w:uiPriority w:val="0"/>
    <w:pPr>
      <w:tabs>
        <w:tab w:val="left" w:pos="4394"/>
      </w:tabs>
    </w:pPr>
  </w:style>
  <w:style w:type="paragraph" w:customStyle="1" w:styleId="242">
    <w:name w:val="xl77"/>
    <w:basedOn w:val="1"/>
    <w:qFormat/>
    <w:uiPriority w:val="0"/>
    <w:pPr>
      <w:spacing w:before="100" w:beforeAutospacing="1" w:after="100" w:afterAutospacing="1"/>
      <w:jc w:val="center"/>
    </w:pPr>
    <w:rPr>
      <w:rFonts w:ascii="宋体" w:hAnsi="宋体" w:cs="宋体"/>
    </w:rPr>
  </w:style>
  <w:style w:type="paragraph" w:customStyle="1" w:styleId="243">
    <w:name w:val="正文段落"/>
    <w:basedOn w:val="1"/>
    <w:qFormat/>
    <w:uiPriority w:val="0"/>
    <w:pPr>
      <w:widowControl w:val="0"/>
      <w:spacing w:line="300" w:lineRule="auto"/>
      <w:ind w:firstLine="510"/>
      <w:jc w:val="both"/>
    </w:pPr>
    <w:rPr>
      <w:kern w:val="2"/>
      <w:szCs w:val="20"/>
    </w:rPr>
  </w:style>
  <w:style w:type="paragraph" w:customStyle="1" w:styleId="244">
    <w:name w:val="Char Char Char Char Char Char Char Char Char Char"/>
    <w:basedOn w:val="1"/>
    <w:qFormat/>
    <w:uiPriority w:val="0"/>
    <w:pPr>
      <w:widowControl w:val="0"/>
      <w:jc w:val="both"/>
    </w:pPr>
    <w:rPr>
      <w:rFonts w:ascii="Tahoma" w:hAnsi="Tahoma" w:cs="仿宋_GB2312"/>
      <w:kern w:val="2"/>
      <w:szCs w:val="20"/>
    </w:rPr>
  </w:style>
  <w:style w:type="paragraph" w:customStyle="1" w:styleId="245">
    <w:name w:val="默认段落字体 Para Char Char Char Char Char Char Char"/>
    <w:basedOn w:val="1"/>
    <w:qFormat/>
    <w:uiPriority w:val="0"/>
    <w:pPr>
      <w:widowControl w:val="0"/>
      <w:jc w:val="both"/>
    </w:pPr>
    <w:rPr>
      <w:rFonts w:ascii="Tahoma" w:hAnsi="Tahoma"/>
      <w:kern w:val="2"/>
      <w:szCs w:val="20"/>
    </w:rPr>
  </w:style>
  <w:style w:type="paragraph" w:customStyle="1" w:styleId="246">
    <w:name w:val="列出段落1"/>
    <w:basedOn w:val="1"/>
    <w:qFormat/>
    <w:uiPriority w:val="0"/>
    <w:pPr>
      <w:widowControl w:val="0"/>
      <w:ind w:firstLine="420" w:firstLineChars="200"/>
      <w:jc w:val="both"/>
    </w:pPr>
    <w:rPr>
      <w:kern w:val="2"/>
      <w:sz w:val="21"/>
      <w:szCs w:val="22"/>
    </w:rPr>
  </w:style>
  <w:style w:type="paragraph" w:customStyle="1" w:styleId="247">
    <w:name w:val="文字"/>
    <w:basedOn w:val="1"/>
    <w:qFormat/>
    <w:uiPriority w:val="0"/>
    <w:pPr>
      <w:widowControl w:val="0"/>
      <w:tabs>
        <w:tab w:val="left" w:pos="8520"/>
      </w:tabs>
      <w:spacing w:line="312" w:lineRule="auto"/>
      <w:ind w:right="-210" w:firstLine="556"/>
      <w:jc w:val="both"/>
    </w:pPr>
    <w:rPr>
      <w:rFonts w:ascii="楷体_GB2312" w:eastAsia="楷体_GB2312"/>
      <w:kern w:val="2"/>
      <w:sz w:val="28"/>
      <w:szCs w:val="20"/>
    </w:rPr>
  </w:style>
  <w:style w:type="paragraph" w:customStyle="1" w:styleId="248">
    <w:name w:val="style6"/>
    <w:basedOn w:val="1"/>
    <w:qFormat/>
    <w:uiPriority w:val="0"/>
    <w:pPr>
      <w:spacing w:before="100" w:beforeAutospacing="1" w:after="100" w:afterAutospacing="1" w:line="375" w:lineRule="atLeast"/>
    </w:pPr>
    <w:rPr>
      <w:rFonts w:ascii="Arial" w:hAnsi="Arial" w:cs="Arial"/>
      <w:color w:val="003399"/>
      <w:sz w:val="18"/>
      <w:szCs w:val="18"/>
    </w:rPr>
  </w:style>
  <w:style w:type="paragraph" w:customStyle="1" w:styleId="249">
    <w:name w:val="样式2"/>
    <w:basedOn w:val="1"/>
    <w:qFormat/>
    <w:uiPriority w:val="0"/>
    <w:pPr>
      <w:widowControl w:val="0"/>
      <w:adjustRightInd w:val="0"/>
      <w:spacing w:line="410" w:lineRule="atLeast"/>
      <w:jc w:val="both"/>
      <w:textAlignment w:val="baseline"/>
    </w:pPr>
    <w:rPr>
      <w:szCs w:val="20"/>
    </w:rPr>
  </w:style>
  <w:style w:type="paragraph" w:customStyle="1" w:styleId="250">
    <w:name w:val="页眉 New New New New New New New New New New"/>
    <w:basedOn w:val="226"/>
    <w:qFormat/>
    <w:uiPriority w:val="0"/>
    <w:pPr>
      <w:pBdr>
        <w:bottom w:val="single" w:color="auto" w:sz="6" w:space="1"/>
      </w:pBdr>
      <w:tabs>
        <w:tab w:val="center" w:pos="4153"/>
        <w:tab w:val="right" w:pos="8306"/>
      </w:tabs>
      <w:snapToGrid w:val="0"/>
      <w:jc w:val="center"/>
    </w:pPr>
    <w:rPr>
      <w:sz w:val="18"/>
      <w:szCs w:val="18"/>
    </w:rPr>
  </w:style>
  <w:style w:type="paragraph" w:customStyle="1" w:styleId="251">
    <w:name w:val="正文序号 1"/>
    <w:basedOn w:val="1"/>
    <w:qFormat/>
    <w:uiPriority w:val="0"/>
    <w:pPr>
      <w:widowControl w:val="0"/>
      <w:numPr>
        <w:ilvl w:val="0"/>
        <w:numId w:val="5"/>
      </w:numPr>
      <w:tabs>
        <w:tab w:val="left" w:pos="839"/>
        <w:tab w:val="clear" w:pos="360"/>
      </w:tabs>
      <w:spacing w:before="60"/>
      <w:jc w:val="both"/>
    </w:pPr>
    <w:rPr>
      <w:kern w:val="2"/>
      <w:sz w:val="21"/>
      <w:szCs w:val="20"/>
    </w:rPr>
  </w:style>
  <w:style w:type="paragraph" w:customStyle="1" w:styleId="252">
    <w:name w:val="MM Topic 3"/>
    <w:basedOn w:val="8"/>
    <w:qFormat/>
    <w:uiPriority w:val="0"/>
    <w:pPr>
      <w:numPr>
        <w:numId w:val="0"/>
      </w:numPr>
      <w:tabs>
        <w:tab w:val="left" w:pos="1418"/>
        <w:tab w:val="clear" w:pos="900"/>
      </w:tabs>
    </w:pPr>
    <w:rPr>
      <w:rFonts w:ascii="Times New Roman" w:hAnsi="Times New Roman"/>
      <w:bCs w:val="0"/>
      <w:szCs w:val="20"/>
    </w:rPr>
  </w:style>
  <w:style w:type="paragraph" w:customStyle="1" w:styleId="253">
    <w:name w:val="页脚 New New"/>
    <w:basedOn w:val="230"/>
    <w:qFormat/>
    <w:uiPriority w:val="0"/>
    <w:pPr>
      <w:tabs>
        <w:tab w:val="center" w:pos="4153"/>
        <w:tab w:val="right" w:pos="8306"/>
      </w:tabs>
      <w:snapToGrid w:val="0"/>
      <w:jc w:val="left"/>
    </w:pPr>
    <w:rPr>
      <w:sz w:val="18"/>
      <w:szCs w:val="18"/>
    </w:rPr>
  </w:style>
  <w:style w:type="paragraph" w:customStyle="1" w:styleId="254">
    <w:name w:val="xl113"/>
    <w:basedOn w:val="1"/>
    <w:qFormat/>
    <w:uiPriority w:val="0"/>
    <w:pPr>
      <w:pBdr>
        <w:top w:val="single" w:color="auto" w:sz="4" w:space="0"/>
        <w:left w:val="single" w:color="auto" w:sz="4" w:space="0"/>
        <w:bottom w:val="single" w:color="auto" w:sz="4" w:space="0"/>
      </w:pBdr>
      <w:spacing w:before="100" w:beforeAutospacing="1" w:after="100" w:afterAutospacing="1"/>
      <w:jc w:val="center"/>
    </w:pPr>
    <w:rPr>
      <w:rFonts w:ascii="宋体" w:hAnsi="宋体" w:cs="宋体"/>
      <w:b/>
      <w:bCs/>
      <w:sz w:val="32"/>
      <w:szCs w:val="32"/>
    </w:rPr>
  </w:style>
  <w:style w:type="paragraph" w:customStyle="1" w:styleId="255">
    <w:name w:val="xl8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rPr>
  </w:style>
  <w:style w:type="paragraph" w:customStyle="1" w:styleId="256">
    <w:name w:val="Char Char Char Char Char Char Char"/>
    <w:basedOn w:val="1"/>
    <w:qFormat/>
    <w:uiPriority w:val="0"/>
    <w:pPr>
      <w:snapToGrid w:val="0"/>
      <w:spacing w:line="240" w:lineRule="exact"/>
    </w:pPr>
    <w:rPr>
      <w:rFonts w:ascii="Verdana" w:hAnsi="Verdana"/>
      <w:sz w:val="20"/>
      <w:szCs w:val="20"/>
      <w:lang w:eastAsia="en-US"/>
    </w:rPr>
  </w:style>
  <w:style w:type="paragraph" w:customStyle="1" w:styleId="257">
    <w:name w:val="正文文本缩进 New"/>
    <w:basedOn w:val="200"/>
    <w:qFormat/>
    <w:uiPriority w:val="0"/>
    <w:pPr>
      <w:spacing w:line="480" w:lineRule="auto"/>
      <w:ind w:firstLine="570"/>
    </w:pPr>
    <w:rPr>
      <w:sz w:val="28"/>
      <w:szCs w:val="20"/>
    </w:rPr>
  </w:style>
  <w:style w:type="paragraph" w:customStyle="1" w:styleId="258">
    <w:name w:val="页脚 New New New New New New New New New"/>
    <w:basedOn w:val="128"/>
    <w:qFormat/>
    <w:uiPriority w:val="0"/>
    <w:pPr>
      <w:tabs>
        <w:tab w:val="center" w:pos="4153"/>
        <w:tab w:val="right" w:pos="8306"/>
      </w:tabs>
      <w:snapToGrid w:val="0"/>
      <w:jc w:val="left"/>
    </w:pPr>
    <w:rPr>
      <w:sz w:val="18"/>
      <w:szCs w:val="18"/>
    </w:rPr>
  </w:style>
  <w:style w:type="paragraph" w:customStyle="1" w:styleId="259">
    <w:name w:val="纯文本1"/>
    <w:basedOn w:val="1"/>
    <w:qFormat/>
    <w:uiPriority w:val="0"/>
    <w:pPr>
      <w:widowControl w:val="0"/>
      <w:adjustRightInd w:val="0"/>
      <w:jc w:val="both"/>
      <w:textAlignment w:val="baseline"/>
    </w:pPr>
    <w:rPr>
      <w:rFonts w:ascii="宋体" w:hAnsi="Courier New"/>
      <w:kern w:val="2"/>
      <w:sz w:val="21"/>
      <w:szCs w:val="20"/>
    </w:rPr>
  </w:style>
  <w:style w:type="paragraph" w:customStyle="1" w:styleId="260">
    <w:name w:val="样式 标题 2proj2proj21proj22proj23proj24proj25proj26proj27p...1"/>
    <w:basedOn w:val="7"/>
    <w:qFormat/>
    <w:uiPriority w:val="0"/>
    <w:pPr>
      <w:keepNext w:val="0"/>
      <w:keepLines w:val="0"/>
      <w:adjustRightInd w:val="0"/>
      <w:spacing w:before="0" w:after="0" w:line="360" w:lineRule="exact"/>
      <w:textAlignment w:val="baseline"/>
      <w:outlineLvl w:val="9"/>
    </w:pPr>
    <w:rPr>
      <w:rFonts w:ascii="Times New Roman" w:hAnsi="Times New Roman"/>
      <w:b w:val="0"/>
      <w:bCs w:val="0"/>
      <w:iCs w:val="0"/>
      <w:kern w:val="2"/>
      <w:sz w:val="24"/>
      <w:szCs w:val="20"/>
    </w:rPr>
  </w:style>
  <w:style w:type="paragraph" w:customStyle="1" w:styleId="261">
    <w:name w:val="Char Char Char Char Char Char Char Char Char"/>
    <w:basedOn w:val="1"/>
    <w:qFormat/>
    <w:uiPriority w:val="0"/>
    <w:pPr>
      <w:spacing w:after="160" w:line="240" w:lineRule="exact"/>
    </w:pPr>
    <w:rPr>
      <w:rFonts w:ascii="Verdana" w:hAnsi="Verdana" w:eastAsia="仿宋_GB2312"/>
      <w:szCs w:val="20"/>
      <w:lang w:eastAsia="en-US"/>
    </w:rPr>
  </w:style>
  <w:style w:type="paragraph" w:customStyle="1" w:styleId="262">
    <w:name w:val="xl106"/>
    <w:basedOn w:val="1"/>
    <w:qFormat/>
    <w:uiPriority w:val="0"/>
    <w:pPr>
      <w:spacing w:before="100" w:beforeAutospacing="1" w:after="100" w:afterAutospacing="1"/>
      <w:jc w:val="center"/>
    </w:pPr>
    <w:rPr>
      <w:rFonts w:ascii="宋体" w:hAnsi="宋体" w:cs="宋体"/>
      <w:b/>
      <w:bCs/>
      <w:sz w:val="40"/>
      <w:szCs w:val="40"/>
    </w:rPr>
  </w:style>
  <w:style w:type="paragraph" w:customStyle="1" w:styleId="263">
    <w:name w:val="文章正文 Char Char1"/>
    <w:basedOn w:val="1"/>
    <w:qFormat/>
    <w:uiPriority w:val="0"/>
    <w:pPr>
      <w:widowControl w:val="0"/>
      <w:spacing w:line="360" w:lineRule="auto"/>
      <w:ind w:firstLine="420"/>
      <w:jc w:val="both"/>
    </w:pPr>
    <w:rPr>
      <w:kern w:val="2"/>
      <w:szCs w:val="20"/>
    </w:rPr>
  </w:style>
  <w:style w:type="paragraph" w:customStyle="1" w:styleId="264">
    <w:name w:val="xl8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rPr>
  </w:style>
  <w:style w:type="paragraph" w:customStyle="1" w:styleId="265">
    <w:name w:val="页脚 New New New New New New New New New New New"/>
    <w:basedOn w:val="174"/>
    <w:qFormat/>
    <w:uiPriority w:val="0"/>
    <w:pPr>
      <w:tabs>
        <w:tab w:val="center" w:pos="4153"/>
        <w:tab w:val="right" w:pos="8306"/>
      </w:tabs>
      <w:snapToGrid w:val="0"/>
      <w:jc w:val="left"/>
    </w:pPr>
    <w:rPr>
      <w:sz w:val="18"/>
      <w:szCs w:val="18"/>
    </w:rPr>
  </w:style>
  <w:style w:type="paragraph" w:customStyle="1" w:styleId="266">
    <w:name w:val="Item List"/>
    <w:qFormat/>
    <w:uiPriority w:val="0"/>
    <w:pPr>
      <w:widowControl w:val="0"/>
      <w:adjustRightInd w:val="0"/>
      <w:spacing w:line="360" w:lineRule="auto"/>
      <w:jc w:val="both"/>
      <w:textAlignment w:val="baseline"/>
    </w:pPr>
    <w:rPr>
      <w:rFonts w:ascii="Times New Roman" w:hAnsi="Times New Roman" w:eastAsia="宋体" w:cs="Times New Roman"/>
      <w:kern w:val="2"/>
      <w:sz w:val="24"/>
      <w:lang w:val="en-US" w:eastAsia="zh-CN" w:bidi="ar-SA"/>
    </w:rPr>
  </w:style>
  <w:style w:type="paragraph" w:customStyle="1" w:styleId="267">
    <w:name w:val="xl105"/>
    <w:basedOn w:val="1"/>
    <w:qFormat/>
    <w:uiPriority w:val="0"/>
    <w:pPr>
      <w:pBdr>
        <w:top w:val="single" w:color="auto" w:sz="4" w:space="0"/>
        <w:bottom w:val="single" w:color="auto" w:sz="4" w:space="0"/>
        <w:right w:val="single" w:color="auto" w:sz="4" w:space="0"/>
      </w:pBdr>
      <w:spacing w:before="100" w:beforeAutospacing="1" w:after="100" w:afterAutospacing="1"/>
    </w:pPr>
    <w:rPr>
      <w:rFonts w:ascii="宋体" w:hAnsi="宋体" w:cs="宋体"/>
      <w:b/>
      <w:bCs/>
    </w:rPr>
  </w:style>
  <w:style w:type="paragraph" w:customStyle="1" w:styleId="268">
    <w:name w:val="样式 正文缩进 + (中文) 仿宋_GB2312 小四 Char"/>
    <w:basedOn w:val="16"/>
    <w:qFormat/>
    <w:uiPriority w:val="0"/>
    <w:pPr>
      <w:ind w:firstLine="480"/>
    </w:pPr>
    <w:rPr>
      <w:rFonts w:ascii="宋体" w:hAnsi="宋体"/>
      <w:sz w:val="24"/>
      <w:szCs w:val="20"/>
    </w:rPr>
  </w:style>
  <w:style w:type="paragraph" w:customStyle="1" w:styleId="269">
    <w:name w:val="Char Char11"/>
    <w:basedOn w:val="1"/>
    <w:next w:val="1"/>
    <w:qFormat/>
    <w:uiPriority w:val="0"/>
    <w:pPr>
      <w:widowControl w:val="0"/>
      <w:spacing w:line="240" w:lineRule="atLeast"/>
      <w:ind w:left="420" w:firstLine="420"/>
    </w:pPr>
    <w:rPr>
      <w:rFonts w:ascii="楷体_GB2312" w:hAnsi="宋体" w:eastAsia="楷体_GB2312"/>
      <w:color w:val="000000"/>
      <w:sz w:val="28"/>
      <w:szCs w:val="20"/>
    </w:rPr>
  </w:style>
  <w:style w:type="paragraph" w:customStyle="1" w:styleId="270">
    <w:name w:val="xl99"/>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cs="宋体"/>
      <w:sz w:val="20"/>
      <w:szCs w:val="20"/>
    </w:rPr>
  </w:style>
  <w:style w:type="paragraph" w:customStyle="1" w:styleId="271">
    <w:name w:val="文章正文 Char Char1 Char"/>
    <w:basedOn w:val="1"/>
    <w:qFormat/>
    <w:uiPriority w:val="0"/>
    <w:pPr>
      <w:widowControl w:val="0"/>
      <w:spacing w:line="360" w:lineRule="auto"/>
      <w:ind w:firstLine="420"/>
      <w:jc w:val="both"/>
    </w:pPr>
    <w:rPr>
      <w:kern w:val="2"/>
    </w:rPr>
  </w:style>
  <w:style w:type="paragraph" w:customStyle="1" w:styleId="272">
    <w:name w:val="xl7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sz w:val="20"/>
      <w:szCs w:val="20"/>
    </w:rPr>
  </w:style>
  <w:style w:type="paragraph" w:customStyle="1" w:styleId="273">
    <w:name w:val="xl8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rPr>
  </w:style>
  <w:style w:type="paragraph" w:customStyle="1" w:styleId="274">
    <w:name w:val="Char Char Char Char Char Char Char Char Char Char Char Char Char"/>
    <w:basedOn w:val="18"/>
    <w:qFormat/>
    <w:uiPriority w:val="0"/>
    <w:pPr>
      <w:widowControl w:val="0"/>
      <w:jc w:val="both"/>
    </w:pPr>
    <w:rPr>
      <w:rFonts w:ascii="Tahoma" w:hAnsi="Tahoma"/>
      <w:kern w:val="2"/>
      <w:szCs w:val="20"/>
    </w:rPr>
  </w:style>
  <w:style w:type="paragraph" w:customStyle="1" w:styleId="275">
    <w:name w:val="正文序号 4"/>
    <w:basedOn w:val="1"/>
    <w:qFormat/>
    <w:uiPriority w:val="0"/>
    <w:pPr>
      <w:widowControl w:val="0"/>
      <w:numPr>
        <w:ilvl w:val="3"/>
        <w:numId w:val="5"/>
      </w:numPr>
      <w:tabs>
        <w:tab w:val="left" w:pos="1469"/>
        <w:tab w:val="clear" w:pos="1680"/>
      </w:tabs>
      <w:spacing w:before="60"/>
      <w:jc w:val="both"/>
    </w:pPr>
    <w:rPr>
      <w:kern w:val="2"/>
      <w:sz w:val="21"/>
      <w:szCs w:val="20"/>
    </w:rPr>
  </w:style>
  <w:style w:type="paragraph" w:customStyle="1" w:styleId="276">
    <w:name w:val="正文 首行缩进:  2 字符 Char Char"/>
    <w:basedOn w:val="1"/>
    <w:qFormat/>
    <w:uiPriority w:val="0"/>
    <w:pPr>
      <w:widowControl w:val="0"/>
      <w:spacing w:line="360" w:lineRule="auto"/>
      <w:ind w:firstLine="480"/>
      <w:jc w:val="both"/>
    </w:pPr>
    <w:rPr>
      <w:kern w:val="2"/>
      <w:szCs w:val="20"/>
    </w:rPr>
  </w:style>
  <w:style w:type="paragraph" w:customStyle="1" w:styleId="277">
    <w:name w:val="默认段落字体 Para Char Char Char Char"/>
    <w:basedOn w:val="1"/>
    <w:qFormat/>
    <w:uiPriority w:val="0"/>
    <w:pPr>
      <w:widowControl w:val="0"/>
      <w:jc w:val="both"/>
    </w:pPr>
    <w:rPr>
      <w:kern w:val="2"/>
      <w:sz w:val="21"/>
    </w:rPr>
  </w:style>
  <w:style w:type="paragraph" w:customStyle="1" w:styleId="278">
    <w:name w:val="页眉 New New New New New New New New New New New New"/>
    <w:basedOn w:val="231"/>
    <w:qFormat/>
    <w:uiPriority w:val="0"/>
    <w:pPr>
      <w:pBdr>
        <w:bottom w:val="single" w:color="auto" w:sz="6" w:space="1"/>
      </w:pBdr>
      <w:tabs>
        <w:tab w:val="center" w:pos="4153"/>
        <w:tab w:val="right" w:pos="8306"/>
      </w:tabs>
      <w:snapToGrid w:val="0"/>
      <w:jc w:val="center"/>
    </w:pPr>
    <w:rPr>
      <w:sz w:val="18"/>
      <w:szCs w:val="18"/>
    </w:rPr>
  </w:style>
  <w:style w:type="paragraph" w:customStyle="1" w:styleId="279">
    <w:name w:val="页眉 New New New New New New New New New New New New New New"/>
    <w:basedOn w:val="147"/>
    <w:qFormat/>
    <w:uiPriority w:val="0"/>
    <w:pPr>
      <w:pBdr>
        <w:bottom w:val="single" w:color="auto" w:sz="6" w:space="1"/>
      </w:pBdr>
      <w:tabs>
        <w:tab w:val="center" w:pos="4153"/>
        <w:tab w:val="right" w:pos="8306"/>
      </w:tabs>
      <w:snapToGrid w:val="0"/>
      <w:jc w:val="center"/>
    </w:pPr>
    <w:rPr>
      <w:sz w:val="18"/>
      <w:szCs w:val="18"/>
    </w:rPr>
  </w:style>
  <w:style w:type="paragraph" w:customStyle="1" w:styleId="280">
    <w:name w:val="样式 右侧:  1 字符1"/>
    <w:basedOn w:val="1"/>
    <w:qFormat/>
    <w:uiPriority w:val="0"/>
    <w:pPr>
      <w:widowControl w:val="0"/>
      <w:ind w:left="240" w:leftChars="100" w:right="100" w:rightChars="100"/>
      <w:jc w:val="both"/>
    </w:pPr>
    <w:rPr>
      <w:rFonts w:eastAsia="仿宋_GB2312"/>
      <w:kern w:val="2"/>
      <w:sz w:val="28"/>
      <w:szCs w:val="20"/>
    </w:rPr>
  </w:style>
  <w:style w:type="paragraph" w:customStyle="1" w:styleId="281">
    <w:name w:val="style10"/>
    <w:basedOn w:val="1"/>
    <w:qFormat/>
    <w:uiPriority w:val="0"/>
    <w:pPr>
      <w:spacing w:before="100" w:beforeAutospacing="1" w:after="100" w:afterAutospacing="1" w:line="270" w:lineRule="atLeast"/>
    </w:pPr>
    <w:rPr>
      <w:rFonts w:ascii="宋体" w:hAnsi="宋体" w:cs="宋体"/>
      <w:color w:val="FFFFFF"/>
      <w:sz w:val="21"/>
      <w:szCs w:val="21"/>
    </w:rPr>
  </w:style>
  <w:style w:type="paragraph" w:customStyle="1" w:styleId="282">
    <w:name w:val="正文序号 3"/>
    <w:basedOn w:val="1"/>
    <w:qFormat/>
    <w:uiPriority w:val="0"/>
    <w:pPr>
      <w:widowControl w:val="0"/>
      <w:numPr>
        <w:ilvl w:val="2"/>
        <w:numId w:val="5"/>
      </w:numPr>
      <w:tabs>
        <w:tab w:val="left" w:pos="1259"/>
        <w:tab w:val="clear" w:pos="1260"/>
      </w:tabs>
      <w:spacing w:before="60"/>
      <w:jc w:val="both"/>
    </w:pPr>
    <w:rPr>
      <w:kern w:val="2"/>
      <w:sz w:val="21"/>
      <w:szCs w:val="20"/>
    </w:rPr>
  </w:style>
  <w:style w:type="paragraph" w:customStyle="1" w:styleId="283">
    <w:name w:val="xl7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rPr>
  </w:style>
  <w:style w:type="paragraph" w:customStyle="1" w:styleId="284">
    <w:name w:val="页眉 New New New New New New"/>
    <w:basedOn w:val="166"/>
    <w:qFormat/>
    <w:uiPriority w:val="0"/>
    <w:pPr>
      <w:pBdr>
        <w:bottom w:val="single" w:color="auto" w:sz="6" w:space="1"/>
      </w:pBdr>
      <w:tabs>
        <w:tab w:val="center" w:pos="4153"/>
        <w:tab w:val="right" w:pos="8306"/>
      </w:tabs>
      <w:snapToGrid w:val="0"/>
      <w:jc w:val="center"/>
    </w:pPr>
    <w:rPr>
      <w:sz w:val="18"/>
      <w:szCs w:val="18"/>
    </w:rPr>
  </w:style>
  <w:style w:type="paragraph" w:customStyle="1" w:styleId="285">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286">
    <w:name w:val="页眉 New New New New New"/>
    <w:basedOn w:val="181"/>
    <w:qFormat/>
    <w:uiPriority w:val="0"/>
    <w:pPr>
      <w:pBdr>
        <w:bottom w:val="single" w:color="auto" w:sz="6" w:space="1"/>
      </w:pBdr>
      <w:tabs>
        <w:tab w:val="center" w:pos="4153"/>
        <w:tab w:val="right" w:pos="8306"/>
      </w:tabs>
      <w:snapToGrid w:val="0"/>
      <w:jc w:val="center"/>
    </w:pPr>
    <w:rPr>
      <w:sz w:val="18"/>
      <w:szCs w:val="18"/>
    </w:rPr>
  </w:style>
  <w:style w:type="paragraph" w:customStyle="1" w:styleId="28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288">
    <w:name w:val="font10"/>
    <w:basedOn w:val="1"/>
    <w:qFormat/>
    <w:uiPriority w:val="0"/>
    <w:pPr>
      <w:spacing w:before="100" w:beforeAutospacing="1" w:after="100" w:afterAutospacing="1"/>
    </w:pPr>
    <w:rPr>
      <w:rFonts w:ascii="宋体" w:hAnsi="宋体" w:cs="宋体"/>
      <w:color w:val="000000"/>
      <w:sz w:val="22"/>
      <w:szCs w:val="22"/>
    </w:rPr>
  </w:style>
  <w:style w:type="paragraph" w:customStyle="1" w:styleId="289">
    <w:name w:val="文档正文"/>
    <w:basedOn w:val="1"/>
    <w:qFormat/>
    <w:uiPriority w:val="0"/>
    <w:pPr>
      <w:widowControl w:val="0"/>
      <w:adjustRightInd w:val="0"/>
      <w:spacing w:line="312" w:lineRule="atLeast"/>
      <w:ind w:firstLine="567"/>
      <w:jc w:val="both"/>
      <w:textAlignment w:val="baseline"/>
    </w:pPr>
    <w:rPr>
      <w:rFonts w:ascii="长城仿宋" w:eastAsia="长城仿宋"/>
      <w:sz w:val="28"/>
      <w:szCs w:val="20"/>
    </w:rPr>
  </w:style>
  <w:style w:type="paragraph" w:customStyle="1" w:styleId="290">
    <w:name w:val="xl26"/>
    <w:basedOn w:val="1"/>
    <w:qFormat/>
    <w:uiPriority w:val="0"/>
    <w:pPr>
      <w:pBdr>
        <w:top w:val="single" w:color="auto" w:sz="4" w:space="0"/>
        <w:left w:val="single" w:color="auto" w:sz="4" w:space="0"/>
        <w:right w:val="single" w:color="auto" w:sz="4" w:space="0"/>
      </w:pBdr>
      <w:spacing w:before="100" w:beforeAutospacing="1" w:after="100" w:afterAutospacing="1"/>
    </w:pPr>
    <w:rPr>
      <w:rFonts w:ascii="宋体" w:hAnsi="宋体"/>
      <w:sz w:val="22"/>
      <w:szCs w:val="22"/>
    </w:rPr>
  </w:style>
  <w:style w:type="paragraph" w:customStyle="1" w:styleId="291">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292">
    <w:name w:val="Char Char Char"/>
    <w:basedOn w:val="1"/>
    <w:qFormat/>
    <w:uiPriority w:val="0"/>
    <w:pPr>
      <w:widowControl w:val="0"/>
      <w:jc w:val="both"/>
    </w:pPr>
    <w:rPr>
      <w:rFonts w:ascii="Tahoma" w:hAnsi="Tahoma"/>
      <w:kern w:val="2"/>
      <w:szCs w:val="20"/>
    </w:rPr>
  </w:style>
  <w:style w:type="paragraph" w:customStyle="1" w:styleId="293">
    <w:name w:val="正文2"/>
    <w:basedOn w:val="1"/>
    <w:qFormat/>
    <w:uiPriority w:val="0"/>
    <w:pPr>
      <w:widowControl w:val="0"/>
      <w:tabs>
        <w:tab w:val="left" w:pos="860"/>
      </w:tabs>
      <w:spacing w:line="440" w:lineRule="exact"/>
      <w:ind w:left="860" w:hanging="420"/>
      <w:jc w:val="both"/>
    </w:pPr>
    <w:rPr>
      <w:rFonts w:ascii="仿宋_GB2312" w:hAnsi="宋体" w:eastAsia="仿宋_GB2312"/>
      <w:spacing w:val="5"/>
      <w:kern w:val="2"/>
      <w:sz w:val="21"/>
    </w:rPr>
  </w:style>
  <w:style w:type="paragraph" w:customStyle="1" w:styleId="294">
    <w:name w:val="09正文_wh"/>
    <w:qFormat/>
    <w:uiPriority w:val="0"/>
    <w:pPr>
      <w:spacing w:line="300" w:lineRule="auto"/>
      <w:ind w:firstLine="200" w:firstLineChars="200"/>
      <w:jc w:val="both"/>
    </w:pPr>
    <w:rPr>
      <w:rFonts w:ascii="Times New Roman" w:hAnsi="Times New Roman" w:eastAsia="宋体" w:cs="Times New Roman"/>
      <w:kern w:val="2"/>
      <w:sz w:val="28"/>
      <w:szCs w:val="24"/>
      <w:lang w:val="en-US" w:eastAsia="zh-CN" w:bidi="ar-SA"/>
    </w:rPr>
  </w:style>
  <w:style w:type="paragraph" w:customStyle="1" w:styleId="295">
    <w:name w:val="xl8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rPr>
  </w:style>
  <w:style w:type="paragraph" w:customStyle="1" w:styleId="296">
    <w:name w:val="font12"/>
    <w:basedOn w:val="1"/>
    <w:qFormat/>
    <w:uiPriority w:val="0"/>
    <w:pPr>
      <w:spacing w:before="100" w:beforeAutospacing="1" w:after="100" w:afterAutospacing="1"/>
    </w:pPr>
    <w:rPr>
      <w:rFonts w:ascii="宋体" w:hAnsi="宋体" w:cs="宋体"/>
      <w:b/>
      <w:bCs/>
      <w:color w:val="000000"/>
      <w:sz w:val="20"/>
      <w:szCs w:val="20"/>
    </w:rPr>
  </w:style>
  <w:style w:type="paragraph" w:customStyle="1" w:styleId="297">
    <w:name w:val="Char2"/>
    <w:basedOn w:val="1"/>
    <w:qFormat/>
    <w:uiPriority w:val="0"/>
    <w:pPr>
      <w:widowControl w:val="0"/>
      <w:jc w:val="both"/>
    </w:pPr>
    <w:rPr>
      <w:kern w:val="2"/>
      <w:sz w:val="21"/>
      <w:szCs w:val="20"/>
    </w:rPr>
  </w:style>
  <w:style w:type="paragraph" w:customStyle="1" w:styleId="298">
    <w:name w:val="正文缩进1"/>
    <w:basedOn w:val="1"/>
    <w:next w:val="1"/>
    <w:qFormat/>
    <w:uiPriority w:val="0"/>
    <w:pPr>
      <w:ind w:firstLine="420"/>
      <w:jc w:val="both"/>
    </w:pPr>
    <w:rPr>
      <w:color w:val="000000"/>
      <w:kern w:val="2"/>
      <w:sz w:val="21"/>
      <w:szCs w:val="20"/>
    </w:rPr>
  </w:style>
  <w:style w:type="paragraph" w:customStyle="1" w:styleId="299">
    <w:name w:val="xl9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20"/>
      <w:szCs w:val="20"/>
    </w:rPr>
  </w:style>
  <w:style w:type="paragraph" w:customStyle="1" w:styleId="300">
    <w:name w:val="1 Char Char Char Char"/>
    <w:basedOn w:val="1"/>
    <w:qFormat/>
    <w:uiPriority w:val="0"/>
    <w:pPr>
      <w:widowControl w:val="0"/>
      <w:jc w:val="both"/>
    </w:pPr>
    <w:rPr>
      <w:rFonts w:ascii="Tahoma" w:hAnsi="Tahoma"/>
      <w:kern w:val="2"/>
      <w:szCs w:val="20"/>
    </w:rPr>
  </w:style>
  <w:style w:type="paragraph" w:customStyle="1" w:styleId="301">
    <w:name w:val="样式1"/>
    <w:basedOn w:val="1"/>
    <w:qFormat/>
    <w:uiPriority w:val="0"/>
    <w:pPr>
      <w:widowControl w:val="0"/>
      <w:tabs>
        <w:tab w:val="left" w:pos="840"/>
      </w:tabs>
      <w:adjustRightInd w:val="0"/>
      <w:spacing w:line="360" w:lineRule="auto"/>
      <w:ind w:left="840" w:hanging="420"/>
      <w:jc w:val="both"/>
      <w:textAlignment w:val="baseline"/>
    </w:pPr>
    <w:rPr>
      <w:rFonts w:ascii="宋体" w:hAnsi="宋体"/>
      <w:szCs w:val="21"/>
    </w:rPr>
  </w:style>
  <w:style w:type="paragraph" w:customStyle="1" w:styleId="302">
    <w:name w:val="项目符号：一级"/>
    <w:basedOn w:val="303"/>
    <w:next w:val="303"/>
    <w:qFormat/>
    <w:uiPriority w:val="0"/>
    <w:pPr>
      <w:tabs>
        <w:tab w:val="left" w:pos="700"/>
      </w:tabs>
      <w:spacing w:beforeLines="0"/>
      <w:ind w:left="630" w:hanging="290" w:firstLineChars="0"/>
    </w:pPr>
  </w:style>
  <w:style w:type="paragraph" w:customStyle="1" w:styleId="303">
    <w:name w:val="正文格式"/>
    <w:basedOn w:val="1"/>
    <w:qFormat/>
    <w:uiPriority w:val="0"/>
    <w:pPr>
      <w:adjustRightInd w:val="0"/>
      <w:snapToGrid w:val="0"/>
      <w:spacing w:beforeLines="25" w:line="360" w:lineRule="auto"/>
      <w:ind w:firstLine="480" w:firstLineChars="200"/>
      <w:jc w:val="both"/>
      <w:textAlignment w:val="baseline"/>
    </w:pPr>
    <w:rPr>
      <w:rFonts w:ascii="宋体" w:hAnsi="宋体"/>
      <w:color w:val="000000"/>
      <w:szCs w:val="20"/>
    </w:rPr>
  </w:style>
  <w:style w:type="paragraph" w:customStyle="1" w:styleId="304">
    <w:name w:val="页脚 New New New New New New New New New New New New New"/>
    <w:basedOn w:val="191"/>
    <w:qFormat/>
    <w:uiPriority w:val="0"/>
    <w:pPr>
      <w:tabs>
        <w:tab w:val="center" w:pos="4153"/>
        <w:tab w:val="right" w:pos="8306"/>
      </w:tabs>
      <w:snapToGrid w:val="0"/>
      <w:jc w:val="left"/>
    </w:pPr>
    <w:rPr>
      <w:sz w:val="18"/>
      <w:szCs w:val="18"/>
    </w:rPr>
  </w:style>
  <w:style w:type="paragraph" w:customStyle="1" w:styleId="305">
    <w:name w:val="Style Style4 + First line:  2 ch Before:  0.5 line After:  0.5 li..."/>
    <w:basedOn w:val="1"/>
    <w:qFormat/>
    <w:uiPriority w:val="0"/>
    <w:pPr>
      <w:widowControl w:val="0"/>
      <w:spacing w:beforeLines="50" w:afterLines="50" w:line="276" w:lineRule="auto"/>
      <w:ind w:firstLine="480" w:firstLineChars="200"/>
      <w:jc w:val="both"/>
    </w:pPr>
    <w:rPr>
      <w:rFonts w:ascii="Arial" w:hAnsi="Arial"/>
      <w:kern w:val="2"/>
      <w:szCs w:val="20"/>
    </w:rPr>
  </w:style>
  <w:style w:type="paragraph" w:customStyle="1" w:styleId="306">
    <w:name w:val="样式3"/>
    <w:basedOn w:val="26"/>
    <w:qFormat/>
    <w:uiPriority w:val="0"/>
    <w:pPr>
      <w:autoSpaceDE/>
      <w:autoSpaceDN/>
      <w:adjustRightInd/>
      <w:spacing w:line="0" w:lineRule="atLeast"/>
      <w:outlineLvl w:val="0"/>
    </w:pPr>
    <w:rPr>
      <w:rFonts w:hAnsi="Courier New"/>
      <w:kern w:val="2"/>
      <w:sz w:val="28"/>
    </w:rPr>
  </w:style>
  <w:style w:type="paragraph" w:customStyle="1" w:styleId="307">
    <w:name w:val="p4"/>
    <w:basedOn w:val="1"/>
    <w:qFormat/>
    <w:uiPriority w:val="0"/>
    <w:pPr>
      <w:spacing w:before="100" w:beforeAutospacing="1" w:after="100" w:afterAutospacing="1" w:line="360" w:lineRule="auto"/>
      <w:ind w:firstLine="360"/>
    </w:pPr>
    <w:rPr>
      <w:rFonts w:ascii="宋体" w:hAnsi="宋体"/>
    </w:rPr>
  </w:style>
  <w:style w:type="paragraph" w:customStyle="1" w:styleId="308">
    <w:name w:val="MM Topic 2"/>
    <w:basedOn w:val="7"/>
    <w:qFormat/>
    <w:uiPriority w:val="0"/>
    <w:pPr>
      <w:tabs>
        <w:tab w:val="left" w:pos="992"/>
        <w:tab w:val="clear" w:pos="720"/>
      </w:tabs>
    </w:pPr>
    <w:rPr>
      <w:rFonts w:ascii="Arial"/>
      <w:bCs w:val="0"/>
      <w:iCs w:val="0"/>
      <w:color w:val="000000"/>
      <w:kern w:val="2"/>
      <w:szCs w:val="20"/>
    </w:rPr>
  </w:style>
  <w:style w:type="paragraph" w:customStyle="1" w:styleId="309">
    <w:name w:val="默认段落字体 Para Char Char Char1 Char"/>
    <w:basedOn w:val="1"/>
    <w:next w:val="1"/>
    <w:qFormat/>
    <w:uiPriority w:val="0"/>
    <w:pPr>
      <w:widowControl w:val="0"/>
      <w:spacing w:line="240" w:lineRule="atLeast"/>
      <w:ind w:left="420" w:firstLine="420"/>
    </w:pPr>
    <w:rPr>
      <w:sz w:val="21"/>
      <w:szCs w:val="21"/>
    </w:rPr>
  </w:style>
  <w:style w:type="paragraph" w:customStyle="1" w:styleId="310">
    <w:name w:val="xl10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rPr>
  </w:style>
  <w:style w:type="paragraph" w:customStyle="1" w:styleId="311">
    <w:name w:val="Table Text"/>
    <w:basedOn w:val="1"/>
    <w:qFormat/>
    <w:uiPriority w:val="0"/>
    <w:pPr>
      <w:spacing w:before="60" w:after="60"/>
    </w:pPr>
    <w:rPr>
      <w:sz w:val="21"/>
    </w:rPr>
  </w:style>
  <w:style w:type="paragraph" w:customStyle="1" w:styleId="312">
    <w:name w:val="正文首行缩进两字符"/>
    <w:basedOn w:val="1"/>
    <w:qFormat/>
    <w:uiPriority w:val="0"/>
    <w:pPr>
      <w:widowControl w:val="0"/>
      <w:spacing w:line="360" w:lineRule="auto"/>
      <w:ind w:firstLine="200" w:firstLineChars="200"/>
      <w:jc w:val="both"/>
    </w:pPr>
    <w:rPr>
      <w:kern w:val="2"/>
      <w:sz w:val="21"/>
      <w:szCs w:val="20"/>
    </w:rPr>
  </w:style>
  <w:style w:type="paragraph" w:customStyle="1" w:styleId="313">
    <w:name w:val="xl8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rPr>
  </w:style>
  <w:style w:type="paragraph" w:customStyle="1" w:styleId="314">
    <w:name w:val="标题3"/>
    <w:basedOn w:val="8"/>
    <w:qFormat/>
    <w:uiPriority w:val="0"/>
    <w:pPr>
      <w:keepNext w:val="0"/>
      <w:keepLines w:val="0"/>
      <w:numPr>
        <w:numId w:val="0"/>
      </w:numPr>
      <w:tabs>
        <w:tab w:val="left" w:pos="1843"/>
        <w:tab w:val="clear" w:pos="900"/>
      </w:tabs>
      <w:spacing w:before="0" w:after="0" w:line="240" w:lineRule="auto"/>
      <w:outlineLvl w:val="9"/>
    </w:pPr>
    <w:rPr>
      <w:rFonts w:ascii="Times New Roman" w:hAnsi="Times New Roman"/>
      <w:b w:val="0"/>
      <w:bCs w:val="0"/>
      <w:sz w:val="21"/>
      <w:szCs w:val="20"/>
    </w:rPr>
  </w:style>
  <w:style w:type="paragraph" w:customStyle="1" w:styleId="315">
    <w:name w:val="xl72"/>
    <w:basedOn w:val="1"/>
    <w:qFormat/>
    <w:uiPriority w:val="0"/>
    <w:pPr>
      <w:spacing w:before="100" w:beforeAutospacing="1" w:after="100" w:afterAutospacing="1"/>
      <w:jc w:val="center"/>
    </w:pPr>
    <w:rPr>
      <w:rFonts w:ascii="宋体" w:hAnsi="宋体" w:cs="宋体"/>
    </w:rPr>
  </w:style>
  <w:style w:type="paragraph" w:customStyle="1" w:styleId="316">
    <w:name w:val="xl7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317">
    <w:name w:val="1 Char"/>
    <w:basedOn w:val="1"/>
    <w:qFormat/>
    <w:uiPriority w:val="0"/>
    <w:pPr>
      <w:spacing w:after="160" w:line="240" w:lineRule="exact"/>
    </w:pPr>
    <w:rPr>
      <w:rFonts w:ascii="Tahoma" w:hAnsi="Tahoma" w:eastAsia="Times New Roman"/>
      <w:lang w:eastAsia="en-US"/>
    </w:rPr>
  </w:style>
  <w:style w:type="paragraph" w:customStyle="1" w:styleId="318">
    <w:name w:val="页眉 New New New New New New New New"/>
    <w:basedOn w:val="130"/>
    <w:qFormat/>
    <w:uiPriority w:val="0"/>
    <w:pPr>
      <w:pBdr>
        <w:bottom w:val="single" w:color="auto" w:sz="6" w:space="1"/>
      </w:pBdr>
      <w:tabs>
        <w:tab w:val="center" w:pos="4153"/>
        <w:tab w:val="right" w:pos="8306"/>
      </w:tabs>
      <w:snapToGrid w:val="0"/>
      <w:jc w:val="center"/>
    </w:pPr>
    <w:rPr>
      <w:sz w:val="18"/>
      <w:szCs w:val="18"/>
    </w:rPr>
  </w:style>
  <w:style w:type="paragraph" w:customStyle="1" w:styleId="319">
    <w:name w:val="页脚 New New New New New New New New New New New New New New New New"/>
    <w:basedOn w:val="154"/>
    <w:qFormat/>
    <w:uiPriority w:val="0"/>
    <w:pPr>
      <w:tabs>
        <w:tab w:val="center" w:pos="4153"/>
        <w:tab w:val="right" w:pos="8306"/>
      </w:tabs>
      <w:snapToGrid w:val="0"/>
      <w:jc w:val="left"/>
    </w:pPr>
    <w:rPr>
      <w:sz w:val="18"/>
      <w:szCs w:val="18"/>
    </w:rPr>
  </w:style>
  <w:style w:type="paragraph" w:customStyle="1" w:styleId="320">
    <w:name w:val="页脚 New New New New"/>
    <w:basedOn w:val="170"/>
    <w:qFormat/>
    <w:uiPriority w:val="0"/>
    <w:pPr>
      <w:tabs>
        <w:tab w:val="center" w:pos="4153"/>
        <w:tab w:val="right" w:pos="8306"/>
      </w:tabs>
      <w:snapToGrid w:val="0"/>
      <w:jc w:val="left"/>
    </w:pPr>
    <w:rPr>
      <w:sz w:val="18"/>
      <w:szCs w:val="18"/>
    </w:rPr>
  </w:style>
  <w:style w:type="paragraph" w:customStyle="1" w:styleId="321">
    <w:name w:val="Char1 Char Char Char"/>
    <w:basedOn w:val="1"/>
    <w:next w:val="1"/>
    <w:qFormat/>
    <w:uiPriority w:val="0"/>
    <w:pPr>
      <w:widowControl w:val="0"/>
      <w:spacing w:line="240" w:lineRule="atLeast"/>
      <w:ind w:left="420" w:firstLine="420"/>
    </w:pPr>
    <w:rPr>
      <w:sz w:val="21"/>
      <w:szCs w:val="20"/>
    </w:rPr>
  </w:style>
  <w:style w:type="paragraph" w:customStyle="1" w:styleId="322">
    <w:name w:val="8"/>
    <w:basedOn w:val="1"/>
    <w:qFormat/>
    <w:uiPriority w:val="0"/>
    <w:pPr>
      <w:spacing w:before="100" w:beforeAutospacing="1" w:after="100" w:afterAutospacing="1" w:line="432" w:lineRule="auto"/>
    </w:pPr>
    <w:rPr>
      <w:rFonts w:ascii="宋体" w:hAnsi="宋体"/>
      <w:szCs w:val="21"/>
    </w:rPr>
  </w:style>
  <w:style w:type="paragraph" w:customStyle="1" w:styleId="323">
    <w:name w:val="xl11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b/>
      <w:bCs/>
      <w:sz w:val="28"/>
      <w:szCs w:val="28"/>
    </w:rPr>
  </w:style>
  <w:style w:type="paragraph" w:customStyle="1" w:styleId="324">
    <w:name w:val="table head"/>
    <w:basedOn w:val="1"/>
    <w:qFormat/>
    <w:uiPriority w:val="0"/>
    <w:pPr>
      <w:keepNext/>
      <w:keepLines/>
      <w:widowControl w:val="0"/>
      <w:adjustRightInd w:val="0"/>
      <w:spacing w:line="312" w:lineRule="atLeast"/>
      <w:jc w:val="center"/>
      <w:textAlignment w:val="baseline"/>
    </w:pPr>
    <w:rPr>
      <w:b/>
      <w:sz w:val="21"/>
      <w:szCs w:val="20"/>
    </w:rPr>
  </w:style>
  <w:style w:type="paragraph" w:customStyle="1" w:styleId="325">
    <w:name w:val="标3"/>
    <w:basedOn w:val="1"/>
    <w:qFormat/>
    <w:uiPriority w:val="0"/>
    <w:pPr>
      <w:widowControl w:val="0"/>
      <w:tabs>
        <w:tab w:val="left" w:pos="1740"/>
      </w:tabs>
      <w:adjustRightInd w:val="0"/>
      <w:snapToGrid w:val="0"/>
      <w:spacing w:before="50"/>
      <w:ind w:left="1740" w:hanging="420"/>
      <w:jc w:val="both"/>
      <w:outlineLvl w:val="2"/>
    </w:pPr>
    <w:rPr>
      <w:rFonts w:ascii="Arial Narrow" w:hAnsi="Arial Narrow" w:eastAsia="仿宋_GB2312"/>
      <w:kern w:val="2"/>
      <w:sz w:val="28"/>
      <w:szCs w:val="20"/>
    </w:rPr>
  </w:style>
  <w:style w:type="paragraph" w:customStyle="1" w:styleId="326">
    <w:name w:val="页眉 New New"/>
    <w:basedOn w:val="230"/>
    <w:qFormat/>
    <w:uiPriority w:val="0"/>
    <w:pPr>
      <w:pBdr>
        <w:bottom w:val="single" w:color="auto" w:sz="6" w:space="1"/>
      </w:pBdr>
      <w:tabs>
        <w:tab w:val="center" w:pos="4153"/>
        <w:tab w:val="right" w:pos="8306"/>
      </w:tabs>
      <w:snapToGrid w:val="0"/>
      <w:jc w:val="center"/>
    </w:pPr>
    <w:rPr>
      <w:sz w:val="18"/>
      <w:szCs w:val="18"/>
    </w:rPr>
  </w:style>
  <w:style w:type="paragraph" w:customStyle="1" w:styleId="327">
    <w:name w:val="页眉 New"/>
    <w:basedOn w:val="200"/>
    <w:qFormat/>
    <w:uiPriority w:val="0"/>
    <w:pPr>
      <w:pBdr>
        <w:bottom w:val="single" w:color="auto" w:sz="6" w:space="1"/>
      </w:pBdr>
      <w:tabs>
        <w:tab w:val="center" w:pos="4153"/>
        <w:tab w:val="right" w:pos="8306"/>
      </w:tabs>
      <w:snapToGrid w:val="0"/>
      <w:jc w:val="center"/>
    </w:pPr>
    <w:rPr>
      <w:sz w:val="18"/>
      <w:szCs w:val="18"/>
    </w:rPr>
  </w:style>
  <w:style w:type="paragraph" w:customStyle="1" w:styleId="328">
    <w:name w:val="页眉 New New New New New New New New New New New New New"/>
    <w:basedOn w:val="191"/>
    <w:qFormat/>
    <w:uiPriority w:val="0"/>
    <w:pPr>
      <w:pBdr>
        <w:bottom w:val="single" w:color="auto" w:sz="6" w:space="1"/>
      </w:pBdr>
      <w:tabs>
        <w:tab w:val="center" w:pos="4153"/>
        <w:tab w:val="right" w:pos="8306"/>
      </w:tabs>
      <w:snapToGrid w:val="0"/>
      <w:jc w:val="center"/>
    </w:pPr>
    <w:rPr>
      <w:sz w:val="18"/>
      <w:szCs w:val="18"/>
    </w:rPr>
  </w:style>
  <w:style w:type="paragraph" w:customStyle="1" w:styleId="329">
    <w:name w:val="xl8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rPr>
  </w:style>
  <w:style w:type="paragraph" w:customStyle="1" w:styleId="330">
    <w:name w:val="font8"/>
    <w:basedOn w:val="1"/>
    <w:qFormat/>
    <w:uiPriority w:val="0"/>
    <w:pPr>
      <w:spacing w:before="100" w:beforeAutospacing="1" w:after="100" w:afterAutospacing="1"/>
    </w:pPr>
    <w:rPr>
      <w:color w:val="000000"/>
      <w:sz w:val="22"/>
      <w:szCs w:val="22"/>
    </w:rPr>
  </w:style>
  <w:style w:type="paragraph" w:customStyle="1" w:styleId="331">
    <w:name w:val="Char"/>
    <w:basedOn w:val="1"/>
    <w:qFormat/>
    <w:uiPriority w:val="0"/>
    <w:pPr>
      <w:spacing w:after="160" w:line="240" w:lineRule="exact"/>
    </w:pPr>
    <w:rPr>
      <w:rFonts w:ascii="Tahoma" w:hAnsi="Tahoma"/>
      <w:kern w:val="2"/>
      <w:lang w:eastAsia="en-US"/>
    </w:rPr>
  </w:style>
  <w:style w:type="paragraph" w:customStyle="1" w:styleId="332">
    <w:name w:val="MM Topic 1"/>
    <w:basedOn w:val="6"/>
    <w:qFormat/>
    <w:uiPriority w:val="0"/>
    <w:pPr>
      <w:widowControl w:val="0"/>
      <w:numPr>
        <w:numId w:val="0"/>
      </w:numPr>
      <w:tabs>
        <w:tab w:val="clear" w:pos="425"/>
      </w:tabs>
      <w:spacing w:line="576" w:lineRule="auto"/>
    </w:pPr>
    <w:rPr>
      <w:rFonts w:ascii="Times New Roman" w:hAnsi="Times New Roman"/>
      <w:bCs w:val="0"/>
      <w:sz w:val="44"/>
      <w:szCs w:val="20"/>
    </w:rPr>
  </w:style>
  <w:style w:type="paragraph" w:customStyle="1" w:styleId="333">
    <w:name w:val="Char3"/>
    <w:basedOn w:val="1"/>
    <w:next w:val="1"/>
    <w:qFormat/>
    <w:uiPriority w:val="0"/>
    <w:pPr>
      <w:widowControl w:val="0"/>
      <w:spacing w:line="240" w:lineRule="atLeast"/>
      <w:ind w:left="420" w:firstLine="420"/>
    </w:pPr>
    <w:rPr>
      <w:kern w:val="2"/>
      <w:szCs w:val="20"/>
    </w:rPr>
  </w:style>
  <w:style w:type="paragraph" w:customStyle="1" w:styleId="334">
    <w:name w:val="页脚 New New New New New New New New New New New New"/>
    <w:basedOn w:val="231"/>
    <w:qFormat/>
    <w:uiPriority w:val="0"/>
    <w:pPr>
      <w:tabs>
        <w:tab w:val="center" w:pos="4153"/>
        <w:tab w:val="right" w:pos="8306"/>
      </w:tabs>
      <w:snapToGrid w:val="0"/>
      <w:jc w:val="left"/>
    </w:pPr>
    <w:rPr>
      <w:sz w:val="18"/>
      <w:szCs w:val="18"/>
    </w:rPr>
  </w:style>
  <w:style w:type="paragraph" w:customStyle="1" w:styleId="335">
    <w:name w:val="gb_master正文"/>
    <w:basedOn w:val="1"/>
    <w:qFormat/>
    <w:uiPriority w:val="0"/>
    <w:pPr>
      <w:widowControl w:val="0"/>
      <w:ind w:firstLine="200" w:firstLineChars="200"/>
      <w:jc w:val="both"/>
    </w:pPr>
    <w:rPr>
      <w:kern w:val="2"/>
      <w:sz w:val="21"/>
    </w:rPr>
  </w:style>
  <w:style w:type="paragraph" w:customStyle="1" w:styleId="336">
    <w:name w:val="标题 4[858D7CFB-ED40-4347-BF05-701D383B685F][858D7CFB-ED40-4347-BF05-701D383B685F]"/>
    <w:basedOn w:val="1"/>
    <w:qFormat/>
    <w:uiPriority w:val="0"/>
    <w:pPr>
      <w:numPr>
        <w:ilvl w:val="3"/>
        <w:numId w:val="1"/>
      </w:numPr>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93</Pages>
  <Words>10802</Words>
  <Characters>61572</Characters>
  <Lines>513</Lines>
  <Paragraphs>144</Paragraphs>
  <TotalTime>61</TotalTime>
  <ScaleCrop>false</ScaleCrop>
  <LinksUpToDate>false</LinksUpToDate>
  <CharactersWithSpaces>72230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2019-05-28T09:39:00Z</dcterms:created>
  <dc:creator>ffxp</dc:creator>
  <cp:lastModifiedBy>刘进</cp:lastModifiedBy>
  <cp:lastPrinted>2020-04-14T01:50:00Z</cp:lastPrinted>
  <dcterms:modified xsi:type="dcterms:W3CDTF">2020-09-18T05:27:35Z</dcterms:modified>
  <dc:title>成都市猪肉质量安全溯源信息系统专用称重设备采购项目竞争性谈判公告</dc:title>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