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hAnsi="宋体" w:cs="宋体"/>
          <w:b/>
          <w:bCs/>
          <w:color w:val="000000"/>
          <w:kern w:val="0"/>
          <w:sz w:val="44"/>
          <w:szCs w:val="44"/>
          <w:lang w:val="zh-CN"/>
        </w:rPr>
      </w:pPr>
      <w:bookmarkStart w:id="98" w:name="_GoBack"/>
      <w:bookmarkEnd w:id="98"/>
    </w:p>
    <w:p>
      <w:pPr>
        <w:autoSpaceDE w:val="0"/>
        <w:autoSpaceDN w:val="0"/>
        <w:adjustRightInd w:val="0"/>
        <w:spacing w:line="360" w:lineRule="auto"/>
        <w:ind w:left="3759" w:leftChars="186" w:hanging="3313" w:hangingChars="750"/>
        <w:jc w:val="left"/>
        <w:rPr>
          <w:rFonts w:ascii="黑体" w:hAnsi="黑体" w:eastAsia="黑体" w:cs="宋体"/>
          <w:b/>
          <w:bCs/>
          <w:color w:val="000000"/>
          <w:kern w:val="0"/>
          <w:sz w:val="44"/>
          <w:szCs w:val="44"/>
          <w:lang w:val="zh-CN"/>
        </w:rPr>
      </w:pPr>
      <w:r>
        <w:rPr>
          <w:rFonts w:hint="eastAsia" w:ascii="黑体" w:hAnsi="黑体" w:eastAsia="黑体" w:cs="宋体"/>
          <w:b/>
          <w:bCs/>
          <w:color w:val="000000"/>
          <w:kern w:val="0"/>
          <w:sz w:val="44"/>
          <w:szCs w:val="44"/>
          <w:lang w:val="zh-CN"/>
        </w:rPr>
        <w:t>互助县教育局关于</w:t>
      </w:r>
      <w:r>
        <w:rPr>
          <w:rFonts w:hint="eastAsia" w:ascii="黑体" w:hAnsi="黑体" w:eastAsia="黑体" w:cs="宋体"/>
          <w:b/>
          <w:bCs/>
          <w:color w:val="000000"/>
          <w:kern w:val="0"/>
          <w:sz w:val="44"/>
          <w:szCs w:val="44"/>
          <w:lang w:val="zh-CN" w:eastAsia="zh-CN"/>
        </w:rPr>
        <w:t>采购</w:t>
      </w:r>
      <w:r>
        <w:rPr>
          <w:rFonts w:hint="eastAsia" w:ascii="黑体" w:hAnsi="黑体" w:eastAsia="黑体" w:cs="宋体"/>
          <w:b/>
          <w:bCs/>
          <w:color w:val="000000"/>
          <w:kern w:val="0"/>
          <w:sz w:val="44"/>
          <w:szCs w:val="44"/>
          <w:lang w:val="zh-CN"/>
        </w:rPr>
        <w:t>职业技术学校教学实训</w:t>
      </w:r>
      <w:r>
        <w:rPr>
          <w:rFonts w:hint="eastAsia" w:ascii="黑体" w:hAnsi="黑体" w:eastAsia="黑体" w:cs="宋体"/>
          <w:b/>
          <w:bCs/>
          <w:color w:val="000000"/>
          <w:kern w:val="0"/>
          <w:sz w:val="44"/>
          <w:szCs w:val="44"/>
          <w:lang w:val="en-US" w:eastAsia="zh-CN"/>
        </w:rPr>
        <w:t xml:space="preserve"> </w:t>
      </w:r>
      <w:r>
        <w:rPr>
          <w:rFonts w:hint="eastAsia" w:ascii="黑体" w:hAnsi="黑体" w:eastAsia="黑体" w:cs="宋体"/>
          <w:b/>
          <w:bCs/>
          <w:color w:val="000000"/>
          <w:kern w:val="0"/>
          <w:sz w:val="44"/>
          <w:szCs w:val="44"/>
          <w:lang w:val="zh-CN"/>
        </w:rPr>
        <w:t>设备的报告</w:t>
      </w:r>
    </w:p>
    <w:p>
      <w:pPr>
        <w:autoSpaceDE w:val="0"/>
        <w:autoSpaceDN w:val="0"/>
        <w:adjustRightInd w:val="0"/>
        <w:spacing w:line="360" w:lineRule="auto"/>
        <w:ind w:left="2429" w:hanging="2429" w:hangingChars="550"/>
        <w:jc w:val="left"/>
        <w:rPr>
          <w:rFonts w:ascii="黑体" w:hAnsi="黑体" w:eastAsia="黑体" w:cs="宋体"/>
          <w:b/>
          <w:bCs/>
          <w:color w:val="000000"/>
          <w:kern w:val="0"/>
          <w:sz w:val="44"/>
          <w:szCs w:val="44"/>
          <w:lang w:val="zh-CN"/>
        </w:rPr>
      </w:pPr>
    </w:p>
    <w:p>
      <w:pPr>
        <w:autoSpaceDE w:val="0"/>
        <w:autoSpaceDN w:val="0"/>
        <w:adjustRightInd w:val="0"/>
        <w:spacing w:line="360" w:lineRule="auto"/>
        <w:jc w:val="center"/>
        <w:rPr>
          <w:rFonts w:hint="eastAsia" w:ascii="黑体" w:hAnsi="黑体" w:eastAsia="宋体" w:cs="宋体"/>
          <w:b/>
          <w:bCs/>
          <w:color w:val="000000"/>
          <w:kern w:val="0"/>
          <w:sz w:val="44"/>
          <w:szCs w:val="44"/>
          <w:lang w:eastAsia="zh-CN"/>
        </w:rPr>
      </w:pPr>
      <w:r>
        <w:rPr>
          <w:rFonts w:hint="eastAsia" w:ascii="宋体" w:hAnsi="宋体" w:cs="宋体"/>
          <w:b/>
          <w:bCs/>
          <w:color w:val="000000"/>
          <w:kern w:val="0"/>
          <w:sz w:val="84"/>
          <w:szCs w:val="84"/>
        </w:rPr>
        <w:t>包</w:t>
      </w:r>
      <w:r>
        <w:rPr>
          <w:rFonts w:hint="eastAsia" w:ascii="宋体" w:hAnsi="宋体" w:cs="宋体"/>
          <w:b/>
          <w:bCs/>
          <w:color w:val="000000"/>
          <w:kern w:val="0"/>
          <w:sz w:val="84"/>
          <w:szCs w:val="84"/>
          <w:lang w:eastAsia="zh-CN"/>
        </w:rPr>
        <w:t>二</w:t>
      </w:r>
    </w:p>
    <w:p>
      <w:pPr>
        <w:autoSpaceDE w:val="0"/>
        <w:autoSpaceDN w:val="0"/>
        <w:adjustRightInd w:val="0"/>
        <w:spacing w:line="360" w:lineRule="auto"/>
        <w:jc w:val="left"/>
        <w:rPr>
          <w:rFonts w:ascii="黑体" w:hAnsi="黑体" w:eastAsia="黑体" w:cs="宋体"/>
          <w:b/>
          <w:bCs/>
          <w:color w:val="000000"/>
          <w:kern w:val="0"/>
          <w:sz w:val="44"/>
          <w:szCs w:val="44"/>
        </w:rPr>
      </w:pPr>
    </w:p>
    <w:p>
      <w:pPr>
        <w:autoSpaceDE w:val="0"/>
        <w:autoSpaceDN w:val="0"/>
        <w:adjustRightInd w:val="0"/>
        <w:spacing w:line="360" w:lineRule="auto"/>
        <w:jc w:val="center"/>
        <w:rPr>
          <w:rFonts w:ascii="宋体" w:hAnsi="宋体" w:cs="宋体"/>
          <w:b/>
          <w:bCs/>
          <w:color w:val="000000"/>
          <w:kern w:val="0"/>
          <w:sz w:val="84"/>
          <w:szCs w:val="84"/>
        </w:rPr>
      </w:pPr>
      <w:r>
        <w:rPr>
          <w:rFonts w:hint="eastAsia" w:ascii="宋体" w:hAnsi="宋体" w:cs="宋体"/>
          <w:b/>
          <w:bCs/>
          <w:color w:val="000000"/>
          <w:kern w:val="0"/>
          <w:sz w:val="84"/>
          <w:szCs w:val="84"/>
          <w:lang w:val="zh-CN"/>
        </w:rPr>
        <w:t>公开招标文件</w:t>
      </w:r>
    </w:p>
    <w:p>
      <w:pPr>
        <w:autoSpaceDE w:val="0"/>
        <w:autoSpaceDN w:val="0"/>
        <w:adjustRightInd w:val="0"/>
        <w:spacing w:line="360" w:lineRule="auto"/>
        <w:jc w:val="left"/>
        <w:rPr>
          <w:rFonts w:ascii="宋体" w:hAnsi="宋体" w:cs="宋体"/>
          <w:color w:val="000000"/>
          <w:kern w:val="0"/>
          <w:sz w:val="36"/>
          <w:szCs w:val="36"/>
          <w:u w:val="dotDash"/>
        </w:rPr>
      </w:pPr>
    </w:p>
    <w:p>
      <w:pPr>
        <w:autoSpaceDE w:val="0"/>
        <w:autoSpaceDN w:val="0"/>
        <w:adjustRightInd w:val="0"/>
        <w:spacing w:line="360" w:lineRule="auto"/>
        <w:jc w:val="left"/>
        <w:rPr>
          <w:rFonts w:ascii="宋体" w:hAnsi="宋体" w:cs="宋体"/>
          <w:color w:val="000000"/>
          <w:kern w:val="0"/>
          <w:sz w:val="36"/>
          <w:szCs w:val="36"/>
          <w:u w:val="dotDash"/>
        </w:rPr>
      </w:pPr>
    </w:p>
    <w:p>
      <w:pPr>
        <w:autoSpaceDE w:val="0"/>
        <w:autoSpaceDN w:val="0"/>
        <w:adjustRightInd w:val="0"/>
        <w:spacing w:line="360" w:lineRule="auto"/>
        <w:jc w:val="left"/>
        <w:rPr>
          <w:rFonts w:ascii="宋体" w:hAnsi="宋体" w:cs="宋体"/>
          <w:b/>
          <w:bCs/>
          <w:color w:val="000000"/>
          <w:kern w:val="0"/>
          <w:sz w:val="32"/>
          <w:szCs w:val="32"/>
        </w:rPr>
      </w:pPr>
      <w:r>
        <w:rPr>
          <w:rFonts w:hint="eastAsia" w:ascii="宋体" w:hAnsi="宋体" w:cs="宋体"/>
          <w:b/>
          <w:bCs/>
          <w:color w:val="000000"/>
          <w:kern w:val="0"/>
          <w:sz w:val="32"/>
          <w:szCs w:val="32"/>
          <w:lang w:val="zh-CN"/>
        </w:rPr>
        <w:t>采购项目编号：凌辉建设公招(货物)2019-010</w:t>
      </w:r>
    </w:p>
    <w:p>
      <w:pPr>
        <w:autoSpaceDE w:val="0"/>
        <w:autoSpaceDN w:val="0"/>
        <w:adjustRightInd w:val="0"/>
        <w:spacing w:line="360" w:lineRule="auto"/>
        <w:jc w:val="left"/>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采购项目名称：互助县教育局关于职业技术学校教学实训设备的采购报告</w:t>
      </w:r>
    </w:p>
    <w:p>
      <w:pPr>
        <w:autoSpaceDE w:val="0"/>
        <w:autoSpaceDN w:val="0"/>
        <w:adjustRightInd w:val="0"/>
        <w:spacing w:line="360" w:lineRule="auto"/>
        <w:jc w:val="left"/>
        <w:rPr>
          <w:rFonts w:ascii="宋体" w:hAnsi="宋体" w:cs="宋体"/>
          <w:b/>
          <w:bCs/>
          <w:color w:val="000000"/>
          <w:kern w:val="0"/>
          <w:sz w:val="32"/>
          <w:szCs w:val="32"/>
        </w:rPr>
      </w:pPr>
      <w:r>
        <w:rPr>
          <w:rFonts w:hint="eastAsia" w:ascii="宋体" w:hAnsi="宋体" w:cs="宋体"/>
          <w:b/>
          <w:bCs/>
          <w:color w:val="000000"/>
          <w:kern w:val="0"/>
          <w:sz w:val="32"/>
          <w:szCs w:val="32"/>
          <w:lang w:val="zh-CN"/>
        </w:rPr>
        <w:t>采购人：互助县职业技术学校</w:t>
      </w:r>
    </w:p>
    <w:p>
      <w:pPr>
        <w:autoSpaceDE w:val="0"/>
        <w:autoSpaceDN w:val="0"/>
        <w:adjustRightInd w:val="0"/>
        <w:spacing w:line="360" w:lineRule="auto"/>
        <w:rPr>
          <w:rFonts w:ascii="宋体" w:hAnsi="宋体" w:cs="宋体"/>
          <w:b/>
          <w:bCs/>
          <w:color w:val="000000"/>
          <w:kern w:val="0"/>
          <w:sz w:val="32"/>
          <w:szCs w:val="32"/>
          <w:u w:val="single"/>
          <w:lang w:val="zh-CN"/>
        </w:rPr>
      </w:pPr>
      <w:r>
        <w:rPr>
          <w:rFonts w:hint="eastAsia" w:ascii="宋体" w:hAnsi="宋体" w:cs="宋体"/>
          <w:b/>
          <w:bCs/>
          <w:color w:val="000000"/>
          <w:kern w:val="0"/>
          <w:sz w:val="32"/>
          <w:szCs w:val="32"/>
          <w:lang w:val="zh-CN"/>
        </w:rPr>
        <w:t>采购代理机构：凌辉建设工程咨询有限公司</w:t>
      </w:r>
    </w:p>
    <w:p>
      <w:pPr>
        <w:autoSpaceDE w:val="0"/>
        <w:autoSpaceDN w:val="0"/>
        <w:adjustRightInd w:val="0"/>
        <w:spacing w:line="360" w:lineRule="auto"/>
        <w:jc w:val="center"/>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2019年</w:t>
      </w:r>
      <w:r>
        <w:rPr>
          <w:rFonts w:hint="eastAsia" w:ascii="宋体" w:hAnsi="宋体" w:cs="宋体"/>
          <w:b/>
          <w:bCs/>
          <w:color w:val="000000"/>
          <w:kern w:val="0"/>
          <w:sz w:val="32"/>
          <w:szCs w:val="32"/>
        </w:rPr>
        <w:t>1</w:t>
      </w:r>
      <w:r>
        <w:rPr>
          <w:rFonts w:hint="eastAsia" w:ascii="宋体" w:hAnsi="宋体" w:cs="宋体"/>
          <w:b/>
          <w:bCs/>
          <w:color w:val="000000"/>
          <w:kern w:val="0"/>
          <w:sz w:val="32"/>
          <w:szCs w:val="32"/>
          <w:lang w:val="en-US" w:eastAsia="zh-CN"/>
        </w:rPr>
        <w:t>1</w:t>
      </w:r>
      <w:r>
        <w:rPr>
          <w:rFonts w:hint="eastAsia" w:ascii="宋体" w:hAnsi="宋体" w:cs="宋体"/>
          <w:b/>
          <w:bCs/>
          <w:color w:val="000000"/>
          <w:kern w:val="0"/>
          <w:sz w:val="32"/>
          <w:szCs w:val="32"/>
          <w:lang w:val="zh-CN"/>
        </w:rPr>
        <w:t>月</w:t>
      </w:r>
    </w:p>
    <w:p>
      <w:pPr>
        <w:autoSpaceDE w:val="0"/>
        <w:autoSpaceDN w:val="0"/>
        <w:adjustRightInd w:val="0"/>
        <w:spacing w:line="360" w:lineRule="auto"/>
        <w:rPr>
          <w:rFonts w:ascii="宋体" w:hAnsi="宋体" w:cs="宋体"/>
          <w:color w:val="000000"/>
          <w:kern w:val="0"/>
          <w:sz w:val="36"/>
          <w:szCs w:val="36"/>
        </w:rPr>
      </w:pPr>
    </w:p>
    <w:p>
      <w:pPr>
        <w:adjustRightInd w:val="0"/>
        <w:spacing w:line="360" w:lineRule="auto"/>
        <w:ind w:firstLine="3614" w:firstLineChars="900"/>
        <w:textAlignment w:val="baseline"/>
        <w:rPr>
          <w:rFonts w:ascii="宋体" w:hAnsi="宋体" w:cs="宋体"/>
          <w:b/>
          <w:color w:val="000000"/>
          <w:sz w:val="40"/>
          <w:szCs w:val="30"/>
        </w:rPr>
      </w:pPr>
      <w:r>
        <w:rPr>
          <w:rFonts w:hint="eastAsia" w:ascii="宋体" w:hAnsi="宋体" w:cs="宋体"/>
          <w:b/>
          <w:color w:val="000000"/>
          <w:sz w:val="40"/>
          <w:szCs w:val="30"/>
        </w:rPr>
        <w:t>目  录</w:t>
      </w:r>
    </w:p>
    <w:p>
      <w:pPr>
        <w:pStyle w:val="13"/>
        <w:tabs>
          <w:tab w:val="right" w:leader="dot" w:pos="9355"/>
        </w:tabs>
      </w:pPr>
      <w:r>
        <w:rPr>
          <w:rFonts w:hint="eastAsia" w:ascii="宋体" w:hAnsi="宋体" w:cs="宋体"/>
          <w:b w:val="0"/>
          <w:bCs w:val="0"/>
          <w:color w:val="000000"/>
          <w:kern w:val="0"/>
          <w:szCs w:val="24"/>
        </w:rPr>
        <w:fldChar w:fldCharType="begin"/>
      </w:r>
      <w:r>
        <w:rPr>
          <w:rStyle w:val="28"/>
          <w:rFonts w:hint="eastAsia" w:ascii="宋体" w:hAnsi="宋体" w:cs="宋体"/>
          <w:b w:val="0"/>
          <w:bCs w:val="0"/>
          <w:kern w:val="0"/>
          <w:szCs w:val="24"/>
        </w:rPr>
        <w:instrText xml:space="preserve"> TOC \o "3-3" \h \z \t "标题 1,2,标题 2,3,标题,1" </w:instrText>
      </w:r>
      <w:r>
        <w:rPr>
          <w:rFonts w:hint="eastAsia" w:ascii="宋体" w:hAnsi="宋体" w:cs="宋体"/>
          <w:b w:val="0"/>
          <w:bCs w:val="0"/>
          <w:color w:val="000000"/>
          <w:kern w:val="0"/>
          <w:szCs w:val="24"/>
        </w:rPr>
        <w:fldChar w:fldCharType="separate"/>
      </w:r>
      <w:r>
        <w:rPr>
          <w:rFonts w:hint="eastAsia" w:ascii="宋体" w:hAnsi="宋体" w:cs="宋体"/>
          <w:bCs w:val="0"/>
          <w:color w:val="000000"/>
          <w:kern w:val="0"/>
          <w:szCs w:val="24"/>
        </w:rPr>
        <w:fldChar w:fldCharType="begin"/>
      </w:r>
      <w:r>
        <w:rPr>
          <w:rFonts w:hint="eastAsia" w:ascii="宋体" w:hAnsi="宋体" w:cs="宋体"/>
          <w:bCs w:val="0"/>
          <w:kern w:val="0"/>
          <w:szCs w:val="24"/>
        </w:rPr>
        <w:instrText xml:space="preserve"> HYPERLINK \l _Toc4276 </w:instrText>
      </w:r>
      <w:r>
        <w:rPr>
          <w:rFonts w:hint="eastAsia" w:ascii="宋体" w:hAnsi="宋体" w:cs="宋体"/>
          <w:bCs w:val="0"/>
          <w:kern w:val="0"/>
          <w:szCs w:val="24"/>
        </w:rPr>
        <w:fldChar w:fldCharType="separate"/>
      </w:r>
      <w:r>
        <w:rPr>
          <w:rFonts w:hint="eastAsia" w:ascii="宋体" w:hAnsi="宋体" w:cs="宋体"/>
        </w:rPr>
        <w:t>第一部分 投标邀请</w:t>
      </w:r>
      <w:r>
        <w:tab/>
      </w:r>
      <w:r>
        <w:fldChar w:fldCharType="begin"/>
      </w:r>
      <w:r>
        <w:instrText xml:space="preserve"> PAGEREF _Toc4276 </w:instrText>
      </w:r>
      <w:r>
        <w:fldChar w:fldCharType="separate"/>
      </w:r>
      <w:r>
        <w:t>5</w:t>
      </w:r>
      <w:r>
        <w:fldChar w:fldCharType="end"/>
      </w:r>
      <w:r>
        <w:rPr>
          <w:rFonts w:hint="eastAsia" w:ascii="宋体" w:hAnsi="宋体" w:cs="宋体"/>
          <w:bCs w:val="0"/>
          <w:color w:val="000000"/>
          <w:kern w:val="0"/>
          <w:szCs w:val="24"/>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_Toc25506 </w:instrText>
      </w:r>
      <w:r>
        <w:rPr>
          <w:rFonts w:hint="eastAsia" w:ascii="宋体" w:hAnsi="宋体" w:cs="宋体"/>
        </w:rPr>
        <w:fldChar w:fldCharType="separate"/>
      </w:r>
      <w:r>
        <w:rPr>
          <w:rFonts w:hint="eastAsia" w:ascii="宋体" w:hAnsi="宋体" w:cs="宋体"/>
          <w:szCs w:val="36"/>
          <w:lang w:val="zh-CN"/>
        </w:rPr>
        <w:t>第二部分  投标人须知</w:t>
      </w:r>
      <w:r>
        <w:tab/>
      </w:r>
      <w:r>
        <w:fldChar w:fldCharType="begin"/>
      </w:r>
      <w:r>
        <w:instrText xml:space="preserve"> PAGEREF _Toc25506 </w:instrText>
      </w:r>
      <w:r>
        <w:fldChar w:fldCharType="separate"/>
      </w:r>
      <w:r>
        <w:t>7</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_Toc28279 </w:instrText>
      </w:r>
      <w:r>
        <w:rPr>
          <w:rFonts w:hint="eastAsia" w:ascii="宋体" w:hAnsi="宋体" w:cs="宋体"/>
        </w:rPr>
        <w:fldChar w:fldCharType="separate"/>
      </w:r>
      <w:r>
        <w:rPr>
          <w:rFonts w:hint="eastAsia" w:ascii="宋体" w:hAnsi="宋体" w:cs="宋体"/>
          <w:lang w:val="zh-CN"/>
        </w:rPr>
        <w:t>一、说明</w:t>
      </w:r>
      <w:r>
        <w:tab/>
      </w:r>
      <w:r>
        <w:fldChar w:fldCharType="begin"/>
      </w:r>
      <w:r>
        <w:instrText xml:space="preserve"> PAGEREF _Toc28279 </w:instrText>
      </w:r>
      <w:r>
        <w:fldChar w:fldCharType="separate"/>
      </w:r>
      <w:r>
        <w:t>7</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_Toc32523 </w:instrText>
      </w:r>
      <w:r>
        <w:rPr>
          <w:rFonts w:hint="eastAsia" w:ascii="宋体" w:hAnsi="宋体" w:cs="宋体"/>
        </w:rPr>
        <w:fldChar w:fldCharType="separate"/>
      </w:r>
      <w:r>
        <w:rPr>
          <w:rFonts w:hint="eastAsia" w:ascii="宋体" w:hAnsi="宋体" w:cs="宋体"/>
          <w:szCs w:val="28"/>
          <w:lang w:val="zh-CN"/>
        </w:rPr>
        <w:t>1.适用范围</w:t>
      </w:r>
      <w:r>
        <w:tab/>
      </w:r>
      <w:r>
        <w:fldChar w:fldCharType="begin"/>
      </w:r>
      <w:r>
        <w:instrText xml:space="preserve"> PAGEREF _Toc32523 </w:instrText>
      </w:r>
      <w:r>
        <w:fldChar w:fldCharType="separate"/>
      </w:r>
      <w:r>
        <w:t>7</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_Toc17984 </w:instrText>
      </w:r>
      <w:r>
        <w:rPr>
          <w:rFonts w:hint="eastAsia" w:ascii="宋体" w:hAnsi="宋体" w:cs="宋体"/>
        </w:rPr>
        <w:fldChar w:fldCharType="separate"/>
      </w:r>
      <w:r>
        <w:rPr>
          <w:rFonts w:hint="eastAsia" w:ascii="宋体" w:hAnsi="宋体" w:cs="宋体"/>
          <w:szCs w:val="28"/>
          <w:lang w:val="zh-CN"/>
        </w:rPr>
        <w:t>2.采购方式、合格的投标人</w:t>
      </w:r>
      <w:r>
        <w:tab/>
      </w:r>
      <w:r>
        <w:fldChar w:fldCharType="begin"/>
      </w:r>
      <w:r>
        <w:instrText xml:space="preserve"> PAGEREF _Toc17984 </w:instrText>
      </w:r>
      <w:r>
        <w:fldChar w:fldCharType="separate"/>
      </w:r>
      <w:r>
        <w:t>7</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_Toc27660 </w:instrText>
      </w:r>
      <w:r>
        <w:rPr>
          <w:rFonts w:hint="eastAsia" w:ascii="宋体" w:hAnsi="宋体" w:cs="宋体"/>
        </w:rPr>
        <w:fldChar w:fldCharType="separate"/>
      </w:r>
      <w:r>
        <w:rPr>
          <w:rFonts w:hint="eastAsia" w:ascii="宋体" w:hAnsi="宋体" w:cs="宋体"/>
          <w:szCs w:val="28"/>
          <w:lang w:val="zh-CN"/>
        </w:rPr>
        <w:t>3.投标费用</w:t>
      </w:r>
      <w:r>
        <w:tab/>
      </w:r>
      <w:r>
        <w:fldChar w:fldCharType="begin"/>
      </w:r>
      <w:r>
        <w:instrText xml:space="preserve"> PAGEREF _Toc27660 </w:instrText>
      </w:r>
      <w:r>
        <w:fldChar w:fldCharType="separate"/>
      </w:r>
      <w:r>
        <w:t>7</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_Toc28460 </w:instrText>
      </w:r>
      <w:r>
        <w:rPr>
          <w:rFonts w:hint="eastAsia" w:ascii="宋体" w:hAnsi="宋体" w:cs="宋体"/>
        </w:rPr>
        <w:fldChar w:fldCharType="separate"/>
      </w:r>
      <w:r>
        <w:rPr>
          <w:rFonts w:hint="eastAsia" w:ascii="宋体" w:hAnsi="宋体" w:cs="宋体"/>
          <w:lang w:val="zh-CN"/>
        </w:rPr>
        <w:t>二、招标文件说明</w:t>
      </w:r>
      <w:r>
        <w:tab/>
      </w:r>
      <w:r>
        <w:fldChar w:fldCharType="begin"/>
      </w:r>
      <w:r>
        <w:instrText xml:space="preserve"> PAGEREF _Toc28460 </w:instrText>
      </w:r>
      <w:r>
        <w:fldChar w:fldCharType="separate"/>
      </w:r>
      <w:r>
        <w:t>7</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_Toc5765 </w:instrText>
      </w:r>
      <w:r>
        <w:rPr>
          <w:rFonts w:hint="eastAsia" w:ascii="宋体" w:hAnsi="宋体" w:cs="宋体"/>
        </w:rPr>
        <w:fldChar w:fldCharType="separate"/>
      </w:r>
      <w:r>
        <w:rPr>
          <w:rFonts w:hint="eastAsia" w:ascii="宋体" w:hAnsi="宋体" w:cs="宋体"/>
          <w:szCs w:val="28"/>
          <w:lang w:val="zh-CN"/>
        </w:rPr>
        <w:t>4.招标文件的构成</w:t>
      </w:r>
      <w:r>
        <w:tab/>
      </w:r>
      <w:r>
        <w:fldChar w:fldCharType="begin"/>
      </w:r>
      <w:r>
        <w:instrText xml:space="preserve"> PAGEREF _Toc5765 </w:instrText>
      </w:r>
      <w:r>
        <w:fldChar w:fldCharType="separate"/>
      </w:r>
      <w:r>
        <w:t>7</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_Toc15550 </w:instrText>
      </w:r>
      <w:r>
        <w:rPr>
          <w:rFonts w:hint="eastAsia" w:ascii="宋体" w:hAnsi="宋体" w:cs="宋体"/>
        </w:rPr>
        <w:fldChar w:fldCharType="separate"/>
      </w:r>
      <w:r>
        <w:rPr>
          <w:rFonts w:hint="eastAsia" w:ascii="宋体" w:hAnsi="宋体" w:cs="宋体"/>
          <w:szCs w:val="28"/>
          <w:lang w:val="zh-CN"/>
        </w:rPr>
        <w:t>5.招标文件、采购活动和中标结果的质疑</w:t>
      </w:r>
      <w:r>
        <w:tab/>
      </w:r>
      <w:r>
        <w:fldChar w:fldCharType="begin"/>
      </w:r>
      <w:r>
        <w:instrText xml:space="preserve"> PAGEREF _Toc15550 </w:instrText>
      </w:r>
      <w:r>
        <w:fldChar w:fldCharType="separate"/>
      </w:r>
      <w:r>
        <w:t>7</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_Toc10740 </w:instrText>
      </w:r>
      <w:r>
        <w:rPr>
          <w:rFonts w:hint="eastAsia" w:ascii="宋体" w:hAnsi="宋体" w:cs="宋体"/>
        </w:rPr>
        <w:fldChar w:fldCharType="separate"/>
      </w:r>
      <w:r>
        <w:rPr>
          <w:rFonts w:hint="eastAsia" w:ascii="宋体" w:hAnsi="宋体" w:cs="宋体"/>
          <w:szCs w:val="28"/>
          <w:lang w:val="zh-CN"/>
        </w:rPr>
        <w:t>6.招标文件的澄清或修改</w:t>
      </w:r>
      <w:r>
        <w:tab/>
      </w:r>
      <w:r>
        <w:fldChar w:fldCharType="begin"/>
      </w:r>
      <w:r>
        <w:instrText xml:space="preserve"> PAGEREF _Toc10740 </w:instrText>
      </w:r>
      <w:r>
        <w:fldChar w:fldCharType="separate"/>
      </w:r>
      <w:r>
        <w:t>8</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_Toc25763 </w:instrText>
      </w:r>
      <w:r>
        <w:rPr>
          <w:rFonts w:hint="eastAsia" w:ascii="宋体" w:hAnsi="宋体" w:cs="宋体"/>
        </w:rPr>
        <w:fldChar w:fldCharType="separate"/>
      </w:r>
      <w:r>
        <w:rPr>
          <w:rFonts w:hint="eastAsia" w:ascii="宋体" w:hAnsi="宋体" w:cs="宋体"/>
          <w:lang w:val="zh-CN"/>
        </w:rPr>
        <w:t>三、投标文件的编制</w:t>
      </w:r>
      <w:r>
        <w:tab/>
      </w:r>
      <w:r>
        <w:fldChar w:fldCharType="begin"/>
      </w:r>
      <w:r>
        <w:instrText xml:space="preserve"> PAGEREF _Toc25763 </w:instrText>
      </w:r>
      <w:r>
        <w:fldChar w:fldCharType="separate"/>
      </w:r>
      <w:r>
        <w:t>8</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_Toc2003 </w:instrText>
      </w:r>
      <w:r>
        <w:rPr>
          <w:rFonts w:hint="eastAsia" w:ascii="宋体" w:hAnsi="宋体" w:cs="宋体"/>
        </w:rPr>
        <w:fldChar w:fldCharType="separate"/>
      </w:r>
      <w:r>
        <w:rPr>
          <w:rFonts w:hint="eastAsia" w:ascii="宋体" w:hAnsi="宋体" w:cs="宋体"/>
          <w:szCs w:val="28"/>
          <w:lang w:val="zh-CN"/>
        </w:rPr>
        <w:t>7.投标文件的语言及度量衡单位</w:t>
      </w:r>
      <w:r>
        <w:tab/>
      </w:r>
      <w:r>
        <w:fldChar w:fldCharType="begin"/>
      </w:r>
      <w:r>
        <w:instrText xml:space="preserve"> PAGEREF _Toc2003 </w:instrText>
      </w:r>
      <w:r>
        <w:fldChar w:fldCharType="separate"/>
      </w:r>
      <w:r>
        <w:t>8</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_Toc22010 </w:instrText>
      </w:r>
      <w:r>
        <w:rPr>
          <w:rFonts w:hint="eastAsia" w:ascii="宋体" w:hAnsi="宋体" w:cs="宋体"/>
        </w:rPr>
        <w:fldChar w:fldCharType="separate"/>
      </w:r>
      <w:r>
        <w:rPr>
          <w:rFonts w:hint="eastAsia" w:ascii="宋体" w:hAnsi="宋体" w:cs="宋体"/>
          <w:szCs w:val="28"/>
          <w:lang w:val="zh-CN"/>
        </w:rPr>
        <w:t>8.投标报价及币种</w:t>
      </w:r>
      <w:r>
        <w:tab/>
      </w:r>
      <w:r>
        <w:fldChar w:fldCharType="begin"/>
      </w:r>
      <w:r>
        <w:instrText xml:space="preserve"> PAGEREF _Toc22010 </w:instrText>
      </w:r>
      <w:r>
        <w:fldChar w:fldCharType="separate"/>
      </w:r>
      <w:r>
        <w:t>8</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_Toc28689 </w:instrText>
      </w:r>
      <w:r>
        <w:rPr>
          <w:rFonts w:hint="eastAsia" w:ascii="宋体" w:hAnsi="宋体" w:cs="宋体"/>
        </w:rPr>
        <w:fldChar w:fldCharType="separate"/>
      </w:r>
      <w:r>
        <w:rPr>
          <w:rFonts w:hint="eastAsia" w:ascii="宋体" w:hAnsi="宋体" w:cs="宋体"/>
          <w:szCs w:val="28"/>
          <w:lang w:val="zh-CN"/>
        </w:rPr>
        <w:t>9.投标保证金</w:t>
      </w:r>
      <w:r>
        <w:tab/>
      </w:r>
      <w:r>
        <w:fldChar w:fldCharType="begin"/>
      </w:r>
      <w:r>
        <w:instrText xml:space="preserve"> PAGEREF _Toc28689 </w:instrText>
      </w:r>
      <w:r>
        <w:fldChar w:fldCharType="separate"/>
      </w:r>
      <w:r>
        <w:t>9</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_Toc20763 </w:instrText>
      </w:r>
      <w:r>
        <w:rPr>
          <w:rFonts w:hint="eastAsia" w:ascii="宋体" w:hAnsi="宋体" w:cs="宋体"/>
        </w:rPr>
        <w:fldChar w:fldCharType="separate"/>
      </w:r>
      <w:r>
        <w:rPr>
          <w:rFonts w:hint="eastAsia" w:ascii="宋体" w:hAnsi="宋体" w:cs="宋体"/>
          <w:szCs w:val="28"/>
          <w:lang w:val="zh-CN"/>
        </w:rPr>
        <w:t>10.投标有效期</w:t>
      </w:r>
      <w:r>
        <w:tab/>
      </w:r>
      <w:r>
        <w:fldChar w:fldCharType="begin"/>
      </w:r>
      <w:r>
        <w:instrText xml:space="preserve"> PAGEREF _Toc20763 </w:instrText>
      </w:r>
      <w:r>
        <w:fldChar w:fldCharType="separate"/>
      </w:r>
      <w:r>
        <w:t>9</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_Toc10556 </w:instrText>
      </w:r>
      <w:r>
        <w:rPr>
          <w:rFonts w:hint="eastAsia" w:ascii="宋体" w:hAnsi="宋体" w:cs="宋体"/>
        </w:rPr>
        <w:fldChar w:fldCharType="separate"/>
      </w:r>
      <w:r>
        <w:rPr>
          <w:rFonts w:hint="eastAsia" w:ascii="宋体" w:hAnsi="宋体" w:cs="宋体"/>
          <w:szCs w:val="28"/>
          <w:lang w:val="zh-CN"/>
        </w:rPr>
        <w:t>11.投标文件构成</w:t>
      </w:r>
      <w:r>
        <w:tab/>
      </w:r>
      <w:r>
        <w:fldChar w:fldCharType="begin"/>
      </w:r>
      <w:r>
        <w:instrText xml:space="preserve"> PAGEREF _Toc10556 </w:instrText>
      </w:r>
      <w:r>
        <w:fldChar w:fldCharType="separate"/>
      </w:r>
      <w:r>
        <w:t>10</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_Toc21389 </w:instrText>
      </w:r>
      <w:r>
        <w:rPr>
          <w:rFonts w:hint="eastAsia" w:ascii="宋体" w:hAnsi="宋体" w:cs="宋体"/>
        </w:rPr>
        <w:fldChar w:fldCharType="separate"/>
      </w:r>
      <w:r>
        <w:rPr>
          <w:rFonts w:hint="eastAsia" w:ascii="宋体" w:hAnsi="宋体" w:cs="宋体"/>
          <w:szCs w:val="28"/>
          <w:lang w:val="zh-CN"/>
        </w:rPr>
        <w:t>12.投标文件的编制要求</w:t>
      </w:r>
      <w:r>
        <w:tab/>
      </w:r>
      <w:r>
        <w:fldChar w:fldCharType="begin"/>
      </w:r>
      <w:r>
        <w:instrText xml:space="preserve"> PAGEREF _Toc21389 </w:instrText>
      </w:r>
      <w:r>
        <w:fldChar w:fldCharType="separate"/>
      </w:r>
      <w:r>
        <w:t>10</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_Toc3884 </w:instrText>
      </w:r>
      <w:r>
        <w:rPr>
          <w:rFonts w:hint="eastAsia" w:ascii="宋体" w:hAnsi="宋体" w:cs="宋体"/>
        </w:rPr>
        <w:fldChar w:fldCharType="separate"/>
      </w:r>
      <w:r>
        <w:rPr>
          <w:rFonts w:hint="eastAsia" w:ascii="宋体" w:hAnsi="宋体" w:cs="宋体"/>
          <w:lang w:val="zh-CN"/>
        </w:rPr>
        <w:t>四、投标文件的提交</w:t>
      </w:r>
      <w:r>
        <w:tab/>
      </w:r>
      <w:r>
        <w:fldChar w:fldCharType="begin"/>
      </w:r>
      <w:r>
        <w:instrText xml:space="preserve"> PAGEREF _Toc3884 </w:instrText>
      </w:r>
      <w:r>
        <w:fldChar w:fldCharType="separate"/>
      </w:r>
      <w:r>
        <w:t>11</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_Toc29834 </w:instrText>
      </w:r>
      <w:r>
        <w:rPr>
          <w:rFonts w:hint="eastAsia" w:ascii="宋体" w:hAnsi="宋体" w:cs="宋体"/>
        </w:rPr>
        <w:fldChar w:fldCharType="separate"/>
      </w:r>
      <w:r>
        <w:rPr>
          <w:rFonts w:hint="eastAsia" w:ascii="宋体" w:hAnsi="宋体" w:cs="宋体"/>
          <w:szCs w:val="28"/>
          <w:lang w:val="zh-CN"/>
        </w:rPr>
        <w:t>13.投标文件的密封和标记</w:t>
      </w:r>
      <w:r>
        <w:tab/>
      </w:r>
      <w:r>
        <w:fldChar w:fldCharType="begin"/>
      </w:r>
      <w:r>
        <w:instrText xml:space="preserve"> PAGEREF _Toc29834 </w:instrText>
      </w:r>
      <w:r>
        <w:fldChar w:fldCharType="separate"/>
      </w:r>
      <w:r>
        <w:t>11</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_Toc25579 </w:instrText>
      </w:r>
      <w:r>
        <w:rPr>
          <w:rFonts w:hint="eastAsia" w:ascii="宋体" w:hAnsi="宋体" w:cs="宋体"/>
        </w:rPr>
        <w:fldChar w:fldCharType="separate"/>
      </w:r>
      <w:r>
        <w:rPr>
          <w:rFonts w:hint="eastAsia" w:ascii="宋体" w:hAnsi="宋体" w:cs="宋体"/>
          <w:szCs w:val="28"/>
          <w:lang w:val="zh-CN"/>
        </w:rPr>
        <w:t>14.提交投标文件的时间、地点、方式</w:t>
      </w:r>
      <w:r>
        <w:tab/>
      </w:r>
      <w:r>
        <w:fldChar w:fldCharType="begin"/>
      </w:r>
      <w:r>
        <w:instrText xml:space="preserve"> PAGEREF _Toc25579 </w:instrText>
      </w:r>
      <w:r>
        <w:fldChar w:fldCharType="separate"/>
      </w:r>
      <w:r>
        <w:t>11</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_Toc16071 </w:instrText>
      </w:r>
      <w:r>
        <w:rPr>
          <w:rFonts w:hint="eastAsia" w:ascii="宋体" w:hAnsi="宋体" w:cs="宋体"/>
        </w:rPr>
        <w:fldChar w:fldCharType="separate"/>
      </w:r>
      <w:r>
        <w:rPr>
          <w:rFonts w:hint="eastAsia" w:ascii="宋体" w:hAnsi="宋体" w:cs="宋体"/>
          <w:szCs w:val="28"/>
          <w:lang w:val="zh-CN"/>
        </w:rPr>
        <w:t>15.投标文件的补充、修改或者撤回</w:t>
      </w:r>
      <w:r>
        <w:tab/>
      </w:r>
      <w:r>
        <w:fldChar w:fldCharType="begin"/>
      </w:r>
      <w:r>
        <w:instrText xml:space="preserve"> PAGEREF _Toc16071 </w:instrText>
      </w:r>
      <w:r>
        <w:fldChar w:fldCharType="separate"/>
      </w:r>
      <w:r>
        <w:t>11</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_Toc23784 </w:instrText>
      </w:r>
      <w:r>
        <w:rPr>
          <w:rFonts w:hint="eastAsia" w:ascii="宋体" w:hAnsi="宋体" w:cs="宋体"/>
        </w:rPr>
        <w:fldChar w:fldCharType="separate"/>
      </w:r>
      <w:r>
        <w:rPr>
          <w:rFonts w:hint="eastAsia" w:ascii="宋体" w:hAnsi="宋体" w:cs="宋体"/>
          <w:lang w:val="zh-CN"/>
        </w:rPr>
        <w:t>五、开标</w:t>
      </w:r>
      <w:r>
        <w:tab/>
      </w:r>
      <w:r>
        <w:fldChar w:fldCharType="begin"/>
      </w:r>
      <w:r>
        <w:instrText xml:space="preserve"> PAGEREF _Toc23784 </w:instrText>
      </w:r>
      <w:r>
        <w:fldChar w:fldCharType="separate"/>
      </w:r>
      <w:r>
        <w:t>12</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_Toc14682 </w:instrText>
      </w:r>
      <w:r>
        <w:rPr>
          <w:rFonts w:hint="eastAsia" w:ascii="宋体" w:hAnsi="宋体" w:cs="宋体"/>
        </w:rPr>
        <w:fldChar w:fldCharType="separate"/>
      </w:r>
      <w:r>
        <w:rPr>
          <w:rFonts w:hint="eastAsia" w:ascii="宋体" w:hAnsi="宋体" w:cs="宋体"/>
          <w:szCs w:val="28"/>
          <w:lang w:val="zh-CN"/>
        </w:rPr>
        <w:t>16.开标</w:t>
      </w:r>
      <w:r>
        <w:tab/>
      </w:r>
      <w:r>
        <w:fldChar w:fldCharType="begin"/>
      </w:r>
      <w:r>
        <w:instrText xml:space="preserve"> PAGEREF _Toc14682 </w:instrText>
      </w:r>
      <w:r>
        <w:fldChar w:fldCharType="separate"/>
      </w:r>
      <w:r>
        <w:t>12</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_Toc30392 </w:instrText>
      </w:r>
      <w:r>
        <w:rPr>
          <w:rFonts w:hint="eastAsia" w:ascii="宋体" w:hAnsi="宋体" w:cs="宋体"/>
        </w:rPr>
        <w:fldChar w:fldCharType="separate"/>
      </w:r>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r>
        <w:tab/>
      </w:r>
      <w:r>
        <w:fldChar w:fldCharType="begin"/>
      </w:r>
      <w:r>
        <w:instrText xml:space="preserve"> PAGEREF _Toc30392 </w:instrText>
      </w:r>
      <w:r>
        <w:fldChar w:fldCharType="separate"/>
      </w:r>
      <w:r>
        <w:t>12</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_Toc8435 </w:instrText>
      </w:r>
      <w:r>
        <w:rPr>
          <w:rFonts w:hint="eastAsia" w:ascii="宋体" w:hAnsi="宋体" w:cs="宋体"/>
        </w:rPr>
        <w:fldChar w:fldCharType="separate"/>
      </w:r>
      <w:r>
        <w:rPr>
          <w:rFonts w:hint="eastAsia" w:ascii="宋体" w:hAnsi="宋体" w:cs="宋体"/>
          <w:szCs w:val="28"/>
        </w:rPr>
        <w:t>17.资格审查</w:t>
      </w:r>
      <w:r>
        <w:tab/>
      </w:r>
      <w:r>
        <w:fldChar w:fldCharType="begin"/>
      </w:r>
      <w:r>
        <w:instrText xml:space="preserve"> PAGEREF _Toc8435 </w:instrText>
      </w:r>
      <w:r>
        <w:fldChar w:fldCharType="separate"/>
      </w:r>
      <w:r>
        <w:t>12</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_Toc11252 </w:instrText>
      </w:r>
      <w:r>
        <w:rPr>
          <w:rFonts w:hint="eastAsia" w:ascii="宋体" w:hAnsi="宋体" w:cs="宋体"/>
        </w:rPr>
        <w:fldChar w:fldCharType="separate"/>
      </w:r>
      <w:r>
        <w:rPr>
          <w:rFonts w:hint="eastAsia" w:ascii="宋体" w:hAnsi="宋体" w:cs="宋体"/>
          <w:lang w:val="zh-CN"/>
        </w:rPr>
        <w:t>七、评审程序及方法</w:t>
      </w:r>
      <w:r>
        <w:tab/>
      </w:r>
      <w:r>
        <w:fldChar w:fldCharType="begin"/>
      </w:r>
      <w:r>
        <w:instrText xml:space="preserve"> PAGEREF _Toc11252 </w:instrText>
      </w:r>
      <w:r>
        <w:fldChar w:fldCharType="separate"/>
      </w:r>
      <w:r>
        <w:t>13</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_Toc7111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8</w:t>
      </w:r>
      <w:r>
        <w:rPr>
          <w:rFonts w:hint="eastAsia" w:ascii="宋体" w:hAnsi="宋体" w:cs="宋体"/>
          <w:szCs w:val="28"/>
          <w:lang w:val="zh-CN"/>
        </w:rPr>
        <w:t>.评标委员会</w:t>
      </w:r>
      <w:r>
        <w:tab/>
      </w:r>
      <w:r>
        <w:fldChar w:fldCharType="begin"/>
      </w:r>
      <w:r>
        <w:instrText xml:space="preserve"> PAGEREF _Toc7111 </w:instrText>
      </w:r>
      <w:r>
        <w:fldChar w:fldCharType="separate"/>
      </w:r>
      <w:r>
        <w:t>13</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_Toc20473 </w:instrText>
      </w:r>
      <w:r>
        <w:rPr>
          <w:rFonts w:hint="eastAsia" w:ascii="宋体" w:hAnsi="宋体" w:cs="宋体"/>
        </w:rPr>
        <w:fldChar w:fldCharType="separate"/>
      </w:r>
      <w:r>
        <w:rPr>
          <w:rFonts w:hint="eastAsia" w:ascii="宋体" w:hAnsi="宋体" w:cs="宋体"/>
          <w:szCs w:val="28"/>
        </w:rPr>
        <w:t>19</w:t>
      </w:r>
      <w:r>
        <w:rPr>
          <w:rFonts w:hint="eastAsia" w:ascii="宋体" w:hAnsi="宋体" w:cs="宋体"/>
          <w:szCs w:val="28"/>
          <w:lang w:val="zh-CN"/>
        </w:rPr>
        <w:t>.评审工作程序</w:t>
      </w:r>
      <w:r>
        <w:tab/>
      </w:r>
      <w:r>
        <w:fldChar w:fldCharType="begin"/>
      </w:r>
      <w:r>
        <w:instrText xml:space="preserve"> PAGEREF _Toc20473 </w:instrText>
      </w:r>
      <w:r>
        <w:fldChar w:fldCharType="separate"/>
      </w:r>
      <w:r>
        <w:t>15</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_Toc17881 </w:instrText>
      </w:r>
      <w:r>
        <w:rPr>
          <w:rFonts w:hint="eastAsia" w:ascii="宋体" w:hAnsi="宋体" w:cs="宋体"/>
        </w:rPr>
        <w:fldChar w:fldCharType="separate"/>
      </w:r>
      <w:r>
        <w:rPr>
          <w:rFonts w:hint="eastAsia" w:ascii="宋体" w:hAnsi="宋体" w:cs="宋体"/>
          <w:szCs w:val="28"/>
        </w:rPr>
        <w:t>20</w:t>
      </w:r>
      <w:r>
        <w:rPr>
          <w:rFonts w:hint="eastAsia" w:ascii="宋体" w:hAnsi="宋体" w:cs="宋体"/>
          <w:szCs w:val="28"/>
          <w:lang w:val="zh-CN"/>
        </w:rPr>
        <w:t>.评审方法和标准</w:t>
      </w:r>
      <w:r>
        <w:tab/>
      </w:r>
      <w:r>
        <w:fldChar w:fldCharType="begin"/>
      </w:r>
      <w:r>
        <w:instrText xml:space="preserve"> PAGEREF _Toc17881 </w:instrText>
      </w:r>
      <w:r>
        <w:fldChar w:fldCharType="separate"/>
      </w:r>
      <w:r>
        <w:t>17</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_Toc5253 </w:instrText>
      </w:r>
      <w:r>
        <w:rPr>
          <w:rFonts w:hint="eastAsia" w:ascii="宋体" w:hAnsi="宋体" w:cs="宋体"/>
        </w:rPr>
        <w:fldChar w:fldCharType="separate"/>
      </w:r>
      <w:r>
        <w:rPr>
          <w:rFonts w:hint="eastAsia" w:ascii="宋体" w:hAnsi="宋体" w:cs="宋体"/>
          <w:lang w:val="zh-CN"/>
        </w:rPr>
        <w:t>八、中标</w:t>
      </w:r>
      <w:r>
        <w:tab/>
      </w:r>
      <w:r>
        <w:fldChar w:fldCharType="begin"/>
      </w:r>
      <w:r>
        <w:instrText xml:space="preserve"> PAGEREF _Toc5253 </w:instrText>
      </w:r>
      <w:r>
        <w:fldChar w:fldCharType="separate"/>
      </w:r>
      <w:r>
        <w:t>19</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_Toc8328 </w:instrText>
      </w:r>
      <w:r>
        <w:rPr>
          <w:rFonts w:hint="eastAsia" w:ascii="宋体" w:hAnsi="宋体" w:cs="宋体"/>
        </w:rPr>
        <w:fldChar w:fldCharType="separate"/>
      </w:r>
      <w:r>
        <w:rPr>
          <w:rFonts w:hint="eastAsia" w:ascii="宋体" w:hAnsi="宋体" w:cs="宋体"/>
          <w:szCs w:val="28"/>
          <w:lang w:val="zh-CN"/>
        </w:rPr>
        <w:t>2</w:t>
      </w:r>
      <w:r>
        <w:rPr>
          <w:rFonts w:hint="eastAsia" w:ascii="宋体" w:hAnsi="宋体" w:cs="宋体"/>
          <w:szCs w:val="28"/>
        </w:rPr>
        <w:t>1</w:t>
      </w:r>
      <w:r>
        <w:rPr>
          <w:rFonts w:hint="eastAsia" w:ascii="宋体" w:hAnsi="宋体" w:cs="宋体"/>
          <w:szCs w:val="28"/>
          <w:lang w:val="zh-CN"/>
        </w:rPr>
        <w:t>.推荐并确定中标人</w:t>
      </w:r>
      <w:r>
        <w:tab/>
      </w:r>
      <w:r>
        <w:fldChar w:fldCharType="begin"/>
      </w:r>
      <w:r>
        <w:instrText xml:space="preserve"> PAGEREF _Toc8328 </w:instrText>
      </w:r>
      <w:r>
        <w:fldChar w:fldCharType="separate"/>
      </w:r>
      <w:r>
        <w:t>19</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_Toc14746 </w:instrText>
      </w:r>
      <w:r>
        <w:rPr>
          <w:rFonts w:hint="eastAsia" w:ascii="宋体" w:hAnsi="宋体" w:cs="宋体"/>
        </w:rPr>
        <w:fldChar w:fldCharType="separate"/>
      </w:r>
      <w:r>
        <w:rPr>
          <w:rFonts w:hint="eastAsia" w:ascii="宋体" w:hAnsi="宋体" w:cs="宋体"/>
          <w:szCs w:val="28"/>
          <w:lang w:val="zh-CN"/>
        </w:rPr>
        <w:t>2</w:t>
      </w:r>
      <w:r>
        <w:rPr>
          <w:rFonts w:hint="eastAsia" w:ascii="宋体" w:hAnsi="宋体" w:cs="宋体"/>
          <w:szCs w:val="28"/>
        </w:rPr>
        <w:t>2</w:t>
      </w:r>
      <w:r>
        <w:rPr>
          <w:rFonts w:hint="eastAsia" w:ascii="宋体" w:hAnsi="宋体" w:cs="宋体"/>
          <w:szCs w:val="28"/>
          <w:lang w:val="zh-CN"/>
        </w:rPr>
        <w:t>.中标通知</w:t>
      </w:r>
      <w:r>
        <w:tab/>
      </w:r>
      <w:r>
        <w:fldChar w:fldCharType="begin"/>
      </w:r>
      <w:r>
        <w:instrText xml:space="preserve"> PAGEREF _Toc14746 </w:instrText>
      </w:r>
      <w:r>
        <w:fldChar w:fldCharType="separate"/>
      </w:r>
      <w:r>
        <w:t>20</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_Toc1927 </w:instrText>
      </w:r>
      <w:r>
        <w:rPr>
          <w:rFonts w:hint="eastAsia" w:ascii="宋体" w:hAnsi="宋体" w:cs="宋体"/>
        </w:rPr>
        <w:fldChar w:fldCharType="separate"/>
      </w:r>
      <w:r>
        <w:rPr>
          <w:rFonts w:hint="eastAsia" w:ascii="宋体" w:hAnsi="宋体" w:cs="宋体"/>
          <w:lang w:val="zh-CN"/>
        </w:rPr>
        <w:t>九、授予合同</w:t>
      </w:r>
      <w:r>
        <w:tab/>
      </w:r>
      <w:r>
        <w:fldChar w:fldCharType="begin"/>
      </w:r>
      <w:r>
        <w:instrText xml:space="preserve"> PAGEREF _Toc1927 </w:instrText>
      </w:r>
      <w:r>
        <w:fldChar w:fldCharType="separate"/>
      </w:r>
      <w:r>
        <w:t>20</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_Toc8452 </w:instrText>
      </w:r>
      <w:r>
        <w:rPr>
          <w:rFonts w:hint="eastAsia" w:ascii="宋体" w:hAnsi="宋体" w:cs="宋体"/>
        </w:rPr>
        <w:fldChar w:fldCharType="separate"/>
      </w:r>
      <w:r>
        <w:rPr>
          <w:rFonts w:hint="eastAsia" w:ascii="宋体" w:hAnsi="宋体" w:cs="宋体"/>
          <w:szCs w:val="28"/>
          <w:lang w:val="zh-CN"/>
        </w:rPr>
        <w:t>2</w:t>
      </w:r>
      <w:r>
        <w:rPr>
          <w:rFonts w:hint="eastAsia" w:ascii="宋体" w:hAnsi="宋体" w:cs="宋体"/>
          <w:szCs w:val="28"/>
        </w:rPr>
        <w:t>3</w:t>
      </w:r>
      <w:r>
        <w:rPr>
          <w:rFonts w:hint="eastAsia" w:ascii="宋体" w:hAnsi="宋体" w:cs="宋体"/>
          <w:szCs w:val="28"/>
          <w:lang w:val="zh-CN"/>
        </w:rPr>
        <w:t>.签订合同</w:t>
      </w:r>
      <w:r>
        <w:tab/>
      </w:r>
      <w:r>
        <w:fldChar w:fldCharType="begin"/>
      </w:r>
      <w:r>
        <w:instrText xml:space="preserve"> PAGEREF _Toc8452 </w:instrText>
      </w:r>
      <w:r>
        <w:fldChar w:fldCharType="separate"/>
      </w:r>
      <w:r>
        <w:t>20</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_Toc7857 </w:instrText>
      </w:r>
      <w:r>
        <w:rPr>
          <w:rFonts w:hint="eastAsia" w:ascii="宋体" w:hAnsi="宋体" w:cs="宋体"/>
        </w:rPr>
        <w:fldChar w:fldCharType="separate"/>
      </w:r>
      <w:r>
        <w:rPr>
          <w:rFonts w:hint="eastAsia" w:ascii="宋体" w:hAnsi="宋体" w:cs="宋体"/>
          <w:lang w:val="zh-CN"/>
        </w:rPr>
        <w:t>十、其他</w:t>
      </w:r>
      <w:r>
        <w:tab/>
      </w:r>
      <w:r>
        <w:fldChar w:fldCharType="begin"/>
      </w:r>
      <w:r>
        <w:instrText xml:space="preserve"> PAGEREF _Toc7857 </w:instrText>
      </w:r>
      <w:r>
        <w:fldChar w:fldCharType="separate"/>
      </w:r>
      <w:r>
        <w:t>21</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_Toc2928 </w:instrText>
      </w:r>
      <w:r>
        <w:rPr>
          <w:rFonts w:hint="eastAsia" w:ascii="宋体" w:hAnsi="宋体" w:cs="宋体"/>
        </w:rPr>
        <w:fldChar w:fldCharType="separate"/>
      </w:r>
      <w:r>
        <w:rPr>
          <w:rFonts w:hint="eastAsia" w:ascii="宋体" w:hAnsi="宋体" w:cs="宋体"/>
          <w:szCs w:val="28"/>
        </w:rPr>
        <w:t>2</w:t>
      </w:r>
      <w:r>
        <w:rPr>
          <w:rFonts w:ascii="宋体" w:hAnsi="宋体" w:cs="宋体"/>
          <w:szCs w:val="28"/>
        </w:rPr>
        <w:t>4</w:t>
      </w:r>
      <w:r>
        <w:rPr>
          <w:rFonts w:hint="eastAsia" w:ascii="宋体" w:hAnsi="宋体" w:cs="宋体"/>
          <w:szCs w:val="28"/>
        </w:rPr>
        <w:t>. 串通投标的情形</w:t>
      </w:r>
      <w:r>
        <w:tab/>
      </w:r>
      <w:r>
        <w:fldChar w:fldCharType="begin"/>
      </w:r>
      <w:r>
        <w:instrText xml:space="preserve"> PAGEREF _Toc2928 </w:instrText>
      </w:r>
      <w:r>
        <w:fldChar w:fldCharType="separate"/>
      </w:r>
      <w:r>
        <w:t>21</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_Toc1873 </w:instrText>
      </w:r>
      <w:r>
        <w:rPr>
          <w:rFonts w:hint="eastAsia" w:ascii="宋体" w:hAnsi="宋体" w:cs="宋体"/>
        </w:rPr>
        <w:fldChar w:fldCharType="separate"/>
      </w:r>
      <w:r>
        <w:rPr>
          <w:rFonts w:hint="eastAsia" w:ascii="宋体" w:hAnsi="宋体" w:cs="宋体"/>
          <w:szCs w:val="28"/>
        </w:rPr>
        <w:t>2</w:t>
      </w:r>
      <w:r>
        <w:rPr>
          <w:rFonts w:ascii="宋体" w:hAnsi="宋体" w:cs="宋体"/>
          <w:szCs w:val="28"/>
        </w:rPr>
        <w:t>5</w:t>
      </w:r>
      <w:r>
        <w:rPr>
          <w:rFonts w:hint="eastAsia" w:ascii="宋体" w:hAnsi="宋体" w:cs="宋体"/>
          <w:szCs w:val="28"/>
        </w:rPr>
        <w:t>. 废标</w:t>
      </w:r>
      <w:r>
        <w:tab/>
      </w:r>
      <w:r>
        <w:fldChar w:fldCharType="begin"/>
      </w:r>
      <w:r>
        <w:instrText xml:space="preserve"> PAGEREF _Toc1873 </w:instrText>
      </w:r>
      <w:r>
        <w:fldChar w:fldCharType="separate"/>
      </w:r>
      <w:r>
        <w:t>21</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_Toc13059 </w:instrText>
      </w:r>
      <w:r>
        <w:rPr>
          <w:rFonts w:hint="eastAsia" w:ascii="宋体" w:hAnsi="宋体" w:cs="宋体"/>
        </w:rPr>
        <w:fldChar w:fldCharType="separate"/>
      </w:r>
      <w:r>
        <w:rPr>
          <w:rFonts w:hint="eastAsia" w:ascii="宋体" w:hAnsi="宋体" w:cs="宋体"/>
          <w:szCs w:val="28"/>
        </w:rPr>
        <w:t>2</w:t>
      </w:r>
      <w:r>
        <w:rPr>
          <w:rFonts w:ascii="宋体" w:hAnsi="宋体" w:cs="宋体"/>
          <w:szCs w:val="28"/>
        </w:rPr>
        <w:t>6</w:t>
      </w:r>
      <w:r>
        <w:rPr>
          <w:rFonts w:hint="eastAsia" w:ascii="宋体" w:hAnsi="宋体" w:cs="宋体"/>
          <w:szCs w:val="28"/>
        </w:rPr>
        <w:t>. 中标服务费</w:t>
      </w:r>
      <w:r>
        <w:tab/>
      </w:r>
      <w:r>
        <w:fldChar w:fldCharType="begin"/>
      </w:r>
      <w:r>
        <w:instrText xml:space="preserve"> PAGEREF _Toc13059 </w:instrText>
      </w:r>
      <w:r>
        <w:fldChar w:fldCharType="separate"/>
      </w:r>
      <w:r>
        <w:t>22</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_Toc24792 </w:instrText>
      </w:r>
      <w:r>
        <w:rPr>
          <w:rFonts w:hint="eastAsia" w:ascii="宋体" w:hAnsi="宋体" w:cs="宋体"/>
        </w:rPr>
        <w:fldChar w:fldCharType="separate"/>
      </w:r>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青海省政府采购项目合同书范本</w:t>
      </w:r>
      <w:r>
        <w:tab/>
      </w:r>
      <w:r>
        <w:fldChar w:fldCharType="begin"/>
      </w:r>
      <w:r>
        <w:instrText xml:space="preserve"> PAGEREF _Toc24792 </w:instrText>
      </w:r>
      <w:r>
        <w:fldChar w:fldCharType="separate"/>
      </w:r>
      <w:r>
        <w:t>23</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_Toc22474 </w:instrText>
      </w:r>
      <w:r>
        <w:rPr>
          <w:rFonts w:hint="eastAsia" w:ascii="宋体" w:hAnsi="宋体" w:cs="宋体"/>
        </w:rPr>
        <w:fldChar w:fldCharType="separate"/>
      </w:r>
      <w:r>
        <w:rPr>
          <w:rFonts w:hint="eastAsia" w:ascii="宋体" w:hAnsi="宋体" w:cs="宋体"/>
          <w:szCs w:val="36"/>
          <w:lang w:val="zh-CN"/>
        </w:rPr>
        <w:t>第四部分  投标文件格式</w:t>
      </w:r>
      <w:r>
        <w:tab/>
      </w:r>
      <w:r>
        <w:fldChar w:fldCharType="begin"/>
      </w:r>
      <w:r>
        <w:instrText xml:space="preserve"> PAGEREF _Toc22474 </w:instrText>
      </w:r>
      <w:r>
        <w:fldChar w:fldCharType="separate"/>
      </w:r>
      <w:r>
        <w:t>35</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_Toc30743 </w:instrText>
      </w:r>
      <w:r>
        <w:rPr>
          <w:rFonts w:hint="eastAsia" w:ascii="宋体" w:hAnsi="宋体" w:cs="宋体"/>
        </w:rPr>
        <w:fldChar w:fldCharType="separate"/>
      </w:r>
      <w:r>
        <w:rPr>
          <w:rFonts w:hint="eastAsia" w:ascii="宋体" w:hAnsi="宋体" w:cs="宋体"/>
          <w:szCs w:val="30"/>
          <w:lang w:val="zh-CN"/>
        </w:rPr>
        <w:t>封面（上册）</w:t>
      </w:r>
      <w:r>
        <w:tab/>
      </w:r>
      <w:r>
        <w:fldChar w:fldCharType="begin"/>
      </w:r>
      <w:r>
        <w:instrText xml:space="preserve"> PAGEREF _Toc30743 </w:instrText>
      </w:r>
      <w:r>
        <w:fldChar w:fldCharType="separate"/>
      </w:r>
      <w:r>
        <w:t>35</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_Toc13430 </w:instrText>
      </w:r>
      <w:r>
        <w:rPr>
          <w:rFonts w:hint="eastAsia" w:ascii="宋体" w:hAnsi="宋体" w:cs="宋体"/>
        </w:rPr>
        <w:fldChar w:fldCharType="separate"/>
      </w:r>
      <w:r>
        <w:rPr>
          <w:rFonts w:hint="eastAsia" w:ascii="宋体" w:hAnsi="宋体" w:cs="宋体"/>
          <w:szCs w:val="30"/>
          <w:lang w:val="zh-CN"/>
        </w:rPr>
        <w:t>目录（上册）</w:t>
      </w:r>
      <w:r>
        <w:tab/>
      </w:r>
      <w:r>
        <w:fldChar w:fldCharType="begin"/>
      </w:r>
      <w:r>
        <w:instrText xml:space="preserve"> PAGEREF _Toc13430 </w:instrText>
      </w:r>
      <w:r>
        <w:fldChar w:fldCharType="separate"/>
      </w:r>
      <w:r>
        <w:t>36</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_Toc24950 </w:instrText>
      </w:r>
      <w:r>
        <w:rPr>
          <w:rFonts w:hint="eastAsia" w:ascii="宋体" w:hAnsi="宋体" w:cs="宋体"/>
        </w:rPr>
        <w:fldChar w:fldCharType="separate"/>
      </w:r>
      <w:r>
        <w:rPr>
          <w:rFonts w:hint="eastAsia" w:ascii="宋体" w:hAnsi="宋体" w:cs="宋体"/>
          <w:szCs w:val="30"/>
        </w:rPr>
        <w:t>（1）</w:t>
      </w:r>
      <w:r>
        <w:rPr>
          <w:rFonts w:hint="eastAsia" w:ascii="宋体" w:hAnsi="宋体" w:cs="宋体"/>
          <w:szCs w:val="30"/>
          <w:lang w:val="zh-CN"/>
        </w:rPr>
        <w:t>投标函</w:t>
      </w:r>
      <w:r>
        <w:tab/>
      </w:r>
      <w:r>
        <w:fldChar w:fldCharType="begin"/>
      </w:r>
      <w:r>
        <w:instrText xml:space="preserve"> PAGEREF _Toc24950 </w:instrText>
      </w:r>
      <w:r>
        <w:fldChar w:fldCharType="separate"/>
      </w:r>
      <w:r>
        <w:t>37</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_Toc17993 </w:instrText>
      </w:r>
      <w:r>
        <w:rPr>
          <w:rFonts w:hint="eastAsia" w:ascii="宋体" w:hAnsi="宋体" w:cs="宋体"/>
        </w:rPr>
        <w:fldChar w:fldCharType="separate"/>
      </w:r>
      <w:r>
        <w:rPr>
          <w:rFonts w:hint="eastAsia" w:ascii="宋体" w:hAnsi="宋体" w:cs="宋体"/>
          <w:kern w:val="0"/>
          <w:szCs w:val="30"/>
          <w:lang w:val="zh-CN"/>
        </w:rPr>
        <w:t>（</w:t>
      </w:r>
      <w:r>
        <w:rPr>
          <w:rFonts w:hint="eastAsia" w:ascii="宋体" w:hAnsi="宋体" w:cs="宋体"/>
          <w:kern w:val="0"/>
          <w:szCs w:val="30"/>
        </w:rPr>
        <w:t>2</w:t>
      </w:r>
      <w:r>
        <w:rPr>
          <w:rFonts w:hint="eastAsia" w:ascii="宋体" w:hAnsi="宋体" w:cs="宋体"/>
          <w:kern w:val="0"/>
          <w:szCs w:val="30"/>
          <w:lang w:val="zh-CN"/>
        </w:rPr>
        <w:t>）</w:t>
      </w:r>
      <w:r>
        <w:rPr>
          <w:rFonts w:hint="eastAsia" w:ascii="宋体" w:hAnsi="宋体" w:cs="宋体"/>
          <w:szCs w:val="30"/>
        </w:rPr>
        <w:t>法定代表人证明书</w:t>
      </w:r>
      <w:r>
        <w:tab/>
      </w:r>
      <w:r>
        <w:fldChar w:fldCharType="begin"/>
      </w:r>
      <w:r>
        <w:instrText xml:space="preserve"> PAGEREF _Toc17993 </w:instrText>
      </w:r>
      <w:r>
        <w:fldChar w:fldCharType="separate"/>
      </w:r>
      <w:r>
        <w:t>38</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_Toc24006 </w:instrText>
      </w:r>
      <w:r>
        <w:rPr>
          <w:rFonts w:hint="eastAsia" w:ascii="宋体" w:hAnsi="宋体" w:cs="宋体"/>
        </w:rPr>
        <w:fldChar w:fldCharType="separate"/>
      </w:r>
      <w:r>
        <w:rPr>
          <w:rFonts w:hint="eastAsia" w:ascii="宋体" w:hAnsi="宋体" w:cs="宋体"/>
          <w:szCs w:val="30"/>
        </w:rPr>
        <w:t>（3）</w:t>
      </w:r>
      <w:r>
        <w:rPr>
          <w:rFonts w:hint="eastAsia" w:ascii="宋体" w:hAnsi="宋体" w:cs="宋体"/>
          <w:szCs w:val="30"/>
          <w:lang w:val="zh-CN"/>
        </w:rPr>
        <w:t>法定代表人授权书</w:t>
      </w:r>
      <w:r>
        <w:tab/>
      </w:r>
      <w:r>
        <w:fldChar w:fldCharType="begin"/>
      </w:r>
      <w:r>
        <w:instrText xml:space="preserve"> PAGEREF _Toc24006 </w:instrText>
      </w:r>
      <w:r>
        <w:fldChar w:fldCharType="separate"/>
      </w:r>
      <w:r>
        <w:t>39</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_Toc26912 </w:instrText>
      </w:r>
      <w:r>
        <w:rPr>
          <w:rFonts w:hint="eastAsia" w:ascii="宋体" w:hAnsi="宋体" w:cs="宋体"/>
        </w:rPr>
        <w:fldChar w:fldCharType="separate"/>
      </w:r>
      <w:r>
        <w:rPr>
          <w:rFonts w:hint="eastAsia" w:ascii="宋体" w:hAnsi="宋体" w:cs="宋体"/>
          <w:szCs w:val="30"/>
        </w:rPr>
        <w:t>（4）</w:t>
      </w:r>
      <w:r>
        <w:rPr>
          <w:rFonts w:hint="eastAsia" w:ascii="宋体" w:hAnsi="宋体" w:cs="宋体"/>
          <w:szCs w:val="30"/>
          <w:lang w:val="zh-CN"/>
        </w:rPr>
        <w:t>投标人承诺函</w:t>
      </w:r>
      <w:r>
        <w:tab/>
      </w:r>
      <w:r>
        <w:fldChar w:fldCharType="begin"/>
      </w:r>
      <w:r>
        <w:instrText xml:space="preserve"> PAGEREF _Toc26912 </w:instrText>
      </w:r>
      <w:r>
        <w:fldChar w:fldCharType="separate"/>
      </w:r>
      <w:r>
        <w:t>40</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_Toc9873 </w:instrText>
      </w:r>
      <w:r>
        <w:rPr>
          <w:rFonts w:hint="eastAsia" w:ascii="宋体" w:hAnsi="宋体" w:cs="宋体"/>
        </w:rPr>
        <w:fldChar w:fldCharType="separate"/>
      </w:r>
      <w:r>
        <w:rPr>
          <w:rFonts w:hint="eastAsia" w:ascii="宋体" w:hAnsi="宋体" w:cs="宋体"/>
          <w:szCs w:val="30"/>
        </w:rPr>
        <w:t>（5）</w:t>
      </w:r>
      <w:r>
        <w:rPr>
          <w:rFonts w:hint="eastAsia" w:ascii="宋体" w:hAnsi="宋体" w:cs="宋体"/>
          <w:szCs w:val="30"/>
          <w:lang w:val="zh-CN"/>
        </w:rPr>
        <w:t>投标人诚信承诺书</w:t>
      </w:r>
      <w:r>
        <w:tab/>
      </w:r>
      <w:r>
        <w:fldChar w:fldCharType="begin"/>
      </w:r>
      <w:r>
        <w:instrText xml:space="preserve"> PAGEREF _Toc9873 </w:instrText>
      </w:r>
      <w:r>
        <w:fldChar w:fldCharType="separate"/>
      </w:r>
      <w:r>
        <w:t>41</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_Toc4338 </w:instrText>
      </w:r>
      <w:r>
        <w:rPr>
          <w:rFonts w:hint="eastAsia" w:ascii="宋体" w:hAnsi="宋体" w:cs="宋体"/>
        </w:rPr>
        <w:fldChar w:fldCharType="separate"/>
      </w:r>
      <w:r>
        <w:rPr>
          <w:rFonts w:hint="eastAsia" w:ascii="宋体" w:hAnsi="宋体" w:cs="宋体"/>
          <w:szCs w:val="30"/>
        </w:rPr>
        <w:t>（6）</w:t>
      </w:r>
      <w:r>
        <w:rPr>
          <w:rFonts w:hint="eastAsia" w:ascii="宋体" w:hAnsi="宋体" w:cs="宋体"/>
          <w:szCs w:val="30"/>
          <w:lang w:val="zh-CN"/>
        </w:rPr>
        <w:t>资格证明材料</w:t>
      </w:r>
      <w:r>
        <w:tab/>
      </w:r>
      <w:r>
        <w:fldChar w:fldCharType="begin"/>
      </w:r>
      <w:r>
        <w:instrText xml:space="preserve"> PAGEREF _Toc4338 </w:instrText>
      </w:r>
      <w:r>
        <w:fldChar w:fldCharType="separate"/>
      </w:r>
      <w:r>
        <w:t>42</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_Toc26145 </w:instrText>
      </w:r>
      <w:r>
        <w:rPr>
          <w:rFonts w:hint="eastAsia" w:ascii="宋体" w:hAnsi="宋体" w:cs="宋体"/>
        </w:rPr>
        <w:fldChar w:fldCharType="separate"/>
      </w:r>
      <w:r>
        <w:rPr>
          <w:rFonts w:hint="eastAsia" w:ascii="宋体" w:hAnsi="宋体" w:cs="宋体"/>
          <w:szCs w:val="30"/>
        </w:rPr>
        <w:t>（7）</w:t>
      </w:r>
      <w:r>
        <w:rPr>
          <w:rFonts w:hint="eastAsia" w:ascii="宋体" w:hAnsi="宋体" w:cs="宋体"/>
          <w:szCs w:val="30"/>
          <w:lang w:val="zh-CN"/>
        </w:rPr>
        <w:t>财务状况报告，依法缴纳税收和社会保障资金的相关材料</w:t>
      </w:r>
      <w:r>
        <w:tab/>
      </w:r>
      <w:r>
        <w:fldChar w:fldCharType="begin"/>
      </w:r>
      <w:r>
        <w:instrText xml:space="preserve"> PAGEREF _Toc26145 </w:instrText>
      </w:r>
      <w:r>
        <w:fldChar w:fldCharType="separate"/>
      </w:r>
      <w:r>
        <w:t>43</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_Toc29771 </w:instrText>
      </w:r>
      <w:r>
        <w:rPr>
          <w:rFonts w:hint="eastAsia" w:ascii="宋体" w:hAnsi="宋体" w:cs="宋体"/>
        </w:rPr>
        <w:fldChar w:fldCharType="separate"/>
      </w:r>
      <w:r>
        <w:rPr>
          <w:rFonts w:hint="eastAsia" w:ascii="宋体" w:hAnsi="宋体" w:cs="宋体"/>
          <w:szCs w:val="30"/>
        </w:rPr>
        <w:t>（8）</w:t>
      </w:r>
      <w:r>
        <w:rPr>
          <w:rFonts w:hint="eastAsia" w:ascii="宋体" w:hAnsi="宋体" w:cs="宋体"/>
          <w:szCs w:val="30"/>
          <w:lang w:val="zh-CN"/>
        </w:rPr>
        <w:t>具备履行合同所必需的设备和专业技术能力的证明材料</w:t>
      </w:r>
      <w:r>
        <w:tab/>
      </w:r>
      <w:r>
        <w:fldChar w:fldCharType="begin"/>
      </w:r>
      <w:r>
        <w:instrText xml:space="preserve"> PAGEREF _Toc29771 </w:instrText>
      </w:r>
      <w:r>
        <w:fldChar w:fldCharType="separate"/>
      </w:r>
      <w:r>
        <w:t>44</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_Toc152 </w:instrText>
      </w:r>
      <w:r>
        <w:rPr>
          <w:rFonts w:hint="eastAsia" w:ascii="宋体" w:hAnsi="宋体" w:cs="宋体"/>
        </w:rPr>
        <w:fldChar w:fldCharType="separate"/>
      </w:r>
      <w:r>
        <w:rPr>
          <w:rFonts w:hint="eastAsia" w:ascii="宋体" w:hAnsi="宋体" w:cs="宋体"/>
          <w:szCs w:val="30"/>
        </w:rPr>
        <w:t>（9）</w:t>
      </w:r>
      <w:r>
        <w:rPr>
          <w:rFonts w:hint="eastAsia" w:ascii="宋体" w:hAnsi="宋体" w:cs="宋体"/>
          <w:szCs w:val="30"/>
          <w:lang w:val="zh-CN"/>
        </w:rPr>
        <w:t>无重大违法记录声明</w:t>
      </w:r>
      <w:r>
        <w:tab/>
      </w:r>
      <w:r>
        <w:fldChar w:fldCharType="begin"/>
      </w:r>
      <w:r>
        <w:instrText xml:space="preserve"> PAGEREF _Toc152 </w:instrText>
      </w:r>
      <w:r>
        <w:fldChar w:fldCharType="separate"/>
      </w:r>
      <w:r>
        <w:t>45</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_Toc22402 </w:instrText>
      </w:r>
      <w:r>
        <w:rPr>
          <w:rFonts w:hint="eastAsia" w:ascii="宋体" w:hAnsi="宋体" w:cs="宋体"/>
        </w:rPr>
        <w:fldChar w:fldCharType="separate"/>
      </w:r>
      <w:r>
        <w:rPr>
          <w:rFonts w:hint="eastAsia" w:ascii="宋体" w:hAnsi="宋体" w:cs="宋体"/>
          <w:szCs w:val="30"/>
        </w:rPr>
        <w:t>（10）</w:t>
      </w:r>
      <w:r>
        <w:rPr>
          <w:rFonts w:hint="eastAsia" w:ascii="宋体" w:hAnsi="宋体" w:cs="宋体"/>
          <w:szCs w:val="30"/>
          <w:lang w:val="zh-CN"/>
        </w:rPr>
        <w:t>投标保证金证明</w:t>
      </w:r>
      <w:r>
        <w:tab/>
      </w:r>
      <w:r>
        <w:fldChar w:fldCharType="begin"/>
      </w:r>
      <w:r>
        <w:instrText xml:space="preserve"> PAGEREF _Toc22402 </w:instrText>
      </w:r>
      <w:r>
        <w:fldChar w:fldCharType="separate"/>
      </w:r>
      <w:r>
        <w:t>46</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_Toc16066 </w:instrText>
      </w:r>
      <w:r>
        <w:rPr>
          <w:rFonts w:hint="eastAsia" w:ascii="宋体" w:hAnsi="宋体" w:cs="宋体"/>
        </w:rPr>
        <w:fldChar w:fldCharType="separate"/>
      </w:r>
      <w:r>
        <w:rPr>
          <w:rFonts w:hint="eastAsia" w:ascii="宋体" w:hAnsi="宋体" w:cs="宋体"/>
          <w:szCs w:val="30"/>
          <w:lang w:val="zh-CN"/>
        </w:rPr>
        <w:t>目录（下册）</w:t>
      </w:r>
      <w:r>
        <w:tab/>
      </w:r>
      <w:r>
        <w:fldChar w:fldCharType="begin"/>
      </w:r>
      <w:r>
        <w:instrText xml:space="preserve"> PAGEREF _Toc16066 </w:instrText>
      </w:r>
      <w:r>
        <w:fldChar w:fldCharType="separate"/>
      </w:r>
      <w:r>
        <w:t>48</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_Toc26300 </w:instrText>
      </w:r>
      <w:r>
        <w:rPr>
          <w:rFonts w:hint="eastAsia" w:ascii="宋体" w:hAnsi="宋体" w:cs="宋体"/>
        </w:rPr>
        <w:fldChar w:fldCharType="separate"/>
      </w:r>
      <w:r>
        <w:rPr>
          <w:rFonts w:hint="eastAsia" w:ascii="宋体" w:hAnsi="宋体" w:cs="宋体"/>
          <w:szCs w:val="30"/>
        </w:rPr>
        <w:t>（11）</w:t>
      </w:r>
      <w:r>
        <w:rPr>
          <w:rFonts w:hint="eastAsia" w:ascii="宋体" w:hAnsi="宋体" w:cs="宋体"/>
          <w:szCs w:val="30"/>
          <w:lang w:val="zh-CN"/>
        </w:rPr>
        <w:t>评分对照表</w:t>
      </w:r>
      <w:r>
        <w:tab/>
      </w:r>
      <w:r>
        <w:fldChar w:fldCharType="begin"/>
      </w:r>
      <w:r>
        <w:instrText xml:space="preserve"> PAGEREF _Toc26300 </w:instrText>
      </w:r>
      <w:r>
        <w:fldChar w:fldCharType="separate"/>
      </w:r>
      <w:r>
        <w:t>49</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_Toc12431 </w:instrText>
      </w:r>
      <w:r>
        <w:rPr>
          <w:rFonts w:hint="eastAsia" w:ascii="宋体" w:hAnsi="宋体" w:cs="宋体"/>
        </w:rPr>
        <w:fldChar w:fldCharType="separate"/>
      </w:r>
      <w:r>
        <w:rPr>
          <w:rFonts w:hint="eastAsia" w:ascii="宋体" w:hAnsi="宋体" w:cs="宋体"/>
          <w:szCs w:val="30"/>
        </w:rPr>
        <w:t>（12）</w:t>
      </w:r>
      <w:r>
        <w:rPr>
          <w:rFonts w:hint="eastAsia" w:ascii="宋体" w:hAnsi="宋体" w:cs="宋体"/>
          <w:szCs w:val="30"/>
          <w:lang w:val="zh-CN"/>
        </w:rPr>
        <w:t>开标一览表（报价表）</w:t>
      </w:r>
      <w:r>
        <w:tab/>
      </w:r>
      <w:r>
        <w:fldChar w:fldCharType="begin"/>
      </w:r>
      <w:r>
        <w:instrText xml:space="preserve"> PAGEREF _Toc12431 </w:instrText>
      </w:r>
      <w:r>
        <w:fldChar w:fldCharType="separate"/>
      </w:r>
      <w:r>
        <w:t>50</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_Toc15617 </w:instrText>
      </w:r>
      <w:r>
        <w:rPr>
          <w:rFonts w:hint="eastAsia" w:ascii="宋体" w:hAnsi="宋体" w:cs="宋体"/>
        </w:rPr>
        <w:fldChar w:fldCharType="separate"/>
      </w:r>
      <w:r>
        <w:rPr>
          <w:rFonts w:hint="eastAsia" w:ascii="宋体" w:hAnsi="宋体" w:cs="宋体"/>
          <w:szCs w:val="30"/>
        </w:rPr>
        <w:t>（13）</w:t>
      </w:r>
      <w:r>
        <w:rPr>
          <w:rFonts w:hint="eastAsia" w:ascii="宋体" w:hAnsi="宋体" w:cs="宋体"/>
          <w:szCs w:val="30"/>
          <w:lang w:val="zh-CN"/>
        </w:rPr>
        <w:t>分项报价表</w:t>
      </w:r>
      <w:r>
        <w:tab/>
      </w:r>
      <w:r>
        <w:fldChar w:fldCharType="begin"/>
      </w:r>
      <w:r>
        <w:instrText xml:space="preserve"> PAGEREF _Toc15617 </w:instrText>
      </w:r>
      <w:r>
        <w:fldChar w:fldCharType="separate"/>
      </w:r>
      <w:r>
        <w:t>51</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_Toc3163 </w:instrText>
      </w:r>
      <w:r>
        <w:rPr>
          <w:rFonts w:hint="eastAsia" w:ascii="宋体" w:hAnsi="宋体" w:cs="宋体"/>
        </w:rPr>
        <w:fldChar w:fldCharType="separate"/>
      </w:r>
      <w:r>
        <w:rPr>
          <w:rFonts w:hint="eastAsia" w:ascii="宋体" w:hAnsi="宋体" w:cs="宋体"/>
          <w:szCs w:val="30"/>
        </w:rPr>
        <w:t>（14）</w:t>
      </w:r>
      <w:r>
        <w:rPr>
          <w:rFonts w:hint="eastAsia" w:ascii="宋体" w:hAnsi="宋体" w:cs="宋体"/>
          <w:szCs w:val="30"/>
          <w:lang w:val="zh-CN"/>
        </w:rPr>
        <w:t>技术规格响应表</w:t>
      </w:r>
      <w:r>
        <w:tab/>
      </w:r>
      <w:r>
        <w:fldChar w:fldCharType="begin"/>
      </w:r>
      <w:r>
        <w:instrText xml:space="preserve"> PAGEREF _Toc3163 </w:instrText>
      </w:r>
      <w:r>
        <w:fldChar w:fldCharType="separate"/>
      </w:r>
      <w:r>
        <w:t>52</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_Toc26854 </w:instrText>
      </w:r>
      <w:r>
        <w:rPr>
          <w:rFonts w:hint="eastAsia" w:ascii="宋体" w:hAnsi="宋体" w:cs="宋体"/>
        </w:rPr>
        <w:fldChar w:fldCharType="separate"/>
      </w:r>
      <w:r>
        <w:rPr>
          <w:rFonts w:hint="eastAsia" w:ascii="宋体" w:hAnsi="宋体" w:cs="宋体"/>
          <w:szCs w:val="30"/>
        </w:rPr>
        <w:t>（15）</w:t>
      </w:r>
      <w:r>
        <w:rPr>
          <w:rFonts w:hint="eastAsia" w:ascii="宋体" w:hAnsi="宋体" w:cs="宋体"/>
          <w:szCs w:val="30"/>
          <w:lang w:val="zh-CN"/>
        </w:rPr>
        <w:t>投标产品相关资料</w:t>
      </w:r>
      <w:r>
        <w:tab/>
      </w:r>
      <w:r>
        <w:fldChar w:fldCharType="begin"/>
      </w:r>
      <w:r>
        <w:instrText xml:space="preserve"> PAGEREF _Toc26854 </w:instrText>
      </w:r>
      <w:r>
        <w:fldChar w:fldCharType="separate"/>
      </w:r>
      <w:r>
        <w:t>53</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_Toc14699 </w:instrText>
      </w:r>
      <w:r>
        <w:rPr>
          <w:rFonts w:hint="eastAsia" w:ascii="宋体" w:hAnsi="宋体" w:cs="宋体"/>
        </w:rPr>
        <w:fldChar w:fldCharType="separate"/>
      </w:r>
      <w:r>
        <w:rPr>
          <w:rFonts w:hint="eastAsia" w:ascii="宋体" w:hAnsi="宋体" w:cs="宋体"/>
          <w:szCs w:val="30"/>
        </w:rPr>
        <w:t>（16）</w:t>
      </w:r>
      <w:r>
        <w:rPr>
          <w:rFonts w:hint="eastAsia" w:ascii="宋体" w:hAnsi="宋体" w:cs="宋体"/>
          <w:szCs w:val="30"/>
          <w:lang w:val="zh-CN"/>
        </w:rPr>
        <w:t>投标人的类似业绩证明材料</w:t>
      </w:r>
      <w:r>
        <w:tab/>
      </w:r>
      <w:r>
        <w:fldChar w:fldCharType="begin"/>
      </w:r>
      <w:r>
        <w:instrText xml:space="preserve"> PAGEREF _Toc14699 </w:instrText>
      </w:r>
      <w:r>
        <w:fldChar w:fldCharType="separate"/>
      </w:r>
      <w:r>
        <w:t>54</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_Toc922 </w:instrText>
      </w:r>
      <w:r>
        <w:rPr>
          <w:rFonts w:hint="eastAsia" w:ascii="宋体" w:hAnsi="宋体" w:cs="宋体"/>
        </w:rPr>
        <w:fldChar w:fldCharType="separate"/>
      </w:r>
      <w:r>
        <w:rPr>
          <w:rFonts w:hint="eastAsia" w:ascii="宋体" w:hAnsi="宋体" w:cs="宋体"/>
          <w:szCs w:val="30"/>
        </w:rPr>
        <w:t>（17.1）</w:t>
      </w:r>
      <w:r>
        <w:rPr>
          <w:rFonts w:hint="eastAsia" w:ascii="宋体" w:hAnsi="宋体" w:cs="宋体"/>
          <w:szCs w:val="30"/>
          <w:lang w:val="zh-CN"/>
        </w:rPr>
        <w:t>制造（生产）企业小型、微型企业声明函</w:t>
      </w:r>
      <w:r>
        <w:tab/>
      </w:r>
      <w:r>
        <w:fldChar w:fldCharType="begin"/>
      </w:r>
      <w:r>
        <w:instrText xml:space="preserve"> PAGEREF _Toc922 </w:instrText>
      </w:r>
      <w:r>
        <w:fldChar w:fldCharType="separate"/>
      </w:r>
      <w:r>
        <w:t>55</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_Toc26434 </w:instrText>
      </w:r>
      <w:r>
        <w:rPr>
          <w:rFonts w:hint="eastAsia" w:ascii="宋体" w:hAnsi="宋体" w:cs="宋体"/>
        </w:rPr>
        <w:fldChar w:fldCharType="separate"/>
      </w:r>
      <w:r>
        <w:rPr>
          <w:rFonts w:hint="eastAsia" w:ascii="宋体" w:hAnsi="宋体" w:cs="宋体"/>
          <w:szCs w:val="30"/>
        </w:rPr>
        <w:t>（17.2）</w:t>
      </w:r>
      <w:r>
        <w:rPr>
          <w:rFonts w:hint="eastAsia" w:ascii="宋体" w:hAnsi="宋体" w:cs="宋体"/>
          <w:szCs w:val="30"/>
          <w:lang w:val="zh-CN"/>
        </w:rPr>
        <w:t>从业人员声明函</w:t>
      </w:r>
      <w:r>
        <w:tab/>
      </w:r>
      <w:r>
        <w:fldChar w:fldCharType="begin"/>
      </w:r>
      <w:r>
        <w:instrText xml:space="preserve"> PAGEREF _Toc26434 </w:instrText>
      </w:r>
      <w:r>
        <w:fldChar w:fldCharType="separate"/>
      </w:r>
      <w:r>
        <w:t>56</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_Toc21854 </w:instrText>
      </w:r>
      <w:r>
        <w:rPr>
          <w:rFonts w:hint="eastAsia" w:ascii="宋体" w:hAnsi="宋体" w:cs="宋体"/>
        </w:rPr>
        <w:fldChar w:fldCharType="separate"/>
      </w:r>
      <w:r>
        <w:rPr>
          <w:rFonts w:hint="eastAsia" w:ascii="宋体" w:hAnsi="宋体" w:cs="宋体"/>
          <w:bCs w:val="0"/>
          <w:szCs w:val="28"/>
          <w:lang w:val="zh-CN"/>
        </w:rPr>
        <w:t>（</w:t>
      </w:r>
      <w:r>
        <w:rPr>
          <w:rFonts w:hint="eastAsia" w:ascii="宋体" w:hAnsi="宋体" w:cs="宋体"/>
          <w:bCs w:val="0"/>
          <w:szCs w:val="28"/>
        </w:rPr>
        <w:t>18</w:t>
      </w:r>
      <w:r>
        <w:rPr>
          <w:rFonts w:hint="eastAsia" w:ascii="宋体" w:hAnsi="宋体" w:cs="宋体"/>
          <w:bCs w:val="0"/>
          <w:szCs w:val="28"/>
          <w:lang w:val="zh-CN"/>
        </w:rPr>
        <w:t>）</w:t>
      </w:r>
      <w:r>
        <w:rPr>
          <w:rFonts w:hint="eastAsia" w:ascii="宋体" w:hAnsi="宋体" w:cs="宋体"/>
          <w:bCs w:val="0"/>
          <w:szCs w:val="30"/>
          <w:lang w:val="zh-CN"/>
        </w:rPr>
        <w:t>残疾人</w:t>
      </w:r>
      <w:r>
        <w:rPr>
          <w:rFonts w:hint="eastAsia" w:ascii="宋体" w:hAnsi="宋体" w:cs="宋体"/>
          <w:bCs w:val="0"/>
          <w:szCs w:val="28"/>
        </w:rPr>
        <w:t>福利性单位声明函</w:t>
      </w:r>
      <w:r>
        <w:tab/>
      </w:r>
      <w:r>
        <w:fldChar w:fldCharType="begin"/>
      </w:r>
      <w:r>
        <w:instrText xml:space="preserve"> PAGEREF _Toc21854 </w:instrText>
      </w:r>
      <w:r>
        <w:fldChar w:fldCharType="separate"/>
      </w:r>
      <w:r>
        <w:t>57</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_Toc24768 </w:instrText>
      </w:r>
      <w:r>
        <w:rPr>
          <w:rFonts w:hint="eastAsia" w:ascii="宋体" w:hAnsi="宋体" w:cs="宋体"/>
        </w:rPr>
        <w:fldChar w:fldCharType="separate"/>
      </w:r>
      <w:r>
        <w:rPr>
          <w:rFonts w:hint="eastAsia" w:ascii="宋体" w:hAnsi="宋体" w:cs="宋体"/>
          <w:szCs w:val="30"/>
        </w:rPr>
        <w:t>（19）</w:t>
      </w:r>
      <w:r>
        <w:rPr>
          <w:rFonts w:hint="eastAsia" w:ascii="宋体" w:hAnsi="宋体" w:cs="宋体"/>
          <w:szCs w:val="30"/>
          <w:lang w:val="zh-CN"/>
        </w:rPr>
        <w:t>投标人认为在其他方面有必要说明的事项</w:t>
      </w:r>
      <w:r>
        <w:tab/>
      </w:r>
      <w:r>
        <w:fldChar w:fldCharType="begin"/>
      </w:r>
      <w:r>
        <w:instrText xml:space="preserve"> PAGEREF _Toc24768 </w:instrText>
      </w:r>
      <w:r>
        <w:fldChar w:fldCharType="separate"/>
      </w:r>
      <w:r>
        <w:t>58</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_Toc6826 </w:instrText>
      </w:r>
      <w:r>
        <w:rPr>
          <w:rFonts w:hint="eastAsia" w:ascii="宋体" w:hAnsi="宋体" w:cs="宋体"/>
        </w:rPr>
        <w:fldChar w:fldCharType="separate"/>
      </w:r>
      <w:r>
        <w:rPr>
          <w:rFonts w:hint="eastAsia" w:ascii="宋体" w:hAnsi="宋体" w:cs="宋体"/>
          <w:szCs w:val="36"/>
          <w:lang w:val="zh-CN"/>
        </w:rPr>
        <w:t>第五部分</w:t>
      </w:r>
      <w:r>
        <w:tab/>
      </w:r>
      <w:r>
        <w:fldChar w:fldCharType="begin"/>
      </w:r>
      <w:r>
        <w:instrText xml:space="preserve"> PAGEREF _Toc6826 </w:instrText>
      </w:r>
      <w:r>
        <w:fldChar w:fldCharType="separate"/>
      </w:r>
      <w:r>
        <w:t>59</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_Toc301 </w:instrText>
      </w:r>
      <w:r>
        <w:rPr>
          <w:rFonts w:hint="eastAsia" w:ascii="宋体" w:hAnsi="宋体" w:cs="宋体"/>
        </w:rPr>
        <w:fldChar w:fldCharType="separate"/>
      </w:r>
      <w:r>
        <w:rPr>
          <w:rFonts w:hint="eastAsia" w:ascii="宋体" w:hAnsi="宋体" w:cs="宋体"/>
          <w:szCs w:val="36"/>
          <w:lang w:val="zh-CN"/>
        </w:rPr>
        <w:t>包一采购项目要求及技术参数</w:t>
      </w:r>
      <w:r>
        <w:tab/>
      </w:r>
      <w:r>
        <w:fldChar w:fldCharType="begin"/>
      </w:r>
      <w:r>
        <w:instrText xml:space="preserve"> PAGEREF _Toc301 </w:instrText>
      </w:r>
      <w:r>
        <w:fldChar w:fldCharType="separate"/>
      </w:r>
      <w:r>
        <w:t>59</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_Toc22415 </w:instrText>
      </w:r>
      <w:r>
        <w:rPr>
          <w:rFonts w:hint="eastAsia" w:ascii="宋体" w:hAnsi="宋体" w:cs="宋体"/>
        </w:rPr>
        <w:fldChar w:fldCharType="separate"/>
      </w:r>
      <w:r>
        <w:rPr>
          <w:rFonts w:hint="eastAsia" w:ascii="宋体" w:hAnsi="宋体" w:cs="宋体"/>
          <w:lang w:val="zh-CN"/>
        </w:rPr>
        <w:t>（一）投标要求</w:t>
      </w:r>
      <w:r>
        <w:tab/>
      </w:r>
      <w:r>
        <w:fldChar w:fldCharType="begin"/>
      </w:r>
      <w:r>
        <w:instrText xml:space="preserve"> PAGEREF _Toc22415 </w:instrText>
      </w:r>
      <w:r>
        <w:fldChar w:fldCharType="separate"/>
      </w:r>
      <w:r>
        <w:t>59</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_Toc8857 </w:instrText>
      </w:r>
      <w:r>
        <w:rPr>
          <w:rFonts w:hint="eastAsia" w:ascii="宋体" w:hAnsi="宋体" w:cs="宋体"/>
        </w:rPr>
        <w:fldChar w:fldCharType="separate"/>
      </w:r>
      <w:r>
        <w:rPr>
          <w:rFonts w:hint="eastAsia" w:ascii="宋体" w:hAnsi="宋体" w:cs="宋体"/>
          <w:szCs w:val="28"/>
          <w:lang w:val="zh-CN"/>
        </w:rPr>
        <w:t>1.投标说明</w:t>
      </w:r>
      <w:r>
        <w:tab/>
      </w:r>
      <w:r>
        <w:fldChar w:fldCharType="begin"/>
      </w:r>
      <w:r>
        <w:instrText xml:space="preserve"> PAGEREF _Toc8857 </w:instrText>
      </w:r>
      <w:r>
        <w:fldChar w:fldCharType="separate"/>
      </w:r>
      <w:r>
        <w:t>59</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_Toc21271 </w:instrText>
      </w:r>
      <w:r>
        <w:rPr>
          <w:rFonts w:hint="eastAsia" w:ascii="宋体" w:hAnsi="宋体" w:cs="宋体"/>
        </w:rPr>
        <w:fldChar w:fldCharType="separate"/>
      </w:r>
      <w:r>
        <w:rPr>
          <w:rFonts w:hint="eastAsia" w:ascii="宋体" w:hAnsi="宋体" w:cs="宋体"/>
          <w:szCs w:val="28"/>
        </w:rPr>
        <w:t>2.</w:t>
      </w:r>
      <w:r>
        <w:rPr>
          <w:rFonts w:hint="eastAsia" w:ascii="宋体" w:hAnsi="宋体" w:cs="宋体"/>
          <w:szCs w:val="28"/>
          <w:lang w:val="zh-CN"/>
        </w:rPr>
        <w:t>重要指标</w:t>
      </w:r>
      <w:r>
        <w:tab/>
      </w:r>
      <w:r>
        <w:fldChar w:fldCharType="begin"/>
      </w:r>
      <w:r>
        <w:instrText xml:space="preserve"> PAGEREF _Toc21271 </w:instrText>
      </w:r>
      <w:r>
        <w:fldChar w:fldCharType="separate"/>
      </w:r>
      <w:r>
        <w:t>59</w:t>
      </w:r>
      <w:r>
        <w:fldChar w:fldCharType="end"/>
      </w:r>
      <w:r>
        <w:rPr>
          <w:rFonts w:hint="eastAsia" w:ascii="宋体" w:hAnsi="宋体" w:cs="宋体"/>
          <w:color w:val="000000"/>
        </w:rPr>
        <w:fldChar w:fldCharType="end"/>
      </w:r>
    </w:p>
    <w:p>
      <w:pPr>
        <w:pStyle w:val="13"/>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_Toc22586 </w:instrText>
      </w:r>
      <w:r>
        <w:rPr>
          <w:rFonts w:hint="eastAsia" w:ascii="宋体" w:hAnsi="宋体" w:cs="宋体"/>
        </w:rPr>
        <w:fldChar w:fldCharType="separate"/>
      </w:r>
      <w:r>
        <w:rPr>
          <w:rFonts w:hint="eastAsia" w:ascii="宋体" w:hAnsi="宋体" w:cs="宋体"/>
          <w:szCs w:val="28"/>
        </w:rPr>
        <w:t>3</w:t>
      </w:r>
      <w:r>
        <w:rPr>
          <w:rFonts w:hint="eastAsia" w:ascii="宋体" w:hAnsi="宋体" w:cs="宋体"/>
          <w:szCs w:val="28"/>
          <w:lang w:val="zh-CN"/>
        </w:rPr>
        <w:t>.商务要求</w:t>
      </w:r>
      <w:r>
        <w:tab/>
      </w:r>
      <w:r>
        <w:fldChar w:fldCharType="begin"/>
      </w:r>
      <w:r>
        <w:instrText xml:space="preserve"> PAGEREF _Toc22586 </w:instrText>
      </w:r>
      <w:r>
        <w:fldChar w:fldCharType="separate"/>
      </w:r>
      <w:r>
        <w:t>60</w:t>
      </w:r>
      <w:r>
        <w:fldChar w:fldCharType="end"/>
      </w:r>
      <w:r>
        <w:rPr>
          <w:rFonts w:hint="eastAsia" w:ascii="宋体" w:hAnsi="宋体" w:cs="宋体"/>
          <w:color w:val="000000"/>
        </w:rPr>
        <w:fldChar w:fldCharType="end"/>
      </w:r>
    </w:p>
    <w:p>
      <w:pPr>
        <w:spacing w:line="400" w:lineRule="exact"/>
        <w:rPr>
          <w:rFonts w:ascii="宋体" w:hAnsi="宋体" w:cs="宋体"/>
          <w:color w:val="000000"/>
        </w:rPr>
      </w:pPr>
      <w:r>
        <w:rPr>
          <w:rFonts w:hint="eastAsia" w:ascii="宋体" w:hAnsi="宋体" w:cs="宋体"/>
          <w:color w:val="000000"/>
        </w:rPr>
        <w:fldChar w:fldCharType="end"/>
      </w:r>
    </w:p>
    <w:p>
      <w:pPr>
        <w:pStyle w:val="16"/>
        <w:spacing w:before="0" w:after="0" w:line="360" w:lineRule="auto"/>
        <w:rPr>
          <w:rFonts w:ascii="宋体" w:hAnsi="宋体" w:cs="宋体"/>
          <w:color w:val="000000"/>
          <w:szCs w:val="36"/>
        </w:rPr>
      </w:pPr>
      <w:r>
        <w:rPr>
          <w:rFonts w:hint="eastAsia" w:ascii="宋体" w:hAnsi="宋体" w:cs="宋体"/>
          <w:color w:val="000000"/>
        </w:rPr>
        <w:br w:type="page"/>
      </w:r>
      <w:bookmarkStart w:id="0" w:name="_Toc4276"/>
      <w:r>
        <w:rPr>
          <w:rFonts w:hint="eastAsia" w:ascii="宋体" w:hAnsi="宋体" w:cs="宋体"/>
          <w:color w:val="000000"/>
        </w:rPr>
        <w:t>第一部分 投标邀请</w:t>
      </w:r>
      <w:bookmarkEnd w:id="0"/>
    </w:p>
    <w:p>
      <w:pPr>
        <w:autoSpaceDE w:val="0"/>
        <w:autoSpaceDN w:val="0"/>
        <w:adjustRightInd w:val="0"/>
        <w:spacing w:line="360" w:lineRule="auto"/>
        <w:ind w:firstLine="482" w:firstLineChars="200"/>
        <w:jc w:val="left"/>
        <w:rPr>
          <w:rFonts w:ascii="宋体" w:hAnsi="宋体" w:cs="宋体"/>
          <w:b/>
          <w:bCs/>
          <w:color w:val="000000"/>
          <w:kern w:val="0"/>
          <w:u w:val="dashDotHeavy"/>
          <w:lang w:val="zh-CN"/>
        </w:rPr>
      </w:pPr>
      <w:r>
        <w:rPr>
          <w:rFonts w:hint="eastAsia" w:ascii="宋体" w:hAnsi="宋体" w:cs="宋体"/>
          <w:b/>
          <w:bCs/>
          <w:color w:val="000000"/>
          <w:kern w:val="0"/>
          <w:u w:val="dashDotHeavy"/>
          <w:lang w:val="zh-CN"/>
        </w:rPr>
        <w:t>凌辉建设工程咨询有限公司</w:t>
      </w:r>
      <w:r>
        <w:rPr>
          <w:rFonts w:hint="eastAsia" w:ascii="宋体" w:hAnsi="宋体" w:cs="宋体"/>
          <w:color w:val="000000"/>
          <w:kern w:val="0"/>
          <w:lang w:val="zh-CN"/>
        </w:rPr>
        <w:t>（以下均简称“采购代理机构”）受</w:t>
      </w:r>
      <w:r>
        <w:rPr>
          <w:rFonts w:hint="eastAsia" w:ascii="宋体" w:hAnsi="宋体" w:cs="宋体"/>
          <w:b/>
          <w:bCs/>
          <w:color w:val="000000"/>
          <w:kern w:val="0"/>
          <w:u w:val="dashDotHeavy"/>
          <w:lang w:val="zh-CN"/>
        </w:rPr>
        <w:t>互助县职业技术学校</w:t>
      </w:r>
      <w:r>
        <w:rPr>
          <w:rFonts w:hint="eastAsia" w:ascii="宋体" w:hAnsi="宋体" w:cs="宋体"/>
          <w:color w:val="000000"/>
          <w:kern w:val="0"/>
          <w:lang w:val="zh-CN"/>
        </w:rPr>
        <w:t>（以下均简称“采购人”）委托,拟对</w:t>
      </w:r>
      <w:r>
        <w:rPr>
          <w:rFonts w:hint="eastAsia" w:ascii="宋体" w:hAnsi="宋体" w:cs="宋体"/>
          <w:b/>
          <w:bCs/>
          <w:color w:val="000000"/>
          <w:kern w:val="0"/>
          <w:u w:val="dashDotHeavy"/>
          <w:lang w:val="zh-CN"/>
        </w:rPr>
        <w:t>互助县教育局关于职业技术学校教学实训设备的采购报告</w:t>
      </w:r>
      <w:r>
        <w:rPr>
          <w:rFonts w:hint="eastAsia" w:ascii="宋体" w:hAnsi="宋体" w:cs="宋体"/>
          <w:color w:val="000000"/>
          <w:kern w:val="0"/>
          <w:lang w:val="zh-CN"/>
        </w:rPr>
        <w:t>进行国内公开招标，现予以公告，欢迎潜在的投标人参加本次政府采购活动。</w:t>
      </w:r>
    </w:p>
    <w:tbl>
      <w:tblPr>
        <w:tblStyle w:val="17"/>
        <w:tblW w:w="9128" w:type="dxa"/>
        <w:jc w:val="center"/>
        <w:tblLayout w:type="fixed"/>
        <w:tblCellMar>
          <w:top w:w="0" w:type="dxa"/>
          <w:left w:w="108" w:type="dxa"/>
          <w:bottom w:w="0" w:type="dxa"/>
          <w:right w:w="108" w:type="dxa"/>
        </w:tblCellMar>
      </w:tblPr>
      <w:tblGrid>
        <w:gridCol w:w="2400"/>
        <w:gridCol w:w="6728"/>
      </w:tblGrid>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FF0000"/>
                <w:kern w:val="0"/>
              </w:rPr>
            </w:pPr>
            <w:r>
              <w:rPr>
                <w:rFonts w:hint="eastAsia" w:ascii="宋体" w:hAnsi="宋体" w:cs="宋体"/>
                <w:color w:val="000000"/>
                <w:kern w:val="0"/>
                <w:lang w:val="zh-CN"/>
              </w:rPr>
              <w:t>凌辉建设公招(货物)2019-010</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b/>
                <w:bCs/>
                <w:color w:val="000000"/>
                <w:kern w:val="0"/>
                <w:u w:val="dashDotHeavy"/>
                <w:lang w:val="zh-CN"/>
              </w:rPr>
              <w:t>互助县教育局关于职业技术学校教学实训设备的采购报告</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公开招标</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采购预算额度</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en-US" w:eastAsia="zh-CN"/>
              </w:rPr>
              <w:t>316.43</w:t>
            </w:r>
            <w:r>
              <w:rPr>
                <w:rFonts w:hint="eastAsia" w:ascii="宋体" w:hAnsi="宋体" w:cs="宋体"/>
                <w:color w:val="000000"/>
                <w:kern w:val="0"/>
                <w:lang w:val="zh-CN"/>
              </w:rPr>
              <w:t>万元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rPr>
              <w:t>最高限价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b/>
                <w:bCs/>
                <w:color w:val="000000"/>
                <w:kern w:val="0"/>
                <w:u w:val="dashDotHeavy"/>
              </w:rPr>
            </w:pPr>
            <w:r>
              <w:rPr>
                <w:rFonts w:hint="eastAsia" w:ascii="宋体" w:hAnsi="宋体" w:cs="宋体"/>
                <w:b/>
                <w:bCs/>
                <w:color w:val="000000"/>
                <w:kern w:val="0"/>
                <w:u w:val="dashDotHeavy"/>
                <w:lang w:val="zh-CN"/>
              </w:rPr>
              <w:t>包一</w:t>
            </w:r>
            <w:r>
              <w:rPr>
                <w:rFonts w:hint="eastAsia" w:ascii="宋体" w:hAnsi="宋体" w:cs="宋体"/>
                <w:b/>
                <w:bCs/>
                <w:color w:val="000000"/>
                <w:kern w:val="0"/>
                <w:u w:val="dashDotHeavy"/>
              </w:rPr>
              <w:t>：279</w:t>
            </w:r>
            <w:r>
              <w:rPr>
                <w:rFonts w:hint="eastAsia" w:ascii="宋体" w:hAnsi="宋体" w:cs="宋体"/>
                <w:b/>
                <w:bCs/>
                <w:color w:val="000000"/>
                <w:kern w:val="0"/>
                <w:u w:val="dashDotHeavy"/>
                <w:lang w:val="en-US" w:eastAsia="zh-CN"/>
              </w:rPr>
              <w:t>.</w:t>
            </w:r>
            <w:r>
              <w:rPr>
                <w:rFonts w:hint="eastAsia" w:ascii="宋体" w:hAnsi="宋体" w:cs="宋体"/>
                <w:b/>
                <w:bCs/>
                <w:color w:val="000000"/>
                <w:kern w:val="0"/>
                <w:u w:val="dashDotHeavy"/>
              </w:rPr>
              <w:t>8</w:t>
            </w:r>
            <w:r>
              <w:rPr>
                <w:rFonts w:hint="eastAsia" w:ascii="宋体" w:hAnsi="宋体" w:cs="宋体"/>
                <w:b/>
                <w:bCs/>
                <w:color w:val="000000"/>
                <w:kern w:val="0"/>
                <w:u w:val="dashDotHeavy"/>
                <w:lang w:val="en-US" w:eastAsia="zh-CN"/>
              </w:rPr>
              <w:t>0</w:t>
            </w:r>
            <w:r>
              <w:rPr>
                <w:rFonts w:hint="eastAsia" w:ascii="宋体" w:hAnsi="宋体" w:cs="宋体"/>
                <w:b/>
                <w:bCs/>
                <w:color w:val="000000"/>
                <w:kern w:val="0"/>
                <w:u w:val="dashDotHeavy"/>
                <w:lang w:val="zh-CN"/>
              </w:rPr>
              <w:t>万元</w:t>
            </w:r>
          </w:p>
          <w:p>
            <w:pPr>
              <w:autoSpaceDE w:val="0"/>
              <w:autoSpaceDN w:val="0"/>
              <w:adjustRightInd w:val="0"/>
              <w:spacing w:line="360" w:lineRule="auto"/>
              <w:rPr>
                <w:rFonts w:ascii="宋体" w:hAnsi="宋体" w:cs="宋体"/>
                <w:b/>
                <w:bCs/>
                <w:color w:val="000000"/>
                <w:kern w:val="0"/>
                <w:u w:val="dashDotHeavy"/>
              </w:rPr>
            </w:pPr>
            <w:r>
              <w:rPr>
                <w:rFonts w:hint="eastAsia" w:ascii="宋体" w:hAnsi="宋体" w:cs="宋体"/>
                <w:b/>
                <w:bCs/>
                <w:color w:val="000000"/>
                <w:kern w:val="0"/>
                <w:u w:val="dashDotHeavy"/>
                <w:lang w:val="zh-CN"/>
              </w:rPr>
              <w:t>包二</w:t>
            </w:r>
            <w:r>
              <w:rPr>
                <w:rFonts w:hint="eastAsia" w:ascii="宋体" w:hAnsi="宋体" w:cs="宋体"/>
                <w:b/>
                <w:bCs/>
                <w:color w:val="000000"/>
                <w:kern w:val="0"/>
                <w:u w:val="dashDotHeavy"/>
              </w:rPr>
              <w:t>：36</w:t>
            </w:r>
            <w:r>
              <w:rPr>
                <w:rFonts w:hint="eastAsia" w:ascii="宋体" w:hAnsi="宋体" w:cs="宋体"/>
                <w:b/>
                <w:bCs/>
                <w:color w:val="000000"/>
                <w:kern w:val="0"/>
                <w:u w:val="dashDotHeavy"/>
                <w:lang w:val="en-US" w:eastAsia="zh-CN"/>
              </w:rPr>
              <w:t>.</w:t>
            </w:r>
            <w:r>
              <w:rPr>
                <w:rFonts w:hint="eastAsia" w:ascii="宋体" w:hAnsi="宋体" w:cs="宋体"/>
                <w:b/>
                <w:bCs/>
                <w:color w:val="000000"/>
                <w:kern w:val="0"/>
                <w:u w:val="dashDotHeavy"/>
              </w:rPr>
              <w:t>63万元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u w:val="dashDotHeavy"/>
                <w:lang w:val="zh-CN"/>
              </w:rPr>
            </w:pPr>
            <w:r>
              <w:rPr>
                <w:rFonts w:hint="eastAsia" w:ascii="宋体" w:hAnsi="宋体" w:cs="宋体"/>
                <w:color w:val="000000"/>
                <w:kern w:val="0"/>
                <w:u w:val="dashDotHeavy"/>
                <w:lang w:val="zh-CN"/>
              </w:rPr>
              <w:t>二个包</w:t>
            </w:r>
          </w:p>
        </w:tc>
      </w:tr>
      <w:tr>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各包要求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u w:val="dashDotHeavy"/>
                <w:lang w:val="zh-CN"/>
              </w:rPr>
            </w:pPr>
            <w:r>
              <w:rPr>
                <w:rFonts w:hint="eastAsia" w:ascii="宋体" w:hAnsi="宋体" w:cs="宋体"/>
                <w:color w:val="000000"/>
                <w:kern w:val="0"/>
                <w:lang w:val="zh-CN"/>
              </w:rPr>
              <w:t>招标内容：互助县教育局关于职业技术学校教学实训设备的采购报告。具体内容详见《招标文件》</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各包投标人资格要求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kern w:val="0"/>
                <w:lang w:val="zh-CN"/>
              </w:rPr>
            </w:pPr>
            <w:r>
              <w:rPr>
                <w:rFonts w:hint="eastAsia" w:ascii="宋体" w:hAnsi="宋体" w:cs="宋体"/>
                <w:kern w:val="0"/>
                <w:lang w:val="zh-CN"/>
              </w:rPr>
              <w:t>1、 符合《政府采购法》第22条条件，并提供下列材料：</w:t>
            </w:r>
          </w:p>
          <w:p>
            <w:pPr>
              <w:autoSpaceDE w:val="0"/>
              <w:autoSpaceDN w:val="0"/>
              <w:spacing w:line="360" w:lineRule="auto"/>
              <w:rPr>
                <w:rFonts w:ascii="宋体" w:hAnsi="宋体" w:cs="宋体"/>
                <w:kern w:val="0"/>
                <w:lang w:val="zh-CN"/>
              </w:rPr>
            </w:pPr>
            <w:r>
              <w:rPr>
                <w:rFonts w:hint="eastAsia" w:ascii="宋体" w:hAnsi="宋体" w:cs="宋体"/>
                <w:kern w:val="0"/>
                <w:lang w:val="zh-CN"/>
              </w:rPr>
              <w:t>&lt;1&gt;投标人的营业执照等证明文件，自然人的身份证明。</w:t>
            </w:r>
          </w:p>
          <w:p>
            <w:pPr>
              <w:autoSpaceDE w:val="0"/>
              <w:autoSpaceDN w:val="0"/>
              <w:spacing w:line="360" w:lineRule="auto"/>
              <w:rPr>
                <w:rFonts w:ascii="宋体" w:hAnsi="宋体" w:cs="宋体"/>
                <w:kern w:val="0"/>
                <w:lang w:val="zh-CN"/>
              </w:rPr>
            </w:pPr>
            <w:r>
              <w:rPr>
                <w:rFonts w:hint="eastAsia" w:ascii="宋体" w:hAnsi="宋体" w:cs="宋体"/>
                <w:kern w:val="0"/>
                <w:lang w:val="zh-CN"/>
              </w:rPr>
              <w:t>&lt;2&gt;财务状况报告，依法缴纳税收和社会保障资金的相关材料。</w:t>
            </w:r>
          </w:p>
          <w:p>
            <w:pPr>
              <w:autoSpaceDE w:val="0"/>
              <w:autoSpaceDN w:val="0"/>
              <w:spacing w:line="360" w:lineRule="auto"/>
              <w:rPr>
                <w:rFonts w:ascii="宋体" w:hAnsi="宋体" w:cs="宋体"/>
                <w:kern w:val="0"/>
                <w:lang w:val="zh-CN"/>
              </w:rPr>
            </w:pPr>
            <w:r>
              <w:rPr>
                <w:rFonts w:hint="eastAsia" w:ascii="宋体" w:hAnsi="宋体" w:cs="宋体"/>
                <w:kern w:val="0"/>
                <w:lang w:val="zh-CN"/>
              </w:rPr>
              <w:t>&lt;3&gt;具备履行合同所必需的设备和专业技术能力的证明材料。</w:t>
            </w:r>
          </w:p>
          <w:p>
            <w:pPr>
              <w:autoSpaceDE w:val="0"/>
              <w:autoSpaceDN w:val="0"/>
              <w:spacing w:line="360" w:lineRule="auto"/>
              <w:rPr>
                <w:rFonts w:ascii="宋体" w:hAnsi="宋体" w:cs="宋体"/>
                <w:kern w:val="0"/>
                <w:lang w:val="zh-CN"/>
              </w:rPr>
            </w:pPr>
            <w:r>
              <w:rPr>
                <w:rFonts w:hint="eastAsia" w:ascii="宋体" w:hAnsi="宋体" w:cs="宋体"/>
                <w:kern w:val="0"/>
                <w:lang w:val="zh-CN"/>
              </w:rPr>
              <w:t>&lt;4&gt;参加政府采购活动前3年内在经营活动中没有重大违法记录的书面声明。</w:t>
            </w:r>
          </w:p>
          <w:p>
            <w:pPr>
              <w:autoSpaceDE w:val="0"/>
              <w:autoSpaceDN w:val="0"/>
              <w:spacing w:line="360" w:lineRule="auto"/>
              <w:rPr>
                <w:rFonts w:ascii="宋体" w:hAnsi="宋体" w:cs="宋体"/>
                <w:kern w:val="0"/>
                <w:lang w:val="zh-CN"/>
              </w:rPr>
            </w:pPr>
            <w:r>
              <w:rPr>
                <w:rFonts w:hint="eastAsia" w:ascii="宋体" w:hAnsi="宋体" w:cs="宋体"/>
                <w:kern w:val="0"/>
                <w:lang w:val="zh-CN"/>
              </w:rPr>
              <w:t>&lt;5&gt;具备法律、行政法规规定的其他条件的证明材料。</w:t>
            </w:r>
          </w:p>
          <w:p>
            <w:pPr>
              <w:autoSpaceDE w:val="0"/>
              <w:autoSpaceDN w:val="0"/>
              <w:spacing w:line="360" w:lineRule="auto"/>
              <w:rPr>
                <w:rFonts w:ascii="宋体" w:hAnsi="宋体" w:cs="宋体"/>
                <w:kern w:val="0"/>
                <w:lang w:val="zh-CN"/>
              </w:rPr>
            </w:pPr>
            <w:r>
              <w:rPr>
                <w:rFonts w:hint="eastAsia" w:ascii="宋体" w:hAnsi="宋体" w:cs="宋体"/>
                <w:kern w:val="0"/>
                <w:lang w:val="zh-CN"/>
              </w:rPr>
              <w:t>2、</w:t>
            </w:r>
            <w:r>
              <w:rPr>
                <w:rFonts w:hint="eastAsia" w:ascii="宋体" w:hAnsi="宋体" w:cs="宋体"/>
                <w:kern w:val="0"/>
              </w:rPr>
              <w:t xml:space="preserve"> 经信用中国（www.creditchina.gov.cn）、中国政府采购网（www.ccgp.gov.cn）等渠道查询后，列入失信被执行人、重大税收违法案件当事人名单、政府采购严重违法失信行为记录名单的，取消投标资格。（提供信用中国</w:t>
            </w:r>
            <w:r>
              <w:rPr>
                <w:rFonts w:hint="eastAsia" w:ascii="宋体" w:hAnsi="宋体" w:cs="宋体"/>
                <w:kern w:val="0"/>
                <w:lang w:eastAsia="zh-CN"/>
              </w:rPr>
              <w:t>、</w:t>
            </w:r>
            <w:r>
              <w:rPr>
                <w:rFonts w:hint="eastAsia" w:ascii="宋体" w:hAnsi="宋体" w:cs="宋体"/>
                <w:kern w:val="0"/>
              </w:rPr>
              <w:t>中国政府采购网网站的查询截图，时间为投标截止时间前20天内）；</w:t>
            </w:r>
          </w:p>
          <w:p>
            <w:pPr>
              <w:autoSpaceDE w:val="0"/>
              <w:autoSpaceDN w:val="0"/>
              <w:spacing w:line="360" w:lineRule="auto"/>
              <w:rPr>
                <w:rFonts w:ascii="宋体" w:hAnsi="宋体" w:cs="宋体"/>
                <w:kern w:val="0"/>
                <w:lang w:val="zh-CN"/>
              </w:rPr>
            </w:pPr>
            <w:r>
              <w:rPr>
                <w:rFonts w:hint="eastAsia" w:ascii="宋体" w:hAnsi="宋体" w:cs="宋体"/>
                <w:kern w:val="0"/>
                <w:lang w:val="zh-CN"/>
              </w:rPr>
              <w:t>3、单位负责人为同一人或者存在直接控股、管理关系的不同投标人，不得参加同一合同项下的政府采购活动。否则，皆取消投标资格；</w:t>
            </w:r>
          </w:p>
          <w:p>
            <w:pPr>
              <w:autoSpaceDE w:val="0"/>
              <w:autoSpaceDN w:val="0"/>
              <w:spacing w:line="360" w:lineRule="auto"/>
              <w:rPr>
                <w:rFonts w:ascii="宋体" w:hAnsi="宋体" w:cs="宋体"/>
                <w:kern w:val="0"/>
                <w:lang w:val="zh-CN"/>
              </w:rPr>
            </w:pPr>
            <w:r>
              <w:rPr>
                <w:rFonts w:hint="eastAsia" w:ascii="宋体" w:hAnsi="宋体" w:cs="宋体"/>
                <w:kern w:val="0"/>
                <w:lang w:val="zh-CN"/>
              </w:rPr>
              <w:t>4、为本采购项目提供整体设计、规范编制或者项目管理、监理、检测等服务的投标人，不得再参加该采购项目的其他采购活动；</w:t>
            </w:r>
          </w:p>
          <w:p>
            <w:pPr>
              <w:autoSpaceDE w:val="0"/>
              <w:autoSpaceDN w:val="0"/>
              <w:spacing w:line="360" w:lineRule="auto"/>
              <w:rPr>
                <w:rFonts w:ascii="宋体" w:hAnsi="宋体" w:cs="宋体"/>
                <w:kern w:val="0"/>
                <w:lang w:val="zh-CN"/>
              </w:rPr>
            </w:pPr>
            <w:r>
              <w:rPr>
                <w:rFonts w:hint="eastAsia" w:ascii="宋体" w:hAnsi="宋体" w:cs="宋体"/>
                <w:kern w:val="0"/>
                <w:lang w:val="zh-CN"/>
              </w:rPr>
              <w:t>5、本项目不接受或接受投标人以联合体方式进行投标；</w:t>
            </w:r>
          </w:p>
          <w:p>
            <w:pPr>
              <w:autoSpaceDE w:val="0"/>
              <w:autoSpaceDN w:val="0"/>
              <w:spacing w:line="360" w:lineRule="auto"/>
              <w:rPr>
                <w:rFonts w:ascii="宋体" w:hAnsi="宋体" w:cs="宋体"/>
                <w:kern w:val="0"/>
                <w:lang w:val="zh-CN"/>
              </w:rPr>
            </w:pPr>
            <w:r>
              <w:rPr>
                <w:rFonts w:hint="eastAsia" w:ascii="宋体" w:hAnsi="宋体" w:cs="宋体"/>
                <w:kern w:val="0"/>
              </w:rPr>
              <w:t>为保证本次项目安装进度及质量，各投标单位限报一个分包。</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kern w:val="0"/>
                <w:lang w:val="zh-CN"/>
              </w:rPr>
            </w:pPr>
            <w:r>
              <w:rPr>
                <w:rFonts w:hint="eastAsia" w:ascii="宋体" w:hAnsi="宋体" w:cs="宋体"/>
                <w:kern w:val="0"/>
                <w:lang w:val="zh-CN"/>
              </w:rPr>
              <w:t>2019年</w:t>
            </w:r>
            <w:r>
              <w:rPr>
                <w:rFonts w:hint="eastAsia" w:ascii="宋体" w:hAnsi="宋体" w:cs="宋体"/>
                <w:kern w:val="0"/>
              </w:rPr>
              <w:t>1</w:t>
            </w:r>
            <w:r>
              <w:rPr>
                <w:rFonts w:hint="eastAsia" w:ascii="宋体" w:hAnsi="宋体" w:cs="宋体"/>
                <w:kern w:val="0"/>
                <w:lang w:val="en-US" w:eastAsia="zh-CN"/>
              </w:rPr>
              <w:t>1</w:t>
            </w:r>
            <w:r>
              <w:rPr>
                <w:rFonts w:hint="eastAsia" w:ascii="宋体" w:hAnsi="宋体" w:cs="宋体"/>
                <w:kern w:val="0"/>
                <w:lang w:val="zh-CN"/>
              </w:rPr>
              <w:t>月</w:t>
            </w:r>
            <w:r>
              <w:rPr>
                <w:rFonts w:hint="eastAsia" w:ascii="宋体" w:hAnsi="宋体" w:cs="宋体"/>
                <w:kern w:val="0"/>
              </w:rPr>
              <w:t>2</w:t>
            </w:r>
            <w:r>
              <w:rPr>
                <w:rFonts w:hint="eastAsia" w:ascii="宋体" w:hAnsi="宋体" w:cs="宋体"/>
                <w:kern w:val="0"/>
                <w:lang w:val="en-US" w:eastAsia="zh-CN"/>
              </w:rPr>
              <w:t>2</w:t>
            </w:r>
            <w:r>
              <w:rPr>
                <w:rFonts w:hint="eastAsia" w:ascii="宋体" w:hAnsi="宋体" w:cs="宋体"/>
                <w:kern w:val="0"/>
                <w:lang w:val="zh-CN"/>
              </w:rPr>
              <w:t>日</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kern w:val="0"/>
                <w:lang w:val="zh-CN"/>
              </w:rPr>
            </w:pPr>
            <w:r>
              <w:rPr>
                <w:rFonts w:hint="eastAsia" w:ascii="宋体" w:hAnsi="宋体" w:cs="宋体"/>
                <w:kern w:val="0"/>
                <w:lang w:val="zh-CN"/>
              </w:rPr>
              <w:t>2019年</w:t>
            </w:r>
            <w:r>
              <w:rPr>
                <w:rFonts w:hint="eastAsia" w:ascii="宋体" w:hAnsi="宋体" w:cs="宋体"/>
                <w:kern w:val="0"/>
              </w:rPr>
              <w:t>1</w:t>
            </w:r>
            <w:r>
              <w:rPr>
                <w:rFonts w:hint="eastAsia" w:ascii="宋体" w:hAnsi="宋体" w:cs="宋体"/>
                <w:kern w:val="0"/>
                <w:lang w:val="en-US" w:eastAsia="zh-CN"/>
              </w:rPr>
              <w:t>1</w:t>
            </w:r>
            <w:r>
              <w:rPr>
                <w:rFonts w:hint="eastAsia" w:ascii="宋体" w:hAnsi="宋体" w:cs="宋体"/>
                <w:kern w:val="0"/>
                <w:lang w:val="zh-CN"/>
              </w:rPr>
              <w:t>月</w:t>
            </w:r>
            <w:r>
              <w:rPr>
                <w:rFonts w:hint="eastAsia" w:ascii="宋体" w:hAnsi="宋体" w:cs="宋体"/>
                <w:kern w:val="0"/>
              </w:rPr>
              <w:t>2</w:t>
            </w:r>
            <w:r>
              <w:rPr>
                <w:rFonts w:hint="eastAsia" w:ascii="宋体" w:hAnsi="宋体" w:cs="宋体"/>
                <w:kern w:val="0"/>
                <w:lang w:val="en-US" w:eastAsia="zh-CN"/>
              </w:rPr>
              <w:t>5</w:t>
            </w:r>
            <w:r>
              <w:rPr>
                <w:rFonts w:hint="eastAsia" w:ascii="宋体" w:hAnsi="宋体" w:cs="宋体"/>
                <w:kern w:val="0"/>
                <w:lang w:val="zh-CN"/>
              </w:rPr>
              <w:t>日至</w:t>
            </w:r>
            <w:r>
              <w:rPr>
                <w:rFonts w:hint="eastAsia" w:ascii="宋体" w:hAnsi="宋体" w:cs="宋体"/>
                <w:kern w:val="0"/>
                <w:lang w:val="en-US" w:eastAsia="zh-CN"/>
              </w:rPr>
              <w:t>11</w:t>
            </w:r>
            <w:r>
              <w:rPr>
                <w:rFonts w:hint="eastAsia" w:ascii="宋体" w:hAnsi="宋体" w:cs="宋体"/>
                <w:kern w:val="0"/>
                <w:lang w:val="zh-CN"/>
              </w:rPr>
              <w:t>月</w:t>
            </w:r>
            <w:r>
              <w:rPr>
                <w:rFonts w:hint="eastAsia" w:ascii="宋体" w:hAnsi="宋体" w:cs="宋体"/>
                <w:kern w:val="0"/>
                <w:lang w:val="en-US" w:eastAsia="zh-CN"/>
              </w:rPr>
              <w:t>29</w:t>
            </w:r>
            <w:r>
              <w:rPr>
                <w:rFonts w:hint="eastAsia" w:ascii="宋体" w:hAnsi="宋体" w:cs="宋体"/>
                <w:kern w:val="0"/>
                <w:lang w:val="zh-CN"/>
              </w:rPr>
              <w:t>日，每天上午</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0-11:00,下午2:30-</w:t>
            </w:r>
            <w:r>
              <w:rPr>
                <w:rFonts w:hint="eastAsia" w:ascii="宋体" w:hAnsi="宋体" w:cs="宋体"/>
                <w:kern w:val="0"/>
              </w:rPr>
              <w:t>4</w:t>
            </w: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0（午休、节假日除外）</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现场购买</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ascii="宋体" w:hAnsi="宋体" w:cs="宋体"/>
                <w:color w:val="000000"/>
                <w:kern w:val="0"/>
                <w:lang w:val="zh-CN"/>
              </w:rPr>
            </w:pPr>
            <w:r>
              <w:rPr>
                <w:rFonts w:hint="eastAsia" w:ascii="宋体" w:hAnsi="宋体" w:cs="宋体"/>
                <w:color w:val="000000"/>
                <w:kern w:val="0"/>
                <w:u w:val="dashDotHeavy"/>
                <w:lang w:val="zh-CN"/>
              </w:rPr>
              <w:t>500元/包</w:t>
            </w:r>
            <w:r>
              <w:rPr>
                <w:rFonts w:hint="eastAsia" w:ascii="宋体" w:hAnsi="宋体" w:cs="宋体"/>
                <w:color w:val="000000"/>
                <w:kern w:val="0"/>
                <w:lang w:val="zh-CN"/>
              </w:rPr>
              <w:t>（招标文件售后不退,投标资格不能转让。）</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u w:val="dashDotHeavy"/>
                <w:lang w:val="zh-CN"/>
              </w:rPr>
              <w:t>青海省西宁市城西区万达广场1号楼19楼</w:t>
            </w:r>
            <w:r>
              <w:rPr>
                <w:rFonts w:hint="eastAsia" w:ascii="宋体" w:hAnsi="宋体" w:cs="宋体"/>
                <w:color w:val="000000"/>
                <w:kern w:val="0"/>
                <w:lang w:val="zh-CN"/>
              </w:rPr>
              <w:t>，标书购买联系人：程</w:t>
            </w:r>
            <w:r>
              <w:rPr>
                <w:rFonts w:hint="eastAsia" w:ascii="宋体" w:hAnsi="宋体" w:cs="宋体"/>
                <w:color w:val="000000"/>
                <w:kern w:val="0"/>
                <w:u w:val="dashDotHeavy"/>
                <w:lang w:val="zh-CN"/>
              </w:rPr>
              <w:t>先生</w:t>
            </w:r>
          </w:p>
          <w:p>
            <w:pPr>
              <w:pStyle w:val="6"/>
              <w:spacing w:line="360" w:lineRule="auto"/>
              <w:jc w:val="both"/>
              <w:rPr>
                <w:rFonts w:hint="default" w:ascii="宋体" w:hAnsi="宋体" w:eastAsia="宋体" w:cs="宋体"/>
                <w:color w:val="000000"/>
                <w:kern w:val="0"/>
                <w:lang w:val="en-US" w:eastAsia="zh-CN"/>
              </w:rPr>
            </w:pPr>
            <w:r>
              <w:rPr>
                <w:rFonts w:hint="eastAsia" w:ascii="宋体" w:hAnsi="宋体" w:cs="宋体"/>
                <w:color w:val="000000"/>
                <w:kern w:val="0"/>
                <w:lang w:val="zh-CN"/>
              </w:rPr>
              <w:t>电话：</w:t>
            </w:r>
            <w:r>
              <w:rPr>
                <w:rFonts w:hint="eastAsia" w:ascii="宋体" w:hAnsi="宋体" w:cs="宋体"/>
                <w:color w:val="000000"/>
                <w:kern w:val="0"/>
                <w:u w:val="dashDotHeavy"/>
                <w:lang w:val="en-US" w:eastAsia="zh-CN"/>
              </w:rPr>
              <w:t>13299761742</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购买招标文件时应提供材料</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6"/>
              <w:spacing w:line="276" w:lineRule="auto"/>
              <w:jc w:val="both"/>
              <w:rPr>
                <w:rFonts w:ascii="宋体" w:hAnsi="宋体" w:cs="宋体"/>
                <w:color w:val="000000"/>
                <w:kern w:val="0"/>
                <w:lang w:val="zh-CN"/>
              </w:rPr>
            </w:pPr>
            <w:r>
              <w:rPr>
                <w:rFonts w:hint="eastAsia" w:ascii="宋体" w:hAnsi="宋体" w:cs="宋体"/>
                <w:color w:val="000000"/>
                <w:kern w:val="0"/>
                <w:lang w:val="zh-CN"/>
              </w:rPr>
              <w:t>营业执照副本复印件（加盖单位公章）</w:t>
            </w:r>
            <w:r>
              <w:rPr>
                <w:rFonts w:hint="eastAsia" w:ascii="宋体" w:hAnsi="宋体" w:cs="宋体"/>
                <w:color w:val="000000"/>
                <w:kern w:val="0"/>
              </w:rPr>
              <w:t>、介绍信、</w:t>
            </w:r>
            <w:r>
              <w:rPr>
                <w:rFonts w:hint="eastAsia" w:ascii="宋体" w:hAnsi="宋体" w:cs="宋体"/>
                <w:color w:val="000000"/>
                <w:kern w:val="0"/>
                <w:lang w:val="zh-CN"/>
              </w:rPr>
              <w:t>法定代表人授权书。</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投标截止</w:t>
            </w:r>
            <w:r>
              <w:rPr>
                <w:rFonts w:hint="eastAsia" w:ascii="宋体" w:hAnsi="宋体" w:cs="宋体"/>
                <w:color w:val="000000"/>
                <w:kern w:val="0"/>
              </w:rPr>
              <w:t>及</w:t>
            </w:r>
            <w:r>
              <w:rPr>
                <w:rFonts w:hint="eastAsia" w:ascii="宋体" w:hAnsi="宋体" w:cs="宋体"/>
                <w:color w:val="000000"/>
                <w:kern w:val="0"/>
                <w:lang w:val="zh-CN"/>
              </w:rPr>
              <w:t>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FF0000"/>
                <w:kern w:val="0"/>
                <w:lang w:val="zh-CN"/>
              </w:rPr>
            </w:pPr>
            <w:r>
              <w:rPr>
                <w:rFonts w:hint="eastAsia" w:ascii="宋体" w:hAnsi="宋体" w:cs="宋体"/>
                <w:color w:val="000000"/>
                <w:kern w:val="0"/>
                <w:lang w:val="zh-CN"/>
              </w:rPr>
              <w:t>2019年</w:t>
            </w:r>
            <w:r>
              <w:rPr>
                <w:rFonts w:hint="eastAsia" w:ascii="宋体" w:hAnsi="宋体" w:cs="宋体"/>
                <w:color w:val="000000"/>
                <w:kern w:val="0"/>
              </w:rPr>
              <w:t>1</w:t>
            </w:r>
            <w:r>
              <w:rPr>
                <w:rFonts w:hint="eastAsia" w:ascii="宋体" w:hAnsi="宋体" w:cs="宋体"/>
                <w:color w:val="000000"/>
                <w:kern w:val="0"/>
                <w:lang w:val="en-US" w:eastAsia="zh-CN"/>
              </w:rPr>
              <w:t>2</w:t>
            </w:r>
            <w:r>
              <w:rPr>
                <w:rFonts w:hint="eastAsia" w:ascii="宋体" w:hAnsi="宋体" w:cs="宋体"/>
                <w:color w:val="000000"/>
                <w:kern w:val="0"/>
                <w:lang w:val="zh-CN"/>
              </w:rPr>
              <w:t>月</w:t>
            </w:r>
            <w:r>
              <w:rPr>
                <w:rFonts w:hint="eastAsia" w:ascii="宋体" w:hAnsi="宋体" w:cs="宋体"/>
                <w:color w:val="000000"/>
                <w:kern w:val="0"/>
                <w:lang w:val="en-US" w:eastAsia="zh-CN"/>
              </w:rPr>
              <w:t>16</w:t>
            </w:r>
            <w:r>
              <w:rPr>
                <w:rFonts w:hint="eastAsia" w:ascii="宋体" w:hAnsi="宋体" w:cs="宋体"/>
                <w:color w:val="000000"/>
                <w:kern w:val="0"/>
                <w:lang w:val="zh-CN"/>
              </w:rPr>
              <w:t>日09时</w:t>
            </w:r>
            <w:r>
              <w:rPr>
                <w:rFonts w:hint="eastAsia" w:ascii="宋体" w:hAnsi="宋体" w:cs="宋体"/>
                <w:color w:val="000000"/>
                <w:kern w:val="0"/>
              </w:rPr>
              <w:t>00</w:t>
            </w:r>
            <w:r>
              <w:rPr>
                <w:rFonts w:hint="eastAsia" w:ascii="宋体" w:hAnsi="宋体" w:cs="宋体"/>
                <w:color w:val="000000"/>
                <w:kern w:val="0"/>
                <w:lang w:val="zh-CN"/>
              </w:rPr>
              <w:t>分（北京时间）</w:t>
            </w:r>
          </w:p>
        </w:tc>
      </w:tr>
      <w:tr>
        <w:tblPrEx>
          <w:tblCellMar>
            <w:top w:w="0" w:type="dxa"/>
            <w:left w:w="108" w:type="dxa"/>
            <w:bottom w:w="0" w:type="dxa"/>
            <w:right w:w="108" w:type="dxa"/>
          </w:tblCellMar>
        </w:tblPrEx>
        <w:trPr>
          <w:trHeight w:val="30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海东市公共资源交易中心2号开标室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采购人联系</w:t>
            </w:r>
            <w:r>
              <w:rPr>
                <w:rFonts w:hint="eastAsia" w:ascii="宋体" w:hAnsi="宋体" w:cs="宋体"/>
                <w:color w:val="000000"/>
                <w:kern w:val="0"/>
              </w:rPr>
              <w:t>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lang w:val="zh-CN"/>
              </w:rPr>
              <w:t>联系人：马老师    联系电话：</w:t>
            </w:r>
            <w:r>
              <w:rPr>
                <w:rFonts w:hint="eastAsia" w:ascii="宋体" w:hAnsi="宋体" w:cs="宋体"/>
                <w:color w:val="000000"/>
                <w:kern w:val="0"/>
              </w:rPr>
              <w:t>0972-8322455</w:t>
            </w:r>
          </w:p>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联系地址：互助县职业技术学校</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联系人：程</w:t>
            </w:r>
            <w:r>
              <w:rPr>
                <w:rFonts w:hint="eastAsia" w:ascii="宋体" w:hAnsi="宋体" w:cs="宋体"/>
                <w:color w:val="000000"/>
                <w:kern w:val="0"/>
                <w:u w:val="dashDotHeavy"/>
                <w:lang w:val="zh-CN"/>
              </w:rPr>
              <w:t>先生</w:t>
            </w:r>
            <w:r>
              <w:rPr>
                <w:rFonts w:hint="eastAsia" w:ascii="宋体" w:hAnsi="宋体" w:cs="宋体"/>
                <w:color w:val="000000"/>
                <w:kern w:val="0"/>
                <w:lang w:val="zh-CN"/>
              </w:rPr>
              <w:t>，联系电话：</w:t>
            </w:r>
            <w:r>
              <w:rPr>
                <w:rFonts w:hint="eastAsia" w:ascii="宋体" w:hAnsi="宋体" w:cs="宋体"/>
                <w:color w:val="000000"/>
                <w:kern w:val="0"/>
                <w:u w:val="dashDotHeavy"/>
                <w:lang w:val="en-US" w:eastAsia="zh-CN"/>
              </w:rPr>
              <w:t>13299761742</w:t>
            </w:r>
            <w:r>
              <w:rPr>
                <w:rFonts w:hint="eastAsia" w:ascii="宋体" w:hAnsi="宋体" w:cs="宋体"/>
                <w:color w:val="000000"/>
                <w:kern w:val="0"/>
                <w:lang w:val="zh-CN"/>
              </w:rPr>
              <w:t>，联系地址：青海省西宁市城西区万达广场1号楼19楼</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b/>
                <w:bCs/>
                <w:color w:val="000000"/>
                <w:kern w:val="0"/>
                <w:lang w:val="zh-CN"/>
              </w:rPr>
              <w:t>招商银行股份有限公司西安南大街支行</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收款人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b/>
                <w:bCs/>
                <w:color w:val="000000"/>
                <w:kern w:val="0"/>
                <w:lang w:val="zh-CN"/>
              </w:rPr>
              <w:t>凌辉建设工程咨询有限公司</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银行账号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b/>
                <w:bCs/>
                <w:color w:val="000000"/>
                <w:kern w:val="0"/>
                <w:lang w:val="zh-CN"/>
              </w:rPr>
              <w:t>292083674310001</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采购项目联系人：马老师    联系电话：</w:t>
            </w:r>
            <w:r>
              <w:rPr>
                <w:rFonts w:hint="eastAsia" w:ascii="宋体" w:hAnsi="宋体" w:cs="宋体"/>
                <w:color w:val="000000"/>
                <w:kern w:val="0"/>
              </w:rPr>
              <w:t>0972-8322455</w:t>
            </w:r>
          </w:p>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公告期限：自青海政府采购网发布之日起5个工作日；公告内容以青海政府采购网发布的为准</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监督单位：</w:t>
            </w:r>
            <w:r>
              <w:rPr>
                <w:rFonts w:hint="eastAsia" w:ascii="宋体" w:hAnsi="Calibri" w:cs="宋体"/>
                <w:kern w:val="0"/>
                <w:lang w:val="zh-CN"/>
              </w:rPr>
              <w:t>互助县财政局   联系电话</w:t>
            </w:r>
            <w:r>
              <w:rPr>
                <w:rFonts w:hint="eastAsia" w:ascii="宋体" w:hAnsi="宋体" w:cs="宋体"/>
                <w:kern w:val="0"/>
              </w:rPr>
              <w:t>：</w:t>
            </w:r>
            <w:r>
              <w:rPr>
                <w:rFonts w:hint="eastAsia" w:ascii="宋体" w:hAnsi="宋体"/>
                <w:color w:val="000000"/>
                <w:kern w:val="0"/>
              </w:rPr>
              <w:t>0972-8322413</w:t>
            </w:r>
            <w:r>
              <w:rPr>
                <w:rFonts w:hint="eastAsia" w:ascii="宋体" w:hAnsi="宋体" w:cs="宋体"/>
                <w:color w:val="000000"/>
                <w:kern w:val="0"/>
              </w:rPr>
              <w:t xml:space="preserve">   </w:t>
            </w:r>
          </w:p>
        </w:tc>
      </w:tr>
    </w:tbl>
    <w:p>
      <w:pPr>
        <w:pStyle w:val="16"/>
        <w:spacing w:before="0" w:after="0" w:line="360" w:lineRule="auto"/>
        <w:rPr>
          <w:rFonts w:ascii="宋体" w:hAnsi="宋体" w:cs="宋体"/>
          <w:color w:val="000000"/>
          <w:szCs w:val="36"/>
        </w:rPr>
      </w:pPr>
      <w:bookmarkStart w:id="1" w:name="_Toc428180535"/>
      <w:r>
        <w:rPr>
          <w:rFonts w:hint="eastAsia" w:ascii="宋体" w:hAnsi="宋体" w:cs="宋体"/>
          <w:color w:val="000000"/>
          <w:lang w:val="zh-CN"/>
        </w:rPr>
        <w:br w:type="page"/>
      </w:r>
      <w:bookmarkEnd w:id="1"/>
      <w:bookmarkStart w:id="2" w:name="_Toc25506"/>
      <w:r>
        <w:rPr>
          <w:rFonts w:hint="eastAsia" w:ascii="宋体" w:hAnsi="宋体" w:cs="宋体"/>
          <w:color w:val="000000"/>
          <w:szCs w:val="36"/>
          <w:lang w:val="zh-CN"/>
        </w:rPr>
        <w:t>第二部分  投标人须知</w:t>
      </w:r>
      <w:bookmarkEnd w:id="2"/>
    </w:p>
    <w:p>
      <w:pPr>
        <w:pStyle w:val="16"/>
        <w:spacing w:before="0" w:after="0" w:line="360" w:lineRule="auto"/>
        <w:rPr>
          <w:rFonts w:ascii="宋体" w:hAnsi="宋体" w:cs="宋体"/>
          <w:color w:val="000000"/>
        </w:rPr>
      </w:pPr>
      <w:bookmarkStart w:id="3" w:name="_Toc28279"/>
      <w:r>
        <w:rPr>
          <w:rFonts w:hint="eastAsia" w:ascii="宋体" w:hAnsi="宋体" w:cs="宋体"/>
          <w:color w:val="000000"/>
          <w:lang w:val="zh-CN"/>
        </w:rPr>
        <w:t>一、说明</w:t>
      </w:r>
      <w:bookmarkEnd w:id="3"/>
    </w:p>
    <w:p>
      <w:pPr>
        <w:pStyle w:val="16"/>
        <w:spacing w:before="0" w:after="0" w:line="360" w:lineRule="auto"/>
        <w:jc w:val="left"/>
        <w:rPr>
          <w:rFonts w:ascii="宋体" w:hAnsi="宋体" w:cs="宋体"/>
          <w:color w:val="000000"/>
          <w:lang w:val="zh-CN"/>
        </w:rPr>
      </w:pPr>
      <w:bookmarkStart w:id="4" w:name="_Toc32523"/>
      <w:r>
        <w:rPr>
          <w:rFonts w:hint="eastAsia" w:ascii="宋体" w:hAnsi="宋体" w:cs="宋体"/>
          <w:color w:val="000000"/>
          <w:sz w:val="28"/>
          <w:szCs w:val="28"/>
          <w:lang w:val="zh-CN"/>
        </w:rPr>
        <w:t>1.适用范围</w:t>
      </w:r>
      <w:bookmarkEnd w:id="4"/>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pPr>
        <w:pStyle w:val="16"/>
        <w:spacing w:before="0" w:after="0" w:line="360" w:lineRule="auto"/>
        <w:jc w:val="left"/>
        <w:rPr>
          <w:rFonts w:ascii="宋体" w:hAnsi="宋体" w:cs="宋体"/>
          <w:color w:val="000000"/>
          <w:lang w:val="zh-CN"/>
        </w:rPr>
      </w:pPr>
      <w:bookmarkStart w:id="5" w:name="_Toc17984"/>
      <w:r>
        <w:rPr>
          <w:rFonts w:hint="eastAsia" w:ascii="宋体" w:hAnsi="宋体" w:cs="宋体"/>
          <w:color w:val="000000"/>
          <w:sz w:val="28"/>
          <w:szCs w:val="28"/>
          <w:lang w:val="zh-CN"/>
        </w:rPr>
        <w:t>2.采购方式、合格的投标人</w:t>
      </w:r>
      <w:bookmarkEnd w:id="5"/>
    </w:p>
    <w:p>
      <w:pPr>
        <w:autoSpaceDE w:val="0"/>
        <w:autoSpaceDN w:val="0"/>
        <w:spacing w:line="360" w:lineRule="auto"/>
        <w:ind w:firstLine="360" w:firstLineChars="150"/>
        <w:rPr>
          <w:rFonts w:ascii="宋体" w:hAnsi="宋体" w:cs="宋体"/>
          <w:b/>
          <w:bCs/>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各包投标人资格要求</w:t>
      </w:r>
      <w:r>
        <w:rPr>
          <w:rFonts w:hint="eastAsia" w:ascii="宋体" w:hAnsi="宋体" w:cs="宋体"/>
          <w:color w:val="000000"/>
          <w:kern w:val="0"/>
        </w:rPr>
        <w:t>”。</w:t>
      </w:r>
    </w:p>
    <w:p>
      <w:pPr>
        <w:pStyle w:val="16"/>
        <w:spacing w:before="0" w:after="0" w:line="360" w:lineRule="auto"/>
        <w:jc w:val="left"/>
        <w:rPr>
          <w:rFonts w:ascii="宋体" w:hAnsi="宋体" w:cs="宋体"/>
          <w:color w:val="000000"/>
          <w:lang w:val="zh-CN"/>
        </w:rPr>
      </w:pPr>
      <w:bookmarkStart w:id="6" w:name="_Toc27660"/>
      <w:r>
        <w:rPr>
          <w:rFonts w:hint="eastAsia" w:ascii="宋体" w:hAnsi="宋体" w:cs="宋体"/>
          <w:color w:val="000000"/>
          <w:sz w:val="28"/>
          <w:szCs w:val="28"/>
          <w:lang w:val="zh-CN"/>
        </w:rPr>
        <w:t>3.投标费用</w:t>
      </w:r>
      <w:bookmarkEnd w:id="6"/>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投标人应自愿承担与参加本次投标有关的费用。采购代理机构对投标人发生的费用不承担任何责任。</w:t>
      </w:r>
    </w:p>
    <w:p>
      <w:pPr>
        <w:pStyle w:val="16"/>
        <w:spacing w:before="0" w:after="0" w:line="360" w:lineRule="auto"/>
        <w:rPr>
          <w:rFonts w:ascii="宋体" w:hAnsi="宋体" w:cs="宋体"/>
          <w:color w:val="000000"/>
        </w:rPr>
      </w:pPr>
      <w:bookmarkStart w:id="7" w:name="_Toc28460"/>
      <w:r>
        <w:rPr>
          <w:rFonts w:hint="eastAsia" w:ascii="宋体" w:hAnsi="宋体" w:cs="宋体"/>
          <w:color w:val="000000"/>
          <w:lang w:val="zh-CN"/>
        </w:rPr>
        <w:t>二、招标文件说明</w:t>
      </w:r>
      <w:bookmarkEnd w:id="7"/>
    </w:p>
    <w:p>
      <w:pPr>
        <w:pStyle w:val="16"/>
        <w:spacing w:before="0" w:after="0" w:line="360" w:lineRule="auto"/>
        <w:jc w:val="left"/>
        <w:rPr>
          <w:rFonts w:ascii="宋体" w:hAnsi="宋体" w:cs="宋体"/>
          <w:color w:val="000000"/>
          <w:lang w:val="zh-CN"/>
        </w:rPr>
      </w:pPr>
      <w:bookmarkStart w:id="8" w:name="_Toc5765"/>
      <w:r>
        <w:rPr>
          <w:rFonts w:hint="eastAsia" w:ascii="宋体" w:hAnsi="宋体" w:cs="宋体"/>
          <w:color w:val="000000"/>
          <w:sz w:val="28"/>
          <w:szCs w:val="28"/>
          <w:lang w:val="zh-CN"/>
        </w:rPr>
        <w:t>4.招标文件的构成</w:t>
      </w:r>
      <w:bookmarkEnd w:id="8"/>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（1）投标邀请</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）青海省政府采购项目合同书范本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16"/>
        <w:spacing w:before="0" w:after="0" w:line="360" w:lineRule="auto"/>
        <w:jc w:val="left"/>
        <w:rPr>
          <w:rFonts w:ascii="宋体" w:hAnsi="宋体" w:cs="宋体"/>
          <w:color w:val="000000"/>
          <w:sz w:val="28"/>
          <w:szCs w:val="28"/>
          <w:lang w:val="zh-CN"/>
        </w:rPr>
      </w:pPr>
      <w:bookmarkStart w:id="9" w:name="_Toc15550"/>
      <w:r>
        <w:rPr>
          <w:rFonts w:hint="eastAsia" w:ascii="宋体" w:hAnsi="宋体" w:cs="宋体"/>
          <w:color w:val="000000"/>
          <w:sz w:val="28"/>
          <w:szCs w:val="28"/>
          <w:lang w:val="zh-CN"/>
        </w:rPr>
        <w:t>5.招标文件、采购活动和中标结果的质疑</w:t>
      </w:r>
      <w:bookmarkEnd w:id="9"/>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color w:val="000000"/>
        </w:rPr>
        <w:t>潜在供应商已依法获取其可质疑的采购文件的，可以对该文件提出质疑</w:t>
      </w:r>
      <w:r>
        <w:rPr>
          <w:rFonts w:hint="eastAsia" w:ascii="Arial" w:hAnsi="Arial" w:cs="Arial"/>
          <w:color w:val="000000"/>
        </w:rPr>
        <w:t>，</w:t>
      </w:r>
      <w:r>
        <w:rPr>
          <w:rFonts w:ascii="Arial" w:hAnsi="Arial" w:cs="Arial"/>
          <w:color w:val="000000"/>
        </w:rPr>
        <w:t>对采购文件提出质疑的，应当在获取采购文件或者采购文件公告期限届满之日起7个工作日内提出</w:t>
      </w:r>
      <w:r>
        <w:rPr>
          <w:rFonts w:hint="eastAsia" w:ascii="宋体" w:hAnsi="宋体" w:cs="宋体"/>
          <w:color w:val="000000"/>
          <w:kern w:val="0"/>
        </w:rPr>
        <w:t>。</w:t>
      </w:r>
      <w:r>
        <w:rPr>
          <w:rFonts w:ascii="Arial" w:hAnsi="Arial" w:cs="Arial"/>
          <w:color w:val="000000"/>
        </w:rPr>
        <w:t>供应商</w:t>
      </w:r>
      <w:r>
        <w:rPr>
          <w:rFonts w:hint="eastAsia" w:ascii="Arial" w:hAnsi="Arial" w:cs="Arial"/>
          <w:color w:val="000000"/>
        </w:rPr>
        <w:t>须</w:t>
      </w:r>
      <w:r>
        <w:rPr>
          <w:rFonts w:ascii="Arial" w:hAnsi="Arial" w:cs="Arial"/>
          <w:color w:val="000000"/>
        </w:rPr>
        <w:t>在法定质疑期内一次性提出针对同一采购程序环节的质疑。</w:t>
      </w:r>
      <w:r>
        <w:rPr>
          <w:rFonts w:hint="eastAsia" w:ascii="宋体" w:hAnsi="宋体" w:cs="宋体"/>
          <w:color w:val="000000"/>
          <w:kern w:val="0"/>
          <w:lang w:val="zh-CN"/>
        </w:rPr>
        <w:t>采购人或采购代理机构在收到书面</w:t>
      </w:r>
      <w:r>
        <w:rPr>
          <w:rFonts w:ascii="Arial" w:hAnsi="Arial" w:cs="Arial"/>
          <w:color w:val="000000"/>
        </w:rPr>
        <w:t>质疑函后7个工作日内作出答复</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投标人应知其权益受到损害之日，是指：</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pPr>
        <w:pStyle w:val="16"/>
        <w:spacing w:before="0" w:after="0" w:line="360" w:lineRule="auto"/>
        <w:jc w:val="left"/>
        <w:rPr>
          <w:rFonts w:ascii="宋体" w:hAnsi="宋体" w:cs="宋体"/>
          <w:color w:val="000000"/>
          <w:lang w:val="zh-CN"/>
        </w:rPr>
      </w:pPr>
      <w:bookmarkStart w:id="10" w:name="_Toc10740"/>
      <w:r>
        <w:rPr>
          <w:rFonts w:hint="eastAsia" w:ascii="宋体" w:hAnsi="宋体" w:cs="宋体"/>
          <w:color w:val="000000"/>
          <w:sz w:val="28"/>
          <w:szCs w:val="28"/>
          <w:lang w:val="zh-CN"/>
        </w:rPr>
        <w:t>6.招标文件的澄清或修改</w:t>
      </w:r>
      <w:bookmarkEnd w:id="10"/>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color w:val="000000"/>
          <w:kern w:val="0"/>
          <w:lang w:val="zh-CN"/>
        </w:rPr>
      </w:pPr>
      <w:r>
        <w:rPr>
          <w:rFonts w:ascii="宋体" w:hAnsi="宋体" w:cs="宋体"/>
          <w:color w:val="000000"/>
          <w:kern w:val="0"/>
          <w:lang w:val="zh-CN"/>
        </w:rPr>
        <w:t xml:space="preserve">6.2 </w:t>
      </w:r>
      <w:r>
        <w:rPr>
          <w:rFonts w:hint="eastAsia" w:ascii="宋体" w:hAnsi="宋体" w:cs="宋体"/>
          <w:color w:val="000000"/>
          <w:kern w:val="0"/>
          <w:lang w:val="zh-CN"/>
        </w:rPr>
        <w:t>澄清或者修改的内容可能影响投标文件编制的，采购人或者采购代理机构应当在投标截止时间至少15日前，以书面形式通知所有获取招标文件的潜在投标人，</w:t>
      </w:r>
      <w:r>
        <w:rPr>
          <w:rFonts w:ascii="宋体" w:hAnsi="宋体" w:cs="宋体"/>
          <w:color w:val="000000"/>
          <w:kern w:val="0"/>
          <w:lang w:val="zh-CN"/>
        </w:rPr>
        <w:t>并在发布本次招标公告的网站上发布变更公告</w:t>
      </w:r>
      <w:r>
        <w:rPr>
          <w:rFonts w:hint="eastAsia" w:ascii="宋体" w:hAnsi="宋体" w:cs="宋体"/>
          <w:color w:val="000000"/>
          <w:kern w:val="0"/>
          <w:lang w:val="zh-CN"/>
        </w:rPr>
        <w:t>；不足15日的，采购人或者采购代理机构应当顺延提交投标文件的截止时间。</w:t>
      </w:r>
    </w:p>
    <w:p>
      <w:pPr>
        <w:pStyle w:val="16"/>
        <w:spacing w:before="0" w:after="0" w:line="360" w:lineRule="auto"/>
        <w:rPr>
          <w:rFonts w:ascii="宋体" w:hAnsi="宋体" w:cs="宋体"/>
          <w:color w:val="000000"/>
        </w:rPr>
      </w:pPr>
      <w:bookmarkStart w:id="11" w:name="_Toc25763"/>
      <w:r>
        <w:rPr>
          <w:rFonts w:hint="eastAsia" w:ascii="宋体" w:hAnsi="宋体" w:cs="宋体"/>
          <w:color w:val="000000"/>
          <w:lang w:val="zh-CN"/>
        </w:rPr>
        <w:t>三、投标文件的编制</w:t>
      </w:r>
      <w:bookmarkEnd w:id="11"/>
    </w:p>
    <w:p>
      <w:pPr>
        <w:pStyle w:val="16"/>
        <w:spacing w:before="0" w:after="0" w:line="360" w:lineRule="auto"/>
        <w:jc w:val="left"/>
        <w:rPr>
          <w:rFonts w:ascii="宋体" w:hAnsi="宋体" w:cs="宋体"/>
          <w:color w:val="000000"/>
          <w:lang w:val="zh-CN"/>
        </w:rPr>
      </w:pPr>
      <w:bookmarkStart w:id="12" w:name="_Toc2003"/>
      <w:r>
        <w:rPr>
          <w:rFonts w:hint="eastAsia" w:ascii="宋体" w:hAnsi="宋体" w:cs="宋体"/>
          <w:color w:val="000000"/>
          <w:sz w:val="28"/>
          <w:szCs w:val="28"/>
          <w:lang w:val="zh-CN"/>
        </w:rPr>
        <w:t>7.投标文件的语言及度量衡单位</w:t>
      </w:r>
      <w:bookmarkEnd w:id="12"/>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 xml:space="preserve"> </w:t>
      </w:r>
      <w:r>
        <w:rPr>
          <w:rFonts w:hint="eastAsia" w:ascii="宋体" w:hAnsi="宋体" w:cs="宋体"/>
          <w:color w:val="000000"/>
          <w:kern w:val="0"/>
          <w:lang w:val="zh-CN"/>
        </w:rPr>
        <w:t>投标人提交的投标文件以及投标人与</w:t>
      </w:r>
      <w:r>
        <w:rPr>
          <w:rFonts w:hint="eastAsia" w:ascii="宋体" w:hAnsi="宋体" w:cs="宋体"/>
          <w:color w:val="000000"/>
          <w:kern w:val="0"/>
          <w:u w:val="dashDotHeavy"/>
          <w:lang w:val="zh-CN"/>
        </w:rPr>
        <w:t>采购人或者采购代理机构</w:t>
      </w:r>
      <w:r>
        <w:rPr>
          <w:rFonts w:hint="eastAsia" w:ascii="宋体" w:hAnsi="宋体" w:cs="宋体"/>
          <w:color w:val="000000"/>
          <w:kern w:val="0"/>
          <w:lang w:val="zh-CN"/>
        </w:rPr>
        <w:t>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pPr>
        <w:pStyle w:val="16"/>
        <w:spacing w:before="0" w:after="0" w:line="360" w:lineRule="auto"/>
        <w:jc w:val="left"/>
        <w:rPr>
          <w:rFonts w:ascii="宋体" w:hAnsi="宋体" w:cs="宋体"/>
          <w:color w:val="000000"/>
          <w:lang w:val="zh-CN"/>
        </w:rPr>
      </w:pPr>
      <w:bookmarkStart w:id="13" w:name="_Toc22010"/>
      <w:r>
        <w:rPr>
          <w:rFonts w:hint="eastAsia" w:ascii="宋体" w:hAnsi="宋体" w:cs="宋体"/>
          <w:color w:val="000000"/>
          <w:sz w:val="28"/>
          <w:szCs w:val="28"/>
          <w:lang w:val="zh-CN"/>
        </w:rPr>
        <w:t>8.投标报价及币种</w:t>
      </w:r>
      <w:bookmarkEnd w:id="13"/>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8.1</w:t>
      </w:r>
      <w:r>
        <w:rPr>
          <w:rFonts w:hint="eastAsia" w:ascii="宋体" w:hAnsi="宋体" w:cs="宋体"/>
          <w:color w:val="000000"/>
          <w:kern w:val="0"/>
        </w:rPr>
        <w:t xml:space="preserve"> </w:t>
      </w:r>
      <w:r>
        <w:rPr>
          <w:rFonts w:hint="eastAsia" w:ascii="宋体" w:hAnsi="宋体" w:cs="宋体"/>
          <w:color w:val="000000"/>
          <w:kern w:val="0"/>
          <w:lang w:val="zh-CN"/>
        </w:rPr>
        <w:t>投标报价为投标总价。投标报价必须包括：</w:t>
      </w:r>
      <w:r>
        <w:rPr>
          <w:rFonts w:hint="eastAsia" w:ascii="宋体" w:hAnsi="宋体" w:cs="宋体"/>
          <w:color w:val="000000"/>
          <w:kern w:val="0"/>
          <w:u w:val="dashDotHeavy"/>
          <w:lang w:val="zh-CN"/>
        </w:rPr>
        <w:t>产品费、验收费、手续费、包装费、运输费、保险费、安装费、调试费、培训费、售前、售中、售后服务费、招标代理费、税金及不可预见费等全部费用。</w:t>
      </w:r>
      <w:r>
        <w:rPr>
          <w:rFonts w:hint="eastAsia" w:ascii="宋体" w:hAnsi="宋体" w:cs="宋体"/>
          <w:color w:val="000000"/>
          <w:kern w:val="0"/>
          <w:lang w:val="zh-CN"/>
        </w:rPr>
        <w:t>（说明：具体内容应根据项目特点实事求是的填写）</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8.2</w:t>
      </w:r>
      <w:r>
        <w:rPr>
          <w:rFonts w:hint="eastAsia" w:ascii="宋体" w:hAnsi="宋体" w:cs="宋体"/>
          <w:color w:val="000000"/>
          <w:kern w:val="0"/>
        </w:rPr>
        <w:t xml:space="preserve"> </w:t>
      </w:r>
      <w:r>
        <w:rPr>
          <w:rFonts w:hint="eastAsia" w:ascii="宋体" w:hAnsi="宋体" w:cs="宋体"/>
          <w:color w:val="000000"/>
          <w:kern w:val="0"/>
          <w:lang w:val="zh-CN"/>
        </w:rPr>
        <w:t>投标报价有效期与投标有效期一致。</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投标报价为闭口价，即中标后在合同有效期内价格不变。</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pPr>
        <w:pStyle w:val="16"/>
        <w:spacing w:before="0" w:after="0" w:line="360" w:lineRule="auto"/>
        <w:jc w:val="left"/>
        <w:rPr>
          <w:rFonts w:ascii="宋体" w:hAnsi="宋体" w:cs="宋体"/>
          <w:color w:val="000000"/>
          <w:lang w:val="zh-CN"/>
        </w:rPr>
      </w:pPr>
      <w:bookmarkStart w:id="14" w:name="_Toc28689"/>
      <w:r>
        <w:rPr>
          <w:rFonts w:hint="eastAsia" w:ascii="宋体" w:hAnsi="宋体" w:cs="宋体"/>
          <w:color w:val="000000"/>
          <w:sz w:val="28"/>
          <w:szCs w:val="28"/>
          <w:lang w:val="zh-CN"/>
        </w:rPr>
        <w:t>9.投标保证金</w:t>
      </w:r>
      <w:bookmarkEnd w:id="14"/>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9.1</w:t>
      </w:r>
      <w:r>
        <w:rPr>
          <w:rFonts w:hint="eastAsia" w:ascii="宋体" w:hAnsi="宋体" w:cs="宋体"/>
          <w:color w:val="000000"/>
          <w:kern w:val="0"/>
        </w:rPr>
        <w:t xml:space="preserve"> </w:t>
      </w:r>
      <w:r>
        <w:rPr>
          <w:rFonts w:hint="eastAsia" w:ascii="宋体" w:hAnsi="宋体" w:cs="宋体"/>
          <w:color w:val="000000"/>
          <w:kern w:val="0"/>
          <w:lang w:val="zh-CN"/>
        </w:rPr>
        <w:t>投标人须在投标截止期前按以下要求交纳投标保证金（说明：收取的投标保证金不得超过采购项目预算金额的2%）：</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投标保证金：</w:t>
      </w:r>
      <w:r>
        <w:rPr>
          <w:rFonts w:hint="eastAsia" w:ascii="宋体" w:hAnsi="宋体" w:cs="宋体"/>
          <w:color w:val="000000"/>
          <w:kern w:val="0"/>
          <w:lang w:val="en-US" w:eastAsia="zh-CN"/>
        </w:rPr>
        <w:t>6000</w:t>
      </w:r>
      <w:r>
        <w:rPr>
          <w:rFonts w:hint="eastAsia" w:ascii="宋体" w:hAnsi="宋体" w:cs="宋体"/>
          <w:color w:val="000000"/>
          <w:kern w:val="0"/>
          <w:lang w:val="zh-CN"/>
        </w:rPr>
        <w:t>.00元整（大写：陆仟元整）；</w:t>
      </w:r>
    </w:p>
    <w:p>
      <w:pPr>
        <w:autoSpaceDE w:val="0"/>
        <w:autoSpaceDN w:val="0"/>
        <w:spacing w:line="360" w:lineRule="auto"/>
        <w:ind w:firstLine="480" w:firstLineChars="200"/>
        <w:rPr>
          <w:rFonts w:hint="eastAsia" w:ascii="宋体" w:hAnsi="宋体" w:cs="宋体"/>
          <w:b/>
          <w:bCs/>
          <w:color w:val="000000"/>
          <w:kern w:val="0"/>
          <w:lang w:val="zh-CN"/>
        </w:rPr>
      </w:pPr>
      <w:r>
        <w:rPr>
          <w:rFonts w:hint="eastAsia" w:ascii="宋体" w:hAnsi="宋体" w:cs="宋体"/>
          <w:color w:val="000000"/>
          <w:kern w:val="0"/>
          <w:lang w:val="zh-CN"/>
        </w:rPr>
        <w:t>收款单位：</w:t>
      </w:r>
      <w:r>
        <w:rPr>
          <w:rFonts w:hint="eastAsia" w:ascii="宋体" w:hAnsi="宋体" w:cs="宋体"/>
          <w:b/>
          <w:bCs/>
          <w:color w:val="000000"/>
          <w:kern w:val="0"/>
          <w:lang w:val="zh-CN"/>
        </w:rPr>
        <w:t>凌辉建设工程咨询有限公司</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开 户 行：</w:t>
      </w:r>
      <w:r>
        <w:rPr>
          <w:rFonts w:hint="eastAsia" w:ascii="宋体" w:hAnsi="宋体" w:cs="宋体"/>
          <w:b/>
          <w:bCs/>
          <w:color w:val="000000"/>
          <w:kern w:val="0"/>
          <w:lang w:val="zh-CN"/>
        </w:rPr>
        <w:t>招商银行股份有限公司西安南大街支行</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银行账号：</w:t>
      </w:r>
      <w:r>
        <w:rPr>
          <w:rFonts w:hint="eastAsia" w:ascii="宋体" w:hAnsi="宋体" w:cs="宋体"/>
          <w:b/>
          <w:bCs/>
          <w:color w:val="000000"/>
          <w:kern w:val="0"/>
          <w:lang w:val="zh-CN"/>
        </w:rPr>
        <w:t>292083674310001</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交纳时间：开标前一个工作日1</w:t>
      </w:r>
      <w:r>
        <w:rPr>
          <w:rFonts w:hint="eastAsia" w:ascii="宋体" w:hAnsi="宋体" w:cs="宋体"/>
          <w:color w:val="000000"/>
          <w:kern w:val="0"/>
          <w:lang w:val="en-US" w:eastAsia="zh-CN"/>
        </w:rPr>
        <w:t>6</w:t>
      </w:r>
      <w:r>
        <w:rPr>
          <w:rFonts w:hint="eastAsia" w:ascii="宋体" w:hAnsi="宋体" w:cs="宋体"/>
          <w:color w:val="000000"/>
          <w:kern w:val="0"/>
          <w:lang w:val="zh-CN"/>
        </w:rPr>
        <w:t>时00分前，以银行到账时间为准。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如采购项目变更开标时间，则保证金交纳时间相应顺延。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9.2</w:t>
      </w:r>
      <w:r>
        <w:rPr>
          <w:rFonts w:hint="eastAsia" w:ascii="宋体" w:hAnsi="宋体" w:cs="宋体"/>
          <w:color w:val="000000"/>
          <w:kern w:val="0"/>
        </w:rPr>
        <w:t xml:space="preserve"> 缴费方式：投标保证金应当以支票、汇票、本票或者金融机构、担保机构出具的保函等非现金形式提交。</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9.3</w:t>
      </w:r>
      <w:r>
        <w:rPr>
          <w:rFonts w:hint="eastAsia" w:ascii="宋体" w:hAnsi="宋体" w:cs="宋体"/>
          <w:color w:val="000000"/>
          <w:kern w:val="0"/>
        </w:rPr>
        <w:t xml:space="preserve"> </w:t>
      </w:r>
      <w:r>
        <w:rPr>
          <w:rFonts w:hint="eastAsia" w:ascii="宋体" w:hAnsi="宋体" w:cs="宋体"/>
          <w:color w:val="000000"/>
          <w:kern w:val="0"/>
          <w:lang w:val="zh-CN"/>
        </w:rPr>
        <w:t>投标保证金退还：投标人在投标截止时间前撤回已提交的投标文件的，</w:t>
      </w:r>
      <w:r>
        <w:rPr>
          <w:rFonts w:hint="eastAsia" w:ascii="宋体" w:hAnsi="宋体" w:cs="宋体"/>
          <w:color w:val="000000"/>
          <w:kern w:val="0"/>
          <w:u w:val="dashDotHeavy"/>
          <w:lang w:val="zh-CN"/>
        </w:rPr>
        <w:t>采购人或采购代理机构</w:t>
      </w:r>
      <w:r>
        <w:rPr>
          <w:rFonts w:hint="eastAsia" w:ascii="宋体" w:hAnsi="宋体" w:cs="宋体"/>
          <w:color w:val="000000"/>
          <w:kern w:val="0"/>
          <w:lang w:val="zh-CN"/>
        </w:rPr>
        <w:t>应当自收到投标人书面撤回通知之日起５个工作日内，退还已收取的投标保证金，但因投标人自身原因导致无法及时退还的除外。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u w:val="dashDotHeavy"/>
          <w:lang w:val="zh-CN"/>
        </w:rPr>
        <w:t>采购人或采购代理机构</w:t>
      </w:r>
      <w:r>
        <w:rPr>
          <w:rFonts w:hint="eastAsia" w:ascii="宋体" w:hAnsi="宋体" w:cs="宋体"/>
          <w:color w:val="000000"/>
          <w:kern w:val="0"/>
          <w:lang w:val="zh-CN"/>
        </w:rPr>
        <w:t>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u w:val="dashDotHeavy"/>
          <w:lang w:val="zh-CN"/>
        </w:rPr>
        <w:t>采购人或采购代理机构</w:t>
      </w:r>
      <w:r>
        <w:rPr>
          <w:rFonts w:hint="eastAsia" w:ascii="宋体" w:hAnsi="宋体" w:cs="宋体"/>
          <w:color w:val="000000"/>
          <w:kern w:val="0"/>
          <w:lang w:val="zh-CN"/>
        </w:rPr>
        <w:t>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9.4</w:t>
      </w:r>
      <w:r>
        <w:rPr>
          <w:rFonts w:ascii="宋体" w:hAnsi="宋体" w:cs="宋体"/>
          <w:color w:val="000000"/>
          <w:kern w:val="0"/>
          <w:lang w:val="zh-CN"/>
        </w:rPr>
        <w:t xml:space="preserve"> </w:t>
      </w:r>
      <w:r>
        <w:rPr>
          <w:rFonts w:hint="eastAsia" w:ascii="宋体" w:hAnsi="宋体" w:cs="宋体"/>
          <w:color w:val="000000"/>
          <w:kern w:val="0"/>
          <w:lang w:val="zh-CN"/>
        </w:rPr>
        <w:t>投标有效期内投标人撤销投标文件的，采购人或者采购代理机构可以不退还投标保证金。</w:t>
      </w:r>
    </w:p>
    <w:p>
      <w:pPr>
        <w:pStyle w:val="16"/>
        <w:spacing w:before="0" w:after="0" w:line="360" w:lineRule="auto"/>
        <w:jc w:val="left"/>
        <w:rPr>
          <w:rFonts w:ascii="宋体" w:hAnsi="宋体" w:cs="宋体"/>
          <w:color w:val="000000"/>
          <w:lang w:val="zh-CN"/>
        </w:rPr>
      </w:pPr>
      <w:bookmarkStart w:id="15" w:name="_Toc20763"/>
      <w:r>
        <w:rPr>
          <w:rFonts w:hint="eastAsia" w:ascii="宋体" w:hAnsi="宋体" w:cs="宋体"/>
          <w:color w:val="000000"/>
          <w:sz w:val="28"/>
          <w:szCs w:val="28"/>
          <w:lang w:val="zh-CN"/>
        </w:rPr>
        <w:t>10.投标有效期</w:t>
      </w:r>
      <w:bookmarkEnd w:id="15"/>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shd w:val="clear" w:color="auto" w:fill="FFFFFF"/>
        </w:rPr>
        <w:t>从提交投标文件的截止之日起</w:t>
      </w:r>
      <w:r>
        <w:rPr>
          <w:rFonts w:hint="eastAsia" w:ascii="宋体" w:hAnsi="宋体" w:cs="宋体"/>
          <w:color w:val="000000"/>
          <w:kern w:val="0"/>
          <w:u w:val="dashDotHeavy"/>
          <w:lang w:val="zh-CN"/>
        </w:rPr>
        <w:t>60</w:t>
      </w:r>
      <w:r>
        <w:rPr>
          <w:rFonts w:hint="eastAsia" w:ascii="宋体" w:hAnsi="宋体" w:cs="宋体"/>
          <w:color w:val="000000"/>
          <w:kern w:val="0"/>
          <w:lang w:val="zh-CN"/>
        </w:rPr>
        <w:t>日历日（说明：一般为</w:t>
      </w:r>
      <w:r>
        <w:rPr>
          <w:rFonts w:hint="eastAsia" w:ascii="宋体" w:hAnsi="宋体" w:cs="宋体"/>
          <w:color w:val="000000"/>
          <w:kern w:val="0"/>
        </w:rPr>
        <w:t>60天</w:t>
      </w:r>
      <w:r>
        <w:rPr>
          <w:rFonts w:hint="eastAsia" w:ascii="宋体" w:hAnsi="宋体" w:cs="宋体"/>
          <w:color w:val="000000"/>
          <w:kern w:val="0"/>
          <w:lang w:val="zh-CN"/>
        </w:rPr>
        <w:t>）。投标文件中承诺的投标有效期应当不少于招标文件中载明的投标有效期。</w:t>
      </w:r>
    </w:p>
    <w:p>
      <w:pPr>
        <w:pStyle w:val="16"/>
        <w:spacing w:before="0" w:after="0" w:line="360" w:lineRule="auto"/>
        <w:jc w:val="left"/>
        <w:rPr>
          <w:rFonts w:ascii="宋体" w:hAnsi="宋体" w:cs="宋体"/>
          <w:color w:val="000000"/>
          <w:lang w:val="zh-CN"/>
        </w:rPr>
      </w:pPr>
      <w:bookmarkStart w:id="16" w:name="_Toc10556"/>
      <w:r>
        <w:rPr>
          <w:rFonts w:hint="eastAsia" w:ascii="宋体" w:hAnsi="宋体" w:cs="宋体"/>
          <w:color w:val="000000"/>
          <w:sz w:val="28"/>
          <w:szCs w:val="28"/>
          <w:lang w:val="zh-CN"/>
        </w:rPr>
        <w:t>11.投标文件构成</w:t>
      </w:r>
      <w:bookmarkEnd w:id="16"/>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宋体" w:hAnsi="宋体" w:cs="宋体"/>
          <w:color w:val="000000"/>
        </w:rPr>
      </w:pPr>
      <w:r>
        <w:rPr>
          <w:rFonts w:hint="eastAsia" w:ascii="宋体" w:hAnsi="宋体" w:cs="宋体"/>
          <w:b/>
          <w:bCs/>
          <w:color w:val="000000"/>
          <w:kern w:val="0"/>
        </w:rPr>
        <w:t>11.1</w:t>
      </w:r>
      <w:r>
        <w:rPr>
          <w:rFonts w:hint="eastAsia" w:ascii="宋体" w:hAnsi="宋体" w:cs="宋体"/>
          <w:b/>
          <w:bCs/>
          <w:color w:val="000000"/>
          <w:kern w:val="0"/>
          <w:lang w:val="zh-CN"/>
        </w:rPr>
        <w:t>、投标文件（上册）（资格审查）</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法定代表人证明书</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法定代表人授权书</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投标人承诺函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投标人诚信承诺书</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资格证明材料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无重大违法记录声明</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投标保证金证明</w:t>
      </w:r>
    </w:p>
    <w:p>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rPr>
        <w:t xml:space="preserve">11.2 </w:t>
      </w:r>
      <w:r>
        <w:rPr>
          <w:rFonts w:hint="eastAsia" w:ascii="宋体" w:hAnsi="宋体" w:cs="宋体"/>
          <w:b/>
          <w:bCs/>
          <w:color w:val="000000"/>
          <w:kern w:val="0"/>
          <w:lang w:val="zh-CN"/>
        </w:rPr>
        <w:t>投标文件（下册）</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评分对照表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开标一览表（报价表）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分项报价表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技术规格响应表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投标产品相关资料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投标人的类似业绩证明材料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制造（生产）企业小型、微型企业声明函、从业人员声明函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rPr>
        <w:t>残疾人福利性单位声明函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投标人认为在其他方面有必要说明的事项</w:t>
      </w:r>
    </w:p>
    <w:p>
      <w:pPr>
        <w:autoSpaceDE w:val="0"/>
        <w:autoSpaceDN w:val="0"/>
        <w:spacing w:line="360" w:lineRule="auto"/>
        <w:ind w:firstLine="600" w:firstLineChars="250"/>
        <w:rPr>
          <w:rFonts w:ascii="宋体" w:hAnsi="宋体" w:cs="宋体"/>
          <w:color w:val="000000"/>
          <w:kern w:val="0"/>
          <w:lang w:val="zh-CN"/>
        </w:rPr>
      </w:pP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pPr>
        <w:pStyle w:val="16"/>
        <w:spacing w:before="0" w:after="0" w:line="360" w:lineRule="auto"/>
        <w:jc w:val="left"/>
        <w:rPr>
          <w:rFonts w:ascii="宋体" w:hAnsi="宋体" w:cs="宋体"/>
          <w:color w:val="000000"/>
          <w:lang w:val="zh-CN"/>
        </w:rPr>
      </w:pPr>
      <w:bookmarkStart w:id="17" w:name="_Toc21389"/>
      <w:r>
        <w:rPr>
          <w:rFonts w:hint="eastAsia" w:ascii="宋体" w:hAnsi="宋体" w:cs="宋体"/>
          <w:color w:val="000000"/>
          <w:sz w:val="28"/>
          <w:szCs w:val="28"/>
          <w:lang w:val="zh-CN"/>
        </w:rPr>
        <w:t>12.投标文件的编制要求</w:t>
      </w:r>
      <w:bookmarkEnd w:id="17"/>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12.1</w:t>
      </w:r>
      <w:r>
        <w:rPr>
          <w:rFonts w:hint="eastAsia" w:ascii="宋体" w:hAnsi="宋体" w:cs="宋体"/>
          <w:color w:val="000000"/>
          <w:kern w:val="0"/>
        </w:rPr>
        <w:t xml:space="preserve"> </w:t>
      </w:r>
      <w:r>
        <w:rPr>
          <w:rFonts w:hint="eastAsia" w:ascii="宋体" w:hAnsi="宋体" w:cs="宋体"/>
          <w:color w:val="000000"/>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12.2</w:t>
      </w:r>
      <w:r>
        <w:rPr>
          <w:rFonts w:hint="eastAsia" w:ascii="宋体" w:hAnsi="宋体" w:cs="宋体"/>
          <w:color w:val="000000"/>
          <w:kern w:val="0"/>
        </w:rPr>
        <w:t xml:space="preserve"> </w:t>
      </w:r>
      <w:r>
        <w:rPr>
          <w:rFonts w:hint="eastAsia" w:ascii="宋体" w:hAnsi="宋体" w:cs="宋体"/>
          <w:color w:val="000000"/>
          <w:kern w:val="0"/>
          <w:lang w:val="zh-CN"/>
        </w:rPr>
        <w:t>投标人应准备纸质投标文件正本1份</w:t>
      </w:r>
      <w:r>
        <w:rPr>
          <w:rFonts w:hint="eastAsia" w:ascii="宋体" w:hAnsi="宋体" w:cs="宋体"/>
          <w:color w:val="000000"/>
          <w:kern w:val="0"/>
        </w:rPr>
        <w:t>(上、下册)</w:t>
      </w:r>
      <w:r>
        <w:rPr>
          <w:rFonts w:hint="eastAsia" w:ascii="宋体" w:hAnsi="宋体" w:cs="宋体"/>
          <w:color w:val="000000"/>
          <w:kern w:val="0"/>
          <w:lang w:val="zh-CN"/>
        </w:rPr>
        <w:t>、副本</w:t>
      </w:r>
      <w:r>
        <w:rPr>
          <w:rFonts w:hint="eastAsia" w:ascii="宋体" w:hAnsi="宋体" w:cs="宋体"/>
          <w:color w:val="000000"/>
          <w:kern w:val="0"/>
          <w:u w:val="dashDotHeavy"/>
          <w:lang w:val="zh-CN"/>
        </w:rPr>
        <w:t>2</w:t>
      </w:r>
      <w:r>
        <w:rPr>
          <w:rFonts w:hint="eastAsia" w:ascii="宋体" w:hAnsi="宋体" w:cs="宋体"/>
          <w:color w:val="000000"/>
          <w:kern w:val="0"/>
          <w:lang w:val="zh-CN"/>
        </w:rPr>
        <w:t>份</w:t>
      </w:r>
      <w:r>
        <w:rPr>
          <w:rFonts w:hint="eastAsia" w:ascii="宋体" w:hAnsi="宋体" w:cs="宋体"/>
          <w:color w:val="000000"/>
          <w:kern w:val="0"/>
        </w:rPr>
        <w:t>(上、下册)</w:t>
      </w:r>
      <w:r>
        <w:rPr>
          <w:rFonts w:hint="eastAsia" w:ascii="宋体" w:hAnsi="宋体" w:cs="宋体"/>
          <w:color w:val="000000"/>
          <w:kern w:val="0"/>
          <w:lang w:val="zh-CN"/>
        </w:rPr>
        <w:t>，电子文档1份</w:t>
      </w:r>
      <w:r>
        <w:rPr>
          <w:rFonts w:hint="eastAsia" w:ascii="宋体" w:hAnsi="宋体" w:cs="宋体"/>
          <w:color w:val="000000"/>
          <w:kern w:val="0"/>
        </w:rPr>
        <w:t>(上、下册)</w:t>
      </w:r>
      <w:r>
        <w:rPr>
          <w:rFonts w:hint="eastAsia" w:ascii="宋体" w:hAnsi="宋体" w:cs="宋体"/>
          <w:color w:val="000000"/>
          <w:kern w:val="0"/>
          <w:lang w:val="zh-CN"/>
        </w:rPr>
        <w:t>。若发生正本和副本不符，以正本为准。投标文件统一使用A4幅面的纸张印制，必须胶装成</w:t>
      </w:r>
      <w:r>
        <w:rPr>
          <w:rFonts w:hint="eastAsia" w:ascii="宋体" w:hAnsi="宋体" w:cs="宋体"/>
          <w:color w:val="000000"/>
          <w:kern w:val="0"/>
        </w:rPr>
        <w:t>上、下两</w:t>
      </w:r>
      <w:r>
        <w:rPr>
          <w:rFonts w:hint="eastAsia" w:ascii="宋体" w:hAnsi="宋体" w:cs="宋体"/>
          <w:color w:val="000000"/>
          <w:kern w:val="0"/>
          <w:lang w:val="zh-CN"/>
        </w:rPr>
        <w:t>册</w:t>
      </w:r>
      <w:r>
        <w:rPr>
          <w:rFonts w:hint="eastAsia" w:ascii="宋体" w:hAnsi="宋体" w:cs="宋体"/>
        </w:rPr>
        <w:t>并</w:t>
      </w:r>
      <w:r>
        <w:rPr>
          <w:rFonts w:hint="eastAsia" w:ascii="宋体" w:hAnsi="宋体" w:cs="宋体"/>
          <w:bCs/>
        </w:rPr>
        <w:t>在</w:t>
      </w:r>
      <w:r>
        <w:rPr>
          <w:rFonts w:hint="eastAsia" w:ascii="宋体" w:hAnsi="宋体" w:cs="宋体"/>
          <w:bCs/>
          <w:lang w:eastAsia="zh-CN"/>
        </w:rPr>
        <w:t>标书</w:t>
      </w:r>
      <w:r>
        <w:rPr>
          <w:rFonts w:hint="eastAsia" w:ascii="宋体" w:hAnsi="宋体" w:cs="宋体"/>
          <w:bCs/>
        </w:rPr>
        <w:t>每一页的正下方清楚标明共几页、第几页等字样；</w:t>
      </w:r>
      <w:r>
        <w:rPr>
          <w:rFonts w:hint="eastAsia" w:ascii="宋体" w:hAnsi="宋体" w:cs="宋体"/>
          <w:color w:val="000000"/>
          <w:kern w:val="0"/>
          <w:lang w:val="zh-CN"/>
        </w:rPr>
        <w:t>侧面写明项目名称及供应商名称，其他方式装订的投标文件一概不予接受。</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12.3 投标文件的正本</w:t>
      </w:r>
      <w:r>
        <w:rPr>
          <w:rFonts w:hint="eastAsia" w:ascii="宋体" w:hAnsi="宋体" w:cs="宋体"/>
          <w:color w:val="000000"/>
          <w:kern w:val="0"/>
        </w:rPr>
        <w:t>(上、下册)</w:t>
      </w:r>
      <w:r>
        <w:rPr>
          <w:rFonts w:hint="eastAsia" w:ascii="宋体" w:hAnsi="宋体" w:cs="宋体"/>
          <w:color w:val="000000"/>
          <w:kern w:val="0"/>
          <w:lang w:val="zh-CN"/>
        </w:rPr>
        <w:t>需全套彩色打印或用不褪色、不变质的墨水书写，副本</w:t>
      </w:r>
      <w:r>
        <w:rPr>
          <w:rFonts w:hint="eastAsia" w:ascii="宋体" w:hAnsi="宋体" w:cs="宋体"/>
          <w:color w:val="000000"/>
          <w:kern w:val="0"/>
        </w:rPr>
        <w:t>(上、下册)</w:t>
      </w:r>
      <w:r>
        <w:rPr>
          <w:rFonts w:hint="eastAsia" w:ascii="宋体" w:hAnsi="宋体" w:cs="宋体"/>
          <w:color w:val="000000"/>
          <w:kern w:val="0"/>
          <w:lang w:val="zh-CN"/>
        </w:rPr>
        <w:t>可采用正本的复印件加盖骑缝章。电子文档</w:t>
      </w:r>
      <w:r>
        <w:rPr>
          <w:rFonts w:hint="eastAsia" w:ascii="宋体" w:hAnsi="宋体" w:cs="宋体"/>
          <w:color w:val="000000"/>
          <w:kern w:val="0"/>
        </w:rPr>
        <w:t>(上、下册)</w:t>
      </w:r>
      <w:r>
        <w:rPr>
          <w:rFonts w:hint="eastAsia" w:ascii="宋体" w:hAnsi="宋体" w:cs="宋体"/>
          <w:color w:val="000000"/>
          <w:kern w:val="0"/>
          <w:lang w:val="zh-CN"/>
        </w:rPr>
        <w:t>用U盘制作，采用不可修改文档格式（如：PDF格式），内容必须和纸质投标文件正本</w:t>
      </w:r>
      <w:r>
        <w:rPr>
          <w:rFonts w:hint="eastAsia" w:ascii="宋体" w:hAnsi="宋体" w:cs="宋体"/>
          <w:color w:val="000000"/>
          <w:kern w:val="0"/>
        </w:rPr>
        <w:t>(上、下册)</w:t>
      </w:r>
      <w:r>
        <w:rPr>
          <w:rFonts w:hint="eastAsia" w:ascii="宋体" w:hAnsi="宋体" w:cs="宋体"/>
          <w:color w:val="000000"/>
          <w:kern w:val="0"/>
          <w:lang w:val="zh-CN"/>
        </w:rPr>
        <w:t>完全一致，包括封面、页码、签字、盖章等。</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12.4 投标文件中不得行间插字、涂改或增删，如有修改错漏处，须由投标人法定代表人或其委托代理人签字、加盖公章。</w:t>
      </w:r>
    </w:p>
    <w:p>
      <w:pPr>
        <w:pStyle w:val="16"/>
        <w:spacing w:before="0" w:after="0" w:line="360" w:lineRule="auto"/>
        <w:rPr>
          <w:rFonts w:ascii="宋体" w:hAnsi="宋体" w:cs="宋体"/>
          <w:color w:val="000000"/>
        </w:rPr>
      </w:pPr>
      <w:bookmarkStart w:id="18" w:name="_Toc3884"/>
      <w:r>
        <w:rPr>
          <w:rFonts w:hint="eastAsia" w:ascii="宋体" w:hAnsi="宋体" w:cs="宋体"/>
          <w:color w:val="000000"/>
          <w:lang w:val="zh-CN"/>
        </w:rPr>
        <w:t>四、投标文件的提交</w:t>
      </w:r>
      <w:bookmarkEnd w:id="18"/>
    </w:p>
    <w:p>
      <w:pPr>
        <w:pStyle w:val="16"/>
        <w:spacing w:before="0" w:after="0" w:line="360" w:lineRule="auto"/>
        <w:jc w:val="left"/>
        <w:rPr>
          <w:rFonts w:ascii="宋体" w:hAnsi="宋体" w:cs="宋体"/>
          <w:color w:val="000000"/>
          <w:lang w:val="zh-CN"/>
        </w:rPr>
      </w:pPr>
      <w:bookmarkStart w:id="19" w:name="_Toc29834"/>
      <w:r>
        <w:rPr>
          <w:rFonts w:hint="eastAsia" w:ascii="宋体" w:hAnsi="宋体" w:cs="宋体"/>
          <w:color w:val="000000"/>
          <w:sz w:val="28"/>
          <w:szCs w:val="28"/>
          <w:lang w:val="zh-CN"/>
        </w:rPr>
        <w:t>13.投标文件的密封和标记</w:t>
      </w:r>
      <w:bookmarkEnd w:id="19"/>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13.1</w:t>
      </w:r>
      <w:r>
        <w:rPr>
          <w:rFonts w:hint="eastAsia" w:ascii="宋体" w:hAnsi="宋体" w:cs="宋体"/>
          <w:color w:val="000000"/>
          <w:kern w:val="0"/>
        </w:rPr>
        <w:t xml:space="preserve"> </w:t>
      </w:r>
      <w:r>
        <w:rPr>
          <w:rFonts w:hint="eastAsia" w:ascii="宋体" w:hAnsi="宋体" w:cs="宋体"/>
          <w:color w:val="000000"/>
          <w:kern w:val="0"/>
          <w:lang w:val="zh-CN"/>
        </w:rPr>
        <w:t>投标文件正本</w:t>
      </w:r>
      <w:r>
        <w:rPr>
          <w:rFonts w:hint="eastAsia" w:ascii="宋体" w:hAnsi="宋体" w:cs="宋体"/>
          <w:color w:val="000000"/>
          <w:kern w:val="0"/>
        </w:rPr>
        <w:t>(上、下册)</w:t>
      </w:r>
      <w:r>
        <w:rPr>
          <w:rFonts w:hint="eastAsia" w:ascii="宋体" w:hAnsi="宋体" w:cs="宋体"/>
          <w:color w:val="000000"/>
          <w:kern w:val="0"/>
          <w:lang w:val="zh-CN"/>
        </w:rPr>
        <w:t>、所有副本</w:t>
      </w:r>
      <w:r>
        <w:rPr>
          <w:rFonts w:hint="eastAsia" w:ascii="宋体" w:hAnsi="宋体" w:cs="宋体"/>
          <w:color w:val="000000"/>
          <w:kern w:val="0"/>
        </w:rPr>
        <w:t>(上、下册)</w:t>
      </w:r>
      <w:r>
        <w:rPr>
          <w:rFonts w:hint="eastAsia" w:ascii="宋体" w:hAnsi="宋体" w:cs="宋体"/>
          <w:color w:val="000000"/>
          <w:kern w:val="0"/>
          <w:lang w:val="zh-CN"/>
        </w:rPr>
        <w:t>、电子文档</w:t>
      </w:r>
      <w:r>
        <w:rPr>
          <w:rFonts w:hint="eastAsia" w:ascii="宋体" w:hAnsi="宋体" w:cs="宋体"/>
          <w:color w:val="000000"/>
          <w:kern w:val="0"/>
        </w:rPr>
        <w:t>(上、下册)</w:t>
      </w:r>
      <w:r>
        <w:rPr>
          <w:rFonts w:hint="eastAsia" w:ascii="宋体" w:hAnsi="宋体" w:cs="宋体"/>
          <w:color w:val="000000"/>
          <w:kern w:val="0"/>
          <w:lang w:val="zh-CN"/>
        </w:rPr>
        <w:t>，应分别封装于不同的密封袋内，密封袋上应分别标上“正本”、“副本”、“电子文档”字样，并注明投标人名称、采购项目编号、采购项目名称及分包号（如有分包）。</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13.2</w:t>
      </w:r>
      <w:r>
        <w:rPr>
          <w:rFonts w:hint="eastAsia" w:ascii="宋体" w:hAnsi="宋体" w:cs="宋体"/>
          <w:color w:val="000000"/>
          <w:kern w:val="0"/>
        </w:rPr>
        <w:t xml:space="preserve"> </w:t>
      </w:r>
      <w:r>
        <w:rPr>
          <w:rFonts w:hint="eastAsia" w:ascii="宋体" w:hAnsi="宋体" w:cs="宋体"/>
          <w:color w:val="000000"/>
          <w:kern w:val="0"/>
          <w:lang w:val="zh-CN"/>
        </w:rPr>
        <w:t>密封后的投标文件密封袋用“于</w:t>
      </w:r>
      <w:r>
        <w:rPr>
          <w:rFonts w:hint="eastAsia" w:ascii="宋体" w:hAnsi="宋体" w:cs="宋体"/>
          <w:color w:val="000000"/>
          <w:kern w:val="0"/>
          <w:u w:val="dashDotHeavy"/>
          <w:lang w:val="zh-CN"/>
        </w:rPr>
        <w:t>2</w:t>
      </w:r>
      <w:r>
        <w:rPr>
          <w:rFonts w:hint="eastAsia" w:ascii="宋体" w:hAnsi="宋体" w:cs="宋体"/>
          <w:color w:val="953735" w:themeColor="accent2" w:themeShade="BF"/>
          <w:kern w:val="0"/>
          <w:u w:val="dashDotHeavy"/>
          <w:lang w:val="zh-CN"/>
        </w:rPr>
        <w:t>019</w:t>
      </w:r>
      <w:r>
        <w:rPr>
          <w:rFonts w:hint="eastAsia" w:ascii="宋体" w:hAnsi="宋体" w:cs="宋体"/>
          <w:color w:val="953735" w:themeColor="accent2" w:themeShade="BF"/>
          <w:kern w:val="0"/>
          <w:lang w:val="zh-CN"/>
        </w:rPr>
        <w:t>年</w:t>
      </w:r>
      <w:r>
        <w:rPr>
          <w:rFonts w:hint="eastAsia" w:ascii="宋体" w:hAnsi="宋体" w:cs="宋体"/>
          <w:color w:val="953735" w:themeColor="accent2" w:themeShade="BF"/>
          <w:kern w:val="0"/>
          <w:u w:val="dashDotHeavy"/>
        </w:rPr>
        <w:t>*</w:t>
      </w:r>
      <w:r>
        <w:rPr>
          <w:rFonts w:hint="eastAsia" w:ascii="宋体" w:hAnsi="宋体" w:cs="宋体"/>
          <w:color w:val="953735" w:themeColor="accent2" w:themeShade="BF"/>
          <w:kern w:val="0"/>
          <w:lang w:val="zh-CN"/>
        </w:rPr>
        <w:t>月</w:t>
      </w:r>
      <w:r>
        <w:rPr>
          <w:rFonts w:hint="eastAsia" w:ascii="宋体" w:hAnsi="宋体" w:cs="宋体"/>
          <w:color w:val="953735" w:themeColor="accent2" w:themeShade="BF"/>
          <w:kern w:val="0"/>
        </w:rPr>
        <w:t>*</w:t>
      </w:r>
      <w:r>
        <w:rPr>
          <w:rFonts w:hint="eastAsia" w:ascii="宋体" w:hAnsi="宋体" w:cs="宋体"/>
          <w:color w:val="953735" w:themeColor="accent2" w:themeShade="BF"/>
          <w:kern w:val="0"/>
          <w:lang w:val="zh-CN"/>
        </w:rPr>
        <w:t>日</w:t>
      </w:r>
      <w:r>
        <w:rPr>
          <w:rFonts w:hint="eastAsia" w:ascii="宋体" w:hAnsi="宋体" w:cs="宋体"/>
          <w:color w:val="953735" w:themeColor="accent2" w:themeShade="BF"/>
          <w:kern w:val="0"/>
          <w:u w:val="dashDotHeavy"/>
        </w:rPr>
        <w:t>*</w:t>
      </w:r>
      <w:r>
        <w:rPr>
          <w:rFonts w:hint="eastAsia" w:ascii="宋体" w:hAnsi="宋体" w:cs="宋体"/>
          <w:color w:val="953735" w:themeColor="accent2" w:themeShade="BF"/>
          <w:kern w:val="0"/>
          <w:lang w:val="zh-CN"/>
        </w:rPr>
        <w:t>时</w:t>
      </w:r>
      <w:r>
        <w:rPr>
          <w:rFonts w:hint="eastAsia" w:ascii="宋体" w:hAnsi="宋体" w:cs="宋体"/>
          <w:color w:val="953735" w:themeColor="accent2" w:themeShade="BF"/>
          <w:kern w:val="0"/>
          <w:u w:val="dashDotHeavy"/>
        </w:rPr>
        <w:t>*</w:t>
      </w:r>
      <w:r>
        <w:rPr>
          <w:rFonts w:hint="eastAsia" w:ascii="宋体" w:hAnsi="宋体" w:cs="宋体"/>
          <w:color w:val="000000"/>
          <w:kern w:val="0"/>
          <w:lang w:val="zh-CN"/>
        </w:rPr>
        <w:t>分（北京时间）之前不准启封”的标签密封。</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13.</w:t>
      </w:r>
      <w:r>
        <w:rPr>
          <w:rFonts w:hint="eastAsia" w:ascii="宋体" w:hAnsi="宋体" w:cs="宋体"/>
          <w:color w:val="000000"/>
          <w:kern w:val="0"/>
        </w:rPr>
        <w:t>3 投标人</w:t>
      </w:r>
      <w:r>
        <w:rPr>
          <w:rFonts w:hint="eastAsia" w:ascii="宋体" w:hAnsi="宋体" w:cs="宋体"/>
          <w:color w:val="000000"/>
        </w:rPr>
        <w:t>如投多个包，投标文件每包分别按上述规定装订（如果有）。</w:t>
      </w:r>
    </w:p>
    <w:p>
      <w:pPr>
        <w:pStyle w:val="16"/>
        <w:spacing w:before="0" w:after="0" w:line="360" w:lineRule="auto"/>
        <w:jc w:val="left"/>
        <w:rPr>
          <w:rFonts w:ascii="宋体" w:hAnsi="宋体" w:cs="宋体"/>
          <w:color w:val="000000"/>
          <w:lang w:val="zh-CN"/>
        </w:rPr>
      </w:pPr>
      <w:bookmarkStart w:id="20" w:name="_Toc25579"/>
      <w:r>
        <w:rPr>
          <w:rFonts w:hint="eastAsia" w:ascii="宋体" w:hAnsi="宋体" w:cs="宋体"/>
          <w:color w:val="000000"/>
          <w:sz w:val="28"/>
          <w:szCs w:val="28"/>
          <w:lang w:val="zh-CN"/>
        </w:rPr>
        <w:t>14.提交投标文件的时间、地点、方式</w:t>
      </w:r>
      <w:bookmarkEnd w:id="20"/>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14.1</w:t>
      </w:r>
      <w:r>
        <w:rPr>
          <w:rFonts w:hint="eastAsia" w:ascii="宋体" w:hAnsi="宋体" w:cs="宋体"/>
          <w:color w:val="000000"/>
          <w:kern w:val="0"/>
        </w:rPr>
        <w:t xml:space="preserve"> </w:t>
      </w:r>
      <w:r>
        <w:rPr>
          <w:rFonts w:hint="eastAsia" w:ascii="宋体" w:hAnsi="宋体" w:cs="宋体"/>
          <w:color w:val="000000"/>
          <w:kern w:val="0"/>
          <w:lang w:val="zh-CN"/>
        </w:rPr>
        <w:t>投标人应当在招标文件要求提交投标文件的截止时间前，将投标文件（</w:t>
      </w:r>
      <w:r>
        <w:rPr>
          <w:rFonts w:hint="eastAsia" w:ascii="宋体" w:hAnsi="宋体" w:cs="宋体"/>
          <w:color w:val="000000"/>
          <w:kern w:val="0"/>
        </w:rPr>
        <w:t>正本、副本、电子文档）</w:t>
      </w:r>
      <w:r>
        <w:rPr>
          <w:rFonts w:hint="eastAsia" w:ascii="宋体" w:hAnsi="宋体" w:cs="宋体"/>
          <w:color w:val="000000"/>
          <w:kern w:val="0"/>
          <w:lang w:val="zh-CN"/>
        </w:rPr>
        <w:t>密封送达投标地点，</w:t>
      </w:r>
      <w:r>
        <w:rPr>
          <w:rFonts w:ascii="宋体" w:hAnsi="宋体" w:cs="宋体"/>
          <w:color w:val="000000"/>
          <w:kern w:val="0"/>
          <w:lang w:val="zh-CN"/>
        </w:rPr>
        <w:t>并按要求递交投标文件</w:t>
      </w:r>
      <w:r>
        <w:rPr>
          <w:rFonts w:hint="eastAsia" w:ascii="宋体" w:hAnsi="宋体" w:cs="宋体"/>
          <w:color w:val="000000"/>
          <w:kern w:val="0"/>
          <w:lang w:val="zh-CN"/>
        </w:rPr>
        <w:t>，</w:t>
      </w:r>
      <w:r>
        <w:rPr>
          <w:rFonts w:hint="eastAsia" w:ascii="宋体" w:hAnsi="宋体" w:cs="宋体"/>
        </w:rPr>
        <w:t>在截止时间后送达的，采购人、集中采购机构或者评标委员会应当拒收。</w:t>
      </w:r>
      <w:r>
        <w:rPr>
          <w:rFonts w:hint="eastAsia" w:ascii="宋体" w:hAnsi="宋体" w:cs="宋体"/>
          <w:color w:val="000000"/>
          <w:kern w:val="0"/>
          <w:lang w:val="zh-CN"/>
        </w:rPr>
        <w:t>采购人或者采购代理机构收到投标文件后，应当如实记载投标文件的送达时间和密封情况，签收保存，并向投标人出具签收回执。任何单位和个人不得在开标前开启投标文件。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14.2 </w:t>
      </w:r>
      <w:r>
        <w:rPr>
          <w:rFonts w:hint="eastAsia" w:ascii="宋体" w:hAnsi="宋体" w:cs="宋体"/>
          <w:color w:val="000000"/>
          <w:kern w:val="0"/>
          <w:lang w:val="zh-CN"/>
        </w:rPr>
        <w:t>逾期送达或者未按照招标文件第13.1-1</w:t>
      </w:r>
      <w:r>
        <w:rPr>
          <w:rFonts w:hint="eastAsia" w:ascii="宋体" w:hAnsi="宋体" w:cs="宋体"/>
          <w:color w:val="000000"/>
          <w:kern w:val="0"/>
        </w:rPr>
        <w:t>3</w:t>
      </w: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条要求密封的投标文件，采购人、采购代理机构应当拒收。</w:t>
      </w:r>
    </w:p>
    <w:p>
      <w:pPr>
        <w:pStyle w:val="16"/>
        <w:spacing w:before="0" w:after="0" w:line="360" w:lineRule="auto"/>
        <w:jc w:val="left"/>
        <w:rPr>
          <w:rFonts w:ascii="宋体" w:hAnsi="宋体" w:cs="宋体"/>
          <w:color w:val="000000"/>
          <w:lang w:val="zh-CN"/>
        </w:rPr>
      </w:pPr>
      <w:bookmarkStart w:id="21" w:name="_Toc16071"/>
      <w:r>
        <w:rPr>
          <w:rFonts w:hint="eastAsia" w:ascii="宋体" w:hAnsi="宋体" w:cs="宋体"/>
          <w:color w:val="000000"/>
          <w:sz w:val="28"/>
          <w:szCs w:val="28"/>
          <w:lang w:val="zh-CN"/>
        </w:rPr>
        <w:t>15.投标文件的补充、修改或者撤回</w:t>
      </w:r>
      <w:bookmarkEnd w:id="21"/>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16"/>
        <w:spacing w:before="0" w:after="0" w:line="360" w:lineRule="auto"/>
        <w:rPr>
          <w:rFonts w:ascii="宋体" w:hAnsi="宋体" w:cs="宋体"/>
          <w:color w:val="000000"/>
          <w:highlight w:val="green"/>
        </w:rPr>
      </w:pPr>
      <w:bookmarkStart w:id="22" w:name="_Toc23784"/>
      <w:r>
        <w:rPr>
          <w:rFonts w:hint="eastAsia" w:ascii="宋体" w:hAnsi="宋体" w:cs="宋体"/>
          <w:color w:val="000000"/>
          <w:lang w:val="zh-CN"/>
        </w:rPr>
        <w:t>五、开标</w:t>
      </w:r>
      <w:bookmarkEnd w:id="22"/>
    </w:p>
    <w:p>
      <w:pPr>
        <w:pStyle w:val="16"/>
        <w:spacing w:before="0" w:after="0" w:line="360" w:lineRule="auto"/>
        <w:jc w:val="left"/>
        <w:rPr>
          <w:rFonts w:ascii="宋体" w:hAnsi="宋体" w:cs="宋体"/>
          <w:color w:val="000000"/>
          <w:lang w:val="zh-CN"/>
        </w:rPr>
      </w:pPr>
      <w:bookmarkStart w:id="23" w:name="_Toc14682"/>
      <w:r>
        <w:rPr>
          <w:rFonts w:hint="eastAsia" w:ascii="宋体" w:hAnsi="宋体" w:cs="宋体"/>
          <w:color w:val="000000"/>
          <w:sz w:val="28"/>
          <w:szCs w:val="28"/>
          <w:lang w:val="zh-CN"/>
        </w:rPr>
        <w:t>16.开标</w:t>
      </w:r>
      <w:bookmarkEnd w:id="23"/>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16.1</w:t>
      </w:r>
      <w:r>
        <w:rPr>
          <w:rFonts w:hint="eastAsia" w:ascii="宋体" w:hAnsi="宋体" w:cs="宋体"/>
          <w:color w:val="000000"/>
          <w:kern w:val="0"/>
        </w:rPr>
        <w:t xml:space="preserve"> </w:t>
      </w:r>
      <w:r>
        <w:rPr>
          <w:rFonts w:hint="eastAsia" w:ascii="宋体" w:hAnsi="宋体" w:cs="宋体"/>
          <w:color w:val="000000"/>
          <w:kern w:val="0"/>
          <w:lang w:val="zh-CN"/>
        </w:rPr>
        <w:t>开标应当在招标文件确定的提交投标文件截止时间的同一时间进行。</w:t>
      </w:r>
      <w:r>
        <w:rPr>
          <w:rFonts w:hint="eastAsia" w:ascii="宋体" w:hAnsi="宋体" w:cs="宋体"/>
          <w:color w:val="000000"/>
          <w:kern w:val="0"/>
          <w:u w:val="dashDotHeavy"/>
          <w:lang w:val="zh-CN"/>
        </w:rPr>
        <w:t>采购人或采购代理机构</w:t>
      </w:r>
      <w:r>
        <w:rPr>
          <w:rFonts w:hint="eastAsia" w:ascii="宋体" w:hAnsi="宋体" w:cs="宋体"/>
          <w:color w:val="000000"/>
          <w:kern w:val="0"/>
          <w:lang w:val="zh-CN"/>
        </w:rPr>
        <w:t>应当按本文件中确定的时间和地点组织开标活动。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16.2</w:t>
      </w:r>
      <w:r>
        <w:rPr>
          <w:rFonts w:hint="eastAsia" w:ascii="宋体" w:hAnsi="宋体" w:cs="宋体"/>
          <w:color w:val="000000"/>
          <w:kern w:val="0"/>
        </w:rPr>
        <w:t xml:space="preserve"> </w:t>
      </w:r>
      <w:r>
        <w:rPr>
          <w:rFonts w:hint="eastAsia" w:ascii="宋体" w:hAnsi="宋体" w:cs="宋体"/>
          <w:color w:val="000000"/>
          <w:shd w:val="clear" w:color="auto" w:fill="FFFFFF"/>
        </w:rPr>
        <w:t>开标由</w:t>
      </w:r>
      <w:r>
        <w:rPr>
          <w:rFonts w:hint="eastAsia" w:ascii="宋体" w:hAnsi="宋体" w:cs="宋体"/>
          <w:color w:val="000000"/>
          <w:kern w:val="0"/>
          <w:u w:val="dashDotHeavy"/>
          <w:lang w:val="zh-CN"/>
        </w:rPr>
        <w:t>采购代理机构</w:t>
      </w:r>
      <w:r>
        <w:rPr>
          <w:rFonts w:hint="eastAsia" w:ascii="宋体" w:hAnsi="宋体" w:cs="宋体"/>
          <w:color w:val="000000"/>
          <w:shd w:val="clear" w:color="auto" w:fill="FFFFFF"/>
        </w:rPr>
        <w:t>主持，邀请投标人参加。评标委员会成员不得参加开标活动。</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lang w:val="zh-CN"/>
        </w:rPr>
        <w:t xml:space="preserve">16.3 </w:t>
      </w:r>
      <w:r>
        <w:rPr>
          <w:rFonts w:hint="eastAsia" w:ascii="宋体" w:hAnsi="宋体" w:cs="宋体"/>
          <w:color w:val="000000"/>
          <w:shd w:val="clear" w:color="auto" w:fill="FFFFFF"/>
        </w:rPr>
        <w:t>开标时，应当由投标人或者其推选的代表检查投标文件的密封情况；经确认无误后，由</w:t>
      </w:r>
      <w:r>
        <w:rPr>
          <w:rFonts w:hint="eastAsia" w:ascii="宋体" w:hAnsi="宋体" w:cs="宋体"/>
          <w:color w:val="000000"/>
          <w:kern w:val="0"/>
          <w:u w:val="dashDotHeavy"/>
          <w:lang w:val="zh-CN"/>
        </w:rPr>
        <w:t>采购代理机构</w:t>
      </w:r>
      <w:r>
        <w:rPr>
          <w:rFonts w:hint="eastAsia" w:ascii="宋体" w:hAnsi="宋体" w:cs="宋体"/>
          <w:color w:val="000000"/>
          <w:shd w:val="clear" w:color="auto" w:fill="FFFFFF"/>
        </w:rPr>
        <w:t>工作人员当众拆封，宣布投标人名称、投标价格和其他主要内容。</w:t>
      </w:r>
    </w:p>
    <w:p>
      <w:pPr>
        <w:autoSpaceDE w:val="0"/>
        <w:autoSpaceDN w:val="0"/>
        <w:spacing w:line="360" w:lineRule="auto"/>
        <w:ind w:firstLine="480" w:firstLineChars="200"/>
        <w:rPr>
          <w:rFonts w:ascii="宋体" w:hAnsi="宋体" w:cs="宋体"/>
          <w:color w:val="000000"/>
          <w:shd w:val="clear" w:color="auto" w:fill="FFFFFF"/>
          <w:lang w:val="zh-CN"/>
        </w:rPr>
      </w:pPr>
      <w:r>
        <w:rPr>
          <w:rFonts w:hint="eastAsia" w:ascii="宋体" w:hAnsi="宋体" w:cs="宋体"/>
          <w:color w:val="000000"/>
          <w:shd w:val="clear" w:color="auto" w:fill="FFFFFF"/>
          <w:lang w:val="zh-CN"/>
        </w:rPr>
        <w:t>投标人不足3家的，不得开标。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16.4 开标过程应当由</w:t>
      </w:r>
      <w:r>
        <w:rPr>
          <w:rFonts w:hint="eastAsia" w:ascii="宋体" w:hAnsi="宋体" w:cs="宋体"/>
          <w:color w:val="000000"/>
          <w:kern w:val="0"/>
          <w:u w:val="dashDotHeavy"/>
          <w:lang w:val="zh-CN"/>
        </w:rPr>
        <w:t>采购代理机构</w:t>
      </w:r>
      <w:r>
        <w:rPr>
          <w:rFonts w:hint="eastAsia" w:ascii="宋体" w:hAnsi="宋体" w:cs="宋体"/>
          <w:color w:val="000000"/>
          <w:kern w:val="0"/>
        </w:rPr>
        <w:t>负责记录，由参加开标的各投标人代表和相关工作人员签字确认后</w:t>
      </w:r>
      <w:r>
        <w:rPr>
          <w:rFonts w:ascii="宋体" w:hAnsi="宋体" w:cs="宋体"/>
          <w:color w:val="000000"/>
          <w:kern w:val="0"/>
        </w:rPr>
        <w:t>随采购文件一并存档</w:t>
      </w:r>
      <w:r>
        <w:rPr>
          <w:rFonts w:hint="eastAsia" w:ascii="宋体" w:hAnsi="宋体" w:cs="宋体"/>
          <w:color w:val="000000"/>
          <w:kern w:val="0"/>
        </w:rPr>
        <w:t>。</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投标人未参加开标的，视同认可开标结果。</w:t>
      </w:r>
    </w:p>
    <w:p>
      <w:pPr>
        <w:autoSpaceDE w:val="0"/>
        <w:autoSpaceDN w:val="0"/>
        <w:spacing w:line="360" w:lineRule="auto"/>
        <w:ind w:firstLine="480" w:firstLineChars="200"/>
        <w:rPr>
          <w:rFonts w:ascii="宋体" w:hAnsi="宋体" w:cs="宋体"/>
          <w:color w:val="000000"/>
          <w:kern w:val="0"/>
        </w:rPr>
      </w:pPr>
    </w:p>
    <w:p>
      <w:pPr>
        <w:autoSpaceDE w:val="0"/>
        <w:autoSpaceDN w:val="0"/>
        <w:spacing w:line="360" w:lineRule="auto"/>
        <w:ind w:firstLine="480" w:firstLineChars="200"/>
        <w:rPr>
          <w:rFonts w:ascii="宋体" w:hAnsi="宋体" w:cs="宋体"/>
          <w:color w:val="000000"/>
          <w:kern w:val="0"/>
        </w:rPr>
      </w:pPr>
    </w:p>
    <w:p>
      <w:pPr>
        <w:pStyle w:val="16"/>
        <w:spacing w:before="0" w:after="0" w:line="360" w:lineRule="auto"/>
        <w:rPr>
          <w:rFonts w:ascii="宋体" w:hAnsi="宋体" w:cs="宋体"/>
          <w:color w:val="000000"/>
          <w:kern w:val="0"/>
        </w:rPr>
      </w:pPr>
      <w:bookmarkStart w:id="24" w:name="_Toc496004006"/>
      <w:bookmarkStart w:id="25" w:name="_Toc30392"/>
      <w:r>
        <w:rPr>
          <w:rFonts w:hint="eastAsia" w:ascii="宋体" w:hAnsi="宋体" w:cs="宋体"/>
          <w:kern w:val="0"/>
          <w:szCs w:val="36"/>
        </w:rPr>
        <w:t>六、资格</w:t>
      </w:r>
      <w:r>
        <w:rPr>
          <w:rFonts w:hint="eastAsia" w:ascii="宋体" w:hAnsi="宋体" w:cs="宋体"/>
          <w:color w:val="000000"/>
          <w:lang w:val="zh-CN"/>
        </w:rPr>
        <w:t>审查</w:t>
      </w:r>
      <w:r>
        <w:rPr>
          <w:rFonts w:hint="eastAsia" w:ascii="宋体" w:hAnsi="宋体" w:cs="宋体"/>
          <w:kern w:val="0"/>
          <w:szCs w:val="36"/>
        </w:rPr>
        <w:t>程序</w:t>
      </w:r>
      <w:bookmarkEnd w:id="24"/>
      <w:bookmarkEnd w:id="25"/>
    </w:p>
    <w:p>
      <w:pPr>
        <w:pStyle w:val="16"/>
        <w:spacing w:before="0" w:after="0" w:line="360" w:lineRule="auto"/>
        <w:jc w:val="left"/>
        <w:rPr>
          <w:rFonts w:ascii="宋体" w:hAnsi="宋体" w:cs="宋体"/>
          <w:color w:val="000000"/>
          <w:sz w:val="28"/>
          <w:szCs w:val="28"/>
        </w:rPr>
      </w:pPr>
      <w:bookmarkStart w:id="26" w:name="_Toc8435"/>
      <w:r>
        <w:rPr>
          <w:rFonts w:hint="eastAsia" w:ascii="宋体" w:hAnsi="宋体" w:cs="宋体"/>
          <w:color w:val="000000"/>
          <w:sz w:val="28"/>
          <w:szCs w:val="28"/>
        </w:rPr>
        <w:t>17.资格审查</w:t>
      </w:r>
      <w:bookmarkEnd w:id="26"/>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17.1 开标结束后，采购人或者采购代理机构应当依法对投标人的资格性审查文件（上册）进行审查。</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17.2 合格投标人不足3家的，不得评标。</w:t>
      </w:r>
    </w:p>
    <w:p>
      <w:pPr>
        <w:autoSpaceDE w:val="0"/>
        <w:autoSpaceDN w:val="0"/>
        <w:spacing w:line="360" w:lineRule="auto"/>
        <w:ind w:firstLine="480" w:firstLineChars="200"/>
        <w:rPr>
          <w:rFonts w:ascii="宋体" w:hAnsi="宋体" w:cs="宋体"/>
          <w:color w:val="000000"/>
          <w:sz w:val="28"/>
          <w:szCs w:val="28"/>
        </w:rPr>
      </w:pPr>
      <w:bookmarkStart w:id="27" w:name="_Toc497503516"/>
      <w:bookmarkStart w:id="28" w:name="_Toc30809"/>
      <w:bookmarkStart w:id="29" w:name="_Toc497503315"/>
      <w:bookmarkStart w:id="30" w:name="_Toc497503449"/>
      <w:bookmarkStart w:id="31" w:name="_Toc497503249"/>
      <w:r>
        <w:rPr>
          <w:rFonts w:hint="eastAsia" w:ascii="宋体" w:hAnsi="宋体" w:cs="宋体"/>
          <w:color w:val="000000"/>
          <w:kern w:val="0"/>
        </w:rPr>
        <w:t>17.3 资格审查时，投标人存在下列情况之一的，按无效投标处理：</w:t>
      </w:r>
      <w:bookmarkEnd w:id="27"/>
      <w:bookmarkEnd w:id="28"/>
      <w:bookmarkEnd w:id="29"/>
      <w:bookmarkEnd w:id="30"/>
      <w:bookmarkEnd w:id="31"/>
    </w:p>
    <w:p>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shd w:val="clear" w:color="auto" w:fill="FFFFFF"/>
        </w:rPr>
        <w:t>不具备</w:t>
      </w:r>
      <w:r>
        <w:rPr>
          <w:rFonts w:hint="eastAsia" w:ascii="宋体" w:hAnsi="宋体" w:cs="宋体"/>
          <w:color w:val="000000"/>
          <w:kern w:val="0"/>
          <w:lang w:val="zh-CN"/>
        </w:rPr>
        <w:t>第一部分“投标邀请”中各包投标人资格要求</w:t>
      </w:r>
      <w:r>
        <w:rPr>
          <w:rFonts w:hint="eastAsia" w:ascii="宋体" w:hAnsi="宋体" w:cs="宋体"/>
          <w:color w:val="000000"/>
          <w:shd w:val="clear" w:color="auto" w:fill="FFFFFF"/>
        </w:rPr>
        <w:t>的；</w:t>
      </w:r>
    </w:p>
    <w:p>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未按招标文件要求交纳或未足额交纳投标保证金的；</w:t>
      </w:r>
    </w:p>
    <w:p>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未按第11.1要求提供相关资料的；</w:t>
      </w:r>
    </w:p>
    <w:p>
      <w:pPr>
        <w:numPr>
          <w:ilvl w:val="0"/>
          <w:numId w:val="2"/>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rPr>
        <w:t>资格性审查文件未按招标文件规定和要求签字、盖章的；</w:t>
      </w:r>
    </w:p>
    <w:p>
      <w:pPr>
        <w:numPr>
          <w:ilvl w:val="0"/>
          <w:numId w:val="2"/>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报价超过招标文件中规定的预算金额或者最高限价的；</w:t>
      </w:r>
    </w:p>
    <w:p>
      <w:pPr>
        <w:numPr>
          <w:ilvl w:val="0"/>
          <w:numId w:val="2"/>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lang w:val="zh-CN"/>
        </w:rPr>
        <w:t>投标有效期不能满足招标文件要求的；</w:t>
      </w:r>
    </w:p>
    <w:p>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未按照招标文件要求提供电子文档</w:t>
      </w:r>
      <w:r>
        <w:rPr>
          <w:rFonts w:hint="eastAsia" w:ascii="宋体" w:hAnsi="宋体" w:cs="宋体"/>
          <w:color w:val="000000"/>
          <w:kern w:val="0"/>
          <w:lang w:val="zh-CN"/>
        </w:rPr>
        <w:t>的。</w:t>
      </w:r>
    </w:p>
    <w:p>
      <w:pPr>
        <w:pStyle w:val="16"/>
        <w:spacing w:before="0" w:after="0" w:line="360" w:lineRule="auto"/>
        <w:rPr>
          <w:rFonts w:ascii="宋体" w:hAnsi="宋体" w:cs="宋体"/>
          <w:color w:val="000000"/>
        </w:rPr>
      </w:pPr>
      <w:bookmarkStart w:id="32" w:name="_Toc11252"/>
      <w:r>
        <w:rPr>
          <w:rFonts w:hint="eastAsia" w:ascii="宋体" w:hAnsi="宋体" w:cs="宋体"/>
          <w:color w:val="000000"/>
          <w:lang w:val="zh-CN"/>
        </w:rPr>
        <w:t>七、评审程序及方法</w:t>
      </w:r>
      <w:bookmarkEnd w:id="32"/>
    </w:p>
    <w:p>
      <w:pPr>
        <w:pStyle w:val="16"/>
        <w:spacing w:before="0" w:after="0" w:line="360" w:lineRule="auto"/>
        <w:jc w:val="left"/>
        <w:rPr>
          <w:rFonts w:ascii="宋体" w:hAnsi="宋体" w:cs="宋体"/>
          <w:color w:val="000000"/>
          <w:lang w:val="zh-CN"/>
        </w:rPr>
      </w:pPr>
      <w:bookmarkStart w:id="33" w:name="_Toc7111"/>
      <w:r>
        <w:rPr>
          <w:rFonts w:hint="eastAsia" w:ascii="宋体" w:hAnsi="宋体" w:cs="宋体"/>
          <w:color w:val="000000"/>
          <w:sz w:val="28"/>
          <w:szCs w:val="28"/>
          <w:lang w:val="zh-CN"/>
        </w:rPr>
        <w:t>1</w:t>
      </w:r>
      <w:r>
        <w:rPr>
          <w:rFonts w:hint="eastAsia" w:ascii="宋体" w:hAnsi="宋体" w:cs="宋体"/>
          <w:color w:val="000000"/>
          <w:sz w:val="28"/>
          <w:szCs w:val="28"/>
        </w:rPr>
        <w:t>8</w:t>
      </w:r>
      <w:r>
        <w:rPr>
          <w:rFonts w:hint="eastAsia" w:ascii="宋体" w:hAnsi="宋体" w:cs="宋体"/>
          <w:color w:val="000000"/>
          <w:sz w:val="28"/>
          <w:szCs w:val="28"/>
          <w:lang w:val="zh-CN"/>
        </w:rPr>
        <w:t>.评标委员会</w:t>
      </w:r>
      <w:bookmarkEnd w:id="33"/>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18.1</w:t>
      </w:r>
      <w:r>
        <w:rPr>
          <w:rFonts w:hint="eastAsia" w:ascii="宋体" w:hAnsi="宋体" w:cs="宋体"/>
          <w:color w:val="000000"/>
          <w:kern w:val="0"/>
          <w:u w:val="dashDotHeavy"/>
          <w:lang w:val="zh-CN"/>
        </w:rPr>
        <w:t>采购代理机构</w:t>
      </w:r>
      <w:r>
        <w:rPr>
          <w:rFonts w:hint="eastAsia" w:ascii="宋体" w:hAnsi="宋体" w:cs="宋体"/>
          <w:color w:val="000000"/>
          <w:kern w:val="0"/>
          <w:lang w:val="zh-CN"/>
        </w:rPr>
        <w:t>负责组织评标工作，并履行下列职责：</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）公布投标人名单，告知评审专家应当回避的情形；</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）根据评标委员会的要求介绍政府采购相关政策法规、招标文件；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20.4</w:t>
      </w:r>
      <w:r>
        <w:rPr>
          <w:rFonts w:hint="eastAsia" w:ascii="宋体" w:hAnsi="宋体" w:cs="宋体"/>
          <w:color w:val="000000"/>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18.2 评标委员会负责具体评标事务，并独立履行下列职责：</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严格遵守评审工作纪律,按照客观、公正、审慎的原则,根据采购文件规定的评审程序、评审方法和评审标准进行独立评审</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要求投标人对投标文件有关事项作出澄清或者说明；</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对投标文件进行比较和评价；</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确定中标候选人名单，以及根据采购人委托直接确定中标人；</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配合答复供应商的询问、质疑和投诉等事项,不得泄露评审文件、评审情况和在评审过程中获悉的商业秘密</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向采购人、采购代理机构或者有关部门报告评标中发现的违法行为。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（1）采购预算金额在1000万元以上；</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（2）技术复杂；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（3）社会影响较大。</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评标委员会成员名单在评标结果公告前应当保密。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18.4</w:t>
      </w:r>
      <w:r>
        <w:rPr>
          <w:rFonts w:hint="eastAsia" w:ascii="宋体" w:hAnsi="宋体" w:cs="宋体"/>
          <w:color w:val="000000"/>
          <w:kern w:val="0"/>
          <w:u w:val="dashDotHeavy"/>
          <w:lang w:val="zh-CN"/>
        </w:rPr>
        <w:t>采购代理机构</w:t>
      </w:r>
      <w:r>
        <w:rPr>
          <w:rFonts w:hint="eastAsia" w:ascii="宋体" w:hAnsi="宋体" w:cs="宋体"/>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u w:val="dashDotHeavy"/>
          <w:lang w:val="zh-CN"/>
        </w:rPr>
        <w:t>采购代理机构</w:t>
      </w:r>
      <w:r>
        <w:rPr>
          <w:rFonts w:hint="eastAsia" w:ascii="宋体" w:hAnsi="宋体" w:cs="宋体"/>
          <w:color w:val="000000"/>
          <w:kern w:val="0"/>
        </w:rPr>
        <w:t>应当将变更、重新组建评标委员会的情况予以记录，并随采购文件一并存档。</w:t>
      </w:r>
    </w:p>
    <w:p>
      <w:pPr>
        <w:pStyle w:val="16"/>
        <w:spacing w:before="0" w:after="0" w:line="360" w:lineRule="auto"/>
        <w:jc w:val="left"/>
        <w:rPr>
          <w:rFonts w:ascii="宋体" w:hAnsi="宋体" w:cs="宋体"/>
          <w:color w:val="000000"/>
          <w:lang w:val="zh-CN"/>
        </w:rPr>
      </w:pPr>
      <w:bookmarkStart w:id="34" w:name="_Toc20473"/>
      <w:r>
        <w:rPr>
          <w:rFonts w:hint="eastAsia" w:ascii="宋体" w:hAnsi="宋体" w:cs="宋体"/>
          <w:color w:val="000000"/>
          <w:sz w:val="28"/>
          <w:szCs w:val="28"/>
        </w:rPr>
        <w:t>19</w:t>
      </w:r>
      <w:r>
        <w:rPr>
          <w:rFonts w:hint="eastAsia" w:ascii="宋体" w:hAnsi="宋体" w:cs="宋体"/>
          <w:color w:val="000000"/>
          <w:sz w:val="28"/>
          <w:szCs w:val="28"/>
          <w:lang w:val="zh-CN"/>
        </w:rPr>
        <w:t>.评审工作程序</w:t>
      </w:r>
      <w:bookmarkEnd w:id="34"/>
    </w:p>
    <w:p>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lang w:val="zh-CN"/>
        </w:rPr>
        <w:t>1</w:t>
      </w:r>
      <w:r>
        <w:rPr>
          <w:rFonts w:hint="eastAsia" w:ascii="宋体" w:hAnsi="宋体" w:cs="宋体"/>
          <w:b/>
          <w:bCs/>
          <w:color w:val="000000"/>
          <w:kern w:val="0"/>
        </w:rPr>
        <w:t>9</w:t>
      </w:r>
      <w:r>
        <w:rPr>
          <w:rFonts w:hint="eastAsia" w:ascii="宋体" w:hAnsi="宋体" w:cs="宋体"/>
          <w:b/>
          <w:bCs/>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19.1.1</w:t>
      </w:r>
      <w:r>
        <w:rPr>
          <w:rFonts w:hint="eastAsia" w:ascii="宋体" w:hAnsi="宋体" w:cs="宋体"/>
          <w:b/>
          <w:bCs/>
          <w:color w:val="000000"/>
          <w:kern w:val="0"/>
        </w:rPr>
        <w:t xml:space="preserve"> </w:t>
      </w:r>
      <w:r>
        <w:rPr>
          <w:rFonts w:hint="eastAsia" w:ascii="宋体" w:hAnsi="宋体" w:cs="宋体"/>
          <w:color w:val="000000"/>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color w:val="000000"/>
          <w:kern w:val="0"/>
        </w:rPr>
      </w:pPr>
      <w:r>
        <w:rPr>
          <w:rFonts w:hint="eastAsia" w:ascii="宋体" w:hAnsi="宋体" w:cs="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符合性审查文件未按招标文件要求签署、盖章的；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lang w:val="zh-CN"/>
        </w:rPr>
        <w:t>未按第11</w:t>
      </w:r>
      <w:r>
        <w:rPr>
          <w:rFonts w:hint="eastAsia" w:ascii="宋体" w:hAnsi="宋体" w:cs="宋体"/>
          <w:color w:val="000000"/>
        </w:rPr>
        <w:t>.</w:t>
      </w:r>
      <w:r>
        <w:rPr>
          <w:rFonts w:hint="eastAsia" w:ascii="宋体" w:hAnsi="宋体" w:cs="宋体"/>
          <w:color w:val="000000"/>
          <w:lang w:val="zh-CN"/>
        </w:rPr>
        <w:t>2（11）</w:t>
      </w:r>
      <w:r>
        <w:rPr>
          <w:rFonts w:hint="eastAsia" w:ascii="宋体" w:hAnsi="宋体" w:cs="楷体_GB2312"/>
          <w:color w:val="000000"/>
          <w:lang w:val="zh-CN"/>
        </w:rPr>
        <w:t>-</w:t>
      </w:r>
      <w:r>
        <w:rPr>
          <w:rFonts w:ascii="宋体" w:hAnsi="宋体" w:cs="宋体"/>
          <w:color w:val="000000"/>
          <w:lang w:val="zh-CN"/>
        </w:rPr>
        <w:t>（</w:t>
      </w:r>
      <w:r>
        <w:rPr>
          <w:rFonts w:hint="eastAsia" w:ascii="宋体" w:hAnsi="宋体" w:cs="宋体"/>
          <w:color w:val="000000"/>
          <w:lang w:val="zh-CN"/>
        </w:rPr>
        <w:t>15</w:t>
      </w:r>
      <w:r>
        <w:rPr>
          <w:rFonts w:ascii="宋体" w:hAnsi="宋体" w:cs="宋体"/>
          <w:color w:val="000000"/>
          <w:lang w:val="zh-CN"/>
        </w:rPr>
        <w:t>）</w:t>
      </w:r>
      <w:r>
        <w:rPr>
          <w:rFonts w:hint="eastAsia" w:ascii="宋体" w:hAnsi="宋体" w:cs="宋体"/>
          <w:color w:val="000000"/>
          <w:lang w:val="zh-CN"/>
        </w:rPr>
        <w:t>款要求提供相关资料的；</w:t>
      </w:r>
    </w:p>
    <w:p>
      <w:pPr>
        <w:numPr>
          <w:ilvl w:val="0"/>
          <w:numId w:val="4"/>
        </w:num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投标文件含有采购人不能接受的附加条件的；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产品交货时间不能满足招标文件要求的；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投标总报价超过招标文件规定的采购预算额度或者最高限价的；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投标产品的技术规格、技术标准明显不符合采购项目要求的；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投标产品未完全满足招标文件确定的重要技术指标、参数的；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存在串通投标行为；</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投标报价出现前后不一致</w:t>
      </w:r>
      <w:r>
        <w:rPr>
          <w:rFonts w:ascii="宋体" w:hAnsi="宋体"/>
          <w:color w:val="000000"/>
        </w:rPr>
        <w:t>，</w:t>
      </w:r>
      <w:r>
        <w:rPr>
          <w:rFonts w:hint="eastAsia" w:ascii="宋体" w:hAnsi="宋体"/>
          <w:color w:val="000000"/>
        </w:rPr>
        <w:t>又不按19.1.1进行确认</w:t>
      </w:r>
      <w:r>
        <w:rPr>
          <w:rFonts w:ascii="宋体" w:hAnsi="宋体"/>
          <w:color w:val="000000"/>
        </w:rPr>
        <w:t>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评标委员会认为应按无效投标处理的其他情况；</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法律、法规和招标文件规定的其他无效情形。</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19.1.3 投标文件报价出现前后不一致的，按照下列规定修正：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（2）大写金额和小写金额不一致的，以大写金额为准；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（4）总价金额与按单价汇总金额不一致的，以单价金额计算结果为准。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同时出现两种以上不一致的，按照前款规定的顺序修正。修正后的报价按19.1.1第二款的规定经投标人确认后产生约束力。</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19.2 </w:t>
      </w:r>
      <w:r>
        <w:rPr>
          <w:rFonts w:hint="eastAsia" w:ascii="宋体" w:hAnsi="宋体" w:cs="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color w:val="000000"/>
          <w:kern w:val="0"/>
        </w:rPr>
        <w:t>18</w:t>
      </w:r>
      <w:r>
        <w:rPr>
          <w:rFonts w:hint="eastAsia" w:ascii="宋体" w:hAnsi="宋体" w:cs="宋体"/>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19.3 </w:t>
      </w:r>
      <w:r>
        <w:rPr>
          <w:rFonts w:hint="eastAsia" w:ascii="宋体" w:hAnsi="宋体" w:cs="宋体"/>
          <w:color w:val="000000"/>
          <w:kern w:val="0"/>
          <w:lang w:val="zh-CN"/>
        </w:rPr>
        <w:t>在评审过程中，</w:t>
      </w:r>
      <w:r>
        <w:rPr>
          <w:rFonts w:hint="eastAsia" w:ascii="宋体" w:hAnsi="宋体"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 xml:space="preserve"> </w:t>
      </w:r>
      <w:r>
        <w:rPr>
          <w:rFonts w:hint="eastAsia" w:ascii="宋体" w:hAnsi="宋体" w:cs="宋体"/>
          <w:color w:val="000000"/>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rPr>
        <w:t xml:space="preserve">19.6 </w:t>
      </w:r>
      <w:r>
        <w:rPr>
          <w:rFonts w:hint="eastAsia" w:ascii="宋体" w:hAnsi="宋体" w:cs="宋体"/>
          <w:color w:val="000000"/>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ascii="宋体" w:hAnsi="宋体" w:cs="宋体"/>
          <w:color w:val="000000"/>
          <w:u w:val="dashDotHeavy"/>
          <w:shd w:val="clear" w:color="auto" w:fill="FFFFFF"/>
        </w:rPr>
        <w:t>招标文件规定的方式</w:t>
      </w:r>
      <w:r>
        <w:rPr>
          <w:rFonts w:hint="eastAsia" w:ascii="宋体" w:hAnsi="宋体" w:cs="宋体"/>
          <w:color w:val="000000"/>
          <w:shd w:val="clear" w:color="auto" w:fill="FFFFFF"/>
        </w:rPr>
        <w:t>确定一个参加评标的投标人，招标文件未规定的采取随机抽取方式确定，其他投标无效。</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宋体" w:hAnsi="宋体" w:cs="宋体"/>
          <w:color w:val="000000"/>
          <w:u w:val="dashDotHeavy"/>
          <w:shd w:val="clear" w:color="auto" w:fill="FFFFFF"/>
        </w:rPr>
        <w:t>招标文件规定的方式</w:t>
      </w:r>
      <w:r>
        <w:rPr>
          <w:rFonts w:hint="eastAsia" w:ascii="宋体" w:hAnsi="宋体" w:cs="宋体"/>
          <w:color w:val="000000"/>
          <w:shd w:val="clear" w:color="auto" w:fill="FFFFFF"/>
        </w:rPr>
        <w:t>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16"/>
        <w:spacing w:before="0" w:after="0" w:line="360" w:lineRule="auto"/>
        <w:jc w:val="left"/>
        <w:rPr>
          <w:rFonts w:ascii="宋体" w:hAnsi="宋体" w:cs="宋体"/>
          <w:color w:val="000000"/>
          <w:sz w:val="28"/>
          <w:szCs w:val="28"/>
          <w:lang w:val="zh-CN"/>
        </w:rPr>
      </w:pPr>
      <w:bookmarkStart w:id="35" w:name="_Toc17881"/>
      <w:r>
        <w:rPr>
          <w:rFonts w:hint="eastAsia" w:ascii="宋体" w:hAnsi="宋体" w:cs="宋体"/>
          <w:color w:val="000000"/>
          <w:sz w:val="28"/>
          <w:szCs w:val="28"/>
        </w:rPr>
        <w:t>20</w:t>
      </w:r>
      <w:r>
        <w:rPr>
          <w:rFonts w:hint="eastAsia" w:ascii="宋体" w:hAnsi="宋体" w:cs="宋体"/>
          <w:color w:val="000000"/>
          <w:sz w:val="28"/>
          <w:szCs w:val="28"/>
          <w:lang w:val="zh-CN"/>
        </w:rPr>
        <w:t>.评审方法和标准</w:t>
      </w:r>
      <w:bookmarkEnd w:id="35"/>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20</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2" w:firstLineChars="200"/>
        <w:rPr>
          <w:rFonts w:ascii="宋体" w:hAnsi="宋体" w:cs="宋体"/>
          <w:color w:val="000000"/>
          <w:kern w:val="0"/>
          <w:u w:val="dashDotHeavy"/>
          <w:lang w:val="zh-CN"/>
        </w:rPr>
      </w:pPr>
      <w:r>
        <w:rPr>
          <w:rFonts w:hint="eastAsia" w:ascii="宋体" w:hAnsi="宋体" w:cs="宋体"/>
          <w:b/>
          <w:bCs/>
          <w:color w:val="000000"/>
          <w:kern w:val="0"/>
          <w:u w:val="dashDotHeavy"/>
        </w:rPr>
        <w:t>采用</w:t>
      </w:r>
      <w:r>
        <w:rPr>
          <w:rFonts w:hint="eastAsia" w:ascii="宋体" w:hAnsi="宋体" w:cs="宋体"/>
          <w:b/>
          <w:bCs/>
          <w:color w:val="000000"/>
          <w:kern w:val="0"/>
          <w:u w:val="dashDotHeavy"/>
          <w:lang w:val="zh-CN"/>
        </w:rPr>
        <w:t>综合评分法</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u w:val="dashDotHeavy"/>
          <w:lang w:val="zh-CN"/>
        </w:rPr>
        <w:t>综合评分法，</w:t>
      </w:r>
      <w:r>
        <w:rPr>
          <w:rFonts w:hint="eastAsia" w:ascii="宋体" w:hAnsi="宋体" w:cs="宋体"/>
          <w:color w:val="000000"/>
          <w:shd w:val="clear" w:color="auto" w:fill="FFFFFF"/>
        </w:rPr>
        <w:t>是指投标文件满足招标文件全部实质性要求，且按照评审因素的量化指标评审得分最高的投标人为中标候选人的评标方法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评审因素的设定应当与投标人所提供货物服务的质量相关，包括</w:t>
      </w:r>
      <w:r>
        <w:rPr>
          <w:rFonts w:hint="eastAsia" w:ascii="宋体" w:hAnsi="宋体" w:cs="宋体"/>
          <w:b/>
          <w:bCs/>
          <w:color w:val="000000"/>
          <w:shd w:val="clear" w:color="auto" w:fill="FFFFFF"/>
        </w:rPr>
        <w:t>投标报价、技术或者服务水平、履约能力、售后服务</w:t>
      </w:r>
      <w:r>
        <w:rPr>
          <w:rFonts w:hint="eastAsia" w:ascii="宋体" w:hAnsi="宋体" w:cs="宋体"/>
          <w:color w:val="000000"/>
          <w:shd w:val="clear" w:color="auto" w:fill="FFFFFF"/>
        </w:rPr>
        <w:t>等。资格条件不得作为评审因素。</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p>
      <w:pPr>
        <w:autoSpaceDE w:val="0"/>
        <w:autoSpaceDN w:val="0"/>
        <w:spacing w:line="360" w:lineRule="auto"/>
        <w:ind w:firstLine="480" w:firstLineChars="200"/>
        <w:rPr>
          <w:rFonts w:ascii="宋体" w:hAnsi="宋体" w:cs="宋体"/>
          <w:color w:val="000000"/>
          <w:shd w:val="clear" w:color="auto" w:fill="FFFFFF"/>
        </w:rPr>
      </w:pPr>
    </w:p>
    <w:tbl>
      <w:tblPr>
        <w:tblStyle w:val="17"/>
        <w:tblW w:w="8431" w:type="dxa"/>
        <w:jc w:val="center"/>
        <w:tblLayout w:type="fixed"/>
        <w:tblCellMar>
          <w:top w:w="0" w:type="dxa"/>
          <w:left w:w="108" w:type="dxa"/>
          <w:bottom w:w="0" w:type="dxa"/>
          <w:right w:w="108" w:type="dxa"/>
        </w:tblCellMar>
      </w:tblPr>
      <w:tblGrid>
        <w:gridCol w:w="493"/>
        <w:gridCol w:w="1063"/>
        <w:gridCol w:w="6875"/>
      </w:tblGrid>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15"/>
              <w:widowControl/>
              <w:spacing w:before="0" w:beforeAutospacing="0" w:after="0" w:afterAutospacing="0" w:line="360" w:lineRule="auto"/>
              <w:jc w:val="center"/>
              <w:rPr>
                <w:rFonts w:ascii="宋体" w:hAnsi="宋体" w:cs="宋体"/>
                <w:color w:val="000000"/>
                <w:shd w:val="clear" w:color="auto" w:fill="FFFFFF"/>
              </w:rPr>
            </w:pPr>
            <w:r>
              <w:rPr>
                <w:rFonts w:hint="eastAsia" w:ascii="宋体" w:hAnsi="宋体" w:cs="宋体"/>
                <w:color w:val="000000"/>
                <w:shd w:val="clear" w:color="auto" w:fill="FFFFFF"/>
              </w:rPr>
              <w:t>序号</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5"/>
              <w:widowControl/>
              <w:spacing w:before="0" w:beforeAutospacing="0" w:after="0" w:afterAutospacing="0" w:line="360" w:lineRule="auto"/>
              <w:jc w:val="center"/>
              <w:rPr>
                <w:rFonts w:ascii="宋体" w:hAnsi="宋体" w:cs="宋体"/>
                <w:color w:val="000000"/>
                <w:shd w:val="clear" w:color="auto" w:fill="FFFFFF"/>
              </w:rPr>
            </w:pPr>
            <w:r>
              <w:rPr>
                <w:rFonts w:hint="eastAsia" w:ascii="宋体" w:hAnsi="宋体" w:cs="宋体"/>
                <w:color w:val="000000"/>
                <w:shd w:val="clear" w:color="auto" w:fill="FFFFFF"/>
              </w:rPr>
              <w:t>评审因素</w:t>
            </w:r>
          </w:p>
        </w:tc>
        <w:tc>
          <w:tcPr>
            <w:tcW w:w="6875" w:type="dxa"/>
            <w:tcBorders>
              <w:top w:val="single" w:color="000000" w:sz="6" w:space="0"/>
              <w:left w:val="single" w:color="000000" w:sz="6" w:space="0"/>
              <w:bottom w:val="single" w:color="000000" w:sz="6" w:space="0"/>
              <w:right w:val="single" w:color="000000" w:sz="6" w:space="0"/>
            </w:tcBorders>
            <w:vAlign w:val="center"/>
          </w:tcPr>
          <w:p>
            <w:pPr>
              <w:pStyle w:val="15"/>
              <w:widowControl/>
              <w:spacing w:before="0" w:beforeAutospacing="0" w:after="0" w:afterAutospacing="0" w:line="360" w:lineRule="auto"/>
              <w:jc w:val="center"/>
              <w:rPr>
                <w:rFonts w:ascii="宋体" w:hAnsi="宋体" w:cs="宋体"/>
                <w:color w:val="000000"/>
                <w:shd w:val="clear" w:color="auto" w:fill="FFFFFF"/>
              </w:rPr>
            </w:pPr>
            <w:r>
              <w:rPr>
                <w:rFonts w:hint="eastAsia" w:ascii="宋体" w:hAnsi="宋体" w:cs="宋体"/>
                <w:color w:val="000000"/>
                <w:shd w:val="clear" w:color="auto" w:fill="FFFFFF"/>
              </w:rPr>
              <w:t>评审标准</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15"/>
              <w:widowControl/>
              <w:spacing w:before="0" w:beforeAutospacing="0" w:after="0" w:afterAutospacing="0" w:line="360" w:lineRule="auto"/>
              <w:jc w:val="center"/>
              <w:rPr>
                <w:rFonts w:ascii="宋体" w:hAnsi="宋体" w:cs="宋体"/>
                <w:color w:val="000000"/>
                <w:shd w:val="clear" w:color="auto" w:fill="FFFFFF"/>
              </w:rPr>
            </w:pPr>
            <w:r>
              <w:rPr>
                <w:rFonts w:hint="eastAsia" w:ascii="宋体" w:hAnsi="宋体" w:cs="宋体"/>
                <w:color w:val="000000"/>
                <w:shd w:val="clear" w:color="auto" w:fill="FFFFFF"/>
              </w:rPr>
              <w:t>1</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5"/>
              <w:widowControl/>
              <w:spacing w:before="0" w:beforeAutospacing="0" w:after="0" w:afterAutospacing="0" w:line="360" w:lineRule="auto"/>
              <w:jc w:val="center"/>
              <w:rPr>
                <w:rFonts w:ascii="宋体" w:hAnsi="宋体" w:cs="宋体"/>
                <w:color w:val="000000"/>
                <w:shd w:val="clear" w:color="auto" w:fill="FFFFFF"/>
              </w:rPr>
            </w:pPr>
            <w:r>
              <w:rPr>
                <w:rFonts w:hint="eastAsia" w:ascii="宋体" w:hAnsi="宋体" w:cs="宋体"/>
                <w:color w:val="000000"/>
                <w:shd w:val="clear" w:color="auto" w:fill="FFFFFF"/>
              </w:rPr>
              <w:t>投标报价</w:t>
            </w:r>
          </w:p>
          <w:p>
            <w:pPr>
              <w:pStyle w:val="15"/>
              <w:widowControl/>
              <w:spacing w:before="0" w:beforeAutospacing="0" w:after="0" w:afterAutospacing="0" w:line="360" w:lineRule="auto"/>
              <w:jc w:val="center"/>
              <w:rPr>
                <w:rFonts w:ascii="宋体" w:hAnsi="宋体" w:cs="宋体"/>
                <w:color w:val="000000"/>
                <w:shd w:val="clear" w:color="auto" w:fill="FFFFFF"/>
              </w:rPr>
            </w:pPr>
            <w:r>
              <w:rPr>
                <w:rFonts w:hint="eastAsia" w:ascii="宋体" w:hAnsi="宋体" w:cs="宋体"/>
                <w:color w:val="000000"/>
                <w:shd w:val="clear" w:color="auto" w:fill="FFFFFF"/>
              </w:rPr>
              <w:t>(30%)</w:t>
            </w:r>
          </w:p>
        </w:tc>
        <w:tc>
          <w:tcPr>
            <w:tcW w:w="6875" w:type="dxa"/>
            <w:tcBorders>
              <w:top w:val="single" w:color="000000" w:sz="6" w:space="0"/>
              <w:left w:val="single" w:color="000000" w:sz="6" w:space="0"/>
              <w:bottom w:val="single" w:color="000000" w:sz="6" w:space="0"/>
              <w:right w:val="single" w:color="000000" w:sz="6" w:space="0"/>
            </w:tcBorders>
            <w:vAlign w:val="center"/>
          </w:tcPr>
          <w:p>
            <w:pPr>
              <w:pStyle w:val="15"/>
              <w:widowControl/>
              <w:spacing w:before="0" w:beforeAutospacing="0" w:after="0" w:afterAutospacing="0" w:line="360" w:lineRule="auto"/>
              <w:jc w:val="both"/>
              <w:rPr>
                <w:rFonts w:ascii="宋体" w:hAnsi="宋体" w:cs="宋体"/>
                <w:color w:val="000000"/>
                <w:shd w:val="clear" w:color="auto" w:fill="FFFFFF"/>
              </w:rPr>
            </w:pPr>
            <w:r>
              <w:rPr>
                <w:rFonts w:hint="eastAsia" w:ascii="宋体" w:hAnsi="宋体" w:cs="宋体"/>
                <w:color w:val="000000"/>
                <w:shd w:val="clear" w:color="auto" w:fill="FFFFFF"/>
              </w:rPr>
              <w:t>（1）货物项目的价格分值占总分值的比重不得低于30%</w:t>
            </w:r>
          </w:p>
          <w:p>
            <w:pPr>
              <w:pStyle w:val="15"/>
              <w:widowControl/>
              <w:spacing w:before="0" w:beforeAutospacing="0" w:after="0" w:afterAutospacing="0" w:line="360" w:lineRule="auto"/>
              <w:jc w:val="both"/>
              <w:rPr>
                <w:rFonts w:ascii="宋体" w:hAnsi="宋体" w:cs="宋体"/>
                <w:color w:val="000000"/>
                <w:shd w:val="clear" w:color="auto" w:fill="FFFFFF"/>
              </w:rPr>
            </w:pPr>
            <w:r>
              <w:rPr>
                <w:rFonts w:hint="eastAsia" w:ascii="宋体" w:hAnsi="宋体" w:cs="宋体"/>
                <w:color w:val="000000"/>
                <w:shd w:val="clear" w:color="auto" w:fill="FFFFFF"/>
              </w:rPr>
              <w:t>（2）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pPr>
              <w:pStyle w:val="15"/>
              <w:widowControl/>
              <w:spacing w:before="0" w:beforeAutospacing="0" w:after="0" w:afterAutospacing="0" w:line="360" w:lineRule="auto"/>
              <w:jc w:val="both"/>
              <w:rPr>
                <w:rFonts w:ascii="宋体" w:hAnsi="宋体" w:cs="宋体"/>
                <w:color w:val="000000"/>
                <w:shd w:val="clear" w:color="auto" w:fill="FFFFFF"/>
              </w:rPr>
            </w:pPr>
            <w:r>
              <w:rPr>
                <w:rFonts w:hint="eastAsia" w:ascii="宋体" w:hAnsi="宋体" w:cs="宋体"/>
                <w:color w:val="000000"/>
                <w:shd w:val="clear" w:color="auto" w:fill="FFFFFF"/>
              </w:rPr>
              <w:t>（3）因落实政府采购政策进行价格调整的，以调整后的价格计算评标基准价和投标报价。残疾人福利性单位属于小型、微型企业的，不重复享受政策。</w:t>
            </w:r>
          </w:p>
          <w:p>
            <w:pPr>
              <w:pStyle w:val="15"/>
              <w:widowControl/>
              <w:spacing w:before="0" w:beforeAutospacing="0" w:after="0" w:afterAutospacing="0" w:line="360" w:lineRule="auto"/>
              <w:jc w:val="both"/>
              <w:rPr>
                <w:rFonts w:ascii="宋体" w:hAnsi="宋体" w:cs="宋体"/>
                <w:color w:val="000000"/>
                <w:shd w:val="clear" w:color="auto" w:fill="FFFFFF"/>
              </w:rPr>
            </w:pPr>
            <w:r>
              <w:rPr>
                <w:rFonts w:hint="eastAsia" w:ascii="宋体" w:hAnsi="宋体" w:cs="宋体"/>
                <w:color w:val="000000"/>
                <w:shd w:val="clear" w:color="auto" w:fill="FFFFFF"/>
              </w:rPr>
              <w:t>（4）执行国家统一定价标准和采用固定价格采购的项目，其价格不列为评审因素。</w:t>
            </w:r>
          </w:p>
        </w:tc>
      </w:tr>
      <w:tr>
        <w:tblPrEx>
          <w:tblCellMar>
            <w:top w:w="0" w:type="dxa"/>
            <w:left w:w="108" w:type="dxa"/>
            <w:bottom w:w="0" w:type="dxa"/>
            <w:right w:w="108" w:type="dxa"/>
          </w:tblCellMar>
        </w:tblPrEx>
        <w:trPr>
          <w:trHeight w:val="90"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15"/>
              <w:widowControl/>
              <w:spacing w:before="0" w:beforeAutospacing="0" w:after="0" w:afterAutospacing="0" w:line="360" w:lineRule="auto"/>
              <w:jc w:val="center"/>
              <w:rPr>
                <w:rFonts w:ascii="宋体" w:hAnsi="宋体" w:cs="宋体"/>
                <w:color w:val="000000"/>
                <w:shd w:val="clear" w:color="auto" w:fill="FFFFFF"/>
              </w:rPr>
            </w:pPr>
            <w:r>
              <w:rPr>
                <w:rFonts w:hint="eastAsia" w:ascii="宋体" w:hAnsi="宋体" w:cs="宋体"/>
                <w:color w:val="000000"/>
                <w:shd w:val="clear" w:color="auto" w:fill="FFFFFF"/>
              </w:rPr>
              <w:t>2</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5"/>
              <w:widowControl/>
              <w:spacing w:before="0" w:beforeAutospacing="0" w:after="0" w:afterAutospacing="0" w:line="360" w:lineRule="auto"/>
              <w:jc w:val="center"/>
              <w:rPr>
                <w:rFonts w:ascii="宋体" w:hAnsi="宋体" w:cs="宋体"/>
                <w:color w:val="000000"/>
                <w:shd w:val="clear" w:color="auto" w:fill="FFFFFF"/>
              </w:rPr>
            </w:pPr>
            <w:r>
              <w:rPr>
                <w:rFonts w:hint="eastAsia" w:ascii="宋体" w:hAnsi="宋体" w:cs="宋体"/>
                <w:color w:val="000000"/>
                <w:shd w:val="clear" w:color="auto" w:fill="FFFFFF"/>
              </w:rPr>
              <w:t>技术水平</w:t>
            </w:r>
          </w:p>
          <w:p>
            <w:pPr>
              <w:pStyle w:val="15"/>
              <w:widowControl/>
              <w:spacing w:before="0" w:beforeAutospacing="0" w:after="0" w:afterAutospacing="0" w:line="360" w:lineRule="auto"/>
              <w:jc w:val="center"/>
              <w:rPr>
                <w:rFonts w:ascii="宋体" w:hAnsi="宋体" w:cs="宋体"/>
                <w:color w:val="000000"/>
                <w:shd w:val="clear" w:color="auto" w:fill="FFFFFF"/>
              </w:rPr>
            </w:pPr>
            <w:r>
              <w:rPr>
                <w:rFonts w:hint="eastAsia" w:ascii="宋体" w:hAnsi="宋体" w:cs="宋体"/>
                <w:color w:val="000000"/>
                <w:shd w:val="clear" w:color="auto" w:fill="FFFFFF"/>
              </w:rPr>
              <w:t>（50%）</w:t>
            </w:r>
          </w:p>
        </w:tc>
        <w:tc>
          <w:tcPr>
            <w:tcW w:w="6875" w:type="dxa"/>
            <w:tcBorders>
              <w:top w:val="single" w:color="000000" w:sz="6" w:space="0"/>
              <w:left w:val="single" w:color="000000" w:sz="6" w:space="0"/>
              <w:bottom w:val="single" w:color="000000" w:sz="6" w:space="0"/>
              <w:right w:val="single" w:color="000000" w:sz="6" w:space="0"/>
            </w:tcBorders>
            <w:vAlign w:val="center"/>
          </w:tcPr>
          <w:p>
            <w:pPr>
              <w:pStyle w:val="15"/>
              <w:widowControl/>
              <w:spacing w:before="0" w:beforeAutospacing="0" w:after="0" w:afterAutospacing="0" w:line="360" w:lineRule="auto"/>
              <w:jc w:val="both"/>
              <w:rPr>
                <w:rFonts w:ascii="宋体" w:hAnsi="宋体" w:cs="宋体"/>
                <w:color w:val="000000"/>
                <w:shd w:val="clear" w:color="auto" w:fill="FFFFFF"/>
              </w:rPr>
            </w:pPr>
            <w:r>
              <w:rPr>
                <w:rFonts w:hint="eastAsia" w:ascii="宋体" w:hAnsi="宋体" w:cs="宋体"/>
                <w:color w:val="000000"/>
                <w:shd w:val="clear" w:color="auto" w:fill="FFFFFF"/>
              </w:rPr>
              <w:t>投标产品为非单一产品采购项目</w:t>
            </w:r>
          </w:p>
          <w:p>
            <w:pPr>
              <w:pStyle w:val="15"/>
              <w:widowControl/>
              <w:numPr>
                <w:ilvl w:val="0"/>
                <w:numId w:val="5"/>
              </w:numPr>
              <w:spacing w:before="0" w:beforeAutospacing="0" w:after="0" w:afterAutospacing="0" w:line="360" w:lineRule="auto"/>
              <w:jc w:val="both"/>
              <w:rPr>
                <w:rFonts w:ascii="宋体" w:hAnsi="宋体" w:cs="宋体"/>
                <w:color w:val="000000"/>
                <w:shd w:val="clear" w:color="auto" w:fill="FFFFFF"/>
              </w:rPr>
            </w:pPr>
            <w:r>
              <w:rPr>
                <w:rFonts w:hint="eastAsia" w:ascii="宋体" w:hAnsi="宋体" w:cs="宋体"/>
                <w:color w:val="000000"/>
                <w:shd w:val="clear" w:color="auto" w:fill="FFFFFF"/>
              </w:rPr>
              <w:t>技术参数：投标产品技术参数和配置完全满足或高于招标文件要求的，得30分；核心产品每有一项负偏离扣5分，扣完该项得分为止，非核心产品每有一项负偏离扣3分，扣完该项得分为止。</w:t>
            </w:r>
          </w:p>
          <w:p>
            <w:pPr>
              <w:pStyle w:val="15"/>
              <w:widowControl/>
              <w:numPr>
                <w:ilvl w:val="0"/>
                <w:numId w:val="5"/>
              </w:numPr>
              <w:spacing w:before="0" w:beforeAutospacing="0" w:after="0" w:afterAutospacing="0" w:line="360" w:lineRule="auto"/>
              <w:jc w:val="both"/>
              <w:rPr>
                <w:rFonts w:ascii="宋体" w:hAnsi="宋体" w:cs="宋体"/>
                <w:lang w:val="zh-CN"/>
              </w:rPr>
            </w:pPr>
            <w:r>
              <w:rPr>
                <w:rFonts w:hint="eastAsia" w:ascii="宋体" w:hAnsi="宋体" w:cs="宋体"/>
                <w:color w:val="000000"/>
                <w:shd w:val="clear" w:color="auto" w:fill="FFFFFF"/>
              </w:rPr>
              <w:t>节能和环保：所投核心产品为节能产品，每提供1份得0.5分，所投非核心产品为节能产品，每提供1份得0.5分，满分1分；所投核心产品为环保产品，每提供1份得05分，所投非核心产品为环保产品，每提供1份得0.5分，满分1分；未提供不得分。该项得分的认定以《国家节能产品认证证书》、《中国环境标志产品认证证书》原件和政府部门公布的《节能产品政府采购清单》、《环境标志产品政府采购清单》网页截屏为准。</w:t>
            </w:r>
          </w:p>
          <w:p>
            <w:pPr>
              <w:pStyle w:val="15"/>
              <w:widowControl/>
              <w:numPr>
                <w:ilvl w:val="0"/>
                <w:numId w:val="5"/>
              </w:numPr>
              <w:spacing w:before="0" w:beforeAutospacing="0" w:after="0" w:afterAutospacing="0" w:line="360" w:lineRule="auto"/>
              <w:jc w:val="both"/>
              <w:rPr>
                <w:rFonts w:ascii="宋体" w:hAnsi="宋体" w:cs="宋体"/>
                <w:lang w:val="zh-CN"/>
              </w:rPr>
            </w:pPr>
            <w:r>
              <w:rPr>
                <w:rFonts w:hint="eastAsia" w:ascii="宋体" w:hAnsi="宋体" w:cs="宋体"/>
                <w:color w:val="000000"/>
                <w:lang w:val="zh-CN"/>
              </w:rPr>
              <w:t>安装实施方案：根据投标人提供的实训室安装实施方案综合评比，实施方案切实可行、契合实训室使用需求及教学要求的得</w:t>
            </w:r>
            <w:r>
              <w:rPr>
                <w:rFonts w:hint="eastAsia" w:ascii="宋体" w:hAnsi="宋体" w:cs="宋体"/>
                <w:color w:val="000000"/>
                <w:lang w:val="en-US" w:eastAsia="zh-CN"/>
              </w:rPr>
              <w:t>10</w:t>
            </w:r>
            <w:r>
              <w:rPr>
                <w:rFonts w:hint="eastAsia" w:ascii="宋体" w:hAnsi="宋体" w:cs="宋体"/>
                <w:color w:val="000000"/>
                <w:lang w:val="zh-CN"/>
              </w:rPr>
              <w:t>分；实施方案切实可行、部分满足实训室使用需求及教学要求的得</w:t>
            </w:r>
            <w:r>
              <w:rPr>
                <w:rFonts w:hint="eastAsia" w:ascii="宋体" w:hAnsi="宋体" w:cs="宋体"/>
                <w:color w:val="000000"/>
                <w:lang w:val="en-US" w:eastAsia="zh-CN"/>
              </w:rPr>
              <w:t>5</w:t>
            </w:r>
            <w:r>
              <w:rPr>
                <w:rFonts w:hint="eastAsia" w:ascii="宋体" w:hAnsi="宋体" w:cs="宋体"/>
                <w:color w:val="000000"/>
                <w:lang w:val="zh-CN"/>
              </w:rPr>
              <w:t>分；实施方案一般、基本满足实训室使用需求及教学要求的得1分。</w:t>
            </w:r>
          </w:p>
          <w:p>
            <w:pPr>
              <w:pStyle w:val="15"/>
              <w:widowControl/>
              <w:numPr>
                <w:ilvl w:val="0"/>
                <w:numId w:val="5"/>
              </w:numPr>
              <w:spacing w:before="0" w:beforeAutospacing="0" w:after="0" w:afterAutospacing="0" w:line="360" w:lineRule="auto"/>
              <w:jc w:val="both"/>
              <w:rPr>
                <w:rFonts w:ascii="宋体" w:hAnsi="宋体" w:cs="宋体"/>
                <w:lang w:val="zh-CN"/>
              </w:rPr>
            </w:pPr>
            <w:r>
              <w:rPr>
                <w:rFonts w:hint="eastAsia" w:ascii="宋体" w:hAnsi="宋体" w:cs="宋体"/>
                <w:color w:val="000000"/>
                <w:lang w:val="zh-CN"/>
              </w:rPr>
              <w:t>设置了项目管理机构，并且有科学、具体的项目管理措施，内容详尽、全面（包括设备质量、交货进度、人员设备安排和控制措施），优秀的得</w:t>
            </w:r>
            <w:r>
              <w:rPr>
                <w:rFonts w:hint="eastAsia" w:ascii="宋体" w:hAnsi="宋体" w:cs="宋体"/>
                <w:color w:val="000000"/>
                <w:lang w:val="en-US" w:eastAsia="zh-CN"/>
              </w:rPr>
              <w:t>8</w:t>
            </w:r>
            <w:r>
              <w:rPr>
                <w:rFonts w:hint="eastAsia" w:ascii="宋体" w:hAnsi="宋体" w:cs="宋体"/>
                <w:color w:val="000000"/>
                <w:lang w:val="zh-CN"/>
              </w:rPr>
              <w:t>分；较好的得</w:t>
            </w:r>
            <w:r>
              <w:rPr>
                <w:rFonts w:hint="eastAsia" w:ascii="宋体" w:hAnsi="宋体" w:cs="宋体"/>
                <w:color w:val="000000"/>
              </w:rPr>
              <w:t>3</w:t>
            </w:r>
            <w:r>
              <w:rPr>
                <w:rFonts w:hint="eastAsia" w:ascii="宋体" w:hAnsi="宋体" w:cs="宋体"/>
                <w:color w:val="000000"/>
                <w:lang w:val="zh-CN"/>
              </w:rPr>
              <w:t>分；一般的得</w:t>
            </w:r>
            <w:r>
              <w:rPr>
                <w:rFonts w:hint="eastAsia" w:ascii="宋体" w:hAnsi="宋体" w:cs="宋体"/>
                <w:color w:val="000000"/>
              </w:rPr>
              <w:t>2</w:t>
            </w:r>
            <w:r>
              <w:rPr>
                <w:rFonts w:hint="eastAsia" w:ascii="宋体" w:hAnsi="宋体" w:cs="宋体"/>
                <w:color w:val="000000"/>
                <w:lang w:val="zh-CN"/>
              </w:rPr>
              <w:t>分；未提供或其他情况的不得分。</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15"/>
              <w:widowControl/>
              <w:spacing w:before="0" w:beforeAutospacing="0" w:after="0" w:afterAutospacing="0" w:line="360" w:lineRule="auto"/>
              <w:jc w:val="center"/>
              <w:rPr>
                <w:rFonts w:ascii="宋体" w:hAnsi="宋体" w:cs="宋体"/>
                <w:color w:val="000000"/>
                <w:shd w:val="clear" w:color="auto" w:fill="FFFFFF"/>
              </w:rPr>
            </w:pPr>
            <w:r>
              <w:rPr>
                <w:rFonts w:hint="eastAsia" w:ascii="宋体" w:hAnsi="宋体" w:cs="宋体"/>
                <w:color w:val="000000"/>
                <w:shd w:val="clear" w:color="auto" w:fill="FFFFFF"/>
              </w:rPr>
              <w:t>3</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5"/>
              <w:widowControl/>
              <w:spacing w:before="0" w:beforeAutospacing="0" w:after="0" w:afterAutospacing="0" w:line="360" w:lineRule="auto"/>
              <w:jc w:val="center"/>
              <w:rPr>
                <w:rFonts w:ascii="宋体" w:hAnsi="宋体" w:cs="宋体"/>
                <w:color w:val="000000"/>
                <w:shd w:val="clear" w:color="auto" w:fill="FFFFFF"/>
              </w:rPr>
            </w:pPr>
            <w:r>
              <w:rPr>
                <w:rFonts w:hint="eastAsia" w:ascii="宋体" w:hAnsi="宋体" w:cs="宋体"/>
                <w:color w:val="000000"/>
                <w:shd w:val="clear" w:color="auto" w:fill="FFFFFF"/>
              </w:rPr>
              <w:t>履约能力</w:t>
            </w:r>
          </w:p>
          <w:p>
            <w:pPr>
              <w:pStyle w:val="15"/>
              <w:widowControl/>
              <w:spacing w:before="0" w:beforeAutospacing="0" w:after="0" w:afterAutospacing="0" w:line="360" w:lineRule="auto"/>
              <w:jc w:val="center"/>
              <w:rPr>
                <w:rFonts w:ascii="宋体" w:hAnsi="宋体" w:cs="宋体"/>
                <w:color w:val="000000"/>
                <w:shd w:val="clear" w:color="auto" w:fill="FFFFFF"/>
              </w:rPr>
            </w:pPr>
            <w:r>
              <w:rPr>
                <w:rFonts w:hint="eastAsia" w:ascii="宋体" w:hAnsi="宋体" w:cs="宋体"/>
                <w:color w:val="000000"/>
                <w:shd w:val="clear" w:color="auto" w:fill="FFFFFF"/>
              </w:rPr>
              <w:t>(10%)</w:t>
            </w:r>
          </w:p>
        </w:tc>
        <w:tc>
          <w:tcPr>
            <w:tcW w:w="6875" w:type="dxa"/>
            <w:tcBorders>
              <w:top w:val="single" w:color="000000" w:sz="6" w:space="0"/>
              <w:left w:val="single" w:color="000000" w:sz="6" w:space="0"/>
              <w:bottom w:val="single" w:color="000000" w:sz="6" w:space="0"/>
              <w:right w:val="single" w:color="000000" w:sz="6" w:space="0"/>
            </w:tcBorders>
            <w:vAlign w:val="center"/>
          </w:tcPr>
          <w:p>
            <w:pPr>
              <w:pStyle w:val="15"/>
              <w:widowControl/>
              <w:numPr>
                <w:ilvl w:val="0"/>
                <w:numId w:val="6"/>
              </w:numPr>
              <w:spacing w:before="0" w:beforeAutospacing="0" w:after="0" w:afterAutospacing="0" w:line="360" w:lineRule="auto"/>
              <w:jc w:val="both"/>
              <w:rPr>
                <w:rFonts w:ascii="宋体" w:hAnsi="宋体" w:cs="宋体"/>
                <w:color w:val="000000"/>
                <w:shd w:val="clear" w:color="auto" w:fill="FFFFFF"/>
              </w:rPr>
            </w:pPr>
            <w:r>
              <w:rPr>
                <w:rFonts w:hint="eastAsia" w:ascii="宋体" w:hAnsi="宋体" w:cs="宋体"/>
                <w:color w:val="000000"/>
              </w:rPr>
              <w:t>提供2016年以来</w:t>
            </w:r>
            <w:r>
              <w:rPr>
                <w:rFonts w:hint="eastAsia" w:ascii="宋体" w:hAnsi="宋体" w:cs="宋体"/>
                <w:color w:val="000000"/>
                <w:lang w:val="zh-CN"/>
              </w:rPr>
              <w:t>投标人的类似业绩证明材料</w:t>
            </w:r>
            <w:r>
              <w:rPr>
                <w:rFonts w:hint="eastAsia" w:ascii="宋体" w:hAnsi="宋体" w:cs="宋体"/>
                <w:color w:val="000000"/>
              </w:rPr>
              <w:t>（</w:t>
            </w:r>
            <w:r>
              <w:rPr>
                <w:rFonts w:hint="eastAsia" w:ascii="宋体" w:hAnsi="宋体" w:cs="宋体"/>
                <w:color w:val="000000"/>
                <w:lang w:val="zh-CN"/>
              </w:rPr>
              <w:t>需提供包含合同首页、标的及金额所在页、供货合同签字盖章页及验收报告的扫描（或复印）件</w:t>
            </w:r>
            <w:r>
              <w:rPr>
                <w:rFonts w:hint="eastAsia" w:ascii="宋体" w:hAnsi="宋体" w:cs="宋体"/>
                <w:color w:val="000000"/>
              </w:rPr>
              <w:t>），每提供1份得2分，提供5份及以上得10分；</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15"/>
              <w:widowControl/>
              <w:spacing w:before="0" w:beforeAutospacing="0" w:after="0" w:afterAutospacing="0" w:line="360" w:lineRule="auto"/>
              <w:jc w:val="center"/>
              <w:rPr>
                <w:rFonts w:ascii="宋体" w:hAnsi="宋体" w:cs="宋体"/>
                <w:color w:val="000000"/>
                <w:shd w:val="clear" w:color="auto" w:fill="FFFFFF"/>
              </w:rPr>
            </w:pPr>
            <w:r>
              <w:rPr>
                <w:rFonts w:hint="eastAsia" w:ascii="宋体" w:hAnsi="宋体" w:cs="宋体"/>
                <w:color w:val="000000"/>
                <w:shd w:val="clear" w:color="auto" w:fill="FFFFFF"/>
              </w:rPr>
              <w:t>4</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5"/>
              <w:widowControl/>
              <w:spacing w:before="0" w:beforeAutospacing="0" w:after="0" w:afterAutospacing="0" w:line="360" w:lineRule="auto"/>
              <w:jc w:val="center"/>
              <w:rPr>
                <w:rFonts w:ascii="宋体" w:hAnsi="宋体" w:cs="宋体"/>
                <w:color w:val="000000"/>
                <w:shd w:val="clear" w:color="auto" w:fill="FFFFFF"/>
              </w:rPr>
            </w:pPr>
            <w:r>
              <w:rPr>
                <w:rFonts w:hint="eastAsia" w:ascii="宋体" w:hAnsi="宋体" w:cs="宋体"/>
                <w:color w:val="000000"/>
                <w:shd w:val="clear" w:color="auto" w:fill="FFFFFF"/>
              </w:rPr>
              <w:t>售后服务</w:t>
            </w:r>
          </w:p>
          <w:p>
            <w:pPr>
              <w:pStyle w:val="15"/>
              <w:widowControl/>
              <w:spacing w:before="0" w:beforeAutospacing="0" w:after="0" w:afterAutospacing="0" w:line="360" w:lineRule="auto"/>
              <w:jc w:val="center"/>
              <w:rPr>
                <w:rFonts w:ascii="宋体" w:hAnsi="宋体" w:cs="宋体"/>
                <w:color w:val="000000"/>
                <w:shd w:val="clear" w:color="auto" w:fill="FFFFFF"/>
              </w:rPr>
            </w:pPr>
            <w:r>
              <w:rPr>
                <w:rFonts w:hint="eastAsia" w:ascii="宋体" w:hAnsi="宋体" w:cs="宋体"/>
                <w:color w:val="000000"/>
                <w:shd w:val="clear" w:color="auto" w:fill="FFFFFF"/>
              </w:rPr>
              <w:t>(10%)</w:t>
            </w:r>
          </w:p>
        </w:tc>
        <w:tc>
          <w:tcPr>
            <w:tcW w:w="6875" w:type="dxa"/>
            <w:tcBorders>
              <w:top w:val="single" w:color="000000" w:sz="6" w:space="0"/>
              <w:left w:val="single" w:color="000000" w:sz="6" w:space="0"/>
              <w:bottom w:val="single" w:color="000000" w:sz="6" w:space="0"/>
              <w:right w:val="single" w:color="000000" w:sz="6" w:space="0"/>
            </w:tcBorders>
            <w:vAlign w:val="center"/>
          </w:tcPr>
          <w:p>
            <w:pPr>
              <w:numPr>
                <w:ilvl w:val="0"/>
                <w:numId w:val="7"/>
              </w:numPr>
              <w:spacing w:line="400" w:lineRule="exact"/>
              <w:ind w:firstLine="28"/>
              <w:rPr>
                <w:rFonts w:ascii="宋体" w:hAnsi="宋体" w:cs="宋体"/>
                <w:color w:val="000000"/>
                <w:kern w:val="0"/>
                <w:shd w:val="clear" w:color="auto" w:fill="FFFFFF"/>
              </w:rPr>
            </w:pPr>
            <w:r>
              <w:rPr>
                <w:rFonts w:hint="eastAsia" w:ascii="宋体" w:hAnsi="宋体" w:cs="宋体"/>
                <w:color w:val="000000"/>
                <w:kern w:val="0"/>
                <w:shd w:val="clear" w:color="auto" w:fill="FFFFFF"/>
              </w:rPr>
              <w:t>本地化服务能力：在青海省有服务机构的，得5分；有合作性服务机构的，得4分；没有的不得分。（</w:t>
            </w:r>
            <w:r>
              <w:rPr>
                <w:rFonts w:hint="eastAsia" w:ascii="宋体" w:hAnsi="宋体" w:cs="宋体"/>
                <w:color w:val="000000"/>
                <w:lang w:val="zh-CN"/>
              </w:rPr>
              <w:t>需提供服务机构的营业执照及委托协议等证明文件</w:t>
            </w:r>
            <w:r>
              <w:rPr>
                <w:rFonts w:hint="eastAsia" w:ascii="宋体" w:hAnsi="宋体" w:cs="宋体"/>
                <w:color w:val="000000"/>
                <w:kern w:val="0"/>
                <w:shd w:val="clear" w:color="auto" w:fill="FFFFFF"/>
              </w:rPr>
              <w:t>）。</w:t>
            </w:r>
          </w:p>
          <w:p>
            <w:pPr>
              <w:spacing w:line="276" w:lineRule="auto"/>
              <w:rPr>
                <w:rFonts w:ascii="宋体" w:hAnsi="宋体" w:cs="宋体"/>
                <w:color w:val="000000"/>
                <w:kern w:val="0"/>
                <w:shd w:val="clear" w:color="auto" w:fill="FFFFFF"/>
              </w:rPr>
            </w:pPr>
            <w:r>
              <w:rPr>
                <w:rFonts w:hint="eastAsia" w:ascii="宋体" w:hAnsi="宋体" w:cs="宋体"/>
                <w:kern w:val="0"/>
              </w:rPr>
              <w:t>（2）</w:t>
            </w:r>
            <w:r>
              <w:rPr>
                <w:rFonts w:hint="eastAsia" w:ascii="宋体" w:hAnsi="宋体" w:cs="宋体"/>
                <w:color w:val="000000" w:themeColor="text1"/>
                <w:kern w:val="0"/>
                <w14:textFill>
                  <w14:solidFill>
                    <w14:schemeClr w14:val="tx1"/>
                  </w14:solidFill>
                </w14:textFill>
              </w:rPr>
              <w:t>售后服务计划、培训、措施及服务承诺：投标人针对本项目有完善的售后服务能力、措施及服务承诺，培训计划，措施得当，优秀得5分，良好得2分，一般得1分，没有不得分。</w:t>
            </w:r>
          </w:p>
        </w:tc>
      </w:tr>
      <w:tr>
        <w:tblPrEx>
          <w:tblCellMar>
            <w:top w:w="0" w:type="dxa"/>
            <w:left w:w="108" w:type="dxa"/>
            <w:bottom w:w="0" w:type="dxa"/>
            <w:right w:w="108" w:type="dxa"/>
          </w:tblCellMar>
        </w:tblPrEx>
        <w:trPr>
          <w:trHeight w:val="90" w:hRule="atLeast"/>
          <w:jc w:val="center"/>
        </w:trPr>
        <w:tc>
          <w:tcPr>
            <w:tcW w:w="8431" w:type="dxa"/>
            <w:gridSpan w:val="3"/>
            <w:tcBorders>
              <w:top w:val="single" w:color="000000" w:sz="6" w:space="0"/>
              <w:left w:val="single" w:color="000000" w:sz="6" w:space="0"/>
              <w:bottom w:val="single" w:color="000000" w:sz="6" w:space="0"/>
              <w:right w:val="single" w:color="000000" w:sz="6" w:space="0"/>
            </w:tcBorders>
            <w:vAlign w:val="center"/>
          </w:tcPr>
          <w:p>
            <w:pPr>
              <w:pStyle w:val="15"/>
              <w:widowControl/>
              <w:spacing w:before="0" w:beforeAutospacing="0" w:after="0" w:afterAutospacing="0" w:line="360" w:lineRule="auto"/>
              <w:jc w:val="both"/>
              <w:rPr>
                <w:rFonts w:ascii="宋体" w:hAnsi="宋体" w:cs="宋体"/>
                <w:color w:val="000000"/>
                <w:shd w:val="clear" w:color="auto" w:fill="FFFFFF"/>
              </w:rPr>
            </w:pPr>
            <w:r>
              <w:rPr>
                <w:rFonts w:hint="eastAsia" w:ascii="宋体" w:hAnsi="宋体" w:cs="宋体"/>
                <w:color w:val="000000"/>
                <w:shd w:val="clear" w:color="auto" w:fill="FFFFFF"/>
              </w:rPr>
              <w:t>说明：（1）评标过程中，不得去掉报价中的最高报价和最低报价。</w:t>
            </w:r>
          </w:p>
          <w:p>
            <w:pPr>
              <w:pStyle w:val="15"/>
              <w:widowControl/>
              <w:numPr>
                <w:ilvl w:val="0"/>
                <w:numId w:val="8"/>
              </w:numPr>
              <w:spacing w:before="0" w:beforeAutospacing="0" w:after="0" w:afterAutospacing="0" w:line="360" w:lineRule="auto"/>
              <w:jc w:val="both"/>
              <w:rPr>
                <w:rFonts w:ascii="宋体" w:hAnsi="宋体" w:cs="宋体"/>
                <w:color w:val="000000"/>
                <w:shd w:val="clear" w:color="auto" w:fill="FFFFFF"/>
              </w:rPr>
            </w:pPr>
            <w:r>
              <w:rPr>
                <w:rFonts w:hint="eastAsia" w:ascii="宋体" w:hAnsi="宋体" w:cs="宋体"/>
                <w:color w:val="000000"/>
                <w:shd w:val="clear" w:color="auto" w:fill="FFFFFF"/>
              </w:rPr>
              <w:t>该评分办法可根据项目特点进行细化，但原则上不能改变评分标准中的类别，确需改变的，须报同级财政部门同意。</w:t>
            </w:r>
          </w:p>
        </w:tc>
      </w:tr>
    </w:tbl>
    <w:p>
      <w:pPr>
        <w:autoSpaceDE w:val="0"/>
        <w:autoSpaceDN w:val="0"/>
        <w:spacing w:line="360" w:lineRule="auto"/>
        <w:rPr>
          <w:rFonts w:ascii="宋体" w:hAnsi="宋体" w:cs="宋体"/>
          <w:color w:val="000000"/>
          <w:shd w:val="clear" w:color="auto" w:fill="FFFFFF"/>
        </w:rPr>
      </w:pPr>
    </w:p>
    <w:p>
      <w:pPr>
        <w:autoSpaceDE w:val="0"/>
        <w:autoSpaceDN w:val="0"/>
        <w:spacing w:line="360" w:lineRule="auto"/>
        <w:ind w:firstLine="241" w:firstLineChars="100"/>
        <w:rPr>
          <w:rFonts w:ascii="宋体" w:hAnsi="宋体" w:cs="宋体"/>
          <w:color w:val="000000"/>
          <w:shd w:val="clear" w:color="auto" w:fill="FFFFFF"/>
        </w:rPr>
      </w:pPr>
      <w:r>
        <w:rPr>
          <w:rFonts w:hint="eastAsia" w:ascii="宋体" w:hAnsi="宋体" w:cs="宋体"/>
          <w:b/>
          <w:bCs/>
          <w:color w:val="000000"/>
          <w:kern w:val="0"/>
          <w:u w:val="dashDotHeavy"/>
        </w:rPr>
        <w:t>采用综合评分法的，</w:t>
      </w:r>
      <w:r>
        <w:rPr>
          <w:rFonts w:hint="eastAsia" w:ascii="宋体" w:hAnsi="宋体" w:cs="宋体"/>
          <w:color w:val="000000"/>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20.4 评标结果汇总完成后，除下列情形外，任何人不得修改评标结果：</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（1）分值汇总计算错误的；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投标人对以上情形提出质疑的，采购人或者采购代理机构可以组织原评标委员会进行重新评审，重新评审改变评标结果的，应当书面报告本级财政部门。</w:t>
      </w:r>
    </w:p>
    <w:p>
      <w:pPr>
        <w:pStyle w:val="16"/>
        <w:spacing w:before="0" w:after="0" w:line="360" w:lineRule="auto"/>
        <w:rPr>
          <w:rFonts w:ascii="宋体" w:hAnsi="宋体" w:cs="宋体"/>
          <w:color w:val="000000"/>
          <w:lang w:val="zh-CN"/>
        </w:rPr>
      </w:pPr>
      <w:bookmarkStart w:id="36" w:name="_Toc5253"/>
      <w:r>
        <w:rPr>
          <w:rFonts w:hint="eastAsia" w:ascii="宋体" w:hAnsi="宋体" w:cs="宋体"/>
          <w:color w:val="000000"/>
          <w:lang w:val="zh-CN"/>
        </w:rPr>
        <w:t>八、中标</w:t>
      </w:r>
      <w:bookmarkEnd w:id="36"/>
    </w:p>
    <w:p>
      <w:pPr>
        <w:pStyle w:val="16"/>
        <w:spacing w:before="0" w:after="0" w:line="360" w:lineRule="auto"/>
        <w:jc w:val="left"/>
        <w:rPr>
          <w:rFonts w:ascii="宋体" w:hAnsi="宋体" w:cs="宋体"/>
          <w:color w:val="000000"/>
          <w:lang w:val="zh-CN"/>
        </w:rPr>
      </w:pPr>
      <w:bookmarkStart w:id="37" w:name="_Toc8328"/>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.推荐并确定中标人</w:t>
      </w:r>
      <w:bookmarkEnd w:id="37"/>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w:t>
      </w:r>
      <w:r>
        <w:rPr>
          <w:rFonts w:hint="eastAsia" w:ascii="宋体" w:hAnsi="宋体" w:cs="宋体"/>
          <w:color w:val="000000"/>
          <w:u w:val="dashDotHeavy"/>
        </w:rPr>
        <w:t>招标文件规定的方式</w:t>
      </w:r>
      <w:r>
        <w:rPr>
          <w:rFonts w:hint="eastAsia" w:ascii="宋体" w:hAnsi="宋体" w:cs="宋体"/>
          <w:color w:val="000000"/>
        </w:rPr>
        <w:t>确定中标人；招标文件未规定的，采取随机抽取的方式确定。</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21.2 采购人自行组织招标的，应当在评标结束后5个工作日内确定中标人。</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21.3 采购人在收到评标报告5个工作日内未按评标报告推荐的中标候选人顺序确定中标人，又不能说明合法理由的，视同按评标报告推荐的顺序确定排名第一的中标候选人为中标人。</w:t>
      </w:r>
    </w:p>
    <w:p>
      <w:pPr>
        <w:pStyle w:val="16"/>
        <w:spacing w:before="0" w:after="0" w:line="360" w:lineRule="auto"/>
        <w:jc w:val="left"/>
        <w:rPr>
          <w:rFonts w:ascii="宋体" w:hAnsi="宋体" w:cs="宋体"/>
          <w:color w:val="000000"/>
          <w:lang w:val="zh-CN"/>
        </w:rPr>
      </w:pPr>
      <w:bookmarkStart w:id="38" w:name="_Toc14746"/>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.中标通知</w:t>
      </w:r>
      <w:bookmarkEnd w:id="38"/>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22.3 中标公告期限为1个工作日。</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22.4 在公告中标结果的同时，</w:t>
      </w:r>
      <w:r>
        <w:rPr>
          <w:rFonts w:hint="eastAsia" w:ascii="宋体" w:hAnsi="宋体" w:cs="宋体"/>
          <w:color w:val="000000"/>
          <w:u w:val="dashDotHeavy"/>
          <w:shd w:val="clear" w:color="auto" w:fill="FFFFFF"/>
        </w:rPr>
        <w:t>采购人或者采购代理机构</w:t>
      </w:r>
      <w:r>
        <w:rPr>
          <w:rFonts w:hint="eastAsia" w:ascii="宋体" w:hAnsi="宋体" w:cs="宋体"/>
          <w:color w:val="000000"/>
          <w:kern w:val="0"/>
        </w:rPr>
        <w:t>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22.5 中标通知书发出后，采购人不得违法改变中标结果，中标人无正当理由不得放弃中标。</w:t>
      </w:r>
    </w:p>
    <w:p>
      <w:pPr>
        <w:pStyle w:val="16"/>
        <w:spacing w:before="0" w:after="0" w:line="360" w:lineRule="auto"/>
        <w:rPr>
          <w:rFonts w:ascii="宋体" w:hAnsi="宋体" w:cs="宋体"/>
          <w:color w:val="000000"/>
          <w:lang w:val="zh-CN"/>
        </w:rPr>
      </w:pPr>
      <w:bookmarkStart w:id="39" w:name="_Toc1927"/>
      <w:r>
        <w:rPr>
          <w:rFonts w:hint="eastAsia" w:ascii="宋体" w:hAnsi="宋体" w:cs="宋体"/>
          <w:color w:val="000000"/>
          <w:lang w:val="zh-CN"/>
        </w:rPr>
        <w:t>九、授予合同</w:t>
      </w:r>
      <w:bookmarkEnd w:id="39"/>
    </w:p>
    <w:p>
      <w:pPr>
        <w:pStyle w:val="16"/>
        <w:spacing w:before="0" w:after="0" w:line="360" w:lineRule="auto"/>
        <w:jc w:val="left"/>
        <w:rPr>
          <w:rFonts w:ascii="宋体" w:hAnsi="宋体" w:cs="宋体"/>
          <w:color w:val="000000"/>
          <w:kern w:val="0"/>
          <w:sz w:val="24"/>
        </w:rPr>
      </w:pPr>
      <w:bookmarkStart w:id="40" w:name="_Toc8452"/>
      <w:r>
        <w:rPr>
          <w:rFonts w:hint="eastAsia" w:ascii="宋体" w:hAnsi="宋体" w:cs="宋体"/>
          <w:color w:val="000000"/>
          <w:sz w:val="28"/>
          <w:szCs w:val="28"/>
          <w:lang w:val="zh-CN"/>
        </w:rPr>
        <w:t>2</w:t>
      </w:r>
      <w:r>
        <w:rPr>
          <w:rFonts w:hint="eastAsia" w:ascii="宋体" w:hAnsi="宋体" w:cs="宋体"/>
          <w:color w:val="000000"/>
          <w:sz w:val="28"/>
          <w:szCs w:val="28"/>
        </w:rPr>
        <w:t>3</w:t>
      </w:r>
      <w:r>
        <w:rPr>
          <w:rFonts w:hint="eastAsia" w:ascii="宋体" w:hAnsi="宋体" w:cs="宋体"/>
          <w:color w:val="000000"/>
          <w:sz w:val="28"/>
          <w:szCs w:val="28"/>
          <w:lang w:val="zh-CN"/>
        </w:rPr>
        <w:t>.签订合同</w:t>
      </w:r>
      <w:bookmarkEnd w:id="40"/>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采购人不得向中标人提出任何不合理的要求作为签订合同的条件。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.4</w:t>
      </w:r>
      <w:r>
        <w:rPr>
          <w:rFonts w:hint="eastAsia" w:ascii="宋体" w:hAnsi="宋体" w:cs="宋体"/>
          <w:color w:val="000000"/>
          <w:kern w:val="0"/>
        </w:rPr>
        <w:t xml:space="preserve"> </w:t>
      </w:r>
      <w:r>
        <w:rPr>
          <w:rFonts w:hint="eastAsia" w:ascii="宋体" w:hAnsi="宋体" w:cs="宋体"/>
          <w:color w:val="000000"/>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22.5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23.7</w:t>
      </w:r>
      <w:r>
        <w:rPr>
          <w:rFonts w:ascii="宋体" w:hAnsi="宋体" w:cs="宋体"/>
          <w:color w:val="000000"/>
          <w:kern w:val="0"/>
        </w:rPr>
        <w:t xml:space="preserve"> </w:t>
      </w:r>
      <w:r>
        <w:rPr>
          <w:rFonts w:hint="eastAsia"/>
          <w:color w:val="000000"/>
        </w:rPr>
        <w:t>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23.8</w:t>
      </w:r>
      <w:r>
        <w:rPr>
          <w:rFonts w:ascii="宋体" w:hAnsi="宋体" w:cs="宋体"/>
          <w:color w:val="000000"/>
          <w:kern w:val="0"/>
        </w:rPr>
        <w:t xml:space="preserve"> </w:t>
      </w:r>
      <w:r>
        <w:rPr>
          <w:rFonts w:hint="eastAsia" w:ascii="宋体" w:hAnsi="宋体" w:cs="宋体"/>
          <w:color w:val="000000"/>
          <w:kern w:val="0"/>
        </w:rPr>
        <w:t>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23.9</w:t>
      </w:r>
      <w:r>
        <w:rPr>
          <w:rFonts w:ascii="宋体" w:hAnsi="宋体" w:cs="宋体"/>
          <w:color w:val="000000"/>
          <w:kern w:val="0"/>
        </w:rPr>
        <w:t xml:space="preserve"> </w:t>
      </w:r>
      <w:r>
        <w:rPr>
          <w:rFonts w:hint="eastAsia" w:ascii="宋体" w:hAnsi="宋体" w:cs="宋体"/>
          <w:color w:val="000000"/>
          <w:kern w:val="0"/>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23.10 采购人、采购代理机构应当建立真实完整的招标采购档案，妥善保存每项采购活动的采购文件。</w:t>
      </w:r>
    </w:p>
    <w:p>
      <w:pPr>
        <w:pStyle w:val="16"/>
        <w:spacing w:before="0" w:after="0" w:line="360" w:lineRule="auto"/>
        <w:rPr>
          <w:rFonts w:ascii="宋体" w:hAnsi="宋体" w:cs="宋体"/>
          <w:color w:val="000000"/>
          <w:lang w:val="zh-CN"/>
        </w:rPr>
      </w:pPr>
      <w:bookmarkStart w:id="41" w:name="_Toc7857"/>
      <w:r>
        <w:rPr>
          <w:rFonts w:hint="eastAsia" w:ascii="宋体" w:hAnsi="宋体" w:cs="宋体"/>
          <w:color w:val="000000"/>
          <w:lang w:val="zh-CN"/>
        </w:rPr>
        <w:t>十、其他</w:t>
      </w:r>
      <w:bookmarkEnd w:id="41"/>
    </w:p>
    <w:p>
      <w:pPr>
        <w:pStyle w:val="16"/>
        <w:spacing w:before="0" w:after="0" w:line="360" w:lineRule="auto"/>
        <w:jc w:val="left"/>
        <w:rPr>
          <w:rFonts w:ascii="宋体" w:hAnsi="宋体" w:cs="宋体"/>
          <w:color w:val="000000"/>
          <w:sz w:val="28"/>
          <w:szCs w:val="28"/>
        </w:rPr>
      </w:pPr>
      <w:bookmarkStart w:id="42" w:name="_Toc2928"/>
      <w:r>
        <w:rPr>
          <w:rFonts w:hint="eastAsia" w:ascii="宋体" w:hAnsi="宋体" w:cs="宋体"/>
          <w:color w:val="000000"/>
          <w:sz w:val="28"/>
          <w:szCs w:val="28"/>
        </w:rPr>
        <w:t>2</w:t>
      </w:r>
      <w:r>
        <w:rPr>
          <w:rFonts w:ascii="宋体" w:hAnsi="宋体" w:cs="宋体"/>
          <w:color w:val="000000"/>
          <w:sz w:val="28"/>
          <w:szCs w:val="28"/>
        </w:rPr>
        <w:t>4</w:t>
      </w:r>
      <w:r>
        <w:rPr>
          <w:rFonts w:hint="eastAsia" w:ascii="宋体" w:hAnsi="宋体" w:cs="宋体"/>
          <w:color w:val="000000"/>
          <w:sz w:val="28"/>
          <w:szCs w:val="28"/>
        </w:rPr>
        <w:t>. 串通投标的情形</w:t>
      </w:r>
      <w:bookmarkEnd w:id="42"/>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24.2</w:t>
      </w:r>
      <w:r>
        <w:rPr>
          <w:rFonts w:ascii="宋体" w:hAnsi="宋体" w:cs="宋体"/>
          <w:color w:val="000000"/>
          <w:kern w:val="0"/>
        </w:rPr>
        <w:t xml:space="preserve"> </w:t>
      </w:r>
      <w:r>
        <w:rPr>
          <w:rFonts w:hint="eastAsia" w:ascii="宋体" w:hAnsi="宋体" w:cs="宋体"/>
          <w:color w:val="000000"/>
          <w:kern w:val="0"/>
        </w:rPr>
        <w:t>有下列情形之一的，视为投标人串通投标，其投标无效：</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（1）不同投标人的投标文件由同一单位或者个人编制；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（2）不同投标人委托同一单位或者个人办理投标事宜；</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（4）不同投标人的投标文件异常一致或者投标报价呈规律性差异；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（5）不同投标人的投标文件相互混装；</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（6）不同投标人的投标保证金从同一单位或者个人的账户转出。</w:t>
      </w:r>
    </w:p>
    <w:p>
      <w:pPr>
        <w:pStyle w:val="16"/>
        <w:spacing w:before="0" w:after="0" w:line="360" w:lineRule="auto"/>
        <w:jc w:val="left"/>
        <w:rPr>
          <w:rFonts w:ascii="宋体" w:hAnsi="宋体" w:cs="宋体"/>
          <w:color w:val="000000"/>
          <w:sz w:val="28"/>
          <w:szCs w:val="28"/>
        </w:rPr>
      </w:pPr>
      <w:bookmarkStart w:id="43" w:name="_Toc1873"/>
      <w:r>
        <w:rPr>
          <w:rFonts w:hint="eastAsia" w:ascii="宋体" w:hAnsi="宋体" w:cs="宋体"/>
          <w:color w:val="000000"/>
          <w:sz w:val="28"/>
          <w:szCs w:val="28"/>
        </w:rPr>
        <w:t>2</w:t>
      </w:r>
      <w:r>
        <w:rPr>
          <w:rFonts w:ascii="宋体" w:hAnsi="宋体" w:cs="宋体"/>
          <w:color w:val="000000"/>
          <w:sz w:val="28"/>
          <w:szCs w:val="28"/>
        </w:rPr>
        <w:t>5</w:t>
      </w:r>
      <w:r>
        <w:rPr>
          <w:rFonts w:hint="eastAsia" w:ascii="宋体" w:hAnsi="宋体" w:cs="宋体"/>
          <w:color w:val="000000"/>
          <w:sz w:val="28"/>
          <w:szCs w:val="28"/>
        </w:rPr>
        <w:t>. 废标</w:t>
      </w:r>
      <w:bookmarkEnd w:id="43"/>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25.1</w:t>
      </w:r>
      <w:r>
        <w:rPr>
          <w:rFonts w:ascii="宋体" w:hAnsi="宋体" w:cs="宋体"/>
          <w:color w:val="000000"/>
          <w:kern w:val="0"/>
        </w:rPr>
        <w:t xml:space="preserve"> </w:t>
      </w:r>
      <w:r>
        <w:rPr>
          <w:rFonts w:hint="eastAsia" w:ascii="宋体" w:hAnsi="宋体" w:cs="宋体"/>
          <w:color w:val="000000"/>
          <w:kern w:val="0"/>
        </w:rPr>
        <w:t>在招标采购中，出现下列情形之一的，应予废标：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（2）出现影响采购公正的违法、违规行为的。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（3）投标人的报价均超出采购预算，采购人不能支付的。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（4）因重大变故，采购任务取消的。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废标后，由采购人或者采购代理机构发布废标公告。</w:t>
      </w:r>
    </w:p>
    <w:p>
      <w:pPr>
        <w:autoSpaceDE w:val="0"/>
        <w:autoSpaceDN w:val="0"/>
        <w:spacing w:line="360" w:lineRule="auto"/>
        <w:ind w:firstLine="480" w:firstLineChars="200"/>
        <w:rPr>
          <w:rFonts w:ascii="宋体" w:hAnsi="宋体" w:cs="宋体"/>
          <w:color w:val="000000"/>
          <w:kern w:val="0"/>
        </w:rPr>
      </w:pPr>
      <w:r>
        <w:rPr>
          <w:rFonts w:ascii="宋体" w:hAnsi="宋体" w:cs="宋体"/>
          <w:color w:val="000000"/>
          <w:kern w:val="0"/>
        </w:rPr>
        <w:t xml:space="preserve">25.2 </w:t>
      </w:r>
      <w:r>
        <w:rPr>
          <w:rFonts w:hint="eastAsia" w:ascii="宋体" w:hAnsi="宋体" w:cs="宋体"/>
          <w:color w:val="000000"/>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（2）招标文件没有不合理条款、招标程序符合规定，需要采用其他采购方式采购的，采购人应当依法报财政部门批准。</w:t>
      </w:r>
    </w:p>
    <w:p>
      <w:pPr>
        <w:pStyle w:val="16"/>
        <w:spacing w:before="0" w:after="0" w:line="360" w:lineRule="auto"/>
        <w:jc w:val="left"/>
        <w:rPr>
          <w:rFonts w:ascii="宋体" w:hAnsi="宋体" w:cs="宋体"/>
          <w:color w:val="000000"/>
          <w:sz w:val="28"/>
          <w:szCs w:val="28"/>
        </w:rPr>
      </w:pPr>
      <w:bookmarkStart w:id="44" w:name="_Toc13059"/>
      <w:r>
        <w:rPr>
          <w:rFonts w:hint="eastAsia" w:ascii="宋体" w:hAnsi="宋体" w:cs="宋体"/>
          <w:color w:val="000000"/>
          <w:sz w:val="28"/>
          <w:szCs w:val="28"/>
        </w:rPr>
        <w:t>2</w:t>
      </w:r>
      <w:r>
        <w:rPr>
          <w:rFonts w:ascii="宋体" w:hAnsi="宋体" w:cs="宋体"/>
          <w:color w:val="000000"/>
          <w:sz w:val="28"/>
          <w:szCs w:val="28"/>
        </w:rPr>
        <w:t>6</w:t>
      </w:r>
      <w:r>
        <w:rPr>
          <w:rFonts w:hint="eastAsia" w:ascii="宋体" w:hAnsi="宋体" w:cs="宋体"/>
          <w:color w:val="000000"/>
          <w:sz w:val="28"/>
          <w:szCs w:val="28"/>
        </w:rPr>
        <w:t>. 中标服务费</w:t>
      </w:r>
      <w:bookmarkEnd w:id="44"/>
    </w:p>
    <w:p>
      <w:pPr>
        <w:autoSpaceDE w:val="0"/>
        <w:autoSpaceDN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lang w:val="zh-CN"/>
        </w:rPr>
        <w:t>26.1 收取对象：</w:t>
      </w:r>
      <w:r>
        <w:rPr>
          <w:rFonts w:hint="eastAsia" w:ascii="宋体" w:hAnsi="宋体" w:cs="宋体"/>
          <w:color w:val="000000"/>
          <w:kern w:val="0"/>
          <w:u w:val="dashDotDotHeavy"/>
          <w:lang w:val="zh-CN"/>
        </w:rPr>
        <w:t>中标人</w:t>
      </w:r>
      <w:r>
        <w:rPr>
          <w:rFonts w:hint="eastAsia" w:ascii="宋体" w:hAnsi="宋体" w:cs="宋体"/>
          <w:color w:val="000000"/>
          <w:kern w:val="0"/>
          <w:lang w:val="zh-CN"/>
        </w:rPr>
        <w:t>。</w:t>
      </w:r>
    </w:p>
    <w:p>
      <w:pPr>
        <w:autoSpaceDE w:val="0"/>
        <w:autoSpaceDN w:val="0"/>
        <w:spacing w:line="360" w:lineRule="auto"/>
        <w:ind w:firstLine="480" w:firstLineChars="200"/>
        <w:jc w:val="left"/>
        <w:rPr>
          <w:rFonts w:ascii="宋体" w:hAnsi="宋体" w:cs="宋体"/>
          <w:color w:val="000000"/>
          <w:kern w:val="0"/>
          <w:lang w:val="zh-CN"/>
        </w:rPr>
      </w:pPr>
      <w:r>
        <w:rPr>
          <w:rFonts w:ascii="宋体" w:hAnsi="宋体" w:cs="宋体"/>
          <w:color w:val="000000"/>
          <w:kern w:val="0"/>
        </w:rPr>
        <w:t xml:space="preserve">26.2 </w:t>
      </w:r>
      <w:r>
        <w:rPr>
          <w:rFonts w:hint="eastAsia" w:ascii="宋体" w:hAnsi="宋体" w:cs="宋体"/>
          <w:color w:val="000000"/>
          <w:kern w:val="0"/>
          <w:lang w:val="zh-CN"/>
        </w:rPr>
        <w:t>收费金额：</w:t>
      </w:r>
    </w:p>
    <w:p>
      <w:pPr>
        <w:autoSpaceDE w:val="0"/>
        <w:autoSpaceDN w:val="0"/>
        <w:spacing w:line="360" w:lineRule="auto"/>
        <w:ind w:firstLine="480" w:firstLineChars="200"/>
        <w:jc w:val="left"/>
        <w:rPr>
          <w:rFonts w:ascii="宋体" w:hAnsi="宋体" w:cs="宋体"/>
          <w:color w:val="000000"/>
          <w:kern w:val="0"/>
          <w:u w:val="dashDotDotHeavy"/>
          <w:lang w:val="zh-CN"/>
        </w:rPr>
      </w:pPr>
      <w:r>
        <w:rPr>
          <w:rFonts w:hint="eastAsia" w:ascii="宋体" w:hAnsi="宋体" w:cs="宋体"/>
          <w:color w:val="000000"/>
          <w:kern w:val="0"/>
          <w:lang w:val="zh-CN"/>
        </w:rPr>
        <w:t>在领取中标通知书前向采购代理机构缴纳</w:t>
      </w:r>
      <w:r>
        <w:rPr>
          <w:rFonts w:hint="eastAsia" w:ascii="宋体" w:hAnsi="宋体" w:cs="宋体"/>
          <w:color w:val="000000"/>
          <w:kern w:val="0"/>
          <w:u w:val="dashDotDotHeavy"/>
          <w:lang w:val="en-US" w:eastAsia="zh-CN"/>
        </w:rPr>
        <w:t>6000</w:t>
      </w:r>
      <w:r>
        <w:rPr>
          <w:rFonts w:hint="eastAsia" w:ascii="宋体" w:hAnsi="宋体" w:cs="宋体"/>
          <w:color w:val="000000"/>
          <w:kern w:val="0"/>
          <w:u w:val="dashDotDotHeavy"/>
          <w:lang w:val="zh-CN"/>
        </w:rPr>
        <w:t>.0</w:t>
      </w:r>
      <w:r>
        <w:rPr>
          <w:rFonts w:hint="eastAsia" w:ascii="宋体" w:hAnsi="宋体" w:cs="宋体"/>
          <w:color w:val="000000"/>
          <w:kern w:val="0"/>
          <w:u w:val="dashDotDotHeavy"/>
        </w:rPr>
        <w:t>0</w:t>
      </w:r>
      <w:r>
        <w:rPr>
          <w:rFonts w:hint="eastAsia" w:ascii="宋体" w:hAnsi="宋体" w:cs="宋体"/>
          <w:color w:val="000000"/>
          <w:kern w:val="0"/>
          <w:u w:val="dashDotDotHeavy"/>
          <w:lang w:val="zh-CN"/>
        </w:rPr>
        <w:t>元（陆仟元整）</w:t>
      </w:r>
    </w:p>
    <w:p>
      <w:pPr>
        <w:autoSpaceDE w:val="0"/>
        <w:autoSpaceDN w:val="0"/>
        <w:spacing w:line="360" w:lineRule="auto"/>
        <w:ind w:firstLine="480" w:firstLineChars="200"/>
        <w:jc w:val="left"/>
        <w:rPr>
          <w:rFonts w:ascii="宋体" w:hAnsi="宋体" w:cs="宋体"/>
          <w:b/>
          <w:bCs/>
          <w:color w:val="000000"/>
          <w:sz w:val="36"/>
          <w:szCs w:val="32"/>
          <w:lang w:val="zh-CN"/>
        </w:rPr>
      </w:pPr>
      <w:r>
        <w:rPr>
          <w:rFonts w:hint="eastAsia" w:ascii="宋体" w:hAnsi="宋体" w:cs="宋体"/>
          <w:color w:val="000000"/>
          <w:kern w:val="0"/>
        </w:rPr>
        <w:t>说明：根据</w:t>
      </w:r>
      <w:r>
        <w:rPr>
          <w:rFonts w:hint="eastAsia" w:ascii="宋体" w:hAnsi="宋体" w:cs="宋体"/>
          <w:color w:val="000000"/>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kern w:val="0"/>
        </w:rPr>
        <w:t>。</w:t>
      </w:r>
    </w:p>
    <w:p>
      <w:pPr>
        <w:autoSpaceDE w:val="0"/>
        <w:autoSpaceDN w:val="0"/>
        <w:spacing w:line="360" w:lineRule="auto"/>
        <w:ind w:firstLine="480" w:firstLineChars="200"/>
        <w:jc w:val="left"/>
        <w:rPr>
          <w:rFonts w:ascii="宋体" w:hAnsi="宋体" w:cs="宋体"/>
          <w:color w:val="000000"/>
          <w:kern w:val="0"/>
        </w:rPr>
      </w:pPr>
      <w:r>
        <w:rPr>
          <w:rFonts w:hint="eastAsia" w:ascii="宋体" w:hAnsi="宋体" w:cs="宋体"/>
          <w:color w:val="000000"/>
          <w:kern w:val="0"/>
          <w:lang w:val="zh-CN"/>
        </w:rPr>
        <w:t>其他未尽事宜，按照《中华人民共和国政府采购法》、《中华人民共和国政府采购法实施条例》、《中华人民共和国合同法》等法律法规的有关条款执行。</w:t>
      </w:r>
    </w:p>
    <w:p>
      <w:pPr>
        <w:rPr>
          <w:rFonts w:ascii="宋体" w:hAnsi="宋体" w:cs="宋体"/>
          <w:color w:val="000000"/>
        </w:rPr>
      </w:pPr>
    </w:p>
    <w:p>
      <w:pPr>
        <w:pStyle w:val="16"/>
        <w:spacing w:before="0" w:after="0" w:line="360" w:lineRule="auto"/>
        <w:rPr>
          <w:rFonts w:ascii="宋体" w:hAnsi="宋体" w:cs="宋体"/>
          <w:color w:val="000000"/>
          <w:sz w:val="24"/>
        </w:rPr>
      </w:pPr>
      <w:r>
        <w:rPr>
          <w:rFonts w:hint="eastAsia" w:ascii="宋体" w:hAnsi="宋体" w:cs="宋体"/>
          <w:color w:val="000000"/>
          <w:szCs w:val="36"/>
          <w:lang w:val="zh-CN"/>
        </w:rPr>
        <w:br w:type="page"/>
      </w:r>
      <w:bookmarkStart w:id="45" w:name="_Toc24792"/>
      <w:r>
        <w:rPr>
          <w:rFonts w:hint="eastAsia" w:ascii="宋体" w:hAnsi="宋体" w:cs="宋体"/>
          <w:color w:val="000000"/>
          <w:szCs w:val="36"/>
          <w:lang w:val="zh-CN"/>
        </w:rPr>
        <w:t xml:space="preserve">第三部分 </w:t>
      </w:r>
      <w:r>
        <w:rPr>
          <w:rFonts w:hint="eastAsia" w:ascii="宋体" w:hAnsi="宋体" w:cs="宋体"/>
          <w:color w:val="000000"/>
          <w:szCs w:val="36"/>
        </w:rPr>
        <w:t xml:space="preserve"> </w:t>
      </w:r>
      <w:r>
        <w:rPr>
          <w:rFonts w:hint="eastAsia" w:ascii="宋体" w:hAnsi="宋体" w:cs="宋体"/>
          <w:color w:val="000000"/>
          <w:szCs w:val="36"/>
          <w:lang w:val="zh-CN"/>
        </w:rPr>
        <w:t>青海省政府采购项目合同书范本</w:t>
      </w:r>
      <w:bookmarkEnd w:id="45"/>
    </w:p>
    <w:p>
      <w:pPr>
        <w:autoSpaceDE w:val="0"/>
        <w:autoSpaceDN w:val="0"/>
        <w:adjustRightInd w:val="0"/>
        <w:spacing w:line="360" w:lineRule="auto"/>
        <w:jc w:val="center"/>
        <w:rPr>
          <w:rFonts w:ascii="宋体" w:hAnsi="宋体" w:cs="宋体"/>
          <w:b/>
          <w:bCs/>
          <w:color w:val="000000"/>
          <w:kern w:val="0"/>
          <w:sz w:val="36"/>
          <w:szCs w:val="36"/>
        </w:rPr>
      </w:pPr>
      <w:r>
        <w:rPr>
          <w:rFonts w:hint="eastAsia" w:ascii="宋体" w:hAnsi="宋体" w:cs="宋体"/>
          <w:b/>
          <w:bCs/>
          <w:color w:val="000000"/>
          <w:kern w:val="0"/>
          <w:sz w:val="36"/>
          <w:szCs w:val="36"/>
          <w:lang w:val="zh-CN"/>
        </w:rPr>
        <w:t>（货物类）</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center"/>
        <w:rPr>
          <w:rFonts w:ascii="宋体" w:hAnsi="宋体" w:cs="宋体"/>
          <w:b/>
          <w:bCs/>
          <w:color w:val="000000"/>
          <w:kern w:val="0"/>
          <w:sz w:val="48"/>
          <w:szCs w:val="48"/>
        </w:rPr>
      </w:pPr>
      <w:r>
        <w:rPr>
          <w:rFonts w:hint="eastAsia" w:ascii="宋体" w:hAnsi="宋体" w:cs="宋体"/>
          <w:b/>
          <w:bCs/>
          <w:color w:val="000000"/>
          <w:kern w:val="0"/>
          <w:sz w:val="48"/>
          <w:szCs w:val="48"/>
          <w:lang w:val="zh-CN"/>
        </w:rPr>
        <w:t>青海省政府采购项目合同书</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w:t>
      </w:r>
      <w:r>
        <w:rPr>
          <w:rFonts w:hint="eastAsia" w:ascii="宋体" w:hAnsi="宋体" w:cs="宋体"/>
          <w:color w:val="000000"/>
          <w:kern w:val="0"/>
          <w:sz w:val="30"/>
          <w:szCs w:val="30"/>
          <w:u w:val="single"/>
        </w:rPr>
        <w:t xml:space="preserve">                                 </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采购项目名称：</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hint="default" w:ascii="宋体" w:hAnsi="宋体" w:eastAsia="宋体" w:cs="宋体"/>
          <w:b/>
          <w:bCs/>
          <w:color w:val="000000"/>
          <w:kern w:val="0"/>
          <w:sz w:val="30"/>
          <w:szCs w:val="30"/>
          <w:lang w:val="en-US" w:eastAsia="zh-CN"/>
        </w:rPr>
      </w:pPr>
      <w:r>
        <w:rPr>
          <w:rFonts w:hint="eastAsia" w:ascii="宋体" w:hAnsi="宋体" w:cs="宋体"/>
          <w:b/>
          <w:bCs/>
          <w:color w:val="000000"/>
          <w:kern w:val="0"/>
          <w:sz w:val="30"/>
          <w:szCs w:val="30"/>
          <w:lang w:val="zh-CN"/>
        </w:rPr>
        <w:t>采购合同编号：</w:t>
      </w:r>
      <w:r>
        <w:rPr>
          <w:rFonts w:hint="eastAsia" w:ascii="宋体" w:hAnsi="宋体" w:cs="宋体"/>
          <w:b/>
          <w:bCs/>
          <w:color w:val="000000"/>
          <w:kern w:val="0"/>
          <w:sz w:val="30"/>
          <w:szCs w:val="30"/>
          <w:lang w:val="en-US" w:eastAsia="zh-CN"/>
        </w:rPr>
        <w:t>LHJS</w:t>
      </w:r>
      <w:r>
        <w:rPr>
          <w:rFonts w:hint="eastAsia" w:ascii="宋体" w:hAnsi="宋体" w:cs="宋体"/>
          <w:b/>
          <w:bCs/>
          <w:color w:val="000000"/>
          <w:kern w:val="0"/>
          <w:sz w:val="30"/>
          <w:szCs w:val="30"/>
          <w:lang w:val="zh-CN"/>
        </w:rPr>
        <w:t>-2019-0</w:t>
      </w:r>
      <w:r>
        <w:rPr>
          <w:rFonts w:hint="eastAsia" w:ascii="宋体" w:hAnsi="宋体" w:cs="宋体"/>
          <w:b/>
          <w:bCs/>
          <w:color w:val="000000"/>
          <w:kern w:val="0"/>
          <w:sz w:val="30"/>
          <w:szCs w:val="30"/>
          <w:lang w:val="en-US" w:eastAsia="zh-CN"/>
        </w:rPr>
        <w:t>10</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合同金额（人民币）：</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采购人（甲方）：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中标人（乙方）：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采购日期：</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left"/>
        <w:rPr>
          <w:rFonts w:ascii="宋体" w:hAnsi="宋体" w:cs="宋体"/>
          <w:b/>
          <w:bCs/>
          <w:color w:val="000000"/>
          <w:kern w:val="0"/>
          <w:sz w:val="28"/>
          <w:szCs w:val="28"/>
        </w:rPr>
      </w:pPr>
      <w:r>
        <w:rPr>
          <w:rFonts w:hint="eastAsia" w:ascii="宋体" w:hAnsi="宋体" w:cs="宋体"/>
          <w:color w:val="000000"/>
          <w:kern w:val="0"/>
          <w:sz w:val="28"/>
          <w:szCs w:val="28"/>
        </w:rPr>
        <w:br w:type="page"/>
      </w: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pPr>
        <w:autoSpaceDE w:val="0"/>
        <w:autoSpaceDN w:val="0"/>
        <w:adjustRightInd w:val="0"/>
        <w:spacing w:line="360" w:lineRule="auto"/>
        <w:rPr>
          <w:rFonts w:ascii="宋体" w:hAnsi="宋体" w:cs="宋体"/>
          <w:color w:val="000000"/>
          <w:kern w:val="0"/>
          <w:sz w:val="28"/>
          <w:szCs w:val="28"/>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pPr>
        <w:pStyle w:val="7"/>
        <w:spacing w:after="0" w:line="360" w:lineRule="auto"/>
        <w:ind w:left="0" w:leftChars="0" w:firstLine="480"/>
        <w:rPr>
          <w:rFonts w:ascii="宋体" w:hAnsi="宋体" w:cs="宋体"/>
          <w:color w:val="000000"/>
          <w:kern w:val="0"/>
          <w:lang w:val="zh-CN"/>
        </w:rPr>
      </w:pPr>
      <w:r>
        <w:rPr>
          <w:rFonts w:hint="eastAsia" w:ascii="宋体" w:hAnsi="宋体" w:cs="宋体"/>
          <w:color w:val="000000"/>
          <w:kern w:val="0"/>
          <w:lang w:val="zh-CN"/>
        </w:rPr>
        <w:t>甲、乙双方根据XXXX年XX月XX日（</w:t>
      </w:r>
      <w:r>
        <w:rPr>
          <w:rFonts w:hint="eastAsia" w:ascii="宋体" w:hAnsi="宋体" w:cs="宋体"/>
          <w:color w:val="000000"/>
          <w:kern w:val="0"/>
          <w:u w:val="single"/>
          <w:lang w:val="zh-CN"/>
        </w:rPr>
        <w:t>采购项目名称）</w:t>
      </w:r>
      <w:r>
        <w:rPr>
          <w:rFonts w:hint="eastAsia" w:ascii="宋体" w:hAnsi="宋体" w:cs="宋体"/>
          <w:color w:val="000000"/>
          <w:kern w:val="0"/>
          <w:lang w:val="zh-CN"/>
        </w:rPr>
        <w:t>采购项目（</w:t>
      </w:r>
      <w:r>
        <w:rPr>
          <w:rFonts w:hint="eastAsia" w:ascii="宋体" w:hAnsi="宋体" w:cs="宋体"/>
          <w:color w:val="000000"/>
          <w:kern w:val="0"/>
          <w:u w:val="single"/>
          <w:lang w:val="zh-CN"/>
        </w:rPr>
        <w:t>采购项目编号</w:t>
      </w:r>
      <w:r>
        <w:rPr>
          <w:rFonts w:hint="eastAsia" w:ascii="宋体" w:hAnsi="宋体" w:cs="宋体"/>
          <w:color w:val="000000"/>
          <w:kern w:val="0"/>
          <w:lang w:val="zh-CN"/>
        </w:rPr>
        <w:t>）的招标文件要求和</w:t>
      </w:r>
      <w:r>
        <w:rPr>
          <w:rFonts w:hint="eastAsia" w:ascii="宋体" w:hAnsi="宋体" w:cs="宋体"/>
          <w:color w:val="000000"/>
          <w:kern w:val="0"/>
          <w:u w:val="dashDotHeavy"/>
          <w:lang w:val="zh-CN"/>
        </w:rPr>
        <w:t>采购人采购代理机构</w:t>
      </w:r>
      <w:r>
        <w:rPr>
          <w:rFonts w:hint="eastAsia" w:ascii="宋体" w:hAnsi="宋体" w:cs="宋体"/>
          <w:color w:val="000000"/>
          <w:kern w:val="0"/>
          <w:lang w:val="zh-CN"/>
        </w:rPr>
        <w:t>出具的《中标通知书》，并经双方协商一致，签订本合同协议书。</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一、签订本政府采购合同的依据</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1.招标文件；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2.招标文件的澄清、变更公告；</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3.中标人提交的投标文件；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4.招标文件中规定的政府采购合同通用条款；</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5.中标通知书；</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6.履约保证金缴费证明。</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二、合同标的及金额                                       单位：元</w:t>
      </w:r>
    </w:p>
    <w:tbl>
      <w:tblPr>
        <w:tblStyle w:val="17"/>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bl>
    <w:p>
      <w:pPr>
        <w:autoSpaceDE w:val="0"/>
        <w:autoSpaceDN w:val="0"/>
        <w:spacing w:line="360" w:lineRule="auto"/>
        <w:jc w:val="left"/>
        <w:rPr>
          <w:rFonts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pPr>
        <w:autoSpaceDE w:val="0"/>
        <w:autoSpaceDN w:val="0"/>
        <w:spacing w:line="360" w:lineRule="auto"/>
        <w:jc w:val="left"/>
        <w:rPr>
          <w:rFonts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lang w:val="zh-CN"/>
        </w:rPr>
        <w:t>本合同以人民币进行结算，合同总价包括：产品费、验收费、手续费、包装费、运输费、保险费、安装费、调试费、培训费、售前、售中、售后服务费、招标代理费、税金及不可预见费等全部费用。</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三、交付时间、地点和要求</w:t>
      </w:r>
    </w:p>
    <w:p>
      <w:pPr>
        <w:autoSpaceDE w:val="0"/>
        <w:autoSpaceDN w:val="0"/>
        <w:spacing w:line="360" w:lineRule="auto"/>
        <w:ind w:firstLine="360"/>
        <w:jc w:val="left"/>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交货时间：</w:t>
      </w:r>
      <w:r>
        <w:rPr>
          <w:rFonts w:hint="eastAsia" w:ascii="宋体" w:hAnsi="宋体" w:cs="宋体"/>
          <w:color w:val="000000"/>
          <w:kern w:val="0"/>
          <w:u w:val="single"/>
        </w:rPr>
        <w:t xml:space="preserve">                    </w:t>
      </w:r>
      <w:r>
        <w:rPr>
          <w:rFonts w:hint="eastAsia" w:ascii="宋体" w:hAnsi="宋体" w:cs="宋体"/>
          <w:color w:val="000000"/>
          <w:kern w:val="0"/>
          <w:lang w:val="zh-CN"/>
        </w:rPr>
        <w:t>；交货地点：</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乙方提供不符合招投标文件和本合同规定的产品，甲方有权拒绝接受。</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甲方应当在到货（安装、调试完）后</w:t>
      </w:r>
      <w:r>
        <w:rPr>
          <w:rFonts w:hint="eastAsia" w:ascii="宋体" w:hAnsi="宋体" w:cs="宋体"/>
          <w:color w:val="000000"/>
          <w:kern w:val="0"/>
          <w:u w:val="single"/>
        </w:rPr>
        <w:t xml:space="preserve">    </w:t>
      </w:r>
      <w:r>
        <w:rPr>
          <w:rFonts w:hint="eastAsia" w:ascii="宋体" w:hAnsi="宋体" w:cs="宋体"/>
          <w:color w:val="000000"/>
          <w:kern w:val="0"/>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甲方应提供该项目验收报告交同级财政监管部门，由财政部门按规定程序抽验后办理资金拨付。</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甲方在验收过程中发现乙方有违约问题，可按招、投标文件的规定要求乙方及时予以解决。</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乙方向甲方提供产品相关完税销售发票。</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四、付款方式</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乙方所交付的产品由甲方验收，验收合格后由甲方报同级财政监管部门，申请资金拨付</w:t>
      </w:r>
      <w:r>
        <w:rPr>
          <w:rFonts w:hint="eastAsia" w:ascii="宋体" w:hAnsi="宋体" w:cs="宋体"/>
          <w:color w:val="000000"/>
          <w:kern w:val="0"/>
        </w:rPr>
        <w:t>,</w:t>
      </w:r>
      <w:r>
        <w:rPr>
          <w:rFonts w:hint="eastAsia" w:ascii="宋体" w:hAnsi="宋体" w:cs="宋体"/>
          <w:color w:val="000000"/>
          <w:kern w:val="0"/>
          <w:lang w:val="zh-CN"/>
        </w:rPr>
        <w:t>按合同金额向乙方支付合同总价款的</w:t>
      </w:r>
      <w:r>
        <w:rPr>
          <w:rFonts w:hint="eastAsia" w:ascii="宋体" w:hAnsi="宋体" w:cs="宋体"/>
          <w:color w:val="000000"/>
          <w:kern w:val="0"/>
          <w:u w:val="single"/>
        </w:rPr>
        <w:t>100</w:t>
      </w:r>
      <w:r>
        <w:rPr>
          <w:rFonts w:hint="eastAsia" w:ascii="宋体" w:hAnsi="宋体" w:cs="宋体"/>
          <w:color w:val="000000"/>
          <w:kern w:val="0"/>
        </w:rPr>
        <w:t>%</w:t>
      </w:r>
      <w:r>
        <w:rPr>
          <w:rFonts w:hint="eastAsia" w:ascii="宋体" w:hAnsi="宋体" w:cs="宋体"/>
          <w:color w:val="000000"/>
        </w:rPr>
        <w:t>（</w:t>
      </w:r>
      <w:r>
        <w:rPr>
          <w:rFonts w:hint="eastAsia" w:ascii="宋体" w:hAnsi="宋体" w:cs="宋体"/>
          <w:color w:val="000000"/>
          <w:kern w:val="0"/>
          <w:lang w:val="zh-CN"/>
        </w:rPr>
        <w:t>按进度支付</w:t>
      </w:r>
      <w:r>
        <w:rPr>
          <w:rFonts w:ascii="宋体" w:hAnsi="宋体" w:cs="宋体"/>
          <w:color w:val="000000"/>
          <w:kern w:val="0"/>
          <w:lang w:val="zh-CN"/>
        </w:rPr>
        <w:t>的</w:t>
      </w:r>
      <w:r>
        <w:rPr>
          <w:rFonts w:hint="eastAsia" w:ascii="宋体" w:hAnsi="宋体" w:cs="宋体"/>
          <w:color w:val="000000"/>
          <w:kern w:val="0"/>
          <w:lang w:val="zh-CN"/>
        </w:rPr>
        <w:t>根据项目情况确定</w:t>
      </w:r>
      <w:r>
        <w:rPr>
          <w:rFonts w:hint="eastAsia" w:ascii="宋体" w:hAnsi="宋体" w:cs="宋体"/>
          <w:color w:val="000000"/>
        </w:rPr>
        <w:t>）</w:t>
      </w:r>
      <w:r>
        <w:rPr>
          <w:rFonts w:hint="eastAsia" w:ascii="宋体" w:hAnsi="宋体" w:cs="宋体"/>
          <w:color w:val="000000"/>
          <w:kern w:val="0"/>
          <w:lang w:val="zh-CN"/>
        </w:rPr>
        <w:t>，即人民币（大写）：</w:t>
      </w:r>
      <w:r>
        <w:rPr>
          <w:rFonts w:hint="eastAsia" w:ascii="宋体" w:hAnsi="宋体" w:cs="宋体"/>
          <w:color w:val="000000"/>
          <w:kern w:val="0"/>
          <w:u w:val="single"/>
        </w:rPr>
        <w:t xml:space="preserve">             </w:t>
      </w:r>
      <w:r>
        <w:rPr>
          <w:rFonts w:hint="eastAsia" w:ascii="宋体" w:hAnsi="宋体" w:cs="宋体"/>
          <w:color w:val="000000"/>
          <w:kern w:val="0"/>
        </w:rPr>
        <w:t>元</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乙方向甲方提交的履约保证金计（大写）</w:t>
      </w:r>
      <w:r>
        <w:rPr>
          <w:rFonts w:hint="eastAsia" w:ascii="宋体" w:hAnsi="宋体" w:cs="宋体"/>
          <w:color w:val="000000"/>
          <w:kern w:val="0"/>
          <w:u w:val="single"/>
        </w:rPr>
        <w:t xml:space="preserve">        </w:t>
      </w:r>
      <w:r>
        <w:rPr>
          <w:rFonts w:hint="eastAsia" w:ascii="宋体" w:hAnsi="宋体" w:cs="宋体"/>
          <w:color w:val="000000"/>
          <w:kern w:val="0"/>
        </w:rPr>
        <w:t>元</w:t>
      </w:r>
      <w:r>
        <w:rPr>
          <w:rFonts w:hint="eastAsia" w:ascii="宋体" w:hAnsi="宋体" w:cs="宋体"/>
          <w:color w:val="000000"/>
          <w:kern w:val="0"/>
          <w:lang w:val="zh-CN"/>
        </w:rPr>
        <w:t>转为质量保证金。质量保证金待约定的免费质保期满</w:t>
      </w:r>
      <w:r>
        <w:rPr>
          <w:rFonts w:hint="eastAsia" w:ascii="宋体" w:hAnsi="宋体" w:cs="宋体"/>
          <w:color w:val="000000"/>
          <w:kern w:val="0"/>
          <w:u w:val="single"/>
        </w:rPr>
        <w:t xml:space="preserve">     </w:t>
      </w:r>
      <w:r>
        <w:rPr>
          <w:rFonts w:hint="eastAsia" w:ascii="宋体" w:hAnsi="宋体" w:cs="宋体"/>
          <w:color w:val="000000"/>
          <w:kern w:val="0"/>
          <w:lang w:val="zh-CN"/>
        </w:rPr>
        <w:t>（年）且产品无质量问题后，由乙方提出书面申请，甲方以转账方式予以退还。</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五、合同的变更、终止与转让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六、违约责任</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乙方提供的货物如侵犯了第三方权益而引发纠纷或诉讼的，均由乙方负责交涉并承担全部责任。</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因包装、运输引起的货物损坏，按质量不合格处罚。</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甲方无故延期接受货物和乙方逾期交货的，每天应向对方偿付未交货物的货款</w:t>
      </w:r>
      <w:r>
        <w:rPr>
          <w:rFonts w:hint="eastAsia" w:ascii="宋体" w:hAnsi="宋体" w:cs="宋体"/>
          <w:color w:val="000000"/>
          <w:kern w:val="0"/>
        </w:rPr>
        <w:t>3</w:t>
      </w:r>
      <w:r>
        <w:rPr>
          <w:rFonts w:hint="eastAsia" w:ascii="宋体" w:hAnsi="宋体" w:cs="宋体"/>
          <w:color w:val="000000"/>
          <w:kern w:val="0"/>
          <w:lang w:val="zh-CN"/>
        </w:rPr>
        <w:t>‰的违约金，但违约金累计不得超过违约货款的</w:t>
      </w:r>
      <w:r>
        <w:rPr>
          <w:rFonts w:hint="eastAsia" w:ascii="宋体" w:hAnsi="宋体" w:cs="宋体"/>
          <w:color w:val="000000"/>
          <w:kern w:val="0"/>
        </w:rPr>
        <w:t>5%</w:t>
      </w:r>
      <w:r>
        <w:rPr>
          <w:rFonts w:hint="eastAsia" w:ascii="宋体" w:hAnsi="宋体" w:cs="宋体"/>
          <w:color w:val="000000"/>
          <w:kern w:val="0"/>
          <w:lang w:val="zh-CN"/>
        </w:rPr>
        <w:t>，超过</w:t>
      </w:r>
      <w:r>
        <w:rPr>
          <w:rFonts w:hint="eastAsia" w:ascii="宋体" w:hAnsi="宋体" w:cs="宋体"/>
          <w:color w:val="000000"/>
          <w:kern w:val="0"/>
          <w:u w:val="single"/>
        </w:rPr>
        <w:t xml:space="preserve">    </w:t>
      </w:r>
      <w:r>
        <w:rPr>
          <w:rFonts w:hint="eastAsia" w:ascii="宋体" w:hAnsi="宋体" w:cs="宋体"/>
          <w:color w:val="000000"/>
          <w:kern w:val="0"/>
          <w:lang w:val="zh-CN"/>
        </w:rPr>
        <w:t>天对方有权解除合同，违约方承担因此给对方造成的经济损失。</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乙方未按本合同和投标文件中规定的服务承诺提供售后服务的，乙方应按本合同合计金额的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七、不可抗力</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八、知识产权：详见合同通用条款</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九、其他约定：</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十、合同争议解决</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诉讼期间，本合同继续履行。</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w:t>
      </w:r>
      <w:r>
        <w:rPr>
          <w:rFonts w:hint="eastAsia" w:ascii="宋体" w:hAnsi="宋体" w:cs="宋体"/>
          <w:color w:val="000000"/>
          <w:kern w:val="0"/>
          <w:u w:val="dashDotHeavy"/>
          <w:lang w:val="zh-CN"/>
        </w:rPr>
        <w:t>八</w:t>
      </w:r>
      <w:r>
        <w:rPr>
          <w:rFonts w:hint="eastAsia" w:ascii="宋体" w:hAnsi="宋体" w:cs="宋体"/>
          <w:color w:val="000000"/>
          <w:kern w:val="0"/>
          <w:lang w:val="zh-CN"/>
        </w:rPr>
        <w:t>份，经双方签字，并加盖公章即为生效。</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本合同未尽事宜，按经济合同法有关规定处理。</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pPr>
        <w:autoSpaceDE w:val="0"/>
        <w:autoSpaceDN w:val="0"/>
        <w:spacing w:line="360" w:lineRule="auto"/>
        <w:ind w:firstLine="1320" w:firstLineChars="550"/>
        <w:rPr>
          <w:rFonts w:ascii="宋体" w:hAnsi="宋体" w:cs="宋体"/>
          <w:color w:val="000000"/>
          <w:kern w:val="0"/>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采购代理机构：</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负责人或经办人：</w:t>
      </w:r>
    </w:p>
    <w:p>
      <w:pPr>
        <w:autoSpaceDE w:val="0"/>
        <w:autoSpaceDN w:val="0"/>
        <w:spacing w:line="360" w:lineRule="auto"/>
        <w:jc w:val="center"/>
        <w:rPr>
          <w:rFonts w:ascii="宋体" w:hAnsi="宋体" w:cs="宋体"/>
          <w:b/>
          <w:bCs/>
          <w:color w:val="000000"/>
          <w:kern w:val="0"/>
          <w:sz w:val="28"/>
          <w:szCs w:val="28"/>
        </w:rPr>
      </w:pPr>
      <w:r>
        <w:rPr>
          <w:rFonts w:hint="eastAsia" w:ascii="宋体" w:hAnsi="宋体" w:cs="宋体"/>
          <w:color w:val="000000"/>
          <w:kern w:val="0"/>
          <w:lang w:val="zh-CN"/>
        </w:rPr>
        <w:t>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r>
        <w:rPr>
          <w:rFonts w:hint="eastAsia" w:ascii="宋体" w:hAnsi="宋体" w:cs="宋体"/>
          <w:b/>
          <w:bCs/>
          <w:color w:val="000000"/>
          <w:kern w:val="0"/>
          <w:sz w:val="28"/>
          <w:szCs w:val="28"/>
          <w:lang w:val="zh-CN"/>
        </w:rPr>
        <w:br w:type="page"/>
      </w:r>
      <w:r>
        <w:rPr>
          <w:rFonts w:hint="eastAsia" w:ascii="宋体" w:hAnsi="宋体" w:cs="宋体"/>
          <w:b/>
          <w:bCs/>
          <w:color w:val="000000"/>
          <w:kern w:val="0"/>
          <w:sz w:val="28"/>
          <w:szCs w:val="28"/>
          <w:lang w:val="zh-CN"/>
        </w:rPr>
        <w:t>合同通用条款</w:t>
      </w:r>
    </w:p>
    <w:p>
      <w:pPr>
        <w:autoSpaceDE w:val="0"/>
        <w:autoSpaceDN w:val="0"/>
        <w:adjustRightInd w:val="0"/>
        <w:spacing w:line="360" w:lineRule="auto"/>
        <w:rPr>
          <w:rFonts w:ascii="宋体" w:hAnsi="宋体" w:cs="宋体"/>
          <w:color w:val="000000"/>
          <w:kern w:val="0"/>
          <w:sz w:val="28"/>
          <w:szCs w:val="28"/>
        </w:rPr>
      </w:pP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本合同中的下列术语应解释为：</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w:t>
      </w:r>
      <w:r>
        <w:rPr>
          <w:rFonts w:hint="eastAsia" w:ascii="宋体" w:hAnsi="宋体" w:cs="宋体"/>
          <w:color w:val="000000"/>
          <w:kern w:val="0"/>
        </w:rPr>
        <w:t xml:space="preserve"> </w:t>
      </w:r>
      <w:r>
        <w:rPr>
          <w:rFonts w:hint="eastAsia" w:ascii="宋体" w:hAnsi="宋体" w:cs="宋体"/>
          <w:color w:val="000000"/>
          <w:kern w:val="0"/>
          <w:lang w:val="zh-CN"/>
        </w:rPr>
        <w:t>、报告、数据、客户软件、流程图、数据库、发明、知识、贸易秘密。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w:t>
      </w:r>
      <w:r>
        <w:rPr>
          <w:rFonts w:hint="eastAsia" w:ascii="宋体" w:hAnsi="宋体" w:cs="宋体"/>
          <w:color w:val="000000"/>
          <w:kern w:val="0"/>
        </w:rPr>
        <w:t xml:space="preserve"> </w:t>
      </w:r>
      <w:r>
        <w:rPr>
          <w:rFonts w:hint="eastAsia" w:ascii="宋体" w:hAnsi="宋体" w:cs="宋体"/>
          <w:color w:val="000000"/>
          <w:kern w:val="0"/>
          <w:lang w:val="zh-CN"/>
        </w:rPr>
        <w:t>而引起甲方人员延长逗留时间，所有由此产生的包括甲方人员在内的直接费用及成本由乙方承担。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交货期应根据产品的特点实事求是填写，进口产品90个工作日内，国产产品60个工作日内。特殊产品交货期需说明。</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交货日期：所有货物运抵现场并经双方开箱验收合格之日。</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11.检验和验收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本合同条款下的付款方法和条件在“青海省政府采购项目合同书”中具体规定。</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乙方应在合同签订前，按招标文件第</w:t>
      </w:r>
      <w:r>
        <w:rPr>
          <w:rFonts w:hint="eastAsia" w:ascii="宋体" w:hAnsi="宋体" w:cs="宋体"/>
          <w:color w:val="000000"/>
          <w:kern w:val="0"/>
        </w:rPr>
        <w:t>二</w:t>
      </w:r>
      <w:r>
        <w:rPr>
          <w:rFonts w:hint="eastAsia" w:ascii="宋体" w:hAnsi="宋体" w:cs="宋体"/>
          <w:color w:val="000000"/>
          <w:kern w:val="0"/>
          <w:lang w:val="zh-CN"/>
        </w:rPr>
        <w:t>部分“八 授予合同”中第22.2项的约定提交履约保证金。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履约保证金应使用本合同货币，按下述方式之一提交（招标文件中另有约定的除外）：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与本合同有关的一切税费均由乙方承担。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政府采购合同的双方当事人不得擅自变更、中止或者终止合同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26.</w:t>
      </w:r>
      <w:r>
        <w:rPr>
          <w:rFonts w:hint="eastAsia" w:ascii="宋体" w:hAnsi="宋体" w:cs="宋体"/>
          <w:b/>
          <w:bCs/>
          <w:color w:val="000000"/>
          <w:kern w:val="0"/>
          <w:lang w:val="zh-CN"/>
        </w:rPr>
        <w:t>适用法律</w:t>
      </w:r>
    </w:p>
    <w:p>
      <w:pPr>
        <w:autoSpaceDE w:val="0"/>
        <w:autoSpaceDN w:val="0"/>
        <w:spacing w:line="360" w:lineRule="auto"/>
        <w:ind w:firstLine="480"/>
        <w:rPr>
          <w:rFonts w:ascii="宋体" w:hAnsi="宋体" w:cs="宋体"/>
          <w:color w:val="000000"/>
          <w:lang w:val="zh-CN"/>
        </w:rPr>
      </w:pPr>
      <w:r>
        <w:rPr>
          <w:rFonts w:hint="eastAsia" w:ascii="宋体" w:hAnsi="宋体" w:cs="宋体"/>
          <w:color w:val="000000"/>
          <w:kern w:val="0"/>
          <w:lang w:val="zh-CN"/>
        </w:rPr>
        <w:t>本合同按照中华人民共和国的相关法律进行解释。</w:t>
      </w:r>
    </w:p>
    <w:p>
      <w:pPr>
        <w:pStyle w:val="16"/>
        <w:spacing w:before="0" w:after="0" w:line="360" w:lineRule="auto"/>
        <w:rPr>
          <w:rFonts w:ascii="宋体" w:hAnsi="宋体" w:cs="宋体"/>
          <w:color w:val="000000"/>
          <w:lang w:val="zh-CN"/>
        </w:rPr>
      </w:pPr>
      <w:r>
        <w:rPr>
          <w:rFonts w:hint="eastAsia" w:ascii="宋体" w:hAnsi="宋体" w:cs="宋体"/>
          <w:color w:val="000000"/>
          <w:szCs w:val="36"/>
          <w:lang w:val="zh-CN"/>
        </w:rPr>
        <w:br w:type="page"/>
      </w:r>
      <w:bookmarkStart w:id="46" w:name="_Toc22474"/>
      <w:r>
        <w:rPr>
          <w:rFonts w:hint="eastAsia" w:ascii="宋体" w:hAnsi="宋体" w:cs="宋体"/>
          <w:color w:val="000000"/>
          <w:szCs w:val="36"/>
          <w:lang w:val="zh-CN"/>
        </w:rPr>
        <w:t>第四部分  投标文件格式</w:t>
      </w:r>
      <w:bookmarkEnd w:id="46"/>
    </w:p>
    <w:p>
      <w:pPr>
        <w:pStyle w:val="16"/>
        <w:spacing w:before="0" w:after="0" w:line="360" w:lineRule="auto"/>
        <w:jc w:val="left"/>
        <w:outlineLvl w:val="1"/>
        <w:rPr>
          <w:rFonts w:ascii="宋体" w:hAnsi="宋体" w:cs="宋体"/>
          <w:color w:val="000000"/>
        </w:rPr>
      </w:pPr>
      <w:bookmarkStart w:id="47" w:name="_Toc11851"/>
      <w:bookmarkStart w:id="48" w:name="_Toc30743"/>
      <w:r>
        <w:rPr>
          <w:rFonts w:hint="eastAsia" w:ascii="宋体" w:hAnsi="宋体" w:cs="宋体"/>
          <w:color w:val="000000"/>
          <w:sz w:val="30"/>
          <w:szCs w:val="30"/>
          <w:lang w:val="zh-CN"/>
        </w:rPr>
        <w:t>封面</w:t>
      </w:r>
      <w:bookmarkEnd w:id="47"/>
      <w:r>
        <w:rPr>
          <w:rFonts w:hint="eastAsia" w:ascii="宋体" w:hAnsi="宋体" w:cs="宋体"/>
          <w:color w:val="000000"/>
          <w:sz w:val="30"/>
          <w:szCs w:val="30"/>
          <w:lang w:val="zh-CN"/>
        </w:rPr>
        <w:t>（上册）</w:t>
      </w:r>
      <w:bookmarkEnd w:id="48"/>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sz w:val="36"/>
          <w:szCs w:val="36"/>
          <w:lang w:val="zh-CN"/>
        </w:rPr>
        <w:t>（上册）</w:t>
      </w:r>
    </w:p>
    <w:p>
      <w:pPr>
        <w:autoSpaceDE w:val="0"/>
        <w:autoSpaceDN w:val="0"/>
        <w:spacing w:line="360" w:lineRule="auto"/>
        <w:jc w:val="center"/>
        <w:rPr>
          <w:rFonts w:ascii="宋体" w:hAnsi="宋体" w:cs="宋体"/>
          <w:color w:val="000000"/>
          <w:sz w:val="36"/>
          <w:szCs w:val="36"/>
          <w:lang w:val="zh-CN"/>
        </w:rPr>
      </w:pPr>
      <w:r>
        <w:rPr>
          <w:rFonts w:hint="eastAsia" w:ascii="宋体" w:hAnsi="宋体" w:cs="宋体"/>
          <w:b/>
          <w:bCs/>
          <w:color w:val="000000"/>
          <w:sz w:val="36"/>
          <w:szCs w:val="36"/>
          <w:lang w:val="zh-CN"/>
        </w:rPr>
        <w:t>（资格审查文件）</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16"/>
        <w:spacing w:before="0" w:after="0" w:line="360" w:lineRule="auto"/>
        <w:outlineLvl w:val="1"/>
        <w:rPr>
          <w:rFonts w:ascii="宋体" w:hAnsi="宋体" w:cs="宋体"/>
          <w:color w:val="000000"/>
          <w:lang w:val="zh-CN"/>
        </w:rPr>
      </w:pPr>
      <w:r>
        <w:rPr>
          <w:rFonts w:hint="eastAsia" w:ascii="宋体" w:hAnsi="宋体" w:cs="宋体"/>
          <w:b w:val="0"/>
          <w:bCs w:val="0"/>
          <w:color w:val="000000"/>
          <w:kern w:val="0"/>
          <w:lang w:val="zh-CN"/>
        </w:rPr>
        <w:br w:type="page"/>
      </w:r>
      <w:bookmarkStart w:id="49" w:name="_Toc13430"/>
      <w:bookmarkStart w:id="50" w:name="_Toc29902"/>
      <w:bookmarkStart w:id="51" w:name="_Toc8514"/>
      <w:r>
        <w:rPr>
          <w:rFonts w:hint="eastAsia" w:ascii="宋体" w:hAnsi="宋体" w:cs="宋体"/>
          <w:color w:val="000000"/>
          <w:sz w:val="30"/>
          <w:szCs w:val="30"/>
          <w:lang w:val="zh-CN"/>
        </w:rPr>
        <w:t>目录（上册）</w:t>
      </w:r>
      <w:bookmarkEnd w:id="49"/>
    </w:p>
    <w:p>
      <w:pPr>
        <w:numPr>
          <w:ilvl w:val="0"/>
          <w:numId w:val="9"/>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投标函……………………………………………………………所在页码</w:t>
      </w:r>
    </w:p>
    <w:p>
      <w:pPr>
        <w:numPr>
          <w:ilvl w:val="0"/>
          <w:numId w:val="9"/>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法定代表人证明书………………………………………………所在页码</w:t>
      </w:r>
    </w:p>
    <w:p>
      <w:pPr>
        <w:numPr>
          <w:ilvl w:val="0"/>
          <w:numId w:val="9"/>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法定代表人授权书………………………………………………所在页码</w:t>
      </w:r>
    </w:p>
    <w:p>
      <w:pPr>
        <w:numPr>
          <w:ilvl w:val="0"/>
          <w:numId w:val="9"/>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投标人承诺函……………………………………………………所在页码</w:t>
      </w:r>
    </w:p>
    <w:p>
      <w:pPr>
        <w:numPr>
          <w:ilvl w:val="0"/>
          <w:numId w:val="9"/>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投标人诚信承诺书………………………………………………所在页码</w:t>
      </w:r>
    </w:p>
    <w:p>
      <w:pPr>
        <w:numPr>
          <w:ilvl w:val="0"/>
          <w:numId w:val="9"/>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资格证明材料……………………………………………………所在页码</w:t>
      </w:r>
    </w:p>
    <w:p>
      <w:pPr>
        <w:numPr>
          <w:ilvl w:val="0"/>
          <w:numId w:val="9"/>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财务状况报告，依法缴纳税收和社会保障资金的相关材料…所在页码</w:t>
      </w:r>
    </w:p>
    <w:p>
      <w:pPr>
        <w:numPr>
          <w:ilvl w:val="0"/>
          <w:numId w:val="9"/>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具备履行合同所必需的设备和专业技术能力的证明材料……所在页码</w:t>
      </w:r>
    </w:p>
    <w:p>
      <w:pPr>
        <w:numPr>
          <w:ilvl w:val="0"/>
          <w:numId w:val="9"/>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无重大违法记录声明……………………………………………所在页码</w:t>
      </w:r>
    </w:p>
    <w:p>
      <w:pPr>
        <w:numPr>
          <w:ilvl w:val="0"/>
          <w:numId w:val="9"/>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投标保证金证明…………………………………………………所在页码</w:t>
      </w:r>
    </w:p>
    <w:bookmarkEnd w:id="50"/>
    <w:bookmarkEnd w:id="51"/>
    <w:p>
      <w:pPr>
        <w:pStyle w:val="16"/>
        <w:spacing w:before="0" w:after="0" w:line="360" w:lineRule="auto"/>
        <w:jc w:val="left"/>
        <w:outlineLvl w:val="1"/>
        <w:rPr>
          <w:rFonts w:ascii="宋体" w:hAnsi="宋体" w:cs="宋体"/>
          <w:color w:val="000000"/>
          <w:lang w:val="zh-CN"/>
        </w:rPr>
      </w:pPr>
      <w:bookmarkStart w:id="52" w:name="_Toc19582"/>
      <w:r>
        <w:rPr>
          <w:rFonts w:hint="eastAsia" w:ascii="宋体" w:hAnsi="宋体" w:cs="宋体"/>
          <w:color w:val="000000"/>
          <w:sz w:val="30"/>
          <w:szCs w:val="30"/>
          <w:lang w:val="zh-CN"/>
        </w:rPr>
        <w:br w:type="page"/>
      </w:r>
      <w:bookmarkStart w:id="53" w:name="_Toc24950"/>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52"/>
      <w:bookmarkEnd w:id="53"/>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投标函</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采购人或者采购代理机构</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据此函，签字代表宣布同意如下：</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日历日内有效。如果我方在投标有效期内撤回投标或中标后不签约的，投标保证金将被贵方没收。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4.与本投标有关的一切正式往来通讯请寄：</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地址：_______________          邮编：______________</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电话：_______________          传真：______________</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法定代表人姓名： ___________   职务：____________</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6"/>
        <w:spacing w:before="0" w:after="0" w:line="360" w:lineRule="auto"/>
        <w:jc w:val="left"/>
        <w:outlineLvl w:val="1"/>
        <w:rPr>
          <w:rFonts w:ascii="宋体" w:hAnsi="宋体" w:cs="宋体"/>
          <w:color w:val="000000"/>
        </w:rPr>
      </w:pPr>
      <w:r>
        <w:rPr>
          <w:rFonts w:hint="eastAsia" w:ascii="宋体" w:hAnsi="宋体" w:cs="宋体"/>
          <w:b w:val="0"/>
          <w:bCs w:val="0"/>
          <w:color w:val="000000"/>
          <w:kern w:val="0"/>
          <w:sz w:val="24"/>
          <w:lang w:val="zh-CN"/>
        </w:rPr>
        <w:br w:type="page"/>
      </w:r>
      <w:bookmarkStart w:id="54" w:name="_Toc17993"/>
      <w:bookmarkStart w:id="55" w:name="_Toc29944"/>
      <w:r>
        <w:rPr>
          <w:rFonts w:hint="eastAsia" w:ascii="宋体" w:hAnsi="宋体" w:cs="宋体"/>
          <w:color w:val="000000"/>
          <w:kern w:val="0"/>
          <w:sz w:val="30"/>
          <w:szCs w:val="30"/>
          <w:lang w:val="zh-CN"/>
        </w:rPr>
        <w:t>（</w:t>
      </w:r>
      <w:r>
        <w:rPr>
          <w:rFonts w:hint="eastAsia" w:ascii="宋体" w:hAnsi="宋体" w:cs="宋体"/>
          <w:color w:val="000000"/>
          <w:kern w:val="0"/>
          <w:sz w:val="30"/>
          <w:szCs w:val="30"/>
        </w:rPr>
        <w:t>2</w:t>
      </w:r>
      <w:r>
        <w:rPr>
          <w:rFonts w:hint="eastAsia" w:ascii="宋体" w:hAnsi="宋体" w:cs="宋体"/>
          <w:color w:val="000000"/>
          <w:kern w:val="0"/>
          <w:sz w:val="30"/>
          <w:szCs w:val="30"/>
          <w:lang w:val="zh-CN"/>
        </w:rPr>
        <w:t>）</w:t>
      </w:r>
      <w:r>
        <w:rPr>
          <w:rFonts w:hint="eastAsia" w:ascii="宋体" w:hAnsi="宋体" w:cs="宋体"/>
          <w:color w:val="000000"/>
          <w:sz w:val="30"/>
          <w:szCs w:val="30"/>
        </w:rPr>
        <w:t>法定代表人证明书</w:t>
      </w:r>
      <w:bookmarkEnd w:id="54"/>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采购人或者采购代理机构</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法定代表人基本情况：</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地址：</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身份证号码：</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p>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附：法定代表人第二代身份证双面彩色扫描（或复印）件（复印件须由法定代表人签字并盖法人章）</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6"/>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End w:id="55"/>
      <w:bookmarkStart w:id="56" w:name="_Toc24006"/>
      <w:bookmarkStart w:id="57" w:name="_Toc17284"/>
      <w:r>
        <w:rPr>
          <w:rFonts w:hint="eastAsia" w:ascii="宋体" w:hAnsi="宋体" w:cs="宋体"/>
          <w:color w:val="000000"/>
          <w:sz w:val="30"/>
          <w:szCs w:val="30"/>
        </w:rPr>
        <w:t>（3）</w:t>
      </w:r>
      <w:r>
        <w:rPr>
          <w:rFonts w:hint="eastAsia" w:ascii="宋体" w:hAnsi="宋体" w:cs="宋体"/>
          <w:color w:val="000000"/>
          <w:sz w:val="30"/>
          <w:szCs w:val="30"/>
          <w:lang w:val="zh-CN"/>
        </w:rPr>
        <w:t>法定代表人授权书</w:t>
      </w:r>
      <w:bookmarkEnd w:id="56"/>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采购人或者采购代理机构</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我单位对被授权人的签名负全部责任。</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被授权人联系电话：</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被授权人（委托代理人）签字：</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授权人（法定代表人）签字：</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color w:val="000000"/>
          <w:kern w:val="0"/>
          <w:lang w:val="zh-CN"/>
        </w:rPr>
      </w:pPr>
    </w:p>
    <w:p>
      <w:pPr>
        <w:pStyle w:val="16"/>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58" w:name="_Toc26912"/>
      <w:r>
        <w:rPr>
          <w:rFonts w:hint="eastAsia" w:ascii="宋体" w:hAnsi="宋体" w:cs="宋体"/>
          <w:color w:val="000000"/>
          <w:sz w:val="30"/>
          <w:szCs w:val="30"/>
        </w:rPr>
        <w:t>（4）</w:t>
      </w:r>
      <w:r>
        <w:rPr>
          <w:rFonts w:hint="eastAsia" w:ascii="宋体" w:hAnsi="宋体" w:cs="宋体"/>
          <w:color w:val="000000"/>
          <w:sz w:val="30"/>
          <w:szCs w:val="30"/>
          <w:lang w:val="zh-CN"/>
        </w:rPr>
        <w:t>投标人承诺函</w:t>
      </w:r>
      <w:bookmarkEnd w:id="58"/>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投标人承诺函</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采购人或者采购代理机构</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关于贵方20</w:t>
      </w:r>
      <w:r>
        <w:rPr>
          <w:rFonts w:hint="eastAsia" w:ascii="宋体" w:hAnsi="宋体" w:cs="宋体"/>
          <w:color w:val="000000"/>
          <w:kern w:val="0"/>
        </w:rPr>
        <w:t>XX</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 xml:space="preserve">          (项目名称)</w:t>
      </w:r>
      <w:r>
        <w:rPr>
          <w:rFonts w:hint="eastAsia" w:ascii="宋体" w:hAnsi="宋体" w:cs="宋体"/>
          <w:color w:val="000000"/>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1.完全理解和接受招标文件的一切规定和要求；</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5、在整个招标过程中我方若有违规行为，贵方可按招标文件之规定给予处罚，我方完全接受。</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6、若中标，本承诺将成为合同不可分割的一部分，与合同具有同等的法律效力。</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6"/>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59" w:name="_Toc9873"/>
      <w:r>
        <w:rPr>
          <w:rFonts w:hint="eastAsia" w:ascii="宋体" w:hAnsi="宋体" w:cs="宋体"/>
          <w:color w:val="000000"/>
          <w:sz w:val="30"/>
          <w:szCs w:val="30"/>
        </w:rPr>
        <w:t>（5）</w:t>
      </w:r>
      <w:r>
        <w:rPr>
          <w:rFonts w:hint="eastAsia" w:ascii="宋体" w:hAnsi="宋体" w:cs="宋体"/>
          <w:color w:val="000000"/>
          <w:sz w:val="30"/>
          <w:szCs w:val="30"/>
          <w:lang w:val="zh-CN"/>
        </w:rPr>
        <w:t>投标人诚信承诺书</w:t>
      </w:r>
      <w:bookmarkEnd w:id="59"/>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投标人诚信承诺书</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采购人或者采购代理机构</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为了诚实、客观、有序地参与青海省政府采购活动，愿就以下内容作出承诺：</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本承诺是采购项目投标文件的组成部分。</w:t>
      </w: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6"/>
        <w:spacing w:before="0" w:after="0" w:line="360" w:lineRule="auto"/>
        <w:jc w:val="left"/>
        <w:outlineLvl w:val="1"/>
        <w:rPr>
          <w:rFonts w:ascii="宋体" w:hAnsi="宋体" w:cs="宋体"/>
          <w:color w:val="000000"/>
          <w:lang w:val="zh-CN"/>
        </w:rPr>
      </w:pPr>
      <w:r>
        <w:rPr>
          <w:rFonts w:hint="eastAsia" w:ascii="宋体" w:hAnsi="宋体" w:cs="宋体"/>
          <w:color w:val="000000"/>
          <w:kern w:val="0"/>
          <w:sz w:val="24"/>
          <w:lang w:val="zh-CN"/>
        </w:rPr>
        <w:br w:type="page"/>
      </w:r>
      <w:bookmarkEnd w:id="57"/>
      <w:bookmarkStart w:id="60" w:name="_Toc4338"/>
      <w:bookmarkStart w:id="61" w:name="_Toc8344"/>
      <w:r>
        <w:rPr>
          <w:rFonts w:hint="eastAsia" w:ascii="宋体" w:hAnsi="宋体" w:cs="宋体"/>
          <w:color w:val="000000"/>
          <w:sz w:val="30"/>
          <w:szCs w:val="30"/>
        </w:rPr>
        <w:t>（6）</w:t>
      </w:r>
      <w:r>
        <w:rPr>
          <w:rFonts w:hint="eastAsia" w:ascii="宋体" w:hAnsi="宋体" w:cs="宋体"/>
          <w:color w:val="000000"/>
          <w:sz w:val="30"/>
          <w:szCs w:val="30"/>
          <w:lang w:val="zh-CN"/>
        </w:rPr>
        <w:t>资格证明材料</w:t>
      </w:r>
      <w:bookmarkEnd w:id="60"/>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pPr>
        <w:autoSpaceDE w:val="0"/>
        <w:autoSpaceDN w:val="0"/>
        <w:spacing w:line="360" w:lineRule="auto"/>
        <w:rPr>
          <w:rFonts w:ascii="宋体" w:hAnsi="宋体" w:cs="宋体"/>
          <w:color w:val="000000"/>
          <w:kern w:val="0"/>
          <w:sz w:val="28"/>
          <w:szCs w:val="28"/>
          <w:lang w:val="zh-CN"/>
        </w:rPr>
      </w:pPr>
    </w:p>
    <w:p>
      <w:pPr>
        <w:spacing w:line="360" w:lineRule="auto"/>
        <w:ind w:firstLine="480" w:firstLineChars="200"/>
        <w:rPr>
          <w:rFonts w:ascii="宋体" w:hAnsi="宋体" w:cs="宋体"/>
          <w:color w:val="000000"/>
        </w:rPr>
      </w:pPr>
      <w:r>
        <w:rPr>
          <w:rFonts w:hint="eastAsia" w:ascii="宋体" w:hAnsi="宋体" w:cs="宋体"/>
          <w:color w:val="000000"/>
        </w:rPr>
        <w:t>资格证明材料包括：</w:t>
      </w:r>
    </w:p>
    <w:p>
      <w:pPr>
        <w:numPr>
          <w:ilvl w:val="0"/>
          <w:numId w:val="10"/>
        </w:numPr>
        <w:spacing w:line="360" w:lineRule="auto"/>
        <w:ind w:firstLine="480"/>
        <w:rPr>
          <w:rFonts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提供有效的营业执照、税务登记证、机构代码证或三证（五证）合一统一社会代码证及其他资格证明文件（扫描或复印件加盖公章）；</w:t>
      </w:r>
    </w:p>
    <w:p>
      <w:pPr>
        <w:spacing w:line="360" w:lineRule="auto"/>
        <w:ind w:firstLine="480" w:firstLineChars="200"/>
        <w:rPr>
          <w:rFonts w:ascii="宋体" w:hAnsi="宋体" w:cs="宋体"/>
          <w:color w:val="000000"/>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ascii="宋体" w:hAnsi="宋体" w:cs="宋体"/>
          <w:color w:val="000000"/>
        </w:rPr>
      </w:pPr>
      <w:r>
        <w:rPr>
          <w:rFonts w:hint="eastAsia" w:ascii="宋体" w:hAnsi="宋体" w:cs="宋体"/>
          <w:color w:val="000000"/>
        </w:rPr>
        <w:t>（2）招标文件规定的有关资格证书、许可证书、认证等；</w:t>
      </w:r>
    </w:p>
    <w:p>
      <w:pPr>
        <w:spacing w:line="360" w:lineRule="auto"/>
        <w:ind w:firstLine="480" w:firstLineChars="200"/>
        <w:rPr>
          <w:rFonts w:ascii="宋体" w:hAnsi="宋体" w:cs="宋体"/>
          <w:color w:val="000000"/>
        </w:rPr>
      </w:pPr>
      <w:r>
        <w:rPr>
          <w:rFonts w:hint="eastAsia" w:ascii="宋体" w:hAnsi="宋体" w:cs="宋体"/>
          <w:color w:val="000000"/>
        </w:rPr>
        <w:t>（3）投标人认为有必要提供的其他资格证明文件。</w:t>
      </w:r>
    </w:p>
    <w:p>
      <w:pPr>
        <w:pStyle w:val="16"/>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Start w:id="62" w:name="_Toc26145"/>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62"/>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财务状况报告，依法缴纳税收和社会保障资金的相关材料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按照招标文件第2.2款（1）中第&lt;2&gt;条规定提供以下相关材料。</w:t>
      </w:r>
    </w:p>
    <w:p>
      <w:pPr>
        <w:numPr>
          <w:ilvl w:val="0"/>
          <w:numId w:val="11"/>
        </w:numPr>
        <w:autoSpaceDE w:val="0"/>
        <w:autoSpaceDN w:val="0"/>
        <w:spacing w:line="360" w:lineRule="auto"/>
        <w:ind w:firstLine="480"/>
        <w:rPr>
          <w:rFonts w:hint="eastAsia" w:ascii="宋体" w:hAnsi="宋体"/>
          <w:lang w:val="zh-CN"/>
        </w:rPr>
      </w:pPr>
      <w:r>
        <w:rPr>
          <w:rFonts w:hint="eastAsia" w:ascii="宋体" w:hAnsi="宋体" w:cs="宋体"/>
          <w:color w:val="000000"/>
          <w:kern w:val="0"/>
          <w:lang w:val="zh-CN"/>
        </w:rPr>
        <w:t>投标人是</w:t>
      </w:r>
      <w:r>
        <w:rPr>
          <w:rFonts w:ascii="宋体" w:hAnsi="宋体" w:cs="宋体"/>
          <w:color w:val="000000"/>
          <w:kern w:val="0"/>
          <w:lang w:val="zh-CN"/>
        </w:rPr>
        <w:t>法人的，提供</w:t>
      </w:r>
      <w:r>
        <w:rPr>
          <w:rFonts w:hint="eastAsia" w:ascii="宋体" w:hAnsi="宋体" w:cs="宋体"/>
          <w:color w:val="000000"/>
          <w:kern w:val="0"/>
          <w:u w:val="dashDotDotHeavy"/>
          <w:lang w:val="zh-CN"/>
        </w:rPr>
        <w:t>上一年度（</w:t>
      </w:r>
      <w:r>
        <w:rPr>
          <w:rFonts w:hint="eastAsia" w:ascii="宋体" w:hAnsi="宋体" w:cs="宋体"/>
          <w:color w:val="000000"/>
          <w:kern w:val="0"/>
          <w:u w:val="dashDotDotHeavy"/>
        </w:rPr>
        <w:t>2018年度</w:t>
      </w:r>
      <w:r>
        <w:rPr>
          <w:rFonts w:hint="eastAsia" w:ascii="宋体" w:hAnsi="宋体" w:cs="宋体"/>
          <w:color w:val="000000"/>
          <w:kern w:val="0"/>
          <w:u w:val="dashDotDotHeavy"/>
          <w:lang w:val="zh-CN"/>
        </w:rPr>
        <w:t>）</w:t>
      </w:r>
      <w:r>
        <w:rPr>
          <w:rFonts w:hint="eastAsia" w:ascii="宋体" w:hAnsi="宋体"/>
        </w:rPr>
        <w:t>经第三方审计的财务状况报告</w:t>
      </w:r>
      <w:r>
        <w:rPr>
          <w:rFonts w:hint="eastAsia" w:ascii="宋体" w:hAnsi="宋体" w:cs="宋体"/>
          <w:color w:val="000000"/>
          <w:kern w:val="0"/>
          <w:lang w:val="zh-CN"/>
        </w:rPr>
        <w:t>（扫描或复印件应全面、完整、清晰加盖财务公章），包括资产负债表、现金流量表、利润表和财务（会计）报表附注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r>
        <w:rPr>
          <w:rFonts w:hint="eastAsia" w:ascii="宋体" w:hAnsi="宋体"/>
        </w:rPr>
        <w:t>投标人是其他组织和自然人，没有经审计的财务报告，可以提供基本开户银行出具的资信证明（同时提供基本存款账户开户许可证）。</w:t>
      </w:r>
      <w:r>
        <w:rPr>
          <w:rFonts w:hint="eastAsia" w:ascii="宋体" w:hAnsi="宋体" w:cs="宋体"/>
          <w:color w:val="000000"/>
          <w:kern w:val="0"/>
          <w:lang w:val="zh-CN"/>
        </w:rPr>
        <w:t>注册未满一年的可</w:t>
      </w:r>
      <w:r>
        <w:rPr>
          <w:rFonts w:ascii="宋体" w:hAnsi="宋体" w:cs="宋体"/>
          <w:color w:val="000000"/>
          <w:kern w:val="0"/>
          <w:lang w:val="zh-CN"/>
        </w:rPr>
        <w:t>提供</w:t>
      </w:r>
      <w:r>
        <w:rPr>
          <w:rFonts w:hint="eastAsia" w:ascii="宋体" w:hAnsi="宋体" w:cs="宋体"/>
          <w:color w:val="000000"/>
          <w:kern w:val="0"/>
          <w:lang w:val="zh-CN"/>
        </w:rPr>
        <w:t>基本开户银行近三个月内出具的资信证明（同时提供基本存款账户开户许可证），</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2、近半年内连续三个月的依法缴纳税收和社会保障资金记录的证明材料；依法免税或不需要缴纳社会保障资金的投标人须提供相应文件证明其依法免税或不需要缴纳社会保障资金。</w:t>
      </w:r>
    </w:p>
    <w:p>
      <w:pPr>
        <w:pStyle w:val="16"/>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End w:id="61"/>
      <w:bookmarkStart w:id="63" w:name="_Toc29771"/>
      <w:bookmarkStart w:id="64" w:name="_Toc21530"/>
      <w:r>
        <w:rPr>
          <w:rFonts w:hint="eastAsia" w:ascii="宋体" w:hAnsi="宋体" w:cs="宋体"/>
          <w:color w:val="000000"/>
          <w:sz w:val="30"/>
          <w:szCs w:val="30"/>
        </w:rPr>
        <w:t>（8）</w:t>
      </w:r>
      <w:r>
        <w:rPr>
          <w:rFonts w:hint="eastAsia" w:ascii="宋体" w:hAnsi="宋体" w:cs="宋体"/>
          <w:color w:val="000000"/>
          <w:sz w:val="30"/>
          <w:szCs w:val="30"/>
          <w:lang w:val="zh-CN"/>
        </w:rPr>
        <w:t>具备履行合同所必需的设备和专业技术能力的证明材料</w:t>
      </w:r>
      <w:bookmarkEnd w:id="63"/>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具备履行合同所必需的设备和专业技术能力的证明材料</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pStyle w:val="16"/>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Start w:id="65" w:name="_Toc152"/>
      <w:r>
        <w:rPr>
          <w:rFonts w:hint="eastAsia" w:ascii="宋体" w:hAnsi="宋体" w:cs="宋体"/>
          <w:color w:val="000000"/>
          <w:sz w:val="30"/>
          <w:szCs w:val="30"/>
        </w:rPr>
        <w:t>（9）</w:t>
      </w:r>
      <w:r>
        <w:rPr>
          <w:rFonts w:hint="eastAsia" w:ascii="宋体" w:hAnsi="宋体" w:cs="宋体"/>
          <w:color w:val="000000"/>
          <w:sz w:val="30"/>
          <w:szCs w:val="30"/>
          <w:lang w:val="zh-CN"/>
        </w:rPr>
        <w:t>无重大违法记录声明</w:t>
      </w:r>
      <w:bookmarkEnd w:id="65"/>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pPr>
        <w:spacing w:line="360" w:lineRule="auto"/>
        <w:rPr>
          <w:rFonts w:ascii="宋体" w:hAnsi="宋体" w:cs="宋体"/>
          <w:b/>
          <w:bCs/>
          <w:color w:val="000000"/>
          <w:sz w:val="28"/>
          <w:szCs w:val="28"/>
        </w:rPr>
      </w:pPr>
    </w:p>
    <w:p>
      <w:pPr>
        <w:spacing w:line="360" w:lineRule="auto"/>
        <w:rPr>
          <w:rFonts w:ascii="宋体" w:hAnsi="宋体" w:cs="宋体"/>
          <w:b/>
          <w:bCs/>
          <w:color w:val="000000"/>
        </w:rPr>
      </w:pPr>
      <w:r>
        <w:rPr>
          <w:rFonts w:hint="eastAsia" w:ascii="宋体" w:hAnsi="宋体" w:cs="宋体"/>
          <w:b/>
          <w:bCs/>
          <w:color w:val="000000"/>
        </w:rPr>
        <w:t>致：</w:t>
      </w:r>
      <w:r>
        <w:rPr>
          <w:rFonts w:hint="eastAsia" w:ascii="宋体" w:hAnsi="宋体" w:cs="宋体"/>
          <w:b/>
          <w:bCs/>
          <w:color w:val="000000"/>
          <w:kern w:val="0"/>
          <w:u w:val="dashDotHeavy"/>
          <w:lang w:val="zh-CN"/>
        </w:rPr>
        <w:t>采购人或者采购代理机构</w:t>
      </w:r>
    </w:p>
    <w:p>
      <w:pPr>
        <w:spacing w:line="360" w:lineRule="auto"/>
        <w:ind w:firstLine="480" w:firstLineChars="200"/>
        <w:rPr>
          <w:rFonts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pPr>
        <w:spacing w:line="360" w:lineRule="auto"/>
        <w:ind w:firstLine="480" w:firstLineChars="200"/>
        <w:rPr>
          <w:rFonts w:ascii="宋体" w:hAnsi="宋体" w:cs="宋体"/>
          <w:color w:val="000000"/>
        </w:rPr>
      </w:pPr>
      <w:r>
        <w:rPr>
          <w:rFonts w:hint="eastAsia" w:ascii="宋体" w:hAnsi="宋体" w:cs="宋体"/>
          <w:color w:val="000000"/>
        </w:rPr>
        <w:t>特此声明。</w:t>
      </w: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6"/>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66" w:name="_Toc29764"/>
      <w:bookmarkStart w:id="67" w:name="_Toc22402"/>
      <w:r>
        <w:rPr>
          <w:rFonts w:hint="eastAsia" w:ascii="宋体" w:hAnsi="宋体" w:cs="宋体"/>
          <w:color w:val="000000"/>
          <w:sz w:val="30"/>
          <w:szCs w:val="30"/>
        </w:rPr>
        <w:t>（10）</w:t>
      </w:r>
      <w:r>
        <w:rPr>
          <w:rFonts w:hint="eastAsia" w:ascii="宋体" w:hAnsi="宋体" w:cs="宋体"/>
          <w:color w:val="000000"/>
          <w:sz w:val="30"/>
          <w:szCs w:val="30"/>
          <w:lang w:val="zh-CN"/>
        </w:rPr>
        <w:t>投标保证金证明</w:t>
      </w:r>
      <w:bookmarkEnd w:id="66"/>
      <w:bookmarkEnd w:id="67"/>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采购人或者采购代理机构</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附件：保证金交款证明复印件（加盖财务公章）</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户    名：</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开户银行：</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开户帐号：</w:t>
      </w: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b/>
          <w:bCs/>
          <w:color w:val="000000"/>
          <w:kern w:val="0"/>
          <w:lang w:val="zh-CN"/>
        </w:rPr>
      </w:pPr>
    </w:p>
    <w:bookmarkEnd w:id="64"/>
    <w:p>
      <w:pPr>
        <w:rPr>
          <w:b/>
          <w:sz w:val="36"/>
          <w:szCs w:val="36"/>
        </w:rPr>
      </w:pPr>
      <w:r>
        <w:rPr>
          <w:rFonts w:hint="eastAsia"/>
          <w:kern w:val="0"/>
          <w:lang w:val="zh-CN"/>
        </w:rPr>
        <w:br w:type="page"/>
      </w:r>
      <w:r>
        <w:rPr>
          <w:rFonts w:hint="eastAsia"/>
          <w:b/>
          <w:sz w:val="36"/>
          <w:szCs w:val="36"/>
          <w:lang w:val="zh-CN"/>
        </w:rPr>
        <w:t>（下册）</w:t>
      </w:r>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ascii="宋体" w:hAnsi="宋体" w:cs="宋体"/>
          <w:color w:val="000000"/>
          <w:kern w:val="0"/>
          <w:sz w:val="44"/>
          <w:szCs w:val="44"/>
        </w:rPr>
      </w:pPr>
      <w:r>
        <w:rPr>
          <w:rFonts w:hint="eastAsia" w:ascii="宋体" w:hAnsi="宋体" w:cs="宋体"/>
          <w:b/>
          <w:bCs/>
          <w:color w:val="000000"/>
          <w:sz w:val="44"/>
          <w:szCs w:val="44"/>
          <w:lang w:val="zh-CN"/>
        </w:rPr>
        <w:t>（下册）</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16"/>
        <w:spacing w:before="0" w:after="0" w:line="360" w:lineRule="auto"/>
        <w:jc w:val="left"/>
        <w:rPr>
          <w:rFonts w:ascii="宋体" w:hAnsi="宋体" w:cs="宋体"/>
          <w:color w:val="000000"/>
          <w:lang w:val="zh-CN"/>
        </w:rPr>
      </w:pPr>
      <w:r>
        <w:rPr>
          <w:rFonts w:hint="eastAsia" w:ascii="宋体" w:hAnsi="宋体" w:cs="宋体"/>
          <w:b w:val="0"/>
          <w:bCs w:val="0"/>
          <w:color w:val="000000"/>
          <w:kern w:val="0"/>
          <w:lang w:val="zh-CN"/>
        </w:rPr>
        <w:br w:type="page"/>
      </w:r>
      <w:bookmarkStart w:id="68" w:name="_Toc16066"/>
      <w:r>
        <w:rPr>
          <w:rFonts w:hint="eastAsia" w:ascii="宋体" w:hAnsi="宋体" w:cs="宋体"/>
          <w:color w:val="000000"/>
          <w:sz w:val="30"/>
          <w:szCs w:val="30"/>
          <w:lang w:val="zh-CN"/>
        </w:rPr>
        <w:t>目录（下册）</w:t>
      </w:r>
      <w:bookmarkEnd w:id="68"/>
    </w:p>
    <w:p>
      <w:pPr>
        <w:numPr>
          <w:ilvl w:val="0"/>
          <w:numId w:val="12"/>
        </w:numPr>
        <w:autoSpaceDE w:val="0"/>
        <w:autoSpaceDN w:val="0"/>
        <w:spacing w:line="360" w:lineRule="auto"/>
        <w:rPr>
          <w:rFonts w:ascii="宋体" w:hAnsi="宋体" w:cs="宋体"/>
          <w:color w:val="000000"/>
          <w:kern w:val="0"/>
          <w:lang w:val="zh-CN"/>
        </w:rPr>
      </w:pPr>
      <w:r>
        <w:rPr>
          <w:rFonts w:hint="eastAsia" w:ascii="宋体" w:hAnsi="宋体" w:cs="宋体"/>
          <w:color w:val="000000"/>
        </w:rPr>
        <w:t>评分对照表</w:t>
      </w:r>
      <w:r>
        <w:rPr>
          <w:rFonts w:hint="eastAsia" w:ascii="宋体" w:hAnsi="宋体" w:cs="宋体"/>
          <w:color w:val="000000"/>
          <w:kern w:val="0"/>
          <w:lang w:val="zh-CN"/>
        </w:rPr>
        <w:t>………………………………………………………所在页码</w:t>
      </w:r>
    </w:p>
    <w:p>
      <w:pPr>
        <w:numPr>
          <w:ilvl w:val="0"/>
          <w:numId w:val="12"/>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开标一览表（报价表）…………………………………………所在页码</w:t>
      </w:r>
    </w:p>
    <w:p>
      <w:pPr>
        <w:numPr>
          <w:ilvl w:val="0"/>
          <w:numId w:val="12"/>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分项报价表………………………………………………………所在页码</w:t>
      </w:r>
    </w:p>
    <w:p>
      <w:pPr>
        <w:numPr>
          <w:ilvl w:val="0"/>
          <w:numId w:val="12"/>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技术规格响应表…………………………………………………所在页码</w:t>
      </w:r>
    </w:p>
    <w:p>
      <w:pPr>
        <w:numPr>
          <w:ilvl w:val="0"/>
          <w:numId w:val="12"/>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投标产品相关资料………………………………………………所在页码</w:t>
      </w:r>
    </w:p>
    <w:p>
      <w:pPr>
        <w:numPr>
          <w:ilvl w:val="0"/>
          <w:numId w:val="12"/>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投标人的类似业绩证明材料……………………………………所在页码</w:t>
      </w:r>
    </w:p>
    <w:p>
      <w:pPr>
        <w:numPr>
          <w:ilvl w:val="0"/>
          <w:numId w:val="12"/>
        </w:numPr>
        <w:autoSpaceDE w:val="0"/>
        <w:autoSpaceDN w:val="0"/>
        <w:spacing w:line="360" w:lineRule="auto"/>
        <w:rPr>
          <w:rFonts w:ascii="宋体" w:hAnsi="宋体" w:cs="宋体"/>
          <w:color w:val="000000"/>
          <w:lang w:val="zh-CN"/>
        </w:rPr>
      </w:pPr>
      <w:r>
        <w:rPr>
          <w:rFonts w:hint="eastAsia" w:ascii="宋体" w:hAnsi="宋体" w:cs="宋体"/>
          <w:color w:val="000000"/>
          <w:kern w:val="0"/>
          <w:lang w:val="zh-CN"/>
        </w:rPr>
        <w:t>制造（生产）企业小型微型企业声明函、从业人员声明函…所在页码</w:t>
      </w:r>
    </w:p>
    <w:p>
      <w:pPr>
        <w:numPr>
          <w:ilvl w:val="0"/>
          <w:numId w:val="12"/>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残疾人福利性单位声明函………………………………………所在页码</w:t>
      </w:r>
    </w:p>
    <w:p>
      <w:pPr>
        <w:numPr>
          <w:ilvl w:val="0"/>
          <w:numId w:val="12"/>
        </w:numPr>
        <w:autoSpaceDE w:val="0"/>
        <w:autoSpaceDN w:val="0"/>
        <w:spacing w:line="360" w:lineRule="auto"/>
        <w:rPr>
          <w:rFonts w:ascii="宋体" w:hAnsi="宋体" w:cs="宋体"/>
          <w:color w:val="000000"/>
          <w:lang w:val="zh-CN"/>
        </w:rPr>
      </w:pPr>
      <w:r>
        <w:rPr>
          <w:rFonts w:hint="eastAsia" w:ascii="宋体" w:hAnsi="宋体" w:cs="宋体"/>
          <w:color w:val="000000"/>
          <w:kern w:val="0"/>
          <w:lang w:val="zh-CN"/>
        </w:rPr>
        <w:t>投标人认为在其他方面有必要说明的事项……………………所在页码</w:t>
      </w:r>
    </w:p>
    <w:p>
      <w:pPr>
        <w:pStyle w:val="16"/>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lang w:val="zh-CN"/>
        </w:rPr>
        <w:br w:type="page"/>
      </w:r>
      <w:bookmarkStart w:id="69" w:name="_Toc26300"/>
      <w:r>
        <w:rPr>
          <w:rFonts w:hint="eastAsia" w:ascii="宋体" w:hAnsi="宋体" w:cs="宋体"/>
          <w:color w:val="000000"/>
          <w:sz w:val="30"/>
          <w:szCs w:val="30"/>
        </w:rPr>
        <w:t>（11）</w:t>
      </w:r>
      <w:r>
        <w:rPr>
          <w:rFonts w:hint="eastAsia" w:ascii="宋体" w:hAnsi="宋体" w:cs="宋体"/>
          <w:color w:val="000000"/>
          <w:sz w:val="30"/>
          <w:szCs w:val="30"/>
          <w:lang w:val="zh-CN"/>
        </w:rPr>
        <w:t>评分对照表</w:t>
      </w:r>
      <w:bookmarkEnd w:id="69"/>
    </w:p>
    <w:p>
      <w:pPr>
        <w:spacing w:line="360" w:lineRule="auto"/>
        <w:rPr>
          <w:rFonts w:ascii="宋体" w:hAnsi="宋体" w:cs="宋体"/>
          <w:color w:val="000000"/>
          <w:sz w:val="28"/>
          <w:szCs w:val="28"/>
        </w:rPr>
      </w:pPr>
    </w:p>
    <w:p>
      <w:pPr>
        <w:spacing w:line="360" w:lineRule="auto"/>
        <w:jc w:val="center"/>
        <w:rPr>
          <w:rFonts w:ascii="宋体" w:hAnsi="宋体" w:cs="宋体"/>
          <w:color w:val="000000"/>
        </w:rPr>
      </w:pPr>
      <w:r>
        <w:rPr>
          <w:rFonts w:hint="eastAsia" w:ascii="宋体" w:hAnsi="宋体" w:cs="宋体"/>
          <w:b/>
          <w:bCs/>
          <w:color w:val="000000"/>
          <w:sz w:val="28"/>
          <w:szCs w:val="28"/>
        </w:rPr>
        <w:t>评分对照表</w:t>
      </w:r>
    </w:p>
    <w:p>
      <w:pPr>
        <w:spacing w:line="360" w:lineRule="auto"/>
        <w:rPr>
          <w:rFonts w:ascii="宋体" w:hAnsi="宋体" w:cs="宋体"/>
          <w:color w:val="000000"/>
          <w:sz w:val="28"/>
          <w:szCs w:val="28"/>
        </w:rPr>
      </w:pPr>
    </w:p>
    <w:tbl>
      <w:tblPr>
        <w:tblStyle w:val="17"/>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color w:val="000000"/>
                <w:szCs w:val="24"/>
              </w:rPr>
            </w:pPr>
            <w:r>
              <w:rPr>
                <w:rFonts w:hint="eastAsia" w:ascii="宋体" w:hAnsi="宋体" w:cs="宋体"/>
                <w:color w:val="000000"/>
                <w:szCs w:val="24"/>
              </w:rPr>
              <w:t>序号</w:t>
            </w:r>
          </w:p>
        </w:tc>
        <w:tc>
          <w:tcPr>
            <w:tcW w:w="2514" w:type="dxa"/>
            <w:vAlign w:val="center"/>
          </w:tcPr>
          <w:p>
            <w:pPr>
              <w:pStyle w:val="4"/>
              <w:spacing w:line="360" w:lineRule="auto"/>
              <w:ind w:firstLine="0"/>
              <w:jc w:val="center"/>
              <w:rPr>
                <w:rFonts w:ascii="宋体" w:hAnsi="宋体" w:cs="宋体"/>
                <w:color w:val="000000"/>
                <w:szCs w:val="24"/>
              </w:rPr>
            </w:pPr>
            <w:r>
              <w:rPr>
                <w:rFonts w:hint="eastAsia" w:ascii="宋体" w:hAnsi="宋体" w:cs="宋体"/>
                <w:color w:val="000000"/>
                <w:szCs w:val="24"/>
              </w:rPr>
              <w:t>招标文件评分标准</w:t>
            </w:r>
          </w:p>
        </w:tc>
        <w:tc>
          <w:tcPr>
            <w:tcW w:w="2266" w:type="dxa"/>
            <w:vAlign w:val="center"/>
          </w:tcPr>
          <w:p>
            <w:pPr>
              <w:pStyle w:val="4"/>
              <w:spacing w:line="360" w:lineRule="auto"/>
              <w:ind w:firstLine="0"/>
              <w:jc w:val="center"/>
              <w:rPr>
                <w:rFonts w:ascii="宋体" w:hAnsi="宋体" w:cs="宋体"/>
                <w:color w:val="000000"/>
                <w:szCs w:val="24"/>
              </w:rPr>
            </w:pPr>
            <w:r>
              <w:rPr>
                <w:rFonts w:hint="eastAsia" w:ascii="宋体" w:hAnsi="宋体" w:cs="宋体"/>
                <w:color w:val="000000"/>
                <w:szCs w:val="24"/>
              </w:rPr>
              <w:t>投标响应部分</w:t>
            </w:r>
          </w:p>
        </w:tc>
        <w:tc>
          <w:tcPr>
            <w:tcW w:w="2966" w:type="dxa"/>
            <w:vAlign w:val="center"/>
          </w:tcPr>
          <w:p>
            <w:pPr>
              <w:pStyle w:val="4"/>
              <w:spacing w:line="360" w:lineRule="auto"/>
              <w:ind w:firstLine="0"/>
              <w:jc w:val="center"/>
              <w:rPr>
                <w:rFonts w:ascii="宋体" w:hAnsi="宋体" w:cs="宋体"/>
                <w:color w:val="000000"/>
                <w:szCs w:val="24"/>
              </w:rPr>
            </w:pPr>
            <w:r>
              <w:rPr>
                <w:rFonts w:hint="eastAsia" w:ascii="宋体" w:hAnsi="宋体" w:cs="宋体"/>
                <w:color w:val="000000"/>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color w:val="000000"/>
                <w:szCs w:val="24"/>
              </w:rPr>
            </w:pPr>
          </w:p>
        </w:tc>
        <w:tc>
          <w:tcPr>
            <w:tcW w:w="2514" w:type="dxa"/>
            <w:vAlign w:val="center"/>
          </w:tcPr>
          <w:p>
            <w:pPr>
              <w:pStyle w:val="4"/>
              <w:spacing w:line="360" w:lineRule="auto"/>
              <w:ind w:firstLine="0"/>
              <w:jc w:val="center"/>
              <w:rPr>
                <w:rFonts w:ascii="宋体" w:hAnsi="宋体" w:cs="宋体"/>
                <w:color w:val="000000"/>
                <w:szCs w:val="24"/>
              </w:rPr>
            </w:pPr>
          </w:p>
        </w:tc>
        <w:tc>
          <w:tcPr>
            <w:tcW w:w="2266" w:type="dxa"/>
            <w:vAlign w:val="center"/>
          </w:tcPr>
          <w:p>
            <w:pPr>
              <w:pStyle w:val="4"/>
              <w:spacing w:line="360" w:lineRule="auto"/>
              <w:ind w:firstLine="0"/>
              <w:jc w:val="center"/>
              <w:rPr>
                <w:rFonts w:ascii="宋体" w:hAnsi="宋体" w:cs="宋体"/>
                <w:color w:val="000000"/>
                <w:szCs w:val="24"/>
              </w:rPr>
            </w:pPr>
          </w:p>
        </w:tc>
        <w:tc>
          <w:tcPr>
            <w:tcW w:w="2966" w:type="dxa"/>
            <w:vAlign w:val="center"/>
          </w:tcPr>
          <w:p>
            <w:pPr>
              <w:pStyle w:val="4"/>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color w:val="000000"/>
                <w:szCs w:val="24"/>
              </w:rPr>
            </w:pPr>
          </w:p>
        </w:tc>
        <w:tc>
          <w:tcPr>
            <w:tcW w:w="2514" w:type="dxa"/>
            <w:vAlign w:val="center"/>
          </w:tcPr>
          <w:p>
            <w:pPr>
              <w:pStyle w:val="4"/>
              <w:spacing w:line="360" w:lineRule="auto"/>
              <w:ind w:firstLine="0"/>
              <w:jc w:val="center"/>
              <w:rPr>
                <w:rFonts w:ascii="宋体" w:hAnsi="宋体" w:cs="宋体"/>
                <w:color w:val="000000"/>
                <w:szCs w:val="24"/>
              </w:rPr>
            </w:pPr>
          </w:p>
        </w:tc>
        <w:tc>
          <w:tcPr>
            <w:tcW w:w="2266" w:type="dxa"/>
            <w:vAlign w:val="center"/>
          </w:tcPr>
          <w:p>
            <w:pPr>
              <w:pStyle w:val="4"/>
              <w:spacing w:line="360" w:lineRule="auto"/>
              <w:ind w:firstLine="0"/>
              <w:jc w:val="center"/>
              <w:rPr>
                <w:rFonts w:ascii="宋体" w:hAnsi="宋体" w:cs="宋体"/>
                <w:color w:val="000000"/>
                <w:szCs w:val="24"/>
              </w:rPr>
            </w:pPr>
          </w:p>
        </w:tc>
        <w:tc>
          <w:tcPr>
            <w:tcW w:w="2966" w:type="dxa"/>
            <w:vAlign w:val="center"/>
          </w:tcPr>
          <w:p>
            <w:pPr>
              <w:pStyle w:val="4"/>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color w:val="000000"/>
                <w:szCs w:val="24"/>
              </w:rPr>
            </w:pPr>
          </w:p>
        </w:tc>
        <w:tc>
          <w:tcPr>
            <w:tcW w:w="2514" w:type="dxa"/>
            <w:vAlign w:val="center"/>
          </w:tcPr>
          <w:p>
            <w:pPr>
              <w:pStyle w:val="4"/>
              <w:spacing w:line="360" w:lineRule="auto"/>
              <w:ind w:firstLine="0"/>
              <w:jc w:val="center"/>
              <w:rPr>
                <w:rFonts w:ascii="宋体" w:hAnsi="宋体" w:cs="宋体"/>
                <w:color w:val="000000"/>
                <w:szCs w:val="24"/>
              </w:rPr>
            </w:pPr>
          </w:p>
        </w:tc>
        <w:tc>
          <w:tcPr>
            <w:tcW w:w="2266" w:type="dxa"/>
            <w:vAlign w:val="center"/>
          </w:tcPr>
          <w:p>
            <w:pPr>
              <w:pStyle w:val="4"/>
              <w:spacing w:line="360" w:lineRule="auto"/>
              <w:ind w:firstLine="0"/>
              <w:jc w:val="center"/>
              <w:rPr>
                <w:rFonts w:ascii="宋体" w:hAnsi="宋体" w:cs="宋体"/>
                <w:color w:val="000000"/>
                <w:szCs w:val="24"/>
              </w:rPr>
            </w:pPr>
          </w:p>
        </w:tc>
        <w:tc>
          <w:tcPr>
            <w:tcW w:w="2966" w:type="dxa"/>
            <w:vAlign w:val="center"/>
          </w:tcPr>
          <w:p>
            <w:pPr>
              <w:pStyle w:val="4"/>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color w:val="000000"/>
                <w:szCs w:val="24"/>
              </w:rPr>
            </w:pPr>
          </w:p>
        </w:tc>
        <w:tc>
          <w:tcPr>
            <w:tcW w:w="2514" w:type="dxa"/>
            <w:vAlign w:val="center"/>
          </w:tcPr>
          <w:p>
            <w:pPr>
              <w:pStyle w:val="4"/>
              <w:spacing w:line="360" w:lineRule="auto"/>
              <w:ind w:firstLine="0"/>
              <w:jc w:val="center"/>
              <w:rPr>
                <w:rFonts w:ascii="宋体" w:hAnsi="宋体" w:cs="宋体"/>
                <w:color w:val="000000"/>
                <w:szCs w:val="24"/>
              </w:rPr>
            </w:pPr>
          </w:p>
        </w:tc>
        <w:tc>
          <w:tcPr>
            <w:tcW w:w="2266" w:type="dxa"/>
            <w:vAlign w:val="center"/>
          </w:tcPr>
          <w:p>
            <w:pPr>
              <w:pStyle w:val="4"/>
              <w:spacing w:line="360" w:lineRule="auto"/>
              <w:ind w:firstLine="0"/>
              <w:jc w:val="center"/>
              <w:rPr>
                <w:rFonts w:ascii="宋体" w:hAnsi="宋体" w:cs="宋体"/>
                <w:color w:val="000000"/>
                <w:szCs w:val="24"/>
              </w:rPr>
            </w:pPr>
          </w:p>
        </w:tc>
        <w:tc>
          <w:tcPr>
            <w:tcW w:w="2966" w:type="dxa"/>
            <w:vAlign w:val="center"/>
          </w:tcPr>
          <w:p>
            <w:pPr>
              <w:pStyle w:val="4"/>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color w:val="000000"/>
                <w:szCs w:val="24"/>
              </w:rPr>
            </w:pPr>
          </w:p>
        </w:tc>
        <w:tc>
          <w:tcPr>
            <w:tcW w:w="2514" w:type="dxa"/>
            <w:vAlign w:val="center"/>
          </w:tcPr>
          <w:p>
            <w:pPr>
              <w:pStyle w:val="4"/>
              <w:spacing w:line="360" w:lineRule="auto"/>
              <w:ind w:firstLine="0"/>
              <w:jc w:val="center"/>
              <w:rPr>
                <w:rFonts w:ascii="宋体" w:hAnsi="宋体" w:cs="宋体"/>
                <w:color w:val="000000"/>
                <w:szCs w:val="24"/>
              </w:rPr>
            </w:pPr>
          </w:p>
        </w:tc>
        <w:tc>
          <w:tcPr>
            <w:tcW w:w="2266" w:type="dxa"/>
            <w:vAlign w:val="center"/>
          </w:tcPr>
          <w:p>
            <w:pPr>
              <w:pStyle w:val="4"/>
              <w:spacing w:line="360" w:lineRule="auto"/>
              <w:ind w:firstLine="0"/>
              <w:jc w:val="center"/>
              <w:rPr>
                <w:rFonts w:ascii="宋体" w:hAnsi="宋体" w:cs="宋体"/>
                <w:color w:val="000000"/>
                <w:szCs w:val="24"/>
              </w:rPr>
            </w:pPr>
          </w:p>
        </w:tc>
        <w:tc>
          <w:tcPr>
            <w:tcW w:w="2966" w:type="dxa"/>
            <w:vAlign w:val="center"/>
          </w:tcPr>
          <w:p>
            <w:pPr>
              <w:pStyle w:val="4"/>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color w:val="000000"/>
                <w:szCs w:val="24"/>
              </w:rPr>
            </w:pPr>
          </w:p>
        </w:tc>
        <w:tc>
          <w:tcPr>
            <w:tcW w:w="2514" w:type="dxa"/>
            <w:vAlign w:val="center"/>
          </w:tcPr>
          <w:p>
            <w:pPr>
              <w:pStyle w:val="4"/>
              <w:spacing w:line="360" w:lineRule="auto"/>
              <w:ind w:firstLine="0"/>
              <w:jc w:val="center"/>
              <w:rPr>
                <w:rFonts w:ascii="宋体" w:hAnsi="宋体" w:cs="宋体"/>
                <w:color w:val="000000"/>
                <w:szCs w:val="24"/>
              </w:rPr>
            </w:pPr>
          </w:p>
        </w:tc>
        <w:tc>
          <w:tcPr>
            <w:tcW w:w="2266" w:type="dxa"/>
            <w:vAlign w:val="center"/>
          </w:tcPr>
          <w:p>
            <w:pPr>
              <w:pStyle w:val="4"/>
              <w:spacing w:line="360" w:lineRule="auto"/>
              <w:ind w:firstLine="0"/>
              <w:jc w:val="center"/>
              <w:rPr>
                <w:rFonts w:ascii="宋体" w:hAnsi="宋体" w:cs="宋体"/>
                <w:color w:val="000000"/>
                <w:szCs w:val="24"/>
              </w:rPr>
            </w:pPr>
          </w:p>
        </w:tc>
        <w:tc>
          <w:tcPr>
            <w:tcW w:w="2966" w:type="dxa"/>
            <w:vAlign w:val="center"/>
          </w:tcPr>
          <w:p>
            <w:pPr>
              <w:pStyle w:val="4"/>
              <w:spacing w:line="360" w:lineRule="auto"/>
              <w:ind w:firstLine="0"/>
              <w:jc w:val="center"/>
              <w:rPr>
                <w:rFonts w:ascii="宋体" w:hAnsi="宋体" w:cs="宋体"/>
                <w:color w:val="000000"/>
                <w:szCs w:val="24"/>
              </w:rPr>
            </w:pPr>
          </w:p>
        </w:tc>
      </w:tr>
    </w:tbl>
    <w:p>
      <w:pPr>
        <w:spacing w:line="360" w:lineRule="auto"/>
        <w:rPr>
          <w:rFonts w:ascii="宋体" w:hAnsi="宋体" w:cs="宋体"/>
          <w:color w:val="000000"/>
          <w:lang w:val="zh-CN"/>
        </w:rPr>
      </w:pPr>
    </w:p>
    <w:p>
      <w:pPr>
        <w:pStyle w:val="16"/>
        <w:spacing w:before="0" w:after="0" w:line="360" w:lineRule="auto"/>
        <w:jc w:val="left"/>
        <w:outlineLvl w:val="1"/>
        <w:rPr>
          <w:rFonts w:ascii="宋体" w:hAnsi="宋体" w:cs="宋体"/>
          <w:color w:val="000000"/>
          <w:lang w:val="zh-CN"/>
        </w:rPr>
      </w:pPr>
      <w:bookmarkStart w:id="70" w:name="_Toc28963"/>
      <w:r>
        <w:rPr>
          <w:rFonts w:hint="eastAsia" w:ascii="宋体" w:hAnsi="宋体" w:cs="宋体"/>
          <w:color w:val="000000"/>
          <w:sz w:val="30"/>
          <w:szCs w:val="30"/>
          <w:lang w:val="zh-CN"/>
        </w:rPr>
        <w:br w:type="page"/>
      </w:r>
      <w:bookmarkStart w:id="71" w:name="_Toc26451"/>
      <w:bookmarkStart w:id="72" w:name="_Toc12431"/>
      <w:r>
        <w:rPr>
          <w:rFonts w:hint="eastAsia" w:ascii="宋体" w:hAnsi="宋体" w:cs="宋体"/>
          <w:color w:val="000000"/>
          <w:sz w:val="30"/>
          <w:szCs w:val="30"/>
        </w:rPr>
        <w:t>（12）</w:t>
      </w:r>
      <w:r>
        <w:rPr>
          <w:rFonts w:hint="eastAsia" w:ascii="宋体" w:hAnsi="宋体" w:cs="宋体"/>
          <w:color w:val="000000"/>
          <w:sz w:val="30"/>
          <w:szCs w:val="30"/>
          <w:lang w:val="zh-CN"/>
        </w:rPr>
        <w:t>开标一览表（报价表）</w:t>
      </w:r>
      <w:bookmarkEnd w:id="71"/>
      <w:bookmarkEnd w:id="72"/>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开标一览表（报价表）</w:t>
      </w:r>
    </w:p>
    <w:p>
      <w:pPr>
        <w:autoSpaceDE w:val="0"/>
        <w:autoSpaceDN w:val="0"/>
        <w:spacing w:line="360" w:lineRule="auto"/>
        <w:rPr>
          <w:rFonts w:ascii="宋体" w:hAnsi="宋体" w:cs="宋体"/>
          <w:b/>
          <w:bCs/>
          <w:color w:val="000000"/>
          <w:kern w:val="0"/>
          <w:sz w:val="28"/>
          <w:szCs w:val="28"/>
          <w:lang w:val="zh-CN"/>
        </w:rPr>
      </w:pPr>
    </w:p>
    <w:tbl>
      <w:tblPr>
        <w:tblStyle w:val="17"/>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4"/>
              <w:spacing w:line="360" w:lineRule="auto"/>
              <w:ind w:firstLine="0"/>
              <w:jc w:val="center"/>
              <w:rPr>
                <w:rFonts w:ascii="宋体" w:hAnsi="宋体" w:cs="宋体"/>
                <w:color w:val="000000"/>
                <w:szCs w:val="24"/>
              </w:rPr>
            </w:pPr>
            <w:r>
              <w:rPr>
                <w:rFonts w:hint="eastAsia" w:ascii="宋体" w:hAnsi="宋体" w:cs="宋体"/>
                <w:color w:val="000000"/>
                <w:szCs w:val="24"/>
              </w:rPr>
              <w:t>投标人名称</w:t>
            </w:r>
          </w:p>
        </w:tc>
        <w:tc>
          <w:tcPr>
            <w:tcW w:w="5985" w:type="dxa"/>
            <w:vAlign w:val="center"/>
          </w:tcPr>
          <w:p>
            <w:pPr>
              <w:pStyle w:val="4"/>
              <w:spacing w:line="360" w:lineRule="auto"/>
              <w:ind w:firstLine="0"/>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4"/>
              <w:spacing w:line="360" w:lineRule="auto"/>
              <w:ind w:firstLine="0"/>
              <w:jc w:val="center"/>
              <w:rPr>
                <w:rFonts w:ascii="宋体" w:hAnsi="宋体" w:cs="宋体"/>
                <w:color w:val="000000"/>
                <w:szCs w:val="24"/>
              </w:rPr>
            </w:pPr>
            <w:r>
              <w:rPr>
                <w:rFonts w:hint="eastAsia" w:ascii="宋体" w:hAnsi="宋体" w:cs="宋体"/>
                <w:color w:val="000000"/>
                <w:szCs w:val="24"/>
                <w:lang w:val="zh-CN"/>
              </w:rPr>
              <w:t>投标包号</w:t>
            </w:r>
          </w:p>
        </w:tc>
        <w:tc>
          <w:tcPr>
            <w:tcW w:w="5985" w:type="dxa"/>
            <w:vAlign w:val="center"/>
          </w:tcPr>
          <w:p>
            <w:pPr>
              <w:pStyle w:val="4"/>
              <w:spacing w:line="360" w:lineRule="auto"/>
              <w:ind w:firstLine="0"/>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4"/>
              <w:spacing w:line="360" w:lineRule="auto"/>
              <w:ind w:firstLine="0"/>
              <w:jc w:val="center"/>
              <w:rPr>
                <w:rFonts w:ascii="宋体" w:hAnsi="宋体" w:cs="宋体"/>
                <w:color w:val="000000"/>
                <w:szCs w:val="24"/>
              </w:rPr>
            </w:pPr>
            <w:r>
              <w:rPr>
                <w:rFonts w:hint="eastAsia" w:ascii="宋体" w:hAnsi="宋体" w:cs="宋体"/>
                <w:color w:val="000000"/>
                <w:szCs w:val="24"/>
              </w:rPr>
              <w:t>投标报价</w:t>
            </w:r>
          </w:p>
        </w:tc>
        <w:tc>
          <w:tcPr>
            <w:tcW w:w="5985" w:type="dxa"/>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pStyle w:val="4"/>
              <w:spacing w:line="360" w:lineRule="auto"/>
              <w:ind w:firstLine="0"/>
              <w:rPr>
                <w:rFonts w:ascii="宋体" w:hAnsi="宋体" w:cs="宋体"/>
                <w:color w:val="000000"/>
                <w:szCs w:val="24"/>
              </w:rPr>
            </w:pPr>
            <w:r>
              <w:rPr>
                <w:rFonts w:hint="eastAsia" w:ascii="宋体" w:hAnsi="宋体" w:cs="宋体"/>
                <w:color w:val="000000"/>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4"/>
              <w:spacing w:line="360" w:lineRule="auto"/>
              <w:ind w:firstLine="0"/>
              <w:jc w:val="center"/>
              <w:rPr>
                <w:rFonts w:ascii="宋体" w:hAnsi="宋体" w:cs="宋体"/>
                <w:color w:val="000000"/>
                <w:szCs w:val="24"/>
              </w:rPr>
            </w:pPr>
            <w:r>
              <w:rPr>
                <w:rFonts w:hint="eastAsia" w:ascii="宋体" w:hAnsi="宋体" w:cs="宋体"/>
                <w:color w:val="000000"/>
                <w:szCs w:val="24"/>
              </w:rPr>
              <w:t>交货时间</w:t>
            </w:r>
          </w:p>
        </w:tc>
        <w:tc>
          <w:tcPr>
            <w:tcW w:w="5985" w:type="dxa"/>
            <w:vAlign w:val="center"/>
          </w:tcPr>
          <w:p>
            <w:pPr>
              <w:pStyle w:val="4"/>
              <w:spacing w:line="360" w:lineRule="auto"/>
              <w:ind w:firstLine="0"/>
              <w:rPr>
                <w:rFonts w:ascii="宋体" w:hAnsi="宋体" w:cs="宋体"/>
                <w:color w:val="000000"/>
                <w:szCs w:val="24"/>
              </w:rPr>
            </w:pPr>
          </w:p>
        </w:tc>
      </w:tr>
    </w:tbl>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2.“投标报价”为投标总价。投标报价必须包括：产品费、验收费、手续费、包装费、运输费、保险费、安装费、调试费、培训费、售前、售中、售后服务费、招标代理费、税金及不可预见费等全部费用。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3.“交货时间”是指产品能够交付使用的具体时间（工作日）。</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color w:val="000000"/>
          <w:kern w:val="0"/>
          <w:lang w:val="zh-CN"/>
        </w:rPr>
      </w:pPr>
    </w:p>
    <w:p>
      <w:pPr>
        <w:pStyle w:val="16"/>
        <w:spacing w:before="0" w:after="0" w:line="360" w:lineRule="auto"/>
        <w:jc w:val="left"/>
        <w:outlineLvl w:val="1"/>
        <w:rPr>
          <w:rFonts w:ascii="宋体" w:hAnsi="宋体" w:cs="宋体"/>
          <w:color w:val="000000"/>
        </w:rPr>
      </w:pPr>
      <w:r>
        <w:rPr>
          <w:rFonts w:hint="eastAsia" w:ascii="宋体" w:hAnsi="宋体" w:cs="宋体"/>
          <w:color w:val="000000"/>
          <w:sz w:val="30"/>
          <w:szCs w:val="30"/>
          <w:lang w:val="zh-CN"/>
        </w:rPr>
        <w:br w:type="page"/>
      </w:r>
      <w:bookmarkStart w:id="73" w:name="_Toc15617"/>
      <w:r>
        <w:rPr>
          <w:rFonts w:hint="eastAsia" w:ascii="宋体" w:hAnsi="宋体" w:cs="宋体"/>
          <w:color w:val="000000"/>
          <w:sz w:val="30"/>
          <w:szCs w:val="30"/>
        </w:rPr>
        <w:t>（13）</w:t>
      </w:r>
      <w:r>
        <w:rPr>
          <w:rFonts w:hint="eastAsia" w:ascii="宋体" w:hAnsi="宋体" w:cs="宋体"/>
          <w:color w:val="000000"/>
          <w:sz w:val="30"/>
          <w:szCs w:val="30"/>
          <w:lang w:val="zh-CN"/>
        </w:rPr>
        <w:t>分项报价表</w:t>
      </w:r>
      <w:bookmarkEnd w:id="70"/>
      <w:bookmarkEnd w:id="73"/>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分项报价表</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17"/>
        <w:tblW w:w="8617" w:type="dxa"/>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小写：</w:t>
            </w: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rPr>
          <w:rFonts w:ascii="宋体" w:hAnsi="宋体" w:cs="宋体"/>
          <w:b/>
          <w:bCs/>
          <w:color w:val="000000"/>
          <w:kern w:val="0"/>
          <w:lang w:val="zh-CN"/>
        </w:rPr>
      </w:pPr>
    </w:p>
    <w:p>
      <w:pPr>
        <w:pStyle w:val="16"/>
        <w:spacing w:before="0" w:after="0" w:line="360" w:lineRule="auto"/>
        <w:jc w:val="both"/>
        <w:outlineLvl w:val="1"/>
        <w:rPr>
          <w:rFonts w:ascii="宋体" w:hAnsi="宋体" w:cs="宋体"/>
          <w:color w:val="000000"/>
        </w:rPr>
      </w:pPr>
      <w:r>
        <w:rPr>
          <w:rFonts w:hint="eastAsia" w:ascii="宋体" w:hAnsi="宋体" w:cs="宋体"/>
          <w:color w:val="000000"/>
          <w:sz w:val="30"/>
          <w:szCs w:val="30"/>
          <w:lang w:val="zh-CN"/>
        </w:rPr>
        <w:br w:type="page"/>
      </w:r>
      <w:bookmarkStart w:id="74" w:name="_Toc3163"/>
      <w:r>
        <w:rPr>
          <w:rFonts w:hint="eastAsia" w:ascii="宋体" w:hAnsi="宋体" w:cs="宋体"/>
          <w:color w:val="000000"/>
          <w:sz w:val="30"/>
          <w:szCs w:val="30"/>
        </w:rPr>
        <w:t>（14）</w:t>
      </w:r>
      <w:r>
        <w:rPr>
          <w:rFonts w:hint="eastAsia" w:ascii="宋体" w:hAnsi="宋体" w:cs="宋体"/>
          <w:color w:val="000000"/>
          <w:sz w:val="30"/>
          <w:szCs w:val="30"/>
          <w:lang w:val="zh-CN"/>
        </w:rPr>
        <w:t>技术规格响应表</w:t>
      </w:r>
      <w:bookmarkEnd w:id="74"/>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17"/>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注：1.本表应按照每包“项目概况及技术参数”中产品序号的指标逐项填写，不得遗漏，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olor w:val="000000"/>
        </w:rPr>
        <w:t>。</w:t>
      </w:r>
    </w:p>
    <w:p>
      <w:pPr>
        <w:numPr>
          <w:ilvl w:val="0"/>
          <w:numId w:val="13"/>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13"/>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ind w:firstLine="3253"/>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6"/>
        <w:spacing w:before="0" w:after="0" w:line="360" w:lineRule="auto"/>
        <w:jc w:val="left"/>
        <w:outlineLvl w:val="1"/>
        <w:rPr>
          <w:rFonts w:ascii="宋体" w:hAnsi="宋体" w:cs="宋体"/>
          <w:color w:val="000000"/>
        </w:rPr>
      </w:pPr>
      <w:r>
        <w:rPr>
          <w:rFonts w:hint="eastAsia" w:ascii="宋体" w:hAnsi="宋体" w:cs="宋体"/>
          <w:color w:val="000000"/>
          <w:kern w:val="0"/>
          <w:sz w:val="24"/>
          <w:szCs w:val="24"/>
          <w:lang w:val="zh-CN"/>
        </w:rPr>
        <w:br w:type="page"/>
      </w:r>
      <w:bookmarkStart w:id="75" w:name="_Toc26854"/>
      <w:bookmarkStart w:id="76" w:name="_Toc14290"/>
      <w:r>
        <w:rPr>
          <w:rFonts w:hint="eastAsia" w:ascii="宋体" w:hAnsi="宋体" w:cs="宋体"/>
          <w:color w:val="000000"/>
          <w:sz w:val="30"/>
          <w:szCs w:val="30"/>
        </w:rPr>
        <w:t>（15）</w:t>
      </w:r>
      <w:r>
        <w:rPr>
          <w:rFonts w:hint="eastAsia" w:ascii="宋体" w:hAnsi="宋体" w:cs="宋体"/>
          <w:color w:val="000000"/>
          <w:sz w:val="30"/>
          <w:szCs w:val="30"/>
          <w:lang w:val="zh-CN"/>
        </w:rPr>
        <w:t>投标产品相关资料</w:t>
      </w:r>
      <w:bookmarkEnd w:id="75"/>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投标产品相关资料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480" w:firstLineChars="200"/>
        <w:rPr>
          <w:rFonts w:ascii="宋体" w:hAnsi="宋体" w:cs="宋体"/>
          <w:color w:val="000000"/>
          <w:sz w:val="32"/>
          <w:lang w:val="zh-CN"/>
        </w:rPr>
      </w:pPr>
      <w:r>
        <w:rPr>
          <w:rFonts w:hint="eastAsia" w:ascii="宋体" w:hAnsi="宋体" w:cs="宋体"/>
          <w:color w:val="000000"/>
          <w:kern w:val="0"/>
          <w:lang w:val="zh-CN"/>
        </w:rPr>
        <w:t>根据采购项目内容，投标时提供国家认可的质监机构出具的投标产品的产品检验报告、证明技术参数响应的相关资料、彩页（或厂家公开发布的资料参数）、相关认证等资料。</w:t>
      </w:r>
    </w:p>
    <w:p>
      <w:pPr>
        <w:pStyle w:val="16"/>
        <w:spacing w:before="0" w:after="0" w:line="360" w:lineRule="auto"/>
        <w:jc w:val="left"/>
        <w:outlineLvl w:val="1"/>
        <w:rPr>
          <w:rFonts w:ascii="宋体" w:hAnsi="宋体" w:cs="宋体"/>
          <w:color w:val="000000"/>
        </w:rPr>
      </w:pPr>
      <w:r>
        <w:rPr>
          <w:rFonts w:hint="eastAsia" w:ascii="宋体" w:hAnsi="宋体" w:cs="宋体"/>
          <w:color w:val="000000"/>
          <w:lang w:val="zh-CN"/>
        </w:rPr>
        <w:br w:type="page"/>
      </w:r>
      <w:bookmarkStart w:id="77" w:name="_Toc14699"/>
      <w:r>
        <w:rPr>
          <w:rFonts w:hint="eastAsia" w:ascii="宋体" w:hAnsi="宋体" w:cs="宋体"/>
          <w:color w:val="000000"/>
          <w:sz w:val="30"/>
          <w:szCs w:val="30"/>
        </w:rPr>
        <w:t>（16）</w:t>
      </w:r>
      <w:r>
        <w:rPr>
          <w:rFonts w:hint="eastAsia" w:ascii="宋体" w:hAnsi="宋体" w:cs="宋体"/>
          <w:color w:val="000000"/>
          <w:sz w:val="30"/>
          <w:szCs w:val="30"/>
          <w:lang w:val="zh-CN"/>
        </w:rPr>
        <w:t>投标人的类似业绩证明材料</w:t>
      </w:r>
      <w:bookmarkEnd w:id="76"/>
      <w:bookmarkEnd w:id="77"/>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投标人的类似业绩证明材料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提供自</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年以来的类似业绩证明材料。类似业绩是指与采购项目在产品类型、使用功能、</w:t>
      </w:r>
      <w:r>
        <w:rPr>
          <w:rFonts w:ascii="宋体" w:hAnsi="宋体" w:cs="宋体"/>
          <w:color w:val="000000"/>
          <w:kern w:val="0"/>
          <w:lang w:val="zh-CN"/>
        </w:rPr>
        <w:t>合同规模</w:t>
      </w:r>
      <w:r>
        <w:rPr>
          <w:rFonts w:hint="eastAsia" w:ascii="宋体" w:hAnsi="宋体" w:cs="宋体"/>
          <w:color w:val="000000"/>
          <w:kern w:val="0"/>
          <w:lang w:val="zh-CN"/>
        </w:rPr>
        <w:t>等方面相同或相近的项目。</w:t>
      </w:r>
      <w:r>
        <w:rPr>
          <w:rFonts w:hint="eastAsia" w:ascii="宋体" w:hAnsi="宋体"/>
          <w:color w:val="000000"/>
        </w:rPr>
        <w:t>需提供包含合同首页、标的及金额所在页、供货合同签字盖章页、验收报告的扫描（或复印）件。</w:t>
      </w:r>
    </w:p>
    <w:p>
      <w:pPr>
        <w:pStyle w:val="16"/>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78" w:name="_Toc10010"/>
      <w:bookmarkStart w:id="79" w:name="_Toc922"/>
      <w:r>
        <w:rPr>
          <w:rFonts w:hint="eastAsia" w:ascii="宋体" w:hAnsi="宋体" w:cs="宋体"/>
          <w:color w:val="000000"/>
          <w:sz w:val="30"/>
          <w:szCs w:val="30"/>
        </w:rPr>
        <w:t>（17.1）</w:t>
      </w:r>
      <w:r>
        <w:rPr>
          <w:rFonts w:hint="eastAsia" w:ascii="宋体" w:hAnsi="宋体" w:cs="宋体"/>
          <w:color w:val="000000"/>
          <w:sz w:val="30"/>
          <w:szCs w:val="30"/>
          <w:lang w:val="zh-CN"/>
        </w:rPr>
        <w:t>制造（生产）企业小型、微型企业声明函</w:t>
      </w:r>
      <w:bookmarkEnd w:id="78"/>
      <w:bookmarkEnd w:id="79"/>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rPr>
        <w:t>制造（生产）企业</w:t>
      </w:r>
      <w:r>
        <w:rPr>
          <w:rFonts w:hint="eastAsia" w:ascii="宋体" w:hAnsi="宋体" w:cs="宋体"/>
          <w:b/>
          <w:bCs/>
          <w:color w:val="000000"/>
          <w:kern w:val="0"/>
          <w:sz w:val="28"/>
          <w:szCs w:val="28"/>
          <w:lang w:val="zh-CN"/>
        </w:rPr>
        <w:t>小型、微型企业声明函</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采购人或者采购代理机构</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本公司对上述声明的真实性负责。如有虚假，将依法承担相应责任。</w:t>
      </w:r>
    </w:p>
    <w:p>
      <w:pPr>
        <w:spacing w:line="360" w:lineRule="auto"/>
        <w:ind w:firstLine="480"/>
      </w:pPr>
    </w:p>
    <w:p>
      <w:pPr>
        <w:spacing w:line="360" w:lineRule="auto"/>
        <w:rPr>
          <w:rFonts w:ascii="宋体" w:hAnsi="宋体"/>
        </w:rPr>
      </w:pPr>
      <w:r>
        <w:rPr>
          <w:rFonts w:hint="eastAsia" w:ascii="宋体" w:hAnsi="宋体"/>
        </w:rPr>
        <w:t xml:space="preserve">注：1、此函需声明参与本次投标的货物（产品）名称、规格、型号等相关资料；   </w:t>
      </w:r>
    </w:p>
    <w:p>
      <w:pPr>
        <w:spacing w:line="360" w:lineRule="auto"/>
        <w:ind w:firstLine="360" w:firstLineChars="150"/>
        <w:rPr>
          <w:rFonts w:ascii="宋体" w:hAnsi="宋体"/>
        </w:rPr>
      </w:pPr>
      <w:r>
        <w:rPr>
          <w:rFonts w:hint="eastAsia" w:ascii="宋体" w:hAnsi="宋体"/>
        </w:rPr>
        <w:t xml:space="preserve"> 2、此函须由投标产品的制造（生产）企业提供并声明，且加盖投标人公章。同时附制造（生产）企业上一年度的财务状况审计报告；</w:t>
      </w:r>
    </w:p>
    <w:p>
      <w:pPr>
        <w:spacing w:line="360" w:lineRule="auto"/>
        <w:ind w:firstLine="360" w:firstLineChars="150"/>
        <w:rPr>
          <w:rFonts w:ascii="宋体" w:hAnsi="宋体"/>
        </w:rPr>
      </w:pPr>
      <w:r>
        <w:rPr>
          <w:rFonts w:hint="eastAsia" w:ascii="宋体" w:hAnsi="宋体"/>
        </w:rPr>
        <w:t>3、此函若出现多家制造（生产）企业的货物（产品）投标时，可按制造（生产）企业分别声明，一家制造（生产）企业填写一张。</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rPr>
        <w:t>4、若无此项内容，可不提供此函。</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制造（生产）企业名称：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制造（生产）企业法定代表人：       （签字或盖章）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6"/>
        <w:spacing w:before="0" w:after="0" w:line="360" w:lineRule="auto"/>
        <w:jc w:val="left"/>
        <w:outlineLvl w:val="1"/>
        <w:rPr>
          <w:rFonts w:ascii="宋体" w:hAnsi="宋体" w:cs="宋体"/>
          <w:color w:val="000000"/>
          <w:lang w:val="zh-CN"/>
        </w:rPr>
      </w:pPr>
      <w:r>
        <w:rPr>
          <w:rFonts w:hint="eastAsia" w:ascii="宋体" w:hAnsi="宋体" w:cs="宋体"/>
          <w:color w:val="000000"/>
          <w:kern w:val="0"/>
          <w:lang w:val="zh-CN"/>
        </w:rPr>
        <w:br w:type="page"/>
      </w:r>
      <w:bookmarkStart w:id="80" w:name="_Toc26434"/>
      <w:r>
        <w:rPr>
          <w:rFonts w:hint="eastAsia" w:ascii="宋体" w:hAnsi="宋体" w:cs="宋体"/>
          <w:color w:val="000000"/>
          <w:sz w:val="30"/>
          <w:szCs w:val="30"/>
        </w:rPr>
        <w:t>（17.2）</w:t>
      </w:r>
      <w:r>
        <w:rPr>
          <w:rFonts w:hint="eastAsia" w:ascii="宋体" w:hAnsi="宋体" w:cs="宋体"/>
          <w:color w:val="000000"/>
          <w:sz w:val="30"/>
          <w:szCs w:val="30"/>
          <w:lang w:val="zh-CN"/>
        </w:rPr>
        <w:t>从业人员声明函</w:t>
      </w:r>
      <w:bookmarkEnd w:id="80"/>
    </w:p>
    <w:p>
      <w:pPr>
        <w:adjustRightInd w:val="0"/>
        <w:snapToGrid w:val="0"/>
        <w:spacing w:line="440" w:lineRule="exact"/>
        <w:ind w:left="6987" w:hanging="6987" w:hangingChars="2900"/>
        <w:jc w:val="center"/>
        <w:rPr>
          <w:rFonts w:ascii="宋体" w:hAnsi="宋体" w:cs="宋体"/>
          <w:b/>
          <w:bCs/>
          <w:color w:val="000000"/>
          <w:kern w:val="0"/>
          <w:lang w:val="zh-CN"/>
        </w:rPr>
      </w:pPr>
    </w:p>
    <w:p>
      <w:pPr>
        <w:adjustRightInd w:val="0"/>
        <w:snapToGrid w:val="0"/>
        <w:spacing w:line="440" w:lineRule="exact"/>
        <w:ind w:left="8152" w:hanging="8152" w:hangingChars="2900"/>
        <w:jc w:val="center"/>
        <w:rPr>
          <w:rFonts w:ascii="宋体" w:hAnsi="宋体" w:cs="宋体"/>
          <w:b/>
          <w:color w:val="000000"/>
        </w:rPr>
      </w:pPr>
      <w:r>
        <w:rPr>
          <w:rFonts w:hint="eastAsia" w:ascii="宋体" w:hAnsi="宋体" w:cs="宋体"/>
          <w:b/>
          <w:color w:val="000000"/>
          <w:sz w:val="28"/>
          <w:szCs w:val="28"/>
        </w:rPr>
        <w:t>从业人员声明函</w:t>
      </w:r>
    </w:p>
    <w:p>
      <w:pPr>
        <w:adjustRightInd w:val="0"/>
        <w:snapToGrid w:val="0"/>
        <w:spacing w:line="440" w:lineRule="exact"/>
        <w:ind w:left="6987" w:hanging="6987" w:hangingChars="2900"/>
        <w:rPr>
          <w:rFonts w:ascii="宋体" w:hAnsi="宋体" w:cs="宋体"/>
          <w:b/>
          <w:bCs/>
          <w:color w:val="000000"/>
          <w:kern w:val="0"/>
          <w:lang w:val="zh-CN"/>
        </w:rPr>
      </w:pPr>
    </w:p>
    <w:p>
      <w:pPr>
        <w:adjustRightInd w:val="0"/>
        <w:snapToGrid w:val="0"/>
        <w:spacing w:line="440" w:lineRule="exact"/>
        <w:ind w:left="6987" w:hanging="6987" w:hangingChars="2900"/>
        <w:rPr>
          <w:rFonts w:ascii="宋体" w:hAnsi="宋体" w:cs="宋体"/>
          <w:color w:val="000000"/>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采购人或者采购代理机构</w:t>
      </w:r>
    </w:p>
    <w:p>
      <w:pPr>
        <w:adjustRightInd w:val="0"/>
        <w:snapToGrid w:val="0"/>
        <w:spacing w:line="440" w:lineRule="exact"/>
        <w:ind w:left="-5" w:leftChars="-2" w:firstLine="480" w:firstLineChars="200"/>
        <w:rPr>
          <w:rFonts w:ascii="宋体" w:hAnsi="宋体" w:cs="宋体"/>
          <w:color w:val="000000"/>
        </w:rPr>
      </w:pPr>
      <w:r>
        <w:rPr>
          <w:rFonts w:hint="eastAsia" w:ascii="宋体" w:hAnsi="宋体" w:cs="宋体"/>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color w:val="000000"/>
          <w:u w:val="single"/>
        </w:rPr>
        <w:t xml:space="preserve">       </w:t>
      </w:r>
      <w:r>
        <w:rPr>
          <w:rFonts w:hint="eastAsia" w:ascii="宋体" w:hAnsi="宋体" w:cs="宋体"/>
          <w:color w:val="000000"/>
        </w:rPr>
        <w:t>人。</w:t>
      </w:r>
    </w:p>
    <w:p>
      <w:pPr>
        <w:adjustRightInd w:val="0"/>
        <w:snapToGrid w:val="0"/>
        <w:spacing w:line="440" w:lineRule="exact"/>
        <w:ind w:left="-2" w:leftChars="-1" w:firstLine="480" w:firstLineChars="200"/>
        <w:rPr>
          <w:rFonts w:ascii="宋体" w:hAnsi="宋体" w:cs="宋体"/>
          <w:color w:val="000000"/>
        </w:rPr>
      </w:pPr>
      <w:r>
        <w:rPr>
          <w:rFonts w:hint="eastAsia" w:ascii="宋体" w:hAnsi="宋体" w:cs="宋体"/>
          <w:color w:val="000000"/>
        </w:rPr>
        <w:t>本公司对上述声明的真实性负责，如有虚假，将依法承担相应责任。</w:t>
      </w: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制造（生产）企业名称：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制造（生产）企业法定代表人：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6"/>
        <w:spacing w:before="0" w:after="0" w:line="360" w:lineRule="auto"/>
        <w:jc w:val="left"/>
        <w:outlineLvl w:val="1"/>
        <w:rPr>
          <w:rFonts w:ascii="宋体" w:hAnsi="宋体" w:cs="宋体"/>
          <w:b w:val="0"/>
          <w:sz w:val="28"/>
          <w:szCs w:val="28"/>
        </w:rPr>
      </w:pPr>
      <w:r>
        <w:rPr>
          <w:rFonts w:hint="eastAsia" w:ascii="宋体" w:hAnsi="宋体" w:cs="宋体"/>
          <w:color w:val="000000"/>
          <w:lang w:val="zh-CN"/>
        </w:rPr>
        <w:br w:type="page"/>
      </w:r>
      <w:bookmarkStart w:id="81" w:name="_Toc21854"/>
      <w:bookmarkStart w:id="82" w:name="_Toc743"/>
      <w:r>
        <w:rPr>
          <w:rFonts w:hint="eastAsia" w:ascii="宋体" w:hAnsi="宋体" w:cs="宋体"/>
          <w:bCs w:val="0"/>
          <w:sz w:val="28"/>
          <w:szCs w:val="28"/>
          <w:lang w:val="zh-CN"/>
        </w:rPr>
        <w:t>（</w:t>
      </w:r>
      <w:r>
        <w:rPr>
          <w:rFonts w:hint="eastAsia" w:ascii="宋体" w:hAnsi="宋体" w:cs="宋体"/>
          <w:bCs w:val="0"/>
          <w:sz w:val="28"/>
          <w:szCs w:val="28"/>
        </w:rPr>
        <w:t>18</w:t>
      </w:r>
      <w:r>
        <w:rPr>
          <w:rFonts w:hint="eastAsia" w:ascii="宋体" w:hAnsi="宋体" w:cs="宋体"/>
          <w:bCs w:val="0"/>
          <w:sz w:val="28"/>
          <w:szCs w:val="28"/>
          <w:lang w:val="zh-CN"/>
        </w:rPr>
        <w:t>）</w:t>
      </w:r>
      <w:r>
        <w:rPr>
          <w:rFonts w:hint="eastAsia" w:ascii="宋体" w:hAnsi="宋体" w:cs="宋体"/>
          <w:bCs w:val="0"/>
          <w:color w:val="000000"/>
          <w:sz w:val="30"/>
          <w:szCs w:val="30"/>
          <w:lang w:val="zh-CN"/>
        </w:rPr>
        <w:t>残疾人</w:t>
      </w:r>
      <w:r>
        <w:rPr>
          <w:rFonts w:hint="eastAsia" w:ascii="宋体" w:hAnsi="宋体" w:cs="宋体"/>
          <w:bCs w:val="0"/>
          <w:sz w:val="28"/>
          <w:szCs w:val="28"/>
        </w:rPr>
        <w:t>福利性单位声明函</w:t>
      </w:r>
      <w:bookmarkEnd w:id="81"/>
    </w:p>
    <w:p>
      <w:pPr>
        <w:jc w:val="center"/>
        <w:rPr>
          <w:rFonts w:ascii="宋体" w:hAnsi="宋体" w:cs="宋体"/>
          <w:b/>
          <w:sz w:val="36"/>
          <w:szCs w:val="36"/>
        </w:rPr>
      </w:pPr>
      <w:bookmarkStart w:id="83" w:name="OLE_LINK14"/>
      <w:bookmarkStart w:id="84" w:name="OLE_LINK13"/>
    </w:p>
    <w:p>
      <w:pPr>
        <w:jc w:val="center"/>
        <w:rPr>
          <w:rFonts w:ascii="宋体" w:hAnsi="宋体" w:cs="宋体"/>
          <w:b/>
          <w:sz w:val="36"/>
          <w:szCs w:val="36"/>
        </w:rPr>
      </w:pPr>
      <w:r>
        <w:rPr>
          <w:rFonts w:hint="eastAsia" w:ascii="宋体" w:hAnsi="宋体" w:cs="宋体"/>
          <w:b/>
          <w:sz w:val="36"/>
          <w:szCs w:val="36"/>
        </w:rPr>
        <w:t>残疾人福利性单位声明函</w:t>
      </w:r>
    </w:p>
    <w:bookmarkEnd w:id="83"/>
    <w:bookmarkEnd w:id="84"/>
    <w:p>
      <w:pPr>
        <w:spacing w:after="120" w:afterLines="50"/>
        <w:rPr>
          <w:rFonts w:ascii="宋体" w:hAnsi="宋体" w:cs="宋体"/>
          <w:bCs/>
        </w:rPr>
      </w:pPr>
    </w:p>
    <w:p>
      <w:pPr>
        <w:spacing w:after="120" w:afterLines="50"/>
        <w:rPr>
          <w:rFonts w:ascii="宋体" w:hAnsi="宋体" w:cs="宋体"/>
          <w:b/>
          <w:bCs/>
        </w:rPr>
      </w:pPr>
      <w:r>
        <w:rPr>
          <w:rFonts w:hint="eastAsia" w:ascii="宋体" w:hAnsi="宋体" w:cs="宋体"/>
          <w:b/>
          <w:bCs/>
        </w:rPr>
        <w:t>致：</w:t>
      </w:r>
      <w:r>
        <w:rPr>
          <w:rFonts w:hint="eastAsia" w:ascii="宋体" w:hAnsi="宋体" w:cs="宋体"/>
          <w:b/>
          <w:bCs/>
          <w:color w:val="000000"/>
          <w:kern w:val="0"/>
          <w:u w:val="dashDotHeavy"/>
          <w:lang w:val="zh-CN"/>
        </w:rPr>
        <w:t>采购人或者采购代理机构</w:t>
      </w: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ascii="宋体" w:hAnsi="宋体" w:cs="宋体"/>
        </w:rPr>
      </w:pPr>
    </w:p>
    <w:p>
      <w:pPr>
        <w:spacing w:line="360" w:lineRule="auto"/>
        <w:rPr>
          <w:rFonts w:ascii="宋体" w:hAnsi="宋体" w:cs="宋体"/>
        </w:rPr>
      </w:pPr>
      <w:r>
        <w:rPr>
          <w:rFonts w:hint="eastAsia" w:ascii="宋体" w:hAnsi="宋体" w:cs="宋体"/>
        </w:rPr>
        <w:t>注：若无此项内容，可不提供此函。</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jc w:val="center"/>
        <w:rPr>
          <w:rFonts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ascii="宋体" w:hAnsi="宋体" w:cs="宋体"/>
          <w:b/>
        </w:rPr>
      </w:pPr>
      <w:r>
        <w:rPr>
          <w:rFonts w:hint="eastAsia" w:ascii="宋体" w:hAnsi="宋体" w:cs="宋体"/>
          <w:b/>
        </w:rPr>
        <w:t xml:space="preserve">              年   月  日</w:t>
      </w:r>
    </w:p>
    <w:p>
      <w:pPr>
        <w:pStyle w:val="16"/>
        <w:spacing w:before="0" w:after="0" w:line="360" w:lineRule="auto"/>
        <w:jc w:val="left"/>
        <w:outlineLvl w:val="1"/>
        <w:rPr>
          <w:rFonts w:ascii="宋体" w:hAnsi="宋体" w:cs="宋体"/>
          <w:color w:val="000000"/>
        </w:rPr>
      </w:pPr>
      <w:r>
        <w:rPr>
          <w:rFonts w:hint="eastAsia" w:ascii="宋体" w:hAnsi="宋体" w:cs="宋体"/>
          <w:color w:val="000000"/>
          <w:lang w:val="zh-CN"/>
        </w:rPr>
        <w:br w:type="page"/>
      </w:r>
      <w:bookmarkStart w:id="85" w:name="_Toc24768"/>
      <w:r>
        <w:rPr>
          <w:rFonts w:hint="eastAsia" w:ascii="宋体" w:hAnsi="宋体" w:cs="宋体"/>
          <w:color w:val="000000"/>
          <w:sz w:val="30"/>
          <w:szCs w:val="30"/>
        </w:rPr>
        <w:t>（19）</w:t>
      </w:r>
      <w:r>
        <w:rPr>
          <w:rFonts w:hint="eastAsia" w:ascii="宋体" w:hAnsi="宋体" w:cs="宋体"/>
          <w:color w:val="000000"/>
          <w:sz w:val="30"/>
          <w:szCs w:val="30"/>
          <w:lang w:val="zh-CN"/>
        </w:rPr>
        <w:t>投标人认为在其他方面有必要说明的事项</w:t>
      </w:r>
      <w:bookmarkEnd w:id="82"/>
      <w:bookmarkEnd w:id="85"/>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投标人认为在其他方面有必要说明的事项</w:t>
      </w:r>
    </w:p>
    <w:p>
      <w:pPr>
        <w:autoSpaceDE w:val="0"/>
        <w:autoSpaceDN w:val="0"/>
        <w:spacing w:line="360" w:lineRule="auto"/>
        <w:rPr>
          <w:rFonts w:ascii="宋体" w:hAnsi="宋体" w:cs="宋体"/>
          <w:color w:val="000000"/>
          <w:lang w:val="zh-CN"/>
        </w:rPr>
      </w:pPr>
      <w:r>
        <w:rPr>
          <w:rFonts w:hint="eastAsia" w:ascii="宋体" w:hAnsi="宋体" w:cs="宋体"/>
          <w:color w:val="000000"/>
          <w:lang w:val="zh-CN"/>
        </w:rPr>
        <w:t>格式自定</w:t>
      </w:r>
    </w:p>
    <w:p>
      <w:pPr>
        <w:pStyle w:val="16"/>
        <w:spacing w:before="0" w:after="0" w:line="360" w:lineRule="auto"/>
        <w:rPr>
          <w:rFonts w:ascii="宋体" w:hAnsi="宋体" w:cs="宋体"/>
          <w:color w:val="000000"/>
          <w:szCs w:val="36"/>
          <w:lang w:val="zh-CN"/>
        </w:rPr>
      </w:pPr>
      <w:r>
        <w:rPr>
          <w:rFonts w:hint="eastAsia" w:ascii="宋体" w:hAnsi="宋体" w:cs="宋体"/>
          <w:color w:val="000000"/>
          <w:lang w:val="zh-CN"/>
        </w:rPr>
        <w:br w:type="page"/>
      </w:r>
      <w:bookmarkStart w:id="86" w:name="_Toc6826"/>
      <w:bookmarkStart w:id="87" w:name="_Toc18752"/>
      <w:r>
        <w:rPr>
          <w:rFonts w:hint="eastAsia" w:ascii="宋体" w:hAnsi="宋体" w:cs="宋体"/>
          <w:color w:val="000000"/>
          <w:szCs w:val="36"/>
          <w:lang w:val="zh-CN"/>
        </w:rPr>
        <w:t>第五部分</w:t>
      </w:r>
      <w:bookmarkEnd w:id="86"/>
      <w:r>
        <w:rPr>
          <w:rFonts w:hint="eastAsia" w:ascii="宋体" w:hAnsi="宋体" w:cs="宋体"/>
          <w:color w:val="000000"/>
          <w:szCs w:val="36"/>
          <w:lang w:val="zh-CN"/>
        </w:rPr>
        <w:t xml:space="preserve">  </w:t>
      </w:r>
    </w:p>
    <w:p>
      <w:pPr>
        <w:pStyle w:val="16"/>
        <w:spacing w:before="0" w:after="0" w:line="360" w:lineRule="auto"/>
        <w:rPr>
          <w:rFonts w:ascii="宋体" w:hAnsi="宋体" w:cs="宋体"/>
          <w:color w:val="000000"/>
        </w:rPr>
      </w:pPr>
      <w:bookmarkStart w:id="88" w:name="_Toc301"/>
      <w:r>
        <w:rPr>
          <w:rFonts w:hint="eastAsia" w:ascii="宋体" w:hAnsi="宋体" w:cs="宋体"/>
          <w:color w:val="000000"/>
          <w:szCs w:val="36"/>
          <w:lang w:val="zh-CN"/>
        </w:rPr>
        <w:t>包一采购项目要求及技术参数</w:t>
      </w:r>
      <w:bookmarkEnd w:id="87"/>
      <w:bookmarkEnd w:id="88"/>
    </w:p>
    <w:p>
      <w:pPr>
        <w:pStyle w:val="16"/>
        <w:spacing w:before="0" w:after="0" w:line="360" w:lineRule="auto"/>
        <w:outlineLvl w:val="1"/>
        <w:rPr>
          <w:rFonts w:ascii="宋体" w:hAnsi="宋体" w:cs="宋体"/>
          <w:color w:val="000000"/>
          <w:szCs w:val="36"/>
        </w:rPr>
      </w:pPr>
      <w:bookmarkStart w:id="89" w:name="_Toc9451"/>
      <w:bookmarkStart w:id="90" w:name="_Toc22415"/>
      <w:r>
        <w:rPr>
          <w:rFonts w:hint="eastAsia" w:ascii="宋体" w:hAnsi="宋体" w:cs="宋体"/>
          <w:color w:val="000000"/>
          <w:lang w:val="zh-CN"/>
        </w:rPr>
        <w:t>（一）投标要求</w:t>
      </w:r>
      <w:bookmarkEnd w:id="89"/>
      <w:bookmarkEnd w:id="90"/>
    </w:p>
    <w:p>
      <w:pPr>
        <w:pStyle w:val="16"/>
        <w:spacing w:before="0" w:after="0" w:line="360" w:lineRule="auto"/>
        <w:jc w:val="left"/>
        <w:outlineLvl w:val="1"/>
        <w:rPr>
          <w:rFonts w:ascii="宋体" w:hAnsi="宋体" w:cs="宋体"/>
          <w:color w:val="000000"/>
          <w:lang w:val="zh-CN"/>
        </w:rPr>
      </w:pPr>
      <w:bookmarkStart w:id="91" w:name="_Toc4601"/>
      <w:bookmarkStart w:id="92" w:name="_Toc8857"/>
      <w:r>
        <w:rPr>
          <w:rFonts w:hint="eastAsia" w:ascii="宋体" w:hAnsi="宋体" w:cs="宋体"/>
          <w:color w:val="000000"/>
          <w:sz w:val="28"/>
          <w:szCs w:val="28"/>
          <w:lang w:val="zh-CN"/>
        </w:rPr>
        <w:t>1.投标说明</w:t>
      </w:r>
      <w:bookmarkEnd w:id="91"/>
      <w:bookmarkEnd w:id="92"/>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 </w:t>
      </w:r>
      <w:r>
        <w:rPr>
          <w:rFonts w:hint="eastAsia" w:ascii="宋体" w:hAnsi="宋体" w:cs="宋体"/>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rPr>
        <w:t xml:space="preserve"> </w:t>
      </w:r>
      <w:r>
        <w:rPr>
          <w:rFonts w:hint="eastAsia" w:ascii="宋体" w:hAnsi="宋体" w:cs="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1.4</w:t>
      </w:r>
      <w:r>
        <w:rPr>
          <w:rFonts w:ascii="宋体" w:hAnsi="宋体" w:cs="宋体"/>
          <w:color w:val="000000"/>
          <w:kern w:val="0"/>
        </w:rPr>
        <w:t xml:space="preserve"> </w:t>
      </w:r>
      <w:r>
        <w:rPr>
          <w:rFonts w:hint="eastAsia" w:ascii="宋体" w:hAnsi="宋体"/>
        </w:rPr>
        <w:t>所投产品或其任何一部分不得侵犯专利权、著作权、商标权和工业设计权等知识产权。</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5</w:t>
      </w:r>
      <w:r>
        <w:rPr>
          <w:rFonts w:hint="eastAsia" w:ascii="宋体" w:hAnsi="宋体" w:cs="宋体"/>
          <w:color w:val="000000"/>
          <w:kern w:val="0"/>
        </w:rPr>
        <w:t xml:space="preserve"> 项目中标后分包情况：</w:t>
      </w:r>
      <w:r>
        <w:rPr>
          <w:rFonts w:hint="eastAsia" w:ascii="宋体" w:hAnsi="宋体" w:cs="宋体"/>
          <w:color w:val="000000"/>
          <w:kern w:val="0"/>
          <w:u w:val="dashDotHeavy"/>
        </w:rPr>
        <w:t>不允许或允许</w:t>
      </w:r>
      <w:r>
        <w:rPr>
          <w:rFonts w:hint="eastAsia" w:ascii="宋体" w:hAnsi="宋体" w:cs="宋体"/>
          <w:color w:val="000000"/>
          <w:kern w:val="0"/>
        </w:rPr>
        <w:t>。（允许，投标人拟在中标后将中标项目的非主体、非关键性工作分包的，应当在投标文件中载明分包承担主体，分包承担主体应当具备相应资质条件且不得再次分包）</w:t>
      </w:r>
    </w:p>
    <w:p>
      <w:pPr>
        <w:pStyle w:val="16"/>
        <w:spacing w:before="0" w:after="0" w:line="360" w:lineRule="auto"/>
        <w:jc w:val="left"/>
        <w:outlineLvl w:val="1"/>
        <w:rPr>
          <w:rFonts w:ascii="宋体" w:hAnsi="宋体" w:cs="宋体"/>
          <w:color w:val="000000"/>
          <w:lang w:val="zh-CN"/>
        </w:rPr>
      </w:pPr>
      <w:bookmarkStart w:id="93" w:name="_Toc26125"/>
      <w:bookmarkStart w:id="94" w:name="_Toc21271"/>
      <w:r>
        <w:rPr>
          <w:rFonts w:hint="eastAsia" w:ascii="宋体" w:hAnsi="宋体" w:cs="宋体"/>
          <w:color w:val="000000"/>
          <w:sz w:val="28"/>
          <w:szCs w:val="28"/>
        </w:rPr>
        <w:t>2.</w:t>
      </w:r>
      <w:bookmarkEnd w:id="93"/>
      <w:bookmarkStart w:id="95" w:name="_Toc1475"/>
      <w:r>
        <w:rPr>
          <w:rFonts w:hint="eastAsia" w:ascii="宋体" w:hAnsi="宋体" w:cs="宋体"/>
          <w:color w:val="000000"/>
          <w:sz w:val="28"/>
          <w:szCs w:val="28"/>
          <w:lang w:val="zh-CN"/>
        </w:rPr>
        <w:t>重要指标</w:t>
      </w:r>
      <w:bookmarkEnd w:id="94"/>
      <w:bookmarkEnd w:id="95"/>
    </w:p>
    <w:p>
      <w:pPr>
        <w:autoSpaceDE w:val="0"/>
        <w:autoSpaceDN w:val="0"/>
        <w:spacing w:line="360" w:lineRule="auto"/>
        <w:ind w:firstLine="480" w:firstLineChars="200"/>
        <w:rPr>
          <w:rFonts w:ascii="宋体" w:hAnsi="宋体" w:cs="宋体"/>
          <w:b/>
          <w:bCs/>
          <w:color w:val="000000"/>
          <w:kern w:val="0"/>
          <w:lang w:val="zh-CN"/>
        </w:rPr>
      </w:pPr>
      <w:bookmarkStart w:id="96" w:name="_Toc18880"/>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w:t>
      </w:r>
      <w:r>
        <w:rPr>
          <w:rFonts w:hint="eastAsia" w:ascii="宋体" w:hAnsi="宋体" w:cs="宋体"/>
          <w:b/>
          <w:bCs/>
          <w:color w:val="000000"/>
          <w:kern w:val="0"/>
          <w:lang w:val="zh-CN"/>
        </w:rPr>
        <w:t>技术参数”中用“</w:t>
      </w:r>
      <w:r>
        <w:rPr>
          <w:rFonts w:hint="eastAsia" w:ascii="仿宋" w:hAnsi="仿宋" w:eastAsia="仿宋" w:cs="宋体"/>
          <w:kern w:val="0"/>
          <w:szCs w:val="21"/>
        </w:rPr>
        <w:t>★</w:t>
      </w:r>
      <w:r>
        <w:rPr>
          <w:rFonts w:hint="eastAsia" w:ascii="宋体" w:hAnsi="宋体" w:cs="宋体"/>
          <w:b/>
          <w:bCs/>
          <w:color w:val="000000"/>
          <w:kern w:val="0"/>
          <w:lang w:val="zh-CN"/>
        </w:rPr>
        <w:t>”符号标注的属于核心技术参数、指标，不满足或未提供仅作为扣分项，不做为废标条件。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招标文件中凡需与原有设备、系统并机、兼容、匹配等要求的，请主动和采购人联系，取得原有设备、系统相关资料。若有招标文件未提及或变更内容的，请及时与</w:t>
      </w:r>
      <w:r>
        <w:rPr>
          <w:rFonts w:hint="eastAsia" w:ascii="宋体" w:hAnsi="宋体" w:cs="宋体"/>
          <w:color w:val="000000"/>
          <w:kern w:val="0"/>
          <w:u w:val="dashDotHeavy"/>
          <w:lang w:val="zh-CN"/>
        </w:rPr>
        <w:t>采购人或者采购代理机构</w:t>
      </w:r>
      <w:r>
        <w:rPr>
          <w:rFonts w:hint="eastAsia" w:ascii="宋体" w:hAnsi="宋体" w:cs="宋体"/>
          <w:color w:val="000000"/>
          <w:kern w:val="0"/>
          <w:lang w:val="zh-CN"/>
        </w:rPr>
        <w:t>联系。</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kern w:val="0"/>
        </w:rPr>
        <w:t>2</w:t>
      </w:r>
      <w:r>
        <w:rPr>
          <w:rFonts w:hint="eastAsia" w:ascii="宋体" w:hAnsi="宋体" w:cs="宋体"/>
          <w:color w:val="000000"/>
          <w:kern w:val="0"/>
          <w:lang w:val="zh-CN"/>
        </w:rPr>
        <w:t>.3</w:t>
      </w:r>
      <w:r>
        <w:rPr>
          <w:rFonts w:hint="eastAsia" w:ascii="宋体" w:hAnsi="宋体" w:cs="宋体"/>
          <w:color w:val="000000"/>
          <w:kern w:val="0"/>
        </w:rPr>
        <w:t xml:space="preserve"> </w:t>
      </w:r>
      <w:r>
        <w:rPr>
          <w:rFonts w:hint="eastAsia" w:ascii="宋体" w:hAnsi="宋体" w:cs="宋体"/>
          <w:color w:val="000000"/>
          <w:kern w:val="0"/>
          <w:lang w:val="zh-CN"/>
        </w:rPr>
        <w:t>技术参数中除注明签订合同时提供</w:t>
      </w:r>
      <w:r>
        <w:rPr>
          <w:rFonts w:hint="eastAsia" w:ascii="宋体" w:hAnsi="宋体" w:cs="宋体"/>
          <w:color w:val="000000"/>
        </w:rPr>
        <w:t>的相关授权、服务承诺等资料以外，其余相关资料在投标时必须附在投标文件中。</w:t>
      </w:r>
    </w:p>
    <w:p>
      <w:pPr>
        <w:pStyle w:val="16"/>
        <w:spacing w:before="0" w:after="0" w:line="360" w:lineRule="auto"/>
        <w:jc w:val="left"/>
        <w:outlineLvl w:val="1"/>
        <w:rPr>
          <w:rFonts w:ascii="宋体" w:hAnsi="宋体" w:cs="宋体"/>
          <w:color w:val="000000"/>
          <w:lang w:val="zh-CN"/>
        </w:rPr>
      </w:pPr>
      <w:bookmarkStart w:id="97" w:name="_Toc22586"/>
      <w:r>
        <w:rPr>
          <w:rFonts w:hint="eastAsia" w:ascii="宋体" w:hAnsi="宋体" w:cs="宋体"/>
          <w:color w:val="000000"/>
          <w:sz w:val="28"/>
          <w:szCs w:val="28"/>
        </w:rPr>
        <w:t>3</w:t>
      </w:r>
      <w:r>
        <w:rPr>
          <w:rFonts w:hint="eastAsia" w:ascii="宋体" w:hAnsi="宋体" w:cs="宋体"/>
          <w:color w:val="000000"/>
          <w:sz w:val="28"/>
          <w:szCs w:val="28"/>
          <w:lang w:val="zh-CN"/>
        </w:rPr>
        <w:t>.商务要求</w:t>
      </w:r>
      <w:bookmarkEnd w:id="96"/>
      <w:bookmarkEnd w:id="97"/>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.1.交货时间：</w:t>
      </w:r>
      <w:r>
        <w:rPr>
          <w:rFonts w:hint="eastAsia" w:ascii="宋体" w:hAnsi="宋体" w:cs="宋体"/>
          <w:color w:val="000000"/>
          <w:kern w:val="0"/>
          <w:lang w:val="en-US" w:eastAsia="zh-CN"/>
        </w:rPr>
        <w:t>10</w:t>
      </w:r>
      <w:r>
        <w:rPr>
          <w:rFonts w:hint="eastAsia" w:ascii="宋体" w:hAnsi="宋体" w:cs="宋体"/>
          <w:color w:val="000000"/>
          <w:kern w:val="0"/>
          <w:lang w:val="zh-CN"/>
        </w:rPr>
        <w:t>个工作日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.2.交货地点：按合同约定</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.3.付款方式：</w:t>
      </w:r>
      <w:r>
        <w:rPr>
          <w:rFonts w:hint="eastAsia" w:ascii="宋体" w:hAnsi="宋体" w:cs="宋体"/>
          <w:color w:val="000000"/>
          <w:kern w:val="0"/>
        </w:rPr>
        <w:t>详见“第三部分  青海省政府采购项目合同书范本”中“四、付款方式”的规定</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.4.免费质保期：</w:t>
      </w:r>
      <w:r>
        <w:rPr>
          <w:rFonts w:hint="eastAsia" w:ascii="宋体" w:hAnsi="宋体" w:cs="宋体"/>
          <w:color w:val="000000"/>
          <w:kern w:val="0"/>
        </w:rPr>
        <w:t>三年</w:t>
      </w:r>
    </w:p>
    <w:p>
      <w:pPr>
        <w:autoSpaceDE w:val="0"/>
        <w:autoSpaceDN w:val="0"/>
        <w:spacing w:line="360" w:lineRule="auto"/>
        <w:ind w:firstLine="480" w:firstLineChars="200"/>
        <w:rPr>
          <w:rFonts w:ascii="宋体" w:hAnsi="宋体" w:cs="宋体"/>
          <w:color w:val="000000"/>
          <w:kern w:val="0"/>
        </w:rPr>
      </w:pPr>
    </w:p>
    <w:p>
      <w:pPr>
        <w:autoSpaceDE w:val="0"/>
        <w:autoSpaceDN w:val="0"/>
        <w:spacing w:line="360" w:lineRule="auto"/>
        <w:ind w:firstLine="480" w:firstLineChars="200"/>
        <w:rPr>
          <w:rFonts w:ascii="宋体" w:hAnsi="宋体" w:cs="宋体"/>
          <w:color w:val="000000"/>
          <w:kern w:val="0"/>
        </w:rPr>
      </w:pPr>
    </w:p>
    <w:p>
      <w:pPr>
        <w:pStyle w:val="16"/>
        <w:spacing w:before="0" w:after="0" w:line="360" w:lineRule="auto"/>
        <w:jc w:val="both"/>
        <w:rPr>
          <w:rFonts w:ascii="宋体" w:hAnsi="宋体" w:cs="宋体"/>
          <w:color w:val="000000"/>
          <w:lang w:val="zh-CN"/>
        </w:rPr>
      </w:pPr>
    </w:p>
    <w:p>
      <w:pPr>
        <w:autoSpaceDE w:val="0"/>
        <w:autoSpaceDN w:val="0"/>
        <w:spacing w:line="360" w:lineRule="auto"/>
        <w:ind w:firstLine="480" w:firstLineChars="200"/>
        <w:rPr>
          <w:rFonts w:hint="eastAsia" w:ascii="宋体" w:hAnsi="宋体" w:cs="宋体"/>
          <w:color w:val="000000"/>
          <w:kern w:val="0"/>
          <w:lang w:val="zh-CN"/>
        </w:rPr>
      </w:pPr>
      <w:r>
        <w:rPr>
          <w:lang w:val="zh-CN"/>
        </w:rPr>
        <w:br w:type="page"/>
      </w:r>
      <w:r>
        <w:rPr>
          <w:rFonts w:hint="eastAsia" w:ascii="宋体" w:hAnsi="宋体" w:cs="宋体"/>
          <w:color w:val="000000"/>
          <w:kern w:val="0"/>
          <w:lang w:val="zh-CN"/>
        </w:rPr>
        <w:t>电子商务网络安全（包二）</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项目预算：366300元</w:t>
      </w:r>
    </w:p>
    <w:tbl>
      <w:tblPr>
        <w:tblStyle w:val="17"/>
        <w:tblW w:w="0" w:type="auto"/>
        <w:tblInd w:w="0" w:type="dxa"/>
        <w:tblLayout w:type="fixed"/>
        <w:tblCellMar>
          <w:top w:w="0" w:type="dxa"/>
          <w:left w:w="108" w:type="dxa"/>
          <w:bottom w:w="0" w:type="dxa"/>
          <w:right w:w="108" w:type="dxa"/>
        </w:tblCellMar>
      </w:tblPr>
      <w:tblGrid>
        <w:gridCol w:w="966"/>
        <w:gridCol w:w="1208"/>
        <w:gridCol w:w="5336"/>
        <w:gridCol w:w="1124"/>
        <w:gridCol w:w="810"/>
      </w:tblGrid>
      <w:tr>
        <w:tblPrEx>
          <w:tblCellMar>
            <w:top w:w="0" w:type="dxa"/>
            <w:left w:w="108" w:type="dxa"/>
            <w:bottom w:w="0" w:type="dxa"/>
            <w:right w:w="108" w:type="dxa"/>
          </w:tblCellMar>
        </w:tblPrEx>
        <w:trPr>
          <w:trHeight w:val="380" w:hRule="atLeast"/>
        </w:trPr>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360" w:lineRule="auto"/>
              <w:ind w:firstLine="240" w:firstLineChars="100"/>
              <w:jc w:val="left"/>
              <w:rPr>
                <w:rFonts w:hint="eastAsia" w:ascii="宋体" w:hAnsi="宋体" w:cs="宋体"/>
                <w:color w:val="000000"/>
                <w:kern w:val="0"/>
                <w:lang w:val="zh-CN"/>
              </w:rPr>
            </w:pPr>
            <w:r>
              <w:rPr>
                <w:rFonts w:hint="eastAsia" w:ascii="宋体" w:hAnsi="宋体" w:cs="宋体"/>
                <w:color w:val="000000"/>
                <w:kern w:val="0"/>
                <w:lang w:val="zh-CN"/>
              </w:rPr>
              <w:t>序号</w:t>
            </w:r>
          </w:p>
        </w:tc>
        <w:tc>
          <w:tcPr>
            <w:tcW w:w="1208" w:type="dxa"/>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360" w:lineRule="auto"/>
              <w:jc w:val="left"/>
              <w:rPr>
                <w:rFonts w:hint="eastAsia" w:ascii="宋体" w:hAnsi="宋体" w:cs="宋体"/>
                <w:color w:val="000000"/>
                <w:kern w:val="0"/>
                <w:lang w:val="zh-CN"/>
              </w:rPr>
            </w:pPr>
            <w:r>
              <w:rPr>
                <w:rFonts w:hint="eastAsia" w:ascii="宋体" w:hAnsi="宋体" w:cs="宋体"/>
                <w:color w:val="000000"/>
                <w:kern w:val="0"/>
                <w:lang w:val="zh-CN"/>
              </w:rPr>
              <w:t>产品名称</w:t>
            </w:r>
          </w:p>
        </w:tc>
        <w:tc>
          <w:tcPr>
            <w:tcW w:w="5336" w:type="dxa"/>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360" w:lineRule="auto"/>
              <w:ind w:firstLine="3120" w:firstLineChars="1300"/>
              <w:jc w:val="left"/>
              <w:rPr>
                <w:rFonts w:hint="eastAsia" w:ascii="宋体" w:hAnsi="宋体" w:cs="宋体"/>
                <w:color w:val="000000"/>
                <w:kern w:val="0"/>
                <w:lang w:val="zh-CN"/>
              </w:rPr>
            </w:pPr>
            <w:r>
              <w:rPr>
                <w:rFonts w:hint="eastAsia" w:ascii="宋体" w:hAnsi="宋体" w:cs="宋体"/>
                <w:color w:val="000000"/>
                <w:kern w:val="0"/>
                <w:lang w:val="zh-CN"/>
              </w:rPr>
              <w:t>参数</w:t>
            </w:r>
          </w:p>
        </w:tc>
        <w:tc>
          <w:tcPr>
            <w:tcW w:w="1124" w:type="dxa"/>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360" w:lineRule="auto"/>
              <w:ind w:firstLine="240" w:firstLineChars="100"/>
              <w:jc w:val="left"/>
              <w:rPr>
                <w:rFonts w:hint="eastAsia" w:ascii="宋体" w:hAnsi="宋体" w:cs="宋体"/>
                <w:color w:val="000000"/>
                <w:kern w:val="0"/>
                <w:lang w:val="zh-CN"/>
              </w:rPr>
            </w:pPr>
            <w:r>
              <w:rPr>
                <w:rFonts w:hint="eastAsia" w:ascii="宋体" w:hAnsi="宋体" w:cs="宋体"/>
                <w:color w:val="000000"/>
                <w:kern w:val="0"/>
                <w:lang w:val="zh-CN"/>
              </w:rPr>
              <w:t>数量</w:t>
            </w:r>
          </w:p>
        </w:tc>
        <w:tc>
          <w:tcPr>
            <w:tcW w:w="810" w:type="dxa"/>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360" w:lineRule="auto"/>
              <w:jc w:val="left"/>
              <w:rPr>
                <w:rFonts w:hint="eastAsia" w:ascii="宋体" w:hAnsi="宋体" w:cs="宋体"/>
                <w:color w:val="000000"/>
                <w:kern w:val="0"/>
                <w:lang w:val="zh-CN"/>
              </w:rPr>
            </w:pPr>
            <w:r>
              <w:rPr>
                <w:rFonts w:hint="eastAsia" w:ascii="宋体" w:hAnsi="宋体" w:cs="宋体"/>
                <w:color w:val="000000"/>
                <w:kern w:val="0"/>
                <w:lang w:val="zh-CN"/>
              </w:rPr>
              <w:t>单位</w:t>
            </w:r>
          </w:p>
        </w:tc>
      </w:tr>
      <w:tr>
        <w:tblPrEx>
          <w:tblCellMar>
            <w:top w:w="0" w:type="dxa"/>
            <w:left w:w="108" w:type="dxa"/>
            <w:bottom w:w="0" w:type="dxa"/>
            <w:right w:w="108" w:type="dxa"/>
          </w:tblCellMar>
        </w:tblPrEx>
        <w:trPr>
          <w:trHeight w:val="600" w:hRule="atLeast"/>
        </w:trPr>
        <w:tc>
          <w:tcPr>
            <w:tcW w:w="966"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lang w:val="zh-CN"/>
              </w:rPr>
              <w:t>1</w:t>
            </w:r>
          </w:p>
        </w:tc>
        <w:tc>
          <w:tcPr>
            <w:tcW w:w="1208" w:type="dxa"/>
            <w:tcBorders>
              <w:top w:val="nil"/>
              <w:left w:val="nil"/>
              <w:bottom w:val="single" w:color="auto" w:sz="4" w:space="0"/>
              <w:right w:val="single" w:color="auto" w:sz="4" w:space="0"/>
            </w:tcBorders>
            <w:shd w:val="clear" w:color="auto" w:fill="auto"/>
            <w:vAlign w:val="center"/>
          </w:tcPr>
          <w:p>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lang w:val="zh-CN"/>
              </w:rPr>
              <w:t>终端安全监测响应平台</w:t>
            </w:r>
          </w:p>
        </w:tc>
        <w:tc>
          <w:tcPr>
            <w:tcW w:w="5336" w:type="dxa"/>
            <w:tcBorders>
              <w:top w:val="nil"/>
              <w:left w:val="nil"/>
              <w:bottom w:val="single" w:color="auto" w:sz="4" w:space="0"/>
              <w:right w:val="single" w:color="auto" w:sz="4" w:space="0"/>
            </w:tcBorders>
            <w:shd w:val="clear" w:color="auto" w:fill="auto"/>
            <w:vAlign w:val="center"/>
          </w:tcPr>
          <w:p>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lang w:val="zh-CN"/>
              </w:rPr>
              <w:t>1、环境要求：产品形态，产品可以纯软件交付，包含管理控制中心软件及终端客户端软件，其中管理控制中心可云化部署。客户端支持Windows PC系统、Windows Server系统、Linux、Centos、Ubuntu、SUSE、REDHAT、国产中标麒麟等系统（提供截图证明）。</w:t>
            </w:r>
            <w:r>
              <w:rPr>
                <w:rFonts w:hint="eastAsia" w:ascii="宋体" w:hAnsi="宋体" w:cs="宋体"/>
                <w:color w:val="000000"/>
                <w:kern w:val="0"/>
                <w:lang w:val="zh-CN"/>
              </w:rPr>
              <w:br w:type="textWrapping"/>
            </w:r>
            <w:r>
              <w:rPr>
                <w:rFonts w:hint="eastAsia" w:ascii="宋体" w:hAnsi="宋体" w:cs="宋体"/>
                <w:color w:val="000000"/>
                <w:kern w:val="0"/>
                <w:lang w:val="zh-CN"/>
              </w:rPr>
              <w:t>2、控制中心平台：采用B/S架构的管理控制中心，具备终端安全可视，终端统一管理，统一威胁处置，统一漏洞修复，威胁响应处置，日志记录与查询等功能，支持显示当前未处理的病毒数量、勒索病毒数量、暴力破解数量、WebShell后门数量、高危漏洞及其各自影响的终端数量。</w:t>
            </w:r>
            <w:r>
              <w:rPr>
                <w:rFonts w:hint="eastAsia" w:ascii="宋体" w:hAnsi="宋体" w:cs="宋体"/>
                <w:color w:val="000000"/>
                <w:kern w:val="0"/>
                <w:lang w:val="zh-CN"/>
              </w:rPr>
              <w:br w:type="textWrapping"/>
            </w:r>
            <w:r>
              <w:rPr>
                <w:rFonts w:hint="eastAsia" w:ascii="宋体" w:hAnsi="宋体" w:cs="宋体"/>
                <w:color w:val="000000"/>
                <w:kern w:val="0"/>
                <w:lang w:val="zh-CN"/>
              </w:rPr>
              <w:t>3、支持展示终端资产状况，包括：主机名、在线/离线状态、IPv4地址、MAC地址、操作系统、终端agent版本、病毒库版本、最近登录时间、最近登录的用户名；终端信息变更能自动更新。</w:t>
            </w:r>
            <w:r>
              <w:rPr>
                <w:rFonts w:hint="eastAsia" w:ascii="宋体" w:hAnsi="宋体" w:cs="宋体"/>
                <w:color w:val="000000"/>
                <w:kern w:val="0"/>
                <w:lang w:val="zh-CN"/>
              </w:rPr>
              <w:br w:type="textWrapping"/>
            </w:r>
            <w:r>
              <w:rPr>
                <w:rFonts w:hint="eastAsia" w:ascii="宋体" w:hAnsi="宋体" w:cs="宋体"/>
                <w:color w:val="000000"/>
                <w:kern w:val="0"/>
                <w:lang w:val="zh-CN"/>
              </w:rPr>
              <w:t>4、支持以安全策略模板方式对指定终端组快速部署安全策略，安全策略模板支持默认模板和自定义模板。支持安全策略一体化配置，通过一条策略即可实现不同安全功能的配置。包括：终端病毒查杀的文件扫描配置、文件实时监控的参数配置、WebShell检测的检测和威胁处置方式、暴力破解的威胁处置方式和信任目录。支持跳转链接至云端安全威胁响应系统，针对已发生的病毒的基本信息，影响分析（客户情况、影响行业、区域分布）、威胁分析和处理建议等。</w:t>
            </w:r>
            <w:r>
              <w:rPr>
                <w:rFonts w:hint="eastAsia" w:ascii="宋体" w:hAnsi="宋体" w:cs="宋体"/>
                <w:color w:val="000000"/>
                <w:kern w:val="0"/>
                <w:lang w:val="zh-CN"/>
              </w:rPr>
              <w:br w:type="textWrapping"/>
            </w:r>
            <w:r>
              <w:rPr>
                <w:rFonts w:hint="eastAsia" w:ascii="宋体" w:hAnsi="宋体" w:cs="宋体"/>
                <w:color w:val="000000"/>
                <w:kern w:val="0"/>
                <w:lang w:val="zh-CN"/>
              </w:rPr>
              <w:t>5、终端防御：具备基于人工智能的检测引擎，具备无特征检测技术，有效应对恶意代码及其变种。具备基于本地缓存信誉检测与全网信誉检测，支持本地查杀缓存，减少对本地虚拟化环境的资源消耗。</w:t>
            </w:r>
            <w:r>
              <w:rPr>
                <w:rFonts w:hint="eastAsia" w:ascii="宋体" w:hAnsi="宋体" w:cs="宋体"/>
                <w:color w:val="000000"/>
                <w:kern w:val="0"/>
                <w:lang w:val="zh-CN"/>
              </w:rPr>
              <w:br w:type="textWrapping"/>
            </w:r>
            <w:r>
              <w:rPr>
                <w:rFonts w:hint="eastAsia" w:ascii="宋体" w:hAnsi="宋体" w:cs="宋体"/>
                <w:color w:val="000000"/>
                <w:kern w:val="0"/>
                <w:lang w:val="zh-CN"/>
              </w:rPr>
              <w:t>6、可视化展示终端的基线合规检查结果。威胁同步处置：构建全网文件信誉库，当一台终端发现某一病毒文件，全网可进行感知并进行针对性查杀，支持处置病毒时选择是否在其它终端上同步处置（提供相关截图证明）。</w:t>
            </w:r>
            <w:r>
              <w:rPr>
                <w:rFonts w:hint="eastAsia" w:ascii="宋体" w:hAnsi="宋体" w:cs="宋体"/>
                <w:color w:val="000000"/>
                <w:kern w:val="0"/>
                <w:lang w:val="zh-CN"/>
              </w:rPr>
              <w:br w:type="textWrapping"/>
            </w:r>
            <w:r>
              <w:rPr>
                <w:rFonts w:hint="eastAsia" w:ascii="宋体" w:hAnsi="宋体" w:cs="宋体"/>
                <w:color w:val="000000"/>
                <w:kern w:val="0"/>
                <w:lang w:val="zh-CN"/>
              </w:rPr>
              <w:t>7、终端控制：微隔离流量可控：提供对业务系统之间、业务系统内不同应用角色之间、业务系统内相同应用角色之间的访问控制策略配置。</w:t>
            </w:r>
            <w:r>
              <w:rPr>
                <w:rFonts w:hint="eastAsia" w:ascii="宋体" w:hAnsi="宋体" w:cs="宋体"/>
                <w:color w:val="000000"/>
                <w:kern w:val="0"/>
                <w:lang w:val="zh-CN"/>
              </w:rPr>
              <w:br w:type="textWrapping"/>
            </w:r>
            <w:r>
              <w:rPr>
                <w:rFonts w:hint="eastAsia" w:ascii="宋体" w:hAnsi="宋体" w:cs="宋体"/>
                <w:color w:val="000000"/>
                <w:kern w:val="0"/>
                <w:lang w:val="zh-CN"/>
              </w:rPr>
              <w:t>8、网端响应：全网威胁定位：支持基于威胁情报的病毒特征值全网终端搜索，可定位出全网终端该病毒的感染情况。支持未安装终端安全客户端的终端无法上网，有效推广终端安全客户端的部署（需提供产品截图证明）。</w:t>
            </w:r>
            <w:r>
              <w:rPr>
                <w:rFonts w:hint="eastAsia" w:ascii="宋体" w:hAnsi="宋体" w:cs="宋体"/>
                <w:color w:val="000000"/>
                <w:kern w:val="0"/>
                <w:lang w:val="zh-CN"/>
              </w:rPr>
              <w:br w:type="textWrapping"/>
            </w:r>
            <w:r>
              <w:rPr>
                <w:rFonts w:hint="eastAsia" w:ascii="宋体" w:hAnsi="宋体" w:cs="宋体"/>
                <w:color w:val="000000"/>
                <w:kern w:val="0"/>
                <w:lang w:val="zh-CN"/>
              </w:rPr>
              <w:t>9、具备《计算机信息系统安全专用产品销售许可证》网络版防病毒产品（一级品）、计算机软件著作权登记证书。</w:t>
            </w:r>
            <w:r>
              <w:rPr>
                <w:rFonts w:hint="eastAsia" w:ascii="宋体" w:hAnsi="宋体" w:cs="宋体"/>
                <w:color w:val="000000"/>
                <w:kern w:val="0"/>
                <w:lang w:val="zh-CN"/>
              </w:rPr>
              <w:br w:type="textWrapping"/>
            </w:r>
            <w:r>
              <w:rPr>
                <w:rFonts w:hint="eastAsia" w:ascii="宋体" w:hAnsi="宋体" w:cs="宋体"/>
                <w:color w:val="000000"/>
                <w:kern w:val="0"/>
                <w:lang w:val="zh-CN"/>
              </w:rPr>
              <w:t>10、质量保证和上门服务不少于五年。</w:t>
            </w:r>
          </w:p>
        </w:tc>
        <w:tc>
          <w:tcPr>
            <w:tcW w:w="1124" w:type="dxa"/>
            <w:tcBorders>
              <w:top w:val="nil"/>
              <w:left w:val="nil"/>
              <w:bottom w:val="single" w:color="auto" w:sz="4" w:space="0"/>
              <w:right w:val="single" w:color="auto" w:sz="4" w:space="0"/>
            </w:tcBorders>
            <w:shd w:val="clear" w:color="auto" w:fill="auto"/>
            <w:vAlign w:val="center"/>
          </w:tcPr>
          <w:p>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lang w:val="zh-CN"/>
              </w:rPr>
              <w:t>1</w:t>
            </w:r>
          </w:p>
        </w:tc>
        <w:tc>
          <w:tcPr>
            <w:tcW w:w="810" w:type="dxa"/>
            <w:tcBorders>
              <w:top w:val="nil"/>
              <w:left w:val="nil"/>
              <w:bottom w:val="single" w:color="auto" w:sz="4" w:space="0"/>
              <w:right w:val="single" w:color="auto" w:sz="4" w:space="0"/>
            </w:tcBorders>
            <w:shd w:val="clear" w:color="auto" w:fill="auto"/>
            <w:vAlign w:val="center"/>
          </w:tcPr>
          <w:p>
            <w:pPr>
              <w:autoSpaceDE w:val="0"/>
              <w:autoSpaceDN w:val="0"/>
              <w:spacing w:line="360" w:lineRule="auto"/>
              <w:jc w:val="left"/>
              <w:rPr>
                <w:rFonts w:hint="eastAsia" w:ascii="宋体" w:hAnsi="宋体" w:cs="宋体"/>
                <w:color w:val="000000"/>
                <w:kern w:val="0"/>
                <w:lang w:val="zh-CN"/>
              </w:rPr>
            </w:pPr>
            <w:r>
              <w:rPr>
                <w:rFonts w:hint="eastAsia" w:ascii="宋体" w:hAnsi="宋体" w:cs="宋体"/>
                <w:color w:val="000000"/>
                <w:kern w:val="0"/>
                <w:lang w:val="zh-CN"/>
              </w:rPr>
              <w:t>套</w:t>
            </w:r>
          </w:p>
        </w:tc>
      </w:tr>
      <w:tr>
        <w:tblPrEx>
          <w:tblCellMar>
            <w:top w:w="0" w:type="dxa"/>
            <w:left w:w="108" w:type="dxa"/>
            <w:bottom w:w="0" w:type="dxa"/>
            <w:right w:w="108" w:type="dxa"/>
          </w:tblCellMar>
        </w:tblPrEx>
        <w:trPr>
          <w:trHeight w:val="600" w:hRule="atLeast"/>
        </w:trPr>
        <w:tc>
          <w:tcPr>
            <w:tcW w:w="966"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lang w:val="zh-CN"/>
              </w:rPr>
              <w:t>2</w:t>
            </w:r>
          </w:p>
        </w:tc>
        <w:tc>
          <w:tcPr>
            <w:tcW w:w="1208" w:type="dxa"/>
            <w:tcBorders>
              <w:top w:val="nil"/>
              <w:left w:val="nil"/>
              <w:bottom w:val="single" w:color="auto" w:sz="4" w:space="0"/>
              <w:right w:val="single" w:color="auto" w:sz="4" w:space="0"/>
            </w:tcBorders>
            <w:shd w:val="clear" w:color="auto" w:fill="auto"/>
            <w:vAlign w:val="center"/>
          </w:tcPr>
          <w:p>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lang w:val="zh-CN"/>
              </w:rPr>
              <w:t>云安全服务平台</w:t>
            </w:r>
          </w:p>
        </w:tc>
        <w:tc>
          <w:tcPr>
            <w:tcW w:w="5336" w:type="dxa"/>
            <w:tcBorders>
              <w:top w:val="nil"/>
              <w:left w:val="nil"/>
              <w:bottom w:val="single" w:color="auto" w:sz="4" w:space="0"/>
              <w:right w:val="single" w:color="auto" w:sz="4" w:space="0"/>
            </w:tcBorders>
            <w:shd w:val="clear" w:color="auto" w:fill="auto"/>
            <w:vAlign w:val="center"/>
          </w:tcPr>
          <w:p>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lang w:val="zh-CN"/>
              </w:rPr>
              <w:t xml:space="preserve">硬件性能：CPU≥E5-2620 V4 ；内存≥96G；硬盘：系统盘≥128G SSD；缓存盘≥240G SSD；数据盘≥4T SATA；电源：冗余电源；规格：2U；网口≥6个千兆电口。 </w:t>
            </w:r>
            <w:r>
              <w:rPr>
                <w:rFonts w:hint="eastAsia" w:ascii="宋体" w:hAnsi="宋体" w:cs="宋体"/>
                <w:color w:val="000000"/>
                <w:kern w:val="0"/>
                <w:lang w:val="zh-CN"/>
              </w:rPr>
              <w:br w:type="textWrapping"/>
            </w:r>
            <w:r>
              <w:rPr>
                <w:rFonts w:hint="eastAsia" w:ascii="宋体" w:hAnsi="宋体" w:cs="宋体"/>
                <w:color w:val="000000"/>
                <w:kern w:val="0"/>
                <w:lang w:val="zh-CN"/>
              </w:rPr>
              <w:t>平台功能要求：</w:t>
            </w:r>
            <w:r>
              <w:rPr>
                <w:rFonts w:hint="eastAsia" w:ascii="宋体" w:hAnsi="宋体" w:cs="宋体"/>
                <w:color w:val="000000"/>
                <w:kern w:val="0"/>
                <w:lang w:val="zh-CN"/>
              </w:rPr>
              <w:br w:type="textWrapping"/>
            </w:r>
            <w:r>
              <w:rPr>
                <w:rFonts w:hint="eastAsia" w:ascii="宋体" w:hAnsi="宋体" w:cs="宋体"/>
                <w:color w:val="000000"/>
                <w:kern w:val="0"/>
                <w:lang w:val="zh-CN"/>
              </w:rPr>
              <w:t>1. 产品支持软、硬件一体化与软硬件解耦两种部署方式；支持网桥、路由、旁路模式部署。</w:t>
            </w:r>
            <w:r>
              <w:rPr>
                <w:rFonts w:hint="eastAsia" w:ascii="宋体" w:hAnsi="宋体" w:cs="宋体"/>
                <w:color w:val="000000"/>
                <w:kern w:val="0"/>
                <w:lang w:val="zh-CN"/>
              </w:rPr>
              <w:br w:type="textWrapping"/>
            </w:r>
            <w:r>
              <w:rPr>
                <w:rFonts w:hint="eastAsia" w:ascii="宋体" w:hAnsi="宋体" w:cs="宋体"/>
                <w:color w:val="000000"/>
                <w:kern w:val="0"/>
                <w:lang w:val="zh-CN"/>
              </w:rPr>
              <w:t>2. 平台包含日志审计组件、终端安全管理平台组件等安全功能组件。</w:t>
            </w:r>
            <w:r>
              <w:rPr>
                <w:rFonts w:hint="eastAsia" w:ascii="宋体" w:hAnsi="宋体" w:cs="宋体"/>
                <w:color w:val="000000"/>
                <w:kern w:val="0"/>
                <w:lang w:val="zh-CN"/>
              </w:rPr>
              <w:br w:type="textWrapping"/>
            </w:r>
            <w:r>
              <w:rPr>
                <w:rFonts w:hint="eastAsia" w:ascii="宋体" w:hAnsi="宋体" w:cs="宋体"/>
                <w:color w:val="000000"/>
                <w:kern w:val="0"/>
                <w:lang w:val="zh-CN"/>
              </w:rPr>
              <w:t>3. 平台可根据实际业务环境定义业务安全区域，简化运维管理（提供界面截图证明）。</w:t>
            </w:r>
            <w:r>
              <w:rPr>
                <w:rFonts w:hint="eastAsia" w:ascii="宋体" w:hAnsi="宋体" w:cs="宋体"/>
                <w:color w:val="000000"/>
                <w:kern w:val="0"/>
                <w:lang w:val="zh-CN"/>
              </w:rPr>
              <w:br w:type="textWrapping"/>
            </w:r>
            <w:r>
              <w:rPr>
                <w:rFonts w:hint="eastAsia" w:ascii="宋体" w:hAnsi="宋体" w:cs="宋体"/>
                <w:color w:val="000000"/>
                <w:kern w:val="0"/>
                <w:lang w:val="zh-CN"/>
              </w:rPr>
              <w:t>4. 在管理平台上可以通过拖拽虚拟设备图标和连线就能完成网络拓扑的构建，快速的实现整个业务逻辑的编排，并且可以连接、开启、关闭虚拟网络设备。</w:t>
            </w:r>
            <w:r>
              <w:rPr>
                <w:rFonts w:hint="eastAsia" w:ascii="宋体" w:hAnsi="宋体" w:cs="宋体"/>
                <w:color w:val="000000"/>
                <w:kern w:val="0"/>
                <w:lang w:val="zh-CN"/>
              </w:rPr>
              <w:br w:type="textWrapping"/>
            </w:r>
            <w:r>
              <w:rPr>
                <w:rFonts w:hint="eastAsia" w:ascii="宋体" w:hAnsi="宋体" w:cs="宋体"/>
                <w:color w:val="000000"/>
                <w:kern w:val="0"/>
                <w:lang w:val="zh-CN"/>
              </w:rPr>
              <w:t>5. 平台首页可以展示详细主机状态、磁盘状态及应用状态，以及业务遭受的入侵风险、僵尸主机风险及外发流量异常等相关安全信息。</w:t>
            </w:r>
            <w:r>
              <w:rPr>
                <w:rFonts w:hint="eastAsia" w:ascii="宋体" w:hAnsi="宋体" w:cs="宋体"/>
                <w:color w:val="000000"/>
                <w:kern w:val="0"/>
                <w:lang w:val="zh-CN"/>
              </w:rPr>
              <w:br w:type="textWrapping"/>
            </w:r>
            <w:r>
              <w:rPr>
                <w:rFonts w:hint="eastAsia" w:ascii="宋体" w:hAnsi="宋体" w:cs="宋体"/>
                <w:color w:val="000000"/>
                <w:kern w:val="0"/>
                <w:lang w:val="zh-CN"/>
              </w:rPr>
              <w:t>6. 平台支持模板化的组件部署模式，至少支持出口边界安全模板、等保合规安全模板（提供界面截图证明）。</w:t>
            </w:r>
            <w:r>
              <w:rPr>
                <w:rFonts w:hint="eastAsia" w:ascii="宋体" w:hAnsi="宋体" w:cs="宋体"/>
                <w:color w:val="000000"/>
                <w:kern w:val="0"/>
                <w:lang w:val="zh-CN"/>
              </w:rPr>
              <w:br w:type="textWrapping"/>
            </w:r>
            <w:r>
              <w:rPr>
                <w:rFonts w:hint="eastAsia" w:ascii="宋体" w:hAnsi="宋体" w:cs="宋体"/>
                <w:color w:val="000000"/>
                <w:kern w:val="0"/>
                <w:lang w:val="zh-CN"/>
              </w:rPr>
              <w:t>7. 支持故障迁移功能，当主机发生故障迁移后，可自动将组件迁移到其他主机上运行。</w:t>
            </w:r>
            <w:r>
              <w:rPr>
                <w:rFonts w:hint="eastAsia" w:ascii="宋体" w:hAnsi="宋体" w:cs="宋体"/>
                <w:color w:val="000000"/>
                <w:kern w:val="0"/>
                <w:lang w:val="zh-CN"/>
              </w:rPr>
              <w:br w:type="textWrapping"/>
            </w:r>
            <w:r>
              <w:rPr>
                <w:rFonts w:hint="eastAsia" w:ascii="宋体" w:hAnsi="宋体" w:cs="宋体"/>
                <w:color w:val="000000"/>
                <w:kern w:val="0"/>
                <w:lang w:val="zh-CN"/>
              </w:rPr>
              <w:t>8. 为了提供更好的排障手段，支持在平台内节点抓包分析分析功能，能够设置抓包的网口、过滤条件、文件大小等参数（提供界面截图证明）。</w:t>
            </w:r>
            <w:r>
              <w:rPr>
                <w:rFonts w:hint="eastAsia" w:ascii="宋体" w:hAnsi="宋体" w:cs="宋体"/>
                <w:color w:val="000000"/>
                <w:kern w:val="0"/>
                <w:lang w:val="zh-CN"/>
              </w:rPr>
              <w:br w:type="textWrapping"/>
            </w:r>
            <w:r>
              <w:rPr>
                <w:rFonts w:hint="eastAsia" w:ascii="宋体" w:hAnsi="宋体" w:cs="宋体"/>
                <w:color w:val="000000"/>
                <w:kern w:val="0"/>
                <w:lang w:val="zh-CN"/>
              </w:rPr>
              <w:t>9. 平台支持关键安全组件双机功能，保障安全组件高可用；在双机场景下，管理平台要支持双机配置同步，在硬件故障时保障无感知切换（提供界面截图证明）。</w:t>
            </w:r>
            <w:r>
              <w:rPr>
                <w:rFonts w:hint="eastAsia" w:ascii="宋体" w:hAnsi="宋体" w:cs="宋体"/>
                <w:color w:val="000000"/>
                <w:kern w:val="0"/>
                <w:lang w:val="zh-CN"/>
              </w:rPr>
              <w:br w:type="textWrapping"/>
            </w:r>
            <w:r>
              <w:rPr>
                <w:rFonts w:hint="eastAsia" w:ascii="宋体" w:hAnsi="宋体" w:cs="宋体"/>
                <w:color w:val="000000"/>
                <w:kern w:val="0"/>
                <w:lang w:val="zh-CN"/>
              </w:rPr>
              <w:t>10. 提供《计算机软件著作权》及测试报告，提供证明材料。提供《计算机信息系统安全专用产品销售许可证》，提供证明材料。所投厂商具备软件开发成熟度CMMI 5级认证，提供证明材料。所投厂商为国家信息安全漏洞共享平台CNVD用户组成员，提供证明材料。</w:t>
            </w:r>
            <w:r>
              <w:rPr>
                <w:rFonts w:hint="eastAsia" w:ascii="宋体" w:hAnsi="宋体" w:cs="宋体"/>
                <w:color w:val="000000"/>
                <w:kern w:val="0"/>
                <w:lang w:val="zh-CN"/>
              </w:rPr>
              <w:br w:type="textWrapping"/>
            </w:r>
            <w:r>
              <w:rPr>
                <w:rFonts w:hint="eastAsia" w:ascii="宋体" w:hAnsi="宋体" w:cs="宋体"/>
                <w:color w:val="000000"/>
                <w:kern w:val="0"/>
                <w:lang w:val="zh-CN"/>
              </w:rPr>
              <w:t>日志审计组件：</w:t>
            </w:r>
            <w:r>
              <w:rPr>
                <w:rFonts w:hint="eastAsia" w:ascii="宋体" w:hAnsi="宋体" w:cs="宋体"/>
                <w:color w:val="000000"/>
                <w:kern w:val="0"/>
                <w:lang w:val="zh-CN"/>
              </w:rPr>
              <w:br w:type="textWrapping"/>
            </w:r>
            <w:r>
              <w:rPr>
                <w:rFonts w:hint="eastAsia" w:ascii="宋体" w:hAnsi="宋体" w:cs="宋体"/>
                <w:color w:val="000000"/>
                <w:kern w:val="0"/>
                <w:lang w:val="zh-CN"/>
              </w:rPr>
              <w:t>1. 包含资产授权至少20个。</w:t>
            </w:r>
            <w:r>
              <w:rPr>
                <w:rFonts w:hint="eastAsia" w:ascii="宋体" w:hAnsi="宋体" w:cs="宋体"/>
                <w:color w:val="000000"/>
                <w:kern w:val="0"/>
                <w:lang w:val="zh-CN"/>
              </w:rPr>
              <w:br w:type="textWrapping"/>
            </w:r>
            <w:r>
              <w:rPr>
                <w:rFonts w:hint="eastAsia" w:ascii="宋体" w:hAnsi="宋体" w:cs="宋体"/>
                <w:color w:val="000000"/>
                <w:kern w:val="0"/>
                <w:lang w:val="zh-CN"/>
              </w:rPr>
              <w:t>2. 产品为软件形态。</w:t>
            </w:r>
            <w:r>
              <w:rPr>
                <w:rFonts w:hint="eastAsia" w:ascii="宋体" w:hAnsi="宋体" w:cs="宋体"/>
                <w:color w:val="000000"/>
                <w:kern w:val="0"/>
                <w:lang w:val="zh-CN"/>
              </w:rPr>
              <w:br w:type="textWrapping"/>
            </w:r>
            <w:r>
              <w:rPr>
                <w:rFonts w:hint="eastAsia" w:ascii="宋体" w:hAnsi="宋体" w:cs="宋体"/>
                <w:color w:val="000000"/>
                <w:kern w:val="0"/>
                <w:lang w:val="zh-CN"/>
              </w:rPr>
              <w:t>3. 系统从不同设备或系统中所获得的各类日志、事件中抽取相关片段准确和完整地映射至安全事件的标准字段。</w:t>
            </w:r>
            <w:r>
              <w:rPr>
                <w:rFonts w:hint="eastAsia" w:ascii="宋体" w:hAnsi="宋体" w:cs="宋体"/>
                <w:color w:val="000000"/>
                <w:kern w:val="0"/>
                <w:lang w:val="zh-CN"/>
              </w:rPr>
              <w:br w:type="textWrapping"/>
            </w:r>
            <w:r>
              <w:rPr>
                <w:rFonts w:hint="eastAsia" w:ascii="宋体" w:hAnsi="宋体" w:cs="宋体"/>
                <w:color w:val="000000"/>
                <w:kern w:val="0"/>
                <w:lang w:val="zh-CN"/>
              </w:rPr>
              <w:t>4. 对安全事件重新定级。能根据统一的安全策略，按照安全设备识别名、事件类别、事件级别等所有可能的条件及各种条件的组合对事件严重级别进行重定义（提供界面截图证明）。</w:t>
            </w:r>
            <w:r>
              <w:rPr>
                <w:rFonts w:hint="eastAsia" w:ascii="宋体" w:hAnsi="宋体" w:cs="宋体"/>
                <w:color w:val="000000"/>
                <w:kern w:val="0"/>
                <w:lang w:val="zh-CN"/>
              </w:rPr>
              <w:br w:type="textWrapping"/>
            </w:r>
            <w:r>
              <w:rPr>
                <w:rFonts w:hint="eastAsia" w:ascii="宋体" w:hAnsi="宋体" w:cs="宋体"/>
                <w:color w:val="000000"/>
                <w:kern w:val="0"/>
                <w:lang w:val="zh-CN"/>
              </w:rPr>
              <w:t>5. 系统既可以完全收集采集对象上的日志信息，也支持在安全事件收集引擎上设置过滤条件，可过滤出无关安全事件，满足根据实际业务需求减少采集对象发送到核心服务器的安全事件数，从而减少对网络带宽和数据库存储空间地占用。</w:t>
            </w:r>
          </w:p>
        </w:tc>
        <w:tc>
          <w:tcPr>
            <w:tcW w:w="1124" w:type="dxa"/>
            <w:tcBorders>
              <w:top w:val="nil"/>
              <w:left w:val="nil"/>
              <w:bottom w:val="single" w:color="auto" w:sz="4" w:space="0"/>
              <w:right w:val="single" w:color="auto" w:sz="4" w:space="0"/>
            </w:tcBorders>
            <w:shd w:val="clear" w:color="auto" w:fill="auto"/>
            <w:vAlign w:val="center"/>
          </w:tcPr>
          <w:p>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lang w:val="zh-CN"/>
              </w:rPr>
              <w:t>1</w:t>
            </w:r>
          </w:p>
        </w:tc>
        <w:tc>
          <w:tcPr>
            <w:tcW w:w="810" w:type="dxa"/>
            <w:tcBorders>
              <w:top w:val="nil"/>
              <w:left w:val="nil"/>
              <w:bottom w:val="single" w:color="auto" w:sz="4" w:space="0"/>
              <w:right w:val="single" w:color="auto" w:sz="4" w:space="0"/>
            </w:tcBorders>
            <w:shd w:val="clear" w:color="auto" w:fill="auto"/>
            <w:vAlign w:val="center"/>
          </w:tcPr>
          <w:p>
            <w:pPr>
              <w:autoSpaceDE w:val="0"/>
              <w:autoSpaceDN w:val="0"/>
              <w:spacing w:line="360" w:lineRule="auto"/>
              <w:jc w:val="left"/>
              <w:rPr>
                <w:rFonts w:hint="eastAsia" w:ascii="宋体" w:hAnsi="宋体" w:cs="宋体"/>
                <w:color w:val="000000"/>
                <w:kern w:val="0"/>
                <w:lang w:val="zh-CN"/>
              </w:rPr>
            </w:pPr>
            <w:r>
              <w:rPr>
                <w:rFonts w:hint="eastAsia" w:ascii="宋体" w:hAnsi="宋体" w:cs="宋体"/>
                <w:color w:val="000000"/>
                <w:kern w:val="0"/>
                <w:lang w:val="zh-CN"/>
              </w:rPr>
              <w:t>套</w:t>
            </w:r>
          </w:p>
        </w:tc>
      </w:tr>
      <w:tr>
        <w:tblPrEx>
          <w:tblCellMar>
            <w:top w:w="0" w:type="dxa"/>
            <w:left w:w="108" w:type="dxa"/>
            <w:bottom w:w="0" w:type="dxa"/>
            <w:right w:w="108" w:type="dxa"/>
          </w:tblCellMar>
        </w:tblPrEx>
        <w:trPr>
          <w:trHeight w:val="600" w:hRule="atLeast"/>
        </w:trPr>
        <w:tc>
          <w:tcPr>
            <w:tcW w:w="966"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lang w:val="zh-CN"/>
              </w:rPr>
              <w:t>3</w:t>
            </w:r>
          </w:p>
        </w:tc>
        <w:tc>
          <w:tcPr>
            <w:tcW w:w="1208" w:type="dxa"/>
            <w:tcBorders>
              <w:top w:val="nil"/>
              <w:left w:val="nil"/>
              <w:bottom w:val="single" w:color="auto" w:sz="4" w:space="0"/>
              <w:right w:val="single" w:color="auto" w:sz="4" w:space="0"/>
            </w:tcBorders>
            <w:shd w:val="clear" w:color="auto" w:fill="auto"/>
            <w:vAlign w:val="center"/>
          </w:tcPr>
          <w:p>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lang w:val="zh-CN"/>
              </w:rPr>
              <w:t>上网行为管理</w:t>
            </w:r>
          </w:p>
        </w:tc>
        <w:tc>
          <w:tcPr>
            <w:tcW w:w="5336" w:type="dxa"/>
            <w:tcBorders>
              <w:top w:val="nil"/>
              <w:left w:val="nil"/>
              <w:bottom w:val="single" w:color="auto" w:sz="4" w:space="0"/>
              <w:right w:val="single" w:color="auto" w:sz="4" w:space="0"/>
            </w:tcBorders>
            <w:shd w:val="clear" w:color="auto" w:fill="auto"/>
            <w:vAlign w:val="center"/>
          </w:tcPr>
          <w:p>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lang w:val="zh-CN"/>
              </w:rPr>
              <w:t>1. 性能要求：网络吞吐量≥1.2Gb，并发连接数≥400000，每秒新建连接数≥8000，支持用户数≥5000，电源:单电源，尺寸：1U，接口≥6个千兆电口、2个千兆光口。</w:t>
            </w:r>
            <w:r>
              <w:rPr>
                <w:rFonts w:hint="eastAsia" w:ascii="宋体" w:hAnsi="宋体" w:cs="宋体"/>
                <w:color w:val="000000"/>
                <w:kern w:val="0"/>
                <w:lang w:val="zh-CN"/>
              </w:rPr>
              <w:br w:type="textWrapping"/>
            </w:r>
            <w:r>
              <w:rPr>
                <w:rFonts w:hint="eastAsia" w:ascii="宋体" w:hAnsi="宋体" w:cs="宋体"/>
                <w:color w:val="000000"/>
                <w:kern w:val="0"/>
                <w:lang w:val="zh-CN"/>
              </w:rPr>
              <w:t>2. 部署方式：支所有核心功能（上网认证、应用控制、流量控制、内容审计、日志报表等）都支持IPv6。</w:t>
            </w:r>
            <w:r>
              <w:rPr>
                <w:rFonts w:hint="eastAsia" w:ascii="宋体" w:hAnsi="宋体" w:cs="宋体"/>
                <w:color w:val="000000"/>
                <w:kern w:val="0"/>
                <w:lang w:val="zh-CN"/>
              </w:rPr>
              <w:br w:type="textWrapping"/>
            </w:r>
            <w:r>
              <w:rPr>
                <w:rFonts w:hint="eastAsia" w:ascii="宋体" w:hAnsi="宋体" w:cs="宋体"/>
                <w:color w:val="000000"/>
                <w:kern w:val="0"/>
                <w:lang w:val="zh-CN"/>
              </w:rPr>
              <w:t>3. 用户管理：必须支持以USB-Key方式实现双因素身份认证。同一个账号，支持与指定数量的多个终端进行自动绑定。支持短信认证方式，用户输入手机号作为用户名，通过短信猫或短信平台发送验证码；短信认证能够根据不同用户推送不同认证页面，该认证页面可自定义，编辑内容包括文字、颜色风格、图片，且图片支持轮询播放（提供界面证明）。支持与微信结合的认证方式，用户关注微信公众号后即通过身份认证，后台记录用户ID。支持二维码认证，管理员扫描访客的二维码后对其网络访问授权。限制某个新用户只能在某个IP段、MAC段范围内登录。支持为用户添加自定义属性（职位、临时项目组、邮件组等），能够根据用户属性自动归类并可以针对用户属性配置上网权限策略、流控策略，审计策略等。支持限制公共账号的使用人数。支持自动删除长期不登录账号信息（提供产品界面截图）。可设置密码最小长度。可设置密码必须包括数字或字母或特殊字符（提供产品界面截图）。</w:t>
            </w:r>
            <w:r>
              <w:rPr>
                <w:rFonts w:hint="eastAsia" w:ascii="宋体" w:hAnsi="宋体" w:cs="宋体"/>
                <w:color w:val="000000"/>
                <w:kern w:val="0"/>
                <w:lang w:val="zh-CN"/>
              </w:rPr>
              <w:br w:type="textWrapping"/>
            </w:r>
            <w:r>
              <w:rPr>
                <w:rFonts w:hint="eastAsia" w:ascii="宋体" w:hAnsi="宋体" w:cs="宋体"/>
                <w:color w:val="000000"/>
                <w:kern w:val="0"/>
                <w:lang w:val="zh-CN"/>
              </w:rPr>
              <w:t>4. 终端管理：支持识别终端操作系统版本、系统补丁安装情况。支持识别终端系统后台运行的进程信息，防止间谍软件的运行（必须提供自主知识产权证明）。支持终端调用管理员指定脚本/程序以满足个性化检查要求，比如检测系统更新是否开启、开放端口、已安装程序列表、终端发通知等。支持检测windows重要补丁的安装情况，并反馈检测结果。</w:t>
            </w:r>
            <w:r>
              <w:rPr>
                <w:rFonts w:hint="eastAsia" w:ascii="宋体" w:hAnsi="宋体" w:cs="宋体"/>
                <w:color w:val="000000"/>
                <w:kern w:val="0"/>
                <w:lang w:val="zh-CN"/>
              </w:rPr>
              <w:br w:type="textWrapping"/>
            </w:r>
            <w:r>
              <w:rPr>
                <w:rFonts w:hint="eastAsia" w:ascii="宋体" w:hAnsi="宋体" w:cs="宋体"/>
                <w:color w:val="000000"/>
                <w:kern w:val="0"/>
                <w:lang w:val="zh-CN"/>
              </w:rPr>
              <w:t>5. 应用管理：设备内置应用识别规则库，支持超过6000条应用规则数，支持超过2800种以上的应用，1000种以上移动应用，并保持每两个星期更新一次，保证应用识别的准确率。支持基于用户组、终端类型、位置的QQ白名单功能。当PC或终端数超过例外条件才会被判定为共享（提供产品界面截图）。支持在数据中心报表中可查询通过共享上网的IP、用户，并能导出报表。</w:t>
            </w:r>
            <w:r>
              <w:rPr>
                <w:rFonts w:hint="eastAsia" w:ascii="宋体" w:hAnsi="宋体" w:cs="宋体"/>
                <w:color w:val="000000"/>
                <w:kern w:val="0"/>
                <w:lang w:val="zh-CN"/>
              </w:rPr>
              <w:br w:type="textWrapping"/>
            </w:r>
            <w:r>
              <w:rPr>
                <w:rFonts w:hint="eastAsia" w:ascii="宋体" w:hAnsi="宋体" w:cs="宋体"/>
                <w:color w:val="000000"/>
                <w:kern w:val="0"/>
                <w:lang w:val="zh-CN"/>
              </w:rPr>
              <w:t>6. 网页管理：识别并过滤SSL加密的钓鱼网站、非法网站等（必须提供自主知识产权证明）。邮件管理：支持对加密HTTPS、SMTP-SSL、SMTP的邮件进行关键字过滤。支持对加密HTTPS、POP3-SSL 、POP3、IMAP 、IMAP-SSL、SMTP-SSL、SMTP邮件内容的审计（提供产品界面截图）。</w:t>
            </w:r>
            <w:r>
              <w:rPr>
                <w:rFonts w:hint="eastAsia" w:ascii="宋体" w:hAnsi="宋体" w:cs="宋体"/>
                <w:color w:val="000000"/>
                <w:kern w:val="0"/>
                <w:lang w:val="zh-CN"/>
              </w:rPr>
              <w:br w:type="textWrapping"/>
            </w:r>
            <w:r>
              <w:rPr>
                <w:rFonts w:hint="eastAsia" w:ascii="宋体" w:hAnsi="宋体" w:cs="宋体"/>
                <w:color w:val="000000"/>
                <w:kern w:val="0"/>
                <w:lang w:val="zh-CN"/>
              </w:rPr>
              <w:t>7. 上网权限管理:能够针对：网上购物、成人内容、求职招聘、宗教、在线影音及下载、游戏资讯、网上聊天、个人网站及博客、色情、赌博、非法药物、风水命理、娱乐场所、汽车、餐饮、钓鱼及恶意网站、网上银行、在线支付等各种URL类型做识别和分类，同时所有URL类型都支持区分“网站浏览”、“文件上传”、“其他上传”、“HTTPS”等细分行为并分别做权限控制。</w:t>
            </w:r>
            <w:r>
              <w:rPr>
                <w:rFonts w:hint="eastAsia" w:ascii="宋体" w:hAnsi="宋体" w:cs="宋体"/>
                <w:color w:val="000000"/>
                <w:kern w:val="0"/>
                <w:lang w:val="zh-CN"/>
              </w:rPr>
              <w:br w:type="textWrapping"/>
            </w:r>
            <w:r>
              <w:rPr>
                <w:rFonts w:hint="eastAsia" w:ascii="宋体" w:hAnsi="宋体" w:cs="宋体"/>
                <w:color w:val="000000"/>
                <w:kern w:val="0"/>
                <w:lang w:val="zh-CN"/>
              </w:rPr>
              <w:t>8. 流量控制：网关必须能同时连接多条外网线路，且支持多条线路流量复用和智能选择流速最快线路的技术。必须支持将多条外网线路虚拟映射到设备上，实现对多线路的分别流控。能够实时看到各级流控通道的状态：包括所属线路、瞬时速率、通道占用比例、用户数、保证带宽、最大带宽、优先级，启用状态等。支持在设置流量策略后，根据整体线路或者某流量通道内的空闲情况，自动启用和停止使用流量控制策略，以提升带宽的高使用率。空闲值可自定义。支持通过抑制P2P的上行流量，来减缓P2P的下行流量，从而解决网络出口在做流控后仍然压力较大的问题。基于“流量”、“流速”、“时长”设置配额，当配额耗尽后，将用户加入到指定的流控黑名单惩罚通道中。流控策略适用对象，适用于以下对象：URL类型：新闻门户、网上购物、在线影音及下载、非法及不良、网上聊天、软件下载等。设备必须内置业界知名杀毒引擎。病毒库支持通过服务器或本地加载病毒库方式定期升级。</w:t>
            </w:r>
            <w:r>
              <w:rPr>
                <w:rFonts w:hint="eastAsia" w:ascii="宋体" w:hAnsi="宋体" w:cs="宋体"/>
                <w:color w:val="000000"/>
                <w:kern w:val="0"/>
                <w:lang w:val="zh-CN"/>
              </w:rPr>
              <w:br w:type="textWrapping"/>
            </w:r>
            <w:r>
              <w:rPr>
                <w:rFonts w:hint="eastAsia" w:ascii="宋体" w:hAnsi="宋体" w:cs="宋体"/>
                <w:color w:val="000000"/>
                <w:kern w:val="0"/>
                <w:lang w:val="zh-CN"/>
              </w:rPr>
              <w:t>9. 网安日志对接：内置多套日志模板与各省市网安日志平台对接，至少支持以下平台：派博、任子行、网博、云辰、烽火、中新软件、兆物、新网程、美亚柏科、爱思等（提供产品界面截图）。</w:t>
            </w:r>
            <w:r>
              <w:rPr>
                <w:rFonts w:hint="eastAsia" w:ascii="宋体" w:hAnsi="宋体" w:cs="宋体"/>
                <w:color w:val="000000"/>
                <w:kern w:val="0"/>
                <w:lang w:val="zh-CN"/>
              </w:rPr>
              <w:br w:type="textWrapping"/>
            </w:r>
            <w:r>
              <w:rPr>
                <w:rFonts w:hint="eastAsia" w:ascii="宋体" w:hAnsi="宋体" w:cs="宋体"/>
                <w:color w:val="000000"/>
                <w:kern w:val="0"/>
                <w:lang w:val="zh-CN"/>
              </w:rPr>
              <w:t>10. 多产品联动：能够与同品牌下一代防火墙系统实现认证联动，同时部署产品后，可以实现认证同步机制，实现单点登录（提供截图证明文件）。</w:t>
            </w:r>
            <w:r>
              <w:rPr>
                <w:rFonts w:hint="eastAsia" w:ascii="宋体" w:hAnsi="宋体" w:cs="宋体"/>
                <w:color w:val="000000"/>
                <w:kern w:val="0"/>
                <w:lang w:val="zh-CN"/>
              </w:rPr>
              <w:br w:type="textWrapping"/>
            </w:r>
            <w:r>
              <w:rPr>
                <w:rFonts w:hint="eastAsia" w:ascii="宋体" w:hAnsi="宋体" w:cs="宋体"/>
                <w:color w:val="000000"/>
                <w:kern w:val="0"/>
                <w:lang w:val="zh-CN"/>
              </w:rPr>
              <w:t>11. ★投标产品资质要求：《网络通讯安全审计产品（国标） 销售许可证》、《互联网公共上网场所 信息安全管理系统（无线接入前端）销售许可证》、中国信息安全认证中心ISCCC《IT产品信息安全产品认证证书》、国家网络与信息系统安全产品质量监督检测中心颁发的《信息技术产品安全分级评估证书 评估保证级3（EAL3级）》、具有工信部颁发的《电信设备进网许可证》、IPv6 Ready Phase-2认证、厂家研发体系通过国际认证CMMI5、售后服务体系通过ISO9001认证。</w:t>
            </w:r>
          </w:p>
        </w:tc>
        <w:tc>
          <w:tcPr>
            <w:tcW w:w="1124" w:type="dxa"/>
            <w:tcBorders>
              <w:top w:val="nil"/>
              <w:left w:val="nil"/>
              <w:bottom w:val="single" w:color="auto" w:sz="4" w:space="0"/>
              <w:right w:val="single" w:color="auto" w:sz="4" w:space="0"/>
            </w:tcBorders>
            <w:shd w:val="clear" w:color="auto" w:fill="auto"/>
            <w:vAlign w:val="center"/>
          </w:tcPr>
          <w:p>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lang w:val="zh-CN"/>
              </w:rPr>
              <w:t>1</w:t>
            </w:r>
          </w:p>
        </w:tc>
        <w:tc>
          <w:tcPr>
            <w:tcW w:w="810" w:type="dxa"/>
            <w:tcBorders>
              <w:top w:val="nil"/>
              <w:left w:val="nil"/>
              <w:bottom w:val="single" w:color="auto" w:sz="4" w:space="0"/>
              <w:right w:val="single" w:color="auto" w:sz="4" w:space="0"/>
            </w:tcBorders>
            <w:shd w:val="clear" w:color="auto" w:fill="auto"/>
            <w:vAlign w:val="center"/>
          </w:tcPr>
          <w:p>
            <w:pPr>
              <w:autoSpaceDE w:val="0"/>
              <w:autoSpaceDN w:val="0"/>
              <w:spacing w:line="360" w:lineRule="auto"/>
              <w:jc w:val="left"/>
              <w:rPr>
                <w:rFonts w:hint="eastAsia" w:ascii="宋体" w:hAnsi="宋体" w:cs="宋体"/>
                <w:color w:val="000000"/>
                <w:kern w:val="0"/>
                <w:lang w:val="zh-CN"/>
              </w:rPr>
            </w:pPr>
            <w:r>
              <w:rPr>
                <w:rFonts w:hint="eastAsia" w:ascii="宋体" w:hAnsi="宋体" w:cs="宋体"/>
                <w:color w:val="000000"/>
                <w:kern w:val="0"/>
                <w:lang w:val="zh-CN"/>
              </w:rPr>
              <w:t>台</w:t>
            </w:r>
          </w:p>
        </w:tc>
      </w:tr>
      <w:tr>
        <w:tblPrEx>
          <w:tblCellMar>
            <w:top w:w="0" w:type="dxa"/>
            <w:left w:w="108" w:type="dxa"/>
            <w:bottom w:w="0" w:type="dxa"/>
            <w:right w:w="108" w:type="dxa"/>
          </w:tblCellMar>
        </w:tblPrEx>
        <w:trPr>
          <w:trHeight w:val="600" w:hRule="atLeast"/>
        </w:trPr>
        <w:tc>
          <w:tcPr>
            <w:tcW w:w="966"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lang w:val="zh-CN"/>
              </w:rPr>
              <w:t>4</w:t>
            </w:r>
          </w:p>
        </w:tc>
        <w:tc>
          <w:tcPr>
            <w:tcW w:w="1208" w:type="dxa"/>
            <w:tcBorders>
              <w:top w:val="nil"/>
              <w:left w:val="nil"/>
              <w:bottom w:val="single" w:color="auto" w:sz="4" w:space="0"/>
              <w:right w:val="single" w:color="auto" w:sz="4" w:space="0"/>
            </w:tcBorders>
            <w:shd w:val="clear" w:color="auto" w:fill="auto"/>
            <w:vAlign w:val="center"/>
          </w:tcPr>
          <w:p>
            <w:pPr>
              <w:autoSpaceDE w:val="0"/>
              <w:autoSpaceDN w:val="0"/>
              <w:spacing w:line="360" w:lineRule="auto"/>
              <w:jc w:val="left"/>
              <w:rPr>
                <w:rFonts w:hint="eastAsia" w:ascii="宋体" w:hAnsi="宋体" w:cs="宋体"/>
                <w:color w:val="000000"/>
                <w:kern w:val="0"/>
                <w:lang w:val="zh-CN"/>
              </w:rPr>
            </w:pPr>
            <w:r>
              <w:rPr>
                <w:rFonts w:hint="eastAsia" w:ascii="宋体" w:hAnsi="宋体" w:cs="宋体"/>
                <w:color w:val="000000"/>
                <w:kern w:val="0"/>
                <w:lang w:val="zh-CN"/>
              </w:rPr>
              <w:t>防火墙</w:t>
            </w:r>
          </w:p>
        </w:tc>
        <w:tc>
          <w:tcPr>
            <w:tcW w:w="5336" w:type="dxa"/>
            <w:tcBorders>
              <w:top w:val="nil"/>
              <w:left w:val="nil"/>
              <w:bottom w:val="single" w:color="auto" w:sz="4" w:space="0"/>
              <w:right w:val="single" w:color="auto" w:sz="4" w:space="0"/>
            </w:tcBorders>
            <w:shd w:val="clear" w:color="auto" w:fill="auto"/>
            <w:vAlign w:val="center"/>
          </w:tcPr>
          <w:p>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lang w:val="zh-CN"/>
              </w:rPr>
              <w:t>1. 网络层吞吐量≥8G；应用层吞吐量≥2G；并发连接数≥200W；新建连接数≥10W；电源：单电源；尺寸：2U；接口≥4个千兆电口、4个千兆光口。</w:t>
            </w:r>
            <w:r>
              <w:rPr>
                <w:rFonts w:hint="eastAsia" w:ascii="宋体" w:hAnsi="宋体" w:cs="宋体"/>
                <w:color w:val="000000"/>
                <w:kern w:val="0"/>
                <w:lang w:val="zh-CN"/>
              </w:rPr>
              <w:br w:type="textWrapping"/>
            </w:r>
            <w:r>
              <w:rPr>
                <w:rFonts w:hint="eastAsia" w:ascii="宋体" w:hAnsi="宋体" w:cs="宋体"/>
                <w:color w:val="000000"/>
                <w:kern w:val="0"/>
                <w:lang w:val="zh-CN"/>
              </w:rPr>
              <w:t>2. 路由支持：支持多链路出站负载，支持基于源/目的IP、源/目的端口、协议、ISP、应用类型以及国家/地域来进行选路的策略路由选路功能。</w:t>
            </w:r>
            <w:r>
              <w:rPr>
                <w:rFonts w:hint="eastAsia" w:ascii="宋体" w:hAnsi="宋体" w:cs="宋体"/>
                <w:color w:val="000000"/>
                <w:kern w:val="0"/>
                <w:lang w:val="zh-CN"/>
              </w:rPr>
              <w:br w:type="textWrapping"/>
            </w:r>
            <w:r>
              <w:rPr>
                <w:rFonts w:hint="eastAsia" w:ascii="宋体" w:hAnsi="宋体" w:cs="宋体"/>
                <w:color w:val="000000"/>
                <w:kern w:val="0"/>
                <w:lang w:val="zh-CN"/>
              </w:rPr>
              <w:t>3. 基础功能：访问控制规则支持基于源／目的IP，源端口，源／目的区域，用户（组），应用/服务类型，时间组的细化控制方式，支持长连接功能并可以配置连接时长。访问控制规则支持模拟策略匹配，输入源目的IP、端口、协议五元组信息，模拟策略匹配方式，给出最可能的匹配结果，方便排查故障，或环境部署前的调试。支持基于应用类型，网站类型，文件类型进行流量控制，支持基于IP段、时间、国家/地区、认证用户、子接口和VLAN进行流量控制。</w:t>
            </w:r>
            <w:r>
              <w:rPr>
                <w:rFonts w:hint="eastAsia" w:ascii="宋体" w:hAnsi="宋体" w:cs="宋体"/>
                <w:color w:val="000000"/>
                <w:kern w:val="0"/>
                <w:lang w:val="zh-CN"/>
              </w:rPr>
              <w:br w:type="textWrapping"/>
            </w:r>
            <w:r>
              <w:rPr>
                <w:rFonts w:hint="eastAsia" w:ascii="宋体" w:hAnsi="宋体" w:cs="宋体"/>
                <w:color w:val="000000"/>
                <w:kern w:val="0"/>
                <w:lang w:val="zh-CN"/>
              </w:rPr>
              <w:t>4. 内容安全：支持采用无特征AI检测技术对恶意勒索病毒及挖矿病毒等热点病毒进行检测，给出基于AI技术的病毒检测报告（需提供相关功能截图证明）。支持对&lt;&lt;GB 35114-2017 公共安全视频监控联网信息安全技术要求&gt;&gt;视频协议的信令进行控制，如标准中明确规定的SIP视频协议中注册REGISTER，邀请INVITE等信令的访问控制。支持应用协议命令级控制，如FTP可细化到rmdir、get、put等命令级控制。</w:t>
            </w:r>
            <w:r>
              <w:rPr>
                <w:rFonts w:hint="eastAsia" w:ascii="宋体" w:hAnsi="宋体" w:cs="宋体"/>
                <w:color w:val="000000"/>
                <w:kern w:val="0"/>
                <w:lang w:val="zh-CN"/>
              </w:rPr>
              <w:br w:type="textWrapping"/>
            </w:r>
            <w:r>
              <w:rPr>
                <w:rFonts w:hint="eastAsia" w:ascii="宋体" w:hAnsi="宋体" w:cs="宋体"/>
                <w:color w:val="000000"/>
                <w:kern w:val="0"/>
                <w:lang w:val="zh-CN"/>
              </w:rPr>
              <w:t>5. 僵尸主机检测：设备具备独立的热门威胁库，防护类型包括木马远控、恶意脚本、勒索病毒、僵尸网络、挖矿病毒等，特征总数在60万条以上。支持木马远控类、恶意链接类、移动安全类、异常流量类僵尸网络行为的检测。支持蜜罐功能，定位内网感染僵尸网络病毒的真实主机IP地址（需提供相关功能截图证明）。支持对未知域名进行拦截，防止中毒主机访问恶意的域名；支持对终端已被种植了远控木马或者病毒等恶意软件进行检测，并且能够对检测到的恶意软件行为进行深入的分析，展示和外部命令控制服务器的交互行为和其他可疑行为；对于未知威胁具备同云端安全分析引擎进行联动的能力，上报可疑行为并在云端进行沙盒检测，并下发威胁行为分析报告。支持通过云端的大数据分析平台，发现和展示整个僵尸网络的构成和分布，定位僵尸网络控制服务器的地址（需提供具备相关云端大数据分析能力的证明）。</w:t>
            </w:r>
            <w:r>
              <w:rPr>
                <w:rFonts w:hint="eastAsia" w:ascii="宋体" w:hAnsi="宋体" w:cs="宋体"/>
                <w:color w:val="000000"/>
                <w:kern w:val="0"/>
                <w:lang w:val="zh-CN"/>
              </w:rPr>
              <w:br w:type="textWrapping"/>
            </w:r>
            <w:r>
              <w:rPr>
                <w:rFonts w:hint="eastAsia" w:ascii="宋体" w:hAnsi="宋体" w:cs="宋体"/>
                <w:color w:val="000000"/>
                <w:kern w:val="0"/>
                <w:lang w:val="zh-CN"/>
              </w:rPr>
              <w:t>6. 入侵防护功能：设备具备独立的入侵防护漏洞规则特征库，特征总数在7400条以上。可提供最新的威胁情报信息，能够对新爆发的流行高危漏洞进行预警和自动检测，发现问题后支持一键生成防护规则。</w:t>
            </w:r>
            <w:r>
              <w:rPr>
                <w:rFonts w:hint="eastAsia" w:ascii="宋体" w:hAnsi="宋体" w:cs="宋体"/>
                <w:color w:val="000000"/>
                <w:kern w:val="0"/>
                <w:lang w:val="zh-CN"/>
              </w:rPr>
              <w:br w:type="textWrapping"/>
            </w:r>
            <w:r>
              <w:rPr>
                <w:rFonts w:hint="eastAsia" w:ascii="宋体" w:hAnsi="宋体" w:cs="宋体"/>
                <w:color w:val="000000"/>
                <w:kern w:val="0"/>
                <w:lang w:val="zh-CN"/>
              </w:rPr>
              <w:t>7. Web应用安全防护：设备具备独立的WEB应用防护识别库，特征总数在3500条以上。支持口令防护，包括FTP弱口令检测、WEB登录弱口令检测、WEB登录明文传输检测、口令暴力破解防护（需提供相关功能截图证明）。支持抵御SQL注入、XSS、系统命令等注入型攻击。支持CC攻击、CSRF攻击、COOKIE攻击等攻击防护功能。支持对已经植入webshell后门的服务器持续检测，对后续非法的通信动作进行识别和阻断。支持对网站的恶意扫描防护和恶意爬虫攻击防护；支持其他类型的Web攻击，如文件包含，目录遍历，信息泄露攻击等。支持针对网站的漏洞扫描进行深度防护，能够拦截漏洞扫描设备或软件对网站漏洞的扫描探测，支持基于目录访问频率和敏感文件扫描等恶意扫描行为进行防护。支持Web漏洞扫描功能，可扫描检测网站是否存在SQL注入、XSS、跨站脚本、目录遍历、文件包含、命令执行等脚本漏洞；支持对网站黑链进行检测。防篡改支持网站登录后台和FTP登录后台防护，管理员支持IP认证和邮件认证（需提供相关功能截图证明）。设备需要具备web业务自学习能力，可自行判断与标记业务特征，确认业务模型学习趋势。</w:t>
            </w:r>
            <w:r>
              <w:rPr>
                <w:rFonts w:hint="eastAsia" w:ascii="宋体" w:hAnsi="宋体" w:cs="宋体"/>
                <w:color w:val="000000"/>
                <w:kern w:val="0"/>
                <w:lang w:val="zh-CN"/>
              </w:rPr>
              <w:br w:type="textWrapping"/>
            </w:r>
            <w:r>
              <w:rPr>
                <w:rFonts w:hint="eastAsia" w:ascii="宋体" w:hAnsi="宋体" w:cs="宋体"/>
                <w:color w:val="000000"/>
                <w:kern w:val="0"/>
                <w:lang w:val="zh-CN"/>
              </w:rPr>
              <w:t>8. 安全可视化：支持业务服务器的自动发现以及业务服务器脆弱性和服务器开放端口的自动识别，支持包含敏感数据业务的识别。支持对业务详情进行展示，包括业务存在关键的风险，可以提供具体的攻击链过程并对攻击进行举证。支持安全运营中心功能，可以对全网所有的服务器和主机的威胁进行全面评估，管理员通过一键便可完成对服务器和主机的资产更新识别、脆弱性评估、策略动作的合理化监测、当前服务器和用户的保护状态、当前的服务器和主机的风险状态及需要管理员待办的紧急事项等，可以自动化直观的展示最终的风险。支持自动生成综合安全风险报表，报表内容体现被保护对象的整体安全等级，发现漏洞情况以及遭受到攻击的统计，具备有效攻击行为次数统计和攻击举证（提供安全报表）。</w:t>
            </w:r>
            <w:r>
              <w:rPr>
                <w:rFonts w:hint="eastAsia" w:ascii="宋体" w:hAnsi="宋体" w:cs="宋体"/>
                <w:color w:val="000000"/>
                <w:kern w:val="0"/>
                <w:lang w:val="zh-CN"/>
              </w:rPr>
              <w:br w:type="textWrapping"/>
            </w:r>
            <w:r>
              <w:rPr>
                <w:rFonts w:hint="eastAsia" w:ascii="宋体" w:hAnsi="宋体" w:cs="宋体"/>
                <w:color w:val="000000"/>
                <w:kern w:val="0"/>
                <w:lang w:val="zh-CN"/>
              </w:rPr>
              <w:t>9. 产品联动：支持本地防火墙和云端的实时联动，提供总体的外部攻击事件次数，云端为本地防火墙检测威胁的次数，同时说明云端为本地防火墙更新安全规则的情况，提供以日为单位展示云端更新的规则数量，展示云端能力更新的趋势，对于无法通过规则修复的威胁要给出明确的解决方法（需提供相关功能截图证明）。</w:t>
            </w:r>
            <w:r>
              <w:rPr>
                <w:rFonts w:hint="eastAsia" w:ascii="宋体" w:hAnsi="宋体" w:cs="宋体"/>
                <w:color w:val="000000"/>
                <w:kern w:val="0"/>
                <w:lang w:val="zh-CN"/>
              </w:rPr>
              <w:br w:type="textWrapping"/>
            </w:r>
            <w:r>
              <w:rPr>
                <w:rFonts w:hint="eastAsia" w:ascii="宋体" w:hAnsi="宋体" w:cs="宋体"/>
                <w:color w:val="000000"/>
                <w:kern w:val="0"/>
                <w:lang w:val="zh-CN"/>
              </w:rPr>
              <w:t>10.★ 厂商资质：厂商软件研发实力需通过CMMI L5认证（需提供相关资料证明）；厂商需是中国反网络病毒联盟ANVA成员单位；厂商需是网络安全应急服务支撑单位（国家级）；厂商需是国家信息安全漏洞库CNNVD技术支撑单位；厂商售后服务体系通过ISO9001认证。</w:t>
            </w:r>
            <w:r>
              <w:rPr>
                <w:rFonts w:hint="eastAsia" w:ascii="宋体" w:hAnsi="宋体" w:cs="宋体"/>
                <w:color w:val="000000"/>
                <w:kern w:val="0"/>
                <w:lang w:val="zh-CN"/>
              </w:rPr>
              <w:br w:type="textWrapping"/>
            </w:r>
            <w:r>
              <w:rPr>
                <w:rFonts w:hint="eastAsia" w:ascii="宋体" w:hAnsi="宋体" w:cs="宋体"/>
                <w:color w:val="000000"/>
                <w:kern w:val="0"/>
                <w:lang w:val="zh-CN"/>
              </w:rPr>
              <w:t>产品资质：★产品应具备计算机信息系统安全专用产品销售许可证；产品应具备ISCCC中国国家信息安全产品认证证书；信息技术产品安全测评证书（EAL3+）。</w:t>
            </w:r>
            <w:r>
              <w:rPr>
                <w:rFonts w:hint="eastAsia" w:ascii="宋体" w:hAnsi="宋体" w:cs="宋体"/>
                <w:color w:val="000000"/>
                <w:kern w:val="0"/>
                <w:lang w:val="zh-CN"/>
              </w:rPr>
              <w:br w:type="textWrapping"/>
            </w:r>
            <w:r>
              <w:rPr>
                <w:rFonts w:hint="eastAsia" w:ascii="宋体" w:hAnsi="宋体" w:cs="宋体"/>
                <w:color w:val="000000"/>
                <w:kern w:val="0"/>
                <w:lang w:val="zh-CN"/>
              </w:rPr>
              <w:t>11. ★产品成熟度要求：要求所投防火墙产品连续4年入围Gartner企业级防火墙魔力象限（需提供相关资料证明）。</w:t>
            </w:r>
          </w:p>
        </w:tc>
        <w:tc>
          <w:tcPr>
            <w:tcW w:w="1124" w:type="dxa"/>
            <w:tcBorders>
              <w:top w:val="nil"/>
              <w:left w:val="nil"/>
              <w:bottom w:val="single" w:color="auto" w:sz="4" w:space="0"/>
              <w:right w:val="single" w:color="auto" w:sz="4" w:space="0"/>
            </w:tcBorders>
            <w:shd w:val="clear" w:color="auto" w:fill="auto"/>
            <w:vAlign w:val="center"/>
          </w:tcPr>
          <w:p>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lang w:val="zh-CN"/>
              </w:rPr>
              <w:t>1</w:t>
            </w:r>
          </w:p>
        </w:tc>
        <w:tc>
          <w:tcPr>
            <w:tcW w:w="810" w:type="dxa"/>
            <w:tcBorders>
              <w:top w:val="nil"/>
              <w:left w:val="nil"/>
              <w:bottom w:val="single" w:color="auto" w:sz="4" w:space="0"/>
              <w:right w:val="single" w:color="auto" w:sz="4" w:space="0"/>
            </w:tcBorders>
            <w:shd w:val="clear" w:color="auto" w:fill="auto"/>
            <w:vAlign w:val="center"/>
          </w:tcPr>
          <w:p>
            <w:pPr>
              <w:autoSpaceDE w:val="0"/>
              <w:autoSpaceDN w:val="0"/>
              <w:spacing w:line="360" w:lineRule="auto"/>
              <w:jc w:val="left"/>
              <w:rPr>
                <w:rFonts w:hint="eastAsia" w:ascii="宋体" w:hAnsi="宋体" w:cs="宋体"/>
                <w:color w:val="000000"/>
                <w:kern w:val="0"/>
                <w:lang w:val="zh-CN"/>
              </w:rPr>
            </w:pPr>
            <w:r>
              <w:rPr>
                <w:rFonts w:hint="eastAsia" w:ascii="宋体" w:hAnsi="宋体" w:cs="宋体"/>
                <w:color w:val="000000"/>
                <w:kern w:val="0"/>
                <w:lang w:val="zh-CN"/>
              </w:rPr>
              <w:t>台</w:t>
            </w:r>
          </w:p>
        </w:tc>
      </w:tr>
    </w:tbl>
    <w:p>
      <w:pPr>
        <w:jc w:val="left"/>
      </w:pPr>
    </w:p>
    <w:p>
      <w:pPr>
        <w:jc w:val="center"/>
        <w:rPr>
          <w:b/>
          <w:bCs/>
          <w:sz w:val="36"/>
          <w:szCs w:val="36"/>
          <w:lang w:val="zh-CN"/>
        </w:rPr>
      </w:pPr>
    </w:p>
    <w:sectPr>
      <w:headerReference r:id="rId5" w:type="first"/>
      <w:footerReference r:id="rId8" w:type="first"/>
      <w:headerReference r:id="rId3" w:type="default"/>
      <w:footerReference r:id="rId6" w:type="default"/>
      <w:headerReference r:id="rId4" w:type="even"/>
      <w:footerReference r:id="rId7" w:type="even"/>
      <w:pgSz w:w="11849" w:h="16781"/>
      <w:pgMar w:top="1440" w:right="1247" w:bottom="1440" w:left="1247" w:header="851" w:footer="992" w:gutter="0"/>
      <w:pgNumType w:start="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Raavi">
    <w:panose1 w:val="020B0502040204020203"/>
    <w:charset w:val="00"/>
    <w:family w:val="swiss"/>
    <w:pitch w:val="default"/>
    <w:sig w:usb0="00020003"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96</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XvDCa4BAABLAwAADgAAAGRycy9lMm9Eb2MueG1srVNLbtswEN0XyB0I&#10;7mPKXqSGYDlIECQIUCQF0h6ApkiLAH8Y0pZ8geQGXXXTfc/lc3RIW07b7IJsqOHM8M17M6PF5WAN&#10;2UqI2ruGTicVJdIJ32q3buj3b7fnc0pi4q7lxjvZ0J2M9HJ59mnRh1rOfOdNK4EgiIt1HxrapRRq&#10;xqLopOVx4oN0GFQeLE94hTVrgfeIbg2bVdUF6z20AbyQMaL35hCky4KvlBTpUakoEzENRW6pnFDO&#10;VT7ZcsHrNfDQaXGkwd/BwnLtsOgJ6oYnTjag30BZLcBHr9JEeMu8UlrIogHVTKv/1Dx1PMiiBZsT&#10;w6lN8eNgxcP2KxDdNvQzJY5bHNH+x8v+5+/9r2cyze3pQ6wx6ylgXhqu/YBjHv0RnVn1oMDmL+oh&#10;GMdG707NlUMiIj+az+bzCkMCY+MF8dnr8wAx3UlvSTYaCji90lS+/RLTIXVMydWcv9XGlAka948D&#10;MbOHZe4HjtlKw2o4Clr5dod6ehx8Qx1uJiXm3mFf846MBozGajQ2AfS6Q2rTwiuGq01CEoVbrnCA&#10;PRbGiRV1x+3KK/H3vWS9/gP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e8MJrgEAAEsD&#10;AAAOAAAAAAAAAAEAIAAAAB4BAABkcnMvZTJvRG9jLnhtbFBLBQYAAAAABgAGAFkBAAA+BQAAAAA=&#10;">
              <v:fill on="f" focussize="0,0"/>
              <v:stroke on="f"/>
              <v:imagedata o:title=""/>
              <o:lock v:ext="edit" aspectratio="f"/>
              <v:textbox inset="0mm,0mm,0mm,0mm" style="mso-fit-shape-to-text:t;">
                <w:txbxContent>
                  <w:p>
                    <w:pPr>
                      <w:pStyle w:val="11"/>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96</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EFB22"/>
    <w:multiLevelType w:val="singleLevel"/>
    <w:tmpl w:val="460EFB22"/>
    <w:lvl w:ilvl="0" w:tentative="0">
      <w:start w:val="1"/>
      <w:numFmt w:val="decimal"/>
      <w:suff w:val="nothing"/>
      <w:lvlText w:val="%1、"/>
      <w:lvlJc w:val="left"/>
    </w:lvl>
  </w:abstractNum>
  <w:abstractNum w:abstractNumId="1">
    <w:nsid w:val="561F42AC"/>
    <w:multiLevelType w:val="singleLevel"/>
    <w:tmpl w:val="561F42AC"/>
    <w:lvl w:ilvl="0" w:tentative="0">
      <w:start w:val="2"/>
      <w:numFmt w:val="decimal"/>
      <w:suff w:val="nothing"/>
      <w:lvlText w:val="%1."/>
      <w:lvlJc w:val="left"/>
    </w:lvl>
  </w:abstractNum>
  <w:abstractNum w:abstractNumId="2">
    <w:nsid w:val="59891F51"/>
    <w:multiLevelType w:val="singleLevel"/>
    <w:tmpl w:val="59891F51"/>
    <w:lvl w:ilvl="0" w:tentative="0">
      <w:start w:val="1"/>
      <w:numFmt w:val="decimal"/>
      <w:suff w:val="nothing"/>
      <w:lvlText w:val="（%1）"/>
      <w:lvlJc w:val="left"/>
    </w:lvl>
  </w:abstractNum>
  <w:abstractNum w:abstractNumId="3">
    <w:nsid w:val="598963E4"/>
    <w:multiLevelType w:val="singleLevel"/>
    <w:tmpl w:val="598963E4"/>
    <w:lvl w:ilvl="0" w:tentative="0">
      <w:start w:val="1"/>
      <w:numFmt w:val="decimal"/>
      <w:suff w:val="nothing"/>
      <w:lvlText w:val="(%1)"/>
      <w:lvlJc w:val="left"/>
    </w:lvl>
  </w:abstractNum>
  <w:abstractNum w:abstractNumId="4">
    <w:nsid w:val="59896F69"/>
    <w:multiLevelType w:val="singleLevel"/>
    <w:tmpl w:val="59896F69"/>
    <w:lvl w:ilvl="0" w:tentative="0">
      <w:start w:val="1"/>
      <w:numFmt w:val="decimal"/>
      <w:suff w:val="nothing"/>
      <w:lvlText w:val="（%1）"/>
      <w:lvlJc w:val="left"/>
    </w:lvl>
  </w:abstractNum>
  <w:abstractNum w:abstractNumId="5">
    <w:nsid w:val="599059CC"/>
    <w:multiLevelType w:val="singleLevel"/>
    <w:tmpl w:val="599059CC"/>
    <w:lvl w:ilvl="0" w:tentative="0">
      <w:start w:val="2"/>
      <w:numFmt w:val="decimal"/>
      <w:suff w:val="nothing"/>
      <w:lvlText w:val="（%1）"/>
      <w:lvlJc w:val="left"/>
    </w:lvl>
  </w:abstractNum>
  <w:abstractNum w:abstractNumId="6">
    <w:nsid w:val="59B11739"/>
    <w:multiLevelType w:val="singleLevel"/>
    <w:tmpl w:val="59B11739"/>
    <w:lvl w:ilvl="0" w:tentative="0">
      <w:start w:val="1"/>
      <w:numFmt w:val="decimal"/>
      <w:suff w:val="nothing"/>
      <w:lvlText w:val="（%1）"/>
      <w:lvlJc w:val="left"/>
    </w:lvl>
  </w:abstractNum>
  <w:abstractNum w:abstractNumId="7">
    <w:nsid w:val="59FC3CC6"/>
    <w:multiLevelType w:val="singleLevel"/>
    <w:tmpl w:val="59FC3CC6"/>
    <w:lvl w:ilvl="0" w:tentative="0">
      <w:start w:val="1"/>
      <w:numFmt w:val="decimal"/>
      <w:suff w:val="nothing"/>
      <w:lvlText w:val="（%1）"/>
      <w:lvlJc w:val="left"/>
    </w:lvl>
  </w:abstractNum>
  <w:abstractNum w:abstractNumId="8">
    <w:nsid w:val="59FC3E95"/>
    <w:multiLevelType w:val="singleLevel"/>
    <w:tmpl w:val="59FC3E95"/>
    <w:lvl w:ilvl="0" w:tentative="0">
      <w:start w:val="1"/>
      <w:numFmt w:val="decimal"/>
      <w:lvlText w:val="(%1)"/>
      <w:lvlJc w:val="left"/>
      <w:pPr>
        <w:tabs>
          <w:tab w:val="left" w:pos="312"/>
        </w:tabs>
      </w:pPr>
    </w:lvl>
  </w:abstractNum>
  <w:abstractNum w:abstractNumId="9">
    <w:nsid w:val="59FC4271"/>
    <w:multiLevelType w:val="singleLevel"/>
    <w:tmpl w:val="59FC4271"/>
    <w:lvl w:ilvl="0" w:tentative="0">
      <w:start w:val="1"/>
      <w:numFmt w:val="decimal"/>
      <w:suff w:val="nothing"/>
      <w:lvlText w:val="（%1）"/>
      <w:lvlJc w:val="left"/>
    </w:lvl>
  </w:abstractNum>
  <w:abstractNum w:abstractNumId="10">
    <w:nsid w:val="59FC4698"/>
    <w:multiLevelType w:val="singleLevel"/>
    <w:tmpl w:val="59FC4698"/>
    <w:lvl w:ilvl="0" w:tentative="0">
      <w:start w:val="1"/>
      <w:numFmt w:val="decimal"/>
      <w:suff w:val="nothing"/>
      <w:lvlText w:val="（%1）"/>
      <w:lvlJc w:val="left"/>
    </w:lvl>
  </w:abstractNum>
  <w:abstractNum w:abstractNumId="11">
    <w:nsid w:val="59FC4CCC"/>
    <w:multiLevelType w:val="singleLevel"/>
    <w:tmpl w:val="59FC4CCC"/>
    <w:lvl w:ilvl="0" w:tentative="0">
      <w:start w:val="1"/>
      <w:numFmt w:val="decimal"/>
      <w:suff w:val="nothing"/>
      <w:lvlText w:val="（%1）"/>
      <w:lvlJc w:val="left"/>
    </w:lvl>
  </w:abstractNum>
  <w:abstractNum w:abstractNumId="12">
    <w:nsid w:val="59FC4D84"/>
    <w:multiLevelType w:val="singleLevel"/>
    <w:tmpl w:val="59FC4D84"/>
    <w:lvl w:ilvl="0" w:tentative="0">
      <w:start w:val="11"/>
      <w:numFmt w:val="decimal"/>
      <w:suff w:val="nothing"/>
      <w:lvlText w:val="（%1）"/>
      <w:lvlJc w:val="left"/>
    </w:lvl>
  </w:abstractNum>
  <w:num w:numId="1">
    <w:abstractNumId w:val="7"/>
  </w:num>
  <w:num w:numId="2">
    <w:abstractNumId w:val="8"/>
  </w:num>
  <w:num w:numId="3">
    <w:abstractNumId w:val="9"/>
  </w:num>
  <w:num w:numId="4">
    <w:abstractNumId w:val="10"/>
  </w:num>
  <w:num w:numId="5">
    <w:abstractNumId w:val="2"/>
  </w:num>
  <w:num w:numId="6">
    <w:abstractNumId w:val="3"/>
  </w:num>
  <w:num w:numId="7">
    <w:abstractNumId w:val="4"/>
  </w:num>
  <w:num w:numId="8">
    <w:abstractNumId w:val="5"/>
  </w:num>
  <w:num w:numId="9">
    <w:abstractNumId w:val="11"/>
  </w:num>
  <w:num w:numId="10">
    <w:abstractNumId w:val="6"/>
  </w:num>
  <w:num w:numId="11">
    <w:abstractNumId w:val="0"/>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forms" w:formatting="1" w:enforcement="1" w:cryptProviderType="rsaFull" w:cryptAlgorithmClass="hash" w:cryptAlgorithmType="typeAny" w:cryptAlgorithmSid="4" w:cryptSpinCount="0" w:hash="E8CZwzNHbKTloZLypBiJ+SvQe2M=" w:salt="M11H7WGCOunjm0ShcMAO8g=="/>
  <w:defaultTabStop w:val="420"/>
  <w:drawingGridHorizontalSpacing w:val="120"/>
  <w:drawingGridVerticalSpacing w:val="199"/>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935"/>
    <w:rsid w:val="00010F33"/>
    <w:rsid w:val="000111EE"/>
    <w:rsid w:val="0001401E"/>
    <w:rsid w:val="00014E19"/>
    <w:rsid w:val="00025C1D"/>
    <w:rsid w:val="0002777A"/>
    <w:rsid w:val="0003770F"/>
    <w:rsid w:val="00053F84"/>
    <w:rsid w:val="0007570E"/>
    <w:rsid w:val="00084697"/>
    <w:rsid w:val="000875EB"/>
    <w:rsid w:val="000A09BF"/>
    <w:rsid w:val="000A3592"/>
    <w:rsid w:val="000B652B"/>
    <w:rsid w:val="000C0D8F"/>
    <w:rsid w:val="000C2C06"/>
    <w:rsid w:val="000C38E9"/>
    <w:rsid w:val="000D2AAD"/>
    <w:rsid w:val="000D5A34"/>
    <w:rsid w:val="000F51BE"/>
    <w:rsid w:val="00102BAF"/>
    <w:rsid w:val="00150ABF"/>
    <w:rsid w:val="00151A00"/>
    <w:rsid w:val="00174E91"/>
    <w:rsid w:val="001B3699"/>
    <w:rsid w:val="001B603E"/>
    <w:rsid w:val="001C2819"/>
    <w:rsid w:val="001F5C10"/>
    <w:rsid w:val="001F67C5"/>
    <w:rsid w:val="002133D4"/>
    <w:rsid w:val="00220896"/>
    <w:rsid w:val="00221342"/>
    <w:rsid w:val="00240473"/>
    <w:rsid w:val="002509FE"/>
    <w:rsid w:val="00255D41"/>
    <w:rsid w:val="00267527"/>
    <w:rsid w:val="00271C7E"/>
    <w:rsid w:val="00280E7F"/>
    <w:rsid w:val="00283FF2"/>
    <w:rsid w:val="00286755"/>
    <w:rsid w:val="002A1209"/>
    <w:rsid w:val="002A6A11"/>
    <w:rsid w:val="002B0041"/>
    <w:rsid w:val="002D2150"/>
    <w:rsid w:val="002E4BCC"/>
    <w:rsid w:val="002E7E8F"/>
    <w:rsid w:val="002F2903"/>
    <w:rsid w:val="002F3581"/>
    <w:rsid w:val="003046DB"/>
    <w:rsid w:val="0030646A"/>
    <w:rsid w:val="003400DC"/>
    <w:rsid w:val="003421ED"/>
    <w:rsid w:val="0036431D"/>
    <w:rsid w:val="003706EA"/>
    <w:rsid w:val="00375CF6"/>
    <w:rsid w:val="0038064F"/>
    <w:rsid w:val="003850AB"/>
    <w:rsid w:val="003A0ED3"/>
    <w:rsid w:val="003D3BFB"/>
    <w:rsid w:val="0041505E"/>
    <w:rsid w:val="004173C4"/>
    <w:rsid w:val="0043246D"/>
    <w:rsid w:val="00456BAD"/>
    <w:rsid w:val="00481E16"/>
    <w:rsid w:val="00484B3C"/>
    <w:rsid w:val="0048778F"/>
    <w:rsid w:val="00490B98"/>
    <w:rsid w:val="004919C2"/>
    <w:rsid w:val="004A1525"/>
    <w:rsid w:val="004A1CBF"/>
    <w:rsid w:val="004B35C8"/>
    <w:rsid w:val="004E296C"/>
    <w:rsid w:val="0055204B"/>
    <w:rsid w:val="00576D21"/>
    <w:rsid w:val="00580E9F"/>
    <w:rsid w:val="00583451"/>
    <w:rsid w:val="00585952"/>
    <w:rsid w:val="005A724E"/>
    <w:rsid w:val="005B5287"/>
    <w:rsid w:val="005C2BFE"/>
    <w:rsid w:val="005E5AA7"/>
    <w:rsid w:val="00643360"/>
    <w:rsid w:val="00644855"/>
    <w:rsid w:val="00650E35"/>
    <w:rsid w:val="00652F26"/>
    <w:rsid w:val="0065456E"/>
    <w:rsid w:val="006557C8"/>
    <w:rsid w:val="006610D8"/>
    <w:rsid w:val="00664AED"/>
    <w:rsid w:val="006825AC"/>
    <w:rsid w:val="00686935"/>
    <w:rsid w:val="00694657"/>
    <w:rsid w:val="006A5595"/>
    <w:rsid w:val="006F5777"/>
    <w:rsid w:val="007004A3"/>
    <w:rsid w:val="00710D7F"/>
    <w:rsid w:val="00723C48"/>
    <w:rsid w:val="00725A21"/>
    <w:rsid w:val="007262EE"/>
    <w:rsid w:val="00741C8A"/>
    <w:rsid w:val="0075045E"/>
    <w:rsid w:val="00776220"/>
    <w:rsid w:val="00777958"/>
    <w:rsid w:val="007D4F9E"/>
    <w:rsid w:val="007D66DC"/>
    <w:rsid w:val="007E790F"/>
    <w:rsid w:val="007F221C"/>
    <w:rsid w:val="007F5E2E"/>
    <w:rsid w:val="008004A5"/>
    <w:rsid w:val="00816D7C"/>
    <w:rsid w:val="00823282"/>
    <w:rsid w:val="00826D51"/>
    <w:rsid w:val="00857398"/>
    <w:rsid w:val="00863600"/>
    <w:rsid w:val="00871646"/>
    <w:rsid w:val="0088679E"/>
    <w:rsid w:val="00894E70"/>
    <w:rsid w:val="008A504B"/>
    <w:rsid w:val="008D128B"/>
    <w:rsid w:val="008D16B3"/>
    <w:rsid w:val="008D6341"/>
    <w:rsid w:val="008F1EFE"/>
    <w:rsid w:val="008F4366"/>
    <w:rsid w:val="008F6B95"/>
    <w:rsid w:val="0090105F"/>
    <w:rsid w:val="00915D8E"/>
    <w:rsid w:val="009304CE"/>
    <w:rsid w:val="00942454"/>
    <w:rsid w:val="009518EC"/>
    <w:rsid w:val="009725AA"/>
    <w:rsid w:val="009761D5"/>
    <w:rsid w:val="0097673F"/>
    <w:rsid w:val="0099074C"/>
    <w:rsid w:val="009B1754"/>
    <w:rsid w:val="009F412D"/>
    <w:rsid w:val="009F4C02"/>
    <w:rsid w:val="009F4D00"/>
    <w:rsid w:val="009F7D4B"/>
    <w:rsid w:val="00A07AD7"/>
    <w:rsid w:val="00A2722E"/>
    <w:rsid w:val="00A27B25"/>
    <w:rsid w:val="00A30A2D"/>
    <w:rsid w:val="00A338E3"/>
    <w:rsid w:val="00A35CC8"/>
    <w:rsid w:val="00A37CBF"/>
    <w:rsid w:val="00A37D9E"/>
    <w:rsid w:val="00A37F97"/>
    <w:rsid w:val="00A41442"/>
    <w:rsid w:val="00A45FF3"/>
    <w:rsid w:val="00A51F53"/>
    <w:rsid w:val="00A55CA7"/>
    <w:rsid w:val="00A60305"/>
    <w:rsid w:val="00A73F74"/>
    <w:rsid w:val="00A80A3F"/>
    <w:rsid w:val="00A95B30"/>
    <w:rsid w:val="00AA07F7"/>
    <w:rsid w:val="00AA15FF"/>
    <w:rsid w:val="00AB5192"/>
    <w:rsid w:val="00AD39F5"/>
    <w:rsid w:val="00B04ABF"/>
    <w:rsid w:val="00B055EE"/>
    <w:rsid w:val="00B13061"/>
    <w:rsid w:val="00B14C71"/>
    <w:rsid w:val="00B26540"/>
    <w:rsid w:val="00B270AA"/>
    <w:rsid w:val="00B41C7E"/>
    <w:rsid w:val="00B46F91"/>
    <w:rsid w:val="00B602F3"/>
    <w:rsid w:val="00B81C5A"/>
    <w:rsid w:val="00B84075"/>
    <w:rsid w:val="00BA45D2"/>
    <w:rsid w:val="00BC0429"/>
    <w:rsid w:val="00BC263E"/>
    <w:rsid w:val="00BE18A1"/>
    <w:rsid w:val="00BE3228"/>
    <w:rsid w:val="00BF0E15"/>
    <w:rsid w:val="00BF1378"/>
    <w:rsid w:val="00BF354E"/>
    <w:rsid w:val="00C00458"/>
    <w:rsid w:val="00C02A98"/>
    <w:rsid w:val="00C41BC3"/>
    <w:rsid w:val="00C44013"/>
    <w:rsid w:val="00C569E9"/>
    <w:rsid w:val="00C65A11"/>
    <w:rsid w:val="00C84863"/>
    <w:rsid w:val="00C87CAE"/>
    <w:rsid w:val="00C91EC9"/>
    <w:rsid w:val="00C93A7B"/>
    <w:rsid w:val="00C93F6C"/>
    <w:rsid w:val="00CB704A"/>
    <w:rsid w:val="00CC74BE"/>
    <w:rsid w:val="00CD270D"/>
    <w:rsid w:val="00CD2D66"/>
    <w:rsid w:val="00CD48F7"/>
    <w:rsid w:val="00CE1056"/>
    <w:rsid w:val="00CE5533"/>
    <w:rsid w:val="00CF1BF6"/>
    <w:rsid w:val="00CF6C74"/>
    <w:rsid w:val="00D13F4F"/>
    <w:rsid w:val="00D167A0"/>
    <w:rsid w:val="00D333EF"/>
    <w:rsid w:val="00D43831"/>
    <w:rsid w:val="00D45D77"/>
    <w:rsid w:val="00D720AB"/>
    <w:rsid w:val="00DA389F"/>
    <w:rsid w:val="00DA7B8E"/>
    <w:rsid w:val="00DB57FA"/>
    <w:rsid w:val="00DC09D8"/>
    <w:rsid w:val="00DE02D0"/>
    <w:rsid w:val="00DE181E"/>
    <w:rsid w:val="00DE415F"/>
    <w:rsid w:val="00DF31DB"/>
    <w:rsid w:val="00DF75D4"/>
    <w:rsid w:val="00E162C4"/>
    <w:rsid w:val="00E22226"/>
    <w:rsid w:val="00E2268D"/>
    <w:rsid w:val="00E25C10"/>
    <w:rsid w:val="00E32A0E"/>
    <w:rsid w:val="00E76349"/>
    <w:rsid w:val="00EA33D2"/>
    <w:rsid w:val="00EC5226"/>
    <w:rsid w:val="00ED7415"/>
    <w:rsid w:val="00EE1FD0"/>
    <w:rsid w:val="00EE1FFF"/>
    <w:rsid w:val="00EE4B74"/>
    <w:rsid w:val="00F03A51"/>
    <w:rsid w:val="00F30A2F"/>
    <w:rsid w:val="00F33751"/>
    <w:rsid w:val="00F3453D"/>
    <w:rsid w:val="00F7498F"/>
    <w:rsid w:val="00F7613F"/>
    <w:rsid w:val="00F77097"/>
    <w:rsid w:val="00F87C0A"/>
    <w:rsid w:val="00F93DFB"/>
    <w:rsid w:val="00FB102E"/>
    <w:rsid w:val="00FB484C"/>
    <w:rsid w:val="00FE07EF"/>
    <w:rsid w:val="00FE6885"/>
    <w:rsid w:val="00FF10DA"/>
    <w:rsid w:val="00FF3EB9"/>
    <w:rsid w:val="00FF7A63"/>
    <w:rsid w:val="018117C1"/>
    <w:rsid w:val="01A905C4"/>
    <w:rsid w:val="01CF32DE"/>
    <w:rsid w:val="01DF6AA8"/>
    <w:rsid w:val="03083283"/>
    <w:rsid w:val="039D426C"/>
    <w:rsid w:val="0583332C"/>
    <w:rsid w:val="074D4254"/>
    <w:rsid w:val="082E6D53"/>
    <w:rsid w:val="08CB50A1"/>
    <w:rsid w:val="0AA52EBD"/>
    <w:rsid w:val="0ACC0200"/>
    <w:rsid w:val="0EC06279"/>
    <w:rsid w:val="0F9D28CF"/>
    <w:rsid w:val="0FD81EB4"/>
    <w:rsid w:val="10516791"/>
    <w:rsid w:val="12AD19F7"/>
    <w:rsid w:val="1519109A"/>
    <w:rsid w:val="153A3C2D"/>
    <w:rsid w:val="1784063F"/>
    <w:rsid w:val="17F45E20"/>
    <w:rsid w:val="1AB21051"/>
    <w:rsid w:val="1B267CF2"/>
    <w:rsid w:val="1B7104CB"/>
    <w:rsid w:val="1BDD0528"/>
    <w:rsid w:val="1D73442E"/>
    <w:rsid w:val="1DDB2360"/>
    <w:rsid w:val="1E920021"/>
    <w:rsid w:val="1ECD061A"/>
    <w:rsid w:val="20FF1879"/>
    <w:rsid w:val="21D01A69"/>
    <w:rsid w:val="21E26745"/>
    <w:rsid w:val="23B03722"/>
    <w:rsid w:val="24374C64"/>
    <w:rsid w:val="25AF7ADC"/>
    <w:rsid w:val="25ED391C"/>
    <w:rsid w:val="29690152"/>
    <w:rsid w:val="29CB3C83"/>
    <w:rsid w:val="2AEB4A25"/>
    <w:rsid w:val="2C8B6206"/>
    <w:rsid w:val="2D2F6528"/>
    <w:rsid w:val="2F2C0E54"/>
    <w:rsid w:val="2F3926C8"/>
    <w:rsid w:val="305F259A"/>
    <w:rsid w:val="30914BF5"/>
    <w:rsid w:val="311350AC"/>
    <w:rsid w:val="32E21EBD"/>
    <w:rsid w:val="32FD2735"/>
    <w:rsid w:val="33040CBD"/>
    <w:rsid w:val="33814BD7"/>
    <w:rsid w:val="33F17F05"/>
    <w:rsid w:val="33FF13EE"/>
    <w:rsid w:val="344603B8"/>
    <w:rsid w:val="34EF2A8C"/>
    <w:rsid w:val="36626C16"/>
    <w:rsid w:val="373759DA"/>
    <w:rsid w:val="37D470DF"/>
    <w:rsid w:val="39BB7CA8"/>
    <w:rsid w:val="3A072C82"/>
    <w:rsid w:val="3C0256F9"/>
    <w:rsid w:val="3C385593"/>
    <w:rsid w:val="3C493E09"/>
    <w:rsid w:val="3DC21AB7"/>
    <w:rsid w:val="3F8C11CB"/>
    <w:rsid w:val="3FA0000A"/>
    <w:rsid w:val="40391CF5"/>
    <w:rsid w:val="42991A38"/>
    <w:rsid w:val="463E26A5"/>
    <w:rsid w:val="47D143BA"/>
    <w:rsid w:val="48931989"/>
    <w:rsid w:val="48972E18"/>
    <w:rsid w:val="498D5A32"/>
    <w:rsid w:val="4AFE29C3"/>
    <w:rsid w:val="4CDA1D3F"/>
    <w:rsid w:val="4F2B6157"/>
    <w:rsid w:val="50AA1A16"/>
    <w:rsid w:val="50D4451E"/>
    <w:rsid w:val="50F66011"/>
    <w:rsid w:val="519A2A2F"/>
    <w:rsid w:val="522D2622"/>
    <w:rsid w:val="54562C35"/>
    <w:rsid w:val="545A65C4"/>
    <w:rsid w:val="552C0A96"/>
    <w:rsid w:val="552D29F3"/>
    <w:rsid w:val="554A28A3"/>
    <w:rsid w:val="581970B6"/>
    <w:rsid w:val="581E6EFC"/>
    <w:rsid w:val="5A975865"/>
    <w:rsid w:val="5AB93F1D"/>
    <w:rsid w:val="5B71145A"/>
    <w:rsid w:val="5BC91427"/>
    <w:rsid w:val="5C621E07"/>
    <w:rsid w:val="5D771F1C"/>
    <w:rsid w:val="5DF54D62"/>
    <w:rsid w:val="5E6554CB"/>
    <w:rsid w:val="5EAE3FE0"/>
    <w:rsid w:val="61285BD1"/>
    <w:rsid w:val="62530334"/>
    <w:rsid w:val="63776E7B"/>
    <w:rsid w:val="66A302D7"/>
    <w:rsid w:val="66C22D3A"/>
    <w:rsid w:val="67DD3829"/>
    <w:rsid w:val="690A4AA4"/>
    <w:rsid w:val="6A462CC6"/>
    <w:rsid w:val="6AF01164"/>
    <w:rsid w:val="6BBC1336"/>
    <w:rsid w:val="6C7821B8"/>
    <w:rsid w:val="6D2F0485"/>
    <w:rsid w:val="6DBD0123"/>
    <w:rsid w:val="6F5C0AB6"/>
    <w:rsid w:val="70783D6C"/>
    <w:rsid w:val="714325E3"/>
    <w:rsid w:val="714571EE"/>
    <w:rsid w:val="71C4488E"/>
    <w:rsid w:val="728252CD"/>
    <w:rsid w:val="73683F57"/>
    <w:rsid w:val="736B7529"/>
    <w:rsid w:val="75572054"/>
    <w:rsid w:val="75EB36D0"/>
    <w:rsid w:val="769B55BF"/>
    <w:rsid w:val="76B35000"/>
    <w:rsid w:val="770671F4"/>
    <w:rsid w:val="77AD08D9"/>
    <w:rsid w:val="7878508A"/>
    <w:rsid w:val="78887081"/>
    <w:rsid w:val="7B99184E"/>
    <w:rsid w:val="7C396B93"/>
    <w:rsid w:val="7DFB4006"/>
    <w:rsid w:val="7EB0162C"/>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9"/>
    <w:qFormat/>
    <w:uiPriority w:val="0"/>
    <w:pPr>
      <w:keepNext/>
      <w:keepLines/>
      <w:spacing w:before="340" w:after="330" w:line="576" w:lineRule="auto"/>
      <w:outlineLvl w:val="0"/>
    </w:pPr>
    <w:rPr>
      <w:b/>
      <w:bCs/>
      <w:kern w:val="44"/>
      <w:sz w:val="30"/>
      <w:szCs w:val="44"/>
    </w:rPr>
  </w:style>
  <w:style w:type="paragraph" w:styleId="3">
    <w:name w:val="heading 2"/>
    <w:basedOn w:val="1"/>
    <w:next w:val="1"/>
    <w:link w:val="42"/>
    <w:qFormat/>
    <w:uiPriority w:val="0"/>
    <w:pPr>
      <w:keepNext/>
      <w:keepLines/>
      <w:spacing w:before="260" w:after="260" w:line="415" w:lineRule="auto"/>
      <w:outlineLvl w:val="1"/>
    </w:pPr>
    <w:rPr>
      <w:rFonts w:ascii="Cambria" w:hAnsi="Cambria"/>
      <w:b/>
      <w:bCs/>
      <w:sz w:val="32"/>
      <w:szCs w:val="32"/>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99"/>
    <w:pPr>
      <w:ind w:firstLine="420"/>
    </w:pPr>
    <w:rPr>
      <w:szCs w:val="20"/>
    </w:rPr>
  </w:style>
  <w:style w:type="paragraph" w:styleId="5">
    <w:name w:val="Document Map"/>
    <w:basedOn w:val="1"/>
    <w:semiHidden/>
    <w:qFormat/>
    <w:uiPriority w:val="0"/>
    <w:pPr>
      <w:shd w:val="clear" w:color="auto" w:fill="000080"/>
    </w:pPr>
  </w:style>
  <w:style w:type="paragraph" w:styleId="6">
    <w:name w:val="annotation text"/>
    <w:basedOn w:val="1"/>
    <w:qFormat/>
    <w:uiPriority w:val="0"/>
    <w:pPr>
      <w:jc w:val="left"/>
    </w:pPr>
  </w:style>
  <w:style w:type="paragraph" w:styleId="7">
    <w:name w:val="Body Text Indent"/>
    <w:basedOn w:val="1"/>
    <w:link w:val="37"/>
    <w:qFormat/>
    <w:uiPriority w:val="0"/>
    <w:pPr>
      <w:spacing w:after="120"/>
      <w:ind w:left="420" w:leftChars="200"/>
    </w:pPr>
    <w:rPr>
      <w:sz w:val="21"/>
    </w:rPr>
  </w:style>
  <w:style w:type="paragraph" w:styleId="8">
    <w:name w:val="Plain Text"/>
    <w:basedOn w:val="1"/>
    <w:link w:val="40"/>
    <w:qFormat/>
    <w:uiPriority w:val="0"/>
    <w:rPr>
      <w:rFonts w:ascii="宋体" w:hAnsi="Courier New"/>
      <w:sz w:val="21"/>
      <w:szCs w:val="21"/>
    </w:rPr>
  </w:style>
  <w:style w:type="paragraph" w:styleId="9">
    <w:name w:val="Date"/>
    <w:basedOn w:val="1"/>
    <w:next w:val="1"/>
    <w:qFormat/>
    <w:uiPriority w:val="0"/>
    <w:pPr>
      <w:ind w:left="100" w:leftChars="2500"/>
    </w:pPr>
    <w:rPr>
      <w:rFonts w:eastAsia="仿宋_GB2312"/>
      <w:sz w:val="32"/>
    </w:rPr>
  </w:style>
  <w:style w:type="paragraph" w:styleId="10">
    <w:name w:val="Balloon Text"/>
    <w:basedOn w:val="1"/>
    <w:qFormat/>
    <w:uiPriority w:val="0"/>
    <w:rPr>
      <w:sz w:val="18"/>
      <w:szCs w:val="18"/>
    </w:rPr>
  </w:style>
  <w:style w:type="paragraph" w:styleId="11">
    <w:name w:val="footer"/>
    <w:basedOn w:val="1"/>
    <w:link w:val="33"/>
    <w:qFormat/>
    <w:uiPriority w:val="99"/>
    <w:pPr>
      <w:tabs>
        <w:tab w:val="center" w:pos="4153"/>
        <w:tab w:val="right" w:pos="8306"/>
      </w:tabs>
      <w:snapToGrid w:val="0"/>
      <w:jc w:val="left"/>
    </w:pPr>
    <w:rPr>
      <w:sz w:val="18"/>
      <w:szCs w:val="18"/>
    </w:rPr>
  </w:style>
  <w:style w:type="paragraph" w:styleId="12">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14">
    <w:name w:val="Subtitle"/>
    <w:basedOn w:val="1"/>
    <w:next w:val="1"/>
    <w:link w:val="34"/>
    <w:qFormat/>
    <w:uiPriority w:val="0"/>
    <w:pPr>
      <w:spacing w:before="240" w:after="60" w:line="312" w:lineRule="auto"/>
      <w:jc w:val="center"/>
      <w:outlineLvl w:val="1"/>
    </w:pPr>
    <w:rPr>
      <w:rFonts w:ascii="Cambria" w:hAnsi="Cambria"/>
      <w:b/>
      <w:bCs/>
      <w:kern w:val="28"/>
      <w:sz w:val="32"/>
      <w:szCs w:val="32"/>
    </w:rPr>
  </w:style>
  <w:style w:type="paragraph" w:styleId="15">
    <w:name w:val="Normal (Web)"/>
    <w:basedOn w:val="1"/>
    <w:qFormat/>
    <w:uiPriority w:val="0"/>
    <w:pPr>
      <w:spacing w:before="100" w:beforeAutospacing="1" w:after="100" w:afterAutospacing="1"/>
      <w:jc w:val="left"/>
    </w:pPr>
    <w:rPr>
      <w:rFonts w:cs="Raavi"/>
      <w:kern w:val="0"/>
      <w:lang w:bidi="zh-CN"/>
    </w:rPr>
  </w:style>
  <w:style w:type="paragraph" w:styleId="16">
    <w:name w:val="Title"/>
    <w:basedOn w:val="1"/>
    <w:next w:val="1"/>
    <w:link w:val="46"/>
    <w:qFormat/>
    <w:uiPriority w:val="0"/>
    <w:pPr>
      <w:spacing w:before="240" w:after="60"/>
      <w:jc w:val="center"/>
      <w:outlineLvl w:val="0"/>
    </w:pPr>
    <w:rPr>
      <w:rFonts w:ascii="Cambria" w:hAnsi="Cambria"/>
      <w:b/>
      <w:bCs/>
      <w:sz w:val="36"/>
      <w:szCs w:val="32"/>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basedOn w:val="19"/>
    <w:qFormat/>
    <w:uiPriority w:val="0"/>
  </w:style>
  <w:style w:type="character" w:styleId="22">
    <w:name w:val="FollowedHyperlink"/>
    <w:qFormat/>
    <w:uiPriority w:val="0"/>
    <w:rPr>
      <w:color w:val="000000"/>
      <w:u w:val="none"/>
    </w:rPr>
  </w:style>
  <w:style w:type="character" w:styleId="23">
    <w:name w:val="Emphasis"/>
    <w:qFormat/>
    <w:uiPriority w:val="0"/>
  </w:style>
  <w:style w:type="character" w:styleId="24">
    <w:name w:val="HTML Definition"/>
    <w:basedOn w:val="19"/>
    <w:qFormat/>
    <w:uiPriority w:val="0"/>
  </w:style>
  <w:style w:type="character" w:styleId="25">
    <w:name w:val="HTML Typewriter"/>
    <w:basedOn w:val="19"/>
    <w:qFormat/>
    <w:uiPriority w:val="0"/>
    <w:rPr>
      <w:rFonts w:hint="default" w:ascii="monospace" w:hAnsi="monospace" w:eastAsia="monospace" w:cs="monospace"/>
      <w:sz w:val="20"/>
    </w:rPr>
  </w:style>
  <w:style w:type="character" w:styleId="26">
    <w:name w:val="HTML Acronym"/>
    <w:basedOn w:val="19"/>
    <w:qFormat/>
    <w:uiPriority w:val="0"/>
  </w:style>
  <w:style w:type="character" w:styleId="27">
    <w:name w:val="HTML Variable"/>
    <w:basedOn w:val="19"/>
    <w:qFormat/>
    <w:uiPriority w:val="0"/>
  </w:style>
  <w:style w:type="character" w:styleId="28">
    <w:name w:val="Hyperlink"/>
    <w:basedOn w:val="19"/>
    <w:qFormat/>
    <w:uiPriority w:val="99"/>
    <w:rPr>
      <w:color w:val="000000"/>
      <w:u w:val="none"/>
    </w:rPr>
  </w:style>
  <w:style w:type="character" w:styleId="29">
    <w:name w:val="HTML Code"/>
    <w:basedOn w:val="19"/>
    <w:qFormat/>
    <w:uiPriority w:val="0"/>
    <w:rPr>
      <w:rFonts w:hint="default" w:ascii="monospace" w:hAnsi="monospace" w:eastAsia="monospace" w:cs="monospace"/>
      <w:sz w:val="20"/>
    </w:rPr>
  </w:style>
  <w:style w:type="character" w:styleId="30">
    <w:name w:val="HTML Cite"/>
    <w:basedOn w:val="19"/>
    <w:qFormat/>
    <w:uiPriority w:val="0"/>
  </w:style>
  <w:style w:type="character" w:styleId="31">
    <w:name w:val="HTML Keyboard"/>
    <w:basedOn w:val="19"/>
    <w:qFormat/>
    <w:uiPriority w:val="0"/>
    <w:rPr>
      <w:rFonts w:ascii="monospace" w:hAnsi="monospace" w:eastAsia="monospace" w:cs="monospace"/>
      <w:sz w:val="20"/>
    </w:rPr>
  </w:style>
  <w:style w:type="character" w:styleId="32">
    <w:name w:val="HTML Sample"/>
    <w:basedOn w:val="19"/>
    <w:qFormat/>
    <w:uiPriority w:val="0"/>
    <w:rPr>
      <w:rFonts w:hint="default" w:ascii="monospace" w:hAnsi="monospace" w:eastAsia="monospace" w:cs="monospace"/>
    </w:rPr>
  </w:style>
  <w:style w:type="character" w:customStyle="1" w:styleId="33">
    <w:name w:val="页脚 Char"/>
    <w:link w:val="11"/>
    <w:uiPriority w:val="99"/>
    <w:rPr>
      <w:kern w:val="2"/>
      <w:sz w:val="18"/>
      <w:szCs w:val="18"/>
    </w:rPr>
  </w:style>
  <w:style w:type="character" w:customStyle="1" w:styleId="34">
    <w:name w:val="副标题 Char"/>
    <w:link w:val="14"/>
    <w:uiPriority w:val="0"/>
    <w:rPr>
      <w:rFonts w:ascii="Cambria" w:hAnsi="Cambria"/>
      <w:b/>
      <w:bCs/>
      <w:kern w:val="28"/>
      <w:sz w:val="32"/>
      <w:szCs w:val="32"/>
    </w:rPr>
  </w:style>
  <w:style w:type="character" w:customStyle="1" w:styleId="35">
    <w:name w:val="tabg"/>
    <w:uiPriority w:val="0"/>
    <w:rPr>
      <w:rFonts w:ascii="微软雅黑" w:hAnsi="微软雅黑" w:eastAsia="微软雅黑" w:cs="微软雅黑"/>
      <w:color w:val="FFFFFF"/>
      <w:sz w:val="27"/>
      <w:szCs w:val="27"/>
    </w:rPr>
  </w:style>
  <w:style w:type="character" w:customStyle="1" w:styleId="36">
    <w:name w:val="副标题 Char1"/>
    <w:uiPriority w:val="0"/>
    <w:rPr>
      <w:rFonts w:ascii="Cambria" w:hAnsi="Cambria" w:cs="Times New Roman"/>
      <w:b/>
      <w:bCs/>
      <w:kern w:val="28"/>
      <w:sz w:val="32"/>
      <w:szCs w:val="32"/>
    </w:rPr>
  </w:style>
  <w:style w:type="character" w:customStyle="1" w:styleId="37">
    <w:name w:val="正文文本缩进 Char"/>
    <w:link w:val="7"/>
    <w:uiPriority w:val="0"/>
    <w:rPr>
      <w:kern w:val="2"/>
      <w:sz w:val="21"/>
      <w:szCs w:val="24"/>
    </w:rPr>
  </w:style>
  <w:style w:type="character" w:customStyle="1" w:styleId="38">
    <w:name w:val="页眉 Char"/>
    <w:link w:val="12"/>
    <w:uiPriority w:val="0"/>
    <w:rPr>
      <w:kern w:val="2"/>
      <w:sz w:val="18"/>
      <w:szCs w:val="18"/>
    </w:rPr>
  </w:style>
  <w:style w:type="character" w:customStyle="1" w:styleId="39">
    <w:name w:val="标题 1 Char"/>
    <w:link w:val="2"/>
    <w:uiPriority w:val="0"/>
    <w:rPr>
      <w:b/>
      <w:bCs/>
      <w:kern w:val="44"/>
      <w:sz w:val="30"/>
      <w:szCs w:val="44"/>
    </w:rPr>
  </w:style>
  <w:style w:type="character" w:customStyle="1" w:styleId="40">
    <w:name w:val="纯文本 Char"/>
    <w:link w:val="8"/>
    <w:uiPriority w:val="0"/>
    <w:rPr>
      <w:rFonts w:ascii="宋体" w:hAnsi="Courier New" w:cs="Courier New"/>
      <w:kern w:val="2"/>
      <w:sz w:val="21"/>
      <w:szCs w:val="21"/>
    </w:rPr>
  </w:style>
  <w:style w:type="character" w:customStyle="1" w:styleId="41">
    <w:name w:val="标题 Char1"/>
    <w:uiPriority w:val="0"/>
    <w:rPr>
      <w:rFonts w:ascii="Cambria" w:hAnsi="Cambria" w:cs="Times New Roman"/>
      <w:b/>
      <w:bCs/>
      <w:kern w:val="2"/>
      <w:sz w:val="32"/>
      <w:szCs w:val="32"/>
    </w:rPr>
  </w:style>
  <w:style w:type="character" w:customStyle="1" w:styleId="42">
    <w:name w:val="标题 2 Char"/>
    <w:link w:val="3"/>
    <w:uiPriority w:val="0"/>
    <w:rPr>
      <w:rFonts w:ascii="Cambria" w:hAnsi="Cambria"/>
      <w:b/>
      <w:bCs/>
      <w:kern w:val="2"/>
      <w:sz w:val="32"/>
      <w:szCs w:val="32"/>
    </w:rPr>
  </w:style>
  <w:style w:type="character" w:customStyle="1" w:styleId="43">
    <w:name w:val="more"/>
    <w:qFormat/>
    <w:uiPriority w:val="0"/>
    <w:rPr>
      <w:color w:val="666666"/>
      <w:sz w:val="18"/>
      <w:szCs w:val="18"/>
    </w:rPr>
  </w:style>
  <w:style w:type="character" w:customStyle="1" w:styleId="44">
    <w:name w:val="bg01"/>
    <w:basedOn w:val="19"/>
    <w:uiPriority w:val="0"/>
  </w:style>
  <w:style w:type="character" w:customStyle="1" w:styleId="45">
    <w:name w:val="bg02"/>
    <w:basedOn w:val="19"/>
    <w:uiPriority w:val="0"/>
  </w:style>
  <w:style w:type="character" w:customStyle="1" w:styleId="46">
    <w:name w:val="标题 Char"/>
    <w:link w:val="16"/>
    <w:uiPriority w:val="0"/>
    <w:rPr>
      <w:rFonts w:ascii="Cambria" w:hAnsi="Cambria"/>
      <w:b/>
      <w:bCs/>
      <w:kern w:val="2"/>
      <w:sz w:val="36"/>
      <w:szCs w:val="32"/>
    </w:rPr>
  </w:style>
  <w:style w:type="paragraph" w:customStyle="1" w:styleId="47">
    <w:name w:val="样式2"/>
    <w:basedOn w:val="1"/>
    <w:uiPriority w:val="0"/>
    <w:rPr>
      <w:rFonts w:eastAsia="华文中宋"/>
      <w:sz w:val="44"/>
    </w:rPr>
  </w:style>
  <w:style w:type="paragraph" w:customStyle="1" w:styleId="48">
    <w:name w:val="样式1"/>
    <w:basedOn w:val="1"/>
    <w:uiPriority w:val="0"/>
    <w:rPr>
      <w:rFonts w:eastAsia="仿宋_GB2312"/>
      <w:sz w:val="32"/>
    </w:rPr>
  </w:style>
  <w:style w:type="paragraph" w:customStyle="1" w:styleId="49">
    <w:name w:val="Char"/>
    <w:basedOn w:val="1"/>
    <w:uiPriority w:val="0"/>
    <w:rPr>
      <w:szCs w:val="21"/>
    </w:rPr>
  </w:style>
  <w:style w:type="paragraph" w:customStyle="1" w:styleId="50">
    <w:name w:val="样式3"/>
    <w:basedOn w:val="47"/>
    <w:qFormat/>
    <w:uiPriority w:val="0"/>
    <w:pPr>
      <w:jc w:val="center"/>
    </w:pPr>
  </w:style>
  <w:style w:type="paragraph" w:customStyle="1" w:styleId="51">
    <w:name w:val="_Style 31"/>
    <w:basedOn w:val="5"/>
    <w:uiPriority w:val="0"/>
    <w:rPr>
      <w:szCs w:val="20"/>
      <w:shd w:val="clear" w:color="auto" w:fill="000080"/>
    </w:rPr>
  </w:style>
  <w:style w:type="paragraph" w:customStyle="1" w:styleId="52">
    <w:name w:val="样式 首行缩进:  0.85 厘米"/>
    <w:basedOn w:val="1"/>
    <w:qFormat/>
    <w:uiPriority w:val="0"/>
    <w:pPr>
      <w:spacing w:line="360" w:lineRule="auto"/>
      <w:ind w:firstLine="482"/>
    </w:pPr>
    <w:rPr>
      <w:szCs w:val="20"/>
    </w:rPr>
  </w:style>
  <w:style w:type="paragraph" w:styleId="53">
    <w:name w:val="List Paragraph"/>
    <w:basedOn w:val="1"/>
    <w:qFormat/>
    <w:uiPriority w:val="34"/>
    <w:pPr>
      <w:ind w:firstLine="420" w:firstLineChars="200"/>
    </w:pPr>
    <w:rPr>
      <w:rFonts w:asciiTheme="minorHAnsi" w:hAnsiTheme="minorHAnsi" w:eastAsiaTheme="minorEastAsia" w:cstheme="minorBidi"/>
      <w:sz w:val="21"/>
      <w:szCs w:val="22"/>
    </w:rPr>
  </w:style>
  <w:style w:type="character" w:customStyle="1" w:styleId="54">
    <w:name w:val="font01"/>
    <w:basedOn w:val="19"/>
    <w:uiPriority w:val="0"/>
    <w:rPr>
      <w:rFonts w:hint="eastAsia" w:ascii="宋体" w:hAnsi="宋体" w:eastAsia="宋体" w:cs="宋体"/>
      <w:color w:val="000000"/>
      <w:sz w:val="24"/>
      <w:szCs w:val="24"/>
      <w:u w:val="none"/>
    </w:rPr>
  </w:style>
  <w:style w:type="character" w:customStyle="1" w:styleId="55">
    <w:name w:val="font11"/>
    <w:basedOn w:val="19"/>
    <w:uiPriority w:val="0"/>
    <w:rPr>
      <w:rFonts w:hint="eastAsia" w:ascii="宋体" w:hAnsi="宋体" w:eastAsia="宋体" w:cs="宋体"/>
      <w:color w:val="000000"/>
      <w:sz w:val="24"/>
      <w:szCs w:val="24"/>
      <w:u w:val="none"/>
    </w:rPr>
  </w:style>
  <w:style w:type="paragraph" w:styleId="56">
    <w:name w:val="No Spacing"/>
    <w:qFormat/>
    <w:uiPriority w:val="0"/>
    <w:pPr>
      <w:widowControl w:val="0"/>
      <w:spacing w:line="240" w:lineRule="atLeast"/>
      <w:ind w:firstLine="150" w:firstLineChars="150"/>
      <w:jc w:val="both"/>
    </w:pPr>
    <w:rPr>
      <w:rFonts w:ascii="Calibri" w:hAnsi="Calibri" w:eastAsia="宋体" w:cs="Times New Roman"/>
      <w:kern w:val="2"/>
      <w:sz w:val="21"/>
      <w:szCs w:val="22"/>
      <w:lang w:val="en-US" w:eastAsia="zh-CN" w:bidi="ar-SA"/>
    </w:rPr>
  </w:style>
  <w:style w:type="paragraph" w:customStyle="1" w:styleId="57">
    <w:name w:val="列出段落1"/>
    <w:basedOn w:val="1"/>
    <w:qFormat/>
    <w:uiPriority w:val="0"/>
    <w:pPr>
      <w:ind w:firstLine="420" w:firstLineChars="200"/>
    </w:pPr>
  </w:style>
  <w:style w:type="paragraph" w:customStyle="1" w:styleId="58">
    <w:name w:val="_Style 4"/>
    <w:basedOn w:val="1"/>
    <w:uiPriority w:val="0"/>
    <w:pPr>
      <w:ind w:firstLine="420" w:firstLineChars="200"/>
    </w:pPr>
    <w:rPr>
      <w:rFonts w:ascii="Calibri" w:hAnsi="Calibri"/>
    </w:rPr>
  </w:style>
  <w:style w:type="character" w:customStyle="1" w:styleId="59">
    <w:name w:val="apple-converted-space"/>
    <w:basedOn w:val="19"/>
    <w:uiPriority w:val="0"/>
  </w:style>
  <w:style w:type="paragraph" w:customStyle="1" w:styleId="60">
    <w:name w:val="_Style 5"/>
    <w:basedOn w:val="1"/>
    <w:uiPriority w:val="0"/>
    <w:pPr>
      <w:ind w:firstLine="420" w:firstLineChars="200"/>
    </w:pPr>
  </w:style>
  <w:style w:type="paragraph" w:customStyle="1" w:styleId="61">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BEA3F8-F415-4DCB-9FD8-5720A0491A5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96</Pages>
  <Words>57369</Words>
  <Characters>12881</Characters>
  <Lines>107</Lines>
  <Paragraphs>140</Paragraphs>
  <TotalTime>0</TotalTime>
  <ScaleCrop>false</ScaleCrop>
  <LinksUpToDate>false</LinksUpToDate>
  <CharactersWithSpaces>70110</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2019-04-15T01:45:00Z</dcterms:created>
  <dc:creator>太子弹琴</dc:creator>
  <cp:lastModifiedBy>Administrator</cp:lastModifiedBy>
  <cp:lastPrinted>2018-06-05T01:46:00Z</cp:lastPrinted>
  <dcterms:modified xsi:type="dcterms:W3CDTF">2019-11-22T07:37:05Z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