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kern w:val="0"/>
          <w:sz w:val="84"/>
          <w:szCs w:val="84"/>
        </w:rPr>
      </w:pPr>
    </w:p>
    <w:p>
      <w:pPr>
        <w:autoSpaceDE w:val="0"/>
        <w:autoSpaceDN w:val="0"/>
        <w:adjustRightInd w:val="0"/>
        <w:spacing w:line="360" w:lineRule="auto"/>
        <w:jc w:val="center"/>
        <w:rPr>
          <w:rFonts w:ascii="宋体" w:hAnsi="宋体" w:cs="宋体"/>
          <w:b/>
          <w:bCs/>
          <w:kern w:val="0"/>
          <w:sz w:val="84"/>
          <w:szCs w:val="84"/>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采购项目编号：甘肃东方公招（工程）2021-078</w:t>
      </w:r>
    </w:p>
    <w:p>
      <w:pPr>
        <w:autoSpaceDE w:val="0"/>
        <w:autoSpaceDN w:val="0"/>
        <w:adjustRightInd w:val="0"/>
        <w:spacing w:line="360" w:lineRule="auto"/>
        <w:ind w:right="-290" w:rightChars="-121"/>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采购项目名称：海东市乐都区瞿昙镇盛家村滑坡监测预警示范、乐都区中岭乡乡政府不稳定斜坡地质灾害治理工程、乐都区第八中学不稳定斜坡地质灾害治理工程</w:t>
      </w:r>
    </w:p>
    <w:p>
      <w:pPr>
        <w:autoSpaceDE w:val="0"/>
        <w:autoSpaceDN w:val="0"/>
        <w:adjustRightInd w:val="0"/>
        <w:spacing w:line="360" w:lineRule="auto"/>
        <w:ind w:right="-290" w:rightChars="-121"/>
        <w:jc w:val="left"/>
        <w:rPr>
          <w:rFonts w:ascii="宋体" w:hAnsi="宋体" w:cs="宋体"/>
          <w:b/>
          <w:bCs/>
          <w:kern w:val="0"/>
          <w:sz w:val="36"/>
          <w:szCs w:val="36"/>
        </w:rPr>
      </w:pPr>
      <w:r>
        <w:rPr>
          <w:rFonts w:hint="eastAsia" w:ascii="宋体" w:hAnsi="宋体" w:cs="宋体"/>
          <w:b/>
          <w:bCs/>
          <w:kern w:val="0"/>
          <w:sz w:val="36"/>
          <w:szCs w:val="36"/>
          <w:lang w:val="zh-CN"/>
        </w:rPr>
        <w:t>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购</w:t>
      </w:r>
      <w:r>
        <w:rPr>
          <w:rFonts w:hint="eastAsia" w:ascii="宋体" w:hAnsi="宋体" w:cs="宋体"/>
          <w:b/>
          <w:bCs/>
          <w:kern w:val="0"/>
          <w:sz w:val="36"/>
          <w:szCs w:val="36"/>
        </w:rPr>
        <w:t xml:space="preserve">   </w:t>
      </w:r>
      <w:r>
        <w:rPr>
          <w:rFonts w:hint="eastAsia" w:ascii="宋体" w:hAnsi="宋体" w:cs="宋体"/>
          <w:b/>
          <w:bCs/>
          <w:kern w:val="0"/>
          <w:sz w:val="36"/>
          <w:szCs w:val="36"/>
          <w:lang w:val="zh-CN"/>
        </w:rPr>
        <w:t>人：海东市乐都区自然资源局</w:t>
      </w:r>
    </w:p>
    <w:p>
      <w:pPr>
        <w:autoSpaceDE w:val="0"/>
        <w:autoSpaceDN w:val="0"/>
        <w:adjustRightInd w:val="0"/>
        <w:spacing w:line="360" w:lineRule="auto"/>
        <w:jc w:val="left"/>
        <w:rPr>
          <w:rFonts w:ascii="宋体" w:hAnsi="宋体" w:cs="宋体"/>
          <w:b/>
          <w:bCs/>
          <w:kern w:val="0"/>
          <w:sz w:val="36"/>
          <w:szCs w:val="36"/>
        </w:rPr>
      </w:pPr>
    </w:p>
    <w:p>
      <w:pPr>
        <w:pStyle w:val="15"/>
        <w:rPr>
          <w:rFonts w:ascii="宋体" w:hAnsi="宋体" w:cs="宋体"/>
          <w:b/>
          <w:bCs/>
          <w:kern w:val="0"/>
          <w:sz w:val="36"/>
          <w:szCs w:val="36"/>
        </w:rPr>
      </w:pPr>
    </w:p>
    <w:p>
      <w:pPr>
        <w:pStyle w:val="15"/>
      </w:pPr>
    </w:p>
    <w:p>
      <w:pPr>
        <w:pStyle w:val="16"/>
      </w:pPr>
    </w:p>
    <w:p>
      <w:pPr>
        <w:autoSpaceDE w:val="0"/>
        <w:autoSpaceDN w:val="0"/>
        <w:adjustRightInd w:val="0"/>
        <w:spacing w:line="360" w:lineRule="auto"/>
        <w:ind w:left="-46" w:leftChars="-177" w:hanging="379" w:hangingChars="118"/>
        <w:jc w:val="center"/>
        <w:rPr>
          <w:rFonts w:ascii="宋体" w:hAnsi="宋体" w:cs="宋体"/>
          <w:b/>
          <w:bCs/>
          <w:kern w:val="0"/>
          <w:sz w:val="28"/>
          <w:szCs w:val="28"/>
          <w:u w:val="single"/>
          <w:lang w:val="zh-CN"/>
        </w:rPr>
      </w:pPr>
      <w:r>
        <w:rPr>
          <w:rFonts w:hint="eastAsia" w:ascii="宋体" w:hAnsi="宋体" w:cs="宋体"/>
          <w:b/>
          <w:bCs/>
          <w:kern w:val="0"/>
          <w:sz w:val="32"/>
          <w:szCs w:val="36"/>
          <w:lang w:val="zh-CN"/>
        </w:rPr>
        <w:t>采购代理机构：甘肃东方工程咨询有限公司</w:t>
      </w:r>
    </w:p>
    <w:p>
      <w:pPr>
        <w:autoSpaceDE w:val="0"/>
        <w:autoSpaceDN w:val="0"/>
        <w:adjustRightInd w:val="0"/>
        <w:spacing w:line="360" w:lineRule="auto"/>
        <w:jc w:val="center"/>
        <w:rPr>
          <w:rFonts w:ascii="宋体" w:hAnsi="Calibri" w:cs="宋体"/>
          <w:b/>
          <w:bCs/>
          <w:kern w:val="0"/>
          <w:sz w:val="32"/>
          <w:szCs w:val="36"/>
          <w:lang w:val="zh-CN"/>
        </w:rPr>
      </w:pPr>
      <w:r>
        <w:rPr>
          <w:rFonts w:hint="eastAsia" w:ascii="宋体" w:hAnsi="Calibri" w:cs="宋体"/>
          <w:b/>
          <w:bCs/>
          <w:kern w:val="0"/>
          <w:sz w:val="32"/>
          <w:szCs w:val="36"/>
          <w:lang w:val="zh-CN"/>
        </w:rPr>
        <w:t>20</w:t>
      </w:r>
      <w:r>
        <w:rPr>
          <w:rFonts w:ascii="宋体" w:hAnsi="Calibri" w:cs="宋体"/>
          <w:b/>
          <w:bCs/>
          <w:kern w:val="0"/>
          <w:sz w:val="32"/>
          <w:szCs w:val="36"/>
          <w:lang w:val="zh-CN"/>
        </w:rPr>
        <w:t>2</w:t>
      </w:r>
      <w:r>
        <w:rPr>
          <w:rFonts w:hint="eastAsia" w:ascii="宋体" w:hAnsi="Calibri" w:cs="宋体"/>
          <w:b/>
          <w:bCs/>
          <w:kern w:val="0"/>
          <w:sz w:val="32"/>
          <w:szCs w:val="36"/>
        </w:rPr>
        <w:t>1</w:t>
      </w:r>
      <w:r>
        <w:rPr>
          <w:rFonts w:hint="eastAsia" w:ascii="宋体" w:hAnsi="Calibri" w:cs="宋体"/>
          <w:b/>
          <w:bCs/>
          <w:kern w:val="0"/>
          <w:sz w:val="32"/>
          <w:szCs w:val="36"/>
          <w:lang w:val="zh-CN"/>
        </w:rPr>
        <w:t>年</w:t>
      </w:r>
      <w:r>
        <w:rPr>
          <w:rFonts w:hint="eastAsia" w:ascii="宋体" w:hAnsi="Calibri" w:cs="宋体"/>
          <w:b/>
          <w:bCs/>
          <w:kern w:val="0"/>
          <w:sz w:val="32"/>
          <w:szCs w:val="36"/>
          <w:lang w:val="en-US" w:eastAsia="zh-CN"/>
        </w:rPr>
        <w:t>11</w:t>
      </w:r>
      <w:r>
        <w:rPr>
          <w:rFonts w:hint="eastAsia" w:ascii="宋体" w:hAnsi="Calibri" w:cs="宋体"/>
          <w:b/>
          <w:bCs/>
          <w:kern w:val="0"/>
          <w:sz w:val="32"/>
          <w:szCs w:val="36"/>
          <w:lang w:val="zh-CN"/>
        </w:rPr>
        <w:t>月</w:t>
      </w:r>
    </w:p>
    <w:sdt>
      <w:sdtPr>
        <w:rPr>
          <w:rFonts w:ascii="宋体" w:hAnsi="宋体" w:eastAsia="宋体" w:cs="Times New Roman"/>
          <w:kern w:val="2"/>
          <w:sz w:val="21"/>
          <w:szCs w:val="24"/>
          <w:lang w:val="en-US" w:eastAsia="zh-CN" w:bidi="ar-SA"/>
        </w:rPr>
        <w:id w:val="147481144"/>
        <w15:color w:val="DBDBDB"/>
        <w:docPartObj>
          <w:docPartGallery w:val="Table of Contents"/>
          <w:docPartUnique/>
        </w:docPartObj>
      </w:sdtPr>
      <w:sdtEndPr>
        <w:rPr>
          <w:rFonts w:hint="eastAsia" w:ascii="宋体" w:hAnsi="宋体" w:cs="宋体" w:eastAsiaTheme="minorEastAsia"/>
          <w:b/>
          <w:bCs/>
          <w:kern w:val="2"/>
          <w:sz w:val="40"/>
          <w:szCs w:val="40"/>
          <w:lang w:val="zh-CN" w:eastAsia="zh-CN" w:bidi="ar-SA"/>
        </w:rPr>
      </w:sdtEndPr>
      <w:sdtContent>
        <w:p>
          <w:pPr>
            <w:spacing w:before="0" w:beforeLines="0" w:after="0" w:afterLines="0" w:line="240" w:lineRule="auto"/>
            <w:ind w:left="0" w:leftChars="0" w:right="0" w:rightChars="0" w:firstLine="0" w:firstLineChars="0"/>
            <w:jc w:val="center"/>
          </w:pPr>
          <w:bookmarkStart w:id="0" w:name="_Toc11744182"/>
          <w:r>
            <w:rPr>
              <w:rFonts w:ascii="宋体" w:hAnsi="宋体" w:eastAsia="宋体"/>
              <w:b/>
              <w:bCs/>
              <w:sz w:val="28"/>
              <w:szCs w:val="36"/>
            </w:rPr>
            <w:t>目录</w:t>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TOC \o "1-3" \h \u </w:instrText>
          </w:r>
          <w:r>
            <w:rPr>
              <w:rFonts w:hint="eastAsia" w:ascii="宋体" w:hAnsi="宋体" w:cs="宋体"/>
              <w:sz w:val="21"/>
              <w:szCs w:val="40"/>
              <w:lang w:val="zh-CN"/>
            </w:rPr>
            <w:fldChar w:fldCharType="separate"/>
          </w:r>
          <w:r>
            <w:rPr>
              <w:rFonts w:hint="eastAsia" w:ascii="宋体" w:hAnsi="宋体" w:cs="宋体"/>
              <w:b/>
              <w:bCs/>
              <w:sz w:val="21"/>
              <w:szCs w:val="40"/>
              <w:lang w:val="zh-CN"/>
            </w:rPr>
            <w:fldChar w:fldCharType="begin"/>
          </w:r>
          <w:r>
            <w:rPr>
              <w:rFonts w:hint="eastAsia" w:ascii="宋体" w:hAnsi="宋体" w:cs="宋体"/>
              <w:b/>
              <w:bCs/>
              <w:sz w:val="21"/>
              <w:szCs w:val="40"/>
              <w:lang w:val="zh-CN"/>
            </w:rPr>
            <w:instrText xml:space="preserve"> HYPERLINK \l _Toc11007 </w:instrText>
          </w:r>
          <w:r>
            <w:rPr>
              <w:rFonts w:hint="eastAsia" w:ascii="宋体" w:hAnsi="宋体" w:cs="宋体"/>
              <w:b/>
              <w:bCs/>
              <w:sz w:val="21"/>
              <w:szCs w:val="40"/>
              <w:lang w:val="zh-CN"/>
            </w:rPr>
            <w:fldChar w:fldCharType="separate"/>
          </w:r>
          <w:r>
            <w:rPr>
              <w:rFonts w:hint="eastAsia" w:ascii="宋体" w:hAnsi="宋体" w:cs="宋体"/>
              <w:b/>
              <w:bCs/>
              <w:sz w:val="21"/>
              <w:szCs w:val="40"/>
              <w:lang w:val="zh-CN"/>
            </w:rPr>
            <w:t>第一部分  投标邀请</w:t>
          </w:r>
          <w:r>
            <w:rPr>
              <w:b/>
              <w:bCs/>
              <w:sz w:val="21"/>
              <w:szCs w:val="21"/>
            </w:rPr>
            <w:tab/>
          </w:r>
          <w:r>
            <w:rPr>
              <w:b/>
              <w:bCs/>
              <w:sz w:val="21"/>
              <w:szCs w:val="21"/>
            </w:rPr>
            <w:fldChar w:fldCharType="begin"/>
          </w:r>
          <w:r>
            <w:rPr>
              <w:b/>
              <w:bCs/>
              <w:sz w:val="21"/>
              <w:szCs w:val="21"/>
            </w:rPr>
            <w:instrText xml:space="preserve"> PAGEREF _Toc11007 \h </w:instrText>
          </w:r>
          <w:r>
            <w:rPr>
              <w:b/>
              <w:bCs/>
              <w:sz w:val="21"/>
              <w:szCs w:val="21"/>
            </w:rPr>
            <w:fldChar w:fldCharType="separate"/>
          </w:r>
          <w:r>
            <w:rPr>
              <w:b/>
              <w:bCs/>
              <w:sz w:val="21"/>
              <w:szCs w:val="21"/>
            </w:rPr>
            <w:t>1</w:t>
          </w:r>
          <w:r>
            <w:rPr>
              <w:b/>
              <w:bCs/>
              <w:sz w:val="21"/>
              <w:szCs w:val="21"/>
            </w:rPr>
            <w:fldChar w:fldCharType="end"/>
          </w:r>
          <w:r>
            <w:rPr>
              <w:rFonts w:hint="eastAsia" w:ascii="宋体" w:hAnsi="宋体" w:cs="宋体"/>
              <w:b/>
              <w:bCs/>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_Toc17487 </w:instrText>
          </w:r>
          <w:r>
            <w:rPr>
              <w:rFonts w:hint="eastAsia" w:ascii="宋体" w:hAnsi="宋体" w:cs="宋体"/>
              <w:sz w:val="21"/>
              <w:szCs w:val="40"/>
              <w:lang w:val="zh-CN"/>
            </w:rPr>
            <w:fldChar w:fldCharType="separate"/>
          </w:r>
          <w:r>
            <w:rPr>
              <w:rFonts w:hint="eastAsia" w:ascii="宋体" w:hAnsi="宋体" w:cs="宋体"/>
              <w:sz w:val="21"/>
              <w:szCs w:val="21"/>
              <w:lang w:val="zh-CN"/>
            </w:rPr>
            <w:t>一、说明</w:t>
          </w:r>
          <w:r>
            <w:rPr>
              <w:sz w:val="21"/>
              <w:szCs w:val="21"/>
            </w:rPr>
            <w:tab/>
          </w:r>
          <w:r>
            <w:rPr>
              <w:sz w:val="21"/>
              <w:szCs w:val="21"/>
            </w:rPr>
            <w:fldChar w:fldCharType="begin"/>
          </w:r>
          <w:r>
            <w:rPr>
              <w:sz w:val="21"/>
              <w:szCs w:val="21"/>
            </w:rPr>
            <w:instrText xml:space="preserve"> PAGEREF _Toc17487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_Toc18773 </w:instrText>
          </w:r>
          <w:r>
            <w:rPr>
              <w:rFonts w:hint="eastAsia" w:ascii="宋体" w:hAnsi="宋体" w:cs="宋体"/>
              <w:sz w:val="21"/>
              <w:szCs w:val="40"/>
              <w:lang w:val="zh-CN"/>
            </w:rPr>
            <w:fldChar w:fldCharType="separate"/>
          </w:r>
          <w:r>
            <w:rPr>
              <w:rFonts w:hint="eastAsia" w:ascii="宋体" w:hAnsi="宋体" w:cs="宋体"/>
              <w:sz w:val="21"/>
              <w:szCs w:val="32"/>
              <w:lang w:val="zh-CN"/>
            </w:rPr>
            <w:t>1.适用范围</w:t>
          </w:r>
          <w:r>
            <w:rPr>
              <w:sz w:val="21"/>
              <w:szCs w:val="21"/>
            </w:rPr>
            <w:tab/>
          </w:r>
          <w:r>
            <w:rPr>
              <w:sz w:val="21"/>
              <w:szCs w:val="21"/>
            </w:rPr>
            <w:fldChar w:fldCharType="begin"/>
          </w:r>
          <w:r>
            <w:rPr>
              <w:sz w:val="21"/>
              <w:szCs w:val="21"/>
            </w:rPr>
            <w:instrText xml:space="preserve"> PAGEREF _Toc18773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_Toc5389 </w:instrText>
          </w:r>
          <w:r>
            <w:rPr>
              <w:rFonts w:hint="eastAsia" w:ascii="宋体" w:hAnsi="宋体" w:cs="宋体"/>
              <w:sz w:val="21"/>
              <w:szCs w:val="40"/>
              <w:lang w:val="zh-CN"/>
            </w:rPr>
            <w:fldChar w:fldCharType="separate"/>
          </w:r>
          <w:r>
            <w:rPr>
              <w:rFonts w:hint="eastAsia" w:ascii="宋体" w:hAnsi="宋体" w:cs="宋体"/>
              <w:sz w:val="21"/>
              <w:szCs w:val="32"/>
              <w:lang w:val="zh-CN"/>
            </w:rPr>
            <w:t>2.采购方式、合格的投标人</w:t>
          </w:r>
          <w:r>
            <w:rPr>
              <w:sz w:val="21"/>
              <w:szCs w:val="21"/>
            </w:rPr>
            <w:tab/>
          </w:r>
          <w:r>
            <w:rPr>
              <w:sz w:val="21"/>
              <w:szCs w:val="21"/>
            </w:rPr>
            <w:fldChar w:fldCharType="begin"/>
          </w:r>
          <w:r>
            <w:rPr>
              <w:sz w:val="21"/>
              <w:szCs w:val="21"/>
            </w:rPr>
            <w:instrText xml:space="preserve"> PAGEREF _Toc5389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_Toc30843 </w:instrText>
          </w:r>
          <w:r>
            <w:rPr>
              <w:rFonts w:hint="eastAsia" w:ascii="宋体" w:hAnsi="宋体" w:cs="宋体"/>
              <w:sz w:val="21"/>
              <w:szCs w:val="40"/>
              <w:lang w:val="zh-CN"/>
            </w:rPr>
            <w:fldChar w:fldCharType="separate"/>
          </w:r>
          <w:r>
            <w:rPr>
              <w:rFonts w:hint="eastAsia" w:ascii="宋体" w:hAnsi="宋体" w:cs="宋体"/>
              <w:sz w:val="21"/>
              <w:szCs w:val="32"/>
              <w:lang w:val="zh-CN"/>
            </w:rPr>
            <w:t>3.投标费用</w:t>
          </w:r>
          <w:r>
            <w:rPr>
              <w:sz w:val="21"/>
              <w:szCs w:val="21"/>
            </w:rPr>
            <w:tab/>
          </w:r>
          <w:r>
            <w:rPr>
              <w:sz w:val="21"/>
              <w:szCs w:val="21"/>
            </w:rPr>
            <w:fldChar w:fldCharType="begin"/>
          </w:r>
          <w:r>
            <w:rPr>
              <w:sz w:val="21"/>
              <w:szCs w:val="21"/>
            </w:rPr>
            <w:instrText xml:space="preserve"> PAGEREF _Toc30843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_Toc13730 </w:instrText>
          </w:r>
          <w:r>
            <w:rPr>
              <w:rFonts w:hint="eastAsia" w:ascii="宋体" w:hAnsi="宋体" w:cs="宋体"/>
              <w:sz w:val="21"/>
              <w:szCs w:val="40"/>
              <w:lang w:val="zh-CN"/>
            </w:rPr>
            <w:fldChar w:fldCharType="separate"/>
          </w:r>
          <w:r>
            <w:rPr>
              <w:rFonts w:hint="eastAsia" w:ascii="宋体" w:hAnsi="宋体" w:cs="宋体"/>
              <w:sz w:val="21"/>
              <w:szCs w:val="21"/>
              <w:lang w:val="zh-CN"/>
            </w:rPr>
            <w:t>二、招标文件说明</w:t>
          </w:r>
          <w:r>
            <w:rPr>
              <w:sz w:val="21"/>
              <w:szCs w:val="21"/>
            </w:rPr>
            <w:tab/>
          </w:r>
          <w:r>
            <w:rPr>
              <w:sz w:val="21"/>
              <w:szCs w:val="21"/>
            </w:rPr>
            <w:fldChar w:fldCharType="begin"/>
          </w:r>
          <w:r>
            <w:rPr>
              <w:sz w:val="21"/>
              <w:szCs w:val="21"/>
            </w:rPr>
            <w:instrText xml:space="preserve"> PAGEREF _Toc13730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_Toc22091 </w:instrText>
          </w:r>
          <w:r>
            <w:rPr>
              <w:rFonts w:hint="eastAsia" w:ascii="宋体" w:hAnsi="宋体" w:cs="宋体"/>
              <w:sz w:val="21"/>
              <w:szCs w:val="40"/>
              <w:lang w:val="zh-CN"/>
            </w:rPr>
            <w:fldChar w:fldCharType="separate"/>
          </w:r>
          <w:r>
            <w:rPr>
              <w:rFonts w:hint="eastAsia" w:ascii="宋体" w:hAnsi="宋体" w:cs="宋体"/>
              <w:sz w:val="21"/>
              <w:szCs w:val="32"/>
              <w:lang w:val="zh-CN"/>
            </w:rPr>
            <w:t>4.招标文件的构成</w:t>
          </w:r>
          <w:r>
            <w:rPr>
              <w:sz w:val="21"/>
              <w:szCs w:val="21"/>
            </w:rPr>
            <w:tab/>
          </w:r>
          <w:r>
            <w:rPr>
              <w:sz w:val="21"/>
              <w:szCs w:val="21"/>
            </w:rPr>
            <w:fldChar w:fldCharType="begin"/>
          </w:r>
          <w:r>
            <w:rPr>
              <w:sz w:val="21"/>
              <w:szCs w:val="21"/>
            </w:rPr>
            <w:instrText xml:space="preserve"> PAGEREF _Toc22091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_Toc167 </w:instrText>
          </w:r>
          <w:r>
            <w:rPr>
              <w:rFonts w:hint="eastAsia" w:ascii="宋体" w:hAnsi="宋体" w:cs="宋体"/>
              <w:sz w:val="21"/>
              <w:szCs w:val="40"/>
              <w:lang w:val="zh-CN"/>
            </w:rPr>
            <w:fldChar w:fldCharType="separate"/>
          </w:r>
          <w:r>
            <w:rPr>
              <w:rFonts w:hint="eastAsia" w:ascii="宋体" w:hAnsi="宋体" w:cs="宋体"/>
              <w:sz w:val="21"/>
              <w:szCs w:val="32"/>
              <w:lang w:val="zh-CN"/>
            </w:rPr>
            <w:t>5.</w:t>
          </w:r>
          <w:r>
            <w:rPr>
              <w:rFonts w:hint="eastAsia"/>
              <w:sz w:val="21"/>
              <w:szCs w:val="21"/>
            </w:rPr>
            <w:t xml:space="preserve"> </w:t>
          </w:r>
          <w:r>
            <w:rPr>
              <w:rFonts w:hint="eastAsia" w:ascii="宋体" w:hAnsi="宋体" w:cs="宋体"/>
              <w:sz w:val="21"/>
              <w:szCs w:val="32"/>
              <w:lang w:val="zh-CN"/>
            </w:rPr>
            <w:t>招标文件、采购活动和中标结果的质疑</w:t>
          </w:r>
          <w:r>
            <w:rPr>
              <w:sz w:val="21"/>
              <w:szCs w:val="21"/>
            </w:rPr>
            <w:tab/>
          </w:r>
          <w:r>
            <w:rPr>
              <w:sz w:val="21"/>
              <w:szCs w:val="21"/>
            </w:rPr>
            <w:fldChar w:fldCharType="begin"/>
          </w:r>
          <w:r>
            <w:rPr>
              <w:sz w:val="21"/>
              <w:szCs w:val="21"/>
            </w:rPr>
            <w:instrText xml:space="preserve"> PAGEREF _Toc167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_Toc24188 </w:instrText>
          </w:r>
          <w:r>
            <w:rPr>
              <w:rFonts w:hint="eastAsia" w:ascii="宋体" w:hAnsi="宋体" w:cs="宋体"/>
              <w:sz w:val="21"/>
              <w:szCs w:val="40"/>
              <w:lang w:val="zh-CN"/>
            </w:rPr>
            <w:fldChar w:fldCharType="separate"/>
          </w:r>
          <w:r>
            <w:rPr>
              <w:rFonts w:hint="eastAsia" w:ascii="宋体" w:hAnsi="宋体" w:cs="宋体"/>
              <w:sz w:val="21"/>
              <w:szCs w:val="32"/>
              <w:lang w:val="zh-CN"/>
            </w:rPr>
            <w:t>6.招标文件的澄清或修改</w:t>
          </w:r>
          <w:r>
            <w:rPr>
              <w:sz w:val="21"/>
              <w:szCs w:val="21"/>
            </w:rPr>
            <w:tab/>
          </w:r>
          <w:r>
            <w:rPr>
              <w:sz w:val="21"/>
              <w:szCs w:val="21"/>
            </w:rPr>
            <w:fldChar w:fldCharType="begin"/>
          </w:r>
          <w:r>
            <w:rPr>
              <w:sz w:val="21"/>
              <w:szCs w:val="21"/>
            </w:rPr>
            <w:instrText xml:space="preserve"> PAGEREF _Toc24188 \h </w:instrText>
          </w:r>
          <w:r>
            <w:rPr>
              <w:sz w:val="21"/>
              <w:szCs w:val="21"/>
            </w:rPr>
            <w:fldChar w:fldCharType="separate"/>
          </w:r>
          <w:r>
            <w:rPr>
              <w:sz w:val="21"/>
              <w:szCs w:val="21"/>
            </w:rPr>
            <w:t>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_Toc26737 </w:instrText>
          </w:r>
          <w:r>
            <w:rPr>
              <w:rFonts w:hint="eastAsia" w:ascii="宋体" w:hAnsi="宋体" w:cs="宋体"/>
              <w:sz w:val="21"/>
              <w:szCs w:val="40"/>
              <w:lang w:val="zh-CN"/>
            </w:rPr>
            <w:fldChar w:fldCharType="separate"/>
          </w:r>
          <w:r>
            <w:rPr>
              <w:rFonts w:hint="eastAsia" w:ascii="宋体" w:hAnsi="宋体" w:cs="宋体"/>
              <w:sz w:val="21"/>
              <w:szCs w:val="21"/>
              <w:lang w:val="zh-CN"/>
            </w:rPr>
            <w:t>三、投标文件的编制</w:t>
          </w:r>
          <w:r>
            <w:rPr>
              <w:sz w:val="21"/>
              <w:szCs w:val="21"/>
            </w:rPr>
            <w:tab/>
          </w:r>
          <w:r>
            <w:rPr>
              <w:sz w:val="21"/>
              <w:szCs w:val="21"/>
            </w:rPr>
            <w:fldChar w:fldCharType="begin"/>
          </w:r>
          <w:r>
            <w:rPr>
              <w:sz w:val="21"/>
              <w:szCs w:val="21"/>
            </w:rPr>
            <w:instrText xml:space="preserve"> PAGEREF _Toc26737 \h </w:instrText>
          </w:r>
          <w:r>
            <w:rPr>
              <w:sz w:val="21"/>
              <w:szCs w:val="21"/>
            </w:rPr>
            <w:fldChar w:fldCharType="separate"/>
          </w:r>
          <w:r>
            <w:rPr>
              <w:sz w:val="21"/>
              <w:szCs w:val="21"/>
            </w:rPr>
            <w:t>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_Toc29091 </w:instrText>
          </w:r>
          <w:r>
            <w:rPr>
              <w:rFonts w:hint="eastAsia" w:ascii="宋体" w:hAnsi="宋体" w:cs="宋体"/>
              <w:sz w:val="21"/>
              <w:szCs w:val="40"/>
              <w:lang w:val="zh-CN"/>
            </w:rPr>
            <w:fldChar w:fldCharType="separate"/>
          </w:r>
          <w:r>
            <w:rPr>
              <w:rFonts w:hint="eastAsia" w:ascii="宋体" w:hAnsi="宋体" w:cs="宋体"/>
              <w:sz w:val="21"/>
              <w:szCs w:val="32"/>
              <w:lang w:val="zh-CN"/>
            </w:rPr>
            <w:t>7.投标文件的语言及度量衡单位</w:t>
          </w:r>
          <w:r>
            <w:rPr>
              <w:sz w:val="21"/>
              <w:szCs w:val="21"/>
            </w:rPr>
            <w:tab/>
          </w:r>
          <w:r>
            <w:rPr>
              <w:sz w:val="21"/>
              <w:szCs w:val="21"/>
            </w:rPr>
            <w:fldChar w:fldCharType="begin"/>
          </w:r>
          <w:r>
            <w:rPr>
              <w:sz w:val="21"/>
              <w:szCs w:val="21"/>
            </w:rPr>
            <w:instrText xml:space="preserve"> PAGEREF _Toc29091 \h </w:instrText>
          </w:r>
          <w:r>
            <w:rPr>
              <w:sz w:val="21"/>
              <w:szCs w:val="21"/>
            </w:rPr>
            <w:fldChar w:fldCharType="separate"/>
          </w:r>
          <w:r>
            <w:rPr>
              <w:sz w:val="21"/>
              <w:szCs w:val="21"/>
            </w:rPr>
            <w:t>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_Toc27790 </w:instrText>
          </w:r>
          <w:r>
            <w:rPr>
              <w:rFonts w:hint="eastAsia" w:ascii="宋体" w:hAnsi="宋体" w:cs="宋体"/>
              <w:sz w:val="21"/>
              <w:szCs w:val="40"/>
              <w:lang w:val="zh-CN"/>
            </w:rPr>
            <w:fldChar w:fldCharType="separate"/>
          </w:r>
          <w:r>
            <w:rPr>
              <w:rFonts w:hint="eastAsia" w:ascii="宋体" w:hAnsi="宋体" w:cs="宋体"/>
              <w:sz w:val="21"/>
              <w:szCs w:val="32"/>
              <w:lang w:val="zh-CN"/>
            </w:rPr>
            <w:t>8.投标报价及币种</w:t>
          </w:r>
          <w:r>
            <w:rPr>
              <w:sz w:val="21"/>
              <w:szCs w:val="21"/>
            </w:rPr>
            <w:tab/>
          </w:r>
          <w:r>
            <w:rPr>
              <w:sz w:val="21"/>
              <w:szCs w:val="21"/>
            </w:rPr>
            <w:fldChar w:fldCharType="begin"/>
          </w:r>
          <w:r>
            <w:rPr>
              <w:sz w:val="21"/>
              <w:szCs w:val="21"/>
            </w:rPr>
            <w:instrText xml:space="preserve"> PAGEREF _Toc27790 \h </w:instrText>
          </w:r>
          <w:r>
            <w:rPr>
              <w:sz w:val="21"/>
              <w:szCs w:val="21"/>
            </w:rPr>
            <w:fldChar w:fldCharType="separate"/>
          </w:r>
          <w:r>
            <w:rPr>
              <w:sz w:val="21"/>
              <w:szCs w:val="21"/>
            </w:rPr>
            <w:t>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_Toc21813 </w:instrText>
          </w:r>
          <w:r>
            <w:rPr>
              <w:rFonts w:hint="eastAsia" w:ascii="宋体" w:hAnsi="宋体" w:cs="宋体"/>
              <w:sz w:val="21"/>
              <w:szCs w:val="40"/>
              <w:lang w:val="zh-CN"/>
            </w:rPr>
            <w:fldChar w:fldCharType="separate"/>
          </w:r>
          <w:r>
            <w:rPr>
              <w:rFonts w:hint="eastAsia" w:ascii="宋体" w:hAnsi="宋体" w:cs="宋体"/>
              <w:sz w:val="21"/>
              <w:szCs w:val="32"/>
              <w:lang w:val="zh-CN"/>
            </w:rPr>
            <w:t>9.投标保证金</w:t>
          </w:r>
          <w:r>
            <w:rPr>
              <w:sz w:val="21"/>
              <w:szCs w:val="21"/>
            </w:rPr>
            <w:tab/>
          </w:r>
          <w:r>
            <w:rPr>
              <w:sz w:val="21"/>
              <w:szCs w:val="21"/>
            </w:rPr>
            <w:fldChar w:fldCharType="begin"/>
          </w:r>
          <w:r>
            <w:rPr>
              <w:sz w:val="21"/>
              <w:szCs w:val="21"/>
            </w:rPr>
            <w:instrText xml:space="preserve"> PAGEREF _Toc21813 \h </w:instrText>
          </w:r>
          <w:r>
            <w:rPr>
              <w:sz w:val="21"/>
              <w:szCs w:val="21"/>
            </w:rPr>
            <w:fldChar w:fldCharType="separate"/>
          </w:r>
          <w:r>
            <w:rPr>
              <w:sz w:val="21"/>
              <w:szCs w:val="21"/>
            </w:rPr>
            <w:t>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_Toc30775 </w:instrText>
          </w:r>
          <w:r>
            <w:rPr>
              <w:rFonts w:hint="eastAsia" w:ascii="宋体" w:hAnsi="宋体" w:cs="宋体"/>
              <w:sz w:val="21"/>
              <w:szCs w:val="40"/>
              <w:lang w:val="zh-CN"/>
            </w:rPr>
            <w:fldChar w:fldCharType="separate"/>
          </w:r>
          <w:r>
            <w:rPr>
              <w:rFonts w:hint="eastAsia" w:ascii="宋体" w:hAnsi="宋体" w:cs="宋体"/>
              <w:sz w:val="21"/>
              <w:szCs w:val="32"/>
              <w:lang w:val="zh-CN"/>
            </w:rPr>
            <w:t>10.投标有效期</w:t>
          </w:r>
          <w:r>
            <w:rPr>
              <w:sz w:val="21"/>
              <w:szCs w:val="21"/>
            </w:rPr>
            <w:tab/>
          </w:r>
          <w:r>
            <w:rPr>
              <w:sz w:val="21"/>
              <w:szCs w:val="21"/>
            </w:rPr>
            <w:fldChar w:fldCharType="begin"/>
          </w:r>
          <w:r>
            <w:rPr>
              <w:sz w:val="21"/>
              <w:szCs w:val="21"/>
            </w:rPr>
            <w:instrText xml:space="preserve"> PAGEREF _Toc30775 \h </w:instrText>
          </w:r>
          <w:r>
            <w:rPr>
              <w:sz w:val="21"/>
              <w:szCs w:val="21"/>
            </w:rPr>
            <w:fldChar w:fldCharType="separate"/>
          </w:r>
          <w:r>
            <w:rPr>
              <w:sz w:val="21"/>
              <w:szCs w:val="21"/>
            </w:rPr>
            <w:t>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_Toc31933 </w:instrText>
          </w:r>
          <w:r>
            <w:rPr>
              <w:rFonts w:hint="eastAsia" w:ascii="宋体" w:hAnsi="宋体" w:cs="宋体"/>
              <w:sz w:val="21"/>
              <w:szCs w:val="40"/>
              <w:lang w:val="zh-CN"/>
            </w:rPr>
            <w:fldChar w:fldCharType="separate"/>
          </w:r>
          <w:r>
            <w:rPr>
              <w:rFonts w:hint="eastAsia" w:ascii="宋体" w:hAnsi="宋体" w:cs="宋体"/>
              <w:sz w:val="21"/>
              <w:szCs w:val="32"/>
              <w:lang w:val="zh-CN"/>
            </w:rPr>
            <w:t>11.投标文件构成</w:t>
          </w:r>
          <w:r>
            <w:rPr>
              <w:sz w:val="21"/>
              <w:szCs w:val="21"/>
            </w:rPr>
            <w:tab/>
          </w:r>
          <w:r>
            <w:rPr>
              <w:sz w:val="21"/>
              <w:szCs w:val="21"/>
            </w:rPr>
            <w:fldChar w:fldCharType="begin"/>
          </w:r>
          <w:r>
            <w:rPr>
              <w:sz w:val="21"/>
              <w:szCs w:val="21"/>
            </w:rPr>
            <w:instrText xml:space="preserve"> PAGEREF _Toc31933 \h </w:instrText>
          </w:r>
          <w:r>
            <w:rPr>
              <w:sz w:val="21"/>
              <w:szCs w:val="21"/>
            </w:rPr>
            <w:fldChar w:fldCharType="separate"/>
          </w:r>
          <w:r>
            <w:rPr>
              <w:sz w:val="21"/>
              <w:szCs w:val="21"/>
            </w:rPr>
            <w:t>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_Toc22836 </w:instrText>
          </w:r>
          <w:r>
            <w:rPr>
              <w:rFonts w:hint="eastAsia" w:ascii="宋体" w:hAnsi="宋体" w:cs="宋体"/>
              <w:sz w:val="21"/>
              <w:szCs w:val="40"/>
              <w:lang w:val="zh-CN"/>
            </w:rPr>
            <w:fldChar w:fldCharType="separate"/>
          </w:r>
          <w:r>
            <w:rPr>
              <w:rFonts w:hint="eastAsia" w:ascii="宋体" w:hAnsi="宋体" w:cs="宋体"/>
              <w:sz w:val="21"/>
              <w:szCs w:val="32"/>
              <w:lang w:val="zh-CN"/>
            </w:rPr>
            <w:t>12.投标文件的编制要求</w:t>
          </w:r>
          <w:r>
            <w:rPr>
              <w:sz w:val="21"/>
              <w:szCs w:val="21"/>
            </w:rPr>
            <w:tab/>
          </w:r>
          <w:r>
            <w:rPr>
              <w:sz w:val="21"/>
              <w:szCs w:val="21"/>
            </w:rPr>
            <w:fldChar w:fldCharType="begin"/>
          </w:r>
          <w:r>
            <w:rPr>
              <w:sz w:val="21"/>
              <w:szCs w:val="21"/>
            </w:rPr>
            <w:instrText xml:space="preserve"> PAGEREF _Toc22836 \h </w:instrText>
          </w:r>
          <w:r>
            <w:rPr>
              <w:sz w:val="21"/>
              <w:szCs w:val="21"/>
            </w:rPr>
            <w:fldChar w:fldCharType="separate"/>
          </w:r>
          <w:r>
            <w:rPr>
              <w:sz w:val="21"/>
              <w:szCs w:val="21"/>
            </w:rPr>
            <w:t>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_Toc11684 </w:instrText>
          </w:r>
          <w:r>
            <w:rPr>
              <w:rFonts w:hint="eastAsia" w:ascii="宋体" w:hAnsi="宋体" w:cs="宋体"/>
              <w:sz w:val="21"/>
              <w:szCs w:val="40"/>
              <w:lang w:val="zh-CN"/>
            </w:rPr>
            <w:fldChar w:fldCharType="separate"/>
          </w:r>
          <w:r>
            <w:rPr>
              <w:rFonts w:hint="eastAsia" w:ascii="宋体" w:hAnsi="宋体" w:cs="宋体"/>
              <w:sz w:val="21"/>
              <w:szCs w:val="21"/>
              <w:lang w:val="zh-CN"/>
            </w:rPr>
            <w:t>四、投标文件的提交</w:t>
          </w:r>
          <w:r>
            <w:rPr>
              <w:sz w:val="21"/>
              <w:szCs w:val="21"/>
            </w:rPr>
            <w:tab/>
          </w:r>
          <w:r>
            <w:rPr>
              <w:sz w:val="21"/>
              <w:szCs w:val="21"/>
            </w:rPr>
            <w:fldChar w:fldCharType="begin"/>
          </w:r>
          <w:r>
            <w:rPr>
              <w:sz w:val="21"/>
              <w:szCs w:val="21"/>
            </w:rPr>
            <w:instrText xml:space="preserve"> PAGEREF _Toc11684 \h </w:instrText>
          </w:r>
          <w:r>
            <w:rPr>
              <w:sz w:val="21"/>
              <w:szCs w:val="21"/>
            </w:rPr>
            <w:fldChar w:fldCharType="separate"/>
          </w:r>
          <w:r>
            <w:rPr>
              <w:sz w:val="21"/>
              <w:szCs w:val="21"/>
            </w:rPr>
            <w:t>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_Toc15113 </w:instrText>
          </w:r>
          <w:r>
            <w:rPr>
              <w:rFonts w:hint="eastAsia" w:ascii="宋体" w:hAnsi="宋体" w:cs="宋体"/>
              <w:sz w:val="21"/>
              <w:szCs w:val="40"/>
              <w:lang w:val="zh-CN"/>
            </w:rPr>
            <w:fldChar w:fldCharType="separate"/>
          </w:r>
          <w:r>
            <w:rPr>
              <w:rFonts w:hint="eastAsia" w:ascii="宋体" w:hAnsi="宋体" w:cs="宋体"/>
              <w:sz w:val="21"/>
              <w:szCs w:val="32"/>
              <w:lang w:val="zh-CN"/>
            </w:rPr>
            <w:t>13.投标文件的密封和标记</w:t>
          </w:r>
          <w:r>
            <w:rPr>
              <w:sz w:val="21"/>
              <w:szCs w:val="21"/>
            </w:rPr>
            <w:tab/>
          </w:r>
          <w:r>
            <w:rPr>
              <w:sz w:val="21"/>
              <w:szCs w:val="21"/>
            </w:rPr>
            <w:fldChar w:fldCharType="begin"/>
          </w:r>
          <w:r>
            <w:rPr>
              <w:sz w:val="21"/>
              <w:szCs w:val="21"/>
            </w:rPr>
            <w:instrText xml:space="preserve"> PAGEREF _Toc15113 \h </w:instrText>
          </w:r>
          <w:r>
            <w:rPr>
              <w:sz w:val="21"/>
              <w:szCs w:val="21"/>
            </w:rPr>
            <w:fldChar w:fldCharType="separate"/>
          </w:r>
          <w:r>
            <w:rPr>
              <w:sz w:val="21"/>
              <w:szCs w:val="21"/>
            </w:rPr>
            <w:t>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_Toc23089 </w:instrText>
          </w:r>
          <w:r>
            <w:rPr>
              <w:rFonts w:hint="eastAsia" w:ascii="宋体" w:hAnsi="宋体" w:cs="宋体"/>
              <w:sz w:val="21"/>
              <w:szCs w:val="40"/>
              <w:lang w:val="zh-CN"/>
            </w:rPr>
            <w:fldChar w:fldCharType="separate"/>
          </w:r>
          <w:r>
            <w:rPr>
              <w:rFonts w:hint="eastAsia" w:ascii="宋体" w:hAnsi="宋体" w:cs="宋体"/>
              <w:sz w:val="21"/>
              <w:szCs w:val="32"/>
              <w:lang w:val="zh-CN"/>
            </w:rPr>
            <w:t>14.</w:t>
          </w:r>
          <w:r>
            <w:rPr>
              <w:rFonts w:hint="eastAsia"/>
              <w:sz w:val="21"/>
              <w:szCs w:val="21"/>
            </w:rPr>
            <w:t xml:space="preserve"> </w:t>
          </w:r>
          <w:r>
            <w:rPr>
              <w:rFonts w:hint="eastAsia" w:ascii="宋体" w:hAnsi="宋体" w:cs="宋体"/>
              <w:sz w:val="21"/>
              <w:szCs w:val="32"/>
              <w:lang w:val="zh-CN"/>
            </w:rPr>
            <w:t>提交投标文件的时间、地点、方式</w:t>
          </w:r>
          <w:r>
            <w:rPr>
              <w:sz w:val="21"/>
              <w:szCs w:val="21"/>
            </w:rPr>
            <w:tab/>
          </w:r>
          <w:r>
            <w:rPr>
              <w:sz w:val="21"/>
              <w:szCs w:val="21"/>
            </w:rPr>
            <w:fldChar w:fldCharType="begin"/>
          </w:r>
          <w:r>
            <w:rPr>
              <w:sz w:val="21"/>
              <w:szCs w:val="21"/>
            </w:rPr>
            <w:instrText xml:space="preserve"> PAGEREF _Toc23089 \h </w:instrText>
          </w:r>
          <w:r>
            <w:rPr>
              <w:sz w:val="21"/>
              <w:szCs w:val="21"/>
            </w:rPr>
            <w:fldChar w:fldCharType="separate"/>
          </w:r>
          <w:r>
            <w:rPr>
              <w:sz w:val="21"/>
              <w:szCs w:val="21"/>
            </w:rPr>
            <w:t>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_Toc12387 </w:instrText>
          </w:r>
          <w:r>
            <w:rPr>
              <w:rFonts w:hint="eastAsia" w:ascii="宋体" w:hAnsi="宋体" w:cs="宋体"/>
              <w:sz w:val="21"/>
              <w:szCs w:val="40"/>
              <w:lang w:val="zh-CN"/>
            </w:rPr>
            <w:fldChar w:fldCharType="separate"/>
          </w:r>
          <w:r>
            <w:rPr>
              <w:rFonts w:hint="eastAsia" w:ascii="宋体" w:hAnsi="宋体" w:cs="宋体"/>
              <w:sz w:val="21"/>
              <w:szCs w:val="32"/>
              <w:lang w:val="zh-CN"/>
            </w:rPr>
            <w:t>15.投标文件的补充、修改或者撤回</w:t>
          </w:r>
          <w:r>
            <w:rPr>
              <w:sz w:val="21"/>
              <w:szCs w:val="21"/>
            </w:rPr>
            <w:tab/>
          </w:r>
          <w:r>
            <w:rPr>
              <w:sz w:val="21"/>
              <w:szCs w:val="21"/>
            </w:rPr>
            <w:fldChar w:fldCharType="begin"/>
          </w:r>
          <w:r>
            <w:rPr>
              <w:sz w:val="21"/>
              <w:szCs w:val="21"/>
            </w:rPr>
            <w:instrText xml:space="preserve"> PAGEREF _Toc12387 \h </w:instrText>
          </w:r>
          <w:r>
            <w:rPr>
              <w:sz w:val="21"/>
              <w:szCs w:val="21"/>
            </w:rPr>
            <w:fldChar w:fldCharType="separate"/>
          </w:r>
          <w:r>
            <w:rPr>
              <w:sz w:val="21"/>
              <w:szCs w:val="21"/>
            </w:rPr>
            <w:t>9</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_Toc13753 </w:instrText>
          </w:r>
          <w:r>
            <w:rPr>
              <w:rFonts w:hint="eastAsia" w:ascii="宋体" w:hAnsi="宋体" w:cs="宋体"/>
              <w:sz w:val="21"/>
              <w:szCs w:val="40"/>
              <w:lang w:val="zh-CN"/>
            </w:rPr>
            <w:fldChar w:fldCharType="separate"/>
          </w:r>
          <w:r>
            <w:rPr>
              <w:rFonts w:hint="eastAsia" w:ascii="宋体" w:hAnsi="宋体" w:cs="宋体"/>
              <w:sz w:val="21"/>
              <w:szCs w:val="21"/>
              <w:lang w:val="zh-CN"/>
            </w:rPr>
            <w:t>五、开标</w:t>
          </w:r>
          <w:r>
            <w:rPr>
              <w:sz w:val="21"/>
              <w:szCs w:val="21"/>
            </w:rPr>
            <w:tab/>
          </w:r>
          <w:r>
            <w:rPr>
              <w:sz w:val="21"/>
              <w:szCs w:val="21"/>
            </w:rPr>
            <w:fldChar w:fldCharType="begin"/>
          </w:r>
          <w:r>
            <w:rPr>
              <w:sz w:val="21"/>
              <w:szCs w:val="21"/>
            </w:rPr>
            <w:instrText xml:space="preserve"> PAGEREF _Toc13753 \h </w:instrText>
          </w:r>
          <w:r>
            <w:rPr>
              <w:sz w:val="21"/>
              <w:szCs w:val="21"/>
            </w:rPr>
            <w:fldChar w:fldCharType="separate"/>
          </w:r>
          <w:r>
            <w:rPr>
              <w:sz w:val="21"/>
              <w:szCs w:val="21"/>
            </w:rPr>
            <w:t>9</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_Toc25891 </w:instrText>
          </w:r>
          <w:r>
            <w:rPr>
              <w:rFonts w:hint="eastAsia" w:ascii="宋体" w:hAnsi="宋体" w:cs="宋体"/>
              <w:sz w:val="21"/>
              <w:szCs w:val="40"/>
              <w:lang w:val="zh-CN"/>
            </w:rPr>
            <w:fldChar w:fldCharType="separate"/>
          </w:r>
          <w:r>
            <w:rPr>
              <w:rFonts w:hint="eastAsia" w:ascii="宋体" w:hAnsi="宋体" w:cs="宋体"/>
              <w:sz w:val="21"/>
              <w:szCs w:val="32"/>
              <w:lang w:val="zh-CN"/>
            </w:rPr>
            <w:t>16.开标</w:t>
          </w:r>
          <w:r>
            <w:rPr>
              <w:sz w:val="21"/>
              <w:szCs w:val="21"/>
            </w:rPr>
            <w:tab/>
          </w:r>
          <w:r>
            <w:rPr>
              <w:sz w:val="21"/>
              <w:szCs w:val="21"/>
            </w:rPr>
            <w:fldChar w:fldCharType="begin"/>
          </w:r>
          <w:r>
            <w:rPr>
              <w:sz w:val="21"/>
              <w:szCs w:val="21"/>
            </w:rPr>
            <w:instrText xml:space="preserve"> PAGEREF _Toc25891 \h </w:instrText>
          </w:r>
          <w:r>
            <w:rPr>
              <w:sz w:val="21"/>
              <w:szCs w:val="21"/>
            </w:rPr>
            <w:fldChar w:fldCharType="separate"/>
          </w:r>
          <w:r>
            <w:rPr>
              <w:sz w:val="21"/>
              <w:szCs w:val="21"/>
            </w:rPr>
            <w:t>9</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_Toc21265 </w:instrText>
          </w:r>
          <w:r>
            <w:rPr>
              <w:rFonts w:hint="eastAsia" w:ascii="宋体" w:hAnsi="宋体" w:cs="宋体"/>
              <w:sz w:val="21"/>
              <w:szCs w:val="40"/>
              <w:lang w:val="zh-CN"/>
            </w:rPr>
            <w:fldChar w:fldCharType="separate"/>
          </w:r>
          <w:r>
            <w:rPr>
              <w:rFonts w:hint="eastAsia" w:ascii="宋体" w:hAnsi="宋体" w:cs="宋体"/>
              <w:kern w:val="0"/>
              <w:sz w:val="21"/>
              <w:szCs w:val="40"/>
            </w:rPr>
            <w:t>六、资格</w:t>
          </w:r>
          <w:r>
            <w:rPr>
              <w:rFonts w:hint="eastAsia" w:ascii="宋体" w:hAnsi="宋体" w:cs="宋体"/>
              <w:sz w:val="21"/>
              <w:szCs w:val="21"/>
              <w:lang w:val="zh-CN"/>
            </w:rPr>
            <w:t>审查</w:t>
          </w:r>
          <w:r>
            <w:rPr>
              <w:rFonts w:hint="eastAsia" w:ascii="宋体" w:hAnsi="宋体" w:cs="宋体"/>
              <w:kern w:val="0"/>
              <w:sz w:val="21"/>
              <w:szCs w:val="40"/>
            </w:rPr>
            <w:t>程序</w:t>
          </w:r>
          <w:r>
            <w:rPr>
              <w:sz w:val="21"/>
              <w:szCs w:val="21"/>
            </w:rPr>
            <w:tab/>
          </w:r>
          <w:r>
            <w:rPr>
              <w:sz w:val="21"/>
              <w:szCs w:val="21"/>
            </w:rPr>
            <w:fldChar w:fldCharType="begin"/>
          </w:r>
          <w:r>
            <w:rPr>
              <w:sz w:val="21"/>
              <w:szCs w:val="21"/>
            </w:rPr>
            <w:instrText xml:space="preserve"> PAGEREF _Toc21265 \h </w:instrText>
          </w:r>
          <w:r>
            <w:rPr>
              <w:sz w:val="21"/>
              <w:szCs w:val="21"/>
            </w:rPr>
            <w:fldChar w:fldCharType="separate"/>
          </w:r>
          <w:r>
            <w:rPr>
              <w:sz w:val="21"/>
              <w:szCs w:val="21"/>
            </w:rPr>
            <w:t>10</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_Toc9588 </w:instrText>
          </w:r>
          <w:r>
            <w:rPr>
              <w:rFonts w:hint="eastAsia" w:ascii="宋体" w:hAnsi="宋体" w:cs="宋体"/>
              <w:sz w:val="21"/>
              <w:szCs w:val="40"/>
              <w:lang w:val="zh-CN"/>
            </w:rPr>
            <w:fldChar w:fldCharType="separate"/>
          </w:r>
          <w:r>
            <w:rPr>
              <w:rFonts w:hint="eastAsia" w:ascii="宋体" w:hAnsi="宋体" w:cs="宋体"/>
              <w:sz w:val="21"/>
              <w:szCs w:val="32"/>
            </w:rPr>
            <w:t>17.资格审查</w:t>
          </w:r>
          <w:r>
            <w:rPr>
              <w:sz w:val="21"/>
              <w:szCs w:val="21"/>
            </w:rPr>
            <w:tab/>
          </w:r>
          <w:r>
            <w:rPr>
              <w:sz w:val="21"/>
              <w:szCs w:val="21"/>
            </w:rPr>
            <w:fldChar w:fldCharType="begin"/>
          </w:r>
          <w:r>
            <w:rPr>
              <w:sz w:val="21"/>
              <w:szCs w:val="21"/>
            </w:rPr>
            <w:instrText xml:space="preserve"> PAGEREF _Toc9588 \h </w:instrText>
          </w:r>
          <w:r>
            <w:rPr>
              <w:sz w:val="21"/>
              <w:szCs w:val="21"/>
            </w:rPr>
            <w:fldChar w:fldCharType="separate"/>
          </w:r>
          <w:r>
            <w:rPr>
              <w:sz w:val="21"/>
              <w:szCs w:val="21"/>
            </w:rPr>
            <w:t>10</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_Toc26554 </w:instrText>
          </w:r>
          <w:r>
            <w:rPr>
              <w:rFonts w:hint="eastAsia" w:ascii="宋体" w:hAnsi="宋体" w:cs="宋体"/>
              <w:sz w:val="21"/>
              <w:szCs w:val="40"/>
              <w:lang w:val="zh-CN"/>
            </w:rPr>
            <w:fldChar w:fldCharType="separate"/>
          </w:r>
          <w:r>
            <w:rPr>
              <w:rFonts w:hint="eastAsia" w:ascii="宋体" w:hAnsi="宋体" w:cs="宋体"/>
              <w:sz w:val="21"/>
              <w:szCs w:val="21"/>
              <w:lang w:val="zh-CN"/>
            </w:rPr>
            <w:t>七、评审程序及方法</w:t>
          </w:r>
          <w:r>
            <w:rPr>
              <w:sz w:val="21"/>
              <w:szCs w:val="21"/>
            </w:rPr>
            <w:tab/>
          </w:r>
          <w:r>
            <w:rPr>
              <w:sz w:val="21"/>
              <w:szCs w:val="21"/>
            </w:rPr>
            <w:fldChar w:fldCharType="begin"/>
          </w:r>
          <w:r>
            <w:rPr>
              <w:sz w:val="21"/>
              <w:szCs w:val="21"/>
            </w:rPr>
            <w:instrText xml:space="preserve"> PAGEREF _Toc26554 \h </w:instrText>
          </w:r>
          <w:r>
            <w:rPr>
              <w:sz w:val="21"/>
              <w:szCs w:val="21"/>
            </w:rPr>
            <w:fldChar w:fldCharType="separate"/>
          </w:r>
          <w:r>
            <w:rPr>
              <w:sz w:val="21"/>
              <w:szCs w:val="21"/>
            </w:rPr>
            <w:t>10</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_Toc2760 </w:instrText>
          </w:r>
          <w:r>
            <w:rPr>
              <w:rFonts w:hint="eastAsia" w:ascii="宋体" w:hAnsi="宋体" w:cs="宋体"/>
              <w:sz w:val="21"/>
              <w:szCs w:val="40"/>
              <w:lang w:val="zh-CN"/>
            </w:rPr>
            <w:fldChar w:fldCharType="separate"/>
          </w:r>
          <w:r>
            <w:rPr>
              <w:rFonts w:hint="eastAsia" w:ascii="宋体" w:hAnsi="宋体" w:cs="宋体"/>
              <w:sz w:val="21"/>
              <w:szCs w:val="32"/>
              <w:lang w:val="zh-CN"/>
            </w:rPr>
            <w:t>1</w:t>
          </w:r>
          <w:r>
            <w:rPr>
              <w:rFonts w:hint="eastAsia" w:ascii="宋体" w:hAnsi="宋体" w:cs="宋体"/>
              <w:sz w:val="21"/>
              <w:szCs w:val="32"/>
            </w:rPr>
            <w:t>8</w:t>
          </w:r>
          <w:r>
            <w:rPr>
              <w:rFonts w:hint="eastAsia" w:ascii="宋体" w:hAnsi="宋体" w:cs="宋体"/>
              <w:sz w:val="21"/>
              <w:szCs w:val="32"/>
              <w:lang w:val="zh-CN"/>
            </w:rPr>
            <w:t>.评标委员会</w:t>
          </w:r>
          <w:r>
            <w:rPr>
              <w:sz w:val="21"/>
              <w:szCs w:val="21"/>
            </w:rPr>
            <w:tab/>
          </w:r>
          <w:r>
            <w:rPr>
              <w:sz w:val="21"/>
              <w:szCs w:val="21"/>
            </w:rPr>
            <w:fldChar w:fldCharType="begin"/>
          </w:r>
          <w:r>
            <w:rPr>
              <w:sz w:val="21"/>
              <w:szCs w:val="21"/>
            </w:rPr>
            <w:instrText xml:space="preserve"> PAGEREF _Toc2760 \h </w:instrText>
          </w:r>
          <w:r>
            <w:rPr>
              <w:sz w:val="21"/>
              <w:szCs w:val="21"/>
            </w:rPr>
            <w:fldChar w:fldCharType="separate"/>
          </w:r>
          <w:r>
            <w:rPr>
              <w:sz w:val="21"/>
              <w:szCs w:val="21"/>
            </w:rPr>
            <w:t>10</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_Toc24942 </w:instrText>
          </w:r>
          <w:r>
            <w:rPr>
              <w:rFonts w:hint="eastAsia" w:ascii="宋体" w:hAnsi="宋体" w:cs="宋体"/>
              <w:sz w:val="21"/>
              <w:szCs w:val="40"/>
              <w:lang w:val="zh-CN"/>
            </w:rPr>
            <w:fldChar w:fldCharType="separate"/>
          </w:r>
          <w:r>
            <w:rPr>
              <w:rFonts w:hint="eastAsia" w:ascii="宋体" w:hAnsi="宋体" w:cs="宋体"/>
              <w:sz w:val="21"/>
              <w:szCs w:val="32"/>
            </w:rPr>
            <w:t>19</w:t>
          </w:r>
          <w:r>
            <w:rPr>
              <w:rFonts w:hint="eastAsia" w:ascii="宋体" w:hAnsi="宋体" w:cs="宋体"/>
              <w:sz w:val="21"/>
              <w:szCs w:val="32"/>
              <w:lang w:val="zh-CN"/>
            </w:rPr>
            <w:t>.评审工作程序</w:t>
          </w:r>
          <w:r>
            <w:rPr>
              <w:sz w:val="21"/>
              <w:szCs w:val="21"/>
            </w:rPr>
            <w:tab/>
          </w:r>
          <w:r>
            <w:rPr>
              <w:sz w:val="21"/>
              <w:szCs w:val="21"/>
            </w:rPr>
            <w:fldChar w:fldCharType="begin"/>
          </w:r>
          <w:r>
            <w:rPr>
              <w:sz w:val="21"/>
              <w:szCs w:val="21"/>
            </w:rPr>
            <w:instrText xml:space="preserve"> PAGEREF _Toc24942 \h </w:instrText>
          </w:r>
          <w:r>
            <w:rPr>
              <w:sz w:val="21"/>
              <w:szCs w:val="21"/>
            </w:rPr>
            <w:fldChar w:fldCharType="separate"/>
          </w:r>
          <w:r>
            <w:rPr>
              <w:sz w:val="21"/>
              <w:szCs w:val="21"/>
            </w:rPr>
            <w:t>12</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_Toc26049 </w:instrText>
          </w:r>
          <w:r>
            <w:rPr>
              <w:rFonts w:hint="eastAsia" w:ascii="宋体" w:hAnsi="宋体" w:cs="宋体"/>
              <w:sz w:val="21"/>
              <w:szCs w:val="40"/>
              <w:lang w:val="zh-CN"/>
            </w:rPr>
            <w:fldChar w:fldCharType="separate"/>
          </w:r>
          <w:r>
            <w:rPr>
              <w:rFonts w:hint="eastAsia" w:ascii="宋体" w:hAnsi="宋体" w:cs="宋体"/>
              <w:sz w:val="21"/>
              <w:szCs w:val="32"/>
            </w:rPr>
            <w:t>20</w:t>
          </w:r>
          <w:r>
            <w:rPr>
              <w:rFonts w:hint="eastAsia" w:ascii="宋体" w:hAnsi="宋体" w:cs="宋体"/>
              <w:sz w:val="21"/>
              <w:szCs w:val="32"/>
              <w:lang w:val="zh-CN"/>
            </w:rPr>
            <w:t>.评审方法和标准</w:t>
          </w:r>
          <w:r>
            <w:rPr>
              <w:sz w:val="21"/>
              <w:szCs w:val="21"/>
            </w:rPr>
            <w:tab/>
          </w:r>
          <w:r>
            <w:rPr>
              <w:sz w:val="21"/>
              <w:szCs w:val="21"/>
            </w:rPr>
            <w:fldChar w:fldCharType="begin"/>
          </w:r>
          <w:r>
            <w:rPr>
              <w:sz w:val="21"/>
              <w:szCs w:val="21"/>
            </w:rPr>
            <w:instrText xml:space="preserve"> PAGEREF _Toc26049 \h </w:instrText>
          </w:r>
          <w:r>
            <w:rPr>
              <w:sz w:val="21"/>
              <w:szCs w:val="21"/>
            </w:rPr>
            <w:fldChar w:fldCharType="separate"/>
          </w:r>
          <w:r>
            <w:rPr>
              <w:sz w:val="21"/>
              <w:szCs w:val="21"/>
            </w:rPr>
            <w:t>14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_Toc10470 </w:instrText>
          </w:r>
          <w:r>
            <w:rPr>
              <w:rFonts w:hint="eastAsia" w:ascii="宋体" w:hAnsi="宋体" w:cs="宋体"/>
              <w:sz w:val="21"/>
              <w:szCs w:val="40"/>
              <w:lang w:val="zh-CN"/>
            </w:rPr>
            <w:fldChar w:fldCharType="separate"/>
          </w:r>
          <w:r>
            <w:rPr>
              <w:rFonts w:hint="eastAsia" w:ascii="宋体" w:hAnsi="宋体" w:cs="宋体"/>
              <w:sz w:val="21"/>
              <w:szCs w:val="21"/>
              <w:lang w:val="zh-CN"/>
            </w:rPr>
            <w:t>八、中标</w:t>
          </w:r>
          <w:r>
            <w:rPr>
              <w:sz w:val="21"/>
              <w:szCs w:val="21"/>
            </w:rPr>
            <w:tab/>
          </w:r>
          <w:r>
            <w:rPr>
              <w:sz w:val="21"/>
              <w:szCs w:val="21"/>
            </w:rPr>
            <w:fldChar w:fldCharType="begin"/>
          </w:r>
          <w:r>
            <w:rPr>
              <w:sz w:val="21"/>
              <w:szCs w:val="21"/>
            </w:rPr>
            <w:instrText xml:space="preserve"> PAGEREF _Toc10470 \h </w:instrText>
          </w:r>
          <w:r>
            <w:rPr>
              <w:sz w:val="21"/>
              <w:szCs w:val="21"/>
            </w:rPr>
            <w:fldChar w:fldCharType="separate"/>
          </w:r>
          <w:r>
            <w:rPr>
              <w:sz w:val="21"/>
              <w:szCs w:val="21"/>
            </w:rPr>
            <w:t>16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_Toc29769 </w:instrText>
          </w:r>
          <w:r>
            <w:rPr>
              <w:rFonts w:hint="eastAsia" w:ascii="宋体" w:hAnsi="宋体" w:cs="宋体"/>
              <w:sz w:val="21"/>
              <w:szCs w:val="40"/>
              <w:lang w:val="zh-CN"/>
            </w:rPr>
            <w:fldChar w:fldCharType="separate"/>
          </w:r>
          <w:r>
            <w:rPr>
              <w:rFonts w:hint="eastAsia" w:ascii="宋体" w:hAnsi="宋体" w:cs="宋体"/>
              <w:sz w:val="21"/>
              <w:szCs w:val="32"/>
              <w:lang w:val="zh-CN"/>
            </w:rPr>
            <w:t>2</w:t>
          </w:r>
          <w:r>
            <w:rPr>
              <w:rFonts w:hint="eastAsia" w:ascii="宋体" w:hAnsi="宋体" w:cs="宋体"/>
              <w:sz w:val="21"/>
              <w:szCs w:val="32"/>
            </w:rPr>
            <w:t>1</w:t>
          </w:r>
          <w:r>
            <w:rPr>
              <w:rFonts w:hint="eastAsia" w:ascii="宋体" w:hAnsi="宋体" w:cs="宋体"/>
              <w:sz w:val="21"/>
              <w:szCs w:val="32"/>
              <w:lang w:val="zh-CN"/>
            </w:rPr>
            <w:t>.推荐并确定中标人</w:t>
          </w:r>
          <w:r>
            <w:rPr>
              <w:sz w:val="21"/>
              <w:szCs w:val="21"/>
            </w:rPr>
            <w:tab/>
          </w:r>
          <w:r>
            <w:rPr>
              <w:sz w:val="21"/>
              <w:szCs w:val="21"/>
            </w:rPr>
            <w:fldChar w:fldCharType="begin"/>
          </w:r>
          <w:r>
            <w:rPr>
              <w:sz w:val="21"/>
              <w:szCs w:val="21"/>
            </w:rPr>
            <w:instrText xml:space="preserve"> PAGEREF _Toc29769 \h </w:instrText>
          </w:r>
          <w:r>
            <w:rPr>
              <w:sz w:val="21"/>
              <w:szCs w:val="21"/>
            </w:rPr>
            <w:fldChar w:fldCharType="separate"/>
          </w:r>
          <w:r>
            <w:rPr>
              <w:sz w:val="21"/>
              <w:szCs w:val="21"/>
            </w:rPr>
            <w:t>16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_Toc1053 </w:instrText>
          </w:r>
          <w:r>
            <w:rPr>
              <w:rFonts w:hint="eastAsia" w:ascii="宋体" w:hAnsi="宋体" w:cs="宋体"/>
              <w:sz w:val="21"/>
              <w:szCs w:val="40"/>
              <w:lang w:val="zh-CN"/>
            </w:rPr>
            <w:fldChar w:fldCharType="separate"/>
          </w:r>
          <w:r>
            <w:rPr>
              <w:rFonts w:hint="eastAsia" w:ascii="宋体" w:hAnsi="宋体" w:cs="宋体"/>
              <w:sz w:val="21"/>
              <w:szCs w:val="32"/>
              <w:lang w:val="zh-CN"/>
            </w:rPr>
            <w:t>2</w:t>
          </w:r>
          <w:r>
            <w:rPr>
              <w:rFonts w:hint="eastAsia" w:ascii="宋体" w:hAnsi="宋体" w:cs="宋体"/>
              <w:sz w:val="21"/>
              <w:szCs w:val="32"/>
            </w:rPr>
            <w:t>2</w:t>
          </w:r>
          <w:r>
            <w:rPr>
              <w:rFonts w:hint="eastAsia" w:ascii="宋体" w:hAnsi="宋体" w:cs="宋体"/>
              <w:sz w:val="21"/>
              <w:szCs w:val="32"/>
              <w:lang w:val="zh-CN"/>
            </w:rPr>
            <w:t>.中标通知</w:t>
          </w:r>
          <w:r>
            <w:rPr>
              <w:sz w:val="21"/>
              <w:szCs w:val="21"/>
            </w:rPr>
            <w:tab/>
          </w:r>
          <w:r>
            <w:rPr>
              <w:sz w:val="21"/>
              <w:szCs w:val="21"/>
            </w:rPr>
            <w:fldChar w:fldCharType="begin"/>
          </w:r>
          <w:r>
            <w:rPr>
              <w:sz w:val="21"/>
              <w:szCs w:val="21"/>
            </w:rPr>
            <w:instrText xml:space="preserve"> PAGEREF _Toc1053 \h </w:instrText>
          </w:r>
          <w:r>
            <w:rPr>
              <w:sz w:val="21"/>
              <w:szCs w:val="21"/>
            </w:rPr>
            <w:fldChar w:fldCharType="separate"/>
          </w:r>
          <w:r>
            <w:rPr>
              <w:sz w:val="21"/>
              <w:szCs w:val="21"/>
            </w:rPr>
            <w:t>17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_Toc11613 </w:instrText>
          </w:r>
          <w:r>
            <w:rPr>
              <w:rFonts w:hint="eastAsia" w:ascii="宋体" w:hAnsi="宋体" w:cs="宋体"/>
              <w:sz w:val="21"/>
              <w:szCs w:val="40"/>
              <w:lang w:val="zh-CN"/>
            </w:rPr>
            <w:fldChar w:fldCharType="separate"/>
          </w:r>
          <w:r>
            <w:rPr>
              <w:rFonts w:hint="eastAsia" w:ascii="宋体" w:hAnsi="宋体" w:cs="宋体"/>
              <w:sz w:val="21"/>
              <w:szCs w:val="21"/>
              <w:lang w:val="zh-CN"/>
            </w:rPr>
            <w:t>九、授予合同</w:t>
          </w:r>
          <w:r>
            <w:rPr>
              <w:sz w:val="21"/>
              <w:szCs w:val="21"/>
            </w:rPr>
            <w:tab/>
          </w:r>
          <w:r>
            <w:rPr>
              <w:sz w:val="21"/>
              <w:szCs w:val="21"/>
            </w:rPr>
            <w:fldChar w:fldCharType="begin"/>
          </w:r>
          <w:r>
            <w:rPr>
              <w:sz w:val="21"/>
              <w:szCs w:val="21"/>
            </w:rPr>
            <w:instrText xml:space="preserve"> PAGEREF _Toc11613 \h </w:instrText>
          </w:r>
          <w:r>
            <w:rPr>
              <w:sz w:val="21"/>
              <w:szCs w:val="21"/>
            </w:rPr>
            <w:fldChar w:fldCharType="separate"/>
          </w:r>
          <w:r>
            <w:rPr>
              <w:sz w:val="21"/>
              <w:szCs w:val="21"/>
            </w:rPr>
            <w:t>17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_Toc23385 </w:instrText>
          </w:r>
          <w:r>
            <w:rPr>
              <w:rFonts w:hint="eastAsia" w:ascii="宋体" w:hAnsi="宋体" w:cs="宋体"/>
              <w:sz w:val="21"/>
              <w:szCs w:val="40"/>
              <w:lang w:val="zh-CN"/>
            </w:rPr>
            <w:fldChar w:fldCharType="separate"/>
          </w:r>
          <w:r>
            <w:rPr>
              <w:rFonts w:hint="eastAsia" w:ascii="宋体" w:hAnsi="宋体" w:cs="宋体"/>
              <w:sz w:val="21"/>
              <w:szCs w:val="32"/>
              <w:lang w:val="zh-CN"/>
            </w:rPr>
            <w:t>2</w:t>
          </w:r>
          <w:r>
            <w:rPr>
              <w:rFonts w:hint="eastAsia" w:ascii="宋体" w:hAnsi="宋体" w:cs="宋体"/>
              <w:sz w:val="21"/>
              <w:szCs w:val="32"/>
            </w:rPr>
            <w:t>3</w:t>
          </w:r>
          <w:r>
            <w:rPr>
              <w:rFonts w:hint="eastAsia" w:ascii="宋体" w:hAnsi="宋体" w:cs="宋体"/>
              <w:sz w:val="21"/>
              <w:szCs w:val="32"/>
              <w:lang w:val="zh-CN"/>
            </w:rPr>
            <w:t>.签订合同</w:t>
          </w:r>
          <w:r>
            <w:rPr>
              <w:sz w:val="21"/>
              <w:szCs w:val="21"/>
            </w:rPr>
            <w:tab/>
          </w:r>
          <w:r>
            <w:rPr>
              <w:sz w:val="21"/>
              <w:szCs w:val="21"/>
            </w:rPr>
            <w:fldChar w:fldCharType="begin"/>
          </w:r>
          <w:r>
            <w:rPr>
              <w:sz w:val="21"/>
              <w:szCs w:val="21"/>
            </w:rPr>
            <w:instrText xml:space="preserve"> PAGEREF _Toc23385 \h </w:instrText>
          </w:r>
          <w:r>
            <w:rPr>
              <w:sz w:val="21"/>
              <w:szCs w:val="21"/>
            </w:rPr>
            <w:fldChar w:fldCharType="separate"/>
          </w:r>
          <w:r>
            <w:rPr>
              <w:sz w:val="21"/>
              <w:szCs w:val="21"/>
            </w:rPr>
            <w:t>17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_Toc30819 </w:instrText>
          </w:r>
          <w:r>
            <w:rPr>
              <w:rFonts w:hint="eastAsia" w:ascii="宋体" w:hAnsi="宋体" w:cs="宋体"/>
              <w:sz w:val="21"/>
              <w:szCs w:val="40"/>
              <w:lang w:val="zh-CN"/>
            </w:rPr>
            <w:fldChar w:fldCharType="separate"/>
          </w:r>
          <w:r>
            <w:rPr>
              <w:rFonts w:hint="eastAsia" w:ascii="宋体" w:hAnsi="宋体" w:cs="宋体"/>
              <w:sz w:val="21"/>
              <w:szCs w:val="21"/>
              <w:lang w:val="zh-CN"/>
            </w:rPr>
            <w:t>十、其他</w:t>
          </w:r>
          <w:r>
            <w:rPr>
              <w:sz w:val="21"/>
              <w:szCs w:val="21"/>
            </w:rPr>
            <w:tab/>
          </w:r>
          <w:r>
            <w:rPr>
              <w:sz w:val="21"/>
              <w:szCs w:val="21"/>
            </w:rPr>
            <w:fldChar w:fldCharType="begin"/>
          </w:r>
          <w:r>
            <w:rPr>
              <w:sz w:val="21"/>
              <w:szCs w:val="21"/>
            </w:rPr>
            <w:instrText xml:space="preserve"> PAGEREF _Toc30819 \h </w:instrText>
          </w:r>
          <w:r>
            <w:rPr>
              <w:sz w:val="21"/>
              <w:szCs w:val="21"/>
            </w:rPr>
            <w:fldChar w:fldCharType="separate"/>
          </w:r>
          <w:r>
            <w:rPr>
              <w:sz w:val="21"/>
              <w:szCs w:val="21"/>
            </w:rPr>
            <w:t>18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_Toc32698 </w:instrText>
          </w:r>
          <w:r>
            <w:rPr>
              <w:rFonts w:hint="eastAsia" w:ascii="宋体" w:hAnsi="宋体" w:cs="宋体"/>
              <w:sz w:val="21"/>
              <w:szCs w:val="40"/>
              <w:lang w:val="zh-CN"/>
            </w:rPr>
            <w:fldChar w:fldCharType="separate"/>
          </w:r>
          <w:r>
            <w:rPr>
              <w:rFonts w:hint="eastAsia" w:ascii="宋体" w:hAnsi="宋体" w:cs="宋体"/>
              <w:sz w:val="21"/>
              <w:szCs w:val="32"/>
            </w:rPr>
            <w:t>2</w:t>
          </w:r>
          <w:r>
            <w:rPr>
              <w:rFonts w:ascii="宋体" w:hAnsi="宋体" w:cs="宋体"/>
              <w:sz w:val="21"/>
              <w:szCs w:val="32"/>
            </w:rPr>
            <w:t>4</w:t>
          </w:r>
          <w:r>
            <w:rPr>
              <w:rFonts w:hint="eastAsia" w:ascii="宋体" w:hAnsi="宋体" w:cs="宋体"/>
              <w:sz w:val="21"/>
              <w:szCs w:val="32"/>
            </w:rPr>
            <w:t>. 串通投标的情形</w:t>
          </w:r>
          <w:r>
            <w:rPr>
              <w:sz w:val="21"/>
              <w:szCs w:val="21"/>
            </w:rPr>
            <w:tab/>
          </w:r>
          <w:r>
            <w:rPr>
              <w:sz w:val="21"/>
              <w:szCs w:val="21"/>
            </w:rPr>
            <w:fldChar w:fldCharType="begin"/>
          </w:r>
          <w:r>
            <w:rPr>
              <w:sz w:val="21"/>
              <w:szCs w:val="21"/>
            </w:rPr>
            <w:instrText xml:space="preserve"> PAGEREF _Toc32698 \h </w:instrText>
          </w:r>
          <w:r>
            <w:rPr>
              <w:sz w:val="21"/>
              <w:szCs w:val="21"/>
            </w:rPr>
            <w:fldChar w:fldCharType="separate"/>
          </w:r>
          <w:r>
            <w:rPr>
              <w:sz w:val="21"/>
              <w:szCs w:val="21"/>
            </w:rPr>
            <w:t>18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_Toc5122 </w:instrText>
          </w:r>
          <w:r>
            <w:rPr>
              <w:rFonts w:hint="eastAsia" w:ascii="宋体" w:hAnsi="宋体" w:cs="宋体"/>
              <w:sz w:val="21"/>
              <w:szCs w:val="40"/>
              <w:lang w:val="zh-CN"/>
            </w:rPr>
            <w:fldChar w:fldCharType="separate"/>
          </w:r>
          <w:r>
            <w:rPr>
              <w:rFonts w:hint="eastAsia" w:ascii="宋体" w:hAnsi="宋体" w:cs="宋体"/>
              <w:sz w:val="21"/>
              <w:szCs w:val="32"/>
            </w:rPr>
            <w:t>2</w:t>
          </w:r>
          <w:r>
            <w:rPr>
              <w:rFonts w:ascii="宋体" w:hAnsi="宋体" w:cs="宋体"/>
              <w:sz w:val="21"/>
              <w:szCs w:val="32"/>
            </w:rPr>
            <w:t>5</w:t>
          </w:r>
          <w:r>
            <w:rPr>
              <w:rFonts w:hint="eastAsia" w:ascii="宋体" w:hAnsi="宋体" w:cs="宋体"/>
              <w:sz w:val="21"/>
              <w:szCs w:val="32"/>
            </w:rPr>
            <w:t>. 废标</w:t>
          </w:r>
          <w:r>
            <w:rPr>
              <w:sz w:val="21"/>
              <w:szCs w:val="21"/>
            </w:rPr>
            <w:tab/>
          </w:r>
          <w:r>
            <w:rPr>
              <w:sz w:val="21"/>
              <w:szCs w:val="21"/>
            </w:rPr>
            <w:fldChar w:fldCharType="begin"/>
          </w:r>
          <w:r>
            <w:rPr>
              <w:sz w:val="21"/>
              <w:szCs w:val="21"/>
            </w:rPr>
            <w:instrText xml:space="preserve"> PAGEREF _Toc5122 \h </w:instrText>
          </w:r>
          <w:r>
            <w:rPr>
              <w:sz w:val="21"/>
              <w:szCs w:val="21"/>
            </w:rPr>
            <w:fldChar w:fldCharType="separate"/>
          </w:r>
          <w:r>
            <w:rPr>
              <w:sz w:val="21"/>
              <w:szCs w:val="21"/>
            </w:rPr>
            <w:t>18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_Toc18223 </w:instrText>
          </w:r>
          <w:r>
            <w:rPr>
              <w:rFonts w:hint="eastAsia" w:ascii="宋体" w:hAnsi="宋体" w:cs="宋体"/>
              <w:sz w:val="21"/>
              <w:szCs w:val="40"/>
              <w:lang w:val="zh-CN"/>
            </w:rPr>
            <w:fldChar w:fldCharType="separate"/>
          </w:r>
          <w:r>
            <w:rPr>
              <w:rFonts w:hint="eastAsia" w:ascii="宋体" w:hAnsi="宋体" w:cs="宋体"/>
              <w:sz w:val="21"/>
              <w:szCs w:val="32"/>
            </w:rPr>
            <w:t>2</w:t>
          </w:r>
          <w:r>
            <w:rPr>
              <w:rFonts w:ascii="宋体" w:hAnsi="宋体" w:cs="宋体"/>
              <w:sz w:val="21"/>
              <w:szCs w:val="32"/>
            </w:rPr>
            <w:t>6</w:t>
          </w:r>
          <w:r>
            <w:rPr>
              <w:rFonts w:hint="eastAsia" w:ascii="宋体" w:hAnsi="宋体" w:cs="宋体"/>
              <w:sz w:val="21"/>
              <w:szCs w:val="32"/>
            </w:rPr>
            <w:t>. 中标服务费</w:t>
          </w:r>
          <w:r>
            <w:rPr>
              <w:sz w:val="21"/>
              <w:szCs w:val="21"/>
            </w:rPr>
            <w:tab/>
          </w:r>
          <w:r>
            <w:rPr>
              <w:sz w:val="21"/>
              <w:szCs w:val="21"/>
            </w:rPr>
            <w:fldChar w:fldCharType="begin"/>
          </w:r>
          <w:r>
            <w:rPr>
              <w:sz w:val="21"/>
              <w:szCs w:val="21"/>
            </w:rPr>
            <w:instrText xml:space="preserve"> PAGEREF _Toc18223 \h </w:instrText>
          </w:r>
          <w:r>
            <w:rPr>
              <w:sz w:val="21"/>
              <w:szCs w:val="21"/>
            </w:rPr>
            <w:fldChar w:fldCharType="separate"/>
          </w:r>
          <w:r>
            <w:rPr>
              <w:sz w:val="21"/>
              <w:szCs w:val="21"/>
            </w:rPr>
            <w:t>19</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b/>
              <w:bCs/>
              <w:sz w:val="21"/>
              <w:szCs w:val="21"/>
            </w:rPr>
          </w:pPr>
          <w:r>
            <w:rPr>
              <w:rFonts w:hint="eastAsia" w:ascii="宋体" w:hAnsi="宋体" w:cs="宋体"/>
              <w:b/>
              <w:bCs/>
              <w:sz w:val="21"/>
              <w:szCs w:val="40"/>
              <w:lang w:val="zh-CN"/>
            </w:rPr>
            <w:fldChar w:fldCharType="begin"/>
          </w:r>
          <w:r>
            <w:rPr>
              <w:rFonts w:hint="eastAsia" w:ascii="宋体" w:hAnsi="宋体" w:cs="宋体"/>
              <w:b/>
              <w:bCs/>
              <w:sz w:val="21"/>
              <w:szCs w:val="40"/>
              <w:lang w:val="zh-CN"/>
            </w:rPr>
            <w:instrText xml:space="preserve"> HYPERLINK \l _Toc20685 </w:instrText>
          </w:r>
          <w:r>
            <w:rPr>
              <w:rFonts w:hint="eastAsia" w:ascii="宋体" w:hAnsi="宋体" w:cs="宋体"/>
              <w:b/>
              <w:bCs/>
              <w:sz w:val="21"/>
              <w:szCs w:val="40"/>
              <w:lang w:val="zh-CN"/>
            </w:rPr>
            <w:fldChar w:fldCharType="separate"/>
          </w:r>
          <w:r>
            <w:rPr>
              <w:rFonts w:hint="eastAsia" w:ascii="宋体" w:hAnsi="宋体" w:cs="宋体"/>
              <w:b/>
              <w:bCs/>
              <w:sz w:val="21"/>
              <w:szCs w:val="40"/>
              <w:lang w:val="zh-CN"/>
            </w:rPr>
            <w:t xml:space="preserve">第三部分 </w:t>
          </w:r>
          <w:r>
            <w:rPr>
              <w:rFonts w:hint="eastAsia" w:ascii="宋体" w:hAnsi="宋体" w:cs="宋体"/>
              <w:b/>
              <w:bCs/>
              <w:sz w:val="21"/>
              <w:szCs w:val="40"/>
            </w:rPr>
            <w:t xml:space="preserve"> </w:t>
          </w:r>
          <w:r>
            <w:rPr>
              <w:rFonts w:hint="eastAsia" w:ascii="宋体" w:hAnsi="宋体" w:cs="宋体"/>
              <w:b/>
              <w:bCs/>
              <w:sz w:val="21"/>
              <w:szCs w:val="40"/>
              <w:lang w:val="zh-CN"/>
            </w:rPr>
            <w:t>青海省政府采购项目合同书范本</w:t>
          </w:r>
          <w:r>
            <w:rPr>
              <w:b/>
              <w:bCs/>
              <w:sz w:val="21"/>
              <w:szCs w:val="21"/>
            </w:rPr>
            <w:tab/>
          </w:r>
          <w:r>
            <w:rPr>
              <w:b/>
              <w:bCs/>
              <w:sz w:val="21"/>
              <w:szCs w:val="21"/>
            </w:rPr>
            <w:fldChar w:fldCharType="begin"/>
          </w:r>
          <w:r>
            <w:rPr>
              <w:b/>
              <w:bCs/>
              <w:sz w:val="21"/>
              <w:szCs w:val="21"/>
            </w:rPr>
            <w:instrText xml:space="preserve"> PAGEREF _Toc20685 \h </w:instrText>
          </w:r>
          <w:r>
            <w:rPr>
              <w:b/>
              <w:bCs/>
              <w:sz w:val="21"/>
              <w:szCs w:val="21"/>
            </w:rPr>
            <w:fldChar w:fldCharType="separate"/>
          </w:r>
          <w:r>
            <w:rPr>
              <w:b/>
              <w:bCs/>
              <w:sz w:val="21"/>
              <w:szCs w:val="21"/>
            </w:rPr>
            <w:t>20</w:t>
          </w:r>
          <w:r>
            <w:rPr>
              <w:b/>
              <w:bCs/>
              <w:sz w:val="21"/>
              <w:szCs w:val="21"/>
            </w:rPr>
            <w:fldChar w:fldCharType="end"/>
          </w:r>
          <w:r>
            <w:rPr>
              <w:rFonts w:hint="eastAsia" w:ascii="宋体" w:hAnsi="宋体" w:cs="宋体"/>
              <w:b/>
              <w:bCs/>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b/>
              <w:bCs/>
              <w:sz w:val="21"/>
              <w:szCs w:val="40"/>
              <w:lang w:val="zh-CN"/>
            </w:rPr>
            <w:fldChar w:fldCharType="begin"/>
          </w:r>
          <w:r>
            <w:rPr>
              <w:rFonts w:hint="eastAsia" w:ascii="宋体" w:hAnsi="宋体" w:cs="宋体"/>
              <w:b/>
              <w:bCs/>
              <w:sz w:val="21"/>
              <w:szCs w:val="40"/>
              <w:lang w:val="zh-CN"/>
            </w:rPr>
            <w:instrText xml:space="preserve"> HYPERLINK \l _Toc12526 </w:instrText>
          </w:r>
          <w:r>
            <w:rPr>
              <w:rFonts w:hint="eastAsia" w:ascii="宋体" w:hAnsi="宋体" w:cs="宋体"/>
              <w:b/>
              <w:bCs/>
              <w:sz w:val="21"/>
              <w:szCs w:val="40"/>
              <w:lang w:val="zh-CN"/>
            </w:rPr>
            <w:fldChar w:fldCharType="separate"/>
          </w:r>
          <w:r>
            <w:rPr>
              <w:rFonts w:hint="eastAsia" w:ascii="宋体" w:hAnsi="宋体" w:cs="宋体"/>
              <w:b/>
              <w:bCs/>
              <w:sz w:val="21"/>
              <w:szCs w:val="40"/>
              <w:lang w:val="zh-CN"/>
            </w:rPr>
            <w:t>第四部分  投标文件格式</w:t>
          </w:r>
          <w:r>
            <w:rPr>
              <w:b/>
              <w:bCs/>
              <w:sz w:val="21"/>
              <w:szCs w:val="21"/>
            </w:rPr>
            <w:tab/>
          </w:r>
          <w:r>
            <w:rPr>
              <w:b/>
              <w:bCs/>
              <w:sz w:val="21"/>
              <w:szCs w:val="21"/>
            </w:rPr>
            <w:fldChar w:fldCharType="begin"/>
          </w:r>
          <w:r>
            <w:rPr>
              <w:b/>
              <w:bCs/>
              <w:sz w:val="21"/>
              <w:szCs w:val="21"/>
            </w:rPr>
            <w:instrText xml:space="preserve"> PAGEREF _Toc12526 \h </w:instrText>
          </w:r>
          <w:r>
            <w:rPr>
              <w:b/>
              <w:bCs/>
              <w:sz w:val="21"/>
              <w:szCs w:val="21"/>
            </w:rPr>
            <w:fldChar w:fldCharType="separate"/>
          </w:r>
          <w:r>
            <w:rPr>
              <w:b/>
              <w:bCs/>
              <w:sz w:val="21"/>
              <w:szCs w:val="21"/>
            </w:rPr>
            <w:t>32</w:t>
          </w:r>
          <w:r>
            <w:rPr>
              <w:b/>
              <w:bCs/>
              <w:sz w:val="21"/>
              <w:szCs w:val="21"/>
            </w:rPr>
            <w:fldChar w:fldCharType="end"/>
          </w:r>
          <w:r>
            <w:rPr>
              <w:rFonts w:hint="eastAsia" w:ascii="宋体" w:hAnsi="宋体" w:cs="宋体"/>
              <w:b/>
              <w:bCs/>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_Toc9802 </w:instrText>
          </w:r>
          <w:r>
            <w:rPr>
              <w:rFonts w:hint="eastAsia" w:ascii="宋体" w:hAnsi="宋体" w:cs="宋体"/>
              <w:sz w:val="21"/>
              <w:szCs w:val="40"/>
              <w:lang w:val="zh-CN"/>
            </w:rPr>
            <w:fldChar w:fldCharType="separate"/>
          </w:r>
          <w:r>
            <w:rPr>
              <w:rFonts w:hint="eastAsia" w:ascii="宋体" w:hAnsi="宋体" w:cs="宋体"/>
              <w:sz w:val="21"/>
              <w:szCs w:val="32"/>
              <w:lang w:val="zh-CN"/>
            </w:rPr>
            <w:t>封面（上册）</w:t>
          </w:r>
          <w:r>
            <w:rPr>
              <w:sz w:val="21"/>
              <w:szCs w:val="21"/>
            </w:rPr>
            <w:tab/>
          </w:r>
          <w:r>
            <w:rPr>
              <w:sz w:val="21"/>
              <w:szCs w:val="21"/>
            </w:rPr>
            <w:fldChar w:fldCharType="begin"/>
          </w:r>
          <w:r>
            <w:rPr>
              <w:sz w:val="21"/>
              <w:szCs w:val="21"/>
            </w:rPr>
            <w:instrText xml:space="preserve"> PAGEREF _Toc9802 \h </w:instrText>
          </w:r>
          <w:r>
            <w:rPr>
              <w:sz w:val="21"/>
              <w:szCs w:val="21"/>
            </w:rPr>
            <w:fldChar w:fldCharType="separate"/>
          </w:r>
          <w:r>
            <w:rPr>
              <w:sz w:val="21"/>
              <w:szCs w:val="21"/>
            </w:rPr>
            <w:t>32</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_Toc7916 </w:instrText>
          </w:r>
          <w:r>
            <w:rPr>
              <w:rFonts w:hint="eastAsia" w:ascii="宋体" w:hAnsi="宋体" w:cs="宋体"/>
              <w:sz w:val="21"/>
              <w:szCs w:val="40"/>
              <w:lang w:val="zh-CN"/>
            </w:rPr>
            <w:fldChar w:fldCharType="separate"/>
          </w:r>
          <w:r>
            <w:rPr>
              <w:rFonts w:hint="eastAsia" w:ascii="宋体" w:hAnsi="宋体" w:cs="宋体"/>
              <w:sz w:val="21"/>
              <w:szCs w:val="32"/>
              <w:lang w:val="zh-CN"/>
            </w:rPr>
            <w:t>目录（上册）</w:t>
          </w:r>
          <w:r>
            <w:rPr>
              <w:sz w:val="21"/>
              <w:szCs w:val="21"/>
            </w:rPr>
            <w:tab/>
          </w:r>
          <w:r>
            <w:rPr>
              <w:sz w:val="21"/>
              <w:szCs w:val="21"/>
            </w:rPr>
            <w:fldChar w:fldCharType="begin"/>
          </w:r>
          <w:r>
            <w:rPr>
              <w:sz w:val="21"/>
              <w:szCs w:val="21"/>
            </w:rPr>
            <w:instrText xml:space="preserve"> PAGEREF _Toc7916 \h </w:instrText>
          </w:r>
          <w:r>
            <w:rPr>
              <w:sz w:val="21"/>
              <w:szCs w:val="21"/>
            </w:rPr>
            <w:fldChar w:fldCharType="separate"/>
          </w:r>
          <w:r>
            <w:rPr>
              <w:sz w:val="21"/>
              <w:szCs w:val="21"/>
            </w:rPr>
            <w:t>33</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_Toc7442 </w:instrText>
          </w:r>
          <w:r>
            <w:rPr>
              <w:rFonts w:hint="eastAsia" w:ascii="宋体" w:hAnsi="宋体" w:cs="宋体"/>
              <w:sz w:val="21"/>
              <w:szCs w:val="40"/>
              <w:lang w:val="zh-CN"/>
            </w:rPr>
            <w:fldChar w:fldCharType="separate"/>
          </w:r>
          <w:r>
            <w:rPr>
              <w:rFonts w:hint="eastAsia" w:ascii="宋体" w:hAnsi="宋体" w:cs="宋体"/>
              <w:sz w:val="21"/>
              <w:szCs w:val="32"/>
            </w:rPr>
            <w:t>（1）</w:t>
          </w:r>
          <w:r>
            <w:rPr>
              <w:rFonts w:hint="eastAsia" w:ascii="宋体" w:hAnsi="宋体" w:cs="宋体"/>
              <w:sz w:val="21"/>
              <w:szCs w:val="32"/>
              <w:lang w:val="zh-CN"/>
            </w:rPr>
            <w:t>投标函</w:t>
          </w:r>
          <w:r>
            <w:rPr>
              <w:sz w:val="21"/>
              <w:szCs w:val="21"/>
            </w:rPr>
            <w:tab/>
          </w:r>
          <w:r>
            <w:rPr>
              <w:sz w:val="21"/>
              <w:szCs w:val="21"/>
            </w:rPr>
            <w:fldChar w:fldCharType="begin"/>
          </w:r>
          <w:r>
            <w:rPr>
              <w:sz w:val="21"/>
              <w:szCs w:val="21"/>
            </w:rPr>
            <w:instrText xml:space="preserve"> PAGEREF _Toc7442 \h </w:instrText>
          </w:r>
          <w:r>
            <w:rPr>
              <w:sz w:val="21"/>
              <w:szCs w:val="21"/>
            </w:rPr>
            <w:fldChar w:fldCharType="separate"/>
          </w:r>
          <w:r>
            <w:rPr>
              <w:sz w:val="21"/>
              <w:szCs w:val="21"/>
            </w:rPr>
            <w:t>34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_Toc21486 </w:instrText>
          </w:r>
          <w:r>
            <w:rPr>
              <w:rFonts w:hint="eastAsia" w:ascii="宋体" w:hAnsi="宋体" w:cs="宋体"/>
              <w:sz w:val="21"/>
              <w:szCs w:val="40"/>
              <w:lang w:val="zh-CN"/>
            </w:rPr>
            <w:fldChar w:fldCharType="separate"/>
          </w:r>
          <w:r>
            <w:rPr>
              <w:rFonts w:hint="eastAsia" w:ascii="宋体" w:hAnsi="宋体" w:cs="宋体"/>
              <w:kern w:val="0"/>
              <w:sz w:val="21"/>
              <w:szCs w:val="32"/>
              <w:lang w:val="zh-CN"/>
            </w:rPr>
            <w:t>（</w:t>
          </w:r>
          <w:r>
            <w:rPr>
              <w:rFonts w:hint="eastAsia" w:ascii="宋体" w:hAnsi="宋体" w:cs="宋体"/>
              <w:kern w:val="0"/>
              <w:sz w:val="21"/>
              <w:szCs w:val="32"/>
            </w:rPr>
            <w:t>2</w:t>
          </w:r>
          <w:r>
            <w:rPr>
              <w:rFonts w:hint="eastAsia" w:ascii="宋体" w:hAnsi="宋体" w:cs="宋体"/>
              <w:kern w:val="0"/>
              <w:sz w:val="21"/>
              <w:szCs w:val="32"/>
              <w:lang w:val="zh-CN"/>
            </w:rPr>
            <w:t>）</w:t>
          </w:r>
          <w:r>
            <w:rPr>
              <w:rFonts w:hint="eastAsia" w:ascii="宋体" w:hAnsi="宋体" w:cs="宋体"/>
              <w:sz w:val="21"/>
              <w:szCs w:val="32"/>
            </w:rPr>
            <w:t>法定代表人证明书</w:t>
          </w:r>
          <w:r>
            <w:rPr>
              <w:sz w:val="21"/>
              <w:szCs w:val="21"/>
            </w:rPr>
            <w:tab/>
          </w:r>
          <w:r>
            <w:rPr>
              <w:sz w:val="21"/>
              <w:szCs w:val="21"/>
            </w:rPr>
            <w:fldChar w:fldCharType="begin"/>
          </w:r>
          <w:r>
            <w:rPr>
              <w:sz w:val="21"/>
              <w:szCs w:val="21"/>
            </w:rPr>
            <w:instrText xml:space="preserve"> PAGEREF _Toc21486 \h </w:instrText>
          </w:r>
          <w:r>
            <w:rPr>
              <w:sz w:val="21"/>
              <w:szCs w:val="21"/>
            </w:rPr>
            <w:fldChar w:fldCharType="separate"/>
          </w:r>
          <w:r>
            <w:rPr>
              <w:sz w:val="21"/>
              <w:szCs w:val="21"/>
            </w:rPr>
            <w:t>35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_Toc7970 </w:instrText>
          </w:r>
          <w:r>
            <w:rPr>
              <w:rFonts w:hint="eastAsia" w:ascii="宋体" w:hAnsi="宋体" w:cs="宋体"/>
              <w:sz w:val="21"/>
              <w:szCs w:val="40"/>
              <w:lang w:val="zh-CN"/>
            </w:rPr>
            <w:fldChar w:fldCharType="separate"/>
          </w:r>
          <w:r>
            <w:rPr>
              <w:rFonts w:hint="eastAsia" w:ascii="宋体" w:hAnsi="宋体" w:cs="宋体"/>
              <w:sz w:val="21"/>
              <w:szCs w:val="32"/>
            </w:rPr>
            <w:t>（3）</w:t>
          </w:r>
          <w:r>
            <w:rPr>
              <w:rFonts w:hint="eastAsia" w:ascii="宋体" w:hAnsi="宋体" w:cs="宋体"/>
              <w:sz w:val="21"/>
              <w:szCs w:val="32"/>
              <w:lang w:val="zh-CN"/>
            </w:rPr>
            <w:t>法定代表人授权书</w:t>
          </w:r>
          <w:r>
            <w:rPr>
              <w:sz w:val="21"/>
              <w:szCs w:val="21"/>
            </w:rPr>
            <w:tab/>
          </w:r>
          <w:r>
            <w:rPr>
              <w:sz w:val="21"/>
              <w:szCs w:val="21"/>
            </w:rPr>
            <w:fldChar w:fldCharType="begin"/>
          </w:r>
          <w:r>
            <w:rPr>
              <w:sz w:val="21"/>
              <w:szCs w:val="21"/>
            </w:rPr>
            <w:instrText xml:space="preserve"> PAGEREF _Toc7970 \h </w:instrText>
          </w:r>
          <w:r>
            <w:rPr>
              <w:sz w:val="21"/>
              <w:szCs w:val="21"/>
            </w:rPr>
            <w:fldChar w:fldCharType="separate"/>
          </w:r>
          <w:r>
            <w:rPr>
              <w:sz w:val="21"/>
              <w:szCs w:val="21"/>
            </w:rPr>
            <w:t>36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_Toc8988 </w:instrText>
          </w:r>
          <w:r>
            <w:rPr>
              <w:rFonts w:hint="eastAsia" w:ascii="宋体" w:hAnsi="宋体" w:cs="宋体"/>
              <w:sz w:val="21"/>
              <w:szCs w:val="40"/>
              <w:lang w:val="zh-CN"/>
            </w:rPr>
            <w:fldChar w:fldCharType="separate"/>
          </w:r>
          <w:r>
            <w:rPr>
              <w:rFonts w:hint="eastAsia" w:ascii="宋体" w:hAnsi="宋体" w:cs="宋体"/>
              <w:sz w:val="21"/>
              <w:szCs w:val="32"/>
            </w:rPr>
            <w:t>（4）</w:t>
          </w:r>
          <w:r>
            <w:rPr>
              <w:rFonts w:hint="eastAsia" w:ascii="宋体" w:hAnsi="宋体" w:cs="宋体"/>
              <w:sz w:val="21"/>
              <w:szCs w:val="32"/>
              <w:lang w:val="zh-CN"/>
            </w:rPr>
            <w:t>投标人承诺函</w:t>
          </w:r>
          <w:r>
            <w:rPr>
              <w:sz w:val="21"/>
              <w:szCs w:val="21"/>
            </w:rPr>
            <w:tab/>
          </w:r>
          <w:r>
            <w:rPr>
              <w:sz w:val="21"/>
              <w:szCs w:val="21"/>
            </w:rPr>
            <w:fldChar w:fldCharType="begin"/>
          </w:r>
          <w:r>
            <w:rPr>
              <w:sz w:val="21"/>
              <w:szCs w:val="21"/>
            </w:rPr>
            <w:instrText xml:space="preserve"> PAGEREF _Toc8988 \h </w:instrText>
          </w:r>
          <w:r>
            <w:rPr>
              <w:sz w:val="21"/>
              <w:szCs w:val="21"/>
            </w:rPr>
            <w:fldChar w:fldCharType="separate"/>
          </w:r>
          <w:r>
            <w:rPr>
              <w:sz w:val="21"/>
              <w:szCs w:val="21"/>
            </w:rPr>
            <w:t>37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_Toc1949 </w:instrText>
          </w:r>
          <w:r>
            <w:rPr>
              <w:rFonts w:hint="eastAsia" w:ascii="宋体" w:hAnsi="宋体" w:cs="宋体"/>
              <w:sz w:val="21"/>
              <w:szCs w:val="40"/>
              <w:lang w:val="zh-CN"/>
            </w:rPr>
            <w:fldChar w:fldCharType="separate"/>
          </w:r>
          <w:r>
            <w:rPr>
              <w:rFonts w:hint="eastAsia" w:ascii="宋体" w:hAnsi="宋体" w:cs="宋体"/>
              <w:sz w:val="21"/>
              <w:szCs w:val="32"/>
            </w:rPr>
            <w:t>（5）</w:t>
          </w:r>
          <w:r>
            <w:rPr>
              <w:rFonts w:hint="eastAsia" w:ascii="宋体" w:hAnsi="宋体" w:cs="宋体"/>
              <w:sz w:val="21"/>
              <w:szCs w:val="32"/>
              <w:lang w:val="zh-CN"/>
            </w:rPr>
            <w:t>投标人诚信承诺书</w:t>
          </w:r>
          <w:r>
            <w:rPr>
              <w:sz w:val="21"/>
              <w:szCs w:val="21"/>
            </w:rPr>
            <w:tab/>
          </w:r>
          <w:r>
            <w:rPr>
              <w:sz w:val="21"/>
              <w:szCs w:val="21"/>
            </w:rPr>
            <w:fldChar w:fldCharType="begin"/>
          </w:r>
          <w:r>
            <w:rPr>
              <w:sz w:val="21"/>
              <w:szCs w:val="21"/>
            </w:rPr>
            <w:instrText xml:space="preserve"> PAGEREF _Toc1949 \h </w:instrText>
          </w:r>
          <w:r>
            <w:rPr>
              <w:sz w:val="21"/>
              <w:szCs w:val="21"/>
            </w:rPr>
            <w:fldChar w:fldCharType="separate"/>
          </w:r>
          <w:r>
            <w:rPr>
              <w:sz w:val="21"/>
              <w:szCs w:val="21"/>
            </w:rPr>
            <w:t>38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_Toc25924 </w:instrText>
          </w:r>
          <w:r>
            <w:rPr>
              <w:rFonts w:hint="eastAsia" w:ascii="宋体" w:hAnsi="宋体" w:cs="宋体"/>
              <w:sz w:val="21"/>
              <w:szCs w:val="40"/>
              <w:lang w:val="zh-CN"/>
            </w:rPr>
            <w:fldChar w:fldCharType="separate"/>
          </w:r>
          <w:r>
            <w:rPr>
              <w:rFonts w:hint="eastAsia" w:ascii="宋体" w:hAnsi="宋体" w:cs="宋体"/>
              <w:sz w:val="21"/>
              <w:szCs w:val="32"/>
            </w:rPr>
            <w:t>（6）</w:t>
          </w:r>
          <w:r>
            <w:rPr>
              <w:rFonts w:hint="eastAsia" w:ascii="宋体" w:hAnsi="宋体" w:cs="宋体"/>
              <w:sz w:val="21"/>
              <w:szCs w:val="32"/>
              <w:lang w:val="zh-CN"/>
            </w:rPr>
            <w:t>资格证明材料</w:t>
          </w:r>
          <w:r>
            <w:rPr>
              <w:sz w:val="21"/>
              <w:szCs w:val="21"/>
            </w:rPr>
            <w:tab/>
          </w:r>
          <w:r>
            <w:rPr>
              <w:sz w:val="21"/>
              <w:szCs w:val="21"/>
            </w:rPr>
            <w:fldChar w:fldCharType="begin"/>
          </w:r>
          <w:r>
            <w:rPr>
              <w:sz w:val="21"/>
              <w:szCs w:val="21"/>
            </w:rPr>
            <w:instrText xml:space="preserve"> PAGEREF _Toc25924 \h </w:instrText>
          </w:r>
          <w:r>
            <w:rPr>
              <w:sz w:val="21"/>
              <w:szCs w:val="21"/>
            </w:rPr>
            <w:fldChar w:fldCharType="separate"/>
          </w:r>
          <w:r>
            <w:rPr>
              <w:sz w:val="21"/>
              <w:szCs w:val="21"/>
            </w:rPr>
            <w:t>39</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_Toc21884 </w:instrText>
          </w:r>
          <w:r>
            <w:rPr>
              <w:rFonts w:hint="eastAsia" w:ascii="宋体" w:hAnsi="宋体" w:cs="宋体"/>
              <w:sz w:val="21"/>
              <w:szCs w:val="40"/>
              <w:lang w:val="zh-CN"/>
            </w:rPr>
            <w:fldChar w:fldCharType="separate"/>
          </w:r>
          <w:r>
            <w:rPr>
              <w:rFonts w:hint="eastAsia" w:ascii="宋体" w:hAnsi="宋体" w:cs="宋体"/>
              <w:sz w:val="21"/>
              <w:szCs w:val="32"/>
            </w:rPr>
            <w:t>（7）</w:t>
          </w:r>
          <w:r>
            <w:rPr>
              <w:rFonts w:hint="eastAsia" w:ascii="宋体" w:hAnsi="宋体" w:cs="宋体"/>
              <w:sz w:val="21"/>
              <w:szCs w:val="32"/>
              <w:lang w:val="zh-CN"/>
            </w:rPr>
            <w:t>财务状况报告，依法缴纳税收和社会保障资金的相关材料</w:t>
          </w:r>
          <w:r>
            <w:rPr>
              <w:sz w:val="21"/>
              <w:szCs w:val="21"/>
            </w:rPr>
            <w:tab/>
          </w:r>
          <w:r>
            <w:rPr>
              <w:sz w:val="21"/>
              <w:szCs w:val="21"/>
            </w:rPr>
            <w:fldChar w:fldCharType="begin"/>
          </w:r>
          <w:r>
            <w:rPr>
              <w:sz w:val="21"/>
              <w:szCs w:val="21"/>
            </w:rPr>
            <w:instrText xml:space="preserve"> PAGEREF _Toc21884 \h </w:instrText>
          </w:r>
          <w:r>
            <w:rPr>
              <w:sz w:val="21"/>
              <w:szCs w:val="21"/>
            </w:rPr>
            <w:fldChar w:fldCharType="separate"/>
          </w:r>
          <w:r>
            <w:rPr>
              <w:sz w:val="21"/>
              <w:szCs w:val="21"/>
            </w:rPr>
            <w:t>40</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_Toc10550 </w:instrText>
          </w:r>
          <w:r>
            <w:rPr>
              <w:rFonts w:hint="eastAsia" w:ascii="宋体" w:hAnsi="宋体" w:cs="宋体"/>
              <w:sz w:val="21"/>
              <w:szCs w:val="40"/>
              <w:lang w:val="zh-CN"/>
            </w:rPr>
            <w:fldChar w:fldCharType="separate"/>
          </w:r>
          <w:r>
            <w:rPr>
              <w:rFonts w:hint="eastAsia" w:ascii="宋体" w:hAnsi="宋体" w:cs="宋体"/>
              <w:sz w:val="21"/>
              <w:szCs w:val="32"/>
            </w:rPr>
            <w:t>（8）</w:t>
          </w:r>
          <w:r>
            <w:rPr>
              <w:rFonts w:hint="eastAsia" w:ascii="宋体" w:hAnsi="宋体" w:cs="宋体"/>
              <w:sz w:val="21"/>
              <w:szCs w:val="32"/>
              <w:lang w:val="zh-CN"/>
            </w:rPr>
            <w:t>具备履行合同所必需的设备和专业技术能力的证明材料</w:t>
          </w:r>
          <w:r>
            <w:rPr>
              <w:sz w:val="21"/>
              <w:szCs w:val="21"/>
            </w:rPr>
            <w:tab/>
          </w:r>
          <w:r>
            <w:rPr>
              <w:sz w:val="21"/>
              <w:szCs w:val="21"/>
            </w:rPr>
            <w:fldChar w:fldCharType="begin"/>
          </w:r>
          <w:r>
            <w:rPr>
              <w:sz w:val="21"/>
              <w:szCs w:val="21"/>
            </w:rPr>
            <w:instrText xml:space="preserve"> PAGEREF _Toc10550 \h </w:instrText>
          </w:r>
          <w:r>
            <w:rPr>
              <w:sz w:val="21"/>
              <w:szCs w:val="21"/>
            </w:rPr>
            <w:fldChar w:fldCharType="separate"/>
          </w:r>
          <w:r>
            <w:rPr>
              <w:sz w:val="21"/>
              <w:szCs w:val="21"/>
            </w:rPr>
            <w:t>41</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_Toc16658 </w:instrText>
          </w:r>
          <w:r>
            <w:rPr>
              <w:rFonts w:hint="eastAsia" w:ascii="宋体" w:hAnsi="宋体" w:cs="宋体"/>
              <w:sz w:val="21"/>
              <w:szCs w:val="40"/>
              <w:lang w:val="zh-CN"/>
            </w:rPr>
            <w:fldChar w:fldCharType="separate"/>
          </w:r>
          <w:r>
            <w:rPr>
              <w:rFonts w:hint="eastAsia" w:ascii="宋体" w:hAnsi="宋体" w:cs="宋体"/>
              <w:sz w:val="21"/>
              <w:szCs w:val="32"/>
            </w:rPr>
            <w:t>（9）</w:t>
          </w:r>
          <w:r>
            <w:rPr>
              <w:rFonts w:hint="eastAsia" w:ascii="宋体" w:hAnsi="宋体" w:cs="宋体"/>
              <w:sz w:val="21"/>
              <w:szCs w:val="32"/>
              <w:lang w:val="zh-CN"/>
            </w:rPr>
            <w:t>无重大违法记录声明</w:t>
          </w:r>
          <w:r>
            <w:rPr>
              <w:sz w:val="21"/>
              <w:szCs w:val="21"/>
            </w:rPr>
            <w:tab/>
          </w:r>
          <w:r>
            <w:rPr>
              <w:sz w:val="21"/>
              <w:szCs w:val="21"/>
            </w:rPr>
            <w:fldChar w:fldCharType="begin"/>
          </w:r>
          <w:r>
            <w:rPr>
              <w:sz w:val="21"/>
              <w:szCs w:val="21"/>
            </w:rPr>
            <w:instrText xml:space="preserve"> PAGEREF _Toc16658 \h </w:instrText>
          </w:r>
          <w:r>
            <w:rPr>
              <w:sz w:val="21"/>
              <w:szCs w:val="21"/>
            </w:rPr>
            <w:fldChar w:fldCharType="separate"/>
          </w:r>
          <w:r>
            <w:rPr>
              <w:sz w:val="21"/>
              <w:szCs w:val="21"/>
            </w:rPr>
            <w:t>42</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_Toc32722 </w:instrText>
          </w:r>
          <w:r>
            <w:rPr>
              <w:rFonts w:hint="eastAsia" w:ascii="宋体" w:hAnsi="宋体" w:cs="宋体"/>
              <w:sz w:val="21"/>
              <w:szCs w:val="40"/>
              <w:lang w:val="zh-CN"/>
            </w:rPr>
            <w:fldChar w:fldCharType="separate"/>
          </w:r>
          <w:r>
            <w:rPr>
              <w:rFonts w:hint="eastAsia" w:ascii="宋体" w:hAnsi="宋体" w:cs="宋体"/>
              <w:sz w:val="21"/>
              <w:szCs w:val="32"/>
            </w:rPr>
            <w:t>（10）</w:t>
          </w:r>
          <w:r>
            <w:rPr>
              <w:rFonts w:hint="eastAsia" w:ascii="宋体" w:hAnsi="宋体" w:cs="宋体"/>
              <w:sz w:val="21"/>
              <w:szCs w:val="32"/>
              <w:lang w:val="zh-CN"/>
            </w:rPr>
            <w:t>投标保证金证明</w:t>
          </w:r>
          <w:r>
            <w:rPr>
              <w:sz w:val="21"/>
              <w:szCs w:val="21"/>
            </w:rPr>
            <w:tab/>
          </w:r>
          <w:r>
            <w:rPr>
              <w:sz w:val="21"/>
              <w:szCs w:val="21"/>
            </w:rPr>
            <w:fldChar w:fldCharType="begin"/>
          </w:r>
          <w:r>
            <w:rPr>
              <w:sz w:val="21"/>
              <w:szCs w:val="21"/>
            </w:rPr>
            <w:instrText xml:space="preserve"> PAGEREF _Toc32722 \h </w:instrText>
          </w:r>
          <w:r>
            <w:rPr>
              <w:sz w:val="21"/>
              <w:szCs w:val="21"/>
            </w:rPr>
            <w:fldChar w:fldCharType="separate"/>
          </w:r>
          <w:r>
            <w:rPr>
              <w:sz w:val="21"/>
              <w:szCs w:val="21"/>
            </w:rPr>
            <w:t>43</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_Toc12869 </w:instrText>
          </w:r>
          <w:r>
            <w:rPr>
              <w:rFonts w:hint="eastAsia" w:ascii="宋体" w:hAnsi="宋体" w:cs="宋体"/>
              <w:sz w:val="21"/>
              <w:szCs w:val="40"/>
              <w:lang w:val="zh-CN"/>
            </w:rPr>
            <w:fldChar w:fldCharType="separate"/>
          </w:r>
          <w:r>
            <w:rPr>
              <w:rFonts w:hint="eastAsia" w:ascii="宋体" w:hAnsi="宋体" w:cs="宋体"/>
              <w:sz w:val="21"/>
              <w:szCs w:val="32"/>
              <w:lang w:val="zh-CN"/>
            </w:rPr>
            <w:t>（下册）</w:t>
          </w:r>
          <w:r>
            <w:rPr>
              <w:sz w:val="21"/>
              <w:szCs w:val="21"/>
            </w:rPr>
            <w:tab/>
          </w:r>
          <w:r>
            <w:rPr>
              <w:sz w:val="21"/>
              <w:szCs w:val="21"/>
            </w:rPr>
            <w:fldChar w:fldCharType="begin"/>
          </w:r>
          <w:r>
            <w:rPr>
              <w:sz w:val="21"/>
              <w:szCs w:val="21"/>
            </w:rPr>
            <w:instrText xml:space="preserve"> PAGEREF _Toc12869 \h </w:instrText>
          </w:r>
          <w:r>
            <w:rPr>
              <w:sz w:val="21"/>
              <w:szCs w:val="21"/>
            </w:rPr>
            <w:fldChar w:fldCharType="separate"/>
          </w:r>
          <w:r>
            <w:rPr>
              <w:sz w:val="21"/>
              <w:szCs w:val="21"/>
            </w:rPr>
            <w:t>44</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_Toc2502 </w:instrText>
          </w:r>
          <w:r>
            <w:rPr>
              <w:rFonts w:hint="eastAsia" w:ascii="宋体" w:hAnsi="宋体" w:cs="宋体"/>
              <w:sz w:val="21"/>
              <w:szCs w:val="40"/>
              <w:lang w:val="zh-CN"/>
            </w:rPr>
            <w:fldChar w:fldCharType="separate"/>
          </w:r>
          <w:r>
            <w:rPr>
              <w:rFonts w:hint="eastAsia" w:ascii="宋体" w:hAnsi="宋体" w:cs="宋体"/>
              <w:sz w:val="21"/>
              <w:szCs w:val="32"/>
              <w:lang w:val="zh-CN"/>
            </w:rPr>
            <w:t>目录（下册）</w:t>
          </w:r>
          <w:r>
            <w:rPr>
              <w:sz w:val="21"/>
              <w:szCs w:val="21"/>
            </w:rPr>
            <w:tab/>
          </w:r>
          <w:r>
            <w:rPr>
              <w:sz w:val="21"/>
              <w:szCs w:val="21"/>
            </w:rPr>
            <w:fldChar w:fldCharType="begin"/>
          </w:r>
          <w:r>
            <w:rPr>
              <w:sz w:val="21"/>
              <w:szCs w:val="21"/>
            </w:rPr>
            <w:instrText xml:space="preserve"> PAGEREF _Toc2502 \h </w:instrText>
          </w:r>
          <w:r>
            <w:rPr>
              <w:sz w:val="21"/>
              <w:szCs w:val="21"/>
            </w:rPr>
            <w:fldChar w:fldCharType="separate"/>
          </w:r>
          <w:r>
            <w:rPr>
              <w:sz w:val="21"/>
              <w:szCs w:val="21"/>
            </w:rPr>
            <w:t>45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_Toc17893 </w:instrText>
          </w:r>
          <w:r>
            <w:rPr>
              <w:rFonts w:hint="eastAsia" w:ascii="宋体" w:hAnsi="宋体" w:cs="宋体"/>
              <w:sz w:val="21"/>
              <w:szCs w:val="40"/>
              <w:lang w:val="zh-CN"/>
            </w:rPr>
            <w:fldChar w:fldCharType="separate"/>
          </w:r>
          <w:r>
            <w:rPr>
              <w:rFonts w:hint="eastAsia" w:ascii="宋体" w:hAnsi="宋体" w:cs="宋体"/>
              <w:sz w:val="21"/>
              <w:szCs w:val="32"/>
            </w:rPr>
            <w:t>（11）</w:t>
          </w:r>
          <w:r>
            <w:rPr>
              <w:rFonts w:hint="eastAsia" w:ascii="宋体" w:hAnsi="宋体" w:cs="宋体"/>
              <w:sz w:val="21"/>
              <w:szCs w:val="32"/>
              <w:lang w:val="zh-CN"/>
            </w:rPr>
            <w:t>评分对照表</w:t>
          </w:r>
          <w:r>
            <w:rPr>
              <w:sz w:val="21"/>
              <w:szCs w:val="21"/>
            </w:rPr>
            <w:tab/>
          </w:r>
          <w:r>
            <w:rPr>
              <w:sz w:val="21"/>
              <w:szCs w:val="21"/>
            </w:rPr>
            <w:fldChar w:fldCharType="begin"/>
          </w:r>
          <w:r>
            <w:rPr>
              <w:sz w:val="21"/>
              <w:szCs w:val="21"/>
            </w:rPr>
            <w:instrText xml:space="preserve"> PAGEREF _Toc17893 \h </w:instrText>
          </w:r>
          <w:r>
            <w:rPr>
              <w:sz w:val="21"/>
              <w:szCs w:val="21"/>
            </w:rPr>
            <w:fldChar w:fldCharType="separate"/>
          </w:r>
          <w:r>
            <w:rPr>
              <w:sz w:val="21"/>
              <w:szCs w:val="21"/>
            </w:rPr>
            <w:t>46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_Toc23572 </w:instrText>
          </w:r>
          <w:r>
            <w:rPr>
              <w:rFonts w:hint="eastAsia" w:ascii="宋体" w:hAnsi="宋体" w:cs="宋体"/>
              <w:sz w:val="21"/>
              <w:szCs w:val="40"/>
              <w:lang w:val="zh-CN"/>
            </w:rPr>
            <w:fldChar w:fldCharType="separate"/>
          </w:r>
          <w:r>
            <w:rPr>
              <w:rFonts w:hint="eastAsia" w:ascii="宋体" w:hAnsi="宋体" w:cs="宋体"/>
              <w:sz w:val="21"/>
              <w:szCs w:val="32"/>
            </w:rPr>
            <w:t>（12）</w:t>
          </w:r>
          <w:r>
            <w:rPr>
              <w:rFonts w:hint="eastAsia" w:ascii="宋体" w:hAnsi="宋体" w:cs="宋体"/>
              <w:sz w:val="21"/>
              <w:szCs w:val="32"/>
              <w:lang w:val="zh-CN"/>
            </w:rPr>
            <w:t>开标一览表（报价表）</w:t>
          </w:r>
          <w:r>
            <w:rPr>
              <w:sz w:val="21"/>
              <w:szCs w:val="21"/>
            </w:rPr>
            <w:tab/>
          </w:r>
          <w:r>
            <w:rPr>
              <w:sz w:val="21"/>
              <w:szCs w:val="21"/>
            </w:rPr>
            <w:fldChar w:fldCharType="begin"/>
          </w:r>
          <w:r>
            <w:rPr>
              <w:sz w:val="21"/>
              <w:szCs w:val="21"/>
            </w:rPr>
            <w:instrText xml:space="preserve"> PAGEREF _Toc23572 \h </w:instrText>
          </w:r>
          <w:r>
            <w:rPr>
              <w:sz w:val="21"/>
              <w:szCs w:val="21"/>
            </w:rPr>
            <w:fldChar w:fldCharType="separate"/>
          </w:r>
          <w:r>
            <w:rPr>
              <w:sz w:val="21"/>
              <w:szCs w:val="21"/>
            </w:rPr>
            <w:t>47</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_Toc17047 </w:instrText>
          </w:r>
          <w:r>
            <w:rPr>
              <w:rFonts w:hint="eastAsia" w:ascii="宋体" w:hAnsi="宋体" w:cs="宋体"/>
              <w:sz w:val="21"/>
              <w:szCs w:val="40"/>
              <w:lang w:val="zh-CN"/>
            </w:rPr>
            <w:fldChar w:fldCharType="separate"/>
          </w:r>
          <w:r>
            <w:rPr>
              <w:rFonts w:hint="eastAsia" w:ascii="宋体" w:hAnsi="宋体" w:cs="宋体"/>
              <w:sz w:val="21"/>
              <w:szCs w:val="32"/>
            </w:rPr>
            <w:t>（13）</w:t>
          </w:r>
          <w:r>
            <w:rPr>
              <w:rFonts w:hint="eastAsia" w:ascii="宋体" w:hAnsi="宋体" w:cs="宋体"/>
              <w:sz w:val="21"/>
              <w:szCs w:val="32"/>
              <w:lang w:val="zh-CN"/>
            </w:rPr>
            <w:t>分项报价表</w:t>
          </w:r>
          <w:r>
            <w:rPr>
              <w:sz w:val="21"/>
              <w:szCs w:val="21"/>
            </w:rPr>
            <w:tab/>
          </w:r>
          <w:r>
            <w:rPr>
              <w:sz w:val="21"/>
              <w:szCs w:val="21"/>
            </w:rPr>
            <w:fldChar w:fldCharType="begin"/>
          </w:r>
          <w:r>
            <w:rPr>
              <w:sz w:val="21"/>
              <w:szCs w:val="21"/>
            </w:rPr>
            <w:instrText xml:space="preserve"> PAGEREF _Toc17047 \h </w:instrText>
          </w:r>
          <w:r>
            <w:rPr>
              <w:sz w:val="21"/>
              <w:szCs w:val="21"/>
            </w:rPr>
            <w:fldChar w:fldCharType="separate"/>
          </w:r>
          <w:r>
            <w:rPr>
              <w:sz w:val="21"/>
              <w:szCs w:val="21"/>
            </w:rPr>
            <w:t>48</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40"/>
              <w:lang w:val="zh-CN"/>
            </w:rPr>
          </w:pPr>
          <w:r>
            <w:rPr>
              <w:rFonts w:hint="eastAsia" w:ascii="宋体" w:hAnsi="宋体" w:eastAsia="宋体" w:cs="宋体"/>
              <w:sz w:val="21"/>
              <w:szCs w:val="40"/>
              <w:lang w:val="zh-CN"/>
            </w:rPr>
            <w:fldChar w:fldCharType="begin"/>
          </w:r>
          <w:r>
            <w:rPr>
              <w:rFonts w:hint="eastAsia" w:ascii="宋体" w:hAnsi="宋体" w:eastAsia="宋体" w:cs="宋体"/>
              <w:sz w:val="21"/>
              <w:szCs w:val="40"/>
              <w:lang w:val="zh-CN"/>
            </w:rPr>
            <w:instrText xml:space="preserve"> HYPERLINK \l _Toc14795 </w:instrText>
          </w:r>
          <w:r>
            <w:rPr>
              <w:rFonts w:hint="eastAsia" w:ascii="宋体" w:hAnsi="宋体" w:eastAsia="宋体" w:cs="宋体"/>
              <w:sz w:val="21"/>
              <w:szCs w:val="40"/>
              <w:lang w:val="zh-CN"/>
            </w:rPr>
            <w:fldChar w:fldCharType="separate"/>
          </w:r>
          <w:r>
            <w:rPr>
              <w:rFonts w:hint="eastAsia" w:ascii="宋体" w:hAnsi="宋体" w:eastAsia="宋体" w:cs="宋体"/>
              <w:sz w:val="21"/>
              <w:szCs w:val="40"/>
              <w:lang w:val="zh-CN"/>
            </w:rPr>
            <w:t>（</w:t>
          </w:r>
          <w:r>
            <w:rPr>
              <w:rFonts w:hint="eastAsia" w:ascii="宋体" w:hAnsi="宋体" w:eastAsia="宋体" w:cs="宋体"/>
              <w:sz w:val="21"/>
              <w:szCs w:val="40"/>
              <w:lang w:val="en-US"/>
            </w:rPr>
            <w:t>14</w:t>
          </w:r>
          <w:r>
            <w:rPr>
              <w:rFonts w:hint="eastAsia" w:ascii="宋体" w:hAnsi="宋体" w:eastAsia="宋体" w:cs="宋体"/>
              <w:sz w:val="21"/>
              <w:szCs w:val="40"/>
              <w:lang w:val="zh-CN"/>
            </w:rPr>
            <w:t>）技术服务方案</w:t>
          </w:r>
          <w:r>
            <w:rPr>
              <w:rFonts w:hint="eastAsia" w:ascii="宋体" w:hAnsi="宋体" w:eastAsia="宋体" w:cs="宋体"/>
              <w:sz w:val="21"/>
              <w:szCs w:val="40"/>
              <w:lang w:val="zh-CN"/>
            </w:rPr>
            <w:tab/>
          </w:r>
          <w:r>
            <w:rPr>
              <w:rFonts w:hint="eastAsia" w:ascii="宋体" w:hAnsi="宋体" w:eastAsia="宋体" w:cs="宋体"/>
              <w:sz w:val="21"/>
              <w:szCs w:val="40"/>
              <w:lang w:val="zh-CN"/>
            </w:rPr>
            <w:fldChar w:fldCharType="begin"/>
          </w:r>
          <w:r>
            <w:rPr>
              <w:rFonts w:hint="eastAsia" w:ascii="宋体" w:hAnsi="宋体" w:eastAsia="宋体" w:cs="宋体"/>
              <w:sz w:val="21"/>
              <w:szCs w:val="40"/>
              <w:lang w:val="zh-CN"/>
            </w:rPr>
            <w:instrText xml:space="preserve"> PAGEREF _Toc14795 \h </w:instrText>
          </w:r>
          <w:r>
            <w:rPr>
              <w:rFonts w:hint="eastAsia" w:ascii="宋体" w:hAnsi="宋体" w:eastAsia="宋体" w:cs="宋体"/>
              <w:sz w:val="21"/>
              <w:szCs w:val="40"/>
              <w:lang w:val="zh-CN"/>
            </w:rPr>
            <w:fldChar w:fldCharType="separate"/>
          </w:r>
          <w:r>
            <w:rPr>
              <w:rFonts w:hint="eastAsia" w:ascii="宋体" w:hAnsi="宋体" w:eastAsia="宋体" w:cs="宋体"/>
              <w:sz w:val="21"/>
              <w:szCs w:val="40"/>
              <w:lang w:val="zh-CN"/>
            </w:rPr>
            <w:t>49</w:t>
          </w:r>
          <w:r>
            <w:rPr>
              <w:rFonts w:hint="eastAsia" w:ascii="宋体" w:hAnsi="宋体" w:eastAsia="宋体" w:cs="宋体"/>
              <w:sz w:val="21"/>
              <w:szCs w:val="40"/>
              <w:lang w:val="zh-CN"/>
            </w:rPr>
            <w:fldChar w:fldCharType="end"/>
          </w:r>
          <w:r>
            <w:rPr>
              <w:rFonts w:hint="eastAsia" w:ascii="宋体" w:hAnsi="宋体" w:eastAsia="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_Toc8741 </w:instrText>
          </w:r>
          <w:r>
            <w:rPr>
              <w:rFonts w:hint="eastAsia" w:ascii="宋体" w:hAnsi="宋体" w:cs="宋体"/>
              <w:sz w:val="21"/>
              <w:szCs w:val="40"/>
              <w:lang w:val="zh-CN"/>
            </w:rPr>
            <w:fldChar w:fldCharType="separate"/>
          </w:r>
          <w:r>
            <w:rPr>
              <w:rFonts w:hint="eastAsia" w:ascii="宋体" w:hAnsi="宋体" w:cs="宋体"/>
              <w:sz w:val="21"/>
              <w:szCs w:val="32"/>
            </w:rPr>
            <w:t>（15）</w:t>
          </w:r>
          <w:r>
            <w:rPr>
              <w:rFonts w:hint="eastAsia" w:ascii="宋体" w:hAnsi="宋体" w:cs="宋体"/>
              <w:sz w:val="21"/>
              <w:szCs w:val="32"/>
              <w:lang w:val="zh-CN"/>
            </w:rPr>
            <w:t>投标人的类似业绩证明材料</w:t>
          </w:r>
          <w:r>
            <w:rPr>
              <w:sz w:val="21"/>
              <w:szCs w:val="21"/>
            </w:rPr>
            <w:tab/>
          </w:r>
          <w:r>
            <w:rPr>
              <w:sz w:val="21"/>
              <w:szCs w:val="21"/>
            </w:rPr>
            <w:fldChar w:fldCharType="begin"/>
          </w:r>
          <w:r>
            <w:rPr>
              <w:sz w:val="21"/>
              <w:szCs w:val="21"/>
            </w:rPr>
            <w:instrText xml:space="preserve"> PAGEREF _Toc8741 \h </w:instrText>
          </w:r>
          <w:r>
            <w:rPr>
              <w:sz w:val="21"/>
              <w:szCs w:val="21"/>
            </w:rPr>
            <w:fldChar w:fldCharType="separate"/>
          </w:r>
          <w:r>
            <w:rPr>
              <w:sz w:val="21"/>
              <w:szCs w:val="21"/>
            </w:rPr>
            <w:t>50</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_Toc21669 </w:instrText>
          </w:r>
          <w:r>
            <w:rPr>
              <w:rFonts w:hint="eastAsia" w:ascii="宋体" w:hAnsi="宋体" w:cs="宋体"/>
              <w:sz w:val="21"/>
              <w:szCs w:val="40"/>
              <w:lang w:val="zh-CN"/>
            </w:rPr>
            <w:fldChar w:fldCharType="separate"/>
          </w:r>
          <w:r>
            <w:rPr>
              <w:rFonts w:hint="eastAsia" w:ascii="宋体" w:hAnsi="宋体" w:cs="宋体"/>
              <w:sz w:val="21"/>
              <w:szCs w:val="32"/>
            </w:rPr>
            <w:t>（16.1）</w:t>
          </w:r>
          <w:r>
            <w:rPr>
              <w:rFonts w:hint="eastAsia" w:ascii="宋体" w:hAnsi="宋体" w:cs="宋体"/>
              <w:sz w:val="21"/>
              <w:szCs w:val="32"/>
              <w:lang w:val="zh-CN"/>
            </w:rPr>
            <w:t>制造（生产）企业小型、微型企业声明函</w:t>
          </w:r>
          <w:r>
            <w:rPr>
              <w:sz w:val="21"/>
              <w:szCs w:val="21"/>
            </w:rPr>
            <w:tab/>
          </w:r>
          <w:r>
            <w:rPr>
              <w:sz w:val="21"/>
              <w:szCs w:val="21"/>
            </w:rPr>
            <w:fldChar w:fldCharType="begin"/>
          </w:r>
          <w:r>
            <w:rPr>
              <w:sz w:val="21"/>
              <w:szCs w:val="21"/>
            </w:rPr>
            <w:instrText xml:space="preserve"> PAGEREF _Toc21669 \h </w:instrText>
          </w:r>
          <w:r>
            <w:rPr>
              <w:sz w:val="21"/>
              <w:szCs w:val="21"/>
            </w:rPr>
            <w:fldChar w:fldCharType="separate"/>
          </w:r>
          <w:r>
            <w:rPr>
              <w:sz w:val="21"/>
              <w:szCs w:val="21"/>
            </w:rPr>
            <w:t>51</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_Toc14895 </w:instrText>
          </w:r>
          <w:r>
            <w:rPr>
              <w:rFonts w:hint="eastAsia" w:ascii="宋体" w:hAnsi="宋体" w:cs="宋体"/>
              <w:sz w:val="21"/>
              <w:szCs w:val="40"/>
              <w:lang w:val="zh-CN"/>
            </w:rPr>
            <w:fldChar w:fldCharType="separate"/>
          </w:r>
          <w:r>
            <w:rPr>
              <w:rFonts w:hint="eastAsia" w:ascii="宋体" w:hAnsi="宋体" w:cs="宋体"/>
              <w:sz w:val="21"/>
              <w:szCs w:val="32"/>
            </w:rPr>
            <w:t>（16.2）</w:t>
          </w:r>
          <w:r>
            <w:rPr>
              <w:rFonts w:hint="eastAsia" w:ascii="宋体" w:hAnsi="宋体" w:cs="宋体"/>
              <w:sz w:val="21"/>
              <w:szCs w:val="32"/>
              <w:lang w:val="zh-CN"/>
            </w:rPr>
            <w:t>从业人员声明函</w:t>
          </w:r>
          <w:r>
            <w:rPr>
              <w:sz w:val="21"/>
              <w:szCs w:val="21"/>
            </w:rPr>
            <w:tab/>
          </w:r>
          <w:r>
            <w:rPr>
              <w:sz w:val="21"/>
              <w:szCs w:val="21"/>
            </w:rPr>
            <w:fldChar w:fldCharType="begin"/>
          </w:r>
          <w:r>
            <w:rPr>
              <w:sz w:val="21"/>
              <w:szCs w:val="21"/>
            </w:rPr>
            <w:instrText xml:space="preserve"> PAGEREF _Toc14895 \h </w:instrText>
          </w:r>
          <w:r>
            <w:rPr>
              <w:sz w:val="21"/>
              <w:szCs w:val="21"/>
            </w:rPr>
            <w:fldChar w:fldCharType="separate"/>
          </w:r>
          <w:r>
            <w:rPr>
              <w:sz w:val="21"/>
              <w:szCs w:val="21"/>
            </w:rPr>
            <w:t>52</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_Toc4958 </w:instrText>
          </w:r>
          <w:r>
            <w:rPr>
              <w:rFonts w:hint="eastAsia" w:ascii="宋体" w:hAnsi="宋体" w:cs="宋体"/>
              <w:sz w:val="21"/>
              <w:szCs w:val="40"/>
              <w:lang w:val="zh-CN"/>
            </w:rPr>
            <w:fldChar w:fldCharType="separate"/>
          </w:r>
          <w:r>
            <w:rPr>
              <w:rFonts w:hint="eastAsia" w:ascii="宋体" w:hAnsi="宋体" w:cs="宋体"/>
              <w:bCs w:val="0"/>
              <w:sz w:val="21"/>
              <w:szCs w:val="32"/>
              <w:lang w:val="zh-CN"/>
            </w:rPr>
            <w:t>（</w:t>
          </w:r>
          <w:r>
            <w:rPr>
              <w:rFonts w:hint="eastAsia" w:ascii="宋体" w:hAnsi="宋体" w:cs="宋体"/>
              <w:bCs w:val="0"/>
              <w:sz w:val="21"/>
              <w:szCs w:val="32"/>
            </w:rPr>
            <w:t>17</w:t>
          </w:r>
          <w:r>
            <w:rPr>
              <w:rFonts w:hint="eastAsia" w:ascii="宋体" w:hAnsi="宋体" w:cs="宋体"/>
              <w:bCs w:val="0"/>
              <w:sz w:val="21"/>
              <w:szCs w:val="32"/>
              <w:lang w:val="zh-CN"/>
            </w:rPr>
            <w:t>）残疾人</w:t>
          </w:r>
          <w:r>
            <w:rPr>
              <w:rFonts w:hint="eastAsia" w:ascii="宋体" w:hAnsi="宋体" w:cs="宋体"/>
              <w:bCs w:val="0"/>
              <w:sz w:val="21"/>
              <w:szCs w:val="32"/>
            </w:rPr>
            <w:t>福利性单位声明函</w:t>
          </w:r>
          <w:r>
            <w:rPr>
              <w:sz w:val="21"/>
              <w:szCs w:val="21"/>
            </w:rPr>
            <w:tab/>
          </w:r>
          <w:r>
            <w:rPr>
              <w:sz w:val="21"/>
              <w:szCs w:val="21"/>
            </w:rPr>
            <w:fldChar w:fldCharType="begin"/>
          </w:r>
          <w:r>
            <w:rPr>
              <w:sz w:val="21"/>
              <w:szCs w:val="21"/>
            </w:rPr>
            <w:instrText xml:space="preserve"> PAGEREF _Toc4958 \h </w:instrText>
          </w:r>
          <w:r>
            <w:rPr>
              <w:sz w:val="21"/>
              <w:szCs w:val="21"/>
            </w:rPr>
            <w:fldChar w:fldCharType="separate"/>
          </w:r>
          <w:r>
            <w:rPr>
              <w:sz w:val="21"/>
              <w:szCs w:val="21"/>
            </w:rPr>
            <w:t>53</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b/>
              <w:bCs/>
              <w:sz w:val="21"/>
              <w:szCs w:val="21"/>
            </w:rPr>
          </w:pPr>
          <w:r>
            <w:rPr>
              <w:rFonts w:hint="eastAsia" w:ascii="宋体" w:hAnsi="宋体" w:cs="宋体"/>
              <w:b/>
              <w:bCs/>
              <w:sz w:val="21"/>
              <w:szCs w:val="40"/>
              <w:lang w:val="zh-CN"/>
            </w:rPr>
            <w:fldChar w:fldCharType="begin"/>
          </w:r>
          <w:r>
            <w:rPr>
              <w:rFonts w:hint="eastAsia" w:ascii="宋体" w:hAnsi="宋体" w:cs="宋体"/>
              <w:b/>
              <w:bCs/>
              <w:sz w:val="21"/>
              <w:szCs w:val="40"/>
              <w:lang w:val="zh-CN"/>
            </w:rPr>
            <w:instrText xml:space="preserve"> HYPERLINK \l _Toc10136 </w:instrText>
          </w:r>
          <w:r>
            <w:rPr>
              <w:rFonts w:hint="eastAsia" w:ascii="宋体" w:hAnsi="宋体" w:cs="宋体"/>
              <w:b/>
              <w:bCs/>
              <w:sz w:val="21"/>
              <w:szCs w:val="40"/>
              <w:lang w:val="zh-CN"/>
            </w:rPr>
            <w:fldChar w:fldCharType="separate"/>
          </w:r>
          <w:r>
            <w:rPr>
              <w:rFonts w:hint="eastAsia" w:ascii="宋体" w:hAnsi="宋体" w:cs="宋体"/>
              <w:b/>
              <w:bCs/>
              <w:sz w:val="21"/>
              <w:szCs w:val="32"/>
            </w:rPr>
            <w:t>（18）</w:t>
          </w:r>
          <w:r>
            <w:rPr>
              <w:rFonts w:hint="eastAsia" w:ascii="宋体" w:hAnsi="宋体" w:cs="宋体"/>
              <w:b/>
              <w:bCs/>
              <w:sz w:val="21"/>
              <w:szCs w:val="32"/>
              <w:lang w:val="zh-CN"/>
            </w:rPr>
            <w:t>投标人认为在其他方面有必要说明的事项</w:t>
          </w:r>
          <w:r>
            <w:rPr>
              <w:b/>
              <w:bCs/>
              <w:sz w:val="21"/>
              <w:szCs w:val="21"/>
            </w:rPr>
            <w:tab/>
          </w:r>
          <w:r>
            <w:rPr>
              <w:b/>
              <w:bCs/>
              <w:sz w:val="21"/>
              <w:szCs w:val="21"/>
            </w:rPr>
            <w:fldChar w:fldCharType="begin"/>
          </w:r>
          <w:r>
            <w:rPr>
              <w:b/>
              <w:bCs/>
              <w:sz w:val="21"/>
              <w:szCs w:val="21"/>
            </w:rPr>
            <w:instrText xml:space="preserve"> PAGEREF _Toc10136 \h </w:instrText>
          </w:r>
          <w:r>
            <w:rPr>
              <w:b/>
              <w:bCs/>
              <w:sz w:val="21"/>
              <w:szCs w:val="21"/>
            </w:rPr>
            <w:fldChar w:fldCharType="separate"/>
          </w:r>
          <w:r>
            <w:rPr>
              <w:b/>
              <w:bCs/>
              <w:sz w:val="21"/>
              <w:szCs w:val="21"/>
            </w:rPr>
            <w:t>54</w:t>
          </w:r>
          <w:r>
            <w:rPr>
              <w:b/>
              <w:bCs/>
              <w:sz w:val="21"/>
              <w:szCs w:val="21"/>
            </w:rPr>
            <w:fldChar w:fldCharType="end"/>
          </w:r>
          <w:r>
            <w:rPr>
              <w:rFonts w:hint="eastAsia" w:ascii="宋体" w:hAnsi="宋体" w:cs="宋体"/>
              <w:b/>
              <w:bCs/>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_Toc5125 </w:instrText>
          </w:r>
          <w:r>
            <w:rPr>
              <w:rFonts w:hint="eastAsia" w:ascii="宋体" w:hAnsi="宋体" w:cs="宋体"/>
              <w:sz w:val="21"/>
              <w:szCs w:val="40"/>
              <w:lang w:val="zh-CN"/>
            </w:rPr>
            <w:fldChar w:fldCharType="separate"/>
          </w:r>
          <w:r>
            <w:rPr>
              <w:rFonts w:hint="eastAsia" w:ascii="宋体" w:hAnsi="宋体" w:cs="宋体"/>
              <w:sz w:val="21"/>
              <w:szCs w:val="40"/>
              <w:lang w:val="zh-CN"/>
            </w:rPr>
            <w:t>第五部分  采购项目要求及技术参数</w:t>
          </w:r>
          <w:r>
            <w:rPr>
              <w:sz w:val="21"/>
              <w:szCs w:val="21"/>
            </w:rPr>
            <w:tab/>
          </w:r>
          <w:r>
            <w:rPr>
              <w:sz w:val="21"/>
              <w:szCs w:val="21"/>
            </w:rPr>
            <w:fldChar w:fldCharType="begin"/>
          </w:r>
          <w:r>
            <w:rPr>
              <w:sz w:val="21"/>
              <w:szCs w:val="21"/>
            </w:rPr>
            <w:instrText xml:space="preserve"> PAGEREF _Toc5125 \h </w:instrText>
          </w:r>
          <w:r>
            <w:rPr>
              <w:sz w:val="21"/>
              <w:szCs w:val="21"/>
            </w:rPr>
            <w:fldChar w:fldCharType="separate"/>
          </w:r>
          <w:r>
            <w:rPr>
              <w:sz w:val="21"/>
              <w:szCs w:val="21"/>
            </w:rPr>
            <w:t>55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_Toc31265 </w:instrText>
          </w:r>
          <w:r>
            <w:rPr>
              <w:rFonts w:hint="eastAsia" w:ascii="宋体" w:hAnsi="宋体" w:cs="宋体"/>
              <w:sz w:val="21"/>
              <w:szCs w:val="40"/>
              <w:lang w:val="zh-CN"/>
            </w:rPr>
            <w:fldChar w:fldCharType="separate"/>
          </w:r>
          <w:r>
            <w:rPr>
              <w:rFonts w:hint="eastAsia" w:ascii="宋体" w:hAnsi="宋体" w:cs="宋体"/>
              <w:sz w:val="21"/>
              <w:szCs w:val="21"/>
              <w:lang w:val="zh-CN"/>
            </w:rPr>
            <w:t>（一）投标要求</w:t>
          </w:r>
          <w:r>
            <w:rPr>
              <w:sz w:val="21"/>
              <w:szCs w:val="21"/>
            </w:rPr>
            <w:tab/>
          </w:r>
          <w:r>
            <w:rPr>
              <w:sz w:val="21"/>
              <w:szCs w:val="21"/>
            </w:rPr>
            <w:fldChar w:fldCharType="begin"/>
          </w:r>
          <w:r>
            <w:rPr>
              <w:sz w:val="21"/>
              <w:szCs w:val="21"/>
            </w:rPr>
            <w:instrText xml:space="preserve"> PAGEREF _Toc31265 \h </w:instrText>
          </w:r>
          <w:r>
            <w:rPr>
              <w:sz w:val="21"/>
              <w:szCs w:val="21"/>
            </w:rPr>
            <w:fldChar w:fldCharType="separate"/>
          </w:r>
          <w:r>
            <w:rPr>
              <w:sz w:val="21"/>
              <w:szCs w:val="21"/>
            </w:rPr>
            <w:t>55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_Toc4501 </w:instrText>
          </w:r>
          <w:r>
            <w:rPr>
              <w:rFonts w:hint="eastAsia" w:ascii="宋体" w:hAnsi="宋体" w:cs="宋体"/>
              <w:sz w:val="21"/>
              <w:szCs w:val="40"/>
              <w:lang w:val="zh-CN"/>
            </w:rPr>
            <w:fldChar w:fldCharType="separate"/>
          </w:r>
          <w:r>
            <w:rPr>
              <w:rFonts w:hint="eastAsia" w:ascii="宋体" w:hAnsi="宋体" w:cs="宋体"/>
              <w:sz w:val="21"/>
              <w:szCs w:val="32"/>
              <w:lang w:val="zh-CN"/>
            </w:rPr>
            <w:t>1.投标说明</w:t>
          </w:r>
          <w:r>
            <w:rPr>
              <w:sz w:val="21"/>
              <w:szCs w:val="21"/>
            </w:rPr>
            <w:tab/>
          </w:r>
          <w:r>
            <w:rPr>
              <w:sz w:val="21"/>
              <w:szCs w:val="21"/>
            </w:rPr>
            <w:fldChar w:fldCharType="begin"/>
          </w:r>
          <w:r>
            <w:rPr>
              <w:sz w:val="21"/>
              <w:szCs w:val="21"/>
            </w:rPr>
            <w:instrText xml:space="preserve"> PAGEREF _Toc4501 \h </w:instrText>
          </w:r>
          <w:r>
            <w:rPr>
              <w:sz w:val="21"/>
              <w:szCs w:val="21"/>
            </w:rPr>
            <w:fldChar w:fldCharType="separate"/>
          </w:r>
          <w:r>
            <w:rPr>
              <w:sz w:val="21"/>
              <w:szCs w:val="21"/>
            </w:rPr>
            <w:t>55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_Toc18957 </w:instrText>
          </w:r>
          <w:r>
            <w:rPr>
              <w:rFonts w:hint="eastAsia" w:ascii="宋体" w:hAnsi="宋体" w:cs="宋体"/>
              <w:sz w:val="21"/>
              <w:szCs w:val="40"/>
              <w:lang w:val="zh-CN"/>
            </w:rPr>
            <w:fldChar w:fldCharType="separate"/>
          </w:r>
          <w:r>
            <w:rPr>
              <w:rFonts w:hint="eastAsia" w:ascii="宋体" w:hAnsi="宋体" w:cs="宋体"/>
              <w:sz w:val="21"/>
              <w:szCs w:val="32"/>
            </w:rPr>
            <w:t>2</w:t>
          </w:r>
          <w:r>
            <w:rPr>
              <w:rFonts w:hint="eastAsia" w:ascii="宋体" w:hAnsi="宋体" w:cs="宋体"/>
              <w:sz w:val="21"/>
              <w:szCs w:val="32"/>
              <w:lang w:val="zh-CN"/>
            </w:rPr>
            <w:t>.商务要求</w:t>
          </w:r>
          <w:r>
            <w:rPr>
              <w:sz w:val="21"/>
              <w:szCs w:val="21"/>
            </w:rPr>
            <w:tab/>
          </w:r>
          <w:r>
            <w:rPr>
              <w:sz w:val="21"/>
              <w:szCs w:val="21"/>
            </w:rPr>
            <w:fldChar w:fldCharType="begin"/>
          </w:r>
          <w:r>
            <w:rPr>
              <w:sz w:val="21"/>
              <w:szCs w:val="21"/>
            </w:rPr>
            <w:instrText xml:space="preserve"> PAGEREF _Toc18957 \h </w:instrText>
          </w:r>
          <w:r>
            <w:rPr>
              <w:sz w:val="21"/>
              <w:szCs w:val="21"/>
            </w:rPr>
            <w:fldChar w:fldCharType="separate"/>
          </w:r>
          <w:r>
            <w:rPr>
              <w:sz w:val="21"/>
              <w:szCs w:val="21"/>
            </w:rPr>
            <w:t>55</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40"/>
              <w:lang w:val="zh-CN"/>
            </w:rPr>
            <w:fldChar w:fldCharType="begin"/>
          </w:r>
          <w:r>
            <w:rPr>
              <w:rFonts w:hint="eastAsia" w:ascii="宋体" w:hAnsi="宋体" w:cs="宋体"/>
              <w:sz w:val="21"/>
              <w:szCs w:val="40"/>
              <w:lang w:val="zh-CN"/>
            </w:rPr>
            <w:instrText xml:space="preserve"> HYPERLINK \l _Toc20377 </w:instrText>
          </w:r>
          <w:r>
            <w:rPr>
              <w:rFonts w:hint="eastAsia" w:ascii="宋体" w:hAnsi="宋体" w:cs="宋体"/>
              <w:sz w:val="21"/>
              <w:szCs w:val="40"/>
              <w:lang w:val="zh-CN"/>
            </w:rPr>
            <w:fldChar w:fldCharType="separate"/>
          </w:r>
          <w:r>
            <w:rPr>
              <w:rFonts w:hint="eastAsia" w:ascii="宋体" w:hAnsi="宋体" w:cs="宋体"/>
              <w:sz w:val="21"/>
              <w:szCs w:val="21"/>
              <w:lang w:val="zh-CN"/>
            </w:rPr>
            <w:t>（二）服务需求及相关技术参数</w:t>
          </w:r>
          <w:r>
            <w:rPr>
              <w:sz w:val="21"/>
              <w:szCs w:val="21"/>
            </w:rPr>
            <w:tab/>
          </w:r>
          <w:r>
            <w:rPr>
              <w:sz w:val="21"/>
              <w:szCs w:val="21"/>
            </w:rPr>
            <w:fldChar w:fldCharType="begin"/>
          </w:r>
          <w:r>
            <w:rPr>
              <w:sz w:val="21"/>
              <w:szCs w:val="21"/>
            </w:rPr>
            <w:instrText xml:space="preserve"> PAGEREF _Toc20377 \h </w:instrText>
          </w:r>
          <w:r>
            <w:rPr>
              <w:sz w:val="21"/>
              <w:szCs w:val="21"/>
            </w:rPr>
            <w:fldChar w:fldCharType="separate"/>
          </w:r>
          <w:r>
            <w:rPr>
              <w:sz w:val="21"/>
              <w:szCs w:val="21"/>
            </w:rPr>
            <w:t>56</w:t>
          </w:r>
          <w:r>
            <w:rPr>
              <w:sz w:val="21"/>
              <w:szCs w:val="21"/>
            </w:rPr>
            <w:fldChar w:fldCharType="end"/>
          </w:r>
          <w:r>
            <w:rPr>
              <w:rFonts w:hint="eastAsia" w:ascii="宋体" w:hAnsi="宋体" w:cs="宋体"/>
              <w:sz w:val="21"/>
              <w:szCs w:val="40"/>
              <w:lang w:val="zh-CN"/>
            </w:rPr>
            <w:fldChar w:fldCharType="end"/>
          </w:r>
        </w:p>
        <w:p>
          <w:pPr>
            <w:pStyle w:val="133"/>
            <w:keepNext w:val="0"/>
            <w:keepLines w:val="0"/>
            <w:pageBreakBefore w:val="0"/>
            <w:tabs>
              <w:tab w:val="right" w:leader="dot" w:pos="8829"/>
            </w:tabs>
            <w:kinsoku/>
            <w:wordWrap/>
            <w:overflowPunct/>
            <w:topLinePunct w:val="0"/>
            <w:autoSpaceDE/>
            <w:autoSpaceDN/>
            <w:bidi w:val="0"/>
            <w:adjustRightInd/>
            <w:snapToGrid/>
            <w:spacing w:line="360" w:lineRule="exact"/>
            <w:textAlignment w:val="auto"/>
            <w:rPr>
              <w:sz w:val="21"/>
              <w:szCs w:val="21"/>
            </w:rPr>
          </w:pPr>
        </w:p>
        <w:p>
          <w:pPr>
            <w:pStyle w:val="32"/>
            <w:keepNext w:val="0"/>
            <w:keepLines w:val="0"/>
            <w:pageBreakBefore w:val="0"/>
            <w:kinsoku/>
            <w:wordWrap/>
            <w:overflowPunct/>
            <w:topLinePunct w:val="0"/>
            <w:autoSpaceDE/>
            <w:autoSpaceDN/>
            <w:bidi w:val="0"/>
            <w:adjustRightInd/>
            <w:snapToGrid/>
            <w:spacing w:before="0" w:after="0" w:line="360" w:lineRule="exact"/>
            <w:jc w:val="both"/>
            <w:textAlignment w:val="auto"/>
            <w:outlineLvl w:val="9"/>
            <w:rPr>
              <w:rFonts w:hint="eastAsia" w:ascii="宋体" w:hAnsi="宋体" w:cs="宋体"/>
              <w:sz w:val="40"/>
              <w:szCs w:val="40"/>
              <w:lang w:val="zh-CN"/>
            </w:rPr>
            <w:sectPr>
              <w:headerReference r:id="rId5" w:type="first"/>
              <w:headerReference r:id="rId3" w:type="default"/>
              <w:headerReference r:id="rId4" w:type="even"/>
              <w:pgSz w:w="11849" w:h="16781"/>
              <w:pgMar w:top="1440" w:right="1217" w:bottom="1440" w:left="1803" w:header="851" w:footer="992" w:gutter="0"/>
              <w:pgNumType w:start="1"/>
              <w:cols w:space="720" w:num="1"/>
              <w:docGrid w:linePitch="397" w:charSpace="0"/>
            </w:sectPr>
          </w:pPr>
          <w:r>
            <w:rPr>
              <w:rFonts w:hint="eastAsia" w:ascii="宋体" w:hAnsi="宋体" w:cs="宋体"/>
              <w:sz w:val="40"/>
              <w:szCs w:val="40"/>
              <w:lang w:val="zh-CN"/>
            </w:rPr>
            <w:fldChar w:fldCharType="end"/>
          </w:r>
        </w:p>
      </w:sdtContent>
    </w:sdt>
    <w:p>
      <w:pPr>
        <w:pStyle w:val="32"/>
        <w:spacing w:before="0" w:after="0" w:line="360" w:lineRule="auto"/>
        <w:rPr>
          <w:rFonts w:ascii="宋体" w:hAnsi="宋体" w:cs="宋体"/>
          <w:szCs w:val="36"/>
          <w:lang w:val="zh-CN"/>
        </w:rPr>
      </w:pPr>
      <w:bookmarkStart w:id="1" w:name="_Toc11007"/>
      <w:r>
        <w:rPr>
          <w:rFonts w:hint="eastAsia" w:ascii="宋体" w:hAnsi="宋体" w:cs="宋体"/>
          <w:szCs w:val="36"/>
          <w:lang w:val="zh-CN"/>
        </w:rPr>
        <w:t>第一部分  投标邀请</w:t>
      </w:r>
      <w:bookmarkEnd w:id="0"/>
      <w:bookmarkEnd w:id="1"/>
    </w:p>
    <w:p>
      <w:pPr>
        <w:autoSpaceDE w:val="0"/>
        <w:autoSpaceDN w:val="0"/>
        <w:adjustRightInd w:val="0"/>
        <w:spacing w:line="360" w:lineRule="auto"/>
        <w:ind w:firstLine="482" w:firstLineChars="200"/>
        <w:rPr>
          <w:rFonts w:ascii="宋体" w:hAnsi="宋体" w:cs="宋体"/>
          <w:kern w:val="0"/>
          <w:lang w:val="zh-CN"/>
        </w:rPr>
      </w:pPr>
      <w:r>
        <w:rPr>
          <w:rFonts w:hint="eastAsia" w:ascii="宋体" w:hAnsi="宋体" w:cs="宋体"/>
          <w:b/>
          <w:bCs/>
          <w:kern w:val="0"/>
          <w:u w:val="single"/>
          <w:lang w:val="zh-CN"/>
        </w:rPr>
        <w:t>甘肃东方工程咨询有限公司</w:t>
      </w:r>
      <w:r>
        <w:rPr>
          <w:rFonts w:hint="eastAsia" w:ascii="宋体" w:hAnsi="宋体" w:cs="宋体"/>
          <w:kern w:val="0"/>
          <w:lang w:val="zh-CN"/>
        </w:rPr>
        <w:t>（以下均简称“采购代理机构”）受</w:t>
      </w:r>
      <w:r>
        <w:rPr>
          <w:rFonts w:hint="eastAsia" w:ascii="宋体" w:hAnsi="宋体" w:cs="宋体"/>
          <w:b/>
          <w:bCs/>
          <w:kern w:val="0"/>
          <w:u w:val="single"/>
          <w:lang w:val="zh-CN"/>
        </w:rPr>
        <w:t>海东市乐都区自然资源局</w:t>
      </w:r>
      <w:r>
        <w:rPr>
          <w:rFonts w:hint="eastAsia" w:ascii="宋体" w:hAnsi="宋体" w:cs="宋体"/>
          <w:kern w:val="0"/>
          <w:lang w:val="zh-CN"/>
        </w:rPr>
        <w:t>（以下均简称“采购人”）委托,拟对</w:t>
      </w:r>
      <w:r>
        <w:rPr>
          <w:rFonts w:hint="eastAsia" w:ascii="宋体" w:hAnsi="宋体" w:cs="仿宋"/>
          <w:b/>
          <w:bCs/>
          <w:u w:val="single"/>
          <w:lang w:eastAsia="zh-CN"/>
        </w:rPr>
        <w:t>海东市乐都区瞿昙镇盛家村滑坡监测预警示范、乐都区中岭乡乡政府不稳定斜坡地质灾害治理工程、乐都区第八中学不稳定斜坡地质灾害治理工程</w:t>
      </w:r>
      <w:r>
        <w:rPr>
          <w:rFonts w:hint="eastAsia" w:ascii="宋体" w:hAnsi="宋体" w:cs="宋体"/>
          <w:kern w:val="0"/>
          <w:lang w:val="zh-CN"/>
        </w:rPr>
        <w:t>进行国内公开招标，现予以公告，欢迎潜在的投标人参加本次政府采购活动。</w:t>
      </w:r>
    </w:p>
    <w:tbl>
      <w:tblPr>
        <w:tblStyle w:val="34"/>
        <w:tblW w:w="9133" w:type="dxa"/>
        <w:jc w:val="center"/>
        <w:tblLayout w:type="fixed"/>
        <w:tblCellMar>
          <w:top w:w="0" w:type="dxa"/>
          <w:left w:w="108" w:type="dxa"/>
          <w:bottom w:w="0" w:type="dxa"/>
          <w:right w:w="108" w:type="dxa"/>
        </w:tblCellMar>
      </w:tblPr>
      <w:tblGrid>
        <w:gridCol w:w="1995"/>
        <w:gridCol w:w="7138"/>
      </w:tblGrid>
      <w:tr>
        <w:tblPrEx>
          <w:tblCellMar>
            <w:top w:w="0" w:type="dxa"/>
            <w:left w:w="108" w:type="dxa"/>
            <w:bottom w:w="0" w:type="dxa"/>
            <w:right w:w="108" w:type="dxa"/>
          </w:tblCellMar>
        </w:tblPrEx>
        <w:trPr>
          <w:trHeight w:val="298"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采购项目编号</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甘肃东方公招（工程）2021-078</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采购项目名称</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海东市乐都区瞿昙镇盛家村滑坡监测预警示范、乐都区中岭乡乡政府不稳定斜坡地质灾害治理工程、乐都区第八中学不稳定斜坡地质灾害治理工程</w:t>
            </w:r>
          </w:p>
        </w:tc>
      </w:tr>
      <w:tr>
        <w:tblPrEx>
          <w:tblCellMar>
            <w:top w:w="0" w:type="dxa"/>
            <w:left w:w="108" w:type="dxa"/>
            <w:bottom w:w="0" w:type="dxa"/>
            <w:right w:w="108" w:type="dxa"/>
          </w:tblCellMar>
        </w:tblPrEx>
        <w:trPr>
          <w:trHeight w:val="496"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公开招标</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元</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rPr>
              <w:t>最高限价</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en-US" w:eastAsia="zh-CN"/>
              </w:rPr>
              <w:t>827737.00</w:t>
            </w:r>
            <w:r>
              <w:rPr>
                <w:rFonts w:hint="eastAsia" w:ascii="宋体" w:hAnsi="Calibri" w:cs="宋体"/>
                <w:kern w:val="0"/>
                <w:lang w:val="zh-CN"/>
              </w:rPr>
              <w:t>元</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rPr>
            </w:pPr>
            <w:r>
              <w:rPr>
                <w:rFonts w:hint="eastAsia" w:ascii="宋体" w:hAnsi="Calibri" w:cs="宋体"/>
                <w:kern w:val="0"/>
                <w:lang w:val="en-US" w:eastAsia="zh-CN"/>
              </w:rPr>
              <w:t>827737.00</w:t>
            </w:r>
            <w:r>
              <w:rPr>
                <w:rFonts w:hint="eastAsia" w:ascii="宋体" w:hAnsi="Calibri" w:cs="宋体"/>
                <w:kern w:val="0"/>
                <w:lang w:val="zh-CN"/>
              </w:rPr>
              <w:t>元</w:t>
            </w:r>
          </w:p>
        </w:tc>
      </w:tr>
      <w:tr>
        <w:tblPrEx>
          <w:tblCellMar>
            <w:top w:w="0" w:type="dxa"/>
            <w:left w:w="108" w:type="dxa"/>
            <w:bottom w:w="0" w:type="dxa"/>
            <w:right w:w="108" w:type="dxa"/>
          </w:tblCellMar>
        </w:tblPrEx>
        <w:trPr>
          <w:trHeight w:val="740"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各包要求</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lang w:val="zh-CN"/>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rPr>
                <w:lang w:val="zh-CN"/>
              </w:rPr>
            </w:pPr>
            <w:r>
              <w:rPr>
                <w:rFonts w:hint="eastAsia"/>
                <w:lang w:val="zh-CN"/>
              </w:rPr>
              <w:t>1.符合《政府采购法》第22条条件，并提供下列材料：</w:t>
            </w:r>
          </w:p>
          <w:p>
            <w:pPr>
              <w:autoSpaceDE w:val="0"/>
              <w:autoSpaceDN w:val="0"/>
              <w:adjustRightInd w:val="0"/>
              <w:spacing w:line="400" w:lineRule="exact"/>
              <w:rPr>
                <w:lang w:val="zh-CN"/>
              </w:rPr>
            </w:pPr>
            <w:r>
              <w:rPr>
                <w:rFonts w:hint="eastAsia"/>
                <w:lang w:val="zh-CN"/>
              </w:rPr>
              <w:t>（1）投标人的营业执照等证明文件，自然人的身份证明。</w:t>
            </w:r>
          </w:p>
          <w:p>
            <w:pPr>
              <w:autoSpaceDE w:val="0"/>
              <w:autoSpaceDN w:val="0"/>
              <w:adjustRightInd w:val="0"/>
              <w:spacing w:line="400" w:lineRule="exact"/>
              <w:rPr>
                <w:lang w:val="zh-CN"/>
              </w:rPr>
            </w:pPr>
            <w:r>
              <w:rPr>
                <w:rFonts w:hint="eastAsia"/>
                <w:lang w:val="zh-CN"/>
              </w:rPr>
              <w:t>（2）有良好的企业信誉和健全的财务会计制度。</w:t>
            </w:r>
          </w:p>
          <w:p>
            <w:pPr>
              <w:autoSpaceDE w:val="0"/>
              <w:autoSpaceDN w:val="0"/>
              <w:adjustRightInd w:val="0"/>
              <w:spacing w:line="400" w:lineRule="exact"/>
              <w:rPr>
                <w:lang w:val="zh-CN"/>
              </w:rPr>
            </w:pPr>
            <w:r>
              <w:rPr>
                <w:rFonts w:hint="eastAsia"/>
                <w:lang w:val="zh-CN"/>
              </w:rPr>
              <w:t>（3）有依法缴纳税收和社会保障资金的良好记录。</w:t>
            </w:r>
          </w:p>
          <w:p>
            <w:pPr>
              <w:autoSpaceDE w:val="0"/>
              <w:autoSpaceDN w:val="0"/>
              <w:adjustRightInd w:val="0"/>
              <w:spacing w:line="400" w:lineRule="exact"/>
              <w:rPr>
                <w:rFonts w:hint="eastAsia"/>
                <w:lang w:val="zh-CN"/>
              </w:rPr>
            </w:pPr>
            <w:r>
              <w:rPr>
                <w:rFonts w:hint="eastAsia"/>
                <w:lang w:val="zh-CN"/>
              </w:rPr>
              <w:t>（4）具备履行合同所必需的设备和专业技术能力的证明材料。</w:t>
            </w:r>
          </w:p>
          <w:p>
            <w:pPr>
              <w:autoSpaceDE w:val="0"/>
              <w:autoSpaceDN w:val="0"/>
              <w:adjustRightInd w:val="0"/>
              <w:spacing w:line="400" w:lineRule="exact"/>
              <w:rPr>
                <w:lang w:val="zh-CN"/>
              </w:rPr>
            </w:pPr>
            <w:r>
              <w:rPr>
                <w:rFonts w:hint="eastAsia"/>
                <w:lang w:val="zh-CN"/>
              </w:rPr>
              <w:t>（提供承诺函）</w:t>
            </w:r>
          </w:p>
          <w:p>
            <w:pPr>
              <w:autoSpaceDE w:val="0"/>
              <w:autoSpaceDN w:val="0"/>
              <w:adjustRightInd w:val="0"/>
              <w:spacing w:line="400" w:lineRule="exact"/>
              <w:rPr>
                <w:lang w:val="zh-CN"/>
              </w:rPr>
            </w:pPr>
            <w:r>
              <w:rPr>
                <w:rFonts w:hint="eastAsia"/>
                <w:lang w:val="zh-CN"/>
              </w:rPr>
              <w:t>（5）参加政府采购活动前3年内在经营活动中没有重大违法记录的书面声明。</w:t>
            </w:r>
          </w:p>
          <w:p>
            <w:pPr>
              <w:autoSpaceDE w:val="0"/>
              <w:autoSpaceDN w:val="0"/>
              <w:adjustRightInd w:val="0"/>
              <w:spacing w:line="400" w:lineRule="exact"/>
              <w:rPr>
                <w:lang w:val="zh-CN"/>
              </w:rPr>
            </w:pPr>
            <w:r>
              <w:rPr>
                <w:rFonts w:hint="eastAsia"/>
                <w:lang w:val="zh-CN"/>
              </w:rPr>
              <w:t>（6）具备法律、行政法规规定的其他条件的证明材料。</w:t>
            </w:r>
          </w:p>
          <w:p>
            <w:pPr>
              <w:autoSpaceDE w:val="0"/>
              <w:autoSpaceDN w:val="0"/>
              <w:adjustRightInd w:val="0"/>
              <w:spacing w:line="400" w:lineRule="exact"/>
            </w:pPr>
            <w:r>
              <w:rPr>
                <w:rFonts w:hint="eastAsia"/>
                <w:lang w:val="zh-CN"/>
              </w:rPr>
              <w:t>2.单位负责人为同一人或者存在直接控股、管理关系的不同投标人，不得参加同一合同项下的政府采购活动。否则，皆取消投标资格；</w:t>
            </w:r>
          </w:p>
          <w:p>
            <w:pPr>
              <w:autoSpaceDE w:val="0"/>
              <w:autoSpaceDN w:val="0"/>
              <w:adjustRightInd w:val="0"/>
              <w:spacing w:line="400" w:lineRule="exact"/>
              <w:rPr>
                <w:lang w:val="zh-CN"/>
              </w:rPr>
            </w:pPr>
            <w:r>
              <w:rPr>
                <w:rFonts w:hint="eastAsia"/>
                <w:lang w:val="zh-CN"/>
              </w:rPr>
              <w:t>3</w:t>
            </w:r>
            <w:r>
              <w:rPr>
                <w:lang w:val="zh-CN"/>
              </w:rPr>
              <w:t>.</w:t>
            </w:r>
            <w:r>
              <w:rPr>
                <w:rFonts w:hint="eastAsia"/>
                <w:lang w:val="zh-CN"/>
              </w:rPr>
              <w:t>本项目不接受投标人以联合体方式进行投标；</w:t>
            </w:r>
          </w:p>
          <w:p>
            <w:pPr>
              <w:autoSpaceDE w:val="0"/>
              <w:autoSpaceDN w:val="0"/>
              <w:adjustRightInd w:val="0"/>
              <w:spacing w:line="400" w:lineRule="exact"/>
              <w:rPr>
                <w:lang w:val="zh-CN"/>
              </w:rPr>
            </w:pPr>
            <w:r>
              <w:rPr>
                <w:lang w:val="zh-CN"/>
              </w:rPr>
              <w:t>4</w:t>
            </w:r>
            <w:r>
              <w:rPr>
                <w:rFonts w:hint="eastAsia"/>
                <w:lang w:val="zh-CN"/>
              </w:rPr>
              <w:t>.</w:t>
            </w:r>
            <w:r>
              <w:rPr>
                <w:rFonts w:hint="eastAsia"/>
              </w:rPr>
              <w:t>提供在《信用中国》网站（www.creditchina.gov.cn）信用信息栏中无任何不良记录的查询截图（提供“信用中国”网站</w:t>
            </w:r>
            <w:r>
              <w:rPr>
                <w:rFonts w:hint="eastAsia"/>
                <w:lang w:val="zh-CN"/>
              </w:rPr>
              <w:t>的查询截图，时间为投标截止时间前20天内）。</w:t>
            </w:r>
          </w:p>
          <w:p>
            <w:pPr>
              <w:autoSpaceDE w:val="0"/>
              <w:autoSpaceDN w:val="0"/>
              <w:adjustRightInd w:val="0"/>
              <w:spacing w:line="400" w:lineRule="exact"/>
              <w:rPr>
                <w:lang w:val="zh-CN"/>
              </w:rPr>
            </w:pPr>
            <w:r>
              <w:rPr>
                <w:rFonts w:hint="eastAsia"/>
              </w:rPr>
              <w:t>5.</w:t>
            </w:r>
            <w:r>
              <w:rPr>
                <w:rFonts w:hint="eastAsia" w:ascii="宋体" w:hAnsi="宋体" w:cs="宋体"/>
              </w:rPr>
              <w:t>投标人需具备地质灾害防治单位勘查、设计、监理、施工、危险性评估甲级资质中任意两项（含两项）以上资质。</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u w:val="dashDotHeavy"/>
                <w:lang w:val="zh-CN"/>
              </w:rPr>
            </w:pPr>
            <w:r>
              <w:rPr>
                <w:rFonts w:ascii="宋体" w:hAnsi="Calibri" w:cs="宋体"/>
                <w:color w:val="auto"/>
                <w:kern w:val="0"/>
                <w:lang w:val="zh-CN"/>
              </w:rPr>
              <w:t>202</w:t>
            </w:r>
            <w:r>
              <w:rPr>
                <w:rFonts w:hint="eastAsia" w:ascii="宋体" w:hAnsi="Calibri" w:cs="宋体"/>
                <w:color w:val="auto"/>
                <w:kern w:val="0"/>
              </w:rPr>
              <w:t>1</w:t>
            </w:r>
            <w:r>
              <w:rPr>
                <w:rFonts w:ascii="宋体" w:hAnsi="Calibri" w:cs="宋体"/>
                <w:color w:val="auto"/>
                <w:kern w:val="0"/>
                <w:lang w:val="zh-CN"/>
              </w:rPr>
              <w:t>年</w:t>
            </w:r>
            <w:r>
              <w:rPr>
                <w:rFonts w:hint="eastAsia" w:ascii="宋体" w:hAnsi="Calibri" w:cs="宋体"/>
                <w:color w:val="auto"/>
                <w:kern w:val="0"/>
                <w:lang w:val="en-US" w:eastAsia="zh-CN"/>
              </w:rPr>
              <w:t>11</w:t>
            </w:r>
            <w:r>
              <w:rPr>
                <w:rFonts w:ascii="宋体" w:hAnsi="Calibri" w:cs="宋体"/>
                <w:color w:val="auto"/>
                <w:kern w:val="0"/>
                <w:lang w:val="zh-CN"/>
              </w:rPr>
              <w:t>月</w:t>
            </w:r>
            <w:r>
              <w:rPr>
                <w:rFonts w:hint="eastAsia" w:ascii="宋体" w:hAnsi="Calibri" w:cs="宋体"/>
                <w:color w:val="auto"/>
                <w:kern w:val="0"/>
                <w:lang w:val="en-US" w:eastAsia="zh-CN"/>
              </w:rPr>
              <w:t>21</w:t>
            </w:r>
            <w:r>
              <w:rPr>
                <w:rFonts w:ascii="宋体" w:hAnsi="Calibri" w:cs="宋体"/>
                <w:color w:val="auto"/>
                <w:kern w:val="0"/>
                <w:lang w:val="zh-CN"/>
              </w:rPr>
              <w:t>日</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u w:val="dashDotHeavy"/>
                <w:lang w:val="zh-CN"/>
              </w:rPr>
            </w:pPr>
            <w:r>
              <w:rPr>
                <w:rFonts w:hint="eastAsia" w:ascii="宋体" w:hAnsi="Calibri" w:cs="宋体"/>
                <w:color w:val="auto"/>
                <w:kern w:val="0"/>
                <w:lang w:val="zh-CN"/>
              </w:rPr>
              <w:t>20</w:t>
            </w:r>
            <w:r>
              <w:rPr>
                <w:rFonts w:ascii="宋体" w:hAnsi="Calibri" w:cs="宋体"/>
                <w:color w:val="auto"/>
                <w:kern w:val="0"/>
                <w:lang w:val="zh-CN"/>
              </w:rPr>
              <w:t>2</w:t>
            </w:r>
            <w:r>
              <w:rPr>
                <w:rFonts w:hint="eastAsia" w:ascii="宋体" w:hAnsi="Calibri" w:cs="宋体"/>
                <w:color w:val="auto"/>
                <w:kern w:val="0"/>
              </w:rPr>
              <w:t>1</w:t>
            </w:r>
            <w:r>
              <w:rPr>
                <w:rFonts w:hint="eastAsia" w:ascii="宋体" w:hAnsi="Calibri" w:cs="宋体"/>
                <w:color w:val="auto"/>
                <w:kern w:val="0"/>
                <w:lang w:val="zh-CN"/>
              </w:rPr>
              <w:t>年</w:t>
            </w:r>
            <w:r>
              <w:rPr>
                <w:rFonts w:hint="eastAsia" w:ascii="宋体" w:hAnsi="Calibri" w:cs="宋体"/>
                <w:color w:val="auto"/>
                <w:kern w:val="0"/>
                <w:lang w:val="en-US" w:eastAsia="zh-CN"/>
              </w:rPr>
              <w:t>11</w:t>
            </w:r>
            <w:r>
              <w:rPr>
                <w:rFonts w:hint="eastAsia" w:ascii="宋体" w:hAnsi="Calibri" w:cs="宋体"/>
                <w:color w:val="auto"/>
                <w:kern w:val="0"/>
                <w:lang w:val="zh-CN"/>
              </w:rPr>
              <w:t>月</w:t>
            </w:r>
            <w:r>
              <w:rPr>
                <w:rFonts w:hint="eastAsia" w:ascii="宋体" w:hAnsi="Calibri" w:cs="宋体"/>
                <w:color w:val="auto"/>
                <w:kern w:val="0"/>
                <w:lang w:val="en-US" w:eastAsia="zh-CN"/>
              </w:rPr>
              <w:t>22</w:t>
            </w:r>
            <w:r>
              <w:rPr>
                <w:rFonts w:hint="eastAsia" w:ascii="宋体" w:hAnsi="Calibri" w:cs="宋体"/>
                <w:color w:val="auto"/>
                <w:kern w:val="0"/>
                <w:lang w:val="zh-CN"/>
              </w:rPr>
              <w:t>日至20</w:t>
            </w:r>
            <w:r>
              <w:rPr>
                <w:rFonts w:ascii="宋体" w:hAnsi="Calibri" w:cs="宋体"/>
                <w:color w:val="auto"/>
                <w:kern w:val="0"/>
                <w:lang w:val="zh-CN"/>
              </w:rPr>
              <w:t>2</w:t>
            </w:r>
            <w:r>
              <w:rPr>
                <w:rFonts w:hint="eastAsia" w:ascii="宋体" w:hAnsi="Calibri" w:cs="宋体"/>
                <w:color w:val="auto"/>
                <w:kern w:val="0"/>
              </w:rPr>
              <w:t>1</w:t>
            </w:r>
            <w:r>
              <w:rPr>
                <w:rFonts w:hint="eastAsia" w:ascii="宋体" w:hAnsi="Calibri" w:cs="宋体"/>
                <w:color w:val="auto"/>
                <w:kern w:val="0"/>
                <w:lang w:val="zh-CN"/>
              </w:rPr>
              <w:t>年</w:t>
            </w:r>
            <w:r>
              <w:rPr>
                <w:rFonts w:hint="eastAsia" w:ascii="宋体" w:hAnsi="Calibri" w:cs="宋体"/>
                <w:color w:val="auto"/>
                <w:kern w:val="0"/>
                <w:lang w:val="en-US" w:eastAsia="zh-CN"/>
              </w:rPr>
              <w:t>11</w:t>
            </w:r>
            <w:r>
              <w:rPr>
                <w:rFonts w:hint="eastAsia" w:ascii="宋体" w:hAnsi="Calibri" w:cs="宋体"/>
                <w:color w:val="auto"/>
                <w:kern w:val="0"/>
                <w:lang w:val="zh-CN"/>
              </w:rPr>
              <w:t>月</w:t>
            </w:r>
            <w:r>
              <w:rPr>
                <w:rFonts w:hint="eastAsia" w:ascii="宋体" w:hAnsi="Calibri" w:cs="宋体"/>
                <w:color w:val="auto"/>
                <w:kern w:val="0"/>
                <w:lang w:val="en-US" w:eastAsia="zh-CN"/>
              </w:rPr>
              <w:t>26</w:t>
            </w:r>
            <w:r>
              <w:rPr>
                <w:rFonts w:hint="eastAsia" w:ascii="宋体" w:hAnsi="Calibri" w:cs="宋体"/>
                <w:color w:val="auto"/>
                <w:kern w:val="0"/>
                <w:lang w:val="zh-CN"/>
              </w:rPr>
              <w:t>日，上午9</w:t>
            </w:r>
            <w:r>
              <w:rPr>
                <w:rFonts w:hint="eastAsia" w:ascii="宋体" w:hAnsi="Calibri" w:cs="宋体"/>
                <w:color w:val="auto"/>
                <w:kern w:val="0"/>
              </w:rPr>
              <w:t>:30</w:t>
            </w:r>
            <w:r>
              <w:rPr>
                <w:rFonts w:hint="eastAsia" w:ascii="宋体" w:hAnsi="Calibri" w:cs="宋体"/>
                <w:color w:val="auto"/>
                <w:kern w:val="0"/>
                <w:lang w:val="zh-CN"/>
              </w:rPr>
              <w:t xml:space="preserve">时- </w:t>
            </w:r>
            <w:r>
              <w:rPr>
                <w:rFonts w:hint="eastAsia" w:ascii="宋体" w:hAnsi="Calibri" w:cs="宋体"/>
                <w:color w:val="auto"/>
                <w:kern w:val="0"/>
              </w:rPr>
              <w:t>11:30</w:t>
            </w:r>
            <w:r>
              <w:rPr>
                <w:rFonts w:hint="eastAsia" w:ascii="宋体" w:hAnsi="Calibri" w:cs="宋体"/>
                <w:color w:val="auto"/>
                <w:kern w:val="0"/>
                <w:lang w:val="zh-CN"/>
              </w:rPr>
              <w:t>时，下午</w:t>
            </w:r>
            <w:r>
              <w:rPr>
                <w:rFonts w:hint="eastAsia" w:ascii="宋体" w:hAnsi="Calibri" w:cs="宋体"/>
                <w:color w:val="auto"/>
                <w:kern w:val="0"/>
              </w:rPr>
              <w:t>13:30</w:t>
            </w:r>
            <w:r>
              <w:rPr>
                <w:rFonts w:hint="eastAsia" w:ascii="宋体" w:hAnsi="Calibri" w:cs="宋体"/>
                <w:color w:val="auto"/>
                <w:kern w:val="0"/>
                <w:lang w:val="zh-CN"/>
              </w:rPr>
              <w:t>时-17时30分（北京时间）节假日除外。</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7138" w:type="dxa"/>
            <w:tcBorders>
              <w:top w:val="single" w:color="000000" w:sz="6" w:space="0"/>
              <w:left w:val="single" w:color="000000" w:sz="6" w:space="0"/>
              <w:bottom w:val="single" w:color="000000" w:sz="6" w:space="0"/>
              <w:right w:val="single" w:color="000000" w:sz="6" w:space="0"/>
            </w:tcBorders>
            <w:vAlign w:val="center"/>
          </w:tcPr>
          <w:p>
            <w:pPr>
              <w:pStyle w:val="14"/>
              <w:spacing w:line="360" w:lineRule="auto"/>
              <w:jc w:val="both"/>
              <w:rPr>
                <w:rFonts w:ascii="宋体" w:hAnsi="宋体" w:cs="宋体"/>
                <w:kern w:val="0"/>
                <w:lang w:val="zh-CN"/>
              </w:rPr>
            </w:pPr>
            <w:r>
              <w:rPr>
                <w:rFonts w:ascii="宋体" w:hAnsi="Calibri" w:cs="宋体"/>
                <w:kern w:val="0"/>
                <w:lang w:val="zh-CN"/>
              </w:rPr>
              <w:t>5</w:t>
            </w:r>
            <w:r>
              <w:rPr>
                <w:rFonts w:hint="eastAsia" w:ascii="宋体" w:hAnsi="Calibri" w:cs="宋体"/>
                <w:kern w:val="0"/>
                <w:lang w:val="zh-CN"/>
              </w:rPr>
              <w:t>00元</w:t>
            </w:r>
            <w:r>
              <w:rPr>
                <w:rFonts w:ascii="宋体" w:hAnsi="Calibri" w:cs="宋体"/>
                <w:kern w:val="0"/>
                <w:lang w:val="zh-CN"/>
              </w:rPr>
              <w:t>/</w:t>
            </w:r>
            <w:r>
              <w:rPr>
                <w:rFonts w:hint="eastAsia" w:ascii="宋体" w:hAnsi="Calibri" w:cs="宋体"/>
                <w:kern w:val="0"/>
                <w:lang w:val="zh-CN"/>
              </w:rPr>
              <w:t>份</w:t>
            </w:r>
            <w:r>
              <w:rPr>
                <w:rFonts w:hint="eastAsia" w:ascii="宋体" w:hAnsi="宋体" w:cs="宋体"/>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地址：青海省西宁市城西区西川南路46号三榆山水文园小区6号楼1单元1191室</w:t>
            </w:r>
          </w:p>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 xml:space="preserve">标书购买联系人：马女士 </w:t>
            </w:r>
          </w:p>
          <w:p>
            <w:pPr>
              <w:autoSpaceDE w:val="0"/>
              <w:autoSpaceDN w:val="0"/>
              <w:adjustRightInd w:val="0"/>
              <w:snapToGrid w:val="0"/>
              <w:spacing w:line="312" w:lineRule="auto"/>
              <w:rPr>
                <w:rFonts w:ascii="宋体" w:hAnsi="宋体" w:cs="宋体"/>
                <w:kern w:val="0"/>
              </w:rPr>
            </w:pPr>
            <w:r>
              <w:rPr>
                <w:rFonts w:hint="eastAsia" w:ascii="宋体" w:hAnsi="宋体" w:cs="宋体"/>
                <w:kern w:val="0"/>
                <w:lang w:val="zh-CN"/>
              </w:rPr>
              <w:t>电话：0971-</w:t>
            </w:r>
            <w:r>
              <w:rPr>
                <w:rFonts w:hint="eastAsia" w:ascii="宋体" w:hAnsi="宋体" w:cs="宋体"/>
                <w:kern w:val="0"/>
              </w:rPr>
              <w:t>8162728</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电子邮箱：</w:t>
            </w:r>
            <w:r>
              <w:rPr>
                <w:rFonts w:hint="eastAsia" w:ascii="宋体" w:hAnsi="宋体" w:cs="宋体"/>
                <w:kern w:val="0"/>
              </w:rPr>
              <w:t>916956074</w:t>
            </w:r>
            <w:r>
              <w:rPr>
                <w:rFonts w:hint="eastAsia" w:ascii="宋体" w:hAnsi="宋体" w:cs="宋体"/>
                <w:kern w:val="0"/>
                <w:lang w:val="zh-CN"/>
              </w:rPr>
              <w:t>@</w:t>
            </w:r>
            <w:r>
              <w:rPr>
                <w:rFonts w:hint="eastAsia" w:ascii="宋体" w:hAnsi="宋体" w:cs="宋体"/>
                <w:kern w:val="0"/>
              </w:rPr>
              <w:t>qq</w:t>
            </w:r>
            <w:r>
              <w:rPr>
                <w:rFonts w:hint="eastAsia" w:ascii="宋体" w:hAnsi="宋体" w:cs="宋体"/>
                <w:kern w:val="0"/>
                <w:lang w:val="zh-CN"/>
              </w:rPr>
              <w:t>.com</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购买招标文件时应提供材料</w:t>
            </w:r>
          </w:p>
        </w:tc>
        <w:tc>
          <w:tcPr>
            <w:tcW w:w="7138" w:type="dxa"/>
            <w:tcBorders>
              <w:top w:val="single" w:color="000000" w:sz="6" w:space="0"/>
              <w:left w:val="single" w:color="000000" w:sz="6" w:space="0"/>
              <w:bottom w:val="single" w:color="000000" w:sz="6" w:space="0"/>
              <w:right w:val="single" w:color="000000" w:sz="6" w:space="0"/>
            </w:tcBorders>
            <w:vAlign w:val="center"/>
          </w:tcPr>
          <w:p>
            <w:pPr>
              <w:pStyle w:val="14"/>
              <w:spacing w:line="276" w:lineRule="auto"/>
              <w:jc w:val="both"/>
              <w:rPr>
                <w:rFonts w:ascii="宋体" w:hAnsi="宋体" w:cs="宋体"/>
                <w:kern w:val="0"/>
                <w:lang w:val="zh-CN"/>
              </w:rPr>
            </w:pPr>
            <w:r>
              <w:rPr>
                <w:rFonts w:hint="eastAsia" w:ascii="宋体" w:hAnsi="宋体" w:cs="宋体"/>
                <w:kern w:val="0"/>
                <w:lang w:val="zh-CN"/>
              </w:rPr>
              <w:t>营业执照副本复印件（加盖单位公章）、法定代表人授权书或介绍信（加盖单位公章）、本人身份证复印件（加盖单位公章）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rPr>
            </w:pPr>
            <w:r>
              <w:rPr>
                <w:rFonts w:hint="eastAsia" w:ascii="宋体" w:hAnsi="宋体" w:cs="宋体"/>
              </w:rPr>
              <w:t>投标文件递</w:t>
            </w:r>
          </w:p>
          <w:p>
            <w:pPr>
              <w:autoSpaceDE w:val="0"/>
              <w:autoSpaceDN w:val="0"/>
              <w:adjustRightInd w:val="0"/>
              <w:spacing w:line="360" w:lineRule="auto"/>
              <w:jc w:val="center"/>
              <w:rPr>
                <w:rFonts w:ascii="宋体" w:hAnsi="宋体" w:cs="宋体"/>
                <w:kern w:val="0"/>
                <w:lang w:val="zh-CN"/>
              </w:rPr>
            </w:pPr>
            <w:r>
              <w:rPr>
                <w:rFonts w:hint="eastAsia" w:ascii="宋体" w:hAnsi="宋体" w:cs="宋体"/>
              </w:rPr>
              <w:t>交截止时间</w:t>
            </w:r>
          </w:p>
        </w:tc>
        <w:tc>
          <w:tcPr>
            <w:tcW w:w="7138" w:type="dxa"/>
            <w:tcBorders>
              <w:top w:val="single" w:color="000000" w:sz="6" w:space="0"/>
              <w:left w:val="single" w:color="000000" w:sz="6" w:space="0"/>
              <w:bottom w:val="single" w:color="000000" w:sz="6" w:space="0"/>
              <w:right w:val="single" w:color="000000" w:sz="6" w:space="0"/>
            </w:tcBorders>
            <w:vAlign w:val="center"/>
          </w:tcPr>
          <w:p>
            <w:pPr>
              <w:pStyle w:val="14"/>
              <w:spacing w:line="276" w:lineRule="auto"/>
              <w:jc w:val="both"/>
              <w:rPr>
                <w:rFonts w:ascii="宋体" w:hAnsi="宋体" w:cs="宋体"/>
                <w:color w:val="auto"/>
                <w:kern w:val="0"/>
                <w:lang w:val="zh-CN"/>
              </w:rPr>
            </w:pPr>
            <w:r>
              <w:rPr>
                <w:rFonts w:hint="eastAsia" w:ascii="宋体" w:hAnsi="宋体" w:cs="宋体"/>
                <w:color w:val="auto"/>
              </w:rPr>
              <w:t>20</w:t>
            </w:r>
            <w:r>
              <w:rPr>
                <w:rFonts w:ascii="宋体" w:hAnsi="宋体" w:cs="宋体"/>
                <w:color w:val="auto"/>
              </w:rPr>
              <w:t>2</w:t>
            </w:r>
            <w:r>
              <w:rPr>
                <w:rFonts w:hint="eastAsia" w:ascii="宋体" w:hAnsi="宋体" w:cs="宋体"/>
                <w:color w:val="auto"/>
              </w:rPr>
              <w:t>1年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13</w:t>
            </w:r>
            <w:r>
              <w:rPr>
                <w:rFonts w:hint="eastAsia" w:ascii="宋体" w:hAnsi="宋体" w:cs="宋体"/>
                <w:color w:val="auto"/>
              </w:rPr>
              <w:t>日</w:t>
            </w:r>
            <w:r>
              <w:rPr>
                <w:rFonts w:ascii="宋体" w:hAnsi="宋体" w:cs="宋体"/>
                <w:color w:val="auto"/>
              </w:rPr>
              <w:t>09</w:t>
            </w:r>
            <w:r>
              <w:rPr>
                <w:rFonts w:hint="eastAsia" w:ascii="宋体" w:hAnsi="宋体" w:cs="宋体"/>
                <w:color w:val="auto"/>
              </w:rPr>
              <w:t>：00（北京时间）</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rPr>
            </w:pPr>
            <w:r>
              <w:rPr>
                <w:rFonts w:hint="eastAsia" w:ascii="宋体" w:hAnsi="宋体" w:cs="宋体"/>
                <w:kern w:val="0"/>
                <w:lang w:val="zh-CN"/>
              </w:rPr>
              <w:t>投标截止</w:t>
            </w:r>
            <w:r>
              <w:rPr>
                <w:rFonts w:hint="eastAsia" w:ascii="宋体" w:hAnsi="宋体" w:cs="宋体"/>
                <w:kern w:val="0"/>
              </w:rPr>
              <w:t>及</w:t>
            </w:r>
          </w:p>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开标时间</w:t>
            </w:r>
          </w:p>
        </w:tc>
        <w:tc>
          <w:tcPr>
            <w:tcW w:w="7138" w:type="dxa"/>
            <w:tcBorders>
              <w:top w:val="single" w:color="000000" w:sz="6" w:space="0"/>
              <w:left w:val="single" w:color="000000" w:sz="6" w:space="0"/>
              <w:bottom w:val="single" w:color="000000" w:sz="6" w:space="0"/>
              <w:right w:val="single" w:color="000000" w:sz="6" w:space="0"/>
            </w:tcBorders>
            <w:vAlign w:val="center"/>
          </w:tcPr>
          <w:p>
            <w:pPr>
              <w:pStyle w:val="14"/>
              <w:spacing w:line="276" w:lineRule="auto"/>
              <w:jc w:val="both"/>
              <w:rPr>
                <w:rFonts w:ascii="宋体" w:hAnsi="宋体" w:cs="宋体"/>
                <w:color w:val="auto"/>
                <w:kern w:val="0"/>
                <w:lang w:val="zh-CN"/>
              </w:rPr>
            </w:pPr>
            <w:r>
              <w:rPr>
                <w:rFonts w:hint="eastAsia" w:ascii="宋体" w:hAnsi="宋体" w:cs="宋体"/>
                <w:color w:val="auto"/>
              </w:rPr>
              <w:t>20</w:t>
            </w:r>
            <w:r>
              <w:rPr>
                <w:rFonts w:ascii="宋体" w:hAnsi="宋体" w:cs="宋体"/>
                <w:color w:val="auto"/>
              </w:rPr>
              <w:t>2</w:t>
            </w:r>
            <w:r>
              <w:rPr>
                <w:rFonts w:hint="eastAsia" w:ascii="宋体" w:hAnsi="宋体" w:cs="宋体"/>
                <w:color w:val="auto"/>
              </w:rPr>
              <w:t>1年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13</w:t>
            </w:r>
            <w:r>
              <w:rPr>
                <w:rFonts w:hint="eastAsia" w:ascii="宋体" w:hAnsi="宋体" w:cs="宋体"/>
                <w:color w:val="auto"/>
              </w:rPr>
              <w:t>日09：00（北京时间）</w:t>
            </w:r>
          </w:p>
        </w:tc>
      </w:tr>
      <w:tr>
        <w:tblPrEx>
          <w:tblCellMar>
            <w:top w:w="0" w:type="dxa"/>
            <w:left w:w="108" w:type="dxa"/>
            <w:bottom w:w="0" w:type="dxa"/>
            <w:right w:w="108" w:type="dxa"/>
          </w:tblCellMar>
        </w:tblPrEx>
        <w:trPr>
          <w:trHeight w:val="301"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投标及开标地点</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en-US" w:eastAsia="zh-CN" w:bidi="ar-SA"/>
              </w:rPr>
              <w:t>海东市公共资源交易中心·开标室一（乐都区）</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en-US" w:eastAsia="zh-CN"/>
              </w:rPr>
              <w:t>采购人</w:t>
            </w:r>
            <w:r>
              <w:rPr>
                <w:rFonts w:hint="eastAsia" w:ascii="宋体" w:hAnsi="宋体" w:eastAsia="宋体" w:cs="Times New Roman"/>
                <w:color w:val="auto"/>
                <w:sz w:val="24"/>
                <w:szCs w:val="24"/>
                <w:lang w:val="zh-CN"/>
              </w:rPr>
              <w:t>：</w:t>
            </w:r>
            <w:r>
              <w:rPr>
                <w:rFonts w:hint="eastAsia" w:ascii="宋体" w:hAnsi="宋体" w:eastAsia="宋体" w:cs="Times New Roman"/>
                <w:color w:val="auto"/>
                <w:sz w:val="24"/>
                <w:szCs w:val="24"/>
                <w:lang w:val="en-US" w:eastAsia="zh-CN"/>
              </w:rPr>
              <w:t>海东市乐都区自然资源局</w:t>
            </w:r>
          </w:p>
          <w:p>
            <w:pPr>
              <w:autoSpaceDE w:val="0"/>
              <w:autoSpaceDN w:val="0"/>
              <w:adjustRightInd w:val="0"/>
              <w:spacing w:line="360" w:lineRule="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联系人：</w:t>
            </w:r>
            <w:r>
              <w:rPr>
                <w:rFonts w:hint="eastAsia" w:ascii="宋体" w:hAnsi="宋体" w:eastAsia="宋体" w:cs="Times New Roman"/>
                <w:color w:val="auto"/>
                <w:sz w:val="24"/>
                <w:szCs w:val="24"/>
                <w:lang w:val="en-US" w:eastAsia="zh-CN"/>
              </w:rPr>
              <w:t>张老师</w:t>
            </w:r>
          </w:p>
          <w:p>
            <w:pPr>
              <w:autoSpaceDE w:val="0"/>
              <w:autoSpaceDN w:val="0"/>
              <w:adjustRightInd w:val="0"/>
              <w:snapToGrid w:val="0"/>
              <w:spacing w:line="312" w:lineRule="auto"/>
              <w:rPr>
                <w:rFonts w:ascii="宋体" w:hAnsi="宋体" w:cs="宋体"/>
                <w:kern w:val="0"/>
              </w:rPr>
            </w:pPr>
            <w:r>
              <w:rPr>
                <w:rFonts w:hint="eastAsia" w:ascii="宋体" w:hAnsi="宋体" w:eastAsia="宋体" w:cs="Times New Roman"/>
                <w:color w:val="auto"/>
                <w:sz w:val="24"/>
                <w:szCs w:val="24"/>
                <w:lang w:val="zh-CN" w:eastAsia="zh-CN"/>
              </w:rPr>
              <w:t>联系电话：</w:t>
            </w:r>
            <w:r>
              <w:rPr>
                <w:rFonts w:hint="eastAsia" w:ascii="宋体" w:hAnsi="宋体" w:eastAsia="宋体" w:cs="Times New Roman"/>
                <w:color w:val="auto"/>
                <w:sz w:val="24"/>
                <w:szCs w:val="24"/>
                <w:lang w:val="en-US" w:eastAsia="zh-CN"/>
              </w:rPr>
              <w:t>0972-8633290</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采购代理机构：甘肃东方工程咨询有限公司</w:t>
            </w:r>
          </w:p>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联系人：马女士</w:t>
            </w:r>
          </w:p>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联系电话：0971-</w:t>
            </w:r>
            <w:r>
              <w:rPr>
                <w:rFonts w:hint="eastAsia" w:ascii="宋体" w:hAnsi="宋体" w:cs="宋体"/>
                <w:kern w:val="0"/>
              </w:rPr>
              <w:t>8162728</w:t>
            </w:r>
          </w:p>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联系地址：青海省西宁市城西区西川南路46号三榆山水文园小区6号楼1单元1191室</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7138" w:type="dxa"/>
            <w:tcBorders>
              <w:top w:val="single" w:color="000000" w:sz="6" w:space="0"/>
              <w:left w:val="single" w:color="000000" w:sz="6" w:space="0"/>
              <w:bottom w:val="single" w:color="000000" w:sz="6" w:space="0"/>
              <w:right w:val="single" w:color="000000" w:sz="6" w:space="0"/>
            </w:tcBorders>
          </w:tcPr>
          <w:p>
            <w:pPr>
              <w:spacing w:line="372" w:lineRule="auto"/>
              <w:rPr>
                <w:rFonts w:ascii="宋体" w:hAnsi="宋体" w:cs="宋体"/>
                <w:kern w:val="0"/>
                <w:lang w:val="zh-CN"/>
              </w:rPr>
            </w:pPr>
            <w:r>
              <w:rPr>
                <w:rFonts w:hint="eastAsia" w:ascii="宋体" w:hAnsi="宋体" w:cs="宋体"/>
                <w:color w:val="000000"/>
                <w:kern w:val="0"/>
                <w:lang w:val="zh-CN"/>
              </w:rPr>
              <w:t>青海银行文成路支行</w:t>
            </w:r>
          </w:p>
        </w:tc>
      </w:tr>
      <w:tr>
        <w:tblPrEx>
          <w:tblCellMar>
            <w:top w:w="0" w:type="dxa"/>
            <w:left w:w="108" w:type="dxa"/>
            <w:bottom w:w="0" w:type="dxa"/>
            <w:right w:w="108" w:type="dxa"/>
          </w:tblCellMar>
        </w:tblPrEx>
        <w:trPr>
          <w:trHeight w:val="2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7138" w:type="dxa"/>
            <w:tcBorders>
              <w:top w:val="single" w:color="000000" w:sz="6" w:space="0"/>
              <w:left w:val="single" w:color="000000" w:sz="6" w:space="0"/>
              <w:bottom w:val="single" w:color="000000" w:sz="6" w:space="0"/>
              <w:right w:val="single" w:color="000000" w:sz="6" w:space="0"/>
            </w:tcBorders>
          </w:tcPr>
          <w:p>
            <w:pPr>
              <w:spacing w:line="372" w:lineRule="auto"/>
              <w:rPr>
                <w:rFonts w:ascii="宋体" w:hAnsi="宋体" w:cs="宋体"/>
                <w:kern w:val="0"/>
                <w:lang w:val="zh-CN"/>
              </w:rPr>
            </w:pPr>
            <w:r>
              <w:rPr>
                <w:rFonts w:hint="eastAsia" w:ascii="宋体" w:hAnsi="宋体" w:cs="仿宋"/>
              </w:rPr>
              <w:t>甘肃东方工程咨询有限公司青海分公司</w:t>
            </w:r>
          </w:p>
        </w:tc>
      </w:tr>
      <w:tr>
        <w:tblPrEx>
          <w:tblCellMar>
            <w:top w:w="0" w:type="dxa"/>
            <w:left w:w="108" w:type="dxa"/>
            <w:bottom w:w="0" w:type="dxa"/>
            <w:right w:w="108" w:type="dxa"/>
          </w:tblCellMar>
        </w:tblPrEx>
        <w:trPr>
          <w:trHeight w:val="269"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7138" w:type="dxa"/>
            <w:tcBorders>
              <w:top w:val="single" w:color="000000" w:sz="6" w:space="0"/>
              <w:left w:val="single" w:color="000000" w:sz="6" w:space="0"/>
              <w:bottom w:val="single" w:color="000000" w:sz="6" w:space="0"/>
              <w:right w:val="single" w:color="000000" w:sz="6" w:space="0"/>
            </w:tcBorders>
          </w:tcPr>
          <w:p>
            <w:pPr>
              <w:spacing w:line="372" w:lineRule="auto"/>
              <w:rPr>
                <w:rFonts w:ascii="宋体" w:hAnsi="宋体" w:cs="宋体"/>
                <w:kern w:val="0"/>
                <w:lang w:val="zh-CN"/>
              </w:rPr>
            </w:pPr>
            <w:r>
              <w:rPr>
                <w:rFonts w:hint="eastAsia" w:ascii="宋体" w:hAnsi="宋体" w:cs="宋体"/>
                <w:color w:val="000000"/>
                <w:kern w:val="0"/>
                <w:lang w:val="zh-CN"/>
              </w:rPr>
              <w:t xml:space="preserve">0608 2010 0018 9669 </w:t>
            </w:r>
          </w:p>
        </w:tc>
      </w:tr>
      <w:tr>
        <w:tblPrEx>
          <w:tblCellMar>
            <w:top w:w="0" w:type="dxa"/>
            <w:left w:w="108" w:type="dxa"/>
            <w:bottom w:w="0" w:type="dxa"/>
            <w:right w:w="108" w:type="dxa"/>
          </w:tblCellMar>
        </w:tblPrEx>
        <w:trPr>
          <w:trHeight w:val="411"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（1）本公告在《青海政府采购网》、《青海省电子招标投标公共服务平台》、《中国采购与招标网》同时发布。</w:t>
            </w:r>
          </w:p>
          <w:p>
            <w:pPr>
              <w:autoSpaceDE w:val="0"/>
              <w:autoSpaceDN w:val="0"/>
              <w:adjustRightInd w:val="0"/>
              <w:spacing w:line="360" w:lineRule="auto"/>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（2）公告期限：自青海政府采购网发布次日起5个工作日。</w:t>
            </w:r>
          </w:p>
          <w:p>
            <w:pPr>
              <w:autoSpaceDE w:val="0"/>
              <w:autoSpaceDN w:val="0"/>
              <w:adjustRightInd w:val="0"/>
              <w:spacing w:line="320" w:lineRule="exact"/>
              <w:rPr>
                <w:rFonts w:ascii="宋体" w:hAnsi="宋体" w:cs="宋体"/>
                <w:kern w:val="0"/>
                <w:lang w:val="zh-CN"/>
              </w:rPr>
            </w:pPr>
            <w:r>
              <w:rPr>
                <w:rFonts w:hint="eastAsia" w:ascii="宋体" w:hAnsi="宋体" w:eastAsia="宋体" w:cs="Times New Roman"/>
                <w:color w:val="auto"/>
                <w:sz w:val="24"/>
                <w:szCs w:val="24"/>
                <w:lang w:val="zh-CN"/>
              </w:rPr>
              <w:t>（3）公告内容以青海政府采购网发布的为准</w:t>
            </w:r>
          </w:p>
        </w:tc>
      </w:tr>
      <w:tr>
        <w:tblPrEx>
          <w:tblCellMar>
            <w:top w:w="0" w:type="dxa"/>
            <w:left w:w="108" w:type="dxa"/>
            <w:bottom w:w="0" w:type="dxa"/>
            <w:right w:w="108" w:type="dxa"/>
          </w:tblCellMar>
        </w:tblPrEx>
        <w:trPr>
          <w:trHeight w:val="553" w:hRule="atLeast"/>
          <w:jc w:val="center"/>
        </w:trPr>
        <w:tc>
          <w:tcPr>
            <w:tcW w:w="19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Calibri" w:cs="宋体"/>
                <w:kern w:val="0"/>
                <w:lang w:val="zh-CN"/>
              </w:rPr>
              <w:t>财政监督部门及电话</w:t>
            </w:r>
          </w:p>
        </w:tc>
        <w:tc>
          <w:tcPr>
            <w:tcW w:w="71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 xml:space="preserve">单位名称：海东市乐都区财政局          </w:t>
            </w:r>
          </w:p>
          <w:p>
            <w:pPr>
              <w:autoSpaceDE w:val="0"/>
              <w:autoSpaceDN w:val="0"/>
              <w:adjustRightInd w:val="0"/>
              <w:spacing w:line="320" w:lineRule="exact"/>
              <w:rPr>
                <w:rFonts w:ascii="宋体" w:hAnsi="宋体" w:cs="宋体"/>
                <w:kern w:val="0"/>
                <w:lang w:val="zh-CN"/>
              </w:rPr>
            </w:pPr>
            <w:r>
              <w:rPr>
                <w:rFonts w:hint="eastAsia" w:ascii="宋体" w:hAnsi="宋体" w:eastAsia="宋体" w:cs="Times New Roman"/>
                <w:color w:val="auto"/>
                <w:sz w:val="24"/>
                <w:szCs w:val="24"/>
                <w:lang w:val="zh-CN"/>
              </w:rPr>
              <w:t>联系电话：0972-8622757</w:t>
            </w:r>
          </w:p>
        </w:tc>
      </w:tr>
    </w:tbl>
    <w:p>
      <w:pPr>
        <w:widowControl/>
        <w:spacing w:line="500" w:lineRule="exact"/>
        <w:jc w:val="right"/>
        <w:rPr>
          <w:rFonts w:ascii="宋体" w:hAnsi="宋体" w:cs="宋体"/>
          <w:kern w:val="0"/>
          <w:lang w:val="zh-CN"/>
        </w:rPr>
      </w:pPr>
      <w:bookmarkStart w:id="2" w:name="_Toc428180535"/>
    </w:p>
    <w:p>
      <w:pPr>
        <w:spacing w:line="360" w:lineRule="auto"/>
        <w:jc w:val="righ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甘肃东方工程咨询有限公司</w:t>
      </w:r>
    </w:p>
    <w:p>
      <w:pPr>
        <w:widowControl/>
        <w:spacing w:line="500" w:lineRule="exact"/>
        <w:jc w:val="center"/>
        <w:rPr>
          <w:rFonts w:hint="eastAsia" w:ascii="宋体" w:hAnsi="宋体" w:cs="宋体" w:eastAsiaTheme="minorEastAsia"/>
          <w:b/>
          <w:bCs/>
          <w:kern w:val="2"/>
          <w:sz w:val="36"/>
          <w:szCs w:val="32"/>
          <w:lang w:val="zh-CN" w:eastAsia="zh-CN" w:bidi="ar-SA"/>
        </w:rPr>
      </w:pP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2021</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11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r>
        <w:rPr>
          <w:rFonts w:hint="eastAsia" w:ascii="宋体" w:hAnsi="宋体" w:cs="宋体"/>
          <w:lang w:val="zh-CN"/>
        </w:rPr>
        <w:br w:type="page"/>
      </w:r>
      <w:bookmarkEnd w:id="2"/>
      <w:bookmarkStart w:id="3" w:name="_Toc11744183"/>
      <w:r>
        <w:rPr>
          <w:rFonts w:hint="eastAsia" w:ascii="宋体" w:hAnsi="宋体" w:cs="宋体" w:eastAsiaTheme="minorEastAsia"/>
          <w:b/>
          <w:bCs/>
          <w:kern w:val="2"/>
          <w:sz w:val="36"/>
          <w:szCs w:val="32"/>
          <w:lang w:val="zh-CN" w:eastAsia="zh-CN" w:bidi="ar-SA"/>
        </w:rPr>
        <w:t>第二部分  投标人须知</w:t>
      </w:r>
      <w:bookmarkEnd w:id="3"/>
    </w:p>
    <w:p>
      <w:pPr>
        <w:pStyle w:val="32"/>
        <w:spacing w:before="0" w:after="0" w:line="360" w:lineRule="auto"/>
        <w:outlineLvl w:val="1"/>
        <w:rPr>
          <w:rFonts w:ascii="宋体" w:hAnsi="宋体" w:cs="宋体"/>
        </w:rPr>
      </w:pPr>
      <w:bookmarkStart w:id="4" w:name="_Toc11744184"/>
      <w:bookmarkStart w:id="5" w:name="_Toc17487"/>
      <w:r>
        <w:rPr>
          <w:rFonts w:hint="eastAsia" w:ascii="宋体" w:hAnsi="宋体" w:cs="宋体"/>
          <w:lang w:val="zh-CN"/>
        </w:rPr>
        <w:t>一、说明</w:t>
      </w:r>
      <w:bookmarkEnd w:id="4"/>
      <w:bookmarkEnd w:id="5"/>
    </w:p>
    <w:p>
      <w:pPr>
        <w:pStyle w:val="32"/>
        <w:spacing w:before="0" w:after="0" w:line="360" w:lineRule="auto"/>
        <w:jc w:val="left"/>
        <w:outlineLvl w:val="2"/>
        <w:rPr>
          <w:rFonts w:ascii="宋体" w:hAnsi="宋体" w:cs="宋体"/>
          <w:lang w:val="zh-CN"/>
        </w:rPr>
      </w:pPr>
      <w:bookmarkStart w:id="6" w:name="_Toc18773"/>
      <w:bookmarkStart w:id="7" w:name="_Toc11744185"/>
      <w:r>
        <w:rPr>
          <w:rFonts w:hint="eastAsia" w:ascii="宋体" w:hAnsi="宋体" w:cs="宋体"/>
          <w:sz w:val="28"/>
          <w:szCs w:val="28"/>
          <w:lang w:val="zh-CN"/>
        </w:rPr>
        <w:t>1.适用范围</w:t>
      </w:r>
      <w:bookmarkEnd w:id="6"/>
      <w:bookmarkEnd w:id="7"/>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32"/>
        <w:spacing w:before="0" w:after="0" w:line="360" w:lineRule="auto"/>
        <w:jc w:val="left"/>
        <w:outlineLvl w:val="2"/>
        <w:rPr>
          <w:rFonts w:ascii="宋体" w:hAnsi="宋体" w:cs="宋体"/>
          <w:lang w:val="zh-CN"/>
        </w:rPr>
      </w:pPr>
      <w:bookmarkStart w:id="8" w:name="_Toc11744186"/>
      <w:bookmarkStart w:id="9" w:name="_Toc5389"/>
      <w:r>
        <w:rPr>
          <w:rFonts w:hint="eastAsia" w:ascii="宋体" w:hAnsi="宋体" w:cs="宋体"/>
          <w:sz w:val="28"/>
          <w:szCs w:val="28"/>
          <w:lang w:val="zh-CN"/>
        </w:rPr>
        <w:t>2.采购方式、合格的投标人</w:t>
      </w:r>
      <w:bookmarkEnd w:id="8"/>
      <w:bookmarkEnd w:id="9"/>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32"/>
        <w:spacing w:before="0" w:after="0" w:line="360" w:lineRule="auto"/>
        <w:jc w:val="left"/>
        <w:outlineLvl w:val="2"/>
        <w:rPr>
          <w:rFonts w:ascii="宋体" w:hAnsi="宋体" w:cs="宋体"/>
          <w:lang w:val="zh-CN"/>
        </w:rPr>
      </w:pPr>
      <w:bookmarkStart w:id="10" w:name="_Toc11744187"/>
      <w:bookmarkStart w:id="11" w:name="_Toc30843"/>
      <w:r>
        <w:rPr>
          <w:rFonts w:hint="eastAsia" w:ascii="宋体" w:hAnsi="宋体" w:cs="宋体"/>
          <w:sz w:val="28"/>
          <w:szCs w:val="28"/>
          <w:lang w:val="zh-CN"/>
        </w:rPr>
        <w:t>3.投标费用</w:t>
      </w:r>
      <w:bookmarkEnd w:id="10"/>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32"/>
        <w:spacing w:before="0" w:after="0" w:line="360" w:lineRule="auto"/>
        <w:outlineLvl w:val="1"/>
        <w:rPr>
          <w:rFonts w:ascii="宋体" w:hAnsi="宋体" w:cs="宋体"/>
        </w:rPr>
      </w:pPr>
      <w:bookmarkStart w:id="12" w:name="_Toc11744188"/>
      <w:bookmarkStart w:id="13" w:name="_Toc13730"/>
      <w:r>
        <w:rPr>
          <w:rFonts w:hint="eastAsia" w:ascii="宋体" w:hAnsi="宋体" w:cs="宋体"/>
          <w:lang w:val="zh-CN"/>
        </w:rPr>
        <w:t>二、招标文件说明</w:t>
      </w:r>
      <w:bookmarkEnd w:id="12"/>
      <w:bookmarkEnd w:id="13"/>
    </w:p>
    <w:p>
      <w:pPr>
        <w:pStyle w:val="32"/>
        <w:spacing w:before="0" w:after="0" w:line="360" w:lineRule="auto"/>
        <w:jc w:val="left"/>
        <w:rPr>
          <w:rFonts w:ascii="宋体" w:hAnsi="宋体" w:cs="宋体"/>
          <w:lang w:val="zh-CN"/>
        </w:rPr>
      </w:pPr>
      <w:bookmarkStart w:id="14" w:name="_Toc11744189"/>
      <w:bookmarkStart w:id="15" w:name="_Toc22091"/>
      <w:r>
        <w:rPr>
          <w:rFonts w:hint="eastAsia" w:ascii="宋体" w:hAnsi="宋体" w:cs="宋体"/>
          <w:sz w:val="28"/>
          <w:szCs w:val="28"/>
          <w:lang w:val="zh-CN"/>
        </w:rPr>
        <w:t>4.招标文件的构成</w:t>
      </w:r>
      <w:bookmarkEnd w:id="14"/>
      <w:bookmarkEnd w:id="15"/>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32"/>
        <w:spacing w:before="0" w:after="0" w:line="360" w:lineRule="auto"/>
        <w:jc w:val="left"/>
        <w:rPr>
          <w:rFonts w:ascii="宋体" w:hAnsi="宋体" w:cs="宋体"/>
          <w:sz w:val="28"/>
          <w:szCs w:val="28"/>
          <w:lang w:val="zh-CN"/>
        </w:rPr>
      </w:pPr>
      <w:bookmarkStart w:id="16" w:name="_Toc11744190"/>
      <w:bookmarkStart w:id="17" w:name="_Toc167"/>
      <w:r>
        <w:rPr>
          <w:rFonts w:hint="eastAsia" w:ascii="宋体" w:hAnsi="宋体" w:cs="宋体"/>
          <w:sz w:val="28"/>
          <w:szCs w:val="28"/>
          <w:lang w:val="zh-CN"/>
        </w:rPr>
        <w:t>5.</w:t>
      </w:r>
      <w:r>
        <w:rPr>
          <w:rFonts w:hint="eastAsia"/>
        </w:rPr>
        <w:t xml:space="preserve"> </w:t>
      </w:r>
      <w:r>
        <w:rPr>
          <w:rFonts w:hint="eastAsia" w:ascii="宋体" w:hAnsi="宋体" w:cs="宋体"/>
          <w:sz w:val="28"/>
          <w:szCs w:val="28"/>
          <w:lang w:val="zh-CN"/>
        </w:rPr>
        <w:t>招标文件、采购活动和中标结果的质疑</w:t>
      </w:r>
      <w:bookmarkEnd w:id="16"/>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32"/>
        <w:spacing w:before="0" w:after="0" w:line="360" w:lineRule="auto"/>
        <w:jc w:val="left"/>
        <w:rPr>
          <w:rFonts w:ascii="宋体" w:hAnsi="宋体" w:cs="宋体"/>
          <w:lang w:val="zh-CN"/>
        </w:rPr>
      </w:pPr>
      <w:bookmarkStart w:id="18" w:name="_Toc24188"/>
      <w:bookmarkStart w:id="19" w:name="_Toc11744191"/>
      <w:r>
        <w:rPr>
          <w:rFonts w:hint="eastAsia" w:ascii="宋体" w:hAnsi="宋体" w:cs="宋体"/>
          <w:sz w:val="28"/>
          <w:szCs w:val="28"/>
          <w:lang w:val="zh-CN"/>
        </w:rPr>
        <w:t>6.招标文件的澄清或修改</w:t>
      </w:r>
      <w:bookmarkEnd w:id="18"/>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32"/>
        <w:spacing w:before="0" w:after="0" w:line="360" w:lineRule="auto"/>
        <w:outlineLvl w:val="1"/>
        <w:rPr>
          <w:rFonts w:ascii="宋体" w:hAnsi="宋体" w:cs="宋体"/>
        </w:rPr>
      </w:pPr>
      <w:bookmarkStart w:id="20" w:name="_Toc11744192"/>
      <w:bookmarkStart w:id="21" w:name="_Toc26737"/>
      <w:r>
        <w:rPr>
          <w:rFonts w:hint="eastAsia" w:ascii="宋体" w:hAnsi="宋体" w:cs="宋体"/>
          <w:lang w:val="zh-CN"/>
        </w:rPr>
        <w:t>三、投标文件的编制</w:t>
      </w:r>
      <w:bookmarkEnd w:id="20"/>
      <w:bookmarkEnd w:id="21"/>
    </w:p>
    <w:p>
      <w:pPr>
        <w:pStyle w:val="32"/>
        <w:spacing w:before="0" w:after="0" w:line="360" w:lineRule="auto"/>
        <w:jc w:val="left"/>
        <w:rPr>
          <w:rFonts w:ascii="宋体" w:hAnsi="宋体" w:cs="宋体"/>
          <w:lang w:val="zh-CN"/>
        </w:rPr>
      </w:pPr>
      <w:bookmarkStart w:id="22" w:name="_Toc29091"/>
      <w:bookmarkStart w:id="23" w:name="_Toc11744193"/>
      <w:r>
        <w:rPr>
          <w:rFonts w:hint="eastAsia" w:ascii="宋体" w:hAnsi="宋体" w:cs="宋体"/>
          <w:sz w:val="28"/>
          <w:szCs w:val="28"/>
          <w:lang w:val="zh-CN"/>
        </w:rPr>
        <w:t>7.投标文件的语言及度量衡单位</w:t>
      </w:r>
      <w:bookmarkEnd w:id="22"/>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32"/>
        <w:spacing w:before="0" w:after="0" w:line="360" w:lineRule="auto"/>
        <w:jc w:val="left"/>
        <w:rPr>
          <w:rFonts w:ascii="宋体" w:hAnsi="宋体" w:cs="宋体"/>
          <w:lang w:val="zh-CN"/>
        </w:rPr>
      </w:pPr>
      <w:bookmarkStart w:id="24" w:name="_Toc11744194"/>
      <w:bookmarkStart w:id="25" w:name="_Toc27790"/>
      <w:r>
        <w:rPr>
          <w:rFonts w:hint="eastAsia" w:ascii="宋体" w:hAnsi="宋体" w:cs="宋体"/>
          <w:sz w:val="28"/>
          <w:szCs w:val="28"/>
          <w:lang w:val="zh-CN"/>
        </w:rPr>
        <w:t>8.投标报价及币种</w:t>
      </w:r>
      <w:bookmarkEnd w:id="24"/>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投标报价为投标总价。投标报价必须包括：服务费、人员费、差旅费、结果装订费、招标代理费及不可预见费等全部费用。（说明：具体内容应根据项目特点实事求是的填写）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32"/>
        <w:spacing w:before="0" w:after="0" w:line="360" w:lineRule="auto"/>
        <w:jc w:val="left"/>
        <w:rPr>
          <w:rFonts w:ascii="宋体" w:hAnsi="宋体" w:cs="宋体"/>
          <w:lang w:val="zh-CN"/>
        </w:rPr>
      </w:pPr>
      <w:bookmarkStart w:id="26" w:name="_Toc11744195"/>
      <w:bookmarkStart w:id="27" w:name="_Toc21813"/>
      <w:r>
        <w:rPr>
          <w:rFonts w:hint="eastAsia" w:ascii="宋体" w:hAnsi="宋体" w:cs="宋体"/>
          <w:sz w:val="28"/>
          <w:szCs w:val="28"/>
          <w:lang w:val="zh-CN"/>
        </w:rPr>
        <w:t>9.投标保证金</w:t>
      </w:r>
      <w:bookmarkEnd w:id="26"/>
      <w:bookmarkEnd w:id="2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w:t>
      </w:r>
      <w:r>
        <w:rPr>
          <w:rFonts w:hint="eastAsia" w:ascii="宋体" w:hAnsi="宋体" w:cs="宋体"/>
          <w:b/>
          <w:bCs/>
          <w:kern w:val="0"/>
          <w:lang w:val="en-US" w:eastAsia="zh-CN"/>
        </w:rPr>
        <w:t>12</w:t>
      </w:r>
      <w:r>
        <w:rPr>
          <w:rFonts w:ascii="宋体" w:hAnsi="宋体" w:cs="宋体"/>
          <w:b/>
          <w:bCs/>
          <w:kern w:val="0"/>
        </w:rPr>
        <w:t>000.00</w:t>
      </w:r>
      <w:r>
        <w:rPr>
          <w:rFonts w:hint="eastAsia" w:ascii="宋体" w:hAnsi="宋体" w:cs="宋体"/>
          <w:b/>
          <w:bCs/>
          <w:kern w:val="0"/>
          <w:lang w:val="zh-CN"/>
        </w:rPr>
        <w:t>元整（大写：</w:t>
      </w:r>
      <w:r>
        <w:rPr>
          <w:rFonts w:hint="eastAsia" w:ascii="宋体" w:hAnsi="宋体" w:cs="宋体"/>
          <w:b/>
          <w:bCs/>
          <w:kern w:val="0"/>
          <w:lang w:val="en-US" w:eastAsia="zh-CN"/>
        </w:rPr>
        <w:t>壹万贰仟</w:t>
      </w:r>
      <w:r>
        <w:rPr>
          <w:rFonts w:hint="eastAsia" w:ascii="宋体" w:hAnsi="宋体" w:cs="宋体"/>
          <w:b/>
          <w:bCs/>
          <w:kern w:val="0"/>
          <w:lang w:val="zh-CN"/>
        </w:rPr>
        <w:t>元整）；</w:t>
      </w:r>
    </w:p>
    <w:p>
      <w:pPr>
        <w:spacing w:line="360" w:lineRule="auto"/>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收款单位：详见《青海省电子招标投标公告服务平台》网站上公告中生成的子账号</w:t>
      </w:r>
      <w:r>
        <w:rPr>
          <w:rFonts w:hint="eastAsia" w:ascii="宋体" w:hAnsi="宋体" w:eastAsia="宋体" w:cs="Times New Roman"/>
          <w:b/>
          <w:bCs/>
          <w:color w:val="auto"/>
          <w:sz w:val="24"/>
          <w:szCs w:val="24"/>
          <w:lang w:eastAsia="zh-CN"/>
        </w:rPr>
        <w:t>；</w:t>
      </w:r>
    </w:p>
    <w:p>
      <w:pPr>
        <w:spacing w:line="360" w:lineRule="auto"/>
        <w:rPr>
          <w:rFonts w:hint="eastAsia" w:ascii="宋体" w:hAnsi="宋体" w:eastAsia="宋体" w:cs="Times New Roman"/>
          <w:b/>
          <w:bCs/>
          <w:color w:val="auto"/>
          <w:sz w:val="24"/>
          <w:szCs w:val="24"/>
          <w:lang w:val="zh-CN" w:eastAsia="zh-CN"/>
        </w:rPr>
      </w:pPr>
      <w:r>
        <w:rPr>
          <w:rFonts w:hint="eastAsia" w:ascii="宋体" w:hAnsi="宋体" w:eastAsia="宋体" w:cs="Times New Roman"/>
          <w:b/>
          <w:bCs/>
          <w:color w:val="auto"/>
          <w:sz w:val="24"/>
          <w:szCs w:val="24"/>
          <w:lang w:val="zh-CN" w:eastAsia="zh-CN"/>
        </w:rPr>
        <w:t>开 户 行：</w:t>
      </w:r>
      <w:r>
        <w:rPr>
          <w:rFonts w:hint="eastAsia" w:ascii="宋体" w:hAnsi="宋体" w:eastAsia="宋体" w:cs="Times New Roman"/>
          <w:b/>
          <w:bCs/>
          <w:color w:val="auto"/>
          <w:sz w:val="24"/>
          <w:szCs w:val="24"/>
        </w:rPr>
        <w:t>详见《青海省电子招标投标公告服务平台》网站上公告中生成的子账号</w:t>
      </w:r>
      <w:r>
        <w:rPr>
          <w:rFonts w:hint="eastAsia" w:ascii="宋体" w:hAnsi="宋体" w:eastAsia="宋体" w:cs="Times New Roman"/>
          <w:b/>
          <w:bCs/>
          <w:color w:val="auto"/>
          <w:sz w:val="24"/>
          <w:szCs w:val="24"/>
          <w:lang w:eastAsia="zh-CN"/>
        </w:rPr>
        <w:t>；</w:t>
      </w:r>
    </w:p>
    <w:p>
      <w:pPr>
        <w:autoSpaceDE w:val="0"/>
        <w:autoSpaceDN w:val="0"/>
        <w:spacing w:line="360" w:lineRule="auto"/>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银行账号：</w:t>
      </w:r>
      <w:r>
        <w:rPr>
          <w:rFonts w:hint="eastAsia" w:ascii="宋体" w:hAnsi="宋体" w:eastAsia="宋体" w:cs="Times New Roman"/>
          <w:b/>
          <w:bCs/>
          <w:color w:val="auto"/>
          <w:sz w:val="24"/>
          <w:szCs w:val="24"/>
        </w:rPr>
        <w:t>详见《青海省电子招标投标公告服务平台》网站上公告中生成的子账号</w:t>
      </w:r>
      <w:r>
        <w:rPr>
          <w:rFonts w:hint="eastAsia" w:ascii="宋体" w:hAnsi="宋体" w:eastAsia="宋体" w:cs="Times New Roman"/>
          <w:b/>
          <w:bCs/>
          <w:color w:val="auto"/>
          <w:sz w:val="24"/>
          <w:szCs w:val="24"/>
          <w:lang w:eastAsia="zh-CN"/>
        </w:rPr>
        <w:t>；</w:t>
      </w:r>
      <w:r>
        <w:rPr>
          <w:rFonts w:hint="eastAsia" w:ascii="宋体" w:hAnsi="宋体" w:cs="宋体"/>
          <w:b/>
          <w:bCs/>
          <w:kern w:val="0"/>
          <w:lang w:val="zh-CN"/>
        </w:rPr>
        <w:t>交纳时间：</w:t>
      </w:r>
      <w:r>
        <w:rPr>
          <w:rFonts w:hint="eastAsia" w:ascii="宋体" w:hAnsi="宋体" w:eastAsia="宋体" w:cs="Times New Roman"/>
          <w:b/>
          <w:bCs/>
          <w:color w:val="auto"/>
          <w:sz w:val="24"/>
          <w:szCs w:val="24"/>
          <w:lang w:val="zh-CN"/>
        </w:rPr>
        <w:t>202</w:t>
      </w:r>
      <w:r>
        <w:rPr>
          <w:rFonts w:hint="eastAsia" w:ascii="宋体" w:hAnsi="宋体" w:eastAsia="宋体" w:cs="Times New Roman"/>
          <w:b/>
          <w:bCs/>
          <w:color w:val="auto"/>
          <w:sz w:val="24"/>
          <w:szCs w:val="24"/>
        </w:rPr>
        <w:t>1</w:t>
      </w:r>
      <w:r>
        <w:rPr>
          <w:rFonts w:hint="eastAsia" w:ascii="宋体" w:hAnsi="宋体" w:eastAsia="宋体" w:cs="Times New Roman"/>
          <w:b/>
          <w:bCs/>
          <w:color w:val="auto"/>
          <w:sz w:val="24"/>
          <w:szCs w:val="24"/>
          <w:lang w:val="zh-CN"/>
        </w:rPr>
        <w:t>年</w:t>
      </w:r>
      <w:r>
        <w:rPr>
          <w:rFonts w:hint="eastAsia" w:ascii="宋体" w:hAnsi="宋体" w:eastAsia="宋体" w:cs="Times New Roman"/>
          <w:b/>
          <w:bCs/>
          <w:color w:val="auto"/>
          <w:sz w:val="24"/>
          <w:szCs w:val="24"/>
          <w:lang w:val="en-US" w:eastAsia="zh-CN"/>
        </w:rPr>
        <w:t>12</w:t>
      </w:r>
      <w:r>
        <w:rPr>
          <w:rFonts w:hint="eastAsia" w:ascii="宋体" w:hAnsi="宋体" w:eastAsia="宋体" w:cs="Times New Roman"/>
          <w:b/>
          <w:bCs/>
          <w:color w:val="auto"/>
          <w:sz w:val="24"/>
          <w:szCs w:val="24"/>
          <w:lang w:val="zh-CN"/>
        </w:rPr>
        <w:t>月</w:t>
      </w:r>
      <w:r>
        <w:rPr>
          <w:rFonts w:hint="eastAsia" w:ascii="宋体" w:hAnsi="宋体" w:eastAsia="宋体" w:cs="Times New Roman"/>
          <w:b/>
          <w:bCs/>
          <w:color w:val="auto"/>
          <w:sz w:val="24"/>
          <w:szCs w:val="24"/>
          <w:lang w:val="en-US" w:eastAsia="zh-CN"/>
        </w:rPr>
        <w:t>13</w:t>
      </w:r>
      <w:r>
        <w:rPr>
          <w:rFonts w:hint="eastAsia" w:ascii="宋体" w:hAnsi="宋体" w:eastAsia="宋体" w:cs="Times New Roman"/>
          <w:b/>
          <w:bCs/>
          <w:color w:val="auto"/>
          <w:sz w:val="24"/>
          <w:szCs w:val="24"/>
          <w:lang w:val="zh-CN"/>
        </w:rPr>
        <w:t>日</w:t>
      </w:r>
      <w:r>
        <w:rPr>
          <w:rFonts w:hint="eastAsia" w:ascii="宋体" w:hAnsi="宋体" w:eastAsia="宋体" w:cs="Times New Roman"/>
          <w:b/>
          <w:bCs/>
          <w:color w:val="auto"/>
          <w:sz w:val="24"/>
          <w:szCs w:val="24"/>
        </w:rPr>
        <w:t>09</w:t>
      </w:r>
      <w:r>
        <w:rPr>
          <w:rFonts w:hint="eastAsia" w:ascii="宋体" w:hAnsi="宋体" w:eastAsia="宋体" w:cs="Times New Roman"/>
          <w:b/>
          <w:bCs/>
          <w:color w:val="auto"/>
          <w:sz w:val="24"/>
          <w:szCs w:val="24"/>
          <w:lang w:val="en-US" w:eastAsia="zh-CN"/>
        </w:rPr>
        <w:t xml:space="preserve">:00 </w:t>
      </w:r>
      <w:r>
        <w:rPr>
          <w:rFonts w:hint="eastAsia" w:ascii="宋体" w:hAnsi="宋体" w:eastAsia="宋体" w:cs="Times New Roman"/>
          <w:b/>
          <w:bCs/>
          <w:color w:val="auto"/>
          <w:sz w:val="24"/>
          <w:szCs w:val="24"/>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 投标有效期内投标人撤销投标文件的，采购人或者采购代理机构可以不退还投标保证金。</w:t>
      </w:r>
    </w:p>
    <w:p>
      <w:pPr>
        <w:pStyle w:val="32"/>
        <w:spacing w:before="0" w:after="0" w:line="360" w:lineRule="auto"/>
        <w:jc w:val="left"/>
        <w:rPr>
          <w:rFonts w:ascii="宋体" w:hAnsi="宋体" w:cs="宋体"/>
          <w:lang w:val="zh-CN"/>
        </w:rPr>
      </w:pPr>
      <w:bookmarkStart w:id="28" w:name="_Toc11744196"/>
      <w:bookmarkStart w:id="29" w:name="_Toc30775"/>
      <w:r>
        <w:rPr>
          <w:rFonts w:hint="eastAsia" w:ascii="宋体" w:hAnsi="宋体" w:cs="宋体"/>
          <w:sz w:val="28"/>
          <w:szCs w:val="28"/>
          <w:lang w:val="zh-CN"/>
        </w:rPr>
        <w:t>10.投标有效期</w:t>
      </w:r>
      <w:bookmarkEnd w:id="28"/>
      <w:bookmarkEnd w:id="29"/>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w:t>
      </w:r>
      <w:r>
        <w:rPr>
          <w:rFonts w:hint="eastAsia" w:ascii="宋体" w:hAnsi="宋体" w:cs="宋体"/>
          <w:kern w:val="0"/>
          <w:u w:val="single"/>
        </w:rPr>
        <w:t>60</w:t>
      </w:r>
      <w:r>
        <w:rPr>
          <w:rFonts w:hint="eastAsia" w:ascii="宋体" w:hAnsi="宋体" w:cs="宋体"/>
          <w:kern w:val="0"/>
          <w:lang w:val="zh-CN"/>
        </w:rPr>
        <w:t>日历日。投标文件中承诺的投标有效期应当不少于招标文件中载明的投标有效期。投标有效期内投标人撤销投标文件的，采购人或者采购代理机构可以不退还投标保证金。</w:t>
      </w:r>
    </w:p>
    <w:p>
      <w:pPr>
        <w:pStyle w:val="32"/>
        <w:spacing w:before="0" w:after="0" w:line="360" w:lineRule="auto"/>
        <w:jc w:val="left"/>
        <w:rPr>
          <w:rFonts w:ascii="宋体" w:hAnsi="宋体" w:cs="宋体"/>
          <w:lang w:val="zh-CN"/>
        </w:rPr>
      </w:pPr>
      <w:bookmarkStart w:id="30" w:name="_Toc11744197"/>
      <w:bookmarkStart w:id="31" w:name="_Toc31933"/>
      <w:r>
        <w:rPr>
          <w:rFonts w:hint="eastAsia" w:ascii="宋体" w:hAnsi="宋体" w:cs="宋体"/>
          <w:sz w:val="28"/>
          <w:szCs w:val="28"/>
          <w:lang w:val="zh-CN"/>
        </w:rPr>
        <w:t>11.投标文件构成</w:t>
      </w:r>
      <w:bookmarkEnd w:id="30"/>
      <w:bookmarkEnd w:id="3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技术服务方案</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32"/>
        <w:spacing w:before="0" w:after="0" w:line="360" w:lineRule="auto"/>
        <w:jc w:val="left"/>
        <w:rPr>
          <w:rFonts w:ascii="宋体" w:hAnsi="宋体" w:cs="宋体"/>
          <w:lang w:val="zh-CN"/>
        </w:rPr>
      </w:pPr>
      <w:bookmarkStart w:id="32" w:name="_Toc11744198"/>
      <w:bookmarkStart w:id="33" w:name="_Toc22836"/>
      <w:r>
        <w:rPr>
          <w:rFonts w:hint="eastAsia" w:ascii="宋体" w:hAnsi="宋体" w:cs="宋体"/>
          <w:sz w:val="28"/>
          <w:szCs w:val="28"/>
          <w:lang w:val="zh-CN"/>
        </w:rPr>
        <w:t>12.投标文件的编制要求</w:t>
      </w:r>
      <w:bookmarkEnd w:id="32"/>
      <w:bookmarkEnd w:id="3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2份(上、下册)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w:t>
      </w:r>
      <w:r>
        <w:rPr>
          <w:rFonts w:ascii="宋体" w:hAnsi="宋体" w:cs="宋体"/>
          <w:kern w:val="0"/>
        </w:rPr>
        <w:t>报价一览表</w:t>
      </w:r>
      <w:r>
        <w:rPr>
          <w:rFonts w:hint="eastAsia" w:ascii="宋体" w:hAnsi="宋体" w:cs="宋体"/>
          <w:kern w:val="0"/>
          <w:lang w:val="zh-CN"/>
        </w:rPr>
        <w:t>必须和投标文件正本中</w:t>
      </w:r>
      <w:r>
        <w:rPr>
          <w:rFonts w:ascii="宋体" w:hAnsi="宋体" w:cs="宋体"/>
          <w:kern w:val="0"/>
          <w:lang w:val="zh-CN"/>
        </w:rPr>
        <w:t>报价一览表</w:t>
      </w:r>
      <w:r>
        <w:rPr>
          <w:rFonts w:hint="eastAsia" w:ascii="宋体" w:hAnsi="宋体" w:cs="宋体"/>
          <w:kern w:val="0"/>
          <w:lang w:val="zh-CN"/>
        </w:rPr>
        <w:t>一致，电子文档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32"/>
        <w:spacing w:before="0" w:after="0" w:line="360" w:lineRule="auto"/>
        <w:outlineLvl w:val="1"/>
        <w:rPr>
          <w:rFonts w:ascii="宋体" w:hAnsi="宋体" w:cs="宋体"/>
        </w:rPr>
      </w:pPr>
      <w:bookmarkStart w:id="34" w:name="_Toc11684"/>
      <w:bookmarkStart w:id="35" w:name="_Toc11744199"/>
      <w:r>
        <w:rPr>
          <w:rFonts w:hint="eastAsia" w:ascii="宋体" w:hAnsi="宋体" w:cs="宋体"/>
          <w:lang w:val="zh-CN"/>
        </w:rPr>
        <w:t>四、投标文件的提交</w:t>
      </w:r>
      <w:bookmarkEnd w:id="34"/>
      <w:bookmarkEnd w:id="35"/>
    </w:p>
    <w:p>
      <w:pPr>
        <w:pStyle w:val="32"/>
        <w:spacing w:before="0" w:after="0" w:line="360" w:lineRule="auto"/>
        <w:jc w:val="left"/>
        <w:rPr>
          <w:rFonts w:ascii="宋体" w:hAnsi="宋体" w:cs="宋体"/>
          <w:lang w:val="zh-CN"/>
        </w:rPr>
      </w:pPr>
      <w:bookmarkStart w:id="36" w:name="_Toc15113"/>
      <w:bookmarkStart w:id="37" w:name="_Toc11744200"/>
      <w:r>
        <w:rPr>
          <w:rFonts w:hint="eastAsia" w:ascii="宋体" w:hAnsi="宋体" w:cs="宋体"/>
          <w:sz w:val="28"/>
          <w:szCs w:val="28"/>
          <w:lang w:val="zh-CN"/>
        </w:rPr>
        <w:t>13.投标文件的密封和标记</w:t>
      </w:r>
      <w:bookmarkEnd w:id="36"/>
      <w:bookmarkEnd w:id="3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(上、下册)、报价</w:t>
      </w:r>
      <w:r>
        <w:rPr>
          <w:rFonts w:ascii="宋体" w:hAnsi="宋体" w:cs="宋体"/>
          <w:kern w:val="0"/>
        </w:rPr>
        <w:t>一览表</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 密封后的投标文件密封袋用“于20</w:t>
      </w:r>
      <w:r>
        <w:rPr>
          <w:rFonts w:ascii="宋体" w:hAnsi="宋体" w:cs="宋体"/>
          <w:kern w:val="0"/>
          <w:lang w:val="zh-CN"/>
        </w:rPr>
        <w:t>2</w:t>
      </w:r>
      <w:r>
        <w:rPr>
          <w:rFonts w:hint="eastAsia" w:ascii="宋体" w:hAnsi="宋体" w:cs="宋体"/>
          <w:kern w:val="0"/>
        </w:rPr>
        <w:t>1</w:t>
      </w:r>
      <w:r>
        <w:rPr>
          <w:rFonts w:hint="eastAsia" w:ascii="宋体" w:hAnsi="宋体" w:cs="宋体"/>
          <w:kern w:val="0"/>
          <w:lang w:val="zh-CN"/>
        </w:rPr>
        <w:t>年</w:t>
      </w:r>
      <w:r>
        <w:rPr>
          <w:rFonts w:ascii="宋体" w:hAnsi="宋体" w:cs="宋体"/>
          <w:kern w:val="0"/>
          <w:lang w:val="zh-CN"/>
        </w:rPr>
        <w:t>*</w:t>
      </w:r>
      <w:r>
        <w:rPr>
          <w:rFonts w:hint="eastAsia" w:ascii="宋体" w:hAnsi="宋体" w:cs="宋体"/>
          <w:kern w:val="0"/>
          <w:lang w:val="zh-CN"/>
        </w:rPr>
        <w:t>月</w:t>
      </w:r>
      <w:r>
        <w:rPr>
          <w:rFonts w:ascii="宋体" w:hAnsi="宋体" w:cs="宋体"/>
          <w:kern w:val="0"/>
          <w:lang w:val="zh-CN"/>
        </w:rPr>
        <w:t>*</w:t>
      </w:r>
      <w:r>
        <w:rPr>
          <w:rFonts w:hint="eastAsia" w:ascii="宋体" w:hAnsi="宋体" w:cs="宋体"/>
          <w:kern w:val="0"/>
          <w:lang w:val="zh-CN"/>
        </w:rPr>
        <w:t>日</w:t>
      </w:r>
      <w:r>
        <w:rPr>
          <w:rFonts w:ascii="宋体" w:hAnsi="宋体" w:cs="宋体"/>
          <w:kern w:val="0"/>
          <w:lang w:val="zh-CN"/>
        </w:rPr>
        <w:t>*</w:t>
      </w:r>
      <w:r>
        <w:rPr>
          <w:rFonts w:hint="eastAsia" w:ascii="宋体" w:hAnsi="宋体" w:cs="宋体"/>
          <w:kern w:val="0"/>
          <w:lang w:val="zh-CN"/>
        </w:rPr>
        <w:t>时</w:t>
      </w:r>
      <w:r>
        <w:rPr>
          <w:rFonts w:ascii="宋体" w:hAnsi="宋体" w:cs="宋体"/>
          <w:kern w:val="0"/>
          <w:lang w:val="zh-CN"/>
        </w:rPr>
        <w:t>*</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sz w:val="28"/>
          <w:szCs w:val="28"/>
          <w:lang w:val="zh-CN"/>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32"/>
        <w:spacing w:before="0" w:after="0" w:line="360" w:lineRule="auto"/>
        <w:jc w:val="left"/>
        <w:rPr>
          <w:rFonts w:ascii="宋体" w:hAnsi="宋体" w:cs="宋体"/>
          <w:lang w:val="zh-CN"/>
        </w:rPr>
      </w:pPr>
      <w:bookmarkStart w:id="38" w:name="_Toc23089"/>
      <w:bookmarkStart w:id="39" w:name="_Toc11744201"/>
      <w:r>
        <w:rPr>
          <w:rFonts w:hint="eastAsia" w:ascii="宋体" w:hAnsi="宋体" w:cs="宋体"/>
          <w:sz w:val="28"/>
          <w:szCs w:val="28"/>
          <w:lang w:val="zh-CN"/>
        </w:rPr>
        <w:t>14.</w:t>
      </w:r>
      <w:r>
        <w:rPr>
          <w:rFonts w:hint="eastAsia"/>
        </w:rPr>
        <w:t xml:space="preserve"> </w:t>
      </w:r>
      <w:r>
        <w:rPr>
          <w:rFonts w:hint="eastAsia" w:ascii="宋体" w:hAnsi="宋体" w:cs="宋体"/>
          <w:sz w:val="28"/>
          <w:szCs w:val="28"/>
          <w:lang w:val="zh-CN"/>
        </w:rPr>
        <w:t>提交投标文件的时间、地点、方式</w:t>
      </w:r>
      <w:bookmarkEnd w:id="38"/>
      <w:bookmarkEnd w:id="3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在截止时间后送达的，采购人、集中采购机构或者评标委员会应当拒收。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32"/>
        <w:spacing w:before="0" w:after="0" w:line="360" w:lineRule="auto"/>
        <w:jc w:val="left"/>
        <w:rPr>
          <w:rFonts w:ascii="宋体" w:hAnsi="宋体" w:cs="宋体"/>
          <w:lang w:val="zh-CN"/>
        </w:rPr>
      </w:pPr>
      <w:bookmarkStart w:id="40" w:name="_Toc12387"/>
      <w:bookmarkStart w:id="41" w:name="_Toc11744202"/>
      <w:r>
        <w:rPr>
          <w:rFonts w:hint="eastAsia" w:ascii="宋体" w:hAnsi="宋体" w:cs="宋体"/>
          <w:sz w:val="28"/>
          <w:szCs w:val="28"/>
          <w:lang w:val="zh-CN"/>
        </w:rPr>
        <w:t>15.投标文件的补充、修改或者撤回</w:t>
      </w:r>
      <w:bookmarkEnd w:id="40"/>
      <w:bookmarkEnd w:id="41"/>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80" w:firstLineChars="200"/>
        <w:rPr>
          <w:rFonts w:ascii="宋体" w:hAnsi="宋体" w:cs="宋体"/>
          <w:kern w:val="0"/>
          <w:lang w:val="zh-CN"/>
        </w:rPr>
      </w:pPr>
    </w:p>
    <w:p>
      <w:pPr>
        <w:pStyle w:val="32"/>
        <w:spacing w:before="0" w:after="0" w:line="360" w:lineRule="auto"/>
        <w:outlineLvl w:val="1"/>
        <w:rPr>
          <w:rFonts w:ascii="宋体" w:hAnsi="宋体" w:cs="宋体"/>
        </w:rPr>
      </w:pPr>
      <w:bookmarkStart w:id="42" w:name="_Toc11744203"/>
      <w:bookmarkStart w:id="43" w:name="_Toc13753"/>
      <w:r>
        <w:rPr>
          <w:rFonts w:hint="eastAsia" w:ascii="宋体" w:hAnsi="宋体" w:cs="宋体"/>
          <w:lang w:val="zh-CN"/>
        </w:rPr>
        <w:t>五、开标</w:t>
      </w:r>
      <w:bookmarkEnd w:id="42"/>
      <w:bookmarkEnd w:id="43"/>
    </w:p>
    <w:p>
      <w:pPr>
        <w:pStyle w:val="32"/>
        <w:spacing w:before="0" w:after="0" w:line="360" w:lineRule="auto"/>
        <w:jc w:val="left"/>
        <w:rPr>
          <w:rFonts w:ascii="宋体" w:hAnsi="宋体" w:cs="宋体"/>
          <w:lang w:val="zh-CN"/>
        </w:rPr>
      </w:pPr>
      <w:bookmarkStart w:id="44" w:name="_Toc25891"/>
      <w:bookmarkStart w:id="45" w:name="_Toc11744204"/>
      <w:r>
        <w:rPr>
          <w:rFonts w:hint="eastAsia" w:ascii="宋体" w:hAnsi="宋体" w:cs="宋体"/>
          <w:sz w:val="28"/>
          <w:szCs w:val="28"/>
          <w:lang w:val="zh-CN"/>
        </w:rPr>
        <w:t>16.开标</w:t>
      </w:r>
      <w:bookmarkEnd w:id="44"/>
      <w:bookmarkEnd w:id="4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 开标由采购人或采购代理机构主持，邀请投标人参加。评标委员会成员不得参加开标活动。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16.3 开标时，应当由投标人或者其推选的代表检查投标文件的密封情况；经确认无误后，由采购人或者采购代理机构工作人员当众拆封，宣布投标人名称、投标价格和其他主要内容。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投标人不足3家的，不得开标。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16.4 开标过程应当由采购人或者采购代理机构负责记录，由参加开标的各投标人代表和相关工作人员签字确认后随采购文件一并存档。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autoSpaceDE w:val="0"/>
        <w:autoSpaceDN w:val="0"/>
        <w:spacing w:line="360" w:lineRule="auto"/>
        <w:ind w:firstLine="480" w:firstLineChars="200"/>
        <w:rPr>
          <w:rFonts w:ascii="宋体" w:hAnsi="宋体" w:cs="宋体"/>
          <w:kern w:val="0"/>
        </w:rPr>
      </w:pPr>
    </w:p>
    <w:p>
      <w:pPr>
        <w:pStyle w:val="32"/>
        <w:spacing w:before="0" w:after="0" w:line="360" w:lineRule="auto"/>
        <w:rPr>
          <w:rFonts w:ascii="宋体" w:hAnsi="宋体" w:cs="宋体"/>
          <w:kern w:val="0"/>
        </w:rPr>
      </w:pPr>
      <w:bookmarkStart w:id="46" w:name="_Toc496004006"/>
      <w:bookmarkStart w:id="47" w:name="_Toc11744205"/>
      <w:bookmarkStart w:id="48" w:name="_Toc21265"/>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46"/>
      <w:bookmarkEnd w:id="47"/>
      <w:bookmarkEnd w:id="48"/>
    </w:p>
    <w:p>
      <w:pPr>
        <w:pStyle w:val="32"/>
        <w:spacing w:before="0" w:after="0" w:line="360" w:lineRule="auto"/>
        <w:jc w:val="left"/>
        <w:rPr>
          <w:rFonts w:ascii="宋体" w:hAnsi="宋体" w:cs="宋体"/>
          <w:sz w:val="28"/>
          <w:szCs w:val="28"/>
        </w:rPr>
      </w:pPr>
      <w:bookmarkStart w:id="49" w:name="_Toc11744206"/>
      <w:bookmarkStart w:id="50" w:name="_Toc9588"/>
      <w:r>
        <w:rPr>
          <w:rFonts w:hint="eastAsia" w:ascii="宋体" w:hAnsi="宋体" w:cs="宋体"/>
          <w:sz w:val="28"/>
          <w:szCs w:val="28"/>
        </w:rPr>
        <w:t>17.资格审查</w:t>
      </w:r>
      <w:bookmarkEnd w:id="49"/>
      <w:bookmarkEnd w:id="50"/>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51" w:name="_Toc30809"/>
      <w:bookmarkStart w:id="52" w:name="_Toc497503315"/>
      <w:bookmarkStart w:id="53" w:name="_Toc497503249"/>
      <w:bookmarkStart w:id="54" w:name="_Toc497503516"/>
      <w:bookmarkStart w:id="55" w:name="_Toc497503449"/>
      <w:r>
        <w:rPr>
          <w:rFonts w:hint="eastAsia" w:ascii="宋体" w:hAnsi="宋体" w:cs="宋体"/>
          <w:kern w:val="0"/>
        </w:rPr>
        <w:t>17.3 资格审查时，投标人存在下列情况之一的，按无效投标处理：</w:t>
      </w:r>
      <w:bookmarkEnd w:id="51"/>
      <w:bookmarkEnd w:id="52"/>
      <w:bookmarkEnd w:id="53"/>
      <w:bookmarkEnd w:id="54"/>
      <w:bookmarkEnd w:id="55"/>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shd w:val="clear" w:color="auto" w:fill="FFFFFF"/>
        </w:rPr>
        <w:t>不具备第一部分“投标邀请”中各包投标人资格要求的；</w:t>
      </w:r>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32"/>
        <w:spacing w:before="0" w:after="0" w:line="360" w:lineRule="auto"/>
        <w:rPr>
          <w:rFonts w:ascii="宋体" w:hAnsi="宋体" w:cs="宋体"/>
        </w:rPr>
      </w:pPr>
      <w:bookmarkStart w:id="56" w:name="_Toc26554"/>
      <w:bookmarkStart w:id="57" w:name="_Toc11744207"/>
      <w:r>
        <w:rPr>
          <w:rFonts w:hint="eastAsia" w:ascii="宋体" w:hAnsi="宋体" w:cs="宋体"/>
          <w:lang w:val="zh-CN"/>
        </w:rPr>
        <w:t>七、评审程序及方法</w:t>
      </w:r>
      <w:bookmarkEnd w:id="56"/>
      <w:bookmarkEnd w:id="57"/>
    </w:p>
    <w:p>
      <w:pPr>
        <w:pStyle w:val="32"/>
        <w:spacing w:before="0" w:after="0" w:line="360" w:lineRule="auto"/>
        <w:jc w:val="left"/>
        <w:rPr>
          <w:rFonts w:ascii="宋体" w:hAnsi="宋体" w:cs="宋体"/>
          <w:lang w:val="zh-CN"/>
        </w:rPr>
      </w:pPr>
      <w:bookmarkStart w:id="58" w:name="_Toc11744208"/>
      <w:bookmarkStart w:id="59" w:name="_Toc2760"/>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58"/>
      <w:bookmarkEnd w:id="5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lang w:val="zh-CN"/>
        </w:rPr>
        <w:t xml:space="preserve"> 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采购人或采购代理机构应当将变更、重新组建评标委员会的情况予以记录，并随采购文件一并存档。</w:t>
      </w:r>
    </w:p>
    <w:p>
      <w:pPr>
        <w:pStyle w:val="32"/>
        <w:spacing w:before="0" w:after="0" w:line="360" w:lineRule="auto"/>
        <w:jc w:val="left"/>
        <w:rPr>
          <w:rFonts w:ascii="宋体" w:hAnsi="宋体" w:cs="宋体"/>
          <w:lang w:val="zh-CN"/>
        </w:rPr>
      </w:pPr>
      <w:bookmarkStart w:id="60" w:name="_Toc24942"/>
      <w:bookmarkStart w:id="61" w:name="_Toc11744209"/>
      <w:r>
        <w:rPr>
          <w:rFonts w:hint="eastAsia" w:ascii="宋体" w:hAnsi="宋体" w:cs="宋体"/>
          <w:sz w:val="28"/>
          <w:szCs w:val="28"/>
        </w:rPr>
        <w:t>19</w:t>
      </w:r>
      <w:r>
        <w:rPr>
          <w:rFonts w:hint="eastAsia" w:ascii="宋体" w:hAnsi="宋体" w:cs="宋体"/>
          <w:sz w:val="28"/>
          <w:szCs w:val="28"/>
          <w:lang w:val="zh-CN"/>
        </w:rPr>
        <w:t>.评审工作程序</w:t>
      </w:r>
      <w:bookmarkEnd w:id="60"/>
      <w:bookmarkEnd w:id="61"/>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投标产品的技术规格、技术标准明显不符合采购项目要求的；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w:t>
      </w:r>
      <w:r>
        <w:rPr>
          <w:rFonts w:hint="eastAsia" w:ascii="宋体" w:hAnsi="宋体" w:cs="宋体"/>
          <w:kern w:val="0"/>
          <w:lang w:val="en-US" w:eastAsia="zh-CN"/>
        </w:rPr>
        <w:t>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2"/>
        <w:spacing w:before="0" w:after="0" w:line="360" w:lineRule="auto"/>
        <w:jc w:val="left"/>
        <w:rPr>
          <w:rFonts w:ascii="宋体" w:hAnsi="宋体" w:cs="宋体"/>
          <w:sz w:val="28"/>
          <w:szCs w:val="28"/>
          <w:lang w:val="zh-CN"/>
        </w:rPr>
      </w:pPr>
      <w:bookmarkStart w:id="62" w:name="_Toc26049"/>
      <w:bookmarkStart w:id="63" w:name="_Toc11744210"/>
      <w:r>
        <w:rPr>
          <w:rFonts w:hint="eastAsia" w:ascii="宋体" w:hAnsi="宋体" w:cs="宋体"/>
          <w:sz w:val="28"/>
          <w:szCs w:val="28"/>
        </w:rPr>
        <w:t>20</w:t>
      </w:r>
      <w:r>
        <w:rPr>
          <w:rFonts w:hint="eastAsia" w:ascii="宋体" w:hAnsi="宋体" w:cs="宋体"/>
          <w:sz w:val="28"/>
          <w:szCs w:val="28"/>
          <w:lang w:val="zh-CN"/>
        </w:rPr>
        <w:t>.评审方法和标准</w:t>
      </w:r>
      <w:bookmarkEnd w:id="62"/>
      <w:bookmarkEnd w:id="6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w:t>
      </w:r>
      <w:r>
        <w:rPr>
          <w:rFonts w:hint="eastAsia" w:ascii="宋体" w:hAnsi="宋体" w:cs="宋体"/>
          <w:b/>
          <w:bCs/>
          <w:sz w:val="28"/>
          <w:szCs w:val="28"/>
          <w:lang w:val="zh-CN"/>
        </w:rPr>
        <w:t>综合评分法。</w:t>
      </w:r>
    </w:p>
    <w:p>
      <w:pPr>
        <w:autoSpaceDE w:val="0"/>
        <w:autoSpaceDN w:val="0"/>
        <w:spacing w:line="360" w:lineRule="auto"/>
        <w:ind w:firstLine="482" w:firstLineChars="200"/>
        <w:rPr>
          <w:rFonts w:ascii="宋体" w:hAnsi="宋体" w:cs="宋体"/>
          <w:b/>
          <w:bCs/>
          <w:szCs w:val="28"/>
          <w:lang w:val="zh-CN"/>
        </w:rPr>
      </w:pPr>
      <w:r>
        <w:rPr>
          <w:rFonts w:hint="eastAsia" w:ascii="宋体" w:hAnsi="宋体" w:cs="宋体"/>
          <w:b/>
          <w:bCs/>
          <w:szCs w:val="28"/>
          <w:lang w:val="zh-CN"/>
        </w:rPr>
        <w:t>评审方法：采用综合评分法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15"/>
      </w:pPr>
    </w:p>
    <w:tbl>
      <w:tblPr>
        <w:tblStyle w:val="34"/>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noWrap w:val="0"/>
            <w:vAlign w:val="center"/>
          </w:tcPr>
          <w:p>
            <w:pPr>
              <w:spacing w:line="360" w:lineRule="auto"/>
              <w:jc w:val="center"/>
              <w:rPr>
                <w:rFonts w:ascii="仿宋" w:hAnsi="仿宋" w:eastAsia="仿宋" w:cs="宋体"/>
                <w:b/>
                <w:bCs/>
                <w:sz w:val="24"/>
              </w:rPr>
            </w:pPr>
            <w:r>
              <w:rPr>
                <w:rFonts w:hint="eastAsia" w:ascii="仿宋" w:hAnsi="仿宋" w:eastAsia="仿宋" w:cs="宋体"/>
                <w:b/>
                <w:bCs/>
                <w:sz w:val="24"/>
              </w:rPr>
              <w:t>类别</w:t>
            </w:r>
          </w:p>
        </w:tc>
        <w:tc>
          <w:tcPr>
            <w:tcW w:w="1777" w:type="dxa"/>
            <w:noWrap w:val="0"/>
            <w:vAlign w:val="center"/>
          </w:tcPr>
          <w:p>
            <w:pPr>
              <w:spacing w:line="360" w:lineRule="auto"/>
              <w:jc w:val="center"/>
              <w:rPr>
                <w:rFonts w:ascii="仿宋" w:hAnsi="仿宋" w:eastAsia="仿宋" w:cs="宋体"/>
                <w:b/>
                <w:bCs/>
                <w:sz w:val="24"/>
              </w:rPr>
            </w:pPr>
            <w:r>
              <w:rPr>
                <w:rFonts w:hint="eastAsia" w:ascii="仿宋" w:hAnsi="仿宋" w:eastAsia="仿宋" w:cs="宋体"/>
                <w:b/>
                <w:bCs/>
                <w:sz w:val="24"/>
              </w:rPr>
              <w:t>评分项目</w:t>
            </w:r>
          </w:p>
        </w:tc>
        <w:tc>
          <w:tcPr>
            <w:tcW w:w="653" w:type="dxa"/>
            <w:noWrap w:val="0"/>
            <w:vAlign w:val="center"/>
          </w:tcPr>
          <w:p>
            <w:pPr>
              <w:spacing w:line="360" w:lineRule="auto"/>
              <w:jc w:val="center"/>
              <w:rPr>
                <w:rFonts w:ascii="仿宋" w:hAnsi="仿宋" w:eastAsia="仿宋" w:cs="宋体"/>
                <w:b/>
                <w:bCs/>
                <w:sz w:val="24"/>
              </w:rPr>
            </w:pPr>
            <w:r>
              <w:rPr>
                <w:rFonts w:hint="eastAsia" w:ascii="仿宋" w:hAnsi="仿宋" w:eastAsia="仿宋" w:cs="宋体"/>
                <w:b/>
                <w:bCs/>
                <w:sz w:val="24"/>
              </w:rPr>
              <w:t>满分分值</w:t>
            </w:r>
          </w:p>
        </w:tc>
        <w:tc>
          <w:tcPr>
            <w:tcW w:w="5171" w:type="dxa"/>
            <w:noWrap w:val="0"/>
            <w:vAlign w:val="center"/>
          </w:tcPr>
          <w:p>
            <w:pPr>
              <w:spacing w:line="360" w:lineRule="auto"/>
              <w:jc w:val="center"/>
              <w:rPr>
                <w:rFonts w:ascii="仿宋" w:hAnsi="仿宋" w:eastAsia="仿宋" w:cs="宋体"/>
                <w:b/>
                <w:bCs/>
                <w:sz w:val="24"/>
              </w:rPr>
            </w:pPr>
            <w:r>
              <w:rPr>
                <w:rFonts w:hint="eastAsia" w:ascii="仿宋" w:hAnsi="仿宋" w:eastAsia="仿宋" w:cs="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noWrap w:val="0"/>
            <w:vAlign w:val="center"/>
          </w:tcPr>
          <w:p>
            <w:pPr>
              <w:autoSpaceDE w:val="0"/>
              <w:autoSpaceDN w:val="0"/>
              <w:spacing w:line="360" w:lineRule="auto"/>
              <w:rPr>
                <w:rFonts w:hint="eastAsia" w:ascii="宋体" w:hAnsi="宋体" w:eastAsia="宋体" w:cs="宋体"/>
                <w:shd w:val="clear" w:color="auto" w:fill="FFFFFF"/>
              </w:rPr>
            </w:pPr>
            <w:r>
              <w:rPr>
                <w:rFonts w:hint="eastAsia" w:ascii="宋体" w:hAnsi="宋体" w:eastAsia="宋体" w:cs="宋体"/>
                <w:shd w:val="clear" w:color="auto" w:fill="FFFFFF"/>
                <w:lang w:val="en-US" w:eastAsia="zh-CN"/>
              </w:rPr>
              <w:t>投标</w:t>
            </w:r>
            <w:r>
              <w:rPr>
                <w:rFonts w:hint="eastAsia" w:ascii="宋体" w:hAnsi="宋体" w:eastAsia="宋体" w:cs="宋体"/>
                <w:shd w:val="clear" w:color="auto" w:fill="FFFFFF"/>
              </w:rPr>
              <w:t>报价（</w:t>
            </w:r>
            <w:r>
              <w:rPr>
                <w:rFonts w:hint="eastAsia" w:ascii="宋体" w:hAnsi="宋体" w:cs="宋体"/>
                <w:shd w:val="clear" w:color="auto" w:fill="FFFFFF"/>
                <w:lang w:val="en-US" w:eastAsia="zh-CN"/>
              </w:rPr>
              <w:t>10</w:t>
            </w:r>
            <w:r>
              <w:rPr>
                <w:rFonts w:hint="eastAsia" w:ascii="宋体" w:hAnsi="宋体" w:eastAsia="宋体" w:cs="宋体"/>
                <w:shd w:val="clear" w:color="auto" w:fill="FFFFFF"/>
              </w:rPr>
              <w:t>分）</w:t>
            </w:r>
          </w:p>
        </w:tc>
        <w:tc>
          <w:tcPr>
            <w:tcW w:w="1777" w:type="dxa"/>
            <w:noWrap w:val="0"/>
            <w:vAlign w:val="center"/>
          </w:tcPr>
          <w:p>
            <w:pPr>
              <w:autoSpaceDE w:val="0"/>
              <w:autoSpaceDN w:val="0"/>
              <w:spacing w:line="360" w:lineRule="auto"/>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报价分</w:t>
            </w:r>
          </w:p>
        </w:tc>
        <w:tc>
          <w:tcPr>
            <w:tcW w:w="653" w:type="dxa"/>
            <w:noWrap w:val="0"/>
            <w:vAlign w:val="center"/>
          </w:tcPr>
          <w:p>
            <w:pPr>
              <w:autoSpaceDE w:val="0"/>
              <w:autoSpaceDN w:val="0"/>
              <w:spacing w:line="360" w:lineRule="auto"/>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10</w:t>
            </w:r>
          </w:p>
        </w:tc>
        <w:tc>
          <w:tcPr>
            <w:tcW w:w="5171" w:type="dxa"/>
            <w:noWrap w:val="0"/>
            <w:vAlign w:val="center"/>
          </w:tcPr>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以满足</w:t>
            </w:r>
            <w:r>
              <w:rPr>
                <w:rFonts w:hint="eastAsia" w:ascii="宋体" w:hAnsi="宋体" w:eastAsia="宋体" w:cs="宋体"/>
                <w:shd w:val="clear" w:color="auto" w:fill="FFFFFF"/>
                <w:lang w:val="en-US" w:eastAsia="zh-CN"/>
              </w:rPr>
              <w:t>投标</w:t>
            </w:r>
            <w:r>
              <w:rPr>
                <w:rFonts w:hint="eastAsia" w:ascii="宋体" w:hAnsi="宋体" w:eastAsia="宋体" w:cs="宋体"/>
                <w:shd w:val="clear" w:color="auto" w:fill="FFFFFF"/>
                <w:lang w:val="zh-CN"/>
              </w:rPr>
              <w:t>文件要求且报价最低的投标报价为评标基准价，其价格分为满分；其他供应商的价格分统一按照下列公式计算：</w:t>
            </w:r>
          </w:p>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报价得分=（</w:t>
            </w:r>
            <w:r>
              <w:rPr>
                <w:rFonts w:hint="eastAsia" w:ascii="宋体" w:hAnsi="宋体" w:eastAsia="宋体" w:cs="宋体"/>
                <w:shd w:val="clear" w:color="auto" w:fill="FFFFFF"/>
                <w:lang w:val="en-US" w:eastAsia="zh-CN"/>
              </w:rPr>
              <w:t>投标</w:t>
            </w:r>
            <w:r>
              <w:rPr>
                <w:rFonts w:hint="eastAsia" w:ascii="宋体" w:hAnsi="宋体" w:eastAsia="宋体" w:cs="宋体"/>
                <w:shd w:val="clear" w:color="auto" w:fill="FFFFFF"/>
                <w:lang w:val="zh-CN"/>
              </w:rPr>
              <w:t>基准价/</w:t>
            </w:r>
            <w:r>
              <w:rPr>
                <w:rFonts w:hint="eastAsia" w:ascii="宋体" w:hAnsi="宋体" w:eastAsia="宋体" w:cs="宋体"/>
                <w:shd w:val="clear" w:color="auto" w:fill="FFFFFF"/>
                <w:lang w:val="en-US" w:eastAsia="zh-CN"/>
              </w:rPr>
              <w:t>投标</w:t>
            </w:r>
            <w:r>
              <w:rPr>
                <w:rFonts w:hint="eastAsia" w:ascii="宋体" w:hAnsi="宋体" w:eastAsia="宋体" w:cs="宋体"/>
                <w:shd w:val="clear" w:color="auto" w:fill="FFFFFF"/>
                <w:lang w:val="zh-CN"/>
              </w:rPr>
              <w:t>报价）×投标报价比重（</w:t>
            </w:r>
            <w:r>
              <w:rPr>
                <w:rFonts w:hint="eastAsia" w:ascii="宋体" w:hAnsi="宋体" w:cs="宋体"/>
                <w:shd w:val="clear" w:color="auto" w:fill="FFFFFF"/>
                <w:lang w:val="en-US" w:eastAsia="zh-CN"/>
              </w:rPr>
              <w:t>10</w:t>
            </w:r>
            <w:r>
              <w:rPr>
                <w:rFonts w:hint="eastAsia" w:ascii="宋体" w:hAnsi="宋体" w:eastAsia="宋体" w:cs="宋体"/>
                <w:shd w:val="clear" w:color="auto" w:fill="FFFFFF"/>
                <w:lang w:val="zh-CN"/>
              </w:rPr>
              <w:t>%）×100</w:t>
            </w:r>
          </w:p>
          <w:p>
            <w:pPr>
              <w:autoSpaceDE w:val="0"/>
              <w:autoSpaceDN w:val="0"/>
              <w:spacing w:line="360" w:lineRule="auto"/>
              <w:ind w:firstLine="480" w:firstLineChars="200"/>
              <w:rPr>
                <w:rFonts w:hint="eastAsia" w:ascii="宋体" w:hAnsi="宋体" w:eastAsia="宋体" w:cs="宋体"/>
                <w:shd w:val="clear" w:color="auto" w:fill="FFFFFF"/>
                <w:lang w:val="zh-CN"/>
              </w:rPr>
            </w:pPr>
            <w:bookmarkStart w:id="64" w:name="_Toc27421"/>
            <w:r>
              <w:rPr>
                <w:rFonts w:hint="eastAsia" w:ascii="宋体" w:hAnsi="宋体" w:eastAsia="宋体" w:cs="宋体"/>
                <w:shd w:val="clear" w:color="auto" w:fill="FFFFFF"/>
                <w:lang w:val="zh-CN"/>
              </w:rPr>
              <w:t>注：对小型和微型企业产品的价格给予6%的扣除，用扣除后的价格计算投标报价得分，须提供《制造（生产）企业小型、微型企业声明函》。</w:t>
            </w:r>
            <w:bookmarkEnd w:id="64"/>
          </w:p>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8" w:hRule="atLeast"/>
          <w:jc w:val="center"/>
        </w:trPr>
        <w:tc>
          <w:tcPr>
            <w:tcW w:w="3025" w:type="dxa"/>
            <w:gridSpan w:val="2"/>
            <w:vMerge w:val="restart"/>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lang w:eastAsia="zh-CN"/>
              </w:rPr>
            </w:pPr>
            <w:r>
              <w:rPr>
                <w:rFonts w:hint="eastAsia" w:ascii="宋体" w:hAnsi="宋体" w:eastAsia="宋体" w:cs="宋体"/>
                <w:shd w:val="clear" w:color="auto" w:fill="FFFFFF"/>
              </w:rPr>
              <w:t>技术水平</w:t>
            </w:r>
            <w:r>
              <w:rPr>
                <w:rFonts w:hint="eastAsia" w:ascii="宋体" w:hAnsi="宋体" w:eastAsia="宋体" w:cs="宋体"/>
                <w:shd w:val="clear" w:color="auto" w:fill="FFFFFF"/>
                <w:lang w:eastAsia="zh-CN"/>
              </w:rPr>
              <w:t>（</w:t>
            </w:r>
            <w:r>
              <w:rPr>
                <w:rFonts w:hint="eastAsia" w:ascii="宋体" w:hAnsi="宋体" w:cs="宋体"/>
                <w:shd w:val="clear" w:color="auto" w:fill="FFFFFF"/>
                <w:lang w:val="en-US" w:eastAsia="zh-CN"/>
              </w:rPr>
              <w:t>55</w:t>
            </w:r>
            <w:r>
              <w:rPr>
                <w:rFonts w:hint="eastAsia" w:ascii="宋体" w:hAnsi="宋体" w:eastAsia="宋体" w:cs="宋体"/>
                <w:shd w:val="clear" w:color="auto" w:fill="FFFFFF"/>
                <w:lang w:val="en-US" w:eastAsia="zh-CN"/>
              </w:rPr>
              <w:t>分</w:t>
            </w:r>
            <w:r>
              <w:rPr>
                <w:rFonts w:hint="eastAsia" w:ascii="宋体" w:hAnsi="宋体" w:eastAsia="宋体" w:cs="宋体"/>
                <w:shd w:val="clear" w:color="auto" w:fill="FFFFFF"/>
                <w:lang w:eastAsia="zh-CN"/>
              </w:rPr>
              <w:t>）</w:t>
            </w:r>
          </w:p>
        </w:tc>
        <w:tc>
          <w:tcPr>
            <w:tcW w:w="653" w:type="dxa"/>
            <w:vMerge w:val="restart"/>
            <w:noWrap w:val="0"/>
            <w:vAlign w:val="center"/>
          </w:tcPr>
          <w:p>
            <w:pPr>
              <w:autoSpaceDE w:val="0"/>
              <w:autoSpaceDN w:val="0"/>
              <w:spacing w:line="360" w:lineRule="auto"/>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55</w:t>
            </w:r>
          </w:p>
        </w:tc>
        <w:tc>
          <w:tcPr>
            <w:tcW w:w="5171" w:type="dxa"/>
            <w:noWrap w:val="0"/>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服务方案：方案科学性、合理性、全面性、创新性等方面综合评价。优者得3</w:t>
            </w:r>
            <w:r>
              <w:rPr>
                <w:rFonts w:hint="eastAsia" w:ascii="宋体" w:hAnsi="宋体" w:cs="宋体"/>
                <w:shd w:val="clear" w:color="auto" w:fill="FFFFFF"/>
                <w:lang w:val="en-US" w:eastAsia="zh-CN"/>
              </w:rPr>
              <w:t>5</w:t>
            </w:r>
            <w:r>
              <w:rPr>
                <w:rFonts w:hint="eastAsia" w:ascii="宋体" w:hAnsi="宋体" w:eastAsia="宋体" w:cs="宋体"/>
                <w:shd w:val="clear" w:color="auto" w:fill="FFFFFF"/>
                <w:lang w:val="zh-CN"/>
              </w:rPr>
              <w:t>分；良者得</w:t>
            </w:r>
            <w:r>
              <w:rPr>
                <w:rFonts w:hint="eastAsia" w:ascii="宋体" w:hAnsi="宋体" w:cs="宋体"/>
                <w:shd w:val="clear" w:color="auto" w:fill="FFFFFF"/>
                <w:lang w:val="en-US" w:eastAsia="zh-CN"/>
              </w:rPr>
              <w:t>20</w:t>
            </w:r>
            <w:r>
              <w:rPr>
                <w:rFonts w:hint="eastAsia" w:ascii="宋体" w:hAnsi="宋体" w:eastAsia="宋体" w:cs="宋体"/>
                <w:shd w:val="clear" w:color="auto" w:fill="FFFFFF"/>
                <w:lang w:val="zh-CN"/>
              </w:rPr>
              <w:t>分；一般得</w:t>
            </w:r>
            <w:r>
              <w:rPr>
                <w:rFonts w:hint="eastAsia" w:ascii="宋体" w:hAnsi="宋体" w:cs="宋体"/>
                <w:shd w:val="clear" w:color="auto" w:fill="FFFFFF"/>
                <w:lang w:val="en-US" w:eastAsia="zh-CN"/>
              </w:rPr>
              <w:t>10</w:t>
            </w:r>
            <w:r>
              <w:rPr>
                <w:rFonts w:hint="eastAsia" w:ascii="宋体" w:hAnsi="宋体" w:eastAsia="宋体" w:cs="宋体"/>
                <w:shd w:val="clear" w:color="auto" w:fill="FFFFFF"/>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3025" w:type="dxa"/>
            <w:gridSpan w:val="2"/>
            <w:vMerge w:val="continue"/>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rPr>
            </w:pPr>
          </w:p>
        </w:tc>
        <w:tc>
          <w:tcPr>
            <w:tcW w:w="653" w:type="dxa"/>
            <w:vMerge w:val="continue"/>
            <w:noWrap w:val="0"/>
            <w:vAlign w:val="center"/>
          </w:tcPr>
          <w:p>
            <w:pPr>
              <w:autoSpaceDE w:val="0"/>
              <w:autoSpaceDN w:val="0"/>
              <w:spacing w:line="360" w:lineRule="auto"/>
              <w:ind w:firstLine="480" w:firstLineChars="200"/>
              <w:jc w:val="center"/>
              <w:rPr>
                <w:rFonts w:hint="eastAsia" w:ascii="宋体" w:hAnsi="宋体" w:eastAsia="宋体" w:cs="宋体"/>
                <w:shd w:val="clear" w:color="auto" w:fill="FFFFFF"/>
              </w:rPr>
            </w:pPr>
          </w:p>
        </w:tc>
        <w:tc>
          <w:tcPr>
            <w:tcW w:w="5171" w:type="dxa"/>
            <w:noWrap w:val="0"/>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质量保证措施：体系完整，措施有力，得</w:t>
            </w:r>
            <w:r>
              <w:rPr>
                <w:rFonts w:hint="eastAsia" w:ascii="宋体" w:hAnsi="宋体" w:cs="宋体"/>
                <w:shd w:val="clear" w:color="auto" w:fill="FFFFFF"/>
                <w:lang w:val="en-US" w:eastAsia="zh-CN"/>
              </w:rPr>
              <w:t>10</w:t>
            </w:r>
            <w:r>
              <w:rPr>
                <w:rFonts w:hint="eastAsia" w:ascii="宋体" w:hAnsi="宋体" w:eastAsia="宋体" w:cs="宋体"/>
                <w:shd w:val="clear" w:color="auto" w:fill="FFFFFF"/>
                <w:lang w:val="zh-CN"/>
              </w:rPr>
              <w:t>分；不完整或措施不得力或缺少，得</w:t>
            </w:r>
            <w:r>
              <w:rPr>
                <w:rFonts w:hint="eastAsia" w:ascii="宋体" w:hAnsi="宋体" w:cs="宋体"/>
                <w:shd w:val="clear" w:color="auto" w:fill="FFFFFF"/>
                <w:lang w:val="en-US" w:eastAsia="zh-CN"/>
              </w:rPr>
              <w:t>5</w:t>
            </w:r>
            <w:bookmarkStart w:id="234" w:name="_GoBack"/>
            <w:bookmarkEnd w:id="234"/>
            <w:r>
              <w:rPr>
                <w:rFonts w:hint="eastAsia" w:ascii="宋体" w:hAnsi="宋体" w:eastAsia="宋体" w:cs="宋体"/>
                <w:shd w:val="clear" w:color="auto" w:fill="FFFFFF"/>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 w:hRule="atLeast"/>
          <w:jc w:val="center"/>
        </w:trPr>
        <w:tc>
          <w:tcPr>
            <w:tcW w:w="3025" w:type="dxa"/>
            <w:gridSpan w:val="2"/>
            <w:vMerge w:val="continue"/>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rPr>
            </w:pPr>
          </w:p>
        </w:tc>
        <w:tc>
          <w:tcPr>
            <w:tcW w:w="653" w:type="dxa"/>
            <w:vMerge w:val="continue"/>
            <w:noWrap w:val="0"/>
            <w:vAlign w:val="center"/>
          </w:tcPr>
          <w:p>
            <w:pPr>
              <w:autoSpaceDE w:val="0"/>
              <w:autoSpaceDN w:val="0"/>
              <w:spacing w:line="360" w:lineRule="auto"/>
              <w:ind w:firstLine="480" w:firstLineChars="200"/>
              <w:jc w:val="center"/>
              <w:rPr>
                <w:rFonts w:hint="eastAsia" w:ascii="宋体" w:hAnsi="宋体" w:eastAsia="宋体" w:cs="宋体"/>
                <w:shd w:val="clear" w:color="auto" w:fill="FFFFFF"/>
              </w:rPr>
            </w:pPr>
          </w:p>
        </w:tc>
        <w:tc>
          <w:tcPr>
            <w:tcW w:w="5171" w:type="dxa"/>
            <w:noWrap w:val="0"/>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安全保证措施：措施有力、制度健全，得5分；措施不得力、制度欠完整得2分。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 w:hRule="atLeast"/>
          <w:jc w:val="center"/>
        </w:trPr>
        <w:tc>
          <w:tcPr>
            <w:tcW w:w="3025" w:type="dxa"/>
            <w:gridSpan w:val="2"/>
            <w:vMerge w:val="continue"/>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rPr>
            </w:pPr>
          </w:p>
        </w:tc>
        <w:tc>
          <w:tcPr>
            <w:tcW w:w="653" w:type="dxa"/>
            <w:vMerge w:val="continue"/>
            <w:noWrap w:val="0"/>
            <w:vAlign w:val="center"/>
          </w:tcPr>
          <w:p>
            <w:pPr>
              <w:autoSpaceDE w:val="0"/>
              <w:autoSpaceDN w:val="0"/>
              <w:spacing w:line="360" w:lineRule="auto"/>
              <w:ind w:firstLine="480" w:firstLineChars="200"/>
              <w:jc w:val="center"/>
              <w:rPr>
                <w:rFonts w:hint="eastAsia" w:ascii="宋体" w:hAnsi="宋体" w:eastAsia="宋体" w:cs="宋体"/>
                <w:shd w:val="clear" w:color="auto" w:fill="FFFFFF"/>
              </w:rPr>
            </w:pPr>
          </w:p>
        </w:tc>
        <w:tc>
          <w:tcPr>
            <w:tcW w:w="5171" w:type="dxa"/>
            <w:noWrap w:val="0"/>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进度保证措施：进度安排合理、措施有力，得5分；进度安排基本合理、措施欠妥得2分。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1248" w:type="dxa"/>
            <w:vMerge w:val="restart"/>
            <w:noWrap w:val="0"/>
            <w:tcMar>
              <w:top w:w="0" w:type="dxa"/>
              <w:left w:w="0" w:type="dxa"/>
              <w:bottom w:w="0" w:type="dxa"/>
              <w:right w:w="0" w:type="dxa"/>
            </w:tcMar>
            <w:vAlign w:val="center"/>
          </w:tcPr>
          <w:p>
            <w:pPr>
              <w:autoSpaceDE w:val="0"/>
              <w:autoSpaceDN w:val="0"/>
              <w:spacing w:line="360" w:lineRule="auto"/>
              <w:jc w:val="center"/>
              <w:rPr>
                <w:rFonts w:hint="eastAsia" w:ascii="宋体" w:hAnsi="宋体" w:eastAsia="宋体" w:cs="宋体"/>
                <w:shd w:val="clear" w:color="auto" w:fill="FFFFFF"/>
              </w:rPr>
            </w:pPr>
            <w:r>
              <w:rPr>
                <w:rFonts w:hint="eastAsia" w:ascii="宋体" w:hAnsi="宋体" w:eastAsia="宋体" w:cs="宋体"/>
                <w:shd w:val="clear" w:color="auto" w:fill="FFFFFF"/>
              </w:rPr>
              <w:t>履约能力（30分）</w:t>
            </w:r>
          </w:p>
        </w:tc>
        <w:tc>
          <w:tcPr>
            <w:tcW w:w="1777" w:type="dxa"/>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rPr>
            </w:pPr>
            <w:r>
              <w:rPr>
                <w:rFonts w:hint="eastAsia" w:ascii="宋体" w:hAnsi="宋体" w:eastAsia="宋体" w:cs="宋体"/>
                <w:shd w:val="clear" w:color="auto" w:fill="FFFFFF"/>
              </w:rPr>
              <w:t>企业业绩</w:t>
            </w:r>
          </w:p>
        </w:tc>
        <w:tc>
          <w:tcPr>
            <w:tcW w:w="653" w:type="dxa"/>
            <w:noWrap w:val="0"/>
            <w:vAlign w:val="center"/>
          </w:tcPr>
          <w:p>
            <w:pPr>
              <w:autoSpaceDE w:val="0"/>
              <w:autoSpaceDN w:val="0"/>
              <w:spacing w:line="360" w:lineRule="auto"/>
              <w:jc w:val="center"/>
              <w:rPr>
                <w:rFonts w:hint="eastAsia" w:ascii="宋体" w:hAnsi="宋体" w:eastAsia="宋体" w:cs="宋体"/>
                <w:shd w:val="clear" w:color="auto" w:fill="FFFFFF"/>
              </w:rPr>
            </w:pPr>
            <w:r>
              <w:rPr>
                <w:rFonts w:hint="eastAsia" w:ascii="宋体" w:hAnsi="宋体" w:eastAsia="宋体" w:cs="宋体"/>
                <w:shd w:val="clear" w:color="auto" w:fill="FFFFFF"/>
              </w:rPr>
              <w:t>10</w:t>
            </w:r>
          </w:p>
        </w:tc>
        <w:tc>
          <w:tcPr>
            <w:tcW w:w="5171" w:type="dxa"/>
            <w:noWrap w:val="0"/>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近</w:t>
            </w:r>
            <w:r>
              <w:rPr>
                <w:rFonts w:hint="eastAsia" w:ascii="宋体" w:hAnsi="宋体" w:eastAsia="宋体" w:cs="宋体"/>
                <w:shd w:val="clear" w:color="auto" w:fill="FFFFFF"/>
                <w:lang w:val="en-US" w:eastAsia="zh-CN"/>
              </w:rPr>
              <w:t>三</w:t>
            </w:r>
            <w:r>
              <w:rPr>
                <w:rFonts w:hint="eastAsia" w:ascii="宋体" w:hAnsi="宋体" w:eastAsia="宋体" w:cs="宋体"/>
                <w:shd w:val="clear" w:color="auto" w:fill="FFFFFF"/>
                <w:lang w:val="zh-CN"/>
              </w:rPr>
              <w:t>年供应商有类似项目业绩的，每提供一份业绩的得2分，最多得10分（以合同协议书或中标通知书为依据），未提供或其他情况不得分。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1248" w:type="dxa"/>
            <w:vMerge w:val="continue"/>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rPr>
            </w:pPr>
          </w:p>
        </w:tc>
        <w:tc>
          <w:tcPr>
            <w:tcW w:w="1777" w:type="dxa"/>
            <w:noWrap w:val="0"/>
            <w:tcMar>
              <w:top w:w="0" w:type="dxa"/>
              <w:left w:w="0" w:type="dxa"/>
              <w:bottom w:w="0" w:type="dxa"/>
              <w:right w:w="0" w:type="dxa"/>
            </w:tcMar>
            <w:vAlign w:val="center"/>
          </w:tcPr>
          <w:p>
            <w:pPr>
              <w:autoSpaceDE w:val="0"/>
              <w:autoSpaceDN w:val="0"/>
              <w:spacing w:line="360" w:lineRule="auto"/>
              <w:jc w:val="center"/>
              <w:rPr>
                <w:rFonts w:hint="eastAsia" w:ascii="宋体" w:hAnsi="宋体" w:eastAsia="宋体" w:cs="宋体"/>
                <w:shd w:val="clear" w:color="auto" w:fill="FFFFFF"/>
              </w:rPr>
            </w:pPr>
            <w:r>
              <w:rPr>
                <w:rFonts w:hint="eastAsia" w:ascii="宋体" w:hAnsi="宋体" w:eastAsia="宋体" w:cs="宋体"/>
                <w:shd w:val="clear" w:color="auto" w:fill="FFFFFF"/>
              </w:rPr>
              <w:t>项目负责人资历</w:t>
            </w:r>
          </w:p>
        </w:tc>
        <w:tc>
          <w:tcPr>
            <w:tcW w:w="653" w:type="dxa"/>
            <w:noWrap w:val="0"/>
            <w:vAlign w:val="center"/>
          </w:tcPr>
          <w:p>
            <w:pPr>
              <w:autoSpaceDE w:val="0"/>
              <w:autoSpaceDN w:val="0"/>
              <w:spacing w:line="360" w:lineRule="auto"/>
              <w:jc w:val="center"/>
              <w:rPr>
                <w:rFonts w:hint="eastAsia" w:ascii="宋体" w:hAnsi="宋体" w:eastAsia="宋体" w:cs="宋体"/>
                <w:shd w:val="clear" w:color="auto" w:fill="FFFFFF"/>
              </w:rPr>
            </w:pPr>
            <w:r>
              <w:rPr>
                <w:rFonts w:hint="eastAsia" w:ascii="宋体" w:hAnsi="宋体" w:eastAsia="宋体" w:cs="宋体"/>
                <w:shd w:val="clear" w:color="auto" w:fill="FFFFFF"/>
              </w:rPr>
              <w:t>10</w:t>
            </w:r>
          </w:p>
        </w:tc>
        <w:tc>
          <w:tcPr>
            <w:tcW w:w="5171" w:type="dxa"/>
            <w:noWrap w:val="0"/>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color w:val="auto"/>
                <w:shd w:val="clear" w:color="auto" w:fill="FFFFFF"/>
                <w:lang w:val="zh-CN"/>
              </w:rPr>
              <w:t>项目负责人具有</w:t>
            </w:r>
            <w:r>
              <w:rPr>
                <w:rFonts w:hint="eastAsia" w:ascii="宋体" w:hAnsi="宋体" w:cs="宋体"/>
                <w:color w:val="auto"/>
              </w:rPr>
              <w:t>水工环相关专业高级及以上职称</w:t>
            </w:r>
            <w:r>
              <w:rPr>
                <w:rFonts w:hint="eastAsia" w:ascii="宋体" w:hAnsi="宋体" w:cs="宋体"/>
                <w:color w:val="auto"/>
                <w:lang w:val="en-US" w:eastAsia="zh-CN"/>
              </w:rPr>
              <w:t>的得5分</w:t>
            </w:r>
            <w:r>
              <w:rPr>
                <w:rFonts w:hint="eastAsia" w:ascii="宋体" w:hAnsi="宋体" w:cs="宋体"/>
                <w:color w:val="auto"/>
                <w:shd w:val="clear" w:color="auto" w:fill="FFFFFF"/>
                <w:lang w:val="zh-CN"/>
              </w:rPr>
              <w:t>；</w:t>
            </w:r>
            <w:r>
              <w:rPr>
                <w:rFonts w:hint="eastAsia" w:ascii="宋体" w:hAnsi="宋体" w:eastAsia="宋体" w:cs="宋体"/>
                <w:color w:val="auto"/>
                <w:shd w:val="clear" w:color="auto" w:fill="FFFFFF"/>
                <w:lang w:val="zh-CN"/>
              </w:rPr>
              <w:t>近五年（2015年05月至今）具有地质灾害</w:t>
            </w:r>
            <w:r>
              <w:rPr>
                <w:rFonts w:hint="eastAsia" w:ascii="宋体" w:hAnsi="宋体" w:cs="宋体"/>
                <w:color w:val="auto"/>
                <w:shd w:val="clear" w:color="auto" w:fill="FFFFFF"/>
                <w:lang w:val="en-US" w:eastAsia="zh-CN"/>
              </w:rPr>
              <w:t>防治类工程</w:t>
            </w:r>
            <w:r>
              <w:rPr>
                <w:rFonts w:hint="eastAsia" w:ascii="宋体" w:hAnsi="宋体" w:eastAsia="宋体" w:cs="宋体"/>
                <w:color w:val="auto"/>
                <w:shd w:val="clear" w:color="auto" w:fill="FFFFFF"/>
                <w:lang w:val="zh-CN"/>
              </w:rPr>
              <w:t>或地质灾害监测预警业绩，每项得</w:t>
            </w:r>
            <w:r>
              <w:rPr>
                <w:rFonts w:hint="eastAsia" w:ascii="宋体" w:hAnsi="宋体" w:cs="宋体"/>
                <w:color w:val="auto"/>
                <w:shd w:val="clear" w:color="auto" w:fill="FFFFFF"/>
                <w:lang w:val="en-US" w:eastAsia="zh-CN"/>
              </w:rPr>
              <w:t>1</w:t>
            </w:r>
            <w:r>
              <w:rPr>
                <w:rFonts w:hint="eastAsia" w:ascii="宋体" w:hAnsi="宋体" w:eastAsia="宋体" w:cs="宋体"/>
                <w:color w:val="auto"/>
                <w:shd w:val="clear" w:color="auto" w:fill="FFFFFF"/>
                <w:lang w:val="zh-CN"/>
              </w:rPr>
              <w:t>分，满分得</w:t>
            </w:r>
            <w:r>
              <w:rPr>
                <w:rFonts w:hint="eastAsia" w:ascii="宋体" w:hAnsi="宋体" w:cs="宋体"/>
                <w:color w:val="auto"/>
                <w:shd w:val="clear" w:color="auto" w:fill="FFFFFF"/>
                <w:lang w:val="en-US" w:eastAsia="zh-CN"/>
              </w:rPr>
              <w:t>5</w:t>
            </w:r>
            <w:r>
              <w:rPr>
                <w:rFonts w:hint="eastAsia" w:ascii="宋体" w:hAnsi="宋体" w:eastAsia="宋体" w:cs="宋体"/>
                <w:color w:val="auto"/>
                <w:shd w:val="clear" w:color="auto" w:fill="FFFFFF"/>
                <w:lang w:val="zh-CN"/>
              </w:rPr>
              <w:t>分；</w:t>
            </w:r>
            <w:r>
              <w:rPr>
                <w:rFonts w:hint="eastAsia" w:ascii="宋体" w:hAnsi="宋体" w:eastAsia="宋体" w:cs="宋体"/>
                <w:shd w:val="clear" w:color="auto" w:fill="FFFFFF"/>
                <w:lang w:val="zh-CN"/>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1248" w:type="dxa"/>
            <w:vMerge w:val="continue"/>
            <w:noWrap w:val="0"/>
            <w:tcMar>
              <w:top w:w="0" w:type="dxa"/>
              <w:left w:w="0" w:type="dxa"/>
              <w:bottom w:w="0" w:type="dxa"/>
              <w:right w:w="0" w:type="dxa"/>
            </w:tcMar>
            <w:vAlign w:val="center"/>
          </w:tcPr>
          <w:p>
            <w:pPr>
              <w:autoSpaceDE w:val="0"/>
              <w:autoSpaceDN w:val="0"/>
              <w:spacing w:line="360" w:lineRule="auto"/>
              <w:ind w:firstLine="480" w:firstLineChars="200"/>
              <w:rPr>
                <w:rFonts w:hint="eastAsia" w:ascii="宋体" w:hAnsi="宋体" w:eastAsia="宋体" w:cs="宋体"/>
                <w:shd w:val="clear" w:color="auto" w:fill="FFFFFF"/>
              </w:rPr>
            </w:pPr>
          </w:p>
        </w:tc>
        <w:tc>
          <w:tcPr>
            <w:tcW w:w="1777" w:type="dxa"/>
            <w:noWrap w:val="0"/>
            <w:tcMar>
              <w:top w:w="0" w:type="dxa"/>
              <w:left w:w="0" w:type="dxa"/>
              <w:bottom w:w="0" w:type="dxa"/>
              <w:right w:w="0" w:type="dxa"/>
            </w:tcMar>
            <w:vAlign w:val="center"/>
          </w:tcPr>
          <w:p>
            <w:pPr>
              <w:autoSpaceDE w:val="0"/>
              <w:autoSpaceDN w:val="0"/>
              <w:spacing w:line="360" w:lineRule="auto"/>
              <w:jc w:val="center"/>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技术人员配置</w:t>
            </w:r>
          </w:p>
        </w:tc>
        <w:tc>
          <w:tcPr>
            <w:tcW w:w="653" w:type="dxa"/>
            <w:noWrap w:val="0"/>
            <w:vAlign w:val="center"/>
          </w:tcPr>
          <w:p>
            <w:pPr>
              <w:autoSpaceDE w:val="0"/>
              <w:autoSpaceDN w:val="0"/>
              <w:spacing w:line="360" w:lineRule="auto"/>
              <w:jc w:val="center"/>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10</w:t>
            </w:r>
          </w:p>
        </w:tc>
        <w:tc>
          <w:tcPr>
            <w:tcW w:w="5171" w:type="dxa"/>
            <w:noWrap w:val="0"/>
            <w:vAlign w:val="center"/>
          </w:tcPr>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技术人员配置合理，中级及以上技术职称人员占60%以上，得10分；</w:t>
            </w:r>
          </w:p>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 xml:space="preserve">技术人员配置较合理，中级及以上技术职称人员占40%以上，得6分； </w:t>
            </w:r>
          </w:p>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技术人员配置欠合理（中级及以上技术职称人员占40%以下，不含本数），不得分。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1248" w:type="dxa"/>
            <w:noWrap w:val="0"/>
            <w:vAlign w:val="center"/>
          </w:tcPr>
          <w:p>
            <w:pPr>
              <w:autoSpaceDE w:val="0"/>
              <w:autoSpaceDN w:val="0"/>
              <w:spacing w:line="360" w:lineRule="auto"/>
              <w:jc w:val="center"/>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售后服务情况得分</w:t>
            </w:r>
          </w:p>
          <w:p>
            <w:pPr>
              <w:autoSpaceDE w:val="0"/>
              <w:autoSpaceDN w:val="0"/>
              <w:spacing w:line="360" w:lineRule="auto"/>
              <w:jc w:val="center"/>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（5分）</w:t>
            </w:r>
          </w:p>
        </w:tc>
        <w:tc>
          <w:tcPr>
            <w:tcW w:w="1777" w:type="dxa"/>
            <w:noWrap w:val="0"/>
            <w:tcMar>
              <w:top w:w="0" w:type="dxa"/>
              <w:left w:w="0" w:type="dxa"/>
              <w:bottom w:w="0" w:type="dxa"/>
              <w:right w:w="0" w:type="dxa"/>
            </w:tcMar>
            <w:vAlign w:val="center"/>
          </w:tcPr>
          <w:p>
            <w:pPr>
              <w:autoSpaceDE w:val="0"/>
              <w:autoSpaceDN w:val="0"/>
              <w:spacing w:line="360" w:lineRule="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售后服务计划及服务承诺</w:t>
            </w:r>
          </w:p>
        </w:tc>
        <w:tc>
          <w:tcPr>
            <w:tcW w:w="653" w:type="dxa"/>
            <w:noWrap w:val="0"/>
            <w:vAlign w:val="center"/>
          </w:tcPr>
          <w:p>
            <w:pPr>
              <w:autoSpaceDE w:val="0"/>
              <w:autoSpaceDN w:val="0"/>
              <w:spacing w:line="360" w:lineRule="auto"/>
              <w:jc w:val="center"/>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5</w:t>
            </w:r>
          </w:p>
        </w:tc>
        <w:tc>
          <w:tcPr>
            <w:tcW w:w="5171" w:type="dxa"/>
            <w:noWrap w:val="0"/>
            <w:vAlign w:val="center"/>
          </w:tcPr>
          <w:p>
            <w:pPr>
              <w:autoSpaceDE w:val="0"/>
              <w:autoSpaceDN w:val="0"/>
              <w:spacing w:line="360" w:lineRule="auto"/>
              <w:ind w:firstLine="480" w:firstLineChars="200"/>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针对该项目须有详细的组织、配合、验收、售后等方面的服务能力相关承诺。所述内容响应招标文件要求优秀的，得5分；良好的，得</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lang w:val="zh-CN"/>
              </w:rPr>
              <w:t>分；一般的，得1分；差的或未提供不得分</w:t>
            </w:r>
          </w:p>
        </w:tc>
      </w:tr>
    </w:tbl>
    <w:p>
      <w:pPr>
        <w:keepNext w:val="0"/>
        <w:keepLines w:val="0"/>
        <w:pageBreakBefore w:val="0"/>
        <w:widowControl w:val="0"/>
        <w:kinsoku/>
        <w:wordWrap/>
        <w:overflowPunct/>
        <w:topLinePunct w:val="0"/>
        <w:autoSpaceDE w:val="0"/>
        <w:autoSpaceDN w:val="0"/>
        <w:bidi w:val="0"/>
        <w:adjustRightInd/>
        <w:snapToGrid/>
        <w:spacing w:before="200" w:beforeLines="50" w:line="360" w:lineRule="auto"/>
        <w:textAlignment w:val="auto"/>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32"/>
        <w:spacing w:before="0" w:after="0" w:line="360" w:lineRule="auto"/>
        <w:rPr>
          <w:rFonts w:ascii="宋体" w:hAnsi="宋体" w:cs="宋体"/>
          <w:lang w:val="zh-CN"/>
        </w:rPr>
      </w:pPr>
      <w:bookmarkStart w:id="65" w:name="_Toc10470"/>
      <w:bookmarkStart w:id="66" w:name="_Toc11744211"/>
      <w:r>
        <w:rPr>
          <w:rFonts w:hint="eastAsia" w:ascii="宋体" w:hAnsi="宋体" w:cs="宋体"/>
          <w:lang w:val="zh-CN"/>
        </w:rPr>
        <w:t>八、中标</w:t>
      </w:r>
      <w:bookmarkEnd w:id="65"/>
      <w:bookmarkEnd w:id="66"/>
    </w:p>
    <w:p>
      <w:pPr>
        <w:pStyle w:val="32"/>
        <w:spacing w:before="0" w:after="0" w:line="360" w:lineRule="auto"/>
        <w:jc w:val="left"/>
        <w:rPr>
          <w:rFonts w:ascii="宋体" w:hAnsi="宋体" w:cs="宋体"/>
          <w:lang w:val="zh-CN"/>
        </w:rPr>
      </w:pPr>
      <w:bookmarkStart w:id="67" w:name="_Toc29769"/>
      <w:bookmarkStart w:id="68" w:name="_Toc1174421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67"/>
      <w:bookmarkEnd w:id="68"/>
    </w:p>
    <w:p>
      <w:pPr>
        <w:autoSpaceDE w:val="0"/>
        <w:autoSpaceDN w:val="0"/>
        <w:spacing w:line="360" w:lineRule="auto"/>
        <w:ind w:firstLine="480" w:firstLineChars="200"/>
        <w:rPr>
          <w:rFonts w:ascii="宋体" w:hAnsi="宋体" w:cs="宋体"/>
        </w:rPr>
      </w:pPr>
      <w:r>
        <w:rPr>
          <w:rFonts w:hint="eastAsia" w:ascii="宋体" w:hAnsi="宋体" w:cs="宋体"/>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32"/>
        <w:spacing w:before="0" w:after="0" w:line="360" w:lineRule="auto"/>
        <w:jc w:val="left"/>
        <w:rPr>
          <w:rFonts w:ascii="宋体" w:hAnsi="宋体" w:cs="宋体"/>
          <w:lang w:val="zh-CN"/>
        </w:rPr>
      </w:pPr>
      <w:bookmarkStart w:id="69" w:name="_Toc11744213"/>
      <w:bookmarkStart w:id="70" w:name="_Toc1053"/>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69"/>
      <w:bookmarkEnd w:id="70"/>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32"/>
        <w:spacing w:before="0" w:after="0" w:line="360" w:lineRule="auto"/>
        <w:rPr>
          <w:rFonts w:ascii="宋体" w:hAnsi="宋体" w:cs="宋体"/>
          <w:lang w:val="zh-CN"/>
        </w:rPr>
      </w:pPr>
      <w:bookmarkStart w:id="71" w:name="_Toc11744214"/>
      <w:bookmarkStart w:id="72" w:name="_Toc11613"/>
      <w:r>
        <w:rPr>
          <w:rFonts w:hint="eastAsia" w:ascii="宋体" w:hAnsi="宋体" w:cs="宋体"/>
          <w:lang w:val="zh-CN"/>
        </w:rPr>
        <w:t>九、授予合同</w:t>
      </w:r>
      <w:bookmarkEnd w:id="71"/>
      <w:bookmarkEnd w:id="72"/>
    </w:p>
    <w:p>
      <w:pPr>
        <w:pStyle w:val="32"/>
        <w:spacing w:before="0" w:after="0" w:line="360" w:lineRule="auto"/>
        <w:jc w:val="left"/>
        <w:rPr>
          <w:rFonts w:ascii="宋体" w:hAnsi="宋体" w:cs="宋体"/>
          <w:kern w:val="0"/>
          <w:sz w:val="24"/>
        </w:rPr>
      </w:pPr>
      <w:bookmarkStart w:id="73" w:name="_Toc11744215"/>
      <w:bookmarkStart w:id="74" w:name="_Toc23385"/>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73"/>
      <w:bookmarkEnd w:id="74"/>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32"/>
        <w:spacing w:before="0" w:after="0" w:line="360" w:lineRule="auto"/>
        <w:rPr>
          <w:rFonts w:ascii="宋体" w:hAnsi="宋体" w:cs="宋体"/>
          <w:lang w:val="zh-CN"/>
        </w:rPr>
      </w:pPr>
      <w:bookmarkStart w:id="75" w:name="_Toc30819"/>
      <w:bookmarkStart w:id="76" w:name="_Toc11744216"/>
      <w:r>
        <w:rPr>
          <w:rFonts w:hint="eastAsia" w:ascii="宋体" w:hAnsi="宋体" w:cs="宋体"/>
          <w:lang w:val="zh-CN"/>
        </w:rPr>
        <w:t>十、其他</w:t>
      </w:r>
      <w:bookmarkEnd w:id="75"/>
      <w:bookmarkEnd w:id="76"/>
    </w:p>
    <w:p>
      <w:pPr>
        <w:pStyle w:val="32"/>
        <w:spacing w:before="0" w:after="0" w:line="360" w:lineRule="auto"/>
        <w:jc w:val="left"/>
        <w:rPr>
          <w:rFonts w:ascii="宋体" w:hAnsi="宋体" w:cs="宋体"/>
          <w:sz w:val="28"/>
          <w:szCs w:val="28"/>
        </w:rPr>
      </w:pPr>
      <w:bookmarkStart w:id="77" w:name="_Toc515908202"/>
      <w:bookmarkStart w:id="78" w:name="_Toc11744217"/>
      <w:bookmarkStart w:id="79" w:name="_Toc32698"/>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77"/>
      <w:bookmarkEnd w:id="78"/>
      <w:bookmarkEnd w:id="79"/>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32"/>
        <w:spacing w:before="0" w:after="0" w:line="360" w:lineRule="auto"/>
        <w:jc w:val="both"/>
        <w:rPr>
          <w:rFonts w:ascii="宋体" w:hAnsi="宋体" w:cs="宋体"/>
          <w:sz w:val="28"/>
          <w:szCs w:val="28"/>
        </w:rPr>
      </w:pPr>
      <w:bookmarkStart w:id="80" w:name="_Toc11744218"/>
      <w:bookmarkStart w:id="81" w:name="_Toc515908203"/>
      <w:bookmarkStart w:id="82" w:name="_Toc5122"/>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80"/>
      <w:bookmarkEnd w:id="81"/>
      <w:bookmarkEnd w:id="82"/>
    </w:p>
    <w:p>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32"/>
        <w:spacing w:before="0" w:after="0" w:line="360" w:lineRule="auto"/>
        <w:jc w:val="left"/>
        <w:rPr>
          <w:rFonts w:ascii="宋体" w:hAnsi="宋体" w:cs="宋体"/>
          <w:sz w:val="28"/>
          <w:szCs w:val="28"/>
        </w:rPr>
      </w:pPr>
      <w:bookmarkStart w:id="83" w:name="_Toc515908204"/>
      <w:bookmarkStart w:id="84" w:name="_Toc18223"/>
      <w:bookmarkStart w:id="85" w:name="_Toc11744219"/>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83"/>
      <w:bookmarkEnd w:id="84"/>
      <w:bookmarkEnd w:id="85"/>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w:t>
      </w:r>
      <w:r>
        <w:rPr>
          <w:rFonts w:hint="eastAsia" w:ascii="宋体" w:hAnsi="宋体" w:cs="宋体"/>
          <w:kern w:val="0"/>
          <w:u w:val="dashDotDotHeavy"/>
          <w:lang w:val="zh-CN"/>
        </w:rPr>
        <w:t>中标人</w:t>
      </w:r>
      <w:r>
        <w:rPr>
          <w:rFonts w:hint="eastAsia" w:ascii="宋体" w:hAnsi="宋体" w:cs="宋体"/>
          <w:kern w:val="0"/>
          <w:lang w:val="zh-CN"/>
        </w:rPr>
        <w:t>。</w:t>
      </w:r>
    </w:p>
    <w:p>
      <w:pPr>
        <w:autoSpaceDE w:val="0"/>
        <w:autoSpaceDN w:val="0"/>
        <w:spacing w:line="360" w:lineRule="auto"/>
        <w:ind w:firstLine="480" w:firstLineChars="200"/>
        <w:jc w:val="left"/>
        <w:rPr>
          <w:rFonts w:ascii="宋体" w:hAnsi="宋体" w:cs="宋体"/>
          <w:kern w:val="0"/>
          <w:u w:val="dashDotDotHeavy"/>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w:t>
      </w:r>
    </w:p>
    <w:p>
      <w:pPr>
        <w:autoSpaceDE w:val="0"/>
        <w:autoSpaceDN w:val="0"/>
        <w:spacing w:line="360" w:lineRule="auto"/>
        <w:ind w:firstLine="480" w:firstLineChars="200"/>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rPr>
          <w:rFonts w:ascii="宋体" w:hAnsi="宋体" w:cs="宋体"/>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32"/>
        <w:spacing w:before="0" w:after="0" w:line="360" w:lineRule="auto"/>
        <w:jc w:val="both"/>
        <w:outlineLvl w:val="9"/>
        <w:rPr>
          <w:rFonts w:ascii="宋体" w:hAnsi="宋体" w:cs="宋体"/>
          <w:szCs w:val="36"/>
          <w:lang w:val="zh-CN"/>
        </w:rPr>
      </w:pPr>
      <w:r>
        <w:rPr>
          <w:rFonts w:hint="eastAsia" w:ascii="宋体" w:hAnsi="宋体" w:cs="宋体"/>
          <w:szCs w:val="36"/>
          <w:lang w:val="zh-CN"/>
        </w:rPr>
        <w:br w:type="page"/>
      </w:r>
    </w:p>
    <w:p>
      <w:pPr>
        <w:pStyle w:val="32"/>
        <w:spacing w:before="0" w:after="0" w:line="360" w:lineRule="auto"/>
        <w:rPr>
          <w:rFonts w:ascii="宋体" w:hAnsi="宋体" w:cs="宋体"/>
          <w:sz w:val="24"/>
        </w:rPr>
      </w:pPr>
      <w:bookmarkStart w:id="86" w:name="_Toc20685"/>
      <w:bookmarkStart w:id="87" w:name="_Toc11744220"/>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86"/>
      <w:bookmarkEnd w:id="87"/>
    </w:p>
    <w:p>
      <w:pPr>
        <w:autoSpaceDE w:val="0"/>
        <w:autoSpaceDN w:val="0"/>
        <w:adjustRightInd w:val="0"/>
        <w:spacing w:line="360" w:lineRule="auto"/>
        <w:jc w:val="center"/>
        <w:rPr>
          <w:rFonts w:ascii="宋体" w:hAnsi="宋体" w:cs="宋体" w:eastAsiaTheme="minorEastAsia"/>
          <w:b/>
          <w:bCs/>
          <w:sz w:val="36"/>
          <w:szCs w:val="36"/>
          <w:lang w:val="zh-CN"/>
        </w:rPr>
      </w:pPr>
      <w:r>
        <w:rPr>
          <w:rFonts w:hint="eastAsia" w:ascii="宋体" w:hAnsi="宋体" w:cs="宋体" w:eastAsiaTheme="minorEastAsia"/>
          <w:b/>
          <w:bCs/>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采购合同编号：</w:t>
      </w:r>
      <w:r>
        <w:rPr>
          <w:rFonts w:hint="eastAsia" w:ascii="宋体" w:hAnsi="宋体" w:cs="宋体"/>
          <w:kern w:val="0"/>
          <w:sz w:val="30"/>
          <w:szCs w:val="30"/>
          <w:u w:val="single"/>
        </w:rPr>
        <w:t>GSDFQH</w:t>
      </w:r>
      <w:r>
        <w:rPr>
          <w:rFonts w:ascii="宋体" w:hAnsi="宋体" w:cs="宋体"/>
          <w:kern w:val="0"/>
          <w:sz w:val="30"/>
          <w:szCs w:val="30"/>
          <w:u w:val="single"/>
          <w:lang w:val="zh-CN"/>
        </w:rPr>
        <w:t>-202</w:t>
      </w:r>
      <w:r>
        <w:rPr>
          <w:rFonts w:hint="eastAsia" w:ascii="宋体" w:hAnsi="宋体" w:cs="宋体"/>
          <w:kern w:val="0"/>
          <w:sz w:val="30"/>
          <w:szCs w:val="30"/>
          <w:u w:val="single"/>
        </w:rPr>
        <w:t>1-0</w:t>
      </w:r>
      <w:r>
        <w:rPr>
          <w:rFonts w:hint="eastAsia" w:ascii="宋体" w:hAnsi="宋体" w:cs="宋体"/>
          <w:kern w:val="0"/>
          <w:sz w:val="30"/>
          <w:szCs w:val="30"/>
          <w:u w:val="single"/>
          <w:lang w:val="en-US" w:eastAsia="zh-CN"/>
        </w:rPr>
        <w:t>78</w:t>
      </w:r>
      <w:r>
        <w:rPr>
          <w:rFonts w:hint="eastAsia" w:ascii="宋体" w:hAnsi="宋体" w:cs="宋体"/>
          <w:kern w:val="0"/>
          <w:sz w:val="30"/>
          <w:szCs w:val="30"/>
          <w:u w:val="single"/>
        </w:rPr>
        <w:t xml:space="preserve"> </w:t>
      </w:r>
      <w:r>
        <w:rPr>
          <w:rFonts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28"/>
          <w:szCs w:val="28"/>
          <w:lang w:val="zh-CN"/>
        </w:rPr>
        <w:t>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人（以下简称乙方）：</w:t>
      </w:r>
    </w:p>
    <w:p>
      <w:pPr>
        <w:pStyle w:val="19"/>
        <w:spacing w:after="0" w:line="360" w:lineRule="auto"/>
        <w:ind w:left="0" w:leftChars="0" w:firstLine="480"/>
        <w:rPr>
          <w:rFonts w:ascii="宋体" w:hAnsi="宋体" w:cs="宋体"/>
          <w:kern w:val="0"/>
          <w:sz w:val="24"/>
          <w:lang w:val="zh-CN"/>
        </w:rPr>
      </w:pPr>
      <w:r>
        <w:rPr>
          <w:rFonts w:hint="eastAsia" w:ascii="宋体" w:hAnsi="宋体" w:cs="宋体"/>
          <w:kern w:val="0"/>
          <w:sz w:val="24"/>
          <w:lang w:val="zh-CN"/>
        </w:rPr>
        <w:t>甲、乙双方根据XXXX年XX月XX日</w:t>
      </w:r>
      <w:r>
        <w:rPr>
          <w:rFonts w:hint="eastAsia" w:ascii="宋体" w:hAnsi="宋体" w:cs="宋体"/>
          <w:color w:val="000000"/>
          <w:kern w:val="0"/>
          <w:sz w:val="24"/>
          <w:u w:val="single"/>
          <w:lang w:val="zh-CN"/>
        </w:rPr>
        <w:t>青海东市乐都区瞿昙镇盛家村滑坡监测预警示范、乐都区中岭乡乡政府不稳定斜坡地质灾害治理工程、乐都区第八中学不稳定斜坡地质灾害治理工程（项目编号：甘肃东方公招（工程）2021-078）</w:t>
      </w:r>
      <w:r>
        <w:rPr>
          <w:rFonts w:hint="eastAsia" w:ascii="宋体" w:hAnsi="宋体" w:cs="宋体"/>
          <w:kern w:val="0"/>
          <w:sz w:val="24"/>
          <w:lang w:val="zh-CN"/>
        </w:rPr>
        <w:t>的招标文件要求和甘肃东方工程咨询有限公司出具的《中标通知书》，并经双方协商一致，签订本合同协议书。</w:t>
      </w:r>
    </w:p>
    <w:p>
      <w:pPr>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ascii="宋体" w:hAnsi="宋体" w:cs="宋体"/>
          <w:kern w:val="0"/>
        </w:rPr>
      </w:pPr>
      <w:r>
        <w:rPr>
          <w:rFonts w:hint="eastAsia" w:ascii="宋体" w:hAnsi="宋体" w:cs="宋体"/>
          <w:kern w:val="0"/>
        </w:rPr>
        <w:t>6.履约保证金凭证。</w:t>
      </w:r>
    </w:p>
    <w:p>
      <w:pPr>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34"/>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rPr>
              <w:t>序</w:t>
            </w:r>
            <w:r>
              <w:rPr>
                <w:rFonts w:hint="eastAsia" w:ascii="宋体" w:hAnsi="宋体" w:cs="宋体"/>
                <w:kern w:val="0"/>
                <w:lang w:val="zh-CN"/>
              </w:rPr>
              <w:t>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rPr>
            </w:pPr>
            <w:r>
              <w:rPr>
                <w:rFonts w:hint="eastAsia" w:ascii="宋体" w:hAnsi="宋体" w:cs="宋体"/>
                <w:kern w:val="0"/>
              </w:rPr>
              <w:t>服务期限</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36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rPr>
          <w:rFonts w:ascii="宋体" w:hAnsi="宋体" w:cs="宋体"/>
          <w:kern w:val="0"/>
          <w:lang w:val="zh-CN"/>
        </w:rPr>
      </w:pPr>
      <w:r>
        <w:rPr>
          <w:rFonts w:hint="eastAsia" w:ascii="宋体" w:hAnsi="宋体" w:cs="宋体"/>
          <w:kern w:val="0"/>
          <w:lang w:val="zh-CN"/>
        </w:rPr>
        <w:t>本合同以人民币进行结算，合同总价包括：服务费、人员费、差旅费、结果装订费、招标代理费及不可预见费等全部费用。</w:t>
      </w:r>
    </w:p>
    <w:p>
      <w:pPr>
        <w:autoSpaceDE w:val="0"/>
        <w:autoSpaceDN w:val="0"/>
        <w:spacing w:line="360" w:lineRule="auto"/>
        <w:rPr>
          <w:rFonts w:ascii="宋体" w:hAnsi="宋体" w:cs="宋体"/>
          <w:kern w:val="0"/>
        </w:rPr>
      </w:pPr>
      <w:r>
        <w:rPr>
          <w:rFonts w:hint="eastAsia" w:ascii="宋体" w:hAnsi="宋体" w:cs="宋体"/>
          <w:kern w:val="0"/>
          <w:lang w:val="zh-CN"/>
        </w:rPr>
        <w:t>三、</w:t>
      </w:r>
      <w:r>
        <w:rPr>
          <w:rFonts w:hint="eastAsia" w:ascii="宋体" w:hAnsi="宋体" w:cs="宋体"/>
          <w:kern w:val="0"/>
        </w:rPr>
        <w:t>服务</w:t>
      </w:r>
      <w:r>
        <w:rPr>
          <w:rFonts w:hint="eastAsia" w:ascii="宋体" w:hAnsi="宋体" w:cs="宋体"/>
          <w:kern w:val="0"/>
          <w:lang w:val="zh-CN"/>
        </w:rPr>
        <w:t>时间、地点和要求</w:t>
      </w:r>
    </w:p>
    <w:p>
      <w:pPr>
        <w:autoSpaceDE w:val="0"/>
        <w:autoSpaceDN w:val="0"/>
        <w:spacing w:line="360" w:lineRule="auto"/>
        <w:ind w:firstLine="360"/>
        <w:jc w:val="left"/>
        <w:rPr>
          <w:rFonts w:ascii="宋体" w:hAnsi="宋体" w:cs="宋体"/>
          <w:kern w:val="0"/>
          <w:lang w:val="zh-CN"/>
        </w:rPr>
      </w:pPr>
      <w:r>
        <w:rPr>
          <w:rFonts w:hint="eastAsia" w:ascii="宋体" w:hAnsi="宋体" w:cs="宋体"/>
          <w:kern w:val="0"/>
        </w:rPr>
        <w:t>1.服务期限</w:t>
      </w:r>
      <w:r>
        <w:rPr>
          <w:rFonts w:hint="eastAsia" w:ascii="宋体" w:hAnsi="宋体" w:cs="宋体"/>
          <w:kern w:val="0"/>
          <w:lang w:val="zh-CN"/>
        </w:rPr>
        <w:t>：</w:t>
      </w:r>
    </w:p>
    <w:p>
      <w:pPr>
        <w:autoSpaceDE w:val="0"/>
        <w:autoSpaceDN w:val="0"/>
        <w:spacing w:line="360" w:lineRule="auto"/>
        <w:ind w:firstLine="600" w:firstLineChars="250"/>
        <w:jc w:val="left"/>
        <w:rPr>
          <w:rFonts w:ascii="宋体" w:hAnsi="宋体" w:cs="宋体"/>
          <w:kern w:val="0"/>
          <w:u w:val="single"/>
        </w:rPr>
      </w:pPr>
      <w:r>
        <w:rPr>
          <w:rFonts w:hint="eastAsia" w:ascii="宋体" w:hAnsi="宋体" w:cs="宋体"/>
          <w:kern w:val="0"/>
        </w:rPr>
        <w:t>服务</w:t>
      </w:r>
      <w:r>
        <w:rPr>
          <w:rFonts w:hint="eastAsia" w:ascii="宋体" w:hAnsi="宋体" w:cs="宋体"/>
          <w:kern w:val="0"/>
          <w:lang w:val="zh-CN"/>
        </w:rPr>
        <w:t>地点：</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w:t>
      </w:r>
      <w:r>
        <w:rPr>
          <w:rFonts w:hint="eastAsia" w:ascii="宋体" w:hAnsi="宋体" w:cs="宋体"/>
          <w:color w:val="000000"/>
          <w:kern w:val="0"/>
          <w:u w:val="single"/>
        </w:rPr>
        <w:t>5</w:t>
      </w:r>
      <w:r>
        <w:rPr>
          <w:rFonts w:hint="eastAsia" w:ascii="宋体" w:hAnsi="宋体" w:cs="宋体"/>
          <w:color w:val="000000"/>
          <w:kern w:val="0"/>
          <w:lang w:val="zh-CN"/>
        </w:rPr>
        <w:t>个</w:t>
      </w:r>
      <w:r>
        <w:rPr>
          <w:rFonts w:hint="eastAsia" w:ascii="宋体" w:hAnsi="宋体" w:cs="宋体"/>
          <w:kern w:val="0"/>
          <w:lang w:val="zh-CN"/>
        </w:rPr>
        <w:t>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hAnsi="宋体" w:cs="宋体"/>
          <w:kern w:val="0"/>
          <w:lang w:val="zh-CN"/>
        </w:rPr>
      </w:pPr>
      <w:r>
        <w:rPr>
          <w:rFonts w:hint="eastAsia" w:ascii="宋体" w:hAnsi="宋体" w:cs="宋体"/>
          <w:kern w:val="0"/>
          <w:lang w:val="zh-CN"/>
        </w:rPr>
        <w:t>四、付款方式</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合同签订后甲方向乙方支付合同总价款的</w:t>
      </w:r>
      <w:r>
        <w:rPr>
          <w:rFonts w:hint="eastAsia" w:ascii="宋体" w:hAnsi="宋体" w:cs="宋体"/>
          <w:kern w:val="0"/>
        </w:rPr>
        <w:t>6</w:t>
      </w:r>
      <w:r>
        <w:rPr>
          <w:rFonts w:hint="eastAsia" w:ascii="宋体" w:hAnsi="宋体" w:cs="宋体"/>
          <w:kern w:val="0"/>
          <w:lang w:val="zh-CN"/>
        </w:rPr>
        <w:t>0%，即人民币：</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lang w:val="zh-CN"/>
        </w:rPr>
        <w:t>元；</w:t>
      </w:r>
      <w:r>
        <w:rPr>
          <w:rFonts w:hint="eastAsia" w:ascii="宋体" w:hAnsi="宋体" w:cs="宋体"/>
          <w:kern w:val="0"/>
        </w:rPr>
        <w:t>待</w:t>
      </w:r>
      <w:r>
        <w:rPr>
          <w:rFonts w:hint="eastAsia" w:ascii="宋体" w:hAnsi="宋体" w:cs="宋体"/>
          <w:kern w:val="0"/>
          <w:lang w:val="zh-CN"/>
        </w:rPr>
        <w:t>提交报告，甲方验收合格后甲方向乙方支付合同总价款的</w:t>
      </w:r>
      <w:r>
        <w:rPr>
          <w:rFonts w:hint="eastAsia" w:ascii="宋体" w:hAnsi="宋体" w:cs="宋体"/>
          <w:kern w:val="0"/>
        </w:rPr>
        <w:t>4</w:t>
      </w:r>
      <w:r>
        <w:rPr>
          <w:rFonts w:hint="eastAsia" w:ascii="宋体" w:hAnsi="宋体" w:cs="宋体"/>
          <w:kern w:val="0"/>
          <w:lang w:val="zh-CN"/>
        </w:rPr>
        <w:t xml:space="preserve">0%，即人民币（大写）： </w:t>
      </w:r>
      <w:r>
        <w:rPr>
          <w:rFonts w:hint="eastAsia" w:ascii="宋体" w:hAnsi="宋体" w:cs="宋体"/>
          <w:kern w:val="0"/>
        </w:rPr>
        <w:t xml:space="preserve">    </w:t>
      </w: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元。</w:t>
      </w:r>
    </w:p>
    <w:p>
      <w:pPr>
        <w:autoSpaceDE w:val="0"/>
        <w:autoSpaceDN w:val="0"/>
        <w:adjustRightInd w:val="0"/>
        <w:ind w:firstLine="480"/>
        <w:rPr>
          <w:rFonts w:ascii="宋体" w:hAnsi="宋体" w:cs="宋体"/>
          <w:color w:val="FF0000"/>
          <w:kern w:val="0"/>
          <w:u w:val="single"/>
        </w:rPr>
      </w:pPr>
      <w:r>
        <w:rPr>
          <w:rFonts w:hint="eastAsia" w:ascii="宋体" w:hAnsi="宋体" w:cs="宋体"/>
          <w:color w:val="FF0000"/>
          <w:kern w:val="0"/>
        </w:rPr>
        <w:t xml:space="preserve"> </w:t>
      </w:r>
    </w:p>
    <w:p>
      <w:pPr>
        <w:autoSpaceDE w:val="0"/>
        <w:autoSpaceDN w:val="0"/>
        <w:spacing w:line="36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hAns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w:t>
      </w:r>
      <w:r>
        <w:rPr>
          <w:rFonts w:hint="eastAsia" w:ascii="宋体" w:hAnsi="宋体" w:cs="宋体"/>
          <w:kern w:val="0"/>
          <w:lang w:val="zh-CN"/>
        </w:rPr>
        <w:t>天对方有权解除合同，违约方承担因此给对方造成的经济损失。</w:t>
      </w:r>
    </w:p>
    <w:p>
      <w:pPr>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hAns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hAnsi="宋体" w:cs="宋体"/>
          <w:kern w:val="0"/>
        </w:rPr>
      </w:pPr>
      <w:r>
        <w:rPr>
          <w:rFonts w:hint="eastAsia" w:ascii="宋体" w:hAnsi="宋体" w:cs="宋体"/>
          <w:kern w:val="0"/>
          <w:lang w:val="zh-CN"/>
        </w:rPr>
        <w:t>九、其他约定：</w:t>
      </w:r>
    </w:p>
    <w:p>
      <w:pPr>
        <w:autoSpaceDE w:val="0"/>
        <w:autoSpaceDN w:val="0"/>
        <w:spacing w:line="360" w:lineRule="auto"/>
        <w:rPr>
          <w:rFonts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320" w:firstLineChars="550"/>
        <w:rPr>
          <w:rFonts w:ascii="宋体" w:hAnsi="宋体" w:cs="宋体"/>
          <w:kern w:val="0"/>
          <w:lang w:val="zh-CN"/>
        </w:rPr>
      </w:pPr>
    </w:p>
    <w:p>
      <w:pPr>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rPr>
      </w:pPr>
      <w:r>
        <w:rPr>
          <w:rFonts w:hint="eastAsia" w:ascii="宋体" w:hAnsi="宋体" w:cs="宋体"/>
          <w:kern w:val="0"/>
          <w:lang w:val="zh-CN"/>
        </w:rPr>
        <w:t>采购代理机构：甘肃东方工程咨询有限公司</w:t>
      </w:r>
    </w:p>
    <w:p>
      <w:pPr>
        <w:autoSpaceDE w:val="0"/>
        <w:autoSpaceDN w:val="0"/>
        <w:spacing w:line="360" w:lineRule="auto"/>
        <w:rPr>
          <w:rFonts w:ascii="宋体" w:hAnsi="宋体" w:cs="宋体"/>
          <w:kern w:val="0"/>
        </w:rPr>
      </w:pPr>
      <w:r>
        <w:rPr>
          <w:rFonts w:hint="eastAsia" w:ascii="宋体" w:hAnsi="宋体" w:cs="宋体"/>
          <w:kern w:val="0"/>
          <w:lang w:val="zh-CN"/>
        </w:rPr>
        <w:t>负责人或经办人：</w:t>
      </w:r>
    </w:p>
    <w:p>
      <w:pPr>
        <w:autoSpaceDE w:val="0"/>
        <w:autoSpaceDN w:val="0"/>
        <w:spacing w:line="360" w:lineRule="auto"/>
        <w:rPr>
          <w:rFonts w:ascii="宋体" w:hAnsi="宋体" w:cs="宋体"/>
          <w:kern w:val="0"/>
          <w:lang w:val="zh-CN"/>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jc w:val="center"/>
        <w:rPr>
          <w:rFonts w:ascii="宋体" w:hAnsi="宋体" w:cs="宋体"/>
          <w:kern w:val="0"/>
          <w:sz w:val="28"/>
          <w:szCs w:val="28"/>
        </w:rPr>
      </w:pPr>
      <w:r>
        <w:rPr>
          <w:rFonts w:hint="eastAsia" w:ascii="宋体" w:hAnsi="宋体" w:cs="宋体"/>
          <w:b/>
          <w:bCs/>
          <w:kern w:val="0"/>
          <w:sz w:val="28"/>
          <w:szCs w:val="28"/>
          <w:lang w:val="zh-CN"/>
        </w:rPr>
        <w:t>合同通用条款</w:t>
      </w: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无</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32"/>
        <w:spacing w:before="0" w:after="0" w:line="360" w:lineRule="auto"/>
        <w:rPr>
          <w:rFonts w:ascii="宋体" w:hAnsi="宋体" w:cs="宋体"/>
          <w:lang w:val="zh-CN"/>
        </w:rPr>
      </w:pPr>
      <w:r>
        <w:rPr>
          <w:rFonts w:hint="eastAsia" w:ascii="宋体" w:hAnsi="宋体" w:cs="宋体"/>
          <w:szCs w:val="36"/>
          <w:lang w:val="zh-CN"/>
        </w:rPr>
        <w:br w:type="page"/>
      </w:r>
      <w:bookmarkStart w:id="88" w:name="_Toc11744221"/>
      <w:bookmarkStart w:id="89" w:name="_Toc12526"/>
      <w:r>
        <w:rPr>
          <w:rFonts w:hint="eastAsia" w:ascii="宋体" w:hAnsi="宋体" w:cs="宋体"/>
          <w:szCs w:val="36"/>
          <w:lang w:val="zh-CN"/>
        </w:rPr>
        <w:t>第四部分  投标文件格式</w:t>
      </w:r>
      <w:bookmarkEnd w:id="88"/>
      <w:bookmarkEnd w:id="89"/>
    </w:p>
    <w:p>
      <w:pPr>
        <w:pStyle w:val="32"/>
        <w:spacing w:before="0" w:after="0" w:line="360" w:lineRule="auto"/>
        <w:jc w:val="left"/>
        <w:outlineLvl w:val="1"/>
        <w:rPr>
          <w:rFonts w:ascii="宋体" w:hAnsi="宋体" w:cs="宋体"/>
        </w:rPr>
      </w:pPr>
      <w:bookmarkStart w:id="90" w:name="_Toc11851"/>
      <w:bookmarkStart w:id="91" w:name="_Toc11744222"/>
      <w:bookmarkStart w:id="92" w:name="_Toc9802"/>
      <w:r>
        <w:rPr>
          <w:rFonts w:hint="eastAsia" w:ascii="宋体" w:hAnsi="宋体" w:cs="宋体"/>
          <w:sz w:val="30"/>
          <w:szCs w:val="30"/>
          <w:lang w:val="zh-CN"/>
        </w:rPr>
        <w:t>封面</w:t>
      </w:r>
      <w:bookmarkEnd w:id="90"/>
      <w:r>
        <w:rPr>
          <w:rFonts w:hint="eastAsia" w:ascii="宋体" w:hAnsi="宋体" w:cs="宋体"/>
          <w:sz w:val="30"/>
          <w:szCs w:val="30"/>
          <w:lang w:val="zh-CN"/>
        </w:rPr>
        <w:t>（上册）</w:t>
      </w:r>
      <w:bookmarkEnd w:id="91"/>
      <w:bookmarkEnd w:id="92"/>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32"/>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93" w:name="_Toc7916"/>
      <w:bookmarkStart w:id="94" w:name="_Toc11744223"/>
      <w:bookmarkStart w:id="95" w:name="_Toc8514"/>
      <w:bookmarkStart w:id="96" w:name="_Toc29902"/>
      <w:r>
        <w:rPr>
          <w:rFonts w:hint="eastAsia" w:ascii="宋体" w:hAnsi="宋体" w:cs="宋体"/>
          <w:sz w:val="30"/>
          <w:szCs w:val="30"/>
          <w:lang w:val="zh-CN"/>
        </w:rPr>
        <w:t>目录（上册）</w:t>
      </w:r>
      <w:bookmarkEnd w:id="93"/>
      <w:bookmarkEnd w:id="94"/>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95"/>
    <w:bookmarkEnd w:id="96"/>
    <w:p>
      <w:pPr>
        <w:pStyle w:val="32"/>
        <w:spacing w:before="0" w:after="0" w:line="360" w:lineRule="auto"/>
        <w:jc w:val="left"/>
        <w:outlineLvl w:val="1"/>
        <w:rPr>
          <w:rFonts w:ascii="宋体" w:hAnsi="宋体" w:cs="宋体"/>
          <w:lang w:val="zh-CN"/>
        </w:rPr>
      </w:pPr>
      <w:bookmarkStart w:id="97" w:name="_Toc19582"/>
      <w:r>
        <w:rPr>
          <w:rFonts w:hint="eastAsia" w:ascii="宋体" w:hAnsi="宋体" w:cs="宋体"/>
          <w:sz w:val="30"/>
          <w:szCs w:val="30"/>
          <w:lang w:val="zh-CN"/>
        </w:rPr>
        <w:br w:type="page"/>
      </w:r>
      <w:bookmarkStart w:id="98" w:name="_Toc7442"/>
      <w:bookmarkStart w:id="99" w:name="_Toc11744224"/>
      <w:r>
        <w:rPr>
          <w:rFonts w:hint="eastAsia" w:ascii="宋体" w:hAnsi="宋体" w:cs="宋体"/>
          <w:sz w:val="30"/>
          <w:szCs w:val="30"/>
        </w:rPr>
        <w:t>（1）</w:t>
      </w:r>
      <w:r>
        <w:rPr>
          <w:rFonts w:hint="eastAsia" w:ascii="宋体" w:hAnsi="宋体" w:cs="宋体"/>
          <w:sz w:val="30"/>
          <w:szCs w:val="30"/>
          <w:lang w:val="zh-CN"/>
        </w:rPr>
        <w:t>投标函</w:t>
      </w:r>
      <w:bookmarkEnd w:id="97"/>
      <w:bookmarkEnd w:id="98"/>
      <w:bookmarkEnd w:id="99"/>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100" w:name="_Toc21486"/>
      <w:bookmarkStart w:id="101" w:name="_Toc11744225"/>
      <w:bookmarkStart w:id="102"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100"/>
      <w:bookmarkEnd w:id="10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法定代表人：    </w:t>
      </w:r>
      <w:r>
        <w:rPr>
          <w:rFonts w:ascii="宋体" w:hAnsi="宋体" w:cs="宋体"/>
          <w:b/>
          <w:bCs/>
          <w:kern w:val="0"/>
          <w:lang w:val="zh-CN"/>
        </w:rPr>
        <w:t xml:space="preserve">         </w:t>
      </w:r>
      <w:r>
        <w:rPr>
          <w:rFonts w:hint="eastAsia" w:ascii="宋体" w:hAnsi="宋体" w:cs="宋体"/>
          <w:b/>
          <w:bCs/>
          <w:kern w:val="0"/>
          <w:lang w:val="zh-CN"/>
        </w:rPr>
        <w:t xml:space="preserve">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End w:id="102"/>
      <w:bookmarkStart w:id="103" w:name="_Toc11744226"/>
      <w:bookmarkStart w:id="104" w:name="_Toc7970"/>
      <w:bookmarkStart w:id="105" w:name="_Toc17284"/>
      <w:r>
        <w:rPr>
          <w:rFonts w:hint="eastAsia" w:ascii="宋体" w:hAnsi="宋体" w:cs="宋体"/>
          <w:sz w:val="30"/>
          <w:szCs w:val="30"/>
        </w:rPr>
        <w:t>（3）</w:t>
      </w:r>
      <w:r>
        <w:rPr>
          <w:rFonts w:hint="eastAsia" w:ascii="宋体" w:hAnsi="宋体" w:cs="宋体"/>
          <w:sz w:val="30"/>
          <w:szCs w:val="30"/>
          <w:lang w:val="zh-CN"/>
        </w:rPr>
        <w:t>法定代表人授权书</w:t>
      </w:r>
      <w:bookmarkEnd w:id="103"/>
      <w:bookmarkEnd w:id="104"/>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法定代表人：    </w:t>
      </w:r>
      <w:r>
        <w:rPr>
          <w:rFonts w:ascii="宋体" w:hAnsi="宋体" w:cs="宋体"/>
          <w:b/>
          <w:bCs/>
          <w:kern w:val="0"/>
          <w:lang w:val="zh-CN"/>
        </w:rPr>
        <w:t xml:space="preserve">         </w:t>
      </w:r>
      <w:r>
        <w:rPr>
          <w:rFonts w:hint="eastAsia" w:ascii="宋体" w:hAnsi="宋体" w:cs="宋体"/>
          <w:b/>
          <w:bCs/>
          <w:kern w:val="0"/>
          <w:lang w:val="zh-CN"/>
        </w:rPr>
        <w:t xml:space="preserve">       （签字或盖章）</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Start w:id="106" w:name="_Toc11744227"/>
      <w:bookmarkStart w:id="107" w:name="_Toc8988"/>
      <w:r>
        <w:rPr>
          <w:rFonts w:hint="eastAsia" w:ascii="宋体" w:hAnsi="宋体" w:cs="宋体"/>
          <w:sz w:val="30"/>
          <w:szCs w:val="30"/>
        </w:rPr>
        <w:t>（4）</w:t>
      </w:r>
      <w:r>
        <w:rPr>
          <w:rFonts w:hint="eastAsia" w:ascii="宋体" w:hAnsi="宋体" w:cs="宋体"/>
          <w:sz w:val="30"/>
          <w:szCs w:val="30"/>
          <w:lang w:val="zh-CN"/>
        </w:rPr>
        <w:t>投标人承诺函</w:t>
      </w:r>
      <w:bookmarkEnd w:id="106"/>
      <w:bookmarkEnd w:id="10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rPr>
      </w:pPr>
      <w:r>
        <w:rPr>
          <w:rFonts w:hint="eastAsia" w:ascii="宋体" w:hAnsi="宋体" w:cs="宋体"/>
          <w:kern w:val="0"/>
          <w:lang w:val="zh-CN"/>
        </w:rPr>
        <w:t xml:space="preserve"> </w:t>
      </w:r>
      <w:r>
        <w:rPr>
          <w:rFonts w:ascii="宋体" w:hAnsi="宋体" w:cs="宋体"/>
          <w:kern w:val="0"/>
          <w:lang w:val="zh-CN"/>
        </w:rPr>
        <w:t xml:space="preserve">  </w:t>
      </w:r>
      <w:r>
        <w:rPr>
          <w:rFonts w:hint="eastAsia" w:ascii="宋体" w:hAnsi="宋体" w:cs="宋体"/>
          <w:kern w:val="0"/>
          <w:lang w:val="zh-CN"/>
        </w:rPr>
        <w:t xml:space="preserve"> </w:t>
      </w:r>
      <w:r>
        <w:rPr>
          <w:rFonts w:hint="eastAsia" w:ascii="宋体" w:hAnsi="宋体" w:cs="宋体"/>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Start w:id="108" w:name="_Toc1949"/>
      <w:bookmarkStart w:id="109" w:name="_Toc11744228"/>
      <w:r>
        <w:rPr>
          <w:rFonts w:hint="eastAsia" w:ascii="宋体" w:hAnsi="宋体" w:cs="宋体"/>
          <w:sz w:val="30"/>
          <w:szCs w:val="30"/>
        </w:rPr>
        <w:t>（5）</w:t>
      </w:r>
      <w:r>
        <w:rPr>
          <w:rFonts w:hint="eastAsia" w:ascii="宋体" w:hAnsi="宋体" w:cs="宋体"/>
          <w:sz w:val="30"/>
          <w:szCs w:val="30"/>
          <w:lang w:val="zh-CN"/>
        </w:rPr>
        <w:t>投标人诚信承诺书</w:t>
      </w:r>
      <w:bookmarkEnd w:id="108"/>
      <w:bookmarkEnd w:id="10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105"/>
      <w:bookmarkStart w:id="110" w:name="_Toc25924"/>
      <w:bookmarkStart w:id="111" w:name="_Toc11744229"/>
      <w:bookmarkStart w:id="112" w:name="_Toc8344"/>
      <w:r>
        <w:rPr>
          <w:rFonts w:hint="eastAsia" w:ascii="宋体" w:hAnsi="宋体" w:cs="宋体"/>
          <w:sz w:val="30"/>
          <w:szCs w:val="30"/>
        </w:rPr>
        <w:t>（6）</w:t>
      </w:r>
      <w:r>
        <w:rPr>
          <w:rFonts w:hint="eastAsia" w:ascii="宋体" w:hAnsi="宋体" w:cs="宋体"/>
          <w:sz w:val="30"/>
          <w:szCs w:val="30"/>
          <w:lang w:val="zh-CN"/>
        </w:rPr>
        <w:t>资格证明材料</w:t>
      </w:r>
      <w:bookmarkEnd w:id="110"/>
      <w:bookmarkEnd w:id="11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（3）投标人认为有必要提供的其他资格证明文件。</w:t>
      </w:r>
    </w:p>
    <w:p>
      <w:pPr>
        <w:autoSpaceDE w:val="0"/>
        <w:autoSpaceDN w:val="0"/>
        <w:spacing w:line="360" w:lineRule="auto"/>
        <w:ind w:firstLine="600" w:firstLineChars="250"/>
        <w:rPr>
          <w:rFonts w:ascii="宋体" w:hAnsi="宋体" w:cs="宋体"/>
          <w:kern w:val="0"/>
        </w:rPr>
      </w:pPr>
    </w:p>
    <w:p>
      <w:pPr>
        <w:pStyle w:val="32"/>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13" w:name="_Toc21884"/>
      <w:bookmarkStart w:id="114" w:name="_Toc11744230"/>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13"/>
      <w:bookmarkEnd w:id="11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1、投标人经第三方机构出具的</w:t>
      </w:r>
      <w:r>
        <w:rPr>
          <w:rFonts w:hint="eastAsia" w:ascii="宋体" w:hAnsi="宋体" w:cs="宋体"/>
          <w:kern w:val="0"/>
        </w:rPr>
        <w:t>2020</w:t>
      </w:r>
      <w:r>
        <w:rPr>
          <w:rFonts w:hint="eastAsia" w:ascii="宋体" w:hAnsi="宋体" w:cs="宋体"/>
          <w:kern w:val="0"/>
          <w:lang w:val="zh-CN"/>
        </w:rPr>
        <w:t>年度财务状况审计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宋体" w:hAnsi="Calibri" w:cs="宋体"/>
          <w:kern w:val="0"/>
          <w:lang w:val="zh-CN"/>
        </w:rPr>
        <w:t>提供近半年内任意3个月</w:t>
      </w:r>
      <w:r>
        <w:rPr>
          <w:rFonts w:hint="eastAsia" w:ascii="宋体" w:hAnsi="宋体" w:cs="宋体"/>
          <w:kern w:val="0"/>
          <w:lang w:val="zh-CN"/>
        </w:rPr>
        <w:t>的依法缴纳税收和社会保障资金记录的证明材料；依法免税或不需要缴纳社会保障资金的投标人须提供相应文件证明其依法免税或不需要缴纳社会保障资金。</w:t>
      </w:r>
    </w:p>
    <w:p>
      <w:pPr>
        <w:pStyle w:val="32"/>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112"/>
      <w:bookmarkStart w:id="115" w:name="_Toc10550"/>
      <w:bookmarkStart w:id="116" w:name="_Toc11744231"/>
      <w:bookmarkStart w:id="117"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15"/>
      <w:bookmarkEnd w:id="11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等证明材料。</w:t>
      </w:r>
    </w:p>
    <w:p>
      <w:pPr>
        <w:pStyle w:val="32"/>
        <w:spacing w:before="0" w:after="0" w:line="360" w:lineRule="auto"/>
        <w:jc w:val="both"/>
        <w:outlineLvl w:val="1"/>
        <w:rPr>
          <w:rFonts w:ascii="宋体" w:hAnsi="宋体" w:cs="宋体"/>
        </w:rPr>
      </w:pPr>
      <w:r>
        <w:rPr>
          <w:rFonts w:hint="eastAsia" w:ascii="宋体" w:hAnsi="宋体" w:cs="宋体"/>
          <w:kern w:val="0"/>
          <w:sz w:val="24"/>
          <w:lang w:val="zh-CN"/>
        </w:rPr>
        <w:br w:type="page"/>
      </w:r>
      <w:bookmarkStart w:id="118" w:name="_Toc11744232"/>
      <w:bookmarkStart w:id="119" w:name="_Toc16658"/>
      <w:r>
        <w:rPr>
          <w:rFonts w:hint="eastAsia" w:ascii="宋体" w:hAnsi="宋体" w:cs="宋体"/>
          <w:sz w:val="30"/>
          <w:szCs w:val="30"/>
        </w:rPr>
        <w:t>（9）</w:t>
      </w:r>
      <w:r>
        <w:rPr>
          <w:rFonts w:hint="eastAsia" w:ascii="宋体" w:hAnsi="宋体" w:cs="宋体"/>
          <w:sz w:val="30"/>
          <w:szCs w:val="30"/>
          <w:lang w:val="zh-CN"/>
        </w:rPr>
        <w:t>无重大违法记录声明</w:t>
      </w:r>
      <w:bookmarkEnd w:id="118"/>
      <w:bookmarkEnd w:id="11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 xml:space="preserve"> </w:t>
      </w:r>
    </w:p>
    <w:p>
      <w:pPr>
        <w:autoSpaceDE w:val="0"/>
        <w:autoSpaceDN w:val="0"/>
        <w:spacing w:line="360" w:lineRule="auto"/>
        <w:ind w:firstLine="720" w:firstLineChars="300"/>
        <w:jc w:val="left"/>
        <w:rPr>
          <w:rFonts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Start w:id="120" w:name="_Toc29764"/>
      <w:bookmarkStart w:id="121" w:name="_Toc32722"/>
      <w:bookmarkStart w:id="122" w:name="_Toc11744233"/>
      <w:r>
        <w:rPr>
          <w:rFonts w:hint="eastAsia" w:ascii="宋体" w:hAnsi="宋体" w:cs="宋体"/>
          <w:sz w:val="30"/>
          <w:szCs w:val="30"/>
        </w:rPr>
        <w:t>（10）</w:t>
      </w:r>
      <w:r>
        <w:rPr>
          <w:rFonts w:hint="eastAsia" w:ascii="宋体" w:hAnsi="宋体" w:cs="宋体"/>
          <w:sz w:val="30"/>
          <w:szCs w:val="30"/>
          <w:lang w:val="zh-CN"/>
        </w:rPr>
        <w:t>投标保证金证明</w:t>
      </w:r>
      <w:bookmarkEnd w:id="120"/>
      <w:bookmarkEnd w:id="121"/>
      <w:bookmarkEnd w:id="12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 xml:space="preserve">      基本户开户许可证复印件（加盖公章）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117"/>
    <w:p>
      <w:pPr>
        <w:pStyle w:val="32"/>
        <w:spacing w:before="0" w:after="0" w:line="360" w:lineRule="auto"/>
        <w:jc w:val="left"/>
        <w:rPr>
          <w:rFonts w:ascii="宋体" w:hAnsi="宋体" w:cs="宋体"/>
        </w:rPr>
      </w:pPr>
      <w:r>
        <w:rPr>
          <w:rFonts w:hint="eastAsia" w:ascii="宋体" w:hAnsi="宋体" w:cs="宋体"/>
          <w:kern w:val="0"/>
          <w:sz w:val="24"/>
          <w:szCs w:val="24"/>
          <w:lang w:val="zh-CN"/>
        </w:rPr>
        <w:br w:type="page"/>
      </w:r>
      <w:bookmarkStart w:id="123" w:name="_Toc12869"/>
      <w:bookmarkStart w:id="124" w:name="_Toc11744234"/>
      <w:r>
        <w:rPr>
          <w:rFonts w:hint="eastAsia" w:ascii="宋体" w:hAnsi="宋体" w:cs="宋体"/>
          <w:sz w:val="30"/>
          <w:szCs w:val="30"/>
          <w:lang w:val="zh-CN"/>
        </w:rPr>
        <w:t>（下册）</w:t>
      </w:r>
      <w:bookmarkEnd w:id="123"/>
      <w:bookmarkEnd w:id="124"/>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pStyle w:val="4"/>
        <w:outlineLvl w:val="9"/>
        <w:rPr>
          <w:rFonts w:ascii="宋体" w:hAnsi="宋体" w:cs="宋体"/>
          <w:kern w:val="0"/>
          <w:sz w:val="36"/>
          <w:szCs w:val="36"/>
        </w:rPr>
      </w:pPr>
    </w:p>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32"/>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125" w:name="_Toc30988"/>
      <w:bookmarkStart w:id="126" w:name="_Toc2502"/>
      <w:bookmarkStart w:id="127" w:name="_Toc11744245"/>
      <w:bookmarkStart w:id="128" w:name="_Toc18752"/>
      <w:r>
        <w:rPr>
          <w:rFonts w:hint="eastAsia" w:ascii="宋体" w:hAnsi="宋体" w:cs="宋体"/>
          <w:sz w:val="30"/>
          <w:szCs w:val="30"/>
          <w:lang w:val="zh-CN"/>
        </w:rPr>
        <w:t>目录（下册）</w:t>
      </w:r>
      <w:bookmarkEnd w:id="125"/>
      <w:bookmarkEnd w:id="126"/>
    </w:p>
    <w:p>
      <w:pPr>
        <w:numPr>
          <w:ilvl w:val="0"/>
          <w:numId w:val="8"/>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rPr>
        <w:t>技术服务方案</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32"/>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129" w:name="_Toc17893"/>
      <w:bookmarkStart w:id="130" w:name="_Toc3813"/>
      <w:r>
        <w:rPr>
          <w:rFonts w:hint="eastAsia" w:ascii="宋体" w:hAnsi="宋体" w:cs="宋体"/>
          <w:sz w:val="30"/>
          <w:szCs w:val="30"/>
        </w:rPr>
        <w:t>（11）</w:t>
      </w:r>
      <w:r>
        <w:rPr>
          <w:rFonts w:hint="eastAsia" w:ascii="宋体" w:hAnsi="宋体" w:cs="宋体"/>
          <w:sz w:val="30"/>
          <w:szCs w:val="30"/>
          <w:lang w:val="zh-CN"/>
        </w:rPr>
        <w:t>评分对照表</w:t>
      </w:r>
      <w:bookmarkEnd w:id="129"/>
      <w:bookmarkEnd w:id="130"/>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ascii="宋体" w:hAnsi="宋体" w:cs="宋体"/>
                <w:szCs w:val="24"/>
              </w:rPr>
            </w:pPr>
            <w:r>
              <w:rPr>
                <w:rFonts w:hint="eastAsia" w:ascii="宋体" w:hAnsi="宋体" w:cs="宋体"/>
                <w:szCs w:val="24"/>
              </w:rPr>
              <w:t>序号</w:t>
            </w:r>
          </w:p>
        </w:tc>
        <w:tc>
          <w:tcPr>
            <w:tcW w:w="2514" w:type="dxa"/>
            <w:vAlign w:val="center"/>
          </w:tcPr>
          <w:p>
            <w:pPr>
              <w:pStyle w:val="2"/>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ascii="宋体" w:hAnsi="宋体" w:cs="宋体"/>
                <w:szCs w:val="24"/>
              </w:rPr>
            </w:pPr>
            <w:r>
              <w:rPr>
                <w:rFonts w:hint="eastAsia" w:ascii="宋体" w:hAnsi="宋体" w:cs="宋体"/>
                <w:szCs w:val="24"/>
              </w:rPr>
              <w:t>招标文件评分标准</w:t>
            </w:r>
          </w:p>
        </w:tc>
        <w:tc>
          <w:tcPr>
            <w:tcW w:w="2266" w:type="dxa"/>
            <w:vAlign w:val="center"/>
          </w:tcPr>
          <w:p>
            <w:pPr>
              <w:pStyle w:val="2"/>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ascii="宋体" w:hAnsi="宋体" w:cs="宋体"/>
                <w:szCs w:val="24"/>
              </w:rPr>
            </w:pPr>
            <w:r>
              <w:rPr>
                <w:rFonts w:hint="eastAsia" w:ascii="宋体" w:hAnsi="宋体" w:cs="宋体"/>
                <w:szCs w:val="24"/>
              </w:rPr>
              <w:t>投标响应部分</w:t>
            </w:r>
          </w:p>
        </w:tc>
        <w:tc>
          <w:tcPr>
            <w:tcW w:w="2966" w:type="dxa"/>
            <w:vAlign w:val="center"/>
          </w:tcPr>
          <w:p>
            <w:pPr>
              <w:pStyle w:val="2"/>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hAnsi="宋体" w:cs="宋体"/>
                <w:szCs w:val="24"/>
              </w:rPr>
            </w:pPr>
          </w:p>
        </w:tc>
        <w:tc>
          <w:tcPr>
            <w:tcW w:w="2514" w:type="dxa"/>
            <w:vAlign w:val="center"/>
          </w:tcPr>
          <w:p>
            <w:pPr>
              <w:pStyle w:val="2"/>
              <w:spacing w:line="360" w:lineRule="auto"/>
              <w:ind w:firstLine="0"/>
              <w:jc w:val="center"/>
              <w:rPr>
                <w:rFonts w:ascii="宋体" w:hAnsi="宋体" w:cs="宋体"/>
                <w:szCs w:val="24"/>
              </w:rPr>
            </w:pPr>
          </w:p>
        </w:tc>
        <w:tc>
          <w:tcPr>
            <w:tcW w:w="2266" w:type="dxa"/>
            <w:vAlign w:val="center"/>
          </w:tcPr>
          <w:p>
            <w:pPr>
              <w:pStyle w:val="2"/>
              <w:spacing w:line="360" w:lineRule="auto"/>
              <w:ind w:firstLine="0"/>
              <w:jc w:val="center"/>
              <w:rPr>
                <w:rFonts w:ascii="宋体" w:hAnsi="宋体" w:cs="宋体"/>
                <w:szCs w:val="24"/>
              </w:rPr>
            </w:pPr>
          </w:p>
        </w:tc>
        <w:tc>
          <w:tcPr>
            <w:tcW w:w="2966" w:type="dxa"/>
            <w:vAlign w:val="center"/>
          </w:tcPr>
          <w:p>
            <w:pPr>
              <w:pStyle w:val="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hAnsi="宋体" w:cs="宋体"/>
                <w:szCs w:val="24"/>
              </w:rPr>
            </w:pPr>
          </w:p>
        </w:tc>
        <w:tc>
          <w:tcPr>
            <w:tcW w:w="2514" w:type="dxa"/>
            <w:vAlign w:val="center"/>
          </w:tcPr>
          <w:p>
            <w:pPr>
              <w:pStyle w:val="2"/>
              <w:spacing w:line="360" w:lineRule="auto"/>
              <w:ind w:firstLine="0"/>
              <w:jc w:val="center"/>
              <w:rPr>
                <w:rFonts w:ascii="宋体" w:hAnsi="宋体" w:cs="宋体"/>
                <w:szCs w:val="24"/>
              </w:rPr>
            </w:pPr>
          </w:p>
        </w:tc>
        <w:tc>
          <w:tcPr>
            <w:tcW w:w="2266" w:type="dxa"/>
            <w:vAlign w:val="center"/>
          </w:tcPr>
          <w:p>
            <w:pPr>
              <w:pStyle w:val="2"/>
              <w:spacing w:line="360" w:lineRule="auto"/>
              <w:ind w:firstLine="0"/>
              <w:jc w:val="center"/>
              <w:rPr>
                <w:rFonts w:ascii="宋体" w:hAnsi="宋体" w:cs="宋体"/>
                <w:szCs w:val="24"/>
              </w:rPr>
            </w:pPr>
          </w:p>
        </w:tc>
        <w:tc>
          <w:tcPr>
            <w:tcW w:w="2966" w:type="dxa"/>
            <w:vAlign w:val="center"/>
          </w:tcPr>
          <w:p>
            <w:pPr>
              <w:pStyle w:val="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hAnsi="宋体" w:cs="宋体"/>
                <w:szCs w:val="24"/>
              </w:rPr>
            </w:pPr>
          </w:p>
        </w:tc>
        <w:tc>
          <w:tcPr>
            <w:tcW w:w="2514" w:type="dxa"/>
            <w:vAlign w:val="center"/>
          </w:tcPr>
          <w:p>
            <w:pPr>
              <w:pStyle w:val="2"/>
              <w:spacing w:line="360" w:lineRule="auto"/>
              <w:ind w:firstLine="0"/>
              <w:jc w:val="center"/>
              <w:rPr>
                <w:rFonts w:ascii="宋体" w:hAnsi="宋体" w:cs="宋体"/>
                <w:szCs w:val="24"/>
              </w:rPr>
            </w:pPr>
          </w:p>
        </w:tc>
        <w:tc>
          <w:tcPr>
            <w:tcW w:w="2266" w:type="dxa"/>
            <w:vAlign w:val="center"/>
          </w:tcPr>
          <w:p>
            <w:pPr>
              <w:pStyle w:val="2"/>
              <w:spacing w:line="360" w:lineRule="auto"/>
              <w:ind w:firstLine="0"/>
              <w:jc w:val="center"/>
              <w:rPr>
                <w:rFonts w:ascii="宋体" w:hAnsi="宋体" w:cs="宋体"/>
                <w:szCs w:val="24"/>
              </w:rPr>
            </w:pPr>
          </w:p>
        </w:tc>
        <w:tc>
          <w:tcPr>
            <w:tcW w:w="2966" w:type="dxa"/>
            <w:vAlign w:val="center"/>
          </w:tcPr>
          <w:p>
            <w:pPr>
              <w:pStyle w:val="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hAnsi="宋体" w:cs="宋体"/>
                <w:szCs w:val="24"/>
              </w:rPr>
            </w:pPr>
          </w:p>
        </w:tc>
        <w:tc>
          <w:tcPr>
            <w:tcW w:w="2514" w:type="dxa"/>
            <w:vAlign w:val="center"/>
          </w:tcPr>
          <w:p>
            <w:pPr>
              <w:pStyle w:val="2"/>
              <w:spacing w:line="360" w:lineRule="auto"/>
              <w:ind w:firstLine="0"/>
              <w:jc w:val="center"/>
              <w:rPr>
                <w:rFonts w:ascii="宋体" w:hAnsi="宋体" w:cs="宋体"/>
                <w:szCs w:val="24"/>
              </w:rPr>
            </w:pPr>
          </w:p>
        </w:tc>
        <w:tc>
          <w:tcPr>
            <w:tcW w:w="2266" w:type="dxa"/>
            <w:vAlign w:val="center"/>
          </w:tcPr>
          <w:p>
            <w:pPr>
              <w:pStyle w:val="2"/>
              <w:spacing w:line="360" w:lineRule="auto"/>
              <w:ind w:firstLine="0"/>
              <w:jc w:val="center"/>
              <w:rPr>
                <w:rFonts w:ascii="宋体" w:hAnsi="宋体" w:cs="宋体"/>
                <w:szCs w:val="24"/>
              </w:rPr>
            </w:pPr>
          </w:p>
        </w:tc>
        <w:tc>
          <w:tcPr>
            <w:tcW w:w="2966" w:type="dxa"/>
            <w:vAlign w:val="center"/>
          </w:tcPr>
          <w:p>
            <w:pPr>
              <w:pStyle w:val="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hAnsi="宋体" w:cs="宋体"/>
                <w:szCs w:val="24"/>
              </w:rPr>
            </w:pPr>
          </w:p>
        </w:tc>
        <w:tc>
          <w:tcPr>
            <w:tcW w:w="2514" w:type="dxa"/>
            <w:vAlign w:val="center"/>
          </w:tcPr>
          <w:p>
            <w:pPr>
              <w:pStyle w:val="2"/>
              <w:spacing w:line="360" w:lineRule="auto"/>
              <w:ind w:firstLine="0"/>
              <w:jc w:val="center"/>
              <w:rPr>
                <w:rFonts w:ascii="宋体" w:hAnsi="宋体" w:cs="宋体"/>
                <w:szCs w:val="24"/>
              </w:rPr>
            </w:pPr>
          </w:p>
        </w:tc>
        <w:tc>
          <w:tcPr>
            <w:tcW w:w="2266" w:type="dxa"/>
            <w:vAlign w:val="center"/>
          </w:tcPr>
          <w:p>
            <w:pPr>
              <w:pStyle w:val="2"/>
              <w:spacing w:line="360" w:lineRule="auto"/>
              <w:ind w:firstLine="0"/>
              <w:jc w:val="center"/>
              <w:rPr>
                <w:rFonts w:ascii="宋体" w:hAnsi="宋体" w:cs="宋体"/>
                <w:szCs w:val="24"/>
              </w:rPr>
            </w:pPr>
          </w:p>
        </w:tc>
        <w:tc>
          <w:tcPr>
            <w:tcW w:w="2966" w:type="dxa"/>
            <w:vAlign w:val="center"/>
          </w:tcPr>
          <w:p>
            <w:pPr>
              <w:pStyle w:val="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hAnsi="宋体" w:cs="宋体"/>
                <w:szCs w:val="24"/>
              </w:rPr>
            </w:pPr>
          </w:p>
        </w:tc>
        <w:tc>
          <w:tcPr>
            <w:tcW w:w="2514" w:type="dxa"/>
            <w:vAlign w:val="center"/>
          </w:tcPr>
          <w:p>
            <w:pPr>
              <w:pStyle w:val="2"/>
              <w:spacing w:line="360" w:lineRule="auto"/>
              <w:ind w:firstLine="0"/>
              <w:jc w:val="center"/>
              <w:rPr>
                <w:rFonts w:ascii="宋体" w:hAnsi="宋体" w:cs="宋体"/>
                <w:szCs w:val="24"/>
              </w:rPr>
            </w:pPr>
          </w:p>
        </w:tc>
        <w:tc>
          <w:tcPr>
            <w:tcW w:w="2266" w:type="dxa"/>
            <w:vAlign w:val="center"/>
          </w:tcPr>
          <w:p>
            <w:pPr>
              <w:pStyle w:val="2"/>
              <w:spacing w:line="360" w:lineRule="auto"/>
              <w:ind w:firstLine="0"/>
              <w:jc w:val="center"/>
              <w:rPr>
                <w:rFonts w:ascii="宋体" w:hAnsi="宋体" w:cs="宋体"/>
                <w:szCs w:val="24"/>
              </w:rPr>
            </w:pPr>
          </w:p>
        </w:tc>
        <w:tc>
          <w:tcPr>
            <w:tcW w:w="2966" w:type="dxa"/>
            <w:vAlign w:val="center"/>
          </w:tcPr>
          <w:p>
            <w:pPr>
              <w:pStyle w:val="2"/>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32"/>
        <w:spacing w:before="0" w:after="0" w:line="360" w:lineRule="auto"/>
        <w:jc w:val="left"/>
        <w:outlineLvl w:val="1"/>
        <w:rPr>
          <w:rFonts w:ascii="宋体" w:hAnsi="宋体" w:cs="宋体"/>
          <w:lang w:val="zh-CN"/>
        </w:rPr>
      </w:pPr>
      <w:bookmarkStart w:id="131" w:name="_Toc28963"/>
      <w:r>
        <w:rPr>
          <w:rFonts w:hint="eastAsia" w:ascii="宋体" w:hAnsi="宋体" w:cs="宋体"/>
          <w:sz w:val="30"/>
          <w:szCs w:val="30"/>
          <w:lang w:val="zh-CN"/>
        </w:rPr>
        <w:br w:type="page"/>
      </w:r>
      <w:bookmarkStart w:id="132" w:name="_Toc23572"/>
      <w:bookmarkStart w:id="133" w:name="_Toc26451"/>
      <w:bookmarkStart w:id="134" w:name="_Toc17914"/>
      <w:r>
        <w:rPr>
          <w:rFonts w:hint="eastAsia" w:ascii="宋体" w:hAnsi="宋体" w:cs="宋体"/>
          <w:sz w:val="30"/>
          <w:szCs w:val="30"/>
        </w:rPr>
        <w:t>（12）</w:t>
      </w:r>
      <w:r>
        <w:rPr>
          <w:rFonts w:hint="eastAsia" w:ascii="宋体" w:hAnsi="宋体" w:cs="宋体"/>
          <w:sz w:val="30"/>
          <w:szCs w:val="30"/>
          <w:lang w:val="zh-CN"/>
        </w:rPr>
        <w:t>开标一览表（报价表）</w:t>
      </w:r>
      <w:bookmarkEnd w:id="132"/>
      <w:bookmarkEnd w:id="133"/>
      <w:bookmarkEnd w:id="134"/>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2"/>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2"/>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hAnsi="宋体" w:cs="宋体"/>
                <w:szCs w:val="24"/>
              </w:rPr>
            </w:pPr>
            <w:r>
              <w:rPr>
                <w:rFonts w:hint="eastAsia" w:ascii="宋体" w:hAnsi="宋体" w:cs="宋体"/>
                <w:szCs w:val="24"/>
              </w:rPr>
              <w:t>服务期限</w:t>
            </w:r>
          </w:p>
        </w:tc>
        <w:tc>
          <w:tcPr>
            <w:tcW w:w="5985" w:type="dxa"/>
            <w:vAlign w:val="center"/>
          </w:tcPr>
          <w:p>
            <w:pPr>
              <w:pStyle w:val="2"/>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hAnsi="宋体" w:cs="宋体"/>
                <w:szCs w:val="24"/>
              </w:rPr>
            </w:pPr>
            <w:r>
              <w:rPr>
                <w:rFonts w:hint="eastAsia" w:ascii="宋体" w:hAnsi="宋体" w:cs="宋体"/>
                <w:szCs w:val="24"/>
              </w:rPr>
              <w:t>服务地点</w:t>
            </w:r>
          </w:p>
        </w:tc>
        <w:tc>
          <w:tcPr>
            <w:tcW w:w="5985" w:type="dxa"/>
            <w:vAlign w:val="center"/>
          </w:tcPr>
          <w:p>
            <w:pPr>
              <w:pStyle w:val="2"/>
              <w:spacing w:line="360" w:lineRule="auto"/>
              <w:ind w:firstLine="0"/>
              <w:rPr>
                <w:rFonts w:ascii="宋体" w:hAnsi="宋体" w:cs="宋体"/>
                <w:szCs w:val="24"/>
              </w:rPr>
            </w:pPr>
          </w:p>
        </w:tc>
      </w:tr>
    </w:tbl>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2.“投标报价”为投标总价。投标报价必须包括：服务费、人员费、差旅费、结果装订费、招标代理费及不可预见费等全部费用。</w:t>
      </w:r>
    </w:p>
    <w:p>
      <w:pPr>
        <w:autoSpaceDE w:val="0"/>
        <w:autoSpaceDN w:val="0"/>
        <w:spacing w:line="360" w:lineRule="auto"/>
        <w:ind w:firstLine="480"/>
        <w:rPr>
          <w:rFonts w:ascii="宋体" w:hAnsi="宋体" w:cs="宋体"/>
          <w:kern w:val="0"/>
        </w:rPr>
      </w:pPr>
      <w:r>
        <w:rPr>
          <w:rFonts w:hint="eastAsia" w:ascii="宋体" w:hAnsi="宋体" w:cs="宋体"/>
          <w:kern w:val="0"/>
          <w:lang w:val="zh-CN"/>
        </w:rPr>
        <w:t>3.</w:t>
      </w:r>
      <w:r>
        <w:rPr>
          <w:rFonts w:hint="eastAsia" w:ascii="宋体" w:hAnsi="宋体" w:cs="宋体"/>
          <w:lang w:val="zh-CN"/>
        </w:rPr>
        <w:t>“服务时间”是指项目的服务期限（</w:t>
      </w:r>
      <w:r>
        <w:rPr>
          <w:rFonts w:hint="eastAsia" w:ascii="宋体" w:hAnsi="宋体" w:cs="宋体"/>
        </w:rPr>
        <w:t>日历日</w:t>
      </w:r>
      <w:r>
        <w:rPr>
          <w:rFonts w:hint="eastAsia" w:ascii="宋体" w:hAnsi="宋体" w:cs="宋体"/>
          <w:lang w:val="zh-CN"/>
        </w:rPr>
        <w:t>）。</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32"/>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135" w:name="_Toc6670"/>
      <w:bookmarkStart w:id="136" w:name="_Toc17047"/>
      <w:r>
        <w:rPr>
          <w:rFonts w:hint="eastAsia" w:ascii="宋体" w:hAnsi="宋体" w:cs="宋体"/>
          <w:sz w:val="30"/>
          <w:szCs w:val="30"/>
        </w:rPr>
        <w:t>（13）</w:t>
      </w:r>
      <w:r>
        <w:rPr>
          <w:rFonts w:hint="eastAsia" w:ascii="宋体" w:hAnsi="宋体" w:cs="宋体"/>
          <w:sz w:val="30"/>
          <w:szCs w:val="30"/>
          <w:lang w:val="zh-CN"/>
        </w:rPr>
        <w:t>分项报价表</w:t>
      </w:r>
      <w:bookmarkEnd w:id="131"/>
      <w:bookmarkEnd w:id="135"/>
      <w:bookmarkEnd w:id="136"/>
    </w:p>
    <w:p>
      <w:pPr>
        <w:adjustRightInd w:val="0"/>
        <w:snapToGrid w:val="0"/>
        <w:spacing w:line="480" w:lineRule="auto"/>
        <w:ind w:firstLine="723"/>
        <w:jc w:val="center"/>
        <w:rPr>
          <w:rFonts w:ascii="Arial" w:hAnsi="Arial" w:eastAsia="仿宋" w:cs="Arial"/>
          <w:b/>
          <w:sz w:val="36"/>
          <w:szCs w:val="36"/>
        </w:rPr>
      </w:pPr>
      <w:r>
        <w:rPr>
          <w:rFonts w:ascii="Arial" w:hAnsi="Arial" w:eastAsia="仿宋" w:cs="Arial"/>
          <w:b/>
          <w:sz w:val="36"/>
          <w:szCs w:val="36"/>
        </w:rPr>
        <w:t>分项报价表</w:t>
      </w:r>
    </w:p>
    <w:p>
      <w:pPr>
        <w:adjustRightInd w:val="0"/>
        <w:snapToGrid w:val="0"/>
        <w:spacing w:line="480" w:lineRule="auto"/>
        <w:jc w:val="left"/>
        <w:rPr>
          <w:rFonts w:ascii="宋体" w:hAnsi="宋体" w:cs="宋体"/>
          <w:bCs/>
          <w:lang w:val="zh-CN"/>
        </w:rPr>
      </w:pPr>
      <w:r>
        <w:rPr>
          <w:rFonts w:hint="eastAsia" w:ascii="宋体" w:hAnsi="宋体" w:cs="宋体"/>
          <w:bCs/>
          <w:lang w:val="zh-CN"/>
        </w:rPr>
        <w:t>投标人名称：                                       单位：人民币（元）</w:t>
      </w:r>
    </w:p>
    <w:tbl>
      <w:tblPr>
        <w:tblStyle w:val="34"/>
        <w:tblW w:w="983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46"/>
        <w:gridCol w:w="2001"/>
        <w:gridCol w:w="1509"/>
        <w:gridCol w:w="1359"/>
        <w:gridCol w:w="2587"/>
        <w:gridCol w:w="16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9" w:hRule="atLeast"/>
          <w:jc w:val="center"/>
        </w:trPr>
        <w:tc>
          <w:tcPr>
            <w:tcW w:w="746" w:type="dxa"/>
            <w:shd w:val="clear" w:color="000000" w:fill="FFFFFF"/>
            <w:vAlign w:val="center"/>
          </w:tcPr>
          <w:p>
            <w:pPr>
              <w:autoSpaceDE w:val="0"/>
              <w:autoSpaceDN w:val="0"/>
              <w:snapToGrid w:val="0"/>
              <w:spacing w:line="360" w:lineRule="auto"/>
              <w:jc w:val="left"/>
              <w:rPr>
                <w:rFonts w:ascii="宋体" w:hAnsi="宋体" w:cs="宋体"/>
                <w:lang w:val="zh-CN"/>
              </w:rPr>
            </w:pPr>
            <w:r>
              <w:rPr>
                <w:rFonts w:hint="eastAsia" w:ascii="宋体" w:hAnsi="宋体" w:cs="宋体"/>
                <w:lang w:val="zh-CN"/>
              </w:rPr>
              <w:t>序号</w:t>
            </w:r>
          </w:p>
        </w:tc>
        <w:tc>
          <w:tcPr>
            <w:tcW w:w="2001" w:type="dxa"/>
            <w:shd w:val="clear" w:color="000000" w:fill="FFFFFF"/>
            <w:vAlign w:val="center"/>
          </w:tcPr>
          <w:p>
            <w:pPr>
              <w:autoSpaceDE w:val="0"/>
              <w:autoSpaceDN w:val="0"/>
              <w:snapToGrid w:val="0"/>
              <w:spacing w:line="360" w:lineRule="auto"/>
              <w:ind w:firstLine="480"/>
              <w:jc w:val="left"/>
              <w:rPr>
                <w:rFonts w:ascii="宋体" w:hAnsi="宋体" w:cs="宋体"/>
                <w:lang w:val="zh-CN"/>
              </w:rPr>
            </w:pPr>
            <w:r>
              <w:rPr>
                <w:rFonts w:hint="eastAsia" w:ascii="宋体" w:hAnsi="宋体" w:cs="宋体"/>
                <w:lang w:val="zh-CN"/>
              </w:rPr>
              <w:t>服务项目</w:t>
            </w:r>
          </w:p>
        </w:tc>
        <w:tc>
          <w:tcPr>
            <w:tcW w:w="1509" w:type="dxa"/>
            <w:shd w:val="clear" w:color="000000" w:fill="FFFFFF"/>
            <w:vAlign w:val="center"/>
          </w:tcPr>
          <w:p>
            <w:pPr>
              <w:autoSpaceDE w:val="0"/>
              <w:autoSpaceDN w:val="0"/>
              <w:snapToGrid w:val="0"/>
              <w:spacing w:line="360" w:lineRule="auto"/>
              <w:ind w:firstLine="480"/>
              <w:jc w:val="left"/>
              <w:rPr>
                <w:rFonts w:ascii="宋体" w:hAnsi="宋体" w:cs="宋体"/>
                <w:lang w:val="zh-CN"/>
              </w:rPr>
            </w:pPr>
            <w:r>
              <w:rPr>
                <w:rFonts w:hint="eastAsia" w:ascii="宋体" w:hAnsi="宋体" w:cs="宋体"/>
                <w:lang w:val="zh-CN"/>
              </w:rPr>
              <w:t>单价</w:t>
            </w:r>
          </w:p>
        </w:tc>
        <w:tc>
          <w:tcPr>
            <w:tcW w:w="1359" w:type="dxa"/>
            <w:shd w:val="clear" w:color="000000" w:fill="FFFFFF"/>
            <w:vAlign w:val="center"/>
          </w:tcPr>
          <w:p>
            <w:pPr>
              <w:autoSpaceDE w:val="0"/>
              <w:autoSpaceDN w:val="0"/>
              <w:snapToGrid w:val="0"/>
              <w:spacing w:line="360" w:lineRule="auto"/>
              <w:ind w:firstLine="480"/>
              <w:jc w:val="left"/>
              <w:rPr>
                <w:rFonts w:ascii="宋体" w:hAnsi="宋体" w:cs="宋体"/>
                <w:lang w:val="zh-CN"/>
              </w:rPr>
            </w:pPr>
            <w:r>
              <w:rPr>
                <w:rFonts w:hint="eastAsia" w:ascii="宋体" w:hAnsi="宋体" w:cs="宋体"/>
                <w:lang w:val="zh-CN"/>
              </w:rPr>
              <w:t>备注</w:t>
            </w:r>
          </w:p>
        </w:tc>
        <w:tc>
          <w:tcPr>
            <w:tcW w:w="2587" w:type="dxa"/>
            <w:shd w:val="clear" w:color="000000" w:fill="FFFFFF"/>
            <w:vAlign w:val="center"/>
          </w:tcPr>
          <w:p>
            <w:pPr>
              <w:autoSpaceDE w:val="0"/>
              <w:autoSpaceDN w:val="0"/>
              <w:snapToGrid w:val="0"/>
              <w:spacing w:line="360" w:lineRule="auto"/>
              <w:ind w:firstLine="720" w:firstLineChars="300"/>
              <w:jc w:val="left"/>
              <w:rPr>
                <w:rFonts w:ascii="宋体" w:hAnsi="宋体" w:cs="宋体"/>
                <w:lang w:val="zh-CN"/>
              </w:rPr>
            </w:pPr>
            <w:r>
              <w:rPr>
                <w:rFonts w:hint="eastAsia" w:ascii="宋体" w:hAnsi="宋体" w:cs="宋体"/>
                <w:lang w:val="zh-CN"/>
              </w:rPr>
              <w:t>服务标准</w:t>
            </w:r>
          </w:p>
        </w:tc>
        <w:tc>
          <w:tcPr>
            <w:tcW w:w="1635" w:type="dxa"/>
            <w:shd w:val="clear" w:color="000000" w:fill="FFFFFF"/>
            <w:vAlign w:val="center"/>
          </w:tcPr>
          <w:p>
            <w:pPr>
              <w:autoSpaceDE w:val="0"/>
              <w:autoSpaceDN w:val="0"/>
              <w:snapToGrid w:val="0"/>
              <w:spacing w:line="360" w:lineRule="auto"/>
              <w:ind w:firstLine="240" w:firstLineChars="100"/>
              <w:jc w:val="left"/>
              <w:rPr>
                <w:rFonts w:ascii="宋体" w:hAnsi="宋体" w:cs="宋体"/>
                <w:lang w:val="zh-CN"/>
              </w:rPr>
            </w:pPr>
            <w:r>
              <w:rPr>
                <w:rFonts w:hint="eastAsia" w:ascii="宋体" w:hAnsi="宋体" w:cs="宋体"/>
                <w:lang w:val="zh-CN"/>
              </w:rPr>
              <w:t>服务期限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9" w:hRule="atLeast"/>
          <w:jc w:val="center"/>
        </w:trPr>
        <w:tc>
          <w:tcPr>
            <w:tcW w:w="746" w:type="dxa"/>
            <w:shd w:val="clear" w:color="000000" w:fill="FFFFFF"/>
            <w:vAlign w:val="center"/>
          </w:tcPr>
          <w:p>
            <w:pPr>
              <w:autoSpaceDE w:val="0"/>
              <w:autoSpaceDN w:val="0"/>
              <w:snapToGrid w:val="0"/>
              <w:spacing w:line="360" w:lineRule="auto"/>
              <w:jc w:val="center"/>
              <w:rPr>
                <w:rFonts w:ascii="宋体" w:hAnsi="宋体" w:cs="宋体"/>
              </w:rPr>
            </w:pPr>
            <w:r>
              <w:rPr>
                <w:rFonts w:hint="eastAsia" w:ascii="宋体" w:hAnsi="宋体" w:cs="宋体"/>
              </w:rPr>
              <w:t>1</w:t>
            </w:r>
          </w:p>
        </w:tc>
        <w:tc>
          <w:tcPr>
            <w:tcW w:w="2001" w:type="dxa"/>
            <w:shd w:val="clear" w:color="000000" w:fill="FFFFFF"/>
          </w:tcPr>
          <w:p>
            <w:pPr>
              <w:autoSpaceDE w:val="0"/>
              <w:autoSpaceDN w:val="0"/>
              <w:snapToGrid w:val="0"/>
              <w:spacing w:line="360" w:lineRule="auto"/>
              <w:ind w:firstLine="480"/>
              <w:rPr>
                <w:rFonts w:ascii="宋体" w:hAnsi="宋体" w:cs="宋体"/>
                <w:lang w:val="zh-CN"/>
              </w:rPr>
            </w:pPr>
          </w:p>
        </w:tc>
        <w:tc>
          <w:tcPr>
            <w:tcW w:w="150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35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2587"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635" w:type="dxa"/>
            <w:shd w:val="clear" w:color="000000" w:fill="FFFFFF"/>
          </w:tcPr>
          <w:p>
            <w:pPr>
              <w:autoSpaceDE w:val="0"/>
              <w:autoSpaceDN w:val="0"/>
              <w:snapToGrid w:val="0"/>
              <w:spacing w:line="360" w:lineRule="auto"/>
              <w:ind w:firstLine="480"/>
              <w:jc w:val="center"/>
              <w:rPr>
                <w:rFonts w:ascii="宋体" w:hAnsi="宋体" w:cs="宋体"/>
                <w:lang w:val="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9" w:hRule="atLeast"/>
          <w:jc w:val="center"/>
        </w:trPr>
        <w:tc>
          <w:tcPr>
            <w:tcW w:w="746" w:type="dxa"/>
            <w:shd w:val="clear" w:color="000000" w:fill="FFFFFF"/>
            <w:vAlign w:val="center"/>
          </w:tcPr>
          <w:p>
            <w:pPr>
              <w:autoSpaceDE w:val="0"/>
              <w:autoSpaceDN w:val="0"/>
              <w:snapToGrid w:val="0"/>
              <w:spacing w:line="360" w:lineRule="auto"/>
              <w:jc w:val="center"/>
              <w:rPr>
                <w:rFonts w:ascii="宋体" w:hAnsi="宋体" w:cs="宋体"/>
              </w:rPr>
            </w:pPr>
            <w:r>
              <w:rPr>
                <w:rFonts w:hint="eastAsia" w:ascii="宋体" w:hAnsi="宋体" w:cs="宋体"/>
              </w:rPr>
              <w:t>1.1</w:t>
            </w:r>
          </w:p>
        </w:tc>
        <w:tc>
          <w:tcPr>
            <w:tcW w:w="2001"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50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35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2587"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635" w:type="dxa"/>
            <w:shd w:val="clear" w:color="000000" w:fill="FFFFFF"/>
          </w:tcPr>
          <w:p>
            <w:pPr>
              <w:autoSpaceDE w:val="0"/>
              <w:autoSpaceDN w:val="0"/>
              <w:snapToGrid w:val="0"/>
              <w:spacing w:line="360" w:lineRule="auto"/>
              <w:ind w:firstLine="480"/>
              <w:jc w:val="center"/>
              <w:rPr>
                <w:rFonts w:ascii="宋体" w:hAnsi="宋体" w:cs="宋体"/>
                <w:lang w:val="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9" w:hRule="atLeast"/>
          <w:jc w:val="center"/>
        </w:trPr>
        <w:tc>
          <w:tcPr>
            <w:tcW w:w="746" w:type="dxa"/>
            <w:shd w:val="clear" w:color="000000" w:fill="FFFFFF"/>
            <w:vAlign w:val="center"/>
          </w:tcPr>
          <w:p>
            <w:pPr>
              <w:autoSpaceDE w:val="0"/>
              <w:autoSpaceDN w:val="0"/>
              <w:snapToGrid w:val="0"/>
              <w:spacing w:line="360" w:lineRule="auto"/>
              <w:jc w:val="center"/>
              <w:rPr>
                <w:rFonts w:ascii="宋体" w:hAnsi="宋体" w:cs="宋体"/>
              </w:rPr>
            </w:pPr>
            <w:r>
              <w:rPr>
                <w:rFonts w:hint="eastAsia" w:ascii="宋体" w:hAnsi="宋体" w:cs="宋体"/>
              </w:rPr>
              <w:t>1.2</w:t>
            </w:r>
          </w:p>
        </w:tc>
        <w:tc>
          <w:tcPr>
            <w:tcW w:w="2001"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50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35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2587"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635" w:type="dxa"/>
            <w:shd w:val="clear" w:color="000000" w:fill="FFFFFF"/>
          </w:tcPr>
          <w:p>
            <w:pPr>
              <w:autoSpaceDE w:val="0"/>
              <w:autoSpaceDN w:val="0"/>
              <w:snapToGrid w:val="0"/>
              <w:spacing w:line="360" w:lineRule="auto"/>
              <w:ind w:firstLine="480"/>
              <w:jc w:val="center"/>
              <w:rPr>
                <w:rFonts w:ascii="宋体" w:hAnsi="宋体" w:cs="宋体"/>
                <w:lang w:val="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9" w:hRule="atLeast"/>
          <w:jc w:val="center"/>
        </w:trPr>
        <w:tc>
          <w:tcPr>
            <w:tcW w:w="746" w:type="dxa"/>
            <w:shd w:val="clear" w:color="000000" w:fill="FFFFFF"/>
            <w:vAlign w:val="center"/>
          </w:tcPr>
          <w:p>
            <w:pPr>
              <w:autoSpaceDE w:val="0"/>
              <w:autoSpaceDN w:val="0"/>
              <w:snapToGrid w:val="0"/>
              <w:spacing w:line="360" w:lineRule="auto"/>
              <w:jc w:val="center"/>
              <w:rPr>
                <w:rFonts w:ascii="宋体" w:hAnsi="宋体" w:cs="宋体"/>
              </w:rPr>
            </w:pPr>
            <w:r>
              <w:rPr>
                <w:rFonts w:hint="eastAsia" w:ascii="宋体" w:hAnsi="宋体" w:cs="宋体"/>
              </w:rPr>
              <w:t>1.3</w:t>
            </w:r>
          </w:p>
        </w:tc>
        <w:tc>
          <w:tcPr>
            <w:tcW w:w="2001"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50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35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2587"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635" w:type="dxa"/>
            <w:shd w:val="clear" w:color="000000" w:fill="FFFFFF"/>
          </w:tcPr>
          <w:p>
            <w:pPr>
              <w:autoSpaceDE w:val="0"/>
              <w:autoSpaceDN w:val="0"/>
              <w:snapToGrid w:val="0"/>
              <w:spacing w:line="360" w:lineRule="auto"/>
              <w:ind w:firstLine="480"/>
              <w:jc w:val="center"/>
              <w:rPr>
                <w:rFonts w:ascii="宋体" w:hAnsi="宋体" w:cs="宋体"/>
                <w:lang w:val="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9" w:hRule="atLeast"/>
          <w:jc w:val="center"/>
        </w:trPr>
        <w:tc>
          <w:tcPr>
            <w:tcW w:w="746" w:type="dxa"/>
            <w:shd w:val="clear" w:color="000000" w:fill="FFFFFF"/>
            <w:vAlign w:val="center"/>
          </w:tcPr>
          <w:p>
            <w:pPr>
              <w:autoSpaceDE w:val="0"/>
              <w:autoSpaceDN w:val="0"/>
              <w:snapToGrid w:val="0"/>
              <w:spacing w:line="360" w:lineRule="auto"/>
              <w:jc w:val="center"/>
              <w:rPr>
                <w:rFonts w:ascii="宋体" w:hAnsi="宋体" w:cs="宋体"/>
              </w:rPr>
            </w:pPr>
            <w:r>
              <w:rPr>
                <w:rFonts w:hint="eastAsia" w:ascii="宋体" w:hAnsi="宋体" w:cs="宋体"/>
              </w:rPr>
              <w:t>...</w:t>
            </w:r>
          </w:p>
        </w:tc>
        <w:tc>
          <w:tcPr>
            <w:tcW w:w="2001"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50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359"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2587" w:type="dxa"/>
            <w:shd w:val="clear" w:color="000000" w:fill="FFFFFF"/>
            <w:vAlign w:val="center"/>
          </w:tcPr>
          <w:p>
            <w:pPr>
              <w:autoSpaceDE w:val="0"/>
              <w:autoSpaceDN w:val="0"/>
              <w:snapToGrid w:val="0"/>
              <w:spacing w:line="360" w:lineRule="auto"/>
              <w:ind w:firstLine="480"/>
              <w:jc w:val="center"/>
              <w:rPr>
                <w:rFonts w:ascii="宋体" w:hAnsi="宋体" w:cs="宋体"/>
                <w:lang w:val="zh-CN"/>
              </w:rPr>
            </w:pPr>
          </w:p>
        </w:tc>
        <w:tc>
          <w:tcPr>
            <w:tcW w:w="1635" w:type="dxa"/>
            <w:shd w:val="clear" w:color="000000" w:fill="FFFFFF"/>
          </w:tcPr>
          <w:p>
            <w:pPr>
              <w:autoSpaceDE w:val="0"/>
              <w:autoSpaceDN w:val="0"/>
              <w:snapToGrid w:val="0"/>
              <w:spacing w:line="360" w:lineRule="auto"/>
              <w:ind w:firstLine="480"/>
              <w:jc w:val="center"/>
              <w:rPr>
                <w:rFonts w:ascii="宋体" w:hAnsi="宋体" w:cs="宋体"/>
                <w:lang w:val="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32" w:hRule="atLeast"/>
          <w:jc w:val="center"/>
        </w:trPr>
        <w:tc>
          <w:tcPr>
            <w:tcW w:w="8202" w:type="dxa"/>
            <w:gridSpan w:val="5"/>
            <w:shd w:val="clear" w:color="000000" w:fill="FFFFFF"/>
            <w:vAlign w:val="center"/>
          </w:tcPr>
          <w:p>
            <w:pPr>
              <w:autoSpaceDE w:val="0"/>
              <w:autoSpaceDN w:val="0"/>
              <w:snapToGrid w:val="0"/>
              <w:spacing w:line="360" w:lineRule="auto"/>
              <w:ind w:firstLine="480"/>
              <w:jc w:val="left"/>
              <w:rPr>
                <w:rFonts w:ascii="宋体" w:hAnsi="宋体" w:cs="宋体"/>
                <w:lang w:val="zh-CN"/>
              </w:rPr>
            </w:pPr>
            <w:r>
              <w:rPr>
                <w:rFonts w:hint="eastAsia" w:ascii="宋体" w:hAnsi="宋体" w:cs="宋体"/>
                <w:lang w:val="zh-CN"/>
              </w:rPr>
              <w:t>服务承诺：</w:t>
            </w:r>
          </w:p>
        </w:tc>
        <w:tc>
          <w:tcPr>
            <w:tcW w:w="1635" w:type="dxa"/>
            <w:shd w:val="clear" w:color="000000" w:fill="FFFFFF"/>
          </w:tcPr>
          <w:p>
            <w:pPr>
              <w:autoSpaceDE w:val="0"/>
              <w:autoSpaceDN w:val="0"/>
              <w:snapToGrid w:val="0"/>
              <w:spacing w:line="360" w:lineRule="auto"/>
              <w:ind w:firstLine="480"/>
              <w:jc w:val="left"/>
              <w:rPr>
                <w:rFonts w:ascii="宋体" w:hAnsi="宋体" w:cs="宋体"/>
                <w:lang w:val="zh-CN"/>
              </w:rPr>
            </w:pPr>
          </w:p>
        </w:tc>
      </w:tr>
    </w:tbl>
    <w:p>
      <w:pPr>
        <w:autoSpaceDE w:val="0"/>
        <w:autoSpaceDN w:val="0"/>
        <w:snapToGrid w:val="0"/>
        <w:spacing w:line="360" w:lineRule="auto"/>
        <w:rPr>
          <w:rFonts w:ascii="宋体" w:hAnsi="宋体" w:cs="宋体"/>
          <w:lang w:val="zh-CN"/>
        </w:rPr>
      </w:pPr>
    </w:p>
    <w:p>
      <w:pPr>
        <w:autoSpaceDE w:val="0"/>
        <w:autoSpaceDN w:val="0"/>
        <w:snapToGrid w:val="0"/>
        <w:spacing w:line="360" w:lineRule="auto"/>
        <w:rPr>
          <w:rFonts w:ascii="宋体" w:hAnsi="宋体" w:cs="宋体"/>
          <w:lang w:val="zh-CN"/>
        </w:rPr>
      </w:pPr>
      <w:r>
        <w:rPr>
          <w:rFonts w:hint="eastAsia" w:ascii="宋体" w:hAnsi="宋体" w:cs="宋体"/>
          <w:lang w:val="zh-CN"/>
        </w:rPr>
        <w:t>注：1、本表应依照本项目要求的服务类别逐项填写，不得遗漏。</w:t>
      </w:r>
    </w:p>
    <w:p>
      <w:pPr>
        <w:autoSpaceDE w:val="0"/>
        <w:autoSpaceDN w:val="0"/>
        <w:snapToGrid w:val="0"/>
        <w:spacing w:line="360" w:lineRule="auto"/>
        <w:ind w:firstLine="480"/>
        <w:rPr>
          <w:rFonts w:ascii="宋体" w:hAnsi="宋体" w:cs="宋体"/>
          <w:lang w:val="zh-CN"/>
        </w:rPr>
      </w:pPr>
      <w:r>
        <w:rPr>
          <w:rFonts w:hint="eastAsia" w:ascii="宋体" w:hAnsi="宋体" w:cs="宋体"/>
          <w:lang w:val="zh-CN"/>
        </w:rPr>
        <w:t>2、服务项目可根据项目特色和实际需求增加。</w:t>
      </w:r>
    </w:p>
    <w:p>
      <w:pPr>
        <w:autoSpaceDE w:val="0"/>
        <w:autoSpaceDN w:val="0"/>
        <w:snapToGrid w:val="0"/>
        <w:spacing w:line="360" w:lineRule="auto"/>
        <w:ind w:firstLine="480"/>
        <w:rPr>
          <w:rFonts w:ascii="Arial" w:hAnsi="Arial" w:eastAsia="仿宋" w:cs="Arial"/>
          <w:lang w:val="zh-CN"/>
        </w:rPr>
      </w:pPr>
    </w:p>
    <w:p>
      <w:pPr>
        <w:autoSpaceDE w:val="0"/>
        <w:autoSpaceDN w:val="0"/>
        <w:adjustRightInd w:val="0"/>
        <w:snapToGrid w:val="0"/>
        <w:spacing w:line="480" w:lineRule="auto"/>
        <w:ind w:firstLine="480"/>
        <w:rPr>
          <w:rFonts w:ascii="Arial" w:hAnsi="Arial" w:eastAsia="仿宋" w:cs="Arial"/>
          <w:color w:val="000000"/>
          <w:lang w:val="zh-CN"/>
        </w:rPr>
      </w:pPr>
    </w:p>
    <w:p>
      <w:pPr>
        <w:autoSpaceDE w:val="0"/>
        <w:autoSpaceDN w:val="0"/>
        <w:adjustRightInd w:val="0"/>
        <w:snapToGrid w:val="0"/>
        <w:spacing w:line="480" w:lineRule="auto"/>
        <w:ind w:firstLine="480"/>
        <w:rPr>
          <w:rFonts w:ascii="Arial" w:hAnsi="Arial" w:eastAsia="仿宋" w:cs="Arial"/>
          <w:color w:val="000000"/>
          <w:lang w:val="zh-CN"/>
        </w:rPr>
      </w:pPr>
    </w:p>
    <w:p>
      <w:pPr>
        <w:autoSpaceDE w:val="0"/>
        <w:autoSpaceDN w:val="0"/>
        <w:adjustRightInd w:val="0"/>
        <w:snapToGrid w:val="0"/>
        <w:spacing w:line="480" w:lineRule="auto"/>
        <w:ind w:firstLine="480"/>
        <w:rPr>
          <w:rFonts w:ascii="Arial" w:hAnsi="Arial" w:eastAsia="仿宋" w:cs="Arial"/>
          <w:color w:val="000000"/>
          <w:lang w:val="zh-CN"/>
        </w:rPr>
      </w:pPr>
    </w:p>
    <w:p>
      <w:pPr>
        <w:autoSpaceDE w:val="0"/>
        <w:autoSpaceDN w:val="0"/>
        <w:adjustRightInd w:val="0"/>
        <w:snapToGrid w:val="0"/>
        <w:spacing w:line="480" w:lineRule="auto"/>
        <w:ind w:firstLine="480"/>
        <w:jc w:val="right"/>
        <w:rPr>
          <w:rFonts w:ascii="Arial" w:hAnsi="Arial" w:eastAsia="仿宋" w:cs="Arial"/>
          <w:color w:val="000000"/>
          <w:lang w:val="zh-CN"/>
        </w:rPr>
      </w:pPr>
    </w:p>
    <w:p>
      <w:pPr>
        <w:autoSpaceDE w:val="0"/>
        <w:autoSpaceDN w:val="0"/>
        <w:adjustRightInd w:val="0"/>
        <w:snapToGrid w:val="0"/>
        <w:spacing w:line="480" w:lineRule="auto"/>
        <w:ind w:firstLine="482"/>
        <w:jc w:val="right"/>
        <w:rPr>
          <w:rFonts w:ascii="Arial" w:hAnsi="Arial" w:eastAsia="仿宋" w:cs="Arial"/>
          <w:b/>
          <w:bCs/>
          <w:color w:val="000000"/>
          <w:lang w:val="zh-CN"/>
        </w:rPr>
      </w:pPr>
      <w:r>
        <w:rPr>
          <w:rFonts w:ascii="Arial" w:hAnsi="Arial" w:eastAsia="仿宋" w:cs="Arial"/>
          <w:b/>
          <w:bCs/>
          <w:color w:val="000000"/>
          <w:lang w:val="zh-CN"/>
        </w:rPr>
        <w:t xml:space="preserve">投标人：           </w:t>
      </w:r>
      <w:r>
        <w:rPr>
          <w:rFonts w:ascii="Arial" w:hAnsi="Arial" w:eastAsia="仿宋" w:cs="Arial"/>
          <w:b/>
          <w:bCs/>
          <w:color w:val="000000"/>
        </w:rPr>
        <w:t xml:space="preserve">           </w:t>
      </w:r>
      <w:r>
        <w:rPr>
          <w:rFonts w:ascii="Arial" w:hAnsi="Arial" w:eastAsia="仿宋" w:cs="Arial"/>
          <w:b/>
          <w:bCs/>
          <w:color w:val="000000"/>
          <w:lang w:val="zh-CN"/>
        </w:rPr>
        <w:t xml:space="preserve">  （公章）</w:t>
      </w:r>
    </w:p>
    <w:p>
      <w:pPr>
        <w:autoSpaceDE w:val="0"/>
        <w:autoSpaceDN w:val="0"/>
        <w:adjustRightInd w:val="0"/>
        <w:snapToGrid w:val="0"/>
        <w:spacing w:line="480" w:lineRule="auto"/>
        <w:ind w:firstLine="482"/>
        <w:jc w:val="right"/>
        <w:rPr>
          <w:rFonts w:ascii="Arial" w:hAnsi="Arial" w:eastAsia="仿宋" w:cs="Arial"/>
          <w:b/>
          <w:bCs/>
          <w:color w:val="000000"/>
          <w:lang w:val="zh-CN"/>
        </w:rPr>
      </w:pPr>
      <w:r>
        <w:rPr>
          <w:rFonts w:ascii="Arial" w:hAnsi="Arial" w:eastAsia="仿宋" w:cs="Arial"/>
          <w:b/>
          <w:bCs/>
          <w:color w:val="000000"/>
          <w:lang w:val="zh-CN"/>
        </w:rPr>
        <w:t>法定代表人或委托代理人：        （签字）</w:t>
      </w:r>
    </w:p>
    <w:p>
      <w:pPr>
        <w:adjustRightInd w:val="0"/>
        <w:snapToGrid w:val="0"/>
        <w:spacing w:line="480" w:lineRule="auto"/>
        <w:ind w:firstLine="482"/>
        <w:jc w:val="right"/>
        <w:rPr>
          <w:rFonts w:ascii="Arial" w:hAnsi="Arial" w:eastAsia="仿宋" w:cs="Arial"/>
          <w:b/>
          <w:bCs/>
          <w:color w:val="000000"/>
          <w:lang w:val="zh-CN"/>
        </w:rPr>
      </w:pPr>
      <w:r>
        <w:rPr>
          <w:rFonts w:ascii="Arial" w:hAnsi="Arial" w:eastAsia="仿宋" w:cs="Arial"/>
          <w:b/>
          <w:bCs/>
          <w:color w:val="000000"/>
          <w:lang w:val="zh-CN"/>
        </w:rPr>
        <w:t xml:space="preserve">年 </w:t>
      </w:r>
      <w:r>
        <w:rPr>
          <w:rFonts w:ascii="Arial" w:hAnsi="Arial" w:eastAsia="仿宋" w:cs="Arial"/>
          <w:b/>
          <w:bCs/>
          <w:color w:val="000000"/>
        </w:rPr>
        <w:t xml:space="preserve"> </w:t>
      </w:r>
      <w:r>
        <w:rPr>
          <w:rFonts w:ascii="Arial" w:hAnsi="Arial" w:eastAsia="仿宋" w:cs="Arial"/>
          <w:b/>
          <w:bCs/>
          <w:color w:val="000000"/>
          <w:lang w:val="zh-CN"/>
        </w:rPr>
        <w:t xml:space="preserve">  月  </w:t>
      </w:r>
      <w:r>
        <w:rPr>
          <w:rFonts w:ascii="Arial" w:hAnsi="Arial" w:eastAsia="仿宋" w:cs="Arial"/>
          <w:b/>
          <w:bCs/>
          <w:color w:val="000000"/>
        </w:rPr>
        <w:t xml:space="preserve"> </w:t>
      </w:r>
      <w:r>
        <w:rPr>
          <w:rFonts w:ascii="Arial" w:hAnsi="Arial" w:eastAsia="仿宋" w:cs="Arial"/>
          <w:b/>
          <w:bCs/>
          <w:color w:val="000000"/>
          <w:lang w:val="zh-CN"/>
        </w:rPr>
        <w:t xml:space="preserve"> 日</w:t>
      </w:r>
    </w:p>
    <w:p>
      <w:pPr>
        <w:rPr>
          <w:rFonts w:ascii="宋体" w:hAnsi="宋体" w:cs="宋体"/>
          <w:b/>
          <w:bCs/>
          <w:kern w:val="0"/>
          <w:lang w:val="zh-CN"/>
        </w:rPr>
      </w:pPr>
    </w:p>
    <w:p>
      <w:pPr>
        <w:autoSpaceDE w:val="0"/>
        <w:autoSpaceDN w:val="0"/>
        <w:spacing w:line="360" w:lineRule="auto"/>
        <w:rPr>
          <w:rFonts w:ascii="宋体" w:hAnsi="宋体" w:cs="宋体"/>
          <w:b/>
          <w:bCs/>
          <w:kern w:val="0"/>
          <w:lang w:val="zh-CN"/>
        </w:rPr>
      </w:pPr>
    </w:p>
    <w:p>
      <w:pPr>
        <w:autoSpaceDE w:val="0"/>
        <w:autoSpaceDN w:val="0"/>
        <w:spacing w:line="360" w:lineRule="auto"/>
        <w:rPr>
          <w:rFonts w:ascii="宋体" w:hAnsi="宋体" w:cs="宋体"/>
          <w:color w:val="000000"/>
          <w:sz w:val="32"/>
          <w:lang w:val="zh-CN"/>
        </w:rPr>
      </w:pPr>
      <w:bookmarkStart w:id="137" w:name="_Toc14290"/>
    </w:p>
    <w:p>
      <w:pPr>
        <w:pStyle w:val="4"/>
      </w:pPr>
      <w:r>
        <w:rPr>
          <w:rFonts w:hint="eastAsia" w:ascii="宋体" w:hAnsi="宋体" w:cs="宋体"/>
        </w:rPr>
        <w:br w:type="page"/>
      </w:r>
      <w:bookmarkStart w:id="138" w:name="_Toc5583"/>
      <w:bookmarkStart w:id="139" w:name="_Toc28711"/>
      <w:bookmarkStart w:id="140" w:name="_Toc14795"/>
      <w:bookmarkStart w:id="141" w:name="_Toc13623"/>
      <w:r>
        <w:rPr>
          <w:rFonts w:hint="eastAsia"/>
        </w:rPr>
        <w:t>（</w:t>
      </w:r>
      <w:r>
        <w:rPr>
          <w:rFonts w:hint="eastAsia"/>
          <w:lang w:val="en-US"/>
        </w:rPr>
        <w:t>14</w:t>
      </w:r>
      <w:r>
        <w:rPr>
          <w:rFonts w:hint="eastAsia"/>
        </w:rPr>
        <w:t>）技术服务方案</w:t>
      </w:r>
      <w:bookmarkEnd w:id="138"/>
      <w:bookmarkEnd w:id="139"/>
      <w:bookmarkEnd w:id="140"/>
    </w:p>
    <w:p>
      <w:pPr>
        <w:autoSpaceDE w:val="0"/>
        <w:autoSpaceDN w:val="0"/>
        <w:adjustRightInd w:val="0"/>
        <w:jc w:val="left"/>
        <w:rPr>
          <w:rFonts w:ascii="宋体"/>
          <w:b/>
          <w:sz w:val="28"/>
          <w:szCs w:val="28"/>
        </w:rPr>
      </w:pPr>
    </w:p>
    <w:p>
      <w:pPr>
        <w:numPr>
          <w:ilvl w:val="0"/>
          <w:numId w:val="9"/>
        </w:numPr>
        <w:spacing w:line="360" w:lineRule="auto"/>
        <w:ind w:firstLine="720" w:firstLineChars="300"/>
        <w:rPr>
          <w:rFonts w:ascii="宋体" w:hAnsi="宋体"/>
          <w:lang w:val="zh-CN"/>
        </w:rPr>
      </w:pPr>
      <w:r>
        <w:rPr>
          <w:rFonts w:hint="eastAsia" w:ascii="宋体" w:hAnsi="宋体"/>
          <w:lang w:val="zh-CN"/>
        </w:rPr>
        <w:t>根据采购项目内容，投标时提供详细的</w:t>
      </w:r>
      <w:r>
        <w:rPr>
          <w:rFonts w:hint="eastAsia" w:ascii="宋体" w:hAnsi="宋体"/>
        </w:rPr>
        <w:t>服务</w:t>
      </w:r>
      <w:r>
        <w:rPr>
          <w:rFonts w:hint="eastAsia" w:ascii="宋体" w:hAnsi="宋体"/>
          <w:lang w:val="zh-CN"/>
        </w:rPr>
        <w:t>方案。</w:t>
      </w:r>
    </w:p>
    <w:p>
      <w:pPr>
        <w:spacing w:line="360" w:lineRule="auto"/>
        <w:ind w:firstLine="720" w:firstLineChars="300"/>
        <w:rPr>
          <w:rFonts w:ascii="宋体" w:hAnsi="宋体"/>
        </w:rPr>
      </w:pPr>
      <w:r>
        <w:rPr>
          <w:rFonts w:hint="eastAsia" w:ascii="宋体" w:hAnsi="宋体"/>
        </w:rPr>
        <w:t>2、其他服务承诺。</w:t>
      </w:r>
    </w:p>
    <w:p>
      <w:pPr>
        <w:pStyle w:val="32"/>
        <w:spacing w:before="0" w:after="0" w:line="360" w:lineRule="auto"/>
        <w:jc w:val="left"/>
        <w:outlineLvl w:val="1"/>
        <w:rPr>
          <w:rFonts w:ascii="宋体" w:hAnsi="宋体" w:cs="宋体"/>
        </w:rPr>
      </w:pPr>
      <w:r>
        <w:rPr>
          <w:rFonts w:hint="eastAsia" w:ascii="宋体" w:hAnsi="宋体" w:cs="宋体"/>
          <w:lang w:val="zh-CN"/>
        </w:rPr>
        <w:br w:type="page"/>
      </w:r>
      <w:bookmarkStart w:id="142" w:name="_Toc8741"/>
      <w:r>
        <w:rPr>
          <w:rFonts w:hint="eastAsia" w:ascii="宋体" w:hAnsi="宋体" w:cs="宋体"/>
          <w:sz w:val="30"/>
          <w:szCs w:val="30"/>
        </w:rPr>
        <w:t>（15）</w:t>
      </w:r>
      <w:r>
        <w:rPr>
          <w:rFonts w:hint="eastAsia" w:ascii="宋体" w:hAnsi="宋体" w:cs="宋体"/>
          <w:sz w:val="30"/>
          <w:szCs w:val="30"/>
          <w:lang w:val="zh-CN"/>
        </w:rPr>
        <w:t>投标人的类似业绩证明材料</w:t>
      </w:r>
      <w:bookmarkEnd w:id="137"/>
      <w:bookmarkEnd w:id="141"/>
      <w:bookmarkEnd w:id="14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w:t>
      </w:r>
      <w:r>
        <w:rPr>
          <w:rFonts w:hint="eastAsia" w:ascii="宋体" w:hAnsi="宋体" w:cs="宋体"/>
          <w:kern w:val="0"/>
          <w:lang w:val="en-US" w:eastAsia="zh-CN"/>
        </w:rPr>
        <w:t>近三年</w:t>
      </w:r>
      <w:r>
        <w:rPr>
          <w:rFonts w:hint="eastAsia" w:ascii="宋体" w:hAnsi="宋体" w:cs="宋体"/>
          <w:kern w:val="0"/>
          <w:lang w:val="zh-CN"/>
        </w:rPr>
        <w:t>类似项目业绩（</w:t>
      </w:r>
      <w:r>
        <w:rPr>
          <w:rFonts w:hint="eastAsia" w:ascii="宋体" w:hAnsi="宋体" w:eastAsia="宋体" w:cs="宋体"/>
          <w:shd w:val="clear" w:color="auto" w:fill="FFFFFF"/>
          <w:lang w:val="zh-CN"/>
        </w:rPr>
        <w:t>以合同协议书或中标通知书为依据）。</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Start w:id="143" w:name="_Toc12833"/>
      <w:bookmarkStart w:id="144" w:name="_Toc21669"/>
      <w:bookmarkStart w:id="145" w:name="_Toc10010"/>
      <w:r>
        <w:rPr>
          <w:rFonts w:hint="eastAsia" w:ascii="宋体" w:hAnsi="宋体" w:cs="宋体"/>
          <w:sz w:val="30"/>
          <w:szCs w:val="30"/>
        </w:rPr>
        <w:t>（16.1）</w:t>
      </w:r>
      <w:r>
        <w:rPr>
          <w:rFonts w:hint="eastAsia" w:ascii="宋体" w:hAnsi="宋体" w:cs="宋体"/>
          <w:sz w:val="30"/>
          <w:szCs w:val="30"/>
          <w:lang w:val="zh-CN"/>
        </w:rPr>
        <w:t>制造（生产）企业小型、微型企业声明函</w:t>
      </w:r>
      <w:bookmarkEnd w:id="143"/>
      <w:bookmarkEnd w:id="144"/>
      <w:bookmarkEnd w:id="14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致：甘肃东方工程咨询有限公司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36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spacing w:line="360" w:lineRule="auto"/>
        <w:rPr>
          <w:rFonts w:ascii="宋体" w:hAnsi="宋体" w:cs="宋体"/>
        </w:rPr>
      </w:pPr>
      <w:r>
        <w:rPr>
          <w:rFonts w:hint="eastAsia" w:ascii="宋体" w:hAnsi="宋体" w:cs="宋体"/>
        </w:rPr>
        <w:t>注：若无此项内容，可不提供此函。</w:t>
      </w:r>
    </w:p>
    <w:p>
      <w:pPr>
        <w:pStyle w:val="32"/>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146" w:name="_Toc4333"/>
      <w:bookmarkStart w:id="147" w:name="_Toc14895"/>
      <w:r>
        <w:rPr>
          <w:rFonts w:hint="eastAsia" w:ascii="宋体" w:hAnsi="宋体" w:cs="宋体"/>
          <w:sz w:val="30"/>
          <w:szCs w:val="30"/>
        </w:rPr>
        <w:t>（16.2）</w:t>
      </w:r>
      <w:r>
        <w:rPr>
          <w:rFonts w:hint="eastAsia" w:ascii="宋体" w:hAnsi="宋体" w:cs="宋体"/>
          <w:sz w:val="30"/>
          <w:szCs w:val="30"/>
          <w:lang w:val="zh-CN"/>
        </w:rPr>
        <w:t>从业人员声明函</w:t>
      </w:r>
      <w:bookmarkEnd w:id="146"/>
      <w:bookmarkEnd w:id="147"/>
    </w:p>
    <w:p>
      <w:pPr>
        <w:adjustRightInd w:val="0"/>
        <w:snapToGrid w:val="0"/>
        <w:spacing w:line="440" w:lineRule="exact"/>
        <w:ind w:left="6987" w:hanging="6987" w:hangingChars="2900"/>
        <w:jc w:val="center"/>
        <w:rPr>
          <w:rFonts w:ascii="宋体" w:hAnsi="宋体" w:cs="宋体"/>
          <w:b/>
          <w:bCs/>
          <w:kern w:val="0"/>
          <w:lang w:val="zh-CN"/>
        </w:rPr>
      </w:pPr>
    </w:p>
    <w:p>
      <w:pPr>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hAnsi="宋体" w:cs="宋体"/>
          <w:b/>
          <w:bCs/>
          <w:kern w:val="0"/>
          <w:lang w:val="zh-CN"/>
        </w:rPr>
      </w:pPr>
    </w:p>
    <w:p>
      <w:pPr>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致：甘肃东方工程咨询有限公司</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ind w:firstLine="361" w:firstLineChars="100"/>
        <w:jc w:val="left"/>
        <w:outlineLvl w:val="1"/>
        <w:rPr>
          <w:rFonts w:ascii="宋体" w:hAnsi="宋体" w:cs="宋体"/>
          <w:b w:val="0"/>
          <w:sz w:val="28"/>
          <w:szCs w:val="28"/>
        </w:rPr>
      </w:pPr>
      <w:r>
        <w:rPr>
          <w:rFonts w:hint="eastAsia" w:ascii="宋体" w:hAnsi="宋体" w:cs="宋体"/>
          <w:lang w:val="zh-CN"/>
        </w:rPr>
        <w:br w:type="page"/>
      </w:r>
      <w:bookmarkStart w:id="148" w:name="_Toc4958"/>
      <w:bookmarkStart w:id="149" w:name="_Toc26525"/>
      <w:bookmarkStart w:id="150" w:name="_Toc743"/>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48"/>
      <w:bookmarkEnd w:id="149"/>
    </w:p>
    <w:p>
      <w:pPr>
        <w:jc w:val="center"/>
        <w:rPr>
          <w:rFonts w:ascii="宋体" w:hAnsi="宋体" w:cs="宋体"/>
          <w:b/>
          <w:sz w:val="36"/>
          <w:szCs w:val="36"/>
        </w:rPr>
      </w:pPr>
      <w:bookmarkStart w:id="151" w:name="OLE_LINK13"/>
      <w:bookmarkStart w:id="152"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151"/>
    <w:bookmarkEnd w:id="152"/>
    <w:p>
      <w:pPr>
        <w:spacing w:after="120" w:afterLines="50"/>
        <w:rPr>
          <w:rFonts w:ascii="宋体" w:hAnsi="宋体" w:cs="宋体"/>
          <w:bCs/>
        </w:rPr>
      </w:pPr>
    </w:p>
    <w:p>
      <w:pPr>
        <w:spacing w:after="120"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甘肃东方工程咨询有限公司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32"/>
        <w:spacing w:before="0" w:after="0" w:line="360" w:lineRule="auto"/>
        <w:jc w:val="left"/>
        <w:outlineLvl w:val="1"/>
        <w:rPr>
          <w:rFonts w:ascii="宋体" w:hAnsi="宋体" w:cs="宋体"/>
        </w:rPr>
      </w:pPr>
      <w:r>
        <w:rPr>
          <w:rFonts w:hint="eastAsia" w:ascii="宋体" w:hAnsi="宋体" w:cs="宋体"/>
          <w:lang w:val="zh-CN"/>
        </w:rPr>
        <w:br w:type="page"/>
      </w:r>
      <w:bookmarkStart w:id="153" w:name="_Toc10136"/>
      <w:bookmarkStart w:id="154" w:name="_Toc28481"/>
      <w:r>
        <w:rPr>
          <w:rFonts w:hint="eastAsia" w:ascii="宋体" w:hAnsi="宋体" w:cs="宋体"/>
          <w:sz w:val="30"/>
          <w:szCs w:val="30"/>
        </w:rPr>
        <w:t>（18）</w:t>
      </w:r>
      <w:r>
        <w:rPr>
          <w:rFonts w:hint="eastAsia" w:ascii="宋体" w:hAnsi="宋体" w:cs="宋体"/>
          <w:sz w:val="30"/>
          <w:szCs w:val="30"/>
          <w:lang w:val="zh-CN"/>
        </w:rPr>
        <w:t>投标人认为在其他方面有必要说明的事项</w:t>
      </w:r>
      <w:bookmarkEnd w:id="150"/>
      <w:bookmarkEnd w:id="153"/>
      <w:bookmarkEnd w:id="15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pStyle w:val="32"/>
        <w:spacing w:before="0" w:after="0" w:line="360" w:lineRule="auto"/>
        <w:rPr>
          <w:rFonts w:ascii="宋体" w:hAnsi="宋体" w:cs="宋体"/>
        </w:rPr>
      </w:pPr>
      <w:r>
        <w:rPr>
          <w:rFonts w:hint="eastAsia" w:ascii="宋体" w:hAnsi="宋体" w:cs="宋体"/>
          <w:lang w:val="zh-CN"/>
        </w:rPr>
        <w:br w:type="page"/>
      </w:r>
      <w:bookmarkStart w:id="155" w:name="_Toc5125"/>
      <w:r>
        <w:rPr>
          <w:rFonts w:hint="eastAsia" w:ascii="宋体" w:hAnsi="宋体" w:cs="宋体"/>
          <w:szCs w:val="36"/>
          <w:lang w:val="zh-CN"/>
        </w:rPr>
        <w:t>第五部分  采购项目要求及技术参数</w:t>
      </w:r>
      <w:bookmarkEnd w:id="127"/>
      <w:bookmarkEnd w:id="128"/>
      <w:bookmarkEnd w:id="155"/>
    </w:p>
    <w:p>
      <w:pPr>
        <w:pStyle w:val="32"/>
        <w:spacing w:before="0" w:after="0" w:line="360" w:lineRule="auto"/>
        <w:outlineLvl w:val="1"/>
        <w:rPr>
          <w:rFonts w:hint="eastAsia" w:ascii="宋体" w:hAnsi="宋体" w:cs="宋体"/>
          <w:color w:val="000000"/>
          <w:szCs w:val="36"/>
        </w:rPr>
      </w:pPr>
      <w:bookmarkStart w:id="156" w:name="_Toc62745919"/>
      <w:bookmarkStart w:id="157" w:name="_Toc9451"/>
      <w:r>
        <w:rPr>
          <w:rFonts w:hint="eastAsia" w:ascii="宋体" w:hAnsi="宋体" w:cs="宋体"/>
          <w:color w:val="000000"/>
          <w:lang w:val="zh-CN"/>
        </w:rPr>
        <w:t>一、投标要求</w:t>
      </w:r>
      <w:bookmarkEnd w:id="156"/>
      <w:bookmarkEnd w:id="157"/>
    </w:p>
    <w:p>
      <w:pPr>
        <w:pStyle w:val="32"/>
        <w:spacing w:before="0" w:after="0" w:line="360" w:lineRule="auto"/>
        <w:jc w:val="left"/>
        <w:outlineLvl w:val="1"/>
        <w:rPr>
          <w:rFonts w:hint="eastAsia" w:ascii="宋体" w:hAnsi="宋体" w:cs="宋体"/>
          <w:color w:val="000000"/>
          <w:lang w:val="zh-CN"/>
        </w:rPr>
      </w:pPr>
      <w:bookmarkStart w:id="158" w:name="_Toc4601"/>
      <w:bookmarkStart w:id="159" w:name="_Toc62745920"/>
      <w:bookmarkStart w:id="160" w:name="_Toc18880"/>
      <w:r>
        <w:rPr>
          <w:rFonts w:hint="eastAsia" w:ascii="宋体" w:hAnsi="宋体" w:cs="宋体"/>
          <w:color w:val="000000"/>
          <w:sz w:val="28"/>
          <w:szCs w:val="28"/>
          <w:lang w:val="zh-CN"/>
        </w:rPr>
        <w:t>1.投标说明</w:t>
      </w:r>
      <w:bookmarkEnd w:id="158"/>
      <w:bookmarkEnd w:id="15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1</w:t>
      </w:r>
      <w:r>
        <w:rPr>
          <w:rFonts w:ascii="宋体" w:hAnsi="宋体" w:cs="宋体"/>
          <w:color w:val="000000"/>
          <w:kern w:val="0"/>
        </w:rPr>
        <w:t xml:space="preserve"> </w:t>
      </w:r>
      <w:r>
        <w:rPr>
          <w:rFonts w:hint="eastAsia" w:ascii="宋体" w:hAnsi="宋体"/>
          <w:color w:val="000000"/>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32"/>
        <w:spacing w:before="0" w:after="0" w:line="360" w:lineRule="auto"/>
        <w:jc w:val="left"/>
        <w:outlineLvl w:val="1"/>
        <w:rPr>
          <w:rFonts w:hint="eastAsia" w:ascii="宋体" w:hAnsi="宋体" w:cs="宋体"/>
          <w:color w:val="000000"/>
          <w:lang w:val="zh-CN"/>
        </w:rPr>
      </w:pPr>
      <w:bookmarkStart w:id="161" w:name="_Toc62745921"/>
      <w:r>
        <w:rPr>
          <w:rFonts w:hint="eastAsia" w:ascii="宋体" w:hAnsi="宋体" w:cs="宋体"/>
          <w:color w:val="000000"/>
          <w:sz w:val="28"/>
          <w:szCs w:val="28"/>
        </w:rPr>
        <w:t>2</w:t>
      </w:r>
      <w:r>
        <w:rPr>
          <w:rFonts w:hint="eastAsia" w:ascii="宋体" w:hAnsi="宋体" w:cs="宋体"/>
          <w:color w:val="000000"/>
          <w:sz w:val="28"/>
          <w:szCs w:val="28"/>
          <w:lang w:val="zh-CN"/>
        </w:rPr>
        <w:t>.商务要求</w:t>
      </w:r>
      <w:bookmarkEnd w:id="160"/>
      <w:bookmarkEnd w:id="161"/>
    </w:p>
    <w:p>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kern w:val="0"/>
          <w:lang w:val="zh-CN"/>
        </w:rPr>
        <w:t>1服务时间：</w:t>
      </w:r>
      <w:r>
        <w:rPr>
          <w:rFonts w:hint="eastAsia" w:ascii="宋体" w:hAnsi="宋体" w:cs="宋体"/>
          <w:kern w:val="0"/>
          <w:lang w:val="en-US" w:eastAsia="zh-CN"/>
        </w:rPr>
        <w:t>2022年5月31日前</w:t>
      </w:r>
      <w:r>
        <w:rPr>
          <w:rFonts w:hint="eastAsia" w:ascii="宋体" w:hAnsi="宋体" w:cs="宋体"/>
          <w:kern w:val="0"/>
          <w:lang w:val="zh-CN"/>
        </w:rPr>
        <w:t>完成仪器设备安装、运行调试</w:t>
      </w:r>
      <w:r>
        <w:rPr>
          <w:rFonts w:hint="eastAsia" w:ascii="宋体" w:hAnsi="宋体" w:cs="宋体"/>
          <w:kern w:val="0"/>
          <w:lang w:val="en-US" w:eastAsia="zh-CN"/>
        </w:rPr>
        <w:t>及完成</w:t>
      </w:r>
      <w:r>
        <w:rPr>
          <w:rFonts w:hint="eastAsia" w:ascii="宋体" w:hAnsi="宋体" w:cs="宋体"/>
          <w:kern w:val="0"/>
          <w:lang w:val="zh-CN"/>
        </w:rPr>
        <w:t>设备现场验收，并提供三年监测数据及预警辅助技术服务。</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.2服务地点：</w:t>
      </w:r>
      <w:r>
        <w:rPr>
          <w:rStyle w:val="135"/>
          <w:rFonts w:hint="default" w:ascii="仿宋_GB2312" w:hAnsi="Times New Roman"/>
          <w:color w:val="auto"/>
          <w:szCs w:val="28"/>
        </w:rPr>
        <w:t>海东市乐都区瞿昙镇盛家村</w:t>
      </w:r>
      <w:r>
        <w:rPr>
          <w:rStyle w:val="135"/>
          <w:rFonts w:hint="eastAsia" w:ascii="仿宋_GB2312" w:hAnsi="Times New Roman"/>
          <w:color w:val="auto"/>
          <w:szCs w:val="28"/>
          <w:lang w:eastAsia="zh-CN"/>
        </w:rPr>
        <w:t>，</w:t>
      </w:r>
      <w:r>
        <w:rPr>
          <w:rStyle w:val="135"/>
          <w:rFonts w:hint="default" w:ascii="仿宋_GB2312" w:hAnsi="Times New Roman"/>
          <w:color w:val="auto"/>
          <w:szCs w:val="28"/>
        </w:rPr>
        <w:t>地理坐标：东经</w:t>
      </w:r>
      <w:r>
        <w:rPr>
          <w:rStyle w:val="135"/>
          <w:rFonts w:hint="default"/>
          <w:color w:val="auto"/>
          <w:szCs w:val="28"/>
        </w:rPr>
        <w:t>102°20′57.6″，北纬36°22′12.0″</w:t>
      </w:r>
      <w:r>
        <w:rPr>
          <w:rFonts w:hint="eastAsia" w:ascii="宋体" w:hAnsi="宋体" w:cs="宋体"/>
          <w:color w:val="000000"/>
          <w:kern w:val="0"/>
          <w:lang w:val="zh-CN"/>
        </w:rPr>
        <w:t>。</w:t>
      </w:r>
    </w:p>
    <w:p>
      <w:pPr>
        <w:spacing w:line="360" w:lineRule="auto"/>
        <w:ind w:firstLine="480" w:firstLineChars="200"/>
        <w:rPr>
          <w:rFonts w:hint="eastAsia" w:ascii="宋体" w:hAnsi="宋体" w:cs="宋体"/>
          <w:lang w:bidi="ar"/>
        </w:rPr>
      </w:pPr>
      <w:bookmarkStart w:id="162" w:name="_Toc28576"/>
      <w:r>
        <w:rPr>
          <w:rFonts w:hint="eastAsia" w:ascii="宋体" w:hAnsi="宋体" w:cs="宋体"/>
          <w:lang w:bidi="ar"/>
        </w:rPr>
        <w:t>2</w:t>
      </w:r>
      <w:r>
        <w:rPr>
          <w:rFonts w:ascii="宋体" w:hAnsi="宋体" w:cs="宋体"/>
          <w:lang w:bidi="ar"/>
        </w:rPr>
        <w:t>.3</w:t>
      </w:r>
      <w:r>
        <w:rPr>
          <w:rFonts w:hint="eastAsia" w:ascii="宋体" w:hAnsi="宋体" w:cs="宋体"/>
          <w:lang w:bidi="ar"/>
        </w:rPr>
        <w:t>仪器设备质保期：三年。</w:t>
      </w:r>
    </w:p>
    <w:p>
      <w:pPr>
        <w:spacing w:line="360" w:lineRule="auto"/>
        <w:ind w:firstLine="480" w:firstLineChars="200"/>
        <w:rPr>
          <w:rFonts w:ascii="宋体" w:hAnsi="宋体" w:cs="宋体"/>
        </w:rPr>
      </w:pPr>
      <w:r>
        <w:rPr>
          <w:rFonts w:hint="eastAsia" w:ascii="宋体" w:hAnsi="宋体" w:cs="宋体"/>
          <w:lang w:bidi="ar"/>
        </w:rPr>
        <w:t>2</w:t>
      </w:r>
      <w:r>
        <w:rPr>
          <w:rFonts w:ascii="宋体" w:hAnsi="宋体" w:cs="宋体"/>
          <w:lang w:bidi="ar"/>
        </w:rPr>
        <w:t>.4服务保障要求：</w:t>
      </w:r>
    </w:p>
    <w:p>
      <w:pPr>
        <w:spacing w:line="360" w:lineRule="auto"/>
        <w:ind w:firstLine="480" w:firstLineChars="200"/>
        <w:rPr>
          <w:rFonts w:ascii="宋体" w:hAnsi="宋体" w:cs="宋体"/>
        </w:rPr>
      </w:pPr>
      <w:r>
        <w:rPr>
          <w:rFonts w:hint="eastAsia" w:ascii="宋体" w:hAnsi="宋体" w:cs="宋体"/>
          <w:lang w:bidi="ar"/>
        </w:rPr>
        <w:t>（</w:t>
      </w:r>
      <w:r>
        <w:rPr>
          <w:rFonts w:ascii="宋体" w:hAnsi="宋体" w:cs="宋体"/>
          <w:lang w:bidi="ar"/>
        </w:rPr>
        <w:t>1）投标人应具备必要协调能力，以确保本项目各项工作内容顺利开展。</w:t>
      </w:r>
    </w:p>
    <w:p>
      <w:pPr>
        <w:spacing w:line="360" w:lineRule="auto"/>
        <w:ind w:firstLine="480" w:firstLineChars="200"/>
        <w:rPr>
          <w:rFonts w:ascii="宋体" w:hAnsi="宋体" w:cs="宋体"/>
        </w:rPr>
      </w:pPr>
      <w:r>
        <w:rPr>
          <w:rFonts w:hint="eastAsia" w:ascii="宋体" w:hAnsi="宋体" w:cs="宋体"/>
          <w:lang w:bidi="ar"/>
        </w:rPr>
        <w:t>（</w:t>
      </w:r>
      <w:r>
        <w:rPr>
          <w:rFonts w:ascii="宋体" w:hAnsi="宋体" w:cs="宋体"/>
          <w:lang w:bidi="ar"/>
        </w:rPr>
        <w:t>2）投标人应具有完善的服务保障体系，服务响应时间在24小时以内；投标货物品质和服务由投标人对采购人和最终用户负责。</w:t>
      </w:r>
    </w:p>
    <w:p>
      <w:pPr>
        <w:spacing w:line="360" w:lineRule="auto"/>
        <w:ind w:firstLine="480" w:firstLineChars="200"/>
      </w:pPr>
      <w:r>
        <w:rPr>
          <w:rFonts w:hint="eastAsia" w:ascii="宋体" w:hAnsi="宋体" w:cs="宋体"/>
          <w:lang w:bidi="ar"/>
        </w:rPr>
        <w:t>（</w:t>
      </w:r>
      <w:r>
        <w:rPr>
          <w:rFonts w:ascii="宋体" w:hAnsi="宋体" w:cs="宋体"/>
          <w:lang w:bidi="ar"/>
        </w:rPr>
        <w:t>3）投标人应明确说明此次投标的服务策略，提供此次投标服务计划（售后服务内容、售后服务组织机构及人员安排情况及其联络信息）。</w:t>
      </w:r>
    </w:p>
    <w:p>
      <w:pPr>
        <w:pStyle w:val="32"/>
        <w:spacing w:before="0" w:after="0" w:line="360" w:lineRule="auto"/>
        <w:rPr>
          <w:rFonts w:ascii="宋体" w:hAnsi="宋体" w:cs="宋体"/>
          <w:color w:val="000000"/>
          <w:lang w:val="zh-CN"/>
        </w:rPr>
      </w:pPr>
      <w:bookmarkStart w:id="163" w:name="_Toc62745922"/>
      <w:r>
        <w:rPr>
          <w:rFonts w:hint="eastAsia" w:ascii="宋体" w:hAnsi="宋体" w:cs="宋体"/>
          <w:color w:val="000000"/>
          <w:lang w:val="zh-CN"/>
        </w:rPr>
        <w:t>二、项目概况及技术参数</w:t>
      </w:r>
      <w:bookmarkEnd w:id="162"/>
      <w:bookmarkEnd w:id="163"/>
    </w:p>
    <w:p>
      <w:pPr>
        <w:widowControl/>
        <w:spacing w:before="100" w:beforeAutospacing="1" w:after="100" w:afterAutospacing="1"/>
        <w:ind w:firstLine="542" w:firstLineChars="200"/>
        <w:jc w:val="left"/>
        <w:outlineLvl w:val="2"/>
        <w:rPr>
          <w:rFonts w:hint="eastAsia" w:ascii="宋体" w:hAnsi="宋体"/>
          <w:b/>
          <w:bCs/>
          <w:color w:val="000000"/>
          <w:kern w:val="0"/>
          <w:sz w:val="27"/>
          <w:szCs w:val="27"/>
        </w:rPr>
      </w:pPr>
      <w:r>
        <w:rPr>
          <w:rFonts w:ascii="宋体" w:hAnsi="宋体"/>
          <w:b/>
          <w:bCs/>
          <w:color w:val="000000"/>
          <w:kern w:val="0"/>
          <w:sz w:val="27"/>
          <w:szCs w:val="27"/>
        </w:rPr>
        <w:t>1</w:t>
      </w:r>
      <w:r>
        <w:rPr>
          <w:rFonts w:hint="eastAsia" w:ascii="宋体" w:hAnsi="宋体"/>
          <w:b/>
          <w:bCs/>
          <w:color w:val="000000"/>
          <w:kern w:val="0"/>
          <w:sz w:val="27"/>
          <w:szCs w:val="27"/>
        </w:rPr>
        <w:t>、项目基本情况</w:t>
      </w:r>
    </w:p>
    <w:p>
      <w:pPr>
        <w:snapToGrid w:val="0"/>
        <w:spacing w:before="156" w:beforeLines="50" w:after="156" w:afterLines="50" w:line="360" w:lineRule="auto"/>
        <w:ind w:firstLine="480" w:firstLineChars="200"/>
        <w:rPr>
          <w:rFonts w:ascii="宋体" w:hAnsi="宋体" w:cs="宋体"/>
        </w:rPr>
      </w:pPr>
      <w:r>
        <w:rPr>
          <w:rFonts w:hint="eastAsia" w:ascii="宋体" w:hAnsi="宋体" w:cs="宋体"/>
        </w:rPr>
        <w:t>项目名称：海东市乐都区瞿昙镇盛家村滑坡监测预警示范项目</w:t>
      </w:r>
    </w:p>
    <w:p>
      <w:pPr>
        <w:snapToGrid w:val="0"/>
        <w:spacing w:before="156" w:beforeLines="50" w:after="156" w:afterLines="50" w:line="360" w:lineRule="auto"/>
        <w:ind w:firstLine="480" w:firstLineChars="200"/>
        <w:rPr>
          <w:rFonts w:ascii="宋体" w:hAnsi="宋体" w:cs="宋体"/>
        </w:rPr>
      </w:pPr>
      <w:r>
        <w:rPr>
          <w:rFonts w:hint="eastAsia" w:ascii="宋体" w:hAnsi="宋体" w:cs="宋体"/>
        </w:rPr>
        <w:t>工作周期：</w:t>
      </w:r>
      <w:r>
        <w:rPr>
          <w:rFonts w:ascii="宋体" w:hAnsi="宋体" w:cs="宋体"/>
        </w:rPr>
        <w:t>202</w:t>
      </w:r>
      <w:r>
        <w:rPr>
          <w:rFonts w:hint="eastAsia" w:ascii="宋体" w:hAnsi="宋体" w:cs="宋体"/>
          <w:lang w:val="en-US" w:eastAsia="zh-CN"/>
        </w:rPr>
        <w:t>2</w:t>
      </w:r>
      <w:r>
        <w:rPr>
          <w:rFonts w:ascii="宋体" w:hAnsi="宋体" w:cs="宋体"/>
        </w:rPr>
        <w:t>年</w:t>
      </w:r>
      <w:r>
        <w:rPr>
          <w:rFonts w:hint="eastAsia" w:ascii="宋体" w:hAnsi="宋体" w:cs="宋体"/>
          <w:lang w:val="en-US" w:eastAsia="zh-CN"/>
        </w:rPr>
        <w:t>5</w:t>
      </w:r>
      <w:r>
        <w:rPr>
          <w:rFonts w:ascii="宋体" w:hAnsi="宋体" w:cs="宋体"/>
        </w:rPr>
        <w:t>月</w:t>
      </w:r>
      <w:r>
        <w:rPr>
          <w:rFonts w:hint="eastAsia" w:ascii="宋体" w:hAnsi="宋体" w:cs="宋体"/>
          <w:lang w:val="en-US" w:eastAsia="zh-CN"/>
        </w:rPr>
        <w:t>31</w:t>
      </w:r>
      <w:r>
        <w:rPr>
          <w:rFonts w:hint="eastAsia" w:ascii="宋体" w:hAnsi="宋体" w:cs="宋体"/>
        </w:rPr>
        <w:t>日前完成监测预警点仪器设备安装、调试、运行工作。并连续提供3年（自合同签订之日起）质保维护、监测数据与预警辅助支撑服务。</w:t>
      </w:r>
    </w:p>
    <w:p>
      <w:pPr>
        <w:widowControl/>
        <w:spacing w:before="100" w:beforeAutospacing="1" w:after="100" w:afterAutospacing="1"/>
        <w:ind w:firstLine="542" w:firstLineChars="200"/>
        <w:jc w:val="left"/>
        <w:outlineLvl w:val="2"/>
        <w:rPr>
          <w:rFonts w:hint="eastAsia" w:ascii="宋体" w:hAnsi="宋体"/>
          <w:b/>
          <w:bCs/>
          <w:color w:val="000000"/>
          <w:kern w:val="0"/>
          <w:sz w:val="27"/>
          <w:szCs w:val="27"/>
        </w:rPr>
      </w:pPr>
      <w:r>
        <w:rPr>
          <w:rFonts w:ascii="宋体" w:hAnsi="宋体"/>
          <w:b/>
          <w:bCs/>
          <w:color w:val="000000"/>
          <w:kern w:val="0"/>
          <w:sz w:val="27"/>
          <w:szCs w:val="27"/>
        </w:rPr>
        <w:t>2</w:t>
      </w:r>
      <w:r>
        <w:rPr>
          <w:rFonts w:hint="eastAsia" w:ascii="宋体" w:hAnsi="宋体"/>
          <w:b/>
          <w:bCs/>
          <w:color w:val="000000"/>
          <w:kern w:val="0"/>
          <w:sz w:val="27"/>
          <w:szCs w:val="27"/>
        </w:rPr>
        <w:t>、工作任务</w:t>
      </w:r>
    </w:p>
    <w:p>
      <w:pPr>
        <w:widowControl/>
        <w:spacing w:line="360" w:lineRule="auto"/>
        <w:ind w:firstLine="480" w:firstLineChars="200"/>
        <w:rPr>
          <w:rFonts w:hint="default" w:ascii="宋体" w:hAnsi="宋体"/>
          <w:color w:val="000000"/>
          <w:kern w:val="0"/>
        </w:rPr>
      </w:pPr>
      <w:r>
        <w:rPr>
          <w:rFonts w:hint="default" w:ascii="宋体" w:hAnsi="宋体"/>
          <w:color w:val="000000"/>
          <w:kern w:val="0"/>
        </w:rPr>
        <w:t>根据《青海省“十三五”国土资源规划》与《青海省“十三五”综合防灾减灾规划》中对重大地质灾害隐患监测预警的工作部署，及《青海省地质灾害避险搬迁和防治专项规划（2020—2024年）》与《青海省 2019 年地质灾害防治体系建设实施方案》对全省重大地质灾害监测预警项目的具体安排，为提升防灾减灾能力，最大限度减轻或避免海东市乐都区瞿昙镇盛家村滑坡对区内重要公共基础设施的危害，切实保障人民群众生命财产安全，同时强化地质灾害监测预警的科技水平，将“海东市乐都区瞿昙镇盛家村滑坡监测预警示范项目”列为20</w:t>
      </w:r>
      <w:r>
        <w:rPr>
          <w:rFonts w:hint="eastAsia" w:ascii="宋体" w:hAnsi="宋体"/>
          <w:color w:val="000000"/>
          <w:kern w:val="0"/>
          <w:lang w:val="en-US" w:eastAsia="zh-CN"/>
        </w:rPr>
        <w:t>20</w:t>
      </w:r>
      <w:r>
        <w:rPr>
          <w:rFonts w:hint="default" w:ascii="宋体" w:hAnsi="宋体"/>
          <w:color w:val="000000"/>
          <w:kern w:val="0"/>
        </w:rPr>
        <w:t>年度青海省自然灾害防治体系建设项目，由海东市乐都区自然资源局组织实施。</w:t>
      </w:r>
    </w:p>
    <w:p>
      <w:pPr>
        <w:widowControl/>
        <w:spacing w:line="360" w:lineRule="auto"/>
        <w:ind w:firstLine="480" w:firstLineChars="200"/>
        <w:rPr>
          <w:rFonts w:ascii="宋体" w:hAnsi="宋体"/>
          <w:color w:val="000000"/>
          <w:kern w:val="0"/>
        </w:rPr>
      </w:pPr>
      <w:bookmarkStart w:id="164" w:name="_Toc28597501"/>
      <w:bookmarkStart w:id="165" w:name="_Toc28603658"/>
      <w:bookmarkStart w:id="166" w:name="_Toc29232"/>
      <w:r>
        <w:rPr>
          <w:rFonts w:hint="eastAsia" w:ascii="宋体" w:hAnsi="宋体"/>
          <w:color w:val="000000"/>
          <w:kern w:val="0"/>
        </w:rPr>
        <w:t>（</w:t>
      </w:r>
      <w:r>
        <w:rPr>
          <w:rFonts w:hint="eastAsia" w:ascii="宋体" w:hAnsi="宋体"/>
          <w:color w:val="000000"/>
          <w:kern w:val="0"/>
          <w:lang w:val="en-US" w:eastAsia="zh-CN"/>
        </w:rPr>
        <w:t>1</w:t>
      </w:r>
      <w:r>
        <w:rPr>
          <w:rFonts w:hint="eastAsia" w:ascii="宋体" w:hAnsi="宋体"/>
          <w:color w:val="000000"/>
          <w:kern w:val="0"/>
        </w:rPr>
        <w:t>）开展</w:t>
      </w:r>
      <w:bookmarkEnd w:id="164"/>
      <w:bookmarkEnd w:id="165"/>
      <w:r>
        <w:rPr>
          <w:rFonts w:hint="eastAsia" w:ascii="宋体" w:hAnsi="宋体"/>
          <w:color w:val="000000"/>
          <w:kern w:val="0"/>
        </w:rPr>
        <w:t>设备安装与运行维护。结合地质灾害点调查、监测情况与监测设计方案开展安装，进行仪器的调试、试运行和并网，组织监测设备现场验收，完成后对监测设备进行及时移交。</w:t>
      </w:r>
      <w:bookmarkEnd w:id="166"/>
      <w:bookmarkStart w:id="167" w:name="_Toc28597503"/>
      <w:bookmarkStart w:id="168" w:name="_Toc28603660"/>
    </w:p>
    <w:p>
      <w:pPr>
        <w:widowControl/>
        <w:spacing w:line="360" w:lineRule="auto"/>
        <w:ind w:firstLine="480" w:firstLineChars="200"/>
        <w:rPr>
          <w:rFonts w:ascii="宋体" w:hAnsi="宋体"/>
          <w:color w:val="000000"/>
          <w:kern w:val="0"/>
        </w:rPr>
      </w:pPr>
      <w:bookmarkStart w:id="169" w:name="_Toc4062"/>
      <w:r>
        <w:rPr>
          <w:rFonts w:hint="eastAsia" w:ascii="宋体" w:hAnsi="宋体"/>
          <w:color w:val="000000"/>
          <w:kern w:val="0"/>
        </w:rPr>
        <w:t>（</w:t>
      </w:r>
      <w:r>
        <w:rPr>
          <w:rFonts w:hint="eastAsia" w:ascii="宋体" w:hAnsi="宋体"/>
          <w:color w:val="000000"/>
          <w:kern w:val="0"/>
          <w:lang w:val="en-US" w:eastAsia="zh-CN"/>
        </w:rPr>
        <w:t>2</w:t>
      </w:r>
      <w:r>
        <w:rPr>
          <w:rFonts w:hint="eastAsia" w:ascii="宋体" w:hAnsi="宋体"/>
          <w:color w:val="000000"/>
          <w:kern w:val="0"/>
        </w:rPr>
        <w:t>）实施预警与响应。根据已有工作基础及对致灾机理、规律等的认识，建立监测预警指标体系，并通过预警实践动态优化预警模型及预警值；综合监测数据、宏观现象与趋势研判对灾害可能发生的时间、空间等进行预警，</w:t>
      </w:r>
      <w:bookmarkEnd w:id="167"/>
      <w:bookmarkEnd w:id="168"/>
      <w:r>
        <w:rPr>
          <w:rFonts w:hint="eastAsia" w:ascii="宋体" w:hAnsi="宋体"/>
          <w:color w:val="000000"/>
          <w:kern w:val="0"/>
        </w:rPr>
        <w:t>根据预警等级采取相应的应对措施。</w:t>
      </w:r>
      <w:bookmarkEnd w:id="169"/>
    </w:p>
    <w:p>
      <w:pPr>
        <w:widowControl/>
        <w:spacing w:line="360" w:lineRule="auto"/>
        <w:ind w:firstLine="480" w:firstLineChars="200"/>
        <w:rPr>
          <w:rFonts w:hint="eastAsia" w:ascii="宋体" w:hAnsi="宋体"/>
          <w:color w:val="000000"/>
          <w:kern w:val="0"/>
        </w:rPr>
      </w:pPr>
      <w:bookmarkStart w:id="170" w:name="_Toc4242"/>
      <w:r>
        <w:rPr>
          <w:rFonts w:hint="eastAsia" w:ascii="宋体" w:hAnsi="宋体"/>
          <w:color w:val="000000"/>
          <w:kern w:val="0"/>
        </w:rPr>
        <w:t>（</w:t>
      </w:r>
      <w:r>
        <w:rPr>
          <w:rFonts w:hint="eastAsia" w:ascii="宋体" w:hAnsi="宋体"/>
          <w:color w:val="000000"/>
          <w:kern w:val="0"/>
          <w:lang w:val="en-US" w:eastAsia="zh-CN"/>
        </w:rPr>
        <w:t>3</w:t>
      </w:r>
      <w:r>
        <w:rPr>
          <w:rFonts w:hint="eastAsia" w:ascii="宋体" w:hAnsi="宋体"/>
          <w:color w:val="000000"/>
          <w:kern w:val="0"/>
        </w:rPr>
        <w:t>）开展地质灾害监测预警信息平台建设。以现有地质灾害监测相关工作为基础，建立地质灾害监测预警信息平台，建立集监测、采集、预警、预报为一体，实时连接国家、省、市（州）、县四级，可供地质灾害防治管理员用于地质灾害防治决策、巡查人员用于地质灾害巡查监测、群测群防人员用于监测情况实时上报的地质灾害监测预警大数据平台，提升地质灾害信息服务能力</w:t>
      </w:r>
      <w:bookmarkEnd w:id="170"/>
      <w:r>
        <w:rPr>
          <w:rFonts w:hint="eastAsia" w:ascii="宋体" w:hAnsi="宋体"/>
          <w:color w:val="000000"/>
          <w:kern w:val="0"/>
        </w:rPr>
        <w:t>。</w:t>
      </w:r>
    </w:p>
    <w:p>
      <w:pPr>
        <w:widowControl/>
        <w:spacing w:before="100" w:beforeAutospacing="1" w:after="100" w:afterAutospacing="1"/>
        <w:ind w:firstLine="542" w:firstLineChars="200"/>
        <w:jc w:val="left"/>
        <w:outlineLvl w:val="2"/>
        <w:rPr>
          <w:rFonts w:hint="eastAsia" w:ascii="宋体" w:hAnsi="宋体" w:eastAsia="宋体"/>
          <w:b/>
          <w:bCs/>
          <w:color w:val="000000"/>
          <w:kern w:val="0"/>
          <w:sz w:val="27"/>
          <w:szCs w:val="27"/>
          <w:lang w:eastAsia="zh-CN"/>
        </w:rPr>
      </w:pPr>
      <w:r>
        <w:rPr>
          <w:rFonts w:ascii="宋体" w:hAnsi="宋体"/>
          <w:b/>
          <w:bCs/>
          <w:color w:val="000000"/>
          <w:kern w:val="0"/>
          <w:sz w:val="27"/>
          <w:szCs w:val="27"/>
        </w:rPr>
        <w:t>3</w:t>
      </w:r>
      <w:r>
        <w:rPr>
          <w:rFonts w:hint="eastAsia" w:ascii="宋体" w:hAnsi="宋体"/>
          <w:b/>
          <w:bCs/>
          <w:color w:val="000000"/>
          <w:kern w:val="0"/>
          <w:sz w:val="27"/>
          <w:szCs w:val="27"/>
        </w:rPr>
        <w:t>、主要工作量</w:t>
      </w:r>
      <w:r>
        <w:rPr>
          <w:rFonts w:hint="eastAsia" w:ascii="宋体" w:hAnsi="宋体"/>
          <w:b/>
          <w:bCs/>
          <w:color w:val="000000"/>
          <w:kern w:val="0"/>
          <w:sz w:val="27"/>
          <w:szCs w:val="27"/>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kern w:val="0"/>
          <w:lang w:eastAsia="zh-CN"/>
        </w:rPr>
      </w:pPr>
      <w:bookmarkStart w:id="171" w:name="_Hlk63590107"/>
      <w:r>
        <w:rPr>
          <w:rStyle w:val="135"/>
          <w:rFonts w:hint="eastAsia"/>
          <w:lang w:val="en-US" w:eastAsia="zh-CN"/>
        </w:rPr>
        <w:t xml:space="preserve">    </w:t>
      </w:r>
      <w:r>
        <w:rPr>
          <w:rFonts w:hint="default" w:ascii="宋体" w:hAnsi="宋体"/>
          <w:color w:val="000000"/>
          <w:kern w:val="0"/>
        </w:rPr>
        <w:t>根据盛家滑坡监测预警示范项目现场的踏勘情况和下发的工作量要求，本次工作共布设29个监测点。其中GNSS位移监测点1</w:t>
      </w:r>
      <w:r>
        <w:rPr>
          <w:rFonts w:hint="eastAsia" w:ascii="宋体" w:hAnsi="宋体"/>
          <w:color w:val="000000"/>
          <w:kern w:val="0"/>
          <w:lang w:val="en-US" w:eastAsia="zh-CN"/>
        </w:rPr>
        <w:t>4</w:t>
      </w:r>
      <w:r>
        <w:rPr>
          <w:rFonts w:hint="default" w:ascii="宋体" w:hAnsi="宋体"/>
          <w:color w:val="000000"/>
          <w:kern w:val="0"/>
        </w:rPr>
        <w:t>个（GNSS监测站14个，基站</w:t>
      </w:r>
      <w:r>
        <w:rPr>
          <w:rFonts w:hint="eastAsia" w:ascii="宋体" w:hAnsi="宋体"/>
          <w:color w:val="000000"/>
          <w:kern w:val="0"/>
          <w:lang w:eastAsia="zh-CN"/>
        </w:rPr>
        <w:t>和红庄共用</w:t>
      </w:r>
      <w:r>
        <w:rPr>
          <w:rFonts w:hint="default" w:ascii="宋体" w:hAnsi="宋体"/>
          <w:color w:val="000000"/>
          <w:kern w:val="0"/>
        </w:rPr>
        <w:t>）、雨量监测点1个（雨量站1套）、裂缝变形监测6个（地表裂缝监测站6套）、深部位移监测点6个（深部倾斜仪18个）、视频监测点1个（高精度摄像头1个）</w:t>
      </w:r>
      <w:r>
        <w:rPr>
          <w:rFonts w:hint="eastAsia" w:ascii="宋体" w:hAnsi="宋体"/>
          <w:color w:val="000000"/>
          <w:kern w:val="0"/>
          <w:lang w:eastAsia="zh-CN"/>
        </w:rPr>
        <w:t>、声光报警器一个。</w:t>
      </w:r>
    </w:p>
    <w:bookmarkEnd w:id="171"/>
    <w:p>
      <w:pPr>
        <w:widowControl/>
        <w:spacing w:before="100" w:beforeAutospacing="1" w:after="100" w:afterAutospacing="1"/>
        <w:ind w:firstLine="542" w:firstLineChars="200"/>
        <w:jc w:val="left"/>
        <w:outlineLvl w:val="2"/>
        <w:rPr>
          <w:rFonts w:hint="eastAsia" w:ascii="宋体" w:hAnsi="宋体"/>
          <w:b/>
          <w:bCs/>
          <w:color w:val="000000"/>
          <w:kern w:val="0"/>
          <w:sz w:val="27"/>
          <w:szCs w:val="27"/>
        </w:rPr>
      </w:pPr>
      <w:r>
        <w:rPr>
          <w:rFonts w:ascii="宋体" w:hAnsi="宋体"/>
          <w:b/>
          <w:bCs/>
          <w:color w:val="000000"/>
          <w:kern w:val="0"/>
          <w:sz w:val="27"/>
          <w:szCs w:val="27"/>
        </w:rPr>
        <w:t>4</w:t>
      </w:r>
      <w:r>
        <w:rPr>
          <w:rFonts w:hint="eastAsia" w:ascii="宋体" w:hAnsi="宋体"/>
          <w:b/>
          <w:bCs/>
          <w:color w:val="000000"/>
          <w:kern w:val="0"/>
          <w:sz w:val="27"/>
          <w:szCs w:val="27"/>
        </w:rPr>
        <w:t>、设备技术参数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kern w:val="0"/>
        </w:rPr>
      </w:pPr>
      <w:r>
        <w:rPr>
          <w:rFonts w:hint="eastAsia" w:ascii="宋体" w:hAnsi="宋体"/>
          <w:color w:val="000000"/>
          <w:kern w:val="0"/>
        </w:rPr>
        <w:t>设备技术参数需满足《地质灾害专群结合监测预警技术指南（试行）》、《地质灾害监测通讯技术要求（报批稿）》的要求，且具有国家认可的第三方检测机构出具的检测报告或自然资源部相关单位出具的证明文件，并</w:t>
      </w:r>
      <w:r>
        <w:rPr>
          <w:rFonts w:hint="default" w:ascii="宋体" w:hAnsi="宋体"/>
          <w:color w:val="000000"/>
          <w:kern w:val="0"/>
        </w:rPr>
        <w:t>提供印刷版产品彩页及说明材料</w:t>
      </w:r>
      <w:r>
        <w:rPr>
          <w:rFonts w:hint="eastAsia" w:ascii="宋体" w:hAnsi="宋体"/>
          <w:color w:val="000000"/>
          <w:kern w:val="0"/>
        </w:rPr>
        <w:t>。</w:t>
      </w:r>
    </w:p>
    <w:p>
      <w:pPr>
        <w:pStyle w:val="4"/>
        <w:rPr>
          <w:rStyle w:val="135"/>
          <w:rFonts w:hint="default" w:ascii="Cambria" w:hAnsi="Cambria"/>
          <w:color w:val="auto"/>
          <w:sz w:val="32"/>
          <w:szCs w:val="32"/>
        </w:rPr>
      </w:pPr>
      <w:bookmarkStart w:id="172" w:name="_Toc7009"/>
      <w:bookmarkStart w:id="173" w:name="_Toc36573982"/>
      <w:bookmarkStart w:id="174" w:name="_Toc12821"/>
      <w:r>
        <w:rPr>
          <w:rStyle w:val="135"/>
          <w:rFonts w:hint="eastAsia"/>
          <w:color w:val="auto"/>
          <w:sz w:val="32"/>
          <w:szCs w:val="32"/>
          <w:lang w:val="en-US" w:eastAsia="zh-CN"/>
        </w:rPr>
        <w:t>4</w:t>
      </w:r>
      <w:r>
        <w:rPr>
          <w:rStyle w:val="135"/>
          <w:rFonts w:hint="default" w:ascii="Cambria" w:hAnsi="Cambria"/>
          <w:color w:val="auto"/>
          <w:sz w:val="32"/>
          <w:szCs w:val="32"/>
        </w:rPr>
        <w:t>.1 GNSS位移监测（含基站）</w:t>
      </w:r>
      <w:bookmarkEnd w:id="172"/>
      <w:bookmarkEnd w:id="173"/>
      <w:bookmarkEnd w:id="174"/>
    </w:p>
    <w:p>
      <w:pPr>
        <w:pStyle w:val="136"/>
        <w:spacing w:line="440" w:lineRule="exact"/>
        <w:jc w:val="center"/>
        <w:rPr>
          <w:rStyle w:val="135"/>
          <w:rFonts w:hint="default"/>
          <w:b/>
          <w:bCs/>
          <w:color w:val="auto"/>
          <w:sz w:val="22"/>
          <w:szCs w:val="22"/>
        </w:rPr>
      </w:pPr>
      <w:r>
        <w:rPr>
          <w:rStyle w:val="135"/>
          <w:rFonts w:hint="default"/>
          <w:b/>
          <w:bCs/>
          <w:color w:val="auto"/>
          <w:sz w:val="22"/>
          <w:szCs w:val="22"/>
        </w:rPr>
        <w:t>表</w:t>
      </w:r>
      <w:r>
        <w:rPr>
          <w:rStyle w:val="135"/>
          <w:rFonts w:hint="eastAsia" w:eastAsia="宋体"/>
          <w:b/>
          <w:bCs/>
          <w:color w:val="auto"/>
          <w:sz w:val="22"/>
          <w:szCs w:val="22"/>
          <w:lang w:val="en-US" w:eastAsia="zh-CN"/>
        </w:rPr>
        <w:t>4</w:t>
      </w:r>
      <w:r>
        <w:rPr>
          <w:rStyle w:val="135"/>
          <w:rFonts w:hint="default"/>
          <w:b/>
          <w:bCs/>
          <w:color w:val="auto"/>
          <w:sz w:val="22"/>
          <w:szCs w:val="22"/>
        </w:rPr>
        <w:t>-1 GNSS卫星接收机参数表</w:t>
      </w:r>
    </w:p>
    <w:tbl>
      <w:tblPr>
        <w:tblStyle w:val="34"/>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272"/>
        <w:gridCol w:w="3110"/>
        <w:gridCol w:w="126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jc w:val="center"/>
        </w:trPr>
        <w:tc>
          <w:tcPr>
            <w:tcW w:w="672" w:type="dxa"/>
            <w:noWrap w:val="0"/>
            <w:vAlign w:val="center"/>
          </w:tcPr>
          <w:p>
            <w:pPr>
              <w:autoSpaceDE w:val="0"/>
              <w:autoSpaceDN w:val="0"/>
              <w:spacing w:line="360" w:lineRule="auto"/>
              <w:jc w:val="center"/>
              <w:textAlignment w:val="center"/>
              <w:rPr>
                <w:rFonts w:hint="eastAsia" w:ascii="宋体" w:hAnsi="宋体" w:cs="仿宋"/>
                <w:sz w:val="21"/>
                <w:lang w:eastAsia="en-US"/>
              </w:rPr>
            </w:pPr>
            <w:r>
              <w:rPr>
                <w:rFonts w:hint="eastAsia" w:ascii="宋体" w:hAnsi="宋体" w:cs="仿宋"/>
                <w:sz w:val="21"/>
                <w:lang w:eastAsia="en-US"/>
              </w:rPr>
              <w:t>型号</w:t>
            </w:r>
          </w:p>
        </w:tc>
        <w:tc>
          <w:tcPr>
            <w:tcW w:w="7822" w:type="dxa"/>
            <w:gridSpan w:val="4"/>
            <w:noWrap w:val="0"/>
            <w:vAlign w:val="center"/>
          </w:tcPr>
          <w:p>
            <w:pPr>
              <w:autoSpaceDE w:val="0"/>
              <w:autoSpaceDN w:val="0"/>
              <w:spacing w:line="360" w:lineRule="auto"/>
              <w:jc w:val="center"/>
              <w:textAlignment w:val="center"/>
              <w:rPr>
                <w:rFonts w:hint="eastAsia" w:ascii="宋体" w:hAnsi="宋体" w:cs="仿宋"/>
                <w:sz w:val="21"/>
              </w:rPr>
            </w:pPr>
            <w:r>
              <w:rPr>
                <w:rFonts w:hint="eastAsia" w:ascii="宋体" w:hAnsi="宋体" w:cs="仿宋"/>
                <w:sz w:val="21"/>
              </w:rPr>
              <w:t>五系统十二频 GNSS 接收机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jc w:val="center"/>
        </w:trPr>
        <w:tc>
          <w:tcPr>
            <w:tcW w:w="672" w:type="dxa"/>
            <w:vMerge w:val="restart"/>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观测 参数</w:t>
            </w:r>
          </w:p>
        </w:tc>
        <w:tc>
          <w:tcPr>
            <w:tcW w:w="4382" w:type="dxa"/>
            <w:gridSpan w:val="2"/>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位置参数</w:t>
            </w:r>
          </w:p>
        </w:tc>
        <w:tc>
          <w:tcPr>
            <w:tcW w:w="3440" w:type="dxa"/>
            <w:gridSpan w:val="2"/>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环境参数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BDS</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lang w:eastAsia="en-US"/>
              </w:rPr>
              <w:t>B1、B2</w:t>
            </w:r>
            <w:r>
              <w:rPr>
                <w:rFonts w:hint="eastAsia" w:ascii="宋体" w:hAnsi="宋体" w:cs="仿宋"/>
                <w:sz w:val="21"/>
              </w:rPr>
              <w:t>、B3</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工作温度</w:t>
            </w:r>
          </w:p>
        </w:tc>
        <w:tc>
          <w:tcPr>
            <w:tcW w:w="217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w:t>
            </w:r>
            <w:r>
              <w:rPr>
                <w:rFonts w:hint="eastAsia" w:ascii="宋体" w:hAnsi="宋体" w:cs="仿宋"/>
                <w:sz w:val="21"/>
              </w:rPr>
              <w:t>3</w:t>
            </w:r>
            <w:r>
              <w:rPr>
                <w:rFonts w:hint="eastAsia" w:ascii="宋体" w:hAnsi="宋体" w:cs="仿宋"/>
                <w:sz w:val="21"/>
                <w:lang w:eastAsia="en-US"/>
              </w:rPr>
              <w:t>0℃~ + 7</w:t>
            </w:r>
            <w:r>
              <w:rPr>
                <w:rFonts w:hint="eastAsia" w:ascii="宋体" w:hAnsi="宋体" w:cs="仿宋"/>
                <w:sz w:val="21"/>
              </w:rPr>
              <w:t>0</w:t>
            </w:r>
            <w:r>
              <w:rPr>
                <w:rFonts w:hint="eastAsia" w:ascii="宋体" w:hAnsi="宋体" w:cs="仿宋"/>
                <w:sz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GPS</w:t>
            </w:r>
          </w:p>
        </w:tc>
        <w:tc>
          <w:tcPr>
            <w:tcW w:w="311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L1 C/A、</w:t>
            </w:r>
            <w:r>
              <w:rPr>
                <w:rFonts w:hint="eastAsia" w:ascii="宋体" w:hAnsi="宋体" w:cs="仿宋"/>
                <w:sz w:val="21"/>
              </w:rPr>
              <w:t>L1P、</w:t>
            </w:r>
            <w:r>
              <w:rPr>
                <w:rFonts w:hint="eastAsia" w:ascii="宋体" w:hAnsi="宋体" w:cs="仿宋"/>
                <w:sz w:val="21"/>
                <w:lang w:eastAsia="en-US"/>
              </w:rPr>
              <w:t xml:space="preserve">L2 </w:t>
            </w:r>
            <w:r>
              <w:rPr>
                <w:rFonts w:hint="eastAsia" w:ascii="宋体" w:hAnsi="宋体" w:cs="仿宋"/>
                <w:sz w:val="21"/>
              </w:rPr>
              <w:t>P</w:t>
            </w:r>
            <w:r>
              <w:rPr>
                <w:rFonts w:hint="eastAsia" w:ascii="宋体" w:hAnsi="宋体" w:cs="仿宋"/>
                <w:sz w:val="21"/>
                <w:lang w:eastAsia="en-US"/>
              </w:rPr>
              <w:t>、L2 C、</w:t>
            </w:r>
          </w:p>
          <w:p>
            <w:pPr>
              <w:autoSpaceDE w:val="0"/>
              <w:autoSpaceDN w:val="0"/>
              <w:jc w:val="center"/>
              <w:textAlignment w:val="center"/>
              <w:rPr>
                <w:rFonts w:ascii="宋体" w:hAnsi="宋体" w:cs="仿宋"/>
                <w:sz w:val="21"/>
              </w:rPr>
            </w:pPr>
            <w:r>
              <w:rPr>
                <w:rFonts w:hint="eastAsia" w:ascii="宋体" w:hAnsi="宋体" w:cs="仿宋"/>
                <w:sz w:val="21"/>
                <w:lang w:eastAsia="en-US"/>
              </w:rPr>
              <w:t>L5</w:t>
            </w:r>
            <w:r>
              <w:rPr>
                <w:rFonts w:hint="eastAsia" w:ascii="宋体" w:hAnsi="宋体" w:cs="仿宋"/>
                <w:sz w:val="21"/>
              </w:rPr>
              <w:t>(无B3时支持)</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存储温度</w:t>
            </w:r>
          </w:p>
        </w:tc>
        <w:tc>
          <w:tcPr>
            <w:tcW w:w="217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w:t>
            </w:r>
            <w:r>
              <w:rPr>
                <w:rFonts w:hint="eastAsia" w:ascii="宋体" w:hAnsi="宋体" w:cs="仿宋"/>
                <w:sz w:val="21"/>
              </w:rPr>
              <w:t>4</w:t>
            </w:r>
            <w:r>
              <w:rPr>
                <w:rFonts w:hint="eastAsia" w:ascii="宋体" w:hAnsi="宋体" w:cs="仿宋"/>
                <w:sz w:val="21"/>
                <w:lang w:eastAsia="en-US"/>
              </w:rPr>
              <w:t>5℃~ + 85℃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GLONASS</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G2</w:t>
            </w:r>
            <w:r>
              <w:rPr>
                <w:rFonts w:hint="eastAsia" w:ascii="宋体" w:hAnsi="宋体" w:cs="仿宋"/>
                <w:sz w:val="21"/>
                <w:lang w:eastAsia="en-US"/>
              </w:rPr>
              <w:t>、</w:t>
            </w:r>
            <w:r>
              <w:rPr>
                <w:rFonts w:hint="eastAsia" w:ascii="宋体" w:hAnsi="宋体" w:cs="仿宋"/>
                <w:sz w:val="21"/>
              </w:rPr>
              <w:t>G2</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湿度</w:t>
            </w:r>
          </w:p>
        </w:tc>
        <w:tc>
          <w:tcPr>
            <w:tcW w:w="217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9</w:t>
            </w:r>
            <w:r>
              <w:rPr>
                <w:rFonts w:hint="eastAsia" w:ascii="宋体" w:hAnsi="宋体" w:cs="仿宋"/>
                <w:sz w:val="21"/>
              </w:rPr>
              <w:t>5</w:t>
            </w:r>
            <w:r>
              <w:rPr>
                <w:rFonts w:hint="eastAsia" w:ascii="宋体" w:hAnsi="宋体" w:cs="仿宋"/>
                <w:sz w:val="21"/>
                <w:lang w:eastAsia="en-US"/>
              </w:rPr>
              <w:t>%无冷凝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Galileo</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E1BC、E5B</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供电电压</w:t>
            </w:r>
          </w:p>
        </w:tc>
        <w:tc>
          <w:tcPr>
            <w:tcW w:w="2170" w:type="dxa"/>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9～18V DC,</w:t>
            </w:r>
          </w:p>
          <w:p>
            <w:pPr>
              <w:autoSpaceDE w:val="0"/>
              <w:autoSpaceDN w:val="0"/>
              <w:jc w:val="center"/>
              <w:textAlignment w:val="center"/>
              <w:rPr>
                <w:rFonts w:ascii="宋体" w:hAnsi="宋体" w:cs="仿宋"/>
                <w:sz w:val="21"/>
              </w:rPr>
            </w:pPr>
            <w:r>
              <w:rPr>
                <w:rFonts w:hint="eastAsia" w:ascii="宋体" w:hAnsi="宋体" w:cs="仿宋"/>
                <w:sz w:val="21"/>
              </w:rPr>
              <w:t>支持反接、短路保护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rPr>
            </w:pPr>
          </w:p>
        </w:tc>
        <w:tc>
          <w:tcPr>
            <w:tcW w:w="1272"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QZSS</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L1CA、L2C</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rPr>
              <w:t>振</w:t>
            </w:r>
            <w:r>
              <w:rPr>
                <w:rFonts w:hint="eastAsia" w:ascii="宋体" w:hAnsi="宋体" w:cs="仿宋"/>
                <w:sz w:val="21"/>
                <w:lang w:eastAsia="en-US"/>
              </w:rPr>
              <w:t>动</w:t>
            </w:r>
          </w:p>
        </w:tc>
        <w:tc>
          <w:tcPr>
            <w:tcW w:w="217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满足车规振动要求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冷启动</w:t>
            </w:r>
          </w:p>
        </w:tc>
        <w:tc>
          <w:tcPr>
            <w:tcW w:w="311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&lt;60s</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温启动</w:t>
            </w:r>
          </w:p>
        </w:tc>
        <w:tc>
          <w:tcPr>
            <w:tcW w:w="217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&lt;45s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热启动</w:t>
            </w:r>
          </w:p>
        </w:tc>
        <w:tc>
          <w:tcPr>
            <w:tcW w:w="311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&lt;</w:t>
            </w:r>
            <w:r>
              <w:rPr>
                <w:rFonts w:hint="eastAsia" w:ascii="宋体" w:hAnsi="宋体" w:cs="仿宋"/>
                <w:sz w:val="21"/>
              </w:rPr>
              <w:t>1</w:t>
            </w:r>
            <w:r>
              <w:rPr>
                <w:rFonts w:hint="eastAsia" w:ascii="宋体" w:hAnsi="宋体" w:cs="仿宋"/>
                <w:sz w:val="21"/>
                <w:lang w:eastAsia="en-US"/>
              </w:rPr>
              <w:t>0s</w:t>
            </w:r>
          </w:p>
        </w:tc>
        <w:tc>
          <w:tcPr>
            <w:tcW w:w="1269"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rPr>
              <w:t>PPS精度</w:t>
            </w:r>
          </w:p>
        </w:tc>
        <w:tc>
          <w:tcPr>
            <w:tcW w:w="217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20ns</w:t>
            </w:r>
            <w:r>
              <w:rPr>
                <w:rFonts w:hint="eastAsia" w:ascii="宋体" w:hAnsi="宋体" w:cs="仿宋"/>
                <w:sz w:val="21"/>
              </w:rPr>
              <w:t>(RMS)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jc w:val="center"/>
        </w:trPr>
        <w:tc>
          <w:tcPr>
            <w:tcW w:w="672" w:type="dxa"/>
            <w:vMerge w:val="continue"/>
            <w:noWrap w:val="0"/>
            <w:vAlign w:val="center"/>
          </w:tcPr>
          <w:p>
            <w:pPr>
              <w:autoSpaceDE w:val="0"/>
              <w:autoSpaceDN w:val="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速度</w:t>
            </w:r>
          </w:p>
        </w:tc>
        <w:tc>
          <w:tcPr>
            <w:tcW w:w="3110" w:type="dxa"/>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lang w:eastAsia="en-US"/>
              </w:rPr>
              <w:t>51</w:t>
            </w:r>
            <w:r>
              <w:rPr>
                <w:rFonts w:hint="eastAsia" w:ascii="宋体" w:hAnsi="宋体" w:cs="仿宋"/>
                <w:sz w:val="21"/>
              </w:rPr>
              <w:t>4</w:t>
            </w:r>
            <w:r>
              <w:rPr>
                <w:rFonts w:hint="eastAsia" w:ascii="宋体" w:hAnsi="宋体" w:cs="仿宋"/>
                <w:sz w:val="21"/>
                <w:lang w:eastAsia="en-US"/>
              </w:rPr>
              <w:t>m/sec</w:t>
            </w:r>
          </w:p>
        </w:tc>
        <w:tc>
          <w:tcPr>
            <w:tcW w:w="1269" w:type="dxa"/>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lang w:eastAsia="en-US"/>
              </w:rPr>
              <w:t>高度</w:t>
            </w:r>
          </w:p>
        </w:tc>
        <w:tc>
          <w:tcPr>
            <w:tcW w:w="2170" w:type="dxa"/>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lang w:eastAsia="en-US"/>
              </w:rPr>
              <w:t>18,</w:t>
            </w:r>
            <w:r>
              <w:rPr>
                <w:rFonts w:hint="eastAsia" w:ascii="宋体" w:hAnsi="宋体" w:cs="仿宋"/>
                <w:sz w:val="21"/>
              </w:rPr>
              <w:t>288</w:t>
            </w:r>
            <w:r>
              <w:rPr>
                <w:rFonts w:hint="eastAsia" w:ascii="宋体" w:hAnsi="宋体" w:cs="仿宋"/>
                <w:sz w:val="21"/>
                <w:lang w:eastAsia="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jc w:val="center"/>
        </w:trPr>
        <w:tc>
          <w:tcPr>
            <w:tcW w:w="672" w:type="dxa"/>
            <w:vMerge w:val="restart"/>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rPr>
              <w:t>测量</w:t>
            </w:r>
            <w:r>
              <w:rPr>
                <w:rFonts w:hint="eastAsia" w:ascii="宋体" w:hAnsi="宋体" w:cs="仿宋"/>
                <w:sz w:val="21"/>
                <w:lang w:eastAsia="en-US"/>
              </w:rPr>
              <w:t xml:space="preserve"> 精度</w:t>
            </w:r>
          </w:p>
        </w:tc>
        <w:tc>
          <w:tcPr>
            <w:tcW w:w="4382" w:type="dxa"/>
            <w:gridSpan w:val="2"/>
            <w:vMerge w:val="restart"/>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静态相对定位精度</w:t>
            </w:r>
          </w:p>
        </w:tc>
        <w:tc>
          <w:tcPr>
            <w:tcW w:w="3440" w:type="dxa"/>
            <w:gridSpan w:val="2"/>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水平：2</w:t>
            </w:r>
            <w:r>
              <w:rPr>
                <w:rFonts w:hint="eastAsia" w:ascii="宋体" w:hAnsi="宋体" w:cs="仿宋"/>
                <w:sz w:val="21"/>
                <w:lang w:eastAsia="en-US"/>
              </w:rPr>
              <w:t>mm+1ppm</w:t>
            </w:r>
            <w:r>
              <w:rPr>
                <w:rFonts w:hint="eastAsia" w:ascii="宋体" w:hAnsi="宋体" w:cs="仿宋"/>
                <w:sz w:val="21"/>
              </w:rPr>
              <w:t xml:space="preserve"> 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4382" w:type="dxa"/>
            <w:gridSpan w:val="2"/>
            <w:vMerge w:val="continue"/>
            <w:noWrap w:val="0"/>
            <w:vAlign w:val="center"/>
          </w:tcPr>
          <w:p>
            <w:pPr>
              <w:autoSpaceDE w:val="0"/>
              <w:autoSpaceDN w:val="0"/>
              <w:jc w:val="center"/>
              <w:textAlignment w:val="center"/>
              <w:rPr>
                <w:rFonts w:ascii="宋体" w:hAnsi="宋体" w:cs="仿宋"/>
                <w:sz w:val="21"/>
              </w:rPr>
            </w:pPr>
          </w:p>
        </w:tc>
        <w:tc>
          <w:tcPr>
            <w:tcW w:w="3440" w:type="dxa"/>
            <w:gridSpan w:val="2"/>
            <w:noWrap w:val="0"/>
            <w:vAlign w:val="center"/>
          </w:tcPr>
          <w:p>
            <w:pPr>
              <w:autoSpaceDE w:val="0"/>
              <w:autoSpaceDN w:val="0"/>
              <w:jc w:val="center"/>
              <w:textAlignment w:val="center"/>
              <w:rPr>
                <w:rFonts w:ascii="宋体" w:hAnsi="宋体" w:cs="仿宋"/>
                <w:sz w:val="21"/>
                <w:lang w:eastAsia="en-US"/>
              </w:rPr>
            </w:pPr>
            <w:r>
              <w:rPr>
                <w:rFonts w:hint="eastAsia" w:ascii="宋体" w:hAnsi="宋体" w:cs="仿宋"/>
                <w:sz w:val="21"/>
              </w:rPr>
              <w:t>垂直：5</w:t>
            </w:r>
            <w:r>
              <w:rPr>
                <w:rFonts w:hint="eastAsia" w:ascii="宋体" w:hAnsi="宋体" w:cs="仿宋"/>
                <w:sz w:val="21"/>
                <w:lang w:eastAsia="en-US"/>
              </w:rPr>
              <w:t>mm+1ppm</w:t>
            </w:r>
            <w:r>
              <w:rPr>
                <w:rFonts w:hint="eastAsia" w:ascii="宋体" w:hAnsi="宋体" w:cs="仿宋"/>
                <w:sz w:val="21"/>
              </w:rPr>
              <w:t xml:space="preserve"> 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4382" w:type="dxa"/>
            <w:gridSpan w:val="2"/>
            <w:vMerge w:val="restart"/>
            <w:noWrap w:val="0"/>
            <w:vAlign w:val="center"/>
          </w:tcPr>
          <w:p>
            <w:pPr>
              <w:autoSpaceDE w:val="0"/>
              <w:autoSpaceDN w:val="0"/>
              <w:jc w:val="center"/>
              <w:textAlignment w:val="center"/>
              <w:rPr>
                <w:rFonts w:hint="eastAsia" w:ascii="宋体" w:hAnsi="宋体" w:cs="仿宋"/>
                <w:sz w:val="21"/>
                <w:lang w:eastAsia="en-US"/>
              </w:rPr>
            </w:pPr>
            <w:r>
              <w:rPr>
                <w:rFonts w:hint="eastAsia" w:ascii="宋体" w:hAnsi="宋体" w:cs="仿宋"/>
                <w:sz w:val="21"/>
              </w:rPr>
              <w:t>动态相对定位精度</w:t>
            </w:r>
          </w:p>
        </w:tc>
        <w:tc>
          <w:tcPr>
            <w:tcW w:w="3440" w:type="dxa"/>
            <w:gridSpan w:val="2"/>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水平：10</w:t>
            </w:r>
            <w:r>
              <w:rPr>
                <w:rFonts w:hint="eastAsia" w:ascii="宋体" w:hAnsi="宋体" w:cs="仿宋"/>
                <w:sz w:val="21"/>
                <w:lang w:eastAsia="en-US"/>
              </w:rPr>
              <w:t>mm+1ppm</w:t>
            </w:r>
            <w:r>
              <w:rPr>
                <w:rFonts w:hint="eastAsia" w:ascii="宋体" w:hAnsi="宋体" w:cs="仿宋"/>
                <w:sz w:val="21"/>
              </w:rPr>
              <w:t xml:space="preserve"> 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4382" w:type="dxa"/>
            <w:gridSpan w:val="2"/>
            <w:vMerge w:val="continue"/>
            <w:noWrap w:val="0"/>
            <w:vAlign w:val="center"/>
          </w:tcPr>
          <w:p>
            <w:pPr>
              <w:autoSpaceDE w:val="0"/>
              <w:autoSpaceDN w:val="0"/>
              <w:jc w:val="center"/>
              <w:textAlignment w:val="center"/>
              <w:rPr>
                <w:rFonts w:ascii="宋体" w:hAnsi="宋体" w:cs="仿宋"/>
                <w:sz w:val="21"/>
              </w:rPr>
            </w:pPr>
          </w:p>
        </w:tc>
        <w:tc>
          <w:tcPr>
            <w:tcW w:w="3440" w:type="dxa"/>
            <w:gridSpan w:val="2"/>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垂直：20</w:t>
            </w:r>
            <w:r>
              <w:rPr>
                <w:rFonts w:hint="eastAsia" w:ascii="宋体" w:hAnsi="宋体" w:cs="仿宋"/>
                <w:sz w:val="21"/>
                <w:lang w:eastAsia="en-US"/>
              </w:rPr>
              <w:t>mm+1ppm</w:t>
            </w:r>
            <w:r>
              <w:rPr>
                <w:rFonts w:hint="eastAsia" w:ascii="宋体" w:hAnsi="宋体" w:cs="仿宋"/>
                <w:sz w:val="21"/>
              </w:rPr>
              <w:t xml:space="preserve"> 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672" w:type="dxa"/>
            <w:vMerge w:val="restart"/>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电源</w:t>
            </w:r>
          </w:p>
          <w:p>
            <w:pPr>
              <w:autoSpaceDE w:val="0"/>
              <w:autoSpaceDN w:val="0"/>
              <w:jc w:val="center"/>
              <w:textAlignment w:val="center"/>
              <w:rPr>
                <w:rFonts w:hint="eastAsia" w:ascii="宋体" w:hAnsi="宋体" w:cs="仿宋"/>
                <w:sz w:val="21"/>
                <w:lang w:eastAsia="en-US"/>
              </w:rPr>
            </w:pPr>
            <w:r>
              <w:rPr>
                <w:rFonts w:hint="eastAsia" w:ascii="宋体" w:hAnsi="宋体" w:cs="仿宋"/>
                <w:sz w:val="21"/>
              </w:rPr>
              <w:t>指标</w:t>
            </w:r>
          </w:p>
        </w:tc>
        <w:tc>
          <w:tcPr>
            <w:tcW w:w="1272"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lang w:eastAsia="en-US"/>
              </w:rPr>
              <w:t>供电电压</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9～18V DC,支持反接、短路保护</w:t>
            </w:r>
          </w:p>
        </w:tc>
        <w:tc>
          <w:tcPr>
            <w:tcW w:w="1269" w:type="dxa"/>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电流</w:t>
            </w:r>
          </w:p>
        </w:tc>
        <w:tc>
          <w:tcPr>
            <w:tcW w:w="2170" w:type="dxa"/>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＜300mA@12V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功耗</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＜4W@12V</w:t>
            </w:r>
          </w:p>
        </w:tc>
        <w:tc>
          <w:tcPr>
            <w:tcW w:w="1269" w:type="dxa"/>
            <w:noWrap w:val="0"/>
            <w:vAlign w:val="center"/>
          </w:tcPr>
          <w:p>
            <w:pPr>
              <w:autoSpaceDE w:val="0"/>
              <w:autoSpaceDN w:val="0"/>
              <w:jc w:val="center"/>
              <w:textAlignment w:val="center"/>
              <w:rPr>
                <w:rFonts w:hint="eastAsia" w:ascii="宋体" w:hAnsi="宋体" w:cs="仿宋"/>
                <w:sz w:val="21"/>
              </w:rPr>
            </w:pPr>
          </w:p>
        </w:tc>
        <w:tc>
          <w:tcPr>
            <w:tcW w:w="2170" w:type="dxa"/>
            <w:noWrap w:val="0"/>
            <w:vAlign w:val="center"/>
          </w:tcPr>
          <w:p>
            <w:pPr>
              <w:autoSpaceDE w:val="0"/>
              <w:autoSpaceDN w:val="0"/>
              <w:jc w:val="center"/>
              <w:textAlignment w:val="center"/>
              <w:rPr>
                <w:rFonts w:hint="eastAsia" w:ascii="宋体" w:hAnsi="宋体"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672" w:type="dxa"/>
            <w:vMerge w:val="restart"/>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接口</w:t>
            </w:r>
          </w:p>
          <w:p>
            <w:pPr>
              <w:autoSpaceDE w:val="0"/>
              <w:autoSpaceDN w:val="0"/>
              <w:jc w:val="center"/>
              <w:textAlignment w:val="center"/>
              <w:rPr>
                <w:rFonts w:hint="eastAsia" w:ascii="宋体" w:hAnsi="宋体" w:cs="仿宋"/>
                <w:sz w:val="21"/>
                <w:lang w:eastAsia="en-US"/>
              </w:rPr>
            </w:pPr>
            <w:r>
              <w:rPr>
                <w:rFonts w:hint="eastAsia" w:ascii="宋体" w:hAnsi="宋体" w:cs="仿宋"/>
                <w:sz w:val="21"/>
              </w:rPr>
              <w:t>说明</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控制口</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RS232，波特率115200</w:t>
            </w:r>
          </w:p>
        </w:tc>
        <w:tc>
          <w:tcPr>
            <w:tcW w:w="1269" w:type="dxa"/>
            <w:vMerge w:val="restart"/>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差分格式</w:t>
            </w:r>
          </w:p>
        </w:tc>
        <w:tc>
          <w:tcPr>
            <w:tcW w:w="2170" w:type="dxa"/>
            <w:vMerge w:val="restart"/>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RTCM v2.3(DGPS),RTCM v3(RTK),CMR(RTK)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exact"/>
          <w:jc w:val="center"/>
        </w:trPr>
        <w:tc>
          <w:tcPr>
            <w:tcW w:w="672" w:type="dxa"/>
            <w:vMerge w:val="continue"/>
            <w:noWrap w:val="0"/>
            <w:vAlign w:val="center"/>
          </w:tcPr>
          <w:p>
            <w:pPr>
              <w:autoSpaceDE w:val="0"/>
              <w:autoSpaceDN w:val="0"/>
              <w:ind w:firstLine="480"/>
              <w:jc w:val="center"/>
              <w:textAlignment w:val="center"/>
              <w:rPr>
                <w:rFonts w:hint="eastAsia" w:ascii="宋体" w:hAnsi="宋体" w:cs="仿宋"/>
                <w:sz w:val="21"/>
                <w:lang w:eastAsia="en-US"/>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差分口</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RS232，直连板卡，默认19200</w:t>
            </w:r>
          </w:p>
        </w:tc>
        <w:tc>
          <w:tcPr>
            <w:tcW w:w="1269" w:type="dxa"/>
            <w:vMerge w:val="continue"/>
            <w:noWrap w:val="0"/>
            <w:vAlign w:val="center"/>
          </w:tcPr>
          <w:p>
            <w:pPr>
              <w:autoSpaceDE w:val="0"/>
              <w:autoSpaceDN w:val="0"/>
              <w:jc w:val="center"/>
              <w:textAlignment w:val="center"/>
              <w:rPr>
                <w:rFonts w:hint="eastAsia" w:ascii="宋体" w:hAnsi="宋体" w:cs="仿宋"/>
                <w:sz w:val="21"/>
              </w:rPr>
            </w:pPr>
          </w:p>
        </w:tc>
        <w:tc>
          <w:tcPr>
            <w:tcW w:w="2170" w:type="dxa"/>
            <w:vMerge w:val="continue"/>
            <w:noWrap w:val="0"/>
            <w:vAlign w:val="center"/>
          </w:tcPr>
          <w:p>
            <w:pPr>
              <w:autoSpaceDE w:val="0"/>
              <w:autoSpaceDN w:val="0"/>
              <w:jc w:val="center"/>
              <w:textAlignment w:val="center"/>
              <w:rPr>
                <w:rFonts w:hint="eastAsia" w:ascii="宋体" w:hAnsi="宋体"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jc w:val="center"/>
        </w:trPr>
        <w:tc>
          <w:tcPr>
            <w:tcW w:w="672" w:type="dxa"/>
            <w:vMerge w:val="continue"/>
            <w:noWrap w:val="0"/>
            <w:vAlign w:val="center"/>
          </w:tcPr>
          <w:p>
            <w:pPr>
              <w:autoSpaceDE w:val="0"/>
              <w:autoSpaceDN w:val="0"/>
              <w:jc w:val="center"/>
              <w:textAlignment w:val="center"/>
              <w:rPr>
                <w:rFonts w:hint="eastAsia" w:ascii="宋体" w:hAnsi="宋体" w:cs="仿宋"/>
                <w:sz w:val="21"/>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center"/>
              <w:rPr>
                <w:rFonts w:hint="eastAsia" w:ascii="宋体" w:hAnsi="宋体" w:cs="仿宋"/>
                <w:sz w:val="21"/>
              </w:rPr>
            </w:pPr>
            <w:r>
              <w:rPr>
                <w:rFonts w:hint="eastAsia" w:ascii="宋体" w:hAnsi="宋体" w:cs="仿宋"/>
                <w:sz w:val="21"/>
              </w:rPr>
              <w:t>协议支持</w:t>
            </w:r>
          </w:p>
        </w:tc>
        <w:tc>
          <w:tcPr>
            <w:tcW w:w="311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Hemisphere GPS Binary</w:t>
            </w:r>
          </w:p>
        </w:tc>
        <w:tc>
          <w:tcPr>
            <w:tcW w:w="1269"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以太网</w:t>
            </w:r>
          </w:p>
        </w:tc>
        <w:tc>
          <w:tcPr>
            <w:tcW w:w="2170" w:type="dxa"/>
            <w:noWrap w:val="0"/>
            <w:vAlign w:val="center"/>
          </w:tcPr>
          <w:p>
            <w:pPr>
              <w:autoSpaceDE w:val="0"/>
              <w:autoSpaceDN w:val="0"/>
              <w:jc w:val="center"/>
              <w:textAlignment w:val="center"/>
              <w:rPr>
                <w:rFonts w:ascii="宋体" w:hAnsi="宋体" w:cs="仿宋"/>
                <w:sz w:val="21"/>
              </w:rPr>
            </w:pPr>
            <w:r>
              <w:rPr>
                <w:rFonts w:hint="eastAsia" w:ascii="宋体" w:hAnsi="宋体" w:cs="仿宋"/>
                <w:sz w:val="21"/>
              </w:rPr>
              <w:t>支持DHCP，可手动设置IP，支持标准Ntrip协议</w:t>
            </w:r>
          </w:p>
        </w:tc>
      </w:tr>
    </w:tbl>
    <w:p>
      <w:pPr>
        <w:pStyle w:val="136"/>
        <w:spacing w:line="440" w:lineRule="exact"/>
        <w:jc w:val="center"/>
        <w:rPr>
          <w:rStyle w:val="135"/>
          <w:rFonts w:hint="default"/>
          <w:b/>
          <w:bCs/>
          <w:color w:val="auto"/>
          <w:sz w:val="22"/>
          <w:szCs w:val="22"/>
        </w:rPr>
      </w:pPr>
      <w:r>
        <w:rPr>
          <w:rStyle w:val="135"/>
          <w:rFonts w:hint="default"/>
          <w:b/>
          <w:bCs/>
          <w:color w:val="auto"/>
          <w:sz w:val="22"/>
          <w:szCs w:val="22"/>
        </w:rPr>
        <w:t>表</w:t>
      </w:r>
      <w:r>
        <w:rPr>
          <w:rStyle w:val="135"/>
          <w:rFonts w:hint="eastAsia" w:eastAsia="宋体"/>
          <w:b/>
          <w:bCs/>
          <w:color w:val="auto"/>
          <w:sz w:val="22"/>
          <w:szCs w:val="22"/>
          <w:lang w:val="en-US" w:eastAsia="zh-CN"/>
        </w:rPr>
        <w:t>4</w:t>
      </w:r>
      <w:r>
        <w:rPr>
          <w:rStyle w:val="135"/>
          <w:rFonts w:hint="default"/>
          <w:b/>
          <w:bCs/>
          <w:color w:val="auto"/>
          <w:sz w:val="22"/>
          <w:szCs w:val="22"/>
        </w:rPr>
        <w:t>-2 普通测量型定位天线技术参数</w:t>
      </w:r>
    </w:p>
    <w:tbl>
      <w:tblPr>
        <w:tblStyle w:val="3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972"/>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型号</w:t>
            </w:r>
          </w:p>
        </w:tc>
        <w:tc>
          <w:tcPr>
            <w:tcW w:w="7047" w:type="dxa"/>
            <w:gridSpan w:val="2"/>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ascii="宋体" w:hAnsi="宋体" w:eastAsia="宋体" w:cs="仿宋"/>
                <w:kern w:val="2"/>
                <w:sz w:val="22"/>
                <w:szCs w:val="22"/>
                <w:lang w:val="en-US" w:eastAsia="zh-CN"/>
              </w:rPr>
              <w:t>AT300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425" w:type="dxa"/>
            <w:vMerge w:val="restart"/>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性能指标</w:t>
            </w: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频率范围</w:t>
            </w:r>
          </w:p>
        </w:tc>
        <w:tc>
          <w:tcPr>
            <w:tcW w:w="507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GPS L1/L2，GLONASS G1/G2</w:t>
            </w:r>
          </w:p>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BDS B1/B2/B3，Galileo E1/E2,</w:t>
            </w:r>
          </w:p>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QZSS L1/L2,L-Band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极化方式</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右旋圆极化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天线增益</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GPS L1＞6dBi;GPS L2＞5dBi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天线轴比</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≤2dB @轴向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相位中心误差</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1425" w:type="dxa"/>
            <w:vMerge w:val="restart"/>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低噪声</w:t>
            </w:r>
          </w:p>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放大器性能</w:t>
            </w: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频率带宽</w:t>
            </w:r>
          </w:p>
        </w:tc>
        <w:tc>
          <w:tcPr>
            <w:tcW w:w="507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1525～1615 MHz</w:t>
            </w:r>
          </w:p>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1200～1278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特性阻抗</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50欧姆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VSWP</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噪声系数</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2dB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增益</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39±2dB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带内平坦度</w:t>
            </w:r>
          </w:p>
        </w:tc>
        <w:tc>
          <w:tcPr>
            <w:tcW w:w="507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vMerge w:val="restart"/>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带外抑制</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L1±200 MHz＞40dBc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507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L2±200 MHz＞50dBc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jc w:val="both"/>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差分传输延迟</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≤5nS（L1-L2）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天线传输延迟</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15nS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restart"/>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环境参数</w:t>
            </w: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工作温度（℃）（℃）</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存储温度（℃）</w:t>
            </w:r>
          </w:p>
        </w:tc>
        <w:tc>
          <w:tcPr>
            <w:tcW w:w="507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-55～+100℃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湿度</w:t>
            </w:r>
          </w:p>
        </w:tc>
        <w:tc>
          <w:tcPr>
            <w:tcW w:w="5075"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95%非冷凝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防水</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IP69K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海拔高度</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10000米 RoHS EU Directive 2002/95/EC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restart"/>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电气参数</w:t>
            </w: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工作电压</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3.3-15V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工作电流</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45mA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restart"/>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机械特性</w:t>
            </w: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外形尺寸（mm）</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D146×H46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重量</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480g±10g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hint="eastAsia"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天线接口</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TNC-F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425" w:type="dxa"/>
            <w:vMerge w:val="continue"/>
            <w:noWrap w:val="0"/>
            <w:vAlign w:val="center"/>
          </w:tcPr>
          <w:p>
            <w:pPr>
              <w:pStyle w:val="137"/>
              <w:autoSpaceDE w:val="0"/>
              <w:autoSpaceDN w:val="0"/>
              <w:spacing w:line="240" w:lineRule="auto"/>
              <w:ind w:firstLine="440"/>
              <w:rPr>
                <w:rFonts w:hint="eastAsia" w:ascii="宋体" w:hAnsi="宋体" w:eastAsia="宋体" w:cs="仿宋"/>
                <w:kern w:val="2"/>
                <w:sz w:val="22"/>
                <w:szCs w:val="22"/>
                <w:lang w:val="en-US" w:eastAsia="zh-CN"/>
              </w:rPr>
            </w:pPr>
          </w:p>
        </w:tc>
        <w:tc>
          <w:tcPr>
            <w:tcW w:w="1972"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安装螺纹</w:t>
            </w:r>
          </w:p>
        </w:tc>
        <w:tc>
          <w:tcPr>
            <w:tcW w:w="5075" w:type="dxa"/>
            <w:noWrap w:val="0"/>
            <w:vAlign w:val="center"/>
          </w:tcPr>
          <w:p>
            <w:pPr>
              <w:pStyle w:val="137"/>
              <w:autoSpaceDE w:val="0"/>
              <w:autoSpaceDN w:val="0"/>
              <w:spacing w:line="240" w:lineRule="auto"/>
              <w:ind w:firstLine="0" w:firstLineChars="0"/>
              <w:rPr>
                <w:rFonts w:ascii="宋体" w:hAnsi="宋体" w:eastAsia="宋体" w:cs="仿宋"/>
                <w:kern w:val="2"/>
                <w:sz w:val="22"/>
                <w:szCs w:val="22"/>
                <w:lang w:val="en-US" w:eastAsia="zh-CN"/>
              </w:rPr>
            </w:pPr>
            <w:r>
              <w:rPr>
                <w:rFonts w:hint="eastAsia" w:ascii="宋体" w:hAnsi="宋体" w:eastAsia="宋体" w:cs="仿宋"/>
                <w:kern w:val="2"/>
                <w:sz w:val="22"/>
                <w:szCs w:val="22"/>
                <w:lang w:val="en-US" w:eastAsia="zh-CN"/>
              </w:rPr>
              <w:t>5/8-11UNC-2B 美制螺纹</w:t>
            </w:r>
          </w:p>
        </w:tc>
      </w:tr>
    </w:tbl>
    <w:p>
      <w:pPr>
        <w:pStyle w:val="136"/>
        <w:spacing w:line="440" w:lineRule="exact"/>
        <w:jc w:val="center"/>
        <w:rPr>
          <w:rStyle w:val="135"/>
          <w:rFonts w:hint="default"/>
          <w:b/>
          <w:bCs/>
          <w:color w:val="auto"/>
          <w:sz w:val="22"/>
          <w:szCs w:val="22"/>
        </w:rPr>
      </w:pPr>
    </w:p>
    <w:p>
      <w:pPr>
        <w:pStyle w:val="4"/>
        <w:rPr>
          <w:rStyle w:val="135"/>
          <w:rFonts w:hint="default" w:ascii="Cambria" w:hAnsi="Cambria"/>
          <w:color w:val="auto"/>
          <w:sz w:val="32"/>
          <w:szCs w:val="32"/>
        </w:rPr>
      </w:pPr>
      <w:bookmarkStart w:id="175" w:name="_Toc21786"/>
      <w:bookmarkStart w:id="176" w:name="_Toc36573983"/>
      <w:bookmarkStart w:id="177" w:name="_Toc15607"/>
      <w:r>
        <w:rPr>
          <w:rStyle w:val="135"/>
          <w:rFonts w:hint="eastAsia"/>
          <w:color w:val="auto"/>
          <w:sz w:val="32"/>
          <w:szCs w:val="32"/>
          <w:lang w:val="en-US" w:eastAsia="zh-CN"/>
        </w:rPr>
        <w:t>4</w:t>
      </w:r>
      <w:r>
        <w:rPr>
          <w:rStyle w:val="135"/>
          <w:rFonts w:hint="default" w:ascii="Cambria" w:hAnsi="Cambria"/>
          <w:color w:val="auto"/>
          <w:sz w:val="32"/>
          <w:szCs w:val="32"/>
        </w:rPr>
        <w:t>.2深部位移监测</w:t>
      </w:r>
      <w:bookmarkEnd w:id="175"/>
      <w:bookmarkEnd w:id="176"/>
      <w:bookmarkEnd w:id="177"/>
    </w:p>
    <w:p>
      <w:pPr>
        <w:pStyle w:val="136"/>
        <w:spacing w:line="440" w:lineRule="exact"/>
        <w:jc w:val="center"/>
        <w:rPr>
          <w:rStyle w:val="135"/>
          <w:rFonts w:hint="default"/>
          <w:b/>
          <w:bCs/>
          <w:color w:val="auto"/>
          <w:sz w:val="22"/>
          <w:szCs w:val="22"/>
        </w:rPr>
      </w:pPr>
      <w:r>
        <w:rPr>
          <w:rStyle w:val="135"/>
          <w:rFonts w:hint="default"/>
          <w:b/>
          <w:bCs/>
          <w:color w:val="auto"/>
          <w:sz w:val="22"/>
          <w:szCs w:val="22"/>
        </w:rPr>
        <w:t>表</w:t>
      </w:r>
      <w:r>
        <w:rPr>
          <w:rStyle w:val="135"/>
          <w:rFonts w:hint="eastAsia" w:eastAsia="宋体"/>
          <w:b/>
          <w:bCs/>
          <w:color w:val="auto"/>
          <w:sz w:val="22"/>
          <w:szCs w:val="22"/>
          <w:lang w:val="en-US" w:eastAsia="zh-CN"/>
        </w:rPr>
        <w:t>4</w:t>
      </w:r>
      <w:r>
        <w:rPr>
          <w:rStyle w:val="135"/>
          <w:rFonts w:hint="default"/>
          <w:b/>
          <w:bCs/>
          <w:color w:val="auto"/>
          <w:sz w:val="22"/>
          <w:szCs w:val="22"/>
        </w:rPr>
        <w:t>-3 固定测斜仪参数指标表</w:t>
      </w:r>
    </w:p>
    <w:tbl>
      <w:tblPr>
        <w:tblStyle w:val="34"/>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978"/>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restart"/>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基本参数</w:t>
            </w: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测杆直径</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25mm/32mm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ind w:firstLine="480"/>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仪器轮距</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ind w:firstLine="480"/>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仪器总长</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ind w:firstLine="480"/>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测量范围</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灵敏度</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ind w:firstLine="480"/>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测量精度</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≤0.05%F.S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restart"/>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环境参数</w:t>
            </w: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工作温度</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存储温度</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29" w:type="dxa"/>
            <w:vMerge w:val="continue"/>
            <w:noWrap w:val="0"/>
            <w:vAlign w:val="center"/>
          </w:tcPr>
          <w:p>
            <w:pPr>
              <w:spacing w:line="240" w:lineRule="auto"/>
              <w:ind w:firstLine="480"/>
              <w:jc w:val="center"/>
              <w:textAlignment w:val="center"/>
              <w:rPr>
                <w:rFonts w:hint="eastAsia" w:ascii="宋体" w:hAnsi="宋体" w:cs="宋体"/>
                <w:sz w:val="21"/>
                <w:szCs w:val="21"/>
              </w:rPr>
            </w:pP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湿度</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100%防潮，完全密封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29"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信号传输</w:t>
            </w:r>
          </w:p>
        </w:tc>
        <w:tc>
          <w:tcPr>
            <w:tcW w:w="1978"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输出信号</w:t>
            </w:r>
          </w:p>
        </w:tc>
        <w:tc>
          <w:tcPr>
            <w:tcW w:w="5092" w:type="dxa"/>
            <w:noWrap w:val="0"/>
            <w:vAlign w:val="center"/>
          </w:tcPr>
          <w:p>
            <w:pPr>
              <w:spacing w:line="240" w:lineRule="auto"/>
              <w:jc w:val="center"/>
              <w:textAlignment w:val="center"/>
              <w:rPr>
                <w:rFonts w:hint="eastAsia" w:ascii="宋体" w:hAnsi="宋体" w:cs="宋体"/>
                <w:sz w:val="21"/>
                <w:szCs w:val="21"/>
              </w:rPr>
            </w:pPr>
            <w:r>
              <w:rPr>
                <w:rFonts w:hint="eastAsia" w:ascii="宋体" w:hAnsi="宋体" w:cs="宋体"/>
                <w:sz w:val="21"/>
                <w:szCs w:val="21"/>
              </w:rPr>
              <w:t>RS485</w:t>
            </w:r>
          </w:p>
        </w:tc>
      </w:tr>
    </w:tbl>
    <w:p>
      <w:pPr>
        <w:pStyle w:val="4"/>
        <w:rPr>
          <w:rStyle w:val="135"/>
          <w:rFonts w:hint="default" w:ascii="Cambria" w:hAnsi="Cambria"/>
          <w:color w:val="auto"/>
          <w:sz w:val="32"/>
          <w:szCs w:val="32"/>
        </w:rPr>
      </w:pPr>
      <w:bookmarkStart w:id="178" w:name="_Toc32645"/>
      <w:bookmarkStart w:id="179" w:name="_Toc27299"/>
      <w:bookmarkStart w:id="180" w:name="_Toc36573984"/>
      <w:r>
        <w:rPr>
          <w:rStyle w:val="135"/>
          <w:rFonts w:hint="eastAsia"/>
          <w:color w:val="auto"/>
          <w:sz w:val="32"/>
          <w:szCs w:val="32"/>
          <w:lang w:val="en-US" w:eastAsia="zh-CN"/>
        </w:rPr>
        <w:t>4</w:t>
      </w:r>
      <w:r>
        <w:rPr>
          <w:rStyle w:val="135"/>
          <w:rFonts w:hint="default" w:ascii="Cambria" w:hAnsi="Cambria"/>
          <w:color w:val="auto"/>
          <w:sz w:val="32"/>
          <w:szCs w:val="32"/>
        </w:rPr>
        <w:t>.3地表裂缝监测</w:t>
      </w:r>
      <w:bookmarkEnd w:id="178"/>
      <w:bookmarkEnd w:id="179"/>
    </w:p>
    <w:p>
      <w:pPr>
        <w:pStyle w:val="136"/>
        <w:spacing w:line="440" w:lineRule="exact"/>
        <w:jc w:val="center"/>
        <w:rPr>
          <w:rStyle w:val="135"/>
          <w:rFonts w:hint="default"/>
          <w:b/>
          <w:bCs/>
          <w:color w:val="auto"/>
          <w:sz w:val="22"/>
          <w:szCs w:val="22"/>
        </w:rPr>
      </w:pPr>
      <w:r>
        <w:rPr>
          <w:rStyle w:val="135"/>
          <w:rFonts w:hint="default"/>
          <w:b/>
          <w:bCs/>
          <w:color w:val="auto"/>
          <w:sz w:val="22"/>
          <w:szCs w:val="22"/>
        </w:rPr>
        <w:t>表</w:t>
      </w:r>
      <w:r>
        <w:rPr>
          <w:rStyle w:val="135"/>
          <w:rFonts w:hint="eastAsia" w:eastAsia="宋体"/>
          <w:b/>
          <w:bCs/>
          <w:color w:val="auto"/>
          <w:sz w:val="22"/>
          <w:szCs w:val="22"/>
          <w:lang w:val="en-US" w:eastAsia="zh-CN"/>
        </w:rPr>
        <w:t>4</w:t>
      </w:r>
      <w:r>
        <w:rPr>
          <w:rStyle w:val="135"/>
          <w:rFonts w:hint="default"/>
          <w:b/>
          <w:bCs/>
          <w:color w:val="auto"/>
          <w:sz w:val="22"/>
          <w:szCs w:val="22"/>
        </w:rPr>
        <w:t>-</w:t>
      </w:r>
      <w:r>
        <w:rPr>
          <w:rStyle w:val="135"/>
          <w:rFonts w:hint="eastAsia" w:eastAsia="宋体"/>
          <w:b/>
          <w:bCs/>
          <w:color w:val="auto"/>
          <w:sz w:val="22"/>
          <w:szCs w:val="22"/>
          <w:lang w:val="en-US" w:eastAsia="zh-CN"/>
        </w:rPr>
        <w:t>4</w:t>
      </w:r>
      <w:r>
        <w:rPr>
          <w:rStyle w:val="135"/>
          <w:rFonts w:hint="default"/>
          <w:b/>
          <w:bCs/>
          <w:color w:val="auto"/>
          <w:sz w:val="22"/>
          <w:szCs w:val="22"/>
        </w:rPr>
        <w:t xml:space="preserve"> 裂缝监测技术指标</w:t>
      </w:r>
    </w:p>
    <w:tbl>
      <w:tblPr>
        <w:tblStyle w:val="34"/>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875"/>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55" w:type="dxa"/>
            <w:vMerge w:val="restart"/>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基本参数</w:t>
            </w:r>
          </w:p>
        </w:tc>
        <w:tc>
          <w:tcPr>
            <w:tcW w:w="187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测量范围</w:t>
            </w:r>
          </w:p>
        </w:tc>
        <w:tc>
          <w:tcPr>
            <w:tcW w:w="4828" w:type="dxa"/>
            <w:noWrap w:val="0"/>
            <w:vAlign w:val="center"/>
          </w:tcPr>
          <w:p>
            <w:pPr>
              <w:pStyle w:val="137"/>
              <w:ind w:firstLine="0" w:firstLineChars="0"/>
              <w:rPr>
                <w:rFonts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55" w:type="dxa"/>
            <w:vMerge w:val="continue"/>
            <w:noWrap w:val="0"/>
            <w:vAlign w:val="center"/>
          </w:tcPr>
          <w:p>
            <w:pPr>
              <w:pStyle w:val="137"/>
              <w:ind w:firstLine="480"/>
              <w:rPr>
                <w:rFonts w:hint="eastAsia" w:ascii="宋体" w:hAnsi="宋体" w:eastAsia="宋体" w:cs="宋体"/>
                <w:kern w:val="2"/>
                <w:sz w:val="21"/>
                <w:szCs w:val="21"/>
                <w:lang w:val="en-US" w:eastAsia="zh-CN"/>
              </w:rPr>
            </w:pPr>
          </w:p>
        </w:tc>
        <w:tc>
          <w:tcPr>
            <w:tcW w:w="187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测量准确度</w:t>
            </w:r>
          </w:p>
        </w:tc>
        <w:tc>
          <w:tcPr>
            <w:tcW w:w="4828" w:type="dxa"/>
            <w:noWrap w:val="0"/>
            <w:vAlign w:val="center"/>
          </w:tcPr>
          <w:p>
            <w:pPr>
              <w:pStyle w:val="137"/>
              <w:ind w:firstLine="0" w:firstLineChars="0"/>
              <w:rPr>
                <w:rFonts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55" w:type="dxa"/>
            <w:vMerge w:val="restart"/>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环境参数</w:t>
            </w:r>
          </w:p>
        </w:tc>
        <w:tc>
          <w:tcPr>
            <w:tcW w:w="187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工作温度</w:t>
            </w:r>
          </w:p>
        </w:tc>
        <w:tc>
          <w:tcPr>
            <w:tcW w:w="4828"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55" w:type="dxa"/>
            <w:vMerge w:val="continue"/>
            <w:noWrap w:val="0"/>
            <w:vAlign w:val="center"/>
          </w:tcPr>
          <w:p>
            <w:pPr>
              <w:pStyle w:val="137"/>
              <w:ind w:firstLine="480"/>
              <w:rPr>
                <w:rFonts w:hint="eastAsia" w:ascii="宋体" w:hAnsi="宋体" w:eastAsia="宋体" w:cs="宋体"/>
                <w:kern w:val="2"/>
                <w:sz w:val="21"/>
                <w:szCs w:val="21"/>
                <w:lang w:val="en-US" w:eastAsia="zh-CN"/>
              </w:rPr>
            </w:pPr>
          </w:p>
        </w:tc>
        <w:tc>
          <w:tcPr>
            <w:tcW w:w="187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存储温度</w:t>
            </w:r>
          </w:p>
        </w:tc>
        <w:tc>
          <w:tcPr>
            <w:tcW w:w="4828"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55" w:type="dxa"/>
            <w:vMerge w:val="continue"/>
            <w:noWrap w:val="0"/>
            <w:vAlign w:val="center"/>
          </w:tcPr>
          <w:p>
            <w:pPr>
              <w:pStyle w:val="137"/>
              <w:ind w:firstLine="480"/>
              <w:rPr>
                <w:rFonts w:hint="eastAsia" w:ascii="宋体" w:hAnsi="宋体" w:eastAsia="宋体" w:cs="宋体"/>
                <w:kern w:val="2"/>
                <w:sz w:val="21"/>
                <w:szCs w:val="21"/>
                <w:lang w:val="en-US" w:eastAsia="zh-CN"/>
              </w:rPr>
            </w:pPr>
          </w:p>
        </w:tc>
        <w:tc>
          <w:tcPr>
            <w:tcW w:w="187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防护等级</w:t>
            </w:r>
          </w:p>
        </w:tc>
        <w:tc>
          <w:tcPr>
            <w:tcW w:w="4828" w:type="dxa"/>
            <w:noWrap w:val="0"/>
            <w:vAlign w:val="center"/>
          </w:tcPr>
          <w:p>
            <w:pPr>
              <w:pStyle w:val="137"/>
              <w:ind w:firstLine="0" w:firstLineChars="0"/>
              <w:rPr>
                <w:rFonts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5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信号传输</w:t>
            </w:r>
          </w:p>
        </w:tc>
        <w:tc>
          <w:tcPr>
            <w:tcW w:w="1875" w:type="dxa"/>
            <w:noWrap w:val="0"/>
            <w:vAlign w:val="center"/>
          </w:tcPr>
          <w:p>
            <w:pPr>
              <w:pStyle w:val="137"/>
              <w:ind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输出信号</w:t>
            </w:r>
          </w:p>
        </w:tc>
        <w:tc>
          <w:tcPr>
            <w:tcW w:w="4828" w:type="dxa"/>
            <w:noWrap w:val="0"/>
            <w:vAlign w:val="center"/>
          </w:tcPr>
          <w:p>
            <w:pPr>
              <w:pStyle w:val="137"/>
              <w:ind w:firstLine="0" w:firstLineChars="0"/>
              <w:rPr>
                <w:rFonts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RS485信号输出，10MB/s</w:t>
            </w:r>
          </w:p>
        </w:tc>
      </w:tr>
    </w:tbl>
    <w:p>
      <w:pPr>
        <w:pStyle w:val="4"/>
        <w:rPr>
          <w:rStyle w:val="135"/>
          <w:rFonts w:hint="default" w:ascii="Cambria" w:hAnsi="Cambria"/>
          <w:color w:val="auto"/>
          <w:sz w:val="32"/>
          <w:szCs w:val="32"/>
        </w:rPr>
      </w:pPr>
      <w:bookmarkStart w:id="181" w:name="_Toc28759"/>
      <w:bookmarkStart w:id="182" w:name="_Toc3503"/>
      <w:r>
        <w:rPr>
          <w:rStyle w:val="135"/>
          <w:rFonts w:hint="eastAsia"/>
          <w:color w:val="auto"/>
          <w:sz w:val="32"/>
          <w:szCs w:val="32"/>
          <w:lang w:val="en-US" w:eastAsia="zh-CN"/>
        </w:rPr>
        <w:t>4</w:t>
      </w:r>
      <w:r>
        <w:rPr>
          <w:rStyle w:val="135"/>
          <w:rFonts w:hint="default" w:ascii="Cambria" w:hAnsi="Cambria"/>
          <w:color w:val="auto"/>
          <w:sz w:val="32"/>
          <w:szCs w:val="32"/>
        </w:rPr>
        <w:t>.4雨量监测</w:t>
      </w:r>
      <w:bookmarkEnd w:id="180"/>
      <w:bookmarkEnd w:id="181"/>
      <w:bookmarkEnd w:id="182"/>
    </w:p>
    <w:p>
      <w:pPr>
        <w:pStyle w:val="136"/>
        <w:spacing w:line="440" w:lineRule="exact"/>
        <w:jc w:val="center"/>
        <w:rPr>
          <w:rStyle w:val="135"/>
          <w:rFonts w:hint="default"/>
          <w:b/>
          <w:bCs/>
          <w:color w:val="auto"/>
          <w:sz w:val="22"/>
          <w:szCs w:val="22"/>
        </w:rPr>
      </w:pPr>
      <w:r>
        <w:rPr>
          <w:rStyle w:val="135"/>
          <w:rFonts w:hint="default"/>
          <w:b/>
          <w:bCs/>
          <w:color w:val="auto"/>
          <w:sz w:val="22"/>
          <w:szCs w:val="22"/>
        </w:rPr>
        <w:t>表</w:t>
      </w:r>
      <w:r>
        <w:rPr>
          <w:rStyle w:val="135"/>
          <w:rFonts w:hint="eastAsia" w:eastAsia="宋体"/>
          <w:b/>
          <w:bCs/>
          <w:color w:val="auto"/>
          <w:sz w:val="22"/>
          <w:szCs w:val="22"/>
          <w:lang w:val="en-US" w:eastAsia="zh-CN"/>
        </w:rPr>
        <w:t>4</w:t>
      </w:r>
      <w:r>
        <w:rPr>
          <w:rStyle w:val="135"/>
          <w:rFonts w:hint="default"/>
          <w:b/>
          <w:bCs/>
          <w:color w:val="auto"/>
          <w:sz w:val="22"/>
          <w:szCs w:val="22"/>
        </w:rPr>
        <w:t>-5 雨量监测技术指标</w:t>
      </w:r>
    </w:p>
    <w:tbl>
      <w:tblPr>
        <w:tblStyle w:val="3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972"/>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restart"/>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基本参数</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雨强范围</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0.01mm～4mm/min（允许通过最大雨强8mm/min）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分辨率</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测量准确度</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≤±2%（室内人工降水以仪器自身排水量为准）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restart"/>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环境参数</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工作温度</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存储温度</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湿度</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信号传输</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输出信号</w:t>
            </w:r>
          </w:p>
        </w:tc>
        <w:tc>
          <w:tcPr>
            <w:tcW w:w="5075"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双触点通断信号输出</w:t>
            </w:r>
          </w:p>
        </w:tc>
      </w:tr>
    </w:tbl>
    <w:p>
      <w:pPr>
        <w:pStyle w:val="4"/>
        <w:rPr>
          <w:rStyle w:val="135"/>
          <w:rFonts w:hint="default" w:ascii="Cambria" w:hAnsi="Cambria"/>
          <w:color w:val="auto"/>
          <w:sz w:val="32"/>
          <w:szCs w:val="32"/>
        </w:rPr>
      </w:pPr>
      <w:bookmarkStart w:id="183" w:name="_Toc15971"/>
      <w:bookmarkStart w:id="184" w:name="_Toc36573985"/>
      <w:bookmarkStart w:id="185" w:name="_Toc1539"/>
      <w:r>
        <w:rPr>
          <w:rStyle w:val="135"/>
          <w:rFonts w:hint="eastAsia"/>
          <w:color w:val="auto"/>
          <w:sz w:val="32"/>
          <w:szCs w:val="32"/>
          <w:lang w:val="en-US" w:eastAsia="zh-CN"/>
        </w:rPr>
        <w:t>4</w:t>
      </w:r>
      <w:r>
        <w:rPr>
          <w:rStyle w:val="135"/>
          <w:rFonts w:hint="default" w:ascii="Cambria" w:hAnsi="Cambria"/>
          <w:color w:val="auto"/>
          <w:sz w:val="32"/>
          <w:szCs w:val="32"/>
        </w:rPr>
        <w:t>.5视频监测</w:t>
      </w:r>
      <w:bookmarkEnd w:id="183"/>
      <w:bookmarkEnd w:id="184"/>
      <w:bookmarkEnd w:id="185"/>
    </w:p>
    <w:p>
      <w:pPr>
        <w:pStyle w:val="136"/>
        <w:spacing w:line="440" w:lineRule="exact"/>
        <w:jc w:val="center"/>
        <w:rPr>
          <w:rStyle w:val="135"/>
          <w:rFonts w:hint="default"/>
          <w:b/>
          <w:bCs/>
          <w:color w:val="auto"/>
          <w:sz w:val="22"/>
          <w:szCs w:val="22"/>
        </w:rPr>
      </w:pPr>
      <w:r>
        <w:rPr>
          <w:rStyle w:val="135"/>
          <w:rFonts w:hint="default"/>
          <w:b/>
          <w:bCs/>
          <w:color w:val="auto"/>
          <w:sz w:val="22"/>
          <w:szCs w:val="22"/>
        </w:rPr>
        <w:t>表</w:t>
      </w:r>
      <w:r>
        <w:rPr>
          <w:rStyle w:val="135"/>
          <w:rFonts w:hint="eastAsia" w:eastAsia="宋体"/>
          <w:b/>
          <w:bCs/>
          <w:color w:val="auto"/>
          <w:sz w:val="22"/>
          <w:szCs w:val="22"/>
          <w:lang w:val="en-US" w:eastAsia="zh-CN"/>
        </w:rPr>
        <w:t>4</w:t>
      </w:r>
      <w:r>
        <w:rPr>
          <w:rStyle w:val="135"/>
          <w:rFonts w:hint="default"/>
          <w:b/>
          <w:bCs/>
          <w:color w:val="auto"/>
          <w:sz w:val="22"/>
          <w:szCs w:val="22"/>
        </w:rPr>
        <w:t>-6 视频监测技术指标表</w:t>
      </w:r>
    </w:p>
    <w:tbl>
      <w:tblPr>
        <w:tblStyle w:val="3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972"/>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restart"/>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szCs w:val="24"/>
                <w:lang w:val="en-US" w:eastAsia="zh-CN"/>
              </w:rPr>
              <w:t>基本参数</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主流码率</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50Hz:25fps (1920×1080) ;</w:t>
            </w:r>
          </w:p>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60Hz: 30fps(1920×1080)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分辨率</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增益控制</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自动/手动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红外照射距离</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ascii="宋体" w:hAnsi="宋体" w:eastAsia="宋体" w:cs="宋体"/>
                <w:kern w:val="2"/>
                <w:szCs w:val="24"/>
                <w:lang w:val="en-US" w:eastAsia="zh-CN"/>
              </w:rPr>
              <w:t>20</w:t>
            </w:r>
            <w:r>
              <w:rPr>
                <w:rFonts w:hint="eastAsia" w:ascii="宋体" w:hAnsi="宋体" w:eastAsia="宋体" w:cs="宋体"/>
                <w:kern w:val="2"/>
                <w:szCs w:val="24"/>
                <w:lang w:val="en-US" w:eastAsia="zh-CN"/>
              </w:rPr>
              <w:t>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聚焦模式</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自动/半自动/手动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restart"/>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镜头</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光圈数</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F1.6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光学变倍倍数</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32倍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水平视角</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61.4° to 2.1°(广角-望远)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焦距</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4.5mm to 144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restart"/>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功能</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3D定位</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断电记忆</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水平及垂直范围</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水平360°；垂直-15°-90°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restart"/>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接口</w:t>
            </w: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SD卡接口</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 xml:space="preserve"> 内置Micro SD卡插槽,支持Micro SD(即TF卡)/Micro SDHC/Micro SDXC卡,最大支持256G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pStyle w:val="137"/>
              <w:ind w:firstLine="480"/>
              <w:rPr>
                <w:rFonts w:hint="eastAsia" w:ascii="宋体" w:hAnsi="宋体" w:eastAsia="宋体" w:cs="宋体"/>
                <w:kern w:val="2"/>
                <w:szCs w:val="24"/>
                <w:lang w:val="en-US" w:eastAsia="zh-CN"/>
              </w:rPr>
            </w:pPr>
          </w:p>
        </w:tc>
        <w:tc>
          <w:tcPr>
            <w:tcW w:w="1972" w:type="dxa"/>
            <w:noWrap w:val="0"/>
            <w:vAlign w:val="center"/>
          </w:tcPr>
          <w:p>
            <w:pPr>
              <w:pStyle w:val="137"/>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网络接口</w:t>
            </w:r>
          </w:p>
        </w:tc>
        <w:tc>
          <w:tcPr>
            <w:tcW w:w="5075" w:type="dxa"/>
            <w:noWrap w:val="0"/>
            <w:vAlign w:val="center"/>
          </w:tcPr>
          <w:p>
            <w:pPr>
              <w:pStyle w:val="137"/>
              <w:spacing w:line="240" w:lineRule="auto"/>
              <w:ind w:firstLine="0" w:firstLineChars="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内置RJ45网口，支持10M/100M网络数据</w:t>
            </w:r>
          </w:p>
        </w:tc>
      </w:tr>
    </w:tbl>
    <w:p>
      <w:pPr>
        <w:pStyle w:val="4"/>
        <w:rPr>
          <w:rStyle w:val="135"/>
          <w:rFonts w:hint="default" w:ascii="Cambria" w:hAnsi="Cambria"/>
          <w:color w:val="auto"/>
          <w:sz w:val="32"/>
          <w:szCs w:val="32"/>
        </w:rPr>
      </w:pPr>
      <w:bookmarkStart w:id="186" w:name="_Toc6103"/>
      <w:bookmarkStart w:id="187" w:name="_Toc36573986"/>
      <w:bookmarkStart w:id="188" w:name="_Toc20578"/>
      <w:r>
        <w:rPr>
          <w:rStyle w:val="135"/>
          <w:rFonts w:hint="eastAsia"/>
          <w:color w:val="auto"/>
          <w:sz w:val="32"/>
          <w:szCs w:val="32"/>
          <w:lang w:val="en-US" w:eastAsia="zh-CN"/>
        </w:rPr>
        <w:t>4</w:t>
      </w:r>
      <w:r>
        <w:rPr>
          <w:rStyle w:val="135"/>
          <w:rFonts w:hint="default" w:ascii="Cambria" w:hAnsi="Cambria"/>
          <w:color w:val="auto"/>
          <w:sz w:val="32"/>
          <w:szCs w:val="32"/>
        </w:rPr>
        <w:t>.6供电系统</w:t>
      </w:r>
      <w:bookmarkEnd w:id="186"/>
      <w:bookmarkEnd w:id="187"/>
      <w:bookmarkEnd w:id="188"/>
    </w:p>
    <w:p>
      <w:pPr>
        <w:pStyle w:val="138"/>
        <w:ind w:firstLine="480"/>
        <w:rPr>
          <w:rStyle w:val="135"/>
          <w:rFonts w:hint="default"/>
        </w:rPr>
      </w:pPr>
      <w:r>
        <w:rPr>
          <w:rStyle w:val="135"/>
          <w:rFonts w:hint="default"/>
        </w:rPr>
        <w:t>根据现场实际情况，本项目选用太阳能供电系统，可保障连续10-15天阴雨天气仍能稳定工作。其组成部分有：太阳能电池板、蓄电池和电缆。其中，GNSS位移监测装置采用太阳能板浮充蓄电池供电，使用功率为100W的单晶硅太阳能板，容量100Ah的免维护蓄电池。保证无日照至少连续正常工作时间不小于10天；其他装置采用太阳能板浮充蓄电池供电，保证无日照至少连续正常工作时间不小于15天。</w:t>
      </w:r>
    </w:p>
    <w:p>
      <w:pPr>
        <w:pStyle w:val="138"/>
        <w:ind w:firstLine="482"/>
        <w:jc w:val="center"/>
        <w:rPr>
          <w:rStyle w:val="135"/>
          <w:rFonts w:hint="default"/>
          <w:b/>
        </w:rPr>
      </w:pPr>
    </w:p>
    <w:p>
      <w:pPr>
        <w:pStyle w:val="138"/>
        <w:ind w:firstLine="482"/>
        <w:jc w:val="center"/>
        <w:rPr>
          <w:rStyle w:val="135"/>
          <w:rFonts w:hint="default"/>
          <w:b/>
        </w:rPr>
      </w:pPr>
    </w:p>
    <w:p>
      <w:pPr>
        <w:pStyle w:val="138"/>
        <w:ind w:firstLine="482"/>
        <w:jc w:val="center"/>
        <w:rPr>
          <w:rStyle w:val="135"/>
          <w:rFonts w:hint="default"/>
          <w:b/>
        </w:rPr>
      </w:pPr>
    </w:p>
    <w:p>
      <w:pPr>
        <w:pStyle w:val="138"/>
        <w:ind w:firstLine="482"/>
        <w:jc w:val="center"/>
        <w:rPr>
          <w:rStyle w:val="135"/>
          <w:rFonts w:hint="default"/>
          <w:b/>
        </w:rPr>
      </w:pPr>
      <w:r>
        <w:rPr>
          <w:rStyle w:val="135"/>
          <w:rFonts w:hint="default"/>
          <w:b/>
        </w:rPr>
        <w:t>表</w:t>
      </w:r>
      <w:r>
        <w:rPr>
          <w:rStyle w:val="135"/>
          <w:rFonts w:hint="eastAsia"/>
          <w:b/>
          <w:lang w:val="en-US" w:eastAsia="zh-CN"/>
        </w:rPr>
        <w:t>4</w:t>
      </w:r>
      <w:r>
        <w:rPr>
          <w:rStyle w:val="135"/>
          <w:rFonts w:hint="default"/>
          <w:b/>
        </w:rPr>
        <w:t>-</w:t>
      </w:r>
      <w:r>
        <w:rPr>
          <w:rStyle w:val="135"/>
          <w:rFonts w:hint="eastAsia"/>
          <w:b/>
          <w:lang w:val="en-US" w:eastAsia="zh-CN"/>
        </w:rPr>
        <w:t>7</w:t>
      </w:r>
      <w:r>
        <w:rPr>
          <w:rStyle w:val="135"/>
          <w:rFonts w:hint="default"/>
          <w:b/>
        </w:rPr>
        <w:t xml:space="preserve"> 供电系统配置表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7"/>
        <w:gridCol w:w="344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top"/>
          </w:tcPr>
          <w:p>
            <w:pPr>
              <w:pStyle w:val="138"/>
              <w:ind w:firstLine="0" w:firstLineChars="0"/>
              <w:jc w:val="center"/>
              <w:rPr>
                <w:rStyle w:val="135"/>
                <w:rFonts w:hint="default"/>
                <w:b/>
              </w:rPr>
            </w:pPr>
            <w:r>
              <w:rPr>
                <w:rStyle w:val="135"/>
                <w:rFonts w:hint="default"/>
                <w:b/>
              </w:rPr>
              <w:t>序号</w:t>
            </w:r>
          </w:p>
        </w:tc>
        <w:tc>
          <w:tcPr>
            <w:tcW w:w="3443" w:type="dxa"/>
            <w:noWrap w:val="0"/>
            <w:vAlign w:val="top"/>
          </w:tcPr>
          <w:p>
            <w:pPr>
              <w:pStyle w:val="138"/>
              <w:ind w:firstLine="0" w:firstLineChars="0"/>
              <w:jc w:val="center"/>
              <w:rPr>
                <w:rStyle w:val="135"/>
                <w:rFonts w:hint="default"/>
                <w:b/>
              </w:rPr>
            </w:pPr>
            <w:r>
              <w:rPr>
                <w:rStyle w:val="135"/>
                <w:rFonts w:hint="default"/>
                <w:b/>
              </w:rPr>
              <w:t>设备类型</w:t>
            </w:r>
          </w:p>
        </w:tc>
        <w:tc>
          <w:tcPr>
            <w:tcW w:w="2131" w:type="dxa"/>
            <w:noWrap w:val="0"/>
            <w:vAlign w:val="top"/>
          </w:tcPr>
          <w:p>
            <w:pPr>
              <w:pStyle w:val="138"/>
              <w:ind w:firstLine="0" w:firstLineChars="0"/>
              <w:jc w:val="center"/>
              <w:rPr>
                <w:rStyle w:val="135"/>
                <w:rFonts w:hint="default"/>
                <w:b/>
              </w:rPr>
            </w:pPr>
            <w:r>
              <w:rPr>
                <w:rStyle w:val="135"/>
                <w:rFonts w:hint="default"/>
                <w:b/>
              </w:rPr>
              <w:t>太阳能板容量</w:t>
            </w:r>
          </w:p>
        </w:tc>
        <w:tc>
          <w:tcPr>
            <w:tcW w:w="2131" w:type="dxa"/>
            <w:noWrap w:val="0"/>
            <w:vAlign w:val="top"/>
          </w:tcPr>
          <w:p>
            <w:pPr>
              <w:pStyle w:val="138"/>
              <w:ind w:firstLine="0" w:firstLineChars="0"/>
              <w:jc w:val="center"/>
              <w:rPr>
                <w:rStyle w:val="135"/>
                <w:rFonts w:hint="default"/>
                <w:b/>
              </w:rPr>
            </w:pPr>
            <w:r>
              <w:rPr>
                <w:rStyle w:val="135"/>
                <w:rFonts w:hint="default"/>
                <w:b/>
              </w:rPr>
              <w:t>蓄电池容量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top"/>
          </w:tcPr>
          <w:p>
            <w:pPr>
              <w:pStyle w:val="138"/>
              <w:ind w:firstLine="0" w:firstLineChars="0"/>
              <w:jc w:val="center"/>
              <w:rPr>
                <w:rStyle w:val="135"/>
                <w:rFonts w:hint="default"/>
              </w:rPr>
            </w:pPr>
            <w:r>
              <w:rPr>
                <w:rStyle w:val="135"/>
                <w:rFonts w:hint="default"/>
              </w:rPr>
              <w:t>1</w:t>
            </w:r>
          </w:p>
        </w:tc>
        <w:tc>
          <w:tcPr>
            <w:tcW w:w="3443" w:type="dxa"/>
            <w:noWrap w:val="0"/>
            <w:vAlign w:val="top"/>
          </w:tcPr>
          <w:p>
            <w:pPr>
              <w:pStyle w:val="138"/>
              <w:ind w:firstLine="0" w:firstLineChars="0"/>
              <w:jc w:val="center"/>
              <w:rPr>
                <w:rStyle w:val="135"/>
                <w:rFonts w:hint="default"/>
              </w:rPr>
            </w:pPr>
            <w:r>
              <w:rPr>
                <w:rStyle w:val="135"/>
                <w:rFonts w:hint="default"/>
              </w:rPr>
              <w:t>GNSS位移监测装置</w:t>
            </w:r>
          </w:p>
        </w:tc>
        <w:tc>
          <w:tcPr>
            <w:tcW w:w="2131" w:type="dxa"/>
            <w:noWrap w:val="0"/>
            <w:vAlign w:val="top"/>
          </w:tcPr>
          <w:p>
            <w:pPr>
              <w:pStyle w:val="138"/>
              <w:ind w:firstLine="0" w:firstLineChars="0"/>
              <w:jc w:val="center"/>
              <w:rPr>
                <w:rStyle w:val="135"/>
                <w:rFonts w:hint="default"/>
              </w:rPr>
            </w:pPr>
            <w:r>
              <w:rPr>
                <w:rStyle w:val="135"/>
                <w:rFonts w:hint="default"/>
              </w:rPr>
              <w:t>100W</w:t>
            </w:r>
          </w:p>
        </w:tc>
        <w:tc>
          <w:tcPr>
            <w:tcW w:w="2131" w:type="dxa"/>
            <w:noWrap w:val="0"/>
            <w:vAlign w:val="top"/>
          </w:tcPr>
          <w:p>
            <w:pPr>
              <w:pStyle w:val="138"/>
              <w:ind w:firstLine="0" w:firstLineChars="0"/>
              <w:jc w:val="center"/>
              <w:rPr>
                <w:rStyle w:val="135"/>
                <w:rFonts w:hint="default"/>
              </w:rPr>
            </w:pPr>
            <w:r>
              <w:rPr>
                <w:rStyle w:val="135"/>
                <w:rFonts w:hint="default"/>
              </w:rPr>
              <w:t>100AH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top"/>
          </w:tcPr>
          <w:p>
            <w:pPr>
              <w:pStyle w:val="138"/>
              <w:ind w:firstLine="0" w:firstLineChars="0"/>
              <w:jc w:val="center"/>
              <w:rPr>
                <w:rStyle w:val="135"/>
                <w:rFonts w:hint="default"/>
              </w:rPr>
            </w:pPr>
            <w:r>
              <w:rPr>
                <w:rStyle w:val="135"/>
                <w:rFonts w:hint="default"/>
              </w:rPr>
              <w:t>2</w:t>
            </w:r>
          </w:p>
        </w:tc>
        <w:tc>
          <w:tcPr>
            <w:tcW w:w="3443" w:type="dxa"/>
            <w:noWrap w:val="0"/>
            <w:vAlign w:val="top"/>
          </w:tcPr>
          <w:p>
            <w:pPr>
              <w:pStyle w:val="138"/>
              <w:ind w:firstLine="0" w:firstLineChars="0"/>
              <w:jc w:val="center"/>
              <w:rPr>
                <w:rStyle w:val="135"/>
                <w:rFonts w:hint="default"/>
              </w:rPr>
            </w:pPr>
            <w:r>
              <w:rPr>
                <w:rStyle w:val="135"/>
                <w:rFonts w:hint="default"/>
              </w:rPr>
              <w:t>深部位移监测装置</w:t>
            </w:r>
          </w:p>
        </w:tc>
        <w:tc>
          <w:tcPr>
            <w:tcW w:w="2131" w:type="dxa"/>
            <w:noWrap w:val="0"/>
            <w:vAlign w:val="top"/>
          </w:tcPr>
          <w:p>
            <w:pPr>
              <w:pStyle w:val="138"/>
              <w:ind w:firstLine="0" w:firstLineChars="0"/>
              <w:jc w:val="center"/>
              <w:rPr>
                <w:rStyle w:val="135"/>
                <w:rFonts w:hint="default"/>
              </w:rPr>
            </w:pPr>
            <w:r>
              <w:rPr>
                <w:rStyle w:val="135"/>
                <w:rFonts w:hint="default"/>
              </w:rPr>
              <w:t>50W</w:t>
            </w:r>
          </w:p>
        </w:tc>
        <w:tc>
          <w:tcPr>
            <w:tcW w:w="2131" w:type="dxa"/>
            <w:noWrap w:val="0"/>
            <w:vAlign w:val="top"/>
          </w:tcPr>
          <w:p>
            <w:pPr>
              <w:pStyle w:val="138"/>
              <w:ind w:firstLine="0" w:firstLineChars="0"/>
              <w:jc w:val="center"/>
              <w:rPr>
                <w:rStyle w:val="135"/>
                <w:rFonts w:hint="default"/>
              </w:rPr>
            </w:pPr>
            <w:r>
              <w:rPr>
                <w:rStyle w:val="135"/>
                <w:rFonts w:hint="default"/>
              </w:rPr>
              <w:t>40AH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top"/>
          </w:tcPr>
          <w:p>
            <w:pPr>
              <w:pStyle w:val="138"/>
              <w:ind w:firstLine="0" w:firstLineChars="0"/>
              <w:jc w:val="center"/>
              <w:rPr>
                <w:rStyle w:val="135"/>
                <w:rFonts w:hint="default"/>
              </w:rPr>
            </w:pPr>
            <w:r>
              <w:rPr>
                <w:rStyle w:val="135"/>
                <w:rFonts w:hint="default"/>
              </w:rPr>
              <w:t>3</w:t>
            </w:r>
          </w:p>
        </w:tc>
        <w:tc>
          <w:tcPr>
            <w:tcW w:w="3443" w:type="dxa"/>
            <w:noWrap w:val="0"/>
            <w:vAlign w:val="top"/>
          </w:tcPr>
          <w:p>
            <w:pPr>
              <w:pStyle w:val="138"/>
              <w:ind w:firstLine="0" w:firstLineChars="0"/>
              <w:jc w:val="center"/>
              <w:rPr>
                <w:rStyle w:val="135"/>
                <w:rFonts w:hint="default"/>
              </w:rPr>
            </w:pPr>
            <w:r>
              <w:rPr>
                <w:rStyle w:val="135"/>
                <w:rFonts w:hint="default"/>
              </w:rPr>
              <w:t>地表裂缝监测装置</w:t>
            </w:r>
          </w:p>
        </w:tc>
        <w:tc>
          <w:tcPr>
            <w:tcW w:w="2131" w:type="dxa"/>
            <w:noWrap w:val="0"/>
            <w:vAlign w:val="top"/>
          </w:tcPr>
          <w:p>
            <w:pPr>
              <w:pStyle w:val="138"/>
              <w:ind w:firstLine="0" w:firstLineChars="0"/>
              <w:jc w:val="center"/>
              <w:rPr>
                <w:rStyle w:val="135"/>
                <w:rFonts w:hint="default"/>
              </w:rPr>
            </w:pPr>
            <w:r>
              <w:rPr>
                <w:rStyle w:val="135"/>
                <w:rFonts w:hint="default"/>
              </w:rPr>
              <w:t>50W</w:t>
            </w:r>
          </w:p>
        </w:tc>
        <w:tc>
          <w:tcPr>
            <w:tcW w:w="2131" w:type="dxa"/>
            <w:noWrap w:val="0"/>
            <w:vAlign w:val="top"/>
          </w:tcPr>
          <w:p>
            <w:pPr>
              <w:pStyle w:val="138"/>
              <w:ind w:firstLine="0" w:firstLineChars="0"/>
              <w:jc w:val="center"/>
              <w:rPr>
                <w:rStyle w:val="135"/>
                <w:rFonts w:hint="default"/>
              </w:rPr>
            </w:pPr>
            <w:r>
              <w:rPr>
                <w:rStyle w:val="135"/>
                <w:rFonts w:hint="default"/>
              </w:rPr>
              <w:t>40AH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top"/>
          </w:tcPr>
          <w:p>
            <w:pPr>
              <w:pStyle w:val="138"/>
              <w:ind w:firstLine="0" w:firstLineChars="0"/>
              <w:jc w:val="center"/>
              <w:rPr>
                <w:rStyle w:val="135"/>
                <w:rFonts w:hint="default"/>
              </w:rPr>
            </w:pPr>
            <w:r>
              <w:rPr>
                <w:rStyle w:val="135"/>
                <w:rFonts w:hint="default"/>
              </w:rPr>
              <w:t>4</w:t>
            </w:r>
          </w:p>
        </w:tc>
        <w:tc>
          <w:tcPr>
            <w:tcW w:w="3443" w:type="dxa"/>
            <w:noWrap w:val="0"/>
            <w:vAlign w:val="top"/>
          </w:tcPr>
          <w:p>
            <w:pPr>
              <w:pStyle w:val="138"/>
              <w:ind w:firstLine="0" w:firstLineChars="0"/>
              <w:jc w:val="center"/>
              <w:rPr>
                <w:rStyle w:val="135"/>
                <w:rFonts w:hint="default"/>
              </w:rPr>
            </w:pPr>
            <w:r>
              <w:rPr>
                <w:rStyle w:val="135"/>
                <w:rFonts w:hint="default"/>
              </w:rPr>
              <w:t>雨量监测</w:t>
            </w:r>
          </w:p>
        </w:tc>
        <w:tc>
          <w:tcPr>
            <w:tcW w:w="2131" w:type="dxa"/>
            <w:noWrap w:val="0"/>
            <w:vAlign w:val="top"/>
          </w:tcPr>
          <w:p>
            <w:pPr>
              <w:pStyle w:val="138"/>
              <w:ind w:firstLine="0" w:firstLineChars="0"/>
              <w:jc w:val="center"/>
              <w:rPr>
                <w:rStyle w:val="135"/>
                <w:rFonts w:hint="default"/>
              </w:rPr>
            </w:pPr>
            <w:r>
              <w:rPr>
                <w:rStyle w:val="135"/>
                <w:rFonts w:hint="default"/>
              </w:rPr>
              <w:t>50W</w:t>
            </w:r>
          </w:p>
        </w:tc>
        <w:tc>
          <w:tcPr>
            <w:tcW w:w="2131" w:type="dxa"/>
            <w:noWrap w:val="0"/>
            <w:vAlign w:val="top"/>
          </w:tcPr>
          <w:p>
            <w:pPr>
              <w:pStyle w:val="138"/>
              <w:ind w:firstLine="0" w:firstLineChars="0"/>
              <w:jc w:val="center"/>
              <w:rPr>
                <w:rStyle w:val="135"/>
                <w:rFonts w:hint="default"/>
              </w:rPr>
            </w:pPr>
            <w:r>
              <w:rPr>
                <w:rStyle w:val="135"/>
                <w:rFonts w:hint="default"/>
              </w:rPr>
              <w:t>40AH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top"/>
          </w:tcPr>
          <w:p>
            <w:pPr>
              <w:pStyle w:val="138"/>
              <w:ind w:firstLine="0" w:firstLineChars="0"/>
              <w:jc w:val="center"/>
              <w:rPr>
                <w:rStyle w:val="135"/>
                <w:rFonts w:hint="default"/>
              </w:rPr>
            </w:pPr>
            <w:r>
              <w:rPr>
                <w:rStyle w:val="135"/>
                <w:rFonts w:hint="default"/>
              </w:rPr>
              <w:t>5</w:t>
            </w:r>
          </w:p>
        </w:tc>
        <w:tc>
          <w:tcPr>
            <w:tcW w:w="3443" w:type="dxa"/>
            <w:noWrap w:val="0"/>
            <w:vAlign w:val="top"/>
          </w:tcPr>
          <w:p>
            <w:pPr>
              <w:pStyle w:val="138"/>
              <w:ind w:firstLine="0" w:firstLineChars="0"/>
              <w:jc w:val="center"/>
              <w:rPr>
                <w:rStyle w:val="135"/>
                <w:rFonts w:hint="default"/>
              </w:rPr>
            </w:pPr>
            <w:r>
              <w:rPr>
                <w:rStyle w:val="135"/>
                <w:rFonts w:hint="default"/>
              </w:rPr>
              <w:t>视频监测</w:t>
            </w:r>
          </w:p>
        </w:tc>
        <w:tc>
          <w:tcPr>
            <w:tcW w:w="2131" w:type="dxa"/>
            <w:noWrap w:val="0"/>
            <w:vAlign w:val="top"/>
          </w:tcPr>
          <w:p>
            <w:pPr>
              <w:pStyle w:val="138"/>
              <w:ind w:firstLine="0" w:firstLineChars="0"/>
              <w:jc w:val="center"/>
              <w:rPr>
                <w:rStyle w:val="135"/>
                <w:rFonts w:hint="default"/>
              </w:rPr>
            </w:pPr>
            <w:r>
              <w:rPr>
                <w:rStyle w:val="135"/>
                <w:rFonts w:hint="default"/>
              </w:rPr>
              <w:t>200W</w:t>
            </w:r>
          </w:p>
        </w:tc>
        <w:tc>
          <w:tcPr>
            <w:tcW w:w="2131" w:type="dxa"/>
            <w:noWrap w:val="0"/>
            <w:vAlign w:val="top"/>
          </w:tcPr>
          <w:p>
            <w:pPr>
              <w:pStyle w:val="138"/>
              <w:ind w:firstLine="0" w:firstLineChars="0"/>
              <w:jc w:val="center"/>
              <w:rPr>
                <w:rStyle w:val="135"/>
                <w:rFonts w:hint="default"/>
              </w:rPr>
            </w:pPr>
            <w:r>
              <w:rPr>
                <w:rStyle w:val="135"/>
                <w:rFonts w:hint="default"/>
              </w:rPr>
              <w:t>100AH</w:t>
            </w:r>
          </w:p>
        </w:tc>
      </w:tr>
    </w:tbl>
    <w:p>
      <w:pPr>
        <w:widowControl/>
        <w:spacing w:before="100" w:beforeAutospacing="1" w:after="100" w:afterAutospacing="1"/>
        <w:ind w:firstLine="542" w:firstLineChars="200"/>
        <w:jc w:val="left"/>
        <w:outlineLvl w:val="2"/>
        <w:rPr>
          <w:rFonts w:hint="eastAsia" w:ascii="宋体" w:hAnsi="宋体"/>
          <w:b/>
          <w:bCs/>
          <w:color w:val="000000"/>
          <w:kern w:val="0"/>
          <w:sz w:val="27"/>
          <w:szCs w:val="27"/>
        </w:rPr>
      </w:pPr>
      <w:r>
        <w:rPr>
          <w:rFonts w:ascii="宋体" w:hAnsi="宋体"/>
          <w:b/>
          <w:bCs/>
          <w:color w:val="000000"/>
          <w:kern w:val="0"/>
          <w:sz w:val="27"/>
          <w:szCs w:val="27"/>
        </w:rPr>
        <w:t>5</w:t>
      </w:r>
      <w:r>
        <w:rPr>
          <w:rFonts w:hint="eastAsia" w:ascii="宋体" w:hAnsi="宋体"/>
          <w:b/>
          <w:bCs/>
          <w:color w:val="000000"/>
          <w:kern w:val="0"/>
          <w:sz w:val="27"/>
          <w:szCs w:val="27"/>
        </w:rPr>
        <w:t>、主要工作方法和技术要求</w:t>
      </w:r>
    </w:p>
    <w:p>
      <w:pPr>
        <w:pStyle w:val="139"/>
        <w:spacing w:line="360" w:lineRule="auto"/>
        <w:ind w:firstLine="480"/>
        <w:rPr>
          <w:rFonts w:ascii="宋体" w:hAnsi="宋体" w:cs="宋体"/>
          <w:sz w:val="24"/>
        </w:rPr>
      </w:pPr>
      <w:r>
        <w:rPr>
          <w:rFonts w:hint="eastAsia" w:ascii="宋体" w:hAnsi="宋体" w:cs="宋体"/>
          <w:sz w:val="24"/>
        </w:rPr>
        <w:t>（一）主要工作方法</w:t>
      </w:r>
      <w:r>
        <w:rPr>
          <w:rFonts w:ascii="宋体" w:hAnsi="宋体" w:cs="宋体"/>
          <w:sz w:val="24"/>
        </w:rPr>
        <w:t xml:space="preserve"> </w:t>
      </w:r>
    </w:p>
    <w:p>
      <w:pPr>
        <w:pStyle w:val="139"/>
        <w:spacing w:line="360" w:lineRule="auto"/>
        <w:ind w:firstLine="480"/>
        <w:rPr>
          <w:rFonts w:hint="eastAsia" w:ascii="宋体" w:hAnsi="宋体" w:cs="宋体"/>
          <w:sz w:val="24"/>
        </w:rPr>
      </w:pPr>
      <w:r>
        <w:rPr>
          <w:rFonts w:hint="eastAsia" w:ascii="宋体" w:hAnsi="宋体" w:cs="宋体"/>
          <w:sz w:val="24"/>
        </w:rPr>
        <w:t>（1）进行本地区地质灾害调查资料收集及地质灾害隐患点现场调查，在灾害机理研究和综合分析研判的基础上编制监测设计方案，方案通过专家论证后方可进行现场实施。监测设计方案内容包括确定监测对象、监测内容、监测设备与布设方案等。</w:t>
      </w:r>
    </w:p>
    <w:p>
      <w:pPr>
        <w:pStyle w:val="139"/>
        <w:spacing w:line="360" w:lineRule="auto"/>
        <w:ind w:firstLine="480"/>
        <w:rPr>
          <w:rFonts w:hint="eastAsia" w:ascii="宋体" w:hAnsi="宋体" w:cs="宋体"/>
          <w:sz w:val="24"/>
        </w:rPr>
      </w:pPr>
      <w:r>
        <w:rPr>
          <w:rFonts w:hint="eastAsia" w:ascii="宋体" w:hAnsi="宋体" w:cs="宋体"/>
          <w:sz w:val="24"/>
        </w:rPr>
        <w:t>（2）开展设备安装与运行维护。结合现场情况与监测设计方案开展安装，组织监测设备现场验收，并对设备运行状态进行实时监控与维修维护。</w:t>
      </w:r>
    </w:p>
    <w:p>
      <w:pPr>
        <w:pStyle w:val="139"/>
        <w:spacing w:line="360" w:lineRule="auto"/>
        <w:ind w:firstLine="480"/>
        <w:rPr>
          <w:rFonts w:hint="eastAsia" w:ascii="宋体" w:hAnsi="宋体" w:cs="宋体"/>
          <w:sz w:val="24"/>
        </w:rPr>
      </w:pPr>
      <w:r>
        <w:rPr>
          <w:rFonts w:hint="eastAsia" w:ascii="宋体" w:hAnsi="宋体" w:cs="宋体"/>
          <w:sz w:val="24"/>
        </w:rPr>
        <w:t>（3）进行数据库与信息系统建设。建立并运行全国互联互通的地质灾害监测预警数据库及信息系统，为地质灾害专群结合监测预警工作提供全流程信息服务支撑。</w:t>
      </w:r>
    </w:p>
    <w:p>
      <w:pPr>
        <w:pStyle w:val="139"/>
        <w:spacing w:line="360" w:lineRule="auto"/>
        <w:ind w:firstLine="480"/>
        <w:rPr>
          <w:rFonts w:hint="eastAsia" w:ascii="宋体" w:hAnsi="宋体" w:cs="宋体"/>
          <w:sz w:val="24"/>
        </w:rPr>
      </w:pPr>
      <w:r>
        <w:rPr>
          <w:rFonts w:hint="eastAsia" w:ascii="宋体" w:hAnsi="宋体" w:cs="宋体"/>
          <w:sz w:val="24"/>
        </w:rPr>
        <w:t>（4）实施预警与响应。根据已有工作基础及对致灾机理、规律等的认识，建立监测预警指标体系，并通过预警实践动态优化预警模型及阈值；综合监测数据、宏观现象与趋势研判对灾害可能发生的时间、空间等进行预警，根据预警等级采取相应的应对措施。</w:t>
      </w:r>
    </w:p>
    <w:p>
      <w:pPr>
        <w:pStyle w:val="139"/>
        <w:spacing w:line="360" w:lineRule="auto"/>
        <w:ind w:firstLine="480"/>
        <w:rPr>
          <w:rFonts w:hint="eastAsia" w:ascii="宋体" w:hAnsi="宋体" w:cs="宋体"/>
          <w:sz w:val="24"/>
        </w:rPr>
      </w:pPr>
      <w:r>
        <w:rPr>
          <w:rFonts w:hint="eastAsia" w:ascii="宋体" w:hAnsi="宋体" w:cs="宋体"/>
          <w:sz w:val="24"/>
        </w:rPr>
        <w:t>（5）建设标准统一的数据库与监测预警信息系统，充分利用已建系统及共享模式，实现国家级-省级-地市级-县级互联互通和实时联动，深化物联网、大数据等新技术应用。</w:t>
      </w:r>
    </w:p>
    <w:p>
      <w:pPr>
        <w:pStyle w:val="139"/>
        <w:spacing w:line="360" w:lineRule="auto"/>
        <w:ind w:firstLine="480"/>
        <w:rPr>
          <w:rFonts w:hint="eastAsia" w:ascii="宋体" w:hAnsi="宋体" w:cs="宋体"/>
          <w:sz w:val="24"/>
        </w:rPr>
      </w:pPr>
      <w:r>
        <w:rPr>
          <w:rFonts w:hint="eastAsia" w:ascii="宋体" w:hAnsi="宋体" w:cs="宋体"/>
          <w:sz w:val="24"/>
        </w:rPr>
        <w:t>（6）构建专群结合监测预警工作和运行机制。依托现有地质灾害综合防治体系，明确专群结合监测预警工作的技术支撑队伍与群测群防员，定期或不定期开展相关知识培训与演练。</w:t>
      </w:r>
    </w:p>
    <w:p>
      <w:pPr>
        <w:spacing w:line="360" w:lineRule="auto"/>
        <w:ind w:firstLine="480" w:firstLineChars="200"/>
        <w:rPr>
          <w:rFonts w:ascii="宋体" w:hAnsi="宋体" w:cs="宋体"/>
        </w:rPr>
      </w:pPr>
      <w:r>
        <w:rPr>
          <w:rFonts w:hint="eastAsia" w:ascii="宋体" w:hAnsi="宋体" w:cs="宋体"/>
        </w:rPr>
        <w:t>（</w:t>
      </w:r>
      <w:r>
        <w:rPr>
          <w:rFonts w:ascii="宋体" w:hAnsi="宋体" w:cs="宋体"/>
        </w:rPr>
        <w:t>7</w:t>
      </w:r>
      <w:r>
        <w:rPr>
          <w:rFonts w:hint="eastAsia" w:ascii="宋体" w:hAnsi="宋体" w:cs="宋体"/>
        </w:rPr>
        <w:t>）项目完成最终工作报告</w:t>
      </w:r>
    </w:p>
    <w:p>
      <w:pPr>
        <w:spacing w:line="360" w:lineRule="auto"/>
        <w:ind w:firstLine="480" w:firstLineChars="200"/>
        <w:rPr>
          <w:rFonts w:ascii="宋体" w:hAnsi="宋体" w:cs="宋体"/>
        </w:rPr>
      </w:pPr>
      <w:r>
        <w:rPr>
          <w:rFonts w:hint="eastAsia" w:ascii="宋体" w:hAnsi="宋体" w:cs="宋体"/>
        </w:rPr>
        <w:t>项目最终工作报告根据标准格式体系和时间要求编写。根据监测预警工作需要，另行要求编制阶段成果报告、日报、周报、月报、季报、半年报、年报等。</w:t>
      </w:r>
    </w:p>
    <w:p>
      <w:pPr>
        <w:spacing w:line="360" w:lineRule="auto"/>
        <w:ind w:firstLine="480" w:firstLineChars="200"/>
        <w:rPr>
          <w:rFonts w:ascii="宋体" w:hAnsi="宋体" w:cs="宋体"/>
          <w:szCs w:val="21"/>
        </w:rPr>
      </w:pPr>
      <w:bookmarkStart w:id="189" w:name="_Toc28422"/>
      <w:bookmarkStart w:id="190" w:name="_Toc24183"/>
      <w:bookmarkStart w:id="191" w:name="_Toc17849"/>
      <w:r>
        <w:rPr>
          <w:rFonts w:hint="eastAsia" w:ascii="宋体" w:hAnsi="宋体" w:cs="宋体"/>
          <w:szCs w:val="21"/>
        </w:rPr>
        <w:t>（二）主要技术要求</w:t>
      </w:r>
      <w:bookmarkEnd w:id="189"/>
      <w:bookmarkEnd w:id="190"/>
      <w:bookmarkEnd w:id="191"/>
      <w:r>
        <w:rPr>
          <w:rFonts w:ascii="宋体" w:hAnsi="宋体" w:cs="宋体"/>
          <w:szCs w:val="21"/>
        </w:rPr>
        <w:t xml:space="preserve"> </w:t>
      </w:r>
    </w:p>
    <w:p>
      <w:pPr>
        <w:spacing w:line="360" w:lineRule="auto"/>
        <w:ind w:firstLine="480" w:firstLineChars="200"/>
        <w:rPr>
          <w:rFonts w:ascii="宋体" w:hAnsi="宋体" w:cs="宋体"/>
        </w:rPr>
      </w:pPr>
      <w:r>
        <w:rPr>
          <w:rFonts w:ascii="宋体" w:hAnsi="宋体" w:cs="宋体"/>
        </w:rPr>
        <w:t>1.</w:t>
      </w:r>
      <w:r>
        <w:rPr>
          <w:rFonts w:hint="eastAsia" w:ascii="宋体" w:hAnsi="宋体" w:cs="宋体"/>
          <w:szCs w:val="21"/>
        </w:rPr>
        <w:t>依据《地质灾害专群结合监测预警技术指南（试行）》，完成监测方案设计、安装布设与运行维护、数据库与监测系统建设，并</w:t>
      </w:r>
      <w:r>
        <w:rPr>
          <w:rFonts w:ascii="宋体" w:hAnsi="宋体" w:cs="宋体"/>
          <w:szCs w:val="21"/>
        </w:rPr>
        <w:t>在</w:t>
      </w:r>
      <w:r>
        <w:rPr>
          <w:rFonts w:hint="eastAsia" w:ascii="宋体" w:hAnsi="宋体" w:cs="宋体"/>
          <w:szCs w:val="21"/>
        </w:rPr>
        <w:t>合同约定</w:t>
      </w:r>
      <w:r>
        <w:rPr>
          <w:rFonts w:ascii="宋体" w:hAnsi="宋体" w:cs="宋体"/>
          <w:szCs w:val="21"/>
        </w:rPr>
        <w:t>期限内</w:t>
      </w:r>
      <w:r>
        <w:rPr>
          <w:rFonts w:hint="eastAsia" w:ascii="宋体" w:hAnsi="宋体" w:cs="宋体"/>
          <w:szCs w:val="21"/>
        </w:rPr>
        <w:t>建成，为属地地质灾害防治管理等部门提供数据服务与预警辅助支持。所采用的普适型设备首先应满足技术指南中各测项技术指标要求</w:t>
      </w:r>
      <w:r>
        <w:rPr>
          <w:rFonts w:ascii="宋体" w:hAnsi="宋体" w:cs="宋体"/>
          <w:szCs w:val="21"/>
        </w:rPr>
        <w:t>，</w:t>
      </w:r>
      <w:r>
        <w:rPr>
          <w:rFonts w:hint="eastAsia" w:ascii="宋体" w:hAnsi="宋体" w:cs="宋体"/>
          <w:szCs w:val="21"/>
        </w:rPr>
        <w:t>在此基础上可探索进一步高集成化、模块化并尽可能实现一体化低功耗设计，</w:t>
      </w:r>
      <w:r>
        <w:rPr>
          <w:rFonts w:hint="eastAsia" w:ascii="宋体" w:hAnsi="宋体" w:cs="宋体"/>
        </w:rPr>
        <w:t>地质灾害监测设备必须选用符合</w:t>
      </w:r>
      <w:r>
        <w:rPr>
          <w:rFonts w:ascii="宋体" w:hAnsi="宋体" w:cs="宋体"/>
        </w:rPr>
        <w:t>主要技术参数要求的普适型设备。</w:t>
      </w:r>
      <w:r>
        <w:rPr>
          <w:rFonts w:hint="eastAsia" w:ascii="宋体" w:hAnsi="宋体" w:cs="宋体"/>
        </w:rPr>
        <w:t>设备在线率</w:t>
      </w:r>
      <w:r>
        <w:rPr>
          <w:rFonts w:ascii="宋体" w:hAnsi="宋体" w:cs="宋体"/>
        </w:rPr>
        <w:t>85%以上，</w:t>
      </w:r>
      <w:r>
        <w:rPr>
          <w:rFonts w:hint="eastAsia" w:ascii="宋体" w:hAnsi="宋体" w:cs="宋体"/>
        </w:rPr>
        <w:t>提供</w:t>
      </w:r>
      <w:r>
        <w:rPr>
          <w:rFonts w:ascii="宋体" w:hAnsi="宋体" w:cs="宋体"/>
        </w:rPr>
        <w:t>7×24小时预警支撑服务。</w:t>
      </w:r>
    </w:p>
    <w:p>
      <w:pPr>
        <w:spacing w:line="360" w:lineRule="auto"/>
        <w:ind w:firstLine="480" w:firstLineChars="200"/>
        <w:rPr>
          <w:rFonts w:ascii="宋体" w:hAnsi="宋体" w:cs="宋体"/>
        </w:rPr>
      </w:pPr>
      <w:r>
        <w:rPr>
          <w:rFonts w:ascii="宋体" w:hAnsi="宋体" w:cs="宋体"/>
        </w:rPr>
        <w:t>2.所有监测设备必须按照设计方案要求安装在规定的位置，否则不予验收通过。</w:t>
      </w:r>
    </w:p>
    <w:p>
      <w:pPr>
        <w:pStyle w:val="139"/>
        <w:spacing w:line="360" w:lineRule="auto"/>
        <w:ind w:firstLine="480"/>
        <w:rPr>
          <w:sz w:val="24"/>
        </w:rPr>
      </w:pPr>
      <w:r>
        <w:rPr>
          <w:sz w:val="24"/>
        </w:rPr>
        <w:t>3.</w:t>
      </w:r>
      <w:r>
        <w:rPr>
          <w:rFonts w:hint="eastAsia"/>
          <w:sz w:val="24"/>
        </w:rPr>
        <w:t>实施运行过程中</w:t>
      </w:r>
      <w:r>
        <w:rPr>
          <w:rFonts w:hint="eastAsia"/>
          <w:sz w:val="24"/>
          <w:szCs w:val="28"/>
        </w:rPr>
        <w:t>基础施工、设备安装、联调联试、安装记录、设备管理、设备验收、运行维护等各关键环节必须遵循</w:t>
      </w:r>
      <w:r>
        <w:rPr>
          <w:rFonts w:hint="eastAsia" w:ascii="宋体" w:hAnsi="宋体" w:cs="宋体"/>
          <w:sz w:val="24"/>
        </w:rPr>
        <w:t>《地质灾害专群结合监测预警技术指南（试行）》等标准规范的要求</w:t>
      </w:r>
      <w:r>
        <w:rPr>
          <w:rFonts w:hint="eastAsia"/>
          <w:sz w:val="24"/>
          <w:szCs w:val="28"/>
        </w:rPr>
        <w:t>。</w:t>
      </w:r>
    </w:p>
    <w:p>
      <w:pPr>
        <w:spacing w:line="360" w:lineRule="auto"/>
        <w:ind w:firstLine="480" w:firstLineChars="200"/>
        <w:rPr>
          <w:rFonts w:ascii="宋体" w:hAnsi="宋体" w:cs="宋体"/>
        </w:rPr>
      </w:pPr>
      <w:r>
        <w:rPr>
          <w:rFonts w:hint="eastAsia" w:ascii="宋体" w:hAnsi="宋体" w:cs="宋体"/>
        </w:rPr>
        <w:t>⒋</w:t>
      </w:r>
      <w:r>
        <w:rPr>
          <w:rFonts w:ascii="宋体" w:hAnsi="宋体" w:cs="宋体"/>
        </w:rPr>
        <w:t>所有监测设备应满足已有地质灾害监测预警物联网系统接入要求既技术要求规定，还应满足数据传输第一存储点为用户自有存储，系统布设应满足用户端可实现完全独立自主不借助任何第三方辅助的接收、存储、解算、发布、触发等全流程功能。系统应采用分布式存储及服务分治管理技术，保证系统具有较强的生命力，符合当前和未来的应用需要，使其具有长期的使用价值和数据安全性。</w:t>
      </w:r>
    </w:p>
    <w:p>
      <w:pPr>
        <w:spacing w:line="360" w:lineRule="auto"/>
        <w:ind w:firstLine="480" w:firstLineChars="200"/>
        <w:rPr>
          <w:rFonts w:ascii="宋体" w:hAnsi="宋体" w:cs="宋体"/>
        </w:rPr>
      </w:pPr>
      <w:r>
        <w:rPr>
          <w:rFonts w:hint="eastAsia" w:ascii="宋体" w:hAnsi="宋体" w:cs="宋体"/>
        </w:rPr>
        <w:t>⒌</w:t>
      </w:r>
      <w:r>
        <w:rPr>
          <w:rFonts w:ascii="宋体" w:hAnsi="宋体" w:cs="宋体"/>
        </w:rPr>
        <w:t>在地质灾害监测预警物联网系统完善与维护中，通过严格的质量保证措施和多层次的测试工作，尽量消除系统中存在的BUG。系统功能的完善中注意提高系统的合理性、准确性、安全性、稳定性，杜绝因误操作导致的系统错误发生。提高系统人机交互界面的友好度。</w:t>
      </w:r>
    </w:p>
    <w:p>
      <w:pPr>
        <w:spacing w:line="360" w:lineRule="auto"/>
        <w:ind w:firstLine="480" w:firstLineChars="200"/>
        <w:rPr>
          <w:rFonts w:ascii="宋体" w:hAnsi="宋体" w:cs="宋体"/>
        </w:rPr>
      </w:pPr>
      <w:r>
        <w:rPr>
          <w:rFonts w:hint="eastAsia" w:ascii="宋体" w:hAnsi="宋体" w:cs="宋体"/>
        </w:rPr>
        <w:t>⒍故障恢复</w:t>
      </w:r>
    </w:p>
    <w:p>
      <w:pPr>
        <w:spacing w:line="360" w:lineRule="auto"/>
        <w:ind w:firstLine="480" w:firstLineChars="200"/>
        <w:rPr>
          <w:rFonts w:ascii="宋体" w:hAnsi="宋体" w:cs="宋体"/>
        </w:rPr>
      </w:pPr>
      <w:r>
        <w:rPr>
          <w:rFonts w:ascii="宋体" w:hAnsi="宋体" w:cs="宋体"/>
        </w:rPr>
        <w:t>野外</w:t>
      </w:r>
      <w:r>
        <w:rPr>
          <w:rFonts w:hint="eastAsia" w:ascii="宋体" w:hAnsi="宋体" w:cs="宋体"/>
        </w:rPr>
        <w:t>监测仪器</w:t>
      </w:r>
      <w:r>
        <w:rPr>
          <w:rFonts w:ascii="宋体" w:hAnsi="宋体" w:cs="宋体"/>
        </w:rPr>
        <w:t>设备故障应在1小时内响应，24小时内判断故障点，48</w:t>
      </w:r>
      <w:r>
        <w:rPr>
          <w:rFonts w:hint="eastAsia" w:ascii="宋体" w:hAnsi="宋体" w:cs="宋体"/>
        </w:rPr>
        <w:t>小时内恢复。</w:t>
      </w:r>
    </w:p>
    <w:p>
      <w:pPr>
        <w:spacing w:line="360" w:lineRule="auto"/>
        <w:ind w:firstLine="480" w:firstLineChars="200"/>
        <w:rPr>
          <w:rFonts w:ascii="宋体" w:hAnsi="宋体" w:cs="宋体"/>
        </w:rPr>
      </w:pPr>
      <w:r>
        <w:rPr>
          <w:rFonts w:hint="eastAsia" w:ascii="宋体" w:hAnsi="宋体" w:cs="宋体"/>
        </w:rPr>
        <w:t>⒎查询性能</w:t>
      </w:r>
    </w:p>
    <w:p>
      <w:pPr>
        <w:spacing w:line="360" w:lineRule="auto"/>
        <w:ind w:firstLine="480" w:firstLineChars="200"/>
        <w:rPr>
          <w:rFonts w:ascii="宋体" w:hAnsi="宋体" w:cs="宋体"/>
        </w:rPr>
      </w:pPr>
      <w:r>
        <w:rPr>
          <w:rFonts w:hint="eastAsia" w:ascii="宋体" w:hAnsi="宋体" w:cs="宋体"/>
        </w:rPr>
        <w:t>所有仪器设备应具备可查询性及</w:t>
      </w:r>
      <w:r>
        <w:rPr>
          <w:rFonts w:ascii="宋体" w:hAnsi="宋体" w:cs="宋体"/>
        </w:rPr>
        <w:t>可溯源性</w:t>
      </w:r>
      <w:r>
        <w:rPr>
          <w:rFonts w:hint="eastAsia" w:ascii="宋体" w:hAnsi="宋体" w:cs="宋体"/>
        </w:rPr>
        <w:t>，具有可方便获取的身份识别标识，可对其进行全生命周期可溯源查询。</w:t>
      </w:r>
    </w:p>
    <w:p>
      <w:pPr>
        <w:spacing w:line="360" w:lineRule="auto"/>
        <w:ind w:firstLine="480" w:firstLineChars="200"/>
        <w:rPr>
          <w:rFonts w:hint="eastAsia" w:ascii="宋体" w:hAnsi="宋体" w:cs="宋体"/>
        </w:rPr>
      </w:pPr>
      <w:r>
        <w:rPr>
          <w:rFonts w:hint="eastAsia" w:ascii="宋体" w:hAnsi="宋体" w:cs="宋体"/>
        </w:rPr>
        <w:t>⒏</w:t>
      </w:r>
      <w:r>
        <w:rPr>
          <w:rFonts w:hint="eastAsia" w:ascii="宋体" w:hAnsi="宋体" w:cs="宋体"/>
          <w:szCs w:val="21"/>
          <w:lang w:bidi="ar"/>
        </w:rPr>
        <w:t>对群测群防员、隐患点群众等培训人次每点不少于</w:t>
      </w:r>
      <w:r>
        <w:rPr>
          <w:rFonts w:ascii="宋体" w:hAnsi="宋体" w:cs="宋体"/>
          <w:szCs w:val="21"/>
          <w:lang w:bidi="ar"/>
        </w:rPr>
        <w:t>2次。</w:t>
      </w:r>
    </w:p>
    <w:p>
      <w:pPr>
        <w:widowControl/>
        <w:spacing w:before="100" w:beforeAutospacing="1" w:after="100" w:afterAutospacing="1"/>
        <w:ind w:firstLine="542" w:firstLineChars="200"/>
        <w:jc w:val="left"/>
        <w:outlineLvl w:val="2"/>
        <w:rPr>
          <w:rFonts w:ascii="宋体" w:hAnsi="宋体"/>
          <w:b/>
          <w:bCs/>
          <w:color w:val="000000"/>
          <w:kern w:val="0"/>
          <w:sz w:val="27"/>
          <w:szCs w:val="27"/>
        </w:rPr>
      </w:pPr>
      <w:bookmarkStart w:id="192" w:name="_Toc8575"/>
      <w:bookmarkStart w:id="193" w:name="_Toc18872"/>
      <w:bookmarkStart w:id="194" w:name="_Toc28679"/>
      <w:bookmarkStart w:id="195" w:name="_Toc3989"/>
      <w:bookmarkStart w:id="196" w:name="_Toc10273"/>
      <w:bookmarkStart w:id="197" w:name="_Toc30997"/>
      <w:r>
        <w:rPr>
          <w:rFonts w:ascii="宋体" w:hAnsi="宋体"/>
          <w:b/>
          <w:bCs/>
          <w:color w:val="000000"/>
          <w:kern w:val="0"/>
          <w:sz w:val="27"/>
          <w:szCs w:val="27"/>
        </w:rPr>
        <w:t>6</w:t>
      </w:r>
      <w:r>
        <w:rPr>
          <w:rFonts w:hint="eastAsia" w:ascii="宋体" w:hAnsi="宋体"/>
          <w:b/>
          <w:bCs/>
          <w:color w:val="000000"/>
          <w:kern w:val="0"/>
          <w:sz w:val="27"/>
          <w:szCs w:val="27"/>
        </w:rPr>
        <w:t>、监测设备安装实施及运行维护要求</w:t>
      </w:r>
      <w:bookmarkEnd w:id="192"/>
      <w:bookmarkEnd w:id="193"/>
      <w:bookmarkEnd w:id="194"/>
      <w:bookmarkEnd w:id="195"/>
      <w:bookmarkEnd w:id="196"/>
      <w:bookmarkEnd w:id="197"/>
    </w:p>
    <w:p>
      <w:pPr>
        <w:adjustRightInd w:val="0"/>
        <w:snapToGrid w:val="0"/>
        <w:spacing w:line="360" w:lineRule="auto"/>
        <w:ind w:firstLine="480" w:firstLineChars="200"/>
        <w:rPr>
          <w:rFonts w:ascii="宋体" w:hAnsi="宋体" w:cs="宋体"/>
        </w:rPr>
      </w:pPr>
      <w:bookmarkStart w:id="198" w:name="_Toc12895"/>
      <w:bookmarkStart w:id="199" w:name="_Toc15600"/>
      <w:bookmarkStart w:id="200" w:name="_Toc24855"/>
      <w:bookmarkStart w:id="201" w:name="_Toc7610"/>
      <w:bookmarkStart w:id="202" w:name="_Toc31775"/>
      <w:bookmarkStart w:id="203" w:name="_Toc23878"/>
      <w:r>
        <w:rPr>
          <w:rFonts w:hint="eastAsia" w:ascii="宋体" w:hAnsi="宋体" w:cs="宋体"/>
        </w:rPr>
        <w:t>（一）安装实施总体要求</w:t>
      </w:r>
      <w:bookmarkEnd w:id="198"/>
      <w:bookmarkEnd w:id="199"/>
      <w:bookmarkEnd w:id="200"/>
      <w:bookmarkEnd w:id="201"/>
      <w:bookmarkEnd w:id="202"/>
      <w:bookmarkEnd w:id="203"/>
    </w:p>
    <w:p>
      <w:pPr>
        <w:adjustRightInd w:val="0"/>
        <w:snapToGrid w:val="0"/>
        <w:spacing w:line="360" w:lineRule="auto"/>
        <w:ind w:firstLine="480" w:firstLineChars="200"/>
        <w:rPr>
          <w:rFonts w:ascii="宋体" w:hAnsi="宋体" w:cs="宋体"/>
        </w:rPr>
      </w:pPr>
      <w:r>
        <w:rPr>
          <w:rFonts w:hint="eastAsia" w:ascii="宋体" w:hAnsi="宋体" w:cs="宋体"/>
        </w:rPr>
        <w:t>根据</w:t>
      </w:r>
      <w:r>
        <w:rPr>
          <w:rFonts w:ascii="宋体" w:hAnsi="宋体" w:cs="宋体"/>
        </w:rPr>
        <w:t>技术指南</w:t>
      </w:r>
      <w:r>
        <w:rPr>
          <w:rFonts w:hint="eastAsia" w:ascii="宋体" w:hAnsi="宋体" w:cs="宋体"/>
        </w:rPr>
        <w:t>的</w:t>
      </w:r>
      <w:r>
        <w:rPr>
          <w:rFonts w:ascii="宋体" w:hAnsi="宋体" w:cs="宋体"/>
        </w:rPr>
        <w:t>统一要求，</w:t>
      </w:r>
      <w:r>
        <w:rPr>
          <w:rFonts w:hint="eastAsia" w:ascii="宋体" w:hAnsi="宋体" w:cs="宋体"/>
        </w:rPr>
        <w:t>监测设计方案应具</w:t>
      </w:r>
      <w:r>
        <w:rPr>
          <w:rFonts w:ascii="宋体" w:hAnsi="宋体" w:cs="宋体"/>
        </w:rPr>
        <w:t>科学性</w:t>
      </w:r>
      <w:r>
        <w:rPr>
          <w:rFonts w:hint="eastAsia" w:ascii="宋体" w:hAnsi="宋体" w:cs="宋体"/>
        </w:rPr>
        <w:t>、</w:t>
      </w:r>
      <w:r>
        <w:rPr>
          <w:rFonts w:ascii="宋体" w:hAnsi="宋体" w:cs="宋体"/>
        </w:rPr>
        <w:t>合理性和可行性</w:t>
      </w:r>
      <w:r>
        <w:rPr>
          <w:rFonts w:hint="eastAsia" w:ascii="宋体" w:hAnsi="宋体" w:cs="宋体"/>
        </w:rPr>
        <w:t>，监测设备选型</w:t>
      </w:r>
      <w:r>
        <w:rPr>
          <w:rFonts w:ascii="宋体" w:hAnsi="宋体" w:cs="宋体"/>
        </w:rPr>
        <w:t>、</w:t>
      </w:r>
      <w:r>
        <w:rPr>
          <w:rFonts w:hint="eastAsia" w:ascii="宋体" w:hAnsi="宋体" w:cs="宋体"/>
        </w:rPr>
        <w:t>安装、调试、维护科学性、可操作性强；项目组人员专业配备齐全；进度计划合理，能够保证在规定工期内保质保量完成。</w:t>
      </w:r>
    </w:p>
    <w:p>
      <w:pPr>
        <w:adjustRightInd w:val="0"/>
        <w:snapToGrid w:val="0"/>
        <w:spacing w:line="360" w:lineRule="auto"/>
        <w:ind w:firstLine="480" w:firstLineChars="200"/>
        <w:rPr>
          <w:rFonts w:ascii="宋体" w:hAnsi="宋体" w:cs="宋体"/>
        </w:rPr>
      </w:pPr>
      <w:r>
        <w:rPr>
          <w:rFonts w:ascii="宋体" w:hAnsi="宋体" w:cs="宋体"/>
        </w:rPr>
        <w:t>1.设备安装调试</w:t>
      </w:r>
    </w:p>
    <w:p>
      <w:pPr>
        <w:adjustRightInd w:val="0"/>
        <w:snapToGrid w:val="0"/>
        <w:spacing w:line="360" w:lineRule="auto"/>
        <w:ind w:firstLine="480" w:firstLineChars="200"/>
        <w:rPr>
          <w:rFonts w:ascii="宋体" w:hAnsi="宋体" w:cs="宋体"/>
        </w:rPr>
      </w:pPr>
      <w:r>
        <w:rPr>
          <w:rFonts w:hint="eastAsia" w:ascii="宋体" w:hAnsi="宋体" w:cs="宋体"/>
        </w:rPr>
        <w:t>中标单位负责在采购人要求的现场安装、调试仪器并交付使用，自带必要的专用工具，安装、调试及所派人员的一切费用由中标单位承担；仪器到达采购人指定地点并通过</w:t>
      </w:r>
      <w:r>
        <w:rPr>
          <w:rFonts w:ascii="宋体" w:hAnsi="宋体" w:cs="宋体"/>
        </w:rPr>
        <w:t>材料验收</w:t>
      </w:r>
      <w:r>
        <w:rPr>
          <w:rFonts w:hint="eastAsia" w:ascii="宋体" w:hAnsi="宋体" w:cs="宋体"/>
        </w:rPr>
        <w:t>后，根据</w:t>
      </w:r>
      <w:r>
        <w:rPr>
          <w:rFonts w:ascii="宋体" w:hAnsi="宋体" w:cs="宋体"/>
        </w:rPr>
        <w:t>监测设计方案</w:t>
      </w:r>
      <w:r>
        <w:rPr>
          <w:rFonts w:hint="eastAsia" w:ascii="宋体" w:hAnsi="宋体" w:cs="宋体"/>
        </w:rPr>
        <w:t>安装调试并通过</w:t>
      </w:r>
      <w:r>
        <w:rPr>
          <w:rFonts w:ascii="宋体" w:hAnsi="宋体" w:cs="宋体"/>
        </w:rPr>
        <w:t>竣工验收</w:t>
      </w:r>
      <w:r>
        <w:rPr>
          <w:rFonts w:hint="eastAsia" w:ascii="宋体" w:hAnsi="宋体" w:cs="宋体"/>
        </w:rPr>
        <w:t>。</w:t>
      </w:r>
    </w:p>
    <w:p>
      <w:pPr>
        <w:adjustRightInd w:val="0"/>
        <w:snapToGrid w:val="0"/>
        <w:spacing w:line="360" w:lineRule="auto"/>
        <w:ind w:firstLine="480" w:firstLineChars="200"/>
        <w:rPr>
          <w:rFonts w:ascii="宋体" w:hAnsi="宋体" w:cs="宋体"/>
        </w:rPr>
      </w:pPr>
      <w:r>
        <w:rPr>
          <w:rFonts w:ascii="宋体" w:hAnsi="宋体" w:cs="宋体"/>
        </w:rPr>
        <w:t>2.技术培训</w:t>
      </w:r>
    </w:p>
    <w:p>
      <w:pPr>
        <w:adjustRightInd w:val="0"/>
        <w:snapToGrid w:val="0"/>
        <w:spacing w:line="360" w:lineRule="auto"/>
        <w:ind w:firstLine="480" w:firstLineChars="200"/>
        <w:rPr>
          <w:rFonts w:ascii="宋体" w:hAnsi="宋体" w:cs="宋体"/>
        </w:rPr>
      </w:pPr>
      <w:r>
        <w:rPr>
          <w:rFonts w:hint="eastAsia" w:ascii="宋体" w:hAnsi="宋体" w:cs="宋体"/>
        </w:rPr>
        <w:t>承诺为采购人免费培训使用管理仪器的工作人员，培训内容包括仪器的基本原理、安装、调试、操作使用和日常保养维修等。</w:t>
      </w:r>
    </w:p>
    <w:p>
      <w:pPr>
        <w:adjustRightInd w:val="0"/>
        <w:snapToGrid w:val="0"/>
        <w:spacing w:line="360" w:lineRule="auto"/>
        <w:ind w:firstLine="480" w:firstLineChars="200"/>
        <w:rPr>
          <w:rFonts w:ascii="宋体" w:hAnsi="宋体" w:cs="宋体"/>
        </w:rPr>
      </w:pPr>
      <w:r>
        <w:rPr>
          <w:rFonts w:ascii="宋体" w:hAnsi="宋体" w:cs="宋体"/>
        </w:rPr>
        <w:t>3.验收标准</w:t>
      </w:r>
    </w:p>
    <w:p>
      <w:pPr>
        <w:adjustRightInd w:val="0"/>
        <w:snapToGrid w:val="0"/>
        <w:spacing w:line="360" w:lineRule="auto"/>
        <w:ind w:firstLine="480" w:firstLineChars="200"/>
        <w:rPr>
          <w:rFonts w:ascii="宋体" w:hAnsi="宋体" w:cs="宋体"/>
        </w:rPr>
      </w:pPr>
      <w:r>
        <w:rPr>
          <w:rFonts w:hint="eastAsia" w:ascii="宋体" w:hAnsi="宋体" w:cs="宋体"/>
        </w:rPr>
        <w:t>设备齐备，完整。根据招标</w:t>
      </w:r>
      <w:r>
        <w:rPr>
          <w:rFonts w:ascii="宋体" w:hAnsi="宋体" w:cs="宋体"/>
        </w:rPr>
        <w:t>文件、合同等有关技术要求和规定</w:t>
      </w:r>
      <w:r>
        <w:rPr>
          <w:rFonts w:hint="eastAsia" w:ascii="宋体" w:hAnsi="宋体" w:cs="宋体"/>
        </w:rPr>
        <w:t>，中标单位安装的设备必须符合齐备性、完整性。</w:t>
      </w:r>
    </w:p>
    <w:p>
      <w:pPr>
        <w:adjustRightInd w:val="0"/>
        <w:snapToGrid w:val="0"/>
        <w:spacing w:line="360" w:lineRule="auto"/>
        <w:ind w:firstLine="480" w:firstLineChars="200"/>
        <w:rPr>
          <w:rFonts w:ascii="宋体" w:hAnsi="宋体" w:cs="宋体"/>
        </w:rPr>
      </w:pPr>
      <w:r>
        <w:rPr>
          <w:rFonts w:ascii="宋体" w:hAnsi="宋体" w:cs="宋体"/>
        </w:rPr>
        <w:t>4.设备通电安装完成后，由中标</w:t>
      </w:r>
      <w:r>
        <w:rPr>
          <w:rFonts w:hint="eastAsia" w:ascii="宋体" w:hAnsi="宋体" w:cs="宋体"/>
        </w:rPr>
        <w:t>单位</w:t>
      </w:r>
      <w:r>
        <w:rPr>
          <w:rFonts w:ascii="宋体" w:hAnsi="宋体" w:cs="宋体"/>
        </w:rPr>
        <w:t>制定测试方案并经用户确认后，对产品的性能和配置进行测试验收，并形成测试验收报告</w:t>
      </w:r>
      <w:r>
        <w:rPr>
          <w:rFonts w:hint="eastAsia" w:ascii="宋体" w:hAnsi="宋体" w:cs="宋体"/>
        </w:rPr>
        <w:t>。</w:t>
      </w:r>
    </w:p>
    <w:p>
      <w:pPr>
        <w:adjustRightInd w:val="0"/>
        <w:snapToGrid w:val="0"/>
        <w:spacing w:line="360" w:lineRule="auto"/>
        <w:ind w:firstLine="480" w:firstLineChars="200"/>
        <w:rPr>
          <w:rFonts w:ascii="宋体" w:hAnsi="宋体" w:cs="宋体"/>
        </w:rPr>
      </w:pPr>
      <w:r>
        <w:rPr>
          <w:rFonts w:ascii="宋体" w:hAnsi="宋体" w:cs="宋体"/>
        </w:rPr>
        <w:t>5.实施并测试完毕后，中标</w:t>
      </w:r>
      <w:r>
        <w:rPr>
          <w:rFonts w:hint="eastAsia" w:ascii="宋体" w:hAnsi="宋体" w:cs="宋体"/>
        </w:rPr>
        <w:t>单位</w:t>
      </w:r>
      <w:r>
        <w:rPr>
          <w:rFonts w:ascii="宋体" w:hAnsi="宋体" w:cs="宋体"/>
        </w:rPr>
        <w:t>需与使用方进行交接工作，授与使用方相关知识转移培训，提交相关文档（包括但不限于设备的安装、运行、使用、测试、诊断、软硬件设备的安装指南和维修的技术文件）、备份的资料、采集的数据（如实施文档、配置文档、多媒体</w:t>
      </w:r>
      <w:r>
        <w:rPr>
          <w:rFonts w:hint="eastAsia" w:ascii="宋体" w:hAnsi="宋体" w:cs="宋体"/>
        </w:rPr>
        <w:t>资料</w:t>
      </w:r>
      <w:r>
        <w:rPr>
          <w:rFonts w:ascii="宋体" w:hAnsi="宋体" w:cs="宋体"/>
        </w:rPr>
        <w:t>，施工效果图等）。</w:t>
      </w:r>
    </w:p>
    <w:p>
      <w:pPr>
        <w:adjustRightInd w:val="0"/>
        <w:snapToGrid w:val="0"/>
        <w:spacing w:line="360" w:lineRule="auto"/>
        <w:ind w:firstLine="480" w:firstLineChars="200"/>
        <w:rPr>
          <w:rFonts w:ascii="宋体" w:hAnsi="宋体" w:cs="宋体"/>
        </w:rPr>
      </w:pPr>
      <w:r>
        <w:rPr>
          <w:rFonts w:ascii="宋体" w:hAnsi="宋体" w:cs="宋体"/>
        </w:rPr>
        <w:t>6.</w:t>
      </w:r>
      <w:r>
        <w:rPr>
          <w:rFonts w:hint="eastAsia" w:ascii="宋体" w:hAnsi="宋体" w:cs="宋体"/>
        </w:rPr>
        <w:t>设备</w:t>
      </w:r>
      <w:r>
        <w:rPr>
          <w:rFonts w:ascii="宋体" w:hAnsi="宋体" w:cs="宋体"/>
        </w:rPr>
        <w:t>供应商必须无条件保证所提供投标货物的制造、检验以及提供技术服务完全符合国家有关产品制造和验收标准。提供全新先进的原装产品，保修期限按国家或生产厂家之规定承诺执行。如果有不符之处，供应商应在投标文件中加以说</w:t>
      </w:r>
      <w:r>
        <w:rPr>
          <w:rFonts w:hint="eastAsia" w:ascii="宋体" w:hAnsi="宋体" w:cs="宋体"/>
        </w:rPr>
        <w:t>明，并提请采购人注意。</w:t>
      </w:r>
    </w:p>
    <w:p>
      <w:pPr>
        <w:adjustRightInd w:val="0"/>
        <w:snapToGrid w:val="0"/>
        <w:spacing w:line="360" w:lineRule="auto"/>
        <w:ind w:firstLine="480" w:firstLineChars="200"/>
        <w:rPr>
          <w:rFonts w:ascii="宋体" w:hAnsi="宋体" w:cs="宋体"/>
        </w:rPr>
      </w:pPr>
      <w:r>
        <w:rPr>
          <w:rFonts w:ascii="宋体" w:hAnsi="宋体" w:cs="宋体"/>
        </w:rPr>
        <w:t>7.</w:t>
      </w:r>
      <w:r>
        <w:rPr>
          <w:rFonts w:hint="eastAsia" w:ascii="宋体" w:hAnsi="宋体" w:cs="宋体"/>
        </w:rPr>
        <w:t>设备</w:t>
      </w:r>
      <w:r>
        <w:rPr>
          <w:rFonts w:ascii="宋体" w:hAnsi="宋体" w:cs="宋体"/>
        </w:rPr>
        <w:t>供应商须承诺在中标后货物搬运及安装过程中应注意自身及公共安全，如出现人员伤亡事故，不得影响采购人声誉，因伤亡人员事故产生的所有费用由供应商自行负责，与采购人无关。供应商同时须对现场环境进行相应保护，服从采购人管理。若因供应商原因导致现场的损坏，供应商应赔偿相应费用。应对安装工人进行专业培训，保证安装工人具有专业的安装知识及自我安全保障技能。如安装工人认为安装条件未达到安装应具备条件，未能充分保障自身安全时，应主动向采购人提出，直至具备安全作业条件时，才进行作业。否则视为符合安装条件，采购人无须负任何责任。</w:t>
      </w:r>
    </w:p>
    <w:p>
      <w:pPr>
        <w:adjustRightInd w:val="0"/>
        <w:snapToGrid w:val="0"/>
        <w:spacing w:line="360" w:lineRule="auto"/>
        <w:ind w:firstLine="480" w:firstLineChars="200"/>
        <w:rPr>
          <w:rFonts w:ascii="宋体" w:hAnsi="宋体" w:cs="宋体"/>
        </w:rPr>
      </w:pPr>
      <w:bookmarkStart w:id="204" w:name="_Toc19300"/>
      <w:bookmarkStart w:id="205" w:name="_Toc6263"/>
      <w:bookmarkStart w:id="206" w:name="_Toc31499"/>
      <w:bookmarkStart w:id="207" w:name="_Toc7844"/>
      <w:bookmarkStart w:id="208" w:name="_Toc9676"/>
      <w:bookmarkStart w:id="209" w:name="_Toc31501"/>
      <w:r>
        <w:rPr>
          <w:rFonts w:hint="eastAsia" w:ascii="宋体" w:hAnsi="宋体" w:cs="宋体"/>
        </w:rPr>
        <w:t>（二）仪器设备安装详细要求</w:t>
      </w:r>
      <w:bookmarkEnd w:id="204"/>
      <w:bookmarkEnd w:id="205"/>
      <w:bookmarkEnd w:id="206"/>
      <w:bookmarkEnd w:id="207"/>
      <w:bookmarkEnd w:id="208"/>
      <w:bookmarkEnd w:id="209"/>
    </w:p>
    <w:p>
      <w:pPr>
        <w:adjustRightInd w:val="0"/>
        <w:snapToGrid w:val="0"/>
        <w:spacing w:line="360" w:lineRule="auto"/>
        <w:ind w:firstLine="480" w:firstLineChars="200"/>
        <w:rPr>
          <w:rFonts w:ascii="宋体" w:hAnsi="宋体" w:cs="宋体"/>
        </w:rPr>
      </w:pPr>
      <w:r>
        <w:rPr>
          <w:rFonts w:ascii="宋体" w:hAnsi="宋体" w:cs="宋体"/>
        </w:rPr>
        <w:t>1.监测预警设备满足招标文件及设计要求，符合</w:t>
      </w:r>
      <w:r>
        <w:rPr>
          <w:rFonts w:hint="eastAsia" w:ascii="宋体" w:hAnsi="宋体" w:cs="宋体"/>
        </w:rPr>
        <w:t>技术</w:t>
      </w:r>
      <w:r>
        <w:rPr>
          <w:rFonts w:ascii="宋体" w:hAnsi="宋体" w:cs="宋体"/>
        </w:rPr>
        <w:t>指南</w:t>
      </w:r>
      <w:r>
        <w:rPr>
          <w:rFonts w:hint="eastAsia" w:ascii="宋体" w:hAnsi="宋体" w:cs="宋体"/>
        </w:rPr>
        <w:t>要求，本项目所选监测点设备数据接入省级地质灾害监测预警平台，安装的监测预警设备运行稳定、可靠，数据采集传输安全、有效。</w:t>
      </w:r>
    </w:p>
    <w:p>
      <w:pPr>
        <w:adjustRightInd w:val="0"/>
        <w:snapToGrid w:val="0"/>
        <w:spacing w:line="360" w:lineRule="auto"/>
        <w:ind w:firstLine="480" w:firstLineChars="200"/>
        <w:rPr>
          <w:rFonts w:ascii="宋体" w:hAnsi="宋体" w:cs="宋体"/>
        </w:rPr>
      </w:pPr>
      <w:r>
        <w:rPr>
          <w:rFonts w:ascii="宋体" w:hAnsi="宋体" w:cs="宋体"/>
        </w:rPr>
        <w:t>2.一般规定</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设备的安装应保证监测设备的安全性，安装方法应符合技术</w:t>
      </w:r>
      <w:r>
        <w:rPr>
          <w:rFonts w:ascii="宋体" w:hAnsi="宋体" w:cs="宋体"/>
        </w:rPr>
        <w:t>指南要求</w:t>
      </w:r>
      <w:r>
        <w:rPr>
          <w:rFonts w:hint="eastAsia" w:ascii="宋体" w:hAnsi="宋体" w:cs="宋体"/>
        </w:rPr>
        <w:t>。</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设备安装应考虑监测设备的复用性。</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安装应尽可能稳固、美观，整体宜采用蓝</w:t>
      </w:r>
      <w:r>
        <w:rPr>
          <w:rFonts w:ascii="宋体" w:hAnsi="宋体" w:cs="宋体"/>
        </w:rPr>
        <w:t>、白、灰等进行搭配。</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）设备维护方法应简单易推广，维护工作应做到准时、及时、长时。</w:t>
      </w:r>
    </w:p>
    <w:p>
      <w:pPr>
        <w:adjustRightInd w:val="0"/>
        <w:snapToGrid w:val="0"/>
        <w:spacing w:line="360" w:lineRule="auto"/>
        <w:ind w:firstLine="480" w:firstLineChars="200"/>
        <w:rPr>
          <w:rFonts w:ascii="宋体" w:hAnsi="宋体" w:cs="宋体"/>
        </w:rPr>
      </w:pPr>
      <w:r>
        <w:rPr>
          <w:rFonts w:ascii="宋体" w:hAnsi="宋体" w:cs="宋体"/>
        </w:rPr>
        <w:t>3.基础施工</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对采用地埋件安装立杆的监测设备，采用钢筋混凝土基础，上端为地脚螺栓螺纹，下端为防拔结构；在保障稳定性需求前提下，可采用预埋箱、地插胀杆等新型绿色安装方式。地埋件应保持水平，上端与监控立杆法兰盘应可靠配合。雨量计立杆净高不小于3m，其他设备立杆不小于2m。</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对采用混凝土浇筑安装立杆的监测设备，立杆长</w:t>
      </w:r>
      <w:r>
        <w:rPr>
          <w:rFonts w:ascii="宋体" w:hAnsi="宋体" w:cs="宋体"/>
        </w:rPr>
        <w:t>2</w:t>
      </w:r>
      <w:r>
        <w:rPr>
          <w:rFonts w:hint="eastAsia" w:ascii="宋体" w:hAnsi="宋体" w:cs="宋体"/>
        </w:rPr>
        <w:t>m时混凝土</w:t>
      </w:r>
      <w:r>
        <w:rPr>
          <w:rFonts w:ascii="宋体" w:hAnsi="宋体" w:cs="宋体"/>
        </w:rPr>
        <w:t>底座长×宽×深不小于500mm×500mm×600mm</w:t>
      </w:r>
      <w:r>
        <w:rPr>
          <w:rFonts w:hint="eastAsia" w:ascii="宋体" w:hAnsi="宋体" w:cs="宋体"/>
        </w:rPr>
        <w:t>，</w:t>
      </w:r>
      <w:r>
        <w:rPr>
          <w:rFonts w:ascii="宋体" w:hAnsi="宋体" w:cs="宋体"/>
        </w:rPr>
        <w:t>立杆</w:t>
      </w:r>
      <w:r>
        <w:rPr>
          <w:rFonts w:hint="eastAsia" w:ascii="宋体" w:hAnsi="宋体" w:cs="宋体"/>
        </w:rPr>
        <w:t>长</w:t>
      </w:r>
      <w:r>
        <w:rPr>
          <w:rFonts w:ascii="宋体" w:hAnsi="宋体" w:cs="宋体"/>
        </w:rPr>
        <w:t>3</w:t>
      </w:r>
      <w:r>
        <w:rPr>
          <w:rFonts w:hint="eastAsia" w:ascii="宋体" w:hAnsi="宋体" w:cs="宋体"/>
        </w:rPr>
        <w:t>m时</w:t>
      </w:r>
      <w:r>
        <w:rPr>
          <w:rFonts w:ascii="宋体" w:hAnsi="宋体" w:cs="宋体"/>
        </w:rPr>
        <w:t>混凝土底座长×宽×深不小于600mm×600mm×800mm</w:t>
      </w:r>
      <w:r>
        <w:rPr>
          <w:rFonts w:hint="eastAsia" w:ascii="宋体" w:hAnsi="宋体" w:cs="宋体"/>
        </w:rPr>
        <w:t>。</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对于地插胀杆式的新型安装方法，应保证钻孔直径不小于</w:t>
      </w:r>
      <w:r>
        <w:rPr>
          <w:rFonts w:ascii="宋体" w:hAnsi="宋体" w:cs="宋体"/>
        </w:rPr>
        <w:t>5cm，地插部分长度不小于 60cm，地插深度不小于 60cm。并采用原位土</w:t>
      </w:r>
      <w:r>
        <w:rPr>
          <w:rFonts w:hint="eastAsia" w:ascii="宋体" w:hAnsi="宋体" w:cs="宋体"/>
        </w:rPr>
        <w:t>或</w:t>
      </w:r>
      <w:r>
        <w:rPr>
          <w:rFonts w:ascii="宋体" w:hAnsi="宋体" w:cs="宋体"/>
        </w:rPr>
        <w:t>泥浆填充空隙，</w:t>
      </w:r>
      <w:r>
        <w:rPr>
          <w:rFonts w:hint="eastAsia" w:ascii="宋体" w:hAnsi="宋体" w:cs="宋体"/>
        </w:rPr>
        <w:t>保证仪器安装稳定。</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监测基础地面平台长、宽不小于</w:t>
      </w:r>
      <w:r>
        <w:rPr>
          <w:rFonts w:ascii="宋体" w:hAnsi="宋体" w:cs="宋体"/>
        </w:rPr>
        <w:t>400mm，露出地面高度不小于200mm。</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采用悬挂安装的仪器设备，应配备仪器安装背板，并安装不少于</w:t>
      </w:r>
      <w:r>
        <w:rPr>
          <w:rFonts w:ascii="宋体" w:hAnsi="宋体" w:cs="宋体"/>
        </w:rPr>
        <w:t>3</w:t>
      </w:r>
      <w:r>
        <w:rPr>
          <w:rFonts w:hint="eastAsia" w:ascii="宋体" w:hAnsi="宋体" w:cs="宋体"/>
        </w:rPr>
        <w:t>颗φ</w:t>
      </w:r>
      <w:r>
        <w:rPr>
          <w:rFonts w:ascii="宋体" w:hAnsi="宋体" w:cs="宋体"/>
        </w:rPr>
        <w:t>6mm</w:t>
      </w:r>
      <w:r>
        <w:rPr>
          <w:rFonts w:hint="eastAsia" w:ascii="宋体" w:hAnsi="宋体" w:cs="宋体"/>
        </w:rPr>
        <w:t>的膨胀螺钉固定。</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6）</w:t>
      </w:r>
      <w:r>
        <w:rPr>
          <w:rFonts w:hint="eastAsia" w:ascii="宋体" w:hAnsi="宋体" w:cs="宋体"/>
        </w:rPr>
        <w:t>对需采取避雷措施的监测仪器设备，基础施工时应预先埋入接地电极。</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7）</w:t>
      </w:r>
      <w:r>
        <w:rPr>
          <w:rFonts w:hint="eastAsia" w:ascii="宋体" w:hAnsi="宋体" w:cs="宋体"/>
        </w:rPr>
        <w:t>基坑开挖属隐蔽工程，开挖时应按施工流程做好影像记录以备查验。</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8）</w:t>
      </w:r>
      <w:r>
        <w:rPr>
          <w:rFonts w:hint="eastAsia" w:ascii="宋体" w:hAnsi="宋体" w:cs="宋体"/>
        </w:rPr>
        <w:t>监测工作须在监测点的基础达到稳定状态后开展，监测数据也应在此之后方可被认为有效。</w:t>
      </w:r>
    </w:p>
    <w:p>
      <w:pPr>
        <w:adjustRightInd w:val="0"/>
        <w:snapToGrid w:val="0"/>
        <w:spacing w:line="360" w:lineRule="auto"/>
        <w:ind w:firstLine="480" w:firstLineChars="200"/>
        <w:rPr>
          <w:rFonts w:ascii="宋体" w:hAnsi="宋体" w:cs="宋体"/>
        </w:rPr>
      </w:pPr>
      <w:r>
        <w:rPr>
          <w:rFonts w:ascii="宋体" w:hAnsi="宋体" w:cs="宋体"/>
        </w:rPr>
        <w:t>4.设备安装</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根据监测设计方案，将对应类型的传感器安装在指定位置。</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雨量计应检查承水器口、压敏（电）感应区是否水平；雨量计承雨器口、承雨面的安装高度选定后，不得随意变动，以保持历年降雨量观测高度的一致性和降雨记录的可比性。</w:t>
      </w:r>
    </w:p>
    <w:p>
      <w:pPr>
        <w:adjustRightInd w:val="0"/>
        <w:snapToGrid w:val="0"/>
        <w:spacing w:line="360" w:lineRule="auto"/>
        <w:ind w:firstLine="480" w:firstLineChars="200"/>
        <w:rPr>
          <w:rFonts w:hint="eastAsia" w:ascii="宋体" w:hAnsi="宋体" w:cs="宋体"/>
        </w:rPr>
      </w:pPr>
      <w:r>
        <w:rPr>
          <w:rFonts w:hint="eastAsia" w:ascii="宋体" w:hAnsi="宋体" w:cs="宋体"/>
        </w:rPr>
        <w:t>（</w:t>
      </w:r>
      <w:r>
        <w:rPr>
          <w:rFonts w:ascii="宋体" w:hAnsi="宋体" w:cs="宋体"/>
        </w:rPr>
        <w:t>3）GNSS</w:t>
      </w:r>
      <w:r>
        <w:rPr>
          <w:rFonts w:hint="eastAsia" w:ascii="宋体" w:hAnsi="宋体" w:cs="宋体"/>
        </w:rPr>
        <w:t>立杆直径≥</w:t>
      </w:r>
      <w:r>
        <w:rPr>
          <w:rFonts w:ascii="宋体" w:hAnsi="宋体" w:cs="宋体"/>
        </w:rPr>
        <w:t>90mm，管壁厚度≥3mm，并加装防雷设施。</w:t>
      </w:r>
      <w:r>
        <w:rPr>
          <w:rFonts w:hint="eastAsia" w:ascii="宋体" w:hAnsi="宋体" w:cs="宋体"/>
        </w:rPr>
        <w:t>泥位计立杆和横杆管径应分别≥</w:t>
      </w:r>
      <w:r>
        <w:rPr>
          <w:rFonts w:ascii="宋体" w:hAnsi="宋体" w:cs="宋体"/>
        </w:rPr>
        <w:t>140mm</w:t>
      </w:r>
      <w:r>
        <w:rPr>
          <w:rFonts w:hint="eastAsia" w:ascii="宋体" w:hAnsi="宋体" w:cs="宋体"/>
        </w:rPr>
        <w:t>、</w:t>
      </w:r>
      <w:r>
        <w:rPr>
          <w:rFonts w:ascii="宋体" w:hAnsi="宋体" w:cs="宋体"/>
        </w:rPr>
        <w:t>76</w:t>
      </w:r>
      <w:r>
        <w:rPr>
          <w:rFonts w:hint="eastAsia" w:ascii="宋体" w:hAnsi="宋体" w:cs="宋体"/>
        </w:rPr>
        <w:t>mm</w:t>
      </w:r>
      <w:r>
        <w:rPr>
          <w:rFonts w:ascii="宋体" w:hAnsi="宋体" w:cs="宋体"/>
        </w:rPr>
        <w:t>，管壁厚度≥4mm</w:t>
      </w:r>
      <w:r>
        <w:rPr>
          <w:rFonts w:hint="eastAsia" w:ascii="宋体" w:hAnsi="宋体" w:cs="宋体"/>
        </w:rPr>
        <w:t>，支撑杆管径和长度视实际需求而定，要求雷达传感器晃动幅度不超过精度范围。</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裂缝计在灾害体主裂缝位置应尽可能垂直穿过裂缝安装，拉绳必须通过保护管进行保护。</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倾角计、加速度计等应将传感器固定在灾害体表面或水泥台上，以便准确反映灾害体变化。</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6）</w:t>
      </w:r>
      <w:r>
        <w:rPr>
          <w:rFonts w:hint="eastAsia" w:ascii="宋体" w:hAnsi="宋体" w:cs="宋体"/>
        </w:rPr>
        <w:t>含水率计安装应满足下列要求：</w:t>
      </w:r>
    </w:p>
    <w:p>
      <w:pPr>
        <w:adjustRightInd w:val="0"/>
        <w:snapToGrid w:val="0"/>
        <w:spacing w:line="360" w:lineRule="auto"/>
        <w:ind w:firstLine="480" w:firstLineChars="200"/>
        <w:rPr>
          <w:rFonts w:ascii="宋体" w:hAnsi="宋体" w:cs="宋体"/>
        </w:rPr>
      </w:pPr>
      <w:r>
        <w:rPr>
          <w:rFonts w:ascii="宋体" w:hAnsi="宋体" w:cs="宋体"/>
        </w:rPr>
        <w:t>a）在监测点位选择时，宜先使用洛阳铲取土样，选择含碎石杂质较少位置安装，</w:t>
      </w:r>
      <w:r>
        <w:rPr>
          <w:rFonts w:hint="eastAsia" w:ascii="宋体" w:hAnsi="宋体" w:cs="宋体"/>
        </w:rPr>
        <w:t>避免含水率传感器折损。</w:t>
      </w:r>
    </w:p>
    <w:p>
      <w:pPr>
        <w:adjustRightInd w:val="0"/>
        <w:snapToGrid w:val="0"/>
        <w:spacing w:line="360" w:lineRule="auto"/>
        <w:ind w:firstLine="480" w:firstLineChars="200"/>
        <w:rPr>
          <w:rFonts w:hint="eastAsia" w:ascii="宋体" w:hAnsi="宋体" w:cs="宋体"/>
        </w:rPr>
      </w:pPr>
      <w:r>
        <w:rPr>
          <w:rFonts w:ascii="宋体" w:hAnsi="宋体" w:cs="宋体"/>
        </w:rPr>
        <w:t>b）非插针式</w:t>
      </w:r>
      <w:r>
        <w:rPr>
          <w:rFonts w:hint="eastAsia" w:ascii="宋体" w:hAnsi="宋体" w:cs="宋体"/>
        </w:rPr>
        <w:t>含水率</w:t>
      </w:r>
      <w:r>
        <w:rPr>
          <w:rFonts w:ascii="宋体" w:hAnsi="宋体" w:cs="宋体"/>
        </w:rPr>
        <w:t>测量探头垂直插入土层中，并用原状土密实回填。</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7）</w:t>
      </w:r>
      <w:r>
        <w:rPr>
          <w:rFonts w:hint="eastAsia" w:ascii="宋体" w:hAnsi="宋体" w:cs="宋体"/>
        </w:rPr>
        <w:t>需配备太阳能电池板的仪器设备，应将太阳能支架固定在立杆上，并确保太阳能板受力均匀，朝向为南向。</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8）</w:t>
      </w:r>
      <w:r>
        <w:rPr>
          <w:rFonts w:hint="eastAsia" w:ascii="宋体" w:hAnsi="宋体" w:cs="宋体"/>
        </w:rPr>
        <w:t>采用外置传输天线的设备应通过机箱预留开孔固定在机箱外侧。</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9）</w:t>
      </w:r>
      <w:r>
        <w:rPr>
          <w:rFonts w:hint="eastAsia" w:ascii="宋体" w:hAnsi="宋体" w:cs="宋体"/>
        </w:rPr>
        <w:t>设备安装完成后，应整理接线，收纳美观。对安装的所有监测仪器支架进行接地电阻测试，达到防雷设计规范。及时清理安装现场残余垃圾，保护环境。</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10）</w:t>
      </w:r>
      <w:r>
        <w:rPr>
          <w:rFonts w:hint="eastAsia" w:ascii="宋体" w:hAnsi="宋体" w:cs="宋体"/>
        </w:rPr>
        <w:t>设备安装完成后，现场应统一安装普适型地质灾害监测仪器标识。仪器设备二维码应刻蚀、印刷或贴于仪器外壳明显处，并防止损毁。</w:t>
      </w:r>
    </w:p>
    <w:p>
      <w:pPr>
        <w:adjustRightInd w:val="0"/>
        <w:snapToGrid w:val="0"/>
        <w:spacing w:line="360" w:lineRule="auto"/>
        <w:ind w:firstLine="480" w:firstLineChars="200"/>
        <w:rPr>
          <w:rFonts w:ascii="宋体" w:hAnsi="宋体" w:cs="宋体"/>
        </w:rPr>
      </w:pPr>
      <w:r>
        <w:rPr>
          <w:rFonts w:ascii="宋体" w:hAnsi="宋体" w:cs="宋体"/>
        </w:rPr>
        <w:t>5.</w:t>
      </w:r>
      <w:r>
        <w:rPr>
          <w:rFonts w:hint="eastAsia" w:ascii="宋体" w:hAnsi="宋体" w:cs="宋体"/>
        </w:rPr>
        <w:t>联调联试</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对所有外接连接线（电源线、数据线）进行检查，特别注意电源线正负极连接是否正确，以免造成设备损坏。</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连接太阳能电池板与充电控制器线缆，检测太阳能充电控制器负载端输出电压。</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依顺次连接传感器、电源、太阳能电池板控制器、天线与主机线缆等。</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检查数据采集、传输通讯情况，查看远程客户端是否收到测试数据及收到的测试时间、数据量，并检查分析测试数据的合理性。</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如数据异常，依次检查传感器、供电电源、传输天线，排除故障直至传输正常。</w:t>
      </w:r>
    </w:p>
    <w:p>
      <w:pPr>
        <w:adjustRightInd w:val="0"/>
        <w:snapToGrid w:val="0"/>
        <w:spacing w:line="360" w:lineRule="auto"/>
        <w:ind w:firstLine="480" w:firstLineChars="200"/>
        <w:rPr>
          <w:rFonts w:hint="eastAsia" w:ascii="宋体" w:hAnsi="宋体" w:cs="宋体"/>
        </w:rPr>
      </w:pPr>
      <w:r>
        <w:rPr>
          <w:rFonts w:hint="eastAsia" w:ascii="宋体" w:hAnsi="宋体" w:cs="宋体"/>
        </w:rPr>
        <w:t>（6）信息送达调试。包括预警信息下发测试、预警喇叭现场远程唤醒测试、采集频率动态调整测试等。</w:t>
      </w:r>
    </w:p>
    <w:p>
      <w:pPr>
        <w:adjustRightInd w:val="0"/>
        <w:snapToGrid w:val="0"/>
        <w:spacing w:line="360" w:lineRule="auto"/>
        <w:ind w:firstLine="480" w:firstLineChars="200"/>
        <w:rPr>
          <w:rFonts w:ascii="宋体" w:hAnsi="宋体" w:cs="宋体"/>
        </w:rPr>
      </w:pPr>
      <w:r>
        <w:rPr>
          <w:rFonts w:ascii="宋体" w:hAnsi="宋体" w:cs="宋体"/>
        </w:rPr>
        <w:t>6.</w:t>
      </w:r>
      <w:r>
        <w:rPr>
          <w:rFonts w:hint="eastAsia" w:ascii="宋体" w:hAnsi="宋体" w:cs="宋体"/>
        </w:rPr>
        <w:t>安装记录</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安装记录应包括监测点信息、基础施工、安装调试步骤、过程影像记录等内容。</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监测点信息应包括地质灾害灾害点名称、编号、安装地点、地理位置、坐标及主要监测内容等（监测设备选址记录表参照《地质灾害专群结合监测预警技术指南》附录</w:t>
      </w:r>
      <w:r>
        <w:rPr>
          <w:rFonts w:ascii="宋体" w:hAnsi="宋体" w:cs="宋体"/>
        </w:rPr>
        <w:t xml:space="preserve"> C</w:t>
      </w:r>
      <w:r>
        <w:rPr>
          <w:rFonts w:hint="eastAsia" w:ascii="宋体" w:hAnsi="宋体" w:cs="宋体"/>
        </w:rPr>
        <w:t>）。</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基础施工包括施工条件、基础尺寸、施工时间等内容。</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设备进场安装前，应组织现场验收并填表（参照《地质灾害专群结合监测预警技术指南（试行）》附录</w:t>
      </w:r>
      <w:r>
        <w:rPr>
          <w:rFonts w:ascii="宋体" w:hAnsi="宋体" w:cs="宋体"/>
        </w:rPr>
        <w:t xml:space="preserve"> D</w:t>
      </w:r>
      <w:r>
        <w:rPr>
          <w:rFonts w:hint="eastAsia" w:ascii="宋体" w:hAnsi="宋体" w:cs="宋体"/>
        </w:rPr>
        <w:t>）。</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对安装过程进行拍照记录填表（参照《地质灾害专群结合监测预警技术指南（试行）》附录</w:t>
      </w:r>
      <w:r>
        <w:rPr>
          <w:rFonts w:ascii="宋体" w:hAnsi="宋体" w:cs="宋体"/>
        </w:rPr>
        <w:t xml:space="preserve"> E</w:t>
      </w:r>
      <w:r>
        <w:rPr>
          <w:rFonts w:hint="eastAsia" w:ascii="宋体" w:hAnsi="宋体" w:cs="宋体"/>
        </w:rPr>
        <w:t>）</w:t>
      </w:r>
      <w:r>
        <w:rPr>
          <w:rFonts w:ascii="宋体" w:hAnsi="宋体" w:cs="宋体"/>
        </w:rPr>
        <w:t>，控制各过程节点，主要包括基础施工、</w:t>
      </w:r>
      <w:r>
        <w:rPr>
          <w:rFonts w:hint="eastAsia" w:ascii="宋体" w:hAnsi="宋体" w:cs="宋体"/>
        </w:rPr>
        <w:t>设备安装、设备调试、设备整体等。</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6）</w:t>
      </w:r>
      <w:r>
        <w:rPr>
          <w:rFonts w:hint="eastAsia" w:ascii="宋体" w:hAnsi="宋体" w:cs="宋体"/>
        </w:rPr>
        <w:t>监测设备建成后，应参考《</w:t>
      </w:r>
      <w:r>
        <w:rPr>
          <w:rFonts w:ascii="宋体" w:hAnsi="宋体" w:cs="宋体"/>
        </w:rPr>
        <w:t xml:space="preserve">DZ/T 0309-2017 </w:t>
      </w:r>
      <w:r>
        <w:rPr>
          <w:rFonts w:hint="eastAsia" w:ascii="宋体" w:hAnsi="宋体" w:cs="宋体"/>
        </w:rPr>
        <w:t>地质环境监测标志》设置标识警示牌，标识牌宜采用醒目标识及警告内容。</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7）</w:t>
      </w:r>
      <w:r>
        <w:rPr>
          <w:rFonts w:hint="eastAsia" w:ascii="宋体" w:hAnsi="宋体" w:cs="宋体"/>
        </w:rPr>
        <w:t>对于保护要求较高的监测点，可修建围栏、防护网等防止破坏。</w:t>
      </w:r>
    </w:p>
    <w:p>
      <w:pPr>
        <w:adjustRightInd w:val="0"/>
        <w:snapToGrid w:val="0"/>
        <w:spacing w:line="360" w:lineRule="auto"/>
        <w:ind w:firstLine="480" w:firstLineChars="200"/>
        <w:rPr>
          <w:rFonts w:ascii="宋体" w:hAnsi="宋体" w:cs="宋体"/>
        </w:rPr>
      </w:pPr>
      <w:r>
        <w:rPr>
          <w:rFonts w:ascii="宋体" w:hAnsi="宋体" w:cs="宋体"/>
        </w:rPr>
        <w:t>7.</w:t>
      </w:r>
      <w:r>
        <w:rPr>
          <w:rFonts w:hint="eastAsia" w:ascii="宋体" w:hAnsi="宋体" w:cs="宋体"/>
        </w:rPr>
        <w:t>设备验收</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对照监测设计方案和施工组织设计，检查监测仪器指标符合性、安装位置及安装方式等是否符合设计要求。</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检查仪器设备工作状态，各部分组件安装是否齐全。</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检查仪器设备安装记录表、资料归档、后续维护人员等信息。</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检查仪器设备监测数据库，查看监测数据的实时性、准确性及完整性。</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明确仪器设备服务周期，确保后期运行正常及维护及时到位。</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6）</w:t>
      </w:r>
      <w:r>
        <w:rPr>
          <w:rFonts w:hint="eastAsia" w:ascii="宋体" w:hAnsi="宋体" w:cs="宋体"/>
        </w:rPr>
        <w:t>填写质量验收记录表（参照《地质灾害专群结合监测预警技术指南（试行）》附录</w:t>
      </w:r>
      <w:r>
        <w:rPr>
          <w:rFonts w:ascii="宋体" w:hAnsi="宋体" w:cs="宋体"/>
        </w:rPr>
        <w:t xml:space="preserve"> F）。</w:t>
      </w:r>
    </w:p>
    <w:p>
      <w:pPr>
        <w:adjustRightInd w:val="0"/>
        <w:snapToGrid w:val="0"/>
        <w:spacing w:line="360" w:lineRule="auto"/>
        <w:ind w:firstLine="480" w:firstLineChars="200"/>
        <w:rPr>
          <w:rFonts w:ascii="宋体" w:hAnsi="宋体" w:cs="宋体"/>
        </w:rPr>
      </w:pPr>
      <w:r>
        <w:rPr>
          <w:rFonts w:ascii="宋体" w:hAnsi="宋体" w:cs="宋体"/>
        </w:rPr>
        <w:t>8.监测预警设备通讯要求</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地质灾害监测预警数据采集的内容、格式、传输协议及数据结构等必须符合工作设计及《地质灾害监测通讯技术要求（报批稿）》。</w:t>
      </w:r>
    </w:p>
    <w:p>
      <w:pPr>
        <w:adjustRightInd w:val="0"/>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配合采购方实现各监测设备与省级地质灾害智能监测预警平台无缝连接，保证监测数据安全、及时、有效。</w:t>
      </w:r>
    </w:p>
    <w:p>
      <w:pPr>
        <w:adjustRightInd w:val="0"/>
        <w:snapToGrid w:val="0"/>
        <w:spacing w:line="360" w:lineRule="auto"/>
        <w:ind w:firstLine="480" w:firstLineChars="200"/>
        <w:rPr>
          <w:rFonts w:ascii="宋体" w:hAnsi="宋体" w:cs="宋体"/>
        </w:rPr>
      </w:pPr>
      <w:bookmarkStart w:id="210" w:name="_Toc10757"/>
      <w:bookmarkStart w:id="211" w:name="_Toc20145"/>
      <w:bookmarkStart w:id="212" w:name="_Toc31180"/>
      <w:bookmarkStart w:id="213" w:name="_Toc17368"/>
      <w:bookmarkStart w:id="214" w:name="_Toc11020"/>
      <w:bookmarkStart w:id="215" w:name="_Toc8974"/>
      <w:r>
        <w:rPr>
          <w:rFonts w:hint="eastAsia" w:ascii="宋体" w:hAnsi="宋体" w:cs="宋体"/>
        </w:rPr>
        <w:t>（三）监测</w:t>
      </w:r>
      <w:r>
        <w:rPr>
          <w:rFonts w:ascii="宋体" w:hAnsi="宋体" w:cs="宋体"/>
        </w:rPr>
        <w:t>数据传输要求</w:t>
      </w:r>
      <w:bookmarkEnd w:id="210"/>
      <w:bookmarkEnd w:id="211"/>
      <w:bookmarkEnd w:id="212"/>
      <w:bookmarkEnd w:id="213"/>
      <w:bookmarkEnd w:id="214"/>
      <w:bookmarkEnd w:id="215"/>
    </w:p>
    <w:p>
      <w:pPr>
        <w:adjustRightInd w:val="0"/>
        <w:snapToGrid w:val="0"/>
        <w:spacing w:line="360" w:lineRule="auto"/>
        <w:ind w:firstLine="480" w:firstLineChars="200"/>
        <w:rPr>
          <w:rFonts w:ascii="宋体" w:hAnsi="宋体" w:cs="宋体"/>
        </w:rPr>
      </w:pPr>
      <w:r>
        <w:rPr>
          <w:rFonts w:ascii="宋体" w:hAnsi="宋体" w:cs="宋体"/>
        </w:rPr>
        <w:t>1.</w:t>
      </w:r>
      <w:r>
        <w:rPr>
          <w:rFonts w:hint="eastAsia" w:ascii="宋体" w:hAnsi="宋体" w:cs="宋体"/>
        </w:rPr>
        <w:t>监测数据的数据格式、数据传输、生产制造应符合自然资源部《地质灾害监测通讯技术要求》规定，并严格按照《地质灾害专群结合监测预警技术指南》开展建设工作。</w:t>
      </w:r>
    </w:p>
    <w:p>
      <w:pPr>
        <w:adjustRightInd w:val="0"/>
        <w:snapToGrid w:val="0"/>
        <w:spacing w:line="360" w:lineRule="auto"/>
        <w:ind w:firstLine="480" w:firstLineChars="200"/>
        <w:rPr>
          <w:rFonts w:ascii="宋体" w:hAnsi="宋体" w:cs="宋体"/>
        </w:rPr>
      </w:pPr>
      <w:r>
        <w:rPr>
          <w:rFonts w:ascii="宋体" w:hAnsi="宋体" w:cs="宋体"/>
        </w:rPr>
        <w:t>2.</w:t>
      </w:r>
      <w:r>
        <w:rPr>
          <w:rFonts w:hint="eastAsia" w:ascii="宋体" w:hAnsi="宋体" w:cs="宋体"/>
        </w:rPr>
        <w:t>所有监测设备都要把监测数据按照自然资源部《地质灾害监测通讯技术要求》要求，按照技术要求规定的数据格式和数据传输要求，同时直接发送到本地平台和国家级监测预警平台。不允许通过第三方平台、第三方服务器等方式实现数据的传输、上传。</w:t>
      </w:r>
    </w:p>
    <w:p>
      <w:pPr>
        <w:pStyle w:val="140"/>
        <w:spacing w:line="360" w:lineRule="auto"/>
        <w:ind w:firstLine="480" w:firstLineChars="200"/>
        <w:rPr>
          <w:rFonts w:ascii="宋体" w:hAnsi="宋体"/>
          <w:sz w:val="24"/>
        </w:rPr>
      </w:pPr>
      <w:r>
        <w:rPr>
          <w:rFonts w:ascii="宋体" w:hAnsi="宋体"/>
          <w:sz w:val="24"/>
        </w:rPr>
        <w:t>3.</w:t>
      </w:r>
      <w:r>
        <w:rPr>
          <w:rFonts w:hint="eastAsia" w:ascii="宋体" w:hAnsi="宋体"/>
          <w:sz w:val="24"/>
        </w:rPr>
        <w:t>由于</w:t>
      </w:r>
      <w:r>
        <w:rPr>
          <w:rFonts w:ascii="宋体" w:hAnsi="宋体"/>
          <w:sz w:val="24"/>
        </w:rPr>
        <w:t>GNSS设备的数据需要进行解算，因此对于设备传输的数据可分为一般数据和GNSS数据，其监测数据的传输要求如下：</w:t>
      </w:r>
    </w:p>
    <w:p>
      <w:pPr>
        <w:pStyle w:val="14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一般数据的传输要求：一般数据的传输直接由现场设备向本地平台和国家级平台进行数据传输。</w:t>
      </w:r>
    </w:p>
    <w:p>
      <w:pPr>
        <w:pStyle w:val="140"/>
        <w:spacing w:line="360" w:lineRule="auto"/>
        <w:ind w:firstLine="480" w:firstLineChars="200"/>
        <w:rPr>
          <w:rFonts w:ascii="宋体" w:hAnsi="宋体"/>
          <w:sz w:val="24"/>
        </w:rPr>
      </w:pPr>
      <w:r>
        <w:rPr>
          <w:rFonts w:hint="eastAsia" w:ascii="宋体" w:hAnsi="宋体"/>
          <w:sz w:val="24"/>
        </w:rPr>
        <w:t>（</w:t>
      </w:r>
      <w:r>
        <w:rPr>
          <w:rFonts w:ascii="宋体" w:hAnsi="宋体"/>
          <w:sz w:val="24"/>
        </w:rPr>
        <w:t>2）GNSS数据的传输要求：GNSS数据分为原始数据和解算后的数据。首先</w:t>
      </w:r>
      <w:r>
        <w:rPr>
          <w:rFonts w:hint="eastAsia" w:ascii="宋体" w:hAnsi="宋体"/>
          <w:sz w:val="24"/>
        </w:rPr>
        <w:t>由现场</w:t>
      </w:r>
      <w:r>
        <w:rPr>
          <w:rFonts w:ascii="宋体" w:hAnsi="宋体"/>
          <w:sz w:val="24"/>
        </w:rPr>
        <w:t>GNSS设备将原始数据发送到本地平台和国家物联网平台，然后厂家通过订阅原始数据，应用厂家解算平台解算后，再将结算后的数据通过平台API同时上传到地方和国家物联网平台。</w:t>
      </w:r>
    </w:p>
    <w:p>
      <w:pPr>
        <w:pStyle w:val="140"/>
        <w:spacing w:line="360" w:lineRule="auto"/>
        <w:ind w:firstLine="480" w:firstLineChars="200"/>
        <w:rPr>
          <w:rFonts w:ascii="宋体" w:hAnsi="宋体" w:cs="宋体"/>
          <w:sz w:val="24"/>
        </w:rPr>
      </w:pPr>
      <w:r>
        <w:rPr>
          <w:rFonts w:ascii="宋体" w:hAnsi="宋体"/>
          <w:sz w:val="24"/>
        </w:rPr>
        <w:t>4.GNSS所有数据格式和内容与一般数据的要求一样，均按照相关技术规范要求执行。</w:t>
      </w:r>
    </w:p>
    <w:p>
      <w:pPr>
        <w:adjustRightInd w:val="0"/>
        <w:snapToGrid w:val="0"/>
        <w:spacing w:line="360" w:lineRule="auto"/>
        <w:ind w:firstLine="480" w:firstLineChars="200"/>
        <w:rPr>
          <w:rFonts w:ascii="宋体" w:hAnsi="宋体" w:cs="宋体"/>
        </w:rPr>
      </w:pPr>
      <w:bookmarkStart w:id="216" w:name="_Toc1120"/>
      <w:bookmarkStart w:id="217" w:name="_Toc10972"/>
      <w:bookmarkStart w:id="218" w:name="_Toc20900"/>
      <w:bookmarkStart w:id="219" w:name="_Toc30947"/>
      <w:bookmarkStart w:id="220" w:name="_Toc26973"/>
      <w:bookmarkStart w:id="221" w:name="_Toc16376"/>
      <w:r>
        <w:rPr>
          <w:rFonts w:hint="eastAsia" w:ascii="宋体" w:hAnsi="宋体" w:cs="宋体"/>
        </w:rPr>
        <w:t>（四）运行维护</w:t>
      </w:r>
      <w:bookmarkEnd w:id="216"/>
      <w:bookmarkEnd w:id="217"/>
      <w:bookmarkEnd w:id="218"/>
      <w:bookmarkEnd w:id="219"/>
      <w:bookmarkEnd w:id="220"/>
      <w:bookmarkEnd w:id="221"/>
    </w:p>
    <w:p>
      <w:pPr>
        <w:adjustRightInd w:val="0"/>
        <w:snapToGrid w:val="0"/>
        <w:spacing w:line="360" w:lineRule="auto"/>
        <w:ind w:firstLine="480" w:firstLineChars="200"/>
        <w:rPr>
          <w:rFonts w:ascii="宋体" w:hAnsi="宋体" w:cs="宋体"/>
        </w:rPr>
      </w:pPr>
      <w:r>
        <w:rPr>
          <w:rFonts w:ascii="宋体" w:hAnsi="宋体" w:cs="宋体"/>
        </w:rPr>
        <w:t>1.</w:t>
      </w:r>
      <w:r>
        <w:rPr>
          <w:rFonts w:hint="eastAsia" w:ascii="宋体" w:hAnsi="宋体" w:cs="宋体"/>
        </w:rPr>
        <w:t>充分利用信息系统进行设备故障统计，及时发现问题并进行维护，维护工作应及时上报系统存档记录。</w:t>
      </w:r>
    </w:p>
    <w:p>
      <w:pPr>
        <w:adjustRightInd w:val="0"/>
        <w:snapToGrid w:val="0"/>
        <w:spacing w:line="360" w:lineRule="auto"/>
        <w:ind w:firstLine="480" w:firstLineChars="200"/>
        <w:rPr>
          <w:rFonts w:ascii="宋体" w:hAnsi="宋体" w:cs="宋体"/>
        </w:rPr>
      </w:pPr>
      <w:r>
        <w:rPr>
          <w:rFonts w:ascii="宋体" w:hAnsi="宋体" w:cs="宋体"/>
        </w:rPr>
        <w:t>2.</w:t>
      </w:r>
      <w:r>
        <w:rPr>
          <w:rFonts w:hint="eastAsia" w:ascii="宋体" w:hAnsi="宋体" w:cs="宋体"/>
        </w:rPr>
        <w:t>汛期内每月对监测点进行巡检，检查有无破坏迹象，对已被破坏的监测点进行记录，及时填表（参照《地质灾害专群结合监测预警技术指南》附录</w:t>
      </w:r>
      <w:r>
        <w:rPr>
          <w:rFonts w:ascii="宋体" w:hAnsi="宋体" w:cs="宋体"/>
        </w:rPr>
        <w:t xml:space="preserve"> G）</w:t>
      </w:r>
      <w:r>
        <w:rPr>
          <w:rFonts w:hint="eastAsia" w:ascii="宋体" w:hAnsi="宋体" w:cs="宋体"/>
        </w:rPr>
        <w:t>上报并快速解决。非汛期每两月巡检一次</w:t>
      </w:r>
      <w:r>
        <w:rPr>
          <w:rFonts w:ascii="宋体" w:hAnsi="宋体" w:cs="宋体"/>
        </w:rPr>
        <w:t>。</w:t>
      </w:r>
    </w:p>
    <w:p>
      <w:pPr>
        <w:adjustRightInd w:val="0"/>
        <w:snapToGrid w:val="0"/>
        <w:spacing w:line="360" w:lineRule="auto"/>
        <w:ind w:firstLine="480" w:firstLineChars="200"/>
        <w:rPr>
          <w:rFonts w:ascii="宋体" w:hAnsi="宋体" w:cs="宋体"/>
        </w:rPr>
      </w:pPr>
      <w:r>
        <w:rPr>
          <w:rFonts w:ascii="宋体" w:hAnsi="宋体" w:cs="宋体"/>
        </w:rPr>
        <w:t>3.</w:t>
      </w:r>
      <w:r>
        <w:rPr>
          <w:rFonts w:hint="eastAsia" w:ascii="宋体" w:hAnsi="宋体" w:cs="宋体"/>
        </w:rPr>
        <w:t>每季度检查太阳能充电面板，对有灰尘、积雪覆盖的太阳能电池板进行清理；对树木生长导致太阳能电池板被遮挡的监测点，应及时修剪树枝。</w:t>
      </w:r>
    </w:p>
    <w:p>
      <w:pPr>
        <w:adjustRightInd w:val="0"/>
        <w:snapToGrid w:val="0"/>
        <w:spacing w:line="360" w:lineRule="auto"/>
        <w:ind w:firstLine="480" w:firstLineChars="200"/>
        <w:rPr>
          <w:rFonts w:ascii="宋体" w:hAnsi="宋体" w:cs="宋体"/>
        </w:rPr>
      </w:pPr>
      <w:r>
        <w:rPr>
          <w:rFonts w:ascii="宋体" w:hAnsi="宋体" w:cs="宋体"/>
        </w:rPr>
        <w:t>4.</w:t>
      </w:r>
      <w:r>
        <w:rPr>
          <w:rFonts w:hint="eastAsia" w:ascii="宋体" w:hAnsi="宋体" w:cs="宋体"/>
        </w:rPr>
        <w:t>具备电量自动测量功能的仪器设备，应定期观察仪器电池电量；无电量自动测量功能的仪器设备，应每月进行人工检查。对电量不足的仪器设备，应及时进行人工充电或更换电池。</w:t>
      </w:r>
    </w:p>
    <w:p>
      <w:pPr>
        <w:adjustRightInd w:val="0"/>
        <w:snapToGrid w:val="0"/>
        <w:spacing w:line="360" w:lineRule="auto"/>
        <w:ind w:firstLine="480" w:firstLineChars="200"/>
        <w:rPr>
          <w:rFonts w:ascii="宋体" w:hAnsi="宋体" w:cs="宋体"/>
        </w:rPr>
      </w:pPr>
      <w:r>
        <w:rPr>
          <w:rFonts w:ascii="宋体" w:hAnsi="宋体" w:cs="宋体"/>
        </w:rPr>
        <w:t>5.</w:t>
      </w:r>
      <w:r>
        <w:rPr>
          <w:rFonts w:hint="eastAsia" w:ascii="宋体" w:hAnsi="宋体" w:cs="宋体"/>
        </w:rPr>
        <w:t>每季度检查仪器机箱内部状态，对有异物的机箱进行清理；对锈蚀的接线端子进行更换。</w:t>
      </w:r>
    </w:p>
    <w:p>
      <w:pPr>
        <w:adjustRightInd w:val="0"/>
        <w:snapToGrid w:val="0"/>
        <w:spacing w:line="360" w:lineRule="auto"/>
        <w:ind w:firstLine="480" w:firstLineChars="200"/>
        <w:rPr>
          <w:rFonts w:ascii="宋体" w:hAnsi="宋体" w:cs="宋体"/>
        </w:rPr>
      </w:pPr>
      <w:r>
        <w:rPr>
          <w:rFonts w:ascii="宋体" w:hAnsi="宋体" w:cs="宋体"/>
        </w:rPr>
        <w:t>6.</w:t>
      </w:r>
      <w:r>
        <w:rPr>
          <w:rFonts w:hint="eastAsia" w:ascii="宋体" w:hAnsi="宋体" w:cs="宋体"/>
        </w:rPr>
        <w:t>工作期内出现数据异常的监测仪器设备，须在发现异常后</w:t>
      </w:r>
      <w:r>
        <w:rPr>
          <w:rFonts w:ascii="宋体" w:hAnsi="宋体" w:cs="宋体"/>
        </w:rPr>
        <w:t>48</w:t>
      </w:r>
      <w:r>
        <w:rPr>
          <w:rFonts w:hint="eastAsia" w:ascii="宋体" w:hAnsi="宋体" w:cs="宋体"/>
        </w:rPr>
        <w:t>小时内响应，并采取相应措施及时排除异常。</w:t>
      </w:r>
    </w:p>
    <w:p>
      <w:pPr>
        <w:adjustRightInd w:val="0"/>
        <w:snapToGrid w:val="0"/>
        <w:spacing w:line="360" w:lineRule="auto"/>
        <w:ind w:firstLine="480" w:firstLineChars="200"/>
        <w:rPr>
          <w:rFonts w:ascii="宋体" w:hAnsi="宋体" w:cs="宋体"/>
        </w:rPr>
      </w:pPr>
      <w:r>
        <w:rPr>
          <w:rFonts w:ascii="宋体" w:hAnsi="宋体" w:cs="宋体"/>
        </w:rPr>
        <w:t>7.</w:t>
      </w:r>
      <w:r>
        <w:rPr>
          <w:rFonts w:hint="eastAsia" w:ascii="宋体" w:hAnsi="宋体" w:cs="宋体"/>
        </w:rPr>
        <w:t>雨量计应保持传感器探头无异物遮挡，避免影响仪器测量精度。</w:t>
      </w:r>
    </w:p>
    <w:p>
      <w:pPr>
        <w:adjustRightInd w:val="0"/>
        <w:snapToGrid w:val="0"/>
        <w:spacing w:line="360" w:lineRule="auto"/>
        <w:ind w:firstLine="480" w:firstLineChars="200"/>
        <w:rPr>
          <w:rFonts w:ascii="宋体" w:hAnsi="宋体" w:cs="宋体"/>
        </w:rPr>
      </w:pPr>
      <w:r>
        <w:rPr>
          <w:rFonts w:ascii="宋体" w:hAnsi="宋体" w:cs="宋体"/>
        </w:rPr>
        <w:t>8.</w:t>
      </w:r>
      <w:r>
        <w:rPr>
          <w:rFonts w:hint="eastAsia" w:ascii="宋体" w:hAnsi="宋体" w:cs="宋体"/>
        </w:rPr>
        <w:t>裂缝计应每季度检查出线口，避免灰尘堵塞，影响钢丝绳收放；检查钢丝绳绷紧程度，对过松的裂缝计采取紧固措施。</w:t>
      </w:r>
    </w:p>
    <w:p>
      <w:pPr>
        <w:adjustRightInd w:val="0"/>
        <w:snapToGrid w:val="0"/>
        <w:spacing w:line="360" w:lineRule="auto"/>
        <w:ind w:firstLine="480" w:firstLineChars="200"/>
        <w:rPr>
          <w:rFonts w:ascii="宋体" w:hAnsi="宋体" w:cs="宋体"/>
        </w:rPr>
      </w:pPr>
      <w:r>
        <w:rPr>
          <w:rFonts w:ascii="宋体" w:hAnsi="宋体" w:cs="宋体"/>
        </w:rPr>
        <w:t>9.</w:t>
      </w:r>
      <w:r>
        <w:rPr>
          <w:rFonts w:hint="eastAsia" w:ascii="宋体" w:hAnsi="宋体" w:cs="宋体"/>
        </w:rPr>
        <w:t>售后服务要求</w:t>
      </w:r>
    </w:p>
    <w:p>
      <w:pPr>
        <w:adjustRightInd w:val="0"/>
        <w:snapToGrid w:val="0"/>
        <w:spacing w:line="360" w:lineRule="auto"/>
        <w:ind w:firstLine="480" w:firstLineChars="200"/>
        <w:rPr>
          <w:rFonts w:ascii="宋体" w:hAnsi="宋体" w:cs="宋体"/>
        </w:rPr>
      </w:pPr>
      <w:r>
        <w:rPr>
          <w:rFonts w:hint="eastAsia" w:ascii="宋体" w:hAnsi="宋体" w:cs="宋体"/>
        </w:rPr>
        <w:t>设备质保期不低于</w:t>
      </w:r>
      <w:r>
        <w:rPr>
          <w:rFonts w:ascii="宋体" w:hAnsi="宋体" w:cs="宋体"/>
        </w:rPr>
        <w:t>3年，国家标准有要求或产品厂商有更高质保承诺的，按更长质保期进行质保。培训方案内容全面、针对性强，编制完善的培训方案；响应机制及应急技术支持满足7×24小时服务</w:t>
      </w:r>
      <w:r>
        <w:rPr>
          <w:rFonts w:hint="eastAsia" w:ascii="宋体" w:hAnsi="宋体" w:cs="宋体"/>
        </w:rPr>
        <w:t>，</w:t>
      </w:r>
      <w:r>
        <w:rPr>
          <w:rFonts w:ascii="宋体" w:hAnsi="宋体" w:cs="宋体"/>
        </w:rPr>
        <w:t>要有完整的响应机制及应急技术支持方案；应急费用由中标</w:t>
      </w:r>
      <w:r>
        <w:rPr>
          <w:rFonts w:hint="eastAsia" w:ascii="宋体" w:hAnsi="宋体" w:cs="宋体"/>
        </w:rPr>
        <w:t>单位</w:t>
      </w:r>
      <w:r>
        <w:rPr>
          <w:rFonts w:ascii="宋体" w:hAnsi="宋体" w:cs="宋体"/>
        </w:rPr>
        <w:t>负责，中标</w:t>
      </w:r>
      <w:r>
        <w:rPr>
          <w:rFonts w:hint="eastAsia" w:ascii="宋体" w:hAnsi="宋体" w:cs="宋体"/>
        </w:rPr>
        <w:t>单位</w:t>
      </w:r>
      <w:r>
        <w:rPr>
          <w:rFonts w:ascii="宋体" w:hAnsi="宋体" w:cs="宋体"/>
        </w:rPr>
        <w:t>负责对设备进行检验、安装、调试，直至验收合格，并提供安装调试报告。验收时应与投标时产品原始样本技</w:t>
      </w:r>
      <w:r>
        <w:rPr>
          <w:rFonts w:hint="eastAsia" w:ascii="宋体" w:hAnsi="宋体" w:cs="宋体"/>
        </w:rPr>
        <w:t>术资料</w:t>
      </w:r>
      <w:r>
        <w:rPr>
          <w:rFonts w:ascii="宋体" w:hAnsi="宋体" w:cs="宋体"/>
        </w:rPr>
        <w:t>/标书技术文件一致，并应符合我国有关技术规范和技术标准，所派人员的一切费用由中标</w:t>
      </w:r>
      <w:r>
        <w:rPr>
          <w:rFonts w:hint="eastAsia" w:ascii="宋体" w:hAnsi="宋体" w:cs="宋体"/>
        </w:rPr>
        <w:t>单位</w:t>
      </w:r>
      <w:r>
        <w:rPr>
          <w:rFonts w:ascii="宋体" w:hAnsi="宋体" w:cs="宋体"/>
        </w:rPr>
        <w:t>承担。</w:t>
      </w:r>
    </w:p>
    <w:p>
      <w:pPr>
        <w:adjustRightInd w:val="0"/>
        <w:snapToGrid w:val="0"/>
        <w:spacing w:line="360" w:lineRule="auto"/>
        <w:ind w:firstLine="480" w:firstLineChars="20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备件库要求</w:t>
      </w:r>
    </w:p>
    <w:p>
      <w:pPr>
        <w:adjustRightInd w:val="0"/>
        <w:snapToGrid w:val="0"/>
        <w:spacing w:line="360" w:lineRule="auto"/>
        <w:ind w:firstLine="480" w:firstLineChars="200"/>
        <w:rPr>
          <w:rFonts w:hint="eastAsia" w:ascii="宋体" w:hAnsi="宋体" w:cs="宋体"/>
        </w:rPr>
      </w:pPr>
      <w:r>
        <w:rPr>
          <w:rFonts w:hint="eastAsia" w:ascii="宋体" w:hAnsi="宋体" w:cs="宋体"/>
        </w:rPr>
        <w:t>根据实际情况针对易损易耗部件及重点设备配置1</w:t>
      </w:r>
      <w:r>
        <w:rPr>
          <w:rFonts w:ascii="宋体" w:hAnsi="宋体" w:cs="宋体"/>
        </w:rPr>
        <w:t>0</w:t>
      </w:r>
      <w:r>
        <w:rPr>
          <w:rFonts w:hint="eastAsia" w:ascii="宋体" w:hAnsi="宋体" w:cs="宋体"/>
        </w:rPr>
        <w:t>%的备件，用于设备故障、因灾受损及加密监测情况下的及时替换与补充</w:t>
      </w:r>
      <w:r>
        <w:rPr>
          <w:rFonts w:hint="eastAsia" w:ascii="宋体" w:hAnsi="宋体" w:cs="宋体"/>
          <w:b/>
        </w:rPr>
        <w:t>（要在投标文件中说明）</w:t>
      </w:r>
      <w:r>
        <w:rPr>
          <w:rFonts w:hint="eastAsia" w:ascii="宋体" w:hAnsi="宋体" w:cs="宋体"/>
        </w:rPr>
        <w:t>。</w:t>
      </w:r>
    </w:p>
    <w:p>
      <w:pPr>
        <w:widowControl/>
        <w:spacing w:before="100" w:beforeAutospacing="1" w:after="100" w:afterAutospacing="1"/>
        <w:ind w:firstLine="542" w:firstLineChars="200"/>
        <w:jc w:val="left"/>
        <w:outlineLvl w:val="2"/>
        <w:rPr>
          <w:rFonts w:ascii="宋体" w:hAnsi="宋体"/>
          <w:b/>
          <w:bCs/>
          <w:color w:val="000000"/>
          <w:kern w:val="0"/>
          <w:sz w:val="27"/>
          <w:szCs w:val="27"/>
        </w:rPr>
      </w:pPr>
      <w:bookmarkStart w:id="222" w:name="_Toc10768"/>
      <w:bookmarkStart w:id="223" w:name="_Toc7452"/>
      <w:bookmarkStart w:id="224" w:name="_Toc29316"/>
      <w:bookmarkStart w:id="225" w:name="_Toc5622"/>
      <w:bookmarkStart w:id="226" w:name="_Toc8088"/>
      <w:bookmarkStart w:id="227" w:name="_Toc19193"/>
      <w:r>
        <w:rPr>
          <w:rFonts w:ascii="宋体" w:hAnsi="宋体"/>
          <w:b/>
          <w:bCs/>
          <w:color w:val="000000"/>
          <w:kern w:val="0"/>
          <w:sz w:val="27"/>
          <w:szCs w:val="27"/>
        </w:rPr>
        <w:t>7</w:t>
      </w:r>
      <w:r>
        <w:rPr>
          <w:rFonts w:hint="eastAsia" w:ascii="宋体" w:hAnsi="宋体"/>
          <w:b/>
          <w:bCs/>
          <w:color w:val="000000"/>
          <w:kern w:val="0"/>
          <w:sz w:val="27"/>
          <w:szCs w:val="27"/>
        </w:rPr>
        <w:t>、质量要求</w:t>
      </w:r>
      <w:bookmarkEnd w:id="222"/>
      <w:bookmarkEnd w:id="223"/>
      <w:bookmarkEnd w:id="224"/>
      <w:bookmarkEnd w:id="225"/>
      <w:bookmarkEnd w:id="226"/>
      <w:bookmarkEnd w:id="227"/>
    </w:p>
    <w:p>
      <w:pPr>
        <w:spacing w:line="360" w:lineRule="auto"/>
        <w:ind w:firstLine="480" w:firstLineChars="200"/>
        <w:rPr>
          <w:rFonts w:ascii="宋体" w:hAnsi="宋体" w:cs="宋体"/>
        </w:rPr>
      </w:pPr>
      <w:r>
        <w:rPr>
          <w:rFonts w:hint="eastAsia" w:ascii="宋体" w:hAnsi="宋体" w:cs="宋体"/>
        </w:rPr>
        <w:t>下面所列要求是中标人必须达到的最低要求。</w:t>
      </w:r>
    </w:p>
    <w:p>
      <w:pPr>
        <w:spacing w:line="360" w:lineRule="auto"/>
        <w:ind w:firstLine="480" w:firstLineChars="200"/>
        <w:rPr>
          <w:rFonts w:ascii="宋体" w:hAnsi="宋体" w:cs="宋体"/>
        </w:rPr>
      </w:pPr>
      <w:r>
        <w:rPr>
          <w:rFonts w:ascii="宋体" w:hAnsi="宋体" w:cs="宋体"/>
        </w:rPr>
        <w:t>1.</w:t>
      </w:r>
      <w:r>
        <w:rPr>
          <w:rFonts w:hint="eastAsia" w:ascii="宋体" w:hAnsi="宋体" w:cs="宋体"/>
        </w:rPr>
        <w:t>中标人需具备地质灾害行业领域及相关业务工作经验。组织具有较强业务能力、较高技术素质和专业经验的技术人员负责完成设计方案的编制工作，编制成果满足项目要求。</w:t>
      </w:r>
    </w:p>
    <w:p>
      <w:pPr>
        <w:spacing w:line="360" w:lineRule="auto"/>
        <w:ind w:firstLine="480" w:firstLineChars="200"/>
        <w:rPr>
          <w:rFonts w:ascii="宋体" w:hAnsi="宋体" w:cs="宋体"/>
        </w:rPr>
      </w:pPr>
      <w:r>
        <w:rPr>
          <w:rFonts w:ascii="宋体" w:hAnsi="宋体" w:cs="宋体"/>
        </w:rPr>
        <w:t>2.</w:t>
      </w:r>
      <w:r>
        <w:rPr>
          <w:rFonts w:hint="eastAsia" w:ascii="宋体" w:hAnsi="宋体" w:cs="宋体"/>
        </w:rPr>
        <w:t>中标人根据本招标文件有关内容，应用专业技能和专业经验，对全部工作内容进行深入详细设计。</w:t>
      </w:r>
    </w:p>
    <w:p>
      <w:pPr>
        <w:spacing w:line="360" w:lineRule="auto"/>
        <w:ind w:firstLine="480" w:firstLineChars="200"/>
        <w:rPr>
          <w:rFonts w:ascii="宋体" w:hAnsi="宋体" w:cs="宋体"/>
        </w:rPr>
      </w:pPr>
      <w:r>
        <w:rPr>
          <w:rFonts w:ascii="宋体" w:hAnsi="宋体" w:cs="宋体"/>
        </w:rPr>
        <w:t>3.</w:t>
      </w:r>
      <w:r>
        <w:rPr>
          <w:rFonts w:hint="eastAsia" w:ascii="宋体" w:hAnsi="宋体" w:cs="宋体"/>
        </w:rPr>
        <w:t>中标人提交的所有文档应当结构清晰，容易阅读和理解。报告编制的内容、深度、规范性和质量应符合项目评估部门及审批机构的要求。</w:t>
      </w:r>
    </w:p>
    <w:p>
      <w:pPr>
        <w:spacing w:line="360" w:lineRule="auto"/>
        <w:ind w:firstLine="480" w:firstLineChars="200"/>
        <w:rPr>
          <w:rFonts w:ascii="宋体" w:hAnsi="宋体" w:cs="宋体"/>
        </w:rPr>
      </w:pPr>
      <w:r>
        <w:rPr>
          <w:rFonts w:ascii="宋体" w:hAnsi="宋体" w:cs="宋体"/>
        </w:rPr>
        <w:t>4.</w:t>
      </w:r>
      <w:r>
        <w:rPr>
          <w:rFonts w:hint="eastAsia" w:ascii="宋体" w:hAnsi="宋体" w:cs="宋体"/>
        </w:rPr>
        <w:t>中标人在完成合同规定的工作并将成果交付招标人后，有义务参加主管部门组织的评审工作，并根据评审意见负责对不超出合同范围的内容做必要调整和补充，直至获得主管部门批复为止。</w:t>
      </w:r>
    </w:p>
    <w:p>
      <w:pPr>
        <w:spacing w:line="360" w:lineRule="auto"/>
        <w:ind w:firstLine="480" w:firstLineChars="200"/>
        <w:rPr>
          <w:rFonts w:ascii="宋体" w:hAnsi="宋体" w:cs="宋体"/>
        </w:rPr>
      </w:pPr>
      <w:r>
        <w:rPr>
          <w:rFonts w:ascii="宋体" w:hAnsi="宋体" w:cs="宋体"/>
        </w:rPr>
        <w:t>5.</w:t>
      </w:r>
      <w:r>
        <w:rPr>
          <w:rFonts w:hint="eastAsia" w:ascii="宋体" w:hAnsi="宋体" w:cs="宋体"/>
        </w:rPr>
        <w:t>中标人应满足招标人在合同中要求中标人完成的其他任务及后续配合工作。</w:t>
      </w:r>
    </w:p>
    <w:p>
      <w:pPr>
        <w:spacing w:line="360" w:lineRule="auto"/>
        <w:ind w:firstLine="480" w:firstLineChars="200"/>
        <w:rPr>
          <w:rFonts w:ascii="宋体" w:hAnsi="宋体" w:cs="宋体"/>
        </w:rPr>
      </w:pPr>
      <w:r>
        <w:rPr>
          <w:rFonts w:ascii="宋体" w:hAnsi="宋体" w:cs="宋体"/>
        </w:rPr>
        <w:t>6.</w:t>
      </w:r>
      <w:r>
        <w:rPr>
          <w:rFonts w:hint="eastAsia" w:ascii="宋体" w:hAnsi="宋体" w:cs="宋体"/>
        </w:rPr>
        <w:t>中标人应在签订合同后，根据招标人制定的工作进度安排，按时保质保量地完成各项设计任务。</w:t>
      </w:r>
    </w:p>
    <w:p>
      <w:pPr>
        <w:spacing w:line="360" w:lineRule="auto"/>
        <w:ind w:firstLine="480" w:firstLineChars="200"/>
        <w:rPr>
          <w:rFonts w:hint="eastAsia" w:ascii="宋体" w:hAnsi="宋体" w:cs="宋体"/>
        </w:rPr>
      </w:pPr>
      <w:r>
        <w:rPr>
          <w:rFonts w:hint="eastAsia" w:ascii="宋体" w:hAnsi="宋体" w:cs="宋体"/>
        </w:rPr>
        <w:t>7</w:t>
      </w:r>
      <w:r>
        <w:rPr>
          <w:rFonts w:ascii="宋体" w:hAnsi="宋体" w:cs="宋体"/>
        </w:rPr>
        <w:t>.</w:t>
      </w:r>
      <w:r>
        <w:rPr>
          <w:rFonts w:hint="eastAsia" w:ascii="宋体" w:hAnsi="宋体" w:cs="宋体"/>
        </w:rPr>
        <w:t>监测仪器设备应按型号由具有法定测试资质的机构认定或主管部门、第三方测试认证，并提供产品合格证书。</w:t>
      </w:r>
    </w:p>
    <w:p>
      <w:pPr>
        <w:widowControl/>
        <w:spacing w:before="100" w:beforeAutospacing="1" w:after="100" w:afterAutospacing="1"/>
        <w:ind w:firstLine="542" w:firstLineChars="200"/>
        <w:jc w:val="left"/>
        <w:outlineLvl w:val="2"/>
        <w:rPr>
          <w:rFonts w:ascii="宋体" w:hAnsi="宋体"/>
          <w:b/>
          <w:bCs/>
          <w:color w:val="000000"/>
          <w:kern w:val="0"/>
          <w:sz w:val="27"/>
          <w:szCs w:val="27"/>
        </w:rPr>
      </w:pPr>
      <w:bookmarkStart w:id="228" w:name="_Toc15343"/>
      <w:bookmarkStart w:id="229" w:name="_Toc16960"/>
      <w:bookmarkStart w:id="230" w:name="_Toc23492"/>
      <w:bookmarkStart w:id="231" w:name="_Toc15999"/>
      <w:bookmarkStart w:id="232" w:name="_Toc22604"/>
      <w:bookmarkStart w:id="233" w:name="_Toc27356"/>
      <w:r>
        <w:rPr>
          <w:rFonts w:ascii="宋体" w:hAnsi="宋体"/>
          <w:b/>
          <w:bCs/>
          <w:color w:val="000000"/>
          <w:kern w:val="0"/>
          <w:sz w:val="27"/>
          <w:szCs w:val="27"/>
        </w:rPr>
        <w:t>8</w:t>
      </w:r>
      <w:r>
        <w:rPr>
          <w:rFonts w:hint="eastAsia" w:ascii="宋体" w:hAnsi="宋体"/>
          <w:b/>
          <w:bCs/>
          <w:color w:val="000000"/>
          <w:kern w:val="0"/>
          <w:sz w:val="27"/>
          <w:szCs w:val="27"/>
        </w:rPr>
        <w:t>、预期成果、提交时间及提交形式</w:t>
      </w:r>
      <w:bookmarkEnd w:id="228"/>
      <w:bookmarkEnd w:id="229"/>
      <w:bookmarkEnd w:id="230"/>
      <w:bookmarkEnd w:id="231"/>
      <w:bookmarkEnd w:id="232"/>
      <w:bookmarkEnd w:id="233"/>
    </w:p>
    <w:p>
      <w:pPr>
        <w:spacing w:line="360" w:lineRule="auto"/>
        <w:ind w:firstLine="480" w:firstLineChars="200"/>
        <w:rPr>
          <w:rFonts w:hint="eastAsia" w:ascii="宋体" w:hAnsi="宋体" w:cs="宋体"/>
        </w:rPr>
      </w:pPr>
      <w:r>
        <w:rPr>
          <w:rFonts w:ascii="宋体" w:hAnsi="宋体" w:cs="宋体"/>
        </w:rPr>
        <w:t>1.</w:t>
      </w:r>
      <w:r>
        <w:rPr>
          <w:rFonts w:hint="eastAsia" w:ascii="宋体" w:hAnsi="宋体" w:cs="宋体"/>
        </w:rPr>
        <w:t>预期成果：监测站点建设竣工报告、监测设备材料验收记录表、监测设备安装记录表、监测设备质量验收记录表、设备安装过程资料、监测预警运行报告、监测设备维护记录表、地质灾害监测分析报表、监测预警成果图、项目监测月报，根据防灾减灾需要及地质灾害变形情况，提供监测预警相关专题报告。</w:t>
      </w:r>
    </w:p>
    <w:p>
      <w:pPr>
        <w:spacing w:line="360" w:lineRule="auto"/>
        <w:ind w:firstLine="480" w:firstLineChars="200"/>
        <w:rPr>
          <w:rFonts w:ascii="宋体" w:hAnsi="宋体" w:cs="宋体"/>
        </w:rPr>
      </w:pPr>
      <w:r>
        <w:rPr>
          <w:rFonts w:ascii="宋体" w:hAnsi="宋体" w:cs="宋体"/>
        </w:rPr>
        <w:t>2.</w:t>
      </w:r>
      <w:r>
        <w:rPr>
          <w:rFonts w:hint="eastAsia" w:ascii="宋体" w:hAnsi="宋体" w:cs="宋体"/>
        </w:rPr>
        <w:t>提交成果时间：</w:t>
      </w:r>
      <w:r>
        <w:rPr>
          <w:rFonts w:ascii="宋体" w:hAnsi="宋体" w:cs="宋体"/>
        </w:rPr>
        <w:t>202</w:t>
      </w:r>
      <w:r>
        <w:rPr>
          <w:rFonts w:hint="eastAsia" w:ascii="宋体" w:hAnsi="宋体" w:cs="宋体"/>
          <w:lang w:val="en-US" w:eastAsia="zh-CN"/>
        </w:rPr>
        <w:t>2</w:t>
      </w:r>
      <w:r>
        <w:rPr>
          <w:rFonts w:ascii="宋体" w:hAnsi="宋体" w:cs="宋体"/>
        </w:rPr>
        <w:t>年</w:t>
      </w:r>
      <w:r>
        <w:rPr>
          <w:rFonts w:hint="eastAsia" w:ascii="宋体" w:hAnsi="宋体" w:cs="宋体"/>
          <w:lang w:val="en-US" w:eastAsia="zh-CN"/>
        </w:rPr>
        <w:t>5</w:t>
      </w:r>
      <w:r>
        <w:rPr>
          <w:rFonts w:ascii="宋体" w:hAnsi="宋体" w:cs="宋体"/>
        </w:rPr>
        <w:t>月</w:t>
      </w:r>
      <w:r>
        <w:rPr>
          <w:rFonts w:hint="eastAsia" w:ascii="宋体" w:hAnsi="宋体" w:cs="宋体"/>
          <w:lang w:val="en-US" w:eastAsia="zh-CN"/>
        </w:rPr>
        <w:t>31日</w:t>
      </w:r>
      <w:r>
        <w:rPr>
          <w:rFonts w:hint="eastAsia" w:ascii="宋体" w:hAnsi="宋体" w:cs="宋体"/>
        </w:rPr>
        <w:t>前提交监测站点建设竣工报告、监测设备材料验收记录表、监测设备安装记录表、监测设备质量验收记录表、设备安装过程资料；</w:t>
      </w:r>
    </w:p>
    <w:p>
      <w:pPr>
        <w:spacing w:line="360" w:lineRule="auto"/>
        <w:ind w:firstLine="480" w:firstLineChars="200"/>
        <w:rPr>
          <w:rFonts w:ascii="宋体" w:hAnsi="宋体" w:cs="宋体"/>
        </w:rPr>
      </w:pPr>
      <w:r>
        <w:rPr>
          <w:rFonts w:hint="eastAsia" w:ascii="宋体" w:hAnsi="宋体" w:cs="宋体"/>
        </w:rPr>
        <w:t>运维期每年度提交监测预警运维护报告、监测设备维护记录表、地质灾害监测分析报表、监测预警成果图、项目监测月报等资料。</w:t>
      </w:r>
    </w:p>
    <w:p>
      <w:pPr>
        <w:spacing w:line="360" w:lineRule="auto"/>
        <w:ind w:firstLine="480" w:firstLineChars="200"/>
        <w:rPr>
          <w:rFonts w:ascii="宋体" w:hAnsi="宋体" w:cs="宋体"/>
        </w:rPr>
      </w:pPr>
      <w:r>
        <w:rPr>
          <w:rFonts w:ascii="宋体" w:hAnsi="宋体" w:cs="宋体"/>
        </w:rPr>
        <w:t>3.</w:t>
      </w:r>
      <w:r>
        <w:rPr>
          <w:rFonts w:hint="eastAsia" w:ascii="宋体" w:hAnsi="宋体" w:cs="宋体"/>
        </w:rPr>
        <w:t>提交形式：电子版本及纸介质。</w:t>
      </w:r>
    </w:p>
    <w:p>
      <w:pPr>
        <w:spacing w:line="360" w:lineRule="auto"/>
        <w:ind w:firstLine="440" w:firstLineChars="200"/>
        <w:rPr>
          <w:sz w:val="22"/>
          <w:szCs w:val="22"/>
        </w:rPr>
      </w:pPr>
    </w:p>
    <w:sectPr>
      <w:footerReference r:id="rId6" w:type="default"/>
      <w:footerReference r:id="rId7" w:type="even"/>
      <w:pgSz w:w="11849" w:h="16781"/>
      <w:pgMar w:top="1440" w:right="1217" w:bottom="1440" w:left="1803" w:header="851" w:footer="992" w:gutter="0"/>
      <w:pgNumType w:fmt="decimal"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ejaVu Sans">
    <w:altName w:val="Arial"/>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360" w:lineRule="auto"/>
      <w:jc w:val="left"/>
    </w:pPr>
    <w:r>
      <w:rPr>
        <w:rFonts w:hint="eastAsia" w:ascii="仿宋" w:hAnsi="仿宋" w:eastAsia="仿宋"/>
        <w:b/>
        <w:i/>
        <w:iCs/>
        <w:color w:val="000000"/>
        <w:sz w:val="21"/>
        <w:szCs w:val="21"/>
        <w:u w:val="double"/>
        <w:lang w:eastAsia="zh-CN"/>
      </w:rPr>
      <w:t>海东市乐都区自然资源局</w:t>
    </w:r>
    <w:r>
      <w:rPr>
        <w:rFonts w:hint="eastAsia" w:ascii="仿宋" w:hAnsi="仿宋" w:eastAsia="仿宋"/>
        <w:b/>
        <w:i/>
        <w:iCs/>
        <w:color w:val="000000"/>
        <w:sz w:val="21"/>
        <w:szCs w:val="21"/>
        <w:u w:val="double"/>
      </w:rPr>
      <w:t xml:space="preserve">                                  </w:t>
    </w:r>
    <w:r>
      <w:rPr>
        <w:rFonts w:hint="eastAsia" w:ascii="仿宋" w:hAnsi="仿宋" w:eastAsia="仿宋"/>
        <w:b/>
        <w:i/>
        <w:iCs/>
        <w:color w:val="000000"/>
        <w:sz w:val="21"/>
        <w:szCs w:val="21"/>
        <w:u w:val="double"/>
        <w:lang w:val="zh-CN"/>
      </w:rPr>
      <w:t>甘肃东方公招（工程）2021-078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15E18"/>
    <w:multiLevelType w:val="singleLevel"/>
    <w:tmpl w:val="4CB15E18"/>
    <w:lvl w:ilvl="0" w:tentative="0">
      <w:start w:val="1"/>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pStyle w:val="105"/>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67ED2C4A"/>
    <w:multiLevelType w:val="multilevel"/>
    <w:tmpl w:val="67ED2C4A"/>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134"/>
        </w:tabs>
        <w:ind w:left="1134" w:hanging="850"/>
      </w:pPr>
      <w:rPr>
        <w:rFonts w:hint="eastAsia"/>
      </w:rPr>
    </w:lvl>
    <w:lvl w:ilvl="2" w:tentative="0">
      <w:start w:val="1"/>
      <w:numFmt w:val="decimal"/>
      <w:lvlText w:val="%1.%2.%3"/>
      <w:lvlJc w:val="left"/>
      <w:pPr>
        <w:tabs>
          <w:tab w:val="left" w:pos="1588"/>
        </w:tabs>
        <w:ind w:left="1588" w:hanging="1021"/>
      </w:pPr>
      <w:rPr>
        <w:rFonts w:hint="eastAsia"/>
      </w:rPr>
    </w:lvl>
    <w:lvl w:ilvl="3" w:tentative="0">
      <w:start w:val="1"/>
      <w:numFmt w:val="decimal"/>
      <w:lvlText w:val="%1.%2.%3.%4"/>
      <w:lvlJc w:val="left"/>
      <w:pPr>
        <w:tabs>
          <w:tab w:val="left" w:pos="1985"/>
        </w:tabs>
        <w:ind w:left="1985" w:hanging="113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8"/>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35"/>
    <w:rsid w:val="000038EA"/>
    <w:rsid w:val="00004CFE"/>
    <w:rsid w:val="00006AC5"/>
    <w:rsid w:val="000079D5"/>
    <w:rsid w:val="00007B6D"/>
    <w:rsid w:val="0001010A"/>
    <w:rsid w:val="00012202"/>
    <w:rsid w:val="00012525"/>
    <w:rsid w:val="000126D4"/>
    <w:rsid w:val="0001277B"/>
    <w:rsid w:val="000262D7"/>
    <w:rsid w:val="0003279C"/>
    <w:rsid w:val="000327BB"/>
    <w:rsid w:val="00036F89"/>
    <w:rsid w:val="000423DC"/>
    <w:rsid w:val="00046BFF"/>
    <w:rsid w:val="00047E74"/>
    <w:rsid w:val="000505F8"/>
    <w:rsid w:val="000530F2"/>
    <w:rsid w:val="000550A8"/>
    <w:rsid w:val="00056015"/>
    <w:rsid w:val="00063970"/>
    <w:rsid w:val="00070D8E"/>
    <w:rsid w:val="00074471"/>
    <w:rsid w:val="00075483"/>
    <w:rsid w:val="00075987"/>
    <w:rsid w:val="00077AF3"/>
    <w:rsid w:val="00077CF0"/>
    <w:rsid w:val="00081156"/>
    <w:rsid w:val="00083A9A"/>
    <w:rsid w:val="00091A32"/>
    <w:rsid w:val="00091CAB"/>
    <w:rsid w:val="00092A72"/>
    <w:rsid w:val="00093C3F"/>
    <w:rsid w:val="0009619B"/>
    <w:rsid w:val="00096F4A"/>
    <w:rsid w:val="000A29E8"/>
    <w:rsid w:val="000B092B"/>
    <w:rsid w:val="000B3BE6"/>
    <w:rsid w:val="000B6EEE"/>
    <w:rsid w:val="000C2D10"/>
    <w:rsid w:val="000C61C0"/>
    <w:rsid w:val="000D5FFC"/>
    <w:rsid w:val="000E092A"/>
    <w:rsid w:val="000E0A21"/>
    <w:rsid w:val="000E3E20"/>
    <w:rsid w:val="000E4A14"/>
    <w:rsid w:val="000E602A"/>
    <w:rsid w:val="000F2E26"/>
    <w:rsid w:val="001012CE"/>
    <w:rsid w:val="00106C16"/>
    <w:rsid w:val="0011534C"/>
    <w:rsid w:val="00115DCC"/>
    <w:rsid w:val="00117800"/>
    <w:rsid w:val="001255F2"/>
    <w:rsid w:val="001264D2"/>
    <w:rsid w:val="001277AD"/>
    <w:rsid w:val="00130DE0"/>
    <w:rsid w:val="00132284"/>
    <w:rsid w:val="001329F3"/>
    <w:rsid w:val="00143C4B"/>
    <w:rsid w:val="00154777"/>
    <w:rsid w:val="001556BD"/>
    <w:rsid w:val="001568CA"/>
    <w:rsid w:val="00160746"/>
    <w:rsid w:val="00167862"/>
    <w:rsid w:val="001706FA"/>
    <w:rsid w:val="00172716"/>
    <w:rsid w:val="00174AEC"/>
    <w:rsid w:val="00177BFC"/>
    <w:rsid w:val="00180C75"/>
    <w:rsid w:val="001831B4"/>
    <w:rsid w:val="00192790"/>
    <w:rsid w:val="00193200"/>
    <w:rsid w:val="001A2CBC"/>
    <w:rsid w:val="001A726D"/>
    <w:rsid w:val="001B689F"/>
    <w:rsid w:val="001C2670"/>
    <w:rsid w:val="001C38F1"/>
    <w:rsid w:val="001C38FE"/>
    <w:rsid w:val="001C7D4E"/>
    <w:rsid w:val="001D065D"/>
    <w:rsid w:val="001D3E29"/>
    <w:rsid w:val="001F196A"/>
    <w:rsid w:val="001F1B5C"/>
    <w:rsid w:val="001F1C0A"/>
    <w:rsid w:val="001F26BC"/>
    <w:rsid w:val="0020261E"/>
    <w:rsid w:val="002105DA"/>
    <w:rsid w:val="00213923"/>
    <w:rsid w:val="00215BC4"/>
    <w:rsid w:val="00215C19"/>
    <w:rsid w:val="002214DF"/>
    <w:rsid w:val="00231B23"/>
    <w:rsid w:val="00243516"/>
    <w:rsid w:val="0024625E"/>
    <w:rsid w:val="00250889"/>
    <w:rsid w:val="00250C60"/>
    <w:rsid w:val="00254C99"/>
    <w:rsid w:val="00254D2A"/>
    <w:rsid w:val="00260583"/>
    <w:rsid w:val="002612B7"/>
    <w:rsid w:val="0026332C"/>
    <w:rsid w:val="0026424B"/>
    <w:rsid w:val="002656AF"/>
    <w:rsid w:val="002733B8"/>
    <w:rsid w:val="00276A2C"/>
    <w:rsid w:val="00276EBB"/>
    <w:rsid w:val="0028160E"/>
    <w:rsid w:val="00283FAD"/>
    <w:rsid w:val="0029227F"/>
    <w:rsid w:val="00292823"/>
    <w:rsid w:val="002958F8"/>
    <w:rsid w:val="002A35DC"/>
    <w:rsid w:val="002A395C"/>
    <w:rsid w:val="002A601A"/>
    <w:rsid w:val="002B1414"/>
    <w:rsid w:val="002B5EBB"/>
    <w:rsid w:val="002B5F3A"/>
    <w:rsid w:val="002B68B7"/>
    <w:rsid w:val="002B76D9"/>
    <w:rsid w:val="002C2ADF"/>
    <w:rsid w:val="002C3AC4"/>
    <w:rsid w:val="002C4711"/>
    <w:rsid w:val="002C5BAC"/>
    <w:rsid w:val="002D2E0B"/>
    <w:rsid w:val="002D34C1"/>
    <w:rsid w:val="002D35E6"/>
    <w:rsid w:val="002E56E3"/>
    <w:rsid w:val="002E63E5"/>
    <w:rsid w:val="002E6DBB"/>
    <w:rsid w:val="002E7F30"/>
    <w:rsid w:val="002F0ADA"/>
    <w:rsid w:val="002F65FD"/>
    <w:rsid w:val="0030372C"/>
    <w:rsid w:val="00310790"/>
    <w:rsid w:val="003121DF"/>
    <w:rsid w:val="00315182"/>
    <w:rsid w:val="0032190C"/>
    <w:rsid w:val="00323FF9"/>
    <w:rsid w:val="00335D9E"/>
    <w:rsid w:val="00340136"/>
    <w:rsid w:val="00340F95"/>
    <w:rsid w:val="0034733B"/>
    <w:rsid w:val="00350536"/>
    <w:rsid w:val="00353FF1"/>
    <w:rsid w:val="0035640B"/>
    <w:rsid w:val="00357B18"/>
    <w:rsid w:val="00371D2A"/>
    <w:rsid w:val="00386BC8"/>
    <w:rsid w:val="003908B8"/>
    <w:rsid w:val="00391CEC"/>
    <w:rsid w:val="0039257F"/>
    <w:rsid w:val="00394A8B"/>
    <w:rsid w:val="003A11F0"/>
    <w:rsid w:val="003A27A1"/>
    <w:rsid w:val="003B1895"/>
    <w:rsid w:val="003B2913"/>
    <w:rsid w:val="003B4651"/>
    <w:rsid w:val="003B4871"/>
    <w:rsid w:val="003C08CF"/>
    <w:rsid w:val="003C13A3"/>
    <w:rsid w:val="003C3A18"/>
    <w:rsid w:val="003D103B"/>
    <w:rsid w:val="003E0112"/>
    <w:rsid w:val="003E465D"/>
    <w:rsid w:val="003E4B68"/>
    <w:rsid w:val="003E7B29"/>
    <w:rsid w:val="003F098B"/>
    <w:rsid w:val="003F1EED"/>
    <w:rsid w:val="003F6842"/>
    <w:rsid w:val="00401794"/>
    <w:rsid w:val="00407534"/>
    <w:rsid w:val="004115A4"/>
    <w:rsid w:val="00414DB9"/>
    <w:rsid w:val="0041578F"/>
    <w:rsid w:val="00416D3B"/>
    <w:rsid w:val="004209D5"/>
    <w:rsid w:val="00425CFC"/>
    <w:rsid w:val="00433F4A"/>
    <w:rsid w:val="0043619F"/>
    <w:rsid w:val="00437EB4"/>
    <w:rsid w:val="00441869"/>
    <w:rsid w:val="00442665"/>
    <w:rsid w:val="00442F71"/>
    <w:rsid w:val="00450900"/>
    <w:rsid w:val="00451CBB"/>
    <w:rsid w:val="004529CD"/>
    <w:rsid w:val="0046516A"/>
    <w:rsid w:val="004723EA"/>
    <w:rsid w:val="00473BDB"/>
    <w:rsid w:val="00483842"/>
    <w:rsid w:val="00485952"/>
    <w:rsid w:val="00494E48"/>
    <w:rsid w:val="004A3FFD"/>
    <w:rsid w:val="004B1122"/>
    <w:rsid w:val="004B174E"/>
    <w:rsid w:val="004B1F64"/>
    <w:rsid w:val="004B2810"/>
    <w:rsid w:val="004B2BF9"/>
    <w:rsid w:val="004B503E"/>
    <w:rsid w:val="004B66B0"/>
    <w:rsid w:val="004C53F4"/>
    <w:rsid w:val="004C5B80"/>
    <w:rsid w:val="004C7CDF"/>
    <w:rsid w:val="004D0607"/>
    <w:rsid w:val="004D1B18"/>
    <w:rsid w:val="004D5E14"/>
    <w:rsid w:val="004D613C"/>
    <w:rsid w:val="004F05D8"/>
    <w:rsid w:val="004F0CC9"/>
    <w:rsid w:val="004F64EE"/>
    <w:rsid w:val="004F69F5"/>
    <w:rsid w:val="004F7BE6"/>
    <w:rsid w:val="00502751"/>
    <w:rsid w:val="0050328C"/>
    <w:rsid w:val="00503B06"/>
    <w:rsid w:val="00507771"/>
    <w:rsid w:val="00507B8E"/>
    <w:rsid w:val="0051558E"/>
    <w:rsid w:val="005203EE"/>
    <w:rsid w:val="00524768"/>
    <w:rsid w:val="00527ED6"/>
    <w:rsid w:val="005337EC"/>
    <w:rsid w:val="00534722"/>
    <w:rsid w:val="00535F6F"/>
    <w:rsid w:val="00540790"/>
    <w:rsid w:val="00546394"/>
    <w:rsid w:val="00546EB3"/>
    <w:rsid w:val="00547D8D"/>
    <w:rsid w:val="00551E87"/>
    <w:rsid w:val="00553168"/>
    <w:rsid w:val="005541D2"/>
    <w:rsid w:val="0056209E"/>
    <w:rsid w:val="00562646"/>
    <w:rsid w:val="005663DC"/>
    <w:rsid w:val="00567EF9"/>
    <w:rsid w:val="005768CA"/>
    <w:rsid w:val="00577C19"/>
    <w:rsid w:val="00581491"/>
    <w:rsid w:val="00586C44"/>
    <w:rsid w:val="005930F3"/>
    <w:rsid w:val="00595E6B"/>
    <w:rsid w:val="005A3C7E"/>
    <w:rsid w:val="005A56F8"/>
    <w:rsid w:val="005B2206"/>
    <w:rsid w:val="005B7E09"/>
    <w:rsid w:val="005C368F"/>
    <w:rsid w:val="005D2DDC"/>
    <w:rsid w:val="005E0F02"/>
    <w:rsid w:val="005E63D3"/>
    <w:rsid w:val="005E7D37"/>
    <w:rsid w:val="005F246E"/>
    <w:rsid w:val="005F2473"/>
    <w:rsid w:val="005F2C3A"/>
    <w:rsid w:val="005F3D6D"/>
    <w:rsid w:val="005F7F24"/>
    <w:rsid w:val="006051C4"/>
    <w:rsid w:val="00605BF3"/>
    <w:rsid w:val="0061337C"/>
    <w:rsid w:val="006207BB"/>
    <w:rsid w:val="0062098F"/>
    <w:rsid w:val="00621C40"/>
    <w:rsid w:val="00624DC9"/>
    <w:rsid w:val="00626DB5"/>
    <w:rsid w:val="00627A73"/>
    <w:rsid w:val="00631429"/>
    <w:rsid w:val="00634E98"/>
    <w:rsid w:val="00637574"/>
    <w:rsid w:val="006463A9"/>
    <w:rsid w:val="006612CF"/>
    <w:rsid w:val="00665BDC"/>
    <w:rsid w:val="00670DC1"/>
    <w:rsid w:val="00670F01"/>
    <w:rsid w:val="00673B17"/>
    <w:rsid w:val="006803B3"/>
    <w:rsid w:val="00681398"/>
    <w:rsid w:val="00682D98"/>
    <w:rsid w:val="00682EAB"/>
    <w:rsid w:val="00693352"/>
    <w:rsid w:val="00694068"/>
    <w:rsid w:val="006A7B2C"/>
    <w:rsid w:val="006A7F42"/>
    <w:rsid w:val="006B5331"/>
    <w:rsid w:val="006C49B0"/>
    <w:rsid w:val="006C61FB"/>
    <w:rsid w:val="006E2F9A"/>
    <w:rsid w:val="006F2696"/>
    <w:rsid w:val="006F7272"/>
    <w:rsid w:val="006F733F"/>
    <w:rsid w:val="00701A54"/>
    <w:rsid w:val="0071069B"/>
    <w:rsid w:val="007109DA"/>
    <w:rsid w:val="00725609"/>
    <w:rsid w:val="00730FC0"/>
    <w:rsid w:val="00734DB0"/>
    <w:rsid w:val="00745E44"/>
    <w:rsid w:val="00751E18"/>
    <w:rsid w:val="007563CD"/>
    <w:rsid w:val="0075643C"/>
    <w:rsid w:val="00763DDA"/>
    <w:rsid w:val="00765AC2"/>
    <w:rsid w:val="007662D7"/>
    <w:rsid w:val="00767EB6"/>
    <w:rsid w:val="0077100E"/>
    <w:rsid w:val="0077574B"/>
    <w:rsid w:val="00780653"/>
    <w:rsid w:val="007821C3"/>
    <w:rsid w:val="00783692"/>
    <w:rsid w:val="00785798"/>
    <w:rsid w:val="0079791E"/>
    <w:rsid w:val="00797EAE"/>
    <w:rsid w:val="007A188F"/>
    <w:rsid w:val="007A4D7E"/>
    <w:rsid w:val="007A5F18"/>
    <w:rsid w:val="007A5F75"/>
    <w:rsid w:val="007B174B"/>
    <w:rsid w:val="007C004B"/>
    <w:rsid w:val="007C5705"/>
    <w:rsid w:val="007C5E33"/>
    <w:rsid w:val="007D0368"/>
    <w:rsid w:val="007D1661"/>
    <w:rsid w:val="007D235E"/>
    <w:rsid w:val="007D438B"/>
    <w:rsid w:val="007D5947"/>
    <w:rsid w:val="007E2542"/>
    <w:rsid w:val="007F155A"/>
    <w:rsid w:val="007F3283"/>
    <w:rsid w:val="007F474D"/>
    <w:rsid w:val="007F6571"/>
    <w:rsid w:val="007F73F1"/>
    <w:rsid w:val="00801590"/>
    <w:rsid w:val="00802836"/>
    <w:rsid w:val="00804837"/>
    <w:rsid w:val="008061C9"/>
    <w:rsid w:val="008108D9"/>
    <w:rsid w:val="00813EE9"/>
    <w:rsid w:val="00816ADB"/>
    <w:rsid w:val="00831D7E"/>
    <w:rsid w:val="00834CA0"/>
    <w:rsid w:val="00834F0C"/>
    <w:rsid w:val="00842E19"/>
    <w:rsid w:val="008446A6"/>
    <w:rsid w:val="00845F74"/>
    <w:rsid w:val="00846F38"/>
    <w:rsid w:val="00856C60"/>
    <w:rsid w:val="00863392"/>
    <w:rsid w:val="00875E89"/>
    <w:rsid w:val="0088381F"/>
    <w:rsid w:val="00883AB6"/>
    <w:rsid w:val="008840FE"/>
    <w:rsid w:val="0088552E"/>
    <w:rsid w:val="008918A1"/>
    <w:rsid w:val="00892A94"/>
    <w:rsid w:val="008A3549"/>
    <w:rsid w:val="008A5796"/>
    <w:rsid w:val="008B5E8F"/>
    <w:rsid w:val="008C1AA7"/>
    <w:rsid w:val="008C2C1A"/>
    <w:rsid w:val="008C6BA1"/>
    <w:rsid w:val="008D348A"/>
    <w:rsid w:val="008D66BA"/>
    <w:rsid w:val="008E0343"/>
    <w:rsid w:val="008E0638"/>
    <w:rsid w:val="008E7A98"/>
    <w:rsid w:val="008F0883"/>
    <w:rsid w:val="008F1F09"/>
    <w:rsid w:val="008F44BE"/>
    <w:rsid w:val="008F6064"/>
    <w:rsid w:val="008F6882"/>
    <w:rsid w:val="00902A82"/>
    <w:rsid w:val="0090615D"/>
    <w:rsid w:val="0090711F"/>
    <w:rsid w:val="009130C3"/>
    <w:rsid w:val="00934569"/>
    <w:rsid w:val="00934693"/>
    <w:rsid w:val="00934908"/>
    <w:rsid w:val="00941D29"/>
    <w:rsid w:val="00952BED"/>
    <w:rsid w:val="00955B0A"/>
    <w:rsid w:val="009563E3"/>
    <w:rsid w:val="00960E48"/>
    <w:rsid w:val="009614B8"/>
    <w:rsid w:val="00962420"/>
    <w:rsid w:val="00966D3F"/>
    <w:rsid w:val="00974656"/>
    <w:rsid w:val="0097588C"/>
    <w:rsid w:val="00975C2D"/>
    <w:rsid w:val="0097693D"/>
    <w:rsid w:val="00976A25"/>
    <w:rsid w:val="009806E2"/>
    <w:rsid w:val="0098280F"/>
    <w:rsid w:val="009865FD"/>
    <w:rsid w:val="00997540"/>
    <w:rsid w:val="009A06E6"/>
    <w:rsid w:val="009A5536"/>
    <w:rsid w:val="009B0296"/>
    <w:rsid w:val="009B6ED4"/>
    <w:rsid w:val="009C6FD7"/>
    <w:rsid w:val="009D3972"/>
    <w:rsid w:val="009D57A4"/>
    <w:rsid w:val="009E033B"/>
    <w:rsid w:val="009E6626"/>
    <w:rsid w:val="009F244C"/>
    <w:rsid w:val="009F2877"/>
    <w:rsid w:val="009F42CC"/>
    <w:rsid w:val="00A0024E"/>
    <w:rsid w:val="00A10F26"/>
    <w:rsid w:val="00A16AFA"/>
    <w:rsid w:val="00A16BF8"/>
    <w:rsid w:val="00A17506"/>
    <w:rsid w:val="00A23C5E"/>
    <w:rsid w:val="00A24CF2"/>
    <w:rsid w:val="00A30E0D"/>
    <w:rsid w:val="00A342E1"/>
    <w:rsid w:val="00A35A4B"/>
    <w:rsid w:val="00A371BC"/>
    <w:rsid w:val="00A37AD8"/>
    <w:rsid w:val="00A5251A"/>
    <w:rsid w:val="00A5710E"/>
    <w:rsid w:val="00A57E12"/>
    <w:rsid w:val="00A60516"/>
    <w:rsid w:val="00A666F5"/>
    <w:rsid w:val="00A7066F"/>
    <w:rsid w:val="00A7543C"/>
    <w:rsid w:val="00A77BF8"/>
    <w:rsid w:val="00A80571"/>
    <w:rsid w:val="00A9572E"/>
    <w:rsid w:val="00AA4052"/>
    <w:rsid w:val="00AC23DA"/>
    <w:rsid w:val="00AC74BE"/>
    <w:rsid w:val="00AD0825"/>
    <w:rsid w:val="00AD4D31"/>
    <w:rsid w:val="00AD71F4"/>
    <w:rsid w:val="00AE0A8F"/>
    <w:rsid w:val="00AE29F1"/>
    <w:rsid w:val="00AE2BC2"/>
    <w:rsid w:val="00AF6697"/>
    <w:rsid w:val="00AF6EE7"/>
    <w:rsid w:val="00AF7F2D"/>
    <w:rsid w:val="00B00747"/>
    <w:rsid w:val="00B00B14"/>
    <w:rsid w:val="00B0696B"/>
    <w:rsid w:val="00B10615"/>
    <w:rsid w:val="00B175D3"/>
    <w:rsid w:val="00B221C5"/>
    <w:rsid w:val="00B22AAF"/>
    <w:rsid w:val="00B2640D"/>
    <w:rsid w:val="00B26D84"/>
    <w:rsid w:val="00B301EE"/>
    <w:rsid w:val="00B31166"/>
    <w:rsid w:val="00B32590"/>
    <w:rsid w:val="00B3537F"/>
    <w:rsid w:val="00B40320"/>
    <w:rsid w:val="00B409E1"/>
    <w:rsid w:val="00B45F1F"/>
    <w:rsid w:val="00B608D7"/>
    <w:rsid w:val="00B6295C"/>
    <w:rsid w:val="00B667E9"/>
    <w:rsid w:val="00B848C5"/>
    <w:rsid w:val="00B85EF8"/>
    <w:rsid w:val="00B867DC"/>
    <w:rsid w:val="00B87A46"/>
    <w:rsid w:val="00B969EB"/>
    <w:rsid w:val="00B97D83"/>
    <w:rsid w:val="00BA2BFC"/>
    <w:rsid w:val="00BA5E3B"/>
    <w:rsid w:val="00BA6758"/>
    <w:rsid w:val="00BA7675"/>
    <w:rsid w:val="00BB1F80"/>
    <w:rsid w:val="00BB22AB"/>
    <w:rsid w:val="00BB2CC2"/>
    <w:rsid w:val="00BB4216"/>
    <w:rsid w:val="00BB6730"/>
    <w:rsid w:val="00BB79B4"/>
    <w:rsid w:val="00BC00C5"/>
    <w:rsid w:val="00BC4574"/>
    <w:rsid w:val="00BC523D"/>
    <w:rsid w:val="00BC5F31"/>
    <w:rsid w:val="00BC70FC"/>
    <w:rsid w:val="00BD092D"/>
    <w:rsid w:val="00BD6432"/>
    <w:rsid w:val="00BD6907"/>
    <w:rsid w:val="00BD7E49"/>
    <w:rsid w:val="00BF15A3"/>
    <w:rsid w:val="00BF1F12"/>
    <w:rsid w:val="00BF47DC"/>
    <w:rsid w:val="00BF5793"/>
    <w:rsid w:val="00BF6EC7"/>
    <w:rsid w:val="00C07AE2"/>
    <w:rsid w:val="00C10D26"/>
    <w:rsid w:val="00C141E6"/>
    <w:rsid w:val="00C14973"/>
    <w:rsid w:val="00C222A1"/>
    <w:rsid w:val="00C2287F"/>
    <w:rsid w:val="00C2311D"/>
    <w:rsid w:val="00C31262"/>
    <w:rsid w:val="00C31BC1"/>
    <w:rsid w:val="00C37F62"/>
    <w:rsid w:val="00C41BC5"/>
    <w:rsid w:val="00C41EB2"/>
    <w:rsid w:val="00C443CB"/>
    <w:rsid w:val="00C44A58"/>
    <w:rsid w:val="00C44BBA"/>
    <w:rsid w:val="00C47E6F"/>
    <w:rsid w:val="00C53C88"/>
    <w:rsid w:val="00C53D92"/>
    <w:rsid w:val="00C6013A"/>
    <w:rsid w:val="00C60A86"/>
    <w:rsid w:val="00C60AC3"/>
    <w:rsid w:val="00C61B26"/>
    <w:rsid w:val="00C6562D"/>
    <w:rsid w:val="00C66053"/>
    <w:rsid w:val="00C67386"/>
    <w:rsid w:val="00C708CD"/>
    <w:rsid w:val="00C726F6"/>
    <w:rsid w:val="00C748A5"/>
    <w:rsid w:val="00C75997"/>
    <w:rsid w:val="00C938B2"/>
    <w:rsid w:val="00C952A0"/>
    <w:rsid w:val="00C97A0A"/>
    <w:rsid w:val="00CA4101"/>
    <w:rsid w:val="00CB3EF4"/>
    <w:rsid w:val="00CB794D"/>
    <w:rsid w:val="00CB7EF6"/>
    <w:rsid w:val="00CC02FC"/>
    <w:rsid w:val="00CC2367"/>
    <w:rsid w:val="00CD1CEC"/>
    <w:rsid w:val="00CD35FA"/>
    <w:rsid w:val="00CD789F"/>
    <w:rsid w:val="00CE14DF"/>
    <w:rsid w:val="00CE79FA"/>
    <w:rsid w:val="00D0627D"/>
    <w:rsid w:val="00D14FF0"/>
    <w:rsid w:val="00D16420"/>
    <w:rsid w:val="00D170DA"/>
    <w:rsid w:val="00D22F53"/>
    <w:rsid w:val="00D275AB"/>
    <w:rsid w:val="00D30564"/>
    <w:rsid w:val="00D37120"/>
    <w:rsid w:val="00D3797F"/>
    <w:rsid w:val="00D46173"/>
    <w:rsid w:val="00D47BDC"/>
    <w:rsid w:val="00D547D8"/>
    <w:rsid w:val="00D5566D"/>
    <w:rsid w:val="00D579AC"/>
    <w:rsid w:val="00D6073A"/>
    <w:rsid w:val="00D63BE2"/>
    <w:rsid w:val="00D64F27"/>
    <w:rsid w:val="00D658D6"/>
    <w:rsid w:val="00D72D85"/>
    <w:rsid w:val="00D735C2"/>
    <w:rsid w:val="00D760AF"/>
    <w:rsid w:val="00D77282"/>
    <w:rsid w:val="00D8453C"/>
    <w:rsid w:val="00D85063"/>
    <w:rsid w:val="00D94B10"/>
    <w:rsid w:val="00D956D3"/>
    <w:rsid w:val="00D9575C"/>
    <w:rsid w:val="00DB2608"/>
    <w:rsid w:val="00DB6F1B"/>
    <w:rsid w:val="00DC4935"/>
    <w:rsid w:val="00DD1495"/>
    <w:rsid w:val="00DD209C"/>
    <w:rsid w:val="00DD21EA"/>
    <w:rsid w:val="00DE0F2D"/>
    <w:rsid w:val="00DE260F"/>
    <w:rsid w:val="00DE7993"/>
    <w:rsid w:val="00DF21CC"/>
    <w:rsid w:val="00E10F61"/>
    <w:rsid w:val="00E13444"/>
    <w:rsid w:val="00E142E4"/>
    <w:rsid w:val="00E15AA0"/>
    <w:rsid w:val="00E17911"/>
    <w:rsid w:val="00E2043E"/>
    <w:rsid w:val="00E209AA"/>
    <w:rsid w:val="00E27746"/>
    <w:rsid w:val="00E34D74"/>
    <w:rsid w:val="00E3568B"/>
    <w:rsid w:val="00E366E6"/>
    <w:rsid w:val="00E43DD2"/>
    <w:rsid w:val="00E47844"/>
    <w:rsid w:val="00E632E6"/>
    <w:rsid w:val="00E67D51"/>
    <w:rsid w:val="00E7140F"/>
    <w:rsid w:val="00E71D49"/>
    <w:rsid w:val="00E85887"/>
    <w:rsid w:val="00E934B6"/>
    <w:rsid w:val="00E94006"/>
    <w:rsid w:val="00E95F1B"/>
    <w:rsid w:val="00EA1DC3"/>
    <w:rsid w:val="00EA4CD4"/>
    <w:rsid w:val="00EB6987"/>
    <w:rsid w:val="00EC2497"/>
    <w:rsid w:val="00EC33FF"/>
    <w:rsid w:val="00ED1167"/>
    <w:rsid w:val="00ED4976"/>
    <w:rsid w:val="00EE0626"/>
    <w:rsid w:val="00EF3F24"/>
    <w:rsid w:val="00EF77C8"/>
    <w:rsid w:val="00F032FF"/>
    <w:rsid w:val="00F2109E"/>
    <w:rsid w:val="00F268A4"/>
    <w:rsid w:val="00F31F4A"/>
    <w:rsid w:val="00F41C17"/>
    <w:rsid w:val="00F44932"/>
    <w:rsid w:val="00F472C2"/>
    <w:rsid w:val="00F47E0D"/>
    <w:rsid w:val="00F56F7D"/>
    <w:rsid w:val="00F57956"/>
    <w:rsid w:val="00F67F17"/>
    <w:rsid w:val="00F7305B"/>
    <w:rsid w:val="00F80A48"/>
    <w:rsid w:val="00F855C8"/>
    <w:rsid w:val="00F91A46"/>
    <w:rsid w:val="00F92ABD"/>
    <w:rsid w:val="00F9466F"/>
    <w:rsid w:val="00F94C03"/>
    <w:rsid w:val="00FA0421"/>
    <w:rsid w:val="00FA61A5"/>
    <w:rsid w:val="00FB0C22"/>
    <w:rsid w:val="00FB542E"/>
    <w:rsid w:val="00FB5CBC"/>
    <w:rsid w:val="00FB7CD6"/>
    <w:rsid w:val="00FB7FC1"/>
    <w:rsid w:val="00FC09A8"/>
    <w:rsid w:val="00FC1515"/>
    <w:rsid w:val="00FC58E4"/>
    <w:rsid w:val="00FC6C02"/>
    <w:rsid w:val="00FD0885"/>
    <w:rsid w:val="00FD3ADF"/>
    <w:rsid w:val="00FE3166"/>
    <w:rsid w:val="00FE4A43"/>
    <w:rsid w:val="00FF42F3"/>
    <w:rsid w:val="00FF4537"/>
    <w:rsid w:val="01081D25"/>
    <w:rsid w:val="011001EB"/>
    <w:rsid w:val="01112761"/>
    <w:rsid w:val="01211666"/>
    <w:rsid w:val="0195414E"/>
    <w:rsid w:val="023D2392"/>
    <w:rsid w:val="03096C54"/>
    <w:rsid w:val="03BF7E99"/>
    <w:rsid w:val="03F72929"/>
    <w:rsid w:val="042F4508"/>
    <w:rsid w:val="0437200F"/>
    <w:rsid w:val="05760640"/>
    <w:rsid w:val="05937BD7"/>
    <w:rsid w:val="07011DF9"/>
    <w:rsid w:val="07A0532B"/>
    <w:rsid w:val="09273A1C"/>
    <w:rsid w:val="09725D0D"/>
    <w:rsid w:val="09D3610B"/>
    <w:rsid w:val="0A344D76"/>
    <w:rsid w:val="0A53249B"/>
    <w:rsid w:val="0AFE394E"/>
    <w:rsid w:val="0B5D7BAD"/>
    <w:rsid w:val="0BD53C6C"/>
    <w:rsid w:val="0C6F16BA"/>
    <w:rsid w:val="0CF95F2B"/>
    <w:rsid w:val="0D1F3CB6"/>
    <w:rsid w:val="0D2529B5"/>
    <w:rsid w:val="0D270436"/>
    <w:rsid w:val="0D9A04BE"/>
    <w:rsid w:val="0E3E34DA"/>
    <w:rsid w:val="0E415563"/>
    <w:rsid w:val="0E487ABB"/>
    <w:rsid w:val="10383126"/>
    <w:rsid w:val="105F021E"/>
    <w:rsid w:val="10F7273C"/>
    <w:rsid w:val="113223FE"/>
    <w:rsid w:val="113373E5"/>
    <w:rsid w:val="11A93C5C"/>
    <w:rsid w:val="122663D6"/>
    <w:rsid w:val="12AE6C3E"/>
    <w:rsid w:val="13FD2432"/>
    <w:rsid w:val="141E6BF6"/>
    <w:rsid w:val="14951564"/>
    <w:rsid w:val="155C324D"/>
    <w:rsid w:val="15B50D11"/>
    <w:rsid w:val="16E51BC5"/>
    <w:rsid w:val="17B62B1E"/>
    <w:rsid w:val="183C2DFA"/>
    <w:rsid w:val="1882138D"/>
    <w:rsid w:val="1890511D"/>
    <w:rsid w:val="19A43465"/>
    <w:rsid w:val="1A11228E"/>
    <w:rsid w:val="1A3A155A"/>
    <w:rsid w:val="1AF80AAA"/>
    <w:rsid w:val="1BB47375"/>
    <w:rsid w:val="1C3B3891"/>
    <w:rsid w:val="1D1836F7"/>
    <w:rsid w:val="1D7C0C84"/>
    <w:rsid w:val="1D910E43"/>
    <w:rsid w:val="1DB16A54"/>
    <w:rsid w:val="1E646882"/>
    <w:rsid w:val="1F2B0BD4"/>
    <w:rsid w:val="1F3727F0"/>
    <w:rsid w:val="1F847213"/>
    <w:rsid w:val="1FD224BF"/>
    <w:rsid w:val="21004D19"/>
    <w:rsid w:val="21325907"/>
    <w:rsid w:val="216D29C4"/>
    <w:rsid w:val="21B04A82"/>
    <w:rsid w:val="22C029B6"/>
    <w:rsid w:val="23A001CD"/>
    <w:rsid w:val="23BF004B"/>
    <w:rsid w:val="246529AA"/>
    <w:rsid w:val="24E574CC"/>
    <w:rsid w:val="24F92212"/>
    <w:rsid w:val="253A0100"/>
    <w:rsid w:val="25FB2DE0"/>
    <w:rsid w:val="26301CEE"/>
    <w:rsid w:val="26304465"/>
    <w:rsid w:val="26ED0790"/>
    <w:rsid w:val="26ED27D1"/>
    <w:rsid w:val="291A45E7"/>
    <w:rsid w:val="2B0B448A"/>
    <w:rsid w:val="2BEC43F7"/>
    <w:rsid w:val="2C9034E6"/>
    <w:rsid w:val="2D6F3C1B"/>
    <w:rsid w:val="2DA602BA"/>
    <w:rsid w:val="2DC17D59"/>
    <w:rsid w:val="2E8F5EAC"/>
    <w:rsid w:val="2EDF74A6"/>
    <w:rsid w:val="2F61116A"/>
    <w:rsid w:val="2F945509"/>
    <w:rsid w:val="2FCD67FF"/>
    <w:rsid w:val="303D5733"/>
    <w:rsid w:val="33067A9B"/>
    <w:rsid w:val="33EE004E"/>
    <w:rsid w:val="347C2EF5"/>
    <w:rsid w:val="34CA06AE"/>
    <w:rsid w:val="354F46A7"/>
    <w:rsid w:val="355C5AC6"/>
    <w:rsid w:val="36FD533C"/>
    <w:rsid w:val="38F8669B"/>
    <w:rsid w:val="399A3CEC"/>
    <w:rsid w:val="39FD3454"/>
    <w:rsid w:val="3AA31DB3"/>
    <w:rsid w:val="3BD27231"/>
    <w:rsid w:val="3C0004C0"/>
    <w:rsid w:val="3C370E1F"/>
    <w:rsid w:val="3CD10D85"/>
    <w:rsid w:val="3CF033E2"/>
    <w:rsid w:val="3D1B0717"/>
    <w:rsid w:val="3D8B63BA"/>
    <w:rsid w:val="3DA123A9"/>
    <w:rsid w:val="3F6B43E7"/>
    <w:rsid w:val="3FFF6FB1"/>
    <w:rsid w:val="40393EB2"/>
    <w:rsid w:val="40590F3A"/>
    <w:rsid w:val="408815CA"/>
    <w:rsid w:val="42EB4538"/>
    <w:rsid w:val="430E0213"/>
    <w:rsid w:val="44547942"/>
    <w:rsid w:val="4461561B"/>
    <w:rsid w:val="44880CA8"/>
    <w:rsid w:val="448D49EA"/>
    <w:rsid w:val="4508410A"/>
    <w:rsid w:val="452151CC"/>
    <w:rsid w:val="452D08B6"/>
    <w:rsid w:val="45D6053D"/>
    <w:rsid w:val="45DE50CC"/>
    <w:rsid w:val="473F209E"/>
    <w:rsid w:val="47F852A0"/>
    <w:rsid w:val="48672271"/>
    <w:rsid w:val="494F1734"/>
    <w:rsid w:val="49711FE4"/>
    <w:rsid w:val="4A44131E"/>
    <w:rsid w:val="4A9F2BAB"/>
    <w:rsid w:val="4C7B1665"/>
    <w:rsid w:val="4C8B6E69"/>
    <w:rsid w:val="4E125FF9"/>
    <w:rsid w:val="4E2E2D6E"/>
    <w:rsid w:val="4EAA18D8"/>
    <w:rsid w:val="4EE01518"/>
    <w:rsid w:val="4EE52D9A"/>
    <w:rsid w:val="51096898"/>
    <w:rsid w:val="513144BA"/>
    <w:rsid w:val="517A013D"/>
    <w:rsid w:val="51C473E9"/>
    <w:rsid w:val="52414DE1"/>
    <w:rsid w:val="53C30570"/>
    <w:rsid w:val="54567359"/>
    <w:rsid w:val="54E81862"/>
    <w:rsid w:val="55461372"/>
    <w:rsid w:val="55B53DAC"/>
    <w:rsid w:val="56664A7A"/>
    <w:rsid w:val="5689762F"/>
    <w:rsid w:val="56F8574F"/>
    <w:rsid w:val="59780EFD"/>
    <w:rsid w:val="5A483888"/>
    <w:rsid w:val="5B4100AC"/>
    <w:rsid w:val="5BE139E7"/>
    <w:rsid w:val="5CFE3440"/>
    <w:rsid w:val="5E6E51F7"/>
    <w:rsid w:val="5E7909AA"/>
    <w:rsid w:val="5EB153AD"/>
    <w:rsid w:val="5ECC07BD"/>
    <w:rsid w:val="5F5F433F"/>
    <w:rsid w:val="5FD208D8"/>
    <w:rsid w:val="617F1329"/>
    <w:rsid w:val="62697428"/>
    <w:rsid w:val="636E0E62"/>
    <w:rsid w:val="647E1768"/>
    <w:rsid w:val="64E831B8"/>
    <w:rsid w:val="6562010E"/>
    <w:rsid w:val="65BF01CA"/>
    <w:rsid w:val="66544FA9"/>
    <w:rsid w:val="667F5C87"/>
    <w:rsid w:val="67DF08A2"/>
    <w:rsid w:val="68241152"/>
    <w:rsid w:val="68C25C27"/>
    <w:rsid w:val="6945507D"/>
    <w:rsid w:val="698338AD"/>
    <w:rsid w:val="69F148BD"/>
    <w:rsid w:val="6A1D14B5"/>
    <w:rsid w:val="6A4E498E"/>
    <w:rsid w:val="6AC0272E"/>
    <w:rsid w:val="6ACD6C06"/>
    <w:rsid w:val="6AD634EF"/>
    <w:rsid w:val="6B644FAD"/>
    <w:rsid w:val="6D433682"/>
    <w:rsid w:val="6DE65371"/>
    <w:rsid w:val="6DEA72D6"/>
    <w:rsid w:val="6E020C07"/>
    <w:rsid w:val="6E041063"/>
    <w:rsid w:val="6E0F5ECC"/>
    <w:rsid w:val="6F375468"/>
    <w:rsid w:val="72606A84"/>
    <w:rsid w:val="72CB65F3"/>
    <w:rsid w:val="74827697"/>
    <w:rsid w:val="7520430D"/>
    <w:rsid w:val="753B69D5"/>
    <w:rsid w:val="75953385"/>
    <w:rsid w:val="75AD79C1"/>
    <w:rsid w:val="75F73944"/>
    <w:rsid w:val="760412DE"/>
    <w:rsid w:val="76AC673B"/>
    <w:rsid w:val="76CD2919"/>
    <w:rsid w:val="77A960AD"/>
    <w:rsid w:val="78802156"/>
    <w:rsid w:val="7951075D"/>
    <w:rsid w:val="7B4E1B6F"/>
    <w:rsid w:val="7C7A2D4A"/>
    <w:rsid w:val="7D6C593A"/>
    <w:rsid w:val="7E385B95"/>
    <w:rsid w:val="7EE75AF3"/>
    <w:rsid w:val="7F7739F2"/>
    <w:rsid w:val="7F88016B"/>
    <w:rsid w:val="7FA96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30"/>
      <w:szCs w:val="44"/>
      <w:lang w:val="zh-CN"/>
    </w:rPr>
  </w:style>
  <w:style w:type="paragraph" w:styleId="4">
    <w:name w:val="heading 2"/>
    <w:basedOn w:val="1"/>
    <w:next w:val="1"/>
    <w:link w:val="44"/>
    <w:qFormat/>
    <w:uiPriority w:val="0"/>
    <w:pPr>
      <w:keepNext/>
      <w:keepLines/>
      <w:spacing w:before="260" w:after="260" w:line="415" w:lineRule="auto"/>
      <w:outlineLvl w:val="1"/>
    </w:pPr>
    <w:rPr>
      <w:rFonts w:ascii="Cambria" w:hAnsi="Cambria"/>
      <w:b/>
      <w:bCs/>
      <w:sz w:val="32"/>
      <w:szCs w:val="32"/>
      <w:lang w:val="zh-CN"/>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6"/>
    <w:unhideWhenUsed/>
    <w:qFormat/>
    <w:uiPriority w:val="0"/>
    <w:pPr>
      <w:keepNext/>
      <w:keepLines/>
      <w:spacing w:before="280" w:after="290" w:line="372" w:lineRule="auto"/>
      <w:outlineLvl w:val="3"/>
    </w:pPr>
    <w:rPr>
      <w:rFonts w:ascii="DejaVu Sans" w:hAnsi="DejaVu Sans" w:eastAsia="方正黑体_GBK" w:cstheme="minorBidi"/>
      <w:b/>
      <w:sz w:val="28"/>
    </w:rPr>
  </w:style>
  <w:style w:type="paragraph" w:styleId="7">
    <w:name w:val="heading 5"/>
    <w:basedOn w:val="1"/>
    <w:next w:val="1"/>
    <w:link w:val="47"/>
    <w:unhideWhenUsed/>
    <w:qFormat/>
    <w:uiPriority w:val="0"/>
    <w:pPr>
      <w:keepNext/>
      <w:keepLines/>
      <w:spacing w:before="280" w:after="290" w:line="372" w:lineRule="auto"/>
      <w:outlineLvl w:val="4"/>
    </w:pPr>
    <w:rPr>
      <w:rFonts w:asciiTheme="minorHAnsi" w:hAnsiTheme="minorHAnsi" w:eastAsiaTheme="minorEastAsia" w:cstheme="minorBidi"/>
      <w:b/>
      <w:sz w:val="28"/>
    </w:rPr>
  </w:style>
  <w:style w:type="paragraph" w:styleId="8">
    <w:name w:val="heading 6"/>
    <w:basedOn w:val="1"/>
    <w:next w:val="1"/>
    <w:link w:val="48"/>
    <w:unhideWhenUsed/>
    <w:qFormat/>
    <w:uiPriority w:val="0"/>
    <w:pPr>
      <w:keepNext/>
      <w:keepLines/>
      <w:spacing w:before="240" w:after="64" w:line="317" w:lineRule="auto"/>
      <w:outlineLvl w:val="5"/>
    </w:pPr>
    <w:rPr>
      <w:rFonts w:ascii="DejaVu Sans" w:hAnsi="DejaVu Sans" w:eastAsia="方正黑体_GBK" w:cstheme="minorBidi"/>
      <w:b/>
    </w:rPr>
  </w:style>
  <w:style w:type="paragraph" w:styleId="9">
    <w:name w:val="heading 7"/>
    <w:basedOn w:val="1"/>
    <w:next w:val="2"/>
    <w:link w:val="49"/>
    <w:qFormat/>
    <w:uiPriority w:val="0"/>
    <w:pPr>
      <w:keepNext/>
      <w:keepLines/>
      <w:numPr>
        <w:ilvl w:val="6"/>
        <w:numId w:val="1"/>
      </w:numPr>
      <w:spacing w:before="240" w:after="64" w:line="320" w:lineRule="auto"/>
      <w:outlineLvl w:val="6"/>
    </w:pPr>
    <w:rPr>
      <w:b/>
      <w:szCs w:val="20"/>
    </w:rPr>
  </w:style>
  <w:style w:type="paragraph" w:styleId="10">
    <w:name w:val="heading 8"/>
    <w:basedOn w:val="1"/>
    <w:next w:val="2"/>
    <w:link w:val="50"/>
    <w:qFormat/>
    <w:uiPriority w:val="0"/>
    <w:pPr>
      <w:keepNext/>
      <w:keepLines/>
      <w:numPr>
        <w:ilvl w:val="7"/>
        <w:numId w:val="1"/>
      </w:numPr>
      <w:spacing w:before="240" w:after="64" w:line="320" w:lineRule="auto"/>
      <w:outlineLvl w:val="7"/>
    </w:pPr>
    <w:rPr>
      <w:rFonts w:ascii="Arial" w:hAnsi="Arial" w:eastAsia="黑体"/>
      <w:szCs w:val="20"/>
    </w:rPr>
  </w:style>
  <w:style w:type="paragraph" w:styleId="11">
    <w:name w:val="heading 9"/>
    <w:basedOn w:val="1"/>
    <w:next w:val="2"/>
    <w:link w:val="51"/>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caption"/>
    <w:basedOn w:val="1"/>
    <w:next w:val="1"/>
    <w:link w:val="124"/>
    <w:qFormat/>
    <w:uiPriority w:val="0"/>
    <w:rPr>
      <w:rFonts w:ascii="Calibri" w:hAnsi="Calibri"/>
      <w:sz w:val="18"/>
      <w:szCs w:val="18"/>
    </w:rPr>
  </w:style>
  <w:style w:type="paragraph" w:styleId="13">
    <w:name w:val="Document Map"/>
    <w:basedOn w:val="1"/>
    <w:link w:val="52"/>
    <w:qFormat/>
    <w:uiPriority w:val="0"/>
    <w:pPr>
      <w:shd w:val="clear" w:color="auto" w:fill="000080"/>
    </w:pPr>
    <w:rPr>
      <w:rFonts w:asciiTheme="minorHAnsi" w:hAnsiTheme="minorHAnsi" w:eastAsiaTheme="minorEastAsia" w:cstheme="minorBidi"/>
    </w:rPr>
  </w:style>
  <w:style w:type="paragraph" w:styleId="14">
    <w:name w:val="annotation text"/>
    <w:basedOn w:val="1"/>
    <w:link w:val="53"/>
    <w:qFormat/>
    <w:uiPriority w:val="0"/>
    <w:pPr>
      <w:jc w:val="left"/>
    </w:pPr>
    <w:rPr>
      <w:rFonts w:asciiTheme="minorHAnsi" w:hAnsiTheme="minorHAnsi" w:eastAsiaTheme="minorEastAsia" w:cstheme="minorBidi"/>
    </w:rPr>
  </w:style>
  <w:style w:type="paragraph" w:styleId="15">
    <w:name w:val="Body Text"/>
    <w:basedOn w:val="1"/>
    <w:next w:val="16"/>
    <w:link w:val="54"/>
    <w:qFormat/>
    <w:uiPriority w:val="0"/>
    <w:pPr>
      <w:spacing w:after="120"/>
    </w:pPr>
    <w:rPr>
      <w:lang w:val="zh-CN"/>
    </w:rPr>
  </w:style>
  <w:style w:type="paragraph" w:customStyle="1" w:styleId="16">
    <w:name w:val="一级条标题"/>
    <w:basedOn w:val="17"/>
    <w:next w:val="18"/>
    <w:qFormat/>
    <w:uiPriority w:val="0"/>
    <w:pPr>
      <w:spacing w:line="240" w:lineRule="auto"/>
      <w:ind w:left="420"/>
      <w:outlineLvl w:val="2"/>
    </w:pPr>
  </w:style>
  <w:style w:type="paragraph" w:customStyle="1" w:styleId="1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9">
    <w:name w:val="Body Text Indent"/>
    <w:basedOn w:val="1"/>
    <w:link w:val="55"/>
    <w:qFormat/>
    <w:uiPriority w:val="0"/>
    <w:pPr>
      <w:spacing w:after="120"/>
      <w:ind w:left="420" w:leftChars="200"/>
    </w:pPr>
    <w:rPr>
      <w:rFonts w:asciiTheme="minorHAnsi" w:hAnsiTheme="minorHAnsi" w:eastAsiaTheme="minorEastAsia" w:cstheme="minorBidi"/>
      <w:sz w:val="21"/>
    </w:rPr>
  </w:style>
  <w:style w:type="paragraph" w:styleId="2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21">
    <w:name w:val="Plain Text"/>
    <w:basedOn w:val="1"/>
    <w:link w:val="56"/>
    <w:qFormat/>
    <w:uiPriority w:val="0"/>
    <w:rPr>
      <w:rFonts w:ascii="宋体" w:hAnsi="Courier New" w:cs="Courier New" w:eastAsiaTheme="minorEastAsia"/>
      <w:sz w:val="21"/>
      <w:szCs w:val="21"/>
    </w:rPr>
  </w:style>
  <w:style w:type="paragraph" w:styleId="22">
    <w:name w:val="Date"/>
    <w:basedOn w:val="1"/>
    <w:next w:val="1"/>
    <w:link w:val="57"/>
    <w:qFormat/>
    <w:uiPriority w:val="0"/>
    <w:pPr>
      <w:ind w:left="100" w:leftChars="2500"/>
    </w:pPr>
    <w:rPr>
      <w:rFonts w:eastAsia="仿宋_GB2312" w:asciiTheme="minorHAnsi" w:hAnsiTheme="minorHAnsi" w:cstheme="minorBidi"/>
      <w:sz w:val="32"/>
    </w:rPr>
  </w:style>
  <w:style w:type="paragraph" w:styleId="23">
    <w:name w:val="Body Text Indent 2"/>
    <w:basedOn w:val="1"/>
    <w:link w:val="58"/>
    <w:qFormat/>
    <w:uiPriority w:val="0"/>
    <w:pPr>
      <w:spacing w:line="400" w:lineRule="atLeast"/>
      <w:ind w:left="840"/>
    </w:pPr>
    <w:rPr>
      <w:rFonts w:ascii="华文中宋" w:hAnsi="宋体" w:eastAsia="华文中宋"/>
      <w:kern w:val="0"/>
      <w:szCs w:val="20"/>
    </w:rPr>
  </w:style>
  <w:style w:type="paragraph" w:styleId="24">
    <w:name w:val="Balloon Text"/>
    <w:basedOn w:val="1"/>
    <w:link w:val="59"/>
    <w:qFormat/>
    <w:uiPriority w:val="0"/>
    <w:rPr>
      <w:sz w:val="18"/>
      <w:szCs w:val="18"/>
      <w:lang w:val="zh-CN"/>
    </w:rPr>
  </w:style>
  <w:style w:type="paragraph" w:styleId="25">
    <w:name w:val="footer"/>
    <w:basedOn w:val="1"/>
    <w:link w:val="6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6">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8">
    <w:name w:val="Subtitle"/>
    <w:basedOn w:val="1"/>
    <w:next w:val="1"/>
    <w:link w:val="62"/>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29">
    <w:name w:val="Body Text Indent 3"/>
    <w:basedOn w:val="1"/>
    <w:link w:val="63"/>
    <w:qFormat/>
    <w:uiPriority w:val="0"/>
    <w:pPr>
      <w:spacing w:after="120"/>
      <w:ind w:left="420" w:leftChars="200"/>
    </w:pPr>
    <w:rPr>
      <w:rFonts w:asciiTheme="minorHAnsi" w:hAnsiTheme="minorHAnsi" w:eastAsiaTheme="minorEastAsia" w:cstheme="minorBidi"/>
      <w:sz w:val="16"/>
      <w:szCs w:val="16"/>
    </w:rPr>
  </w:style>
  <w:style w:type="paragraph" w:styleId="30">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31">
    <w:name w:val="Normal (Web)"/>
    <w:basedOn w:val="1"/>
    <w:qFormat/>
    <w:uiPriority w:val="0"/>
    <w:pPr>
      <w:spacing w:before="100" w:beforeAutospacing="1" w:after="100" w:afterAutospacing="1"/>
      <w:jc w:val="left"/>
    </w:pPr>
    <w:rPr>
      <w:kern w:val="0"/>
    </w:rPr>
  </w:style>
  <w:style w:type="paragraph" w:styleId="32">
    <w:name w:val="Title"/>
    <w:basedOn w:val="1"/>
    <w:next w:val="1"/>
    <w:link w:val="64"/>
    <w:qFormat/>
    <w:uiPriority w:val="0"/>
    <w:pPr>
      <w:spacing w:before="240" w:after="60"/>
      <w:jc w:val="center"/>
      <w:outlineLvl w:val="0"/>
    </w:pPr>
    <w:rPr>
      <w:rFonts w:ascii="Cambria" w:hAnsi="Cambria" w:eastAsiaTheme="minorEastAsia" w:cstheme="minorBidi"/>
      <w:b/>
      <w:bCs/>
      <w:sz w:val="36"/>
      <w:szCs w:val="32"/>
    </w:rPr>
  </w:style>
  <w:style w:type="paragraph" w:styleId="33">
    <w:name w:val="annotation subject"/>
    <w:basedOn w:val="14"/>
    <w:next w:val="14"/>
    <w:link w:val="65"/>
    <w:qFormat/>
    <w:uiPriority w:val="0"/>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99"/>
    <w:rPr>
      <w:color w:val="000000"/>
      <w:u w:val="none"/>
    </w:rPr>
  </w:style>
  <w:style w:type="character" w:styleId="40">
    <w:name w:val="Emphasis"/>
    <w:qFormat/>
    <w:uiPriority w:val="0"/>
  </w:style>
  <w:style w:type="character" w:styleId="41">
    <w:name w:val="Hyperlink"/>
    <w:qFormat/>
    <w:uiPriority w:val="99"/>
    <w:rPr>
      <w:color w:val="000000"/>
      <w:u w:val="none"/>
    </w:rPr>
  </w:style>
  <w:style w:type="character" w:styleId="42">
    <w:name w:val="annotation reference"/>
    <w:qFormat/>
    <w:uiPriority w:val="99"/>
    <w:rPr>
      <w:sz w:val="21"/>
      <w:szCs w:val="21"/>
    </w:rPr>
  </w:style>
  <w:style w:type="character" w:customStyle="1" w:styleId="43">
    <w:name w:val="标题 1 Char"/>
    <w:basedOn w:val="36"/>
    <w:link w:val="3"/>
    <w:qFormat/>
    <w:uiPriority w:val="0"/>
    <w:rPr>
      <w:rFonts w:ascii="Times New Roman" w:hAnsi="Times New Roman" w:eastAsia="宋体" w:cs="Times New Roman"/>
      <w:b/>
      <w:bCs/>
      <w:kern w:val="44"/>
      <w:sz w:val="30"/>
      <w:szCs w:val="44"/>
      <w:lang w:val="zh-CN" w:eastAsia="zh-CN"/>
    </w:rPr>
  </w:style>
  <w:style w:type="character" w:customStyle="1" w:styleId="44">
    <w:name w:val="标题 2 Char"/>
    <w:basedOn w:val="36"/>
    <w:link w:val="4"/>
    <w:qFormat/>
    <w:uiPriority w:val="0"/>
    <w:rPr>
      <w:rFonts w:ascii="Cambria" w:hAnsi="Cambria" w:eastAsia="宋体" w:cs="Times New Roman"/>
      <w:b/>
      <w:bCs/>
      <w:sz w:val="32"/>
      <w:szCs w:val="32"/>
      <w:lang w:val="zh-CN" w:eastAsia="zh-CN"/>
    </w:rPr>
  </w:style>
  <w:style w:type="character" w:customStyle="1" w:styleId="45">
    <w:name w:val="标题 3 Char"/>
    <w:basedOn w:val="36"/>
    <w:link w:val="5"/>
    <w:qFormat/>
    <w:uiPriority w:val="0"/>
    <w:rPr>
      <w:rFonts w:ascii="Times New Roman" w:hAnsi="Times New Roman"/>
      <w:b/>
      <w:bCs/>
      <w:kern w:val="2"/>
      <w:sz w:val="32"/>
      <w:szCs w:val="32"/>
    </w:rPr>
  </w:style>
  <w:style w:type="character" w:customStyle="1" w:styleId="46">
    <w:name w:val="标题 4 Char"/>
    <w:basedOn w:val="36"/>
    <w:link w:val="6"/>
    <w:qFormat/>
    <w:uiPriority w:val="0"/>
    <w:rPr>
      <w:rFonts w:ascii="DejaVu Sans" w:hAnsi="DejaVu Sans" w:eastAsia="方正黑体_GBK" w:cstheme="minorBidi"/>
      <w:b/>
      <w:kern w:val="2"/>
      <w:sz w:val="28"/>
      <w:szCs w:val="24"/>
    </w:rPr>
  </w:style>
  <w:style w:type="character" w:customStyle="1" w:styleId="47">
    <w:name w:val="标题 5 Char"/>
    <w:basedOn w:val="36"/>
    <w:link w:val="7"/>
    <w:qFormat/>
    <w:uiPriority w:val="0"/>
    <w:rPr>
      <w:rFonts w:asciiTheme="minorHAnsi" w:hAnsiTheme="minorHAnsi" w:eastAsiaTheme="minorEastAsia" w:cstheme="minorBidi"/>
      <w:b/>
      <w:kern w:val="2"/>
      <w:sz w:val="28"/>
      <w:szCs w:val="24"/>
    </w:rPr>
  </w:style>
  <w:style w:type="character" w:customStyle="1" w:styleId="48">
    <w:name w:val="标题 6 Char"/>
    <w:basedOn w:val="36"/>
    <w:link w:val="8"/>
    <w:qFormat/>
    <w:uiPriority w:val="0"/>
    <w:rPr>
      <w:rFonts w:ascii="DejaVu Sans" w:hAnsi="DejaVu Sans" w:eastAsia="方正黑体_GBK" w:cstheme="minorBidi"/>
      <w:b/>
      <w:kern w:val="2"/>
      <w:sz w:val="24"/>
      <w:szCs w:val="24"/>
    </w:rPr>
  </w:style>
  <w:style w:type="character" w:customStyle="1" w:styleId="49">
    <w:name w:val="标题 7 Char"/>
    <w:basedOn w:val="36"/>
    <w:link w:val="9"/>
    <w:qFormat/>
    <w:uiPriority w:val="0"/>
    <w:rPr>
      <w:rFonts w:ascii="Times New Roman" w:hAnsi="Times New Roman"/>
      <w:b/>
      <w:kern w:val="2"/>
      <w:sz w:val="24"/>
    </w:rPr>
  </w:style>
  <w:style w:type="character" w:customStyle="1" w:styleId="50">
    <w:name w:val="标题 8 Char"/>
    <w:basedOn w:val="36"/>
    <w:link w:val="10"/>
    <w:qFormat/>
    <w:uiPriority w:val="0"/>
    <w:rPr>
      <w:rFonts w:ascii="Arial" w:hAnsi="Arial" w:eastAsia="黑体"/>
      <w:kern w:val="2"/>
      <w:sz w:val="24"/>
    </w:rPr>
  </w:style>
  <w:style w:type="character" w:customStyle="1" w:styleId="51">
    <w:name w:val="标题 9 Char"/>
    <w:basedOn w:val="36"/>
    <w:link w:val="11"/>
    <w:qFormat/>
    <w:uiPriority w:val="0"/>
    <w:rPr>
      <w:rFonts w:ascii="Arial" w:hAnsi="Arial" w:eastAsia="黑体"/>
      <w:kern w:val="2"/>
      <w:sz w:val="21"/>
    </w:rPr>
  </w:style>
  <w:style w:type="character" w:customStyle="1" w:styleId="52">
    <w:name w:val="文档结构图 Char"/>
    <w:link w:val="13"/>
    <w:qFormat/>
    <w:uiPriority w:val="0"/>
    <w:rPr>
      <w:sz w:val="24"/>
      <w:szCs w:val="24"/>
      <w:shd w:val="clear" w:color="auto" w:fill="000080"/>
    </w:rPr>
  </w:style>
  <w:style w:type="character" w:customStyle="1" w:styleId="53">
    <w:name w:val="批注文字 Char"/>
    <w:link w:val="14"/>
    <w:qFormat/>
    <w:uiPriority w:val="0"/>
    <w:rPr>
      <w:sz w:val="24"/>
      <w:szCs w:val="24"/>
    </w:rPr>
  </w:style>
  <w:style w:type="character" w:customStyle="1" w:styleId="54">
    <w:name w:val="正文文本 Char"/>
    <w:basedOn w:val="36"/>
    <w:link w:val="15"/>
    <w:qFormat/>
    <w:uiPriority w:val="0"/>
    <w:rPr>
      <w:rFonts w:ascii="Times New Roman" w:hAnsi="Times New Roman" w:eastAsia="宋体" w:cs="Times New Roman"/>
      <w:sz w:val="24"/>
      <w:szCs w:val="24"/>
      <w:lang w:val="zh-CN" w:eastAsia="zh-CN"/>
    </w:rPr>
  </w:style>
  <w:style w:type="character" w:customStyle="1" w:styleId="55">
    <w:name w:val="正文文本缩进 Char"/>
    <w:link w:val="19"/>
    <w:qFormat/>
    <w:uiPriority w:val="0"/>
    <w:rPr>
      <w:szCs w:val="24"/>
    </w:rPr>
  </w:style>
  <w:style w:type="character" w:customStyle="1" w:styleId="56">
    <w:name w:val="纯文本 Char1"/>
    <w:link w:val="21"/>
    <w:qFormat/>
    <w:uiPriority w:val="99"/>
    <w:rPr>
      <w:rFonts w:ascii="宋体" w:hAnsi="Courier New" w:cs="Courier New"/>
      <w:szCs w:val="21"/>
    </w:rPr>
  </w:style>
  <w:style w:type="character" w:customStyle="1" w:styleId="57">
    <w:name w:val="日期 Char"/>
    <w:link w:val="22"/>
    <w:qFormat/>
    <w:uiPriority w:val="0"/>
    <w:rPr>
      <w:rFonts w:eastAsia="仿宋_GB2312"/>
      <w:sz w:val="32"/>
      <w:szCs w:val="24"/>
    </w:rPr>
  </w:style>
  <w:style w:type="character" w:customStyle="1" w:styleId="58">
    <w:name w:val="正文文本缩进 2 Char"/>
    <w:basedOn w:val="36"/>
    <w:link w:val="23"/>
    <w:qFormat/>
    <w:uiPriority w:val="0"/>
    <w:rPr>
      <w:rFonts w:ascii="华文中宋" w:hAnsi="宋体" w:eastAsia="华文中宋"/>
      <w:sz w:val="24"/>
    </w:rPr>
  </w:style>
  <w:style w:type="character" w:customStyle="1" w:styleId="59">
    <w:name w:val="批注框文本 Char"/>
    <w:basedOn w:val="36"/>
    <w:link w:val="24"/>
    <w:qFormat/>
    <w:uiPriority w:val="0"/>
    <w:rPr>
      <w:rFonts w:ascii="Times New Roman" w:hAnsi="Times New Roman" w:eastAsia="宋体" w:cs="Times New Roman"/>
      <w:sz w:val="18"/>
      <w:szCs w:val="18"/>
      <w:lang w:val="zh-CN" w:eastAsia="zh-CN"/>
    </w:rPr>
  </w:style>
  <w:style w:type="character" w:customStyle="1" w:styleId="60">
    <w:name w:val="页脚 Char"/>
    <w:link w:val="25"/>
    <w:qFormat/>
    <w:uiPriority w:val="99"/>
    <w:rPr>
      <w:sz w:val="18"/>
      <w:szCs w:val="18"/>
    </w:rPr>
  </w:style>
  <w:style w:type="character" w:customStyle="1" w:styleId="61">
    <w:name w:val="页眉 Char"/>
    <w:link w:val="26"/>
    <w:qFormat/>
    <w:uiPriority w:val="0"/>
    <w:rPr>
      <w:sz w:val="18"/>
      <w:szCs w:val="18"/>
    </w:rPr>
  </w:style>
  <w:style w:type="character" w:customStyle="1" w:styleId="62">
    <w:name w:val="副标题 Char"/>
    <w:link w:val="28"/>
    <w:qFormat/>
    <w:uiPriority w:val="0"/>
    <w:rPr>
      <w:rFonts w:ascii="Cambria" w:hAnsi="Cambria"/>
      <w:b/>
      <w:bCs/>
      <w:kern w:val="28"/>
      <w:sz w:val="32"/>
      <w:szCs w:val="32"/>
    </w:rPr>
  </w:style>
  <w:style w:type="character" w:customStyle="1" w:styleId="63">
    <w:name w:val="正文文本缩进 3 Char"/>
    <w:link w:val="29"/>
    <w:qFormat/>
    <w:uiPriority w:val="0"/>
    <w:rPr>
      <w:sz w:val="16"/>
      <w:szCs w:val="16"/>
    </w:rPr>
  </w:style>
  <w:style w:type="character" w:customStyle="1" w:styleId="64">
    <w:name w:val="标题 Char"/>
    <w:link w:val="32"/>
    <w:qFormat/>
    <w:uiPriority w:val="0"/>
    <w:rPr>
      <w:rFonts w:ascii="Cambria" w:hAnsi="Cambria"/>
      <w:b/>
      <w:bCs/>
      <w:sz w:val="36"/>
      <w:szCs w:val="32"/>
    </w:rPr>
  </w:style>
  <w:style w:type="character" w:customStyle="1" w:styleId="65">
    <w:name w:val="批注主题 Char"/>
    <w:basedOn w:val="53"/>
    <w:link w:val="33"/>
    <w:qFormat/>
    <w:uiPriority w:val="0"/>
    <w:rPr>
      <w:sz w:val="24"/>
      <w:szCs w:val="24"/>
    </w:rPr>
  </w:style>
  <w:style w:type="character" w:customStyle="1" w:styleId="66">
    <w:name w:val="apple-converted-space"/>
    <w:qFormat/>
    <w:uiPriority w:val="0"/>
  </w:style>
  <w:style w:type="character" w:customStyle="1" w:styleId="67">
    <w:name w:val="标题 Char1"/>
    <w:qFormat/>
    <w:uiPriority w:val="0"/>
    <w:rPr>
      <w:rFonts w:ascii="Cambria" w:hAnsi="Cambria" w:cs="Times New Roman"/>
      <w:b/>
      <w:bCs/>
      <w:kern w:val="2"/>
      <w:sz w:val="32"/>
      <w:szCs w:val="32"/>
    </w:rPr>
  </w:style>
  <w:style w:type="character" w:customStyle="1" w:styleId="68">
    <w:name w:val="纯文本 Char"/>
    <w:qFormat/>
    <w:uiPriority w:val="0"/>
    <w:rPr>
      <w:rFonts w:ascii="宋体" w:hAnsi="Courier New" w:cs="Courier New"/>
      <w:kern w:val="2"/>
      <w:sz w:val="21"/>
      <w:szCs w:val="21"/>
    </w:rPr>
  </w:style>
  <w:style w:type="character" w:customStyle="1" w:styleId="69">
    <w:name w:val="bg02"/>
    <w:basedOn w:val="36"/>
    <w:qFormat/>
    <w:uiPriority w:val="0"/>
  </w:style>
  <w:style w:type="character" w:customStyle="1" w:styleId="70">
    <w:name w:val="bg01"/>
    <w:basedOn w:val="36"/>
    <w:qFormat/>
    <w:uiPriority w:val="0"/>
  </w:style>
  <w:style w:type="character" w:customStyle="1" w:styleId="71">
    <w:name w:val="副标题 Char1"/>
    <w:qFormat/>
    <w:uiPriority w:val="0"/>
    <w:rPr>
      <w:rFonts w:ascii="Cambria" w:hAnsi="Cambria" w:cs="Times New Roman"/>
      <w:b/>
      <w:bCs/>
      <w:kern w:val="28"/>
      <w:sz w:val="32"/>
      <w:szCs w:val="32"/>
    </w:rPr>
  </w:style>
  <w:style w:type="character" w:customStyle="1" w:styleId="72">
    <w:name w:val="more"/>
    <w:qFormat/>
    <w:uiPriority w:val="0"/>
    <w:rPr>
      <w:color w:val="666666"/>
      <w:sz w:val="18"/>
      <w:szCs w:val="18"/>
    </w:rPr>
  </w:style>
  <w:style w:type="character" w:customStyle="1" w:styleId="73">
    <w:name w:val="正文文本缩进 3 Char1"/>
    <w:qFormat/>
    <w:uiPriority w:val="0"/>
    <w:rPr>
      <w:kern w:val="2"/>
      <w:sz w:val="16"/>
      <w:szCs w:val="16"/>
    </w:rPr>
  </w:style>
  <w:style w:type="character" w:customStyle="1" w:styleId="74">
    <w:name w:val="tabg"/>
    <w:qFormat/>
    <w:uiPriority w:val="0"/>
    <w:rPr>
      <w:rFonts w:ascii="微软雅黑" w:hAnsi="微软雅黑" w:eastAsia="微软雅黑" w:cs="微软雅黑"/>
      <w:color w:val="FFFFFF"/>
      <w:sz w:val="27"/>
      <w:szCs w:val="27"/>
    </w:rPr>
  </w:style>
  <w:style w:type="character" w:customStyle="1" w:styleId="75">
    <w:name w:val="页眉 Char1"/>
    <w:basedOn w:val="36"/>
    <w:semiHidden/>
    <w:qFormat/>
    <w:uiPriority w:val="99"/>
    <w:rPr>
      <w:rFonts w:ascii="Times New Roman" w:hAnsi="Times New Roman" w:eastAsia="宋体" w:cs="Times New Roman"/>
      <w:sz w:val="18"/>
      <w:szCs w:val="18"/>
    </w:rPr>
  </w:style>
  <w:style w:type="character" w:customStyle="1" w:styleId="76">
    <w:name w:val="标题 Char2"/>
    <w:basedOn w:val="36"/>
    <w:qFormat/>
    <w:uiPriority w:val="10"/>
    <w:rPr>
      <w:rFonts w:eastAsia="宋体" w:asciiTheme="majorHAnsi" w:hAnsiTheme="majorHAnsi" w:cstheme="majorBidi"/>
      <w:b/>
      <w:bCs/>
      <w:sz w:val="32"/>
      <w:szCs w:val="32"/>
    </w:rPr>
  </w:style>
  <w:style w:type="character" w:customStyle="1" w:styleId="77">
    <w:name w:val="页脚 Char1"/>
    <w:basedOn w:val="36"/>
    <w:semiHidden/>
    <w:qFormat/>
    <w:uiPriority w:val="99"/>
    <w:rPr>
      <w:rFonts w:ascii="Times New Roman" w:hAnsi="Times New Roman" w:eastAsia="宋体" w:cs="Times New Roman"/>
      <w:sz w:val="18"/>
      <w:szCs w:val="18"/>
    </w:rPr>
  </w:style>
  <w:style w:type="character" w:customStyle="1" w:styleId="78">
    <w:name w:val="正文文本缩进 Char1"/>
    <w:basedOn w:val="36"/>
    <w:semiHidden/>
    <w:qFormat/>
    <w:uiPriority w:val="99"/>
    <w:rPr>
      <w:rFonts w:ascii="Times New Roman" w:hAnsi="Times New Roman" w:eastAsia="宋体" w:cs="Times New Roman"/>
      <w:sz w:val="24"/>
      <w:szCs w:val="24"/>
    </w:rPr>
  </w:style>
  <w:style w:type="character" w:customStyle="1" w:styleId="79">
    <w:name w:val="文档结构图 Char1"/>
    <w:basedOn w:val="36"/>
    <w:semiHidden/>
    <w:qFormat/>
    <w:uiPriority w:val="99"/>
    <w:rPr>
      <w:rFonts w:ascii="Microsoft YaHei UI" w:hAnsi="Times New Roman" w:eastAsia="Microsoft YaHei UI" w:cs="Times New Roman"/>
      <w:sz w:val="18"/>
      <w:szCs w:val="18"/>
    </w:rPr>
  </w:style>
  <w:style w:type="character" w:customStyle="1" w:styleId="80">
    <w:name w:val="副标题 Char2"/>
    <w:basedOn w:val="36"/>
    <w:qFormat/>
    <w:uiPriority w:val="11"/>
    <w:rPr>
      <w:rFonts w:eastAsia="宋体" w:asciiTheme="majorHAnsi" w:hAnsiTheme="majorHAnsi" w:cstheme="majorBidi"/>
      <w:b/>
      <w:bCs/>
      <w:kern w:val="28"/>
      <w:sz w:val="32"/>
      <w:szCs w:val="32"/>
    </w:rPr>
  </w:style>
  <w:style w:type="character" w:customStyle="1" w:styleId="81">
    <w:name w:val="批注文字 Char1"/>
    <w:basedOn w:val="36"/>
    <w:semiHidden/>
    <w:qFormat/>
    <w:uiPriority w:val="99"/>
    <w:rPr>
      <w:rFonts w:ascii="Times New Roman" w:hAnsi="Times New Roman" w:eastAsia="宋体" w:cs="Times New Roman"/>
      <w:sz w:val="24"/>
      <w:szCs w:val="24"/>
    </w:rPr>
  </w:style>
  <w:style w:type="character" w:customStyle="1" w:styleId="82">
    <w:name w:val="批注主题 Char1"/>
    <w:basedOn w:val="81"/>
    <w:semiHidden/>
    <w:qFormat/>
    <w:uiPriority w:val="99"/>
    <w:rPr>
      <w:rFonts w:ascii="Times New Roman" w:hAnsi="Times New Roman" w:eastAsia="宋体" w:cs="Times New Roman"/>
      <w:b/>
      <w:bCs/>
      <w:sz w:val="24"/>
      <w:szCs w:val="24"/>
    </w:rPr>
  </w:style>
  <w:style w:type="character" w:customStyle="1" w:styleId="83">
    <w:name w:val="日期 Char1"/>
    <w:basedOn w:val="36"/>
    <w:semiHidden/>
    <w:qFormat/>
    <w:uiPriority w:val="99"/>
    <w:rPr>
      <w:rFonts w:ascii="Times New Roman" w:hAnsi="Times New Roman" w:eastAsia="宋体" w:cs="Times New Roman"/>
      <w:sz w:val="24"/>
      <w:szCs w:val="24"/>
    </w:rPr>
  </w:style>
  <w:style w:type="character" w:customStyle="1" w:styleId="84">
    <w:name w:val="纯文本 Char2"/>
    <w:basedOn w:val="36"/>
    <w:semiHidden/>
    <w:qFormat/>
    <w:uiPriority w:val="99"/>
    <w:rPr>
      <w:rFonts w:ascii="宋体" w:hAnsi="Courier New" w:eastAsia="宋体" w:cs="Courier New"/>
      <w:szCs w:val="21"/>
    </w:rPr>
  </w:style>
  <w:style w:type="character" w:customStyle="1" w:styleId="85">
    <w:name w:val="正文文本缩进 3 Char2"/>
    <w:basedOn w:val="36"/>
    <w:semiHidden/>
    <w:qFormat/>
    <w:uiPriority w:val="99"/>
    <w:rPr>
      <w:rFonts w:ascii="Times New Roman" w:hAnsi="Times New Roman" w:eastAsia="宋体" w:cs="Times New Roman"/>
      <w:sz w:val="16"/>
      <w:szCs w:val="16"/>
    </w:rPr>
  </w:style>
  <w:style w:type="paragraph" w:customStyle="1" w:styleId="86">
    <w:name w:val="_Style 31"/>
    <w:basedOn w:val="13"/>
    <w:qFormat/>
    <w:uiPriority w:val="0"/>
    <w:rPr>
      <w:szCs w:val="20"/>
      <w:shd w:val="clear" w:color="auto" w:fill="000080"/>
    </w:rPr>
  </w:style>
  <w:style w:type="paragraph" w:styleId="87">
    <w:name w:val="List Paragraph"/>
    <w:basedOn w:val="1"/>
    <w:link w:val="88"/>
    <w:qFormat/>
    <w:uiPriority w:val="34"/>
    <w:pPr>
      <w:ind w:firstLine="420" w:firstLineChars="200"/>
    </w:pPr>
    <w:rPr>
      <w:rFonts w:ascii="Calibri" w:hAnsi="Calibri"/>
      <w:sz w:val="21"/>
      <w:szCs w:val="22"/>
    </w:rPr>
  </w:style>
  <w:style w:type="character" w:customStyle="1" w:styleId="88">
    <w:name w:val="列出段落 Char"/>
    <w:link w:val="87"/>
    <w:qFormat/>
    <w:locked/>
    <w:uiPriority w:val="34"/>
    <w:rPr>
      <w:kern w:val="2"/>
      <w:sz w:val="21"/>
      <w:szCs w:val="22"/>
    </w:rPr>
  </w:style>
  <w:style w:type="paragraph" w:customStyle="1" w:styleId="8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0">
    <w:name w:val="Char"/>
    <w:basedOn w:val="1"/>
    <w:qFormat/>
    <w:uiPriority w:val="0"/>
    <w:rPr>
      <w:szCs w:val="21"/>
    </w:rPr>
  </w:style>
  <w:style w:type="paragraph" w:customStyle="1" w:styleId="91">
    <w:name w:val="样式3"/>
    <w:basedOn w:val="92"/>
    <w:qFormat/>
    <w:uiPriority w:val="0"/>
    <w:pPr>
      <w:jc w:val="center"/>
    </w:pPr>
  </w:style>
  <w:style w:type="paragraph" w:customStyle="1" w:styleId="92">
    <w:name w:val="样式2"/>
    <w:basedOn w:val="1"/>
    <w:qFormat/>
    <w:uiPriority w:val="0"/>
    <w:rPr>
      <w:rFonts w:eastAsia="华文中宋"/>
      <w:sz w:val="44"/>
    </w:rPr>
  </w:style>
  <w:style w:type="paragraph" w:customStyle="1" w:styleId="93">
    <w:name w:val="样式1"/>
    <w:basedOn w:val="1"/>
    <w:qFormat/>
    <w:uiPriority w:val="0"/>
    <w:rPr>
      <w:rFonts w:eastAsia="仿宋_GB2312"/>
      <w:sz w:val="32"/>
    </w:rPr>
  </w:style>
  <w:style w:type="paragraph" w:customStyle="1" w:styleId="94">
    <w:name w:val="_Style 15"/>
    <w:basedOn w:val="1"/>
    <w:qFormat/>
    <w:uiPriority w:val="0"/>
    <w:pPr>
      <w:tabs>
        <w:tab w:val="left" w:pos="360"/>
      </w:tabs>
    </w:pPr>
  </w:style>
  <w:style w:type="paragraph" w:customStyle="1" w:styleId="95">
    <w:name w:val="Char1"/>
    <w:basedOn w:val="1"/>
    <w:qFormat/>
    <w:uiPriority w:val="0"/>
    <w:rPr>
      <w:rFonts w:ascii="Tahoma" w:hAnsi="Tahoma"/>
      <w:szCs w:val="20"/>
    </w:rPr>
  </w:style>
  <w:style w:type="paragraph" w:customStyle="1" w:styleId="96">
    <w:name w:val="正文1"/>
    <w:basedOn w:val="1"/>
    <w:qFormat/>
    <w:uiPriority w:val="0"/>
    <w:pPr>
      <w:tabs>
        <w:tab w:val="left" w:pos="2220"/>
      </w:tabs>
      <w:spacing w:line="360" w:lineRule="auto"/>
    </w:pPr>
    <w:rPr>
      <w:rFonts w:ascii="宋体" w:hAnsi="宋体"/>
      <w:sz w:val="21"/>
    </w:rPr>
  </w:style>
  <w:style w:type="paragraph" w:customStyle="1" w:styleId="97">
    <w:name w:val="列出段落1"/>
    <w:basedOn w:val="1"/>
    <w:qFormat/>
    <w:uiPriority w:val="0"/>
    <w:pPr>
      <w:ind w:firstLine="420" w:firstLineChars="200"/>
    </w:pPr>
    <w:rPr>
      <w:sz w:val="21"/>
    </w:rPr>
  </w:style>
  <w:style w:type="paragraph" w:customStyle="1" w:styleId="98">
    <w:name w:val="1"/>
    <w:basedOn w:val="1"/>
    <w:qFormat/>
    <w:uiPriority w:val="0"/>
    <w:rPr>
      <w:rFonts w:ascii="Tahoma" w:hAnsi="Tahoma"/>
      <w:szCs w:val="20"/>
    </w:rPr>
  </w:style>
  <w:style w:type="table" w:customStyle="1" w:styleId="99">
    <w:name w:val="网格型1"/>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font11"/>
    <w:basedOn w:val="36"/>
    <w:qFormat/>
    <w:uiPriority w:val="0"/>
    <w:rPr>
      <w:rFonts w:hint="default" w:ascii="Times New Roman" w:hAnsi="Times New Roman" w:eastAsia="宋体" w:cs="Times New Roman"/>
      <w:color w:val="000000"/>
      <w:sz w:val="24"/>
      <w:szCs w:val="24"/>
      <w:u w:val="none"/>
    </w:rPr>
  </w:style>
  <w:style w:type="character" w:customStyle="1" w:styleId="101">
    <w:name w:val="font91"/>
    <w:qFormat/>
    <w:uiPriority w:val="0"/>
    <w:rPr>
      <w:rFonts w:hint="eastAsia" w:ascii="微软雅黑" w:hAnsi="微软雅黑" w:eastAsia="微软雅黑" w:cs="微软雅黑"/>
      <w:color w:val="000000"/>
      <w:sz w:val="20"/>
      <w:szCs w:val="20"/>
      <w:u w:val="none"/>
    </w:rPr>
  </w:style>
  <w:style w:type="character" w:customStyle="1" w:styleId="102">
    <w:name w:val="font81"/>
    <w:qFormat/>
    <w:uiPriority w:val="0"/>
    <w:rPr>
      <w:rFonts w:hint="eastAsia" w:ascii="宋体" w:hAnsi="宋体" w:eastAsia="宋体" w:cs="宋体"/>
      <w:color w:val="000000"/>
      <w:sz w:val="20"/>
      <w:szCs w:val="20"/>
      <w:u w:val="none"/>
    </w:rPr>
  </w:style>
  <w:style w:type="character" w:customStyle="1" w:styleId="103">
    <w:name w:val="font31"/>
    <w:qFormat/>
    <w:uiPriority w:val="0"/>
    <w:rPr>
      <w:rFonts w:hint="eastAsia" w:ascii="微软雅黑" w:hAnsi="微软雅黑" w:eastAsia="微软雅黑" w:cs="微软雅黑"/>
      <w:b/>
      <w:color w:val="000000"/>
      <w:sz w:val="20"/>
      <w:szCs w:val="20"/>
      <w:u w:val="none"/>
    </w:rPr>
  </w:style>
  <w:style w:type="character" w:customStyle="1" w:styleId="104">
    <w:name w:val="项目 Char"/>
    <w:link w:val="105"/>
    <w:qFormat/>
    <w:uiPriority w:val="0"/>
    <w:rPr>
      <w:rFonts w:ascii="宋体" w:hAnsi="宋体" w:eastAsiaTheme="minorEastAsia" w:cstheme="minorBidi"/>
      <w:color w:val="000000"/>
      <w:kern w:val="2"/>
      <w:sz w:val="24"/>
      <w:szCs w:val="22"/>
      <w:lang w:val="zh-CN"/>
    </w:rPr>
  </w:style>
  <w:style w:type="paragraph" w:customStyle="1" w:styleId="105">
    <w:name w:val="项目"/>
    <w:basedOn w:val="1"/>
    <w:link w:val="104"/>
    <w:qFormat/>
    <w:uiPriority w:val="0"/>
    <w:pPr>
      <w:numPr>
        <w:ilvl w:val="0"/>
        <w:numId w:val="2"/>
      </w:numPr>
      <w:spacing w:line="360" w:lineRule="auto"/>
    </w:pPr>
    <w:rPr>
      <w:rFonts w:ascii="宋体" w:hAnsi="宋体" w:eastAsiaTheme="minorEastAsia" w:cstheme="minorBidi"/>
      <w:color w:val="000000"/>
      <w:szCs w:val="22"/>
      <w:lang w:val="zh-CN"/>
    </w:rPr>
  </w:style>
  <w:style w:type="paragraph" w:customStyle="1" w:styleId="106">
    <w:name w:val="a"/>
    <w:basedOn w:val="1"/>
    <w:qFormat/>
    <w:uiPriority w:val="0"/>
    <w:pPr>
      <w:widowControl/>
      <w:jc w:val="left"/>
    </w:pPr>
    <w:rPr>
      <w:rFonts w:ascii="宋体" w:hAnsi="宋体" w:cs="宋体"/>
      <w:kern w:val="0"/>
    </w:rPr>
  </w:style>
  <w:style w:type="paragraph" w:customStyle="1" w:styleId="107">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08">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09">
    <w:name w:val="List Paragraph1"/>
    <w:basedOn w:val="1"/>
    <w:qFormat/>
    <w:uiPriority w:val="0"/>
    <w:pPr>
      <w:ind w:firstLine="420" w:firstLineChars="200"/>
    </w:pPr>
    <w:rPr>
      <w:sz w:val="21"/>
    </w:rPr>
  </w:style>
  <w:style w:type="paragraph" w:customStyle="1" w:styleId="110">
    <w:name w:val="修订11"/>
    <w:hidden/>
    <w:semiHidden/>
    <w:unhideWhenUsed/>
    <w:qFormat/>
    <w:uiPriority w:val="99"/>
    <w:rPr>
      <w:rFonts w:ascii="Times New Roman" w:hAnsi="Times New Roman" w:eastAsia="宋体" w:cs="Times New Roman"/>
      <w:kern w:val="2"/>
      <w:sz w:val="24"/>
      <w:szCs w:val="24"/>
      <w:lang w:val="en-US" w:eastAsia="zh-CN" w:bidi="ar-SA"/>
    </w:rPr>
  </w:style>
  <w:style w:type="character" w:customStyle="1" w:styleId="111">
    <w:name w:val="font01"/>
    <w:basedOn w:val="36"/>
    <w:qFormat/>
    <w:uiPriority w:val="0"/>
    <w:rPr>
      <w:color w:val="000000"/>
      <w:sz w:val="22"/>
      <w:szCs w:val="22"/>
      <w:u w:val="none"/>
    </w:rPr>
  </w:style>
  <w:style w:type="character" w:customStyle="1" w:styleId="112">
    <w:name w:val="Char Char1"/>
    <w:qFormat/>
    <w:uiPriority w:val="0"/>
    <w:rPr>
      <w:rFonts w:eastAsia="宋体"/>
      <w:kern w:val="2"/>
      <w:sz w:val="18"/>
      <w:szCs w:val="18"/>
      <w:lang w:val="en-US" w:eastAsia="zh-CN" w:bidi="ar-SA"/>
    </w:rPr>
  </w:style>
  <w:style w:type="character" w:customStyle="1" w:styleId="113">
    <w:name w:val="Char Char"/>
    <w:qFormat/>
    <w:uiPriority w:val="0"/>
    <w:rPr>
      <w:rFonts w:eastAsia="宋体"/>
      <w:kern w:val="2"/>
      <w:sz w:val="18"/>
      <w:szCs w:val="18"/>
      <w:lang w:val="en-US" w:eastAsia="zh-CN" w:bidi="ar-SA"/>
    </w:rPr>
  </w:style>
  <w:style w:type="paragraph" w:customStyle="1" w:styleId="11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15">
    <w:name w:val="grame"/>
    <w:basedOn w:val="36"/>
    <w:qFormat/>
    <w:uiPriority w:val="0"/>
  </w:style>
  <w:style w:type="character" w:customStyle="1" w:styleId="116">
    <w:name w:val="标题 1 Char Char2"/>
    <w:qFormat/>
    <w:uiPriority w:val="0"/>
    <w:rPr>
      <w:rFonts w:ascii="宋体"/>
    </w:rPr>
  </w:style>
  <w:style w:type="paragraph" w:customStyle="1" w:styleId="117">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119">
    <w:name w:val="修订3"/>
    <w:hidden/>
    <w:unhideWhenUsed/>
    <w:qFormat/>
    <w:uiPriority w:val="99"/>
    <w:rPr>
      <w:rFonts w:ascii="Times New Roman" w:hAnsi="Times New Roman" w:eastAsia="宋体" w:cs="Times New Roman"/>
      <w:kern w:val="2"/>
      <w:sz w:val="24"/>
      <w:szCs w:val="24"/>
      <w:lang w:val="en-US" w:eastAsia="zh-CN" w:bidi="ar-SA"/>
    </w:rPr>
  </w:style>
  <w:style w:type="character" w:customStyle="1" w:styleId="120">
    <w:name w:val="标题 3 字符"/>
    <w:basedOn w:val="36"/>
    <w:qFormat/>
    <w:uiPriority w:val="0"/>
    <w:rPr>
      <w:rFonts w:hint="default" w:ascii="Tahoma" w:hAnsi="Tahoma" w:eastAsia="Tahoma" w:cs="Times New Roman"/>
      <w:b/>
      <w:sz w:val="32"/>
      <w:szCs w:val="32"/>
    </w:rPr>
  </w:style>
  <w:style w:type="paragraph" w:customStyle="1" w:styleId="121">
    <w:name w:val="msolistparagraph"/>
    <w:basedOn w:val="1"/>
    <w:qFormat/>
    <w:uiPriority w:val="0"/>
    <w:pPr>
      <w:ind w:firstLine="420" w:firstLineChars="200"/>
    </w:pPr>
    <w:rPr>
      <w:rFonts w:ascii="Calibri" w:hAnsi="Calibri"/>
      <w:sz w:val="21"/>
      <w:szCs w:val="22"/>
    </w:rPr>
  </w:style>
  <w:style w:type="character" w:styleId="122">
    <w:name w:val="Placeholder Text"/>
    <w:basedOn w:val="36"/>
    <w:unhideWhenUsed/>
    <w:qFormat/>
    <w:uiPriority w:val="99"/>
    <w:rPr>
      <w:color w:val="808080"/>
    </w:rPr>
  </w:style>
  <w:style w:type="paragraph" w:customStyle="1" w:styleId="123">
    <w:name w:val="正文_0"/>
    <w:qFormat/>
    <w:uiPriority w:val="0"/>
    <w:rPr>
      <w:rFonts w:ascii="Times New Roman" w:hAnsi="Times New Roman" w:eastAsia="宋体" w:cs="Times New Roman"/>
      <w:kern w:val="2"/>
      <w:sz w:val="24"/>
      <w:szCs w:val="24"/>
      <w:lang w:val="en-US" w:eastAsia="zh-CN" w:bidi="mn-Mong-CN"/>
    </w:rPr>
  </w:style>
  <w:style w:type="character" w:customStyle="1" w:styleId="124">
    <w:name w:val="题注 Char"/>
    <w:link w:val="12"/>
    <w:qFormat/>
    <w:uiPriority w:val="0"/>
    <w:rPr>
      <w:kern w:val="2"/>
      <w:sz w:val="18"/>
      <w:szCs w:val="18"/>
    </w:rPr>
  </w:style>
  <w:style w:type="paragraph" w:customStyle="1" w:styleId="125">
    <w:name w:val="样式 正文缩进 + 首行缩进:  2 字符"/>
    <w:basedOn w:val="2"/>
    <w:link w:val="126"/>
    <w:qFormat/>
    <w:uiPriority w:val="0"/>
    <w:pPr>
      <w:spacing w:line="360" w:lineRule="auto"/>
      <w:ind w:firstLine="566" w:firstLineChars="236"/>
    </w:pPr>
    <w:rPr>
      <w:snapToGrid w:val="0"/>
      <w:kern w:val="0"/>
      <w:lang w:val="zh-CN"/>
    </w:rPr>
  </w:style>
  <w:style w:type="character" w:customStyle="1" w:styleId="126">
    <w:name w:val="样式 正文缩进 + 首行缩进:  2 字符 Char"/>
    <w:link w:val="125"/>
    <w:qFormat/>
    <w:uiPriority w:val="0"/>
    <w:rPr>
      <w:rFonts w:ascii="Times New Roman" w:hAnsi="Times New Roman"/>
      <w:snapToGrid w:val="0"/>
      <w:sz w:val="24"/>
      <w:lang w:val="zh-CN" w:eastAsia="zh-CN"/>
    </w:rPr>
  </w:style>
  <w:style w:type="character" w:customStyle="1" w:styleId="127">
    <w:name w:val="TableNormal Char"/>
    <w:link w:val="128"/>
    <w:qFormat/>
    <w:locked/>
    <w:uiPriority w:val="0"/>
    <w:rPr>
      <w:rFonts w:ascii="Arial" w:hAnsi="Arial" w:cs="Arial"/>
      <w:lang w:eastAsia="en-US"/>
    </w:rPr>
  </w:style>
  <w:style w:type="paragraph" w:customStyle="1" w:styleId="128">
    <w:name w:val="TableNormal"/>
    <w:basedOn w:val="1"/>
    <w:link w:val="127"/>
    <w:qFormat/>
    <w:uiPriority w:val="0"/>
    <w:pPr>
      <w:widowControl/>
      <w:spacing w:before="40" w:after="40" w:line="264" w:lineRule="auto"/>
      <w:ind w:firstLine="566" w:firstLineChars="236"/>
      <w:jc w:val="left"/>
    </w:pPr>
    <w:rPr>
      <w:rFonts w:ascii="Arial" w:hAnsi="Arial" w:cs="Arial"/>
      <w:kern w:val="0"/>
      <w:sz w:val="20"/>
      <w:szCs w:val="20"/>
      <w:lang w:eastAsia="en-US"/>
    </w:rPr>
  </w:style>
  <w:style w:type="paragraph" w:customStyle="1" w:styleId="129">
    <w:name w:val="正文_0_0"/>
    <w:qFormat/>
    <w:uiPriority w:val="0"/>
    <w:rPr>
      <w:rFonts w:ascii="Times New Roman" w:hAnsi="Times New Roman" w:eastAsia="宋体" w:cs="Times New Roman"/>
      <w:kern w:val="2"/>
      <w:sz w:val="24"/>
      <w:szCs w:val="24"/>
      <w:lang w:val="en-US" w:eastAsia="zh-CN" w:bidi="mn-Mong-CN"/>
    </w:rPr>
  </w:style>
  <w:style w:type="character" w:customStyle="1" w:styleId="130">
    <w:name w:val="font41"/>
    <w:basedOn w:val="36"/>
    <w:qFormat/>
    <w:uiPriority w:val="0"/>
    <w:rPr>
      <w:rFonts w:hint="eastAsia" w:ascii="仿宋" w:hAnsi="仿宋" w:eastAsia="仿宋" w:cs="仿宋"/>
      <w:b/>
      <w:color w:val="000000"/>
      <w:sz w:val="24"/>
      <w:szCs w:val="24"/>
      <w:u w:val="none"/>
    </w:rPr>
  </w:style>
  <w:style w:type="character" w:customStyle="1" w:styleId="131">
    <w:name w:val="font101"/>
    <w:basedOn w:val="36"/>
    <w:qFormat/>
    <w:uiPriority w:val="0"/>
    <w:rPr>
      <w:rFonts w:hint="eastAsia" w:ascii="仿宋" w:hAnsi="仿宋" w:eastAsia="仿宋" w:cs="仿宋"/>
      <w:color w:val="000000"/>
      <w:sz w:val="24"/>
      <w:szCs w:val="24"/>
      <w:u w:val="none"/>
    </w:rPr>
  </w:style>
  <w:style w:type="paragraph" w:customStyle="1" w:styleId="13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WPSOffice手动目录 1"/>
    <w:qFormat/>
    <w:uiPriority w:val="0"/>
    <w:pPr>
      <w:ind w:leftChars="0"/>
    </w:pPr>
    <w:rPr>
      <w:rFonts w:ascii="Times New Roman" w:hAnsi="Times New Roman" w:eastAsia="宋体" w:cs="Times New Roman"/>
      <w:sz w:val="20"/>
      <w:szCs w:val="20"/>
    </w:rPr>
  </w:style>
  <w:style w:type="paragraph" w:customStyle="1" w:styleId="134">
    <w:name w:val="WPSOffice手动目录 2"/>
    <w:qFormat/>
    <w:uiPriority w:val="0"/>
    <w:pPr>
      <w:ind w:leftChars="200"/>
    </w:pPr>
    <w:rPr>
      <w:rFonts w:ascii="Times New Roman" w:hAnsi="Times New Roman" w:eastAsia="宋体" w:cs="Times New Roman"/>
      <w:sz w:val="20"/>
      <w:szCs w:val="20"/>
    </w:rPr>
  </w:style>
  <w:style w:type="character" w:customStyle="1" w:styleId="135">
    <w:name w:val="fontstyle01"/>
    <w:qFormat/>
    <w:uiPriority w:val="0"/>
    <w:rPr>
      <w:rFonts w:hint="eastAsia" w:ascii="宋体" w:hAnsi="宋体" w:eastAsia="宋体"/>
      <w:color w:val="000000"/>
      <w:sz w:val="24"/>
      <w:szCs w:val="24"/>
    </w:rPr>
  </w:style>
  <w:style w:type="paragraph" w:styleId="136">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37">
    <w:name w:val="表格内容"/>
    <w:basedOn w:val="1"/>
    <w:qFormat/>
    <w:uiPriority w:val="0"/>
    <w:pPr>
      <w:widowControl w:val="0"/>
      <w:spacing w:line="360" w:lineRule="auto"/>
      <w:ind w:firstLine="880" w:firstLineChars="200"/>
      <w:jc w:val="center"/>
      <w:textAlignment w:val="center"/>
    </w:pPr>
    <w:rPr>
      <w:rFonts w:ascii="仿宋" w:hAnsi="仿宋" w:eastAsia="仿宋"/>
      <w:sz w:val="24"/>
      <w:szCs w:val="21"/>
    </w:rPr>
  </w:style>
  <w:style w:type="paragraph" w:customStyle="1" w:styleId="138">
    <w:name w:val="*正文"/>
    <w:basedOn w:val="1"/>
    <w:qFormat/>
    <w:uiPriority w:val="0"/>
    <w:pPr>
      <w:widowControl w:val="0"/>
      <w:spacing w:line="360" w:lineRule="auto"/>
      <w:ind w:firstLine="200" w:firstLineChars="200"/>
      <w:jc w:val="both"/>
    </w:pPr>
    <w:rPr>
      <w:rFonts w:ascii="仿宋_GB2312" w:cs="宋体"/>
      <w:kern w:val="2"/>
      <w:sz w:val="24"/>
      <w:szCs w:val="28"/>
    </w:rPr>
  </w:style>
  <w:style w:type="paragraph" w:customStyle="1" w:styleId="139">
    <w:name w:val="列出段落41"/>
    <w:basedOn w:val="1"/>
    <w:qFormat/>
    <w:uiPriority w:val="34"/>
    <w:pPr>
      <w:ind w:firstLine="420" w:firstLineChars="200"/>
    </w:pPr>
    <w:rPr>
      <w:sz w:val="21"/>
    </w:rPr>
  </w:style>
  <w:style w:type="paragraph" w:customStyle="1" w:styleId="14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226C8-565E-461A-9E39-E9D570F30ED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5494</Words>
  <Characters>31317</Characters>
  <Lines>260</Lines>
  <Paragraphs>73</Paragraphs>
  <TotalTime>15</TotalTime>
  <ScaleCrop>false</ScaleCrop>
  <LinksUpToDate>false</LinksUpToDate>
  <CharactersWithSpaces>36738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2019-05-06T08:55:00Z</dcterms:created>
  <dc:creator>峰 峰</dc:creator>
  <cp:lastModifiedBy>君莫悲</cp:lastModifiedBy>
  <cp:lastPrinted>2019-06-21T02:50:00Z</cp:lastPrinted>
  <dcterms:modified xsi:type="dcterms:W3CDTF">2021-11-20T09:53:49Z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91635D26EA404D44BF0F98D75B703A31</vt:lpwstr>
  </property>
</Properties>
</file>