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青海品冠竞磋（货物）2020-073</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冬季供暖柴油锅炉采购柴油项目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民和回族土族自治县第二人民医院</w:t>
      </w:r>
    </w:p>
    <w:p>
      <w:pPr>
        <w:spacing w:line="720" w:lineRule="auto"/>
        <w:ind w:firstLine="0" w:firstLineChars="0"/>
        <w:rPr>
          <w:rFonts w:hint="eastAsia" w:ascii="宋体" w:hAnsi="宋体" w:eastAsia="宋体" w:cs="宋体"/>
          <w:b/>
          <w:color w:val="auto"/>
          <w:sz w:val="36"/>
          <w:szCs w:val="36"/>
        </w:rPr>
      </w:pPr>
    </w:p>
    <w:p>
      <w:pPr>
        <w:spacing w:line="720" w:lineRule="auto"/>
        <w:ind w:firstLine="0" w:firstLineChars="0"/>
        <w:rPr>
          <w:rFonts w:hint="eastAsia" w:ascii="宋体" w:hAnsi="宋体" w:eastAsia="宋体" w:cs="宋体"/>
          <w:b/>
          <w:color w:val="auto"/>
          <w:sz w:val="36"/>
          <w:szCs w:val="36"/>
        </w:rPr>
      </w:pP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青海品冠招标代理有限公司</w:t>
      </w: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2020年09月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701" w:bottom="1440" w:left="1701" w:header="851" w:footer="992" w:gutter="0"/>
          <w:cols w:space="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9"/>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2"/>
        <w:keepNext w:val="0"/>
        <w:keepLines w:val="0"/>
        <w:pageBreakBefore w:val="0"/>
        <w:widowControl w:val="0"/>
        <w:kinsoku/>
        <w:wordWrap/>
        <w:overflowPunct/>
        <w:topLinePunct w:val="0"/>
        <w:bidi w:val="0"/>
        <w:adjustRightInd/>
        <w:snapToGrid w:val="0"/>
        <w:spacing w:after="0" w:line="360" w:lineRule="auto"/>
        <w:ind w:left="0" w:leftChars="0" w:firstLine="480"/>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青海品冠招标代理有限公司（以下均简称“采购代理机构”）受民和回族土族自治县第二人民医院（以下均简称“采购人”）委托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冬季供暖柴油锅炉采购柴油项目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1"/>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青海品冠竞磋（货物）2020-073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冬季供暖柴油锅炉采购柴油项目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具体内容详见《磋商文件》(</w:t>
            </w:r>
            <w:r>
              <w:rPr>
                <w:color w:val="auto"/>
              </w:rPr>
              <w:fldChar w:fldCharType="begin"/>
            </w:r>
            <w:r>
              <w:rPr>
                <w:color w:val="auto"/>
              </w:rPr>
              <w:instrText xml:space="preserve"> HYPERLINK "http://ufgov.jilin.filedownload.com/" </w:instrText>
            </w:r>
            <w:r>
              <w:rPr>
                <w:color w:val="auto"/>
              </w:rPr>
              <w:fldChar w:fldCharType="separate"/>
            </w:r>
            <w:r>
              <w:rPr>
                <w:rStyle w:val="26"/>
                <w:rFonts w:hint="eastAsia" w:ascii="宋体" w:hAnsi="宋体" w:eastAsia="宋体" w:cs="宋体"/>
                <w:color w:val="auto"/>
                <w:sz w:val="24"/>
                <w:szCs w:val="24"/>
                <w:u w:val="single"/>
              </w:rPr>
              <w:t>点击此处下载</w:t>
            </w:r>
            <w:r>
              <w:rPr>
                <w:rStyle w:val="26"/>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9"/>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上午9:</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午休、</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color w:val="auto"/>
                <w:sz w:val="24"/>
                <w:szCs w:val="24"/>
                <w:lang w:val="en-US" w:eastAsia="zh-CN"/>
              </w:rPr>
              <w:t>余</w:t>
            </w:r>
            <w:r>
              <w:rPr>
                <w:rFonts w:hint="eastAsia" w:ascii="宋体" w:hAnsi="宋体" w:eastAsia="宋体" w:cs="宋体"/>
                <w:color w:val="auto"/>
                <w:sz w:val="24"/>
                <w:szCs w:val="24"/>
                <w:lang w:val="zh-CN"/>
              </w:rPr>
              <w:t>女士</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0971-6327698</w:t>
            </w:r>
          </w:p>
          <w:p>
            <w:pPr>
              <w:keepNext w:val="0"/>
              <w:keepLines w:val="0"/>
              <w:pageBreakBefore w:val="0"/>
              <w:widowControl w:val="0"/>
              <w:kinsoku/>
              <w:wordWrap/>
              <w:overflowPunct/>
              <w:topLinePunct w:val="0"/>
              <w:bidi w:val="0"/>
              <w:adjustRightInd/>
              <w:snapToGri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qhpgzbgy@163.com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2020年09月28日下午15：00（北京时间）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2020年09月28日下午15：00（北京时间）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采购人：</w:t>
            </w:r>
            <w:r>
              <w:rPr>
                <w:rFonts w:hint="eastAsia" w:eastAsia="宋体" w:cs="宋体"/>
                <w:sz w:val="24"/>
                <w:szCs w:val="24"/>
                <w:lang w:eastAsia="zh-CN"/>
              </w:rPr>
              <w:t>民和回族土族自治县第二人民医院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李</w:t>
            </w:r>
            <w:r>
              <w:rPr>
                <w:rFonts w:hint="eastAsia" w:ascii="宋体" w:hAnsi="宋体" w:eastAsia="宋体" w:cs="宋体"/>
                <w:color w:val="auto"/>
                <w:kern w:val="0"/>
                <w:sz w:val="24"/>
                <w:szCs w:val="24"/>
                <w:lang w:val="zh-CN"/>
              </w:rPr>
              <w:t>老师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联系电话：0972-8595360</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kern w:val="0"/>
                <w:sz w:val="24"/>
                <w:szCs w:val="24"/>
                <w:lang w:val="zh-CN"/>
              </w:rPr>
              <w:t>联系地址：</w:t>
            </w:r>
            <w:r>
              <w:rPr>
                <w:rFonts w:hint="eastAsia" w:ascii="宋体" w:hAnsi="宋体" w:eastAsia="宋体" w:cs="宋体"/>
                <w:color w:val="auto"/>
                <w:kern w:val="0"/>
                <w:sz w:val="24"/>
                <w:szCs w:val="24"/>
                <w:lang w:val="zh-CN" w:eastAsia="zh-CN"/>
              </w:rPr>
              <w:t>民和回族土族自治县</w:t>
            </w:r>
            <w:r>
              <w:rPr>
                <w:rFonts w:hint="eastAsia" w:ascii="宋体" w:hAnsi="宋体" w:eastAsia="宋体" w:cs="宋体"/>
                <w:color w:val="auto"/>
                <w:kern w:val="0"/>
                <w:sz w:val="24"/>
                <w:szCs w:val="24"/>
                <w:lang w:val="zh-CN"/>
              </w:rPr>
              <w:t>官亭镇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ascii="宋体" w:hAnsi="宋体" w:eastAsia="宋体" w:cs="宋体"/>
                <w:sz w:val="24"/>
                <w:lang w:val="zh-CN"/>
              </w:rPr>
            </w:pPr>
            <w:r>
              <w:rPr>
                <w:rFonts w:hint="eastAsia" w:ascii="宋体" w:hAnsi="宋体" w:eastAsia="宋体" w:cs="宋体"/>
                <w:sz w:val="24"/>
                <w:lang w:val="zh-CN"/>
              </w:rPr>
              <w:t>采购代理机构：青海品冠招标代理有限公司</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联系人：马女士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0209201000215391（文件费及代理费专用账号）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本公告在《青海</w:t>
            </w:r>
            <w:r>
              <w:rPr>
                <w:rFonts w:hint="eastAsia" w:ascii="宋体" w:hAnsi="宋体" w:eastAsia="宋体" w:cs="宋体"/>
                <w:sz w:val="24"/>
                <w:szCs w:val="24"/>
                <w:lang w:val="en-US" w:eastAsia="zh-CN"/>
              </w:rPr>
              <w:t>省</w:t>
            </w:r>
            <w:r>
              <w:rPr>
                <w:rFonts w:hint="eastAsia" w:ascii="宋体" w:hAnsi="宋体" w:eastAsia="宋体" w:cs="宋体"/>
                <w:sz w:val="24"/>
                <w:szCs w:val="24"/>
              </w:rPr>
              <w:t>政府采购网》、《青海省电子招标投标公共服务平台》、《</w:t>
            </w:r>
            <w:r>
              <w:rPr>
                <w:rFonts w:hint="eastAsia" w:ascii="宋体" w:hAnsi="宋体" w:eastAsia="宋体" w:cs="宋体"/>
                <w:sz w:val="24"/>
                <w:szCs w:val="24"/>
                <w:lang w:val="en-US" w:eastAsia="zh-CN"/>
              </w:rPr>
              <w:t>中国采购与招标网</w:t>
            </w:r>
            <w:r>
              <w:rPr>
                <w:rFonts w:hint="eastAsia" w:ascii="宋体" w:hAnsi="宋体" w:eastAsia="宋体" w:cs="宋体"/>
                <w:sz w:val="24"/>
                <w:szCs w:val="24"/>
              </w:rPr>
              <w:t>》同时发布</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监督单位：民和</w:t>
            </w:r>
            <w:r>
              <w:rPr>
                <w:rFonts w:hint="eastAsia" w:ascii="宋体" w:hAnsi="宋体" w:eastAsia="宋体" w:cs="宋体"/>
                <w:color w:val="auto"/>
                <w:sz w:val="24"/>
                <w:szCs w:val="24"/>
                <w:lang w:val="en-US" w:eastAsia="zh-CN"/>
              </w:rPr>
              <w:t>回族土族自治</w:t>
            </w:r>
            <w:r>
              <w:rPr>
                <w:rFonts w:hint="eastAsia" w:ascii="宋体" w:hAnsi="宋体" w:eastAsia="宋体" w:cs="宋体"/>
                <w:color w:val="auto"/>
                <w:sz w:val="24"/>
                <w:szCs w:val="24"/>
                <w:lang w:val="zh-CN"/>
              </w:rPr>
              <w:t>县财政局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联系电话：0972-8526409</w:t>
            </w:r>
          </w:p>
        </w:tc>
      </w:tr>
    </w:tbl>
    <w:p>
      <w:pPr>
        <w:pStyle w:val="12"/>
        <w:spacing w:after="0" w:line="360" w:lineRule="auto"/>
        <w:ind w:left="0" w:leftChars="0" w:firstLine="0" w:firstLineChars="0"/>
        <w:rPr>
          <w:rFonts w:ascii="宋体" w:hAnsi="宋体" w:eastAsia="宋体" w:cs="宋体"/>
          <w:color w:val="auto"/>
          <w:sz w:val="24"/>
          <w:szCs w:val="24"/>
          <w:lang w:val="zh-CN"/>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青海品冠招标代理有限公司</w:t>
      </w:r>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2020年09月16日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19"/>
        <w:spacing w:before="0" w:after="0" w:line="360" w:lineRule="auto"/>
        <w:ind w:firstLine="0" w:firstLineChars="0"/>
        <w:rPr>
          <w:rFonts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ascii="宋体" w:hAnsi="宋体" w:eastAsia="宋体" w:cs="宋体"/>
          <w:color w:val="auto"/>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青海品冠竞磋（货物）2020-073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冬季供暖柴油锅炉采购柴油项目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民和回族土族自治县第二人民医院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en-US" w:eastAsia="zh-CN"/>
              </w:rPr>
              <w:t>85万元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17000.00</w:t>
            </w:r>
            <w:r>
              <w:rPr>
                <w:rFonts w:hint="eastAsia" w:ascii="宋体" w:hAnsi="宋体" w:eastAsia="宋体" w:cs="宋体"/>
                <w:color w:val="auto"/>
                <w:sz w:val="24"/>
                <w:u w:val="single"/>
              </w:rPr>
              <w:t>元</w:t>
            </w:r>
            <w:r>
              <w:rPr>
                <w:rFonts w:hint="eastAsia" w:ascii="宋体" w:hAnsi="宋体" w:eastAsia="宋体" w:cs="宋体"/>
                <w:color w:val="auto"/>
                <w:sz w:val="24"/>
              </w:rPr>
              <w:t>。</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auto"/>
                <w:sz w:val="24"/>
                <w:lang w:val="zh-CN"/>
              </w:rPr>
              <w:t>收款单位：</w:t>
            </w:r>
            <w:r>
              <w:rPr>
                <w:rFonts w:hint="eastAsia" w:ascii="宋体" w:hAnsi="宋体" w:eastAsia="宋体" w:cs="宋体"/>
                <w:color w:val="000000" w:themeColor="text1"/>
                <w:sz w:val="24"/>
                <w:lang w:val="en-US" w:eastAsia="zh-CN"/>
                <w14:textFill>
                  <w14:solidFill>
                    <w14:schemeClr w14:val="tx1"/>
                  </w14:solidFill>
                </w14:textFill>
              </w:rPr>
              <w:t>海东市公共资源交易中心保证金专户</w:t>
            </w:r>
          </w:p>
          <w:p>
            <w:pPr>
              <w:autoSpaceDE w:val="0"/>
              <w:autoSpaceDN w:val="0"/>
              <w:spacing w:line="360" w:lineRule="auto"/>
              <w:ind w:firstLine="0" w:firstLineChars="0"/>
              <w:jc w:val="left"/>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lang w:val="en-US" w:eastAsia="zh-CN"/>
                <w14:textFill>
                  <w14:solidFill>
                    <w14:schemeClr w14:val="tx1"/>
                  </w14:solidFill>
                </w14:textFill>
              </w:rPr>
              <w:t>青海银行海东市分行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lang w:val="en-US" w:eastAsia="zh-CN"/>
                <w14:textFill>
                  <w14:solidFill>
                    <w14:schemeClr w14:val="tx1"/>
                  </w14:solidFill>
                </w14:textFill>
              </w:rPr>
              <w:t>7779905201000323732</w:t>
            </w:r>
            <w:bookmarkStart w:id="179" w:name="_GoBack"/>
            <w:bookmarkEnd w:id="179"/>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缴费时间：提交响应文件截止前，以银行到账时间为准。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w:t>
            </w:r>
            <w:r>
              <w:rPr>
                <w:rFonts w:hint="eastAsia" w:ascii="宋体" w:hAnsi="宋体" w:eastAsia="宋体" w:cs="宋体"/>
                <w:color w:val="auto"/>
                <w:sz w:val="24"/>
                <w:lang w:eastAsia="zh-CN"/>
              </w:rPr>
              <w:t>需提供基本存款账户信息</w:t>
            </w:r>
            <w:r>
              <w:rPr>
                <w:rFonts w:hint="eastAsia" w:ascii="宋体" w:hAnsi="宋体" w:eastAsia="宋体" w:cs="宋体"/>
                <w:color w:val="auto"/>
                <w:sz w:val="24"/>
              </w:rPr>
              <w:t>)</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2020年09月28日下午15：00（北京时间）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2020年09月28日下午15：00（北京时间）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ascii="宋体" w:hAnsi="宋体" w:eastAsia="宋体" w:cs="宋体"/>
                <w:b/>
                <w:color w:val="auto"/>
                <w:sz w:val="24"/>
              </w:rPr>
            </w:pPr>
            <w:r>
              <w:rPr>
                <w:rFonts w:hint="eastAsia" w:ascii="宋体" w:hAnsi="宋体" w:eastAsia="宋体" w:cs="宋体"/>
                <w:color w:val="auto"/>
                <w:sz w:val="24"/>
                <w:lang w:val="zh-CN"/>
              </w:rPr>
              <w:t>收费金额</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14000.00</w:t>
            </w:r>
            <w:r>
              <w:rPr>
                <w:rFonts w:hint="eastAsia" w:ascii="宋体" w:hAnsi="宋体" w:eastAsia="宋体" w:cs="宋体"/>
                <w:color w:val="000000" w:themeColor="text1"/>
                <w:sz w:val="24"/>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color w:val="auto"/>
          <w:sz w:val="24"/>
          <w:szCs w:val="24"/>
        </w:rPr>
      </w:pPr>
      <w:bookmarkStart w:id="9" w:name="_Toc9770"/>
      <w:bookmarkStart w:id="10" w:name="_Toc376936729"/>
      <w:bookmarkStart w:id="11" w:name="_Toc325725998"/>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本次采购依据青海省财政厅</w:t>
      </w:r>
      <w:r>
        <w:rPr>
          <w:rFonts w:hint="eastAsia" w:ascii="宋体" w:hAnsi="宋体" w:eastAsia="宋体" w:cs="宋体"/>
          <w:color w:val="auto"/>
          <w:sz w:val="24"/>
          <w:szCs w:val="24"/>
          <w:lang w:val="en-US" w:eastAsia="zh-CN"/>
        </w:rPr>
        <w:t>或同级财政部门</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3" w:name="_Toc376936730"/>
      <w:bookmarkStart w:id="14" w:name="_Toc325725999"/>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供应商须提供有效的危险化学品生产（经营）许可证复印件（扫描件）； </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7" w:name="_Toc8805"/>
      <w:bookmarkStart w:id="18" w:name="_Toc325726000"/>
      <w:bookmarkStart w:id="19" w:name="_Toc376936731"/>
      <w:bookmarkStart w:id="20" w:name="_Toc882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25726001"/>
      <w:bookmarkStart w:id="23" w:name="_Toc376936732"/>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color w:val="auto"/>
          <w:sz w:val="24"/>
          <w:szCs w:val="24"/>
        </w:rPr>
      </w:pPr>
      <w:bookmarkStart w:id="24" w:name="_Toc376936733"/>
      <w:bookmarkStart w:id="25" w:name="_Toc325726002"/>
      <w:bookmarkStart w:id="26" w:name="_Toc10649"/>
      <w:bookmarkStart w:id="27" w:name="_Toc14153"/>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8" w:name="_Toc325726003"/>
      <w:bookmarkStart w:id="29" w:name="_Toc376936734"/>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2" w:name="_Toc325726004"/>
      <w:bookmarkStart w:id="33" w:name="_Toc13050"/>
      <w:bookmarkStart w:id="34" w:name="_Toc376936735"/>
      <w:bookmarkStart w:id="35" w:name="_Toc26515"/>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76936736"/>
      <w:bookmarkStart w:id="38"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3" w:name="_Toc17093"/>
      <w:bookmarkStart w:id="44" w:name="_Toc376936743"/>
      <w:bookmarkStart w:id="45" w:name="_Toc325726012"/>
      <w:bookmarkStart w:id="46" w:name="_Toc21569"/>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磋商保证金由供应商以转款方式直接缴入“青海品冠招标代理有限公司”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7" w:name="_Toc32704"/>
      <w:bookmarkStart w:id="48" w:name="_Toc325726013"/>
      <w:bookmarkStart w:id="49" w:name="_Toc376936744"/>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1" w:name="_Toc325726008"/>
      <w:bookmarkStart w:id="52" w:name="_Toc31915"/>
      <w:bookmarkStart w:id="53" w:name="_Toc16445"/>
      <w:bookmarkStart w:id="54" w:name="_Toc376936739"/>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373392580"/>
      <w:bookmarkStart w:id="56" w:name="_Toc412617729"/>
      <w:bookmarkStart w:id="57" w:name="_Toc16453"/>
      <w:bookmarkStart w:id="58" w:name="_Toc11377"/>
      <w:r>
        <w:rPr>
          <w:rFonts w:hint="eastAsia" w:ascii="宋体" w:hAnsi="宋体" w:eastAsia="宋体" w:cs="宋体"/>
          <w:b/>
          <w:bCs/>
          <w:color w:val="auto"/>
          <w:sz w:val="24"/>
          <w:szCs w:val="24"/>
        </w:rPr>
        <w:t>11.响应文件编印和签署</w:t>
      </w:r>
      <w:bookmarkEnd w:id="55"/>
      <w:bookmarkEnd w:id="56"/>
      <w:bookmarkEnd w:id="57"/>
      <w:bookmarkEnd w:id="58"/>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pStyle w:val="14"/>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color w:val="auto"/>
          <w:sz w:val="24"/>
          <w:szCs w:val="24"/>
        </w:rPr>
      </w:pPr>
      <w:bookmarkStart w:id="63" w:name="_Toc1176"/>
      <w:bookmarkStart w:id="64" w:name="_Toc325726016"/>
      <w:bookmarkStart w:id="65" w:name="_Toc412617731"/>
      <w:bookmarkStart w:id="66" w:name="_Toc373392582"/>
      <w:bookmarkStart w:id="67" w:name="_Toc23823"/>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2020年09月28日下午15：00</w:t>
      </w:r>
      <w:r>
        <w:rPr>
          <w:rFonts w:hint="eastAsia" w:hAnsi="宋体" w:eastAsia="宋体" w:cs="宋体"/>
          <w:color w:val="auto"/>
          <w:sz w:val="24"/>
          <w:szCs w:val="24"/>
        </w:rPr>
        <w:t>之前不准启封”标签密封。</w:t>
      </w:r>
    </w:p>
    <w:p>
      <w:pPr>
        <w:pStyle w:val="14"/>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color w:val="auto"/>
          <w:sz w:val="24"/>
          <w:szCs w:val="24"/>
        </w:rPr>
      </w:pPr>
      <w:bookmarkStart w:id="68" w:name="_Toc373392583"/>
      <w:bookmarkStart w:id="69" w:name="_Toc4009"/>
      <w:bookmarkStart w:id="70" w:name="_Toc325726017"/>
      <w:bookmarkStart w:id="71" w:name="_Toc30756"/>
      <w:bookmarkStart w:id="72" w:name="_Toc412617732"/>
      <w:bookmarkStart w:id="73" w:name="_Toc371090030"/>
      <w:bookmarkStart w:id="74" w:name="_Toc376936749"/>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color w:val="auto"/>
          <w:sz w:val="24"/>
          <w:szCs w:val="24"/>
        </w:rPr>
      </w:pPr>
      <w:bookmarkStart w:id="79" w:name="_Toc325726020"/>
      <w:bookmarkStart w:id="80" w:name="_Toc376936751"/>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color w:val="auto"/>
          <w:sz w:val="24"/>
          <w:szCs w:val="24"/>
        </w:rPr>
      </w:pPr>
      <w:bookmarkStart w:id="87" w:name="_Toc26121"/>
      <w:bookmarkStart w:id="88" w:name="_Toc325726022"/>
      <w:bookmarkStart w:id="89" w:name="_Toc16935"/>
      <w:bookmarkStart w:id="90" w:name="_Toc376936753"/>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1" w:name="_Toc27086"/>
      <w:bookmarkStart w:id="92" w:name="_Toc325726023"/>
      <w:bookmarkStart w:id="93" w:name="_Toc14694"/>
      <w:bookmarkStart w:id="94" w:name="_Toc376936754"/>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5" w:name="_Toc20611"/>
      <w:bookmarkStart w:id="96" w:name="_Toc325726024"/>
      <w:bookmarkStart w:id="97" w:name="_Toc13668"/>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48"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8"/>
              <w:keepNext w:val="0"/>
              <w:keepLines w:val="0"/>
              <w:pageBreakBefore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8"/>
              <w:keepNext w:val="0"/>
              <w:keepLines w:val="0"/>
              <w:pageBreakBefore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keepNext w:val="0"/>
              <w:keepLines w:val="0"/>
              <w:pageBreakBefore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履约能力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527"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提供2017年以来</w:t>
            </w:r>
            <w:r>
              <w:rPr>
                <w:rFonts w:hint="eastAsia" w:ascii="宋体" w:hAnsi="宋体" w:eastAsia="宋体" w:cs="宋体"/>
                <w:sz w:val="24"/>
                <w:szCs w:val="24"/>
                <w:lang w:val="zh-CN"/>
              </w:rPr>
              <w:t>供应商的类似业绩证明材料</w:t>
            </w:r>
            <w:r>
              <w:rPr>
                <w:rFonts w:hint="eastAsia" w:ascii="宋体" w:hAnsi="宋体" w:eastAsia="宋体" w:cs="宋体"/>
                <w:sz w:val="24"/>
                <w:szCs w:val="24"/>
              </w:rPr>
              <w:t>（</w:t>
            </w:r>
            <w:r>
              <w:rPr>
                <w:rFonts w:hint="eastAsia" w:ascii="宋体" w:hAnsi="宋体" w:eastAsia="宋体" w:cs="宋体"/>
                <w:sz w:val="24"/>
                <w:szCs w:val="24"/>
                <w:lang w:val="zh-CN"/>
              </w:rPr>
              <w:t>需提供包含合同首页、标的及金额所在页、供货合同签字盖章页</w:t>
            </w:r>
            <w:r>
              <w:rPr>
                <w:rFonts w:hint="eastAsia" w:ascii="宋体" w:hAnsi="宋体" w:eastAsia="宋体" w:cs="宋体"/>
                <w:sz w:val="24"/>
                <w:szCs w:val="24"/>
              </w:rPr>
              <w:t>及</w:t>
            </w:r>
            <w:r>
              <w:rPr>
                <w:rFonts w:hint="eastAsia" w:ascii="宋体" w:hAnsi="宋体" w:eastAsia="宋体" w:cs="宋体"/>
                <w:color w:val="000000" w:themeColor="text1"/>
                <w:sz w:val="24"/>
                <w:szCs w:val="24"/>
                <w14:textFill>
                  <w14:solidFill>
                    <w14:schemeClr w14:val="tx1"/>
                  </w14:solidFill>
                </w14:textFill>
              </w:rPr>
              <w:t>中标通知书，每提供1份得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分，提供</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份及以上得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分；未提供不得分。（</w:t>
            </w:r>
            <w:r>
              <w:rPr>
                <w:rFonts w:hint="eastAsia" w:ascii="宋体" w:hAnsi="宋体" w:eastAsia="宋体" w:cs="宋体"/>
                <w:sz w:val="24"/>
                <w:szCs w:val="24"/>
              </w:rPr>
              <w:t>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水平</w:t>
            </w:r>
          </w:p>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widowControl/>
              <w:kinsoku/>
              <w:wordWrap/>
              <w:overflowPunct/>
              <w:topLinePunct w:val="0"/>
              <w:autoSpaceDE/>
              <w:autoSpaceDN/>
              <w:bidi w:val="0"/>
              <w:adjustRightInd/>
              <w:spacing w:line="288"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w:t>
            </w:r>
          </w:p>
        </w:tc>
        <w:tc>
          <w:tcPr>
            <w:tcW w:w="6527" w:type="dxa"/>
            <w:vAlign w:val="center"/>
          </w:tcPr>
          <w:p>
            <w:pPr>
              <w:pStyle w:val="14"/>
              <w:keepNext w:val="0"/>
              <w:keepLines w:val="0"/>
              <w:pageBreakBefore w:val="0"/>
              <w:kinsoku/>
              <w:wordWrap/>
              <w:overflowPunct/>
              <w:topLinePunct w:val="0"/>
              <w:autoSpaceDE/>
              <w:autoSpaceDN/>
              <w:bidi w:val="0"/>
              <w:adjustRightInd/>
              <w:spacing w:line="288"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文件要求的，得4</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；所投产品技术参数每有一项负偏离扣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分，直到扣完为止。（此项评分以检验报告</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彩页</w:t>
            </w:r>
            <w:r>
              <w:rPr>
                <w:rFonts w:hint="eastAsia" w:ascii="宋体" w:hAnsi="宋体" w:eastAsia="宋体" w:cs="宋体"/>
                <w:color w:val="auto"/>
                <w:sz w:val="24"/>
                <w:szCs w:val="24"/>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环保和节能</w:t>
            </w:r>
          </w:p>
        </w:tc>
        <w:tc>
          <w:tcPr>
            <w:tcW w:w="653" w:type="dxa"/>
            <w:vAlign w:val="center"/>
          </w:tcPr>
          <w:p>
            <w:pPr>
              <w:keepNext w:val="0"/>
              <w:keepLines w:val="0"/>
              <w:pageBreakBefore w:val="0"/>
              <w:widowControl/>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14"/>
              <w:keepNext w:val="0"/>
              <w:keepLines w:val="0"/>
              <w:pageBreakBefore w:val="0"/>
              <w:kinsoku/>
              <w:wordWrap/>
              <w:overflowPunct/>
              <w:topLinePunct w:val="0"/>
              <w:autoSpaceDE/>
              <w:autoSpaceDN/>
              <w:bidi w:val="0"/>
              <w:adjustRightInd/>
              <w:spacing w:line="288"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所投产品为环保产品，每提供1份得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本地化服务能力</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2"/>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在青海省有服务机构的，得2分；有合作性服务机构的，得1分；没有的不得分。（需提供服务机构的营业执照及委托协议等证明文件。本地化服务能力应包括机构性质、人员配置、服务能力、售后服务工程师联系方式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项目管理及实施方案</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pStyle w:val="2"/>
              <w:keepNext w:val="0"/>
              <w:keepLines w:val="0"/>
              <w:pageBreakBefore w:val="0"/>
              <w:numPr>
                <w:ilvl w:val="0"/>
                <w:numId w:val="0"/>
              </w:numPr>
              <w:kinsoku/>
              <w:wordWrap/>
              <w:overflowPunct/>
              <w:topLinePunct w:val="0"/>
              <w:autoSpaceDE/>
              <w:autoSpaceDN/>
              <w:bidi w:val="0"/>
              <w:adjustRightInd/>
              <w:spacing w:line="288" w:lineRule="auto"/>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设置了项目管理机构，有项目管理措施，能够结合项目特点制定实施方案；科学、具体的并且能够结合项目特点的得5分；科学、具体的或结合项目特点的得4分；科学或具体或结合项目特点的得2分；基本结合项目特点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center"/>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pacing w:line="288" w:lineRule="auto"/>
              <w:ind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针对本项目有配送、安装、调试、验收等方面售后服务能力计划、措施及服务承诺；所述内容详尽，措施完善、合理的得5分；所述内容较详尽，措施比较完善、较为合理的得4分；所述内容一般，措施一般、基本合理的得2分；有售后服务计划、措施等相关内容但所述内容不详尽，措施不完善、不合理的得1分，没有不得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0" w:name="_Toc376936756"/>
      <w:bookmarkStart w:id="101" w:name="_Toc325726025"/>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color w:val="auto"/>
          <w:sz w:val="24"/>
          <w:szCs w:val="24"/>
        </w:rPr>
      </w:pPr>
      <w:bookmarkStart w:id="104" w:name="_Toc376936757"/>
      <w:bookmarkStart w:id="105" w:name="_Toc325726026"/>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08" w:name="_Toc325726028"/>
      <w:bookmarkStart w:id="109" w:name="_Toc2346"/>
      <w:bookmarkStart w:id="110" w:name="_Toc2963"/>
      <w:bookmarkStart w:id="111" w:name="_Toc376936759"/>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3" w:name="_Toc18063"/>
      <w:bookmarkStart w:id="114" w:name="_Toc5556"/>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color w:val="auto"/>
          <w:sz w:val="24"/>
          <w:szCs w:val="24"/>
        </w:rPr>
      </w:pPr>
      <w:bookmarkStart w:id="116" w:name="_Toc28394"/>
      <w:bookmarkStart w:id="117" w:name="_Toc921"/>
      <w:bookmarkStart w:id="118" w:name="_Toc325726029"/>
      <w:bookmarkStart w:id="119" w:name="_Toc376936760"/>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color w:val="auto"/>
          <w:sz w:val="24"/>
          <w:szCs w:val="24"/>
        </w:rPr>
      </w:pPr>
      <w:bookmarkStart w:id="120" w:name="_Toc325726030"/>
      <w:bookmarkStart w:id="121"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color w:val="auto"/>
          <w:sz w:val="24"/>
          <w:szCs w:val="24"/>
        </w:rPr>
      </w:pPr>
      <w:bookmarkStart w:id="124" w:name="_Toc11684"/>
      <w:bookmarkStart w:id="125" w:name="_Toc7098"/>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17567"/>
      <w:bookmarkStart w:id="133" w:name="_Toc376936764"/>
      <w:bookmarkStart w:id="134" w:name="_Toc325726033"/>
      <w:bookmarkStart w:id="135" w:name="_Toc28018"/>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376936765"/>
      <w:bookmarkStart w:id="137" w:name="_Toc16406"/>
      <w:bookmarkStart w:id="138" w:name="_Toc325726034"/>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青海品冠竞磋（货物）2020-073</w:t>
      </w:r>
      <w:r>
        <w:rPr>
          <w:rFonts w:hint="eastAsia" w:ascii="宋体" w:hAnsi="宋体" w:eastAsia="宋体" w:cs="宋体"/>
          <w:b/>
          <w:bCs/>
          <w:color w:val="auto"/>
          <w:sz w:val="30"/>
          <w:szCs w:val="30"/>
          <w:u w:val="single"/>
        </w:rPr>
        <w:t xml:space="preserve">            </w:t>
      </w:r>
    </w:p>
    <w:p>
      <w:pPr>
        <w:autoSpaceDE w:val="0"/>
        <w:autoSpaceDN w:val="0"/>
        <w:spacing w:line="360" w:lineRule="auto"/>
        <w:ind w:left="2108" w:hanging="2108" w:hangingChars="7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冬季供暖柴油锅炉采购柴油项目</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PG</w:t>
      </w:r>
      <w:r>
        <w:rPr>
          <w:rFonts w:hint="eastAsia" w:ascii="宋体" w:hAnsi="宋体" w:eastAsia="宋体" w:cs="宋体"/>
          <w:b/>
          <w:bCs/>
          <w:color w:val="auto"/>
          <w:sz w:val="30"/>
          <w:szCs w:val="30"/>
          <w:u w:val="single"/>
          <w:lang w:val="zh-CN"/>
        </w:rPr>
        <w:t>-2020-073</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2"/>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日冬季供暖柴油锅炉采购柴油项目（青海品冠竞磋（货物）2020-073）的磋商文件要求和</w:t>
      </w:r>
      <w:r>
        <w:rPr>
          <w:rFonts w:hint="eastAsia" w:ascii="宋体" w:hAnsi="宋体" w:eastAsia="宋体" w:cs="宋体"/>
          <w:color w:val="auto"/>
          <w:sz w:val="24"/>
          <w:lang w:val="zh-CN"/>
        </w:rPr>
        <w:t>青海品冠招标代理有限公司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甲乙双方签订合同后，以甲方每次实际用量进行支付。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青海品冠招标代理有限公司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9848"/>
      <w:bookmarkStart w:id="143" w:name="_Toc16431"/>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青海品冠竞磋（货物）2020-073</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冬季供暖柴油锅炉采购柴油项目</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pStyle w:val="3"/>
        <w:spacing w:before="0" w:after="0" w:line="360" w:lineRule="auto"/>
        <w:rPr>
          <w:rFonts w:hint="eastAsia" w:ascii="宋体" w:hAnsi="宋体" w:eastAsia="宋体" w:cs="宋体"/>
          <w:sz w:val="24"/>
          <w:szCs w:val="24"/>
        </w:rPr>
      </w:pPr>
      <w:bookmarkStart w:id="144" w:name="_Toc30269"/>
      <w:bookmarkStart w:id="145" w:name="_Toc17238"/>
      <w:r>
        <w:rPr>
          <w:rFonts w:hint="eastAsia" w:ascii="宋体" w:hAnsi="宋体" w:eastAsia="宋体" w:cs="宋体"/>
          <w:b/>
          <w:color w:val="auto"/>
          <w:sz w:val="24"/>
          <w:szCs w:val="24"/>
        </w:rPr>
        <w:t>附件2</w:t>
      </w:r>
      <w:bookmarkStart w:id="146" w:name="_Toc376936768"/>
      <w:bookmarkStart w:id="147" w:name="_Toc325726037"/>
      <w:r>
        <w:rPr>
          <w:rFonts w:hint="eastAsia" w:ascii="宋体" w:hAnsi="宋体" w:eastAsia="宋体" w:cs="宋体"/>
          <w:b/>
          <w:color w:val="auto"/>
          <w:sz w:val="24"/>
          <w:szCs w:val="24"/>
        </w:rPr>
        <w:t>：</w:t>
      </w:r>
      <w:r>
        <w:rPr>
          <w:rFonts w:hint="eastAsia" w:ascii="宋体" w:hAnsi="宋体" w:eastAsia="宋体" w:cs="宋体"/>
          <w:sz w:val="24"/>
          <w:szCs w:val="24"/>
        </w:rPr>
        <w:t>目录格式</w:t>
      </w:r>
    </w:p>
    <w:p>
      <w:pPr>
        <w:spacing w:line="360" w:lineRule="auto"/>
        <w:jc w:val="center"/>
        <w:rPr>
          <w:rFonts w:hint="eastAsia" w:ascii="宋体" w:hAnsi="宋体" w:cs="宋体"/>
          <w:kern w:val="0"/>
          <w:sz w:val="24"/>
          <w:szCs w:val="24"/>
        </w:rPr>
      </w:pPr>
      <w:r>
        <w:rPr>
          <w:rFonts w:hint="eastAsia" w:ascii="宋体" w:hAnsi="宋体" w:cs="宋体"/>
          <w:b/>
          <w:bCs/>
          <w:sz w:val="32"/>
          <w:szCs w:val="32"/>
        </w:rPr>
        <w:t>目  录</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eastAsia="zh-CN"/>
        </w:rPr>
        <w:t>磋商函</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投标报价表</w:t>
      </w:r>
      <w:r>
        <w:rPr>
          <w:rFonts w:hint="eastAsia" w:ascii="宋体" w:hAnsi="宋体" w:cs="宋体"/>
          <w:kern w:val="0"/>
          <w:sz w:val="28"/>
          <w:szCs w:val="28"/>
        </w:rPr>
        <w:t>及分项报价表</w:t>
      </w:r>
    </w:p>
    <w:p>
      <w:pPr>
        <w:numPr>
          <w:ilvl w:val="0"/>
          <w:numId w:val="2"/>
        </w:numPr>
        <w:tabs>
          <w:tab w:val="left" w:pos="425"/>
        </w:tabs>
        <w:autoSpaceDE w:val="0"/>
        <w:autoSpaceDN w:val="0"/>
        <w:spacing w:line="360" w:lineRule="auto"/>
        <w:jc w:val="left"/>
        <w:rPr>
          <w:rFonts w:hint="eastAsia" w:ascii="宋体" w:hAnsi="宋体" w:cs="宋体"/>
          <w:kern w:val="0"/>
          <w:sz w:val="28"/>
          <w:szCs w:val="28"/>
          <w:lang w:val="zh-CN"/>
        </w:rPr>
      </w:pPr>
      <w:r>
        <w:rPr>
          <w:rFonts w:hint="eastAsia" w:ascii="宋体" w:hAnsi="宋体" w:cs="宋体"/>
          <w:kern w:val="0"/>
          <w:sz w:val="28"/>
          <w:szCs w:val="28"/>
          <w:lang w:val="zh-CN"/>
        </w:rPr>
        <w:t>技术规格响应表</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最终报价确定表</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法定代表人证明书</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法定代表人授权书</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供应商承诺函</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供应商诚信承诺书</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资格证明材料</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财务状况</w:t>
      </w:r>
      <w:r>
        <w:rPr>
          <w:rFonts w:hint="eastAsia" w:ascii="宋体" w:hAnsi="宋体" w:cs="宋体"/>
          <w:kern w:val="0"/>
          <w:sz w:val="28"/>
          <w:szCs w:val="28"/>
          <w:lang w:val="en-US" w:eastAsia="zh-CN"/>
        </w:rPr>
        <w:t>证明</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rPr>
        <w:t>近三年内，在经营活动中没有重大违法记录的声明</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en-US" w:eastAsia="zh-CN"/>
        </w:rPr>
        <w:t>磋商保证金</w:t>
      </w:r>
    </w:p>
    <w:p>
      <w:pPr>
        <w:numPr>
          <w:ilvl w:val="0"/>
          <w:numId w:val="2"/>
        </w:numPr>
        <w:tabs>
          <w:tab w:val="left" w:pos="425"/>
        </w:tabs>
        <w:autoSpaceDE w:val="0"/>
        <w:autoSpaceDN w:val="0"/>
        <w:spacing w:line="360" w:lineRule="auto"/>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其他资料</w:t>
      </w:r>
    </w:p>
    <w:p>
      <w:pPr>
        <w:numPr>
          <w:ilvl w:val="0"/>
          <w:numId w:val="2"/>
        </w:numPr>
        <w:tabs>
          <w:tab w:val="left" w:pos="425"/>
        </w:tabs>
        <w:autoSpaceDE w:val="0"/>
        <w:autoSpaceDN w:val="0"/>
        <w:spacing w:line="360" w:lineRule="auto"/>
        <w:jc w:val="left"/>
        <w:rPr>
          <w:rFonts w:hint="eastAsia" w:ascii="宋体" w:hAnsi="宋体" w:cs="宋体"/>
          <w:kern w:val="0"/>
          <w:sz w:val="28"/>
          <w:szCs w:val="28"/>
        </w:rPr>
      </w:pPr>
      <w:r>
        <w:rPr>
          <w:rFonts w:hint="eastAsia" w:ascii="宋体" w:hAnsi="宋体" w:cs="宋体"/>
          <w:kern w:val="0"/>
          <w:sz w:val="28"/>
          <w:szCs w:val="28"/>
          <w:lang w:val="zh-CN"/>
        </w:rPr>
        <w:t>制造（生产）企业小型、微型企业声明函</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附件3：</w:t>
      </w:r>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青海品冠招标代理有限公司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青海品冠竞磋（货物）2020-073</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26950"/>
      <w:bookmarkStart w:id="149" w:name="_Toc31069"/>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vAlign w:val="center"/>
          </w:tcPr>
          <w:p>
            <w:pPr>
              <w:pStyle w:val="5"/>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5"/>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交货时间</w:t>
            </w:r>
          </w:p>
        </w:tc>
        <w:tc>
          <w:tcPr>
            <w:tcW w:w="5749" w:type="dxa"/>
            <w:vAlign w:val="center"/>
          </w:tcPr>
          <w:p>
            <w:pPr>
              <w:pStyle w:val="5"/>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5"/>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5"/>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5"/>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5"/>
              <w:spacing w:line="360" w:lineRule="auto"/>
              <w:ind w:firstLine="0" w:firstLineChars="0"/>
              <w:rPr>
                <w:rFonts w:ascii="宋体" w:hAnsi="宋体" w:eastAsia="宋体" w:cs="宋体"/>
                <w:color w:val="auto"/>
                <w:sz w:val="24"/>
                <w:szCs w:val="24"/>
                <w:lang w:val="zh-CN"/>
              </w:rPr>
            </w:pPr>
          </w:p>
          <w:p>
            <w:pPr>
              <w:pStyle w:val="5"/>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注：1.填写此表时不得改变表格形式。</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2.“投标报价”为投标总价。投标报价必须包括产品费、验收费、手续费、包装费、运输费、保险费、安装费、调试费、培训费、质检费、售前、售中、售后服务费、招标代理费、税金及不可预见费等全部费用。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3.“交货时间”是指产品能够交付使用的具体时间（</w:t>
      </w:r>
      <w:r>
        <w:rPr>
          <w:rFonts w:hint="eastAsia" w:ascii="宋体" w:hAnsi="宋体" w:eastAsia="宋体" w:cs="宋体"/>
          <w:color w:val="auto"/>
          <w:sz w:val="24"/>
          <w:szCs w:val="24"/>
        </w:rPr>
        <w:t>工作日</w:t>
      </w:r>
      <w:r>
        <w:rPr>
          <w:rFonts w:hint="eastAsia" w:ascii="宋体" w:hAnsi="宋体" w:eastAsia="宋体" w:cs="宋体"/>
          <w:color w:val="auto"/>
          <w:sz w:val="24"/>
          <w:szCs w:val="24"/>
          <w:lang w:val="zh-CN"/>
        </w:rPr>
        <w:t>）。</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供应商名称：</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注：1.本表应按照每包“采购项目要求及技术参数”中产品序号的指标逐项填写，不得遗漏。</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w:t>
      </w:r>
      <w:r>
        <w:rPr>
          <w:rFonts w:hint="eastAsia" w:ascii="宋体" w:hAnsi="宋体" w:eastAsia="宋体" w:cs="宋体"/>
          <w:color w:val="000000" w:themeColor="text1"/>
          <w:sz w:val="24"/>
          <w:szCs w:val="24"/>
          <w:lang w:val="zh-CN"/>
          <w14:textFill>
            <w14:solidFill>
              <w14:schemeClr w14:val="tx1"/>
            </w14:solidFill>
          </w14:textFill>
        </w:rPr>
        <w:t>检测报告、彩页等证明材料的实质性响应情况相一致。若在评标环节发现该项与响</w:t>
      </w:r>
      <w:r>
        <w:rPr>
          <w:rFonts w:hint="eastAsia" w:ascii="宋体" w:hAnsi="宋体" w:eastAsia="宋体" w:cs="宋体"/>
          <w:color w:val="auto"/>
          <w:sz w:val="24"/>
          <w:szCs w:val="24"/>
          <w:lang w:val="zh-CN"/>
        </w:rPr>
        <w:t>应文件中提供的产品检测报告、彩页（或厂家公开发布的资料参数）等证明材料的实质性响应情况不一致或直接复制磋商文件“采购项目要求及技术参数”内容的，按无效投标处理。</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76936774"/>
      <w:bookmarkStart w:id="153" w:name="_Toc325726043"/>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201287639"/>
      <w:bookmarkStart w:id="155" w:name="_Toc324756736"/>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青海品冠竞磋（货物）2020-073</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65019584"/>
      <w:bookmarkStart w:id="163" w:name="_Toc351475542"/>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青海品冠招标代理有限公司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9" w:name="_Toc27149"/>
      <w:bookmarkStart w:id="170" w:name="_Toc23114"/>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w:t>
      </w:r>
      <w:r>
        <w:rPr>
          <w:rFonts w:hint="eastAsia" w:ascii="宋体" w:hAnsi="宋体" w:eastAsia="宋体" w:cs="宋体"/>
          <w:color w:val="000000" w:themeColor="text1"/>
          <w:sz w:val="24"/>
          <w:szCs w:val="24"/>
          <w:lang w:val="zh-CN"/>
          <w14:textFill>
            <w14:solidFill>
              <w14:schemeClr w14:val="tx1"/>
            </w14:solidFill>
          </w14:textFill>
        </w:rPr>
        <w:t>交货地点、交货时间、交货方式、交货进度、</w:t>
      </w:r>
      <w:r>
        <w:rPr>
          <w:rFonts w:hint="eastAsia" w:ascii="宋体" w:hAnsi="宋体" w:eastAsia="宋体" w:cs="宋体"/>
          <w:color w:val="000000" w:themeColor="text1"/>
          <w:sz w:val="24"/>
          <w:szCs w:val="24"/>
          <w:lang w:val="en-US" w:eastAsia="zh-CN"/>
          <w14:textFill>
            <w14:solidFill>
              <w14:schemeClr w14:val="tx1"/>
            </w14:solidFill>
          </w14:textFill>
        </w:rPr>
        <w:t>与采购人对接的具体时间，项目完工时间</w:t>
      </w:r>
      <w:r>
        <w:rPr>
          <w:rFonts w:hint="eastAsia" w:ascii="宋体" w:hAnsi="宋体" w:eastAsia="宋体" w:cs="宋体"/>
          <w:color w:val="000000" w:themeColor="text1"/>
          <w:sz w:val="24"/>
          <w:szCs w:val="24"/>
          <w:lang w:val="zh-CN"/>
          <w14:textFill>
            <w14:solidFill>
              <w14:schemeClr w14:val="tx1"/>
            </w14:solidFill>
          </w14:textFill>
        </w:rPr>
        <w:t>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25726049"/>
      <w:bookmarkStart w:id="172" w:name="_Toc376936781"/>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青海品冠招标代理有限公司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w:t>
      </w:r>
      <w:r>
        <w:rPr>
          <w:rFonts w:hint="eastAsia" w:ascii="宋体" w:hAnsi="宋体" w:eastAsia="宋体" w:cs="宋体"/>
          <w:bCs/>
          <w:color w:val="auto"/>
          <w:sz w:val="24"/>
          <w:szCs w:val="24"/>
          <w:lang w:eastAsia="zh-CN"/>
        </w:rPr>
        <w:t>基本存款账户信息</w:t>
      </w:r>
      <w:r>
        <w:rPr>
          <w:rFonts w:hint="eastAsia" w:ascii="宋体" w:hAnsi="宋体" w:eastAsia="宋体" w:cs="宋体"/>
          <w:bCs/>
          <w:color w:val="auto"/>
          <w:sz w:val="24"/>
          <w:szCs w:val="24"/>
        </w:rPr>
        <w:t>扫描（或复印）件粘贴后加盖公章。</w:t>
      </w:r>
    </w:p>
    <w:p>
      <w:pPr>
        <w:pStyle w:val="3"/>
        <w:spacing w:before="0" w:after="0" w:line="360" w:lineRule="auto"/>
        <w:rPr>
          <w:rStyle w:val="34"/>
          <w:rFonts w:hint="eastAsia" w:ascii="宋体" w:hAnsi="宋体" w:eastAsia="宋体" w:cs="宋体"/>
          <w:b/>
          <w:bCs/>
          <w:sz w:val="24"/>
          <w:szCs w:val="24"/>
        </w:rPr>
      </w:pPr>
      <w:r>
        <w:rPr>
          <w:rFonts w:hint="eastAsia" w:ascii="宋体" w:hAnsi="宋体" w:eastAsia="宋体" w:cs="宋体"/>
          <w:bCs/>
          <w:color w:val="auto"/>
          <w:sz w:val="24"/>
          <w:szCs w:val="24"/>
        </w:rPr>
        <w:br w:type="page"/>
      </w: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Style w:val="34"/>
          <w:rFonts w:hint="eastAsia" w:ascii="宋体" w:hAnsi="宋体" w:eastAsia="宋体" w:cs="宋体"/>
          <w:b/>
          <w:bCs/>
          <w:sz w:val="24"/>
          <w:szCs w:val="24"/>
        </w:rPr>
        <w:t>其他资料</w:t>
      </w:r>
    </w:p>
    <w:p>
      <w:pPr>
        <w:spacing w:line="360" w:lineRule="auto"/>
        <w:jc w:val="center"/>
        <w:rPr>
          <w:rFonts w:hint="eastAsia" w:ascii="宋体" w:hAnsi="宋体" w:cs="宋体"/>
          <w:sz w:val="24"/>
          <w:szCs w:val="24"/>
        </w:rPr>
      </w:pPr>
      <w:bookmarkStart w:id="175" w:name="_Toc298683408"/>
      <w:r>
        <w:rPr>
          <w:rFonts w:hint="eastAsia" w:ascii="宋体" w:hAnsi="宋体" w:cs="宋体"/>
          <w:b/>
          <w:bCs/>
          <w:sz w:val="24"/>
          <w:szCs w:val="24"/>
        </w:rPr>
        <w:t>其他资料</w:t>
      </w:r>
      <w:bookmarkEnd w:id="175"/>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附有关资质、认证，所投产品的有关技术质量、售后服务等方面的承诺以及供应商认为需要提供的相关资料。</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pStyle w:val="3"/>
        <w:spacing w:before="0" w:after="0" w:line="360" w:lineRule="auto"/>
        <w:rPr>
          <w:rFonts w:hint="eastAsia" w:ascii="宋体" w:hAnsi="宋体" w:eastAsia="宋体" w:cs="宋体"/>
          <w:sz w:val="24"/>
          <w:szCs w:val="24"/>
          <w:lang w:val="zh-CN"/>
        </w:rPr>
      </w:pPr>
      <w:r>
        <w:rPr>
          <w:rFonts w:hint="eastAsia" w:ascii="宋体" w:hAnsi="宋体" w:eastAsia="宋体" w:cs="宋体"/>
          <w:bCs/>
          <w:color w:val="auto"/>
          <w:sz w:val="24"/>
          <w:szCs w:val="24"/>
          <w:lang w:val="en-US" w:eastAsia="zh-CN"/>
        </w:rPr>
        <w:t>附件14：</w:t>
      </w:r>
      <w:r>
        <w:rPr>
          <w:rFonts w:hint="eastAsia" w:ascii="宋体" w:hAnsi="宋体" w:eastAsia="宋体" w:cs="宋体"/>
          <w:bCs/>
          <w:color w:val="auto"/>
          <w:sz w:val="24"/>
          <w:szCs w:val="24"/>
          <w:lang w:val="zh-CN"/>
        </w:rPr>
        <w:t>制造</w:t>
      </w:r>
      <w:r>
        <w:rPr>
          <w:rFonts w:hint="eastAsia" w:ascii="宋体" w:hAnsi="宋体" w:eastAsia="宋体" w:cs="宋体"/>
          <w:sz w:val="24"/>
          <w:szCs w:val="24"/>
          <w:lang w:val="zh-CN"/>
        </w:rPr>
        <w:t>（生产）企业小型、微型企业声明函</w:t>
      </w:r>
      <w:r>
        <w:rPr>
          <w:rFonts w:hint="eastAsia" w:ascii="宋体" w:hAnsi="宋体" w:eastAsia="宋体" w:cs="宋体"/>
          <w:sz w:val="24"/>
          <w:szCs w:val="24"/>
        </w:rPr>
        <w:t>格式</w:t>
      </w:r>
    </w:p>
    <w:p>
      <w:pPr>
        <w:spacing w:line="360" w:lineRule="auto"/>
        <w:rPr>
          <w:rFonts w:hint="eastAsia" w:ascii="宋体" w:hAnsi="宋体" w:cs="宋体"/>
          <w:sz w:val="24"/>
          <w:szCs w:val="24"/>
          <w:lang w:val="zh-CN"/>
        </w:rPr>
      </w:pPr>
    </w:p>
    <w:p>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rPr>
        <w:t>制造（生产）企业</w:t>
      </w:r>
      <w:r>
        <w:rPr>
          <w:rFonts w:hint="eastAsia" w:ascii="宋体" w:hAnsi="宋体" w:cs="宋体"/>
          <w:b/>
          <w:bCs/>
          <w:kern w:val="0"/>
          <w:sz w:val="24"/>
          <w:szCs w:val="24"/>
          <w:lang w:val="zh-CN"/>
        </w:rPr>
        <w:t>小型、微型企业声明函</w:t>
      </w:r>
    </w:p>
    <w:p>
      <w:pPr>
        <w:autoSpaceDE w:val="0"/>
        <w:autoSpaceDN w:val="0"/>
        <w:spacing w:line="360" w:lineRule="auto"/>
        <w:rPr>
          <w:rFonts w:hint="eastAsia" w:ascii="宋体" w:hAnsi="宋体" w:cs="宋体"/>
          <w:b/>
          <w:bCs/>
          <w:kern w:val="0"/>
          <w:sz w:val="24"/>
          <w:szCs w:val="24"/>
          <w:lang w:val="zh-CN"/>
        </w:rPr>
      </w:pPr>
    </w:p>
    <w:p>
      <w:pPr>
        <w:autoSpaceDE w:val="0"/>
        <w:autoSpaceDN w:val="0"/>
        <w:spacing w:line="360" w:lineRule="auto"/>
        <w:ind w:firstLine="482" w:firstLineChars="200"/>
        <w:rPr>
          <w:rFonts w:hint="eastAsia" w:ascii="宋体" w:hAnsi="宋体" w:cs="宋体"/>
          <w:b/>
          <w:bCs/>
          <w:kern w:val="0"/>
          <w:sz w:val="24"/>
          <w:szCs w:val="24"/>
          <w:lang w:val="zh-CN"/>
        </w:rPr>
      </w:pPr>
      <w:r>
        <w:rPr>
          <w:rFonts w:hint="eastAsia" w:ascii="宋体" w:hAnsi="宋体" w:cs="宋体"/>
          <w:b/>
          <w:bCs/>
          <w:kern w:val="0"/>
          <w:sz w:val="24"/>
          <w:szCs w:val="24"/>
          <w:lang w:val="zh-CN"/>
        </w:rPr>
        <w:t>致：青海品冠招标代理有限公司</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本公司对上述声明的真实性负责。如有虚假，将依法承担相应责任。</w:t>
      </w:r>
    </w:p>
    <w:p>
      <w:pPr>
        <w:autoSpaceDE w:val="0"/>
        <w:autoSpaceDN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注：1.此函需声明参与本次投标的货物（产品）名称、规格、型号等相关资料；</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2.此函须由投标产品的制造（生产）企业提供并声明，且加盖供应商公章。同时附制造（生产）企业上一年度的财务状况审计报告；</w:t>
      </w:r>
    </w:p>
    <w:p>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3.此函若出现多家制造（生产）企业的货物（产品）投标时，可按制造（生产）企业分别声明，一家制造（生产）企业填写一张。</w:t>
      </w:r>
    </w:p>
    <w:p>
      <w:pPr>
        <w:spacing w:line="360" w:lineRule="auto"/>
        <w:rPr>
          <w:rFonts w:hint="eastAsia" w:ascii="宋体" w:hAnsi="宋体" w:cs="宋体"/>
          <w:sz w:val="24"/>
          <w:szCs w:val="24"/>
          <w:lang w:val="zh-CN"/>
        </w:rPr>
      </w:pPr>
    </w:p>
    <w:p>
      <w:pPr>
        <w:spacing w:line="360" w:lineRule="auto"/>
        <w:rPr>
          <w:rFonts w:hint="eastAsia" w:ascii="宋体" w:hAnsi="宋体" w:cs="宋体"/>
          <w:sz w:val="24"/>
          <w:szCs w:val="24"/>
          <w:lang w:val="zh-CN"/>
        </w:rPr>
      </w:pPr>
    </w:p>
    <w:p>
      <w:pPr>
        <w:spacing w:line="360" w:lineRule="auto"/>
        <w:rPr>
          <w:rFonts w:hint="eastAsia" w:ascii="宋体" w:hAnsi="宋体" w:cs="宋体"/>
          <w:sz w:val="24"/>
          <w:szCs w:val="24"/>
          <w:lang w:val="zh-CN"/>
        </w:rPr>
      </w:pPr>
    </w:p>
    <w:p>
      <w:pPr>
        <w:autoSpaceDE w:val="0"/>
        <w:autoSpaceDN w:val="0"/>
        <w:spacing w:line="360" w:lineRule="auto"/>
        <w:ind w:firstLine="3132" w:firstLineChars="1300"/>
        <w:rPr>
          <w:rFonts w:hint="eastAsia" w:ascii="宋体" w:hAnsi="宋体" w:cs="宋体"/>
          <w:b/>
          <w:bCs/>
          <w:kern w:val="0"/>
          <w:sz w:val="24"/>
          <w:szCs w:val="24"/>
          <w:lang w:val="zh-CN"/>
        </w:rPr>
      </w:pPr>
      <w:r>
        <w:rPr>
          <w:rFonts w:hint="eastAsia" w:ascii="宋体" w:hAnsi="宋体" w:cs="宋体"/>
          <w:b/>
          <w:bCs/>
          <w:kern w:val="0"/>
          <w:sz w:val="24"/>
          <w:szCs w:val="24"/>
          <w:lang w:val="zh-CN"/>
        </w:rPr>
        <w:t>制造（生产）企业名称：       （公章）</w:t>
      </w:r>
    </w:p>
    <w:p>
      <w:pPr>
        <w:autoSpaceDE w:val="0"/>
        <w:autoSpaceDN w:val="0"/>
        <w:spacing w:line="360" w:lineRule="auto"/>
        <w:ind w:firstLine="2409" w:firstLineChars="1000"/>
        <w:rPr>
          <w:rFonts w:hint="eastAsia" w:ascii="宋体" w:hAnsi="宋体" w:cs="宋体"/>
          <w:b/>
          <w:bCs/>
          <w:kern w:val="0"/>
          <w:sz w:val="24"/>
          <w:szCs w:val="24"/>
          <w:lang w:val="zh-CN"/>
        </w:rPr>
      </w:pPr>
      <w:r>
        <w:rPr>
          <w:rFonts w:hint="eastAsia" w:ascii="宋体" w:hAnsi="宋体" w:cs="宋体"/>
          <w:b/>
          <w:bCs/>
          <w:kern w:val="0"/>
          <w:sz w:val="24"/>
          <w:szCs w:val="24"/>
          <w:lang w:val="zh-CN"/>
        </w:rPr>
        <w:t>制造（生产）企业法定代表人：       （签字）</w:t>
      </w:r>
    </w:p>
    <w:p>
      <w:pPr>
        <w:spacing w:line="360" w:lineRule="auto"/>
        <w:ind w:firstLine="482" w:firstLineChars="200"/>
        <w:jc w:val="center"/>
        <w:rPr>
          <w:rFonts w:hint="eastAsia" w:ascii="宋体" w:hAnsi="宋体" w:cs="宋体"/>
          <w:sz w:val="24"/>
          <w:szCs w:val="24"/>
        </w:rPr>
      </w:pPr>
      <w:r>
        <w:rPr>
          <w:rFonts w:hint="eastAsia" w:ascii="宋体" w:hAnsi="宋体" w:cs="宋体"/>
          <w:b/>
          <w:bCs/>
          <w:kern w:val="0"/>
          <w:sz w:val="24"/>
          <w:szCs w:val="24"/>
          <w:lang w:val="zh-CN"/>
        </w:rPr>
        <w:t xml:space="preserve">年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6"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：供应商最后报价表</w:t>
      </w:r>
      <w:bookmarkEnd w:id="176"/>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7" w:name="_Toc408326292"/>
      <w:r>
        <w:rPr>
          <w:rFonts w:hint="eastAsia" w:ascii="宋体" w:hAnsi="宋体" w:eastAsia="宋体" w:cs="宋体"/>
          <w:b/>
          <w:color w:val="auto"/>
          <w:sz w:val="24"/>
          <w:szCs w:val="24"/>
        </w:rPr>
        <w:t>供应商最后报价表</w:t>
      </w:r>
      <w:bookmarkEnd w:id="177"/>
    </w:p>
    <w:p>
      <w:pPr>
        <w:spacing w:line="36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r>
        <w:rPr>
          <w:rFonts w:hint="eastAsia" w:ascii="宋体" w:hAnsi="宋体" w:eastAsia="宋体" w:cs="宋体"/>
          <w:color w:val="auto"/>
          <w:sz w:val="24"/>
          <w:szCs w:val="24"/>
          <w:lang w:val="zh-CN"/>
        </w:rPr>
        <w:t>青海品冠竞磋（货物）2020-073</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color w:val="auto"/>
          <w:sz w:val="24"/>
          <w:szCs w:val="24"/>
          <w:lang w:val="zh-CN"/>
        </w:rPr>
        <w:t>冬季供暖柴油锅炉采购柴油项目</w:t>
      </w: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1485"/>
        <w:gridCol w:w="32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3334"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148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28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534"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334"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pStyle w:val="8"/>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小写：</w:t>
            </w:r>
          </w:p>
        </w:tc>
        <w:tc>
          <w:tcPr>
            <w:tcW w:w="1485" w:type="dxa"/>
          </w:tcPr>
          <w:p>
            <w:pPr>
              <w:spacing w:line="360" w:lineRule="auto"/>
              <w:ind w:firstLine="0" w:firstLineChars="0"/>
              <w:rPr>
                <w:rFonts w:hint="eastAsia" w:ascii="宋体" w:hAnsi="宋体" w:eastAsia="宋体" w:cs="宋体"/>
                <w:color w:val="auto"/>
                <w:sz w:val="24"/>
                <w:szCs w:val="24"/>
              </w:rPr>
            </w:pPr>
          </w:p>
        </w:tc>
        <w:tc>
          <w:tcPr>
            <w:tcW w:w="3285"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pStyle w:val="8"/>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小写：</w:t>
            </w:r>
          </w:p>
        </w:tc>
        <w:tc>
          <w:tcPr>
            <w:tcW w:w="1534"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638"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keepNext/>
        <w:keepLines/>
        <w:widowControl/>
        <w:numPr>
          <w:ilvl w:val="0"/>
          <w:numId w:val="4"/>
        </w:numPr>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8" w:name="_Toc26743"/>
      <w:r>
        <mc:AlternateContent>
          <mc:Choice Requires="wps">
            <w:drawing>
              <wp:anchor distT="0" distB="0" distL="114300" distR="114300" simplePos="0" relativeHeight="251672576" behindDoc="0" locked="0" layoutInCell="1" allowOverlap="1">
                <wp:simplePos x="0" y="0"/>
                <wp:positionH relativeFrom="column">
                  <wp:posOffset>6864985</wp:posOffset>
                </wp:positionH>
                <wp:positionV relativeFrom="paragraph">
                  <wp:posOffset>-692150</wp:posOffset>
                </wp:positionV>
                <wp:extent cx="86360" cy="466725"/>
                <wp:effectExtent l="0" t="0" r="8890" b="9525"/>
                <wp:wrapNone/>
                <wp:docPr id="1" name="文本框 1"/>
                <wp:cNvGraphicFramePr/>
                <a:graphic xmlns:a="http://schemas.openxmlformats.org/drawingml/2006/main">
                  <a:graphicData uri="http://schemas.microsoft.com/office/word/2010/wordprocessingShape">
                    <wps:wsp>
                      <wps:cNvSpPr txBox="1"/>
                      <wps:spPr>
                        <a:xfrm>
                          <a:off x="0" y="0"/>
                          <a:ext cx="8636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黑体" w:hAnsi="黑体" w:eastAsia="黑体" w:cs="黑体"/>
                                <w:sz w:val="32"/>
                                <w:szCs w:val="3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5pt;margin-top:-54.5pt;height:36.75pt;width:6.8pt;z-index:251672576;mso-width-relative:page;mso-height-relative:page;" fillcolor="#FFFFFF [3201]" filled="t" stroked="f" coordsize="21600,21600" o:gfxdata="UEsDBAoAAAAAAIdO4kAAAAAAAAAAAAAAAAAEAAAAZHJzL1BLAwQUAAAACACHTuJA2OJvIdcAAAAO&#10;AQAADwAAAGRycy9kb3ducmV2LnhtbE2PO08DMRCEeyT+g7VIdIltSCC5nC8FEi0SedXO2TmfsNcn&#10;23n+ejYVlDP7aXamXl6CZyebch9RgRwLYBbbaHrsFGzWn6MZsFw0Gu0jWgVXm2HZPD7UujLxjN/2&#10;tCodoxDMlVbgShkqznPrbNB5HAeLdDvEFHQhmTpukj5TePD8RYg3HnSP9MHpwX442/6sjkHBrgu3&#10;3VYOyZngJ/h1u643sVfq+UmKBbBiL+UPhnt9qg4NddrHI5rMPGkxk5JYBSMp5jTrzoj55B3YnrzX&#10;6RR4U/P/M5pfUEsDBBQAAAAIAIdO4kADLM6LLwIAAD8EAAAOAAAAZHJzL2Uyb0RvYy54bWytU0uO&#10;GjEQ3UfKHSzvQwMDzATRjAgjokijzEgkytq43bQl2+XYhm5ygOQGWWWTfc7FOVJ2Nwz5rKKwMPXr&#10;V/XqM7tttCJ74bwEk9NBr0+JMBwKabY5ff9u9eKGEh+YKZgCI3J6EJ7ezp8/m9V2KoZQgSqEIwhi&#10;/LS2Oa1CsNMs87wSmvkeWGHQWYLTLKDqtlnhWI3oWmXDfn+S1eAK64AL79F61zrpPOGXpeDhoSy9&#10;CETlFGsL6XXp3cQ3m8/YdOuYrSTvymD/UIVm0mDSM9QdC4zsnPwDSkvuwEMZehx0BmUpuUgckM2g&#10;/xubdcWsSFywOd6e2+T/Hyx/u390RBY4O0oM0zii49cvx28/jt8/k0FsT239FKPWFuNC8wqaGNrZ&#10;PRoj66Z0Ov4jH4J+bPTh3FzRBMLReDO5mqCDo2c0mVwPxxEke/rWOh9eC9AkCjl1OLrUUba/96EN&#10;PYXEVB6ULFZSqaS47WapHNkzHPMq/Tr0X8KUIXVOJ1fjfkI2EL9voZXBYiLVllKUQrNpOp4bKA5I&#10;30G7P97ylcQq75kPj8zhwiAxPILwgE+pAJNAJ1FSgfv0N3uMxzmil5IaFzCn/uOOOUGJemNwwi8H&#10;o1Hc2KSMxtdDVNylZ3PpMTu9BCSPU8TqkhjjgzqJpQP9AW9lEbOiixmOuXMaTuIytGeBt8bFYpGC&#10;cEctC/dmbXmEjq02sNgFKGUaSWxT25uue7ilaajdRcUzuNRT1NPdz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OJvIdcAAAAOAQAADwAAAAAAAAABACAAAAAiAAAAZHJzL2Rvd25yZXYueG1sUEsB&#10;AhQAFAAAAAgAh07iQAMszosvAgAAPwQAAA4AAAAAAAAAAQAgAAAAJgEAAGRycy9lMm9Eb2MueG1s&#10;UEsFBgAAAAAGAAYAWQEAAMcFAAAAAA==&#10;">
                <v:fill on="t" focussize="0,0"/>
                <v:stroke on="f" weight="0.5pt"/>
                <v:imagedata o:title=""/>
                <o:lock v:ext="edit" aspectratio="f"/>
                <v:textbox>
                  <w:txbxContent>
                    <w:p>
                      <w:pPr>
                        <w:jc w:val="both"/>
                        <w:rPr>
                          <w:rFonts w:ascii="黑体" w:hAnsi="黑体" w:eastAsia="黑体" w:cs="黑体"/>
                          <w:sz w:val="32"/>
                          <w:szCs w:val="32"/>
                        </w:rPr>
                      </w:pPr>
                    </w:p>
                    <w:p/>
                  </w:txbxContent>
                </v:textbox>
              </v:shape>
            </w:pict>
          </mc:Fallback>
        </mc:AlternateContent>
      </w:r>
      <w:r>
        <w:rPr>
          <w:rFonts w:hint="eastAsia" w:ascii="宋体" w:hAnsi="宋体" w:eastAsia="宋体" w:cs="宋体"/>
          <w:b/>
          <w:color w:val="auto"/>
          <w:kern w:val="28"/>
          <w:sz w:val="36"/>
          <w:szCs w:val="20"/>
        </w:rPr>
        <w:t xml:space="preserve"> </w:t>
      </w:r>
      <w:bookmarkEnd w:id="178"/>
      <w:r>
        <w:rPr>
          <w:rFonts w:hint="eastAsia" w:ascii="宋体" w:hAnsi="宋体" w:eastAsia="宋体" w:cs="宋体"/>
          <w:b/>
          <w:color w:val="auto"/>
          <w:kern w:val="28"/>
          <w:sz w:val="36"/>
          <w:szCs w:val="20"/>
        </w:rPr>
        <w:t>采购项目要求及技术参数</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一、0号国V</w:t>
      </w:r>
      <w:r>
        <w:rPr>
          <w:rFonts w:hint="eastAsia" w:ascii="宋体" w:hAnsi="宋体" w:eastAsia="宋体" w:cs="宋体"/>
          <w:color w:val="auto"/>
          <w:sz w:val="24"/>
          <w:szCs w:val="24"/>
          <w:lang w:eastAsia="zh-CN"/>
        </w:rPr>
        <w:t>车用柴油质量要求指标：</w:t>
      </w:r>
    </w:p>
    <w:tbl>
      <w:tblPr>
        <w:tblStyle w:val="2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95"/>
        <w:gridCol w:w="1063"/>
        <w:gridCol w:w="1592"/>
        <w:gridCol w:w="130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695" w:type="dxa"/>
            <w:vAlign w:val="center"/>
          </w:tcPr>
          <w:p>
            <w:p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名称</w:t>
            </w:r>
          </w:p>
        </w:tc>
        <w:tc>
          <w:tcPr>
            <w:tcW w:w="1063"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w:t>
            </w:r>
          </w:p>
        </w:tc>
        <w:tc>
          <w:tcPr>
            <w:tcW w:w="1592" w:type="dxa"/>
            <w:vAlign w:val="center"/>
          </w:tcPr>
          <w:p>
            <w:p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参数说明</w:t>
            </w:r>
          </w:p>
        </w:tc>
        <w:tc>
          <w:tcPr>
            <w:tcW w:w="1305" w:type="dxa"/>
            <w:vAlign w:val="center"/>
          </w:tcPr>
          <w:p>
            <w:p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2487" w:type="dxa"/>
            <w:vAlign w:val="center"/>
          </w:tcPr>
          <w:p>
            <w:pP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695" w:type="dxa"/>
            <w:vAlign w:val="center"/>
          </w:tcPr>
          <w:p>
            <w:p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含硫量</w:t>
            </w:r>
          </w:p>
        </w:tc>
        <w:tc>
          <w:tcPr>
            <w:tcW w:w="1063"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Mg/kg</w:t>
            </w:r>
          </w:p>
        </w:tc>
        <w:tc>
          <w:tcPr>
            <w:tcW w:w="159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不大于10</w:t>
            </w:r>
          </w:p>
        </w:tc>
        <w:tc>
          <w:tcPr>
            <w:tcW w:w="1305" w:type="dxa"/>
            <w:vMerge w:val="restart"/>
            <w:vAlign w:val="center"/>
          </w:tcPr>
          <w:p>
            <w:p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40吨</w:t>
            </w:r>
          </w:p>
        </w:tc>
        <w:tc>
          <w:tcPr>
            <w:tcW w:w="2487" w:type="dxa"/>
            <w:vMerge w:val="restart"/>
            <w:vAlign w:val="center"/>
          </w:tcPr>
          <w:p>
            <w:pPr>
              <w:ind w:left="0" w:leftChars="0" w:firstLine="0" w:firstLineChars="0"/>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提供相关产品的检测报告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695" w:type="dxa"/>
            <w:vAlign w:val="center"/>
          </w:tcPr>
          <w:p>
            <w:p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凝点</w:t>
            </w:r>
          </w:p>
        </w:tc>
        <w:tc>
          <w:tcPr>
            <w:tcW w:w="1063"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w:t>
            </w:r>
          </w:p>
        </w:tc>
        <w:tc>
          <w:tcPr>
            <w:tcW w:w="159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不高于</w:t>
            </w:r>
            <w:r>
              <w:rPr>
                <w:rFonts w:hint="eastAsia" w:ascii="宋体" w:hAnsi="宋体" w:eastAsia="宋体" w:cs="宋体"/>
                <w:color w:val="auto"/>
                <w:sz w:val="24"/>
                <w:szCs w:val="24"/>
                <w:vertAlign w:val="baseline"/>
                <w:lang w:val="en-US" w:eastAsia="zh-CN"/>
              </w:rPr>
              <w:t>0</w:t>
            </w:r>
          </w:p>
        </w:tc>
        <w:tc>
          <w:tcPr>
            <w:tcW w:w="1305" w:type="dxa"/>
            <w:vMerge w:val="continue"/>
            <w:vAlign w:val="center"/>
          </w:tcPr>
          <w:p>
            <w:pPr>
              <w:jc w:val="center"/>
              <w:rPr>
                <w:rFonts w:hint="eastAsia" w:ascii="宋体" w:hAnsi="宋体" w:eastAsia="宋体" w:cs="宋体"/>
                <w:color w:val="auto"/>
                <w:sz w:val="24"/>
                <w:szCs w:val="24"/>
                <w:vertAlign w:val="baseline"/>
                <w:lang w:eastAsia="zh-CN"/>
              </w:rPr>
            </w:pPr>
          </w:p>
        </w:tc>
        <w:tc>
          <w:tcPr>
            <w:tcW w:w="2487" w:type="dxa"/>
            <w:vMerge w:val="continue"/>
            <w:vAlign w:val="center"/>
          </w:tcPr>
          <w:p>
            <w:pP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695" w:type="dxa"/>
            <w:vAlign w:val="center"/>
          </w:tcPr>
          <w:p>
            <w:p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冷凝点</w:t>
            </w:r>
          </w:p>
        </w:tc>
        <w:tc>
          <w:tcPr>
            <w:tcW w:w="1063" w:type="dxa"/>
            <w:vAlign w:val="center"/>
          </w:tcPr>
          <w:p>
            <w:p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w:t>
            </w:r>
          </w:p>
        </w:tc>
        <w:tc>
          <w:tcPr>
            <w:tcW w:w="1592" w:type="dxa"/>
            <w:vAlign w:val="center"/>
          </w:tcPr>
          <w:p>
            <w:p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不高于</w:t>
            </w:r>
            <w:r>
              <w:rPr>
                <w:rFonts w:hint="eastAsia" w:ascii="宋体" w:hAnsi="宋体" w:eastAsia="宋体" w:cs="宋体"/>
                <w:color w:val="auto"/>
                <w:sz w:val="24"/>
                <w:szCs w:val="24"/>
                <w:vertAlign w:val="baseline"/>
                <w:lang w:val="en-US" w:eastAsia="zh-CN"/>
              </w:rPr>
              <w:t>4</w:t>
            </w:r>
          </w:p>
        </w:tc>
        <w:tc>
          <w:tcPr>
            <w:tcW w:w="1305" w:type="dxa"/>
            <w:vMerge w:val="continue"/>
            <w:vAlign w:val="center"/>
          </w:tcPr>
          <w:p>
            <w:pPr>
              <w:jc w:val="center"/>
              <w:rPr>
                <w:rFonts w:hint="eastAsia" w:ascii="宋体" w:hAnsi="宋体" w:eastAsia="宋体" w:cs="宋体"/>
                <w:color w:val="auto"/>
                <w:sz w:val="24"/>
                <w:szCs w:val="24"/>
                <w:vertAlign w:val="baseline"/>
                <w:lang w:eastAsia="zh-CN"/>
              </w:rPr>
            </w:pPr>
          </w:p>
        </w:tc>
        <w:tc>
          <w:tcPr>
            <w:tcW w:w="2487" w:type="dxa"/>
            <w:vMerge w:val="continue"/>
            <w:vAlign w:val="center"/>
          </w:tcPr>
          <w:p>
            <w:pP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695" w:type="dxa"/>
            <w:vAlign w:val="center"/>
          </w:tcPr>
          <w:p>
            <w:pPr>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闪点（闭口）</w:t>
            </w:r>
          </w:p>
        </w:tc>
        <w:tc>
          <w:tcPr>
            <w:tcW w:w="1063"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1592" w:type="dxa"/>
            <w:vAlign w:val="center"/>
          </w:tcPr>
          <w:p>
            <w:pPr>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不低于</w:t>
            </w:r>
            <w:r>
              <w:rPr>
                <w:rFonts w:hint="eastAsia" w:ascii="宋体" w:hAnsi="宋体" w:eastAsia="宋体" w:cs="宋体"/>
                <w:sz w:val="24"/>
                <w:szCs w:val="24"/>
                <w:vertAlign w:val="baseline"/>
                <w:lang w:val="en-US" w:eastAsia="zh-CN"/>
              </w:rPr>
              <w:t>60</w:t>
            </w:r>
          </w:p>
        </w:tc>
        <w:tc>
          <w:tcPr>
            <w:tcW w:w="1305" w:type="dxa"/>
            <w:vMerge w:val="continue"/>
            <w:vAlign w:val="center"/>
          </w:tcPr>
          <w:p>
            <w:pPr>
              <w:jc w:val="center"/>
              <w:rPr>
                <w:rFonts w:hint="eastAsia" w:ascii="宋体" w:hAnsi="宋体" w:eastAsia="宋体" w:cs="宋体"/>
                <w:sz w:val="24"/>
                <w:szCs w:val="24"/>
                <w:vertAlign w:val="baseline"/>
                <w:lang w:eastAsia="zh-CN"/>
              </w:rPr>
            </w:pPr>
          </w:p>
        </w:tc>
        <w:tc>
          <w:tcPr>
            <w:tcW w:w="2487"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695" w:type="dxa"/>
            <w:vAlign w:val="center"/>
          </w:tcPr>
          <w:p>
            <w:pPr>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十六烷值</w:t>
            </w:r>
          </w:p>
        </w:tc>
        <w:tc>
          <w:tcPr>
            <w:tcW w:w="1063" w:type="dxa"/>
            <w:vAlign w:val="center"/>
          </w:tcPr>
          <w:p>
            <w:pPr>
              <w:jc w:val="center"/>
              <w:rPr>
                <w:rFonts w:hint="eastAsia" w:ascii="宋体" w:hAnsi="宋体" w:eastAsia="宋体" w:cs="宋体"/>
                <w:sz w:val="24"/>
                <w:szCs w:val="24"/>
                <w:vertAlign w:val="baseline"/>
                <w:lang w:eastAsia="zh-CN"/>
              </w:rPr>
            </w:pPr>
          </w:p>
        </w:tc>
        <w:tc>
          <w:tcPr>
            <w:tcW w:w="159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不小于</w:t>
            </w:r>
            <w:r>
              <w:rPr>
                <w:rFonts w:hint="eastAsia" w:ascii="宋体" w:hAnsi="宋体" w:eastAsia="宋体" w:cs="宋体"/>
                <w:sz w:val="24"/>
                <w:szCs w:val="24"/>
                <w:vertAlign w:val="baseline"/>
                <w:lang w:val="en-US" w:eastAsia="zh-CN"/>
              </w:rPr>
              <w:t>51</w:t>
            </w:r>
          </w:p>
        </w:tc>
        <w:tc>
          <w:tcPr>
            <w:tcW w:w="1305" w:type="dxa"/>
            <w:vMerge w:val="continue"/>
            <w:vAlign w:val="center"/>
          </w:tcPr>
          <w:p>
            <w:pPr>
              <w:jc w:val="center"/>
              <w:rPr>
                <w:rFonts w:hint="eastAsia" w:ascii="宋体" w:hAnsi="宋体" w:eastAsia="宋体" w:cs="宋体"/>
                <w:sz w:val="24"/>
                <w:szCs w:val="24"/>
                <w:vertAlign w:val="baseline"/>
                <w:lang w:eastAsia="zh-CN"/>
              </w:rPr>
            </w:pPr>
          </w:p>
        </w:tc>
        <w:tc>
          <w:tcPr>
            <w:tcW w:w="2487"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695" w:type="dxa"/>
            <w:vAlign w:val="center"/>
          </w:tcPr>
          <w:p>
            <w:pPr>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十六烷值指数</w:t>
            </w:r>
          </w:p>
        </w:tc>
        <w:tc>
          <w:tcPr>
            <w:tcW w:w="1063" w:type="dxa"/>
            <w:vAlign w:val="center"/>
          </w:tcPr>
          <w:p>
            <w:pPr>
              <w:jc w:val="center"/>
              <w:rPr>
                <w:rFonts w:hint="eastAsia" w:ascii="宋体" w:hAnsi="宋体" w:eastAsia="宋体" w:cs="宋体"/>
                <w:sz w:val="24"/>
                <w:szCs w:val="24"/>
                <w:vertAlign w:val="baseline"/>
                <w:lang w:eastAsia="zh-CN"/>
              </w:rPr>
            </w:pPr>
          </w:p>
        </w:tc>
        <w:tc>
          <w:tcPr>
            <w:tcW w:w="159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不小于</w:t>
            </w:r>
            <w:r>
              <w:rPr>
                <w:rFonts w:hint="eastAsia" w:ascii="宋体" w:hAnsi="宋体" w:eastAsia="宋体" w:cs="宋体"/>
                <w:sz w:val="24"/>
                <w:szCs w:val="24"/>
                <w:vertAlign w:val="baseline"/>
                <w:lang w:val="en-US" w:eastAsia="zh-CN"/>
              </w:rPr>
              <w:t>46</w:t>
            </w:r>
          </w:p>
        </w:tc>
        <w:tc>
          <w:tcPr>
            <w:tcW w:w="1305" w:type="dxa"/>
            <w:vMerge w:val="continue"/>
            <w:vAlign w:val="center"/>
          </w:tcPr>
          <w:p>
            <w:pPr>
              <w:jc w:val="center"/>
              <w:rPr>
                <w:rFonts w:hint="eastAsia" w:ascii="宋体" w:hAnsi="宋体" w:eastAsia="宋体" w:cs="宋体"/>
                <w:sz w:val="24"/>
                <w:szCs w:val="24"/>
                <w:vertAlign w:val="baseline"/>
                <w:lang w:eastAsia="zh-CN"/>
              </w:rPr>
            </w:pPr>
          </w:p>
        </w:tc>
        <w:tc>
          <w:tcPr>
            <w:tcW w:w="2487"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695" w:type="dxa"/>
            <w:vAlign w:val="center"/>
          </w:tcPr>
          <w:p>
            <w:pPr>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密度（</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rPr>
              <w:t>℃</w:t>
            </w:r>
            <w:r>
              <w:rPr>
                <w:rFonts w:hint="eastAsia" w:ascii="宋体" w:hAnsi="宋体" w:eastAsia="宋体" w:cs="宋体"/>
                <w:sz w:val="24"/>
                <w:szCs w:val="24"/>
                <w:vertAlign w:val="baseline"/>
                <w:lang w:eastAsia="zh-CN"/>
              </w:rPr>
              <w:t>）</w:t>
            </w:r>
          </w:p>
        </w:tc>
        <w:tc>
          <w:tcPr>
            <w:tcW w:w="1063"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Kg/</w:t>
            </w:r>
            <w:r>
              <w:rPr>
                <w:rFonts w:hint="eastAsia" w:ascii="宋体" w:hAnsi="宋体" w:eastAsia="宋体" w:cs="宋体"/>
                <w:sz w:val="24"/>
                <w:szCs w:val="24"/>
              </w:rPr>
              <w:t>m³</w:t>
            </w:r>
          </w:p>
        </w:tc>
        <w:tc>
          <w:tcPr>
            <w:tcW w:w="1592"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810~850</w:t>
            </w:r>
          </w:p>
        </w:tc>
        <w:tc>
          <w:tcPr>
            <w:tcW w:w="1305" w:type="dxa"/>
            <w:vMerge w:val="continue"/>
            <w:vAlign w:val="center"/>
          </w:tcPr>
          <w:p>
            <w:pPr>
              <w:jc w:val="center"/>
              <w:rPr>
                <w:rFonts w:hint="eastAsia" w:ascii="宋体" w:hAnsi="宋体" w:eastAsia="宋体" w:cs="宋体"/>
                <w:sz w:val="24"/>
                <w:szCs w:val="24"/>
                <w:vertAlign w:val="baseline"/>
                <w:lang w:val="en-US" w:eastAsia="zh-CN"/>
              </w:rPr>
            </w:pPr>
          </w:p>
        </w:tc>
        <w:tc>
          <w:tcPr>
            <w:tcW w:w="2487" w:type="dxa"/>
            <w:vMerge w:val="continue"/>
            <w:vAlign w:val="center"/>
          </w:tcPr>
          <w:p>
            <w:pPr>
              <w:rPr>
                <w:rFonts w:hint="eastAsia" w:ascii="宋体" w:hAnsi="宋体" w:eastAsia="宋体" w:cs="宋体"/>
                <w:sz w:val="24"/>
                <w:szCs w:val="24"/>
                <w:vertAlign w:val="baseline"/>
                <w:lang w:val="en-US" w:eastAsia="zh-CN"/>
              </w:rPr>
            </w:pPr>
          </w:p>
        </w:tc>
      </w:tr>
    </w:tbl>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二、-10号国V</w:t>
      </w:r>
      <w:r>
        <w:rPr>
          <w:rFonts w:hint="eastAsia" w:ascii="宋体" w:hAnsi="宋体" w:eastAsia="宋体" w:cs="宋体"/>
          <w:sz w:val="24"/>
          <w:szCs w:val="24"/>
          <w:lang w:eastAsia="zh-CN"/>
        </w:rPr>
        <w:t>车用柴油质量要求指标：</w:t>
      </w:r>
    </w:p>
    <w:tbl>
      <w:tblPr>
        <w:tblStyle w:val="2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125"/>
        <w:gridCol w:w="875"/>
        <w:gridCol w:w="1410"/>
        <w:gridCol w:w="1035"/>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87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vertAlign w:val="baseline"/>
                <w:lang w:val="en-US" w:eastAsia="zh-CN"/>
              </w:rPr>
              <w:t>参数说明</w:t>
            </w:r>
          </w:p>
        </w:tc>
        <w:tc>
          <w:tcPr>
            <w:tcW w:w="103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532" w:type="dxa"/>
            <w:vAlign w:val="center"/>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含硫量</w:t>
            </w:r>
          </w:p>
        </w:tc>
        <w:tc>
          <w:tcPr>
            <w:tcW w:w="87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Mg/kg</w:t>
            </w: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不大于10</w:t>
            </w:r>
          </w:p>
        </w:tc>
        <w:tc>
          <w:tcPr>
            <w:tcW w:w="1035" w:type="dxa"/>
            <w:vMerge w:val="restart"/>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90吨</w:t>
            </w:r>
          </w:p>
        </w:tc>
        <w:tc>
          <w:tcPr>
            <w:tcW w:w="2532" w:type="dxa"/>
            <w:vMerge w:val="restart"/>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vertAlign w:val="baseline"/>
                <w:lang w:val="en-US" w:eastAsia="zh-CN"/>
              </w:rPr>
              <w:t>提供相关产品的检测报告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凝点</w:t>
            </w:r>
          </w:p>
        </w:tc>
        <w:tc>
          <w:tcPr>
            <w:tcW w:w="87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 </w:t>
            </w: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不高于</w:t>
            </w:r>
            <w:r>
              <w:rPr>
                <w:rFonts w:hint="eastAsia" w:ascii="宋体" w:hAnsi="宋体" w:eastAsia="宋体" w:cs="宋体"/>
                <w:sz w:val="24"/>
                <w:szCs w:val="24"/>
                <w:vertAlign w:val="baseline"/>
                <w:lang w:val="en-US" w:eastAsia="zh-CN"/>
              </w:rPr>
              <w:t>-10</w:t>
            </w:r>
          </w:p>
        </w:tc>
        <w:tc>
          <w:tcPr>
            <w:tcW w:w="1035" w:type="dxa"/>
            <w:vMerge w:val="continue"/>
            <w:vAlign w:val="center"/>
          </w:tcPr>
          <w:p>
            <w:pPr>
              <w:rPr>
                <w:rFonts w:hint="eastAsia" w:ascii="宋体" w:hAnsi="宋体" w:eastAsia="宋体" w:cs="宋体"/>
                <w:sz w:val="24"/>
                <w:szCs w:val="24"/>
                <w:vertAlign w:val="baseline"/>
                <w:lang w:eastAsia="zh-CN"/>
              </w:rPr>
            </w:pPr>
          </w:p>
        </w:tc>
        <w:tc>
          <w:tcPr>
            <w:tcW w:w="2532"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冷凝点</w:t>
            </w:r>
          </w:p>
        </w:tc>
        <w:tc>
          <w:tcPr>
            <w:tcW w:w="87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rPr>
              <w:t>℃</w:t>
            </w: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不高于</w:t>
            </w:r>
            <w:r>
              <w:rPr>
                <w:rFonts w:hint="eastAsia" w:ascii="宋体" w:hAnsi="宋体" w:eastAsia="宋体" w:cs="宋体"/>
                <w:sz w:val="24"/>
                <w:szCs w:val="24"/>
                <w:vertAlign w:val="baseline"/>
                <w:lang w:val="en-US" w:eastAsia="zh-CN"/>
              </w:rPr>
              <w:t>-4</w:t>
            </w:r>
          </w:p>
        </w:tc>
        <w:tc>
          <w:tcPr>
            <w:tcW w:w="1035" w:type="dxa"/>
            <w:vMerge w:val="continue"/>
            <w:vAlign w:val="center"/>
          </w:tcPr>
          <w:p>
            <w:pPr>
              <w:rPr>
                <w:rFonts w:hint="eastAsia" w:ascii="宋体" w:hAnsi="宋体" w:eastAsia="宋体" w:cs="宋体"/>
                <w:sz w:val="24"/>
                <w:szCs w:val="24"/>
                <w:vertAlign w:val="baseline"/>
                <w:lang w:eastAsia="zh-CN"/>
              </w:rPr>
            </w:pPr>
          </w:p>
        </w:tc>
        <w:tc>
          <w:tcPr>
            <w:tcW w:w="2532"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闪点（闭口）</w:t>
            </w:r>
          </w:p>
        </w:tc>
        <w:tc>
          <w:tcPr>
            <w:tcW w:w="87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1410"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不低于</w:t>
            </w:r>
            <w:r>
              <w:rPr>
                <w:rFonts w:hint="eastAsia" w:ascii="宋体" w:hAnsi="宋体" w:eastAsia="宋体" w:cs="宋体"/>
                <w:sz w:val="24"/>
                <w:szCs w:val="24"/>
                <w:vertAlign w:val="baseline"/>
                <w:lang w:val="en-US" w:eastAsia="zh-CN"/>
              </w:rPr>
              <w:t>60</w:t>
            </w:r>
          </w:p>
        </w:tc>
        <w:tc>
          <w:tcPr>
            <w:tcW w:w="1035" w:type="dxa"/>
            <w:vMerge w:val="continue"/>
            <w:vAlign w:val="center"/>
          </w:tcPr>
          <w:p>
            <w:pPr>
              <w:rPr>
                <w:rFonts w:hint="eastAsia" w:ascii="宋体" w:hAnsi="宋体" w:eastAsia="宋体" w:cs="宋体"/>
                <w:sz w:val="24"/>
                <w:szCs w:val="24"/>
                <w:vertAlign w:val="baseline"/>
                <w:lang w:eastAsia="zh-CN"/>
              </w:rPr>
            </w:pPr>
          </w:p>
        </w:tc>
        <w:tc>
          <w:tcPr>
            <w:tcW w:w="2532"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十六烷值</w:t>
            </w:r>
          </w:p>
        </w:tc>
        <w:tc>
          <w:tcPr>
            <w:tcW w:w="875" w:type="dxa"/>
            <w:vAlign w:val="center"/>
          </w:tcPr>
          <w:p>
            <w:pPr>
              <w:rPr>
                <w:rFonts w:hint="eastAsia" w:ascii="宋体" w:hAnsi="宋体" w:eastAsia="宋体" w:cs="宋体"/>
                <w:sz w:val="24"/>
                <w:szCs w:val="24"/>
                <w:vertAlign w:val="baseline"/>
                <w:lang w:eastAsia="zh-CN"/>
              </w:rPr>
            </w:pP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不小于</w:t>
            </w:r>
            <w:r>
              <w:rPr>
                <w:rFonts w:hint="eastAsia" w:ascii="宋体" w:hAnsi="宋体" w:eastAsia="宋体" w:cs="宋体"/>
                <w:sz w:val="24"/>
                <w:szCs w:val="24"/>
                <w:vertAlign w:val="baseline"/>
                <w:lang w:val="en-US" w:eastAsia="zh-CN"/>
              </w:rPr>
              <w:t>51</w:t>
            </w:r>
          </w:p>
        </w:tc>
        <w:tc>
          <w:tcPr>
            <w:tcW w:w="1035" w:type="dxa"/>
            <w:vMerge w:val="continue"/>
            <w:vAlign w:val="center"/>
          </w:tcPr>
          <w:p>
            <w:pPr>
              <w:rPr>
                <w:rFonts w:hint="eastAsia" w:ascii="宋体" w:hAnsi="宋体" w:eastAsia="宋体" w:cs="宋体"/>
                <w:sz w:val="24"/>
                <w:szCs w:val="24"/>
                <w:vertAlign w:val="baseline"/>
                <w:lang w:eastAsia="zh-CN"/>
              </w:rPr>
            </w:pPr>
          </w:p>
        </w:tc>
        <w:tc>
          <w:tcPr>
            <w:tcW w:w="2532"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十六烷值指数</w:t>
            </w:r>
          </w:p>
        </w:tc>
        <w:tc>
          <w:tcPr>
            <w:tcW w:w="875" w:type="dxa"/>
            <w:vAlign w:val="center"/>
          </w:tcPr>
          <w:p>
            <w:pPr>
              <w:rPr>
                <w:rFonts w:hint="eastAsia" w:ascii="宋体" w:hAnsi="宋体" w:eastAsia="宋体" w:cs="宋体"/>
                <w:sz w:val="24"/>
                <w:szCs w:val="24"/>
                <w:vertAlign w:val="baseline"/>
                <w:lang w:eastAsia="zh-CN"/>
              </w:rPr>
            </w:pP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不小于</w:t>
            </w:r>
            <w:r>
              <w:rPr>
                <w:rFonts w:hint="eastAsia" w:ascii="宋体" w:hAnsi="宋体" w:eastAsia="宋体" w:cs="宋体"/>
                <w:sz w:val="24"/>
                <w:szCs w:val="24"/>
                <w:vertAlign w:val="baseline"/>
                <w:lang w:val="en-US" w:eastAsia="zh-CN"/>
              </w:rPr>
              <w:t>46</w:t>
            </w:r>
          </w:p>
        </w:tc>
        <w:tc>
          <w:tcPr>
            <w:tcW w:w="1035" w:type="dxa"/>
            <w:vMerge w:val="continue"/>
            <w:vAlign w:val="center"/>
          </w:tcPr>
          <w:p>
            <w:pPr>
              <w:rPr>
                <w:rFonts w:hint="eastAsia" w:ascii="宋体" w:hAnsi="宋体" w:eastAsia="宋体" w:cs="宋体"/>
                <w:sz w:val="24"/>
                <w:szCs w:val="24"/>
                <w:vertAlign w:val="baseline"/>
                <w:lang w:eastAsia="zh-CN"/>
              </w:rPr>
            </w:pPr>
          </w:p>
        </w:tc>
        <w:tc>
          <w:tcPr>
            <w:tcW w:w="2532" w:type="dxa"/>
            <w:vMerge w:val="continue"/>
            <w:vAlign w:val="center"/>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125" w:type="dxa"/>
            <w:vAlign w:val="center"/>
          </w:tcPr>
          <w:p>
            <w:pPr>
              <w:ind w:left="0" w:leftChars="0" w:firstLine="0" w:firstLineChars="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密度（</w:t>
            </w: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rPr>
              <w:t>℃</w:t>
            </w:r>
            <w:r>
              <w:rPr>
                <w:rFonts w:hint="eastAsia" w:ascii="宋体" w:hAnsi="宋体" w:eastAsia="宋体" w:cs="宋体"/>
                <w:sz w:val="24"/>
                <w:szCs w:val="24"/>
                <w:vertAlign w:val="baseline"/>
                <w:lang w:eastAsia="zh-CN"/>
              </w:rPr>
              <w:t>）</w:t>
            </w:r>
          </w:p>
        </w:tc>
        <w:tc>
          <w:tcPr>
            <w:tcW w:w="875"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Kg/</w:t>
            </w:r>
            <w:r>
              <w:rPr>
                <w:rFonts w:hint="eastAsia" w:ascii="宋体" w:hAnsi="宋体" w:eastAsia="宋体" w:cs="宋体"/>
                <w:sz w:val="24"/>
                <w:szCs w:val="24"/>
              </w:rPr>
              <w:t>m³</w:t>
            </w:r>
          </w:p>
        </w:tc>
        <w:tc>
          <w:tcPr>
            <w:tcW w:w="1410" w:type="dxa"/>
            <w:vAlign w:val="center"/>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810~850</w:t>
            </w:r>
          </w:p>
        </w:tc>
        <w:tc>
          <w:tcPr>
            <w:tcW w:w="1035" w:type="dxa"/>
            <w:vMerge w:val="continue"/>
            <w:vAlign w:val="center"/>
          </w:tcPr>
          <w:p>
            <w:pPr>
              <w:rPr>
                <w:rFonts w:hint="eastAsia" w:ascii="宋体" w:hAnsi="宋体" w:eastAsia="宋体" w:cs="宋体"/>
                <w:sz w:val="24"/>
                <w:szCs w:val="24"/>
                <w:vertAlign w:val="baseline"/>
                <w:lang w:val="en-US" w:eastAsia="zh-CN"/>
              </w:rPr>
            </w:pPr>
          </w:p>
        </w:tc>
        <w:tc>
          <w:tcPr>
            <w:tcW w:w="2532" w:type="dxa"/>
            <w:vMerge w:val="continue"/>
            <w:vAlign w:val="center"/>
          </w:tcPr>
          <w:p>
            <w:pPr>
              <w:rPr>
                <w:rFonts w:hint="eastAsia" w:ascii="宋体" w:hAnsi="宋体" w:eastAsia="宋体" w:cs="宋体"/>
                <w:sz w:val="24"/>
                <w:szCs w:val="24"/>
                <w:vertAlign w:val="baseline"/>
                <w:lang w:val="en-US" w:eastAsia="zh-CN"/>
              </w:rPr>
            </w:pP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zh-CN"/>
          <w14:textFill>
            <w14:solidFill>
              <w14:schemeClr w14:val="tx1"/>
            </w14:solidFill>
          </w14:textFill>
        </w:rPr>
        <w:t>交货时间：</w:t>
      </w:r>
      <w:r>
        <w:rPr>
          <w:rFonts w:hint="eastAsia" w:ascii="宋体" w:hAnsi="宋体" w:eastAsia="宋体" w:cs="宋体"/>
          <w:color w:val="000000" w:themeColor="text1"/>
          <w:sz w:val="24"/>
          <w:szCs w:val="24"/>
          <w:lang w:val="en-US" w:eastAsia="zh-CN"/>
          <w14:textFill>
            <w14:solidFill>
              <w14:schemeClr w14:val="tx1"/>
            </w14:solidFill>
          </w14:textFill>
        </w:rPr>
        <w:t>2020年10月15日-2021年04月15日</w:t>
      </w:r>
      <w:r>
        <w:rPr>
          <w:rFonts w:hint="eastAsia" w:ascii="宋体" w:hAnsi="宋体" w:eastAsia="宋体" w:cs="宋体"/>
          <w:color w:val="auto"/>
          <w:sz w:val="24"/>
          <w:szCs w:val="24"/>
          <w:lang w:eastAsia="zh-CN"/>
        </w:rPr>
        <w:t>；</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项目所在地：民和回族土族自治县官亭镇官西村第二人民医院；</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冬季锅炉供暖所需柴油量在招标控制量以内，最终以采暖季实际供应数量（吨）为准。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rPr>
        <w:rFonts w:hint="eastAsia" w:eastAsia="宋体"/>
        <w:lang w:eastAsia="zh-CN"/>
      </w:rPr>
    </w:pPr>
    <w:r>
      <w:rPr>
        <w:rFonts w:hint="eastAsia" w:ascii="宋体" w:hAnsi="宋体" w:eastAsia="宋体" w:cs="宋体"/>
        <w:b/>
        <w:bCs/>
        <w:sz w:val="21"/>
        <w:szCs w:val="21"/>
        <w:u w:val="single"/>
        <w:lang w:eastAsia="zh-CN"/>
      </w:rPr>
      <w:t>青海品冠招标代理有限公司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eastAsia="zh-CN"/>
      </w:rPr>
      <w:t>青海品冠竞磋（货物）2020-073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1">
    <w:nsid w:val="3E04A583"/>
    <w:multiLevelType w:val="singleLevel"/>
    <w:tmpl w:val="3E04A583"/>
    <w:lvl w:ilvl="0" w:tentative="0">
      <w:start w:val="6"/>
      <w:numFmt w:val="chineseCounting"/>
      <w:suff w:val="space"/>
      <w:lvlText w:val="第%1部分"/>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7F0DE450"/>
    <w:multiLevelType w:val="singleLevel"/>
    <w:tmpl w:val="7F0DE45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E22C49"/>
    <w:rsid w:val="00E24720"/>
    <w:rsid w:val="00EB0426"/>
    <w:rsid w:val="02492A53"/>
    <w:rsid w:val="02712AB0"/>
    <w:rsid w:val="027666A8"/>
    <w:rsid w:val="02E848E3"/>
    <w:rsid w:val="033E7D81"/>
    <w:rsid w:val="03F54F40"/>
    <w:rsid w:val="041D2837"/>
    <w:rsid w:val="05C41944"/>
    <w:rsid w:val="05EF1484"/>
    <w:rsid w:val="060D0052"/>
    <w:rsid w:val="06FA3E18"/>
    <w:rsid w:val="07E7495A"/>
    <w:rsid w:val="098576A9"/>
    <w:rsid w:val="09954AFB"/>
    <w:rsid w:val="0AB310D5"/>
    <w:rsid w:val="0AB50A1F"/>
    <w:rsid w:val="0AF357C2"/>
    <w:rsid w:val="0B033A47"/>
    <w:rsid w:val="0B7D1993"/>
    <w:rsid w:val="0B9C7EAF"/>
    <w:rsid w:val="0D5450A8"/>
    <w:rsid w:val="0DCB49FB"/>
    <w:rsid w:val="0E3B4B14"/>
    <w:rsid w:val="0E901D0F"/>
    <w:rsid w:val="0F2B7F1E"/>
    <w:rsid w:val="0FCD4D03"/>
    <w:rsid w:val="0FF8234C"/>
    <w:rsid w:val="10255B11"/>
    <w:rsid w:val="10A71125"/>
    <w:rsid w:val="1129001A"/>
    <w:rsid w:val="11F7309C"/>
    <w:rsid w:val="12011130"/>
    <w:rsid w:val="12303F43"/>
    <w:rsid w:val="123E0181"/>
    <w:rsid w:val="130F0854"/>
    <w:rsid w:val="13241D90"/>
    <w:rsid w:val="13D16A27"/>
    <w:rsid w:val="15842DD6"/>
    <w:rsid w:val="160A7B9A"/>
    <w:rsid w:val="163C358F"/>
    <w:rsid w:val="17F732B1"/>
    <w:rsid w:val="189C10AD"/>
    <w:rsid w:val="191B0B35"/>
    <w:rsid w:val="193001A1"/>
    <w:rsid w:val="1A50441E"/>
    <w:rsid w:val="1A66264F"/>
    <w:rsid w:val="1A7530D3"/>
    <w:rsid w:val="1BAF484F"/>
    <w:rsid w:val="1BCB40AD"/>
    <w:rsid w:val="1BF95AF0"/>
    <w:rsid w:val="1D806018"/>
    <w:rsid w:val="1DE64446"/>
    <w:rsid w:val="1F5313B6"/>
    <w:rsid w:val="20F70553"/>
    <w:rsid w:val="2147639C"/>
    <w:rsid w:val="21E9685F"/>
    <w:rsid w:val="22470866"/>
    <w:rsid w:val="23D15319"/>
    <w:rsid w:val="2506013B"/>
    <w:rsid w:val="26A16E16"/>
    <w:rsid w:val="270F023A"/>
    <w:rsid w:val="271C60D7"/>
    <w:rsid w:val="27FF372E"/>
    <w:rsid w:val="28686178"/>
    <w:rsid w:val="291D2347"/>
    <w:rsid w:val="29FD4568"/>
    <w:rsid w:val="2A5E32AB"/>
    <w:rsid w:val="2ABF45E3"/>
    <w:rsid w:val="2BC2150A"/>
    <w:rsid w:val="2C0D3E59"/>
    <w:rsid w:val="2D4443FA"/>
    <w:rsid w:val="2DB6365C"/>
    <w:rsid w:val="2EA95537"/>
    <w:rsid w:val="2F3534A8"/>
    <w:rsid w:val="2F7231EE"/>
    <w:rsid w:val="2FF921DC"/>
    <w:rsid w:val="30383275"/>
    <w:rsid w:val="305D22EB"/>
    <w:rsid w:val="308B45D3"/>
    <w:rsid w:val="309D5958"/>
    <w:rsid w:val="30C419B0"/>
    <w:rsid w:val="30F72A08"/>
    <w:rsid w:val="313D275C"/>
    <w:rsid w:val="324E0D5F"/>
    <w:rsid w:val="32A06ACA"/>
    <w:rsid w:val="33B83934"/>
    <w:rsid w:val="33CB26A9"/>
    <w:rsid w:val="33E76902"/>
    <w:rsid w:val="33F5549E"/>
    <w:rsid w:val="34110883"/>
    <w:rsid w:val="342A1B5C"/>
    <w:rsid w:val="35980BD9"/>
    <w:rsid w:val="36792E4B"/>
    <w:rsid w:val="378D0786"/>
    <w:rsid w:val="37C239D4"/>
    <w:rsid w:val="37E61536"/>
    <w:rsid w:val="383512DF"/>
    <w:rsid w:val="3838582F"/>
    <w:rsid w:val="3875364E"/>
    <w:rsid w:val="398F7BA5"/>
    <w:rsid w:val="3A1A7FD9"/>
    <w:rsid w:val="3A7B6527"/>
    <w:rsid w:val="3AB42FBD"/>
    <w:rsid w:val="3AF464B3"/>
    <w:rsid w:val="3BBC4ABE"/>
    <w:rsid w:val="3D575531"/>
    <w:rsid w:val="3EE80A21"/>
    <w:rsid w:val="3EE87369"/>
    <w:rsid w:val="3F082449"/>
    <w:rsid w:val="3F4871AE"/>
    <w:rsid w:val="3F9B6B83"/>
    <w:rsid w:val="3FD622A8"/>
    <w:rsid w:val="408D38FB"/>
    <w:rsid w:val="40DF747E"/>
    <w:rsid w:val="40E35E28"/>
    <w:rsid w:val="40EC6DDC"/>
    <w:rsid w:val="40FF4AD8"/>
    <w:rsid w:val="419F09EA"/>
    <w:rsid w:val="424856C1"/>
    <w:rsid w:val="4317235E"/>
    <w:rsid w:val="442270F5"/>
    <w:rsid w:val="443F17B1"/>
    <w:rsid w:val="444D0903"/>
    <w:rsid w:val="4465398D"/>
    <w:rsid w:val="44B27F70"/>
    <w:rsid w:val="45984FD7"/>
    <w:rsid w:val="45AF4F54"/>
    <w:rsid w:val="462C6948"/>
    <w:rsid w:val="46EC679C"/>
    <w:rsid w:val="47500410"/>
    <w:rsid w:val="48F1403F"/>
    <w:rsid w:val="4B4A280B"/>
    <w:rsid w:val="4B7A1206"/>
    <w:rsid w:val="4BF168BF"/>
    <w:rsid w:val="4C6F0BB7"/>
    <w:rsid w:val="4C741392"/>
    <w:rsid w:val="4C95319A"/>
    <w:rsid w:val="4D2F3ED8"/>
    <w:rsid w:val="4F166781"/>
    <w:rsid w:val="4FE535DF"/>
    <w:rsid w:val="4FFB5A67"/>
    <w:rsid w:val="5024289C"/>
    <w:rsid w:val="50870F93"/>
    <w:rsid w:val="51281E2E"/>
    <w:rsid w:val="517739B6"/>
    <w:rsid w:val="51824063"/>
    <w:rsid w:val="51C37D5E"/>
    <w:rsid w:val="536D6C63"/>
    <w:rsid w:val="53853571"/>
    <w:rsid w:val="54AC3A23"/>
    <w:rsid w:val="54AE6895"/>
    <w:rsid w:val="55541C08"/>
    <w:rsid w:val="561C690D"/>
    <w:rsid w:val="565457F8"/>
    <w:rsid w:val="57643900"/>
    <w:rsid w:val="57B50973"/>
    <w:rsid w:val="57C03F71"/>
    <w:rsid w:val="58F7526E"/>
    <w:rsid w:val="591B394B"/>
    <w:rsid w:val="5967076A"/>
    <w:rsid w:val="5A2601A3"/>
    <w:rsid w:val="5A8C7845"/>
    <w:rsid w:val="5A8F6729"/>
    <w:rsid w:val="5ABA68C9"/>
    <w:rsid w:val="5B483B6C"/>
    <w:rsid w:val="5C83632B"/>
    <w:rsid w:val="5CB138CA"/>
    <w:rsid w:val="5D17675D"/>
    <w:rsid w:val="5EAA07AA"/>
    <w:rsid w:val="5F8B73D7"/>
    <w:rsid w:val="5FFD4299"/>
    <w:rsid w:val="600228E4"/>
    <w:rsid w:val="60284ABA"/>
    <w:rsid w:val="609E2C02"/>
    <w:rsid w:val="610768FB"/>
    <w:rsid w:val="61210425"/>
    <w:rsid w:val="6125574B"/>
    <w:rsid w:val="61F91231"/>
    <w:rsid w:val="625776FB"/>
    <w:rsid w:val="62D35C02"/>
    <w:rsid w:val="63450C95"/>
    <w:rsid w:val="64617543"/>
    <w:rsid w:val="64876CC0"/>
    <w:rsid w:val="65004B79"/>
    <w:rsid w:val="65212235"/>
    <w:rsid w:val="65D00903"/>
    <w:rsid w:val="66067608"/>
    <w:rsid w:val="661808CF"/>
    <w:rsid w:val="67720C0D"/>
    <w:rsid w:val="67853BBB"/>
    <w:rsid w:val="681F30F4"/>
    <w:rsid w:val="687734C6"/>
    <w:rsid w:val="68DE4265"/>
    <w:rsid w:val="695218D5"/>
    <w:rsid w:val="696D4097"/>
    <w:rsid w:val="69D308B3"/>
    <w:rsid w:val="6A033EE8"/>
    <w:rsid w:val="6A4B791D"/>
    <w:rsid w:val="6B295089"/>
    <w:rsid w:val="6BD85E01"/>
    <w:rsid w:val="6C6C0F3A"/>
    <w:rsid w:val="6D0169A7"/>
    <w:rsid w:val="6DD81E53"/>
    <w:rsid w:val="6DEA5BBB"/>
    <w:rsid w:val="6F3A01D0"/>
    <w:rsid w:val="6FA36100"/>
    <w:rsid w:val="6FBB0B5F"/>
    <w:rsid w:val="704F37B6"/>
    <w:rsid w:val="711A2E83"/>
    <w:rsid w:val="71CD4358"/>
    <w:rsid w:val="72A07F28"/>
    <w:rsid w:val="73DD428C"/>
    <w:rsid w:val="747423BF"/>
    <w:rsid w:val="747B130A"/>
    <w:rsid w:val="7505136E"/>
    <w:rsid w:val="75154017"/>
    <w:rsid w:val="75890A12"/>
    <w:rsid w:val="77EB51D2"/>
    <w:rsid w:val="78133782"/>
    <w:rsid w:val="78CD5227"/>
    <w:rsid w:val="79F8670C"/>
    <w:rsid w:val="7A57199D"/>
    <w:rsid w:val="7ACC5CEF"/>
    <w:rsid w:val="7C494E9D"/>
    <w:rsid w:val="7D20329B"/>
    <w:rsid w:val="7D890306"/>
    <w:rsid w:val="7E1631C7"/>
    <w:rsid w:val="7E532992"/>
    <w:rsid w:val="7E9F58CF"/>
    <w:rsid w:val="7EC15CA3"/>
    <w:rsid w:val="7ED41833"/>
    <w:rsid w:val="7F2C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link w:val="34"/>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5">
    <w:name w:val="Normal Indent"/>
    <w:basedOn w:val="1"/>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Balloon Text"/>
    <w:basedOn w:val="1"/>
    <w:link w:val="30"/>
    <w:qFormat/>
    <w:uiPriority w:val="0"/>
    <w:pPr>
      <w:spacing w:line="240" w:lineRule="auto"/>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8"/>
    <w:unhideWhenUsed/>
    <w:qFormat/>
    <w:uiPriority w:val="99"/>
    <w:pPr>
      <w:ind w:firstLine="420" w:firstLineChars="100"/>
    </w:pPr>
    <w:rPr>
      <w:rFonts w:ascii="Calibri" w:hAnsi="Calibri"/>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jc w:val="left"/>
    </w:pPr>
    <w:rPr>
      <w:rFonts w:ascii="Helvetica" w:hAnsi="Helvetica" w:eastAsia="宋体" w:cs="Helvetica"/>
      <w:kern w:val="0"/>
      <w:sz w:val="24"/>
      <w:szCs w:val="24"/>
      <w:lang w:val="en-US" w:eastAsia="zh-CN" w:bidi="ar-SA"/>
    </w:rPr>
  </w:style>
  <w:style w:type="paragraph" w:customStyle="1" w:styleId="29">
    <w:name w:val="列出段落1"/>
    <w:basedOn w:val="1"/>
    <w:qFormat/>
    <w:uiPriority w:val="34"/>
    <w:pPr>
      <w:ind w:firstLine="420"/>
    </w:pPr>
    <w:rPr>
      <w:rFonts w:ascii="Calibri" w:hAnsi="Calibri"/>
    </w:rPr>
  </w:style>
  <w:style w:type="character" w:customStyle="1" w:styleId="30">
    <w:name w:val="批注框文本 Char"/>
    <w:basedOn w:val="23"/>
    <w:link w:val="15"/>
    <w:qFormat/>
    <w:uiPriority w:val="0"/>
    <w:rPr>
      <w:sz w:val="18"/>
      <w:szCs w:val="18"/>
    </w:rPr>
  </w:style>
  <w:style w:type="character" w:customStyle="1" w:styleId="31">
    <w:name w:val="font41"/>
    <w:basedOn w:val="23"/>
    <w:qFormat/>
    <w:uiPriority w:val="0"/>
    <w:rPr>
      <w:rFonts w:hint="default" w:ascii="Tahoma" w:hAnsi="Tahoma" w:eastAsia="Tahoma" w:cs="Tahoma"/>
      <w:color w:val="000000"/>
      <w:sz w:val="18"/>
      <w:szCs w:val="18"/>
      <w:u w:val="none"/>
    </w:rPr>
  </w:style>
  <w:style w:type="character" w:customStyle="1" w:styleId="32">
    <w:name w:val="font11"/>
    <w:basedOn w:val="23"/>
    <w:qFormat/>
    <w:uiPriority w:val="0"/>
    <w:rPr>
      <w:rFonts w:hint="eastAsia" w:ascii="宋体" w:hAnsi="宋体" w:eastAsia="宋体" w:cs="宋体"/>
      <w:color w:val="000000"/>
      <w:sz w:val="24"/>
      <w:szCs w:val="24"/>
      <w:u w:val="none"/>
      <w:vertAlign w:val="subscript"/>
    </w:rPr>
  </w:style>
  <w:style w:type="character" w:customStyle="1" w:styleId="33">
    <w:name w:val="int_huang_12_b1"/>
    <w:qFormat/>
    <w:uiPriority w:val="0"/>
    <w:rPr>
      <w:rFonts w:hint="default" w:ascii="Verdana" w:hAnsi="Verdana"/>
      <w:b/>
      <w:bCs/>
      <w:color w:val="EECC77"/>
      <w:sz w:val="18"/>
      <w:szCs w:val="18"/>
    </w:rPr>
  </w:style>
  <w:style w:type="character" w:customStyle="1" w:styleId="34">
    <w:name w:val="标题 2 Char"/>
    <w:link w:val="3"/>
    <w:qFormat/>
    <w:uiPriority w:val="0"/>
    <w:rPr>
      <w:rFonts w:ascii="Arial" w:hAnsi="Arial" w:eastAsia="黑体"/>
      <w:b/>
      <w:bCs/>
      <w:kern w:val="0"/>
      <w:sz w:val="32"/>
      <w:szCs w:val="32"/>
    </w:rPr>
  </w:style>
  <w:style w:type="paragraph" w:styleId="3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29</TotalTime>
  <ScaleCrop>false</ScaleCrop>
  <LinksUpToDate>false</LinksUpToDate>
  <CharactersWithSpaces>23964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MaJing</cp:lastModifiedBy>
  <cp:lastPrinted>2020-08-28T01:52:00Z</cp:lastPrinted>
  <dcterms:modified xsi:type="dcterms:W3CDTF">2020-09-16T07:36:27Z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