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ordWrap/>
        <w:spacing w:before="157" w:beforeLines="50" w:line="560" w:lineRule="exact"/>
        <w:jc w:val="center"/>
        <w:rPr>
          <w:rFonts w:hint="eastAsia" w:ascii="隶书" w:hAnsi="华文中宋" w:eastAsia="隶书"/>
          <w:color w:val="auto"/>
          <w:sz w:val="220"/>
          <w:szCs w:val="220"/>
        </w:rPr>
      </w:pPr>
      <w:r>
        <w:rPr>
          <w:rFonts w:hint="eastAsia" w:ascii="华文中宋" w:hAnsi="华文中宋" w:eastAsia="华文中宋" w:cs="华文中宋"/>
          <w:b w:val="0"/>
          <w:bCs/>
          <w:color w:val="auto"/>
          <w:sz w:val="56"/>
          <w:szCs w:val="56"/>
          <w:u w:val="none"/>
          <w:lang w:eastAsia="zh-CN"/>
        </w:rPr>
        <w:t>音频系统更新及部分视频监控升级项目</w:t>
      </w:r>
    </w:p>
    <w:p>
      <w:pPr>
        <w:pStyle w:val="14"/>
        <w:wordWrap/>
        <w:spacing w:before="157" w:beforeLines="50" w:line="560" w:lineRule="exact"/>
        <w:jc w:val="center"/>
        <w:rPr>
          <w:rFonts w:hint="eastAsia" w:ascii="隶书" w:hAnsi="华文中宋" w:eastAsia="隶书"/>
          <w:color w:val="auto"/>
          <w:sz w:val="84"/>
          <w:szCs w:val="84"/>
        </w:rPr>
      </w:pPr>
    </w:p>
    <w:p>
      <w:pPr>
        <w:pStyle w:val="14"/>
        <w:wordWrap/>
        <w:spacing w:before="157" w:beforeLines="50" w:line="560" w:lineRule="exact"/>
        <w:jc w:val="center"/>
        <w:rPr>
          <w:rFonts w:hint="eastAsia" w:ascii="隶书" w:hAnsi="华文中宋" w:eastAsia="隶书"/>
          <w:color w:val="auto"/>
          <w:sz w:val="84"/>
          <w:szCs w:val="84"/>
        </w:rPr>
      </w:pPr>
    </w:p>
    <w:p>
      <w:pPr>
        <w:pStyle w:val="14"/>
        <w:widowControl w:val="0"/>
        <w:wordWrap/>
        <w:adjustRightInd w:val="0"/>
        <w:snapToGrid w:val="0"/>
        <w:spacing w:before="313" w:beforeLines="100" w:line="560" w:lineRule="exact"/>
        <w:jc w:val="center"/>
        <w:textAlignment w:val="auto"/>
        <w:rPr>
          <w:rFonts w:hint="eastAsia" w:ascii="华文中宋" w:hAnsi="华文中宋" w:eastAsia="华文中宋" w:cs="华文中宋"/>
          <w:color w:val="auto"/>
          <w:sz w:val="84"/>
          <w:szCs w:val="84"/>
        </w:rPr>
      </w:pPr>
      <w:r>
        <w:rPr>
          <w:rFonts w:hint="eastAsia" w:ascii="华文中宋" w:hAnsi="华文中宋" w:eastAsia="华文中宋" w:cs="华文中宋"/>
          <w:color w:val="auto"/>
          <w:sz w:val="56"/>
          <w:szCs w:val="56"/>
          <w:lang w:eastAsia="zh-CN"/>
        </w:rPr>
        <w:t>询价</w:t>
      </w:r>
      <w:r>
        <w:rPr>
          <w:rFonts w:hint="eastAsia" w:ascii="华文中宋" w:hAnsi="华文中宋" w:eastAsia="华文中宋" w:cs="华文中宋"/>
          <w:color w:val="auto"/>
          <w:sz w:val="56"/>
          <w:szCs w:val="56"/>
        </w:rPr>
        <w:t>文件</w:t>
      </w:r>
    </w:p>
    <w:p>
      <w:pPr>
        <w:pStyle w:val="14"/>
        <w:widowControl w:val="0"/>
        <w:wordWrap/>
        <w:adjustRightInd w:val="0"/>
        <w:snapToGrid w:val="0"/>
        <w:spacing w:before="313" w:beforeLines="100" w:line="560" w:lineRule="exact"/>
        <w:ind w:left="7043" w:leftChars="554" w:hanging="5880" w:hangingChars="700"/>
        <w:textAlignment w:val="auto"/>
        <w:rPr>
          <w:rFonts w:hint="eastAsia" w:ascii="华文中宋" w:hAnsi="华文中宋" w:eastAsia="华文中宋" w:cs="华文中宋"/>
          <w:color w:val="auto"/>
          <w:sz w:val="84"/>
          <w:szCs w:val="84"/>
        </w:rPr>
      </w:pPr>
    </w:p>
    <w:p>
      <w:pPr>
        <w:pStyle w:val="14"/>
        <w:widowControl w:val="0"/>
        <w:wordWrap/>
        <w:adjustRightInd w:val="0"/>
        <w:snapToGrid w:val="0"/>
        <w:spacing w:before="313" w:beforeLines="100" w:line="560" w:lineRule="exact"/>
        <w:ind w:left="7043" w:leftChars="554" w:hanging="5880" w:hangingChars="700"/>
        <w:textAlignment w:val="auto"/>
        <w:rPr>
          <w:rFonts w:hint="eastAsia" w:ascii="华文中宋" w:hAnsi="华文中宋" w:eastAsia="华文中宋" w:cs="华文中宋"/>
          <w:color w:val="auto"/>
          <w:sz w:val="84"/>
          <w:szCs w:val="84"/>
        </w:rPr>
      </w:pPr>
    </w:p>
    <w:p>
      <w:pPr>
        <w:pStyle w:val="14"/>
        <w:widowControl w:val="0"/>
        <w:wordWrap/>
        <w:adjustRightInd w:val="0"/>
        <w:snapToGrid w:val="0"/>
        <w:spacing w:before="313" w:beforeLines="100" w:line="560" w:lineRule="exact"/>
        <w:ind w:left="2563" w:leftChars="554" w:hanging="1400" w:hangingChars="700"/>
        <w:textAlignment w:val="auto"/>
        <w:rPr>
          <w:rFonts w:ascii="Tahoma" w:hAnsi="Tahoma" w:cs="Tahoma"/>
          <w:color w:val="auto"/>
          <w:sz w:val="20"/>
          <w:szCs w:val="20"/>
        </w:rPr>
      </w:pPr>
    </w:p>
    <w:p>
      <w:pPr>
        <w:widowControl w:val="0"/>
        <w:wordWrap/>
        <w:autoSpaceDE w:val="0"/>
        <w:autoSpaceDN w:val="0"/>
        <w:adjustRightInd w:val="0"/>
        <w:snapToGrid/>
        <w:spacing w:before="157" w:beforeLines="50" w:line="560" w:lineRule="exact"/>
        <w:ind w:firstLine="0" w:firstLineChars="0"/>
        <w:jc w:val="center"/>
        <w:textAlignment w:val="auto"/>
        <w:rPr>
          <w:rFonts w:hint="eastAsia" w:ascii="华文中宋" w:hAnsi="华文中宋" w:eastAsia="华文中宋" w:cs="华文中宋"/>
          <w:b w:val="0"/>
          <w:bCs/>
          <w:color w:val="auto"/>
          <w:sz w:val="32"/>
          <w:szCs w:val="32"/>
          <w:u w:val="none"/>
          <w:lang w:eastAsia="zh-CN"/>
        </w:rPr>
      </w:pPr>
      <w:r>
        <w:rPr>
          <w:rFonts w:hint="eastAsia" w:ascii="华文中宋" w:hAnsi="华文中宋" w:eastAsia="华文中宋" w:cs="华文中宋"/>
          <w:b w:val="0"/>
          <w:bCs/>
          <w:color w:val="auto"/>
          <w:sz w:val="32"/>
          <w:szCs w:val="32"/>
          <w:u w:val="none"/>
        </w:rPr>
        <w:t>项目名称：</w:t>
      </w:r>
      <w:r>
        <w:rPr>
          <w:rFonts w:hint="eastAsia" w:ascii="华文中宋" w:hAnsi="华文中宋" w:eastAsia="华文中宋" w:cs="华文中宋"/>
          <w:b w:val="0"/>
          <w:bCs/>
          <w:color w:val="auto"/>
          <w:sz w:val="32"/>
          <w:szCs w:val="32"/>
          <w:u w:val="none"/>
          <w:lang w:eastAsia="zh-CN"/>
        </w:rPr>
        <w:t>音频系统更新及部分视频监控升级项目</w:t>
      </w:r>
    </w:p>
    <w:p>
      <w:pPr>
        <w:widowControl w:val="0"/>
        <w:wordWrap/>
        <w:autoSpaceDE w:val="0"/>
        <w:autoSpaceDN w:val="0"/>
        <w:adjustRightInd w:val="0"/>
        <w:snapToGrid/>
        <w:spacing w:before="157" w:beforeLines="50" w:line="560" w:lineRule="exact"/>
        <w:ind w:firstLine="1600" w:firstLineChars="500"/>
        <w:jc w:val="both"/>
        <w:textAlignment w:val="auto"/>
        <w:rPr>
          <w:rFonts w:hint="eastAsia" w:ascii="华文中宋" w:hAnsi="华文中宋" w:eastAsia="华文中宋" w:cs="华文中宋"/>
          <w:b w:val="0"/>
          <w:bCs/>
          <w:color w:val="auto"/>
          <w:sz w:val="32"/>
          <w:szCs w:val="32"/>
          <w:u w:val="none"/>
        </w:rPr>
      </w:pPr>
      <w:r>
        <w:rPr>
          <w:rFonts w:hint="eastAsia" w:ascii="华文中宋" w:hAnsi="华文中宋" w:eastAsia="华文中宋" w:cs="华文中宋"/>
          <w:b w:val="0"/>
          <w:bCs/>
          <w:color w:val="auto"/>
          <w:sz w:val="32"/>
          <w:szCs w:val="32"/>
          <w:u w:val="none"/>
          <w:lang w:eastAsia="zh-CN"/>
        </w:rPr>
        <w:t>采购编号</w:t>
      </w:r>
      <w:r>
        <w:rPr>
          <w:rFonts w:hint="eastAsia" w:ascii="华文中宋" w:hAnsi="华文中宋" w:eastAsia="华文中宋" w:cs="华文中宋"/>
          <w:b w:val="0"/>
          <w:bCs/>
          <w:color w:val="auto"/>
          <w:sz w:val="32"/>
          <w:szCs w:val="32"/>
          <w:u w:val="none"/>
        </w:rPr>
        <w:t>：</w:t>
      </w:r>
      <w:r>
        <w:rPr>
          <w:rFonts w:hint="eastAsia" w:ascii="华文中宋" w:hAnsi="华文中宋" w:eastAsia="华文中宋" w:cs="华文中宋"/>
          <w:b w:val="0"/>
          <w:bCs/>
          <w:color w:val="auto"/>
          <w:sz w:val="32"/>
          <w:szCs w:val="32"/>
          <w:u w:val="none"/>
          <w:lang w:eastAsia="zh-CN"/>
        </w:rPr>
        <w:t>青海东煌询价（货物）2022-008</w:t>
      </w:r>
    </w:p>
    <w:p>
      <w:pPr>
        <w:widowControl w:val="0"/>
        <w:wordWrap/>
        <w:adjustRightInd w:val="0"/>
        <w:snapToGrid w:val="0"/>
        <w:spacing w:before="157" w:beforeLines="50" w:line="560" w:lineRule="exact"/>
        <w:ind w:firstLine="1600" w:firstLineChars="500"/>
        <w:jc w:val="both"/>
        <w:textAlignment w:val="auto"/>
        <w:rPr>
          <w:rFonts w:hint="eastAsia" w:ascii="华文中宋" w:hAnsi="华文中宋" w:eastAsia="华文中宋" w:cs="华文中宋"/>
          <w:b w:val="0"/>
          <w:bCs/>
          <w:color w:val="auto"/>
          <w:sz w:val="32"/>
          <w:szCs w:val="32"/>
          <w:u w:val="none"/>
        </w:rPr>
      </w:pPr>
      <w:r>
        <w:rPr>
          <w:rFonts w:hint="eastAsia" w:ascii="华文中宋" w:hAnsi="华文中宋" w:eastAsia="华文中宋" w:cs="华文中宋"/>
          <w:b w:val="0"/>
          <w:bCs/>
          <w:color w:val="auto"/>
          <w:sz w:val="32"/>
          <w:szCs w:val="32"/>
          <w:u w:val="none"/>
        </w:rPr>
        <w:t>采 购 人：</w:t>
      </w:r>
      <w:r>
        <w:rPr>
          <w:rFonts w:hint="eastAsia" w:ascii="华文中宋" w:hAnsi="华文中宋" w:eastAsia="华文中宋" w:cs="华文中宋"/>
          <w:b w:val="0"/>
          <w:bCs/>
          <w:color w:val="auto"/>
          <w:kern w:val="0"/>
          <w:sz w:val="32"/>
          <w:szCs w:val="32"/>
          <w:u w:val="none"/>
          <w:lang w:val="zh-CN"/>
        </w:rPr>
        <w:t>班玛县藏文中学</w:t>
      </w:r>
    </w:p>
    <w:p>
      <w:pPr>
        <w:widowControl w:val="0"/>
        <w:wordWrap/>
        <w:adjustRightInd w:val="0"/>
        <w:snapToGrid w:val="0"/>
        <w:spacing w:before="157" w:beforeLines="50" w:line="560" w:lineRule="exact"/>
        <w:ind w:firstLine="0" w:firstLineChars="0"/>
        <w:jc w:val="center"/>
        <w:textAlignment w:val="auto"/>
        <w:rPr>
          <w:rFonts w:hint="eastAsia" w:ascii="华文中宋" w:hAnsi="华文中宋" w:eastAsia="华文中宋" w:cs="华文中宋"/>
          <w:b w:val="0"/>
          <w:bCs/>
          <w:color w:val="auto"/>
          <w:sz w:val="32"/>
          <w:szCs w:val="32"/>
          <w:u w:val="none"/>
        </w:rPr>
      </w:pPr>
      <w:r>
        <w:rPr>
          <w:rFonts w:hint="eastAsia" w:ascii="华文中宋" w:hAnsi="华文中宋" w:eastAsia="华文中宋" w:cs="华文中宋"/>
          <w:b w:val="0"/>
          <w:bCs/>
          <w:color w:val="auto"/>
          <w:sz w:val="32"/>
          <w:szCs w:val="32"/>
          <w:u w:val="none"/>
        </w:rPr>
        <w:t>采购代理机构：</w:t>
      </w:r>
      <w:r>
        <w:rPr>
          <w:rFonts w:hint="eastAsia" w:ascii="华文中宋" w:hAnsi="华文中宋" w:eastAsia="华文中宋" w:cs="华文中宋"/>
          <w:b w:val="0"/>
          <w:bCs/>
          <w:color w:val="auto"/>
          <w:kern w:val="0"/>
          <w:sz w:val="32"/>
          <w:szCs w:val="32"/>
          <w:u w:val="none"/>
          <w:lang w:val="zh-CN"/>
        </w:rPr>
        <w:t>青海东煌工程项目管理有限公司</w:t>
      </w:r>
    </w:p>
    <w:p>
      <w:pPr>
        <w:widowControl w:val="0"/>
        <w:wordWrap/>
        <w:adjustRightInd w:val="0"/>
        <w:snapToGrid w:val="0"/>
        <w:spacing w:before="157" w:beforeLines="50" w:line="560" w:lineRule="exact"/>
        <w:ind w:firstLine="0" w:firstLineChars="0"/>
        <w:jc w:val="center"/>
        <w:textAlignment w:val="auto"/>
        <w:rPr>
          <w:rFonts w:hint="eastAsia" w:ascii="华文中宋" w:hAnsi="华文中宋" w:eastAsia="华文中宋" w:cs="华文中宋"/>
          <w:b w:val="0"/>
          <w:bCs/>
          <w:color w:val="auto"/>
          <w:sz w:val="32"/>
          <w:szCs w:val="32"/>
          <w:u w:val="none"/>
        </w:rPr>
      </w:pPr>
      <w:r>
        <w:rPr>
          <w:rFonts w:hint="eastAsia" w:ascii="华文中宋" w:hAnsi="华文中宋" w:eastAsia="华文中宋" w:cs="华文中宋"/>
          <w:b w:val="0"/>
          <w:bCs/>
          <w:color w:val="auto"/>
          <w:sz w:val="32"/>
          <w:szCs w:val="32"/>
          <w:u w:val="none"/>
          <w:lang w:val="en-US" w:eastAsia="zh-CN"/>
        </w:rPr>
        <w:t>2022年3月</w:t>
      </w:r>
    </w:p>
    <w:p>
      <w:pPr>
        <w:rPr>
          <w:rFonts w:hint="eastAsia" w:ascii="宋体" w:hAnsi="宋体" w:cs="宋体"/>
          <w:color w:val="auto"/>
          <w:kern w:val="0"/>
          <w:sz w:val="30"/>
          <w:szCs w:val="30"/>
          <w:lang w:val="zh-CN"/>
        </w:rPr>
      </w:pPr>
      <w:r>
        <w:rPr>
          <w:rFonts w:hint="eastAsia" w:ascii="宋体" w:hAnsi="宋体" w:cs="宋体"/>
          <w:color w:val="auto"/>
          <w:kern w:val="0"/>
          <w:sz w:val="30"/>
          <w:szCs w:val="30"/>
          <w:lang w:val="zh-CN"/>
        </w:rPr>
        <w:br w:type="page"/>
      </w:r>
    </w:p>
    <w:p>
      <w:pPr>
        <w:spacing w:before="0" w:beforeLines="0" w:after="0" w:afterLines="0" w:line="240" w:lineRule="auto"/>
        <w:ind w:left="0" w:leftChars="0" w:right="0" w:firstLine="0" w:firstLineChars="0"/>
        <w:jc w:val="center"/>
        <w:rPr>
          <w:color w:val="auto"/>
        </w:rPr>
      </w:pPr>
      <w:r>
        <w:rPr>
          <w:rFonts w:hint="eastAsia" w:ascii="华文中宋" w:hAnsi="华文中宋" w:eastAsia="华文中宋" w:cs="华文中宋"/>
          <w:color w:val="auto"/>
          <w:sz w:val="44"/>
          <w:szCs w:val="44"/>
        </w:rPr>
        <w:t>目</w:t>
      </w:r>
      <w:r>
        <w:rPr>
          <w:rFonts w:hint="eastAsia" w:ascii="华文中宋" w:hAnsi="华文中宋" w:eastAsia="华文中宋" w:cs="华文中宋"/>
          <w:color w:val="auto"/>
          <w:sz w:val="44"/>
          <w:szCs w:val="44"/>
          <w:lang w:val="en-US" w:eastAsia="zh-CN"/>
        </w:rPr>
        <w:t xml:space="preserve">  </w:t>
      </w:r>
      <w:r>
        <w:rPr>
          <w:rFonts w:hint="eastAsia" w:ascii="华文中宋" w:hAnsi="华文中宋" w:eastAsia="华文中宋" w:cs="华文中宋"/>
          <w:color w:val="auto"/>
          <w:sz w:val="44"/>
          <w:szCs w:val="44"/>
        </w:rPr>
        <w:t>录</w:t>
      </w:r>
    </w:p>
    <w:p>
      <w:pPr>
        <w:pStyle w:val="17"/>
        <w:tabs>
          <w:tab w:val="right" w:leader="dot" w:pos="8958"/>
        </w:tabs>
      </w:pPr>
      <w:r>
        <w:rPr>
          <w:color w:val="auto"/>
          <w:sz w:val="32"/>
          <w:szCs w:val="32"/>
        </w:rPr>
        <w:fldChar w:fldCharType="begin"/>
      </w:r>
      <w:r>
        <w:rPr>
          <w:color w:val="auto"/>
          <w:sz w:val="32"/>
          <w:szCs w:val="32"/>
        </w:rPr>
        <w:instrText xml:space="preserve">TOC \o "1-3" \h \u </w:instrText>
      </w:r>
      <w:r>
        <w:rPr>
          <w:color w:val="auto"/>
          <w:sz w:val="32"/>
          <w:szCs w:val="32"/>
        </w:rPr>
        <w:fldChar w:fldCharType="separate"/>
      </w:r>
      <w:r>
        <w:rPr>
          <w:color w:val="auto"/>
          <w:szCs w:val="32"/>
        </w:rPr>
        <w:fldChar w:fldCharType="begin"/>
      </w:r>
      <w:r>
        <w:rPr>
          <w:szCs w:val="32"/>
        </w:rPr>
        <w:instrText xml:space="preserve"> HYPERLINK \l _Toc1862 </w:instrText>
      </w:r>
      <w:r>
        <w:rPr>
          <w:szCs w:val="32"/>
        </w:rPr>
        <w:fldChar w:fldCharType="separate"/>
      </w:r>
      <w:r>
        <w:rPr>
          <w:rFonts w:hint="eastAsia" w:ascii="华文中宋" w:hAnsi="华文中宋" w:eastAsia="华文中宋" w:cs="华文中宋"/>
          <w:bCs w:val="0"/>
          <w:szCs w:val="44"/>
          <w:lang w:val="en-US" w:eastAsia="zh-CN"/>
        </w:rPr>
        <w:t>第一部分 询价邀请</w:t>
      </w:r>
      <w:r>
        <w:tab/>
      </w:r>
      <w:r>
        <w:fldChar w:fldCharType="begin"/>
      </w:r>
      <w:r>
        <w:instrText xml:space="preserve"> PAGEREF _Toc1862 \h </w:instrText>
      </w:r>
      <w:r>
        <w:fldChar w:fldCharType="separate"/>
      </w:r>
      <w:r>
        <w:t>4</w:t>
      </w:r>
      <w:r>
        <w:fldChar w:fldCharType="end"/>
      </w:r>
      <w:r>
        <w:rPr>
          <w:color w:val="auto"/>
          <w:szCs w:val="32"/>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_Toc9207 </w:instrText>
      </w:r>
      <w:r>
        <w:rPr>
          <w:rFonts w:ascii="Times New Roman" w:hAnsi="Times New Roman" w:eastAsia="宋体" w:cs="Times New Roman"/>
          <w:kern w:val="2"/>
          <w:szCs w:val="32"/>
          <w:lang w:val="en-US" w:eastAsia="zh-CN" w:bidi="ar-SA"/>
        </w:rPr>
        <w:fldChar w:fldCharType="separate"/>
      </w:r>
      <w:r>
        <w:rPr>
          <w:rFonts w:hint="eastAsia" w:ascii="华文中宋" w:hAnsi="华文中宋" w:eastAsia="华文中宋" w:cs="华文中宋"/>
          <w:bCs w:val="0"/>
          <w:szCs w:val="44"/>
          <w:lang w:val="en-US" w:eastAsia="zh-CN"/>
        </w:rPr>
        <w:t>第二部分  询价须知</w:t>
      </w:r>
      <w:r>
        <w:tab/>
      </w:r>
      <w:r>
        <w:fldChar w:fldCharType="begin"/>
      </w:r>
      <w:r>
        <w:instrText xml:space="preserve"> PAGEREF _Toc9207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_Toc2932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一、说明</w:t>
      </w:r>
      <w:r>
        <w:tab/>
      </w:r>
      <w:r>
        <w:fldChar w:fldCharType="begin"/>
      </w:r>
      <w:r>
        <w:instrText xml:space="preserve"> PAGEREF _Toc2932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_Toc12227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1.适用范围</w:t>
      </w:r>
      <w:r>
        <w:tab/>
      </w:r>
      <w:r>
        <w:fldChar w:fldCharType="begin"/>
      </w:r>
      <w:r>
        <w:instrText xml:space="preserve"> PAGEREF _Toc12227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_Toc14388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2.采购人及代理机构</w:t>
      </w:r>
      <w:r>
        <w:tab/>
      </w:r>
      <w:r>
        <w:fldChar w:fldCharType="begin"/>
      </w:r>
      <w:r>
        <w:instrText xml:space="preserve"> PAGEREF _Toc14388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_Toc28085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3.供应商的资格要求</w:t>
      </w:r>
      <w:r>
        <w:tab/>
      </w:r>
      <w:r>
        <w:fldChar w:fldCharType="begin"/>
      </w:r>
      <w:r>
        <w:instrText xml:space="preserve"> PAGEREF _Toc28085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_Toc5096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4.</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费用</w:t>
      </w:r>
      <w:r>
        <w:tab/>
      </w:r>
      <w:r>
        <w:fldChar w:fldCharType="begin"/>
      </w:r>
      <w:r>
        <w:instrText xml:space="preserve"> PAGEREF _Toc5096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_Toc29594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二、</w:t>
      </w:r>
      <w:r>
        <w:rPr>
          <w:rFonts w:hint="eastAsia" w:ascii="宋体" w:hAnsi="宋体" w:cs="宋体"/>
          <w:bCs w:val="0"/>
          <w:kern w:val="2"/>
          <w:szCs w:val="24"/>
          <w:lang w:val="en-US" w:eastAsia="zh-CN" w:bidi="ar-SA"/>
        </w:rPr>
        <w:t>询价</w:t>
      </w:r>
      <w:r>
        <w:rPr>
          <w:rFonts w:hint="eastAsia" w:ascii="宋体" w:hAnsi="宋体" w:eastAsia="宋体" w:cs="宋体"/>
          <w:bCs w:val="0"/>
          <w:kern w:val="2"/>
          <w:szCs w:val="24"/>
          <w:lang w:val="en-US" w:eastAsia="zh-CN" w:bidi="ar-SA"/>
        </w:rPr>
        <w:t>文件</w:t>
      </w:r>
      <w:r>
        <w:tab/>
      </w:r>
      <w:r>
        <w:fldChar w:fldCharType="begin"/>
      </w:r>
      <w:r>
        <w:instrText xml:space="preserve"> PAGEREF _Toc29594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_Toc10836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5.</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文件的组成</w:t>
      </w:r>
      <w:r>
        <w:tab/>
      </w:r>
      <w:r>
        <w:fldChar w:fldCharType="begin"/>
      </w:r>
      <w:r>
        <w:instrText xml:space="preserve"> PAGEREF _Toc10836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_Toc24236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6.</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文件的澄清</w:t>
      </w:r>
      <w:r>
        <w:rPr>
          <w:rFonts w:hint="eastAsia" w:ascii="宋体" w:hAnsi="宋体" w:eastAsia="宋体" w:cs="宋体"/>
          <w:bCs/>
          <w:kern w:val="2"/>
          <w:szCs w:val="24"/>
          <w:lang w:val="zh-CN" w:eastAsia="zh-CN" w:bidi="ar-SA"/>
        </w:rPr>
        <w:t>或者</w:t>
      </w:r>
      <w:r>
        <w:rPr>
          <w:rFonts w:hint="eastAsia" w:ascii="宋体" w:hAnsi="宋体" w:eastAsia="宋体" w:cs="宋体"/>
          <w:bCs/>
          <w:kern w:val="2"/>
          <w:szCs w:val="24"/>
          <w:lang w:val="en-US" w:eastAsia="zh-CN" w:bidi="ar-SA"/>
        </w:rPr>
        <w:t>修改</w:t>
      </w:r>
      <w:r>
        <w:tab/>
      </w:r>
      <w:r>
        <w:fldChar w:fldCharType="begin"/>
      </w:r>
      <w:r>
        <w:instrText xml:space="preserve"> PAGEREF _Toc24236 \h </w:instrText>
      </w:r>
      <w:r>
        <w:fldChar w:fldCharType="separate"/>
      </w:r>
      <w:r>
        <w:t>8</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_Toc27197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7.</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文件的询问或质疑</w:t>
      </w:r>
      <w:r>
        <w:tab/>
      </w:r>
      <w:r>
        <w:fldChar w:fldCharType="begin"/>
      </w:r>
      <w:r>
        <w:instrText xml:space="preserve"> PAGEREF _Toc27197 \h </w:instrText>
      </w:r>
      <w:r>
        <w:fldChar w:fldCharType="separate"/>
      </w:r>
      <w:r>
        <w:t>8</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_Toc30503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kern w:val="2"/>
          <w:szCs w:val="24"/>
          <w:lang w:val="en-US" w:eastAsia="zh-CN" w:bidi="ar-SA"/>
        </w:rPr>
        <w:t>三、响应文件</w:t>
      </w:r>
      <w:r>
        <w:tab/>
      </w:r>
      <w:r>
        <w:fldChar w:fldCharType="begin"/>
      </w:r>
      <w:r>
        <w:instrText xml:space="preserve"> PAGEREF _Toc30503 \h </w:instrText>
      </w:r>
      <w:r>
        <w:fldChar w:fldCharType="separate"/>
      </w:r>
      <w:r>
        <w:t>8</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_Toc1346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8.一般要求</w:t>
      </w:r>
      <w:r>
        <w:tab/>
      </w:r>
      <w:r>
        <w:fldChar w:fldCharType="begin"/>
      </w:r>
      <w:r>
        <w:instrText xml:space="preserve"> PAGEREF _Toc1346 \h </w:instrText>
      </w:r>
      <w:r>
        <w:fldChar w:fldCharType="separate"/>
      </w:r>
      <w:r>
        <w:t>8</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_Toc12633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9.报价要求</w:t>
      </w:r>
      <w:r>
        <w:tab/>
      </w:r>
      <w:r>
        <w:fldChar w:fldCharType="begin"/>
      </w:r>
      <w:r>
        <w:instrText xml:space="preserve"> PAGEREF _Toc12633 \h </w:instrText>
      </w:r>
      <w:r>
        <w:fldChar w:fldCharType="separate"/>
      </w:r>
      <w:r>
        <w:t>9</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_Toc2832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10.保证金</w:t>
      </w:r>
      <w:r>
        <w:tab/>
      </w:r>
      <w:r>
        <w:fldChar w:fldCharType="begin"/>
      </w:r>
      <w:r>
        <w:instrText xml:space="preserve"> PAGEREF _Toc2832 \h </w:instrText>
      </w:r>
      <w:r>
        <w:fldChar w:fldCharType="separate"/>
      </w:r>
      <w:r>
        <w:t>9</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_Toc103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11.响应文件的组成</w:t>
      </w:r>
      <w:r>
        <w:tab/>
      </w:r>
      <w:r>
        <w:fldChar w:fldCharType="begin"/>
      </w:r>
      <w:r>
        <w:instrText xml:space="preserve"> PAGEREF _Toc103 \h </w:instrText>
      </w:r>
      <w:r>
        <w:fldChar w:fldCharType="separate"/>
      </w:r>
      <w:r>
        <w:t>9</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_Toc929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12.响应文件有效期</w:t>
      </w:r>
      <w:r>
        <w:tab/>
      </w:r>
      <w:r>
        <w:fldChar w:fldCharType="begin"/>
      </w:r>
      <w:r>
        <w:instrText xml:space="preserve"> PAGEREF _Toc929 \h </w:instrText>
      </w:r>
      <w:r>
        <w:fldChar w:fldCharType="separate"/>
      </w:r>
      <w:r>
        <w:t>10</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_Toc20516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13.响应文件的签署及规定</w:t>
      </w:r>
      <w:r>
        <w:tab/>
      </w:r>
      <w:r>
        <w:fldChar w:fldCharType="begin"/>
      </w:r>
      <w:r>
        <w:instrText xml:space="preserve"> PAGEREF _Toc20516 \h </w:instrText>
      </w:r>
      <w:r>
        <w:fldChar w:fldCharType="separate"/>
      </w:r>
      <w:r>
        <w:t>10</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_Toc10292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四、响应文件的递交</w:t>
      </w:r>
      <w:r>
        <w:tab/>
      </w:r>
      <w:r>
        <w:fldChar w:fldCharType="begin"/>
      </w:r>
      <w:r>
        <w:instrText xml:space="preserve"> PAGEREF _Toc10292 \h </w:instrText>
      </w:r>
      <w:r>
        <w:fldChar w:fldCharType="separate"/>
      </w:r>
      <w:r>
        <w:t>11</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_Toc26280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14.响应文件的密封和标记</w:t>
      </w:r>
      <w:r>
        <w:tab/>
      </w:r>
      <w:r>
        <w:fldChar w:fldCharType="begin"/>
      </w:r>
      <w:r>
        <w:instrText xml:space="preserve"> PAGEREF _Toc26280 \h </w:instrText>
      </w:r>
      <w:r>
        <w:fldChar w:fldCharType="separate"/>
      </w:r>
      <w:r>
        <w:t>11</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_Toc6414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15.响应文件的递交与接收</w:t>
      </w:r>
      <w:r>
        <w:tab/>
      </w:r>
      <w:r>
        <w:fldChar w:fldCharType="begin"/>
      </w:r>
      <w:r>
        <w:instrText xml:space="preserve"> PAGEREF _Toc6414 \h </w:instrText>
      </w:r>
      <w:r>
        <w:fldChar w:fldCharType="separate"/>
      </w:r>
      <w:r>
        <w:t>12</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_Toc7756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16.响应文件的</w:t>
      </w:r>
      <w:r>
        <w:rPr>
          <w:rFonts w:hint="eastAsia" w:ascii="宋体" w:hAnsi="宋体" w:eastAsia="宋体" w:cs="宋体"/>
          <w:bCs/>
          <w:kern w:val="2"/>
          <w:szCs w:val="24"/>
          <w:lang w:val="zh-CN" w:eastAsia="zh-CN" w:bidi="ar-SA"/>
        </w:rPr>
        <w:t>补充、修改或者撤回</w:t>
      </w:r>
      <w:r>
        <w:tab/>
      </w:r>
      <w:r>
        <w:fldChar w:fldCharType="begin"/>
      </w:r>
      <w:r>
        <w:instrText xml:space="preserve"> PAGEREF _Toc7756 \h </w:instrText>
      </w:r>
      <w:r>
        <w:fldChar w:fldCharType="separate"/>
      </w:r>
      <w:r>
        <w:t>12</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_Toc473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五、响应文件的评审与</w:t>
      </w:r>
      <w:r>
        <w:rPr>
          <w:rFonts w:hint="eastAsia" w:ascii="宋体" w:hAnsi="宋体" w:cs="宋体"/>
          <w:bCs w:val="0"/>
          <w:kern w:val="2"/>
          <w:szCs w:val="24"/>
          <w:lang w:val="en-US" w:eastAsia="zh-CN" w:bidi="ar-SA"/>
        </w:rPr>
        <w:t>询价</w:t>
      </w:r>
      <w:r>
        <w:tab/>
      </w:r>
      <w:r>
        <w:fldChar w:fldCharType="begin"/>
      </w:r>
      <w:r>
        <w:instrText xml:space="preserve"> PAGEREF _Toc473 \h </w:instrText>
      </w:r>
      <w:r>
        <w:fldChar w:fldCharType="separate"/>
      </w:r>
      <w:r>
        <w:t>12</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_Toc13395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17.</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小组</w:t>
      </w:r>
      <w:r>
        <w:tab/>
      </w:r>
      <w:r>
        <w:fldChar w:fldCharType="begin"/>
      </w:r>
      <w:r>
        <w:instrText xml:space="preserve"> PAGEREF _Toc13395 \h </w:instrText>
      </w:r>
      <w:r>
        <w:fldChar w:fldCharType="separate"/>
      </w:r>
      <w:r>
        <w:t>12</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_Toc27507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18.响应文件审查</w:t>
      </w:r>
      <w:r>
        <w:tab/>
      </w:r>
      <w:r>
        <w:fldChar w:fldCharType="begin"/>
      </w:r>
      <w:r>
        <w:instrText xml:space="preserve"> PAGEREF _Toc27507 \h </w:instrText>
      </w:r>
      <w:r>
        <w:fldChar w:fldCharType="separate"/>
      </w:r>
      <w:r>
        <w:t>13</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_Toc26777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19.</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程序</w:t>
      </w:r>
      <w:r>
        <w:tab/>
      </w:r>
      <w:r>
        <w:fldChar w:fldCharType="begin"/>
      </w:r>
      <w:r>
        <w:instrText xml:space="preserve"> PAGEREF _Toc26777 \h </w:instrText>
      </w:r>
      <w:r>
        <w:fldChar w:fldCharType="separate"/>
      </w:r>
      <w:r>
        <w:t>13</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_Toc7940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20.澄清</w:t>
      </w:r>
      <w:r>
        <w:tab/>
      </w:r>
      <w:r>
        <w:fldChar w:fldCharType="begin"/>
      </w:r>
      <w:r>
        <w:instrText xml:space="preserve"> PAGEREF _Toc7940 \h </w:instrText>
      </w:r>
      <w:r>
        <w:fldChar w:fldCharType="separate"/>
      </w:r>
      <w:r>
        <w:t>14</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_Toc29149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21.退出</w:t>
      </w:r>
      <w:r>
        <w:rPr>
          <w:rFonts w:hint="eastAsia" w:ascii="宋体" w:hAnsi="宋体" w:cs="宋体"/>
          <w:bCs/>
          <w:kern w:val="2"/>
          <w:szCs w:val="24"/>
          <w:lang w:val="en-US" w:eastAsia="zh-CN" w:bidi="ar-SA"/>
        </w:rPr>
        <w:t>询价</w:t>
      </w:r>
      <w:r>
        <w:tab/>
      </w:r>
      <w:r>
        <w:fldChar w:fldCharType="begin"/>
      </w:r>
      <w:r>
        <w:instrText xml:space="preserve"> PAGEREF _Toc29149 \h </w:instrText>
      </w:r>
      <w:r>
        <w:fldChar w:fldCharType="separate"/>
      </w:r>
      <w:r>
        <w:t>14</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_Toc22512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22.最后报价</w:t>
      </w:r>
      <w:r>
        <w:tab/>
      </w:r>
      <w:r>
        <w:fldChar w:fldCharType="begin"/>
      </w:r>
      <w:r>
        <w:instrText xml:space="preserve"> PAGEREF _Toc22512 \h </w:instrText>
      </w:r>
      <w:r>
        <w:fldChar w:fldCharType="separate"/>
      </w:r>
      <w:r>
        <w:t>15</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_Toc1808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23.确定成交供应商</w:t>
      </w:r>
      <w:r>
        <w:tab/>
      </w:r>
      <w:r>
        <w:fldChar w:fldCharType="begin"/>
      </w:r>
      <w:r>
        <w:instrText xml:space="preserve"> PAGEREF _Toc1808 \h </w:instrText>
      </w:r>
      <w:r>
        <w:fldChar w:fldCharType="separate"/>
      </w:r>
      <w:r>
        <w:t>15</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_Toc7705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24.重新评审</w:t>
      </w:r>
      <w:r>
        <w:tab/>
      </w:r>
      <w:r>
        <w:fldChar w:fldCharType="begin"/>
      </w:r>
      <w:r>
        <w:instrText xml:space="preserve"> PAGEREF _Toc7705 \h </w:instrText>
      </w:r>
      <w:r>
        <w:fldChar w:fldCharType="separate"/>
      </w:r>
      <w:r>
        <w:t>15</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_Toc21105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25.</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终止</w:t>
      </w:r>
      <w:r>
        <w:tab/>
      </w:r>
      <w:r>
        <w:fldChar w:fldCharType="begin"/>
      </w:r>
      <w:r>
        <w:instrText xml:space="preserve"> PAGEREF _Toc21105 \h </w:instrText>
      </w:r>
      <w:r>
        <w:fldChar w:fldCharType="separate"/>
      </w:r>
      <w:r>
        <w:t>15</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_Toc21763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26.串通情形认定及处理</w:t>
      </w:r>
      <w:r>
        <w:tab/>
      </w:r>
      <w:r>
        <w:fldChar w:fldCharType="begin"/>
      </w:r>
      <w:r>
        <w:instrText xml:space="preserve"> PAGEREF _Toc21763 \h </w:instrText>
      </w:r>
      <w:r>
        <w:fldChar w:fldCharType="separate"/>
      </w:r>
      <w:r>
        <w:t>16</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_Toc2736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27.成交信息的公布与通知</w:t>
      </w:r>
      <w:r>
        <w:tab/>
      </w:r>
      <w:r>
        <w:fldChar w:fldCharType="begin"/>
      </w:r>
      <w:r>
        <w:instrText xml:space="preserve"> PAGEREF _Toc2736 \h </w:instrText>
      </w:r>
      <w:r>
        <w:fldChar w:fldCharType="separate"/>
      </w:r>
      <w:r>
        <w:t>17</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_Toc7405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28.授予合同</w:t>
      </w:r>
      <w:r>
        <w:tab/>
      </w:r>
      <w:r>
        <w:fldChar w:fldCharType="begin"/>
      </w:r>
      <w:r>
        <w:instrText xml:space="preserve"> PAGEREF _Toc7405 \h </w:instrText>
      </w:r>
      <w:r>
        <w:fldChar w:fldCharType="separate"/>
      </w:r>
      <w:r>
        <w:t>17</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_Toc18970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29.履约验收</w:t>
      </w:r>
      <w:r>
        <w:tab/>
      </w:r>
      <w:r>
        <w:fldChar w:fldCharType="begin"/>
      </w:r>
      <w:r>
        <w:instrText xml:space="preserve"> PAGEREF _Toc18970 \h </w:instrText>
      </w:r>
      <w:r>
        <w:fldChar w:fldCharType="separate"/>
      </w:r>
      <w:r>
        <w:t>17</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_Toc24020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highlight w:val="none"/>
          <w:lang w:val="en-US" w:eastAsia="zh-CN" w:bidi="ar-SA"/>
        </w:rPr>
        <w:t>七、询问与质疑</w:t>
      </w:r>
      <w:r>
        <w:tab/>
      </w:r>
      <w:r>
        <w:fldChar w:fldCharType="begin"/>
      </w:r>
      <w:r>
        <w:instrText xml:space="preserve"> PAGEREF _Toc24020 \h </w:instrText>
      </w:r>
      <w:r>
        <w:fldChar w:fldCharType="separate"/>
      </w:r>
      <w:r>
        <w:t>18</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_Toc15378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30.对采购过程、结果的询问及质疑</w:t>
      </w:r>
      <w:r>
        <w:tab/>
      </w:r>
      <w:r>
        <w:fldChar w:fldCharType="begin"/>
      </w:r>
      <w:r>
        <w:instrText xml:space="preserve"> PAGEREF _Toc15378 \h </w:instrText>
      </w:r>
      <w:r>
        <w:fldChar w:fldCharType="separate"/>
      </w:r>
      <w:r>
        <w:t>19</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_Toc21378 </w:instrText>
      </w:r>
      <w:r>
        <w:rPr>
          <w:rFonts w:ascii="Times New Roman" w:hAnsi="Times New Roman" w:eastAsia="宋体" w:cs="Times New Roman"/>
          <w:kern w:val="2"/>
          <w:szCs w:val="32"/>
          <w:lang w:val="en-US" w:eastAsia="zh-CN" w:bidi="ar-SA"/>
        </w:rPr>
        <w:fldChar w:fldCharType="separate"/>
      </w:r>
      <w:r>
        <w:rPr>
          <w:rFonts w:hint="eastAsia" w:ascii="宋体" w:hAnsi="宋体" w:cs="宋体"/>
          <w:bCs w:val="0"/>
          <w:kern w:val="2"/>
          <w:szCs w:val="24"/>
          <w:highlight w:val="none"/>
          <w:lang w:val="en-US" w:eastAsia="zh-CN" w:bidi="ar-SA"/>
        </w:rPr>
        <w:t>八</w:t>
      </w:r>
      <w:r>
        <w:rPr>
          <w:rFonts w:hint="eastAsia" w:ascii="宋体" w:hAnsi="宋体" w:eastAsia="宋体" w:cs="宋体"/>
          <w:bCs w:val="0"/>
          <w:kern w:val="2"/>
          <w:szCs w:val="24"/>
          <w:highlight w:val="none"/>
          <w:lang w:val="en-US" w:eastAsia="zh-CN" w:bidi="ar-SA"/>
        </w:rPr>
        <w:t>、其他规定</w:t>
      </w:r>
      <w:r>
        <w:tab/>
      </w:r>
      <w:r>
        <w:fldChar w:fldCharType="begin"/>
      </w:r>
      <w:r>
        <w:instrText xml:space="preserve"> PAGEREF _Toc21378 \h </w:instrText>
      </w:r>
      <w:r>
        <w:fldChar w:fldCharType="separate"/>
      </w:r>
      <w:r>
        <w:t>18</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_Toc15206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3</w:t>
      </w:r>
      <w:r>
        <w:rPr>
          <w:rFonts w:hint="eastAsia" w:ascii="宋体" w:hAnsi="宋体" w:cs="宋体"/>
          <w:bCs/>
          <w:kern w:val="2"/>
          <w:szCs w:val="24"/>
          <w:lang w:val="en-US" w:eastAsia="zh-CN" w:bidi="ar-SA"/>
        </w:rPr>
        <w:t>1</w:t>
      </w:r>
      <w:r>
        <w:rPr>
          <w:rFonts w:hint="eastAsia" w:ascii="宋体" w:hAnsi="宋体" w:eastAsia="宋体" w:cs="宋体"/>
          <w:bCs/>
          <w:kern w:val="2"/>
          <w:szCs w:val="24"/>
          <w:lang w:val="en-US" w:eastAsia="zh-CN" w:bidi="ar-SA"/>
        </w:rPr>
        <w:t>.代理服务费</w:t>
      </w:r>
      <w:r>
        <w:tab/>
      </w:r>
      <w:r>
        <w:fldChar w:fldCharType="begin"/>
      </w:r>
      <w:r>
        <w:instrText xml:space="preserve"> PAGEREF _Toc15206 \h </w:instrText>
      </w:r>
      <w:r>
        <w:fldChar w:fldCharType="separate"/>
      </w:r>
      <w:r>
        <w:t>18</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_Toc27408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3</w:t>
      </w:r>
      <w:r>
        <w:rPr>
          <w:rFonts w:hint="eastAsia" w:ascii="宋体" w:hAnsi="宋体" w:cs="宋体"/>
          <w:bCs/>
          <w:kern w:val="2"/>
          <w:szCs w:val="24"/>
          <w:lang w:val="en-US" w:eastAsia="zh-CN" w:bidi="ar-SA"/>
        </w:rPr>
        <w:t>2</w:t>
      </w:r>
      <w:r>
        <w:rPr>
          <w:rFonts w:hint="eastAsia" w:ascii="宋体" w:hAnsi="宋体" w:eastAsia="宋体" w:cs="宋体"/>
          <w:bCs/>
          <w:kern w:val="2"/>
          <w:szCs w:val="24"/>
          <w:lang w:val="en-US" w:eastAsia="zh-CN" w:bidi="ar-SA"/>
        </w:rPr>
        <w:t>.其他规定</w:t>
      </w:r>
      <w:r>
        <w:tab/>
      </w:r>
      <w:r>
        <w:fldChar w:fldCharType="begin"/>
      </w:r>
      <w:r>
        <w:instrText xml:space="preserve"> PAGEREF _Toc27408 \h </w:instrText>
      </w:r>
      <w:r>
        <w:fldChar w:fldCharType="separate"/>
      </w:r>
      <w:r>
        <w:t>18</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_Toc4162 </w:instrText>
      </w:r>
      <w:r>
        <w:rPr>
          <w:rFonts w:ascii="Times New Roman" w:hAnsi="Times New Roman" w:eastAsia="宋体" w:cs="Times New Roman"/>
          <w:kern w:val="2"/>
          <w:szCs w:val="32"/>
          <w:lang w:val="en-US" w:eastAsia="zh-CN" w:bidi="ar-SA"/>
        </w:rPr>
        <w:fldChar w:fldCharType="separate"/>
      </w:r>
      <w:r>
        <w:rPr>
          <w:rFonts w:hint="eastAsia" w:ascii="华文中宋" w:hAnsi="华文中宋" w:eastAsia="华文中宋" w:cs="华文中宋"/>
          <w:bCs w:val="0"/>
          <w:szCs w:val="44"/>
          <w:highlight w:val="none"/>
          <w:lang w:val="en-US" w:eastAsia="zh-CN"/>
        </w:rPr>
        <w:t>第三部分 采购需求</w:t>
      </w:r>
      <w:r>
        <w:tab/>
      </w:r>
      <w:r>
        <w:fldChar w:fldCharType="begin"/>
      </w:r>
      <w:r>
        <w:instrText xml:space="preserve"> PAGEREF _Toc4162 \h </w:instrText>
      </w:r>
      <w:r>
        <w:fldChar w:fldCharType="separate"/>
      </w:r>
      <w:r>
        <w:t>19</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_Toc1417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highlight w:val="none"/>
          <w:lang w:val="zh-CN" w:eastAsia="zh-CN" w:bidi="ar-SA"/>
        </w:rPr>
        <w:t>十、响应说明</w:t>
      </w:r>
      <w:r>
        <w:tab/>
      </w:r>
      <w:r>
        <w:fldChar w:fldCharType="begin"/>
      </w:r>
      <w:r>
        <w:instrText xml:space="preserve"> PAGEREF _Toc1417 \h </w:instrText>
      </w:r>
      <w:r>
        <w:fldChar w:fldCharType="separate"/>
      </w:r>
      <w:r>
        <w:t>19</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_Toc13009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highlight w:val="none"/>
          <w:lang w:val="zh-CN" w:eastAsia="zh-CN" w:bidi="ar-SA"/>
        </w:rPr>
        <w:t>十一、重要指标</w:t>
      </w:r>
      <w:r>
        <w:tab/>
      </w:r>
      <w:r>
        <w:fldChar w:fldCharType="begin"/>
      </w:r>
      <w:r>
        <w:instrText xml:space="preserve"> PAGEREF _Toc13009 \h </w:instrText>
      </w:r>
      <w:r>
        <w:fldChar w:fldCharType="separate"/>
      </w:r>
      <w:r>
        <w:t>19</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_Toc4237 </w:instrText>
      </w:r>
      <w:r>
        <w:rPr>
          <w:rFonts w:ascii="Times New Roman" w:hAnsi="Times New Roman" w:eastAsia="宋体" w:cs="Times New Roman"/>
          <w:kern w:val="2"/>
          <w:szCs w:val="32"/>
          <w:lang w:val="en-US" w:eastAsia="zh-CN" w:bidi="ar-SA"/>
        </w:rPr>
        <w:fldChar w:fldCharType="separate"/>
      </w:r>
      <w:r>
        <w:rPr>
          <w:rFonts w:hint="eastAsia" w:ascii="华文中宋" w:hAnsi="华文中宋" w:eastAsia="华文中宋" w:cs="华文中宋"/>
          <w:bCs/>
          <w:szCs w:val="44"/>
          <w:lang w:eastAsia="zh-CN"/>
        </w:rPr>
        <w:t>第四部分</w:t>
      </w:r>
      <w:r>
        <w:rPr>
          <w:rFonts w:hint="eastAsia" w:ascii="华文中宋" w:hAnsi="华文中宋" w:eastAsia="华文中宋" w:cs="华文中宋"/>
          <w:bCs/>
          <w:szCs w:val="44"/>
          <w:lang w:val="en-US" w:eastAsia="zh-CN"/>
        </w:rPr>
        <w:t xml:space="preserve"> </w:t>
      </w:r>
      <w:r>
        <w:rPr>
          <w:rFonts w:hint="eastAsia" w:ascii="华文中宋" w:hAnsi="华文中宋" w:eastAsia="华文中宋" w:cs="华文中宋"/>
          <w:bCs/>
          <w:szCs w:val="44"/>
          <w:lang w:eastAsia="zh-CN"/>
        </w:rPr>
        <w:t>询价响应文件格式</w:t>
      </w:r>
      <w:r>
        <w:tab/>
      </w:r>
      <w:r>
        <w:fldChar w:fldCharType="begin"/>
      </w:r>
      <w:r>
        <w:instrText xml:space="preserve"> PAGEREF _Toc4237 \h </w:instrText>
      </w:r>
      <w:r>
        <w:fldChar w:fldCharType="separate"/>
      </w:r>
      <w:r>
        <w:t>35</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_Toc24525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附件1：响应函</w:t>
      </w:r>
      <w:r>
        <w:tab/>
      </w:r>
      <w:r>
        <w:fldChar w:fldCharType="begin"/>
      </w:r>
      <w:r>
        <w:instrText xml:space="preserve"> PAGEREF _Toc24525 \h </w:instrText>
      </w:r>
      <w:r>
        <w:fldChar w:fldCharType="separate"/>
      </w:r>
      <w:r>
        <w:t>38</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_Toc11557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附件2：法定代表人证明书</w:t>
      </w:r>
      <w:r>
        <w:tab/>
      </w:r>
      <w:r>
        <w:fldChar w:fldCharType="begin"/>
      </w:r>
      <w:r>
        <w:instrText xml:space="preserve"> PAGEREF _Toc11557 \h </w:instrText>
      </w:r>
      <w:r>
        <w:fldChar w:fldCharType="separate"/>
      </w:r>
      <w:r>
        <w:t>39</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_Toc30338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附件3：法定代表人授权书</w:t>
      </w:r>
      <w:r>
        <w:tab/>
      </w:r>
      <w:r>
        <w:fldChar w:fldCharType="begin"/>
      </w:r>
      <w:r>
        <w:instrText xml:space="preserve"> PAGEREF _Toc30338 \h </w:instrText>
      </w:r>
      <w:r>
        <w:fldChar w:fldCharType="separate"/>
      </w:r>
      <w:r>
        <w:t>40</w:t>
      </w:r>
      <w:r>
        <w:fldChar w:fldCharType="end"/>
      </w:r>
      <w:r>
        <w:rPr>
          <w:rFonts w:ascii="Times New Roman" w:hAnsi="Times New Roman" w:eastAsia="宋体" w:cs="Times New Roman"/>
          <w:color w:val="auto"/>
          <w:kern w:val="2"/>
          <w:szCs w:val="32"/>
          <w:lang w:val="en-US" w:eastAsia="zh-CN" w:bidi="ar-SA"/>
        </w:rPr>
        <w:fldChar w:fldCharType="end"/>
      </w:r>
    </w:p>
    <w:p>
      <w:pPr>
        <w:pStyle w:val="13"/>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_Toc7725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附件4：供应商承诺函</w:t>
      </w:r>
      <w:r>
        <w:tab/>
      </w:r>
      <w:r>
        <w:fldChar w:fldCharType="begin"/>
      </w:r>
      <w:r>
        <w:instrText xml:space="preserve"> PAGEREF _Toc7725 \h </w:instrText>
      </w:r>
      <w:r>
        <w:fldChar w:fldCharType="separate"/>
      </w:r>
      <w:r>
        <w:t>41</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_Toc5147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附件5：供应商诚信承诺书</w:t>
      </w:r>
      <w:r>
        <w:tab/>
      </w:r>
      <w:r>
        <w:fldChar w:fldCharType="begin"/>
      </w:r>
      <w:r>
        <w:instrText xml:space="preserve"> PAGEREF _Toc5147 \h </w:instrText>
      </w:r>
      <w:r>
        <w:fldChar w:fldCharType="separate"/>
      </w:r>
      <w:r>
        <w:t>42</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_Toc17138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附件7：无重大违法记录声明</w:t>
      </w:r>
      <w:r>
        <w:tab/>
      </w:r>
      <w:r>
        <w:fldChar w:fldCharType="begin"/>
      </w:r>
      <w:r>
        <w:instrText xml:space="preserve"> PAGEREF _Toc17138 \h </w:instrText>
      </w:r>
      <w:r>
        <w:fldChar w:fldCharType="separate"/>
      </w:r>
      <w:r>
        <w:t>45</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_Toc15925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附件</w:t>
      </w:r>
      <w:r>
        <w:rPr>
          <w:rFonts w:hint="eastAsia" w:ascii="宋体" w:hAnsi="宋体" w:cs="宋体"/>
          <w:bCs w:val="0"/>
          <w:kern w:val="2"/>
          <w:szCs w:val="24"/>
          <w:lang w:val="en-US" w:eastAsia="zh-CN" w:bidi="ar-SA"/>
        </w:rPr>
        <w:t>8</w:t>
      </w:r>
      <w:r>
        <w:rPr>
          <w:rFonts w:hint="eastAsia" w:ascii="宋体" w:hAnsi="宋体" w:eastAsia="宋体" w:cs="宋体"/>
          <w:bCs w:val="0"/>
          <w:kern w:val="2"/>
          <w:szCs w:val="24"/>
          <w:lang w:val="en-US" w:eastAsia="zh-CN" w:bidi="ar-SA"/>
        </w:rPr>
        <w:t>：</w:t>
      </w:r>
      <w:r>
        <w:rPr>
          <w:rFonts w:hint="eastAsia" w:ascii="宋体" w:hAnsi="宋体" w:cs="宋体"/>
          <w:bCs w:val="0"/>
          <w:kern w:val="2"/>
          <w:szCs w:val="24"/>
          <w:lang w:val="en-US" w:eastAsia="zh-CN" w:bidi="ar-SA"/>
        </w:rPr>
        <w:t>询价</w:t>
      </w:r>
      <w:r>
        <w:rPr>
          <w:rFonts w:hint="eastAsia" w:ascii="宋体" w:hAnsi="宋体" w:eastAsia="宋体" w:cs="宋体"/>
          <w:bCs w:val="0"/>
          <w:kern w:val="2"/>
          <w:szCs w:val="24"/>
          <w:lang w:val="en-US" w:eastAsia="zh-CN" w:bidi="ar-SA"/>
        </w:rPr>
        <w:t>报价表</w:t>
      </w:r>
      <w:r>
        <w:tab/>
      </w:r>
      <w:r>
        <w:fldChar w:fldCharType="begin"/>
      </w:r>
      <w:r>
        <w:instrText xml:space="preserve"> PAGEREF _Toc15925 \h </w:instrText>
      </w:r>
      <w:r>
        <w:fldChar w:fldCharType="separate"/>
      </w:r>
      <w:r>
        <w:t>47</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_Toc18436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附件</w:t>
      </w:r>
      <w:r>
        <w:rPr>
          <w:rFonts w:hint="eastAsia" w:ascii="宋体" w:hAnsi="宋体" w:cs="宋体"/>
          <w:bCs w:val="0"/>
          <w:kern w:val="2"/>
          <w:szCs w:val="24"/>
          <w:lang w:val="en-US" w:eastAsia="zh-CN" w:bidi="ar-SA"/>
        </w:rPr>
        <w:t>9</w:t>
      </w:r>
      <w:r>
        <w:rPr>
          <w:rFonts w:hint="eastAsia" w:ascii="宋体" w:hAnsi="宋体" w:eastAsia="宋体" w:cs="宋体"/>
          <w:bCs w:val="0"/>
          <w:kern w:val="2"/>
          <w:szCs w:val="24"/>
          <w:lang w:val="en-US" w:eastAsia="zh-CN" w:bidi="ar-SA"/>
        </w:rPr>
        <w:t>：分项报价表</w:t>
      </w:r>
      <w:r>
        <w:tab/>
      </w:r>
      <w:r>
        <w:fldChar w:fldCharType="begin"/>
      </w:r>
      <w:r>
        <w:instrText xml:space="preserve"> PAGEREF _Toc18436 \h </w:instrText>
      </w:r>
      <w:r>
        <w:fldChar w:fldCharType="separate"/>
      </w:r>
      <w:r>
        <w:t>48</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_Toc16127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附件1</w:t>
      </w:r>
      <w:r>
        <w:rPr>
          <w:rFonts w:hint="eastAsia" w:ascii="宋体" w:hAnsi="宋体" w:cs="宋体"/>
          <w:bCs w:val="0"/>
          <w:kern w:val="2"/>
          <w:szCs w:val="24"/>
          <w:lang w:val="en-US" w:eastAsia="zh-CN" w:bidi="ar-SA"/>
        </w:rPr>
        <w:t>0</w:t>
      </w:r>
      <w:r>
        <w:rPr>
          <w:rFonts w:hint="eastAsia" w:ascii="宋体" w:hAnsi="宋体" w:eastAsia="宋体" w:cs="宋体"/>
          <w:bCs w:val="0"/>
          <w:kern w:val="2"/>
          <w:szCs w:val="24"/>
          <w:lang w:val="en-US" w:eastAsia="zh-CN" w:bidi="ar-SA"/>
        </w:rPr>
        <w:t>：技术规格响应表</w:t>
      </w:r>
      <w:r>
        <w:tab/>
      </w:r>
      <w:r>
        <w:fldChar w:fldCharType="begin"/>
      </w:r>
      <w:r>
        <w:instrText xml:space="preserve"> PAGEREF _Toc16127 \h </w:instrText>
      </w:r>
      <w:r>
        <w:fldChar w:fldCharType="separate"/>
      </w:r>
      <w:r>
        <w:t>49</w:t>
      </w:r>
      <w:r>
        <w:fldChar w:fldCharType="end"/>
      </w:r>
      <w:r>
        <w:rPr>
          <w:rFonts w:ascii="Times New Roman" w:hAnsi="Times New Roman" w:eastAsia="宋体" w:cs="Times New Roman"/>
          <w:color w:val="auto"/>
          <w:kern w:val="2"/>
          <w:szCs w:val="32"/>
          <w:lang w:val="en-US" w:eastAsia="zh-CN" w:bidi="ar-SA"/>
        </w:rPr>
        <w:fldChar w:fldCharType="end"/>
      </w:r>
    </w:p>
    <w:p>
      <w:pPr>
        <w:pStyle w:val="18"/>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_Toc18246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附件1</w:t>
      </w:r>
      <w:r>
        <w:rPr>
          <w:rFonts w:hint="eastAsia" w:ascii="宋体" w:hAnsi="宋体" w:cs="宋体"/>
          <w:bCs w:val="0"/>
          <w:kern w:val="2"/>
          <w:szCs w:val="24"/>
          <w:lang w:val="en-US" w:eastAsia="zh-CN" w:bidi="ar-SA"/>
        </w:rPr>
        <w:t>1</w:t>
      </w:r>
      <w:r>
        <w:rPr>
          <w:rFonts w:hint="eastAsia" w:ascii="宋体" w:hAnsi="宋体" w:eastAsia="宋体" w:cs="宋体"/>
          <w:bCs w:val="0"/>
          <w:kern w:val="2"/>
          <w:szCs w:val="24"/>
          <w:lang w:val="en-US" w:eastAsia="zh-CN" w:bidi="ar-SA"/>
        </w:rPr>
        <w:t>：产品相关资料（具备履行合同所必须的设备和专业技术能力证明）</w:t>
      </w:r>
      <w:r>
        <w:tab/>
      </w:r>
      <w:r>
        <w:fldChar w:fldCharType="begin"/>
      </w:r>
      <w:r>
        <w:instrText xml:space="preserve"> PAGEREF _Toc18246 \h </w:instrText>
      </w:r>
      <w:r>
        <w:fldChar w:fldCharType="separate"/>
      </w:r>
      <w:r>
        <w:t>50</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_Toc10105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szCs w:val="24"/>
          <w:lang w:eastAsia="zh-CN"/>
        </w:rPr>
        <w:t>第五部分</w:t>
      </w:r>
      <w:r>
        <w:rPr>
          <w:rFonts w:hint="eastAsia" w:ascii="宋体" w:hAnsi="宋体" w:eastAsia="宋体" w:cs="宋体"/>
          <w:bCs w:val="0"/>
          <w:szCs w:val="24"/>
        </w:rPr>
        <w:t xml:space="preserve"> 青海省采购项目合同书范本</w:t>
      </w:r>
      <w:r>
        <w:tab/>
      </w:r>
      <w:r>
        <w:fldChar w:fldCharType="begin"/>
      </w:r>
      <w:r>
        <w:instrText xml:space="preserve"> PAGEREF _Toc10105 \h </w:instrText>
      </w:r>
      <w:r>
        <w:fldChar w:fldCharType="separate"/>
      </w:r>
      <w:r>
        <w:t>51</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rPr>
          <w:rFonts w:ascii="Times New Roman" w:hAnsi="Times New Roman" w:eastAsia="宋体" w:cs="Times New Roman"/>
          <w:color w:val="auto"/>
          <w:kern w:val="2"/>
          <w:szCs w:val="32"/>
          <w:lang w:val="en-US" w:eastAsia="zh-CN" w:bidi="ar-SA"/>
        </w:rPr>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_Toc6589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szCs w:val="24"/>
        </w:rPr>
        <w:t>（货物类）</w:t>
      </w:r>
      <w:r>
        <w:tab/>
      </w:r>
      <w:r>
        <w:fldChar w:fldCharType="begin"/>
      </w:r>
      <w:r>
        <w:instrText xml:space="preserve"> PAGEREF _Toc6589 \h </w:instrText>
      </w:r>
      <w:r>
        <w:fldChar w:fldCharType="separate"/>
      </w:r>
      <w:r>
        <w:t>52</w:t>
      </w:r>
      <w:r>
        <w:fldChar w:fldCharType="end"/>
      </w:r>
      <w:r>
        <w:rPr>
          <w:rFonts w:ascii="Times New Roman" w:hAnsi="Times New Roman" w:eastAsia="宋体" w:cs="Times New Roman"/>
          <w:color w:val="auto"/>
          <w:kern w:val="2"/>
          <w:szCs w:val="32"/>
          <w:lang w:val="en-US" w:eastAsia="zh-CN" w:bidi="ar-SA"/>
        </w:rPr>
        <w:fldChar w:fldCharType="end"/>
      </w:r>
    </w:p>
    <w:p>
      <w:pPr>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pStyle w:val="8"/>
        <w:rPr>
          <w:rFonts w:ascii="Times New Roman" w:hAnsi="Times New Roman" w:eastAsia="宋体" w:cs="Times New Roman"/>
          <w:color w:val="auto"/>
          <w:kern w:val="2"/>
          <w:szCs w:val="32"/>
          <w:lang w:val="en-US" w:eastAsia="zh-CN" w:bidi="ar-SA"/>
        </w:rPr>
      </w:pPr>
    </w:p>
    <w:p>
      <w:pPr>
        <w:pStyle w:val="9"/>
        <w:rPr>
          <w:lang w:val="en-US" w:eastAsia="zh-CN"/>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宋体" w:cs="Times New Roman"/>
          <w:color w:val="auto"/>
          <w:kern w:val="2"/>
          <w:szCs w:val="32"/>
          <w:lang w:val="en-US" w:eastAsia="zh-CN" w:bidi="ar-SA"/>
        </w:rPr>
      </w:pPr>
    </w:p>
    <w:p>
      <w:pPr>
        <w:keepLines w:val="0"/>
        <w:pageBreakBefore w:val="0"/>
        <w:widowControl w:val="0"/>
        <w:kinsoku/>
        <w:wordWrap/>
        <w:overflowPunct/>
        <w:topLinePunct w:val="0"/>
        <w:autoSpaceDE/>
        <w:autoSpaceDN/>
        <w:bidi w:val="0"/>
        <w:adjustRightInd/>
        <w:snapToGrid/>
        <w:textAlignment w:val="auto"/>
        <w:outlineLvl w:val="9"/>
      </w:pPr>
    </w:p>
    <w:p>
      <w:pPr>
        <w:pStyle w:val="3"/>
        <w:keepNext/>
        <w:widowControl w:val="0"/>
        <w:numPr>
          <w:ilvl w:val="0"/>
          <w:numId w:val="1"/>
        </w:numPr>
        <w:wordWrap/>
        <w:adjustRightInd w:val="0"/>
        <w:snapToGrid w:val="0"/>
        <w:spacing w:before="157" w:beforeLines="50" w:line="560" w:lineRule="exact"/>
        <w:jc w:val="center"/>
        <w:textAlignment w:val="auto"/>
        <w:outlineLvl w:val="0"/>
        <w:rPr>
          <w:rFonts w:hint="eastAsia" w:ascii="华文中宋" w:hAnsi="华文中宋" w:eastAsia="华文中宋" w:cs="华文中宋"/>
          <w:b w:val="0"/>
          <w:bCs w:val="0"/>
          <w:color w:val="auto"/>
          <w:sz w:val="44"/>
          <w:szCs w:val="44"/>
          <w:lang w:val="en-US" w:eastAsia="zh-CN"/>
        </w:rPr>
      </w:pPr>
      <w:r>
        <w:rPr>
          <w:rFonts w:ascii="Times New Roman" w:hAnsi="Times New Roman" w:eastAsia="宋体" w:cs="Times New Roman"/>
          <w:color w:val="auto"/>
          <w:kern w:val="2"/>
          <w:szCs w:val="32"/>
          <w:lang w:val="en-US" w:eastAsia="zh-CN" w:bidi="ar-SA"/>
        </w:rPr>
        <w:fldChar w:fldCharType="end"/>
      </w:r>
      <w:bookmarkStart w:id="0" w:name="_Toc1862"/>
      <w:r>
        <w:rPr>
          <w:rFonts w:hint="eastAsia" w:ascii="华文中宋" w:hAnsi="华文中宋" w:eastAsia="华文中宋" w:cs="华文中宋"/>
          <w:b w:val="0"/>
          <w:bCs w:val="0"/>
          <w:color w:val="auto"/>
          <w:sz w:val="44"/>
          <w:szCs w:val="44"/>
          <w:lang w:val="en-US" w:eastAsia="zh-CN"/>
        </w:rPr>
        <w:t>询价邀请</w:t>
      </w:r>
      <w:bookmarkEnd w:id="0"/>
    </w:p>
    <w:p>
      <w:pPr>
        <w:numPr>
          <w:ilvl w:val="0"/>
          <w:numId w:val="0"/>
        </w:numPr>
        <w:rPr>
          <w:rFonts w:hint="eastAsia"/>
          <w:color w:val="auto"/>
        </w:rPr>
      </w:pPr>
    </w:p>
    <w:tbl>
      <w:tblPr>
        <w:tblStyle w:val="23"/>
        <w:tblW w:w="894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93"/>
        <w:gridCol w:w="67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采购项目</w:t>
            </w:r>
            <w:r>
              <w:rPr>
                <w:rFonts w:hint="eastAsia" w:ascii="宋体" w:hAnsi="宋体" w:eastAsia="宋体" w:cs="宋体"/>
                <w:color w:val="auto"/>
                <w:sz w:val="24"/>
                <w:szCs w:val="24"/>
                <w:lang w:eastAsia="zh-CN"/>
              </w:rPr>
              <w:t>名称</w:t>
            </w:r>
          </w:p>
        </w:tc>
        <w:tc>
          <w:tcPr>
            <w:tcW w:w="6753" w:type="dxa"/>
            <w:tcBorders>
              <w:tl2br w:val="nil"/>
              <w:tr2bl w:val="nil"/>
            </w:tcBorders>
            <w:vAlign w:val="top"/>
          </w:tcPr>
          <w:p>
            <w:pPr>
              <w:wordWrap/>
              <w:adjustRightInd w:val="0"/>
              <w:snapToGrid w:val="0"/>
              <w:spacing w:before="157" w:beforeLines="50" w:line="5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音频系统更新及部分视频监控升级项目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采购项目编号</w:t>
            </w:r>
          </w:p>
        </w:tc>
        <w:tc>
          <w:tcPr>
            <w:tcW w:w="6753" w:type="dxa"/>
            <w:tcBorders>
              <w:tl2br w:val="nil"/>
              <w:tr2bl w:val="nil"/>
            </w:tcBorders>
            <w:vAlign w:val="top"/>
          </w:tcPr>
          <w:p>
            <w:pPr>
              <w:wordWrap/>
              <w:adjustRightInd w:val="0"/>
              <w:snapToGrid w:val="0"/>
              <w:spacing w:before="157" w:beforeLines="50" w:line="560" w:lineRule="exact"/>
              <w:jc w:val="left"/>
              <w:rPr>
                <w:rFonts w:hint="default" w:ascii="宋体" w:hAnsi="宋体" w:eastAsia="宋体" w:cs="宋体"/>
                <w:color w:val="auto"/>
                <w:kern w:val="2"/>
                <w:sz w:val="24"/>
                <w:szCs w:val="24"/>
                <w:u w:val="single"/>
                <w:lang w:val="en-US"/>
              </w:rPr>
            </w:pPr>
            <w:r>
              <w:rPr>
                <w:rFonts w:hint="eastAsia" w:ascii="宋体" w:hAnsi="宋体" w:cs="宋体"/>
                <w:color w:val="auto"/>
                <w:sz w:val="24"/>
                <w:szCs w:val="24"/>
                <w:lang w:val="en-US" w:eastAsia="zh-CN"/>
              </w:rPr>
              <w:t>青海东煌询价（货物）2022-008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采购方式</w:t>
            </w:r>
          </w:p>
        </w:tc>
        <w:tc>
          <w:tcPr>
            <w:tcW w:w="6753" w:type="dxa"/>
            <w:tcBorders>
              <w:tl2br w:val="nil"/>
              <w:tr2bl w:val="nil"/>
            </w:tcBorders>
            <w:vAlign w:val="top"/>
          </w:tcPr>
          <w:p>
            <w:pPr>
              <w:wordWrap/>
              <w:adjustRightInd w:val="0"/>
              <w:snapToGrid w:val="0"/>
              <w:spacing w:before="157" w:beforeLines="50" w:line="560" w:lineRule="exact"/>
              <w:jc w:val="lef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询价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采购预算额度</w:t>
            </w:r>
          </w:p>
        </w:tc>
        <w:tc>
          <w:tcPr>
            <w:tcW w:w="6753" w:type="dxa"/>
            <w:tcBorders>
              <w:tl2br w:val="nil"/>
              <w:tr2bl w:val="nil"/>
            </w:tcBorders>
            <w:vAlign w:val="top"/>
          </w:tcPr>
          <w:p>
            <w:pPr>
              <w:wordWrap/>
              <w:adjustRightInd w:val="0"/>
              <w:snapToGrid w:val="0"/>
              <w:spacing w:before="157" w:beforeLines="50" w:line="560" w:lineRule="exact"/>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76.6</w:t>
            </w:r>
            <w:r>
              <w:rPr>
                <w:rFonts w:hint="eastAsia" w:ascii="宋体" w:hAnsi="宋体" w:eastAsia="宋体" w:cs="宋体"/>
                <w:color w:val="auto"/>
                <w:sz w:val="24"/>
                <w:szCs w:val="24"/>
                <w:lang w:val="en-US" w:eastAsia="zh-CN"/>
              </w:rPr>
              <w:t>万</w:t>
            </w:r>
            <w:r>
              <w:rPr>
                <w:rFonts w:hint="eastAsia" w:ascii="宋体" w:hAnsi="宋体" w:eastAsia="宋体" w:cs="宋体"/>
                <w:color w:val="auto"/>
                <w:sz w:val="24"/>
                <w:szCs w:val="24"/>
                <w:lang w:eastAsia="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项目分包个数</w:t>
            </w:r>
          </w:p>
        </w:tc>
        <w:tc>
          <w:tcPr>
            <w:tcW w:w="6753" w:type="dxa"/>
            <w:tcBorders>
              <w:tl2br w:val="nil"/>
              <w:tr2bl w:val="nil"/>
            </w:tcBorders>
            <w:vAlign w:val="top"/>
          </w:tcPr>
          <w:p>
            <w:pPr>
              <w:wordWrap/>
              <w:adjustRightInd w:val="0"/>
              <w:snapToGrid w:val="0"/>
              <w:spacing w:before="157" w:beforeLines="50" w:line="560" w:lineRule="exact"/>
              <w:jc w:val="left"/>
              <w:rPr>
                <w:rFonts w:hint="eastAsia" w:ascii="宋体" w:hAnsi="宋体" w:eastAsia="宋体" w:cs="宋体"/>
                <w:color w:val="auto"/>
                <w:sz w:val="24"/>
                <w:szCs w:val="24"/>
                <w:u w:val="none"/>
              </w:rPr>
            </w:pPr>
            <w:r>
              <w:rPr>
                <w:rFonts w:hint="eastAsia" w:ascii="宋体" w:hAnsi="宋体" w:eastAsia="宋体" w:cs="宋体"/>
                <w:color w:val="auto"/>
                <w:kern w:val="2"/>
                <w:sz w:val="24"/>
                <w:szCs w:val="24"/>
                <w:u w:val="none"/>
                <w:lang w:val="zh-CN"/>
              </w:rPr>
              <w:t>无分包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rPr>
                <w:rFonts w:hint="eastAsia" w:ascii="宋体" w:hAnsi="宋体" w:eastAsia="宋体" w:cs="宋体"/>
                <w:color w:val="auto"/>
                <w:sz w:val="24"/>
                <w:szCs w:val="24"/>
              </w:rPr>
            </w:pPr>
            <w:r>
              <w:rPr>
                <w:rFonts w:hint="eastAsia" w:ascii="宋体" w:hAnsi="宋体" w:eastAsia="宋体" w:cs="宋体"/>
                <w:bCs/>
                <w:color w:val="auto"/>
                <w:sz w:val="24"/>
                <w:szCs w:val="24"/>
              </w:rPr>
              <w:t>供应商</w:t>
            </w:r>
            <w:r>
              <w:rPr>
                <w:rFonts w:hint="eastAsia" w:ascii="宋体" w:hAnsi="宋体" w:eastAsia="宋体" w:cs="宋体"/>
                <w:color w:val="auto"/>
                <w:sz w:val="24"/>
                <w:szCs w:val="24"/>
              </w:rPr>
              <w:t>资格条件</w:t>
            </w:r>
          </w:p>
        </w:tc>
        <w:tc>
          <w:tcPr>
            <w:tcW w:w="6753" w:type="dxa"/>
            <w:tcBorders>
              <w:tl2br w:val="nil"/>
              <w:tr2bl w:val="nil"/>
            </w:tcBorders>
            <w:vAlign w:val="top"/>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1、投标人应当符合《中华人民共和国政府采购法》第二十二条规定的条件且具有独立法人资格：</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（1）具有独立承担民事责任能力；</w:t>
            </w:r>
            <w:r>
              <w:rPr>
                <w:rFonts w:hint="eastAsia" w:ascii="宋体" w:hAnsi="宋体" w:eastAsia="宋体" w:cs="宋体"/>
                <w:color w:val="auto"/>
                <w:sz w:val="24"/>
                <w:szCs w:val="24"/>
                <w:u w:val="none"/>
                <w:lang w:val="en-US" w:eastAsia="zh-CN"/>
              </w:rPr>
              <w:br w:type="textWrapping"/>
            </w:r>
            <w:r>
              <w:rPr>
                <w:rFonts w:hint="eastAsia" w:ascii="宋体" w:hAnsi="宋体" w:eastAsia="宋体" w:cs="宋体"/>
                <w:color w:val="auto"/>
                <w:sz w:val="24"/>
                <w:szCs w:val="24"/>
                <w:u w:val="none"/>
                <w:lang w:val="en-US" w:eastAsia="zh-CN"/>
              </w:rPr>
              <w:t>（2）具有良好的商业信誉和健全的财务会计制度；</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（3）具有履行合同所必需的设备和专业技术能力；</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（4）有依法缴纳税收和社会保障资金的良好记录；</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（5）参加政府采购活动前3年以上内在经营活动中没有重大违法记；</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（6）法律、行政法规规定的其他条件。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是否接收联合体形式</w:t>
            </w:r>
          </w:p>
        </w:tc>
        <w:tc>
          <w:tcPr>
            <w:tcW w:w="6753" w:type="dxa"/>
            <w:tcBorders>
              <w:tl2br w:val="nil"/>
              <w:tr2bl w:val="nil"/>
            </w:tcBorders>
            <w:vAlign w:val="center"/>
          </w:tcPr>
          <w:p>
            <w:pPr>
              <w:widowControl w:val="0"/>
              <w:wordWrap/>
              <w:adjustRightInd w:val="0"/>
              <w:snapToGrid w:val="0"/>
              <w:spacing w:line="5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本项目</w:t>
            </w:r>
            <w:r>
              <w:rPr>
                <w:rFonts w:hint="eastAsia" w:ascii="宋体" w:hAnsi="宋体" w:eastAsia="宋体" w:cs="宋体"/>
                <w:color w:val="auto"/>
                <w:kern w:val="0"/>
                <w:sz w:val="24"/>
                <w:szCs w:val="24"/>
                <w:u w:val="single"/>
                <w:lang w:val="en-US" w:eastAsia="zh-CN"/>
              </w:rPr>
              <w:t>不接受</w:t>
            </w:r>
            <w:r>
              <w:rPr>
                <w:rFonts w:hint="eastAsia" w:ascii="宋体" w:hAnsi="宋体" w:eastAsia="宋体" w:cs="宋体"/>
                <w:color w:val="auto"/>
                <w:kern w:val="0"/>
                <w:sz w:val="24"/>
                <w:szCs w:val="24"/>
                <w:lang w:val="zh-CN"/>
              </w:rPr>
              <w:t>供应商以联合体方式进行</w:t>
            </w:r>
            <w:r>
              <w:rPr>
                <w:rFonts w:hint="eastAsia" w:ascii="宋体" w:hAnsi="宋体" w:cs="宋体"/>
                <w:color w:val="auto"/>
                <w:kern w:val="0"/>
                <w:sz w:val="24"/>
                <w:szCs w:val="24"/>
                <w:lang w:val="zh-CN"/>
              </w:rPr>
              <w:t>询价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进口产品</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kern w:val="0"/>
                <w:sz w:val="24"/>
                <w:szCs w:val="24"/>
                <w:lang w:val="zh-CN"/>
              </w:rPr>
            </w:pPr>
            <w:r>
              <w:rPr>
                <w:rFonts w:hint="eastAsia" w:ascii="宋体" w:hAnsi="宋体" w:eastAsia="宋体" w:cs="宋体"/>
                <w:b w:val="0"/>
                <w:bCs/>
                <w:color w:val="auto"/>
                <w:sz w:val="24"/>
                <w:szCs w:val="24"/>
              </w:rPr>
              <w:t>本项目</w:t>
            </w:r>
            <w:r>
              <w:rPr>
                <w:rFonts w:hint="eastAsia" w:ascii="宋体" w:hAnsi="宋体" w:eastAsia="宋体" w:cs="宋体"/>
                <w:b w:val="0"/>
                <w:bCs/>
                <w:color w:val="auto"/>
                <w:sz w:val="24"/>
                <w:szCs w:val="24"/>
                <w:u w:val="single"/>
              </w:rPr>
              <w:t>拒绝</w:t>
            </w:r>
            <w:r>
              <w:rPr>
                <w:rFonts w:hint="eastAsia" w:ascii="宋体" w:hAnsi="宋体" w:eastAsia="宋体" w:cs="宋体"/>
                <w:b w:val="0"/>
                <w:bCs/>
                <w:color w:val="auto"/>
                <w:sz w:val="24"/>
                <w:szCs w:val="24"/>
              </w:rPr>
              <w:t>进</w:t>
            </w:r>
            <w:r>
              <w:rPr>
                <w:rFonts w:hint="eastAsia" w:ascii="宋体" w:hAnsi="宋体" w:eastAsia="宋体" w:cs="宋体"/>
                <w:color w:val="auto"/>
                <w:sz w:val="24"/>
                <w:szCs w:val="24"/>
              </w:rPr>
              <w:t>口产品参加</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u w:val="none"/>
                <w:lang w:eastAsia="zh-CN"/>
              </w:rPr>
            </w:pPr>
            <w:r>
              <w:rPr>
                <w:rFonts w:hint="eastAsia" w:ascii="宋体" w:hAnsi="宋体" w:eastAsia="宋体" w:cs="宋体"/>
                <w:bCs/>
                <w:color w:val="auto"/>
                <w:sz w:val="24"/>
                <w:szCs w:val="24"/>
                <w:u w:val="none"/>
                <w:lang w:eastAsia="zh-CN"/>
              </w:rPr>
              <w:t>公告发布时间</w:t>
            </w:r>
          </w:p>
        </w:tc>
        <w:tc>
          <w:tcPr>
            <w:tcW w:w="6753" w:type="dxa"/>
            <w:tcBorders>
              <w:tl2br w:val="nil"/>
              <w:tr2bl w:val="nil"/>
            </w:tcBorders>
            <w:vAlign w:val="center"/>
          </w:tcPr>
          <w:p>
            <w:pPr>
              <w:widowControl w:val="0"/>
              <w:wordWrap/>
              <w:adjustRightInd w:val="0"/>
              <w:snapToGrid w:val="0"/>
              <w:spacing w:line="560" w:lineRule="exact"/>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kern w:val="0"/>
                <w:sz w:val="24"/>
                <w:szCs w:val="24"/>
                <w:highlight w:val="none"/>
                <w:u w:val="none"/>
                <w:lang w:val="en-US" w:eastAsia="zh-CN"/>
              </w:rPr>
              <w:t>2022</w:t>
            </w:r>
            <w:r>
              <w:rPr>
                <w:rFonts w:hint="eastAsia" w:ascii="宋体" w:hAnsi="宋体" w:eastAsia="宋体" w:cs="宋体"/>
                <w:color w:val="auto"/>
                <w:kern w:val="0"/>
                <w:sz w:val="24"/>
                <w:szCs w:val="24"/>
                <w:highlight w:val="none"/>
                <w:u w:val="none"/>
              </w:rPr>
              <w:t>年</w:t>
            </w:r>
            <w:r>
              <w:rPr>
                <w:rFonts w:hint="eastAsia" w:ascii="宋体" w:hAnsi="宋体" w:cs="宋体"/>
                <w:color w:val="auto"/>
                <w:kern w:val="0"/>
                <w:sz w:val="24"/>
                <w:szCs w:val="24"/>
                <w:highlight w:val="none"/>
                <w:u w:val="none"/>
                <w:lang w:val="en-US" w:eastAsia="zh-CN"/>
              </w:rPr>
              <w:t>03</w:t>
            </w:r>
            <w:r>
              <w:rPr>
                <w:rFonts w:hint="eastAsia" w:ascii="宋体" w:hAnsi="宋体" w:eastAsia="宋体" w:cs="宋体"/>
                <w:color w:val="auto"/>
                <w:kern w:val="0"/>
                <w:sz w:val="24"/>
                <w:szCs w:val="24"/>
                <w:highlight w:val="none"/>
                <w:u w:val="none"/>
              </w:rPr>
              <w:t>月</w:t>
            </w:r>
            <w:r>
              <w:rPr>
                <w:rFonts w:hint="eastAsia" w:ascii="宋体" w:hAnsi="宋体" w:cs="宋体"/>
                <w:color w:val="auto"/>
                <w:kern w:val="0"/>
                <w:sz w:val="24"/>
                <w:szCs w:val="24"/>
                <w:highlight w:val="none"/>
                <w:u w:val="none"/>
                <w:lang w:val="en-US" w:eastAsia="zh-CN"/>
              </w:rPr>
              <w:t>22</w:t>
            </w:r>
            <w:r>
              <w:rPr>
                <w:rFonts w:hint="eastAsia" w:ascii="宋体" w:hAnsi="宋体" w:eastAsia="宋体" w:cs="宋体"/>
                <w:color w:val="auto"/>
                <w:kern w:val="0"/>
                <w:sz w:val="24"/>
                <w:szCs w:val="24"/>
                <w:highlight w:val="none"/>
                <w:u w:val="none"/>
              </w:rPr>
              <w:t>日（北京时间）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spacing w:before="157" w:beforeLines="50" w:line="560" w:lineRule="exact"/>
              <w:jc w:val="center"/>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文件发售起止时间</w:t>
            </w:r>
          </w:p>
        </w:tc>
        <w:tc>
          <w:tcPr>
            <w:tcW w:w="6753" w:type="dxa"/>
            <w:tcBorders>
              <w:tl2br w:val="nil"/>
              <w:tr2bl w:val="nil"/>
            </w:tcBorders>
            <w:vAlign w:val="top"/>
          </w:tcPr>
          <w:p>
            <w:pPr>
              <w:widowControl w:val="0"/>
              <w:wordWrap/>
              <w:spacing w:line="56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2022年</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eastAsia="zh-CN"/>
              </w:rPr>
              <w:t>日至</w:t>
            </w:r>
            <w:r>
              <w:rPr>
                <w:rFonts w:hint="eastAsia" w:ascii="宋体" w:hAnsi="宋体" w:eastAsia="宋体" w:cs="宋体"/>
                <w:color w:val="auto"/>
                <w:sz w:val="24"/>
                <w:szCs w:val="24"/>
                <w:highlight w:val="none"/>
                <w:lang w:val="en-US" w:eastAsia="zh-CN"/>
              </w:rPr>
              <w:t>2022年</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rPr>
              <w:t>日，每天上午</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0-12:00,下午</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:30-</w:t>
            </w:r>
            <w:r>
              <w:rPr>
                <w:rFonts w:hint="eastAsia" w:ascii="宋体" w:hAnsi="宋体" w:eastAsia="宋体" w:cs="宋体"/>
                <w:color w:val="auto"/>
                <w:sz w:val="24"/>
                <w:szCs w:val="24"/>
                <w:highlight w:val="none"/>
                <w:lang w:val="en-US" w:eastAsia="zh-CN"/>
              </w:rPr>
              <w:t>17:</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（午休、节假日除外）。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3" w:hRule="atLeast"/>
        </w:trPr>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获取方式</w:t>
            </w:r>
          </w:p>
        </w:tc>
        <w:tc>
          <w:tcPr>
            <w:tcW w:w="6753" w:type="dxa"/>
            <w:tcBorders>
              <w:tl2br w:val="nil"/>
              <w:tr2bl w:val="nil"/>
            </w:tcBorders>
            <w:vAlign w:val="center"/>
          </w:tcPr>
          <w:p>
            <w:pPr>
              <w:widowControl w:val="0"/>
              <w:tabs>
                <w:tab w:val="left" w:pos="320"/>
              </w:tabs>
              <w:wordWrap/>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现场购买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spacing w:before="157" w:beforeLines="50" w:line="560" w:lineRule="exact"/>
              <w:jc w:val="center"/>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文件售价</w:t>
            </w:r>
          </w:p>
        </w:tc>
        <w:tc>
          <w:tcPr>
            <w:tcW w:w="6753" w:type="dxa"/>
            <w:tcBorders>
              <w:tl2br w:val="nil"/>
              <w:tr2bl w:val="nil"/>
            </w:tcBorders>
            <w:vAlign w:val="center"/>
          </w:tcPr>
          <w:p>
            <w:pPr>
              <w:widowControl w:val="0"/>
              <w:wordWrap/>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500</w:t>
            </w:r>
            <w:r>
              <w:rPr>
                <w:rFonts w:hint="eastAsia" w:ascii="宋体" w:hAnsi="宋体" w:eastAsia="宋体" w:cs="宋体"/>
                <w:color w:val="auto"/>
                <w:sz w:val="24"/>
                <w:szCs w:val="24"/>
              </w:rPr>
              <w:t>元/份（</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 xml:space="preserve">文件售后不退, </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资格不能转让）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spacing w:before="157" w:beforeLines="50" w:line="5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文件发售地点</w:t>
            </w:r>
          </w:p>
        </w:tc>
        <w:tc>
          <w:tcPr>
            <w:tcW w:w="6753" w:type="dxa"/>
            <w:tcBorders>
              <w:tl2br w:val="nil"/>
              <w:tr2bl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Theme="minorEastAsia" w:hAnsiTheme="minorEastAsia" w:eastAsiaTheme="minorEastAsia" w:cstheme="minorEastAsia"/>
                <w:color w:val="auto"/>
                <w:sz w:val="24"/>
                <w:szCs w:val="24"/>
                <w:lang w:val="zh-CN"/>
              </w:rPr>
            </w:pPr>
            <w:r>
              <w:rPr>
                <w:rFonts w:hint="eastAsia" w:ascii="宋体" w:hAnsi="宋体" w:eastAsia="宋体" w:cs="宋体"/>
                <w:color w:val="auto"/>
                <w:sz w:val="24"/>
                <w:szCs w:val="24"/>
                <w:lang w:val="zh-CN"/>
              </w:rPr>
              <w:t>地点：</w:t>
            </w:r>
            <w:r>
              <w:rPr>
                <w:rFonts w:hint="eastAsia" w:asciiTheme="minorEastAsia" w:hAnsiTheme="minorEastAsia" w:eastAsiaTheme="minorEastAsia" w:cstheme="minorEastAsia"/>
                <w:color w:val="333333"/>
                <w:kern w:val="0"/>
                <w:sz w:val="24"/>
                <w:szCs w:val="24"/>
                <w:lang w:val="en-US" w:eastAsia="zh-CN" w:bidi="ar"/>
              </w:rPr>
              <w:t>青海省西宁市城西区万达SOHO4号楼3楼东侧</w:t>
            </w:r>
            <w:bookmarkStart w:id="706" w:name="_GoBack"/>
            <w:bookmarkEnd w:id="706"/>
          </w:p>
          <w:p>
            <w:pPr>
              <w:widowControl w:val="0"/>
              <w:wordWrap/>
              <w:adjustRightInd w:val="0"/>
              <w:snapToGrid w:val="0"/>
              <w:spacing w:line="5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标书购买联系人：</w:t>
            </w:r>
            <w:r>
              <w:rPr>
                <w:rFonts w:hint="eastAsia" w:ascii="宋体" w:hAnsi="宋体" w:cs="宋体"/>
                <w:color w:val="auto"/>
                <w:sz w:val="24"/>
                <w:szCs w:val="24"/>
                <w:lang w:val="en-US" w:eastAsia="zh-CN"/>
              </w:rPr>
              <w:t>曹娜</w:t>
            </w:r>
          </w:p>
          <w:p>
            <w:pPr>
              <w:widowControl w:val="0"/>
              <w:wordWrap/>
              <w:adjustRightInd w:val="0"/>
              <w:snapToGrid w:val="0"/>
              <w:spacing w:line="560" w:lineRule="exact"/>
              <w:jc w:val="left"/>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lang w:val="zh-CN"/>
              </w:rPr>
              <w:t>电话：</w:t>
            </w:r>
            <w:r>
              <w:rPr>
                <w:rFonts w:hint="eastAsia" w:ascii="宋体" w:hAnsi="宋体"/>
                <w:color w:val="auto"/>
                <w:sz w:val="24"/>
                <w:szCs w:val="22"/>
                <w:lang w:val="en-US" w:eastAsia="zh-CN"/>
              </w:rPr>
              <w:t>18909783174</w:t>
            </w:r>
          </w:p>
          <w:p>
            <w:pPr>
              <w:widowControl w:val="0"/>
              <w:wordWrap/>
              <w:adjustRightInd w:val="0"/>
              <w:snapToGrid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电子邮箱：</w:t>
            </w:r>
            <w:r>
              <w:rPr>
                <w:rFonts w:hint="eastAsia" w:ascii="宋体" w:hAnsi="宋体"/>
                <w:color w:val="auto"/>
                <w:sz w:val="24"/>
                <w:szCs w:val="22"/>
                <w:lang w:val="en-US" w:eastAsia="zh-CN"/>
              </w:rPr>
              <w:t>465352102@qq.com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购买</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文件时应提供的材料</w:t>
            </w:r>
          </w:p>
        </w:tc>
        <w:tc>
          <w:tcPr>
            <w:tcW w:w="6753" w:type="dxa"/>
            <w:tcBorders>
              <w:tl2br w:val="nil"/>
              <w:tr2bl w:val="nil"/>
            </w:tcBorders>
            <w:vAlign w:val="center"/>
          </w:tcPr>
          <w:p>
            <w:pPr>
              <w:widowControl w:val="0"/>
              <w:wordWrap/>
              <w:adjustRightInd w:val="0"/>
              <w:snapToGrid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供应商的营业执照副本复印件、组织机构代码证副本复印件、税务登记证副本复印件</w:t>
            </w:r>
            <w:r>
              <w:rPr>
                <w:rFonts w:hint="eastAsia" w:ascii="宋体" w:hAnsi="宋体" w:eastAsia="宋体" w:cs="宋体"/>
                <w:color w:val="auto"/>
                <w:kern w:val="0"/>
                <w:sz w:val="24"/>
                <w:szCs w:val="24"/>
                <w:lang w:val="zh-CN"/>
              </w:rPr>
              <w:t>或三证合一新证</w:t>
            </w:r>
            <w:r>
              <w:rPr>
                <w:rFonts w:hint="eastAsia" w:ascii="宋体" w:hAnsi="宋体" w:eastAsia="宋体" w:cs="宋体"/>
                <w:color w:val="auto"/>
                <w:sz w:val="24"/>
                <w:szCs w:val="24"/>
              </w:rPr>
              <w:t>复印件、</w:t>
            </w:r>
            <w:r>
              <w:rPr>
                <w:rFonts w:hint="eastAsia" w:ascii="宋体" w:hAnsi="宋体" w:eastAsia="宋体" w:cs="宋体"/>
                <w:color w:val="auto"/>
                <w:sz w:val="24"/>
                <w:szCs w:val="24"/>
                <w:lang w:eastAsia="zh-CN"/>
              </w:rPr>
              <w:t>法人身份证明书、</w:t>
            </w:r>
            <w:r>
              <w:rPr>
                <w:rFonts w:hint="eastAsia" w:ascii="宋体" w:hAnsi="宋体" w:eastAsia="宋体" w:cs="宋体"/>
                <w:color w:val="auto"/>
                <w:sz w:val="24"/>
                <w:szCs w:val="24"/>
              </w:rPr>
              <w:t>法人授权委托书(附被授权人身份证复印件)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以上资料均需加盖公章。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响应文件有效期</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提交响应文件截止之日起不少于</w:t>
            </w:r>
            <w:r>
              <w:rPr>
                <w:rFonts w:hint="eastAsia" w:ascii="宋体" w:hAnsi="宋体" w:eastAsia="宋体" w:cs="宋体"/>
                <w:color w:val="auto"/>
                <w:sz w:val="24"/>
                <w:szCs w:val="24"/>
                <w:u w:val="single"/>
                <w:lang w:val="en-US" w:eastAsia="zh-CN"/>
              </w:rPr>
              <w:t xml:space="preserve"> 60  </w:t>
            </w:r>
            <w:r>
              <w:rPr>
                <w:rFonts w:hint="eastAsia" w:ascii="宋体" w:hAnsi="宋体" w:eastAsia="宋体" w:cs="宋体"/>
                <w:color w:val="auto"/>
                <w:sz w:val="24"/>
                <w:szCs w:val="24"/>
                <w:lang w:val="en-US" w:eastAsia="zh-CN"/>
              </w:rPr>
              <w:t>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5" w:hRule="atLeast"/>
        </w:trPr>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响应</w:t>
            </w:r>
            <w:r>
              <w:rPr>
                <w:rFonts w:hint="eastAsia" w:ascii="宋体" w:hAnsi="宋体" w:eastAsia="宋体" w:cs="宋体"/>
                <w:color w:val="auto"/>
                <w:sz w:val="24"/>
                <w:szCs w:val="24"/>
              </w:rPr>
              <w:t>文件份数</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一</w:t>
            </w:r>
            <w:r>
              <w:rPr>
                <w:rFonts w:hint="eastAsia" w:ascii="宋体" w:hAnsi="宋体" w:eastAsia="宋体" w:cs="宋体"/>
                <w:color w:val="auto"/>
                <w:sz w:val="24"/>
                <w:szCs w:val="24"/>
                <w:lang w:val="en-US" w:eastAsia="zh-CN"/>
              </w:rPr>
              <w:t>份正本、</w:t>
            </w:r>
            <w:r>
              <w:rPr>
                <w:rFonts w:hint="eastAsia" w:ascii="宋体" w:hAnsi="宋体" w:eastAsia="宋体" w:cs="宋体"/>
                <w:color w:val="auto"/>
                <w:sz w:val="24"/>
                <w:szCs w:val="24"/>
                <w:u w:val="single"/>
                <w:lang w:val="en-US" w:eastAsia="zh-CN"/>
              </w:rPr>
              <w:t>两</w:t>
            </w:r>
            <w:r>
              <w:rPr>
                <w:rFonts w:hint="eastAsia" w:ascii="宋体" w:hAnsi="宋体" w:eastAsia="宋体" w:cs="宋体"/>
                <w:color w:val="auto"/>
                <w:sz w:val="24"/>
                <w:szCs w:val="24"/>
                <w:u w:val="none"/>
                <w:lang w:val="en-US" w:eastAsia="zh-CN"/>
              </w:rPr>
              <w:t>份副本、</w:t>
            </w:r>
            <w:r>
              <w:rPr>
                <w:rFonts w:hint="eastAsia" w:ascii="宋体" w:hAnsi="宋体" w:eastAsia="宋体" w:cs="宋体"/>
                <w:color w:val="auto"/>
                <w:sz w:val="24"/>
                <w:szCs w:val="24"/>
                <w:u w:val="single"/>
                <w:lang w:val="en-US" w:eastAsia="zh-CN"/>
              </w:rPr>
              <w:t>一</w:t>
            </w:r>
            <w:r>
              <w:rPr>
                <w:rFonts w:hint="eastAsia" w:ascii="宋体" w:hAnsi="宋体" w:eastAsia="宋体" w:cs="宋体"/>
                <w:color w:val="auto"/>
                <w:sz w:val="24"/>
                <w:szCs w:val="24"/>
                <w:u w:val="none"/>
                <w:lang w:val="en-US" w:eastAsia="zh-CN"/>
              </w:rPr>
              <w:t>份电子文档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封套上应载明的信息</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1.项目名称、采购项目编号；</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2.供应商名称；</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3.响应文件送达时间、地址；</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4.响应文件密封情况；</w:t>
            </w:r>
          </w:p>
          <w:p>
            <w:pPr>
              <w:widowControl w:val="0"/>
              <w:wordWrap/>
              <w:adjustRightInd w:val="0"/>
              <w:snapToGrid w:val="0"/>
              <w:spacing w:line="560" w:lineRule="exac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5.采购人、采购代理机构名称；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响应文件的递交</w:t>
            </w:r>
            <w:r>
              <w:rPr>
                <w:rFonts w:hint="eastAsia" w:ascii="宋体" w:hAnsi="宋体" w:eastAsia="宋体" w:cs="宋体"/>
                <w:color w:val="auto"/>
                <w:sz w:val="24"/>
                <w:szCs w:val="24"/>
                <w:lang w:eastAsia="zh-CN"/>
              </w:rPr>
              <w:t>截止时间</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zh-CN" w:eastAsia="zh-CN"/>
              </w:rPr>
              <w:t>2022年</w:t>
            </w:r>
            <w:r>
              <w:rPr>
                <w:rFonts w:hint="eastAsia" w:ascii="宋体" w:hAnsi="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val="zh-CN" w:eastAsia="zh-CN"/>
              </w:rPr>
              <w:t>月</w:t>
            </w:r>
            <w:r>
              <w:rPr>
                <w:rFonts w:hint="eastAsia" w:ascii="宋体" w:hAnsi="宋体" w:cs="宋体"/>
                <w:color w:val="auto"/>
                <w:sz w:val="24"/>
                <w:szCs w:val="24"/>
                <w:highlight w:val="none"/>
                <w:u w:val="none"/>
                <w:lang w:val="en-US" w:eastAsia="zh-CN"/>
              </w:rPr>
              <w:t>30</w:t>
            </w:r>
            <w:r>
              <w:rPr>
                <w:rFonts w:hint="eastAsia" w:ascii="宋体" w:hAnsi="宋体" w:eastAsia="宋体" w:cs="宋体"/>
                <w:color w:val="auto"/>
                <w:sz w:val="24"/>
                <w:szCs w:val="24"/>
                <w:highlight w:val="none"/>
                <w:u w:val="none"/>
                <w:lang w:val="zh-CN" w:eastAsia="zh-CN"/>
              </w:rPr>
              <w:t>日</w:t>
            </w:r>
            <w:r>
              <w:rPr>
                <w:rFonts w:hint="eastAsia" w:ascii="宋体" w:hAnsi="宋体" w:cs="宋体"/>
                <w:color w:val="auto"/>
                <w:sz w:val="24"/>
                <w:szCs w:val="24"/>
                <w:highlight w:val="none"/>
                <w:u w:val="none"/>
                <w:lang w:val="en-US" w:eastAsia="zh-CN"/>
              </w:rPr>
              <w:t>上</w:t>
            </w:r>
            <w:r>
              <w:rPr>
                <w:rFonts w:hint="eastAsia" w:ascii="宋体" w:hAnsi="宋体" w:cs="宋体"/>
                <w:color w:val="auto"/>
                <w:sz w:val="24"/>
                <w:szCs w:val="24"/>
                <w:highlight w:val="none"/>
                <w:u w:val="none"/>
                <w:lang w:val="zh-CN" w:eastAsia="zh-CN"/>
              </w:rPr>
              <w:t>午</w:t>
            </w:r>
            <w:r>
              <w:rPr>
                <w:rFonts w:hint="eastAsia" w:ascii="宋体" w:hAnsi="宋体" w:cs="宋体"/>
                <w:color w:val="auto"/>
                <w:sz w:val="24"/>
                <w:szCs w:val="24"/>
                <w:highlight w:val="none"/>
                <w:u w:val="none"/>
                <w:lang w:val="en-US" w:eastAsia="zh-CN"/>
              </w:rPr>
              <w:t>10</w:t>
            </w:r>
            <w:r>
              <w:rPr>
                <w:rFonts w:hint="eastAsia" w:ascii="宋体" w:hAnsi="宋体" w:eastAsia="宋体" w:cs="宋体"/>
                <w:color w:val="auto"/>
                <w:sz w:val="24"/>
                <w:szCs w:val="24"/>
                <w:highlight w:val="none"/>
                <w:u w:val="none"/>
                <w:lang w:val="zh-CN" w:eastAsia="zh-CN"/>
              </w:rPr>
              <w:t>:</w:t>
            </w:r>
            <w:r>
              <w:rPr>
                <w:rFonts w:hint="eastAsia" w:ascii="宋体" w:hAnsi="宋体" w:cs="宋体"/>
                <w:color w:val="auto"/>
                <w:sz w:val="24"/>
                <w:szCs w:val="24"/>
                <w:highlight w:val="none"/>
                <w:u w:val="none"/>
                <w:lang w:val="en-US" w:eastAsia="zh-CN"/>
              </w:rPr>
              <w:t>0</w:t>
            </w:r>
            <w:r>
              <w:rPr>
                <w:rFonts w:hint="eastAsia" w:ascii="宋体" w:hAnsi="宋体" w:eastAsia="宋体" w:cs="宋体"/>
                <w:color w:val="auto"/>
                <w:sz w:val="24"/>
                <w:szCs w:val="24"/>
                <w:highlight w:val="none"/>
                <w:u w:val="none"/>
                <w:lang w:val="zh-CN" w:eastAsia="zh-CN"/>
              </w:rPr>
              <w:t>0（北京时间）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询价时间</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highlight w:val="none"/>
                <w:u w:val="none"/>
                <w:lang w:val="zh-CN" w:eastAsia="zh-CN"/>
              </w:rPr>
            </w:pPr>
            <w:r>
              <w:rPr>
                <w:rFonts w:hint="eastAsia" w:ascii="宋体" w:hAnsi="宋体" w:eastAsia="宋体" w:cs="宋体"/>
                <w:color w:val="auto"/>
                <w:sz w:val="24"/>
                <w:szCs w:val="24"/>
                <w:highlight w:val="none"/>
                <w:u w:val="none"/>
                <w:lang w:val="zh-CN" w:eastAsia="zh-CN"/>
              </w:rPr>
              <w:t>2022年</w:t>
            </w:r>
            <w:r>
              <w:rPr>
                <w:rFonts w:hint="eastAsia" w:ascii="宋体" w:hAnsi="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val="zh-CN" w:eastAsia="zh-CN"/>
              </w:rPr>
              <w:t>月</w:t>
            </w:r>
            <w:r>
              <w:rPr>
                <w:rFonts w:hint="eastAsia" w:ascii="宋体" w:hAnsi="宋体" w:cs="宋体"/>
                <w:color w:val="auto"/>
                <w:sz w:val="24"/>
                <w:szCs w:val="24"/>
                <w:highlight w:val="none"/>
                <w:u w:val="none"/>
                <w:lang w:val="en-US" w:eastAsia="zh-CN"/>
              </w:rPr>
              <w:t>30</w:t>
            </w:r>
            <w:r>
              <w:rPr>
                <w:rFonts w:hint="eastAsia" w:ascii="宋体" w:hAnsi="宋体" w:eastAsia="宋体" w:cs="宋体"/>
                <w:color w:val="auto"/>
                <w:sz w:val="24"/>
                <w:szCs w:val="24"/>
                <w:highlight w:val="none"/>
                <w:u w:val="none"/>
                <w:lang w:val="zh-CN" w:eastAsia="zh-CN"/>
              </w:rPr>
              <w:t>日</w:t>
            </w:r>
            <w:r>
              <w:rPr>
                <w:rFonts w:hint="eastAsia" w:ascii="宋体" w:hAnsi="宋体" w:cs="宋体"/>
                <w:color w:val="auto"/>
                <w:sz w:val="24"/>
                <w:szCs w:val="24"/>
                <w:highlight w:val="none"/>
                <w:u w:val="none"/>
                <w:lang w:val="en-US" w:eastAsia="zh-CN"/>
              </w:rPr>
              <w:t>上</w:t>
            </w:r>
            <w:r>
              <w:rPr>
                <w:rFonts w:hint="eastAsia" w:ascii="宋体" w:hAnsi="宋体" w:cs="宋体"/>
                <w:color w:val="auto"/>
                <w:sz w:val="24"/>
                <w:szCs w:val="24"/>
                <w:highlight w:val="none"/>
                <w:u w:val="none"/>
                <w:lang w:val="zh-CN" w:eastAsia="zh-CN"/>
              </w:rPr>
              <w:t>午</w:t>
            </w:r>
            <w:r>
              <w:rPr>
                <w:rFonts w:hint="eastAsia" w:ascii="宋体" w:hAnsi="宋体" w:cs="宋体"/>
                <w:color w:val="auto"/>
                <w:sz w:val="24"/>
                <w:szCs w:val="24"/>
                <w:highlight w:val="none"/>
                <w:u w:val="none"/>
                <w:lang w:val="en-US" w:eastAsia="zh-CN"/>
              </w:rPr>
              <w:t>10</w:t>
            </w:r>
            <w:r>
              <w:rPr>
                <w:rFonts w:hint="eastAsia" w:ascii="宋体" w:hAnsi="宋体" w:eastAsia="宋体" w:cs="宋体"/>
                <w:color w:val="auto"/>
                <w:sz w:val="24"/>
                <w:szCs w:val="24"/>
                <w:highlight w:val="none"/>
                <w:u w:val="none"/>
                <w:lang w:val="zh-CN" w:eastAsia="zh-CN"/>
              </w:rPr>
              <w:t>:</w:t>
            </w:r>
            <w:r>
              <w:rPr>
                <w:rFonts w:hint="eastAsia" w:ascii="宋体" w:hAnsi="宋体" w:cs="宋体"/>
                <w:color w:val="auto"/>
                <w:sz w:val="24"/>
                <w:szCs w:val="24"/>
                <w:highlight w:val="none"/>
                <w:u w:val="none"/>
                <w:lang w:val="en-US" w:eastAsia="zh-CN"/>
              </w:rPr>
              <w:t>0</w:t>
            </w:r>
            <w:r>
              <w:rPr>
                <w:rFonts w:hint="eastAsia" w:ascii="宋体" w:hAnsi="宋体" w:eastAsia="宋体" w:cs="宋体"/>
                <w:color w:val="auto"/>
                <w:sz w:val="24"/>
                <w:szCs w:val="24"/>
                <w:highlight w:val="none"/>
                <w:u w:val="none"/>
                <w:lang w:val="zh-CN" w:eastAsia="zh-CN"/>
              </w:rPr>
              <w:t>0（北京时间）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询价地点</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zh-CN" w:eastAsia="zh-CN"/>
              </w:rPr>
            </w:pPr>
            <w:r>
              <w:rPr>
                <w:rFonts w:hint="eastAsia" w:ascii="宋体" w:hAnsi="宋体" w:eastAsia="宋体" w:cs="宋体"/>
                <w:color w:val="auto"/>
                <w:sz w:val="24"/>
                <w:szCs w:val="24"/>
                <w:u w:val="none"/>
                <w:lang w:val="en-US" w:eastAsia="zh-CN"/>
              </w:rPr>
              <w:t>青海省西宁市城西区万达SOHO4号楼3楼东侧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采购人及联系方式</w:t>
            </w:r>
          </w:p>
        </w:tc>
        <w:tc>
          <w:tcPr>
            <w:tcW w:w="6753" w:type="dxa"/>
            <w:tcBorders>
              <w:tl2br w:val="nil"/>
              <w:tr2bl w:val="nil"/>
            </w:tcBorders>
            <w:vAlign w:val="center"/>
          </w:tcPr>
          <w:p>
            <w:pPr>
              <w:widowControl w:val="0"/>
              <w:wordWrap/>
              <w:adjustRightInd w:val="0"/>
              <w:snapToGrid w:val="0"/>
              <w:spacing w:line="5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采购人：班玛县藏文中学</w:t>
            </w:r>
          </w:p>
          <w:p>
            <w:pPr>
              <w:widowControl w:val="0"/>
              <w:wordWrap/>
              <w:adjustRightInd w:val="0"/>
              <w:snapToGrid w:val="0"/>
              <w:spacing w:line="56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联系人：旦老师</w:t>
            </w:r>
          </w:p>
          <w:p>
            <w:pPr>
              <w:widowControl w:val="0"/>
              <w:wordWrap/>
              <w:adjustRightInd w:val="0"/>
              <w:snapToGrid w:val="0"/>
              <w:spacing w:line="560" w:lineRule="exact"/>
              <w:jc w:val="left"/>
              <w:textAlignment w:val="auto"/>
              <w:rPr>
                <w:rFonts w:hint="eastAsia" w:ascii="宋体" w:hAnsi="宋体"/>
                <w:color w:val="auto"/>
                <w:sz w:val="24"/>
                <w:szCs w:val="22"/>
                <w:highlight w:val="none"/>
                <w:lang w:val="en-US" w:eastAsia="zh-CN"/>
              </w:rPr>
            </w:pPr>
            <w:r>
              <w:rPr>
                <w:rFonts w:hint="eastAsia" w:ascii="宋体" w:hAnsi="宋体" w:eastAsia="宋体" w:cs="宋体"/>
                <w:color w:val="auto"/>
                <w:sz w:val="24"/>
                <w:szCs w:val="24"/>
                <w:highlight w:val="none"/>
                <w:lang w:val="en-US" w:eastAsia="zh-CN"/>
              </w:rPr>
              <w:t>联系</w:t>
            </w:r>
            <w:r>
              <w:rPr>
                <w:rFonts w:hint="eastAsia" w:ascii="宋体" w:hAnsi="宋体" w:eastAsia="宋体" w:cs="宋体"/>
                <w:color w:val="auto"/>
                <w:sz w:val="24"/>
                <w:szCs w:val="24"/>
                <w:highlight w:val="none"/>
                <w:lang w:val="zh-CN"/>
              </w:rPr>
              <w:t>电话：15809753533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zh-CN"/>
              </w:rPr>
              <w:t>地点：果洛藏族自治州班玛县环城东路30号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采购代理机构联系人及联系方式</w:t>
            </w:r>
          </w:p>
        </w:tc>
        <w:tc>
          <w:tcPr>
            <w:tcW w:w="6753" w:type="dxa"/>
            <w:tcBorders>
              <w:tl2br w:val="nil"/>
              <w:tr2bl w:val="nil"/>
            </w:tcBorders>
            <w:vAlign w:val="center"/>
          </w:tcPr>
          <w:p>
            <w:pPr>
              <w:widowControl w:val="0"/>
              <w:wordWrap/>
              <w:adjustRightInd w:val="0"/>
              <w:snapToGrid w:val="0"/>
              <w:spacing w:line="560" w:lineRule="exact"/>
              <w:jc w:val="left"/>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lang w:val="zh-CN"/>
              </w:rPr>
              <w:t>联系人：</w:t>
            </w:r>
            <w:r>
              <w:rPr>
                <w:rFonts w:hint="eastAsia" w:ascii="宋体" w:hAnsi="宋体"/>
                <w:color w:val="auto"/>
                <w:szCs w:val="20"/>
                <w:lang w:val="en-US" w:eastAsia="zh-CN"/>
              </w:rPr>
              <w:t>曹娜</w:t>
            </w:r>
          </w:p>
          <w:p>
            <w:pPr>
              <w:widowControl w:val="0"/>
              <w:wordWrap/>
              <w:adjustRightInd w:val="0"/>
              <w:snapToGrid w:val="0"/>
              <w:spacing w:line="560" w:lineRule="exact"/>
              <w:jc w:val="left"/>
              <w:textAlignment w:val="auto"/>
              <w:rPr>
                <w:rFonts w:hint="default" w:ascii="宋体" w:hAnsi="宋体"/>
                <w:color w:val="auto"/>
                <w:sz w:val="24"/>
                <w:szCs w:val="22"/>
                <w:lang w:val="en-US" w:eastAsia="zh-CN"/>
              </w:rPr>
            </w:pPr>
            <w:r>
              <w:rPr>
                <w:rFonts w:hint="eastAsia" w:ascii="宋体" w:hAnsi="宋体" w:eastAsia="宋体" w:cs="宋体"/>
                <w:color w:val="auto"/>
                <w:sz w:val="24"/>
                <w:szCs w:val="24"/>
                <w:lang w:val="en-US" w:eastAsia="zh-CN"/>
              </w:rPr>
              <w:t>联系</w:t>
            </w:r>
            <w:r>
              <w:rPr>
                <w:rFonts w:hint="eastAsia" w:ascii="宋体" w:hAnsi="宋体" w:eastAsia="宋体" w:cs="宋体"/>
                <w:color w:val="auto"/>
                <w:sz w:val="24"/>
                <w:szCs w:val="24"/>
                <w:lang w:val="zh-CN"/>
              </w:rPr>
              <w:t>电话：</w:t>
            </w:r>
            <w:r>
              <w:rPr>
                <w:rFonts w:hint="eastAsia" w:ascii="宋体" w:hAnsi="宋体"/>
                <w:color w:val="auto"/>
                <w:sz w:val="24"/>
                <w:szCs w:val="22"/>
                <w:lang w:val="en-US" w:eastAsia="zh-CN"/>
              </w:rPr>
              <w:t>18909783174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default" w:asciiTheme="minorEastAsia" w:hAnsiTheme="minorEastAsia" w:eastAsiaTheme="minorEastAsia" w:cstheme="minorEastAsia"/>
                <w:color w:val="auto"/>
                <w:sz w:val="24"/>
                <w:szCs w:val="24"/>
                <w:lang w:val="en-US"/>
              </w:rPr>
            </w:pPr>
            <w:r>
              <w:rPr>
                <w:rFonts w:hint="eastAsia" w:ascii="宋体" w:hAnsi="宋体" w:eastAsia="宋体" w:cs="宋体"/>
                <w:color w:val="auto"/>
                <w:sz w:val="24"/>
                <w:szCs w:val="24"/>
                <w:lang w:val="zh-CN"/>
              </w:rPr>
              <w:t>地点：</w:t>
            </w:r>
            <w:r>
              <w:rPr>
                <w:rFonts w:hint="eastAsia" w:asciiTheme="minorEastAsia" w:hAnsiTheme="minorEastAsia" w:eastAsiaTheme="minorEastAsia" w:cstheme="minorEastAsia"/>
                <w:color w:val="333333"/>
                <w:kern w:val="0"/>
                <w:sz w:val="24"/>
                <w:szCs w:val="24"/>
                <w:lang w:val="en-US" w:eastAsia="zh-CN" w:bidi="ar"/>
              </w:rPr>
              <w:t>青海省西宁市城西区万达SOHO4号楼3楼东侧</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zh-CN"/>
              </w:rPr>
              <w:t>电子邮箱：</w:t>
            </w:r>
            <w:r>
              <w:rPr>
                <w:rFonts w:hint="eastAsia" w:ascii="宋体" w:hAnsi="宋体"/>
                <w:color w:val="auto"/>
                <w:sz w:val="24"/>
                <w:szCs w:val="22"/>
                <w:lang w:val="en-US" w:eastAsia="zh-CN"/>
              </w:rPr>
              <w:t>465352102@qq.com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lang w:eastAsia="zh-CN"/>
              </w:rPr>
              <w:t>发布</w:t>
            </w:r>
            <w:r>
              <w:rPr>
                <w:rFonts w:hint="eastAsia" w:ascii="宋体" w:hAnsi="宋体" w:eastAsia="宋体" w:cs="宋体"/>
                <w:color w:val="auto"/>
                <w:sz w:val="24"/>
                <w:szCs w:val="24"/>
              </w:rPr>
              <w:t>媒体</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本公告在</w:t>
            </w:r>
            <w:r>
              <w:rPr>
                <w:rFonts w:hint="eastAsia" w:ascii="宋体" w:hAnsi="宋体" w:cs="宋体"/>
                <w:color w:val="auto"/>
                <w:sz w:val="24"/>
                <w:szCs w:val="24"/>
                <w:u w:val="none"/>
                <w:lang w:val="en-US" w:eastAsia="zh-CN"/>
              </w:rPr>
              <w:t>《青海省电子招标投标公共服务平台》、《青海省政府采购网》、</w:t>
            </w:r>
            <w:r>
              <w:rPr>
                <w:rFonts w:hint="eastAsia" w:ascii="宋体" w:hAnsi="宋体" w:eastAsia="宋体" w:cs="宋体"/>
                <w:color w:val="auto"/>
                <w:sz w:val="24"/>
                <w:szCs w:val="24"/>
                <w:u w:val="none"/>
                <w:lang w:val="en-US" w:eastAsia="zh-CN"/>
              </w:rPr>
              <w:t>《采购与招标网》同时发布。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u w:val="none"/>
                <w:lang w:val="en-US" w:eastAsia="zh-CN"/>
              </w:rPr>
              <w:t>投标</w:t>
            </w:r>
            <w:r>
              <w:rPr>
                <w:rFonts w:hint="eastAsia" w:ascii="宋体" w:hAnsi="宋体" w:cs="宋体"/>
                <w:color w:val="auto"/>
                <w:sz w:val="24"/>
                <w:szCs w:val="24"/>
                <w:lang w:val="en-US" w:eastAsia="zh-CN"/>
              </w:rPr>
              <w:t>保证金</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投标人须在投标截止期前按以下要求交纳投标保证金：</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投标保证金：小写：</w:t>
            </w:r>
            <w:r>
              <w:rPr>
                <w:rFonts w:hint="eastAsia" w:ascii="宋体" w:hAnsi="宋体" w:cs="宋体"/>
                <w:color w:val="auto"/>
                <w:sz w:val="24"/>
                <w:szCs w:val="24"/>
                <w:u w:val="none"/>
                <w:lang w:val="en-US" w:eastAsia="zh-CN"/>
              </w:rPr>
              <w:t>10</w:t>
            </w:r>
            <w:r>
              <w:rPr>
                <w:rFonts w:hint="eastAsia" w:ascii="宋体" w:hAnsi="宋体" w:eastAsia="宋体" w:cs="宋体"/>
                <w:color w:val="auto"/>
                <w:sz w:val="24"/>
                <w:szCs w:val="24"/>
                <w:u w:val="none"/>
                <w:lang w:val="en-US" w:eastAsia="zh-CN"/>
              </w:rPr>
              <w:t>000.00元（大写：</w:t>
            </w:r>
            <w:r>
              <w:rPr>
                <w:rFonts w:hint="eastAsia" w:ascii="宋体" w:hAnsi="宋体" w:cs="宋体"/>
                <w:color w:val="auto"/>
                <w:sz w:val="24"/>
                <w:szCs w:val="24"/>
                <w:u w:val="none"/>
                <w:lang w:val="en-US" w:eastAsia="zh-CN"/>
              </w:rPr>
              <w:t>壹万</w:t>
            </w:r>
            <w:r>
              <w:rPr>
                <w:rFonts w:hint="eastAsia" w:ascii="宋体" w:hAnsi="宋体" w:eastAsia="宋体" w:cs="宋体"/>
                <w:color w:val="auto"/>
                <w:sz w:val="24"/>
                <w:szCs w:val="24"/>
                <w:u w:val="none"/>
                <w:lang w:val="en-US" w:eastAsia="zh-CN"/>
              </w:rPr>
              <w:t>元整）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代理机构开户行</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zh-CN" w:eastAsia="zh-CN"/>
              </w:rPr>
              <w:t>中国建设银行股份有限公司昆仑中路支行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收款人</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zh-CN" w:eastAsia="zh-CN"/>
              </w:rPr>
              <w:t>青海东煌工程项目管理有限公司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银行账号</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zh-CN" w:eastAsia="zh-CN"/>
              </w:rPr>
              <w:t xml:space="preserve">6305 0145 3604 0000 0176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193" w:type="dxa"/>
            <w:tcBorders>
              <w:tl2br w:val="nil"/>
              <w:tr2bl w:val="nil"/>
            </w:tcBorders>
            <w:vAlign w:val="center"/>
          </w:tcPr>
          <w:p>
            <w:pPr>
              <w:wordWrap/>
              <w:adjustRightInd w:val="0"/>
              <w:snapToGrid w:val="0"/>
              <w:spacing w:before="157" w:beforeLines="50"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代理服务费</w:t>
            </w:r>
          </w:p>
        </w:tc>
        <w:tc>
          <w:tcPr>
            <w:tcW w:w="6753" w:type="dxa"/>
            <w:tcBorders>
              <w:tl2br w:val="nil"/>
              <w:tr2bl w:val="nil"/>
            </w:tcBorders>
            <w:vAlign w:val="center"/>
          </w:tcPr>
          <w:p>
            <w:pPr>
              <w:autoSpaceDE w:val="0"/>
              <w:autoSpaceDN w:val="0"/>
              <w:spacing w:line="500" w:lineRule="exact"/>
              <w:ind w:firstLine="0" w:firstLineChars="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zh-CN"/>
              </w:rPr>
              <w:t>收费金额：</w:t>
            </w:r>
            <w:r>
              <w:rPr>
                <w:rFonts w:hint="eastAsia" w:ascii="宋体" w:hAnsi="宋体" w:eastAsia="宋体" w:cs="宋体"/>
                <w:b w:val="0"/>
                <w:bCs/>
                <w:color w:val="auto"/>
                <w:sz w:val="24"/>
                <w:szCs w:val="24"/>
                <w:highlight w:val="none"/>
                <w:lang w:val="en-US" w:eastAsia="zh-CN"/>
              </w:rPr>
              <w:t>¥</w:t>
            </w:r>
            <w:r>
              <w:rPr>
                <w:rFonts w:hint="eastAsia" w:ascii="宋体" w:hAnsi="宋体" w:cs="宋体"/>
                <w:b w:val="0"/>
                <w:bCs/>
                <w:color w:val="auto"/>
                <w:sz w:val="24"/>
                <w:szCs w:val="24"/>
                <w:highlight w:val="none"/>
                <w:lang w:val="en-US" w:eastAsia="zh-CN"/>
              </w:rPr>
              <w:t>11000.00</w:t>
            </w:r>
            <w:r>
              <w:rPr>
                <w:rFonts w:hint="eastAsia" w:ascii="宋体" w:hAnsi="宋体" w:eastAsia="宋体" w:cs="宋体"/>
                <w:b w:val="0"/>
                <w:bCs/>
                <w:color w:val="auto"/>
                <w:sz w:val="24"/>
                <w:szCs w:val="24"/>
                <w:highlight w:val="none"/>
                <w:lang w:val="en-US" w:eastAsia="zh-CN"/>
              </w:rPr>
              <w:t>元（大写：人民币</w:t>
            </w:r>
            <w:r>
              <w:rPr>
                <w:rFonts w:hint="eastAsia" w:ascii="宋体" w:hAnsi="宋体" w:cs="宋体"/>
                <w:b w:val="0"/>
                <w:bCs/>
                <w:color w:val="auto"/>
                <w:sz w:val="24"/>
                <w:szCs w:val="24"/>
                <w:highlight w:val="none"/>
                <w:lang w:val="en-US" w:eastAsia="zh-CN"/>
              </w:rPr>
              <w:t>壹万壹仟元整</w:t>
            </w:r>
            <w:r>
              <w:rPr>
                <w:rFonts w:hint="eastAsia" w:ascii="宋体" w:hAnsi="宋体" w:eastAsia="宋体" w:cs="宋体"/>
                <w:b w:val="0"/>
                <w:bCs/>
                <w:color w:val="auto"/>
                <w:sz w:val="24"/>
                <w:szCs w:val="24"/>
                <w:highlight w:val="none"/>
                <w:lang w:val="en-US" w:eastAsia="zh-CN"/>
              </w:rPr>
              <w:t>）</w:t>
            </w:r>
          </w:p>
          <w:p>
            <w:pPr>
              <w:widowControl w:val="0"/>
              <w:wordWrap/>
              <w:adjustRightInd w:val="0"/>
              <w:snapToGrid w:val="0"/>
              <w:spacing w:line="560" w:lineRule="exact"/>
              <w:textAlignment w:val="auto"/>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zh-CN"/>
              </w:rPr>
              <w:t>收费标准：参照《关于进一步放开建设项目专项业务服务价格的通知》（发改价格[2015]299号）规定执行。在合同签订前向采购代理机构交纳。</w:t>
            </w:r>
          </w:p>
          <w:p>
            <w:pPr>
              <w:widowControl w:val="0"/>
              <w:wordWrap/>
              <w:adjustRightInd w:val="0"/>
              <w:snapToGrid w:val="0"/>
              <w:spacing w:line="560" w:lineRule="exac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kern w:val="0"/>
                <w:sz w:val="24"/>
                <w:szCs w:val="24"/>
                <w:lang w:val="zh-CN"/>
              </w:rPr>
              <w:t>收取对象：</w:t>
            </w:r>
            <w:r>
              <w:rPr>
                <w:rFonts w:hint="eastAsia" w:ascii="宋体" w:hAnsi="宋体" w:eastAsia="宋体" w:cs="宋体"/>
                <w:color w:val="auto"/>
                <w:kern w:val="0"/>
                <w:sz w:val="24"/>
                <w:szCs w:val="24"/>
                <w:u w:val="single"/>
                <w:lang w:val="zh-CN"/>
              </w:rPr>
              <w:t>成交供应商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2193" w:type="dxa"/>
            <w:tcBorders>
              <w:tl2br w:val="nil"/>
              <w:tr2bl w:val="nil"/>
            </w:tcBorders>
            <w:vAlign w:val="center"/>
          </w:tcPr>
          <w:p>
            <w:pPr>
              <w:wordWrap/>
              <w:adjustRightInd w:val="0"/>
              <w:snapToGrid w:val="0"/>
              <w:spacing w:before="157" w:beforeLines="50"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其他规定</w:t>
            </w:r>
          </w:p>
        </w:tc>
        <w:tc>
          <w:tcPr>
            <w:tcW w:w="6753"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自成交通知书发出之日起</w:t>
            </w:r>
            <w:r>
              <w:rPr>
                <w:rFonts w:hint="eastAsia" w:ascii="宋体" w:hAnsi="宋体" w:eastAsia="宋体" w:cs="宋体"/>
                <w:color w:val="auto"/>
                <w:sz w:val="24"/>
                <w:szCs w:val="24"/>
              </w:rPr>
              <w:t>30</w:t>
            </w:r>
            <w:r>
              <w:rPr>
                <w:rFonts w:hint="eastAsia" w:ascii="宋体" w:hAnsi="宋体" w:eastAsia="宋体" w:cs="宋体"/>
                <w:color w:val="auto"/>
                <w:sz w:val="24"/>
                <w:szCs w:val="24"/>
                <w:lang w:val="zh-CN"/>
              </w:rPr>
              <w:t>日内与采购人签订采购合同</w:t>
            </w:r>
          </w:p>
          <w:p>
            <w:pPr>
              <w:pStyle w:val="6"/>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采购代理机构留存叁份原件备案。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2193" w:type="dxa"/>
            <w:tcBorders>
              <w:tl2br w:val="nil"/>
              <w:tr2bl w:val="nil"/>
            </w:tcBorders>
            <w:vAlign w:val="center"/>
          </w:tcPr>
          <w:p>
            <w:pPr>
              <w:wordWrap/>
              <w:adjustRightInd w:val="0"/>
              <w:snapToGrid w:val="0"/>
              <w:spacing w:before="157" w:beforeLines="50" w:line="560" w:lineRule="exact"/>
              <w:rPr>
                <w:rFonts w:hint="eastAsia" w:ascii="宋体" w:hAnsi="宋体" w:eastAsia="宋体" w:cs="宋体"/>
                <w:color w:val="auto"/>
                <w:sz w:val="24"/>
                <w:szCs w:val="24"/>
                <w:lang w:val="zh-CN" w:eastAsia="zh-CN"/>
              </w:rPr>
            </w:pPr>
            <w:bookmarkStart w:id="1" w:name="_Toc29348_WPSOffice_Level1"/>
            <w:bookmarkStart w:id="2" w:name="_Toc26774_WPSOffice_Level1"/>
            <w:bookmarkStart w:id="3" w:name="_Toc19849"/>
            <w:bookmarkStart w:id="4" w:name="_Toc29806_WPSOffice_Level1"/>
            <w:bookmarkStart w:id="5" w:name="_Toc68"/>
            <w:bookmarkStart w:id="6" w:name="_Toc25918_WPSOffice_Level1"/>
            <w:bookmarkStart w:id="7" w:name="_Toc17554"/>
            <w:bookmarkStart w:id="8" w:name="_Toc7063_WPSOffice_Level1"/>
            <w:bookmarkStart w:id="9" w:name="_Toc13430_WPSOffice_Level1"/>
            <w:r>
              <w:rPr>
                <w:rFonts w:hint="eastAsia" w:ascii="宋体" w:hAnsi="宋体" w:eastAsia="宋体" w:cs="宋体"/>
                <w:color w:val="auto"/>
                <w:sz w:val="24"/>
                <w:szCs w:val="24"/>
                <w:lang w:val="zh-CN"/>
              </w:rPr>
              <w:t>财政监督部门及电话</w:t>
            </w:r>
          </w:p>
        </w:tc>
        <w:tc>
          <w:tcPr>
            <w:tcW w:w="6753" w:type="dxa"/>
            <w:tcBorders>
              <w:tl2br w:val="nil"/>
              <w:tr2bl w:val="nil"/>
            </w:tcBorders>
            <w:vAlign w:val="center"/>
          </w:tcPr>
          <w:p>
            <w:pPr>
              <w:wordWrap/>
              <w:adjustRightInd w:val="0"/>
              <w:snapToGrid w:val="0"/>
              <w:spacing w:before="157" w:beforeLines="50" w:line="56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CN"/>
              </w:rPr>
              <w:t>监督单位：</w:t>
            </w:r>
            <w:r>
              <w:rPr>
                <w:rFonts w:hint="eastAsia" w:ascii="宋体" w:hAnsi="宋体" w:eastAsia="宋体" w:cs="宋体"/>
                <w:color w:val="auto"/>
                <w:sz w:val="24"/>
                <w:szCs w:val="24"/>
                <w:lang w:val="en-US" w:eastAsia="zh-CN"/>
              </w:rPr>
              <w:t>班玛县</w:t>
            </w:r>
            <w:r>
              <w:rPr>
                <w:rFonts w:hint="eastAsia" w:ascii="宋体" w:hAnsi="宋体" w:eastAsia="宋体" w:cs="宋体"/>
                <w:color w:val="auto"/>
                <w:sz w:val="24"/>
                <w:szCs w:val="24"/>
                <w:lang w:val="zh-CN"/>
              </w:rPr>
              <w:t>财政</w:t>
            </w:r>
            <w:r>
              <w:rPr>
                <w:rFonts w:hint="eastAsia" w:ascii="宋体" w:hAnsi="宋体" w:eastAsia="宋体" w:cs="宋体"/>
                <w:color w:val="auto"/>
                <w:sz w:val="24"/>
                <w:szCs w:val="24"/>
                <w:lang w:val="en-US" w:eastAsia="zh-CN"/>
              </w:rPr>
              <w:t>局</w:t>
            </w: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联系电话：</w:t>
            </w:r>
            <w:r>
              <w:rPr>
                <w:rFonts w:hint="eastAsia" w:ascii="宋体" w:hAnsi="宋体" w:eastAsia="宋体" w:cs="宋体"/>
                <w:color w:val="auto"/>
                <w:sz w:val="24"/>
                <w:szCs w:val="24"/>
                <w:lang w:val="en-US" w:eastAsia="zh-CN"/>
              </w:rPr>
              <w:t>0975-7352403</w:t>
            </w:r>
          </w:p>
        </w:tc>
      </w:tr>
    </w:tbl>
    <w:p>
      <w:pPr>
        <w:rPr>
          <w:rFonts w:hint="eastAsia" w:ascii="华文中宋" w:hAnsi="华文中宋" w:eastAsia="华文中宋" w:cs="华文中宋"/>
          <w:b w:val="0"/>
          <w:bCs w:val="0"/>
          <w:color w:val="auto"/>
          <w:sz w:val="44"/>
          <w:szCs w:val="44"/>
          <w:lang w:val="en-US" w:eastAsia="zh-CN"/>
        </w:rPr>
      </w:pPr>
      <w:r>
        <w:rPr>
          <w:rFonts w:hint="eastAsia" w:ascii="华文中宋" w:hAnsi="华文中宋" w:eastAsia="华文中宋" w:cs="华文中宋"/>
          <w:b w:val="0"/>
          <w:bCs w:val="0"/>
          <w:color w:val="auto"/>
          <w:sz w:val="44"/>
          <w:szCs w:val="44"/>
          <w:lang w:val="en-US" w:eastAsia="zh-CN"/>
        </w:rPr>
        <w:br w:type="page"/>
      </w:r>
    </w:p>
    <w:p>
      <w:pPr>
        <w:pStyle w:val="3"/>
        <w:numPr>
          <w:ilvl w:val="0"/>
          <w:numId w:val="0"/>
        </w:numPr>
        <w:wordWrap/>
        <w:adjustRightInd w:val="0"/>
        <w:snapToGrid w:val="0"/>
        <w:spacing w:before="157" w:beforeLines="50" w:line="560" w:lineRule="exact"/>
        <w:jc w:val="center"/>
        <w:outlineLvl w:val="0"/>
        <w:rPr>
          <w:rFonts w:hint="eastAsia" w:ascii="华文中宋" w:hAnsi="华文中宋" w:eastAsia="华文中宋" w:cs="华文中宋"/>
          <w:b w:val="0"/>
          <w:bCs w:val="0"/>
          <w:color w:val="auto"/>
          <w:sz w:val="32"/>
          <w:szCs w:val="32"/>
          <w:lang w:val="en-US" w:eastAsia="zh-CN"/>
        </w:rPr>
      </w:pPr>
      <w:bookmarkStart w:id="10" w:name="_Toc9207"/>
      <w:r>
        <w:rPr>
          <w:rFonts w:hint="eastAsia" w:ascii="华文中宋" w:hAnsi="华文中宋" w:eastAsia="华文中宋" w:cs="华文中宋"/>
          <w:b w:val="0"/>
          <w:bCs w:val="0"/>
          <w:color w:val="auto"/>
          <w:sz w:val="44"/>
          <w:szCs w:val="44"/>
          <w:lang w:val="en-US" w:eastAsia="zh-CN"/>
        </w:rPr>
        <w:t>第二部分  询价须知</w:t>
      </w:r>
      <w:bookmarkEnd w:id="1"/>
      <w:bookmarkEnd w:id="2"/>
      <w:bookmarkEnd w:id="3"/>
      <w:bookmarkEnd w:id="4"/>
      <w:bookmarkEnd w:id="5"/>
      <w:bookmarkEnd w:id="6"/>
      <w:bookmarkEnd w:id="7"/>
      <w:bookmarkEnd w:id="8"/>
      <w:bookmarkEnd w:id="9"/>
      <w:bookmarkEnd w:id="10"/>
    </w:p>
    <w:p>
      <w:pPr>
        <w:widowControl w:val="0"/>
        <w:wordWrap/>
        <w:adjustRightInd w:val="0"/>
        <w:snapToGrid w:val="0"/>
        <w:spacing w:before="157" w:beforeLines="50" w:line="560" w:lineRule="exact"/>
        <w:ind w:firstLine="0" w:firstLineChars="0"/>
        <w:jc w:val="center"/>
        <w:textAlignment w:val="auto"/>
        <w:outlineLvl w:val="1"/>
        <w:rPr>
          <w:rFonts w:hint="eastAsia" w:ascii="宋体" w:hAnsi="宋体" w:eastAsia="宋体" w:cs="宋体"/>
          <w:b w:val="0"/>
          <w:bCs w:val="0"/>
          <w:color w:val="auto"/>
          <w:kern w:val="2"/>
          <w:sz w:val="24"/>
          <w:szCs w:val="24"/>
          <w:lang w:val="en-US" w:eastAsia="zh-CN" w:bidi="ar-SA"/>
        </w:rPr>
      </w:pPr>
      <w:bookmarkStart w:id="11" w:name="_Toc34637765"/>
      <w:bookmarkStart w:id="12" w:name="_Toc16562"/>
      <w:bookmarkStart w:id="13" w:name="_Toc2932"/>
      <w:bookmarkStart w:id="14" w:name="_Toc29348_WPSOffice_Level2"/>
      <w:bookmarkStart w:id="15" w:name="_Toc27795"/>
      <w:bookmarkStart w:id="16" w:name="_Toc7063_WPSOffice_Level2"/>
      <w:bookmarkStart w:id="17" w:name="_Toc9336"/>
      <w:bookmarkStart w:id="18" w:name="_Toc17019_WPSOffice_Level2"/>
      <w:r>
        <w:rPr>
          <w:rFonts w:hint="eastAsia" w:ascii="宋体" w:hAnsi="宋体" w:eastAsia="宋体" w:cs="宋体"/>
          <w:b w:val="0"/>
          <w:bCs w:val="0"/>
          <w:color w:val="auto"/>
          <w:kern w:val="2"/>
          <w:sz w:val="24"/>
          <w:szCs w:val="24"/>
          <w:lang w:val="en-US" w:eastAsia="zh-CN" w:bidi="ar-SA"/>
        </w:rPr>
        <w:t>一、说明</w:t>
      </w:r>
      <w:bookmarkEnd w:id="11"/>
      <w:bookmarkEnd w:id="12"/>
      <w:bookmarkEnd w:id="13"/>
      <w:bookmarkEnd w:id="14"/>
      <w:bookmarkEnd w:id="15"/>
      <w:bookmarkEnd w:id="16"/>
      <w:bookmarkEnd w:id="17"/>
      <w:bookmarkEnd w:id="18"/>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9" w:name="_Toc13645"/>
      <w:bookmarkStart w:id="20" w:name="_Toc11775_WPSOffice_Level3"/>
      <w:bookmarkStart w:id="21" w:name="_Toc29026"/>
      <w:bookmarkStart w:id="22" w:name="_Toc7063_WPSOffice_Level3"/>
      <w:bookmarkStart w:id="23" w:name="_Toc12227"/>
      <w:r>
        <w:rPr>
          <w:rFonts w:hint="eastAsia" w:ascii="宋体" w:hAnsi="宋体" w:eastAsia="宋体" w:cs="宋体"/>
          <w:b/>
          <w:bCs/>
          <w:color w:val="auto"/>
          <w:kern w:val="2"/>
          <w:sz w:val="24"/>
          <w:szCs w:val="24"/>
          <w:lang w:val="en-US" w:eastAsia="zh-CN" w:bidi="ar-SA"/>
        </w:rPr>
        <w:t>1.适用范围</w:t>
      </w:r>
      <w:bookmarkEnd w:id="19"/>
      <w:bookmarkEnd w:id="20"/>
      <w:bookmarkEnd w:id="21"/>
      <w:bookmarkEnd w:id="22"/>
      <w:bookmarkEnd w:id="23"/>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文件仅适用于</w:t>
      </w:r>
      <w:r>
        <w:rPr>
          <w:rFonts w:hint="eastAsia" w:ascii="宋体" w:hAnsi="宋体" w:eastAsia="宋体" w:cs="宋体"/>
          <w:color w:val="auto"/>
          <w:sz w:val="24"/>
          <w:szCs w:val="24"/>
          <w:lang w:eastAsia="zh-CN"/>
        </w:rPr>
        <w:t>前述</w:t>
      </w:r>
      <w:r>
        <w:rPr>
          <w:rFonts w:hint="eastAsia" w:ascii="宋体" w:hAnsi="宋体" w:eastAsia="宋体" w:cs="宋体"/>
          <w:b/>
          <w:color w:val="auto"/>
          <w:sz w:val="24"/>
          <w:szCs w:val="24"/>
        </w:rPr>
        <w:t>【</w:t>
      </w:r>
      <w:r>
        <w:rPr>
          <w:rFonts w:hint="eastAsia" w:ascii="宋体" w:hAnsi="宋体" w:cs="宋体"/>
          <w:b/>
          <w:color w:val="auto"/>
          <w:sz w:val="24"/>
          <w:szCs w:val="24"/>
          <w:lang w:eastAsia="zh-CN"/>
        </w:rPr>
        <w:t>询价</w:t>
      </w:r>
      <w:r>
        <w:rPr>
          <w:rFonts w:hint="eastAsia" w:ascii="宋体" w:hAnsi="宋体" w:eastAsia="宋体" w:cs="宋体"/>
          <w:b/>
          <w:color w:val="auto"/>
          <w:sz w:val="24"/>
          <w:szCs w:val="24"/>
        </w:rPr>
        <w:t>须知前附表】</w:t>
      </w:r>
      <w:r>
        <w:rPr>
          <w:rFonts w:hint="eastAsia" w:ascii="宋体" w:hAnsi="宋体" w:eastAsia="宋体" w:cs="宋体"/>
          <w:color w:val="auto"/>
          <w:sz w:val="24"/>
          <w:szCs w:val="24"/>
        </w:rPr>
        <w:t>中所叙述的采购项目。</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24" w:name="_Toc14388"/>
      <w:bookmarkStart w:id="25" w:name="_Toc12080"/>
      <w:bookmarkStart w:id="26" w:name="_Toc15754_WPSOffice_Level3"/>
      <w:bookmarkStart w:id="27" w:name="_Toc2404_WPSOffice_Level3"/>
      <w:bookmarkStart w:id="28" w:name="_Toc1646"/>
      <w:r>
        <w:rPr>
          <w:rFonts w:hint="eastAsia" w:ascii="宋体" w:hAnsi="宋体" w:eastAsia="宋体" w:cs="宋体"/>
          <w:b/>
          <w:bCs/>
          <w:color w:val="auto"/>
          <w:kern w:val="2"/>
          <w:sz w:val="24"/>
          <w:szCs w:val="24"/>
          <w:lang w:val="en-US" w:eastAsia="zh-CN" w:bidi="ar-SA"/>
        </w:rPr>
        <w:t>2.采购人及代理机构</w:t>
      </w:r>
      <w:bookmarkEnd w:id="24"/>
      <w:bookmarkEnd w:id="25"/>
      <w:bookmarkEnd w:id="26"/>
      <w:bookmarkEnd w:id="27"/>
      <w:bookmarkEnd w:id="28"/>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采购人名称、地址、电话、联系人见【</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须知前附表】。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采购代理机构名称、地址、电话、联系人</w:t>
      </w:r>
      <w:r>
        <w:rPr>
          <w:rFonts w:hint="eastAsia" w:ascii="宋体" w:hAnsi="宋体" w:eastAsia="宋体" w:cs="宋体"/>
          <w:color w:val="auto"/>
          <w:sz w:val="24"/>
          <w:szCs w:val="24"/>
          <w:lang w:eastAsia="zh-CN"/>
        </w:rPr>
        <w:t>、邮箱</w:t>
      </w:r>
      <w:r>
        <w:rPr>
          <w:rFonts w:hint="eastAsia" w:ascii="宋体" w:hAnsi="宋体" w:eastAsia="宋体" w:cs="宋体"/>
          <w:color w:val="auto"/>
          <w:sz w:val="24"/>
          <w:szCs w:val="24"/>
        </w:rPr>
        <w:t>见【</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须知前附表】。</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29" w:name="_Toc28085"/>
      <w:bookmarkStart w:id="30" w:name="_Toc21695"/>
      <w:bookmarkStart w:id="31" w:name="_Toc8089_WPSOffice_Level3"/>
      <w:bookmarkStart w:id="32" w:name="_Toc31395"/>
      <w:bookmarkStart w:id="33" w:name="_Toc955_WPSOffice_Level3"/>
      <w:r>
        <w:rPr>
          <w:rFonts w:hint="eastAsia" w:ascii="宋体" w:hAnsi="宋体" w:eastAsia="宋体" w:cs="宋体"/>
          <w:b/>
          <w:bCs/>
          <w:color w:val="auto"/>
          <w:kern w:val="2"/>
          <w:sz w:val="24"/>
          <w:szCs w:val="24"/>
          <w:lang w:val="en-US" w:eastAsia="zh-CN" w:bidi="ar-SA"/>
        </w:rPr>
        <w:t>3.供应商的资格要求</w:t>
      </w:r>
      <w:bookmarkEnd w:id="29"/>
      <w:bookmarkEnd w:id="30"/>
      <w:bookmarkEnd w:id="31"/>
      <w:bookmarkEnd w:id="32"/>
      <w:bookmarkEnd w:id="33"/>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3.1供应商是指响应</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文件要求、参加</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采购的法人、其他组织或者自然人。</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3.2供应商应当符合【</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须知前附表】规定的供应商资格条件。</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 xml:space="preserve">须知前附表】规定接受联合体形式的，供应商除应符合上述资格条件的规定外，还应遵守以下规定：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（l）联合体中有同类资质的供应商按照联合体分工承担相同工作的，应当按照资质等级较低的供应商确定资质等级。</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（2）联合体各方应按</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文件提供的格式签订联合体协议书，明确联合体牵头人和各方的权利义务、合同工作量比例；</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（3）联合体各方签订联合体协议书后，</w:t>
      </w:r>
      <w:r>
        <w:rPr>
          <w:rFonts w:hint="eastAsia" w:ascii="宋体" w:hAnsi="宋体" w:eastAsia="宋体" w:cs="宋体"/>
          <w:color w:val="auto"/>
          <w:sz w:val="24"/>
          <w:szCs w:val="24"/>
          <w:lang w:val="zh-CN"/>
        </w:rPr>
        <w:t>不得再单独参加或者与其他供应商组成新的联合体参加同一合同项下的采购活动。</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34" w:name="_Toc5096"/>
      <w:bookmarkStart w:id="35" w:name="_Toc24112_WPSOffice_Level3"/>
      <w:bookmarkStart w:id="36" w:name="_Toc15386"/>
      <w:bookmarkStart w:id="37" w:name="_Toc29322_WPSOffice_Level3"/>
      <w:bookmarkStart w:id="38" w:name="_Toc18921"/>
      <w:r>
        <w:rPr>
          <w:rFonts w:hint="eastAsia" w:ascii="宋体" w:hAnsi="宋体" w:eastAsia="宋体" w:cs="宋体"/>
          <w:b/>
          <w:bCs/>
          <w:color w:val="auto"/>
          <w:kern w:val="2"/>
          <w:sz w:val="24"/>
          <w:szCs w:val="24"/>
          <w:lang w:val="en-US" w:eastAsia="zh-CN" w:bidi="ar-SA"/>
        </w:rPr>
        <w:t>4.</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费用</w:t>
      </w:r>
      <w:bookmarkEnd w:id="34"/>
      <w:bookmarkEnd w:id="35"/>
      <w:bookmarkEnd w:id="36"/>
      <w:bookmarkEnd w:id="37"/>
      <w:bookmarkEnd w:id="38"/>
      <w:r>
        <w:rPr>
          <w:rFonts w:hint="eastAsia" w:ascii="宋体" w:hAnsi="宋体" w:eastAsia="宋体" w:cs="宋体"/>
          <w:b/>
          <w:bCs/>
          <w:color w:val="auto"/>
          <w:kern w:val="2"/>
          <w:sz w:val="24"/>
          <w:szCs w:val="24"/>
          <w:lang w:val="en-US" w:eastAsia="zh-CN" w:bidi="ar-SA"/>
        </w:rPr>
        <w:t xml:space="preserve"> </w:t>
      </w:r>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无论</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的结果如何，供应商应自行承担所有与</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采购活动有关的全部费用。</w:t>
      </w:r>
    </w:p>
    <w:p>
      <w:pPr>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1"/>
        <w:rPr>
          <w:rFonts w:hint="eastAsia" w:ascii="宋体" w:hAnsi="宋体" w:eastAsia="宋体" w:cs="宋体"/>
          <w:b w:val="0"/>
          <w:bCs w:val="0"/>
          <w:color w:val="auto"/>
          <w:kern w:val="2"/>
          <w:sz w:val="24"/>
          <w:szCs w:val="24"/>
          <w:lang w:val="en-US" w:eastAsia="zh-CN" w:bidi="ar-SA"/>
        </w:rPr>
      </w:pPr>
      <w:bookmarkStart w:id="39" w:name="_Toc19663_WPSOffice_Level2"/>
      <w:bookmarkStart w:id="40" w:name="_Toc2404_WPSOffice_Level2"/>
      <w:bookmarkStart w:id="41" w:name="_Toc34637766"/>
      <w:bookmarkStart w:id="42" w:name="_Toc24356"/>
      <w:bookmarkStart w:id="43" w:name="_Toc4912_WPSOffice_Level2"/>
      <w:bookmarkStart w:id="44" w:name="_Toc24182"/>
      <w:bookmarkStart w:id="45" w:name="_Toc28758"/>
      <w:bookmarkStart w:id="46" w:name="_Toc29594"/>
      <w:r>
        <w:rPr>
          <w:rFonts w:hint="eastAsia" w:ascii="宋体" w:hAnsi="宋体" w:eastAsia="宋体" w:cs="宋体"/>
          <w:b w:val="0"/>
          <w:bCs w:val="0"/>
          <w:color w:val="auto"/>
          <w:kern w:val="2"/>
          <w:sz w:val="24"/>
          <w:szCs w:val="24"/>
          <w:lang w:val="en-US" w:eastAsia="zh-CN" w:bidi="ar-SA"/>
        </w:rPr>
        <w:t>二、</w:t>
      </w:r>
      <w:r>
        <w:rPr>
          <w:rFonts w:hint="eastAsia" w:ascii="宋体" w:hAnsi="宋体" w:cs="宋体"/>
          <w:b w:val="0"/>
          <w:bCs w:val="0"/>
          <w:color w:val="auto"/>
          <w:kern w:val="2"/>
          <w:sz w:val="24"/>
          <w:szCs w:val="24"/>
          <w:lang w:val="en-US" w:eastAsia="zh-CN" w:bidi="ar-SA"/>
        </w:rPr>
        <w:t>询价</w:t>
      </w:r>
      <w:r>
        <w:rPr>
          <w:rFonts w:hint="eastAsia" w:ascii="宋体" w:hAnsi="宋体" w:eastAsia="宋体" w:cs="宋体"/>
          <w:b w:val="0"/>
          <w:bCs w:val="0"/>
          <w:color w:val="auto"/>
          <w:kern w:val="2"/>
          <w:sz w:val="24"/>
          <w:szCs w:val="24"/>
          <w:lang w:val="en-US" w:eastAsia="zh-CN" w:bidi="ar-SA"/>
        </w:rPr>
        <w:t>文件</w:t>
      </w:r>
      <w:bookmarkEnd w:id="39"/>
      <w:bookmarkEnd w:id="40"/>
      <w:bookmarkEnd w:id="41"/>
      <w:bookmarkEnd w:id="42"/>
      <w:bookmarkEnd w:id="43"/>
      <w:bookmarkEnd w:id="44"/>
      <w:bookmarkEnd w:id="45"/>
      <w:bookmarkEnd w:id="46"/>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47" w:name="_Toc10836"/>
      <w:bookmarkStart w:id="48" w:name="_Toc29785_WPSOffice_Level3"/>
      <w:bookmarkStart w:id="49" w:name="_Toc14464"/>
      <w:bookmarkStart w:id="50" w:name="_Toc1826"/>
      <w:bookmarkStart w:id="51" w:name="_Toc18786_WPSOffice_Level3"/>
      <w:r>
        <w:rPr>
          <w:rFonts w:hint="eastAsia" w:ascii="宋体" w:hAnsi="宋体" w:eastAsia="宋体" w:cs="宋体"/>
          <w:b/>
          <w:bCs/>
          <w:color w:val="auto"/>
          <w:kern w:val="2"/>
          <w:sz w:val="24"/>
          <w:szCs w:val="24"/>
          <w:lang w:val="en-US" w:eastAsia="zh-CN" w:bidi="ar-SA"/>
        </w:rPr>
        <w:t>5.</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文件的组成</w:t>
      </w:r>
      <w:bookmarkEnd w:id="47"/>
      <w:bookmarkEnd w:id="48"/>
      <w:bookmarkEnd w:id="49"/>
      <w:bookmarkEnd w:id="50"/>
      <w:bookmarkEnd w:id="51"/>
    </w:p>
    <w:p>
      <w:pPr>
        <w:pStyle w:val="14"/>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5.1</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文件由下列文件组成：</w:t>
      </w:r>
    </w:p>
    <w:p>
      <w:pPr>
        <w:pStyle w:val="14"/>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邀请</w:t>
      </w:r>
    </w:p>
    <w:p>
      <w:pPr>
        <w:pStyle w:val="14"/>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w:t>
      </w:r>
    </w:p>
    <w:p>
      <w:pPr>
        <w:pStyle w:val="14"/>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（3）采购需求</w:t>
      </w:r>
    </w:p>
    <w:p>
      <w:pPr>
        <w:pStyle w:val="14"/>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响应文件格式</w:t>
      </w:r>
    </w:p>
    <w:p>
      <w:pPr>
        <w:pStyle w:val="14"/>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（5）采购项目合同书范本</w:t>
      </w:r>
    </w:p>
    <w:p>
      <w:pPr>
        <w:pStyle w:val="14"/>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5.2采购人、采购代理机构或者</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小组在提交首次响应文件截止之日前对已发出的</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文件进行的澄清或者修改，构成</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文件的组成部分。</w:t>
      </w:r>
    </w:p>
    <w:p>
      <w:pPr>
        <w:pStyle w:val="14"/>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5.3</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小组根据与供应商</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情况可能实质性变动的内容见【</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须知前附表】。对</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文件作出的实质性变动是</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文件的有效组成部分。</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52" w:name="_Toc31604_WPSOffice_Level3"/>
      <w:bookmarkStart w:id="53" w:name="_Toc1317"/>
      <w:bookmarkStart w:id="54" w:name="_Toc24236"/>
      <w:bookmarkStart w:id="55" w:name="_Toc18056"/>
      <w:bookmarkStart w:id="56" w:name="_Toc25455_WPSOffice_Level3"/>
      <w:r>
        <w:rPr>
          <w:rFonts w:hint="eastAsia" w:ascii="宋体" w:hAnsi="宋体" w:eastAsia="宋体" w:cs="宋体"/>
          <w:b/>
          <w:bCs/>
          <w:color w:val="auto"/>
          <w:kern w:val="2"/>
          <w:sz w:val="24"/>
          <w:szCs w:val="24"/>
          <w:lang w:val="en-US" w:eastAsia="zh-CN" w:bidi="ar-SA"/>
        </w:rPr>
        <w:t>6.</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文件的澄清</w:t>
      </w:r>
      <w:r>
        <w:rPr>
          <w:rFonts w:hint="eastAsia" w:ascii="宋体" w:hAnsi="宋体" w:eastAsia="宋体" w:cs="宋体"/>
          <w:b/>
          <w:bCs/>
          <w:color w:val="auto"/>
          <w:kern w:val="2"/>
          <w:sz w:val="24"/>
          <w:szCs w:val="24"/>
          <w:lang w:val="zh-CN" w:eastAsia="zh-CN" w:bidi="ar-SA"/>
        </w:rPr>
        <w:t>或者</w:t>
      </w:r>
      <w:r>
        <w:rPr>
          <w:rFonts w:hint="eastAsia" w:ascii="宋体" w:hAnsi="宋体" w:eastAsia="宋体" w:cs="宋体"/>
          <w:b/>
          <w:bCs/>
          <w:color w:val="auto"/>
          <w:kern w:val="2"/>
          <w:sz w:val="24"/>
          <w:szCs w:val="24"/>
          <w:lang w:val="en-US" w:eastAsia="zh-CN" w:bidi="ar-SA"/>
        </w:rPr>
        <w:t>修改</w:t>
      </w:r>
      <w:bookmarkEnd w:id="52"/>
      <w:bookmarkEnd w:id="53"/>
      <w:bookmarkEnd w:id="54"/>
      <w:bookmarkEnd w:id="55"/>
      <w:bookmarkEnd w:id="56"/>
    </w:p>
    <w:p>
      <w:pPr>
        <w:pStyle w:val="14"/>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6.1在提交首次响应文件截止之日前，采购人、采购代理机构或者</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小组可以对已发出的</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文件进行必要的澄清或者修改。</w:t>
      </w:r>
    </w:p>
    <w:p>
      <w:pPr>
        <w:pStyle w:val="14"/>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6.2澄清或者修改的内容可能影响响应文件编制的，采购人、采购代理机构或者</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小组应当在提交首次响应文件截止之日3个工作日前，以书面形式通知所有接收</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文件的供应商，不足3个工作日的，顺延供应商提交首次响应文件截止时间。</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57" w:name="_Toc4138_WPSOffice_Level3"/>
      <w:bookmarkStart w:id="58" w:name="_Toc27004"/>
      <w:bookmarkStart w:id="59" w:name="_Toc27197"/>
      <w:bookmarkStart w:id="60" w:name="_Toc6866_WPSOffice_Level3"/>
      <w:bookmarkStart w:id="61" w:name="_Toc30"/>
      <w:bookmarkStart w:id="62" w:name="_Toc25126"/>
      <w:bookmarkStart w:id="63" w:name="_Toc34637767"/>
      <w:r>
        <w:rPr>
          <w:rFonts w:hint="eastAsia" w:ascii="宋体" w:hAnsi="宋体" w:eastAsia="宋体" w:cs="宋体"/>
          <w:b/>
          <w:bCs/>
          <w:color w:val="auto"/>
          <w:kern w:val="2"/>
          <w:sz w:val="24"/>
          <w:szCs w:val="24"/>
          <w:lang w:val="en-US" w:eastAsia="zh-CN" w:bidi="ar-SA"/>
        </w:rPr>
        <w:t>7.</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文件的询问或质疑</w:t>
      </w:r>
      <w:bookmarkEnd w:id="57"/>
      <w:bookmarkEnd w:id="58"/>
      <w:bookmarkEnd w:id="59"/>
      <w:bookmarkEnd w:id="60"/>
      <w:bookmarkEnd w:id="61"/>
      <w:bookmarkEnd w:id="62"/>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7.1供应商对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文件有疑问的，可以向采购人、采购代理机构提出询问。</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7.2提出质疑的供应商应当符合《中华人民共和国政府采购法》第二十二条的相关规定，对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文件提出质疑的，应当在获取采购文件或者采购文件公告期限届满之日起7个工作日内，按法律法规及其规章的规定向采购人、采购代理机构书面提出质疑。</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7.3供应商认为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文件使自己的权益受到损害的，应以书面形式提出质疑（不接受匿名质疑），供应商须在法定质疑期内一次性提出针对同一采购程序环节的质疑。</w:t>
      </w:r>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center"/>
        <w:textAlignment w:val="auto"/>
        <w:outlineLvl w:val="1"/>
        <w:rPr>
          <w:rFonts w:hint="eastAsia" w:ascii="宋体" w:hAnsi="宋体" w:eastAsia="宋体" w:cs="宋体"/>
          <w:color w:val="auto"/>
          <w:kern w:val="2"/>
          <w:sz w:val="24"/>
          <w:szCs w:val="24"/>
          <w:lang w:val="en-US" w:eastAsia="zh-CN" w:bidi="ar-SA"/>
        </w:rPr>
      </w:pPr>
      <w:bookmarkStart w:id="64" w:name="_Toc23235_WPSOffice_Level2"/>
      <w:bookmarkStart w:id="65" w:name="_Toc16902"/>
      <w:bookmarkStart w:id="66" w:name="_Toc30503"/>
      <w:bookmarkStart w:id="67" w:name="_Toc5732_WPSOffice_Level2"/>
      <w:bookmarkStart w:id="68" w:name="_Toc955_WPSOffice_Level2"/>
      <w:bookmarkStart w:id="69" w:name="_Toc28815"/>
      <w:r>
        <w:rPr>
          <w:rFonts w:hint="eastAsia" w:ascii="宋体" w:hAnsi="宋体" w:eastAsia="宋体" w:cs="宋体"/>
          <w:color w:val="auto"/>
          <w:kern w:val="2"/>
          <w:sz w:val="24"/>
          <w:szCs w:val="24"/>
          <w:lang w:val="en-US" w:eastAsia="zh-CN" w:bidi="ar-SA"/>
        </w:rPr>
        <w:t>三、响应文件</w:t>
      </w:r>
      <w:bookmarkEnd w:id="63"/>
      <w:bookmarkEnd w:id="64"/>
      <w:bookmarkEnd w:id="65"/>
      <w:bookmarkEnd w:id="66"/>
      <w:bookmarkEnd w:id="67"/>
      <w:bookmarkEnd w:id="68"/>
      <w:bookmarkEnd w:id="69"/>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70" w:name="_Toc1346"/>
      <w:bookmarkStart w:id="71" w:name="_Toc10843_WPSOffice_Level3"/>
      <w:bookmarkStart w:id="72" w:name="_Toc22063"/>
      <w:bookmarkStart w:id="73" w:name="_Toc1096_WPSOffice_Level3"/>
      <w:bookmarkStart w:id="74" w:name="_Toc2475"/>
      <w:bookmarkStart w:id="75" w:name="_Toc17983"/>
      <w:r>
        <w:rPr>
          <w:rFonts w:hint="eastAsia" w:ascii="宋体" w:hAnsi="宋体" w:eastAsia="宋体" w:cs="宋体"/>
          <w:b/>
          <w:bCs/>
          <w:color w:val="auto"/>
          <w:kern w:val="2"/>
          <w:sz w:val="24"/>
          <w:szCs w:val="24"/>
          <w:lang w:val="en-US" w:eastAsia="zh-CN" w:bidi="ar-SA"/>
        </w:rPr>
        <w:t>8.一般要求</w:t>
      </w:r>
      <w:bookmarkEnd w:id="70"/>
      <w:bookmarkEnd w:id="71"/>
      <w:bookmarkEnd w:id="72"/>
      <w:bookmarkEnd w:id="73"/>
      <w:bookmarkEnd w:id="74"/>
      <w:bookmarkEnd w:id="75"/>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8.1供应商应仔细阅读</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文件的所有内容，按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文件的要求编制响应文件，并保证所提供的全部资料的真实性，以使其响应文件对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文件做出实质性的响应。任何对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文件的忽略或误解不能作为响应文件存在缺陷或瑕疵的理由，其风险由供应商承担。</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8.2供应商提交的响应文件及供应商与采购人或采购代理机构、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小组就有关</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的所有来往函电均使用中文。附有外文资料的，须翻译成中文并加盖供应商公章，若翻译的中文资料与外文资料存在差异和矛盾，则以中文资料为准。其准确性由供应商负责。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8.3除</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文件中另有规定外，</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响应文件所使用的度量衡单位，均须采用国家法定计量单位。未列明时应默认为我国法定计量单位。</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8.4响应文件应采用书面形式，电报、传真、电子邮件形式的响应文件概不接受。</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8.5供应商应按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文件中提供的响应文件格式进行填写。</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76" w:name="_Toc16030"/>
      <w:bookmarkStart w:id="77" w:name="_Toc12633"/>
      <w:bookmarkStart w:id="78" w:name="_Toc14527_WPSOffice_Level3"/>
      <w:bookmarkStart w:id="79" w:name="_Toc12007"/>
      <w:bookmarkStart w:id="80" w:name="_Toc20423_WPSOffice_Level3"/>
      <w:r>
        <w:rPr>
          <w:rFonts w:hint="eastAsia" w:ascii="宋体" w:hAnsi="宋体" w:eastAsia="宋体" w:cs="宋体"/>
          <w:b/>
          <w:bCs/>
          <w:color w:val="auto"/>
          <w:kern w:val="2"/>
          <w:sz w:val="24"/>
          <w:szCs w:val="24"/>
          <w:lang w:val="en-US" w:eastAsia="zh-CN" w:bidi="ar-SA"/>
        </w:rPr>
        <w:t>9.报价要求</w:t>
      </w:r>
      <w:bookmarkEnd w:id="76"/>
      <w:bookmarkEnd w:id="77"/>
      <w:bookmarkEnd w:id="78"/>
      <w:bookmarkEnd w:id="79"/>
      <w:bookmarkEnd w:id="80"/>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9.1供应商应当根据</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文件“分项报价表”逐一报价；</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9.2在首次报价表、分项报价表、最后报价表填写报价时应注意下列要求：</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（1）采购需求要求的</w:t>
      </w:r>
      <w:r>
        <w:rPr>
          <w:rFonts w:hint="eastAsia" w:ascii="宋体" w:hAnsi="宋体" w:eastAsia="宋体" w:cs="宋体"/>
          <w:color w:val="auto"/>
          <w:kern w:val="2"/>
          <w:sz w:val="24"/>
          <w:szCs w:val="24"/>
          <w:u w:val="single" w:color="auto"/>
          <w:lang w:val="en-US" w:eastAsia="zh-CN" w:bidi="ar-SA"/>
        </w:rPr>
        <w:t>安装、调试、培训、售后服务及其它附</w:t>
      </w:r>
      <w:r>
        <w:rPr>
          <w:rFonts w:hint="eastAsia" w:ascii="宋体" w:hAnsi="宋体" w:eastAsia="宋体" w:cs="宋体"/>
          <w:color w:val="auto"/>
          <w:kern w:val="2"/>
          <w:sz w:val="24"/>
          <w:szCs w:val="24"/>
          <w:lang w:val="en-US" w:eastAsia="zh-CN" w:bidi="ar-SA"/>
        </w:rPr>
        <w:t>加服务的费用。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（2）所有根据合同或其它原因应由供应商交纳和支付的税款和费用。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（3）供应商报价应为完成本</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文件中所要求的货物/服务/工程所应包括内容的所有价格。</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9.3</w:t>
      </w:r>
      <w:r>
        <w:rPr>
          <w:rFonts w:hint="eastAsia" w:ascii="宋体" w:hAnsi="宋体" w:eastAsia="宋体" w:cs="宋体"/>
          <w:color w:val="auto"/>
          <w:kern w:val="2"/>
          <w:sz w:val="24"/>
          <w:szCs w:val="24"/>
          <w:lang w:val="zh-CN" w:eastAsia="zh-CN" w:bidi="ar-SA"/>
        </w:rPr>
        <w:t>供应商</w:t>
      </w:r>
      <w:r>
        <w:rPr>
          <w:rFonts w:hint="eastAsia" w:ascii="宋体" w:hAnsi="宋体" w:eastAsia="宋体" w:cs="宋体"/>
          <w:color w:val="auto"/>
          <w:kern w:val="2"/>
          <w:sz w:val="24"/>
          <w:szCs w:val="24"/>
          <w:lang w:val="en-US" w:eastAsia="zh-CN" w:bidi="ar-SA"/>
        </w:rPr>
        <w:t>的每次报价均不得超过采购项目预算，否则视为无效响应。采购项目预算见【</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9.4供应商提交的最后报价在合同执行过程中是固定不变的，不得以任何理由予以变更。以可变动价格提交的报价将被认为是非实质响应而被拒绝。</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9.5</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报价为总价。供应商须按要求填写</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 xml:space="preserve">总报价，最后报价不得出现两个或两个以上的报价方案。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9.6报价币种为人民币。</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81" w:name="_Toc30839"/>
      <w:bookmarkStart w:id="82" w:name="_Toc24956_WPSOffice_Level3"/>
      <w:bookmarkStart w:id="83" w:name="_Toc19609_WPSOffice_Level3"/>
      <w:bookmarkStart w:id="84" w:name="_Toc2832"/>
      <w:bookmarkStart w:id="85" w:name="_Toc30481"/>
      <w:r>
        <w:rPr>
          <w:rFonts w:hint="eastAsia" w:ascii="宋体" w:hAnsi="宋体" w:eastAsia="宋体" w:cs="宋体"/>
          <w:b/>
          <w:bCs/>
          <w:color w:val="auto"/>
          <w:kern w:val="2"/>
          <w:sz w:val="24"/>
          <w:szCs w:val="24"/>
          <w:lang w:val="en-US" w:eastAsia="zh-CN" w:bidi="ar-SA"/>
        </w:rPr>
        <w:t>10.保证金</w:t>
      </w:r>
      <w:bookmarkEnd w:id="81"/>
      <w:bookmarkEnd w:id="82"/>
      <w:bookmarkEnd w:id="83"/>
      <w:bookmarkEnd w:id="84"/>
      <w:bookmarkEnd w:id="85"/>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未要求</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86" w:name="_Toc4945_WPSOffice_Level3"/>
      <w:bookmarkStart w:id="87" w:name="_Toc103"/>
      <w:bookmarkStart w:id="88" w:name="_Toc18765_WPSOffice_Level3"/>
      <w:bookmarkStart w:id="89" w:name="_Toc14144"/>
      <w:bookmarkStart w:id="90" w:name="_Toc5897"/>
      <w:r>
        <w:rPr>
          <w:rFonts w:hint="eastAsia" w:ascii="宋体" w:hAnsi="宋体" w:eastAsia="宋体" w:cs="宋体"/>
          <w:b/>
          <w:bCs/>
          <w:color w:val="auto"/>
          <w:kern w:val="2"/>
          <w:sz w:val="24"/>
          <w:szCs w:val="24"/>
          <w:lang w:val="en-US" w:eastAsia="zh-CN" w:bidi="ar-SA"/>
        </w:rPr>
        <w:t>11.响应文件的组成</w:t>
      </w:r>
      <w:bookmarkEnd w:id="86"/>
      <w:bookmarkEnd w:id="87"/>
      <w:bookmarkEnd w:id="88"/>
      <w:bookmarkEnd w:id="89"/>
      <w:bookmarkEnd w:id="90"/>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11.1响应文件包括下列内容：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t>供应商应提交相关证明材料，作为其参加</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和成交后有能力履行合同的证明。编写的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响应文件须包括以下内容（</w:t>
      </w:r>
      <w:r>
        <w:rPr>
          <w:rFonts w:hint="eastAsia" w:ascii="宋体" w:hAnsi="宋体" w:eastAsia="宋体" w:cs="宋体"/>
          <w:color w:val="auto"/>
          <w:kern w:val="2"/>
          <w:sz w:val="24"/>
          <w:szCs w:val="24"/>
          <w:highlight w:val="none"/>
          <w:lang w:val="en-US" w:eastAsia="zh-CN" w:bidi="ar-SA"/>
        </w:rPr>
        <w:t>格式详见</w:t>
      </w:r>
      <w:r>
        <w:rPr>
          <w:rFonts w:hint="eastAsia" w:ascii="宋体" w:hAnsi="宋体" w:cs="宋体"/>
          <w:color w:val="auto"/>
          <w:kern w:val="2"/>
          <w:sz w:val="24"/>
          <w:szCs w:val="24"/>
          <w:highlight w:val="none"/>
          <w:lang w:val="en-US" w:eastAsia="zh-CN" w:bidi="ar-SA"/>
        </w:rPr>
        <w:t>询价</w:t>
      </w:r>
      <w:r>
        <w:rPr>
          <w:rFonts w:hint="eastAsia" w:ascii="宋体" w:hAnsi="宋体" w:eastAsia="宋体" w:cs="宋体"/>
          <w:color w:val="auto"/>
          <w:kern w:val="2"/>
          <w:sz w:val="24"/>
          <w:szCs w:val="24"/>
          <w:highlight w:val="none"/>
          <w:lang w:val="en-US" w:eastAsia="zh-CN" w:bidi="ar-SA"/>
        </w:rPr>
        <w:t>文件第四部分内容）：</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11.1.1</w:t>
      </w:r>
      <w:r>
        <w:rPr>
          <w:rFonts w:hint="eastAsia" w:ascii="宋体" w:hAnsi="宋体" w:eastAsia="宋体" w:cs="宋体"/>
          <w:color w:val="auto"/>
          <w:kern w:val="2"/>
          <w:sz w:val="24"/>
          <w:szCs w:val="24"/>
          <w:lang w:val="zh-CN" w:eastAsia="zh-CN" w:bidi="ar-SA"/>
        </w:rPr>
        <w:t>资格审查部分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1、响应函</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2、法定代表人证明书</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3、法定代表人授权书</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4、供应商承诺函</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5、供应商诚信承诺书</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6、供应商资格证明文件</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7、财务状况、缴纳税收和社会保障资金证明</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8、无重大违法记录声明</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11.1.2有效性、完整性、响应程度审查</w:t>
      </w:r>
      <w:r>
        <w:rPr>
          <w:rFonts w:hint="eastAsia" w:ascii="宋体" w:hAnsi="宋体" w:eastAsia="宋体" w:cs="宋体"/>
          <w:color w:val="auto"/>
          <w:kern w:val="2"/>
          <w:sz w:val="24"/>
          <w:szCs w:val="24"/>
          <w:lang w:val="zh-CN" w:eastAsia="zh-CN" w:bidi="ar-SA"/>
        </w:rPr>
        <w:t>部分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1、</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首次报价表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2、分项报价表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3、技术规格响应表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4、</w:t>
      </w:r>
      <w:r>
        <w:rPr>
          <w:rFonts w:hint="eastAsia" w:ascii="宋体" w:hAnsi="宋体" w:cs="宋体"/>
          <w:color w:val="auto"/>
          <w:kern w:val="2"/>
          <w:sz w:val="24"/>
          <w:szCs w:val="24"/>
          <w:highlight w:val="none"/>
          <w:lang w:val="zh-CN" w:eastAsia="zh-CN" w:bidi="ar-SA"/>
        </w:rPr>
        <w:t>产品相关资料</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w:t>
      </w:r>
      <w:r>
        <w:rPr>
          <w:rFonts w:hint="eastAsia" w:ascii="宋体" w:hAnsi="宋体" w:eastAsia="宋体" w:cs="宋体"/>
          <w:color w:val="auto"/>
          <w:kern w:val="2"/>
          <w:sz w:val="24"/>
          <w:szCs w:val="24"/>
          <w:lang w:val="zh-CN" w:eastAsia="zh-CN" w:bidi="ar-SA"/>
        </w:rPr>
        <w:t>、供应商认为在其他方面有必要说明的事项</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zh-CN" w:eastAsia="zh-CN" w:bidi="ar-SA"/>
        </w:rPr>
        <w:t>供应商须按上述内容、顺序和格式编制响应文件，并按要求编制目录、页码，并保证所提供的全部资料真实可信，自愿承担相应责任。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11.2在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过程中，供应商根据</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小组书面形式要求提交的最后报价(</w:t>
      </w:r>
      <w:r>
        <w:rPr>
          <w:rFonts w:hint="eastAsia" w:ascii="宋体" w:hAnsi="宋体" w:eastAsia="宋体" w:cs="宋体"/>
          <w:color w:val="auto"/>
          <w:kern w:val="2"/>
          <w:sz w:val="24"/>
          <w:szCs w:val="24"/>
          <w:u w:val="single"/>
          <w:lang w:val="en-US" w:eastAsia="zh-CN" w:bidi="ar-SA"/>
        </w:rPr>
        <w:t>或者重新提交的响应文件和最后报价</w:t>
      </w:r>
      <w:r>
        <w:rPr>
          <w:rFonts w:hint="eastAsia" w:ascii="宋体" w:hAnsi="宋体" w:eastAsia="宋体" w:cs="宋体"/>
          <w:color w:val="auto"/>
          <w:kern w:val="2"/>
          <w:sz w:val="24"/>
          <w:szCs w:val="24"/>
          <w:lang w:val="en-US" w:eastAsia="zh-CN" w:bidi="ar-SA"/>
        </w:rPr>
        <w:t>)是响应文件的有效组成部分。</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91" w:name="_Toc11674"/>
      <w:bookmarkStart w:id="92" w:name="_Toc14930_WPSOffice_Level3"/>
      <w:bookmarkStart w:id="93" w:name="_Toc3694_WPSOffice_Level3"/>
      <w:bookmarkStart w:id="94" w:name="_Toc26621"/>
      <w:bookmarkStart w:id="95" w:name="_Toc929"/>
      <w:r>
        <w:rPr>
          <w:rFonts w:hint="eastAsia" w:ascii="宋体" w:hAnsi="宋体" w:eastAsia="宋体" w:cs="宋体"/>
          <w:b/>
          <w:bCs/>
          <w:color w:val="auto"/>
          <w:kern w:val="2"/>
          <w:sz w:val="24"/>
          <w:szCs w:val="24"/>
          <w:lang w:val="en-US" w:eastAsia="zh-CN" w:bidi="ar-SA"/>
        </w:rPr>
        <w:t>12.响应文件有效期</w:t>
      </w:r>
      <w:bookmarkEnd w:id="91"/>
      <w:bookmarkEnd w:id="92"/>
      <w:bookmarkEnd w:id="93"/>
      <w:bookmarkEnd w:id="94"/>
      <w:bookmarkEnd w:id="95"/>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响应文件有效期见【</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须知前附表】，在此期间响应文件对供应商具有法律约束力，从提交首次响应文件截止时间之日起计算。响应文件有效期不足的将被视为无效响应。</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96" w:name="_Toc20265"/>
      <w:bookmarkStart w:id="97" w:name="_Toc31682_WPSOffice_Level3"/>
      <w:bookmarkStart w:id="98" w:name="_Toc20516"/>
      <w:bookmarkStart w:id="99" w:name="_Toc8507_WPSOffice_Level3"/>
      <w:bookmarkStart w:id="100" w:name="_Toc21033"/>
      <w:r>
        <w:rPr>
          <w:rFonts w:hint="eastAsia" w:ascii="宋体" w:hAnsi="宋体" w:eastAsia="宋体" w:cs="宋体"/>
          <w:b/>
          <w:bCs/>
          <w:color w:val="auto"/>
          <w:kern w:val="2"/>
          <w:sz w:val="24"/>
          <w:szCs w:val="24"/>
          <w:lang w:val="en-US" w:eastAsia="zh-CN" w:bidi="ar-SA"/>
        </w:rPr>
        <w:t>13.响应文件的签署及规定</w:t>
      </w:r>
      <w:bookmarkEnd w:id="96"/>
      <w:bookmarkEnd w:id="97"/>
      <w:bookmarkEnd w:id="98"/>
      <w:bookmarkEnd w:id="99"/>
      <w:bookmarkEnd w:id="100"/>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13.1响应文件应按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文件要求签字盖章。供应商代表可为供应商法定代表人(非法人组织为负责人或合伙人、个体工商户为负责人，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文件统称单位负责人)；供应商代表不是供应商的法定代表人（单位负责人）的，应提供法定代表人（单位负责人）授权委托书。</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13.2 </w:t>
      </w:r>
      <w:r>
        <w:rPr>
          <w:rFonts w:hint="eastAsia" w:ascii="宋体" w:hAnsi="宋体" w:eastAsia="宋体" w:cs="宋体"/>
          <w:color w:val="auto"/>
          <w:kern w:val="2"/>
          <w:sz w:val="24"/>
          <w:szCs w:val="24"/>
          <w:lang w:val="zh-CN" w:eastAsia="zh-CN" w:bidi="ar-SA"/>
        </w:rPr>
        <w:t>供应商应按照</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文件所提供的文件格式，分别填写</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文件</w:t>
      </w:r>
      <w:r>
        <w:rPr>
          <w:rFonts w:hint="eastAsia" w:ascii="宋体" w:hAnsi="宋体" w:eastAsia="宋体" w:cs="宋体"/>
          <w:color w:val="auto"/>
          <w:kern w:val="2"/>
          <w:sz w:val="24"/>
          <w:szCs w:val="24"/>
          <w:highlight w:val="none"/>
          <w:lang w:val="zh-CN" w:eastAsia="zh-CN" w:bidi="ar-SA"/>
        </w:rPr>
        <w:t>第四部分</w:t>
      </w:r>
      <w:r>
        <w:rPr>
          <w:rFonts w:hint="eastAsia" w:ascii="宋体" w:hAnsi="宋体" w:eastAsia="宋体" w:cs="宋体"/>
          <w:color w:val="auto"/>
          <w:kern w:val="2"/>
          <w:sz w:val="24"/>
          <w:szCs w:val="24"/>
          <w:lang w:val="zh-CN" w:eastAsia="zh-CN" w:bidi="ar-SA"/>
        </w:rPr>
        <w:t>的内容，应分别注明所提供货物的名称、技术配置及参数、数量和价格等内容；</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文件要求签字、盖章的地方必须由供应商的法定代表人或委托代理人签字、盖章。</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13.3响应文件正本一份，副本份数见【</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须知前附表】；响应文件电子文档（U盘或光盘形式）：一份。纸质响应文件须清楚地注明“正本”或“副本”的字样。</w:t>
      </w:r>
      <w:r>
        <w:rPr>
          <w:rFonts w:hint="eastAsia" w:ascii="宋体" w:hAnsi="宋体" w:eastAsia="宋体" w:cs="宋体"/>
          <w:color w:val="auto"/>
          <w:kern w:val="2"/>
          <w:sz w:val="24"/>
          <w:szCs w:val="24"/>
          <w:lang w:val="zh-CN" w:eastAsia="zh-CN" w:bidi="ar-SA"/>
        </w:rPr>
        <w:t>电子文档用光盘或U盘制作，采用不可修改文档格式（如PDF格式），内容必须和纸质响应文件正本完全一致，包括封面、页码、签字、盖章等，</w:t>
      </w:r>
      <w:r>
        <w:rPr>
          <w:rFonts w:hint="eastAsia" w:ascii="宋体" w:hAnsi="宋体" w:eastAsia="宋体" w:cs="宋体"/>
          <w:color w:val="auto"/>
          <w:sz w:val="24"/>
          <w:szCs w:val="24"/>
        </w:rPr>
        <w:t>若副本和正本不一致或电子版文件和纸质正本文件不一致时，以纸质正本文件为准。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13.4 响应</w:t>
      </w:r>
      <w:r>
        <w:rPr>
          <w:rFonts w:hint="eastAsia" w:ascii="宋体" w:hAnsi="宋体" w:eastAsia="宋体" w:cs="宋体"/>
          <w:color w:val="auto"/>
          <w:kern w:val="2"/>
          <w:sz w:val="24"/>
          <w:szCs w:val="24"/>
          <w:lang w:val="zh-CN" w:eastAsia="zh-CN" w:bidi="ar-SA"/>
        </w:rPr>
        <w:t>文件统一使用A4幅面的纸张印制，必须胶装成册并编制目录，其他方式装订的响应文件一概不予接受。响应文件的正本需打印或用不褪色、不变质的墨水书写，副本可采用正本的复印件。</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13.5 响应文件不得行间插字，若有修改错漏处，应由供应商法定代表人或者其委托代理人签字、加盖公章。否则，将导致响应文件无效。</w:t>
      </w:r>
      <w:r>
        <w:rPr>
          <w:rFonts w:hint="eastAsia" w:ascii="宋体" w:hAnsi="宋体" w:eastAsia="宋体" w:cs="宋体"/>
          <w:color w:val="auto"/>
          <w:kern w:val="2"/>
          <w:sz w:val="24"/>
          <w:szCs w:val="24"/>
          <w:lang w:val="zh-CN" w:eastAsia="zh-CN" w:bidi="ar-SA"/>
        </w:rPr>
        <w:t xml:space="preserve">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13.6在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过程中，供应商按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小组要求提交的最后报价(或者重新提交的响应文件和最后报价)，须打印或用不褪色材料书写，并经供应商代表签字，或者加盖供应商单位公章。否则，将导致响应文件无效。</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13.7供应商无论成交与否，其响应文件不予退还。</w:t>
      </w:r>
    </w:p>
    <w:p>
      <w:pPr>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1"/>
        <w:rPr>
          <w:rFonts w:hint="eastAsia" w:ascii="宋体" w:hAnsi="宋体" w:eastAsia="宋体" w:cs="宋体"/>
          <w:b w:val="0"/>
          <w:bCs w:val="0"/>
          <w:color w:val="auto"/>
          <w:kern w:val="2"/>
          <w:sz w:val="24"/>
          <w:szCs w:val="24"/>
          <w:lang w:val="en-US" w:eastAsia="zh-CN" w:bidi="ar-SA"/>
        </w:rPr>
      </w:pPr>
      <w:bookmarkStart w:id="101" w:name="_Toc8361"/>
      <w:bookmarkStart w:id="102" w:name="_Toc10292"/>
      <w:bookmarkStart w:id="103" w:name="_Toc24112_WPSOffice_Level2"/>
      <w:bookmarkStart w:id="104" w:name="_Toc30575"/>
      <w:bookmarkStart w:id="105" w:name="_Toc34637768"/>
      <w:bookmarkStart w:id="106" w:name="_Toc25869"/>
      <w:bookmarkStart w:id="107" w:name="_Toc31349_WPSOffice_Level2"/>
      <w:bookmarkStart w:id="108" w:name="_Toc32627_WPSOffice_Level2"/>
      <w:r>
        <w:rPr>
          <w:rFonts w:hint="eastAsia" w:ascii="宋体" w:hAnsi="宋体" w:eastAsia="宋体" w:cs="宋体"/>
          <w:b w:val="0"/>
          <w:bCs w:val="0"/>
          <w:color w:val="auto"/>
          <w:kern w:val="2"/>
          <w:sz w:val="24"/>
          <w:szCs w:val="24"/>
          <w:lang w:val="en-US" w:eastAsia="zh-CN" w:bidi="ar-SA"/>
        </w:rPr>
        <w:t>四、响应文件的递交</w:t>
      </w:r>
      <w:bookmarkEnd w:id="101"/>
      <w:bookmarkEnd w:id="102"/>
      <w:bookmarkEnd w:id="103"/>
      <w:bookmarkEnd w:id="104"/>
      <w:bookmarkEnd w:id="105"/>
      <w:bookmarkEnd w:id="106"/>
      <w:bookmarkEnd w:id="107"/>
      <w:bookmarkEnd w:id="108"/>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09" w:name="_Toc20825_WPSOffice_Level3"/>
      <w:bookmarkStart w:id="110" w:name="_Toc26280"/>
      <w:bookmarkStart w:id="111" w:name="_Toc23622_WPSOffice_Level3"/>
      <w:bookmarkStart w:id="112" w:name="_Toc6095"/>
      <w:bookmarkStart w:id="113" w:name="_Toc4459"/>
      <w:r>
        <w:rPr>
          <w:rFonts w:hint="eastAsia" w:ascii="宋体" w:hAnsi="宋体" w:eastAsia="宋体" w:cs="宋体"/>
          <w:b/>
          <w:bCs/>
          <w:color w:val="auto"/>
          <w:kern w:val="2"/>
          <w:sz w:val="24"/>
          <w:szCs w:val="24"/>
          <w:lang w:val="en-US" w:eastAsia="zh-CN" w:bidi="ar-SA"/>
        </w:rPr>
        <w:t>14.响应文件的密封和标记</w:t>
      </w:r>
      <w:bookmarkEnd w:id="109"/>
      <w:bookmarkEnd w:id="110"/>
      <w:bookmarkEnd w:id="111"/>
      <w:bookmarkEnd w:id="112"/>
      <w:bookmarkEnd w:id="113"/>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14.1响应文件</w:t>
      </w:r>
      <w:r>
        <w:rPr>
          <w:rFonts w:hint="eastAsia" w:ascii="宋体" w:hAnsi="宋体" w:cs="宋体"/>
          <w:color w:val="auto"/>
          <w:kern w:val="2"/>
          <w:sz w:val="24"/>
          <w:szCs w:val="24"/>
          <w:lang w:val="en-US" w:eastAsia="zh-CN" w:bidi="ar-SA"/>
        </w:rPr>
        <w:t>的背脊处需注明</w:t>
      </w:r>
      <w:r>
        <w:rPr>
          <w:rFonts w:hint="eastAsia" w:ascii="宋体" w:hAnsi="宋体" w:eastAsia="宋体" w:cs="宋体"/>
          <w:color w:val="auto"/>
          <w:sz w:val="24"/>
          <w:szCs w:val="24"/>
        </w:rPr>
        <w:t>采购项目</w:t>
      </w:r>
      <w:r>
        <w:rPr>
          <w:rFonts w:hint="eastAsia" w:ascii="宋体" w:hAnsi="宋体" w:eastAsia="宋体" w:cs="宋体"/>
          <w:color w:val="auto"/>
          <w:sz w:val="24"/>
          <w:szCs w:val="24"/>
          <w:lang w:eastAsia="zh-CN"/>
        </w:rPr>
        <w:t>名称</w:t>
      </w:r>
      <w:r>
        <w:rPr>
          <w:rFonts w:hint="eastAsia" w:ascii="宋体" w:hAnsi="宋体" w:cs="宋体"/>
          <w:color w:val="auto"/>
          <w:sz w:val="24"/>
          <w:szCs w:val="24"/>
          <w:lang w:val="en-US" w:eastAsia="zh-CN"/>
        </w:rPr>
        <w:t>及</w:t>
      </w:r>
      <w:r>
        <w:rPr>
          <w:rFonts w:hint="eastAsia" w:ascii="宋体" w:hAnsi="宋体" w:eastAsia="宋体" w:cs="宋体"/>
          <w:color w:val="auto"/>
          <w:sz w:val="24"/>
          <w:szCs w:val="24"/>
        </w:rPr>
        <w:t>采购项目</w:t>
      </w:r>
      <w:r>
        <w:rPr>
          <w:rFonts w:hint="eastAsia" w:ascii="宋体" w:hAnsi="宋体" w:cs="宋体"/>
          <w:color w:val="auto"/>
          <w:sz w:val="24"/>
          <w:szCs w:val="24"/>
          <w:lang w:val="en-US" w:eastAsia="zh-CN"/>
        </w:rPr>
        <w:t>编号</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响应文件应密封包装，以保证其响应文件信息在提交首次响应文件截止时间前不被透露。</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w:t>
      </w:r>
      <w:r>
        <w:rPr>
          <w:rFonts w:hint="eastAsia" w:ascii="宋体" w:hAnsi="宋体" w:cs="宋体"/>
          <w:color w:val="auto"/>
          <w:kern w:val="2"/>
          <w:sz w:val="24"/>
          <w:szCs w:val="24"/>
          <w:lang w:val="en-US" w:eastAsia="zh-CN" w:bidi="ar-SA"/>
        </w:rPr>
        <w:t>3</w:t>
      </w:r>
      <w:r>
        <w:rPr>
          <w:rFonts w:hint="eastAsia" w:ascii="宋体" w:hAnsi="宋体" w:eastAsia="宋体" w:cs="宋体"/>
          <w:color w:val="auto"/>
          <w:sz w:val="24"/>
          <w:szCs w:val="24"/>
        </w:rPr>
        <w:t>响应文件正本、所有副本应密封包装</w:t>
      </w:r>
      <w:r>
        <w:rPr>
          <w:rFonts w:hint="eastAsia" w:ascii="宋体" w:hAnsi="宋体" w:eastAsia="宋体" w:cs="宋体"/>
          <w:color w:val="auto"/>
          <w:kern w:val="2"/>
          <w:sz w:val="24"/>
          <w:szCs w:val="24"/>
          <w:lang w:val="en-US" w:eastAsia="zh-CN" w:bidi="ar-SA"/>
        </w:rPr>
        <w:t>，密封袋上应写明的内容见【</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w:t>
      </w:r>
    </w:p>
    <w:p>
      <w:pPr>
        <w:pStyle w:val="19"/>
        <w:rPr>
          <w:rFonts w:hint="default"/>
          <w:lang w:val="en-US" w:eastAsia="zh-CN"/>
        </w:rPr>
      </w:pPr>
      <w:r>
        <w:rPr>
          <w:rFonts w:hint="eastAsia" w:cs="宋体"/>
          <w:color w:val="auto"/>
          <w:kern w:val="2"/>
          <w:sz w:val="24"/>
          <w:szCs w:val="24"/>
          <w:lang w:val="en-US" w:eastAsia="zh-CN" w:bidi="ar-SA"/>
        </w:rPr>
        <w:t xml:space="preserve">    注：如未按以上要求密封和标记按无效响应处理。</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14" w:name="_Toc7845_WPSOffice_Level3"/>
      <w:bookmarkStart w:id="115" w:name="_Toc18048"/>
      <w:bookmarkStart w:id="116" w:name="_Toc6414"/>
      <w:bookmarkStart w:id="117" w:name="_Toc13231_WPSOffice_Level3"/>
      <w:bookmarkStart w:id="118" w:name="_Toc1241"/>
      <w:r>
        <w:rPr>
          <w:rFonts w:hint="eastAsia" w:ascii="宋体" w:hAnsi="宋体" w:eastAsia="宋体" w:cs="宋体"/>
          <w:b/>
          <w:bCs/>
          <w:color w:val="auto"/>
          <w:kern w:val="2"/>
          <w:sz w:val="24"/>
          <w:szCs w:val="24"/>
          <w:lang w:val="en-US" w:eastAsia="zh-CN" w:bidi="ar-SA"/>
        </w:rPr>
        <w:t>15.响应文件的递交与接收</w:t>
      </w:r>
      <w:bookmarkEnd w:id="114"/>
      <w:bookmarkEnd w:id="115"/>
      <w:bookmarkEnd w:id="116"/>
      <w:bookmarkEnd w:id="117"/>
      <w:bookmarkEnd w:id="118"/>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供应商应在【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须知前附表】规定的时间和地点提交响应文件。在截止时间后送达的响应文件为无效文件，采购人、采购代理机构或者</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小组拒收逾期送达的响应文件。</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19" w:name="_Toc31959"/>
      <w:bookmarkStart w:id="120" w:name="_Toc7756"/>
      <w:bookmarkStart w:id="121" w:name="_Toc19521_WPSOffice_Level3"/>
      <w:bookmarkStart w:id="122" w:name="_Toc5063_WPSOffice_Level3"/>
      <w:bookmarkStart w:id="123" w:name="_Toc17912"/>
      <w:r>
        <w:rPr>
          <w:rFonts w:hint="eastAsia" w:ascii="宋体" w:hAnsi="宋体" w:eastAsia="宋体" w:cs="宋体"/>
          <w:b/>
          <w:bCs/>
          <w:color w:val="auto"/>
          <w:kern w:val="2"/>
          <w:sz w:val="24"/>
          <w:szCs w:val="24"/>
          <w:lang w:val="en-US" w:eastAsia="zh-CN" w:bidi="ar-SA"/>
        </w:rPr>
        <w:t>16.响应文件的</w:t>
      </w:r>
      <w:r>
        <w:rPr>
          <w:rFonts w:hint="eastAsia" w:ascii="宋体" w:hAnsi="宋体" w:eastAsia="宋体" w:cs="宋体"/>
          <w:b/>
          <w:bCs/>
          <w:color w:val="auto"/>
          <w:kern w:val="2"/>
          <w:sz w:val="24"/>
          <w:szCs w:val="24"/>
          <w:lang w:val="zh-CN" w:eastAsia="zh-CN" w:bidi="ar-SA"/>
        </w:rPr>
        <w:t>补充、修改或者撤回</w:t>
      </w:r>
      <w:bookmarkEnd w:id="119"/>
      <w:bookmarkEnd w:id="120"/>
      <w:bookmarkEnd w:id="121"/>
      <w:bookmarkEnd w:id="122"/>
      <w:bookmarkEnd w:id="123"/>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bookmarkStart w:id="124" w:name="_Toc32435"/>
      <w:bookmarkStart w:id="125" w:name="_Toc34637769"/>
      <w:r>
        <w:rPr>
          <w:rFonts w:hint="eastAsia" w:ascii="宋体" w:hAnsi="宋体" w:eastAsia="宋体" w:cs="宋体"/>
          <w:color w:val="auto"/>
          <w:kern w:val="2"/>
          <w:sz w:val="24"/>
          <w:szCs w:val="24"/>
          <w:lang w:val="en-US" w:eastAsia="zh-CN" w:bidi="ar-SA"/>
        </w:rPr>
        <w:t>供应商在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截止时间前，可以对所递交的响应文件进行补充、修改或者撤回，并书面通知采购人或者采购代理机构。补充、修改的内容作为响应文件的组成部分，补充、修改的内容与响应文件不一致的，以补充、修改的内容为准。</w:t>
      </w:r>
      <w:bookmarkEnd w:id="124"/>
    </w:p>
    <w:p>
      <w:pPr>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1"/>
        <w:rPr>
          <w:rFonts w:hint="eastAsia" w:ascii="宋体" w:hAnsi="宋体" w:eastAsia="宋体" w:cs="宋体"/>
          <w:b w:val="0"/>
          <w:bCs w:val="0"/>
          <w:color w:val="auto"/>
          <w:kern w:val="2"/>
          <w:sz w:val="24"/>
          <w:szCs w:val="24"/>
          <w:lang w:val="en-US" w:eastAsia="zh-CN" w:bidi="ar-SA"/>
        </w:rPr>
      </w:pPr>
      <w:bookmarkStart w:id="126" w:name="_Toc10968"/>
      <w:bookmarkStart w:id="127" w:name="_Toc31993"/>
      <w:bookmarkStart w:id="128" w:name="_Toc25721_WPSOffice_Level2"/>
      <w:bookmarkStart w:id="129" w:name="_Toc29785_WPSOffice_Level2"/>
      <w:bookmarkStart w:id="130" w:name="_Toc18610_WPSOffice_Level2"/>
      <w:bookmarkStart w:id="131" w:name="_Toc473"/>
      <w:bookmarkStart w:id="132" w:name="_Toc12974"/>
      <w:r>
        <w:rPr>
          <w:rFonts w:hint="eastAsia" w:ascii="宋体" w:hAnsi="宋体" w:eastAsia="宋体" w:cs="宋体"/>
          <w:b w:val="0"/>
          <w:bCs w:val="0"/>
          <w:color w:val="auto"/>
          <w:kern w:val="2"/>
          <w:sz w:val="24"/>
          <w:szCs w:val="24"/>
          <w:lang w:val="en-US" w:eastAsia="zh-CN" w:bidi="ar-SA"/>
        </w:rPr>
        <w:t>五、响应文件的评审与</w:t>
      </w:r>
      <w:bookmarkEnd w:id="125"/>
      <w:bookmarkEnd w:id="126"/>
      <w:bookmarkEnd w:id="127"/>
      <w:bookmarkEnd w:id="128"/>
      <w:bookmarkEnd w:id="129"/>
      <w:bookmarkEnd w:id="130"/>
      <w:bookmarkEnd w:id="131"/>
      <w:bookmarkEnd w:id="132"/>
      <w:r>
        <w:rPr>
          <w:rFonts w:hint="eastAsia" w:ascii="宋体" w:hAnsi="宋体" w:cs="宋体"/>
          <w:b w:val="0"/>
          <w:bCs w:val="0"/>
          <w:color w:val="auto"/>
          <w:kern w:val="2"/>
          <w:sz w:val="24"/>
          <w:szCs w:val="24"/>
          <w:lang w:val="en-US" w:eastAsia="zh-CN" w:bidi="ar-SA"/>
        </w:rPr>
        <w:t>询价</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33" w:name="_Toc18713_WPSOffice_Level3"/>
      <w:bookmarkStart w:id="134" w:name="_Toc13395"/>
      <w:bookmarkStart w:id="135" w:name="_Toc19596_WPSOffice_Level3"/>
      <w:bookmarkStart w:id="136" w:name="_Toc26446"/>
      <w:bookmarkStart w:id="137" w:name="_Toc174"/>
      <w:r>
        <w:rPr>
          <w:rFonts w:hint="eastAsia" w:ascii="宋体" w:hAnsi="宋体" w:eastAsia="宋体" w:cs="宋体"/>
          <w:b/>
          <w:bCs/>
          <w:color w:val="auto"/>
          <w:kern w:val="2"/>
          <w:sz w:val="24"/>
          <w:szCs w:val="24"/>
          <w:lang w:val="en-US" w:eastAsia="zh-CN" w:bidi="ar-SA"/>
        </w:rPr>
        <w:t>17.</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小组</w:t>
      </w:r>
      <w:bookmarkEnd w:id="133"/>
      <w:bookmarkEnd w:id="134"/>
      <w:bookmarkEnd w:id="135"/>
      <w:bookmarkEnd w:id="136"/>
      <w:bookmarkEnd w:id="137"/>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小组由采购人代表和评审专家共</w:t>
      </w:r>
      <w:r>
        <w:rPr>
          <w:rFonts w:hint="eastAsia" w:ascii="宋体" w:hAnsi="宋体" w:eastAsia="宋体" w:cs="宋体"/>
          <w:color w:val="auto"/>
          <w:kern w:val="2"/>
          <w:sz w:val="24"/>
          <w:szCs w:val="24"/>
          <w:u w:val="single"/>
          <w:lang w:val="en-US" w:eastAsia="zh-CN" w:bidi="ar-SA"/>
        </w:rPr>
        <w:t>3</w:t>
      </w:r>
      <w:r>
        <w:rPr>
          <w:rFonts w:hint="eastAsia" w:ascii="宋体" w:hAnsi="宋体" w:eastAsia="宋体" w:cs="宋体"/>
          <w:color w:val="auto"/>
          <w:kern w:val="2"/>
          <w:sz w:val="24"/>
          <w:szCs w:val="24"/>
          <w:lang w:val="en-US" w:eastAsia="zh-CN" w:bidi="ar-SA"/>
        </w:rPr>
        <w:t>人组成，其中评审专家人数不得少于</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小组成员总数的2/3。</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小组评审专家从评审专家库内相关专业的专家名单中随机抽取。</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17.2</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由采购代理机构负责组织，具体</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事务由依法组建的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小组负责，并独立履行下列职责：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u w:val="none"/>
          <w:lang w:val="en-US" w:eastAsia="zh-CN" w:bidi="ar-SA"/>
        </w:rPr>
        <w:t>确认</w:t>
      </w:r>
      <w:r>
        <w:rPr>
          <w:rFonts w:hint="eastAsia" w:ascii="宋体" w:hAnsi="宋体" w:cs="宋体"/>
          <w:color w:val="auto"/>
          <w:kern w:val="2"/>
          <w:sz w:val="24"/>
          <w:szCs w:val="24"/>
          <w:u w:val="none"/>
          <w:lang w:val="en-US" w:eastAsia="zh-CN" w:bidi="ar-SA"/>
        </w:rPr>
        <w:t>询价</w:t>
      </w:r>
      <w:r>
        <w:rPr>
          <w:rFonts w:hint="eastAsia" w:ascii="宋体" w:hAnsi="宋体" w:eastAsia="宋体" w:cs="宋体"/>
          <w:color w:val="auto"/>
          <w:kern w:val="2"/>
          <w:sz w:val="24"/>
          <w:szCs w:val="24"/>
          <w:u w:val="none"/>
          <w:lang w:val="en-US" w:eastAsia="zh-CN" w:bidi="ar-SA"/>
        </w:rPr>
        <w:t>文件</w:t>
      </w:r>
      <w:r>
        <w:rPr>
          <w:rFonts w:hint="eastAsia" w:ascii="宋体" w:hAnsi="宋体" w:eastAsia="宋体" w:cs="宋体"/>
          <w:color w:val="auto"/>
          <w:kern w:val="2"/>
          <w:sz w:val="24"/>
          <w:szCs w:val="24"/>
          <w:lang w:val="en-US" w:eastAsia="zh-CN" w:bidi="ar-SA"/>
        </w:rPr>
        <w:t>；</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（2）审查供应商的响应文件并作出评价；</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（3）要求供应商对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文件有关事项作出澄清或者说明；</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（4）编写评审报告；</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（5）确定成交候选人名单，以及根据采购人委托直接确定成交供应商；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（6）告知采购人、采购代理机构在评审过程中发现的供应商的违法违规行为。</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17.3</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小组应遵守并履行下列义务：</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（1）遵纪守法，客观、公正、廉洁地履行职责；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（2）按照</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文件规定的成交方法评审，对评审意见承担</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小组成员责任；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情况和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中获悉的国家秘密、商业秘密保密；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（4）参与评审报告的起草；</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（5）配合采购人、采购代理机构答复供应商提出的质疑；</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（6）配合财政部门的投诉处理和监督检查工作。</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17.4</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小组成员有下列情形之一的，应当回避：</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（1）参加采购活动前 3 年内与供应商存在劳动关系；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（2）参加采购活动前 3 年内担任供应商的董事、监事；</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（3）参加采购活动前 3 年内是供应商的控股股东或者实际控制人；</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（4）与供应商的法定代表人或者负责人有夫妻、直系血亲、三代以内旁系血亲或者近姻亲关系；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（5）与供应商有其他可能影响采购活动公平、公正进行的关系。</w:t>
      </w:r>
      <w:bookmarkStart w:id="138" w:name="_Toc19122"/>
      <w:bookmarkStart w:id="139" w:name="_Toc16350_WPSOffice_Level3"/>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40" w:name="_Toc27507"/>
      <w:bookmarkStart w:id="141" w:name="_Toc22044_WPSOffice_Level3"/>
      <w:r>
        <w:rPr>
          <w:rFonts w:hint="eastAsia" w:ascii="宋体" w:hAnsi="宋体" w:eastAsia="宋体" w:cs="宋体"/>
          <w:b/>
          <w:bCs/>
          <w:color w:val="auto"/>
          <w:kern w:val="2"/>
          <w:sz w:val="24"/>
          <w:szCs w:val="24"/>
          <w:lang w:val="en-US" w:eastAsia="zh-CN" w:bidi="ar-SA"/>
        </w:rPr>
        <w:t>18.响应文件审查</w:t>
      </w:r>
      <w:bookmarkEnd w:id="138"/>
      <w:bookmarkEnd w:id="139"/>
      <w:bookmarkEnd w:id="140"/>
      <w:bookmarkEnd w:id="141"/>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18.1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小组应当对响应文件进行评审，并根据</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文件规定的程序、评定成交的标准等事项与实质性响应</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文件要求的供应商进行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18.2在对供应商进行审查时，存在下列情况之一的，按无效处理：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（1）不符合</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文件第一部分</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须知前附表“供应商资格条件”的；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（2）未按第11.1.1款“</w:t>
      </w:r>
      <w:r>
        <w:rPr>
          <w:rFonts w:hint="eastAsia" w:ascii="宋体" w:hAnsi="宋体" w:eastAsia="宋体" w:cs="宋体"/>
          <w:color w:val="auto"/>
          <w:kern w:val="2"/>
          <w:sz w:val="24"/>
          <w:szCs w:val="24"/>
          <w:lang w:val="zh-CN" w:eastAsia="zh-CN" w:bidi="ar-SA"/>
        </w:rPr>
        <w:t>资格审查部分</w:t>
      </w:r>
      <w:r>
        <w:rPr>
          <w:rFonts w:hint="eastAsia" w:ascii="宋体" w:hAnsi="宋体" w:eastAsia="宋体" w:cs="宋体"/>
          <w:color w:val="auto"/>
          <w:kern w:val="2"/>
          <w:sz w:val="24"/>
          <w:szCs w:val="24"/>
          <w:lang w:val="en-US" w:eastAsia="zh-CN" w:bidi="ar-SA"/>
        </w:rPr>
        <w:t>”要求提供相关资料的；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（3）响应文件没有按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文件规定和要求签字、盖章的；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有效期不能满足</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文件要求的；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报价超过</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文件规定的采购预算额度的；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（6）所提供产品的技术规格、技术标准不符合采购项目要求的；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响应文件含有采购人不能接受的附加条件的；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（8）响应文件不满足</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文件实质性要求和条件的；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小组认为应按无效</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处理的其他情况；</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（10）法律、法规规定的其他情形。</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42" w:name="_Toc17887_WPSOffice_Level3"/>
      <w:bookmarkStart w:id="143" w:name="_Toc11154"/>
      <w:bookmarkStart w:id="144" w:name="_Toc1673_WPSOffice_Level3"/>
      <w:bookmarkStart w:id="145" w:name="_Toc17197"/>
      <w:bookmarkStart w:id="146" w:name="_Toc26777"/>
      <w:r>
        <w:rPr>
          <w:rFonts w:hint="eastAsia" w:ascii="宋体" w:hAnsi="宋体" w:eastAsia="宋体" w:cs="宋体"/>
          <w:b/>
          <w:bCs/>
          <w:color w:val="auto"/>
          <w:kern w:val="2"/>
          <w:sz w:val="24"/>
          <w:szCs w:val="24"/>
          <w:lang w:val="en-US" w:eastAsia="zh-CN" w:bidi="ar-SA"/>
        </w:rPr>
        <w:t>19.</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程序</w:t>
      </w:r>
      <w:bookmarkEnd w:id="142"/>
      <w:bookmarkEnd w:id="143"/>
      <w:bookmarkEnd w:id="144"/>
      <w:bookmarkEnd w:id="145"/>
      <w:bookmarkEnd w:id="146"/>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19.1在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小组所有成员集中与单一供应商分别进行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，负责审议所有通过资格条件供应商的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响应文件，给予所有参加</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的供应商平等的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机会。供应商应派其代表参加</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的任何一方不得向他人透露与</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有关的技术资料、价格或其他信息。</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19.2在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小组可以根据</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文件和</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情况实质性变动技术标准及要求中的技术、服务要求以及合同草案条款，但不得变动</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文件中的其他内容</w:t>
      </w:r>
      <w:r>
        <w:rPr>
          <w:rFonts w:hint="eastAsia" w:ascii="宋体" w:hAnsi="宋体" w:eastAsia="宋体" w:cs="宋体"/>
          <w:color w:val="auto"/>
          <w:kern w:val="2"/>
          <w:sz w:val="24"/>
          <w:szCs w:val="24"/>
          <w:lang w:val="en-US" w:eastAsia="zh-CN" w:bidi="ar-SA"/>
        </w:rPr>
        <w:t>。实质性变动的内容，须经采购人代表确认，</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小组将以书面形式将修改内容同时通知所有参加</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的供应商。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19.3</w:t>
      </w:r>
      <w:r>
        <w:rPr>
          <w:rFonts w:hint="eastAsia" w:ascii="宋体" w:hAnsi="宋体" w:eastAsia="宋体" w:cs="宋体"/>
          <w:color w:val="auto"/>
          <w:kern w:val="2"/>
          <w:sz w:val="24"/>
          <w:szCs w:val="24"/>
          <w:u w:val="single"/>
          <w:lang w:val="en-US" w:eastAsia="zh-CN" w:bidi="ar-SA"/>
        </w:rPr>
        <w:t>供应商应当按照</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文件的变动情况和</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小组的要求重新提交响应文件，并由其法定代表人或授权代表签字或者加盖公章。由授权代表签字的，应当附法定代表人授权书。供应商为自然人的，应当由本人签字并附身份证明。</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19.4响应文件中首次报价表内的报价为首次报价，根据技术、服务等满足</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文件要求的情况，供应商可进行二次报价。</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u w:val="single" w:color="auto"/>
          <w:lang w:val="en-US" w:eastAsia="zh-CN" w:bidi="ar-SA"/>
        </w:rPr>
      </w:pPr>
      <w:r>
        <w:rPr>
          <w:rFonts w:hint="eastAsia" w:ascii="宋体" w:hAnsi="宋体" w:eastAsia="宋体" w:cs="宋体"/>
          <w:color w:val="auto"/>
          <w:kern w:val="2"/>
          <w:sz w:val="24"/>
          <w:szCs w:val="24"/>
          <w:lang w:val="en-US" w:eastAsia="zh-CN" w:bidi="ar-SA"/>
        </w:rPr>
        <w:t>19.5</w:t>
      </w:r>
      <w:r>
        <w:rPr>
          <w:rFonts w:hint="eastAsia" w:ascii="宋体" w:hAnsi="宋体" w:cs="宋体"/>
          <w:color w:val="auto"/>
          <w:kern w:val="2"/>
          <w:sz w:val="24"/>
          <w:szCs w:val="24"/>
          <w:u w:val="single" w:color="auto"/>
          <w:lang w:val="en-US" w:eastAsia="zh-CN" w:bidi="ar-SA"/>
        </w:rPr>
        <w:t>询价</w:t>
      </w:r>
      <w:r>
        <w:rPr>
          <w:rFonts w:hint="eastAsia" w:ascii="宋体" w:hAnsi="宋体" w:eastAsia="宋体" w:cs="宋体"/>
          <w:color w:val="auto"/>
          <w:kern w:val="2"/>
          <w:sz w:val="24"/>
          <w:szCs w:val="24"/>
          <w:u w:val="single" w:color="auto"/>
          <w:lang w:val="en-US" w:eastAsia="zh-CN" w:bidi="ar-SA"/>
        </w:rPr>
        <w:t>小组认为供应商的最后报价明显低于其他通过有效性、完整性、响应程度审查供应商的报价，有可能影响产品质量或者不能诚信履约的，应当要求其在</w:t>
      </w:r>
      <w:r>
        <w:rPr>
          <w:rFonts w:hint="eastAsia" w:ascii="宋体" w:hAnsi="宋体" w:cs="宋体"/>
          <w:color w:val="auto"/>
          <w:kern w:val="2"/>
          <w:sz w:val="24"/>
          <w:szCs w:val="24"/>
          <w:u w:val="single" w:color="auto"/>
          <w:lang w:val="en-US" w:eastAsia="zh-CN" w:bidi="ar-SA"/>
        </w:rPr>
        <w:t>询价</w:t>
      </w:r>
      <w:r>
        <w:rPr>
          <w:rFonts w:hint="eastAsia" w:ascii="宋体" w:hAnsi="宋体" w:eastAsia="宋体" w:cs="宋体"/>
          <w:color w:val="auto"/>
          <w:kern w:val="2"/>
          <w:sz w:val="24"/>
          <w:szCs w:val="24"/>
          <w:u w:val="single" w:color="auto"/>
          <w:lang w:val="en-US" w:eastAsia="zh-CN" w:bidi="ar-SA"/>
        </w:rPr>
        <w:t>现场合理的时间内提供书面说明，必要时提交相关证明材料；供应商不能证明其报价合理性的，</w:t>
      </w:r>
      <w:r>
        <w:rPr>
          <w:rFonts w:hint="eastAsia" w:ascii="宋体" w:hAnsi="宋体" w:cs="宋体"/>
          <w:color w:val="auto"/>
          <w:kern w:val="2"/>
          <w:sz w:val="24"/>
          <w:szCs w:val="24"/>
          <w:u w:val="single" w:color="auto"/>
          <w:lang w:val="en-US" w:eastAsia="zh-CN" w:bidi="ar-SA"/>
        </w:rPr>
        <w:t>询价</w:t>
      </w:r>
      <w:r>
        <w:rPr>
          <w:rFonts w:hint="eastAsia" w:ascii="宋体" w:hAnsi="宋体" w:eastAsia="宋体" w:cs="宋体"/>
          <w:color w:val="auto"/>
          <w:kern w:val="2"/>
          <w:sz w:val="24"/>
          <w:szCs w:val="24"/>
          <w:u w:val="single" w:color="auto"/>
          <w:lang w:val="en-US" w:eastAsia="zh-CN" w:bidi="ar-SA"/>
        </w:rPr>
        <w:t>小组应当将其作为无效</w:t>
      </w:r>
      <w:r>
        <w:rPr>
          <w:rFonts w:hint="eastAsia" w:ascii="宋体" w:hAnsi="宋体" w:cs="宋体"/>
          <w:color w:val="auto"/>
          <w:kern w:val="2"/>
          <w:sz w:val="24"/>
          <w:szCs w:val="24"/>
          <w:u w:val="single" w:color="auto"/>
          <w:lang w:val="en-US" w:eastAsia="zh-CN" w:bidi="ar-SA"/>
        </w:rPr>
        <w:t>询价</w:t>
      </w:r>
      <w:r>
        <w:rPr>
          <w:rFonts w:hint="eastAsia" w:ascii="宋体" w:hAnsi="宋体" w:eastAsia="宋体" w:cs="宋体"/>
          <w:color w:val="auto"/>
          <w:kern w:val="2"/>
          <w:sz w:val="24"/>
          <w:szCs w:val="24"/>
          <w:u w:val="single" w:color="auto"/>
          <w:lang w:val="en-US" w:eastAsia="zh-CN" w:bidi="ar-SA"/>
        </w:rPr>
        <w:t>处理。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19.6</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工作在有关部门的监督下依法开展，任何单位和个人不得非法干预、影响</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工作和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结果。</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47" w:name="_Toc25644_WPSOffice_Level3"/>
      <w:bookmarkStart w:id="148" w:name="_Toc14903"/>
      <w:bookmarkStart w:id="149" w:name="_Toc7940"/>
      <w:bookmarkStart w:id="150" w:name="_Toc24288_WPSOffice_Level3"/>
      <w:bookmarkStart w:id="151" w:name="_Toc2176"/>
      <w:r>
        <w:rPr>
          <w:rFonts w:hint="eastAsia" w:ascii="宋体" w:hAnsi="宋体" w:eastAsia="宋体" w:cs="宋体"/>
          <w:b/>
          <w:bCs/>
          <w:color w:val="auto"/>
          <w:kern w:val="2"/>
          <w:sz w:val="24"/>
          <w:szCs w:val="24"/>
          <w:lang w:val="en-US" w:eastAsia="zh-CN" w:bidi="ar-SA"/>
        </w:rPr>
        <w:t>20.澄清</w:t>
      </w:r>
      <w:bookmarkEnd w:id="147"/>
      <w:bookmarkEnd w:id="148"/>
      <w:bookmarkEnd w:id="149"/>
      <w:bookmarkEnd w:id="150"/>
      <w:bookmarkEnd w:id="151"/>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小组在对响应文件(包括首次提交的响应文件、重新提交的响应文件)的有效性、完整性和对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文件的响应程度进行审查时，可以要求供应商对响应文件中含义不明确、同类问题表述不一致或者有明显文字和计算错误的内容等作出必要的澄清、说明或者更正。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20.2供应商的澄清、说明或者更正响应文件应当采用书面形式，由法定代表人或其授权代表签字或者加盖公章。由授权代表签字的，应当附法定代表人授权书。供应商为自然人的，应当由本人签字并附身份证明，供应商的澄清、说明或者更正不得超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文件的范围或者改变响应文件的实质性内容。</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52" w:name="_Toc6898_WPSOffice_Level3"/>
      <w:bookmarkStart w:id="153" w:name="_Toc13262_WPSOffice_Level3"/>
      <w:bookmarkStart w:id="154" w:name="_Toc29149"/>
      <w:bookmarkStart w:id="155" w:name="_Toc8374"/>
      <w:bookmarkStart w:id="156" w:name="_Toc4997"/>
      <w:r>
        <w:rPr>
          <w:rFonts w:hint="eastAsia" w:ascii="宋体" w:hAnsi="宋体" w:eastAsia="宋体" w:cs="宋体"/>
          <w:b/>
          <w:bCs/>
          <w:color w:val="auto"/>
          <w:kern w:val="2"/>
          <w:sz w:val="24"/>
          <w:szCs w:val="24"/>
          <w:lang w:val="en-US" w:eastAsia="zh-CN" w:bidi="ar-SA"/>
        </w:rPr>
        <w:t>21.退出</w:t>
      </w:r>
      <w:bookmarkEnd w:id="152"/>
      <w:bookmarkEnd w:id="153"/>
      <w:bookmarkEnd w:id="154"/>
      <w:bookmarkEnd w:id="155"/>
      <w:bookmarkEnd w:id="156"/>
      <w:r>
        <w:rPr>
          <w:rFonts w:hint="eastAsia" w:ascii="宋体" w:hAnsi="宋体" w:cs="宋体"/>
          <w:b/>
          <w:bCs/>
          <w:color w:val="auto"/>
          <w:kern w:val="2"/>
          <w:sz w:val="24"/>
          <w:szCs w:val="24"/>
          <w:lang w:val="en-US" w:eastAsia="zh-CN" w:bidi="ar-SA"/>
        </w:rPr>
        <w:t>询价</w:t>
      </w:r>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供应商在提交最后报价之前，可以根据</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情况退出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，并由法定代表人或其授权代表签字或加盖公章书面通知采购人、采购代理机构或者</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小组。采购人、采购代理机构按规定退还退出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的供应商的保证金。</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57" w:name="_Toc14748"/>
      <w:bookmarkStart w:id="158" w:name="_Toc22512"/>
      <w:bookmarkStart w:id="159" w:name="_Toc5048_WPSOffice_Level3"/>
      <w:bookmarkStart w:id="160" w:name="_Toc32003"/>
      <w:bookmarkStart w:id="161" w:name="_Toc18169_WPSOffice_Level3"/>
      <w:r>
        <w:rPr>
          <w:rFonts w:hint="eastAsia" w:ascii="宋体" w:hAnsi="宋体" w:eastAsia="宋体" w:cs="宋体"/>
          <w:b/>
          <w:bCs/>
          <w:color w:val="auto"/>
          <w:kern w:val="2"/>
          <w:sz w:val="24"/>
          <w:szCs w:val="24"/>
          <w:lang w:val="en-US" w:eastAsia="zh-CN" w:bidi="ar-SA"/>
        </w:rPr>
        <w:t>22.最后报价</w:t>
      </w:r>
      <w:bookmarkEnd w:id="157"/>
      <w:bookmarkEnd w:id="158"/>
      <w:bookmarkEnd w:id="159"/>
      <w:bookmarkEnd w:id="160"/>
      <w:bookmarkEnd w:id="161"/>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未要求</w:t>
      </w:r>
      <w:r>
        <w:rPr>
          <w:rFonts w:hint="eastAsia" w:ascii="宋体" w:hAnsi="宋体" w:eastAsia="宋体" w:cs="宋体"/>
          <w:color w:val="auto"/>
          <w:kern w:val="2"/>
          <w:sz w:val="24"/>
          <w:szCs w:val="24"/>
          <w:lang w:val="en-US" w:eastAsia="zh-CN" w:bidi="ar-SA"/>
        </w:rPr>
        <w:t>。</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62" w:name="_Toc1808"/>
      <w:bookmarkStart w:id="163" w:name="_Toc8242_WPSOffice_Level3"/>
      <w:bookmarkStart w:id="164" w:name="_Toc1797"/>
      <w:bookmarkStart w:id="165" w:name="_Toc7275"/>
      <w:bookmarkStart w:id="166" w:name="_Toc16084_WPSOffice_Level3"/>
      <w:r>
        <w:rPr>
          <w:rFonts w:hint="eastAsia" w:ascii="宋体" w:hAnsi="宋体" w:eastAsia="宋体" w:cs="宋体"/>
          <w:b/>
          <w:bCs/>
          <w:color w:val="auto"/>
          <w:kern w:val="2"/>
          <w:sz w:val="24"/>
          <w:szCs w:val="24"/>
          <w:lang w:val="en-US" w:eastAsia="zh-CN" w:bidi="ar-SA"/>
        </w:rPr>
        <w:t>23.确定成交供应商</w:t>
      </w:r>
      <w:bookmarkEnd w:id="162"/>
      <w:bookmarkEnd w:id="163"/>
      <w:bookmarkEnd w:id="164"/>
      <w:bookmarkEnd w:id="165"/>
      <w:bookmarkEnd w:id="166"/>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当从质量和服务均能满足采购文件实质性响应要求的供应商中，按照最后报价由低到高的顺序提出3名以上成交候选人，并编写评审报告。供应商最后报价涉及算术修正、需落实政府采购政策的，按上款规定由低到高顺序排序。</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23.2</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小组应当根据评审记录和评审结果编写评审报告。评审报告应当由</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小组全体人员签字认可。</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小组成员对评审报告有异议的，按照少数服从多数的原则推荐成交候选人，采购程序继续进行。对评审报告有异议的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小组成员，应当在报告上签署不同意见并说明理由，由</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小组书面记录相关情况。</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小组成员拒绝在报告上签字又不书面说明其不同意见和理由的，视为同意评审报告。</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23.3采购代理机构应当在评审结束后2个工作日内将评审报告送采购人确认。</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23.4采购人应当在收到评审报告后5个工作日内，从评审报告提出的成交候选人中，根据质量和服务均能满足采购文件实质性响应要求且最后报价最低的原则确定成交供应商，也可以书面授权</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小组直接确定成交供应商。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23.5采购人逾期未确定成交供应商且不提出异议的，视为确定评审报告提出的最后报价最低的供应商为成交供应商。</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67" w:name="_Toc17639_WPSOffice_Level3"/>
      <w:bookmarkStart w:id="168" w:name="_Toc10295"/>
      <w:bookmarkStart w:id="169" w:name="_Toc24684"/>
      <w:bookmarkStart w:id="170" w:name="_Toc7705"/>
      <w:bookmarkStart w:id="171" w:name="_Toc20869_WPSOffice_Level3"/>
      <w:r>
        <w:rPr>
          <w:rFonts w:hint="eastAsia" w:ascii="宋体" w:hAnsi="宋体" w:eastAsia="宋体" w:cs="宋体"/>
          <w:b/>
          <w:bCs/>
          <w:color w:val="auto"/>
          <w:kern w:val="2"/>
          <w:sz w:val="24"/>
          <w:szCs w:val="24"/>
          <w:lang w:val="en-US" w:eastAsia="zh-CN" w:bidi="ar-SA"/>
        </w:rPr>
        <w:t>24.重新评审</w:t>
      </w:r>
      <w:bookmarkEnd w:id="167"/>
      <w:bookmarkEnd w:id="168"/>
      <w:bookmarkEnd w:id="169"/>
      <w:bookmarkEnd w:id="170"/>
      <w:bookmarkEnd w:id="171"/>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24.1除资格审查认定错误和价格计算错误外，采购人、采购代理机构不以任何理由组织重新评审。</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24.2采购人、采购代理机构发现</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小组未按照</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文件规定的评定成交标准进行评审的，应当重新开展采购活动，并同时书面报告同级财政部门。</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72" w:name="_Toc21105"/>
      <w:bookmarkStart w:id="173" w:name="_Toc1388_WPSOffice_Level3"/>
      <w:bookmarkStart w:id="174" w:name="_Toc12673"/>
      <w:bookmarkStart w:id="175" w:name="_Toc3509"/>
      <w:bookmarkStart w:id="176" w:name="_Toc26374_WPSOffice_Level3"/>
      <w:r>
        <w:rPr>
          <w:rFonts w:hint="eastAsia" w:ascii="宋体" w:hAnsi="宋体" w:eastAsia="宋体" w:cs="宋体"/>
          <w:b/>
          <w:bCs/>
          <w:color w:val="auto"/>
          <w:kern w:val="2"/>
          <w:sz w:val="24"/>
          <w:szCs w:val="24"/>
          <w:lang w:val="en-US" w:eastAsia="zh-CN" w:bidi="ar-SA"/>
        </w:rPr>
        <w:t>25.</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终止</w:t>
      </w:r>
      <w:bookmarkEnd w:id="172"/>
      <w:bookmarkEnd w:id="173"/>
      <w:bookmarkEnd w:id="174"/>
      <w:bookmarkEnd w:id="175"/>
      <w:bookmarkEnd w:id="176"/>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25.1出现下列情形之一的，采购人、采购代理机构应当终止</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 xml:space="preserve">采购活动，在指定的媒体上发布项目终止公告并说明原因，重新开展采购活动：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（1）因情况变化，不再符合规定的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采购方式适用情形的；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（2）出现影响采购公正的违法、违规行为的；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（3）在采购过程中符合</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要求的供应商或者报价未超过采购预算的供应商不足3家的，或者提交最后报价的供应商少于3家的；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（4）因重大变故，采购任务取消的。</w:t>
      </w:r>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77" w:name="_Toc20688_WPSOffice_Level3"/>
      <w:bookmarkStart w:id="178" w:name="_Toc18635_WPSOffice_Level3"/>
      <w:bookmarkStart w:id="179" w:name="_Toc32730"/>
      <w:bookmarkStart w:id="180" w:name="_Toc11721"/>
      <w:bookmarkStart w:id="181" w:name="_Toc21763"/>
      <w:r>
        <w:rPr>
          <w:rFonts w:hint="eastAsia" w:ascii="宋体" w:hAnsi="宋体" w:eastAsia="宋体" w:cs="宋体"/>
          <w:b/>
          <w:bCs/>
          <w:color w:val="auto"/>
          <w:kern w:val="2"/>
          <w:sz w:val="24"/>
          <w:szCs w:val="24"/>
          <w:lang w:val="en-US" w:eastAsia="zh-CN" w:bidi="ar-SA"/>
        </w:rPr>
        <w:t>26.串通情形认定及处理</w:t>
      </w:r>
      <w:bookmarkEnd w:id="177"/>
      <w:bookmarkEnd w:id="178"/>
      <w:bookmarkEnd w:id="179"/>
      <w:bookmarkEnd w:id="180"/>
      <w:bookmarkEnd w:id="181"/>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SA"/>
        </w:rPr>
        <w:t>26.1供应商不得与采购人、采购代理机构、其他供应商恶意串通；不得向采购人、采购代理机构或者</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小组成员行贿或者提供其他不正当利益；不得提供虚假材料谋取成交；不得以任何方式干扰、影响</w:t>
      </w:r>
      <w:r>
        <w:rPr>
          <w:rFonts w:hint="eastAsia" w:ascii="宋体" w:hAnsi="宋体" w:eastAsia="宋体" w:cs="宋体"/>
          <w:color w:val="auto"/>
          <w:sz w:val="24"/>
          <w:szCs w:val="24"/>
          <w:lang w:val="en-US" w:eastAsia="zh-CN"/>
        </w:rPr>
        <w:t>采购工作。</w:t>
      </w:r>
    </w:p>
    <w:p>
      <w:pPr>
        <w:pageBreakBefore w:val="0"/>
        <w:widowControl w:val="0"/>
        <w:kinsoku/>
        <w:wordWrap/>
        <w:overflowPunct/>
        <w:topLinePunct w:val="0"/>
        <w:autoSpaceDE/>
        <w:autoSpaceDN/>
        <w:bidi w:val="0"/>
        <w:spacing w:line="360" w:lineRule="auto"/>
        <w:ind w:left="0" w:leftChars="0" w:right="0" w:firstLine="480" w:firstLineChars="20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26.2有下列情形之一的，成交无效，对供应商</w:t>
      </w:r>
      <w:r>
        <w:rPr>
          <w:rFonts w:hint="eastAsia" w:ascii="宋体" w:hAnsi="宋体" w:eastAsia="宋体" w:cs="宋体"/>
          <w:color w:val="auto"/>
          <w:sz w:val="24"/>
          <w:szCs w:val="24"/>
          <w:lang w:val="zh-CN" w:eastAsia="zh-CN"/>
        </w:rPr>
        <w:t>依照《政府采购法》第七十七条的规定追究法律责任：</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bookmarkStart w:id="182" w:name="_Toc22761"/>
      <w:bookmarkStart w:id="183" w:name="_Toc34637770"/>
      <w:r>
        <w:rPr>
          <w:rFonts w:hint="eastAsia" w:ascii="宋体" w:hAnsi="宋体" w:eastAsia="宋体" w:cs="宋体"/>
          <w:color w:val="auto"/>
          <w:sz w:val="24"/>
          <w:szCs w:val="24"/>
          <w:lang w:val="en-US" w:eastAsia="zh-CN"/>
        </w:rPr>
        <w:t xml:space="preserve">   （1）供应商直接或者间接从采购人或者采购代理机构处获得其他供应商的相关情况并修改其响应文件；</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（2）供应商按照采购人或者采购代理机构的授意撤换、修改响应文件；</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（3）供应商之间协商报价、技术方案等响应文件的实质性内容；</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（4）属于同一集团、协会、商会等组织成员的供应商按照该组织要求协同参加采购活动；</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（5）供应商之间事先约定由某一特定供应商成交；</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（6）供应商之间商定部分供应商放弃参加采购活动或者放弃成交；</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（7）供应商与采购人或者采购代理机构之间、供应商相互之间，为谋求特定供应商成交或者排斥其他供应商的其他串通行为。</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26.3 有下列情形之一的，视为供应商串通，其响应无效：</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（1）不同供应商的响应文件由同一单位或者个人编制；</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（2）不同供应商委托同一单位或者个人办理</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事宜；</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（3）不同供应商的响应文件载明的项目管理成员或者联系人员为同一人；</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（4）不同供应商的响应文件异常一致或者报价呈规律性差异；</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（5）不同供应商的响应文件相互混装；</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（6）不同供应商的保证金从同一单位或者个人的账户转出。</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lang w:val="en-US" w:eastAsia="zh-CN" w:bidi="ar-SA"/>
        </w:rPr>
        <w:t xml:space="preserve">              </w:t>
      </w:r>
    </w:p>
    <w:p>
      <w:pPr>
        <w:pageBreakBefore w:val="0"/>
        <w:widowControl w:val="0"/>
        <w:kinsoku/>
        <w:wordWrap/>
        <w:overflowPunct/>
        <w:topLinePunct w:val="0"/>
        <w:autoSpaceDE/>
        <w:autoSpaceDN/>
        <w:bidi w:val="0"/>
        <w:spacing w:line="360" w:lineRule="auto"/>
        <w:ind w:right="0" w:firstLine="480" w:firstLineChars="200"/>
        <w:jc w:val="center"/>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lang w:val="en-US" w:eastAsia="zh-CN" w:bidi="ar-SA"/>
        </w:rPr>
        <w:t>六、成交结果信息公布与授予合同</w:t>
      </w:r>
      <w:bookmarkEnd w:id="182"/>
      <w:bookmarkEnd w:id="183"/>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184" w:name="_Toc947"/>
      <w:bookmarkStart w:id="185" w:name="_Toc2736"/>
      <w:bookmarkStart w:id="186" w:name="_Toc23126"/>
      <w:bookmarkStart w:id="187" w:name="_Toc30784_WPSOffice_Level3"/>
      <w:bookmarkStart w:id="188" w:name="_Toc8339_WPSOffice_Level3"/>
      <w:r>
        <w:rPr>
          <w:rFonts w:hint="eastAsia" w:ascii="宋体" w:hAnsi="宋体" w:eastAsia="宋体" w:cs="宋体"/>
          <w:b/>
          <w:bCs/>
          <w:color w:val="auto"/>
          <w:kern w:val="2"/>
          <w:sz w:val="24"/>
          <w:szCs w:val="24"/>
          <w:lang w:val="en-US" w:eastAsia="zh-CN" w:bidi="ar-SA"/>
        </w:rPr>
        <w:t>27.成交信息的公布与通知</w:t>
      </w:r>
      <w:bookmarkEnd w:id="184"/>
      <w:bookmarkEnd w:id="185"/>
      <w:bookmarkEnd w:id="186"/>
      <w:bookmarkEnd w:id="187"/>
      <w:bookmarkEnd w:id="188"/>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27.1代理机构应自确定成交供应商之日起2个工作日内在采购与招标网上公告成交结果，同时向成交供应商发出《成交通知书》。成交通知书对采购人和成交供应商具有同等法律效力。</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27.2成交结果公告应当包括以下内容：</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（1）采购人和采购代理机构的名称、地址和联系方式；</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（2）项目名称和项目编号；</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（3）成交供应商名称、地址和成交金额；</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（4）主要成交标的的名称、规格型号、数量、单价、服务要求；</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小组成员名单。</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27.3《成交通知书》发出后，采购人不得违法改变采购结果，成交供应商无正当理由不得放弃。</w:t>
      </w:r>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189" w:name="_Toc29441"/>
      <w:bookmarkStart w:id="190" w:name="_Toc5068_WPSOffice_Level3"/>
      <w:bookmarkStart w:id="191" w:name="_Toc13860_WPSOffice_Level3"/>
      <w:bookmarkStart w:id="192" w:name="_Toc7405"/>
      <w:bookmarkStart w:id="193" w:name="_Toc20586"/>
      <w:r>
        <w:rPr>
          <w:rFonts w:hint="eastAsia" w:ascii="宋体" w:hAnsi="宋体" w:eastAsia="宋体" w:cs="宋体"/>
          <w:b/>
          <w:bCs/>
          <w:color w:val="auto"/>
          <w:kern w:val="2"/>
          <w:sz w:val="24"/>
          <w:szCs w:val="24"/>
          <w:lang w:val="en-US" w:eastAsia="zh-CN" w:bidi="ar-SA"/>
        </w:rPr>
        <w:t>28.授予合同</w:t>
      </w:r>
      <w:bookmarkEnd w:id="189"/>
      <w:bookmarkEnd w:id="190"/>
      <w:bookmarkEnd w:id="191"/>
      <w:bookmarkEnd w:id="192"/>
      <w:bookmarkEnd w:id="193"/>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文件、成交供应商的响应文件及其补充的响应文件、成交通知书等均为签订采购合同的依据。</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28.2采购人与成交供应商双方应当自《成交通知书》发出之日起30日内，按照</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文件确定的合同文本以及采购标的、规格型号、采购金额、采购数量、技术和服务要求等事项签订采购合同。</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28.3采购人不得向成交供应商提出超出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文件以外的任何要求作为订立合同的条件，不得与成交供应商订立背离</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文件确定的合同文本以及采购标的、规格型号、采购金额、采购数量、技术和服务要求等实质性内容的协议。</w:t>
      </w:r>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194" w:name="_Toc8740_WPSOffice_Level3"/>
      <w:bookmarkStart w:id="195" w:name="_Toc32538"/>
      <w:bookmarkStart w:id="196" w:name="_Toc16374"/>
      <w:bookmarkStart w:id="197" w:name="_Toc18970"/>
      <w:bookmarkStart w:id="198" w:name="_Toc16258_WPSOffice_Level3"/>
      <w:bookmarkStart w:id="199" w:name="_Toc325726030"/>
      <w:bookmarkStart w:id="200" w:name="_Toc376936761"/>
      <w:r>
        <w:rPr>
          <w:rFonts w:hint="eastAsia" w:ascii="宋体" w:hAnsi="宋体" w:eastAsia="宋体" w:cs="宋体"/>
          <w:b/>
          <w:bCs/>
          <w:color w:val="auto"/>
          <w:kern w:val="2"/>
          <w:sz w:val="24"/>
          <w:szCs w:val="24"/>
          <w:lang w:val="en-US" w:eastAsia="zh-CN" w:bidi="ar-SA"/>
        </w:rPr>
        <w:t>29.履约验收</w:t>
      </w:r>
      <w:bookmarkEnd w:id="194"/>
      <w:bookmarkEnd w:id="195"/>
      <w:bookmarkEnd w:id="196"/>
      <w:bookmarkEnd w:id="197"/>
      <w:bookmarkEnd w:id="198"/>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29.1履约保证金：</w:t>
      </w:r>
      <w:r>
        <w:rPr>
          <w:rFonts w:hint="eastAsia" w:ascii="宋体" w:hAnsi="宋体" w:eastAsia="宋体" w:cs="宋体"/>
          <w:color w:val="auto"/>
          <w:kern w:val="2"/>
          <w:sz w:val="24"/>
          <w:szCs w:val="24"/>
          <w:u w:val="single"/>
          <w:lang w:val="en-US" w:eastAsia="zh-CN" w:bidi="ar-SA"/>
        </w:rPr>
        <w:t>按合同要求约定。</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29.2采购人应当按照采购合同规定的技术、服务、安全标准组织对供应商履约情况进行验收，并出具验收书。验收书应当包括每一项技术、服务、安全标准的履约情况。</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29.3采购人可以邀请参加本项目的其他供应商或者第三方机构参与验收。参与验收的供应商或者第三方机构的意见作为验收书的参考资料一并存档。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29.4采购人应当加强履约管理，并按照采购合同约定，及时向成交供应商支付采购资金。对于成交供应商违反采购合同约定的行为，采购人应当及时处理，依法追究其违约责任。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29.5采购人、采购代理机构应当建立真实完整的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档案，妥善保存</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的相关资料。</w:t>
      </w:r>
    </w:p>
    <w:p>
      <w:pPr>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1"/>
        <w:rPr>
          <w:rFonts w:hint="eastAsia" w:ascii="宋体" w:hAnsi="宋体" w:eastAsia="宋体" w:cs="宋体"/>
          <w:b w:val="0"/>
          <w:bCs w:val="0"/>
          <w:color w:val="auto"/>
          <w:kern w:val="2"/>
          <w:sz w:val="24"/>
          <w:szCs w:val="24"/>
          <w:highlight w:val="none"/>
          <w:lang w:val="en-US" w:eastAsia="zh-CN" w:bidi="ar-SA"/>
        </w:rPr>
      </w:pPr>
      <w:bookmarkStart w:id="201" w:name="_Toc32362"/>
      <w:bookmarkStart w:id="202" w:name="_Toc31604_WPSOffice_Level2"/>
      <w:bookmarkStart w:id="203" w:name="_Toc24020"/>
      <w:bookmarkStart w:id="204" w:name="_Toc3517_WPSOffice_Level2"/>
      <w:bookmarkStart w:id="205" w:name="_Toc6881"/>
      <w:bookmarkStart w:id="206" w:name="_Toc2658_WPSOffice_Level2"/>
      <w:bookmarkStart w:id="207" w:name="_Toc4328"/>
      <w:r>
        <w:rPr>
          <w:rFonts w:hint="eastAsia" w:ascii="宋体" w:hAnsi="宋体" w:eastAsia="宋体" w:cs="宋体"/>
          <w:b w:val="0"/>
          <w:bCs w:val="0"/>
          <w:color w:val="auto"/>
          <w:kern w:val="2"/>
          <w:sz w:val="24"/>
          <w:szCs w:val="24"/>
          <w:highlight w:val="none"/>
          <w:lang w:val="en-US" w:eastAsia="zh-CN" w:bidi="ar-SA"/>
        </w:rPr>
        <w:t>七、</w:t>
      </w:r>
      <w:bookmarkEnd w:id="199"/>
      <w:bookmarkEnd w:id="200"/>
      <w:bookmarkEnd w:id="201"/>
      <w:bookmarkEnd w:id="202"/>
      <w:bookmarkEnd w:id="203"/>
      <w:bookmarkEnd w:id="204"/>
      <w:bookmarkEnd w:id="205"/>
      <w:bookmarkEnd w:id="206"/>
      <w:bookmarkEnd w:id="207"/>
      <w:bookmarkStart w:id="208" w:name="_Toc28078_WPSOffice_Level2"/>
      <w:bookmarkStart w:id="209" w:name="_Toc21378"/>
      <w:bookmarkStart w:id="210" w:name="_Toc34637772"/>
      <w:bookmarkStart w:id="211" w:name="_Toc15805"/>
      <w:bookmarkStart w:id="212" w:name="_Toc30960"/>
      <w:bookmarkStart w:id="213" w:name="_Toc3719_WPSOffice_Level2"/>
      <w:bookmarkStart w:id="214" w:name="_Toc15316"/>
      <w:bookmarkStart w:id="215" w:name="_Toc10843_WPSOffice_Level2"/>
      <w:r>
        <w:rPr>
          <w:rFonts w:hint="eastAsia" w:ascii="宋体" w:hAnsi="宋体" w:eastAsia="宋体" w:cs="宋体"/>
          <w:b w:val="0"/>
          <w:bCs w:val="0"/>
          <w:color w:val="auto"/>
          <w:kern w:val="2"/>
          <w:sz w:val="24"/>
          <w:szCs w:val="24"/>
          <w:highlight w:val="none"/>
          <w:lang w:val="en-US" w:eastAsia="zh-CN" w:bidi="ar-SA"/>
        </w:rPr>
        <w:t>其他规定</w:t>
      </w:r>
      <w:bookmarkEnd w:id="208"/>
      <w:bookmarkEnd w:id="209"/>
      <w:bookmarkEnd w:id="210"/>
      <w:bookmarkEnd w:id="211"/>
      <w:bookmarkEnd w:id="212"/>
      <w:bookmarkEnd w:id="213"/>
      <w:bookmarkEnd w:id="214"/>
      <w:bookmarkEnd w:id="215"/>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216" w:name="_Toc10247"/>
      <w:bookmarkStart w:id="217" w:name="_Toc10855"/>
      <w:bookmarkStart w:id="218" w:name="_Toc12390_WPSOffice_Level3"/>
      <w:bookmarkStart w:id="219" w:name="_Toc15206"/>
      <w:bookmarkStart w:id="220" w:name="_Toc22185_WPSOffice_Level3"/>
      <w:r>
        <w:rPr>
          <w:rFonts w:hint="eastAsia" w:ascii="宋体" w:hAnsi="宋体" w:eastAsia="宋体" w:cs="宋体"/>
          <w:b/>
          <w:bCs/>
          <w:color w:val="auto"/>
          <w:kern w:val="2"/>
          <w:sz w:val="24"/>
          <w:szCs w:val="24"/>
          <w:lang w:val="en-US" w:eastAsia="zh-CN" w:bidi="ar-SA"/>
        </w:rPr>
        <w:t>3</w:t>
      </w:r>
      <w:r>
        <w:rPr>
          <w:rFonts w:hint="eastAsia" w:ascii="宋体" w:hAnsi="宋体" w:cs="宋体"/>
          <w:b/>
          <w:bCs/>
          <w:color w:val="auto"/>
          <w:kern w:val="2"/>
          <w:sz w:val="24"/>
          <w:szCs w:val="24"/>
          <w:lang w:val="en-US" w:eastAsia="zh-CN" w:bidi="ar-SA"/>
        </w:rPr>
        <w:t>1</w:t>
      </w:r>
      <w:r>
        <w:rPr>
          <w:rFonts w:hint="eastAsia" w:ascii="宋体" w:hAnsi="宋体" w:eastAsia="宋体" w:cs="宋体"/>
          <w:b/>
          <w:bCs/>
          <w:color w:val="auto"/>
          <w:kern w:val="2"/>
          <w:sz w:val="24"/>
          <w:szCs w:val="24"/>
          <w:lang w:val="en-US" w:eastAsia="zh-CN" w:bidi="ar-SA"/>
        </w:rPr>
        <w:t>.代理服务费</w:t>
      </w:r>
      <w:bookmarkEnd w:id="216"/>
      <w:bookmarkEnd w:id="217"/>
      <w:bookmarkEnd w:id="218"/>
      <w:bookmarkEnd w:id="219"/>
      <w:bookmarkEnd w:id="220"/>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采购代理服务费由成交供应商支付的，供应商应按【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须知前附表】规定向采购代理机构交纳代理服务费，并在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文件中提供代理服务费承诺书。</w:t>
      </w:r>
    </w:p>
    <w:p>
      <w:pPr>
        <w:pStyle w:val="4"/>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221" w:name="_Toc18975"/>
      <w:bookmarkStart w:id="222" w:name="_Toc27408"/>
      <w:bookmarkStart w:id="223" w:name="_Toc14580"/>
      <w:bookmarkStart w:id="224" w:name="_Toc1461_WPSOffice_Level3"/>
      <w:bookmarkStart w:id="225" w:name="_Toc27699_WPSOffice_Level3"/>
      <w:r>
        <w:rPr>
          <w:rFonts w:hint="eastAsia" w:ascii="宋体" w:hAnsi="宋体" w:eastAsia="宋体" w:cs="宋体"/>
          <w:b/>
          <w:bCs/>
          <w:color w:val="auto"/>
          <w:kern w:val="2"/>
          <w:sz w:val="24"/>
          <w:szCs w:val="24"/>
          <w:lang w:val="en-US" w:eastAsia="zh-CN" w:bidi="ar-SA"/>
        </w:rPr>
        <w:t>3</w:t>
      </w:r>
      <w:r>
        <w:rPr>
          <w:rFonts w:hint="eastAsia" w:ascii="宋体" w:hAnsi="宋体" w:cs="宋体"/>
          <w:b/>
          <w:bCs/>
          <w:color w:val="auto"/>
          <w:kern w:val="2"/>
          <w:sz w:val="24"/>
          <w:szCs w:val="24"/>
          <w:lang w:val="en-US" w:eastAsia="zh-CN" w:bidi="ar-SA"/>
        </w:rPr>
        <w:t>2</w:t>
      </w:r>
      <w:r>
        <w:rPr>
          <w:rFonts w:hint="eastAsia" w:ascii="宋体" w:hAnsi="宋体" w:eastAsia="宋体" w:cs="宋体"/>
          <w:b/>
          <w:bCs/>
          <w:color w:val="auto"/>
          <w:kern w:val="2"/>
          <w:sz w:val="24"/>
          <w:szCs w:val="24"/>
          <w:lang w:val="en-US" w:eastAsia="zh-CN" w:bidi="ar-SA"/>
        </w:rPr>
        <w:t>.其他规定</w:t>
      </w:r>
      <w:bookmarkEnd w:id="221"/>
      <w:bookmarkEnd w:id="222"/>
      <w:bookmarkEnd w:id="223"/>
      <w:bookmarkEnd w:id="224"/>
      <w:bookmarkEnd w:id="225"/>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文件的其他规定见【</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w:t>
      </w:r>
    </w:p>
    <w:p>
      <w:pPr>
        <w:pStyle w:val="3"/>
        <w:keepNext/>
        <w:pageBreakBefore w:val="0"/>
        <w:widowControl w:val="0"/>
        <w:numPr>
          <w:ilvl w:val="0"/>
          <w:numId w:val="0"/>
        </w:numPr>
        <w:kinsoku/>
        <w:wordWrap/>
        <w:overflowPunct/>
        <w:topLinePunct w:val="0"/>
        <w:autoSpaceDE/>
        <w:autoSpaceDN/>
        <w:bidi w:val="0"/>
        <w:adjustRightInd w:val="0"/>
        <w:snapToGrid w:val="0"/>
        <w:spacing w:before="157" w:beforeLines="50" w:line="360" w:lineRule="auto"/>
        <w:jc w:val="center"/>
        <w:textAlignment w:val="auto"/>
        <w:outlineLvl w:val="0"/>
        <w:rPr>
          <w:rFonts w:hint="eastAsia" w:ascii="华文中宋" w:hAnsi="华文中宋" w:eastAsia="华文中宋" w:cs="华文中宋"/>
          <w:b w:val="0"/>
          <w:bCs w:val="0"/>
          <w:color w:val="auto"/>
          <w:sz w:val="44"/>
          <w:szCs w:val="44"/>
          <w:highlight w:val="none"/>
          <w:lang w:val="en-US" w:eastAsia="zh-CN"/>
        </w:rPr>
      </w:pPr>
      <w:bookmarkStart w:id="226" w:name="_Toc4912_WPSOffice_Level1"/>
      <w:bookmarkStart w:id="227" w:name="_Toc31765_WPSOffice_Level1"/>
      <w:bookmarkStart w:id="228" w:name="_Toc29561_WPSOffice_Level1"/>
      <w:bookmarkStart w:id="229" w:name="_Toc2404_WPSOffice_Level1"/>
      <w:bookmarkStart w:id="230" w:name="_Toc7566"/>
      <w:bookmarkStart w:id="231" w:name="_Toc18130_WPSOffice_Level1"/>
      <w:bookmarkStart w:id="232" w:name="_Toc7780_WPSOffice_Level1"/>
      <w:bookmarkStart w:id="233" w:name="_Toc34637773"/>
      <w:bookmarkStart w:id="234" w:name="_Toc13204"/>
      <w:bookmarkStart w:id="235" w:name="_Toc20750"/>
      <w:r>
        <w:rPr>
          <w:rFonts w:hint="eastAsia" w:ascii="华文中宋" w:hAnsi="华文中宋" w:eastAsia="华文中宋" w:cs="华文中宋"/>
          <w:b w:val="0"/>
          <w:bCs w:val="0"/>
          <w:color w:val="auto"/>
          <w:sz w:val="44"/>
          <w:szCs w:val="44"/>
          <w:highlight w:val="none"/>
          <w:lang w:val="en-US" w:eastAsia="zh-CN"/>
        </w:rPr>
        <w:br w:type="page"/>
      </w:r>
      <w:bookmarkStart w:id="236" w:name="_Toc4162"/>
      <w:r>
        <w:rPr>
          <w:rFonts w:hint="eastAsia" w:ascii="华文中宋" w:hAnsi="华文中宋" w:eastAsia="华文中宋" w:cs="华文中宋"/>
          <w:b w:val="0"/>
          <w:bCs w:val="0"/>
          <w:color w:val="auto"/>
          <w:sz w:val="44"/>
          <w:szCs w:val="44"/>
          <w:highlight w:val="none"/>
          <w:lang w:val="en-US" w:eastAsia="zh-CN"/>
        </w:rPr>
        <w:t>第三部分 采购需求</w:t>
      </w:r>
      <w:bookmarkEnd w:id="226"/>
      <w:bookmarkEnd w:id="227"/>
      <w:bookmarkEnd w:id="228"/>
      <w:bookmarkEnd w:id="229"/>
      <w:bookmarkEnd w:id="230"/>
      <w:bookmarkEnd w:id="231"/>
      <w:bookmarkEnd w:id="232"/>
      <w:bookmarkEnd w:id="233"/>
      <w:bookmarkEnd w:id="234"/>
      <w:bookmarkEnd w:id="235"/>
      <w:bookmarkEnd w:id="236"/>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1"/>
        <w:rPr>
          <w:rFonts w:hint="eastAsia" w:ascii="宋体" w:hAnsi="宋体" w:eastAsia="宋体" w:cs="宋体"/>
          <w:b w:val="0"/>
          <w:bCs w:val="0"/>
          <w:color w:val="auto"/>
          <w:kern w:val="2"/>
          <w:sz w:val="24"/>
          <w:szCs w:val="24"/>
          <w:highlight w:val="none"/>
          <w:lang w:val="zh-CN" w:eastAsia="zh-CN" w:bidi="ar-SA"/>
        </w:rPr>
      </w:pPr>
      <w:bookmarkStart w:id="237" w:name="_Toc19812_WPSOffice_Level2"/>
      <w:bookmarkStart w:id="238" w:name="_Toc8656"/>
      <w:bookmarkStart w:id="239" w:name="_Toc1417"/>
      <w:bookmarkStart w:id="240" w:name="_Toc4601"/>
      <w:bookmarkStart w:id="241" w:name="_Toc20423_WPSOffice_Level2"/>
      <w:bookmarkStart w:id="242" w:name="_Toc515908232"/>
      <w:bookmarkStart w:id="243" w:name="_Toc17070"/>
      <w:bookmarkStart w:id="244" w:name="_Toc13326_WPSOffice_Level2"/>
      <w:r>
        <w:rPr>
          <w:rFonts w:hint="eastAsia" w:ascii="宋体" w:hAnsi="宋体" w:cs="宋体"/>
          <w:b w:val="0"/>
          <w:bCs w:val="0"/>
          <w:color w:val="auto"/>
          <w:kern w:val="2"/>
          <w:sz w:val="24"/>
          <w:szCs w:val="24"/>
          <w:highlight w:val="none"/>
          <w:lang w:val="zh-CN" w:eastAsia="zh-CN" w:bidi="ar-SA"/>
        </w:rPr>
        <w:t>八</w:t>
      </w:r>
      <w:r>
        <w:rPr>
          <w:rFonts w:hint="eastAsia" w:ascii="宋体" w:hAnsi="宋体" w:eastAsia="宋体" w:cs="宋体"/>
          <w:b w:val="0"/>
          <w:bCs w:val="0"/>
          <w:color w:val="auto"/>
          <w:kern w:val="2"/>
          <w:sz w:val="24"/>
          <w:szCs w:val="24"/>
          <w:highlight w:val="none"/>
          <w:lang w:val="zh-CN" w:eastAsia="zh-CN" w:bidi="ar-SA"/>
        </w:rPr>
        <w:t>、响应说明</w:t>
      </w:r>
      <w:bookmarkEnd w:id="237"/>
      <w:bookmarkEnd w:id="238"/>
      <w:bookmarkEnd w:id="239"/>
      <w:bookmarkEnd w:id="240"/>
      <w:bookmarkEnd w:id="241"/>
      <w:bookmarkEnd w:id="242"/>
      <w:bookmarkEnd w:id="243"/>
      <w:bookmarkEnd w:id="244"/>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zh-CN" w:eastAsia="zh-CN" w:bidi="ar-SA"/>
        </w:rPr>
        <w:t>供应商可以按照</w:t>
      </w:r>
      <w:r>
        <w:rPr>
          <w:rFonts w:hint="eastAsia" w:ascii="宋体" w:hAnsi="宋体" w:cs="宋体"/>
          <w:color w:val="auto"/>
          <w:kern w:val="2"/>
          <w:sz w:val="24"/>
          <w:szCs w:val="24"/>
          <w:highlight w:val="none"/>
          <w:lang w:val="zh-CN" w:eastAsia="zh-CN" w:bidi="ar-SA"/>
        </w:rPr>
        <w:t>询价</w:t>
      </w:r>
      <w:r>
        <w:rPr>
          <w:rFonts w:hint="eastAsia" w:ascii="宋体" w:hAnsi="宋体" w:eastAsia="宋体" w:cs="宋体"/>
          <w:color w:val="auto"/>
          <w:kern w:val="2"/>
          <w:sz w:val="24"/>
          <w:szCs w:val="24"/>
          <w:highlight w:val="none"/>
          <w:lang w:val="zh-CN" w:eastAsia="zh-CN" w:bidi="ar-SA"/>
        </w:rPr>
        <w:t>文件规定的包号选择响应，但必须对所响应包号中的所有内容作为一个整体进行响应，不能拆分或少报，</w:t>
      </w:r>
      <w:r>
        <w:rPr>
          <w:rFonts w:hint="eastAsia" w:ascii="宋体" w:hAnsi="宋体" w:eastAsia="宋体" w:cs="宋体"/>
          <w:color w:val="auto"/>
          <w:kern w:val="2"/>
          <w:sz w:val="24"/>
          <w:szCs w:val="24"/>
          <w:highlight w:val="none"/>
          <w:lang w:val="en-US" w:eastAsia="zh-CN" w:bidi="ar-SA"/>
        </w:rPr>
        <w:t>如有缺项、漏项，其响应无效。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询价</w:t>
      </w:r>
      <w:r>
        <w:rPr>
          <w:rFonts w:hint="eastAsia" w:ascii="宋体" w:hAnsi="宋体" w:eastAsia="宋体" w:cs="宋体"/>
          <w:color w:val="auto"/>
          <w:kern w:val="2"/>
          <w:sz w:val="24"/>
          <w:szCs w:val="24"/>
          <w:highlight w:val="none"/>
          <w:lang w:val="zh-CN" w:eastAsia="zh-CN" w:bidi="ar-SA"/>
        </w:rPr>
        <w:t>内容中未特别标注为“</w:t>
      </w:r>
      <w:r>
        <w:rPr>
          <w:rFonts w:hint="eastAsia" w:ascii="宋体" w:hAnsi="宋体" w:eastAsia="宋体" w:cs="宋体"/>
          <w:color w:val="auto"/>
          <w:sz w:val="24"/>
          <w:szCs w:val="24"/>
          <w:lang w:val="zh-CN"/>
        </w:rPr>
        <w:t>原装进口</w:t>
      </w:r>
      <w:r>
        <w:rPr>
          <w:rFonts w:hint="eastAsia" w:ascii="宋体" w:hAnsi="宋体" w:eastAsia="宋体" w:cs="宋体"/>
          <w:color w:val="auto"/>
          <w:kern w:val="2"/>
          <w:sz w:val="24"/>
          <w:szCs w:val="24"/>
          <w:highlight w:val="none"/>
          <w:lang w:val="zh-CN" w:eastAsia="zh-CN" w:bidi="ar-SA"/>
        </w:rPr>
        <w:t>”字样的产品，供应商必须提供国产产品；标注为“</w:t>
      </w:r>
      <w:r>
        <w:rPr>
          <w:rFonts w:hint="eastAsia" w:ascii="宋体" w:hAnsi="宋体" w:eastAsia="宋体" w:cs="宋体"/>
          <w:color w:val="auto"/>
          <w:sz w:val="24"/>
          <w:szCs w:val="24"/>
          <w:lang w:val="zh-CN"/>
        </w:rPr>
        <w:t>原装进口</w:t>
      </w:r>
      <w:r>
        <w:rPr>
          <w:rFonts w:hint="eastAsia" w:ascii="宋体" w:hAnsi="宋体" w:eastAsia="宋体" w:cs="宋体"/>
          <w:color w:val="auto"/>
          <w:kern w:val="2"/>
          <w:sz w:val="24"/>
          <w:szCs w:val="24"/>
          <w:highlight w:val="none"/>
          <w:lang w:val="zh-CN" w:eastAsia="zh-CN" w:bidi="ar-SA"/>
        </w:rPr>
        <w:t>”字样的产品，供应商应该提供进口产品，但如果因信息不对称等原因，仍有满足采购需求的国内产品要求参与采购竞争的，可以提供国产产品，并且按照公平竞争原则实施采购。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.所提供产品或其任何一部分不得侵犯专利权、著作权、商标权和工业设计权等知识产权。</w:t>
      </w:r>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245" w:name="_Toc29785"/>
      <w:bookmarkStart w:id="246" w:name="_Toc25982_WPSOffice_Level3"/>
      <w:bookmarkStart w:id="247" w:name="_Toc21641"/>
      <w:bookmarkStart w:id="248" w:name="_Toc23314_WPSOffice_Level3"/>
      <w:bookmarkStart w:id="249" w:name="_Toc15378"/>
      <w:bookmarkStart w:id="250" w:name="_Toc515908233"/>
      <w:bookmarkStart w:id="251" w:name="_Toc26560_WPSOffice_Level2"/>
      <w:bookmarkStart w:id="252" w:name="_Toc19609_WPSOffice_Level2"/>
      <w:bookmarkStart w:id="253" w:name="_Toc22092"/>
      <w:bookmarkStart w:id="254" w:name="_Toc28791"/>
      <w:bookmarkStart w:id="255" w:name="_Toc13009"/>
      <w:bookmarkStart w:id="256" w:name="_Toc16271_WPSOffice_Level2"/>
      <w:bookmarkStart w:id="257" w:name="_Toc1475"/>
      <w:r>
        <w:rPr>
          <w:rFonts w:hint="eastAsia" w:ascii="宋体" w:hAnsi="宋体" w:eastAsia="宋体" w:cs="宋体"/>
          <w:b/>
          <w:bCs/>
          <w:color w:val="auto"/>
          <w:kern w:val="2"/>
          <w:sz w:val="24"/>
          <w:szCs w:val="24"/>
          <w:lang w:val="en-US" w:eastAsia="zh-CN" w:bidi="ar-SA"/>
        </w:rPr>
        <w:t>30.对采购过程、结果的询问及质疑</w:t>
      </w:r>
      <w:bookmarkEnd w:id="245"/>
      <w:bookmarkEnd w:id="246"/>
      <w:bookmarkEnd w:id="247"/>
      <w:bookmarkEnd w:id="248"/>
      <w:bookmarkEnd w:id="249"/>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30.1供应商对采购过程、结果有疑问的，可以向采购人、采购代理机构提出询问。</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30.2参与所质疑项目的供应商认为采购过程、成交结果使自己的权益受到损害的，可以在知道或者应知其权益受到损害之日起7个工作日内，以书面形式向采购人、采购代理机构提出质疑。</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30.3供应商应在法定质疑期内一次性提出针对同一采购程序环节的质疑。</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firstLine="480" w:firstLineChars="200"/>
        <w:jc w:val="center"/>
        <w:textAlignment w:val="auto"/>
        <w:outlineLvl w:val="1"/>
        <w:rPr>
          <w:rFonts w:hint="eastAsia" w:ascii="宋体" w:hAnsi="宋体" w:eastAsia="宋体" w:cs="宋体"/>
          <w:b w:val="0"/>
          <w:bCs w:val="0"/>
          <w:color w:val="auto"/>
          <w:kern w:val="2"/>
          <w:sz w:val="24"/>
          <w:szCs w:val="24"/>
          <w:highlight w:val="none"/>
          <w:lang w:val="zh-CN" w:eastAsia="zh-CN" w:bidi="ar-SA"/>
        </w:rPr>
      </w:pPr>
      <w:r>
        <w:rPr>
          <w:rFonts w:hint="eastAsia" w:ascii="宋体" w:hAnsi="宋体" w:cs="宋体"/>
          <w:b w:val="0"/>
          <w:bCs w:val="0"/>
          <w:color w:val="auto"/>
          <w:kern w:val="2"/>
          <w:sz w:val="24"/>
          <w:szCs w:val="24"/>
          <w:highlight w:val="none"/>
          <w:lang w:val="zh-CN" w:eastAsia="zh-CN" w:bidi="ar-SA"/>
        </w:rPr>
        <w:t>九</w:t>
      </w:r>
      <w:r>
        <w:rPr>
          <w:rFonts w:hint="eastAsia" w:ascii="宋体" w:hAnsi="宋体" w:eastAsia="宋体" w:cs="宋体"/>
          <w:b w:val="0"/>
          <w:bCs w:val="0"/>
          <w:color w:val="auto"/>
          <w:kern w:val="2"/>
          <w:sz w:val="24"/>
          <w:szCs w:val="24"/>
          <w:highlight w:val="none"/>
          <w:lang w:val="zh-CN" w:eastAsia="zh-CN" w:bidi="ar-SA"/>
        </w:rPr>
        <w:t>、重要指标</w:t>
      </w:r>
      <w:bookmarkEnd w:id="250"/>
      <w:bookmarkEnd w:id="251"/>
      <w:bookmarkEnd w:id="252"/>
      <w:bookmarkEnd w:id="253"/>
      <w:bookmarkEnd w:id="254"/>
      <w:bookmarkEnd w:id="255"/>
      <w:bookmarkEnd w:id="256"/>
      <w:bookmarkEnd w:id="257"/>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kern w:val="2"/>
          <w:sz w:val="24"/>
          <w:szCs w:val="24"/>
          <w:highlight w:val="none"/>
          <w:lang w:val="zh-CN" w:eastAsia="zh-CN" w:bidi="ar-SA"/>
        </w:rPr>
      </w:pPr>
      <w:bookmarkStart w:id="258" w:name="_Toc18880"/>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zh-CN" w:eastAsia="zh-CN" w:bidi="ar-SA"/>
        </w:rPr>
        <w:t>询价</w:t>
      </w:r>
      <w:r>
        <w:rPr>
          <w:rFonts w:hint="eastAsia" w:ascii="宋体" w:hAnsi="宋体" w:eastAsia="宋体" w:cs="宋体"/>
          <w:color w:val="auto"/>
          <w:kern w:val="2"/>
          <w:sz w:val="24"/>
          <w:szCs w:val="24"/>
          <w:highlight w:val="none"/>
          <w:lang w:val="zh-CN" w:eastAsia="zh-CN" w:bidi="ar-SA"/>
        </w:rPr>
        <w:t>文件在技术参数中列出了采购人可以接受的最低技术指标，供应商必须对“项目概况及技术参数表”中各项产品和指标进行实质性响应，所推荐的每一项产品在性能上不能低于所列的各项指标。否则，响应无效。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cs="宋体"/>
          <w:color w:val="auto"/>
          <w:kern w:val="2"/>
          <w:sz w:val="24"/>
          <w:szCs w:val="24"/>
          <w:highlight w:val="none"/>
          <w:lang w:val="zh-CN" w:eastAsia="zh-CN" w:bidi="ar-SA"/>
        </w:rPr>
        <w:t>询价</w:t>
      </w:r>
      <w:r>
        <w:rPr>
          <w:rFonts w:hint="eastAsia" w:ascii="宋体" w:hAnsi="宋体" w:eastAsia="宋体" w:cs="宋体"/>
          <w:color w:val="auto"/>
          <w:kern w:val="2"/>
          <w:sz w:val="24"/>
          <w:szCs w:val="24"/>
          <w:highlight w:val="none"/>
          <w:lang w:val="zh-CN" w:eastAsia="zh-CN" w:bidi="ar-SA"/>
        </w:rPr>
        <w:t>文件中凡需与原有设备、系统并机、兼容、匹配等要求的，请主动和采购人联系，取得原有设备、系统相关资料。若有</w:t>
      </w:r>
      <w:r>
        <w:rPr>
          <w:rFonts w:hint="eastAsia" w:ascii="宋体" w:hAnsi="宋体" w:cs="宋体"/>
          <w:color w:val="auto"/>
          <w:kern w:val="2"/>
          <w:sz w:val="24"/>
          <w:szCs w:val="24"/>
          <w:highlight w:val="none"/>
          <w:lang w:val="zh-CN" w:eastAsia="zh-CN" w:bidi="ar-SA"/>
        </w:rPr>
        <w:t>询价</w:t>
      </w:r>
      <w:r>
        <w:rPr>
          <w:rFonts w:hint="eastAsia" w:ascii="宋体" w:hAnsi="宋体" w:eastAsia="宋体" w:cs="宋体"/>
          <w:color w:val="auto"/>
          <w:kern w:val="2"/>
          <w:sz w:val="24"/>
          <w:szCs w:val="24"/>
          <w:highlight w:val="none"/>
          <w:lang w:val="zh-CN" w:eastAsia="zh-CN" w:bidi="ar-SA"/>
        </w:rPr>
        <w:t>文件未提及或变更内容的，请及时与采购人或者采购代理机构联系。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zh-CN" w:eastAsia="zh-CN" w:bidi="ar-SA"/>
        </w:rPr>
        <w:t>技术参数”中除注明签订合同时提供</w:t>
      </w:r>
      <w:r>
        <w:rPr>
          <w:rFonts w:hint="eastAsia" w:ascii="宋体" w:hAnsi="宋体" w:eastAsia="宋体" w:cs="宋体"/>
          <w:color w:val="auto"/>
          <w:kern w:val="2"/>
          <w:sz w:val="24"/>
          <w:szCs w:val="24"/>
          <w:highlight w:val="none"/>
          <w:lang w:val="en-US" w:eastAsia="zh-CN" w:bidi="ar-SA"/>
        </w:rPr>
        <w:t>的相关授权、服务承诺等资料以外，其余相关资料在响应时必须附在响应文件中。</w:t>
      </w:r>
    </w:p>
    <w:p>
      <w:pPr>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    4.交货期：按合同签订，约定的时间日期交货（所有货物运抵现场并经双方开箱验收合格之日）</w:t>
      </w:r>
      <w:r>
        <w:rPr>
          <w:rFonts w:hint="eastAsia" w:ascii="宋体" w:hAnsi="宋体" w:eastAsia="宋体" w:cs="宋体"/>
          <w:color w:val="auto"/>
          <w:kern w:val="2"/>
          <w:sz w:val="24"/>
          <w:szCs w:val="24"/>
          <w:highlight w:val="none"/>
          <w:lang w:val="en-US" w:eastAsia="zh-CN" w:bidi="ar-SA"/>
        </w:rPr>
        <w:br w:type="page"/>
      </w:r>
    </w:p>
    <w:p>
      <w:pPr>
        <w:keepNext w:val="0"/>
        <w:keepLines w:val="0"/>
        <w:widowControl/>
        <w:suppressLineNumbers w:val="0"/>
        <w:jc w:val="center"/>
        <w:rPr>
          <w:rFonts w:hint="eastAsia" w:ascii="宋体" w:hAnsi="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项目</w:t>
      </w:r>
      <w:r>
        <w:rPr>
          <w:rFonts w:hint="eastAsia" w:ascii="宋体" w:hAnsi="宋体" w:cs="宋体"/>
          <w:b/>
          <w:bCs/>
          <w:color w:val="auto"/>
          <w:kern w:val="0"/>
          <w:sz w:val="24"/>
          <w:szCs w:val="24"/>
          <w:lang w:val="en-US" w:eastAsia="zh-CN" w:bidi="ar"/>
        </w:rPr>
        <w:t>采购清单</w:t>
      </w:r>
    </w:p>
    <w:p>
      <w:pPr>
        <w:keepNext/>
        <w:keepLines w:val="0"/>
        <w:pageBreakBefore w:val="0"/>
        <w:widowControl w:val="0"/>
        <w:kinsoku/>
        <w:wordWrap/>
        <w:overflowPunct/>
        <w:topLinePunct w:val="0"/>
        <w:autoSpaceDE/>
        <w:autoSpaceDN/>
        <w:bidi w:val="0"/>
        <w:adjustRightInd/>
        <w:snapToGrid/>
        <w:textAlignment w:val="auto"/>
        <w:outlineLvl w:val="9"/>
        <w:rPr>
          <w:rFonts w:hint="eastAsia"/>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cs="宋体"/>
          <w:b/>
          <w:bCs/>
          <w:color w:val="auto"/>
          <w:kern w:val="0"/>
          <w:sz w:val="24"/>
          <w:szCs w:val="24"/>
          <w:lang w:val="en-US" w:eastAsia="zh-CN" w:bidi="ar"/>
        </w:rPr>
      </w:pPr>
    </w:p>
    <w:bookmarkEnd w:id="258"/>
    <w:p>
      <w:pPr>
        <w:rPr>
          <w:rFonts w:hint="eastAsia"/>
          <w:lang w:val="en-US" w:eastAsia="zh-CN"/>
        </w:rPr>
      </w:pPr>
      <w:bookmarkStart w:id="259" w:name="_Toc15487_WPSOffice_Level1"/>
      <w:bookmarkStart w:id="260" w:name="_Toc955_WPSOffice_Level1"/>
      <w:bookmarkStart w:id="261" w:name="_Toc22544"/>
      <w:bookmarkStart w:id="262" w:name="_Toc31138"/>
      <w:bookmarkStart w:id="263" w:name="_Toc18208_WPSOffice_Level1"/>
      <w:bookmarkStart w:id="264" w:name="_Toc6923_WPSOffice_Level1"/>
      <w:bookmarkStart w:id="265" w:name="_Toc18643_WPSOffice_Level1"/>
      <w:bookmarkStart w:id="266" w:name="_Toc5732_WPSOffice_Level1"/>
      <w:r>
        <w:rPr>
          <w:rFonts w:hint="eastAsia"/>
          <w:lang w:val="en-US" w:eastAsia="zh-CN"/>
        </w:rPr>
        <w:t>商务要求：</w:t>
      </w:r>
    </w:p>
    <w:p>
      <w:pPr>
        <w:rPr>
          <w:rFonts w:hint="eastAsia"/>
          <w:lang w:val="en-US" w:eastAsia="zh-CN"/>
        </w:rPr>
      </w:pPr>
      <w:r>
        <w:rPr>
          <w:rFonts w:hint="eastAsia"/>
          <w:lang w:val="en-US" w:eastAsia="zh-CN"/>
        </w:rPr>
        <w:t>1、采购内容：采购校园广播及楼内视频监控；</w:t>
      </w:r>
    </w:p>
    <w:p>
      <w:pPr>
        <w:rPr>
          <w:rFonts w:hint="eastAsia"/>
          <w:lang w:val="en-US" w:eastAsia="zh-CN"/>
        </w:rPr>
      </w:pPr>
      <w:r>
        <w:rPr>
          <w:rFonts w:hint="eastAsia"/>
          <w:lang w:val="en-US" w:eastAsia="zh-CN"/>
        </w:rPr>
        <w:t>2、交货期：自合同签订后十五天；</w:t>
      </w:r>
    </w:p>
    <w:p>
      <w:pPr>
        <w:pStyle w:val="8"/>
        <w:rPr>
          <w:rFonts w:hint="eastAsia"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3、交货地点：</w:t>
      </w:r>
      <w:r>
        <w:rPr>
          <w:rFonts w:hint="eastAsia" w:eastAsia="宋体" w:cs="Times New Roman"/>
          <w:kern w:val="2"/>
          <w:sz w:val="21"/>
          <w:szCs w:val="24"/>
          <w:lang w:val="en-US" w:eastAsia="zh-CN" w:bidi="ar-SA"/>
        </w:rPr>
        <w:t>甲方指定地点。</w:t>
      </w:r>
    </w:p>
    <w:p>
      <w:pPr>
        <w:pStyle w:val="9"/>
        <w:ind w:left="0" w:leftChars="0" w:firstLine="0" w:firstLineChars="0"/>
        <w:rPr>
          <w:rFonts w:hint="default"/>
          <w:lang w:val="en-US" w:eastAsia="zh-CN"/>
        </w:rPr>
      </w:pPr>
      <w:r>
        <w:rPr>
          <w:rFonts w:hint="eastAsia" w:eastAsia="宋体" w:cs="Times New Roman"/>
          <w:kern w:val="2"/>
          <w:sz w:val="21"/>
          <w:szCs w:val="24"/>
          <w:lang w:val="en-US" w:eastAsia="zh-CN" w:bidi="ar-SA"/>
        </w:rPr>
        <w:t>4、免费质保期：2年</w:t>
      </w:r>
    </w:p>
    <w:p>
      <w:pPr>
        <w:pStyle w:val="11"/>
        <w:ind w:left="0" w:leftChars="0" w:firstLine="0" w:firstLineChars="0"/>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5、技术参数</w:t>
      </w:r>
    </w:p>
    <w:p>
      <w:pPr>
        <w:ind w:left="0" w:leftChars="0" w:firstLine="0" w:firstLineChars="0"/>
        <w:jc w:val="center"/>
        <w:rPr>
          <w:rFonts w:hint="eastAsia"/>
          <w:b/>
          <w:bCs/>
          <w:sz w:val="32"/>
          <w:szCs w:val="32"/>
          <w:lang w:val="en-US" w:eastAsia="zh-CN"/>
        </w:rPr>
      </w:pPr>
      <w:r>
        <w:rPr>
          <w:rFonts w:hint="eastAsia"/>
          <w:b/>
          <w:bCs/>
          <w:sz w:val="32"/>
          <w:szCs w:val="32"/>
          <w:lang w:val="en-US" w:eastAsia="zh-CN"/>
        </w:rPr>
        <w:t>技术参数</w:t>
      </w:r>
    </w:p>
    <w:p>
      <w:pPr>
        <w:ind w:left="0" w:leftChars="0" w:firstLine="0" w:firstLineChars="0"/>
        <w:jc w:val="center"/>
        <w:rPr>
          <w:rFonts w:hint="eastAsia"/>
          <w:b/>
          <w:bCs/>
          <w:sz w:val="32"/>
          <w:szCs w:val="32"/>
          <w:lang w:val="en-US" w:eastAsia="zh-CN"/>
        </w:rPr>
      </w:pPr>
    </w:p>
    <w:tbl>
      <w:tblPr>
        <w:tblStyle w:val="23"/>
        <w:tblW w:w="9150"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09"/>
        <w:gridCol w:w="6191"/>
        <w:gridCol w:w="777"/>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序号</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名称</w:t>
            </w:r>
          </w:p>
        </w:tc>
        <w:tc>
          <w:tcPr>
            <w:tcW w:w="6191"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技术参数</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数量</w:t>
            </w:r>
          </w:p>
        </w:tc>
        <w:tc>
          <w:tcPr>
            <w:tcW w:w="710"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枪型摄像机</w:t>
            </w:r>
          </w:p>
        </w:tc>
        <w:tc>
          <w:tcPr>
            <w:tcW w:w="6191" w:type="dxa"/>
            <w:noWrap w:val="0"/>
            <w:vAlign w:val="center"/>
          </w:tcPr>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1、采用星光级低照200万像素1/2.8英寸CMOS图像传感器；</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2、水平分辨力试验：应≥1000TVL(分辨率为1920×1080，码率为1Mbps，顿率为25fps)</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3、亮度(灰度)鉴别等级试验：应≥11级。（提供公安部有效检测报告复印件）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4、信噪比试验：≥56dB；</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5、在IE浏览器下，具有H.265、H.264MJIPEG设置选项:可将H.264和H.265格式设置为Baseline/Main/HighProfile；</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6、照度适应范围不小于140dB（提供公安部有效检测报告复印件）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7、红外灯关闭情况下彩色模式:0.00021x(AGCON、RJ45输出、应能分辨反射式视频矩阵测试卡彩色色块)黑白模式:0.00011x(AGCON、R输出、应能分辨反射式视频分辨率测试卡中圆形轮廓)（提供公安部有效检测报告复印件）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8、可通过IE浏览器显示当前存储卡损坏程度为优、良、差三个等级，寿命不足时可给出报警提示（提供公安部有效检测报告复印件）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9、开启走廊模式后，监控画面可90°旋转并自动调整宽高比。（提供公安部有效检测报告复印件）</w:t>
            </w:r>
          </w:p>
          <w:p>
            <w:pPr>
              <w:spacing w:line="300" w:lineRule="exact"/>
              <w:ind w:firstLine="0" w:firstLineChars="0"/>
              <w:jc w:val="left"/>
              <w:rPr>
                <w:rFonts w:ascii="宋体" w:hAnsi="宋体" w:eastAsia="宋体"/>
                <w:sz w:val="21"/>
                <w:szCs w:val="21"/>
              </w:rPr>
            </w:pPr>
            <w:r>
              <w:rPr>
                <w:rFonts w:hint="eastAsia" w:ascii="宋体" w:hAnsi="宋体" w:eastAsia="宋体"/>
                <w:sz w:val="21"/>
                <w:szCs w:val="21"/>
              </w:rPr>
              <w:t>10、具有自动增益功能，可根据视频区域亮度自动调节视频信号亮度。（提供公安部有效检测报告复印件）</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32台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2</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半球形摄像机</w:t>
            </w:r>
          </w:p>
        </w:tc>
        <w:tc>
          <w:tcPr>
            <w:tcW w:w="6191" w:type="dxa"/>
            <w:noWrap w:val="0"/>
            <w:vAlign w:val="center"/>
          </w:tcPr>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1、采用星光级低照200万像素1/2.8英寸CMOS图像传感器；</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2、支持绊线入侵，区域入侵；</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3、支持H.265编码，压缩比高，实现超低码流传输；</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4、内置高效红外补光灯，最大红外监控距离50米；</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5、支持走廊模式，宽动态，3D降噪，强光抑制，背光补偿，数字水印，适用不同监控环境；</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6、支持ROI，SMART H.264/H.265，灵活编码，适用不同带宽和存储环境；</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7、支持内置MIC；</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8、支持DC12V供电方式；</w:t>
            </w:r>
          </w:p>
          <w:p>
            <w:pPr>
              <w:spacing w:line="300" w:lineRule="exact"/>
              <w:ind w:firstLine="0" w:firstLineChars="0"/>
              <w:jc w:val="left"/>
              <w:rPr>
                <w:rFonts w:ascii="宋体" w:hAnsi="宋体" w:eastAsia="宋体"/>
                <w:sz w:val="21"/>
                <w:szCs w:val="21"/>
              </w:rPr>
            </w:pPr>
            <w:r>
              <w:rPr>
                <w:rFonts w:hint="eastAsia" w:ascii="宋体" w:hAnsi="宋体" w:eastAsia="宋体"/>
                <w:sz w:val="21"/>
                <w:szCs w:val="21"/>
              </w:rPr>
              <w:t>9、支持IP67防护等级；</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28台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3</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支架</w:t>
            </w:r>
          </w:p>
        </w:tc>
        <w:tc>
          <w:tcPr>
            <w:tcW w:w="6191" w:type="dxa"/>
            <w:noWrap w:val="0"/>
            <w:vAlign w:val="center"/>
          </w:tcPr>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安装方式：壁装；</w:t>
            </w:r>
          </w:p>
          <w:p>
            <w:pPr>
              <w:spacing w:line="300" w:lineRule="exact"/>
              <w:ind w:firstLine="0" w:firstLineChars="0"/>
              <w:jc w:val="left"/>
              <w:rPr>
                <w:rFonts w:ascii="宋体" w:hAnsi="宋体" w:eastAsia="宋体"/>
                <w:sz w:val="21"/>
                <w:szCs w:val="21"/>
              </w:rPr>
            </w:pPr>
            <w:r>
              <w:rPr>
                <w:rFonts w:hint="eastAsia" w:ascii="宋体" w:hAnsi="宋体" w:eastAsia="宋体"/>
                <w:sz w:val="21"/>
                <w:szCs w:val="21"/>
              </w:rPr>
              <w:t>材质：钣金</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32个</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4</w:t>
            </w:r>
          </w:p>
        </w:tc>
        <w:tc>
          <w:tcPr>
            <w:tcW w:w="709" w:type="dxa"/>
            <w:noWrap w:val="0"/>
            <w:vAlign w:val="center"/>
          </w:tcPr>
          <w:p>
            <w:pPr>
              <w:spacing w:line="300" w:lineRule="exact"/>
              <w:ind w:firstLine="0" w:firstLineChars="0"/>
              <w:jc w:val="center"/>
              <w:rPr>
                <w:rFonts w:hint="default" w:ascii="宋体" w:hAnsi="宋体" w:eastAsia="宋体"/>
                <w:sz w:val="21"/>
                <w:szCs w:val="21"/>
                <w:lang w:val="en-US" w:eastAsia="zh-CN"/>
              </w:rPr>
            </w:pPr>
            <w:r>
              <w:rPr>
                <w:rFonts w:hint="eastAsia" w:ascii="宋体" w:hAnsi="宋体"/>
                <w:sz w:val="21"/>
                <w:szCs w:val="21"/>
                <w:lang w:val="en-US" w:eastAsia="zh-CN"/>
              </w:rPr>
              <w:t>接入交换机</w:t>
            </w:r>
          </w:p>
        </w:tc>
        <w:tc>
          <w:tcPr>
            <w:tcW w:w="6191" w:type="dxa"/>
            <w:noWrap w:val="0"/>
            <w:vAlign w:val="center"/>
          </w:tcPr>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1、接入电口：8个；</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2、电口速率：10/100/1000 Mbps；</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3、推荐视频路数：8；</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4、交换容量：18Gbps；</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5、包转发率：13.39Mpps；</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6、通信标准：IEEE 802.3，IEEE 802.3u，IEEE 802.3X，IEEE 802.3ab；</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7、工作温度：-10℃～55℃；</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8、雷电防护：共模：4 kV差模：2 kV；</w:t>
            </w:r>
          </w:p>
          <w:p>
            <w:pPr>
              <w:spacing w:line="300" w:lineRule="exact"/>
              <w:ind w:firstLine="0" w:firstLineChars="0"/>
              <w:jc w:val="left"/>
              <w:rPr>
                <w:rFonts w:ascii="宋体" w:hAnsi="宋体" w:eastAsia="宋体"/>
                <w:sz w:val="21"/>
                <w:szCs w:val="21"/>
              </w:rPr>
            </w:pPr>
            <w:r>
              <w:rPr>
                <w:rFonts w:hint="eastAsia" w:ascii="宋体" w:hAnsi="宋体" w:eastAsia="宋体"/>
                <w:sz w:val="21"/>
                <w:szCs w:val="21"/>
              </w:rPr>
              <w:t>9、支持PoE功耗管理，POE上下电，POE超过过载值掉电，支持绿色POE</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20台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5</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千兆交换机</w:t>
            </w:r>
          </w:p>
        </w:tc>
        <w:tc>
          <w:tcPr>
            <w:tcW w:w="6191" w:type="dxa"/>
            <w:noWrap w:val="0"/>
            <w:vAlign w:val="center"/>
          </w:tcPr>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1、交换容量：56Gbps，包转发率：41.7Mpps；</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2、24个10/100/1000Base-T电口+4个千兆SFP光口；</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3、1U高度，19英寸宽，支持桌面安装方式；</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4、工作温度：-5℃～45℃；</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5、支持802.1Q VLAN、端口VLAN、VLAN虚接口；</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6、支持端口链路聚合；</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7、支持IRF2智能弹性架构；</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8、支持STP/RSTP/MSTP环网协议；</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9、支持QoS、ACL、端口和流镜像；</w:t>
            </w:r>
          </w:p>
          <w:p>
            <w:pPr>
              <w:spacing w:line="300" w:lineRule="exact"/>
              <w:ind w:firstLine="0" w:firstLineChars="0"/>
              <w:jc w:val="left"/>
              <w:rPr>
                <w:rFonts w:ascii="宋体" w:hAnsi="宋体" w:eastAsia="宋体"/>
                <w:sz w:val="21"/>
                <w:szCs w:val="21"/>
              </w:rPr>
            </w:pPr>
            <w:r>
              <w:rPr>
                <w:rFonts w:hint="eastAsia" w:ascii="宋体" w:hAnsi="宋体" w:eastAsia="宋体"/>
                <w:sz w:val="21"/>
                <w:szCs w:val="21"/>
              </w:rPr>
              <w:t>10、支持极简Web网管、命令行、云管理等多种管理方式。</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6</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电源线</w:t>
            </w:r>
          </w:p>
        </w:tc>
        <w:tc>
          <w:tcPr>
            <w:tcW w:w="6191" w:type="dxa"/>
            <w:noWrap w:val="0"/>
            <w:vAlign w:val="center"/>
          </w:tcPr>
          <w:p>
            <w:pPr>
              <w:spacing w:line="300" w:lineRule="exact"/>
              <w:ind w:firstLine="0" w:firstLineChars="0"/>
              <w:jc w:val="left"/>
              <w:rPr>
                <w:rFonts w:hint="default" w:ascii="宋体" w:hAnsi="宋体" w:eastAsia="宋体"/>
                <w:sz w:val="21"/>
                <w:szCs w:val="21"/>
                <w:lang w:val="en-US" w:eastAsia="zh-CN"/>
              </w:rPr>
            </w:pPr>
            <w:r>
              <w:rPr>
                <w:rFonts w:hint="eastAsia" w:ascii="宋体" w:hAnsi="宋体" w:eastAsia="宋体"/>
                <w:sz w:val="21"/>
                <w:szCs w:val="21"/>
              </w:rPr>
              <w:t>无氧铜线芯，导体纯度高，导电性强。</w:t>
            </w:r>
            <w:r>
              <w:rPr>
                <w:rFonts w:hint="eastAsia" w:ascii="宋体" w:hAnsi="宋体" w:eastAsia="宋体"/>
                <w:sz w:val="21"/>
                <w:szCs w:val="21"/>
              </w:rPr>
              <w:cr/>
            </w:r>
            <w:r>
              <w:rPr>
                <w:rFonts w:hint="eastAsia" w:ascii="宋体" w:hAnsi="宋体" w:eastAsia="宋体"/>
                <w:sz w:val="21"/>
                <w:szCs w:val="21"/>
              </w:rPr>
              <w:t>标称截面积：1mm²</w:t>
            </w:r>
            <w:r>
              <w:rPr>
                <w:rFonts w:hint="eastAsia" w:ascii="宋体" w:hAnsi="宋体"/>
                <w:sz w:val="21"/>
                <w:szCs w:val="21"/>
                <w:lang w:eastAsia="zh-CN"/>
              </w:rPr>
              <w:t>，</w:t>
            </w:r>
            <w:r>
              <w:rPr>
                <w:rFonts w:hint="eastAsia" w:ascii="宋体" w:hAnsi="宋体"/>
                <w:sz w:val="21"/>
                <w:szCs w:val="21"/>
                <w:lang w:val="en-US" w:eastAsia="zh-CN"/>
              </w:rPr>
              <w:t>100米/卷</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15卷</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7</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超5类网线</w:t>
            </w:r>
          </w:p>
        </w:tc>
        <w:tc>
          <w:tcPr>
            <w:tcW w:w="6191" w:type="dxa"/>
            <w:noWrap w:val="0"/>
            <w:vAlign w:val="center"/>
          </w:tcPr>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99.97%无氧铜线芯</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4对0.45mm线芯</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灰色PVC外套</w:t>
            </w:r>
          </w:p>
          <w:p>
            <w:pPr>
              <w:spacing w:line="300" w:lineRule="exact"/>
              <w:ind w:firstLine="0" w:firstLineChars="0"/>
              <w:jc w:val="left"/>
              <w:rPr>
                <w:rFonts w:ascii="宋体" w:hAnsi="宋体" w:eastAsia="宋体"/>
                <w:sz w:val="21"/>
                <w:szCs w:val="21"/>
              </w:rPr>
            </w:pPr>
            <w:r>
              <w:rPr>
                <w:rFonts w:hint="eastAsia" w:ascii="宋体" w:hAnsi="宋体" w:eastAsia="宋体"/>
                <w:sz w:val="21"/>
                <w:szCs w:val="21"/>
              </w:rPr>
              <w:t>305米每箱</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20箱</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8</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硬盘录像机</w:t>
            </w:r>
          </w:p>
        </w:tc>
        <w:tc>
          <w:tcPr>
            <w:tcW w:w="6191" w:type="dxa"/>
            <w:noWrap w:val="0"/>
            <w:vAlign w:val="center"/>
          </w:tcPr>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1、支持嵌入式Linux系统，工业级嵌入式微控制器；</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2、支持WEB、本地GUI界面操作；</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3、可接驳支持ONVIF、RTSP协议的第三方摄像机和主流品牌摄像机；</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4、支持IPv4、IPv6、HTTP、UPnP、NTP、SADP、SNMP、PPPoE、DNS、FTP、ONVIF（支持2.4版本）网络协议；</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5、产品可将接入720P、1.3MP、1080P3MP、4MP、5MP、6MP、8MP、12MP、16MP、24MP、32MP、双目、三目、四目拼接、四目不拼接、一球四枪相机、一球六枪相机、一球八枪相机摄像机的图像以多画面分割方式显示并进行调整。（提供相关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6、在升级过程中应自动检测升级固件包的数据完整性（数字签名），若升级固件包中的数据被非授权篡改则终止升级过程。（提供相关检测报告复印件）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7、产品应能实时识别和检测将被加载运行的可执行程序ko模块的数字签名，未通过签名验证的非法可执行程序、ko模块将被拒绝加载运行。（提供相关检测报告复印件）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8、产品具备防火墙能力，能够抗ICMP洪泛攻击、防半连接攻击。（提供相关检测报告复印件）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9、支持最大64路网络视频接入，网络性能接入320Mbps，储存320Mbps，转发320Mbps；</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10、支持12MP/8MP/6MP/5MP/4MP/3MP/1080P/1.3MP/720P IPC分辨率接入；</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11、支持VGA1/HDMI1同源输出、VGA2/HDMI2同源输出、VGA1/HDMI1和VGA2/HDMI2两组之间支持异源输出。其中HDMI1最大支持4K显示输出，VGA1/VGA2/HDMI2最大支持1080P显示输出；</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12、支持16个内置SATA接口，单盘容量支持10T，可配置成单盘，支持RAID0、RAID1、RAID5、RAID6、RAID10等各种数据保护模式；</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13、支持IPC复合音频1路输入，支持语音对讲2路输出，支持PC通过NVR与网络摄像机进行语音对讲；</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14、支持16路报警输入、6路报警输出，支持开关量输入输出模式；</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15、支持4个USB接口（2个前置USB2.0接口、2个后置USB3.0接口）；</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16、支持2个千兆以太网口，支持2个不同段IP地址的IPC设备接入，支持将双网口设置同一个IP地址，实现数据链路冗余；</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17、支持标签自定义功能，设备支持对指定时间的录像进行标签并归档，便于后续査看；</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18、支持走廊模式功能，支持IPC画面旋转90°或270°，成9:16走廊模式；</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19、支持客户端、WEB支持客户端和IPC对讲，语音透传；</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20、支持网络安全基线，在线网络云升级前端IPC/NVR；</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21、支持预览通道拖动保存、自定义布局（双目、三目、四目枪机接入）；</w:t>
            </w:r>
          </w:p>
          <w:p>
            <w:pPr>
              <w:spacing w:line="300" w:lineRule="exact"/>
              <w:ind w:firstLine="0" w:firstLineChars="0"/>
              <w:jc w:val="left"/>
              <w:rPr>
                <w:rFonts w:ascii="宋体" w:hAnsi="宋体" w:eastAsia="宋体"/>
                <w:sz w:val="21"/>
                <w:szCs w:val="21"/>
              </w:rPr>
            </w:pPr>
            <w:r>
              <w:rPr>
                <w:rFonts w:hint="eastAsia" w:ascii="宋体" w:hAnsi="宋体" w:eastAsia="宋体"/>
                <w:sz w:val="21"/>
                <w:szCs w:val="21"/>
              </w:rPr>
              <w:t>22、支持人脸检测、人脸识别，系统将检测到的人脸与联动人脸库中的人脸图片进行匹配，当匹配相似度达到时，可给出报警提示。</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9</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硬盘</w:t>
            </w:r>
          </w:p>
        </w:tc>
        <w:tc>
          <w:tcPr>
            <w:tcW w:w="6191" w:type="dxa"/>
            <w:noWrap w:val="0"/>
            <w:vAlign w:val="center"/>
          </w:tcPr>
          <w:p>
            <w:pPr>
              <w:spacing w:line="300" w:lineRule="exact"/>
              <w:ind w:firstLine="0" w:firstLineChars="0"/>
              <w:jc w:val="left"/>
              <w:rPr>
                <w:rFonts w:ascii="宋体" w:hAnsi="宋体" w:eastAsia="宋体"/>
                <w:sz w:val="21"/>
                <w:szCs w:val="21"/>
              </w:rPr>
            </w:pPr>
            <w:r>
              <w:rPr>
                <w:rFonts w:ascii="宋体" w:hAnsi="宋体" w:eastAsia="宋体"/>
                <w:sz w:val="21"/>
                <w:szCs w:val="21"/>
              </w:rPr>
              <w:t>3.5 HDD,8TB,7200RPM, 256MB, SATA 6Gb/s</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12块</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10</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超高清解码器</w:t>
            </w:r>
          </w:p>
        </w:tc>
        <w:tc>
          <w:tcPr>
            <w:tcW w:w="6191" w:type="dxa"/>
            <w:noWrap w:val="0"/>
            <w:vAlign w:val="center"/>
          </w:tcPr>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1、支持4路本地信号采集（2路DVI-I和2路HDMI）；</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2、支持9路HDMI信号输出接口；</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3、支持9路HDMI音频输出；</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4、支持MPEG2/MPEG4/H.264/H.265/SVAC/MJPEG标准网络视频流解码；</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5、支持QCIF/CIF/2CIF/HD1/D1/720P/1080P/300W/500W/600W/800W/1200W/3200W视频解码；</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6、支持通过串口控制屏幕开关；</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7、每3个输出口一组，每组共享如下解码能力：最大支持64个通道同时解码，最大支持1路3200W@25fps / 3路1200W@15fps / 4路800W@30fps / 6路600W@25fps / 8路500W @25fps / 9路400W@25fps / 10路300W @30fps / 16路1080P @30fps；</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8、支持单屏1/4/6/8/9/16/25/36分割，支持MxN自由分割3个RS-232(2个RJ45、一个DB9)、1个RS-485、2个USB;（提供相关检测报告复印件）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9、可通过HDMI接口同时将6路分辨率为3840×2160的视频图像和3路分辨率为2560×1600的视频图像显示输出至9台分辨率为3840×2160的显示终端上。（提供相关检测报告复印件）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10、支持跨屏同步显示功能，所有跨屏信号源可同时发送至各个屏幕显示，时差小于1MS。（提供相关检测报告复印件）</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11、支持3840x2160,1920x1080,1280x1024，1280x720，1024x768五种显示分辨率HDMI输入接口最大支持3840x2160分辨率；</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12、支持Onvif、RTSP协议接入，支持国标GB28181接入 ；</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13、支持预案轮巡；</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14、支持多屏融合拼接，跨屏画面毫秒级完美同步；</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15、支持2个10M/100M/1000M自适应以太网接口；</w:t>
            </w:r>
          </w:p>
          <w:p>
            <w:pPr>
              <w:spacing w:line="300" w:lineRule="exact"/>
              <w:ind w:firstLine="0" w:firstLineChars="0"/>
              <w:jc w:val="left"/>
              <w:rPr>
                <w:rFonts w:hint="eastAsia" w:ascii="宋体" w:hAnsi="宋体" w:eastAsia="宋体"/>
                <w:sz w:val="21"/>
                <w:szCs w:val="21"/>
              </w:rPr>
            </w:pPr>
            <w:r>
              <w:rPr>
                <w:rFonts w:hint="eastAsia" w:ascii="宋体" w:hAnsi="宋体" w:eastAsia="宋体"/>
                <w:sz w:val="21"/>
                <w:szCs w:val="21"/>
              </w:rPr>
              <w:t>16、加强用户保密等级：HTTP的MD5加密，HTTPS和SSL证书认证，TELNET的密码修改同步应用的用户账号管理；</w:t>
            </w:r>
          </w:p>
          <w:p>
            <w:pPr>
              <w:spacing w:line="300" w:lineRule="exact"/>
              <w:ind w:firstLine="0" w:firstLineChars="0"/>
              <w:jc w:val="left"/>
              <w:rPr>
                <w:rFonts w:ascii="宋体" w:hAnsi="宋体" w:eastAsia="宋体"/>
                <w:sz w:val="21"/>
                <w:szCs w:val="21"/>
              </w:rPr>
            </w:pPr>
            <w:r>
              <w:rPr>
                <w:rFonts w:hint="eastAsia" w:ascii="宋体" w:hAnsi="宋体" w:eastAsia="宋体"/>
                <w:sz w:val="21"/>
                <w:szCs w:val="21"/>
              </w:rPr>
              <w:t>17、采用标准网络协议和标准压缩算法，在各种平台上轻松实现互联互通；</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763"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11</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sz w:val="21"/>
                <w:szCs w:val="21"/>
              </w:rPr>
              <w:t>系统主机</w:t>
            </w:r>
          </w:p>
        </w:tc>
        <w:tc>
          <w:tcPr>
            <w:tcW w:w="6191" w:type="dxa"/>
            <w:noWrap w:val="0"/>
            <w:vAlign w:val="center"/>
          </w:tcPr>
          <w:p>
            <w:pPr>
              <w:widowControl/>
              <w:shd w:val="clear" w:color="auto" w:fill="FFFFFF"/>
              <w:spacing w:line="300" w:lineRule="exact"/>
              <w:ind w:firstLine="0" w:firstLineChars="0"/>
              <w:textAlignment w:val="baseline"/>
              <w:rPr>
                <w:rFonts w:hint="default" w:ascii="宋体" w:hAnsi="宋体" w:eastAsia="宋体" w:cs="宋体"/>
                <w:color w:val="333333"/>
                <w:kern w:val="0"/>
                <w:sz w:val="21"/>
                <w:szCs w:val="21"/>
                <w:lang w:val="en-US" w:eastAsia="zh-CN"/>
              </w:rPr>
            </w:pPr>
            <w:r>
              <w:rPr>
                <w:rFonts w:hint="eastAsia" w:ascii="宋体" w:hAnsi="宋体"/>
                <w:sz w:val="21"/>
                <w:szCs w:val="21"/>
              </w:rPr>
              <w:t>1，广播系统可接入综合安防平台进行统一管理，管理员可通过账号、密码登陆平台的播控系统，进行广播各项功能控制及管理。</w:t>
            </w:r>
            <w:r>
              <w:rPr>
                <w:rFonts w:hint="eastAsia" w:ascii="宋体" w:hAnsi="宋体"/>
                <w:sz w:val="21"/>
                <w:szCs w:val="21"/>
              </w:rPr>
              <w:br w:type="textWrapping"/>
            </w:r>
            <w:r>
              <w:rPr>
                <w:rFonts w:hint="eastAsia" w:ascii="宋体" w:hAnsi="宋体"/>
                <w:sz w:val="21"/>
                <w:szCs w:val="21"/>
              </w:rPr>
              <w:t xml:space="preserve">2，在平台的广播播控台界面可查看已注册终端的实时状态（是否在线，播放内容及音量大小），并可对终端的编号、备注名称、音量大小进行配置和调整。 </w:t>
            </w:r>
            <w:r>
              <w:rPr>
                <w:rFonts w:hint="eastAsia" w:ascii="宋体" w:hAnsi="宋体"/>
                <w:sz w:val="21"/>
                <w:szCs w:val="21"/>
              </w:rPr>
              <w:br w:type="textWrapping"/>
            </w:r>
            <w:r>
              <w:rPr>
                <w:rFonts w:hint="eastAsia" w:ascii="宋体" w:hAnsi="宋体"/>
                <w:sz w:val="21"/>
                <w:szCs w:val="21"/>
              </w:rPr>
              <w:t>3，广播系统内的每个网络音箱，解码器或网络功放都能单独绑定该区域的摄像头，并可在监控画面直接点击喊话按钮，利用系统内绑定的寻呼话筒对对应绑定的音箱进行喊话。</w:t>
            </w:r>
            <w:r>
              <w:rPr>
                <w:rFonts w:hint="eastAsia" w:ascii="宋体" w:hAnsi="宋体"/>
                <w:sz w:val="21"/>
                <w:szCs w:val="21"/>
              </w:rPr>
              <w:br w:type="textWrapping"/>
            </w:r>
            <w:r>
              <w:rPr>
                <w:rFonts w:hint="eastAsia" w:ascii="宋体" w:hAnsi="宋体"/>
                <w:sz w:val="21"/>
                <w:szCs w:val="21"/>
              </w:rPr>
              <w:t>4，当区域摄像头发生紧急报警时，可联动对应绑定的广播自动播放预设好的紧急广播内容，同时可在报警弹出界面点击广播按钮进行紧急喊话。</w:t>
            </w:r>
            <w:r>
              <w:rPr>
                <w:rFonts w:hint="eastAsia" w:ascii="宋体" w:hAnsi="宋体"/>
                <w:sz w:val="21"/>
                <w:szCs w:val="21"/>
              </w:rPr>
              <w:br w:type="textWrapping"/>
            </w:r>
            <w:r>
              <w:rPr>
                <w:rFonts w:hint="eastAsia" w:ascii="宋体" w:hAnsi="宋体"/>
                <w:sz w:val="21"/>
                <w:szCs w:val="21"/>
              </w:rPr>
              <w:t>1. 工业级工控机机箱设计，采用钢结构，有较高防磁、防尘、防冲击能力。</w:t>
            </w:r>
            <w:r>
              <w:rPr>
                <w:rFonts w:hint="eastAsia" w:ascii="宋体" w:hAnsi="宋体"/>
                <w:sz w:val="21"/>
                <w:szCs w:val="21"/>
              </w:rPr>
              <w:br w:type="textWrapping"/>
            </w:r>
            <w:r>
              <w:rPr>
                <w:rFonts w:hint="eastAsia" w:ascii="宋体" w:hAnsi="宋体"/>
                <w:sz w:val="21"/>
                <w:szCs w:val="21"/>
              </w:rPr>
              <w:t>2.内置大容量固态硬盘，具有抗震动、抗摔、读写速度快、功耗低等特点。</w:t>
            </w:r>
            <w:r>
              <w:rPr>
                <w:rFonts w:hint="eastAsia" w:ascii="宋体" w:hAnsi="宋体"/>
                <w:sz w:val="21"/>
                <w:szCs w:val="21"/>
              </w:rPr>
              <w:br w:type="textWrapping"/>
            </w:r>
            <w:r>
              <w:rPr>
                <w:rFonts w:hint="eastAsia" w:ascii="宋体" w:hAnsi="宋体"/>
                <w:sz w:val="21"/>
                <w:szCs w:val="21"/>
              </w:rPr>
              <w:t>3.工业级专用主板设计，处理速度更快，运作性能更强，适用于长时间运行。</w:t>
            </w:r>
            <w:r>
              <w:rPr>
                <w:rFonts w:hint="eastAsia" w:ascii="宋体" w:hAnsi="宋体"/>
                <w:sz w:val="21"/>
                <w:szCs w:val="21"/>
              </w:rPr>
              <w:br w:type="textWrapping"/>
            </w:r>
            <w:r>
              <w:rPr>
                <w:rFonts w:hint="eastAsia" w:ascii="宋体" w:hAnsi="宋体"/>
                <w:sz w:val="21"/>
                <w:szCs w:val="21"/>
              </w:rPr>
              <w:t>4.安装广播系统服务器软件后，构成IP广播系统的管理控制中心，对广播系统各路音源信号控制，广播区域分配，终端信息的配置。</w:t>
            </w:r>
            <w:r>
              <w:rPr>
                <w:rFonts w:hint="eastAsia" w:ascii="宋体" w:hAnsi="宋体"/>
                <w:sz w:val="21"/>
                <w:szCs w:val="21"/>
              </w:rPr>
              <w:br w:type="textWrapping"/>
            </w:r>
            <w:r>
              <w:rPr>
                <w:rFonts w:hint="eastAsia" w:ascii="宋体" w:hAnsi="宋体"/>
                <w:sz w:val="21"/>
                <w:szCs w:val="21"/>
              </w:rPr>
              <w:t>5.可根据服务软件形成的电子地图，查看各路广播终端实时情况，尽在掌控。</w:t>
            </w:r>
            <w:r>
              <w:rPr>
                <w:rFonts w:hint="eastAsia" w:ascii="宋体" w:hAnsi="宋体"/>
                <w:sz w:val="21"/>
                <w:szCs w:val="21"/>
              </w:rPr>
              <w:br w:type="textWrapping"/>
            </w:r>
            <w:r>
              <w:rPr>
                <w:rFonts w:hint="eastAsia" w:ascii="宋体" w:hAnsi="宋体"/>
                <w:sz w:val="21"/>
                <w:szCs w:val="21"/>
              </w:rPr>
              <w:t>6.具有紧急广播按钮及紧急广播话筒，可进行快速的紧急广播和应急演习。</w:t>
            </w:r>
            <w:r>
              <w:rPr>
                <w:rFonts w:hint="eastAsia" w:ascii="宋体" w:hAnsi="宋体"/>
                <w:sz w:val="21"/>
                <w:szCs w:val="21"/>
              </w:rPr>
              <w:br w:type="textWrapping"/>
            </w:r>
            <w:r>
              <w:rPr>
                <w:rFonts w:hint="eastAsia" w:ascii="宋体" w:hAnsi="宋体"/>
                <w:sz w:val="21"/>
                <w:szCs w:val="21"/>
              </w:rPr>
              <w:t>7.标准RJ45网络接口，有以太网口的地方即可接入，支持跨网段和跨路由。</w:t>
            </w:r>
            <w:r>
              <w:rPr>
                <w:rFonts w:hint="eastAsia" w:ascii="宋体" w:hAnsi="宋体"/>
                <w:sz w:val="21"/>
                <w:szCs w:val="21"/>
              </w:rPr>
              <w:br w:type="textWrapping"/>
            </w:r>
            <w:r>
              <w:rPr>
                <w:rFonts w:hint="eastAsia" w:ascii="宋体" w:hAnsi="宋体"/>
                <w:sz w:val="21"/>
                <w:szCs w:val="21"/>
              </w:rPr>
              <w:t>电源、功耗 DC 12V/10A，≤50W</w:t>
            </w:r>
            <w:r>
              <w:rPr>
                <w:rFonts w:hint="eastAsia" w:ascii="宋体" w:hAnsi="宋体"/>
                <w:sz w:val="21"/>
                <w:szCs w:val="21"/>
              </w:rPr>
              <w:br w:type="textWrapping"/>
            </w:r>
            <w:r>
              <w:rPr>
                <w:rFonts w:hint="eastAsia" w:ascii="宋体" w:hAnsi="宋体"/>
                <w:sz w:val="21"/>
                <w:szCs w:val="21"/>
              </w:rPr>
              <w:t>显示屏幕 17寸电阻式(四线)触控屏</w:t>
            </w:r>
            <w:r>
              <w:rPr>
                <w:rFonts w:hint="eastAsia" w:ascii="宋体" w:hAnsi="宋体"/>
                <w:sz w:val="21"/>
                <w:szCs w:val="21"/>
              </w:rPr>
              <w:br w:type="textWrapping"/>
            </w:r>
            <w:r>
              <w:rPr>
                <w:rFonts w:hint="eastAsia" w:ascii="宋体" w:hAnsi="宋体"/>
                <w:sz w:val="21"/>
                <w:szCs w:val="21"/>
              </w:rPr>
              <w:t>显示语言 中文、英文</w:t>
            </w:r>
            <w:r>
              <w:rPr>
                <w:rFonts w:hint="eastAsia" w:ascii="宋体" w:hAnsi="宋体"/>
                <w:sz w:val="21"/>
                <w:szCs w:val="21"/>
              </w:rPr>
              <w:br w:type="textWrapping"/>
            </w:r>
            <w:r>
              <w:rPr>
                <w:rFonts w:hint="eastAsia" w:ascii="宋体" w:hAnsi="宋体"/>
                <w:sz w:val="21"/>
                <w:szCs w:val="21"/>
              </w:rPr>
              <w:t>CPU Intel I5</w:t>
            </w:r>
            <w:r>
              <w:rPr>
                <w:rFonts w:hint="eastAsia" w:ascii="宋体" w:hAnsi="宋体"/>
                <w:sz w:val="21"/>
                <w:szCs w:val="21"/>
              </w:rPr>
              <w:br w:type="textWrapping"/>
            </w:r>
            <w:r>
              <w:rPr>
                <w:rFonts w:hint="eastAsia" w:ascii="宋体" w:hAnsi="宋体"/>
                <w:sz w:val="21"/>
                <w:szCs w:val="21"/>
              </w:rPr>
              <w:t>硬盘 120G固态硬盘</w:t>
            </w:r>
            <w:r>
              <w:rPr>
                <w:rFonts w:hint="eastAsia" w:ascii="宋体" w:hAnsi="宋体"/>
                <w:sz w:val="21"/>
                <w:szCs w:val="21"/>
              </w:rPr>
              <w:br w:type="textWrapping"/>
            </w:r>
            <w:r>
              <w:rPr>
                <w:rFonts w:hint="eastAsia" w:ascii="宋体" w:hAnsi="宋体"/>
                <w:sz w:val="21"/>
                <w:szCs w:val="21"/>
              </w:rPr>
              <w:t>内存 4GB</w:t>
            </w:r>
            <w:r>
              <w:rPr>
                <w:rFonts w:hint="eastAsia" w:ascii="宋体" w:hAnsi="宋体"/>
                <w:sz w:val="21"/>
                <w:szCs w:val="21"/>
              </w:rPr>
              <w:br w:type="textWrapping"/>
            </w:r>
            <w:r>
              <w:rPr>
                <w:rFonts w:hint="eastAsia" w:ascii="宋体" w:hAnsi="宋体"/>
                <w:sz w:val="21"/>
                <w:szCs w:val="21"/>
              </w:rPr>
              <w:t>网络通讯协议 TCP、UDP、ARP、ICMP、IGMP</w:t>
            </w:r>
            <w:r>
              <w:rPr>
                <w:rFonts w:hint="eastAsia" w:ascii="宋体" w:hAnsi="宋体"/>
                <w:sz w:val="21"/>
                <w:szCs w:val="21"/>
              </w:rPr>
              <w:br w:type="textWrapping"/>
            </w:r>
            <w:r>
              <w:rPr>
                <w:rFonts w:hint="eastAsia" w:ascii="宋体" w:hAnsi="宋体"/>
                <w:sz w:val="21"/>
                <w:szCs w:val="21"/>
              </w:rPr>
              <w:t>网络芯片速率 10/100Mbps</w:t>
            </w:r>
            <w:r>
              <w:rPr>
                <w:rFonts w:hint="eastAsia" w:ascii="宋体" w:hAnsi="宋体"/>
                <w:sz w:val="21"/>
                <w:szCs w:val="21"/>
              </w:rPr>
              <w:br w:type="textWrapping"/>
            </w:r>
            <w:r>
              <w:rPr>
                <w:rFonts w:hint="eastAsia" w:ascii="宋体" w:hAnsi="宋体"/>
                <w:sz w:val="21"/>
                <w:szCs w:val="21"/>
              </w:rPr>
              <w:t>音频编码 MP2/MP3/PCM/ADPCM</w:t>
            </w:r>
            <w:r>
              <w:rPr>
                <w:rFonts w:hint="eastAsia" w:ascii="宋体" w:hAnsi="宋体"/>
                <w:sz w:val="21"/>
                <w:szCs w:val="21"/>
              </w:rPr>
              <w:br w:type="textWrapping"/>
            </w:r>
            <w:r>
              <w:rPr>
                <w:rFonts w:hint="eastAsia" w:ascii="宋体" w:hAnsi="宋体"/>
                <w:sz w:val="21"/>
                <w:szCs w:val="21"/>
              </w:rPr>
              <w:t>音频采样 8kHz～44.1kHz，16bit</w:t>
            </w:r>
            <w:r>
              <w:rPr>
                <w:rFonts w:hint="eastAsia" w:ascii="宋体" w:hAnsi="宋体"/>
                <w:sz w:val="21"/>
                <w:szCs w:val="21"/>
              </w:rPr>
              <w:br w:type="textWrapping"/>
            </w:r>
            <w:r>
              <w:rPr>
                <w:rFonts w:hint="eastAsia" w:ascii="宋体" w:hAnsi="宋体"/>
                <w:sz w:val="21"/>
                <w:szCs w:val="21"/>
              </w:rPr>
              <w:t>传输位率 16kbps-192kbps</w:t>
            </w:r>
            <w:r>
              <w:rPr>
                <w:rFonts w:hint="eastAsia" w:ascii="宋体" w:hAnsi="宋体"/>
                <w:sz w:val="21"/>
                <w:szCs w:val="21"/>
              </w:rPr>
              <w:br w:type="textWrapping"/>
            </w:r>
            <w:r>
              <w:rPr>
                <w:rFonts w:hint="eastAsia" w:ascii="宋体" w:hAnsi="宋体"/>
                <w:sz w:val="21"/>
                <w:szCs w:val="21"/>
              </w:rPr>
              <w:t>信噪比/频响 LINE: ≥70dB， MIC: ≥70dB，20Hz-20KHz</w:t>
            </w:r>
            <w:r>
              <w:rPr>
                <w:rFonts w:hint="eastAsia" w:ascii="宋体" w:hAnsi="宋体"/>
                <w:sz w:val="21"/>
                <w:szCs w:val="21"/>
              </w:rPr>
              <w:br w:type="textWrapping"/>
            </w:r>
            <w:r>
              <w:rPr>
                <w:rFonts w:hint="eastAsia" w:ascii="宋体" w:hAnsi="宋体"/>
                <w:sz w:val="21"/>
                <w:szCs w:val="21"/>
              </w:rPr>
              <w:t>接口 2个RJ45网口、6个USB口、1个 DVI接口、1路线路输入、1路线路输出、1路VGA输出、1路话筒输入</w:t>
            </w:r>
            <w:r>
              <w:rPr>
                <w:rFonts w:hint="eastAsia" w:ascii="宋体" w:hAnsi="宋体"/>
                <w:sz w:val="21"/>
                <w:szCs w:val="21"/>
              </w:rPr>
              <w:br w:type="textWrapping"/>
            </w:r>
            <w:r>
              <w:rPr>
                <w:rFonts w:hint="eastAsia" w:ascii="宋体" w:hAnsi="宋体"/>
                <w:sz w:val="21"/>
                <w:szCs w:val="21"/>
              </w:rPr>
              <w:t>工作温度、湿度 5℃～45℃， ≤90%RH（无结露）</w:t>
            </w:r>
            <w:r>
              <w:rPr>
                <w:rFonts w:hint="eastAsia" w:ascii="宋体" w:hAnsi="宋体"/>
                <w:sz w:val="21"/>
                <w:szCs w:val="21"/>
              </w:rPr>
              <w:br w:type="textWrapping"/>
            </w:r>
            <w:r>
              <w:rPr>
                <w:rFonts w:hint="eastAsia" w:ascii="宋体" w:hAnsi="宋体"/>
                <w:sz w:val="21"/>
                <w:szCs w:val="21"/>
                <w:lang w:val="en-US" w:eastAsia="zh-CN"/>
              </w:rPr>
              <w:t>配备</w:t>
            </w:r>
            <w:r>
              <w:rPr>
                <w:rFonts w:hint="eastAsia" w:ascii="宋体" w:hAnsi="宋体"/>
                <w:sz w:val="21"/>
                <w:szCs w:val="21"/>
              </w:rPr>
              <w:t>专业</w:t>
            </w:r>
            <w:r>
              <w:rPr>
                <w:rFonts w:hint="eastAsia" w:ascii="宋体" w:hAnsi="宋体"/>
                <w:sz w:val="21"/>
                <w:szCs w:val="21"/>
                <w:lang w:val="en-US" w:eastAsia="zh-CN"/>
              </w:rPr>
              <w:t>USB</w:t>
            </w:r>
            <w:r>
              <w:rPr>
                <w:rFonts w:hint="eastAsia" w:ascii="宋体" w:hAnsi="宋体"/>
                <w:sz w:val="21"/>
                <w:szCs w:val="21"/>
              </w:rPr>
              <w:t>存储</w:t>
            </w:r>
            <w:r>
              <w:rPr>
                <w:rFonts w:hint="eastAsia" w:ascii="宋体" w:hAnsi="宋体"/>
                <w:sz w:val="21"/>
                <w:szCs w:val="21"/>
                <w:lang w:val="en-US" w:eastAsia="zh-CN"/>
              </w:rPr>
              <w:t>*1</w:t>
            </w:r>
            <w:r>
              <w:rPr>
                <w:rFonts w:hint="eastAsia" w:ascii="宋体" w:hAnsi="宋体"/>
                <w:sz w:val="21"/>
                <w:szCs w:val="21"/>
              </w:rPr>
              <w:t>，存储容量≧60GB，传输速度≧120M/S，投标产品满足3次及以上1000MM跌落试验无损坏、产品没有明显的暗刺和影响使用的棱角、产品经过震动试验测试后无松动和损坏现象（提供权威机构检测报告），投标产品具有终身原厂质保、有质量问题终身原厂免费换新服务（提供生产厂商承诺函原件）；为保证数据使用的安全性和时效性，专业存储需配置同品牌专业恢复平台，提供主要功能界面截图。</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1套</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sz w:val="21"/>
                <w:szCs w:val="21"/>
                <w:lang w:eastAsia="zh-CN"/>
              </w:rPr>
            </w:pPr>
            <w:r>
              <w:rPr>
                <w:rFonts w:hint="eastAsia" w:ascii="宋体" w:hAnsi="宋体" w:eastAsia="宋体"/>
                <w:sz w:val="21"/>
                <w:szCs w:val="21"/>
              </w:rPr>
              <w:t>1</w:t>
            </w:r>
            <w:r>
              <w:rPr>
                <w:rFonts w:hint="eastAsia" w:ascii="宋体" w:hAnsi="宋体"/>
                <w:sz w:val="21"/>
                <w:szCs w:val="21"/>
                <w:lang w:val="en-US" w:eastAsia="zh-CN"/>
              </w:rPr>
              <w:t>2</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sz w:val="21"/>
                <w:szCs w:val="21"/>
              </w:rPr>
              <w:t>IP网络监听音箱</w:t>
            </w:r>
          </w:p>
        </w:tc>
        <w:tc>
          <w:tcPr>
            <w:tcW w:w="6191" w:type="dxa"/>
            <w:noWrap w:val="0"/>
            <w:vAlign w:val="center"/>
          </w:tcPr>
          <w:p>
            <w:pPr>
              <w:widowControl/>
              <w:shd w:val="clear" w:color="auto" w:fill="FFFFFF"/>
              <w:spacing w:line="300" w:lineRule="exact"/>
              <w:ind w:firstLine="0" w:firstLineChars="0"/>
              <w:jc w:val="left"/>
              <w:textAlignment w:val="baseline"/>
              <w:rPr>
                <w:rFonts w:ascii="宋体" w:hAnsi="宋体" w:eastAsia="宋体" w:cs="宋体"/>
                <w:color w:val="333333"/>
                <w:kern w:val="0"/>
                <w:sz w:val="21"/>
                <w:szCs w:val="21"/>
              </w:rPr>
            </w:pPr>
            <w:r>
              <w:rPr>
                <w:rFonts w:hint="eastAsia" w:ascii="宋体" w:hAnsi="宋体"/>
                <w:sz w:val="21"/>
                <w:szCs w:val="21"/>
              </w:rPr>
              <w:t>. 一体化壁挂式设计、整合网络音频解码，数字功放及音箱。</w:t>
            </w:r>
            <w:r>
              <w:rPr>
                <w:rFonts w:hint="eastAsia" w:ascii="宋体" w:hAnsi="宋体"/>
                <w:sz w:val="21"/>
                <w:szCs w:val="21"/>
              </w:rPr>
              <w:br w:type="textWrapping"/>
            </w:r>
            <w:r>
              <w:rPr>
                <w:rFonts w:hint="eastAsia" w:ascii="宋体" w:hAnsi="宋体"/>
                <w:sz w:val="21"/>
                <w:szCs w:val="21"/>
              </w:rPr>
              <w:t>2. 采用高速工业级双核(ARM+DSP)芯片、启动时间≤1秒。</w:t>
            </w:r>
            <w:r>
              <w:rPr>
                <w:rFonts w:hint="eastAsia" w:ascii="宋体" w:hAnsi="宋体"/>
                <w:sz w:val="21"/>
                <w:szCs w:val="21"/>
              </w:rPr>
              <w:br w:type="textWrapping"/>
            </w:r>
            <w:r>
              <w:rPr>
                <w:rFonts w:hint="eastAsia" w:ascii="宋体" w:hAnsi="宋体"/>
                <w:sz w:val="21"/>
                <w:szCs w:val="21"/>
              </w:rPr>
              <w:t>3. 内置高保真扬声器和2×10W(8Ω)立体声D类功率放大器。</w:t>
            </w:r>
            <w:r>
              <w:rPr>
                <w:rFonts w:hint="eastAsia" w:ascii="宋体" w:hAnsi="宋体"/>
                <w:sz w:val="21"/>
                <w:szCs w:val="21"/>
              </w:rPr>
              <w:br w:type="textWrapping"/>
            </w:r>
            <w:r>
              <w:rPr>
                <w:rFonts w:hint="eastAsia" w:ascii="宋体" w:hAnsi="宋体"/>
                <w:sz w:val="21"/>
                <w:szCs w:val="21"/>
              </w:rPr>
              <w:t>4. 内置回路检测功能、可远程监听扬声器工作状态、轻松维护。</w:t>
            </w:r>
            <w:r>
              <w:rPr>
                <w:rFonts w:hint="eastAsia" w:ascii="宋体" w:hAnsi="宋体"/>
                <w:sz w:val="21"/>
                <w:szCs w:val="21"/>
              </w:rPr>
              <w:br w:type="textWrapping"/>
            </w:r>
            <w:r>
              <w:rPr>
                <w:rFonts w:hint="eastAsia" w:ascii="宋体" w:hAnsi="宋体"/>
                <w:sz w:val="21"/>
                <w:szCs w:val="21"/>
              </w:rPr>
              <w:t>5. 服务软件远程调节输出音量、并可在本地用旋钮调节线路输入音量。</w:t>
            </w:r>
            <w:r>
              <w:rPr>
                <w:rFonts w:hint="eastAsia" w:ascii="宋体" w:hAnsi="宋体"/>
                <w:sz w:val="21"/>
                <w:szCs w:val="21"/>
              </w:rPr>
              <w:br w:type="textWrapping"/>
            </w:r>
            <w:r>
              <w:rPr>
                <w:rFonts w:hint="eastAsia" w:ascii="宋体" w:hAnsi="宋体"/>
                <w:sz w:val="21"/>
                <w:szCs w:val="21"/>
              </w:rPr>
              <w:t>6. 标准RJ45网络接口、有以太网口的地方即可接入、支持跨网段和跨路由。</w:t>
            </w:r>
            <w:r>
              <w:rPr>
                <w:rFonts w:hint="eastAsia" w:ascii="宋体" w:hAnsi="宋体"/>
                <w:sz w:val="21"/>
                <w:szCs w:val="21"/>
              </w:rPr>
              <w:br w:type="textWrapping"/>
            </w:r>
            <w:r>
              <w:rPr>
                <w:rFonts w:hint="eastAsia" w:ascii="宋体" w:hAnsi="宋体"/>
                <w:sz w:val="21"/>
                <w:szCs w:val="21"/>
              </w:rPr>
              <w:t>7.支持web网页配置，在线升级等；</w:t>
            </w:r>
            <w:r>
              <w:rPr>
                <w:rFonts w:hint="eastAsia" w:ascii="宋体" w:hAnsi="宋体"/>
                <w:sz w:val="21"/>
                <w:szCs w:val="21"/>
              </w:rPr>
              <w:br w:type="textWrapping"/>
            </w:r>
            <w:r>
              <w:rPr>
                <w:rFonts w:hint="eastAsia" w:ascii="宋体" w:hAnsi="宋体"/>
                <w:sz w:val="21"/>
                <w:szCs w:val="21"/>
              </w:rPr>
              <w:t>电源、功耗 DC24V/1A，≤23W、待机≤3W</w:t>
            </w:r>
            <w:r>
              <w:rPr>
                <w:rFonts w:hint="eastAsia" w:ascii="宋体" w:hAnsi="宋体"/>
                <w:sz w:val="21"/>
                <w:szCs w:val="21"/>
              </w:rPr>
              <w:br w:type="textWrapping"/>
            </w:r>
            <w:r>
              <w:rPr>
                <w:rFonts w:hint="eastAsia" w:ascii="宋体" w:hAnsi="宋体"/>
                <w:sz w:val="21"/>
                <w:szCs w:val="21"/>
              </w:rPr>
              <w:t>网络通讯协议 TCP/IP、UDP、ARP、ICMP、IGMP</w:t>
            </w:r>
            <w:r>
              <w:rPr>
                <w:rFonts w:hint="eastAsia" w:ascii="宋体" w:hAnsi="宋体"/>
                <w:sz w:val="21"/>
                <w:szCs w:val="21"/>
              </w:rPr>
              <w:br w:type="textWrapping"/>
            </w:r>
            <w:r>
              <w:rPr>
                <w:rFonts w:hint="eastAsia" w:ascii="宋体" w:hAnsi="宋体"/>
                <w:sz w:val="21"/>
                <w:szCs w:val="21"/>
              </w:rPr>
              <w:t>音频编码 MP2/MP3/PCM/ADPCM</w:t>
            </w:r>
            <w:r>
              <w:rPr>
                <w:rFonts w:hint="eastAsia" w:ascii="宋体" w:hAnsi="宋体"/>
                <w:sz w:val="21"/>
                <w:szCs w:val="21"/>
              </w:rPr>
              <w:br w:type="textWrapping"/>
            </w:r>
            <w:r>
              <w:rPr>
                <w:rFonts w:hint="eastAsia" w:ascii="宋体" w:hAnsi="宋体"/>
                <w:sz w:val="21"/>
                <w:szCs w:val="21"/>
              </w:rPr>
              <w:t>音频采样、位率 8kHz～48kHz， 16bit， 8kbps-320kbps</w:t>
            </w:r>
            <w:r>
              <w:rPr>
                <w:rFonts w:hint="eastAsia" w:ascii="宋体" w:hAnsi="宋体"/>
                <w:sz w:val="21"/>
                <w:szCs w:val="21"/>
              </w:rPr>
              <w:br w:type="textWrapping"/>
            </w:r>
            <w:r>
              <w:rPr>
                <w:rFonts w:hint="eastAsia" w:ascii="宋体" w:hAnsi="宋体"/>
                <w:sz w:val="21"/>
                <w:szCs w:val="21"/>
              </w:rPr>
              <w:t>信噪比、音箱频响 ≥90dB， 200Hz-18kHz</w:t>
            </w:r>
            <w:r>
              <w:rPr>
                <w:rFonts w:hint="eastAsia" w:ascii="宋体" w:hAnsi="宋体"/>
                <w:sz w:val="21"/>
                <w:szCs w:val="21"/>
              </w:rPr>
              <w:br w:type="textWrapping"/>
            </w:r>
            <w:r>
              <w:rPr>
                <w:rFonts w:hint="eastAsia" w:ascii="宋体" w:hAnsi="宋体"/>
                <w:sz w:val="21"/>
                <w:szCs w:val="21"/>
              </w:rPr>
              <w:t>内置功放功率 2x10W(8Ω定阻)</w:t>
            </w:r>
            <w:r>
              <w:rPr>
                <w:rFonts w:hint="eastAsia" w:ascii="宋体" w:hAnsi="宋体"/>
                <w:sz w:val="21"/>
                <w:szCs w:val="21"/>
              </w:rPr>
              <w:br w:type="textWrapping"/>
            </w:r>
            <w:r>
              <w:rPr>
                <w:rFonts w:hint="eastAsia" w:ascii="宋体" w:hAnsi="宋体"/>
                <w:sz w:val="21"/>
                <w:szCs w:val="21"/>
              </w:rPr>
              <w:t>工作温度、湿度 -10℃～50℃，10%-90%RH（无结露）</w:t>
            </w:r>
            <w:r>
              <w:rPr>
                <w:rFonts w:hint="eastAsia" w:ascii="宋体" w:hAnsi="宋体"/>
                <w:sz w:val="21"/>
                <w:szCs w:val="21"/>
              </w:rPr>
              <w:br w:type="textWrapping"/>
            </w:r>
            <w:r>
              <w:rPr>
                <w:rFonts w:hint="eastAsia" w:ascii="宋体" w:hAnsi="宋体"/>
                <w:sz w:val="21"/>
                <w:szCs w:val="21"/>
              </w:rPr>
              <w:t>产品尺寸、重量 157.5x147x246mm，1.2 kg</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sz w:val="21"/>
                <w:szCs w:val="21"/>
                <w:lang w:val="en-US" w:eastAsia="zh-CN"/>
              </w:rPr>
            </w:pPr>
            <w:r>
              <w:rPr>
                <w:rFonts w:hint="eastAsia" w:ascii="宋体" w:hAnsi="宋体" w:eastAsia="宋体"/>
                <w:sz w:val="21"/>
                <w:szCs w:val="21"/>
              </w:rPr>
              <w:t>1</w:t>
            </w:r>
            <w:r>
              <w:rPr>
                <w:rFonts w:hint="eastAsia" w:ascii="宋体" w:hAnsi="宋体"/>
                <w:sz w:val="21"/>
                <w:szCs w:val="21"/>
                <w:lang w:val="en-US" w:eastAsia="zh-CN"/>
              </w:rPr>
              <w:t>3</w:t>
            </w:r>
          </w:p>
        </w:tc>
        <w:tc>
          <w:tcPr>
            <w:tcW w:w="709"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sz w:val="21"/>
                <w:szCs w:val="21"/>
              </w:rPr>
              <w:t>IP网络寻呼话筒</w:t>
            </w:r>
          </w:p>
        </w:tc>
        <w:tc>
          <w:tcPr>
            <w:tcW w:w="6191" w:type="dxa"/>
            <w:noWrap w:val="0"/>
            <w:vAlign w:val="center"/>
          </w:tcPr>
          <w:p>
            <w:pPr>
              <w:widowControl/>
              <w:shd w:val="clear" w:color="auto" w:fill="FFFFFF"/>
              <w:spacing w:line="300" w:lineRule="exact"/>
              <w:ind w:left="0" w:leftChars="0" w:firstLine="0" w:firstLineChars="0"/>
              <w:jc w:val="left"/>
              <w:textAlignment w:val="baseline"/>
              <w:rPr>
                <w:rFonts w:ascii="宋体" w:hAnsi="宋体" w:eastAsia="宋体" w:cs="宋体"/>
                <w:color w:val="333333"/>
                <w:kern w:val="0"/>
                <w:sz w:val="21"/>
                <w:szCs w:val="21"/>
              </w:rPr>
            </w:pPr>
            <w:r>
              <w:rPr>
                <w:rFonts w:hint="eastAsia" w:ascii="宋体" w:hAnsi="宋体"/>
                <w:sz w:val="21"/>
                <w:szCs w:val="21"/>
              </w:rPr>
              <w:t>1.专业控制台设计，坚固耐用，高档铝合金面板，全金属机身。</w:t>
            </w:r>
            <w:r>
              <w:rPr>
                <w:rFonts w:hint="eastAsia" w:ascii="宋体" w:hAnsi="宋体"/>
                <w:sz w:val="21"/>
                <w:szCs w:val="21"/>
              </w:rPr>
              <w:br w:type="textWrapping"/>
            </w:r>
            <w:r>
              <w:rPr>
                <w:rFonts w:hint="eastAsia" w:ascii="宋体" w:hAnsi="宋体"/>
                <w:sz w:val="21"/>
                <w:szCs w:val="21"/>
              </w:rPr>
              <w:t xml:space="preserve">2.具有7寸数字真彩显示屏，电容式触摸屏，分辨率800*480。 </w:t>
            </w:r>
            <w:r>
              <w:rPr>
                <w:rFonts w:hint="eastAsia" w:ascii="宋体" w:hAnsi="宋体"/>
                <w:sz w:val="21"/>
                <w:szCs w:val="21"/>
              </w:rPr>
              <w:br w:type="textWrapping"/>
            </w:r>
            <w:r>
              <w:rPr>
                <w:rFonts w:hint="eastAsia" w:ascii="宋体" w:hAnsi="宋体"/>
                <w:sz w:val="21"/>
                <w:szCs w:val="21"/>
              </w:rPr>
              <w:t>3.支持对讲，呼叫转移和三方通话功能。</w:t>
            </w:r>
            <w:r>
              <w:rPr>
                <w:rFonts w:hint="eastAsia" w:ascii="宋体" w:hAnsi="宋体"/>
                <w:sz w:val="21"/>
                <w:szCs w:val="21"/>
              </w:rPr>
              <w:br w:type="textWrapping"/>
            </w:r>
            <w:r>
              <w:rPr>
                <w:rFonts w:hint="eastAsia" w:ascii="宋体" w:hAnsi="宋体"/>
                <w:sz w:val="21"/>
                <w:szCs w:val="21"/>
              </w:rPr>
              <w:t>4.内置3W扬声器和话筒咪头，用于免提通话、接收广播和监听(数字降噪)。</w:t>
            </w:r>
            <w:r>
              <w:rPr>
                <w:rFonts w:hint="eastAsia" w:ascii="宋体" w:hAnsi="宋体"/>
                <w:sz w:val="21"/>
                <w:szCs w:val="21"/>
              </w:rPr>
              <w:br w:type="textWrapping"/>
            </w:r>
            <w:r>
              <w:rPr>
                <w:rFonts w:hint="eastAsia" w:ascii="宋体" w:hAnsi="宋体"/>
                <w:sz w:val="21"/>
                <w:szCs w:val="21"/>
              </w:rPr>
              <w:t xml:space="preserve">5.可对全区、分区、个别终端进行广播喊话。 </w:t>
            </w:r>
            <w:r>
              <w:rPr>
                <w:rFonts w:hint="eastAsia" w:ascii="宋体" w:hAnsi="宋体"/>
                <w:sz w:val="21"/>
                <w:szCs w:val="21"/>
              </w:rPr>
              <w:br w:type="textWrapping"/>
            </w:r>
            <w:r>
              <w:rPr>
                <w:rFonts w:hint="eastAsia" w:ascii="宋体" w:hAnsi="宋体"/>
                <w:sz w:val="21"/>
                <w:szCs w:val="21"/>
              </w:rPr>
              <w:t xml:space="preserve">6.文件广播功能，可将本地音频文件给指定终端。 </w:t>
            </w:r>
            <w:r>
              <w:rPr>
                <w:rFonts w:hint="eastAsia" w:ascii="宋体" w:hAnsi="宋体"/>
                <w:sz w:val="21"/>
                <w:szCs w:val="21"/>
              </w:rPr>
              <w:br w:type="textWrapping"/>
            </w:r>
            <w:r>
              <w:rPr>
                <w:rFonts w:hint="eastAsia" w:ascii="宋体" w:hAnsi="宋体"/>
                <w:sz w:val="21"/>
                <w:szCs w:val="21"/>
              </w:rPr>
              <w:t xml:space="preserve">7.具有红色硬件紧急按键，支持一键全区广播。 </w:t>
            </w:r>
            <w:r>
              <w:rPr>
                <w:rFonts w:hint="eastAsia" w:ascii="宋体" w:hAnsi="宋体"/>
                <w:sz w:val="21"/>
                <w:szCs w:val="21"/>
              </w:rPr>
              <w:br w:type="textWrapping"/>
            </w:r>
            <w:r>
              <w:rPr>
                <w:rFonts w:hint="eastAsia" w:ascii="宋体" w:hAnsi="宋体"/>
                <w:sz w:val="21"/>
                <w:szCs w:val="21"/>
              </w:rPr>
              <w:t xml:space="preserve">8.支持来/去/未接电显示功能，具有常用通信电话薄查询功能。 </w:t>
            </w:r>
            <w:r>
              <w:rPr>
                <w:rFonts w:hint="eastAsia" w:ascii="宋体" w:hAnsi="宋体"/>
                <w:sz w:val="21"/>
                <w:szCs w:val="21"/>
              </w:rPr>
              <w:br w:type="textWrapping"/>
            </w:r>
            <w:r>
              <w:rPr>
                <w:rFonts w:hint="eastAsia" w:ascii="宋体" w:hAnsi="宋体"/>
                <w:sz w:val="21"/>
                <w:szCs w:val="21"/>
              </w:rPr>
              <w:t>9.支持无服务器情况下的脱机对讲。</w:t>
            </w:r>
            <w:r>
              <w:rPr>
                <w:rFonts w:hint="eastAsia" w:ascii="宋体" w:hAnsi="宋体"/>
                <w:sz w:val="21"/>
                <w:szCs w:val="21"/>
              </w:rPr>
              <w:br w:type="textWrapping"/>
            </w:r>
            <w:r>
              <w:rPr>
                <w:rFonts w:hint="eastAsia" w:ascii="宋体" w:hAnsi="宋体"/>
                <w:sz w:val="21"/>
                <w:szCs w:val="21"/>
              </w:rPr>
              <w:t>10.支持USB和TF卡插入，点播音频文件广播到前端。</w:t>
            </w:r>
            <w:r>
              <w:rPr>
                <w:rFonts w:hint="eastAsia" w:ascii="宋体" w:hAnsi="宋体"/>
                <w:sz w:val="21"/>
                <w:szCs w:val="21"/>
              </w:rPr>
              <w:br w:type="textWrapping"/>
            </w:r>
            <w:r>
              <w:rPr>
                <w:rFonts w:hint="eastAsia" w:ascii="宋体" w:hAnsi="宋体"/>
                <w:sz w:val="21"/>
                <w:szCs w:val="21"/>
              </w:rPr>
              <w:t>11.内置Flash存储，可以存储音频、配置信息及备份，支持远程修改和升级。</w:t>
            </w:r>
            <w:r>
              <w:rPr>
                <w:rFonts w:hint="eastAsia" w:ascii="宋体" w:hAnsi="宋体"/>
                <w:sz w:val="21"/>
                <w:szCs w:val="21"/>
              </w:rPr>
              <w:br w:type="textWrapping"/>
            </w:r>
            <w:r>
              <w:rPr>
                <w:rFonts w:hint="eastAsia" w:ascii="宋体" w:hAnsi="宋体"/>
                <w:sz w:val="21"/>
                <w:szCs w:val="21"/>
              </w:rPr>
              <w:t>12.标准RJ45接口，有以太网口的地方即可接入，支持跨网段和跨路由。</w:t>
            </w:r>
            <w:r>
              <w:rPr>
                <w:rFonts w:hint="eastAsia" w:ascii="宋体" w:hAnsi="宋体"/>
                <w:sz w:val="21"/>
                <w:szCs w:val="21"/>
              </w:rPr>
              <w:br w:type="textWrapping"/>
            </w:r>
            <w:r>
              <w:rPr>
                <w:rFonts w:hint="eastAsia" w:ascii="宋体" w:hAnsi="宋体"/>
                <w:sz w:val="21"/>
                <w:szCs w:val="21"/>
              </w:rPr>
              <w:t>13.支持背景图片任意切换。</w:t>
            </w:r>
            <w:r>
              <w:rPr>
                <w:rFonts w:hint="eastAsia" w:ascii="宋体" w:hAnsi="宋体"/>
                <w:sz w:val="21"/>
                <w:szCs w:val="21"/>
              </w:rPr>
              <w:br w:type="textWrapping"/>
            </w:r>
            <w:r>
              <w:rPr>
                <w:rFonts w:hint="eastAsia" w:ascii="宋体" w:hAnsi="宋体"/>
                <w:sz w:val="21"/>
                <w:szCs w:val="21"/>
              </w:rPr>
              <w:t>电源、功耗 DC24V/1A ，≤20W</w:t>
            </w:r>
            <w:r>
              <w:rPr>
                <w:rFonts w:hint="eastAsia" w:ascii="宋体" w:hAnsi="宋体"/>
                <w:sz w:val="21"/>
                <w:szCs w:val="21"/>
              </w:rPr>
              <w:br w:type="textWrapping"/>
            </w:r>
            <w:r>
              <w:rPr>
                <w:rFonts w:hint="eastAsia" w:ascii="宋体" w:hAnsi="宋体"/>
                <w:sz w:val="21"/>
                <w:szCs w:val="21"/>
              </w:rPr>
              <w:t>网络通讯协议 TCP/IP、UDP、ARP、ICMP、IGMP、HTTP、FTP</w:t>
            </w:r>
            <w:r>
              <w:rPr>
                <w:rFonts w:hint="eastAsia" w:ascii="宋体" w:hAnsi="宋体"/>
                <w:sz w:val="21"/>
                <w:szCs w:val="21"/>
              </w:rPr>
              <w:br w:type="textWrapping"/>
            </w:r>
            <w:r>
              <w:rPr>
                <w:rFonts w:hint="eastAsia" w:ascii="宋体" w:hAnsi="宋体"/>
                <w:sz w:val="21"/>
                <w:szCs w:val="21"/>
              </w:rPr>
              <w:t>网络芯片速率 10/100Mbps</w:t>
            </w:r>
            <w:r>
              <w:rPr>
                <w:rFonts w:hint="eastAsia" w:ascii="宋体" w:hAnsi="宋体"/>
                <w:sz w:val="21"/>
                <w:szCs w:val="21"/>
              </w:rPr>
              <w:br w:type="textWrapping"/>
            </w:r>
            <w:r>
              <w:rPr>
                <w:rFonts w:hint="eastAsia" w:ascii="宋体" w:hAnsi="宋体"/>
                <w:sz w:val="21"/>
                <w:szCs w:val="21"/>
              </w:rPr>
              <w:t>音频编码格式 WAV</w:t>
            </w:r>
            <w:r>
              <w:rPr>
                <w:rFonts w:hint="eastAsia" w:ascii="宋体" w:hAnsi="宋体"/>
                <w:sz w:val="21"/>
                <w:szCs w:val="21"/>
              </w:rPr>
              <w:br w:type="textWrapping"/>
            </w:r>
            <w:r>
              <w:rPr>
                <w:rFonts w:hint="eastAsia" w:ascii="宋体" w:hAnsi="宋体"/>
                <w:sz w:val="21"/>
                <w:szCs w:val="21"/>
              </w:rPr>
              <w:t>音频采样、位率 8kHz-44.1kHz，16bit，32kbps-320kbps</w:t>
            </w:r>
            <w:r>
              <w:rPr>
                <w:rFonts w:hint="eastAsia" w:ascii="宋体" w:hAnsi="宋体"/>
                <w:sz w:val="21"/>
                <w:szCs w:val="21"/>
              </w:rPr>
              <w:br w:type="textWrapping"/>
            </w:r>
            <w:r>
              <w:rPr>
                <w:rFonts w:hint="eastAsia" w:ascii="宋体" w:hAnsi="宋体"/>
                <w:sz w:val="21"/>
                <w:szCs w:val="21"/>
              </w:rPr>
              <w:t>视频传输位率 96kbps-512kbps</w:t>
            </w:r>
            <w:r>
              <w:rPr>
                <w:rFonts w:hint="eastAsia" w:ascii="宋体" w:hAnsi="宋体"/>
                <w:sz w:val="21"/>
                <w:szCs w:val="21"/>
              </w:rPr>
              <w:br w:type="textWrapping"/>
            </w:r>
            <w:r>
              <w:rPr>
                <w:rFonts w:hint="eastAsia" w:ascii="宋体" w:hAnsi="宋体"/>
                <w:sz w:val="21"/>
                <w:szCs w:val="21"/>
              </w:rPr>
              <w:t>摄像头 CMOS 100W</w:t>
            </w:r>
            <w:r>
              <w:rPr>
                <w:rFonts w:hint="eastAsia" w:ascii="宋体" w:hAnsi="宋体"/>
                <w:sz w:val="21"/>
                <w:szCs w:val="21"/>
              </w:rPr>
              <w:br w:type="textWrapping"/>
            </w:r>
            <w:r>
              <w:rPr>
                <w:rFonts w:hint="eastAsia" w:ascii="宋体" w:hAnsi="宋体"/>
                <w:sz w:val="21"/>
                <w:szCs w:val="21"/>
              </w:rPr>
              <w:t>内置功放功率 3W</w:t>
            </w:r>
            <w:r>
              <w:rPr>
                <w:rFonts w:hint="eastAsia" w:ascii="宋体" w:hAnsi="宋体"/>
                <w:sz w:val="21"/>
                <w:szCs w:val="21"/>
              </w:rPr>
              <w:br w:type="textWrapping"/>
            </w:r>
            <w:r>
              <w:rPr>
                <w:rFonts w:hint="eastAsia" w:ascii="宋体" w:hAnsi="宋体"/>
                <w:sz w:val="21"/>
                <w:szCs w:val="21"/>
              </w:rPr>
              <w:t>信噪比、频响 &gt;90dB、20Hz-16kHz</w:t>
            </w:r>
            <w:r>
              <w:rPr>
                <w:rFonts w:hint="eastAsia" w:ascii="宋体" w:hAnsi="宋体"/>
                <w:sz w:val="21"/>
                <w:szCs w:val="21"/>
              </w:rPr>
              <w:br w:type="textWrapping"/>
            </w:r>
            <w:r>
              <w:rPr>
                <w:rFonts w:hint="eastAsia" w:ascii="宋体" w:hAnsi="宋体"/>
                <w:sz w:val="21"/>
                <w:szCs w:val="21"/>
              </w:rPr>
              <w:t>显示屏 TFT  7”LCD  800*480 电容触摸屏</w:t>
            </w:r>
            <w:r>
              <w:rPr>
                <w:rFonts w:hint="eastAsia" w:ascii="宋体" w:hAnsi="宋体"/>
                <w:sz w:val="21"/>
                <w:szCs w:val="21"/>
              </w:rPr>
              <w:br w:type="textWrapping"/>
            </w:r>
            <w:r>
              <w:rPr>
                <w:rFonts w:hint="eastAsia" w:ascii="宋体" w:hAnsi="宋体"/>
                <w:sz w:val="21"/>
                <w:szCs w:val="21"/>
              </w:rPr>
              <w:t>显示语言 中文</w:t>
            </w:r>
            <w:r>
              <w:rPr>
                <w:rFonts w:hint="eastAsia" w:ascii="宋体" w:hAnsi="宋体"/>
                <w:sz w:val="21"/>
                <w:szCs w:val="21"/>
              </w:rPr>
              <w:br w:type="textWrapping"/>
            </w:r>
            <w:r>
              <w:rPr>
                <w:rFonts w:hint="eastAsia" w:ascii="宋体" w:hAnsi="宋体"/>
                <w:sz w:val="21"/>
                <w:szCs w:val="21"/>
              </w:rPr>
              <w:t>接口 1个RJ45网络接口，1个预留RJ45网络接口，1个电源开关，1个USB接口，1个microTF卡接口，1路报警输入，1路报警输出，1路线路输入，1路线路输出，1路麦克输入，1路耳机输出</w:t>
            </w:r>
            <w:r>
              <w:rPr>
                <w:rFonts w:hint="eastAsia" w:ascii="宋体" w:hAnsi="宋体"/>
                <w:sz w:val="21"/>
                <w:szCs w:val="21"/>
              </w:rPr>
              <w:br w:type="textWrapping"/>
            </w:r>
            <w:r>
              <w:rPr>
                <w:rFonts w:hint="eastAsia" w:ascii="宋体" w:hAnsi="宋体"/>
                <w:sz w:val="21"/>
                <w:szCs w:val="21"/>
              </w:rPr>
              <w:t>工作温度、湿度 -10℃-55℃，≤90%（无结露）</w:t>
            </w:r>
            <w:r>
              <w:rPr>
                <w:rFonts w:hint="eastAsia" w:ascii="宋体" w:hAnsi="宋体"/>
                <w:sz w:val="21"/>
                <w:szCs w:val="21"/>
              </w:rPr>
              <w:br w:type="textWrapping"/>
            </w:r>
            <w:r>
              <w:rPr>
                <w:rFonts w:hint="eastAsia" w:ascii="宋体" w:hAnsi="宋体"/>
                <w:sz w:val="21"/>
                <w:szCs w:val="21"/>
              </w:rPr>
              <w:t>产品尺寸、重量 254x134x55mm，1.3 kg</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1</w:t>
            </w:r>
            <w:r>
              <w:rPr>
                <w:rFonts w:hint="eastAsia" w:ascii="宋体" w:hAnsi="宋体" w:cs="宋体"/>
                <w:color w:val="333333"/>
                <w:kern w:val="0"/>
                <w:sz w:val="21"/>
                <w:szCs w:val="21"/>
                <w:lang w:val="en-US" w:eastAsia="zh-CN"/>
              </w:rPr>
              <w:t>4</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数字调谐器</w:t>
            </w:r>
          </w:p>
        </w:tc>
        <w:tc>
          <w:tcPr>
            <w:tcW w:w="6191" w:type="dxa"/>
            <w:noWrap w:val="0"/>
            <w:vAlign w:val="center"/>
          </w:tcPr>
          <w:p>
            <w:pPr>
              <w:widowControl/>
              <w:shd w:val="clear" w:color="auto" w:fill="FFFFFF"/>
              <w:spacing w:line="300" w:lineRule="exact"/>
              <w:ind w:firstLine="0" w:firstLineChars="0"/>
              <w:jc w:val="left"/>
              <w:textAlignment w:val="baseline"/>
              <w:rPr>
                <w:rFonts w:ascii="宋体" w:hAnsi="宋体" w:eastAsia="宋体" w:cs="宋体"/>
                <w:color w:val="333333"/>
                <w:kern w:val="0"/>
                <w:sz w:val="21"/>
                <w:szCs w:val="21"/>
              </w:rPr>
            </w:pPr>
            <w:r>
              <w:rPr>
                <w:rFonts w:hint="eastAsia" w:ascii="宋体" w:hAnsi="宋体"/>
                <w:sz w:val="21"/>
                <w:szCs w:val="21"/>
              </w:rPr>
              <w:t>1.专业级高保真立体声数码石英锁相环收音系统，接收频率精确稳定。</w:t>
            </w:r>
            <w:r>
              <w:rPr>
                <w:rFonts w:hint="eastAsia" w:ascii="宋体" w:hAnsi="宋体"/>
                <w:sz w:val="21"/>
                <w:szCs w:val="21"/>
              </w:rPr>
              <w:br w:type="textWrapping"/>
            </w:r>
            <w:r>
              <w:rPr>
                <w:rFonts w:hint="eastAsia" w:ascii="宋体" w:hAnsi="宋体"/>
                <w:sz w:val="21"/>
                <w:szCs w:val="21"/>
              </w:rPr>
              <w:t>2.调频、调幅两波段可存储电台达100个。</w:t>
            </w:r>
            <w:r>
              <w:rPr>
                <w:rFonts w:hint="eastAsia" w:ascii="宋体" w:hAnsi="宋体"/>
                <w:sz w:val="21"/>
                <w:szCs w:val="21"/>
              </w:rPr>
              <w:br w:type="textWrapping"/>
            </w:r>
            <w:r>
              <w:rPr>
                <w:rFonts w:hint="eastAsia" w:ascii="宋体" w:hAnsi="宋体"/>
                <w:sz w:val="21"/>
                <w:szCs w:val="21"/>
              </w:rPr>
              <w:t>3.电台频率自动搜索存储功能，且有断电记忆功能永不丢失。</w:t>
            </w:r>
            <w:r>
              <w:rPr>
                <w:rFonts w:hint="eastAsia" w:ascii="宋体" w:hAnsi="宋体"/>
                <w:sz w:val="21"/>
                <w:szCs w:val="21"/>
              </w:rPr>
              <w:br w:type="textWrapping"/>
            </w:r>
            <w:r>
              <w:rPr>
                <w:rFonts w:hint="eastAsia" w:ascii="宋体" w:hAnsi="宋体"/>
                <w:sz w:val="21"/>
                <w:szCs w:val="21"/>
              </w:rPr>
              <w:t>4.高亮度动态VFD荧光显示，全功能微电脑控制，轻触式按键操作。</w:t>
            </w:r>
            <w:r>
              <w:rPr>
                <w:rFonts w:hint="eastAsia" w:ascii="宋体" w:hAnsi="宋体"/>
                <w:sz w:val="21"/>
                <w:szCs w:val="21"/>
              </w:rPr>
              <w:br w:type="textWrapping"/>
            </w:r>
            <w:r>
              <w:rPr>
                <w:rFonts w:hint="eastAsia" w:ascii="宋体" w:hAnsi="宋体"/>
                <w:sz w:val="21"/>
                <w:szCs w:val="21"/>
              </w:rPr>
              <w:t>电源、功率 AC220V 50Hz，≤50W</w:t>
            </w:r>
            <w:r>
              <w:rPr>
                <w:rFonts w:hint="eastAsia" w:ascii="宋体" w:hAnsi="宋体"/>
                <w:sz w:val="21"/>
                <w:szCs w:val="21"/>
              </w:rPr>
              <w:br w:type="textWrapping"/>
            </w:r>
            <w:r>
              <w:rPr>
                <w:rFonts w:hint="eastAsia" w:ascii="宋体" w:hAnsi="宋体"/>
                <w:sz w:val="21"/>
                <w:szCs w:val="21"/>
              </w:rPr>
              <w:t>频率范围   AM 522kHz～1620kHz FM 87.5MHz～108MHz</w:t>
            </w:r>
            <w:r>
              <w:rPr>
                <w:rFonts w:hint="eastAsia" w:ascii="宋体" w:hAnsi="宋体"/>
                <w:sz w:val="21"/>
                <w:szCs w:val="21"/>
              </w:rPr>
              <w:br w:type="textWrapping"/>
            </w:r>
            <w:r>
              <w:rPr>
                <w:rFonts w:hint="eastAsia" w:ascii="宋体" w:hAnsi="宋体"/>
                <w:sz w:val="21"/>
                <w:szCs w:val="21"/>
              </w:rPr>
              <w:t>信噪比, 频响  ≥85dB，1kΩ 5mv</w:t>
            </w:r>
            <w:r>
              <w:rPr>
                <w:rFonts w:hint="eastAsia" w:ascii="宋体" w:hAnsi="宋体"/>
                <w:sz w:val="21"/>
                <w:szCs w:val="21"/>
              </w:rPr>
              <w:br w:type="textWrapping"/>
            </w:r>
            <w:r>
              <w:rPr>
                <w:rFonts w:hint="eastAsia" w:ascii="宋体" w:hAnsi="宋体"/>
                <w:sz w:val="21"/>
                <w:szCs w:val="21"/>
              </w:rPr>
              <w:t>接口   1路音频线路输出</w:t>
            </w:r>
            <w:r>
              <w:rPr>
                <w:rFonts w:hint="eastAsia" w:ascii="宋体" w:hAnsi="宋体"/>
                <w:sz w:val="21"/>
                <w:szCs w:val="21"/>
              </w:rPr>
              <w:br w:type="textWrapping"/>
            </w:r>
            <w:r>
              <w:rPr>
                <w:rFonts w:hint="eastAsia" w:ascii="宋体" w:hAnsi="宋体"/>
                <w:sz w:val="21"/>
                <w:szCs w:val="21"/>
              </w:rPr>
              <w:t>工作温度、湿度  -10℃～50℃,≤80%RH（无结露）</w:t>
            </w:r>
            <w:r>
              <w:rPr>
                <w:rFonts w:hint="eastAsia" w:ascii="宋体" w:hAnsi="宋体"/>
                <w:sz w:val="21"/>
                <w:szCs w:val="21"/>
              </w:rPr>
              <w:br w:type="textWrapping"/>
            </w:r>
            <w:r>
              <w:rPr>
                <w:rFonts w:hint="eastAsia" w:ascii="宋体" w:hAnsi="宋体"/>
                <w:sz w:val="21"/>
                <w:szCs w:val="21"/>
              </w:rPr>
              <w:t>产品尺寸、净重  485×390×90mm；7.5 kg</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1</w:t>
            </w:r>
            <w:r>
              <w:rPr>
                <w:rFonts w:hint="eastAsia" w:ascii="宋体" w:hAnsi="宋体" w:cs="宋体"/>
                <w:color w:val="333333"/>
                <w:kern w:val="0"/>
                <w:sz w:val="21"/>
                <w:szCs w:val="21"/>
                <w:lang w:val="en-US" w:eastAsia="zh-CN"/>
              </w:rPr>
              <w:t>5</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DVD播放器</w:t>
            </w:r>
          </w:p>
        </w:tc>
        <w:tc>
          <w:tcPr>
            <w:tcW w:w="6191" w:type="dxa"/>
            <w:noWrap w:val="0"/>
            <w:vAlign w:val="center"/>
          </w:tcPr>
          <w:p>
            <w:pPr>
              <w:widowControl/>
              <w:shd w:val="clear" w:color="auto" w:fill="FFFFFF"/>
              <w:spacing w:line="300" w:lineRule="exact"/>
              <w:ind w:left="0" w:leftChars="0" w:firstLine="0" w:firstLineChars="0"/>
              <w:jc w:val="left"/>
              <w:textAlignment w:val="baseline"/>
              <w:rPr>
                <w:rFonts w:ascii="宋体" w:hAnsi="宋体" w:eastAsia="宋体" w:cs="宋体"/>
                <w:color w:val="333333"/>
                <w:kern w:val="0"/>
                <w:sz w:val="21"/>
                <w:szCs w:val="21"/>
              </w:rPr>
            </w:pPr>
            <w:r>
              <w:rPr>
                <w:rFonts w:hint="eastAsia" w:ascii="宋体" w:hAnsi="宋体"/>
                <w:sz w:val="21"/>
                <w:szCs w:val="21"/>
              </w:rPr>
              <w:t>1.1U铝合金面板，人性化的抽手设计，美观实用。</w:t>
            </w:r>
            <w:r>
              <w:rPr>
                <w:rFonts w:hint="eastAsia" w:ascii="宋体" w:hAnsi="宋体"/>
                <w:sz w:val="21"/>
                <w:szCs w:val="21"/>
              </w:rPr>
              <w:br w:type="textWrapping"/>
            </w:r>
            <w:r>
              <w:rPr>
                <w:rFonts w:hint="eastAsia" w:ascii="宋体" w:hAnsi="宋体"/>
                <w:sz w:val="21"/>
                <w:szCs w:val="21"/>
              </w:rPr>
              <w:t>2.微电脑控制，轻触式按键操作，高亮度动态LED显示，清晰醒目。</w:t>
            </w:r>
            <w:r>
              <w:rPr>
                <w:rFonts w:hint="eastAsia" w:ascii="宋体" w:hAnsi="宋体"/>
                <w:sz w:val="21"/>
                <w:szCs w:val="21"/>
              </w:rPr>
              <w:br w:type="textWrapping"/>
            </w:r>
            <w:r>
              <w:rPr>
                <w:rFonts w:hint="eastAsia" w:ascii="宋体" w:hAnsi="宋体"/>
                <w:sz w:val="21"/>
                <w:szCs w:val="21"/>
              </w:rPr>
              <w:t>3.采用进口数码机芯，吸入式防震设备，超强纠错功能。</w:t>
            </w:r>
            <w:r>
              <w:rPr>
                <w:rFonts w:hint="eastAsia" w:ascii="宋体" w:hAnsi="宋体"/>
                <w:sz w:val="21"/>
                <w:szCs w:val="21"/>
              </w:rPr>
              <w:br w:type="textWrapping"/>
            </w:r>
            <w:r>
              <w:rPr>
                <w:rFonts w:hint="eastAsia" w:ascii="宋体" w:hAnsi="宋体"/>
                <w:sz w:val="21"/>
                <w:szCs w:val="21"/>
              </w:rPr>
              <w:t>4.自动播放控制，全数码伺服。</w:t>
            </w:r>
            <w:r>
              <w:rPr>
                <w:rFonts w:hint="eastAsia" w:ascii="宋体" w:hAnsi="宋体"/>
                <w:sz w:val="21"/>
                <w:szCs w:val="21"/>
              </w:rPr>
              <w:br w:type="textWrapping"/>
            </w:r>
            <w:r>
              <w:rPr>
                <w:rFonts w:hint="eastAsia" w:ascii="宋体" w:hAnsi="宋体"/>
                <w:sz w:val="21"/>
                <w:szCs w:val="21"/>
              </w:rPr>
              <w:t>5.带USB接口，支持1G至32G U盘，支持MP3、WMA、APE、FLAC等格式播放。可播放：CD/VCD/MP3/DVD碟片，U盘播放。</w:t>
            </w:r>
            <w:r>
              <w:rPr>
                <w:rFonts w:hint="eastAsia" w:ascii="宋体" w:hAnsi="宋体"/>
                <w:sz w:val="21"/>
                <w:szCs w:val="21"/>
              </w:rPr>
              <w:br w:type="textWrapping"/>
            </w:r>
            <w:r>
              <w:rPr>
                <w:rFonts w:hint="eastAsia" w:ascii="宋体" w:hAnsi="宋体"/>
                <w:sz w:val="21"/>
                <w:szCs w:val="21"/>
              </w:rPr>
              <w:t>6.1路音频信号左右声道（L /R）输出。</w:t>
            </w:r>
            <w:r>
              <w:rPr>
                <w:rFonts w:hint="eastAsia" w:ascii="宋体" w:hAnsi="宋体"/>
                <w:sz w:val="21"/>
                <w:szCs w:val="21"/>
              </w:rPr>
              <w:br w:type="textWrapping"/>
            </w:r>
            <w:r>
              <w:rPr>
                <w:rFonts w:hint="eastAsia" w:ascii="宋体" w:hAnsi="宋体"/>
                <w:sz w:val="21"/>
                <w:szCs w:val="21"/>
              </w:rPr>
              <w:t>7.视频输出、分量输出、同轴、S端子及光纤输出。</w:t>
            </w:r>
            <w:r>
              <w:rPr>
                <w:rFonts w:hint="eastAsia" w:ascii="宋体" w:hAnsi="宋体"/>
                <w:sz w:val="21"/>
                <w:szCs w:val="21"/>
              </w:rPr>
              <w:br w:type="textWrapping"/>
            </w:r>
            <w:r>
              <w:rPr>
                <w:rFonts w:hint="eastAsia" w:ascii="宋体" w:hAnsi="宋体"/>
                <w:sz w:val="21"/>
                <w:szCs w:val="21"/>
              </w:rPr>
              <w:t>8.可通过面板按键或红外遥控器控制操作。</w:t>
            </w:r>
            <w:r>
              <w:rPr>
                <w:rFonts w:hint="eastAsia" w:ascii="宋体" w:hAnsi="宋体"/>
                <w:sz w:val="21"/>
                <w:szCs w:val="21"/>
              </w:rPr>
              <w:br w:type="textWrapping"/>
            </w:r>
            <w:r>
              <w:rPr>
                <w:rFonts w:hint="eastAsia" w:ascii="宋体" w:hAnsi="宋体"/>
                <w:sz w:val="21"/>
                <w:szCs w:val="21"/>
              </w:rPr>
              <w:t>9.可扩展红外遥控面板，对其进行控制。</w:t>
            </w:r>
            <w:r>
              <w:rPr>
                <w:rFonts w:hint="eastAsia" w:ascii="宋体" w:hAnsi="宋体"/>
                <w:sz w:val="21"/>
                <w:szCs w:val="21"/>
              </w:rPr>
              <w:br w:type="textWrapping"/>
            </w:r>
            <w:r>
              <w:rPr>
                <w:rFonts w:hint="eastAsia" w:ascii="宋体" w:hAnsi="宋体"/>
                <w:sz w:val="21"/>
                <w:szCs w:val="21"/>
              </w:rPr>
              <w:t>规格参数：</w:t>
            </w:r>
            <w:r>
              <w:rPr>
                <w:rFonts w:hint="eastAsia" w:ascii="宋体" w:hAnsi="宋体"/>
                <w:sz w:val="21"/>
                <w:szCs w:val="21"/>
              </w:rPr>
              <w:br w:type="textWrapping"/>
            </w:r>
            <w:r>
              <w:rPr>
                <w:rFonts w:hint="eastAsia" w:ascii="宋体" w:hAnsi="宋体"/>
                <w:sz w:val="21"/>
                <w:szCs w:val="21"/>
              </w:rPr>
              <w:t>频率响应 20-20KHz</w:t>
            </w:r>
            <w:r>
              <w:rPr>
                <w:rFonts w:hint="eastAsia" w:ascii="宋体" w:hAnsi="宋体"/>
                <w:sz w:val="21"/>
                <w:szCs w:val="21"/>
              </w:rPr>
              <w:br w:type="textWrapping"/>
            </w:r>
            <w:r>
              <w:rPr>
                <w:rFonts w:hint="eastAsia" w:ascii="宋体" w:hAnsi="宋体"/>
                <w:sz w:val="21"/>
                <w:szCs w:val="21"/>
              </w:rPr>
              <w:t>播放类型 CD/VCD/ MP3/DVD碟片，U盘播放</w:t>
            </w:r>
            <w:r>
              <w:rPr>
                <w:rFonts w:hint="eastAsia" w:ascii="宋体" w:hAnsi="宋体"/>
                <w:sz w:val="21"/>
                <w:szCs w:val="21"/>
              </w:rPr>
              <w:br w:type="textWrapping"/>
            </w:r>
            <w:r>
              <w:rPr>
                <w:rFonts w:hint="eastAsia" w:ascii="宋体" w:hAnsi="宋体"/>
                <w:sz w:val="21"/>
                <w:szCs w:val="21"/>
              </w:rPr>
              <w:t>播放格式 MP3、WMA、WAV、CD、AAC、FLAC</w:t>
            </w:r>
            <w:r>
              <w:rPr>
                <w:rFonts w:hint="eastAsia" w:ascii="宋体" w:hAnsi="宋体"/>
                <w:sz w:val="21"/>
                <w:szCs w:val="21"/>
              </w:rPr>
              <w:br w:type="textWrapping"/>
            </w:r>
            <w:r>
              <w:rPr>
                <w:rFonts w:hint="eastAsia" w:ascii="宋体" w:hAnsi="宋体"/>
                <w:sz w:val="21"/>
                <w:szCs w:val="21"/>
              </w:rPr>
              <w:t>动态范围 90dB</w:t>
            </w:r>
            <w:r>
              <w:rPr>
                <w:rFonts w:hint="eastAsia" w:ascii="宋体" w:hAnsi="宋体"/>
                <w:sz w:val="21"/>
                <w:szCs w:val="21"/>
              </w:rPr>
              <w:br w:type="textWrapping"/>
            </w:r>
            <w:r>
              <w:rPr>
                <w:rFonts w:hint="eastAsia" w:ascii="宋体" w:hAnsi="宋体"/>
                <w:sz w:val="21"/>
                <w:szCs w:val="21"/>
              </w:rPr>
              <w:t>音频输出 1KΩ 0-1.5V 非平衡</w:t>
            </w:r>
            <w:r>
              <w:rPr>
                <w:rFonts w:hint="eastAsia" w:ascii="宋体" w:hAnsi="宋体"/>
                <w:sz w:val="21"/>
                <w:szCs w:val="21"/>
              </w:rPr>
              <w:br w:type="textWrapping"/>
            </w:r>
            <w:r>
              <w:rPr>
                <w:rFonts w:hint="eastAsia" w:ascii="宋体" w:hAnsi="宋体"/>
                <w:sz w:val="21"/>
                <w:szCs w:val="21"/>
              </w:rPr>
              <w:t xml:space="preserve">音频失真度 0.05%                                                                                                                                                                        </w:t>
            </w:r>
            <w:r>
              <w:rPr>
                <w:rFonts w:hint="eastAsia" w:ascii="宋体" w:hAnsi="宋体"/>
                <w:sz w:val="21"/>
                <w:szCs w:val="21"/>
              </w:rPr>
              <w:br w:type="textWrapping"/>
            </w:r>
            <w:r>
              <w:rPr>
                <w:rFonts w:hint="eastAsia" w:ascii="宋体" w:hAnsi="宋体"/>
                <w:sz w:val="21"/>
                <w:szCs w:val="21"/>
              </w:rPr>
              <w:t>信噪比 92dB</w:t>
            </w:r>
            <w:r>
              <w:rPr>
                <w:rFonts w:hint="eastAsia" w:ascii="宋体" w:hAnsi="宋体"/>
                <w:sz w:val="21"/>
                <w:szCs w:val="21"/>
              </w:rPr>
              <w:br w:type="textWrapping"/>
            </w:r>
            <w:r>
              <w:rPr>
                <w:rFonts w:hint="eastAsia" w:ascii="宋体" w:hAnsi="宋体"/>
                <w:sz w:val="21"/>
                <w:szCs w:val="21"/>
              </w:rPr>
              <w:t>保护 AC FUSE×1A</w:t>
            </w:r>
            <w:r>
              <w:rPr>
                <w:rFonts w:hint="eastAsia" w:ascii="宋体" w:hAnsi="宋体"/>
                <w:sz w:val="21"/>
                <w:szCs w:val="21"/>
              </w:rPr>
              <w:br w:type="textWrapping"/>
            </w:r>
            <w:r>
              <w:rPr>
                <w:rFonts w:hint="eastAsia" w:ascii="宋体" w:hAnsi="宋体"/>
                <w:sz w:val="21"/>
                <w:szCs w:val="21"/>
              </w:rPr>
              <w:t xml:space="preserve">工作电压 AC 220V/50Hz                                                                                                                                                             </w:t>
            </w:r>
            <w:r>
              <w:rPr>
                <w:rFonts w:hint="eastAsia" w:ascii="宋体" w:hAnsi="宋体"/>
                <w:sz w:val="21"/>
                <w:szCs w:val="21"/>
              </w:rPr>
              <w:br w:type="textWrapping"/>
            </w:r>
            <w:r>
              <w:rPr>
                <w:rFonts w:hint="eastAsia" w:ascii="宋体" w:hAnsi="宋体"/>
                <w:sz w:val="21"/>
                <w:szCs w:val="21"/>
              </w:rPr>
              <w:t>功率消耗 20W</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1</w:t>
            </w:r>
            <w:r>
              <w:rPr>
                <w:rFonts w:hint="eastAsia" w:ascii="宋体" w:hAnsi="宋体" w:cs="宋体"/>
                <w:color w:val="333333"/>
                <w:kern w:val="0"/>
                <w:sz w:val="21"/>
                <w:szCs w:val="21"/>
                <w:lang w:val="en-US" w:eastAsia="zh-CN"/>
              </w:rPr>
              <w:t>6</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电源时序器</w:t>
            </w:r>
          </w:p>
        </w:tc>
        <w:tc>
          <w:tcPr>
            <w:tcW w:w="6191" w:type="dxa"/>
            <w:noWrap w:val="0"/>
            <w:vAlign w:val="center"/>
          </w:tcPr>
          <w:p>
            <w:pPr>
              <w:widowControl/>
              <w:shd w:val="clear" w:color="auto" w:fill="FFFFFF"/>
              <w:spacing w:line="300" w:lineRule="exact"/>
              <w:ind w:firstLine="360" w:firstLineChars="0"/>
              <w:jc w:val="left"/>
              <w:textAlignment w:val="baseline"/>
              <w:rPr>
                <w:rFonts w:ascii="宋体" w:hAnsi="宋体" w:eastAsia="宋体" w:cs="宋体"/>
                <w:color w:val="333333"/>
                <w:kern w:val="0"/>
                <w:sz w:val="21"/>
                <w:szCs w:val="21"/>
              </w:rPr>
            </w:pPr>
            <w:r>
              <w:rPr>
                <w:rFonts w:hint="eastAsia" w:ascii="宋体" w:hAnsi="宋体"/>
                <w:sz w:val="21"/>
                <w:szCs w:val="21"/>
              </w:rPr>
              <w:t>1.设有电子锁，可手动控制十路电源依次开启。</w:t>
            </w:r>
            <w:r>
              <w:rPr>
                <w:rFonts w:hint="eastAsia" w:ascii="宋体" w:hAnsi="宋体"/>
                <w:sz w:val="21"/>
                <w:szCs w:val="21"/>
              </w:rPr>
              <w:br w:type="textWrapping"/>
            </w:r>
            <w:r>
              <w:rPr>
                <w:rFonts w:hint="eastAsia" w:ascii="宋体" w:hAnsi="宋体"/>
                <w:sz w:val="21"/>
                <w:szCs w:val="21"/>
              </w:rPr>
              <w:t>2.可当传统电源时序器使用。</w:t>
            </w:r>
            <w:r>
              <w:rPr>
                <w:rFonts w:hint="eastAsia" w:ascii="宋体" w:hAnsi="宋体"/>
                <w:sz w:val="21"/>
                <w:szCs w:val="21"/>
              </w:rPr>
              <w:br w:type="textWrapping"/>
            </w:r>
            <w:r>
              <w:rPr>
                <w:rFonts w:hint="eastAsia" w:ascii="宋体" w:hAnsi="宋体"/>
                <w:sz w:val="21"/>
                <w:szCs w:val="21"/>
              </w:rPr>
              <w:t>3.设有十路交流电源输出。</w:t>
            </w:r>
            <w:r>
              <w:rPr>
                <w:rFonts w:hint="eastAsia" w:ascii="宋体" w:hAnsi="宋体"/>
                <w:sz w:val="21"/>
                <w:szCs w:val="21"/>
              </w:rPr>
              <w:br w:type="textWrapping"/>
            </w:r>
            <w:r>
              <w:rPr>
                <w:rFonts w:hint="eastAsia" w:ascii="宋体" w:hAnsi="宋体"/>
                <w:sz w:val="21"/>
                <w:szCs w:val="21"/>
              </w:rPr>
              <w:t>电源、功耗 AC220V 50Hz，≤50W</w:t>
            </w:r>
            <w:r>
              <w:rPr>
                <w:rFonts w:hint="eastAsia" w:ascii="宋体" w:hAnsi="宋体"/>
                <w:sz w:val="21"/>
                <w:szCs w:val="21"/>
              </w:rPr>
              <w:br w:type="textWrapping"/>
            </w:r>
            <w:r>
              <w:rPr>
                <w:rFonts w:hint="eastAsia" w:ascii="宋体" w:hAnsi="宋体"/>
                <w:sz w:val="21"/>
                <w:szCs w:val="21"/>
              </w:rPr>
              <w:t xml:space="preserve">单路容量 3KVA </w:t>
            </w:r>
            <w:r>
              <w:rPr>
                <w:rFonts w:hint="eastAsia" w:ascii="宋体" w:hAnsi="宋体"/>
                <w:sz w:val="21"/>
                <w:szCs w:val="21"/>
              </w:rPr>
              <w:br w:type="textWrapping"/>
            </w:r>
            <w:r>
              <w:rPr>
                <w:rFonts w:hint="eastAsia" w:ascii="宋体" w:hAnsi="宋体"/>
                <w:sz w:val="21"/>
                <w:szCs w:val="21"/>
              </w:rPr>
              <w:t>整机容量 5KVA</w:t>
            </w:r>
            <w:r>
              <w:rPr>
                <w:rFonts w:hint="eastAsia" w:ascii="宋体" w:hAnsi="宋体"/>
                <w:sz w:val="21"/>
                <w:szCs w:val="21"/>
              </w:rPr>
              <w:br w:type="textWrapping"/>
            </w:r>
            <w:r>
              <w:rPr>
                <w:rFonts w:hint="eastAsia" w:ascii="宋体" w:hAnsi="宋体"/>
                <w:sz w:val="21"/>
                <w:szCs w:val="21"/>
              </w:rPr>
              <w:t>信噪比, 频响 ≥85dB, 50Hz-18KHz</w:t>
            </w:r>
            <w:r>
              <w:rPr>
                <w:rFonts w:hint="eastAsia" w:ascii="宋体" w:hAnsi="宋体"/>
                <w:sz w:val="21"/>
                <w:szCs w:val="21"/>
              </w:rPr>
              <w:br w:type="textWrapping"/>
            </w:r>
            <w:r>
              <w:rPr>
                <w:rFonts w:hint="eastAsia" w:ascii="宋体" w:hAnsi="宋体"/>
                <w:sz w:val="21"/>
                <w:szCs w:val="21"/>
              </w:rPr>
              <w:t>接口 10路电源输出接口</w:t>
            </w:r>
            <w:r>
              <w:rPr>
                <w:rFonts w:hint="eastAsia" w:ascii="宋体" w:hAnsi="宋体"/>
                <w:sz w:val="21"/>
                <w:szCs w:val="21"/>
              </w:rPr>
              <w:br w:type="textWrapping"/>
            </w:r>
            <w:r>
              <w:rPr>
                <w:rFonts w:hint="eastAsia" w:ascii="宋体" w:hAnsi="宋体"/>
                <w:sz w:val="21"/>
                <w:szCs w:val="21"/>
              </w:rPr>
              <w:t>工作温度、湿度 -10℃～50℃,  ≤90%RH（无结露）</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1</w:t>
            </w:r>
            <w:r>
              <w:rPr>
                <w:rFonts w:hint="eastAsia" w:ascii="宋体" w:hAnsi="宋体" w:cs="宋体"/>
                <w:color w:val="333333"/>
                <w:kern w:val="0"/>
                <w:sz w:val="21"/>
                <w:szCs w:val="21"/>
                <w:lang w:val="en-US" w:eastAsia="zh-CN"/>
              </w:rPr>
              <w:t>7</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前置放大器</w:t>
            </w:r>
          </w:p>
        </w:tc>
        <w:tc>
          <w:tcPr>
            <w:tcW w:w="6191" w:type="dxa"/>
            <w:noWrap w:val="0"/>
            <w:vAlign w:val="center"/>
          </w:tcPr>
          <w:p>
            <w:pPr>
              <w:widowControl/>
              <w:shd w:val="clear" w:color="auto" w:fill="FFFFFF"/>
              <w:spacing w:line="300" w:lineRule="exact"/>
              <w:ind w:left="0" w:leftChars="0" w:firstLine="0" w:firstLineChars="0"/>
              <w:jc w:val="left"/>
              <w:textAlignment w:val="baseline"/>
              <w:rPr>
                <w:rFonts w:ascii="宋体" w:hAnsi="宋体" w:eastAsia="宋体" w:cs="宋体"/>
                <w:color w:val="333333"/>
                <w:kern w:val="0"/>
                <w:sz w:val="21"/>
                <w:szCs w:val="21"/>
              </w:rPr>
            </w:pPr>
            <w:r>
              <w:rPr>
                <w:rFonts w:hint="eastAsia" w:ascii="宋体" w:hAnsi="宋体"/>
                <w:sz w:val="21"/>
                <w:szCs w:val="21"/>
              </w:rPr>
              <w:t>1.12个通道、包括5路话筒、3路线路口、2路紧急输入、2路辅助输出。</w:t>
            </w:r>
            <w:r>
              <w:rPr>
                <w:rFonts w:hint="eastAsia" w:ascii="宋体" w:hAnsi="宋体"/>
                <w:sz w:val="21"/>
                <w:szCs w:val="21"/>
              </w:rPr>
              <w:br w:type="textWrapping"/>
            </w:r>
            <w:r>
              <w:rPr>
                <w:rFonts w:hint="eastAsia" w:ascii="宋体" w:hAnsi="宋体"/>
                <w:sz w:val="21"/>
                <w:szCs w:val="21"/>
              </w:rPr>
              <w:t>2.话筒1具有最高优先级、EMC为第二优先级、MIC2\3\4\5和线路输入为第三优先级。</w:t>
            </w:r>
            <w:r>
              <w:rPr>
                <w:rFonts w:hint="eastAsia" w:ascii="宋体" w:hAnsi="宋体"/>
                <w:sz w:val="21"/>
                <w:szCs w:val="21"/>
              </w:rPr>
              <w:br w:type="textWrapping"/>
            </w:r>
            <w:r>
              <w:rPr>
                <w:rFonts w:hint="eastAsia" w:ascii="宋体" w:hAnsi="宋体"/>
                <w:sz w:val="21"/>
                <w:szCs w:val="21"/>
              </w:rPr>
              <w:t>3.每个通道均可独立调校音量、统一音量控制。</w:t>
            </w:r>
            <w:r>
              <w:rPr>
                <w:rFonts w:hint="eastAsia" w:ascii="宋体" w:hAnsi="宋体"/>
                <w:sz w:val="21"/>
                <w:szCs w:val="21"/>
              </w:rPr>
              <w:br w:type="textWrapping"/>
            </w:r>
            <w:r>
              <w:rPr>
                <w:rFonts w:hint="eastAsia" w:ascii="宋体" w:hAnsi="宋体"/>
                <w:sz w:val="21"/>
                <w:szCs w:val="21"/>
              </w:rPr>
              <w:t>电源、功耗 AC220V 50Hz ≤40W</w:t>
            </w:r>
            <w:r>
              <w:rPr>
                <w:rFonts w:hint="eastAsia" w:ascii="宋体" w:hAnsi="宋体"/>
                <w:sz w:val="21"/>
                <w:szCs w:val="21"/>
              </w:rPr>
              <w:br w:type="textWrapping"/>
            </w:r>
            <w:r>
              <w:rPr>
                <w:rFonts w:hint="eastAsia" w:ascii="宋体" w:hAnsi="宋体"/>
                <w:sz w:val="21"/>
                <w:szCs w:val="21"/>
              </w:rPr>
              <w:t>接口          MIC:1、2、3、4、5；EMC:1、2；AUX1、2、3</w:t>
            </w:r>
            <w:r>
              <w:rPr>
                <w:rFonts w:hint="eastAsia" w:ascii="宋体" w:hAnsi="宋体"/>
                <w:sz w:val="21"/>
                <w:szCs w:val="21"/>
              </w:rPr>
              <w:br w:type="textWrapping"/>
            </w:r>
            <w:r>
              <w:rPr>
                <w:rFonts w:hint="eastAsia" w:ascii="宋体" w:hAnsi="宋体"/>
                <w:sz w:val="21"/>
                <w:szCs w:val="21"/>
              </w:rPr>
              <w:t>工作温度、湿度 -10℃～50℃，≤90%RH、无结露</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olor w:val="000000"/>
                <w:sz w:val="21"/>
                <w:szCs w:val="21"/>
                <w:lang w:eastAsia="zh-CN"/>
              </w:rPr>
            </w:pPr>
            <w:r>
              <w:rPr>
                <w:rFonts w:hint="eastAsia" w:ascii="宋体" w:hAnsi="宋体" w:eastAsia="宋体"/>
                <w:color w:val="000000"/>
                <w:sz w:val="21"/>
                <w:szCs w:val="21"/>
              </w:rPr>
              <w:t>1</w:t>
            </w:r>
            <w:r>
              <w:rPr>
                <w:rFonts w:hint="eastAsia" w:ascii="宋体" w:hAnsi="宋体"/>
                <w:color w:val="000000"/>
                <w:sz w:val="21"/>
                <w:szCs w:val="21"/>
                <w:lang w:val="en-US" w:eastAsia="zh-CN"/>
              </w:rPr>
              <w:t>8</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IP网络有源音箱</w:t>
            </w:r>
          </w:p>
        </w:tc>
        <w:tc>
          <w:tcPr>
            <w:tcW w:w="6191" w:type="dxa"/>
            <w:noWrap w:val="0"/>
            <w:vAlign w:val="center"/>
          </w:tcPr>
          <w:p>
            <w:pPr>
              <w:widowControl/>
              <w:shd w:val="clear" w:color="auto" w:fill="FFFFFF"/>
              <w:spacing w:line="300" w:lineRule="exact"/>
              <w:ind w:left="0" w:leftChars="0" w:firstLine="0" w:firstLineChars="0"/>
              <w:jc w:val="left"/>
              <w:textAlignment w:val="baseline"/>
              <w:rPr>
                <w:rFonts w:ascii="宋体" w:hAnsi="宋体" w:eastAsia="宋体" w:cs="宋体"/>
                <w:color w:val="333333"/>
                <w:kern w:val="0"/>
                <w:sz w:val="21"/>
                <w:szCs w:val="21"/>
              </w:rPr>
            </w:pPr>
            <w:r>
              <w:rPr>
                <w:rFonts w:hint="eastAsia" w:ascii="宋体" w:hAnsi="宋体"/>
                <w:sz w:val="21"/>
                <w:szCs w:val="21"/>
              </w:rPr>
              <w:t>1. 一体化壁挂式设计、整合网络音频解码，数字功放及音箱。</w:t>
            </w:r>
            <w:r>
              <w:rPr>
                <w:rFonts w:hint="eastAsia" w:ascii="宋体" w:hAnsi="宋体"/>
                <w:sz w:val="21"/>
                <w:szCs w:val="21"/>
              </w:rPr>
              <w:br w:type="textWrapping"/>
            </w:r>
            <w:r>
              <w:rPr>
                <w:rFonts w:hint="eastAsia" w:ascii="宋体" w:hAnsi="宋体"/>
                <w:sz w:val="21"/>
                <w:szCs w:val="21"/>
              </w:rPr>
              <w:t>2. 采用高速工业级双核(ARM+DSP)芯片、启动时间≤1秒。</w:t>
            </w:r>
            <w:r>
              <w:rPr>
                <w:rFonts w:hint="eastAsia" w:ascii="宋体" w:hAnsi="宋体"/>
                <w:sz w:val="21"/>
                <w:szCs w:val="21"/>
              </w:rPr>
              <w:br w:type="textWrapping"/>
            </w:r>
            <w:r>
              <w:rPr>
                <w:rFonts w:hint="eastAsia" w:ascii="宋体" w:hAnsi="宋体"/>
                <w:sz w:val="21"/>
                <w:szCs w:val="21"/>
              </w:rPr>
              <w:t>3. 内置高保真扬声器和2×10W(8Ω)立体声D类功率放大器。</w:t>
            </w:r>
            <w:r>
              <w:rPr>
                <w:rFonts w:hint="eastAsia" w:ascii="宋体" w:hAnsi="宋体"/>
                <w:sz w:val="21"/>
                <w:szCs w:val="21"/>
              </w:rPr>
              <w:br w:type="textWrapping"/>
            </w:r>
            <w:r>
              <w:rPr>
                <w:rFonts w:hint="eastAsia" w:ascii="宋体" w:hAnsi="宋体"/>
                <w:sz w:val="21"/>
                <w:szCs w:val="21"/>
              </w:rPr>
              <w:t>4. 内置回路检测功能、可远程监听扬声器工作状态、轻松维护。</w:t>
            </w:r>
            <w:r>
              <w:rPr>
                <w:rFonts w:hint="eastAsia" w:ascii="宋体" w:hAnsi="宋体"/>
                <w:sz w:val="21"/>
                <w:szCs w:val="21"/>
              </w:rPr>
              <w:br w:type="textWrapping"/>
            </w:r>
            <w:r>
              <w:rPr>
                <w:rFonts w:hint="eastAsia" w:ascii="宋体" w:hAnsi="宋体"/>
                <w:sz w:val="21"/>
                <w:szCs w:val="21"/>
              </w:rPr>
              <w:t>5. 服务软件远程调节输出音量、并可在本地用旋钮调节线路输入音量。</w:t>
            </w:r>
            <w:r>
              <w:rPr>
                <w:rFonts w:hint="eastAsia" w:ascii="宋体" w:hAnsi="宋体"/>
                <w:sz w:val="21"/>
                <w:szCs w:val="21"/>
              </w:rPr>
              <w:br w:type="textWrapping"/>
            </w:r>
            <w:r>
              <w:rPr>
                <w:rFonts w:hint="eastAsia" w:ascii="宋体" w:hAnsi="宋体"/>
                <w:sz w:val="21"/>
                <w:szCs w:val="21"/>
              </w:rPr>
              <w:t>6. 标准RJ45网络接口、有以太网口的地方即可接入、支持跨网段和跨路由。</w:t>
            </w:r>
            <w:r>
              <w:rPr>
                <w:rFonts w:hint="eastAsia" w:ascii="宋体" w:hAnsi="宋体"/>
                <w:sz w:val="21"/>
                <w:szCs w:val="21"/>
              </w:rPr>
              <w:br w:type="textWrapping"/>
            </w:r>
            <w:r>
              <w:rPr>
                <w:rFonts w:hint="eastAsia" w:ascii="宋体" w:hAnsi="宋体"/>
                <w:sz w:val="21"/>
                <w:szCs w:val="21"/>
              </w:rPr>
              <w:t>7.支持web网页配置，在线升级等；</w:t>
            </w:r>
            <w:r>
              <w:rPr>
                <w:rFonts w:hint="eastAsia" w:ascii="宋体" w:hAnsi="宋体"/>
                <w:sz w:val="21"/>
                <w:szCs w:val="21"/>
              </w:rPr>
              <w:br w:type="textWrapping"/>
            </w:r>
            <w:r>
              <w:rPr>
                <w:rFonts w:hint="eastAsia" w:ascii="宋体" w:hAnsi="宋体"/>
                <w:sz w:val="21"/>
                <w:szCs w:val="21"/>
              </w:rPr>
              <w:t>电源、功耗 DC24V/1A，≤23W、待机≤3W</w:t>
            </w:r>
            <w:r>
              <w:rPr>
                <w:rFonts w:hint="eastAsia" w:ascii="宋体" w:hAnsi="宋体"/>
                <w:sz w:val="21"/>
                <w:szCs w:val="21"/>
              </w:rPr>
              <w:br w:type="textWrapping"/>
            </w:r>
            <w:r>
              <w:rPr>
                <w:rFonts w:hint="eastAsia" w:ascii="宋体" w:hAnsi="宋体"/>
                <w:sz w:val="21"/>
                <w:szCs w:val="21"/>
              </w:rPr>
              <w:t>网络通讯协议 TCP/IP、UDP、ARP、ICMP、IGMP</w:t>
            </w:r>
            <w:r>
              <w:rPr>
                <w:rFonts w:hint="eastAsia" w:ascii="宋体" w:hAnsi="宋体"/>
                <w:sz w:val="21"/>
                <w:szCs w:val="21"/>
              </w:rPr>
              <w:br w:type="textWrapping"/>
            </w:r>
            <w:r>
              <w:rPr>
                <w:rFonts w:hint="eastAsia" w:ascii="宋体" w:hAnsi="宋体"/>
                <w:sz w:val="21"/>
                <w:szCs w:val="21"/>
              </w:rPr>
              <w:t>音频编码 MP2/MP3/PCM/ADPCM</w:t>
            </w:r>
            <w:r>
              <w:rPr>
                <w:rFonts w:hint="eastAsia" w:ascii="宋体" w:hAnsi="宋体"/>
                <w:sz w:val="21"/>
                <w:szCs w:val="21"/>
              </w:rPr>
              <w:br w:type="textWrapping"/>
            </w:r>
            <w:r>
              <w:rPr>
                <w:rFonts w:hint="eastAsia" w:ascii="宋体" w:hAnsi="宋体"/>
                <w:sz w:val="21"/>
                <w:szCs w:val="21"/>
              </w:rPr>
              <w:t>音频采样、位率 8kHz～48kHz， 16bit， 8kbps-320kbps</w:t>
            </w:r>
            <w:r>
              <w:rPr>
                <w:rFonts w:hint="eastAsia" w:ascii="宋体" w:hAnsi="宋体"/>
                <w:sz w:val="21"/>
                <w:szCs w:val="21"/>
              </w:rPr>
              <w:br w:type="textWrapping"/>
            </w:r>
            <w:r>
              <w:rPr>
                <w:rFonts w:hint="eastAsia" w:ascii="宋体" w:hAnsi="宋体"/>
                <w:sz w:val="21"/>
                <w:szCs w:val="21"/>
              </w:rPr>
              <w:t>信噪比、音箱频响 ≥90dB， 200Hz-18kHz</w:t>
            </w:r>
            <w:r>
              <w:rPr>
                <w:rFonts w:hint="eastAsia" w:ascii="宋体" w:hAnsi="宋体"/>
                <w:sz w:val="21"/>
                <w:szCs w:val="21"/>
              </w:rPr>
              <w:br w:type="textWrapping"/>
            </w:r>
            <w:r>
              <w:rPr>
                <w:rFonts w:hint="eastAsia" w:ascii="宋体" w:hAnsi="宋体"/>
                <w:sz w:val="21"/>
                <w:szCs w:val="21"/>
              </w:rPr>
              <w:t>内置功放功率 2x10W(8Ω定阻)</w:t>
            </w:r>
            <w:r>
              <w:rPr>
                <w:rFonts w:hint="eastAsia" w:ascii="宋体" w:hAnsi="宋体"/>
                <w:sz w:val="21"/>
                <w:szCs w:val="21"/>
              </w:rPr>
              <w:br w:type="textWrapping"/>
            </w:r>
            <w:r>
              <w:rPr>
                <w:rFonts w:hint="eastAsia" w:ascii="宋体" w:hAnsi="宋体"/>
                <w:sz w:val="21"/>
                <w:szCs w:val="21"/>
              </w:rPr>
              <w:t>工作温度、湿度 -10℃～50℃，10%-90%RH（无结露）</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25只</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19</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IP网络数字功放</w:t>
            </w:r>
          </w:p>
        </w:tc>
        <w:tc>
          <w:tcPr>
            <w:tcW w:w="6191" w:type="dxa"/>
            <w:noWrap w:val="0"/>
            <w:vAlign w:val="center"/>
          </w:tcPr>
          <w:p>
            <w:pPr>
              <w:widowControl/>
              <w:shd w:val="clear" w:color="auto" w:fill="FFFFFF"/>
              <w:spacing w:line="300" w:lineRule="exact"/>
              <w:ind w:firstLine="360" w:firstLineChars="0"/>
              <w:jc w:val="left"/>
              <w:textAlignment w:val="baseline"/>
              <w:rPr>
                <w:rFonts w:ascii="宋体" w:hAnsi="宋体" w:eastAsia="宋体" w:cs="宋体"/>
                <w:color w:val="333333"/>
                <w:kern w:val="0"/>
                <w:sz w:val="21"/>
                <w:szCs w:val="21"/>
              </w:rPr>
            </w:pPr>
            <w:r>
              <w:rPr>
                <w:rFonts w:hint="eastAsia" w:ascii="宋体" w:hAnsi="宋体"/>
                <w:sz w:val="21"/>
                <w:szCs w:val="21"/>
              </w:rPr>
              <w:t>.机架式设计、高性能的网络定压功放、启动时间≤1秒。</w:t>
            </w:r>
            <w:r>
              <w:rPr>
                <w:rFonts w:hint="eastAsia" w:ascii="宋体" w:hAnsi="宋体"/>
                <w:sz w:val="21"/>
                <w:szCs w:val="21"/>
              </w:rPr>
              <w:br w:type="textWrapping"/>
            </w:r>
            <w:r>
              <w:rPr>
                <w:rFonts w:hint="eastAsia" w:ascii="宋体" w:hAnsi="宋体"/>
                <w:sz w:val="21"/>
                <w:szCs w:val="21"/>
              </w:rPr>
              <w:t>2.内置D类数字功放、650W(定压100V)输出、发热小功效更高、 无信号时自动进入省电模式。</w:t>
            </w:r>
            <w:r>
              <w:rPr>
                <w:rFonts w:hint="eastAsia" w:ascii="宋体" w:hAnsi="宋体"/>
                <w:sz w:val="21"/>
                <w:szCs w:val="21"/>
              </w:rPr>
              <w:br w:type="textWrapping"/>
            </w:r>
            <w:r>
              <w:rPr>
                <w:rFonts w:hint="eastAsia" w:ascii="宋体" w:hAnsi="宋体"/>
                <w:sz w:val="21"/>
                <w:szCs w:val="21"/>
              </w:rPr>
              <w:t>3.设有5个输入通道、每一通道均可独立调节音量、统一音调控制。</w:t>
            </w:r>
            <w:r>
              <w:rPr>
                <w:rFonts w:hint="eastAsia" w:ascii="宋体" w:hAnsi="宋体"/>
                <w:sz w:val="21"/>
                <w:szCs w:val="21"/>
              </w:rPr>
              <w:br w:type="textWrapping"/>
            </w:r>
            <w:r>
              <w:rPr>
                <w:rFonts w:hint="eastAsia" w:ascii="宋体" w:hAnsi="宋体"/>
                <w:sz w:val="21"/>
                <w:szCs w:val="21"/>
              </w:rPr>
              <w:t>4.可以自由设置5个输入通道的优先级 (前面板话筒口默认最高优先)。</w:t>
            </w:r>
            <w:r>
              <w:rPr>
                <w:rFonts w:hint="eastAsia" w:ascii="宋体" w:hAnsi="宋体"/>
                <w:sz w:val="21"/>
                <w:szCs w:val="21"/>
              </w:rPr>
              <w:br w:type="textWrapping"/>
            </w:r>
            <w:r>
              <w:rPr>
                <w:rFonts w:hint="eastAsia" w:ascii="宋体" w:hAnsi="宋体"/>
                <w:sz w:val="21"/>
                <w:szCs w:val="21"/>
              </w:rPr>
              <w:t>5.提供音频线路输出、接外部功放扩音。</w:t>
            </w:r>
            <w:r>
              <w:rPr>
                <w:rFonts w:hint="eastAsia" w:ascii="宋体" w:hAnsi="宋体"/>
                <w:sz w:val="21"/>
                <w:szCs w:val="21"/>
              </w:rPr>
              <w:br w:type="textWrapping"/>
            </w:r>
            <w:r>
              <w:rPr>
                <w:rFonts w:hint="eastAsia" w:ascii="宋体" w:hAnsi="宋体"/>
                <w:sz w:val="21"/>
                <w:szCs w:val="21"/>
              </w:rPr>
              <w:t>6.标准RJ45网络接口、有以太网口的地方即可接入、支持跨网段和跨路由。</w:t>
            </w:r>
            <w:r>
              <w:rPr>
                <w:rFonts w:hint="eastAsia" w:ascii="宋体" w:hAnsi="宋体"/>
                <w:sz w:val="21"/>
                <w:szCs w:val="21"/>
              </w:rPr>
              <w:br w:type="textWrapping"/>
            </w:r>
            <w:r>
              <w:rPr>
                <w:rFonts w:hint="eastAsia" w:ascii="宋体" w:hAnsi="宋体"/>
                <w:sz w:val="21"/>
                <w:szCs w:val="21"/>
              </w:rPr>
              <w:br w:type="textWrapping"/>
            </w:r>
            <w:r>
              <w:rPr>
                <w:rFonts w:hint="eastAsia" w:ascii="宋体" w:hAnsi="宋体"/>
                <w:sz w:val="21"/>
                <w:szCs w:val="21"/>
              </w:rPr>
              <w:t>电源、功耗 AC220V 50Hz，≤800W</w:t>
            </w:r>
            <w:r>
              <w:rPr>
                <w:rFonts w:hint="eastAsia" w:ascii="宋体" w:hAnsi="宋体"/>
                <w:sz w:val="21"/>
                <w:szCs w:val="21"/>
              </w:rPr>
              <w:br w:type="textWrapping"/>
            </w:r>
            <w:r>
              <w:rPr>
                <w:rFonts w:hint="eastAsia" w:ascii="宋体" w:hAnsi="宋体"/>
                <w:sz w:val="21"/>
                <w:szCs w:val="21"/>
              </w:rPr>
              <w:t>输出功率 650W(4-16Ω定阻 或 70/100V定压)</w:t>
            </w:r>
            <w:r>
              <w:rPr>
                <w:rFonts w:hint="eastAsia" w:ascii="宋体" w:hAnsi="宋体"/>
                <w:sz w:val="21"/>
                <w:szCs w:val="21"/>
              </w:rPr>
              <w:br w:type="textWrapping"/>
            </w:r>
            <w:r>
              <w:rPr>
                <w:rFonts w:hint="eastAsia" w:ascii="宋体" w:hAnsi="宋体"/>
                <w:sz w:val="21"/>
                <w:szCs w:val="21"/>
              </w:rPr>
              <w:t>网络通讯协议 TCP/IP、UDP、ARP、ICMP、IGMP</w:t>
            </w:r>
            <w:r>
              <w:rPr>
                <w:rFonts w:hint="eastAsia" w:ascii="宋体" w:hAnsi="宋体"/>
                <w:sz w:val="21"/>
                <w:szCs w:val="21"/>
              </w:rPr>
              <w:br w:type="textWrapping"/>
            </w:r>
            <w:r>
              <w:rPr>
                <w:rFonts w:hint="eastAsia" w:ascii="宋体" w:hAnsi="宋体"/>
                <w:sz w:val="21"/>
                <w:szCs w:val="21"/>
              </w:rPr>
              <w:t xml:space="preserve">网络芯片速率 10/100Mbps </w:t>
            </w:r>
            <w:r>
              <w:rPr>
                <w:rFonts w:hint="eastAsia" w:ascii="宋体" w:hAnsi="宋体"/>
                <w:sz w:val="21"/>
                <w:szCs w:val="21"/>
              </w:rPr>
              <w:br w:type="textWrapping"/>
            </w:r>
            <w:r>
              <w:rPr>
                <w:rFonts w:hint="eastAsia" w:ascii="宋体" w:hAnsi="宋体"/>
                <w:sz w:val="21"/>
                <w:szCs w:val="21"/>
              </w:rPr>
              <w:t>音频编码 MP2/MP3/PCM/ADPCM</w:t>
            </w:r>
            <w:r>
              <w:rPr>
                <w:rFonts w:hint="eastAsia" w:ascii="宋体" w:hAnsi="宋体"/>
                <w:sz w:val="21"/>
                <w:szCs w:val="21"/>
              </w:rPr>
              <w:br w:type="textWrapping"/>
            </w:r>
            <w:r>
              <w:rPr>
                <w:rFonts w:hint="eastAsia" w:ascii="宋体" w:hAnsi="宋体"/>
                <w:sz w:val="21"/>
                <w:szCs w:val="21"/>
              </w:rPr>
              <w:t>音频采样、位率 8kHz～44.1kHz， 16bit， 8kbps-320kbps</w:t>
            </w:r>
            <w:r>
              <w:rPr>
                <w:rFonts w:hint="eastAsia" w:ascii="宋体" w:hAnsi="宋体"/>
                <w:sz w:val="21"/>
                <w:szCs w:val="21"/>
              </w:rPr>
              <w:br w:type="textWrapping"/>
            </w:r>
            <w:r>
              <w:rPr>
                <w:rFonts w:hint="eastAsia" w:ascii="宋体" w:hAnsi="宋体"/>
                <w:sz w:val="21"/>
                <w:szCs w:val="21"/>
              </w:rPr>
              <w:t>信噪比、频响 ≥90dB 20Hz-16KHz</w:t>
            </w:r>
            <w:r>
              <w:rPr>
                <w:rFonts w:hint="eastAsia" w:ascii="宋体" w:hAnsi="宋体"/>
                <w:sz w:val="21"/>
                <w:szCs w:val="21"/>
              </w:rPr>
              <w:br w:type="textWrapping"/>
            </w:r>
            <w:r>
              <w:rPr>
                <w:rFonts w:hint="eastAsia" w:ascii="宋体" w:hAnsi="宋体"/>
                <w:sz w:val="21"/>
                <w:szCs w:val="21"/>
              </w:rPr>
              <w:t>显示屏 LCD 144x32</w:t>
            </w:r>
            <w:r>
              <w:rPr>
                <w:rFonts w:hint="eastAsia" w:ascii="宋体" w:hAnsi="宋体"/>
                <w:sz w:val="21"/>
                <w:szCs w:val="21"/>
              </w:rPr>
              <w:br w:type="textWrapping"/>
            </w:r>
            <w:r>
              <w:rPr>
                <w:rFonts w:hint="eastAsia" w:ascii="宋体" w:hAnsi="宋体"/>
                <w:sz w:val="21"/>
                <w:szCs w:val="21"/>
              </w:rPr>
              <w:t>显示语言 中文、英文</w:t>
            </w:r>
            <w:r>
              <w:rPr>
                <w:rFonts w:hint="eastAsia" w:ascii="宋体" w:hAnsi="宋体"/>
                <w:sz w:val="21"/>
                <w:szCs w:val="21"/>
              </w:rPr>
              <w:br w:type="textWrapping"/>
            </w:r>
            <w:r>
              <w:rPr>
                <w:rFonts w:hint="eastAsia" w:ascii="宋体" w:hAnsi="宋体"/>
                <w:sz w:val="21"/>
                <w:szCs w:val="21"/>
              </w:rPr>
              <w:t>接口 1个RJ45网口、1路动圈话筒输入、2路线路话筒输入、2路辅助线路输入、1路线路输出、1路功率输出、1路报警输入、1路报警输出</w:t>
            </w:r>
            <w:r>
              <w:rPr>
                <w:rFonts w:hint="eastAsia" w:ascii="宋体" w:hAnsi="宋体"/>
                <w:sz w:val="21"/>
                <w:szCs w:val="21"/>
              </w:rPr>
              <w:br w:type="textWrapping"/>
            </w:r>
            <w:r>
              <w:rPr>
                <w:rFonts w:hint="eastAsia" w:ascii="宋体" w:hAnsi="宋体"/>
                <w:sz w:val="21"/>
                <w:szCs w:val="21"/>
              </w:rPr>
              <w:t>工作温度、湿度 -10℃～50℃，≤90%RH（无结露）</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5台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2</w:t>
            </w:r>
            <w:r>
              <w:rPr>
                <w:rFonts w:hint="eastAsia" w:ascii="宋体" w:hAnsi="宋体" w:cs="宋体"/>
                <w:color w:val="333333"/>
                <w:kern w:val="0"/>
                <w:sz w:val="21"/>
                <w:szCs w:val="21"/>
                <w:lang w:val="en-US" w:eastAsia="zh-CN"/>
              </w:rPr>
              <w:t>0</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IP网络数字功放</w:t>
            </w:r>
          </w:p>
        </w:tc>
        <w:tc>
          <w:tcPr>
            <w:tcW w:w="6191" w:type="dxa"/>
            <w:noWrap w:val="0"/>
            <w:vAlign w:val="center"/>
          </w:tcPr>
          <w:p>
            <w:pPr>
              <w:widowControl/>
              <w:shd w:val="clear" w:color="auto" w:fill="FFFFFF"/>
              <w:spacing w:line="300" w:lineRule="exact"/>
              <w:ind w:firstLine="360" w:firstLineChars="0"/>
              <w:jc w:val="left"/>
              <w:textAlignment w:val="baseline"/>
              <w:rPr>
                <w:rFonts w:ascii="宋体" w:hAnsi="宋体" w:eastAsia="宋体" w:cs="宋体"/>
                <w:color w:val="333333"/>
                <w:kern w:val="0"/>
                <w:sz w:val="21"/>
                <w:szCs w:val="21"/>
              </w:rPr>
            </w:pPr>
            <w:r>
              <w:rPr>
                <w:rFonts w:hint="eastAsia" w:ascii="宋体" w:hAnsi="宋体"/>
                <w:sz w:val="21"/>
                <w:szCs w:val="21"/>
              </w:rPr>
              <w:t>1.采用1U机架式设计，钢板外壳，占用空间小，坚固耐用。</w:t>
            </w:r>
            <w:r>
              <w:rPr>
                <w:rFonts w:hint="eastAsia" w:ascii="宋体" w:hAnsi="宋体"/>
                <w:sz w:val="21"/>
                <w:szCs w:val="21"/>
              </w:rPr>
              <w:br w:type="textWrapping"/>
            </w:r>
            <w:r>
              <w:rPr>
                <w:rFonts w:hint="eastAsia" w:ascii="宋体" w:hAnsi="宋体"/>
                <w:sz w:val="21"/>
                <w:szCs w:val="21"/>
              </w:rPr>
              <w:t>2.定压100V输出，额定功率1000W。</w:t>
            </w:r>
            <w:r>
              <w:rPr>
                <w:rFonts w:hint="eastAsia" w:ascii="宋体" w:hAnsi="宋体"/>
                <w:sz w:val="21"/>
                <w:szCs w:val="21"/>
              </w:rPr>
              <w:br w:type="textWrapping"/>
            </w:r>
            <w:r>
              <w:rPr>
                <w:rFonts w:hint="eastAsia" w:ascii="宋体" w:hAnsi="宋体"/>
                <w:sz w:val="21"/>
                <w:szCs w:val="21"/>
              </w:rPr>
              <w:t>3.前面板设有电源指示灯、状态指示灯、信号指示灯、过载指示灯及保护指示灯，指示功放工作状态，维护更轻松。</w:t>
            </w:r>
            <w:r>
              <w:rPr>
                <w:rFonts w:hint="eastAsia" w:ascii="宋体" w:hAnsi="宋体"/>
                <w:sz w:val="21"/>
                <w:szCs w:val="21"/>
              </w:rPr>
              <w:br w:type="textWrapping"/>
            </w:r>
            <w:r>
              <w:rPr>
                <w:rFonts w:hint="eastAsia" w:ascii="宋体" w:hAnsi="宋体"/>
                <w:sz w:val="21"/>
                <w:szCs w:val="21"/>
              </w:rPr>
              <w:br w:type="textWrapping"/>
            </w:r>
            <w:r>
              <w:rPr>
                <w:rFonts w:hint="eastAsia" w:ascii="宋体" w:hAnsi="宋体"/>
                <w:sz w:val="21"/>
                <w:szCs w:val="21"/>
              </w:rPr>
              <w:t>4.具有1路话筒输入、2路线路输入，各通道独立音量控制。</w:t>
            </w:r>
            <w:r>
              <w:rPr>
                <w:rFonts w:hint="eastAsia" w:ascii="宋体" w:hAnsi="宋体"/>
                <w:sz w:val="21"/>
                <w:szCs w:val="21"/>
              </w:rPr>
              <w:br w:type="textWrapping"/>
            </w:r>
            <w:r>
              <w:rPr>
                <w:rFonts w:hint="eastAsia" w:ascii="宋体" w:hAnsi="宋体"/>
                <w:sz w:val="21"/>
                <w:szCs w:val="21"/>
              </w:rPr>
              <w:t>5.具有1路线路输出，扩展外部功放。</w:t>
            </w:r>
            <w:r>
              <w:rPr>
                <w:rFonts w:hint="eastAsia" w:ascii="宋体" w:hAnsi="宋体"/>
                <w:sz w:val="21"/>
                <w:szCs w:val="21"/>
              </w:rPr>
              <w:br w:type="textWrapping"/>
            </w:r>
            <w:r>
              <w:rPr>
                <w:rFonts w:hint="eastAsia" w:ascii="宋体" w:hAnsi="宋体"/>
                <w:sz w:val="21"/>
                <w:szCs w:val="21"/>
              </w:rPr>
              <w:t>6.具有1路报警输入、1路报警输出，支持选配DC24V强切电源输出。</w:t>
            </w:r>
            <w:r>
              <w:rPr>
                <w:rFonts w:hint="eastAsia" w:ascii="宋体" w:hAnsi="宋体"/>
                <w:sz w:val="21"/>
                <w:szCs w:val="21"/>
              </w:rPr>
              <w:br w:type="textWrapping"/>
            </w:r>
            <w:r>
              <w:rPr>
                <w:rFonts w:hint="eastAsia" w:ascii="宋体" w:hAnsi="宋体"/>
                <w:sz w:val="21"/>
                <w:szCs w:val="21"/>
              </w:rPr>
              <w:t>7.支持离线广播，当网络中断时，可自动开启本地播放。</w:t>
            </w:r>
            <w:r>
              <w:rPr>
                <w:rFonts w:hint="eastAsia" w:ascii="宋体" w:hAnsi="宋体"/>
                <w:sz w:val="21"/>
                <w:szCs w:val="21"/>
              </w:rPr>
              <w:br w:type="textWrapping"/>
            </w:r>
            <w:r>
              <w:rPr>
                <w:rFonts w:hint="eastAsia" w:ascii="宋体" w:hAnsi="宋体"/>
                <w:sz w:val="21"/>
                <w:szCs w:val="21"/>
              </w:rPr>
              <w:t>8.内置完备的保护电路，支持过载、过热等多种保护功能，支持电源及线路防雷击及浪涌保护。</w:t>
            </w:r>
            <w:r>
              <w:rPr>
                <w:rFonts w:hint="eastAsia" w:ascii="宋体" w:hAnsi="宋体"/>
                <w:sz w:val="21"/>
                <w:szCs w:val="21"/>
              </w:rPr>
              <w:br w:type="textWrapping"/>
            </w:r>
            <w:r>
              <w:rPr>
                <w:rFonts w:hint="eastAsia" w:ascii="宋体" w:hAnsi="宋体"/>
                <w:sz w:val="21"/>
                <w:szCs w:val="21"/>
              </w:rPr>
              <w:t>9.标准RJ45接口，有以太网口地方即可接入，支持跨网段和跨路由。</w:t>
            </w:r>
            <w:r>
              <w:rPr>
                <w:rFonts w:hint="eastAsia" w:ascii="宋体" w:hAnsi="宋体"/>
                <w:sz w:val="21"/>
                <w:szCs w:val="21"/>
              </w:rPr>
              <w:br w:type="textWrapping"/>
            </w:r>
            <w:r>
              <w:rPr>
                <w:rFonts w:hint="eastAsia" w:ascii="宋体" w:hAnsi="宋体"/>
                <w:sz w:val="21"/>
                <w:szCs w:val="21"/>
              </w:rPr>
              <w:br w:type="textWrapping"/>
            </w:r>
            <w:r>
              <w:rPr>
                <w:rFonts w:hint="eastAsia" w:ascii="宋体" w:hAnsi="宋体"/>
                <w:sz w:val="21"/>
                <w:szCs w:val="21"/>
              </w:rPr>
              <w:t>功耗 1200W</w:t>
            </w:r>
            <w:r>
              <w:rPr>
                <w:rFonts w:hint="eastAsia" w:ascii="宋体" w:hAnsi="宋体"/>
                <w:sz w:val="21"/>
                <w:szCs w:val="21"/>
              </w:rPr>
              <w:br w:type="textWrapping"/>
            </w:r>
            <w:r>
              <w:rPr>
                <w:rFonts w:hint="eastAsia" w:ascii="宋体" w:hAnsi="宋体"/>
                <w:sz w:val="21"/>
                <w:szCs w:val="21"/>
              </w:rPr>
              <w:t>电源 220V～50Hz（支持共模4K，差模2K雷击浪涌保护）</w:t>
            </w:r>
            <w:r>
              <w:rPr>
                <w:rFonts w:hint="eastAsia" w:ascii="宋体" w:hAnsi="宋体"/>
                <w:sz w:val="21"/>
                <w:szCs w:val="21"/>
              </w:rPr>
              <w:br w:type="textWrapping"/>
            </w:r>
            <w:r>
              <w:rPr>
                <w:rFonts w:hint="eastAsia" w:ascii="宋体" w:hAnsi="宋体"/>
                <w:sz w:val="21"/>
                <w:szCs w:val="21"/>
              </w:rPr>
              <w:t>功率输出 定压100V（支持共模2KV雷击浪涌保护）</w:t>
            </w:r>
            <w:r>
              <w:rPr>
                <w:rFonts w:hint="eastAsia" w:ascii="宋体" w:hAnsi="宋体"/>
                <w:sz w:val="21"/>
                <w:szCs w:val="21"/>
              </w:rPr>
              <w:br w:type="textWrapping"/>
            </w:r>
            <w:r>
              <w:rPr>
                <w:rFonts w:hint="eastAsia" w:ascii="宋体" w:hAnsi="宋体"/>
                <w:sz w:val="21"/>
                <w:szCs w:val="21"/>
              </w:rPr>
              <w:t>输入灵敏度&amp;输入阻抗 AUX1: 500mV/10KΩ（平衡） AUX2: 500mV/10KΩ（非平衡）</w:t>
            </w:r>
            <w:r>
              <w:rPr>
                <w:rFonts w:hint="eastAsia" w:ascii="宋体" w:hAnsi="宋体"/>
                <w:sz w:val="21"/>
                <w:szCs w:val="21"/>
              </w:rPr>
              <w:br w:type="textWrapping"/>
            </w:r>
            <w:r>
              <w:rPr>
                <w:rFonts w:hint="eastAsia" w:ascii="宋体" w:hAnsi="宋体"/>
                <w:sz w:val="21"/>
                <w:szCs w:val="21"/>
              </w:rPr>
              <w:t>MIC: 100mV/600Ω（非平衡）</w:t>
            </w:r>
            <w:r>
              <w:rPr>
                <w:rFonts w:hint="eastAsia" w:ascii="宋体" w:hAnsi="宋体"/>
                <w:sz w:val="21"/>
                <w:szCs w:val="21"/>
              </w:rPr>
              <w:br w:type="textWrapping"/>
            </w:r>
            <w:r>
              <w:rPr>
                <w:rFonts w:hint="eastAsia" w:ascii="宋体" w:hAnsi="宋体"/>
                <w:sz w:val="21"/>
                <w:szCs w:val="21"/>
              </w:rPr>
              <w:t>频率响应 50Hz-18KHz</w:t>
            </w:r>
            <w:r>
              <w:rPr>
                <w:rFonts w:hint="eastAsia" w:ascii="宋体" w:hAnsi="宋体"/>
                <w:sz w:val="21"/>
                <w:szCs w:val="21"/>
              </w:rPr>
              <w:br w:type="textWrapping"/>
            </w:r>
            <w:r>
              <w:rPr>
                <w:rFonts w:hint="eastAsia" w:ascii="宋体" w:hAnsi="宋体"/>
                <w:sz w:val="21"/>
                <w:szCs w:val="21"/>
              </w:rPr>
              <w:t>总谐波失真 ≤0.5% at 1KHz 1/2输出功率</w:t>
            </w:r>
            <w:r>
              <w:rPr>
                <w:rFonts w:hint="eastAsia" w:ascii="宋体" w:hAnsi="宋体"/>
                <w:sz w:val="21"/>
                <w:szCs w:val="21"/>
              </w:rPr>
              <w:br w:type="textWrapping"/>
            </w:r>
            <w:r>
              <w:rPr>
                <w:rFonts w:hint="eastAsia" w:ascii="宋体" w:hAnsi="宋体"/>
                <w:sz w:val="21"/>
                <w:szCs w:val="21"/>
              </w:rPr>
              <w:t>信噪比（S/N） ＞84dB</w:t>
            </w:r>
            <w:r>
              <w:rPr>
                <w:rFonts w:hint="eastAsia" w:ascii="宋体" w:hAnsi="宋体"/>
                <w:sz w:val="21"/>
                <w:szCs w:val="21"/>
              </w:rPr>
              <w:br w:type="textWrapping"/>
            </w:r>
            <w:r>
              <w:rPr>
                <w:rFonts w:hint="eastAsia" w:ascii="宋体" w:hAnsi="宋体"/>
                <w:sz w:val="21"/>
                <w:szCs w:val="21"/>
              </w:rPr>
              <w:t>散热 由前往后强制风冷，散热器温度55度时启动内置风扇</w:t>
            </w:r>
            <w:r>
              <w:rPr>
                <w:rFonts w:hint="eastAsia" w:ascii="宋体" w:hAnsi="宋体"/>
                <w:sz w:val="21"/>
                <w:szCs w:val="21"/>
              </w:rPr>
              <w:br w:type="textWrapping"/>
            </w:r>
            <w:r>
              <w:rPr>
                <w:rFonts w:hint="eastAsia" w:ascii="宋体" w:hAnsi="宋体"/>
                <w:sz w:val="21"/>
                <w:szCs w:val="21"/>
              </w:rPr>
              <w:t>保护 过流、短路、过热保护、交流保险丝</w:t>
            </w:r>
            <w:r>
              <w:rPr>
                <w:rFonts w:hint="eastAsia" w:ascii="宋体" w:hAnsi="宋体"/>
                <w:sz w:val="21"/>
                <w:szCs w:val="21"/>
              </w:rPr>
              <w:br w:type="textWrapping"/>
            </w:r>
            <w:r>
              <w:rPr>
                <w:rFonts w:hint="eastAsia" w:ascii="宋体" w:hAnsi="宋体"/>
                <w:sz w:val="21"/>
                <w:szCs w:val="21"/>
              </w:rPr>
              <w:t>网络通讯协议 TCP/IP、UDP、ARP、ICMP、IGMP协议</w:t>
            </w:r>
            <w:r>
              <w:rPr>
                <w:rFonts w:hint="eastAsia" w:ascii="宋体" w:hAnsi="宋体"/>
                <w:sz w:val="21"/>
                <w:szCs w:val="21"/>
              </w:rPr>
              <w:br w:type="textWrapping"/>
            </w:r>
            <w:r>
              <w:rPr>
                <w:rFonts w:hint="eastAsia" w:ascii="宋体" w:hAnsi="宋体"/>
                <w:sz w:val="21"/>
                <w:szCs w:val="21"/>
              </w:rPr>
              <w:t>网络芯片速率 10/100Mbps</w:t>
            </w:r>
            <w:r>
              <w:rPr>
                <w:rFonts w:hint="eastAsia" w:ascii="宋体" w:hAnsi="宋体"/>
                <w:sz w:val="21"/>
                <w:szCs w:val="21"/>
              </w:rPr>
              <w:br w:type="textWrapping"/>
            </w:r>
            <w:r>
              <w:rPr>
                <w:rFonts w:hint="eastAsia" w:ascii="宋体" w:hAnsi="宋体"/>
                <w:sz w:val="21"/>
                <w:szCs w:val="21"/>
              </w:rPr>
              <w:t>音频编码 MP3/PCM/ADPCM/G711.a/G711.u/G729</w:t>
            </w:r>
            <w:r>
              <w:rPr>
                <w:rFonts w:hint="eastAsia" w:ascii="宋体" w:hAnsi="宋体"/>
                <w:sz w:val="21"/>
                <w:szCs w:val="21"/>
              </w:rPr>
              <w:br w:type="textWrapping"/>
            </w:r>
            <w:r>
              <w:rPr>
                <w:rFonts w:hint="eastAsia" w:ascii="宋体" w:hAnsi="宋体"/>
                <w:sz w:val="21"/>
                <w:szCs w:val="21"/>
              </w:rPr>
              <w:t>音频采样、位率 8kHz-44.1kHz、16bit、8kbps-320kbps</w:t>
            </w:r>
            <w:r>
              <w:rPr>
                <w:rFonts w:hint="eastAsia" w:ascii="宋体" w:hAnsi="宋体"/>
                <w:sz w:val="21"/>
                <w:szCs w:val="21"/>
              </w:rPr>
              <w:br w:type="textWrapping"/>
            </w:r>
            <w:r>
              <w:rPr>
                <w:rFonts w:hint="eastAsia" w:ascii="宋体" w:hAnsi="宋体"/>
                <w:sz w:val="21"/>
                <w:szCs w:val="21"/>
              </w:rPr>
              <w:t>工作温度、湿度 -10℃～+50℃，≤90%RH(无结霜)</w:t>
            </w:r>
            <w:r>
              <w:rPr>
                <w:rFonts w:hint="eastAsia" w:ascii="宋体" w:hAnsi="宋体"/>
                <w:sz w:val="21"/>
                <w:szCs w:val="21"/>
              </w:rPr>
              <w:br w:type="textWrapping"/>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3台</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2</w:t>
            </w:r>
            <w:r>
              <w:rPr>
                <w:rFonts w:hint="eastAsia" w:ascii="宋体" w:hAnsi="宋体" w:cs="宋体"/>
                <w:color w:val="333333"/>
                <w:kern w:val="0"/>
                <w:sz w:val="21"/>
                <w:szCs w:val="21"/>
                <w:lang w:val="en-US" w:eastAsia="zh-CN"/>
              </w:rPr>
              <w:t>1</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无线手持话筒</w:t>
            </w:r>
          </w:p>
        </w:tc>
        <w:tc>
          <w:tcPr>
            <w:tcW w:w="6191" w:type="dxa"/>
            <w:noWrap w:val="0"/>
            <w:vAlign w:val="center"/>
          </w:tcPr>
          <w:p>
            <w:pPr>
              <w:widowControl/>
              <w:shd w:val="clear" w:color="auto" w:fill="FFFFFF"/>
              <w:spacing w:line="300" w:lineRule="exact"/>
              <w:ind w:firstLine="360" w:firstLineChars="0"/>
              <w:jc w:val="left"/>
              <w:textAlignment w:val="baseline"/>
              <w:rPr>
                <w:rFonts w:ascii="宋体" w:hAnsi="宋体" w:eastAsia="宋体" w:cs="宋体"/>
                <w:color w:val="333333"/>
                <w:kern w:val="0"/>
                <w:sz w:val="21"/>
                <w:szCs w:val="21"/>
              </w:rPr>
            </w:pPr>
            <w:r>
              <w:rPr>
                <w:rFonts w:hint="eastAsia" w:ascii="宋体" w:hAnsi="宋体"/>
                <w:sz w:val="21"/>
                <w:szCs w:val="21"/>
              </w:rPr>
              <w:t>频率范围：610～890MHz</w:t>
            </w:r>
            <w:r>
              <w:rPr>
                <w:rFonts w:hint="eastAsia" w:ascii="宋体" w:hAnsi="宋体"/>
                <w:sz w:val="21"/>
                <w:szCs w:val="21"/>
              </w:rPr>
              <w:br w:type="textWrapping"/>
            </w:r>
            <w:r>
              <w:rPr>
                <w:rFonts w:hint="eastAsia" w:ascii="宋体" w:hAnsi="宋体"/>
                <w:sz w:val="21"/>
                <w:szCs w:val="21"/>
              </w:rPr>
              <w:t>通道数量：2个</w:t>
            </w:r>
            <w:r>
              <w:rPr>
                <w:rFonts w:hint="eastAsia" w:ascii="宋体" w:hAnsi="宋体"/>
                <w:sz w:val="21"/>
                <w:szCs w:val="21"/>
              </w:rPr>
              <w:br w:type="textWrapping"/>
            </w:r>
            <w:r>
              <w:rPr>
                <w:rFonts w:hint="eastAsia" w:ascii="宋体" w:hAnsi="宋体"/>
                <w:sz w:val="21"/>
                <w:szCs w:val="21"/>
              </w:rPr>
              <w:t>频道数量：200个，可以多台扩展使用，手持频道通用</w:t>
            </w:r>
            <w:r>
              <w:rPr>
                <w:rFonts w:hint="eastAsia" w:ascii="宋体" w:hAnsi="宋体"/>
                <w:sz w:val="21"/>
                <w:szCs w:val="21"/>
              </w:rPr>
              <w:br w:type="textWrapping"/>
            </w:r>
            <w:r>
              <w:rPr>
                <w:rFonts w:hint="eastAsia" w:ascii="宋体" w:hAnsi="宋体"/>
                <w:sz w:val="21"/>
                <w:szCs w:val="21"/>
              </w:rPr>
              <w:t>叠机最少12台，最多可400台同时使用，抗干扰能力强</w:t>
            </w:r>
            <w:r>
              <w:rPr>
                <w:rFonts w:hint="eastAsia" w:ascii="宋体" w:hAnsi="宋体"/>
                <w:sz w:val="21"/>
                <w:szCs w:val="21"/>
              </w:rPr>
              <w:br w:type="textWrapping"/>
            </w:r>
            <w:r>
              <w:rPr>
                <w:rFonts w:hint="eastAsia" w:ascii="宋体" w:hAnsi="宋体"/>
                <w:sz w:val="21"/>
                <w:szCs w:val="21"/>
              </w:rPr>
              <w:t>调制方式：FM调频</w:t>
            </w:r>
            <w:r>
              <w:rPr>
                <w:rFonts w:hint="eastAsia" w:ascii="宋体" w:hAnsi="宋体"/>
                <w:sz w:val="21"/>
                <w:szCs w:val="21"/>
              </w:rPr>
              <w:br w:type="textWrapping"/>
            </w:r>
            <w:r>
              <w:rPr>
                <w:rFonts w:hint="eastAsia" w:ascii="宋体" w:hAnsi="宋体"/>
                <w:sz w:val="21"/>
                <w:szCs w:val="21"/>
              </w:rPr>
              <w:t>信噪比S/N：&gt;105dB</w:t>
            </w:r>
            <w:r>
              <w:rPr>
                <w:rFonts w:hint="eastAsia" w:ascii="宋体" w:hAnsi="宋体"/>
                <w:sz w:val="21"/>
                <w:szCs w:val="21"/>
              </w:rPr>
              <w:br w:type="textWrapping"/>
            </w:r>
            <w:r>
              <w:rPr>
                <w:rFonts w:hint="eastAsia" w:ascii="宋体" w:hAnsi="宋体"/>
                <w:sz w:val="21"/>
                <w:szCs w:val="21"/>
              </w:rPr>
              <w:t>PLL锁相环技术：频率稳定度∠±100Hz</w:t>
            </w:r>
            <w:r>
              <w:rPr>
                <w:rFonts w:hint="eastAsia" w:ascii="宋体" w:hAnsi="宋体"/>
                <w:sz w:val="21"/>
                <w:szCs w:val="21"/>
              </w:rPr>
              <w:br w:type="textWrapping"/>
            </w:r>
            <w:r>
              <w:rPr>
                <w:rFonts w:hint="eastAsia" w:ascii="宋体" w:hAnsi="宋体"/>
                <w:sz w:val="21"/>
                <w:szCs w:val="21"/>
              </w:rPr>
              <w:t>红外线自动对频</w:t>
            </w:r>
            <w:r>
              <w:rPr>
                <w:rFonts w:hint="eastAsia" w:ascii="宋体" w:hAnsi="宋体"/>
                <w:sz w:val="21"/>
                <w:szCs w:val="21"/>
              </w:rPr>
              <w:br w:type="textWrapping"/>
            </w:r>
            <w:r>
              <w:rPr>
                <w:rFonts w:hint="eastAsia" w:ascii="宋体" w:hAnsi="宋体"/>
                <w:sz w:val="21"/>
                <w:szCs w:val="21"/>
              </w:rPr>
              <w:t>三重自动静噪控制</w:t>
            </w:r>
            <w:r>
              <w:rPr>
                <w:rFonts w:hint="eastAsia" w:ascii="宋体" w:hAnsi="宋体"/>
                <w:sz w:val="21"/>
                <w:szCs w:val="21"/>
              </w:rPr>
              <w:br w:type="textWrapping"/>
            </w:r>
            <w:r>
              <w:rPr>
                <w:rFonts w:hint="eastAsia" w:ascii="宋体" w:hAnsi="宋体"/>
                <w:sz w:val="21"/>
                <w:szCs w:val="21"/>
              </w:rPr>
              <w:t>两通道Line混合输出，XLR独立输出</w:t>
            </w:r>
            <w:r>
              <w:rPr>
                <w:rFonts w:hint="eastAsia" w:ascii="宋体" w:hAnsi="宋体"/>
                <w:sz w:val="21"/>
                <w:szCs w:val="21"/>
              </w:rPr>
              <w:br w:type="textWrapping"/>
            </w:r>
            <w:r>
              <w:rPr>
                <w:rFonts w:hint="eastAsia" w:ascii="宋体" w:hAnsi="宋体"/>
                <w:sz w:val="21"/>
                <w:szCs w:val="21"/>
              </w:rPr>
              <w:t>谐波干扰比：&gt;80dB</w:t>
            </w:r>
            <w:r>
              <w:rPr>
                <w:rFonts w:hint="eastAsia" w:ascii="宋体" w:hAnsi="宋体"/>
                <w:sz w:val="21"/>
                <w:szCs w:val="21"/>
              </w:rPr>
              <w:br w:type="textWrapping"/>
            </w:r>
            <w:r>
              <w:rPr>
                <w:rFonts w:hint="eastAsia" w:ascii="宋体" w:hAnsi="宋体"/>
                <w:sz w:val="21"/>
                <w:szCs w:val="21"/>
              </w:rPr>
              <w:t>假象干扰比：&gt;70dB</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1套</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2</w:t>
            </w:r>
            <w:r>
              <w:rPr>
                <w:rFonts w:hint="eastAsia" w:ascii="宋体" w:hAnsi="宋体" w:cs="宋体"/>
                <w:color w:val="333333"/>
                <w:kern w:val="0"/>
                <w:sz w:val="21"/>
                <w:szCs w:val="21"/>
                <w:lang w:val="en-US" w:eastAsia="zh-CN"/>
              </w:rPr>
              <w:t>2</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天线放大器</w:t>
            </w:r>
          </w:p>
        </w:tc>
        <w:tc>
          <w:tcPr>
            <w:tcW w:w="6191" w:type="dxa"/>
            <w:noWrap w:val="0"/>
            <w:vAlign w:val="center"/>
          </w:tcPr>
          <w:p>
            <w:pPr>
              <w:widowControl/>
              <w:shd w:val="clear" w:color="auto" w:fill="FFFFFF"/>
              <w:spacing w:line="300" w:lineRule="exact"/>
              <w:ind w:firstLine="360" w:firstLineChars="0"/>
              <w:jc w:val="left"/>
              <w:textAlignment w:val="baseline"/>
              <w:rPr>
                <w:rFonts w:ascii="宋体" w:hAnsi="宋体" w:eastAsia="宋体" w:cs="宋体"/>
                <w:color w:val="333333"/>
                <w:kern w:val="0"/>
                <w:sz w:val="21"/>
                <w:szCs w:val="21"/>
              </w:rPr>
            </w:pPr>
            <w:r>
              <w:rPr>
                <w:rFonts w:hint="eastAsia" w:ascii="宋体" w:hAnsi="宋体"/>
                <w:sz w:val="21"/>
                <w:szCs w:val="21"/>
              </w:rPr>
              <w:t>频率范围：500-950MHz</w:t>
            </w:r>
            <w:r>
              <w:rPr>
                <w:rFonts w:hint="eastAsia" w:ascii="宋体" w:hAnsi="宋体"/>
                <w:sz w:val="21"/>
                <w:szCs w:val="21"/>
              </w:rPr>
              <w:br w:type="textWrapping"/>
            </w:r>
            <w:r>
              <w:rPr>
                <w:rFonts w:hint="eastAsia" w:ascii="宋体" w:hAnsi="宋体"/>
                <w:sz w:val="21"/>
                <w:szCs w:val="21"/>
              </w:rPr>
              <w:t>输入截断点：+22dBm</w:t>
            </w:r>
            <w:r>
              <w:rPr>
                <w:rFonts w:hint="eastAsia" w:ascii="宋体" w:hAnsi="宋体"/>
                <w:sz w:val="21"/>
                <w:szCs w:val="21"/>
              </w:rPr>
              <w:br w:type="textWrapping"/>
            </w:r>
            <w:r>
              <w:rPr>
                <w:rFonts w:hint="eastAsia" w:ascii="宋体" w:hAnsi="宋体"/>
                <w:sz w:val="21"/>
                <w:szCs w:val="21"/>
              </w:rPr>
              <w:t>噪声比：4.0dB Type(Center Band)</w:t>
            </w:r>
            <w:r>
              <w:rPr>
                <w:rFonts w:hint="eastAsia" w:ascii="宋体" w:hAnsi="宋体"/>
                <w:sz w:val="21"/>
                <w:szCs w:val="21"/>
              </w:rPr>
              <w:br w:type="textWrapping"/>
            </w:r>
            <w:r>
              <w:rPr>
                <w:rFonts w:hint="eastAsia" w:ascii="宋体" w:hAnsi="宋体"/>
                <w:sz w:val="21"/>
                <w:szCs w:val="21"/>
              </w:rPr>
              <w:t>增益：+6-9dB(Center Band)</w:t>
            </w:r>
            <w:r>
              <w:rPr>
                <w:rFonts w:hint="eastAsia" w:ascii="宋体" w:hAnsi="宋体"/>
                <w:sz w:val="21"/>
                <w:szCs w:val="21"/>
              </w:rPr>
              <w:br w:type="textWrapping"/>
            </w:r>
            <w:r>
              <w:rPr>
                <w:rFonts w:hint="eastAsia" w:ascii="宋体" w:hAnsi="宋体"/>
                <w:sz w:val="21"/>
                <w:szCs w:val="21"/>
              </w:rPr>
              <w:t>输出阻抗：15dB min        阻抗：50Ω</w:t>
            </w:r>
            <w:r>
              <w:rPr>
                <w:rFonts w:hint="eastAsia" w:ascii="宋体" w:hAnsi="宋体"/>
                <w:sz w:val="21"/>
                <w:szCs w:val="21"/>
              </w:rPr>
              <w:br w:type="textWrapping"/>
            </w:r>
            <w:r>
              <w:rPr>
                <w:rFonts w:hint="eastAsia" w:ascii="宋体" w:hAnsi="宋体"/>
                <w:sz w:val="21"/>
                <w:szCs w:val="21"/>
              </w:rPr>
              <w:t>频宽：300MHz</w:t>
            </w:r>
            <w:r>
              <w:rPr>
                <w:rFonts w:hint="eastAsia" w:ascii="宋体" w:hAnsi="宋体"/>
                <w:sz w:val="21"/>
                <w:szCs w:val="21"/>
              </w:rPr>
              <w:br w:type="textWrapping"/>
            </w:r>
            <w:r>
              <w:rPr>
                <w:rFonts w:hint="eastAsia" w:ascii="宋体" w:hAnsi="宋体"/>
                <w:sz w:val="21"/>
                <w:szCs w:val="21"/>
              </w:rPr>
              <w:t>插座：TNC female</w:t>
            </w:r>
            <w:r>
              <w:rPr>
                <w:rFonts w:hint="eastAsia" w:ascii="宋体" w:hAnsi="宋体"/>
                <w:sz w:val="21"/>
                <w:szCs w:val="21"/>
              </w:rPr>
              <w:br w:type="textWrapping"/>
            </w:r>
            <w:r>
              <w:rPr>
                <w:rFonts w:hint="eastAsia" w:ascii="宋体" w:hAnsi="宋体"/>
                <w:sz w:val="21"/>
                <w:szCs w:val="21"/>
              </w:rPr>
              <w:t>电源供应：100-240V/50/60Hz</w:t>
            </w:r>
            <w:r>
              <w:rPr>
                <w:rFonts w:hint="eastAsia" w:ascii="宋体" w:hAnsi="宋体"/>
                <w:sz w:val="21"/>
                <w:szCs w:val="21"/>
              </w:rPr>
              <w:br w:type="textWrapping"/>
            </w:r>
            <w:r>
              <w:rPr>
                <w:rFonts w:hint="eastAsia" w:ascii="宋体" w:hAnsi="宋体"/>
                <w:sz w:val="21"/>
                <w:szCs w:val="21"/>
              </w:rPr>
              <w:t>电源消耗：170mA</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1套</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2</w:t>
            </w:r>
            <w:r>
              <w:rPr>
                <w:rFonts w:hint="eastAsia" w:ascii="宋体" w:hAnsi="宋体" w:cs="宋体"/>
                <w:color w:val="333333"/>
                <w:kern w:val="0"/>
                <w:sz w:val="21"/>
                <w:szCs w:val="21"/>
                <w:lang w:val="en-US" w:eastAsia="zh-CN"/>
              </w:rPr>
              <w:t>3</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sz w:val="21"/>
                <w:szCs w:val="21"/>
              </w:rPr>
              <w:t>室外音柱</w:t>
            </w:r>
          </w:p>
        </w:tc>
        <w:tc>
          <w:tcPr>
            <w:tcW w:w="6191" w:type="dxa"/>
            <w:noWrap w:val="0"/>
            <w:vAlign w:val="center"/>
          </w:tcPr>
          <w:p>
            <w:pPr>
              <w:widowControl/>
              <w:shd w:val="clear" w:color="auto" w:fill="FFFFFF"/>
              <w:spacing w:line="300" w:lineRule="exact"/>
              <w:ind w:firstLine="360" w:firstLineChars="0"/>
              <w:jc w:val="left"/>
              <w:textAlignment w:val="baseline"/>
              <w:rPr>
                <w:rFonts w:ascii="宋体" w:hAnsi="宋体" w:eastAsia="宋体" w:cs="宋体"/>
                <w:color w:val="333333"/>
                <w:kern w:val="0"/>
                <w:sz w:val="21"/>
                <w:szCs w:val="21"/>
              </w:rPr>
            </w:pPr>
            <w:r>
              <w:rPr>
                <w:rFonts w:hint="eastAsia" w:ascii="宋体" w:hAnsi="宋体"/>
                <w:sz w:val="21"/>
                <w:szCs w:val="21"/>
              </w:rPr>
              <w:t>采用防水纸盆中音单元喇叭；</w:t>
            </w:r>
            <w:r>
              <w:rPr>
                <w:rFonts w:hint="eastAsia" w:ascii="宋体" w:hAnsi="宋体"/>
                <w:sz w:val="21"/>
                <w:szCs w:val="21"/>
              </w:rPr>
              <w:br w:type="textWrapping"/>
            </w:r>
            <w:r>
              <w:rPr>
                <w:rFonts w:hint="eastAsia" w:ascii="宋体" w:hAnsi="宋体"/>
                <w:sz w:val="21"/>
                <w:szCs w:val="21"/>
              </w:rPr>
              <w:t>铝合金壳体、铝合金网罩及喇叭安装板；</w:t>
            </w:r>
            <w:r>
              <w:rPr>
                <w:rFonts w:hint="eastAsia" w:ascii="宋体" w:hAnsi="宋体"/>
                <w:sz w:val="21"/>
                <w:szCs w:val="21"/>
              </w:rPr>
              <w:br w:type="textWrapping"/>
            </w:r>
            <w:r>
              <w:rPr>
                <w:rFonts w:hint="eastAsia" w:ascii="宋体" w:hAnsi="宋体"/>
                <w:sz w:val="21"/>
                <w:szCs w:val="21"/>
              </w:rPr>
              <w:t>防水防腐设计，防水等级可达IPX6；</w:t>
            </w:r>
            <w:r>
              <w:rPr>
                <w:rFonts w:hint="eastAsia" w:ascii="宋体" w:hAnsi="宋体"/>
                <w:sz w:val="21"/>
                <w:szCs w:val="21"/>
              </w:rPr>
              <w:br w:type="textWrapping"/>
            </w:r>
            <w:r>
              <w:rPr>
                <w:rFonts w:hint="eastAsia" w:ascii="宋体" w:hAnsi="宋体"/>
                <w:sz w:val="21"/>
                <w:szCs w:val="21"/>
              </w:rPr>
              <w:t>语音和音乐播放都有逼真的放声效果，音质清澈动听。</w:t>
            </w:r>
            <w:r>
              <w:rPr>
                <w:rFonts w:hint="eastAsia" w:ascii="宋体" w:hAnsi="宋体"/>
                <w:sz w:val="21"/>
                <w:szCs w:val="21"/>
              </w:rPr>
              <w:br w:type="textWrapping"/>
            </w:r>
            <w:r>
              <w:rPr>
                <w:rFonts w:hint="eastAsia" w:ascii="宋体" w:hAnsi="宋体"/>
                <w:sz w:val="21"/>
                <w:szCs w:val="21"/>
              </w:rPr>
              <w:t>喇叭单元 纸盆中音单元</w:t>
            </w:r>
            <w:r>
              <w:rPr>
                <w:rFonts w:hint="eastAsia" w:ascii="宋体" w:hAnsi="宋体"/>
                <w:sz w:val="21"/>
                <w:szCs w:val="21"/>
              </w:rPr>
              <w:br w:type="textWrapping"/>
            </w:r>
            <w:r>
              <w:rPr>
                <w:rFonts w:hint="eastAsia" w:ascii="宋体" w:hAnsi="宋体"/>
                <w:sz w:val="21"/>
                <w:szCs w:val="21"/>
              </w:rPr>
              <w:t>额定功率 120W/125W</w:t>
            </w:r>
            <w:r>
              <w:rPr>
                <w:rFonts w:hint="eastAsia" w:ascii="宋体" w:hAnsi="宋体"/>
                <w:sz w:val="21"/>
                <w:szCs w:val="21"/>
              </w:rPr>
              <w:br w:type="textWrapping"/>
            </w:r>
            <w:r>
              <w:rPr>
                <w:rFonts w:hint="eastAsia" w:ascii="宋体" w:hAnsi="宋体"/>
                <w:sz w:val="21"/>
                <w:szCs w:val="21"/>
              </w:rPr>
              <w:t>输入 70V/100V</w:t>
            </w:r>
            <w:r>
              <w:rPr>
                <w:rFonts w:hint="eastAsia" w:ascii="宋体" w:hAnsi="宋体"/>
                <w:sz w:val="21"/>
                <w:szCs w:val="21"/>
              </w:rPr>
              <w:br w:type="textWrapping"/>
            </w:r>
            <w:r>
              <w:rPr>
                <w:rFonts w:hint="eastAsia" w:ascii="宋体" w:hAnsi="宋体"/>
                <w:sz w:val="21"/>
                <w:szCs w:val="21"/>
              </w:rPr>
              <w:t>阻抗 670Ω/330Ω</w:t>
            </w:r>
            <w:r>
              <w:rPr>
                <w:rFonts w:hint="eastAsia" w:ascii="宋体" w:hAnsi="宋体"/>
                <w:sz w:val="21"/>
                <w:szCs w:val="21"/>
              </w:rPr>
              <w:br w:type="textWrapping"/>
            </w:r>
            <w:r>
              <w:rPr>
                <w:rFonts w:hint="eastAsia" w:ascii="宋体" w:hAnsi="宋体"/>
                <w:sz w:val="21"/>
                <w:szCs w:val="21"/>
              </w:rPr>
              <w:t>灵敏度 92dB</w:t>
            </w:r>
            <w:r>
              <w:rPr>
                <w:rFonts w:hint="eastAsia" w:ascii="宋体" w:hAnsi="宋体"/>
                <w:sz w:val="21"/>
                <w:szCs w:val="21"/>
              </w:rPr>
              <w:br w:type="textWrapping"/>
            </w:r>
            <w:r>
              <w:rPr>
                <w:rFonts w:hint="eastAsia" w:ascii="宋体" w:hAnsi="宋体"/>
                <w:sz w:val="21"/>
                <w:szCs w:val="21"/>
              </w:rPr>
              <w:t>频率响应 50Hz-18KHz</w:t>
            </w:r>
            <w:r>
              <w:rPr>
                <w:rFonts w:hint="eastAsia" w:ascii="宋体" w:hAnsi="宋体"/>
                <w:sz w:val="21"/>
                <w:szCs w:val="21"/>
              </w:rPr>
              <w:br w:type="textWrapping"/>
            </w:r>
            <w:r>
              <w:rPr>
                <w:rFonts w:hint="eastAsia" w:ascii="宋体" w:hAnsi="宋体"/>
                <w:sz w:val="21"/>
                <w:szCs w:val="21"/>
              </w:rPr>
              <w:t>喇叭单元 4.5"×4</w:t>
            </w:r>
            <w:r>
              <w:rPr>
                <w:rFonts w:hint="eastAsia" w:ascii="宋体" w:hAnsi="宋体"/>
                <w:sz w:val="21"/>
                <w:szCs w:val="21"/>
              </w:rPr>
              <w:br w:type="textWrapping"/>
            </w:r>
            <w:r>
              <w:rPr>
                <w:rFonts w:hint="eastAsia" w:ascii="宋体" w:hAnsi="宋体"/>
                <w:sz w:val="21"/>
                <w:szCs w:val="21"/>
              </w:rPr>
              <w:t>防护等级 IP×6防水</w:t>
            </w:r>
            <w:r>
              <w:rPr>
                <w:rFonts w:hint="eastAsia" w:ascii="宋体" w:hAnsi="宋体"/>
                <w:sz w:val="21"/>
                <w:szCs w:val="21"/>
              </w:rPr>
              <w:br w:type="textWrapping"/>
            </w:r>
            <w:r>
              <w:rPr>
                <w:rFonts w:hint="eastAsia" w:ascii="宋体" w:hAnsi="宋体"/>
                <w:sz w:val="21"/>
                <w:szCs w:val="21"/>
              </w:rPr>
              <w:t>尺寸（WxHxD） 166×141×815mm</w:t>
            </w:r>
            <w:r>
              <w:rPr>
                <w:rFonts w:hint="eastAsia" w:ascii="宋体" w:hAnsi="宋体"/>
                <w:sz w:val="21"/>
                <w:szCs w:val="21"/>
              </w:rPr>
              <w:br w:type="textWrapping"/>
            </w:r>
            <w:r>
              <w:rPr>
                <w:rFonts w:hint="eastAsia" w:ascii="宋体" w:hAnsi="宋体"/>
                <w:sz w:val="21"/>
                <w:szCs w:val="21"/>
              </w:rPr>
              <w:t>重量 7.2Kg</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15只</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rPr>
              <w:t>2</w:t>
            </w:r>
            <w:r>
              <w:rPr>
                <w:rFonts w:hint="eastAsia" w:ascii="宋体" w:hAnsi="宋体" w:cs="宋体"/>
                <w:color w:val="333333"/>
                <w:kern w:val="0"/>
                <w:sz w:val="21"/>
                <w:szCs w:val="21"/>
                <w:lang w:val="en-US" w:eastAsia="zh-CN"/>
              </w:rPr>
              <w:t>4</w:t>
            </w:r>
          </w:p>
        </w:tc>
        <w:tc>
          <w:tcPr>
            <w:tcW w:w="709" w:type="dxa"/>
            <w:noWrap w:val="0"/>
            <w:vAlign w:val="center"/>
          </w:tcPr>
          <w:p>
            <w:pPr>
              <w:spacing w:line="300" w:lineRule="exact"/>
              <w:ind w:firstLine="0" w:firstLineChars="0"/>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安装调试</w:t>
            </w:r>
          </w:p>
        </w:tc>
        <w:tc>
          <w:tcPr>
            <w:tcW w:w="6191" w:type="dxa"/>
            <w:noWrap w:val="0"/>
            <w:vAlign w:val="center"/>
          </w:tcPr>
          <w:p>
            <w:pPr>
              <w:widowControl/>
              <w:shd w:val="clear" w:color="auto" w:fill="FFFFFF"/>
              <w:spacing w:line="300" w:lineRule="exact"/>
              <w:ind w:firstLine="0" w:firstLineChars="0"/>
              <w:jc w:val="left"/>
              <w:textAlignment w:val="baseline"/>
              <w:rPr>
                <w:rFonts w:ascii="宋体" w:hAnsi="宋体" w:eastAsia="宋体"/>
                <w:color w:val="000000"/>
                <w:sz w:val="21"/>
                <w:szCs w:val="21"/>
              </w:rPr>
            </w:pPr>
            <w:r>
              <w:rPr>
                <w:rFonts w:hint="eastAsia" w:ascii="宋体" w:hAnsi="宋体" w:eastAsia="宋体"/>
                <w:color w:val="000000"/>
                <w:sz w:val="21"/>
                <w:szCs w:val="21"/>
              </w:rPr>
              <w:t>1、包括高清线、电源接头、线盒线管等不可预见材料</w:t>
            </w:r>
          </w:p>
          <w:p>
            <w:pPr>
              <w:widowControl/>
              <w:shd w:val="clear" w:color="auto" w:fill="FFFFFF"/>
              <w:spacing w:line="300" w:lineRule="exact"/>
              <w:ind w:firstLine="0" w:firstLineChars="0"/>
              <w:jc w:val="left"/>
              <w:textAlignment w:val="baseline"/>
              <w:rPr>
                <w:rFonts w:ascii="宋体" w:hAnsi="宋体" w:eastAsia="宋体"/>
                <w:color w:val="000000"/>
                <w:sz w:val="21"/>
                <w:szCs w:val="21"/>
              </w:rPr>
            </w:pPr>
            <w:r>
              <w:rPr>
                <w:rFonts w:hint="eastAsia" w:ascii="宋体" w:hAnsi="宋体" w:eastAsia="宋体"/>
                <w:color w:val="000000"/>
                <w:sz w:val="21"/>
                <w:szCs w:val="21"/>
              </w:rPr>
              <w:t>2、需与现有监控无缝对接，对接需供应商自行解决</w:t>
            </w:r>
          </w:p>
          <w:p>
            <w:pPr>
              <w:widowControl/>
              <w:shd w:val="clear" w:color="auto" w:fill="FFFFFF"/>
              <w:spacing w:line="300" w:lineRule="exact"/>
              <w:ind w:firstLine="0" w:firstLineChars="0"/>
              <w:jc w:val="left"/>
              <w:textAlignment w:val="baseline"/>
              <w:rPr>
                <w:rFonts w:ascii="宋体" w:hAnsi="宋体" w:eastAsia="宋体"/>
                <w:color w:val="000000"/>
                <w:sz w:val="21"/>
                <w:szCs w:val="21"/>
              </w:rPr>
            </w:pPr>
            <w:r>
              <w:rPr>
                <w:rFonts w:hint="eastAsia" w:ascii="宋体" w:hAnsi="宋体" w:eastAsia="宋体"/>
                <w:color w:val="000000"/>
                <w:sz w:val="21"/>
                <w:szCs w:val="21"/>
              </w:rPr>
              <w:t>3、电源线、网线、音箱线等如不够需供应商自行免费增加，保证安装所需。</w:t>
            </w:r>
          </w:p>
          <w:p>
            <w:pPr>
              <w:widowControl/>
              <w:shd w:val="clear" w:color="auto" w:fill="FFFFFF"/>
              <w:spacing w:line="300" w:lineRule="exact"/>
              <w:ind w:firstLine="0" w:firstLineChars="0"/>
              <w:jc w:val="left"/>
              <w:textAlignment w:val="baseline"/>
              <w:rPr>
                <w:rFonts w:ascii="宋体" w:hAnsi="宋体" w:eastAsia="宋体" w:cs="宋体"/>
                <w:color w:val="333333"/>
                <w:kern w:val="0"/>
                <w:sz w:val="21"/>
                <w:szCs w:val="21"/>
              </w:rPr>
            </w:pPr>
            <w:r>
              <w:rPr>
                <w:rFonts w:hint="eastAsia" w:ascii="宋体" w:hAnsi="宋体" w:eastAsia="宋体"/>
                <w:color w:val="000000"/>
                <w:sz w:val="21"/>
                <w:szCs w:val="21"/>
              </w:rPr>
              <w:t>4、项目实施其间所发生的设备运输、安装、调试、配合费用均由中标厂家承担</w:t>
            </w:r>
          </w:p>
        </w:tc>
        <w:tc>
          <w:tcPr>
            <w:tcW w:w="777" w:type="dxa"/>
            <w:noWrap w:val="0"/>
            <w:vAlign w:val="center"/>
          </w:tcPr>
          <w:p>
            <w:pPr>
              <w:spacing w:line="300" w:lineRule="exact"/>
              <w:ind w:firstLine="0" w:firstLineChars="0"/>
              <w:jc w:val="center"/>
              <w:rPr>
                <w:rFonts w:ascii="宋体" w:hAnsi="宋体" w:eastAsia="宋体"/>
                <w:sz w:val="21"/>
                <w:szCs w:val="21"/>
              </w:rPr>
            </w:pPr>
            <w:r>
              <w:rPr>
                <w:rFonts w:hint="eastAsia" w:ascii="宋体" w:hAnsi="宋体" w:eastAsia="宋体"/>
                <w:sz w:val="21"/>
                <w:szCs w:val="21"/>
              </w:rPr>
              <w:t>1项</w:t>
            </w:r>
          </w:p>
        </w:tc>
        <w:tc>
          <w:tcPr>
            <w:tcW w:w="710" w:type="dxa"/>
            <w:noWrap w:val="0"/>
            <w:vAlign w:val="center"/>
          </w:tcPr>
          <w:p>
            <w:pPr>
              <w:spacing w:line="300" w:lineRule="exact"/>
              <w:ind w:firstLine="0" w:firstLineChars="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spacing w:line="300" w:lineRule="exact"/>
              <w:ind w:firstLine="0" w:firstLineChars="0"/>
              <w:jc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25</w:t>
            </w:r>
          </w:p>
        </w:tc>
        <w:tc>
          <w:tcPr>
            <w:tcW w:w="8387" w:type="dxa"/>
            <w:gridSpan w:val="4"/>
            <w:noWrap w:val="0"/>
            <w:vAlign w:val="center"/>
          </w:tcPr>
          <w:p>
            <w:pPr>
              <w:widowControl/>
              <w:shd w:val="clear" w:color="auto" w:fill="FFFFFF"/>
              <w:spacing w:line="300" w:lineRule="exact"/>
              <w:ind w:firstLine="0" w:firstLineChars="0"/>
              <w:jc w:val="left"/>
              <w:textAlignment w:val="baseline"/>
              <w:rPr>
                <w:rFonts w:ascii="宋体" w:hAnsi="宋体" w:eastAsia="宋体"/>
                <w:color w:val="000000"/>
                <w:sz w:val="21"/>
                <w:szCs w:val="21"/>
              </w:rPr>
            </w:pPr>
            <w:r>
              <w:rPr>
                <w:rFonts w:hint="eastAsia" w:ascii="宋体" w:hAnsi="宋体" w:eastAsia="宋体"/>
                <w:color w:val="000000"/>
                <w:sz w:val="21"/>
                <w:szCs w:val="21"/>
              </w:rPr>
              <w:t>1、设备交验时须提供完整的技术资料（含设备使用说明书、易损易耗件、生产厂家名称和联系电话、电气原理图，设备操作规程及安全注意事项等，提供电子技术资料一份），并按提供易损易耗件备品备件。</w:t>
            </w:r>
          </w:p>
          <w:p>
            <w:pPr>
              <w:widowControl/>
              <w:shd w:val="clear" w:color="auto" w:fill="FFFFFF"/>
              <w:spacing w:line="300" w:lineRule="exact"/>
              <w:ind w:firstLine="0" w:firstLineChars="0"/>
              <w:jc w:val="left"/>
              <w:textAlignment w:val="baseline"/>
              <w:rPr>
                <w:rFonts w:ascii="宋体" w:hAnsi="宋体" w:eastAsia="宋体"/>
                <w:color w:val="000000"/>
                <w:sz w:val="21"/>
                <w:szCs w:val="21"/>
              </w:rPr>
            </w:pPr>
            <w:r>
              <w:rPr>
                <w:rFonts w:hint="eastAsia" w:ascii="宋体" w:hAnsi="宋体" w:eastAsia="宋体"/>
                <w:color w:val="000000"/>
                <w:sz w:val="21"/>
                <w:szCs w:val="21"/>
              </w:rPr>
              <w:t>2、设备投入运用并试运转后进行验收交接，如设备</w:t>
            </w:r>
            <w:r>
              <w:rPr>
                <w:rFonts w:hint="eastAsia" w:ascii="宋体" w:hAnsi="宋体"/>
                <w:color w:val="000000"/>
                <w:sz w:val="21"/>
                <w:szCs w:val="21"/>
                <w:lang w:val="en-US" w:eastAsia="zh-CN"/>
              </w:rPr>
              <w:t>试用或</w:t>
            </w:r>
            <w:r>
              <w:rPr>
                <w:rFonts w:hint="eastAsia" w:ascii="宋体" w:hAnsi="宋体" w:eastAsia="宋体"/>
                <w:color w:val="000000"/>
                <w:sz w:val="21"/>
                <w:szCs w:val="21"/>
              </w:rPr>
              <w:t>测试过程中发现设备性能指标或功能上招标要求和合同规定时，将被看作性能不合格，设备使用单位有权拒收并要求赔偿等。</w:t>
            </w:r>
          </w:p>
          <w:p>
            <w:pPr>
              <w:widowControl/>
              <w:shd w:val="clear" w:color="auto" w:fill="FFFFFF"/>
              <w:spacing w:line="300" w:lineRule="exact"/>
              <w:ind w:firstLine="0" w:firstLineChars="0"/>
              <w:jc w:val="left"/>
              <w:textAlignment w:val="baseline"/>
              <w:rPr>
                <w:rFonts w:hint="eastAsia" w:ascii="宋体" w:hAnsi="宋体" w:eastAsia="宋体"/>
                <w:color w:val="000000"/>
                <w:sz w:val="21"/>
                <w:szCs w:val="21"/>
              </w:rPr>
            </w:pPr>
            <w:r>
              <w:rPr>
                <w:rFonts w:hint="eastAsia" w:ascii="宋体" w:hAnsi="宋体" w:eastAsia="宋体"/>
                <w:color w:val="000000"/>
                <w:sz w:val="21"/>
                <w:szCs w:val="21"/>
              </w:rPr>
              <w:t>3、设备验收通过后需提供2年免费质保，如设备发生故障需在12小时内必须解决，如无法按时解决将扣除质量保证金或要求赔偿等。</w:t>
            </w:r>
          </w:p>
          <w:p>
            <w:pPr>
              <w:widowControl/>
              <w:shd w:val="clear" w:color="auto" w:fill="FFFFFF"/>
              <w:spacing w:line="300" w:lineRule="exact"/>
              <w:ind w:firstLine="0" w:firstLineChars="0"/>
              <w:jc w:val="left"/>
              <w:textAlignment w:val="baseline"/>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4、中标供应商签订合同时提供所有产品的原厂售后服务承诺书原件。</w:t>
            </w:r>
          </w:p>
        </w:tc>
      </w:tr>
    </w:tbl>
    <w:p>
      <w:pPr>
        <w:ind w:left="0" w:leftChars="0" w:firstLine="0" w:firstLine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华文中宋" w:hAnsi="华文中宋" w:eastAsia="华文中宋" w:cs="华文中宋"/>
          <w:b/>
          <w:bCs/>
          <w:color w:val="auto"/>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华文中宋" w:hAnsi="华文中宋" w:eastAsia="华文中宋" w:cs="华文中宋"/>
          <w:b/>
          <w:bCs/>
          <w:color w:val="auto"/>
          <w:sz w:val="44"/>
          <w:szCs w:val="44"/>
          <w:lang w:eastAsia="zh-CN"/>
        </w:rPr>
      </w:pPr>
    </w:p>
    <w:p>
      <w:pPr>
        <w:pStyle w:val="8"/>
        <w:rPr>
          <w:rFonts w:hint="eastAsia" w:ascii="华文中宋" w:hAnsi="华文中宋" w:eastAsia="华文中宋" w:cs="华文中宋"/>
          <w:b/>
          <w:bCs/>
          <w:color w:val="auto"/>
          <w:sz w:val="44"/>
          <w:szCs w:val="44"/>
          <w:lang w:eastAsia="zh-CN"/>
        </w:rPr>
      </w:pPr>
    </w:p>
    <w:p>
      <w:pPr>
        <w:pStyle w:val="9"/>
        <w:ind w:left="0" w:leftChars="0" w:firstLine="0" w:firstLineChars="0"/>
        <w:rPr>
          <w:rFonts w:hint="eastAsia" w:ascii="华文中宋" w:hAnsi="华文中宋" w:eastAsia="华文中宋" w:cs="华文中宋"/>
          <w:b/>
          <w:bCs/>
          <w:color w:val="auto"/>
          <w:sz w:val="44"/>
          <w:szCs w:val="44"/>
          <w:lang w:eastAsia="zh-CN"/>
        </w:rPr>
      </w:pPr>
    </w:p>
    <w:p>
      <w:pPr>
        <w:pStyle w:val="11"/>
        <w:rPr>
          <w:rFonts w:hint="eastAsia" w:ascii="华文中宋" w:hAnsi="华文中宋" w:eastAsia="华文中宋" w:cs="华文中宋"/>
          <w:b/>
          <w:bCs/>
          <w:color w:val="auto"/>
          <w:sz w:val="44"/>
          <w:szCs w:val="44"/>
          <w:lang w:eastAsia="zh-CN"/>
        </w:rPr>
      </w:pP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华文中宋" w:hAnsi="华文中宋" w:eastAsia="华文中宋" w:cs="华文中宋"/>
          <w:b/>
          <w:bCs/>
          <w:color w:val="auto"/>
          <w:sz w:val="44"/>
          <w:szCs w:val="44"/>
          <w:lang w:eastAsia="zh-CN"/>
        </w:rPr>
      </w:pPr>
    </w:p>
    <w:p>
      <w:pPr>
        <w:keepNext w:val="0"/>
        <w:keepLines w:val="0"/>
        <w:pageBreakBefore w:val="0"/>
        <w:numPr>
          <w:ilvl w:val="0"/>
          <w:numId w:val="0"/>
        </w:numPr>
        <w:kinsoku/>
        <w:wordWrap/>
        <w:overflowPunct/>
        <w:topLinePunct w:val="0"/>
        <w:autoSpaceDE/>
        <w:autoSpaceDN/>
        <w:bidi w:val="0"/>
        <w:jc w:val="center"/>
        <w:outlineLvl w:val="0"/>
        <w:rPr>
          <w:rFonts w:hint="eastAsia" w:ascii="宋体"/>
          <w:b/>
          <w:bCs/>
          <w:color w:val="auto"/>
          <w:sz w:val="44"/>
          <w:szCs w:val="44"/>
        </w:rPr>
      </w:pPr>
      <w:bookmarkStart w:id="267" w:name="_Toc4237"/>
      <w:r>
        <w:rPr>
          <w:rFonts w:hint="eastAsia" w:ascii="华文中宋" w:hAnsi="华文中宋" w:eastAsia="华文中宋" w:cs="华文中宋"/>
          <w:b/>
          <w:bCs/>
          <w:color w:val="auto"/>
          <w:sz w:val="44"/>
          <w:szCs w:val="44"/>
          <w:lang w:eastAsia="zh-CN"/>
        </w:rPr>
        <w:t>第四部分</w:t>
      </w:r>
      <w:r>
        <w:rPr>
          <w:rFonts w:hint="eastAsia" w:ascii="华文中宋" w:hAnsi="华文中宋" w:eastAsia="华文中宋" w:cs="华文中宋"/>
          <w:b/>
          <w:bCs/>
          <w:color w:val="auto"/>
          <w:sz w:val="44"/>
          <w:szCs w:val="44"/>
          <w:lang w:val="en-US" w:eastAsia="zh-CN"/>
        </w:rPr>
        <w:t xml:space="preserve"> </w:t>
      </w:r>
      <w:r>
        <w:rPr>
          <w:rFonts w:hint="eastAsia" w:ascii="华文中宋" w:hAnsi="华文中宋" w:eastAsia="华文中宋" w:cs="华文中宋"/>
          <w:b/>
          <w:bCs/>
          <w:color w:val="auto"/>
          <w:sz w:val="44"/>
          <w:szCs w:val="44"/>
          <w:lang w:eastAsia="zh-CN"/>
        </w:rPr>
        <w:t>询价响应文件格式</w:t>
      </w:r>
      <w:bookmarkEnd w:id="259"/>
      <w:bookmarkEnd w:id="260"/>
      <w:bookmarkEnd w:id="261"/>
      <w:bookmarkEnd w:id="262"/>
      <w:bookmarkEnd w:id="263"/>
      <w:bookmarkEnd w:id="264"/>
      <w:bookmarkEnd w:id="265"/>
      <w:bookmarkEnd w:id="266"/>
      <w:bookmarkEnd w:id="267"/>
    </w:p>
    <w:p>
      <w:pPr>
        <w:keepNext w:val="0"/>
        <w:keepLines w:val="0"/>
        <w:pageBreakBefore w:val="0"/>
        <w:kinsoku/>
        <w:wordWrap/>
        <w:overflowPunct/>
        <w:topLinePunct w:val="0"/>
        <w:autoSpaceDE/>
        <w:autoSpaceDN/>
        <w:bidi w:val="0"/>
        <w:outlineLvl w:val="9"/>
        <w:rPr>
          <w:rFonts w:hint="eastAsia"/>
          <w:color w:val="auto"/>
          <w:lang w:val="en-US" w:eastAsia="zh-CN"/>
        </w:rPr>
      </w:pPr>
      <w:bookmarkStart w:id="268" w:name="_Toc4945_WPSOffice_Level2"/>
      <w:bookmarkStart w:id="269" w:name="_Toc20166_WPSOffice_Level2"/>
      <w:bookmarkStart w:id="270" w:name="_Toc11968"/>
      <w:bookmarkStart w:id="271" w:name="_Toc12691_WPSOffice_Level2"/>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宋体" w:hAnsi="宋体" w:eastAsia="宋体" w:cs="宋体"/>
          <w:color w:val="auto"/>
          <w:kern w:val="2"/>
          <w:sz w:val="24"/>
          <w:szCs w:val="24"/>
          <w:lang w:val="en-US" w:eastAsia="zh-CN" w:bidi="ar-SA"/>
        </w:rPr>
      </w:pPr>
      <w:r>
        <w:rPr>
          <w:rFonts w:hint="eastAsia" w:ascii="黑体" w:hAnsi="黑体" w:eastAsia="黑体" w:cs="黑体"/>
          <w:color w:val="auto"/>
          <w:kern w:val="2"/>
          <w:sz w:val="32"/>
          <w:szCs w:val="32"/>
          <w:lang w:val="en-US" w:eastAsia="zh-CN" w:bidi="ar-SA"/>
        </w:rPr>
        <w:t>十二、询价响应文件的组成</w:t>
      </w:r>
      <w:bookmarkEnd w:id="268"/>
      <w:bookmarkEnd w:id="269"/>
      <w:bookmarkEnd w:id="270"/>
      <w:bookmarkEnd w:id="271"/>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bCs/>
          <w:color w:val="auto"/>
          <w:kern w:val="2"/>
          <w:sz w:val="24"/>
          <w:szCs w:val="24"/>
          <w:lang w:val="zh-CN" w:eastAsia="zh-CN" w:bidi="ar-SA"/>
        </w:rPr>
      </w:pPr>
      <w:bookmarkStart w:id="272" w:name="_Toc185_WPSOffice_Level2"/>
      <w:bookmarkStart w:id="273" w:name="_Toc22172"/>
      <w:bookmarkStart w:id="274" w:name="_Toc31451_WPSOffice_Level3"/>
      <w:r>
        <w:rPr>
          <w:rFonts w:hint="eastAsia" w:ascii="宋体" w:hAnsi="宋体" w:eastAsia="宋体" w:cs="宋体"/>
          <w:b/>
          <w:bCs/>
          <w:color w:val="auto"/>
          <w:kern w:val="2"/>
          <w:sz w:val="24"/>
          <w:szCs w:val="24"/>
          <w:lang w:val="zh-CN" w:eastAsia="zh-CN" w:bidi="ar-SA"/>
        </w:rPr>
        <w:t>（一）资格审查部分</w:t>
      </w:r>
      <w:bookmarkEnd w:id="272"/>
      <w:bookmarkEnd w:id="273"/>
      <w:bookmarkEnd w:id="274"/>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75" w:name="_Toc19260_WPSOffice_Level3"/>
      <w:r>
        <w:rPr>
          <w:rFonts w:hint="eastAsia" w:ascii="宋体" w:hAnsi="宋体" w:eastAsia="宋体" w:cs="宋体"/>
          <w:color w:val="auto"/>
          <w:kern w:val="2"/>
          <w:sz w:val="24"/>
          <w:szCs w:val="24"/>
          <w:lang w:val="zh-CN" w:eastAsia="zh-CN" w:bidi="ar-SA"/>
        </w:rPr>
        <w:t>1、响应函（见附件1）</w:t>
      </w:r>
      <w:bookmarkEnd w:id="275"/>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76" w:name="_Toc13122_WPSOffice_Level3"/>
      <w:r>
        <w:rPr>
          <w:rFonts w:hint="eastAsia" w:ascii="宋体" w:hAnsi="宋体" w:eastAsia="宋体" w:cs="宋体"/>
          <w:color w:val="auto"/>
          <w:kern w:val="2"/>
          <w:sz w:val="24"/>
          <w:szCs w:val="24"/>
          <w:lang w:val="zh-CN" w:eastAsia="zh-CN" w:bidi="ar-SA"/>
        </w:rPr>
        <w:t>2、法定代表人证明书（见附件2）</w:t>
      </w:r>
      <w:bookmarkEnd w:id="276"/>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77" w:name="_Toc5677_WPSOffice_Level3"/>
      <w:r>
        <w:rPr>
          <w:rFonts w:hint="eastAsia" w:ascii="宋体" w:hAnsi="宋体" w:eastAsia="宋体" w:cs="宋体"/>
          <w:color w:val="auto"/>
          <w:kern w:val="2"/>
          <w:sz w:val="24"/>
          <w:szCs w:val="24"/>
          <w:lang w:val="zh-CN" w:eastAsia="zh-CN" w:bidi="ar-SA"/>
        </w:rPr>
        <w:t>3、法定代表人授权书（见附件3）</w:t>
      </w:r>
      <w:bookmarkEnd w:id="277"/>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78" w:name="_Toc1890_WPSOffice_Level3"/>
      <w:r>
        <w:rPr>
          <w:rFonts w:hint="eastAsia" w:ascii="宋体" w:hAnsi="宋体" w:eastAsia="宋体" w:cs="宋体"/>
          <w:color w:val="auto"/>
          <w:kern w:val="2"/>
          <w:sz w:val="24"/>
          <w:szCs w:val="24"/>
          <w:lang w:val="zh-CN" w:eastAsia="zh-CN" w:bidi="ar-SA"/>
        </w:rPr>
        <w:t>4、供应商承诺函（见附件4）</w:t>
      </w:r>
      <w:bookmarkEnd w:id="278"/>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79" w:name="_Toc25873_WPSOffice_Level3"/>
      <w:r>
        <w:rPr>
          <w:rFonts w:hint="eastAsia" w:ascii="宋体" w:hAnsi="宋体" w:eastAsia="宋体" w:cs="宋体"/>
          <w:color w:val="auto"/>
          <w:kern w:val="2"/>
          <w:sz w:val="24"/>
          <w:szCs w:val="24"/>
          <w:lang w:val="zh-CN" w:eastAsia="zh-CN" w:bidi="ar-SA"/>
        </w:rPr>
        <w:t>5、供应商诚信承诺书（见附件5）</w:t>
      </w:r>
      <w:bookmarkEnd w:id="279"/>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80" w:name="_Toc31370_WPSOffice_Level3"/>
      <w:r>
        <w:rPr>
          <w:rFonts w:hint="eastAsia" w:ascii="宋体" w:hAnsi="宋体" w:eastAsia="宋体" w:cs="宋体"/>
          <w:color w:val="auto"/>
          <w:kern w:val="2"/>
          <w:sz w:val="24"/>
          <w:szCs w:val="24"/>
          <w:lang w:val="zh-CN" w:eastAsia="zh-CN" w:bidi="ar-SA"/>
        </w:rPr>
        <w:t>6、供应商资格证明文件（见附件6）</w:t>
      </w:r>
      <w:bookmarkEnd w:id="280"/>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81" w:name="_Toc10045_WPSOffice_Level3"/>
      <w:r>
        <w:rPr>
          <w:rFonts w:hint="eastAsia" w:ascii="宋体" w:hAnsi="宋体" w:eastAsia="宋体" w:cs="宋体"/>
          <w:color w:val="auto"/>
          <w:kern w:val="2"/>
          <w:sz w:val="24"/>
          <w:szCs w:val="24"/>
          <w:lang w:val="zh-CN" w:eastAsia="zh-CN" w:bidi="ar-SA"/>
        </w:rPr>
        <w:t>7、财务状况、缴纳税收和社会保障资金证明（见附件7）</w:t>
      </w:r>
      <w:bookmarkEnd w:id="281"/>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82" w:name="_Toc12223_WPSOffice_Level3"/>
      <w:r>
        <w:rPr>
          <w:rFonts w:hint="eastAsia" w:ascii="宋体" w:hAnsi="宋体" w:eastAsia="宋体" w:cs="宋体"/>
          <w:color w:val="auto"/>
          <w:kern w:val="2"/>
          <w:sz w:val="24"/>
          <w:szCs w:val="24"/>
          <w:lang w:val="zh-CN" w:eastAsia="zh-CN" w:bidi="ar-SA"/>
        </w:rPr>
        <w:t>8、无重大违法记录声明（见附件</w:t>
      </w:r>
      <w:r>
        <w:rPr>
          <w:rFonts w:hint="eastAsia" w:ascii="宋体" w:hAnsi="宋体" w:eastAsia="宋体" w:cs="宋体"/>
          <w:color w:val="auto"/>
          <w:kern w:val="2"/>
          <w:sz w:val="24"/>
          <w:szCs w:val="24"/>
          <w:lang w:val="en-US" w:eastAsia="zh-CN" w:bidi="ar-SA"/>
        </w:rPr>
        <w:t>8</w:t>
      </w:r>
      <w:r>
        <w:rPr>
          <w:rFonts w:hint="eastAsia" w:ascii="宋体" w:hAnsi="宋体" w:eastAsia="宋体" w:cs="宋体"/>
          <w:color w:val="auto"/>
          <w:kern w:val="2"/>
          <w:sz w:val="24"/>
          <w:szCs w:val="24"/>
          <w:lang w:val="zh-CN" w:eastAsia="zh-CN" w:bidi="ar-SA"/>
        </w:rPr>
        <w:t>）</w:t>
      </w:r>
      <w:bookmarkEnd w:id="282"/>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bCs/>
          <w:color w:val="auto"/>
          <w:kern w:val="2"/>
          <w:sz w:val="24"/>
          <w:szCs w:val="24"/>
          <w:lang w:val="zh-CN" w:eastAsia="zh-CN" w:bidi="ar-SA"/>
        </w:rPr>
      </w:pPr>
      <w:bookmarkStart w:id="283" w:name="_Toc18301_WPSOffice_Level3"/>
      <w:bookmarkStart w:id="284" w:name="_Toc21135"/>
      <w:bookmarkStart w:id="285" w:name="_Toc3154_WPSOffice_Level2"/>
      <w:r>
        <w:rPr>
          <w:rFonts w:hint="eastAsia" w:ascii="宋体" w:hAnsi="宋体" w:eastAsia="宋体" w:cs="宋体"/>
          <w:b/>
          <w:bCs/>
          <w:color w:val="auto"/>
          <w:kern w:val="2"/>
          <w:sz w:val="24"/>
          <w:szCs w:val="24"/>
          <w:lang w:val="zh-CN" w:eastAsia="zh-CN" w:bidi="ar-SA"/>
        </w:rPr>
        <w:t>（二）有效性、完整性、响应程度审查部分</w:t>
      </w:r>
      <w:bookmarkEnd w:id="283"/>
      <w:bookmarkEnd w:id="284"/>
      <w:bookmarkEnd w:id="285"/>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86" w:name="_Toc9730_WPSOffice_Level3"/>
      <w:r>
        <w:rPr>
          <w:rFonts w:hint="eastAsia" w:ascii="宋体" w:hAnsi="宋体" w:eastAsia="宋体" w:cs="宋体"/>
          <w:color w:val="auto"/>
          <w:kern w:val="2"/>
          <w:sz w:val="24"/>
          <w:szCs w:val="24"/>
          <w:lang w:val="zh-CN" w:eastAsia="zh-CN" w:bidi="ar-SA"/>
        </w:rPr>
        <w:t>1、</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首次报价表（见附件</w:t>
      </w:r>
      <w:r>
        <w:rPr>
          <w:rFonts w:hint="eastAsia" w:ascii="宋体" w:hAnsi="宋体" w:cs="宋体"/>
          <w:color w:val="auto"/>
          <w:kern w:val="2"/>
          <w:sz w:val="24"/>
          <w:szCs w:val="24"/>
          <w:lang w:val="en-US" w:eastAsia="zh-CN" w:bidi="ar-SA"/>
        </w:rPr>
        <w:t>9</w:t>
      </w:r>
      <w:r>
        <w:rPr>
          <w:rFonts w:hint="eastAsia" w:ascii="宋体" w:hAnsi="宋体" w:eastAsia="宋体" w:cs="宋体"/>
          <w:color w:val="auto"/>
          <w:kern w:val="2"/>
          <w:sz w:val="24"/>
          <w:szCs w:val="24"/>
          <w:lang w:val="zh-CN" w:eastAsia="zh-CN" w:bidi="ar-SA"/>
        </w:rPr>
        <w:t>）</w:t>
      </w:r>
      <w:bookmarkEnd w:id="286"/>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87" w:name="_Toc15196_WPSOffice_Level3"/>
      <w:r>
        <w:rPr>
          <w:rFonts w:hint="eastAsia" w:ascii="宋体" w:hAnsi="宋体" w:eastAsia="宋体" w:cs="宋体"/>
          <w:color w:val="auto"/>
          <w:kern w:val="2"/>
          <w:sz w:val="24"/>
          <w:szCs w:val="24"/>
          <w:lang w:val="zh-CN" w:eastAsia="zh-CN" w:bidi="ar-SA"/>
        </w:rPr>
        <w:t>2、分项报价表（见附件1</w:t>
      </w:r>
      <w:r>
        <w:rPr>
          <w:rFonts w:hint="eastAsia" w:ascii="宋体" w:hAnsi="宋体" w:cs="宋体"/>
          <w:color w:val="auto"/>
          <w:kern w:val="2"/>
          <w:sz w:val="24"/>
          <w:szCs w:val="24"/>
          <w:lang w:val="en-US" w:eastAsia="zh-CN" w:bidi="ar-SA"/>
        </w:rPr>
        <w:t>0</w:t>
      </w:r>
      <w:r>
        <w:rPr>
          <w:rFonts w:hint="eastAsia" w:ascii="宋体" w:hAnsi="宋体" w:eastAsia="宋体" w:cs="宋体"/>
          <w:color w:val="auto"/>
          <w:kern w:val="2"/>
          <w:sz w:val="24"/>
          <w:szCs w:val="24"/>
          <w:lang w:val="zh-CN" w:eastAsia="zh-CN" w:bidi="ar-SA"/>
        </w:rPr>
        <w:t>）</w:t>
      </w:r>
      <w:bookmarkEnd w:id="287"/>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88" w:name="_Toc319_WPSOffice_Level3"/>
      <w:r>
        <w:rPr>
          <w:rFonts w:hint="eastAsia" w:ascii="宋体" w:hAnsi="宋体" w:eastAsia="宋体" w:cs="宋体"/>
          <w:color w:val="auto"/>
          <w:kern w:val="2"/>
          <w:sz w:val="24"/>
          <w:szCs w:val="24"/>
          <w:lang w:val="zh-CN" w:eastAsia="zh-CN" w:bidi="ar-SA"/>
        </w:rPr>
        <w:t>3、技术规格响应表（见附件1</w:t>
      </w:r>
      <w:r>
        <w:rPr>
          <w:rFonts w:hint="eastAsia" w:ascii="宋体" w:hAnsi="宋体" w:cs="宋体"/>
          <w:color w:val="auto"/>
          <w:kern w:val="2"/>
          <w:sz w:val="24"/>
          <w:szCs w:val="24"/>
          <w:lang w:val="en-US" w:eastAsia="zh-CN" w:bidi="ar-SA"/>
        </w:rPr>
        <w:t>1</w:t>
      </w:r>
      <w:r>
        <w:rPr>
          <w:rFonts w:hint="eastAsia" w:ascii="宋体" w:hAnsi="宋体" w:eastAsia="宋体" w:cs="宋体"/>
          <w:color w:val="auto"/>
          <w:kern w:val="2"/>
          <w:sz w:val="24"/>
          <w:szCs w:val="24"/>
          <w:lang w:val="zh-CN" w:eastAsia="zh-CN" w:bidi="ar-SA"/>
        </w:rPr>
        <w:t>）</w:t>
      </w:r>
      <w:bookmarkEnd w:id="288"/>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89" w:name="_Toc22060_WPSOffice_Level3"/>
      <w:r>
        <w:rPr>
          <w:rFonts w:hint="eastAsia"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zh-CN" w:eastAsia="zh-CN" w:bidi="ar-SA"/>
        </w:rPr>
        <w:t>、</w:t>
      </w:r>
      <w:r>
        <w:rPr>
          <w:rFonts w:hint="eastAsia" w:ascii="宋体" w:hAnsi="宋体" w:cs="宋体"/>
          <w:color w:val="auto"/>
          <w:kern w:val="2"/>
          <w:sz w:val="24"/>
          <w:szCs w:val="24"/>
          <w:lang w:val="zh-CN" w:eastAsia="zh-CN" w:bidi="ar-SA"/>
        </w:rPr>
        <w:t>产品相关资料</w:t>
      </w:r>
      <w:r>
        <w:rPr>
          <w:rFonts w:hint="eastAsia" w:ascii="宋体" w:hAnsi="宋体" w:eastAsia="宋体" w:cs="宋体"/>
          <w:color w:val="auto"/>
          <w:kern w:val="2"/>
          <w:sz w:val="24"/>
          <w:szCs w:val="24"/>
          <w:lang w:val="zh-CN" w:eastAsia="zh-CN" w:bidi="ar-SA"/>
        </w:rPr>
        <w:t>（附件1</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zh-CN" w:eastAsia="zh-CN" w:bidi="ar-SA"/>
        </w:rPr>
        <w:t>）</w:t>
      </w:r>
    </w:p>
    <w:bookmarkEnd w:id="289"/>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90" w:name="_Toc5088_WPSOffice_Level3"/>
      <w:r>
        <w:rPr>
          <w:rFonts w:hint="eastAsia" w:ascii="宋体"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bookmarkEnd w:id="290"/>
      <w:bookmarkStart w:id="291" w:name="_Toc16307_WPSOffice_Level3"/>
      <w:r>
        <w:rPr>
          <w:rFonts w:hint="eastAsia" w:ascii="宋体" w:hAnsi="宋体" w:eastAsia="宋体" w:cs="宋体"/>
          <w:color w:val="auto"/>
          <w:kern w:val="2"/>
          <w:sz w:val="24"/>
          <w:szCs w:val="24"/>
          <w:lang w:val="zh-CN" w:eastAsia="zh-CN" w:bidi="ar-SA"/>
        </w:rPr>
        <w:t>供应商认为在其他方面有必要说明的事项（格式自定）</w:t>
      </w:r>
      <w:bookmarkEnd w:id="291"/>
      <w:r>
        <w:rPr>
          <w:rFonts w:hint="eastAsia" w:ascii="宋体" w:hAnsi="宋体" w:eastAsia="宋体" w:cs="宋体"/>
          <w:color w:val="auto"/>
          <w:kern w:val="2"/>
          <w:sz w:val="24"/>
          <w:szCs w:val="24"/>
          <w:lang w:val="zh-CN" w:eastAsia="zh-CN" w:bidi="ar-SA"/>
        </w:rPr>
        <w:t>（附件1</w:t>
      </w: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en-US" w:eastAsia="zh-CN" w:bidi="ar-SA"/>
        </w:rPr>
      </w:pPr>
    </w:p>
    <w:p>
      <w:pPr>
        <w:keepNext w:val="0"/>
        <w:keepLines w:val="0"/>
        <w:pageBreakBefore w:val="0"/>
        <w:kinsoku/>
        <w:wordWrap/>
        <w:overflowPunct/>
        <w:topLinePunct w:val="0"/>
        <w:autoSpaceDE/>
        <w:autoSpaceDN/>
        <w:bidi w:val="0"/>
        <w:outlineLvl w:val="9"/>
        <w:rPr>
          <w:rFonts w:hint="eastAsia" w:ascii="黑体" w:hAnsi="黑体" w:eastAsia="黑体" w:cs="黑体"/>
          <w:color w:val="auto"/>
          <w:kern w:val="2"/>
          <w:sz w:val="32"/>
          <w:szCs w:val="32"/>
          <w:lang w:val="en-US" w:eastAsia="zh-CN" w:bidi="ar-SA"/>
        </w:rPr>
      </w:pPr>
      <w:bookmarkStart w:id="292" w:name="_Toc1684_WPSOffice_Level2"/>
      <w:bookmarkStart w:id="293" w:name="_Toc5252_WPSOffice_Level2"/>
      <w:bookmarkStart w:id="294" w:name="_Toc14930_WPSOffice_Level2"/>
      <w:bookmarkStart w:id="295" w:name="_Toc11918"/>
      <w:r>
        <w:rPr>
          <w:rFonts w:hint="eastAsia" w:ascii="黑体" w:hAnsi="黑体" w:eastAsia="黑体" w:cs="黑体"/>
          <w:color w:val="auto"/>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十三、询价响应文件</w:t>
      </w:r>
      <w:bookmarkEnd w:id="292"/>
      <w:bookmarkEnd w:id="293"/>
      <w:bookmarkEnd w:id="294"/>
      <w:bookmarkEnd w:id="295"/>
    </w:p>
    <w:p>
      <w:pPr>
        <w:keepNext w:val="0"/>
        <w:keepLines w:val="0"/>
        <w:pageBreakBefore w:val="0"/>
        <w:kinsoku/>
        <w:wordWrap/>
        <w:overflowPunct/>
        <w:topLinePunct w:val="0"/>
        <w:autoSpaceDE/>
        <w:autoSpaceDN/>
        <w:bidi w:val="0"/>
        <w:spacing w:before="157" w:beforeLines="50" w:line="560" w:lineRule="exact"/>
        <w:ind w:firstLine="1285" w:firstLineChars="400"/>
        <w:outlineLvl w:val="9"/>
        <w:rPr>
          <w:rFonts w:hint="eastAsia" w:ascii="仿宋_GB2312" w:hAnsi="仿宋_GB2312" w:eastAsia="仿宋_GB2312" w:cs="仿宋_GB2312"/>
          <w:b/>
          <w:color w:val="auto"/>
          <w:sz w:val="32"/>
          <w:szCs w:val="32"/>
        </w:rPr>
      </w:pPr>
      <w:bookmarkStart w:id="296" w:name="_Toc28269_WPSOffice_Level3"/>
    </w:p>
    <w:p>
      <w:pPr>
        <w:keepNext w:val="0"/>
        <w:keepLines w:val="0"/>
        <w:pageBreakBefore w:val="0"/>
        <w:kinsoku/>
        <w:wordWrap/>
        <w:overflowPunct/>
        <w:topLinePunct w:val="0"/>
        <w:autoSpaceDE/>
        <w:autoSpaceDN/>
        <w:bidi w:val="0"/>
        <w:spacing w:before="157" w:beforeLines="50" w:line="560" w:lineRule="exact"/>
        <w:jc w:val="center"/>
        <w:outlineLvl w:val="9"/>
        <w:rPr>
          <w:rFonts w:hint="eastAsia" w:ascii="仿宋_GB2312" w:hAnsi="仿宋_GB2312" w:eastAsia="仿宋_GB2312" w:cs="仿宋_GB2312"/>
          <w:b/>
          <w:color w:val="auto"/>
          <w:sz w:val="52"/>
          <w:szCs w:val="52"/>
        </w:rPr>
      </w:pPr>
      <w:bookmarkStart w:id="297" w:name="_Toc31682_WPSOffice_Level2"/>
      <w:bookmarkStart w:id="298" w:name="_Toc10997_WPSOffice_Level2"/>
      <w:r>
        <w:rPr>
          <w:rFonts w:hint="eastAsia" w:ascii="仿宋_GB2312" w:hAnsi="仿宋_GB2312" w:eastAsia="仿宋_GB2312" w:cs="仿宋_GB2312"/>
          <w:b/>
          <w:color w:val="auto"/>
          <w:sz w:val="52"/>
          <w:szCs w:val="52"/>
        </w:rPr>
        <w:t>青海省采购项目</w:t>
      </w:r>
      <w:bookmarkEnd w:id="296"/>
      <w:bookmarkEnd w:id="297"/>
      <w:bookmarkEnd w:id="298"/>
      <w:bookmarkStart w:id="299" w:name="_Toc25378_WPSOffice_Level2"/>
      <w:bookmarkStart w:id="300" w:name="_Toc23622_WPSOffice_Level2"/>
      <w:r>
        <w:rPr>
          <w:rFonts w:hint="eastAsia" w:ascii="仿宋_GB2312" w:hAnsi="仿宋_GB2312" w:eastAsia="仿宋_GB2312" w:cs="仿宋_GB2312"/>
          <w:b/>
          <w:color w:val="auto"/>
          <w:sz w:val="52"/>
          <w:szCs w:val="52"/>
          <w:lang w:eastAsia="zh-CN"/>
        </w:rPr>
        <w:t>询价</w:t>
      </w:r>
      <w:r>
        <w:rPr>
          <w:rFonts w:hint="eastAsia" w:ascii="仿宋_GB2312" w:hAnsi="仿宋_GB2312" w:eastAsia="仿宋_GB2312" w:cs="仿宋_GB2312"/>
          <w:b/>
          <w:color w:val="auto"/>
          <w:sz w:val="52"/>
          <w:szCs w:val="52"/>
        </w:rPr>
        <w:t>响应文件</w:t>
      </w:r>
      <w:bookmarkEnd w:id="299"/>
      <w:bookmarkEnd w:id="300"/>
    </w:p>
    <w:p>
      <w:pPr>
        <w:keepNext w:val="0"/>
        <w:keepLines w:val="0"/>
        <w:pageBreakBefore w:val="0"/>
        <w:kinsoku/>
        <w:wordWrap/>
        <w:overflowPunct/>
        <w:topLinePunct w:val="0"/>
        <w:autoSpaceDE/>
        <w:autoSpaceDN/>
        <w:bidi w:val="0"/>
        <w:adjustRightInd w:val="0"/>
        <w:spacing w:before="157" w:beforeLines="50" w:line="560" w:lineRule="exact"/>
        <w:ind w:firstLine="3052" w:firstLineChars="950"/>
        <w:textAlignment w:val="baseline"/>
        <w:outlineLvl w:val="9"/>
        <w:rPr>
          <w:rFonts w:hint="eastAsia" w:ascii="仿宋_GB2312" w:hAnsi="仿宋_GB2312" w:eastAsia="仿宋_GB2312" w:cs="仿宋_GB2312"/>
          <w:b/>
          <w:bCs/>
          <w:color w:val="auto"/>
          <w:sz w:val="32"/>
          <w:szCs w:val="32"/>
        </w:rPr>
      </w:pPr>
      <w:bookmarkStart w:id="301" w:name="_Toc13231_WPSOffice_Level2"/>
      <w:bookmarkStart w:id="302" w:name="_Toc28825_WPSOffice_Level2"/>
    </w:p>
    <w:p>
      <w:pPr>
        <w:keepNext w:val="0"/>
        <w:keepLines w:val="0"/>
        <w:pageBreakBefore w:val="0"/>
        <w:kinsoku/>
        <w:wordWrap/>
        <w:overflowPunct/>
        <w:topLinePunct w:val="0"/>
        <w:autoSpaceDE/>
        <w:autoSpaceDN/>
        <w:bidi w:val="0"/>
        <w:adjustRightInd w:val="0"/>
        <w:spacing w:before="157" w:beforeLines="50" w:line="560" w:lineRule="exact"/>
        <w:ind w:firstLine="3052" w:firstLineChars="950"/>
        <w:textAlignment w:val="baseline"/>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资格审查部分</w:t>
      </w:r>
      <w:r>
        <w:rPr>
          <w:rFonts w:hint="eastAsia" w:ascii="仿宋_GB2312" w:hAnsi="仿宋_GB2312" w:eastAsia="仿宋_GB2312" w:cs="仿宋_GB2312"/>
          <w:b/>
          <w:bCs/>
          <w:color w:val="auto"/>
          <w:sz w:val="32"/>
          <w:szCs w:val="32"/>
        </w:rPr>
        <w:t>）</w:t>
      </w:r>
      <w:bookmarkEnd w:id="301"/>
      <w:bookmarkEnd w:id="302"/>
    </w:p>
    <w:p>
      <w:pPr>
        <w:keepNext w:val="0"/>
        <w:keepLines w:val="0"/>
        <w:pageBreakBefore w:val="0"/>
        <w:kinsoku/>
        <w:wordWrap/>
        <w:overflowPunct/>
        <w:topLinePunct w:val="0"/>
        <w:autoSpaceDE/>
        <w:autoSpaceDN/>
        <w:bidi w:val="0"/>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lang w:eastAsia="zh-CN"/>
        </w:rPr>
      </w:pPr>
      <w:bookmarkStart w:id="303" w:name="_Toc29803_WPSOffice_Level2"/>
      <w:bookmarkStart w:id="304" w:name="_Toc19521_WPSOffice_Level2"/>
      <w:r>
        <w:rPr>
          <w:rFonts w:hint="eastAsia" w:ascii="仿宋_GB2312" w:hAnsi="仿宋_GB2312" w:eastAsia="仿宋_GB2312" w:cs="仿宋_GB2312"/>
          <w:b/>
          <w:bCs/>
          <w:color w:val="auto"/>
          <w:sz w:val="32"/>
          <w:szCs w:val="32"/>
        </w:rPr>
        <w:t>采购项目编号:</w:t>
      </w:r>
      <w:bookmarkEnd w:id="303"/>
      <w:bookmarkEnd w:id="304"/>
    </w:p>
    <w:p>
      <w:pPr>
        <w:keepNext w:val="0"/>
        <w:keepLines w:val="0"/>
        <w:pageBreakBefore w:val="0"/>
        <w:kinsoku/>
        <w:wordWrap/>
        <w:overflowPunct/>
        <w:topLinePunct w:val="0"/>
        <w:autoSpaceDE/>
        <w:autoSpaceDN/>
        <w:bidi w:val="0"/>
        <w:spacing w:before="157" w:beforeLines="50" w:line="560" w:lineRule="exact"/>
        <w:ind w:left="2530" w:hanging="2249" w:hangingChars="700"/>
        <w:jc w:val="left"/>
        <w:outlineLvl w:val="9"/>
        <w:rPr>
          <w:rFonts w:hint="eastAsia" w:ascii="仿宋_GB2312" w:hAnsi="仿宋_GB2312" w:eastAsia="仿宋_GB2312" w:cs="仿宋_GB2312"/>
          <w:b/>
          <w:bCs/>
          <w:color w:val="auto"/>
          <w:sz w:val="32"/>
          <w:szCs w:val="32"/>
        </w:rPr>
      </w:pPr>
      <w:bookmarkStart w:id="305" w:name="_Toc18713_WPSOffice_Level2"/>
      <w:bookmarkStart w:id="306" w:name="_Toc14786_WPSOffice_Level2"/>
      <w:r>
        <w:rPr>
          <w:rFonts w:hint="eastAsia" w:ascii="仿宋_GB2312" w:hAnsi="仿宋_GB2312" w:eastAsia="仿宋_GB2312" w:cs="仿宋_GB2312"/>
          <w:b/>
          <w:bCs/>
          <w:color w:val="auto"/>
          <w:sz w:val="32"/>
          <w:szCs w:val="32"/>
        </w:rPr>
        <w:t>采购项目名称:</w:t>
      </w:r>
      <w:bookmarkEnd w:id="305"/>
      <w:bookmarkEnd w:id="306"/>
      <w:r>
        <w:rPr>
          <w:rFonts w:hint="eastAsia" w:ascii="仿宋_GB2312" w:hAnsi="仿宋_GB2312" w:eastAsia="仿宋_GB2312" w:cs="仿宋_GB2312"/>
          <w:b/>
          <w:bCs/>
          <w:color w:val="auto"/>
          <w:sz w:val="32"/>
          <w:szCs w:val="32"/>
        </w:rPr>
        <w:t xml:space="preserve"> </w:t>
      </w:r>
    </w:p>
    <w:p>
      <w:pPr>
        <w:keepNext w:val="0"/>
        <w:keepLines w:val="0"/>
        <w:pageBreakBefore w:val="0"/>
        <w:kinsoku/>
        <w:wordWrap/>
        <w:overflowPunct/>
        <w:topLinePunct w:val="0"/>
        <w:autoSpaceDE/>
        <w:autoSpaceDN/>
        <w:bidi w:val="0"/>
        <w:spacing w:before="157" w:beforeLines="50" w:line="560" w:lineRule="exact"/>
        <w:ind w:left="2530" w:hanging="2249" w:hangingChars="700"/>
        <w:jc w:val="left"/>
        <w:outlineLvl w:val="9"/>
        <w:rPr>
          <w:rFonts w:hint="eastAsia" w:ascii="仿宋_GB2312" w:hAnsi="仿宋_GB2312" w:eastAsia="仿宋_GB2312" w:cs="仿宋_GB2312"/>
          <w:b/>
          <w:bCs/>
          <w:color w:val="auto"/>
          <w:sz w:val="32"/>
          <w:szCs w:val="32"/>
          <w:lang w:eastAsia="zh-CN"/>
        </w:rPr>
      </w:pPr>
      <w:bookmarkStart w:id="307" w:name="_Toc14087_WPSOffice_Level2"/>
      <w:bookmarkStart w:id="308" w:name="_Toc22044_WPSOffice_Level2"/>
      <w:r>
        <w:rPr>
          <w:rFonts w:hint="eastAsia" w:ascii="仿宋_GB2312" w:hAnsi="仿宋_GB2312" w:eastAsia="仿宋_GB2312" w:cs="仿宋_GB2312"/>
          <w:b/>
          <w:bCs/>
          <w:color w:val="auto"/>
          <w:sz w:val="32"/>
          <w:szCs w:val="32"/>
          <w:lang w:eastAsia="zh-CN"/>
        </w:rPr>
        <w:t>供应商名称：</w:t>
      </w:r>
      <w:bookmarkEnd w:id="307"/>
      <w:bookmarkEnd w:id="308"/>
    </w:p>
    <w:p>
      <w:pPr>
        <w:keepNext w:val="0"/>
        <w:keepLines w:val="0"/>
        <w:pageBreakBefore w:val="0"/>
        <w:kinsoku/>
        <w:wordWrap/>
        <w:overflowPunct/>
        <w:topLinePunct w:val="0"/>
        <w:autoSpaceDE/>
        <w:autoSpaceDN/>
        <w:bidi w:val="0"/>
        <w:spacing w:before="157" w:beforeLines="50" w:line="560" w:lineRule="exact"/>
        <w:jc w:val="center"/>
        <w:outlineLvl w:val="9"/>
        <w:rPr>
          <w:rFonts w:hint="eastAsia" w:ascii="仿宋_GB2312" w:hAnsi="仿宋_GB2312" w:eastAsia="仿宋_GB2312" w:cs="仿宋_GB2312"/>
          <w:b/>
          <w:bCs/>
          <w:color w:val="auto"/>
          <w:sz w:val="32"/>
          <w:szCs w:val="32"/>
        </w:rPr>
      </w:pPr>
    </w:p>
    <w:p>
      <w:pPr>
        <w:wordWrap/>
        <w:spacing w:before="157" w:beforeLines="50" w:line="560" w:lineRule="exact"/>
        <w:jc w:val="center"/>
        <w:outlineLvl w:val="9"/>
        <w:rPr>
          <w:rFonts w:hint="eastAsia" w:ascii="仿宋_GB2312" w:hAnsi="仿宋_GB2312" w:eastAsia="仿宋_GB2312" w:cs="仿宋_GB2312"/>
          <w:b/>
          <w:color w:val="auto"/>
          <w:sz w:val="32"/>
          <w:szCs w:val="32"/>
        </w:rPr>
      </w:pPr>
      <w:bookmarkStart w:id="309" w:name="_Toc1142_WPSOffice_Level3"/>
      <w:r>
        <w:rPr>
          <w:rFonts w:hint="eastAsia" w:ascii="仿宋_GB2312" w:hAnsi="仿宋_GB2312" w:eastAsia="仿宋_GB2312" w:cs="仿宋_GB2312"/>
          <w:b/>
          <w:color w:val="auto"/>
          <w:sz w:val="32"/>
          <w:szCs w:val="32"/>
        </w:rPr>
        <w:t>年  月  日</w:t>
      </w:r>
      <w:bookmarkEnd w:id="309"/>
    </w:p>
    <w:p>
      <w:pPr>
        <w:widowControl/>
        <w:wordWrap/>
        <w:snapToGrid w:val="0"/>
        <w:spacing w:before="157" w:beforeLines="50" w:line="560" w:lineRule="exact"/>
        <w:jc w:val="left"/>
        <w:outlineLvl w:val="9"/>
        <w:rPr>
          <w:rFonts w:hint="eastAsia" w:ascii="宋体"/>
          <w:b/>
          <w:color w:val="auto"/>
          <w:sz w:val="28"/>
          <w:szCs w:val="28"/>
        </w:rPr>
      </w:pPr>
    </w:p>
    <w:p>
      <w:pPr>
        <w:widowControl/>
        <w:wordWrap/>
        <w:snapToGrid w:val="0"/>
        <w:spacing w:before="157" w:beforeLines="50" w:line="560" w:lineRule="exact"/>
        <w:jc w:val="left"/>
        <w:outlineLvl w:val="2"/>
        <w:rPr>
          <w:rFonts w:hint="eastAsia" w:ascii="宋体" w:hAnsi="宋体" w:eastAsia="宋体" w:cs="宋体"/>
          <w:b/>
          <w:color w:val="auto"/>
          <w:sz w:val="24"/>
          <w:szCs w:val="24"/>
        </w:rPr>
      </w:pPr>
      <w:r>
        <w:rPr>
          <w:rFonts w:ascii="宋体"/>
          <w:b/>
          <w:color w:val="auto"/>
          <w:sz w:val="28"/>
          <w:szCs w:val="28"/>
        </w:rPr>
        <w:br w:type="page"/>
      </w:r>
      <w:bookmarkStart w:id="310" w:name="_Toc19203"/>
      <w:bookmarkStart w:id="311" w:name="_Toc32479_WPSOffice_Level3"/>
      <w:bookmarkStart w:id="312" w:name="_Toc27597"/>
      <w:bookmarkStart w:id="313" w:name="_Toc27578"/>
      <w:bookmarkStart w:id="314" w:name="_Toc24525"/>
      <w:r>
        <w:rPr>
          <w:rFonts w:hint="eastAsia" w:ascii="宋体" w:hAnsi="宋体" w:eastAsia="宋体" w:cs="宋体"/>
          <w:b/>
          <w:color w:val="auto"/>
          <w:sz w:val="24"/>
          <w:szCs w:val="24"/>
          <w:lang w:eastAsia="zh-CN"/>
        </w:rPr>
        <w:t>附件1：响应函</w:t>
      </w:r>
      <w:bookmarkEnd w:id="310"/>
      <w:bookmarkEnd w:id="311"/>
      <w:bookmarkEnd w:id="312"/>
      <w:bookmarkEnd w:id="313"/>
      <w:bookmarkEnd w:id="314"/>
    </w:p>
    <w:p>
      <w:pPr>
        <w:widowControl w:val="0"/>
        <w:wordWrap/>
        <w:spacing w:before="157" w:beforeLines="50" w:line="560" w:lineRule="exact"/>
        <w:jc w:val="center"/>
        <w:textAlignment w:val="auto"/>
        <w:outlineLvl w:val="9"/>
        <w:rPr>
          <w:rFonts w:hint="eastAsia" w:ascii="宋体" w:hAnsi="宋体" w:eastAsia="宋体" w:cs="宋体"/>
          <w:b/>
          <w:color w:val="auto"/>
          <w:sz w:val="24"/>
          <w:szCs w:val="24"/>
        </w:rPr>
      </w:pPr>
      <w:bookmarkStart w:id="315" w:name="_Toc22598_WPSOffice_Level2"/>
      <w:bookmarkStart w:id="316" w:name="_Toc24288_WPSOffice_Level2"/>
      <w:r>
        <w:rPr>
          <w:rFonts w:hint="eastAsia" w:ascii="宋体" w:hAnsi="宋体" w:eastAsia="宋体" w:cs="宋体"/>
          <w:b/>
          <w:color w:val="auto"/>
          <w:sz w:val="24"/>
          <w:szCs w:val="24"/>
          <w:lang w:eastAsia="zh-CN"/>
        </w:rPr>
        <w:t>响</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lang w:eastAsia="zh-CN"/>
        </w:rPr>
        <w:t>应</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函</w:t>
      </w:r>
      <w:bookmarkEnd w:id="315"/>
      <w:bookmarkEnd w:id="316"/>
    </w:p>
    <w:p>
      <w:pPr>
        <w:widowControl w:val="0"/>
        <w:wordWrap/>
        <w:adjustRightInd w:val="0"/>
        <w:snapToGrid w:val="0"/>
        <w:spacing w:line="560" w:lineRule="exact"/>
        <w:ind w:firstLine="480" w:firstLineChars="200"/>
        <w:textAlignment w:val="auto"/>
        <w:outlineLvl w:val="9"/>
        <w:rPr>
          <w:rFonts w:hint="eastAsia" w:ascii="宋体" w:hAnsi="宋体" w:eastAsia="宋体" w:cs="宋体"/>
          <w:b w:val="0"/>
          <w:bCs w:val="0"/>
          <w:color w:val="auto"/>
          <w:sz w:val="24"/>
          <w:szCs w:val="24"/>
        </w:rPr>
      </w:pPr>
      <w:bookmarkStart w:id="317" w:name="_Toc16867_WPSOffice_Level2"/>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bookmarkEnd w:id="317"/>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我们收到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en-US" w:eastAsia="zh-CN"/>
        </w:rPr>
        <w:t>（项目名称及编号）</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文件，经研究，法定代表人（姓名、职务）正式授权（委托代理人姓名、职务）代表供应商（供应商名称、地址）提交</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 xml:space="preserve">响应文件。    </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1、我方已详阅</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文件的全部内容，包括澄清、修改条款等有关附件，承诺对其完全理解并接受。</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若在响应文件发出后，</w:t>
      </w:r>
      <w:r>
        <w:rPr>
          <w:rFonts w:hint="eastAsia" w:ascii="宋体" w:hAnsi="宋体" w:eastAsia="宋体" w:cs="宋体"/>
          <w:color w:val="auto"/>
          <w:sz w:val="24"/>
          <w:szCs w:val="24"/>
        </w:rPr>
        <w:t>我方在</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有效期内撤回或成交后不签约的，</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保证金将被贵方没收。</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有关的一切数据或资料，理解并接受贵方制定的评标办法。</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4、与本</w:t>
      </w:r>
      <w:r>
        <w:rPr>
          <w:rFonts w:hint="eastAsia" w:ascii="宋体" w:hAnsi="宋体" w:eastAsia="宋体" w:cs="宋体"/>
          <w:color w:val="auto"/>
          <w:sz w:val="24"/>
          <w:szCs w:val="24"/>
          <w:lang w:eastAsia="zh-CN"/>
        </w:rPr>
        <w:t>次</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有关的一切正式往来通讯请寄：</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邮编：______________</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传真：______________</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w:t>
      </w:r>
    </w:p>
    <w:p>
      <w:pPr>
        <w:wordWrap/>
        <w:spacing w:before="157" w:beforeLines="50" w:line="560" w:lineRule="exact"/>
        <w:ind w:firstLine="480" w:firstLineChars="200"/>
        <w:jc w:val="center"/>
        <w:outlineLvl w:val="9"/>
        <w:rPr>
          <w:rFonts w:hint="eastAsia" w:ascii="宋体" w:hAnsi="宋体" w:eastAsia="宋体" w:cs="宋体"/>
          <w:b w:val="0"/>
          <w:bCs/>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 xml:space="preserve">  </w:t>
      </w:r>
      <w:r>
        <w:rPr>
          <w:rFonts w:hint="eastAsia" w:ascii="宋体" w:hAnsi="宋体" w:eastAsia="宋体" w:cs="宋体"/>
          <w:b w:val="0"/>
          <w:bCs/>
          <w:color w:val="auto"/>
          <w:sz w:val="24"/>
          <w:szCs w:val="24"/>
        </w:rPr>
        <w:t xml:space="preserve">  </w:t>
      </w:r>
      <w:bookmarkStart w:id="318" w:name="_Toc1506_WPSOffice_Level3"/>
      <w:r>
        <w:rPr>
          <w:rFonts w:hint="eastAsia" w:ascii="宋体" w:hAnsi="宋体" w:eastAsia="宋体" w:cs="宋体"/>
          <w:b w:val="0"/>
          <w:bCs/>
          <w:color w:val="auto"/>
          <w:sz w:val="24"/>
          <w:szCs w:val="24"/>
          <w:lang w:val="en-US" w:eastAsia="zh-CN"/>
        </w:rPr>
        <w:t xml:space="preserve">               </w:t>
      </w:r>
      <w:bookmarkStart w:id="319" w:name="_Toc28112_WPSOffice_Level3"/>
      <w:r>
        <w:rPr>
          <w:rFonts w:hint="eastAsia" w:ascii="宋体" w:hAnsi="宋体" w:eastAsia="宋体" w:cs="宋体"/>
          <w:b w:val="0"/>
          <w:bCs/>
          <w:color w:val="auto"/>
          <w:sz w:val="24"/>
          <w:szCs w:val="24"/>
          <w:lang w:eastAsia="zh-CN"/>
        </w:rPr>
        <w:t>单</w:t>
      </w:r>
      <w:r>
        <w:rPr>
          <w:rFonts w:hint="eastAsia" w:ascii="宋体" w:hAnsi="宋体" w:eastAsia="宋体" w:cs="宋体"/>
          <w:b w:val="0"/>
          <w:bCs/>
          <w:color w:val="auto"/>
          <w:sz w:val="24"/>
          <w:szCs w:val="24"/>
        </w:rPr>
        <w:t>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bookmarkEnd w:id="318"/>
      <w:bookmarkEnd w:id="319"/>
    </w:p>
    <w:p>
      <w:pPr>
        <w:wordWrap/>
        <w:spacing w:before="157" w:beforeLines="50" w:line="560" w:lineRule="exact"/>
        <w:ind w:firstLine="480" w:firstLineChars="20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320" w:name="_Toc28651_WPSOffice_Level3"/>
      <w:bookmarkStart w:id="321" w:name="_Toc6385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320"/>
      <w:bookmarkEnd w:id="321"/>
    </w:p>
    <w:p>
      <w:pPr>
        <w:wordWrap/>
        <w:spacing w:before="157" w:beforeLines="50" w:line="560" w:lineRule="exact"/>
        <w:ind w:firstLine="480" w:firstLineChars="20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bookmarkStart w:id="322" w:name="_Toc13325_WPSOffice_Level3"/>
      <w:bookmarkStart w:id="323" w:name="_Toc130_WPSOffice_Level3"/>
      <w:r>
        <w:rPr>
          <w:rFonts w:hint="eastAsia" w:ascii="宋体" w:hAnsi="宋体" w:eastAsia="宋体" w:cs="宋体"/>
          <w:b w:val="0"/>
          <w:bCs/>
          <w:color w:val="auto"/>
          <w:sz w:val="24"/>
          <w:szCs w:val="24"/>
        </w:rPr>
        <w:t>年   月  日</w:t>
      </w:r>
      <w:bookmarkEnd w:id="322"/>
      <w:bookmarkEnd w:id="323"/>
    </w:p>
    <w:p>
      <w:pPr>
        <w:widowControl/>
        <w:wordWrap/>
        <w:snapToGrid w:val="0"/>
        <w:spacing w:before="157" w:beforeLines="50" w:line="560" w:lineRule="exact"/>
        <w:outlineLvl w:val="9"/>
        <w:rPr>
          <w:rFonts w:hint="eastAsia" w:ascii="宋体" w:hAnsi="宋体" w:eastAsia="宋体" w:cs="宋体"/>
          <w:b/>
          <w:color w:val="auto"/>
          <w:sz w:val="24"/>
          <w:szCs w:val="24"/>
        </w:rPr>
      </w:pPr>
    </w:p>
    <w:p>
      <w:pPr>
        <w:widowControl/>
        <w:wordWrap/>
        <w:snapToGrid w:val="0"/>
        <w:spacing w:before="157" w:beforeLines="50" w:line="560" w:lineRule="exact"/>
        <w:jc w:val="left"/>
        <w:outlineLvl w:val="2"/>
        <w:rPr>
          <w:rFonts w:hint="eastAsia" w:ascii="宋体" w:hAnsi="宋体" w:eastAsia="宋体" w:cs="宋体"/>
          <w:b/>
          <w:bCs/>
          <w:color w:val="auto"/>
          <w:sz w:val="24"/>
          <w:szCs w:val="24"/>
        </w:rPr>
      </w:pPr>
      <w:bookmarkStart w:id="324" w:name="_Toc11557"/>
      <w:bookmarkStart w:id="325" w:name="_Toc3082"/>
      <w:bookmarkStart w:id="326" w:name="_Toc17887_WPSOffice_Level2"/>
      <w:bookmarkStart w:id="327" w:name="_Toc16050"/>
      <w:bookmarkStart w:id="328" w:name="_Toc20882_WPSOffice_Level3"/>
      <w:bookmarkStart w:id="329" w:name="_Toc26257_WPSOffice_Level2"/>
      <w:bookmarkStart w:id="330" w:name="_Toc12487"/>
      <w:r>
        <w:rPr>
          <w:rFonts w:hint="eastAsia" w:ascii="宋体" w:hAnsi="宋体" w:eastAsia="宋体" w:cs="宋体"/>
          <w:b/>
          <w:color w:val="auto"/>
          <w:sz w:val="24"/>
          <w:szCs w:val="24"/>
          <w:lang w:eastAsia="zh-CN"/>
        </w:rPr>
        <w:t>附件2：法定代表人证明书</w:t>
      </w:r>
      <w:bookmarkEnd w:id="324"/>
      <w:bookmarkEnd w:id="325"/>
      <w:bookmarkEnd w:id="326"/>
      <w:bookmarkEnd w:id="327"/>
      <w:bookmarkEnd w:id="328"/>
      <w:bookmarkEnd w:id="329"/>
      <w:bookmarkEnd w:id="330"/>
    </w:p>
    <w:p>
      <w:pPr>
        <w:widowControl w:val="0"/>
        <w:wordWrap/>
        <w:spacing w:before="157" w:beforeLines="50" w:line="560" w:lineRule="exact"/>
        <w:jc w:val="center"/>
        <w:textAlignment w:val="auto"/>
        <w:outlineLvl w:val="9"/>
        <w:rPr>
          <w:rFonts w:hint="eastAsia" w:ascii="宋体" w:hAnsi="宋体" w:eastAsia="宋体" w:cs="宋体"/>
          <w:b/>
          <w:color w:val="auto"/>
          <w:sz w:val="24"/>
          <w:szCs w:val="24"/>
          <w:lang w:eastAsia="zh-CN"/>
        </w:rPr>
      </w:pPr>
      <w:bookmarkStart w:id="331" w:name="_Toc32036_WPSOffice_Level1"/>
      <w:bookmarkStart w:id="332" w:name="_Toc6898_WPSOffice_Level2"/>
      <w:bookmarkStart w:id="333" w:name="_Toc28170_WPSOffice_Level2"/>
      <w:bookmarkStart w:id="334" w:name="_Toc14917_WPSOffice_Level1"/>
      <w:r>
        <w:rPr>
          <w:rFonts w:hint="eastAsia" w:ascii="宋体" w:hAnsi="宋体" w:eastAsia="宋体" w:cs="宋体"/>
          <w:b/>
          <w:color w:val="auto"/>
          <w:sz w:val="24"/>
          <w:szCs w:val="24"/>
          <w:lang w:eastAsia="zh-CN"/>
        </w:rPr>
        <w:t>法定代表人证明书</w:t>
      </w:r>
      <w:bookmarkEnd w:id="331"/>
      <w:bookmarkEnd w:id="332"/>
      <w:bookmarkEnd w:id="333"/>
      <w:bookmarkEnd w:id="334"/>
    </w:p>
    <w:p>
      <w:pPr>
        <w:wordWrap/>
        <w:spacing w:before="157" w:beforeLines="50" w:line="560" w:lineRule="exact"/>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u w:val="single"/>
        </w:rPr>
        <w:t xml:space="preserve">  （法定代表人姓名）  </w:t>
      </w:r>
      <w:r>
        <w:rPr>
          <w:rFonts w:hint="eastAsia" w:ascii="宋体" w:hAnsi="宋体" w:eastAsia="宋体" w:cs="宋体"/>
          <w:b w:val="0"/>
          <w:bCs w:val="0"/>
          <w:color w:val="auto"/>
          <w:sz w:val="24"/>
          <w:szCs w:val="24"/>
        </w:rPr>
        <w:t>现任我单位</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职务，为法定代表人，特此证明。</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法定代表人基本情况：</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rPr>
        <w:t>性别：</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年龄：</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民族：</w:t>
      </w:r>
      <w:r>
        <w:rPr>
          <w:rFonts w:hint="eastAsia" w:ascii="宋体" w:hAnsi="宋体" w:eastAsia="宋体" w:cs="宋体"/>
          <w:b w:val="0"/>
          <w:bCs w:val="0"/>
          <w:color w:val="auto"/>
          <w:sz w:val="24"/>
          <w:szCs w:val="24"/>
          <w:u w:val="single"/>
        </w:rPr>
        <w:t xml:space="preserve">     </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rPr>
        <w:t>地址：</w:t>
      </w:r>
      <w:r>
        <w:rPr>
          <w:rFonts w:hint="eastAsia" w:ascii="宋体" w:hAnsi="宋体" w:eastAsia="宋体" w:cs="宋体"/>
          <w:b w:val="0"/>
          <w:bCs w:val="0"/>
          <w:color w:val="auto"/>
          <w:sz w:val="24"/>
          <w:szCs w:val="24"/>
          <w:u w:val="single"/>
        </w:rPr>
        <w:t xml:space="preserve">                             </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身份证号码：</w:t>
      </w:r>
      <w:r>
        <w:rPr>
          <w:rFonts w:hint="eastAsia" w:ascii="宋体" w:hAnsi="宋体" w:eastAsia="宋体" w:cs="宋体"/>
          <w:b w:val="0"/>
          <w:bCs w:val="0"/>
          <w:color w:val="auto"/>
          <w:sz w:val="24"/>
          <w:szCs w:val="24"/>
          <w:u w:val="single"/>
        </w:rPr>
        <w:t xml:space="preserve">                       </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附法定代表人第二代身份证双面扫描</w:t>
      </w:r>
      <w:r>
        <w:rPr>
          <w:rFonts w:hint="eastAsia" w:ascii="宋体" w:hAnsi="宋体" w:eastAsia="宋体" w:cs="宋体"/>
          <w:b w:val="0"/>
          <w:bCs w:val="0"/>
          <w:color w:val="auto"/>
          <w:sz w:val="24"/>
          <w:szCs w:val="24"/>
          <w:lang w:eastAsia="zh-CN"/>
        </w:rPr>
        <w:t>或其他身份证明材料</w:t>
      </w:r>
      <w:r>
        <w:rPr>
          <w:rFonts w:hint="eastAsia" w:ascii="宋体" w:hAnsi="宋体" w:eastAsia="宋体" w:cs="宋体"/>
          <w:b w:val="0"/>
          <w:bCs w:val="0"/>
          <w:color w:val="auto"/>
          <w:sz w:val="24"/>
          <w:szCs w:val="24"/>
        </w:rPr>
        <w:t>（复印件</w:t>
      </w:r>
      <w:r>
        <w:rPr>
          <w:rFonts w:hint="eastAsia" w:ascii="宋体" w:hAnsi="宋体" w:eastAsia="宋体" w:cs="宋体"/>
          <w:color w:val="auto"/>
          <w:sz w:val="24"/>
          <w:szCs w:val="24"/>
          <w:lang w:eastAsia="zh-CN"/>
        </w:rPr>
        <w:t>）</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color w:val="auto"/>
          <w:kern w:val="0"/>
          <w:sz w:val="24"/>
          <w:szCs w:val="24"/>
        </w:rPr>
      </w:pPr>
    </w:p>
    <w:p>
      <w:pPr>
        <w:wordWrap/>
        <w:autoSpaceDE w:val="0"/>
        <w:autoSpaceDN w:val="0"/>
        <w:adjustRightInd w:val="0"/>
        <w:spacing w:before="157" w:beforeLines="50" w:line="560" w:lineRule="exact"/>
        <w:jc w:val="right"/>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单位</w:t>
      </w:r>
      <w:r>
        <w:rPr>
          <w:rFonts w:hint="eastAsia" w:ascii="宋体" w:hAnsi="宋体" w:eastAsia="宋体" w:cs="宋体"/>
          <w:b w:val="0"/>
          <w:bCs w:val="0"/>
          <w:color w:val="auto"/>
          <w:sz w:val="24"/>
          <w:szCs w:val="24"/>
          <w:lang w:eastAsia="zh-CN"/>
        </w:rPr>
        <w:t>名称</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（公章）</w:t>
      </w:r>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val="0"/>
          <w:bCs/>
          <w:color w:val="auto"/>
          <w:sz w:val="24"/>
          <w:szCs w:val="24"/>
        </w:rPr>
        <w:t xml:space="preserve">   法定代表人或委托代理人：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p>
    <w:p>
      <w:pPr>
        <w:wordWrap/>
        <w:autoSpaceDE w:val="0"/>
        <w:autoSpaceDN w:val="0"/>
        <w:adjustRightInd w:val="0"/>
        <w:spacing w:before="157" w:beforeLines="50" w:line="560" w:lineRule="exact"/>
        <w:jc w:val="center"/>
        <w:outlineLvl w:val="9"/>
        <w:rPr>
          <w:rFonts w:hint="eastAsia" w:ascii="宋体" w:hAnsi="宋体" w:eastAsia="宋体" w:cs="宋体"/>
          <w:b w:val="0"/>
          <w:bCs w:val="0"/>
          <w:color w:val="auto"/>
          <w:sz w:val="24"/>
          <w:szCs w:val="24"/>
        </w:rPr>
      </w:pPr>
      <w:bookmarkStart w:id="335" w:name="_Toc10597_WPSOffice_Level3"/>
      <w:r>
        <w:rPr>
          <w:rFonts w:hint="eastAsia" w:ascii="宋体" w:hAnsi="宋体" w:eastAsia="宋体" w:cs="宋体"/>
          <w:b w:val="0"/>
          <w:bCs w:val="0"/>
          <w:color w:val="auto"/>
          <w:sz w:val="24"/>
          <w:szCs w:val="24"/>
          <w:lang w:val="en-US" w:eastAsia="zh-CN"/>
        </w:rPr>
        <w:t xml:space="preserve">                                       </w:t>
      </w:r>
      <w:bookmarkStart w:id="336" w:name="_Toc16117_WPSOffice_Level3"/>
      <w:r>
        <w:rPr>
          <w:rFonts w:hint="eastAsia" w:ascii="宋体" w:hAnsi="宋体" w:eastAsia="宋体" w:cs="宋体"/>
          <w:b w:val="0"/>
          <w:bCs w:val="0"/>
          <w:color w:val="auto"/>
          <w:sz w:val="24"/>
          <w:szCs w:val="24"/>
        </w:rPr>
        <w:t>年   月   日</w:t>
      </w:r>
      <w:bookmarkEnd w:id="335"/>
      <w:bookmarkEnd w:id="336"/>
    </w:p>
    <w:p>
      <w:pPr>
        <w:wordWrap/>
        <w:spacing w:before="157" w:beforeLines="50" w:line="560" w:lineRule="exact"/>
        <w:ind w:right="480"/>
        <w:jc w:val="right"/>
        <w:outlineLvl w:val="9"/>
        <w:rPr>
          <w:rFonts w:hint="eastAsia" w:ascii="宋体" w:hAnsi="宋体" w:eastAsia="宋体" w:cs="宋体"/>
          <w:b/>
          <w:color w:val="auto"/>
          <w:sz w:val="24"/>
          <w:szCs w:val="24"/>
        </w:rPr>
      </w:pPr>
    </w:p>
    <w:p>
      <w:pPr>
        <w:wordWrap/>
        <w:spacing w:before="157" w:beforeLines="50" w:line="560" w:lineRule="exact"/>
        <w:jc w:val="right"/>
        <w:rPr>
          <w:rFonts w:hint="eastAsia" w:ascii="宋体" w:hAnsi="宋体" w:eastAsia="宋体" w:cs="宋体"/>
          <w:b/>
          <w:color w:val="auto"/>
          <w:sz w:val="24"/>
          <w:szCs w:val="24"/>
        </w:rPr>
      </w:pPr>
    </w:p>
    <w:p>
      <w:pPr>
        <w:wordWrap/>
        <w:spacing w:before="157" w:beforeLines="50" w:line="560" w:lineRule="exact"/>
        <w:rPr>
          <w:rFonts w:hint="eastAsia" w:ascii="宋体" w:hAnsi="宋体" w:eastAsia="宋体" w:cs="宋体"/>
          <w:b/>
          <w:color w:val="auto"/>
          <w:sz w:val="24"/>
          <w:szCs w:val="24"/>
        </w:rPr>
      </w:pPr>
    </w:p>
    <w:p>
      <w:pPr>
        <w:rPr>
          <w:rFonts w:hint="eastAsia" w:ascii="宋体" w:hAnsi="宋体" w:eastAsia="宋体" w:cs="宋体"/>
          <w:b/>
          <w:color w:val="auto"/>
          <w:sz w:val="24"/>
          <w:szCs w:val="24"/>
          <w:lang w:eastAsia="zh-CN"/>
        </w:rPr>
      </w:pPr>
      <w:bookmarkStart w:id="337" w:name="_Toc18183"/>
      <w:bookmarkStart w:id="338" w:name="_Toc31901"/>
      <w:bookmarkStart w:id="339" w:name="_Toc21545_WPSOffice_Level3"/>
      <w:bookmarkStart w:id="340" w:name="_Toc27782"/>
      <w:bookmarkStart w:id="341" w:name="_Toc23035_WPSOffice_Level2"/>
      <w:r>
        <w:rPr>
          <w:rFonts w:hint="eastAsia" w:ascii="宋体" w:hAnsi="宋体" w:eastAsia="宋体" w:cs="宋体"/>
          <w:b/>
          <w:color w:val="auto"/>
          <w:sz w:val="24"/>
          <w:szCs w:val="24"/>
          <w:lang w:eastAsia="zh-CN"/>
        </w:rPr>
        <w:br w:type="page"/>
      </w:r>
    </w:p>
    <w:p>
      <w:pPr>
        <w:widowControl/>
        <w:wordWrap/>
        <w:snapToGrid w:val="0"/>
        <w:spacing w:before="157" w:beforeLines="50" w:line="560" w:lineRule="exact"/>
        <w:jc w:val="left"/>
        <w:outlineLvl w:val="2"/>
        <w:rPr>
          <w:rFonts w:hint="eastAsia" w:ascii="宋体" w:hAnsi="宋体" w:eastAsia="宋体" w:cs="宋体"/>
          <w:b/>
          <w:color w:val="auto"/>
          <w:sz w:val="24"/>
          <w:szCs w:val="24"/>
        </w:rPr>
      </w:pPr>
      <w:bookmarkStart w:id="342" w:name="_Toc30338"/>
      <w:r>
        <w:rPr>
          <w:rFonts w:hint="eastAsia" w:ascii="宋体" w:hAnsi="宋体" w:eastAsia="宋体" w:cs="宋体"/>
          <w:b/>
          <w:color w:val="auto"/>
          <w:sz w:val="24"/>
          <w:szCs w:val="24"/>
          <w:lang w:eastAsia="zh-CN"/>
        </w:rPr>
        <w:t>附件3：法定代表人授权书</w:t>
      </w:r>
      <w:bookmarkEnd w:id="337"/>
      <w:bookmarkEnd w:id="338"/>
      <w:bookmarkEnd w:id="339"/>
      <w:bookmarkEnd w:id="340"/>
      <w:bookmarkEnd w:id="341"/>
      <w:bookmarkEnd w:id="342"/>
    </w:p>
    <w:p>
      <w:pPr>
        <w:widowControl w:val="0"/>
        <w:wordWrap/>
        <w:spacing w:before="157" w:beforeLines="50" w:line="560" w:lineRule="exact"/>
        <w:jc w:val="center"/>
        <w:textAlignment w:val="auto"/>
        <w:outlineLvl w:val="9"/>
        <w:rPr>
          <w:rFonts w:hint="eastAsia" w:ascii="宋体" w:hAnsi="宋体" w:eastAsia="宋体" w:cs="宋体"/>
          <w:b/>
          <w:color w:val="auto"/>
          <w:sz w:val="24"/>
          <w:szCs w:val="24"/>
          <w:lang w:eastAsia="zh-CN"/>
        </w:rPr>
      </w:pPr>
      <w:bookmarkStart w:id="343" w:name="_Toc1148_WPSOffice_Level3"/>
      <w:bookmarkStart w:id="344" w:name="_Toc26434_WPSOffice_Level2"/>
      <w:bookmarkStart w:id="345" w:name="_Toc5048_WPSOffice_Level2"/>
      <w:r>
        <w:rPr>
          <w:rFonts w:hint="eastAsia" w:ascii="宋体" w:hAnsi="宋体" w:eastAsia="宋体" w:cs="宋体"/>
          <w:b/>
          <w:color w:val="auto"/>
          <w:sz w:val="24"/>
          <w:szCs w:val="24"/>
          <w:lang w:eastAsia="zh-CN"/>
        </w:rPr>
        <w:t>法定代表人授权书</w:t>
      </w:r>
      <w:bookmarkEnd w:id="343"/>
      <w:bookmarkEnd w:id="344"/>
      <w:bookmarkEnd w:id="345"/>
    </w:p>
    <w:p>
      <w:pPr>
        <w:widowControl w:val="0"/>
        <w:wordWrap/>
        <w:adjustRightInd/>
        <w:snapToGrid/>
        <w:spacing w:line="560" w:lineRule="exact"/>
        <w:ind w:firstLine="198" w:firstLineChars="82"/>
        <w:textAlignment w:val="auto"/>
        <w:outlineLvl w:val="9"/>
        <w:rPr>
          <w:rFonts w:hint="eastAsia" w:ascii="宋体" w:hAnsi="宋体" w:eastAsia="宋体" w:cs="宋体"/>
          <w:color w:val="auto"/>
          <w:sz w:val="24"/>
          <w:szCs w:val="24"/>
          <w:u w:val="single"/>
        </w:rPr>
      </w:pPr>
      <w:bookmarkStart w:id="346" w:name="_Toc6307_WPSOffice_Level2"/>
      <w:bookmarkStart w:id="347" w:name="_Toc16084_WPSOffice_Level2"/>
      <w:bookmarkStart w:id="348" w:name="_Toc25306_WPSOffice_Level2"/>
      <w:r>
        <w:rPr>
          <w:rFonts w:hint="eastAsia" w:ascii="宋体" w:hAnsi="宋体" w:eastAsia="宋体" w:cs="宋体"/>
          <w:b/>
          <w:bCs/>
          <w:color w:val="auto"/>
          <w:sz w:val="24"/>
          <w:szCs w:val="24"/>
        </w:rPr>
        <w:t>致：</w:t>
      </w:r>
      <w:r>
        <w:rPr>
          <w:rFonts w:hint="eastAsia" w:ascii="宋体" w:hAnsi="宋体" w:eastAsia="宋体" w:cs="宋体"/>
          <w:b/>
          <w:bCs/>
          <w:color w:val="auto"/>
          <w:sz w:val="24"/>
          <w:szCs w:val="24"/>
          <w:u w:val="single"/>
          <w:lang w:eastAsia="zh-CN"/>
        </w:rPr>
        <w:t>（代理机构名称）</w:t>
      </w:r>
      <w:bookmarkEnd w:id="346"/>
      <w:bookmarkEnd w:id="347"/>
      <w:bookmarkEnd w:id="348"/>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w:t>
      </w:r>
      <w:r>
        <w:rPr>
          <w:rFonts w:hint="eastAsia" w:ascii="宋体" w:hAnsi="宋体" w:cs="宋体"/>
          <w:color w:val="auto"/>
          <w:sz w:val="24"/>
          <w:szCs w:val="24"/>
          <w:lang w:eastAsia="zh-CN"/>
        </w:rPr>
        <w:t>询价</w:t>
      </w:r>
      <w:r>
        <w:rPr>
          <w:rFonts w:hint="eastAsia" w:ascii="宋体" w:hAnsi="宋体" w:eastAsia="宋体" w:cs="宋体"/>
          <w:color w:val="auto"/>
          <w:sz w:val="24"/>
          <w:szCs w:val="24"/>
          <w:lang w:eastAsia="zh-CN"/>
        </w:rPr>
        <w:t>、答疑</w:t>
      </w:r>
      <w:r>
        <w:rPr>
          <w:rFonts w:hint="eastAsia" w:ascii="宋体" w:hAnsi="宋体" w:eastAsia="宋体" w:cs="宋体"/>
          <w:color w:val="auto"/>
          <w:sz w:val="24"/>
          <w:szCs w:val="24"/>
        </w:rPr>
        <w:t>等具体工作，并签署全部有关的文件、资料。</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被授权人（委托代理人）签字或盖章：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授权人（法定代表人）签字或盖章：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附被授权人第二代身份证双面扫描（或复印）件</w:t>
      </w:r>
    </w:p>
    <w:p>
      <w:pPr>
        <w:wordWrap/>
        <w:spacing w:before="157" w:beforeLines="50" w:line="560" w:lineRule="exact"/>
        <w:ind w:firstLine="3600" w:firstLineChars="1500"/>
        <w:jc w:val="right"/>
        <w:outlineLvl w:val="9"/>
        <w:rPr>
          <w:rFonts w:hint="eastAsia" w:ascii="宋体" w:hAnsi="宋体" w:eastAsia="宋体" w:cs="宋体"/>
          <w:b w:val="0"/>
          <w:bCs/>
          <w:color w:val="auto"/>
          <w:sz w:val="24"/>
          <w:szCs w:val="24"/>
        </w:rPr>
      </w:pPr>
      <w:bookmarkStart w:id="349" w:name="_Toc13837_WPSOffice_Level3"/>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kern w:val="0"/>
          <w:sz w:val="24"/>
          <w:szCs w:val="24"/>
          <w:u w:val="single"/>
        </w:rPr>
        <w:t xml:space="preserve">       </w:t>
      </w:r>
      <w:r>
        <w:rPr>
          <w:rFonts w:hint="eastAsia" w:ascii="宋体" w:hAnsi="宋体" w:eastAsia="宋体" w:cs="宋体"/>
          <w:b w:val="0"/>
          <w:bCs/>
          <w:color w:val="auto"/>
          <w:sz w:val="24"/>
          <w:szCs w:val="24"/>
        </w:rPr>
        <w:t>（公章）</w:t>
      </w:r>
      <w:bookmarkEnd w:id="349"/>
      <w:r>
        <w:rPr>
          <w:rFonts w:hint="eastAsia" w:ascii="宋体" w:hAnsi="宋体" w:eastAsia="宋体" w:cs="宋体"/>
          <w:b w:val="0"/>
          <w:bCs/>
          <w:color w:val="auto"/>
          <w:sz w:val="24"/>
          <w:szCs w:val="24"/>
        </w:rPr>
        <w:t xml:space="preserve">    </w:t>
      </w:r>
    </w:p>
    <w:p>
      <w:pPr>
        <w:widowControl w:val="0"/>
        <w:wordWrap/>
        <w:adjustRightInd/>
        <w:snapToGrid/>
        <w:spacing w:before="157" w:beforeLines="50" w:line="560" w:lineRule="exact"/>
        <w:ind w:firstLine="480" w:firstLineChars="200"/>
        <w:jc w:val="right"/>
        <w:textAlignment w:val="auto"/>
        <w:outlineLvl w:val="9"/>
        <w:rPr>
          <w:rFonts w:hint="eastAsia" w:ascii="宋体" w:hAnsi="宋体" w:eastAsia="宋体" w:cs="宋体"/>
          <w:b w:val="0"/>
          <w:bCs/>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val="0"/>
          <w:bCs/>
          <w:color w:val="auto"/>
          <w:sz w:val="24"/>
          <w:szCs w:val="24"/>
        </w:rPr>
        <w:t xml:space="preserve">   法定代表人或委托代理人：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 xml:space="preserve">（签字或盖章）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bookmarkStart w:id="350" w:name="_Toc6591_WPSOffice_Level3"/>
      <w:bookmarkStart w:id="351" w:name="_Toc32599_WPSOffice_Level3"/>
      <w:r>
        <w:rPr>
          <w:rFonts w:hint="eastAsia" w:ascii="宋体" w:hAnsi="宋体" w:eastAsia="宋体" w:cs="宋体"/>
          <w:b w:val="0"/>
          <w:bCs/>
          <w:color w:val="auto"/>
          <w:sz w:val="24"/>
          <w:szCs w:val="24"/>
        </w:rPr>
        <w:t>年   月   日</w:t>
      </w:r>
      <w:bookmarkEnd w:id="350"/>
      <w:bookmarkEnd w:id="351"/>
    </w:p>
    <w:p>
      <w:pPr>
        <w:wordWrap/>
        <w:spacing w:before="157" w:beforeLines="50" w:line="560" w:lineRule="exact"/>
        <w:outlineLvl w:val="9"/>
        <w:rPr>
          <w:rFonts w:hint="eastAsia" w:ascii="宋体" w:hAnsi="宋体" w:eastAsia="宋体" w:cs="宋体"/>
          <w:b/>
          <w:bCs/>
          <w:color w:val="auto"/>
          <w:sz w:val="24"/>
          <w:szCs w:val="24"/>
        </w:rPr>
      </w:pPr>
    </w:p>
    <w:p>
      <w:pPr>
        <w:rPr>
          <w:rFonts w:hint="eastAsia" w:ascii="宋体" w:hAnsi="宋体" w:eastAsia="宋体" w:cs="宋体"/>
          <w:b/>
          <w:color w:val="auto"/>
          <w:sz w:val="24"/>
          <w:szCs w:val="24"/>
          <w:lang w:eastAsia="zh-CN"/>
        </w:rPr>
      </w:pPr>
      <w:bookmarkStart w:id="352" w:name="_Toc16704"/>
      <w:bookmarkStart w:id="353" w:name="_Toc30919"/>
      <w:bookmarkStart w:id="354" w:name="_Toc23618"/>
      <w:bookmarkStart w:id="355" w:name="_Toc7737_WPSOffice_Level3"/>
      <w:bookmarkStart w:id="356" w:name="_Toc26653_WPSOffice_Level3"/>
      <w:r>
        <w:rPr>
          <w:rFonts w:hint="eastAsia" w:ascii="宋体" w:hAnsi="宋体" w:eastAsia="宋体" w:cs="宋体"/>
          <w:b/>
          <w:color w:val="auto"/>
          <w:sz w:val="24"/>
          <w:szCs w:val="24"/>
          <w:lang w:eastAsia="zh-CN"/>
        </w:rPr>
        <w:br w:type="page"/>
      </w:r>
    </w:p>
    <w:p>
      <w:pPr>
        <w:widowControl/>
        <w:wordWrap/>
        <w:snapToGrid w:val="0"/>
        <w:spacing w:before="157" w:beforeLines="50" w:line="560" w:lineRule="exact"/>
        <w:jc w:val="left"/>
        <w:outlineLvl w:val="2"/>
        <w:rPr>
          <w:rFonts w:hint="eastAsia" w:ascii="宋体" w:hAnsi="宋体" w:eastAsia="宋体" w:cs="宋体"/>
          <w:b/>
          <w:color w:val="auto"/>
          <w:sz w:val="24"/>
          <w:szCs w:val="24"/>
          <w:lang w:eastAsia="zh-CN"/>
        </w:rPr>
      </w:pPr>
      <w:bookmarkStart w:id="357" w:name="_Toc7725"/>
      <w:r>
        <w:rPr>
          <w:rFonts w:hint="eastAsia" w:ascii="宋体" w:hAnsi="宋体" w:eastAsia="宋体" w:cs="宋体"/>
          <w:b/>
          <w:color w:val="auto"/>
          <w:sz w:val="24"/>
          <w:szCs w:val="24"/>
          <w:lang w:eastAsia="zh-CN"/>
        </w:rPr>
        <w:t>附件4：供应商承诺函</w:t>
      </w:r>
      <w:bookmarkEnd w:id="352"/>
      <w:bookmarkEnd w:id="353"/>
      <w:bookmarkEnd w:id="354"/>
      <w:bookmarkEnd w:id="355"/>
      <w:bookmarkEnd w:id="356"/>
      <w:bookmarkEnd w:id="357"/>
    </w:p>
    <w:p>
      <w:pPr>
        <w:widowControl w:val="0"/>
        <w:wordWrap/>
        <w:spacing w:before="157" w:beforeLines="50" w:line="560" w:lineRule="exact"/>
        <w:jc w:val="center"/>
        <w:textAlignment w:val="auto"/>
        <w:outlineLvl w:val="9"/>
        <w:rPr>
          <w:rFonts w:hint="eastAsia" w:ascii="宋体" w:hAnsi="宋体" w:eastAsia="宋体" w:cs="宋体"/>
          <w:b/>
          <w:color w:val="auto"/>
          <w:sz w:val="24"/>
          <w:szCs w:val="24"/>
          <w:lang w:eastAsia="zh-CN"/>
        </w:rPr>
      </w:pPr>
      <w:bookmarkStart w:id="358" w:name="_Toc27597_WPSOffice_Level3"/>
      <w:bookmarkStart w:id="359" w:name="_Toc2453_WPSOffice_Level2"/>
      <w:bookmarkStart w:id="360" w:name="_Toc17639_WPSOffice_Level2"/>
      <w:r>
        <w:rPr>
          <w:rFonts w:hint="eastAsia" w:ascii="宋体" w:hAnsi="宋体" w:eastAsia="宋体" w:cs="宋体"/>
          <w:b/>
          <w:color w:val="auto"/>
          <w:sz w:val="24"/>
          <w:szCs w:val="24"/>
          <w:lang w:eastAsia="zh-CN"/>
        </w:rPr>
        <w:t>供应商承诺函</w:t>
      </w:r>
      <w:bookmarkEnd w:id="358"/>
      <w:bookmarkEnd w:id="359"/>
      <w:bookmarkEnd w:id="360"/>
    </w:p>
    <w:p>
      <w:pPr>
        <w:widowControl w:val="0"/>
        <w:wordWrap/>
        <w:adjustRightInd/>
        <w:snapToGrid/>
        <w:spacing w:line="560" w:lineRule="exac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关于贵方</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月</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日</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 xml:space="preserve"> </w:t>
      </w:r>
      <w:r>
        <w:rPr>
          <w:rFonts w:hint="eastAsia" w:ascii="宋体" w:hAnsi="宋体" w:eastAsia="宋体" w:cs="宋体"/>
          <w:b w:val="0"/>
          <w:bCs w:val="0"/>
          <w:color w:val="auto"/>
          <w:sz w:val="24"/>
          <w:szCs w:val="24"/>
          <w:lang w:eastAsia="zh-CN"/>
        </w:rPr>
        <w:t>（项目名称及编号）</w:t>
      </w:r>
      <w:r>
        <w:rPr>
          <w:rFonts w:hint="eastAsia" w:ascii="宋体" w:hAnsi="宋体" w:eastAsia="宋体" w:cs="宋体"/>
          <w:b w:val="0"/>
          <w:bCs w:val="0"/>
          <w:color w:val="auto"/>
          <w:sz w:val="24"/>
          <w:szCs w:val="24"/>
        </w:rPr>
        <w:t>采购项目，本签字人愿意参加</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，提供采购一览表中要求的所有产品，并证实提交的所有资料是准确的和真实的。同时，我代表</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u w:val="single"/>
        </w:rPr>
        <w:t>（供应商名称）</w:t>
      </w:r>
      <w:r>
        <w:rPr>
          <w:rFonts w:hint="eastAsia" w:ascii="宋体" w:hAnsi="宋体" w:eastAsia="宋体" w:cs="宋体"/>
          <w:b w:val="0"/>
          <w:bCs w:val="0"/>
          <w:color w:val="auto"/>
          <w:sz w:val="24"/>
          <w:szCs w:val="24"/>
        </w:rPr>
        <w:t>，在此作如下承诺：</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1、完全理解和接受</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文件的一切规定和要求；</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2、若</w:t>
      </w:r>
      <w:r>
        <w:rPr>
          <w:rFonts w:hint="eastAsia" w:ascii="宋体" w:hAnsi="宋体" w:eastAsia="宋体" w:cs="宋体"/>
          <w:b w:val="0"/>
          <w:bCs w:val="0"/>
          <w:color w:val="auto"/>
          <w:sz w:val="24"/>
          <w:szCs w:val="24"/>
          <w:lang w:eastAsia="zh-CN"/>
        </w:rPr>
        <w:t>成交</w:t>
      </w:r>
      <w:r>
        <w:rPr>
          <w:rFonts w:hint="eastAsia" w:ascii="宋体" w:hAnsi="宋体" w:eastAsia="宋体" w:cs="宋体"/>
          <w:b w:val="0"/>
          <w:bCs w:val="0"/>
          <w:color w:val="auto"/>
          <w:sz w:val="24"/>
          <w:szCs w:val="24"/>
        </w:rPr>
        <w:t>，我方将按照</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文件的具体规定与采购人签订采购合同，并且严格履行合同义务，按时交货，提供优质的产品和服务。如果在合同执行过程中，发现质量、数量出现问题，我方一定尽快更换或补退货，并承担相应的经济责任；</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3、我方保证甲方在使用该产品或其任何一部分时，不受第三方提出的侵犯专利权、著作权、商标权和工业设计权等知识产权的起诉，若有</w:t>
      </w:r>
      <w:r>
        <w:rPr>
          <w:rFonts w:hint="eastAsia" w:ascii="宋体" w:hAnsi="宋体" w:eastAsia="宋体" w:cs="宋体"/>
          <w:b w:val="0"/>
          <w:bCs w:val="0"/>
          <w:color w:val="auto"/>
          <w:sz w:val="24"/>
          <w:szCs w:val="24"/>
          <w:lang w:eastAsia="zh-CN"/>
        </w:rPr>
        <w:t>违反</w:t>
      </w:r>
      <w:r>
        <w:rPr>
          <w:rFonts w:hint="eastAsia" w:ascii="宋体" w:hAnsi="宋体" w:eastAsia="宋体" w:cs="宋体"/>
          <w:b w:val="0"/>
          <w:bCs w:val="0"/>
          <w:color w:val="auto"/>
          <w:sz w:val="24"/>
          <w:szCs w:val="24"/>
        </w:rPr>
        <w:t>，愿承担相应的一切责任。</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4、我方承诺，除</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文件中规定的优质产品外，所投的产品均为国产产品，且均符合国家强制性标准。若有不实，愿承担相应的责任。</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5、在整个</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过程中我方若有违规行为，贵方可按</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文件之规定给予处罚，我方完全接受。</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b w:val="0"/>
          <w:bCs w:val="0"/>
          <w:color w:val="auto"/>
          <w:sz w:val="24"/>
          <w:szCs w:val="24"/>
        </w:rPr>
        <w:t>6、若成交，本承诺将成为合同不可分割的一部分，与合同具有同等的法律效力。</w:t>
      </w:r>
    </w:p>
    <w:p>
      <w:pPr>
        <w:widowControl w:val="0"/>
        <w:wordWrap/>
        <w:adjustRightInd/>
        <w:snapToGrid/>
        <w:spacing w:line="560" w:lineRule="exact"/>
        <w:ind w:firstLine="482"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b w:val="0"/>
          <w:bCs/>
          <w:color w:val="auto"/>
          <w:sz w:val="24"/>
          <w:szCs w:val="24"/>
        </w:rPr>
        <w:t xml:space="preserve"> </w:t>
      </w:r>
      <w:bookmarkStart w:id="361" w:name="_Toc29941_WPSOffice_Level3"/>
      <w:r>
        <w:rPr>
          <w:rFonts w:hint="eastAsia" w:ascii="宋体" w:hAnsi="宋体" w:eastAsia="宋体" w:cs="宋体"/>
          <w:b w:val="0"/>
          <w:bCs/>
          <w:color w:val="auto"/>
          <w:sz w:val="24"/>
          <w:szCs w:val="24"/>
          <w:lang w:val="en-US" w:eastAsia="zh-CN"/>
        </w:rPr>
        <w:t xml:space="preserve">  </w:t>
      </w:r>
      <w:bookmarkStart w:id="362" w:name="_Toc11979_WPSOffice_Level3"/>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bookmarkEnd w:id="361"/>
      <w:bookmarkEnd w:id="362"/>
    </w:p>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363" w:name="_Toc22507_WPSOffice_Level3"/>
      <w:bookmarkStart w:id="364" w:name="_Toc15106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363"/>
      <w:bookmarkEnd w:id="364"/>
    </w:p>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365" w:name="_Toc24254_WPSOffice_Level3"/>
      <w:r>
        <w:rPr>
          <w:rFonts w:hint="eastAsia" w:ascii="宋体" w:hAnsi="宋体" w:eastAsia="宋体" w:cs="宋体"/>
          <w:b w:val="0"/>
          <w:bCs/>
          <w:color w:val="auto"/>
          <w:sz w:val="24"/>
          <w:szCs w:val="24"/>
          <w:lang w:val="en-US" w:eastAsia="zh-CN"/>
        </w:rPr>
        <w:t xml:space="preserve">                      </w:t>
      </w:r>
      <w:bookmarkStart w:id="366" w:name="_Toc9343_WPSOffice_Level3"/>
      <w:r>
        <w:rPr>
          <w:rFonts w:hint="eastAsia" w:ascii="宋体" w:hAnsi="宋体" w:eastAsia="宋体" w:cs="宋体"/>
          <w:b w:val="0"/>
          <w:bCs/>
          <w:color w:val="auto"/>
          <w:sz w:val="24"/>
          <w:szCs w:val="24"/>
        </w:rPr>
        <w:t>年   月  日</w:t>
      </w:r>
      <w:bookmarkEnd w:id="365"/>
      <w:bookmarkEnd w:id="366"/>
    </w:p>
    <w:p>
      <w:pPr>
        <w:rPr>
          <w:rFonts w:hint="eastAsia" w:ascii="宋体" w:hAnsi="宋体" w:eastAsia="宋体" w:cs="宋体"/>
          <w:b/>
          <w:color w:val="auto"/>
          <w:sz w:val="24"/>
          <w:szCs w:val="24"/>
          <w:lang w:eastAsia="zh-CN"/>
        </w:rPr>
      </w:pPr>
      <w:bookmarkStart w:id="367" w:name="_Toc6416"/>
      <w:bookmarkStart w:id="368" w:name="_Toc26773_WPSOffice_Level3"/>
      <w:bookmarkStart w:id="369" w:name="_Toc25740"/>
      <w:bookmarkStart w:id="370" w:name="_Toc653_WPSOffice_Level3"/>
      <w:bookmarkStart w:id="371" w:name="_Toc20884"/>
      <w:r>
        <w:rPr>
          <w:rFonts w:hint="eastAsia" w:ascii="宋体" w:hAnsi="宋体" w:eastAsia="宋体" w:cs="宋体"/>
          <w:b/>
          <w:color w:val="auto"/>
          <w:sz w:val="24"/>
          <w:szCs w:val="24"/>
          <w:lang w:eastAsia="zh-CN"/>
        </w:rPr>
        <w:br w:type="page"/>
      </w:r>
    </w:p>
    <w:p>
      <w:pPr>
        <w:widowControl/>
        <w:wordWrap/>
        <w:snapToGrid w:val="0"/>
        <w:spacing w:before="157" w:beforeLines="50" w:line="560" w:lineRule="exact"/>
        <w:outlineLvl w:val="1"/>
        <w:rPr>
          <w:rFonts w:hint="eastAsia" w:ascii="宋体" w:hAnsi="宋体" w:eastAsia="宋体" w:cs="宋体"/>
          <w:b/>
          <w:color w:val="auto"/>
          <w:sz w:val="24"/>
          <w:szCs w:val="24"/>
        </w:rPr>
      </w:pPr>
      <w:bookmarkStart w:id="372" w:name="_Toc5147"/>
      <w:r>
        <w:rPr>
          <w:rFonts w:hint="eastAsia" w:ascii="宋体" w:hAnsi="宋体" w:eastAsia="宋体" w:cs="宋体"/>
          <w:b/>
          <w:color w:val="auto"/>
          <w:sz w:val="24"/>
          <w:szCs w:val="24"/>
          <w:lang w:eastAsia="zh-CN"/>
        </w:rPr>
        <w:t>附件5：供应商诚信承诺书</w:t>
      </w:r>
      <w:bookmarkEnd w:id="367"/>
      <w:bookmarkEnd w:id="368"/>
      <w:bookmarkEnd w:id="369"/>
      <w:bookmarkEnd w:id="370"/>
      <w:bookmarkEnd w:id="371"/>
      <w:bookmarkEnd w:id="372"/>
    </w:p>
    <w:p>
      <w:pPr>
        <w:wordWrap/>
        <w:spacing w:before="157" w:beforeLines="50" w:line="560" w:lineRule="exact"/>
        <w:jc w:val="center"/>
        <w:outlineLvl w:val="9"/>
        <w:rPr>
          <w:rFonts w:hint="eastAsia" w:ascii="宋体" w:hAnsi="宋体" w:eastAsia="宋体" w:cs="宋体"/>
          <w:b/>
          <w:color w:val="auto"/>
          <w:sz w:val="24"/>
          <w:szCs w:val="24"/>
        </w:rPr>
      </w:pPr>
      <w:bookmarkStart w:id="373" w:name="_Toc22989_WPSOffice_Level3"/>
      <w:bookmarkStart w:id="374" w:name="_Toc22537_WPSOffice_Level3"/>
      <w:r>
        <w:rPr>
          <w:rFonts w:hint="eastAsia" w:ascii="宋体" w:hAnsi="宋体" w:eastAsia="宋体" w:cs="宋体"/>
          <w:b/>
          <w:color w:val="auto"/>
          <w:sz w:val="24"/>
          <w:szCs w:val="24"/>
          <w:lang w:eastAsia="zh-CN"/>
        </w:rPr>
        <w:t>供应商诚信承诺书</w:t>
      </w:r>
      <w:bookmarkEnd w:id="373"/>
      <w:bookmarkEnd w:id="374"/>
    </w:p>
    <w:p>
      <w:pPr>
        <w:widowControl w:val="0"/>
        <w:wordWrap/>
        <w:adjustRightInd/>
        <w:snapToGrid/>
        <w:spacing w:line="560" w:lineRule="exact"/>
        <w:textAlignment w:val="auto"/>
        <w:outlineLvl w:val="9"/>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为了诚实、客观、有序地参与青海省采购活动，愿就以下内容作出承诺：</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、自觉遵守各项法律、法规、规章、制度以及社会公德，维护廉洁环境，与同场竞争的供应商平等参加采购活动。</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、参加青海省采购活动时，严格按照</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文件的规定和要求提供所需的相关材料，并对所提供的各类资料的真实性负责，不虚假</w:t>
      </w:r>
      <w:r>
        <w:rPr>
          <w:rFonts w:hint="eastAsia" w:ascii="宋体" w:hAnsi="宋体" w:eastAsia="宋体" w:cs="宋体"/>
          <w:b w:val="0"/>
          <w:bCs w:val="0"/>
          <w:color w:val="auto"/>
          <w:sz w:val="24"/>
          <w:szCs w:val="24"/>
          <w:lang w:eastAsia="zh-CN"/>
        </w:rPr>
        <w:t>响应</w:t>
      </w:r>
      <w:r>
        <w:rPr>
          <w:rFonts w:hint="eastAsia" w:ascii="宋体" w:hAnsi="宋体" w:eastAsia="宋体" w:cs="宋体"/>
          <w:b w:val="0"/>
          <w:bCs w:val="0"/>
          <w:color w:val="auto"/>
          <w:sz w:val="24"/>
          <w:szCs w:val="24"/>
        </w:rPr>
        <w:t>，不虚列业绩。</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、尊重参与采购活动各相关方的合法行为，接受采购活动依法形成的意见、结果。</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、依法参加采购活动，不围标、串标，维护市场秩序，不提供“三无”产品、以次充好。</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、积极推动采购活动健康开展，对采购活动有疑问、异议时，按法律规定的程序实名（加盖单位</w:t>
      </w:r>
      <w:r>
        <w:rPr>
          <w:rFonts w:hint="eastAsia" w:ascii="宋体" w:hAnsi="宋体" w:eastAsia="宋体" w:cs="宋体"/>
          <w:b w:val="0"/>
          <w:bCs w:val="0"/>
          <w:color w:val="auto"/>
          <w:sz w:val="24"/>
          <w:szCs w:val="24"/>
          <w:lang w:eastAsia="zh-CN"/>
        </w:rPr>
        <w:t>公</w:t>
      </w:r>
      <w:r>
        <w:rPr>
          <w:rFonts w:hint="eastAsia" w:ascii="宋体" w:hAnsi="宋体" w:eastAsia="宋体" w:cs="宋体"/>
          <w:b w:val="0"/>
          <w:bCs w:val="0"/>
          <w:color w:val="auto"/>
          <w:sz w:val="24"/>
          <w:szCs w:val="24"/>
        </w:rPr>
        <w:t>章和法定代表人签名）反映情况，不恶意中伤、无事生非，以和谐、平等的心态参加采购活动。</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、认真履行成交供应商应承担的责任和义务，全面执行采购合同规定的各项内容，保质保量地按时提供采购物品。</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若本企业（单位）发生有悖于上述承诺的行为，愿意接受《中华人民共和国政府采购法》和《政府采购法实施条例》中对供应商的相关处理。</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b w:val="0"/>
          <w:bCs w:val="0"/>
          <w:color w:val="auto"/>
          <w:sz w:val="24"/>
          <w:szCs w:val="24"/>
        </w:rPr>
        <w:t>本承诺是采购项目</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响应文件的组成部分。</w:t>
      </w:r>
    </w:p>
    <w:p>
      <w:pPr>
        <w:widowControl w:val="0"/>
        <w:wordWrap/>
        <w:adjustRightInd/>
        <w:snapToGrid/>
        <w:spacing w:before="157" w:beforeLines="50" w:line="560" w:lineRule="exact"/>
        <w:ind w:firstLine="482"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b w:val="0"/>
          <w:bCs/>
          <w:color w:val="auto"/>
          <w:sz w:val="24"/>
          <w:szCs w:val="24"/>
        </w:rPr>
        <w:t xml:space="preserve"> </w:t>
      </w:r>
      <w:bookmarkStart w:id="375" w:name="_Toc2830_WPSOffice_Level3"/>
      <w:bookmarkStart w:id="376" w:name="_Toc23784_WPSOffice_Level3"/>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bookmarkEnd w:id="375"/>
      <w:bookmarkEnd w:id="376"/>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377" w:name="_Toc25026_WPSOffice_Level3"/>
      <w:bookmarkStart w:id="378" w:name="_Toc13573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377"/>
      <w:bookmarkEnd w:id="378"/>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color w:val="auto"/>
          <w:sz w:val="24"/>
          <w:szCs w:val="24"/>
        </w:rPr>
      </w:pPr>
      <w:r>
        <w:rPr>
          <w:rFonts w:hint="eastAsia" w:ascii="宋体" w:hAnsi="宋体" w:eastAsia="宋体" w:cs="宋体"/>
          <w:b w:val="0"/>
          <w:bCs/>
          <w:color w:val="auto"/>
          <w:sz w:val="24"/>
          <w:szCs w:val="24"/>
        </w:rPr>
        <w:t xml:space="preserve">               </w:t>
      </w:r>
      <w:bookmarkStart w:id="379" w:name="_Toc5564_WPSOffice_Level3"/>
      <w:r>
        <w:rPr>
          <w:rFonts w:hint="eastAsia" w:ascii="宋体" w:hAnsi="宋体" w:eastAsia="宋体" w:cs="宋体"/>
          <w:b w:val="0"/>
          <w:bCs/>
          <w:color w:val="auto"/>
          <w:sz w:val="24"/>
          <w:szCs w:val="24"/>
          <w:lang w:val="en-US" w:eastAsia="zh-CN"/>
        </w:rPr>
        <w:t xml:space="preserve">                      </w:t>
      </w:r>
      <w:bookmarkStart w:id="380" w:name="_Toc12645_WPSOffice_Level3"/>
      <w:r>
        <w:rPr>
          <w:rFonts w:hint="eastAsia" w:ascii="宋体" w:hAnsi="宋体" w:eastAsia="宋体" w:cs="宋体"/>
          <w:b w:val="0"/>
          <w:bCs/>
          <w:color w:val="auto"/>
          <w:sz w:val="24"/>
          <w:szCs w:val="24"/>
        </w:rPr>
        <w:t>年   月  日</w:t>
      </w:r>
      <w:bookmarkEnd w:id="379"/>
      <w:bookmarkEnd w:id="380"/>
    </w:p>
    <w:p>
      <w:pPr>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宋体" w:hAnsi="宋体" w:eastAsia="宋体" w:cs="宋体"/>
          <w:b/>
          <w:color w:val="auto"/>
          <w:sz w:val="24"/>
          <w:szCs w:val="24"/>
        </w:rPr>
      </w:pPr>
      <w:bookmarkStart w:id="381" w:name="_Toc19930_WPSOffice_Level3"/>
      <w:bookmarkStart w:id="382" w:name="_Toc6033"/>
      <w:bookmarkStart w:id="383" w:name="_Toc25242"/>
      <w:bookmarkStart w:id="384" w:name="_Toc16847"/>
      <w:bookmarkStart w:id="385" w:name="_Toc8368_WPSOffice_Level3"/>
      <w:r>
        <w:rPr>
          <w:rFonts w:hint="eastAsia" w:ascii="宋体" w:hAnsi="宋体" w:eastAsia="宋体" w:cs="宋体"/>
          <w:b/>
          <w:color w:val="auto"/>
          <w:sz w:val="24"/>
          <w:szCs w:val="24"/>
          <w:lang w:eastAsia="zh-CN"/>
        </w:rPr>
        <w:t>附件6：供应商资格证明文件</w:t>
      </w:r>
      <w:bookmarkEnd w:id="381"/>
      <w:bookmarkEnd w:id="382"/>
      <w:bookmarkEnd w:id="383"/>
      <w:bookmarkEnd w:id="384"/>
      <w:bookmarkEnd w:id="385"/>
    </w:p>
    <w:p>
      <w:pPr>
        <w:wordWrap/>
        <w:spacing w:before="157" w:beforeLines="50" w:line="560" w:lineRule="exact"/>
        <w:jc w:val="center"/>
        <w:outlineLvl w:val="9"/>
        <w:rPr>
          <w:rFonts w:hint="eastAsia" w:ascii="宋体" w:hAnsi="宋体" w:eastAsia="宋体" w:cs="宋体"/>
          <w:color w:val="auto"/>
          <w:sz w:val="24"/>
          <w:szCs w:val="24"/>
        </w:rPr>
      </w:pPr>
      <w:bookmarkStart w:id="386" w:name="_Toc9360_WPSOffice_Level3"/>
      <w:bookmarkStart w:id="387" w:name="_Toc23997_WPSOffice_Level3"/>
      <w:r>
        <w:rPr>
          <w:rFonts w:hint="eastAsia" w:ascii="宋体" w:hAnsi="宋体" w:eastAsia="宋体" w:cs="宋体"/>
          <w:b/>
          <w:color w:val="auto"/>
          <w:sz w:val="24"/>
          <w:szCs w:val="24"/>
          <w:lang w:eastAsia="zh-CN"/>
        </w:rPr>
        <w:t>供应商资格证明文件</w:t>
      </w:r>
      <w:bookmarkEnd w:id="386"/>
      <w:bookmarkEnd w:id="387"/>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资格证明材料包括：提供有效的营业执照、税务登记证、机构代码证或三证（五证）合一统一社会代码证及其他资格证明文件（扫描或复印件）。</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2、根据采购项目内容，提供供应商的相关资质证书、许可证等。</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p>
    <w:p>
      <w:pPr>
        <w:widowControl/>
        <w:wordWrap/>
        <w:snapToGrid w:val="0"/>
        <w:spacing w:before="157" w:beforeLines="50" w:line="560" w:lineRule="exact"/>
        <w:outlineLvl w:val="9"/>
        <w:rPr>
          <w:rFonts w:hint="eastAsia" w:ascii="宋体" w:hAnsi="宋体" w:eastAsia="宋体" w:cs="宋体"/>
          <w:b/>
          <w:color w:val="auto"/>
          <w:sz w:val="24"/>
          <w:szCs w:val="24"/>
        </w:rPr>
      </w:pPr>
    </w:p>
    <w:p>
      <w:pPr>
        <w:widowControl/>
        <w:wordWrap/>
        <w:snapToGrid w:val="0"/>
        <w:spacing w:before="157" w:beforeLines="50" w:line="560" w:lineRule="exact"/>
        <w:outlineLvl w:val="9"/>
        <w:rPr>
          <w:rFonts w:hint="eastAsia" w:ascii="宋体" w:hAnsi="宋体" w:eastAsia="宋体" w:cs="宋体"/>
          <w:b/>
          <w:color w:val="auto"/>
          <w:sz w:val="24"/>
          <w:szCs w:val="24"/>
        </w:rPr>
      </w:pPr>
    </w:p>
    <w:p>
      <w:pPr>
        <w:widowControl/>
        <w:wordWrap/>
        <w:snapToGrid w:val="0"/>
        <w:spacing w:before="157" w:beforeLines="50" w:line="560" w:lineRule="exact"/>
        <w:outlineLvl w:val="9"/>
        <w:rPr>
          <w:rFonts w:hint="eastAsia" w:ascii="宋体" w:hAnsi="宋体" w:eastAsia="宋体" w:cs="宋体"/>
          <w:b/>
          <w:color w:val="auto"/>
          <w:sz w:val="24"/>
          <w:szCs w:val="24"/>
        </w:rPr>
      </w:pPr>
    </w:p>
    <w:p>
      <w:pPr>
        <w:rPr>
          <w:rFonts w:hint="eastAsia" w:ascii="宋体" w:hAnsi="宋体" w:eastAsia="宋体" w:cs="宋体"/>
          <w:b/>
          <w:color w:val="auto"/>
          <w:sz w:val="24"/>
          <w:szCs w:val="24"/>
          <w:lang w:eastAsia="zh-CN"/>
        </w:rPr>
      </w:pPr>
      <w:bookmarkStart w:id="388" w:name="_Toc5898"/>
      <w:bookmarkStart w:id="389" w:name="_Toc7499_WPSOffice_Level3"/>
      <w:bookmarkStart w:id="390" w:name="_Toc12925"/>
      <w:bookmarkStart w:id="391" w:name="_Toc29082_WPSOffice_Level3"/>
      <w:bookmarkStart w:id="392" w:name="_Toc6573"/>
      <w:r>
        <w:rPr>
          <w:rFonts w:hint="eastAsia" w:ascii="宋体" w:hAnsi="宋体" w:eastAsia="宋体" w:cs="宋体"/>
          <w:b/>
          <w:color w:val="auto"/>
          <w:sz w:val="24"/>
          <w:szCs w:val="24"/>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hint="eastAsia" w:ascii="宋体" w:hAnsi="宋体" w:eastAsia="宋体" w:cs="宋体"/>
          <w:sz w:val="28"/>
          <w:szCs w:val="28"/>
          <w:lang w:val="en-US" w:eastAsia="zh-CN"/>
        </w:rPr>
      </w:pPr>
      <w:bookmarkStart w:id="393" w:name="_Toc14956"/>
      <w:bookmarkStart w:id="394" w:name="_Toc14135"/>
      <w:bookmarkStart w:id="395" w:name="_Toc893"/>
      <w:bookmarkStart w:id="396" w:name="_Toc14351"/>
      <w:r>
        <w:rPr>
          <w:rFonts w:hint="eastAsia" w:ascii="宋体" w:hAnsi="宋体" w:eastAsia="宋体" w:cs="宋体"/>
          <w:b/>
          <w:bCs/>
          <w:sz w:val="28"/>
          <w:szCs w:val="28"/>
          <w:lang w:val="en-US" w:eastAsia="zh-CN"/>
        </w:rPr>
        <w:t>附件7：</w:t>
      </w:r>
      <w:bookmarkEnd w:id="393"/>
      <w:r>
        <w:rPr>
          <w:rFonts w:hint="eastAsia" w:ascii="宋体" w:hAnsi="宋体" w:eastAsia="宋体" w:cs="宋体"/>
          <w:b/>
          <w:bCs/>
          <w:sz w:val="28"/>
          <w:szCs w:val="28"/>
          <w:lang w:val="en-US" w:eastAsia="zh-CN"/>
        </w:rPr>
        <w:t>财务状况、缴纳税收和社会保障资金证明</w:t>
      </w:r>
      <w:bookmarkEnd w:id="394"/>
      <w:bookmarkEnd w:id="395"/>
      <w:bookmarkEnd w:id="396"/>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1、经第三方机构出具的近一年度（20</w:t>
      </w:r>
      <w:r>
        <w:rPr>
          <w:rFonts w:hint="eastAsia" w:ascii="宋体" w:hAnsi="宋体" w:cs="宋体"/>
          <w:sz w:val="28"/>
          <w:szCs w:val="28"/>
          <w:lang w:val="en-US" w:eastAsia="zh-CN"/>
        </w:rPr>
        <w:t>20</w:t>
      </w:r>
      <w:r>
        <w:rPr>
          <w:rFonts w:hint="eastAsia" w:ascii="宋体" w:hAnsi="宋体" w:eastAsia="宋体" w:cs="宋体"/>
          <w:sz w:val="28"/>
          <w:szCs w:val="28"/>
        </w:rPr>
        <w:t>年或20</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rPr>
        <w:t>年)财务状况审计报告，包括资产负债表、现金流量表、利润表和</w:t>
      </w:r>
      <w:r>
        <w:rPr>
          <w:rFonts w:hint="eastAsia" w:ascii="宋体" w:hAnsi="宋体" w:eastAsia="宋体" w:cs="宋体"/>
          <w:sz w:val="28"/>
          <w:szCs w:val="28"/>
          <w:lang w:val="zh-CN"/>
        </w:rPr>
        <w:t>财务（会计）报表附注</w:t>
      </w:r>
      <w:r>
        <w:rPr>
          <w:rFonts w:hint="eastAsia" w:ascii="宋体" w:hAnsi="宋体" w:eastAsia="宋体" w:cs="宋体"/>
          <w:sz w:val="28"/>
          <w:szCs w:val="28"/>
        </w:rPr>
        <w:t>，</w:t>
      </w:r>
      <w:r>
        <w:rPr>
          <w:rFonts w:hint="eastAsia" w:ascii="宋体" w:hAnsi="宋体" w:eastAsia="宋体" w:cs="宋体"/>
          <w:sz w:val="28"/>
          <w:szCs w:val="28"/>
          <w:lang w:val="zh-CN"/>
        </w:rPr>
        <w:t>并提供第三方机构的营业执照、执业证书</w:t>
      </w:r>
      <w:r>
        <w:rPr>
          <w:rFonts w:hint="eastAsia" w:ascii="宋体" w:hAnsi="宋体" w:eastAsia="宋体" w:cs="宋体"/>
          <w:sz w:val="28"/>
          <w:szCs w:val="28"/>
          <w:lang w:val="en-US" w:eastAsia="zh-CN"/>
        </w:rPr>
        <w:t>,</w:t>
      </w:r>
      <w:r>
        <w:rPr>
          <w:rFonts w:hint="eastAsia" w:ascii="宋体" w:hAnsi="宋体" w:eastAsia="宋体" w:cs="宋体"/>
          <w:sz w:val="28"/>
          <w:szCs w:val="28"/>
        </w:rPr>
        <w:t>扫描（或复印）件应全面、完整、清晰；</w:t>
      </w:r>
      <w:r>
        <w:rPr>
          <w:rFonts w:hint="eastAsia" w:ascii="宋体" w:hAnsi="宋体" w:eastAsia="宋体" w:cs="宋体"/>
          <w:sz w:val="28"/>
          <w:szCs w:val="28"/>
          <w:lang w:val="zh-CN"/>
        </w:rPr>
        <w:t>没有经审计的财务报告，可以提供基本开户银行出具的资信证明。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2、近半年任意</w:t>
      </w:r>
      <w:r>
        <w:rPr>
          <w:rFonts w:hint="eastAsia" w:ascii="宋体" w:hAnsi="宋体" w:eastAsia="宋体" w:cs="宋体"/>
          <w:sz w:val="28"/>
          <w:szCs w:val="28"/>
          <w:lang w:eastAsia="zh-CN"/>
        </w:rPr>
        <w:t>三</w:t>
      </w:r>
      <w:r>
        <w:rPr>
          <w:rFonts w:hint="eastAsia" w:ascii="宋体" w:hAnsi="宋体" w:eastAsia="宋体" w:cs="宋体"/>
          <w:sz w:val="28"/>
          <w:szCs w:val="28"/>
        </w:rPr>
        <w:t>个月依法缴纳税收和社会保障资金记录的证明材料,</w:t>
      </w:r>
      <w:r>
        <w:rPr>
          <w:rFonts w:hint="eastAsia" w:ascii="宋体" w:hAnsi="宋体" w:eastAsia="宋体" w:cs="宋体"/>
          <w:sz w:val="28"/>
          <w:szCs w:val="28"/>
          <w:lang w:val="zh-CN"/>
        </w:rPr>
        <w:t>依法免税或不需要缴纳社会保障资金的需提供相应证明文件</w:t>
      </w:r>
      <w:r>
        <w:rPr>
          <w:rFonts w:hint="eastAsia" w:ascii="宋体" w:hAnsi="宋体" w:eastAsia="宋体" w:cs="宋体"/>
          <w:sz w:val="28"/>
          <w:szCs w:val="28"/>
        </w:rPr>
        <w:t>。</w:t>
      </w:r>
    </w:p>
    <w:p>
      <w:pPr>
        <w:keepNext/>
        <w:keepLines w:val="0"/>
        <w:pageBreakBefore w:val="0"/>
        <w:widowControl w:val="0"/>
        <w:kinsoku/>
        <w:wordWrap/>
        <w:overflowPunct/>
        <w:topLinePunct w:val="0"/>
        <w:autoSpaceDE/>
        <w:autoSpaceDN/>
        <w:bidi w:val="0"/>
        <w:adjustRightInd/>
        <w:snapToGrid/>
        <w:jc w:val="left"/>
        <w:textAlignment w:val="auto"/>
        <w:outlineLvl w:val="9"/>
        <w:rPr>
          <w:rFonts w:hint="eastAsia"/>
          <w:lang w:eastAsia="zh-CN"/>
        </w:rPr>
      </w:pPr>
    </w:p>
    <w:p>
      <w:pPr>
        <w:pStyle w:val="8"/>
        <w:keepLines w:val="0"/>
        <w:pageBreakBefore w:val="0"/>
        <w:kinsoku/>
        <w:wordWrap/>
        <w:overflowPunct/>
        <w:topLinePunct w:val="0"/>
        <w:bidi w:val="0"/>
        <w:adjustRightInd/>
        <w:snapToGrid/>
        <w:textAlignment w:val="auto"/>
        <w:outlineLvl w:val="9"/>
        <w:rPr>
          <w:rFonts w:hint="eastAsia"/>
          <w:lang w:eastAsia="zh-CN"/>
        </w:rPr>
      </w:pPr>
    </w:p>
    <w:p>
      <w:pPr>
        <w:pStyle w:val="9"/>
        <w:keepLines w:val="0"/>
        <w:pageBreakBefore w:val="0"/>
        <w:kinsoku/>
        <w:wordWrap/>
        <w:overflowPunct/>
        <w:topLinePunct w:val="0"/>
        <w:bidi w:val="0"/>
        <w:adjustRightInd/>
        <w:snapToGrid/>
        <w:textAlignment w:val="auto"/>
        <w:outlineLvl w:val="9"/>
        <w:rPr>
          <w:rFonts w:hint="eastAsia"/>
          <w:lang w:eastAsia="zh-CN"/>
        </w:rPr>
      </w:pPr>
    </w:p>
    <w:p>
      <w:pPr>
        <w:pStyle w:val="11"/>
        <w:keepLines w:val="0"/>
        <w:pageBreakBefore w:val="0"/>
        <w:kinsoku/>
        <w:wordWrap/>
        <w:overflowPunct/>
        <w:topLinePunct w:val="0"/>
        <w:bidi w:val="0"/>
        <w:adjustRightInd/>
        <w:snapToGrid/>
        <w:textAlignment w:val="auto"/>
        <w:outlineLvl w:val="9"/>
        <w:rPr>
          <w:rFonts w:hint="eastAsia"/>
          <w:lang w:eastAsia="zh-CN"/>
        </w:rPr>
      </w:pPr>
    </w:p>
    <w:p>
      <w:pPr>
        <w:keepLines w:val="0"/>
        <w:pageBreakBefore w:val="0"/>
        <w:kinsoku/>
        <w:wordWrap/>
        <w:overflowPunct/>
        <w:topLinePunct w:val="0"/>
        <w:bidi w:val="0"/>
        <w:adjustRightInd/>
        <w:snapToGrid/>
        <w:textAlignment w:val="auto"/>
        <w:outlineLvl w:val="9"/>
        <w:rPr>
          <w:rFonts w:hint="eastAsia"/>
          <w:lang w:eastAsia="zh-CN"/>
        </w:rPr>
      </w:pPr>
    </w:p>
    <w:p>
      <w:pPr>
        <w:pStyle w:val="8"/>
        <w:keepLines w:val="0"/>
        <w:pageBreakBefore w:val="0"/>
        <w:kinsoku/>
        <w:wordWrap/>
        <w:overflowPunct/>
        <w:topLinePunct w:val="0"/>
        <w:bidi w:val="0"/>
        <w:adjustRightInd/>
        <w:snapToGrid/>
        <w:textAlignment w:val="auto"/>
        <w:outlineLvl w:val="9"/>
        <w:rPr>
          <w:rFonts w:hint="eastAsia"/>
          <w:lang w:eastAsia="zh-CN"/>
        </w:rPr>
      </w:pPr>
    </w:p>
    <w:p>
      <w:pPr>
        <w:pStyle w:val="9"/>
        <w:rPr>
          <w:rFonts w:hint="eastAsia"/>
          <w:lang w:eastAsia="zh-CN"/>
        </w:rPr>
      </w:pPr>
    </w:p>
    <w:p>
      <w:pPr>
        <w:pStyle w:val="11"/>
        <w:rPr>
          <w:rFonts w:hint="eastAsia"/>
          <w:lang w:eastAsia="zh-CN"/>
        </w:rPr>
      </w:pPr>
    </w:p>
    <w:p>
      <w:pPr>
        <w:pStyle w:val="9"/>
        <w:keepLines w:val="0"/>
        <w:pageBreakBefore w:val="0"/>
        <w:kinsoku/>
        <w:wordWrap/>
        <w:overflowPunct/>
        <w:topLinePunct w:val="0"/>
        <w:bidi w:val="0"/>
        <w:adjustRightInd/>
        <w:snapToGrid/>
        <w:textAlignment w:val="auto"/>
        <w:outlineLvl w:val="9"/>
        <w:rPr>
          <w:rFonts w:hint="eastAsia"/>
          <w:lang w:eastAsia="zh-CN"/>
        </w:rPr>
      </w:pPr>
    </w:p>
    <w:p>
      <w:pPr>
        <w:pStyle w:val="11"/>
        <w:keepLines w:val="0"/>
        <w:pageBreakBefore w:val="0"/>
        <w:kinsoku/>
        <w:wordWrap/>
        <w:overflowPunct/>
        <w:topLinePunct w:val="0"/>
        <w:bidi w:val="0"/>
        <w:adjustRightInd/>
        <w:snapToGrid/>
        <w:textAlignment w:val="auto"/>
        <w:outlineLvl w:val="9"/>
        <w:rPr>
          <w:rFonts w:hint="eastAsia"/>
          <w:lang w:eastAsia="zh-CN"/>
        </w:rPr>
      </w:pPr>
    </w:p>
    <w:p>
      <w:pPr>
        <w:keepLines w:val="0"/>
        <w:pageBreakBefore w:val="0"/>
        <w:kinsoku/>
        <w:wordWrap/>
        <w:overflowPunct/>
        <w:topLinePunct w:val="0"/>
        <w:bidi w:val="0"/>
        <w:adjustRightInd/>
        <w:snapToGrid/>
        <w:textAlignment w:val="auto"/>
        <w:outlineLvl w:val="9"/>
        <w:rPr>
          <w:rFonts w:hint="eastAsia"/>
          <w:lang w:eastAsia="zh-CN"/>
        </w:rPr>
      </w:pPr>
    </w:p>
    <w:p>
      <w:pPr>
        <w:pStyle w:val="8"/>
        <w:keepLines w:val="0"/>
        <w:pageBreakBefore w:val="0"/>
        <w:kinsoku/>
        <w:wordWrap/>
        <w:overflowPunct/>
        <w:topLinePunct w:val="0"/>
        <w:bidi w:val="0"/>
        <w:adjustRightInd/>
        <w:snapToGrid/>
        <w:textAlignment w:val="auto"/>
        <w:outlineLvl w:val="9"/>
        <w:rPr>
          <w:rFonts w:hint="eastAsia"/>
          <w:lang w:eastAsia="zh-CN"/>
        </w:rPr>
      </w:pPr>
    </w:p>
    <w:p>
      <w:pPr>
        <w:pStyle w:val="9"/>
        <w:keepLines w:val="0"/>
        <w:pageBreakBefore w:val="0"/>
        <w:kinsoku/>
        <w:wordWrap/>
        <w:overflowPunct/>
        <w:topLinePunct w:val="0"/>
        <w:bidi w:val="0"/>
        <w:adjustRightInd/>
        <w:snapToGrid/>
        <w:textAlignment w:val="auto"/>
        <w:outlineLvl w:val="9"/>
        <w:rPr>
          <w:rFonts w:hint="eastAsia"/>
          <w:lang w:eastAsia="zh-CN"/>
        </w:rPr>
      </w:pPr>
    </w:p>
    <w:p>
      <w:pPr>
        <w:pStyle w:val="11"/>
        <w:keepLines w:val="0"/>
        <w:pageBreakBefore w:val="0"/>
        <w:kinsoku/>
        <w:wordWrap/>
        <w:overflowPunct/>
        <w:topLinePunct w:val="0"/>
        <w:bidi w:val="0"/>
        <w:adjustRightInd/>
        <w:snapToGrid/>
        <w:textAlignment w:val="auto"/>
        <w:outlineLvl w:val="9"/>
        <w:rPr>
          <w:rFonts w:hint="eastAsia"/>
          <w:lang w:eastAsia="zh-CN"/>
        </w:rPr>
      </w:pPr>
    </w:p>
    <w:p>
      <w:pPr>
        <w:keepLines w:val="0"/>
        <w:pageBreakBefore w:val="0"/>
        <w:kinsoku/>
        <w:wordWrap/>
        <w:overflowPunct/>
        <w:topLinePunct w:val="0"/>
        <w:bidi w:val="0"/>
        <w:adjustRightInd/>
        <w:snapToGrid/>
        <w:textAlignment w:val="auto"/>
        <w:outlineLvl w:val="9"/>
        <w:rPr>
          <w:rFonts w:hint="eastAsia"/>
          <w:lang w:eastAsia="zh-CN"/>
        </w:rPr>
      </w:pPr>
    </w:p>
    <w:p>
      <w:pPr>
        <w:pStyle w:val="8"/>
        <w:keepLines w:val="0"/>
        <w:pageBreakBefore w:val="0"/>
        <w:kinsoku/>
        <w:wordWrap/>
        <w:overflowPunct/>
        <w:topLinePunct w:val="0"/>
        <w:bidi w:val="0"/>
        <w:adjustRightInd/>
        <w:snapToGrid/>
        <w:textAlignment w:val="auto"/>
        <w:outlineLvl w:val="9"/>
        <w:rPr>
          <w:rFonts w:hint="eastAsia"/>
          <w:lang w:eastAsia="zh-CN"/>
        </w:rPr>
      </w:pPr>
    </w:p>
    <w:p>
      <w:pPr>
        <w:pStyle w:val="9"/>
        <w:keepLines w:val="0"/>
        <w:pageBreakBefore w:val="0"/>
        <w:kinsoku/>
        <w:wordWrap/>
        <w:overflowPunct/>
        <w:topLinePunct w:val="0"/>
        <w:bidi w:val="0"/>
        <w:adjustRightInd/>
        <w:snapToGrid/>
        <w:textAlignment w:val="auto"/>
        <w:outlineLvl w:val="9"/>
        <w:rPr>
          <w:rFonts w:hint="eastAsia"/>
          <w:lang w:eastAsia="zh-CN"/>
        </w:rPr>
      </w:pPr>
    </w:p>
    <w:p>
      <w:pPr>
        <w:pStyle w:val="11"/>
        <w:keepLines w:val="0"/>
        <w:pageBreakBefore w:val="0"/>
        <w:kinsoku/>
        <w:wordWrap/>
        <w:overflowPunct/>
        <w:topLinePunct w:val="0"/>
        <w:bidi w:val="0"/>
        <w:adjustRightInd/>
        <w:snapToGrid/>
        <w:textAlignment w:val="auto"/>
        <w:outlineLvl w:val="9"/>
        <w:rPr>
          <w:rFonts w:hint="eastAsia"/>
          <w:lang w:eastAsia="zh-CN"/>
        </w:rPr>
      </w:pPr>
    </w:p>
    <w:p>
      <w:pPr>
        <w:keepLines w:val="0"/>
        <w:pageBreakBefore w:val="0"/>
        <w:kinsoku/>
        <w:wordWrap/>
        <w:overflowPunct/>
        <w:topLinePunct w:val="0"/>
        <w:bidi w:val="0"/>
        <w:adjustRightInd/>
        <w:snapToGrid/>
        <w:textAlignment w:val="auto"/>
        <w:outlineLvl w:val="9"/>
        <w:rPr>
          <w:rFonts w:hint="eastAsia"/>
          <w:lang w:eastAsia="zh-CN"/>
        </w:rPr>
      </w:pPr>
    </w:p>
    <w:p>
      <w:pPr>
        <w:pStyle w:val="8"/>
        <w:keepLines w:val="0"/>
        <w:pageBreakBefore w:val="0"/>
        <w:kinsoku/>
        <w:wordWrap/>
        <w:overflowPunct/>
        <w:topLinePunct w:val="0"/>
        <w:bidi w:val="0"/>
        <w:adjustRightInd/>
        <w:snapToGrid/>
        <w:textAlignment w:val="auto"/>
        <w:outlineLvl w:val="9"/>
        <w:rPr>
          <w:rFonts w:hint="eastAsia"/>
          <w:lang w:eastAsia="zh-CN"/>
        </w:rPr>
      </w:pPr>
    </w:p>
    <w:p>
      <w:pPr>
        <w:pStyle w:val="9"/>
        <w:keepLines w:val="0"/>
        <w:pageBreakBefore w:val="0"/>
        <w:kinsoku/>
        <w:wordWrap/>
        <w:overflowPunct/>
        <w:topLinePunct w:val="0"/>
        <w:bidi w:val="0"/>
        <w:adjustRightInd/>
        <w:snapToGrid/>
        <w:textAlignment w:val="auto"/>
        <w:outlineLvl w:val="9"/>
        <w:rPr>
          <w:rFonts w:hint="eastAsia"/>
          <w:lang w:eastAsia="zh-CN"/>
        </w:rPr>
      </w:pPr>
    </w:p>
    <w:p>
      <w:pPr>
        <w:widowControl/>
        <w:wordWrap/>
        <w:snapToGrid w:val="0"/>
        <w:spacing w:before="157" w:beforeLines="50" w:line="560" w:lineRule="exact"/>
        <w:outlineLvl w:val="1"/>
        <w:rPr>
          <w:rFonts w:hint="eastAsia" w:ascii="宋体" w:hAnsi="宋体" w:eastAsia="宋体" w:cs="宋体"/>
          <w:b/>
          <w:color w:val="auto"/>
          <w:sz w:val="24"/>
          <w:szCs w:val="24"/>
          <w:lang w:eastAsia="zh-CN"/>
        </w:rPr>
      </w:pPr>
      <w:bookmarkStart w:id="397" w:name="_Toc17138"/>
      <w:r>
        <w:rPr>
          <w:rFonts w:hint="eastAsia" w:ascii="宋体" w:hAnsi="宋体" w:eastAsia="宋体" w:cs="宋体"/>
          <w:b/>
          <w:color w:val="auto"/>
          <w:sz w:val="24"/>
          <w:szCs w:val="24"/>
          <w:lang w:eastAsia="zh-CN"/>
        </w:rPr>
        <w:t>附件</w:t>
      </w:r>
      <w:r>
        <w:rPr>
          <w:rFonts w:hint="eastAsia" w:ascii="宋体" w:hAnsi="宋体" w:cs="宋体"/>
          <w:b/>
          <w:color w:val="auto"/>
          <w:sz w:val="24"/>
          <w:szCs w:val="24"/>
          <w:lang w:val="en-US" w:eastAsia="zh-CN"/>
        </w:rPr>
        <w:t>8</w:t>
      </w:r>
      <w:r>
        <w:rPr>
          <w:rFonts w:hint="eastAsia" w:ascii="宋体" w:hAnsi="宋体" w:eastAsia="宋体" w:cs="宋体"/>
          <w:b/>
          <w:color w:val="auto"/>
          <w:sz w:val="24"/>
          <w:szCs w:val="24"/>
          <w:lang w:eastAsia="zh-CN"/>
        </w:rPr>
        <w:t>：</w:t>
      </w:r>
      <w:bookmarkEnd w:id="388"/>
      <w:bookmarkEnd w:id="389"/>
      <w:bookmarkEnd w:id="390"/>
      <w:bookmarkEnd w:id="391"/>
      <w:bookmarkEnd w:id="392"/>
      <w:r>
        <w:rPr>
          <w:rFonts w:hint="eastAsia" w:ascii="宋体" w:hAnsi="宋体" w:eastAsia="宋体" w:cs="宋体"/>
          <w:b/>
          <w:color w:val="auto"/>
          <w:sz w:val="24"/>
          <w:szCs w:val="24"/>
          <w:lang w:eastAsia="zh-CN"/>
        </w:rPr>
        <w:t>无重大违法记录声明</w:t>
      </w:r>
      <w:bookmarkEnd w:id="397"/>
    </w:p>
    <w:p>
      <w:pPr>
        <w:wordWrap/>
        <w:spacing w:before="157" w:beforeLines="50" w:line="560" w:lineRule="exact"/>
        <w:jc w:val="center"/>
        <w:outlineLvl w:val="9"/>
        <w:rPr>
          <w:rFonts w:hint="eastAsia" w:ascii="宋体" w:hAnsi="宋体" w:eastAsia="宋体" w:cs="宋体"/>
          <w:b/>
          <w:bCs/>
          <w:color w:val="auto"/>
          <w:sz w:val="24"/>
          <w:szCs w:val="24"/>
        </w:rPr>
      </w:pPr>
      <w:bookmarkStart w:id="398" w:name="_Toc25610_WPSOffice_Level3"/>
      <w:r>
        <w:rPr>
          <w:rFonts w:hint="eastAsia" w:ascii="宋体" w:hAnsi="宋体" w:eastAsia="宋体" w:cs="宋体"/>
          <w:b/>
          <w:color w:val="auto"/>
          <w:sz w:val="24"/>
          <w:szCs w:val="24"/>
          <w:lang w:val="zh-CN" w:eastAsia="zh-CN"/>
        </w:rPr>
        <w:t>无重大违法记录声明</w:t>
      </w:r>
      <w:bookmarkEnd w:id="398"/>
    </w:p>
    <w:p>
      <w:pPr>
        <w:widowControl w:val="0"/>
        <w:wordWrap/>
        <w:adjustRightInd/>
        <w:snapToGrid/>
        <w:spacing w:line="560" w:lineRule="exac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 xml:space="preserve">  </w:t>
      </w:r>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rPr>
        <w:t>我单位参加本次采购项目活动前三年内，在经营活动中无重大违法活动记录，符合《政府采购法》规定的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资格条</w:t>
      </w:r>
      <w:r>
        <w:rPr>
          <w:rFonts w:hint="eastAsia" w:ascii="宋体" w:hAnsi="宋体" w:eastAsia="宋体" w:cs="宋体"/>
          <w:color w:val="auto"/>
          <w:sz w:val="24"/>
          <w:szCs w:val="24"/>
          <w:shd w:val="clear" w:color="auto" w:fill="FFFFFF"/>
        </w:rPr>
        <w:t>件。我方对此声明负全部法律责任。</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widowControl w:val="0"/>
        <w:wordWrap/>
        <w:autoSpaceDE w:val="0"/>
        <w:autoSpaceDN w:val="0"/>
        <w:adjustRightInd/>
        <w:snapToGrid/>
        <w:spacing w:line="560" w:lineRule="exact"/>
        <w:jc w:val="left"/>
        <w:textAlignment w:val="auto"/>
        <w:outlineLvl w:val="9"/>
        <w:rPr>
          <w:rFonts w:hint="eastAsia" w:ascii="宋体" w:hAnsi="宋体" w:eastAsia="宋体" w:cs="宋体"/>
          <w:color w:val="auto"/>
          <w:kern w:val="0"/>
          <w:sz w:val="24"/>
          <w:szCs w:val="24"/>
          <w:lang w:val="zh-CN"/>
        </w:rPr>
      </w:pPr>
    </w:p>
    <w:p>
      <w:pPr>
        <w:widowControl w:val="0"/>
        <w:wordWrap/>
        <w:autoSpaceDE w:val="0"/>
        <w:autoSpaceDN w:val="0"/>
        <w:adjustRightInd/>
        <w:snapToGrid/>
        <w:spacing w:line="56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附“信用中国”网站“下载信用信息”栏中的信用信息，时间为</w:t>
      </w:r>
      <w:r>
        <w:rPr>
          <w:rFonts w:hint="eastAsia" w:ascii="宋体" w:hAnsi="宋体" w:cs="宋体"/>
          <w:color w:val="auto"/>
          <w:kern w:val="0"/>
          <w:sz w:val="24"/>
          <w:szCs w:val="24"/>
          <w:lang w:eastAsia="zh-CN"/>
        </w:rPr>
        <w:t>询价</w:t>
      </w:r>
      <w:r>
        <w:rPr>
          <w:rFonts w:hint="eastAsia" w:ascii="宋体" w:hAnsi="宋体" w:eastAsia="宋体" w:cs="宋体"/>
          <w:color w:val="auto"/>
          <w:kern w:val="0"/>
          <w:sz w:val="24"/>
          <w:szCs w:val="24"/>
          <w:lang w:eastAsia="zh-CN"/>
        </w:rPr>
        <w:t>文件响应</w:t>
      </w:r>
      <w:r>
        <w:rPr>
          <w:rFonts w:hint="eastAsia" w:ascii="宋体" w:hAnsi="宋体" w:eastAsia="宋体" w:cs="宋体"/>
          <w:color w:val="auto"/>
          <w:kern w:val="0"/>
          <w:sz w:val="24"/>
          <w:szCs w:val="24"/>
        </w:rPr>
        <w:t>截止时间前</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天内</w:t>
      </w:r>
      <w:r>
        <w:rPr>
          <w:rFonts w:hint="eastAsia" w:ascii="宋体" w:hAnsi="宋体" w:eastAsia="宋体" w:cs="宋体"/>
          <w:color w:val="auto"/>
          <w:sz w:val="24"/>
          <w:szCs w:val="24"/>
        </w:rPr>
        <w:t>。</w:t>
      </w:r>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               </w:t>
      </w:r>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lang w:val="en-US" w:eastAsia="zh-CN"/>
        </w:rPr>
      </w:pPr>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 xml:space="preserve">  </w:t>
      </w:r>
      <w:bookmarkStart w:id="399" w:name="_Toc21607_WPSOffice_Level3"/>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bookmarkEnd w:id="399"/>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400" w:name="_Toc14292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400"/>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bookmarkStart w:id="401" w:name="_Toc15350_WPSOffice_Level3"/>
      <w:r>
        <w:rPr>
          <w:rFonts w:hint="eastAsia" w:ascii="宋体" w:hAnsi="宋体" w:eastAsia="宋体" w:cs="宋体"/>
          <w:b w:val="0"/>
          <w:bCs/>
          <w:color w:val="auto"/>
          <w:sz w:val="24"/>
          <w:szCs w:val="24"/>
        </w:rPr>
        <w:t>年   月  日</w:t>
      </w:r>
      <w:bookmarkEnd w:id="401"/>
    </w:p>
    <w:p>
      <w:pPr>
        <w:wordWrap/>
        <w:adjustRightInd/>
        <w:spacing w:line="560" w:lineRule="exact"/>
        <w:ind w:firstLine="480" w:firstLineChars="200"/>
        <w:textAlignment w:val="auto"/>
        <w:outlineLvl w:val="9"/>
        <w:rPr>
          <w:rFonts w:hint="eastAsia" w:ascii="宋体" w:hAnsi="宋体" w:eastAsia="宋体" w:cs="宋体"/>
          <w:color w:val="auto"/>
          <w:sz w:val="24"/>
          <w:szCs w:val="24"/>
        </w:rPr>
      </w:pPr>
    </w:p>
    <w:p>
      <w:pPr>
        <w:widowControl/>
        <w:wordWrap/>
        <w:adjustRightInd/>
        <w:snapToGrid w:val="0"/>
        <w:spacing w:line="560" w:lineRule="exact"/>
        <w:textAlignment w:val="auto"/>
        <w:outlineLvl w:val="9"/>
        <w:rPr>
          <w:rFonts w:hint="eastAsia" w:ascii="宋体" w:hAnsi="宋体" w:eastAsia="宋体" w:cs="宋体"/>
          <w:color w:val="auto"/>
          <w:sz w:val="24"/>
          <w:szCs w:val="24"/>
        </w:rPr>
      </w:pPr>
    </w:p>
    <w:p>
      <w:pPr>
        <w:widowControl/>
        <w:wordWrap/>
        <w:snapToGrid w:val="0"/>
        <w:spacing w:before="157" w:beforeLines="50" w:line="560" w:lineRule="exact"/>
        <w:outlineLvl w:val="9"/>
        <w:rPr>
          <w:rFonts w:hint="eastAsia" w:ascii="宋体" w:hAnsi="宋体" w:eastAsia="宋体" w:cs="宋体"/>
          <w:color w:val="auto"/>
          <w:sz w:val="24"/>
          <w:szCs w:val="24"/>
        </w:rPr>
      </w:pPr>
    </w:p>
    <w:p>
      <w:pPr>
        <w:tabs>
          <w:tab w:val="left" w:pos="168"/>
        </w:tabs>
        <w:wordWrap/>
        <w:adjustRightInd w:val="0"/>
        <w:spacing w:before="157" w:beforeLines="50" w:line="560" w:lineRule="exact"/>
        <w:ind w:firstLine="480" w:firstLineChars="200"/>
        <w:textAlignment w:val="baseline"/>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wordWrap/>
        <w:spacing w:before="157" w:beforeLines="50" w:line="560" w:lineRule="exact"/>
        <w:rPr>
          <w:rFonts w:hint="eastAsia" w:ascii="宋体" w:hAnsi="宋体" w:eastAsia="宋体" w:cs="宋体"/>
          <w:b/>
          <w:bCs/>
          <w:color w:val="auto"/>
          <w:sz w:val="24"/>
          <w:szCs w:val="24"/>
        </w:rPr>
      </w:pPr>
    </w:p>
    <w:p>
      <w:pPr>
        <w:rPr>
          <w:rFonts w:hint="eastAsia" w:ascii="宋体" w:hAnsi="宋体" w:eastAsia="宋体" w:cs="宋体"/>
          <w:b/>
          <w:color w:val="auto"/>
          <w:sz w:val="24"/>
          <w:szCs w:val="24"/>
          <w:lang w:eastAsia="zh-CN"/>
        </w:rPr>
      </w:pPr>
      <w:bookmarkStart w:id="402" w:name="_Toc22959_WPSOffice_Level3"/>
      <w:bookmarkStart w:id="403" w:name="_Toc13266"/>
      <w:bookmarkStart w:id="404" w:name="_Toc17387_WPSOffice_Level3"/>
      <w:bookmarkStart w:id="405" w:name="_Toc16098"/>
      <w:bookmarkStart w:id="406" w:name="_Toc21984"/>
      <w:r>
        <w:rPr>
          <w:rFonts w:hint="eastAsia" w:ascii="宋体" w:hAnsi="宋体" w:eastAsia="宋体" w:cs="宋体"/>
          <w:b/>
          <w:color w:val="auto"/>
          <w:sz w:val="24"/>
          <w:szCs w:val="24"/>
          <w:lang w:eastAsia="zh-CN"/>
        </w:rPr>
        <w:br w:type="page"/>
      </w:r>
    </w:p>
    <w:bookmarkEnd w:id="402"/>
    <w:bookmarkEnd w:id="403"/>
    <w:bookmarkEnd w:id="404"/>
    <w:bookmarkEnd w:id="405"/>
    <w:bookmarkEnd w:id="406"/>
    <w:p>
      <w:pPr>
        <w:wordWrap/>
        <w:spacing w:before="157" w:beforeLines="50" w:line="560" w:lineRule="exact"/>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outlineLvl w:val="9"/>
        <w:rPr>
          <w:rFonts w:hint="eastAsia" w:ascii="宋体" w:hAnsi="宋体" w:eastAsia="宋体" w:cs="宋体"/>
          <w:b/>
          <w:color w:val="auto"/>
          <w:sz w:val="24"/>
          <w:szCs w:val="24"/>
        </w:rPr>
      </w:pPr>
      <w:bookmarkStart w:id="407" w:name="_Toc24560_WPSOffice_Level2"/>
      <w:bookmarkStart w:id="408" w:name="_Toc20688_WPSOffice_Level2"/>
      <w:r>
        <w:rPr>
          <w:rFonts w:hint="eastAsia" w:ascii="宋体" w:hAnsi="宋体" w:eastAsia="宋体" w:cs="宋体"/>
          <w:b/>
          <w:color w:val="auto"/>
          <w:sz w:val="24"/>
          <w:szCs w:val="24"/>
        </w:rPr>
        <w:t>青海省采购项目</w:t>
      </w:r>
      <w:bookmarkEnd w:id="407"/>
      <w:bookmarkEnd w:id="408"/>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outlineLvl w:val="9"/>
        <w:rPr>
          <w:rFonts w:hint="eastAsia" w:ascii="宋体" w:hAnsi="宋体" w:eastAsia="宋体" w:cs="宋体"/>
          <w:b/>
          <w:color w:val="auto"/>
          <w:sz w:val="24"/>
          <w:szCs w:val="24"/>
        </w:rPr>
      </w:pPr>
      <w:bookmarkStart w:id="409" w:name="_Toc1190_WPSOffice_Level2"/>
      <w:bookmarkStart w:id="410" w:name="_Toc30784_WPSOffice_Level2"/>
      <w:r>
        <w:rPr>
          <w:rFonts w:hint="eastAsia" w:ascii="宋体" w:hAnsi="宋体" w:cs="宋体"/>
          <w:b/>
          <w:color w:val="auto"/>
          <w:sz w:val="24"/>
          <w:szCs w:val="24"/>
          <w:lang w:eastAsia="zh-CN"/>
        </w:rPr>
        <w:t>询价</w:t>
      </w:r>
      <w:r>
        <w:rPr>
          <w:rFonts w:hint="eastAsia" w:ascii="宋体" w:hAnsi="宋体" w:eastAsia="宋体" w:cs="宋体"/>
          <w:b/>
          <w:color w:val="auto"/>
          <w:sz w:val="24"/>
          <w:szCs w:val="24"/>
        </w:rPr>
        <w:t>响应文件</w:t>
      </w:r>
      <w:bookmarkEnd w:id="409"/>
      <w:bookmarkEnd w:id="410"/>
    </w:p>
    <w:p>
      <w:pPr>
        <w:wordWrap/>
        <w:adjustRightInd w:val="0"/>
        <w:spacing w:before="157" w:beforeLines="50" w:line="560" w:lineRule="exact"/>
        <w:jc w:val="center"/>
        <w:textAlignment w:val="baseline"/>
        <w:outlineLvl w:val="9"/>
        <w:rPr>
          <w:rFonts w:hint="eastAsia" w:ascii="宋体" w:hAnsi="宋体" w:eastAsia="宋体" w:cs="宋体"/>
          <w:b/>
          <w:bCs/>
          <w:color w:val="auto"/>
          <w:sz w:val="24"/>
          <w:szCs w:val="24"/>
        </w:rPr>
      </w:pPr>
      <w:bookmarkStart w:id="411" w:name="_Toc24224_WPSOffice_Level2"/>
      <w:bookmarkStart w:id="412" w:name="_Toc5068_WPSOffice_Level2"/>
      <w:r>
        <w:rPr>
          <w:rFonts w:hint="eastAsia" w:ascii="宋体" w:hAnsi="宋体" w:eastAsia="宋体" w:cs="宋体"/>
          <w:b/>
          <w:bCs/>
          <w:color w:val="auto"/>
          <w:sz w:val="24"/>
          <w:szCs w:val="24"/>
        </w:rPr>
        <w:t>（</w:t>
      </w:r>
      <w:r>
        <w:rPr>
          <w:rFonts w:hint="eastAsia" w:ascii="宋体" w:hAnsi="宋体" w:eastAsia="宋体" w:cs="宋体"/>
          <w:b w:val="0"/>
          <w:bCs w:val="0"/>
          <w:color w:val="auto"/>
          <w:kern w:val="2"/>
          <w:sz w:val="24"/>
          <w:szCs w:val="24"/>
          <w:lang w:val="en-US" w:eastAsia="zh-CN" w:bidi="ar-SA"/>
        </w:rPr>
        <w:t>有效性、完整性、响应程度审查部分</w:t>
      </w:r>
      <w:r>
        <w:rPr>
          <w:rFonts w:hint="eastAsia" w:ascii="宋体" w:hAnsi="宋体" w:eastAsia="宋体" w:cs="宋体"/>
          <w:b/>
          <w:bCs/>
          <w:color w:val="auto"/>
          <w:sz w:val="24"/>
          <w:szCs w:val="24"/>
        </w:rPr>
        <w:t>）</w:t>
      </w:r>
      <w:bookmarkEnd w:id="411"/>
      <w:bookmarkEnd w:id="412"/>
    </w:p>
    <w:p>
      <w:pPr>
        <w:wordWrap/>
        <w:adjustRightInd w:val="0"/>
        <w:spacing w:before="157" w:beforeLines="50" w:line="560" w:lineRule="exact"/>
        <w:textAlignment w:val="baseline"/>
        <w:outlineLvl w:val="9"/>
        <w:rPr>
          <w:rFonts w:hint="eastAsia" w:ascii="宋体" w:hAnsi="宋体" w:eastAsia="宋体" w:cs="宋体"/>
          <w:b/>
          <w:bCs/>
          <w:color w:val="auto"/>
          <w:sz w:val="24"/>
          <w:szCs w:val="24"/>
        </w:rPr>
      </w:pPr>
    </w:p>
    <w:p>
      <w:pPr>
        <w:wordWrap/>
        <w:adjustRightInd w:val="0"/>
        <w:spacing w:before="157" w:beforeLines="50" w:line="560" w:lineRule="exact"/>
        <w:textAlignment w:val="baseline"/>
        <w:outlineLvl w:val="9"/>
        <w:rPr>
          <w:rFonts w:hint="eastAsia" w:ascii="宋体" w:hAnsi="宋体" w:eastAsia="宋体" w:cs="宋体"/>
          <w:b/>
          <w:bCs/>
          <w:color w:val="auto"/>
          <w:sz w:val="24"/>
          <w:szCs w:val="24"/>
        </w:rPr>
      </w:pPr>
    </w:p>
    <w:p>
      <w:pPr>
        <w:wordWrap/>
        <w:adjustRightInd w:val="0"/>
        <w:spacing w:before="157" w:beforeLines="50" w:line="560" w:lineRule="exact"/>
        <w:textAlignment w:val="baseline"/>
        <w:outlineLvl w:val="9"/>
        <w:rPr>
          <w:rFonts w:hint="eastAsia" w:ascii="宋体" w:hAnsi="宋体" w:eastAsia="宋体" w:cs="宋体"/>
          <w:b/>
          <w:bCs/>
          <w:color w:val="auto"/>
          <w:sz w:val="24"/>
          <w:szCs w:val="24"/>
        </w:rPr>
      </w:pPr>
    </w:p>
    <w:p>
      <w:pPr>
        <w:wordWrap/>
        <w:adjustRightInd w:val="0"/>
        <w:spacing w:before="157" w:beforeLines="50" w:line="560" w:lineRule="exact"/>
        <w:textAlignment w:val="baseline"/>
        <w:outlineLvl w:val="9"/>
        <w:rPr>
          <w:rFonts w:hint="eastAsia" w:ascii="宋体" w:hAnsi="宋体" w:eastAsia="宋体" w:cs="宋体"/>
          <w:b/>
          <w:bCs/>
          <w:color w:val="auto"/>
          <w:sz w:val="24"/>
          <w:szCs w:val="24"/>
          <w:lang w:eastAsia="zh-CN"/>
        </w:rPr>
      </w:pPr>
      <w:bookmarkStart w:id="413" w:name="_Toc14028_WPSOffice_Level2"/>
      <w:bookmarkStart w:id="414" w:name="_Toc16258_WPSOffice_Level2"/>
      <w:r>
        <w:rPr>
          <w:rFonts w:hint="eastAsia" w:ascii="宋体" w:hAnsi="宋体" w:eastAsia="宋体" w:cs="宋体"/>
          <w:b/>
          <w:bCs/>
          <w:color w:val="auto"/>
          <w:sz w:val="24"/>
          <w:szCs w:val="24"/>
        </w:rPr>
        <w:t>采购项目编号:</w:t>
      </w:r>
      <w:bookmarkEnd w:id="413"/>
      <w:bookmarkEnd w:id="414"/>
    </w:p>
    <w:p>
      <w:pPr>
        <w:wordWrap/>
        <w:spacing w:before="157" w:beforeLines="50" w:line="560" w:lineRule="exact"/>
        <w:ind w:left="2530" w:hanging="1687" w:hangingChars="700"/>
        <w:jc w:val="left"/>
        <w:outlineLvl w:val="9"/>
        <w:rPr>
          <w:rFonts w:hint="eastAsia" w:ascii="宋体" w:hAnsi="宋体" w:eastAsia="宋体" w:cs="宋体"/>
          <w:b/>
          <w:bCs/>
          <w:color w:val="auto"/>
          <w:sz w:val="24"/>
          <w:szCs w:val="24"/>
        </w:rPr>
      </w:pPr>
      <w:bookmarkStart w:id="415" w:name="_Toc173_WPSOffice_Level2"/>
      <w:bookmarkStart w:id="416" w:name="_Toc25982_WPSOffice_Level2"/>
      <w:r>
        <w:rPr>
          <w:rFonts w:hint="eastAsia" w:ascii="宋体" w:hAnsi="宋体" w:eastAsia="宋体" w:cs="宋体"/>
          <w:b/>
          <w:bCs/>
          <w:color w:val="auto"/>
          <w:sz w:val="24"/>
          <w:szCs w:val="24"/>
        </w:rPr>
        <w:t>采购项目名称:</w:t>
      </w:r>
      <w:bookmarkEnd w:id="415"/>
      <w:bookmarkEnd w:id="416"/>
      <w:r>
        <w:rPr>
          <w:rFonts w:hint="eastAsia" w:ascii="宋体" w:hAnsi="宋体" w:eastAsia="宋体" w:cs="宋体"/>
          <w:b/>
          <w:bCs/>
          <w:color w:val="auto"/>
          <w:sz w:val="24"/>
          <w:szCs w:val="24"/>
        </w:rPr>
        <w:t xml:space="preserve"> </w:t>
      </w:r>
    </w:p>
    <w:p>
      <w:pPr>
        <w:wordWrap/>
        <w:spacing w:before="157" w:beforeLines="50" w:line="560" w:lineRule="exact"/>
        <w:ind w:left="2530" w:hanging="1687" w:hangingChars="700"/>
        <w:jc w:val="left"/>
        <w:outlineLvl w:val="9"/>
        <w:rPr>
          <w:rFonts w:hint="eastAsia" w:ascii="宋体" w:hAnsi="宋体" w:eastAsia="宋体" w:cs="宋体"/>
          <w:b/>
          <w:bCs/>
          <w:color w:val="auto"/>
          <w:sz w:val="24"/>
          <w:szCs w:val="24"/>
          <w:lang w:eastAsia="zh-CN"/>
        </w:rPr>
      </w:pPr>
      <w:bookmarkStart w:id="417" w:name="_Toc19360_WPSOffice_Level2"/>
      <w:bookmarkStart w:id="418" w:name="_Toc24014_WPSOffice_Level2"/>
      <w:r>
        <w:rPr>
          <w:rFonts w:hint="eastAsia" w:ascii="宋体" w:hAnsi="宋体" w:eastAsia="宋体" w:cs="宋体"/>
          <w:b/>
          <w:bCs/>
          <w:color w:val="auto"/>
          <w:sz w:val="24"/>
          <w:szCs w:val="24"/>
          <w:lang w:eastAsia="zh-CN"/>
        </w:rPr>
        <w:t>供应商名称：</w:t>
      </w:r>
      <w:bookmarkEnd w:id="417"/>
      <w:bookmarkEnd w:id="418"/>
    </w:p>
    <w:p>
      <w:pPr>
        <w:wordWrap/>
        <w:spacing w:before="157" w:beforeLines="50" w:line="560" w:lineRule="exact"/>
        <w:jc w:val="center"/>
        <w:outlineLvl w:val="9"/>
        <w:rPr>
          <w:rFonts w:hint="eastAsia" w:ascii="宋体" w:hAnsi="宋体" w:eastAsia="宋体" w:cs="宋体"/>
          <w:b/>
          <w:bCs/>
          <w:color w:val="auto"/>
          <w:sz w:val="24"/>
          <w:szCs w:val="24"/>
        </w:rPr>
      </w:pPr>
    </w:p>
    <w:p>
      <w:pPr>
        <w:wordWrap/>
        <w:spacing w:before="157" w:beforeLines="50" w:line="560" w:lineRule="exact"/>
        <w:jc w:val="center"/>
        <w:outlineLvl w:val="9"/>
        <w:rPr>
          <w:rFonts w:hint="eastAsia" w:ascii="宋体" w:hAnsi="宋体" w:eastAsia="宋体" w:cs="宋体"/>
          <w:b/>
          <w:color w:val="auto"/>
          <w:sz w:val="24"/>
          <w:szCs w:val="24"/>
        </w:rPr>
      </w:pPr>
      <w:bookmarkStart w:id="419" w:name="_Toc17697_WPSOffice_Level3"/>
      <w:r>
        <w:rPr>
          <w:rFonts w:hint="eastAsia" w:ascii="宋体" w:hAnsi="宋体" w:eastAsia="宋体" w:cs="宋体"/>
          <w:b/>
          <w:color w:val="auto"/>
          <w:sz w:val="24"/>
          <w:szCs w:val="24"/>
        </w:rPr>
        <w:t>年  月  日</w:t>
      </w:r>
      <w:bookmarkEnd w:id="419"/>
    </w:p>
    <w:p>
      <w:pPr>
        <w:widowControl/>
        <w:wordWrap/>
        <w:snapToGrid w:val="0"/>
        <w:spacing w:before="157" w:beforeLines="50" w:line="560" w:lineRule="exact"/>
        <w:outlineLvl w:val="9"/>
        <w:rPr>
          <w:rFonts w:hint="eastAsia" w:ascii="宋体" w:hAnsi="宋体" w:eastAsia="宋体" w:cs="宋体"/>
          <w:b/>
          <w:color w:val="auto"/>
          <w:sz w:val="24"/>
          <w:szCs w:val="24"/>
        </w:rPr>
      </w:pPr>
    </w:p>
    <w:p>
      <w:pPr>
        <w:widowControl/>
        <w:wordWrap/>
        <w:snapToGrid w:val="0"/>
        <w:spacing w:before="157" w:beforeLines="50" w:line="560" w:lineRule="exac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bookmarkStart w:id="420" w:name="_Toc2646_WPSOffice_Level3"/>
      <w:bookmarkStart w:id="421" w:name="_Toc3360"/>
      <w:bookmarkStart w:id="422" w:name="_Toc13416_WPSOffice_Level3"/>
      <w:bookmarkStart w:id="423" w:name="_Toc28116"/>
      <w:bookmarkStart w:id="424" w:name="_Toc15925"/>
      <w:bookmarkStart w:id="425" w:name="_Toc18715"/>
      <w:r>
        <w:rPr>
          <w:rFonts w:hint="eastAsia" w:ascii="宋体" w:hAnsi="宋体" w:eastAsia="宋体" w:cs="宋体"/>
          <w:b/>
          <w:bCs w:val="0"/>
          <w:color w:val="auto"/>
          <w:kern w:val="2"/>
          <w:sz w:val="24"/>
          <w:szCs w:val="24"/>
          <w:lang w:val="en-US" w:eastAsia="zh-CN" w:bidi="ar-SA"/>
        </w:rPr>
        <w:t>附件</w:t>
      </w:r>
      <w:r>
        <w:rPr>
          <w:rFonts w:hint="eastAsia" w:ascii="宋体" w:hAnsi="宋体" w:cs="宋体"/>
          <w:b/>
          <w:bCs w:val="0"/>
          <w:color w:val="auto"/>
          <w:kern w:val="2"/>
          <w:sz w:val="24"/>
          <w:szCs w:val="24"/>
          <w:lang w:val="en-US" w:eastAsia="zh-CN" w:bidi="ar-SA"/>
        </w:rPr>
        <w:t>9</w:t>
      </w:r>
      <w:r>
        <w:rPr>
          <w:rFonts w:hint="eastAsia" w:ascii="宋体" w:hAnsi="宋体" w:eastAsia="宋体" w:cs="宋体"/>
          <w:b/>
          <w:bCs w:val="0"/>
          <w:color w:val="auto"/>
          <w:kern w:val="2"/>
          <w:sz w:val="24"/>
          <w:szCs w:val="24"/>
          <w:lang w:val="en-US" w:eastAsia="zh-CN" w:bidi="ar-SA"/>
        </w:rPr>
        <w:t>：</w:t>
      </w:r>
      <w:r>
        <w:rPr>
          <w:rFonts w:hint="eastAsia" w:ascii="宋体" w:hAnsi="宋体" w:cs="宋体"/>
          <w:b/>
          <w:bCs w:val="0"/>
          <w:color w:val="auto"/>
          <w:kern w:val="2"/>
          <w:sz w:val="24"/>
          <w:szCs w:val="24"/>
          <w:lang w:val="en-US" w:eastAsia="zh-CN" w:bidi="ar-SA"/>
        </w:rPr>
        <w:t>询价</w:t>
      </w:r>
      <w:r>
        <w:rPr>
          <w:rFonts w:hint="eastAsia" w:ascii="宋体" w:hAnsi="宋体" w:eastAsia="宋体" w:cs="宋体"/>
          <w:b/>
          <w:bCs w:val="0"/>
          <w:color w:val="auto"/>
          <w:kern w:val="2"/>
          <w:sz w:val="24"/>
          <w:szCs w:val="24"/>
          <w:lang w:val="en-US" w:eastAsia="zh-CN" w:bidi="ar-SA"/>
        </w:rPr>
        <w:t>报价表</w:t>
      </w:r>
      <w:bookmarkEnd w:id="420"/>
      <w:bookmarkEnd w:id="421"/>
      <w:bookmarkEnd w:id="422"/>
      <w:bookmarkEnd w:id="423"/>
      <w:bookmarkEnd w:id="424"/>
      <w:bookmarkEnd w:id="425"/>
    </w:p>
    <w:p>
      <w:pPr>
        <w:wordWrap/>
        <w:spacing w:before="157" w:beforeLines="50" w:line="560" w:lineRule="exact"/>
        <w:jc w:val="center"/>
        <w:outlineLvl w:val="9"/>
        <w:rPr>
          <w:rFonts w:hint="eastAsia" w:ascii="宋体" w:hAnsi="宋体" w:eastAsia="宋体" w:cs="宋体"/>
          <w:b/>
          <w:color w:val="auto"/>
          <w:sz w:val="24"/>
          <w:szCs w:val="24"/>
        </w:rPr>
      </w:pPr>
      <w:bookmarkStart w:id="426" w:name="_Toc17115_WPSOffice_Level3"/>
      <w:bookmarkStart w:id="427" w:name="_Toc17322_WPSOffice_Level1"/>
      <w:bookmarkStart w:id="428" w:name="_Toc8724_WPSOffice_Level1"/>
      <w:r>
        <w:rPr>
          <w:rFonts w:hint="eastAsia" w:ascii="宋体" w:hAnsi="宋体" w:cs="宋体"/>
          <w:b/>
          <w:color w:val="auto"/>
          <w:sz w:val="24"/>
          <w:szCs w:val="24"/>
          <w:lang w:val="zh-CN" w:eastAsia="zh-CN"/>
        </w:rPr>
        <w:t>询价</w:t>
      </w:r>
      <w:r>
        <w:rPr>
          <w:rFonts w:hint="eastAsia" w:ascii="宋体" w:hAnsi="宋体" w:eastAsia="宋体" w:cs="宋体"/>
          <w:b/>
          <w:color w:val="auto"/>
          <w:sz w:val="24"/>
          <w:szCs w:val="24"/>
          <w:lang w:val="zh-CN" w:eastAsia="zh-CN"/>
        </w:rPr>
        <w:t>报价表</w:t>
      </w:r>
      <w:bookmarkEnd w:id="426"/>
      <w:bookmarkEnd w:id="427"/>
      <w:bookmarkEnd w:id="428"/>
    </w:p>
    <w:p>
      <w:pPr>
        <w:widowControl w:val="0"/>
        <w:wordWrap/>
        <w:snapToGrid/>
        <w:spacing w:line="560" w:lineRule="exact"/>
        <w:outlineLvl w:val="9"/>
        <w:rPr>
          <w:rFonts w:hint="eastAsia" w:ascii="宋体" w:hAnsi="宋体" w:eastAsia="宋体" w:cs="宋体"/>
          <w:b w:val="0"/>
          <w:bCs/>
          <w:color w:val="auto"/>
          <w:sz w:val="24"/>
          <w:szCs w:val="24"/>
        </w:rPr>
      </w:pPr>
      <w:bookmarkStart w:id="429" w:name="_Toc14507_WPSOffice_Level2"/>
      <w:r>
        <w:rPr>
          <w:rFonts w:hint="eastAsia" w:ascii="宋体" w:hAnsi="宋体" w:eastAsia="宋体" w:cs="宋体"/>
          <w:b w:val="0"/>
          <w:bCs/>
          <w:color w:val="auto"/>
          <w:sz w:val="24"/>
          <w:szCs w:val="24"/>
        </w:rPr>
        <w:t>供应商名称：</w:t>
      </w:r>
      <w:bookmarkEnd w:id="429"/>
      <w:r>
        <w:rPr>
          <w:rFonts w:hint="eastAsia" w:ascii="宋体" w:hAnsi="宋体" w:eastAsia="宋体" w:cs="宋体"/>
          <w:b w:val="0"/>
          <w:bCs/>
          <w:color w:val="auto"/>
          <w:sz w:val="24"/>
          <w:szCs w:val="24"/>
          <w:lang w:val="en-US" w:eastAsia="zh-CN"/>
        </w:rPr>
        <w:t xml:space="preserve">                            </w:t>
      </w:r>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单位：人民币(元)</w:t>
      </w:r>
    </w:p>
    <w:tbl>
      <w:tblPr>
        <w:tblStyle w:val="22"/>
        <w:tblpPr w:leftFromText="180" w:rightFromText="180" w:vertAnchor="text" w:horzAnchor="margin" w:tblpXSpec="left"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717"/>
        <w:gridCol w:w="267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项目名称</w:t>
            </w:r>
          </w:p>
        </w:tc>
        <w:tc>
          <w:tcPr>
            <w:tcW w:w="2717" w:type="dxa"/>
            <w:vAlign w:val="center"/>
          </w:tcPr>
          <w:p>
            <w:pPr>
              <w:widowControl w:val="0"/>
              <w:wordWrap/>
              <w:adjustRightInd w:val="0"/>
              <w:snapToGrid/>
              <w:spacing w:line="560" w:lineRule="exact"/>
              <w:jc w:val="center"/>
              <w:textAlignment w:val="baseline"/>
              <w:outlineLvl w:val="9"/>
              <w:rPr>
                <w:rFonts w:hint="eastAsia" w:ascii="宋体" w:hAnsi="宋体" w:eastAsia="宋体" w:cs="宋体"/>
                <w:b w:val="0"/>
                <w:bCs/>
                <w:color w:val="auto"/>
                <w:sz w:val="24"/>
                <w:szCs w:val="24"/>
              </w:rPr>
            </w:pPr>
            <w:r>
              <w:rPr>
                <w:rFonts w:hint="eastAsia" w:ascii="宋体" w:hAnsi="宋体" w:cs="宋体"/>
                <w:b w:val="0"/>
                <w:bCs/>
                <w:color w:val="auto"/>
                <w:sz w:val="24"/>
                <w:szCs w:val="24"/>
                <w:lang w:eastAsia="zh-CN"/>
              </w:rPr>
              <w:t>投标</w:t>
            </w:r>
            <w:r>
              <w:rPr>
                <w:rFonts w:hint="eastAsia" w:ascii="宋体" w:hAnsi="宋体" w:eastAsia="宋体" w:cs="宋体"/>
                <w:b w:val="0"/>
                <w:bCs/>
                <w:color w:val="auto"/>
                <w:sz w:val="24"/>
                <w:szCs w:val="24"/>
              </w:rPr>
              <w:t>报价</w:t>
            </w:r>
          </w:p>
        </w:tc>
        <w:tc>
          <w:tcPr>
            <w:tcW w:w="2670" w:type="dxa"/>
            <w:vAlign w:val="center"/>
          </w:tcPr>
          <w:p>
            <w:pPr>
              <w:widowControl w:val="0"/>
              <w:wordWrap/>
              <w:adjustRightInd w:val="0"/>
              <w:snapToGrid/>
              <w:spacing w:line="560" w:lineRule="exact"/>
              <w:ind w:firstLine="120" w:firstLineChars="50"/>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交货期</w:t>
            </w:r>
          </w:p>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cs="宋体"/>
                <w:b w:val="0"/>
                <w:bCs/>
                <w:color w:val="auto"/>
                <w:sz w:val="24"/>
                <w:szCs w:val="24"/>
                <w:lang w:eastAsia="zh-CN"/>
              </w:rPr>
              <w:t>日历</w:t>
            </w:r>
            <w:r>
              <w:rPr>
                <w:rFonts w:hint="eastAsia" w:ascii="宋体" w:hAnsi="宋体" w:eastAsia="宋体" w:cs="宋体"/>
                <w:b w:val="0"/>
                <w:bCs/>
                <w:color w:val="auto"/>
                <w:sz w:val="24"/>
                <w:szCs w:val="24"/>
              </w:rPr>
              <w:t>日）</w:t>
            </w:r>
          </w:p>
        </w:tc>
        <w:tc>
          <w:tcPr>
            <w:tcW w:w="1560" w:type="dxa"/>
            <w:vAlign w:val="center"/>
          </w:tcPr>
          <w:p>
            <w:pPr>
              <w:widowControl w:val="0"/>
              <w:wordWrap/>
              <w:adjustRightInd w:val="0"/>
              <w:snapToGrid/>
              <w:spacing w:line="560" w:lineRule="exact"/>
              <w:ind w:left="274" w:leftChars="16" w:hanging="240" w:hangingChars="100"/>
              <w:jc w:val="center"/>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vAlign w:val="center"/>
          </w:tcPr>
          <w:p>
            <w:pPr>
              <w:widowControl w:val="0"/>
              <w:wordWrap/>
              <w:adjustRightInd w:val="0"/>
              <w:snapToGrid/>
              <w:spacing w:line="560" w:lineRule="exact"/>
              <w:ind w:firstLine="480" w:firstLineChars="200"/>
              <w:textAlignment w:val="baseline"/>
              <w:outlineLvl w:val="9"/>
              <w:rPr>
                <w:rFonts w:hint="eastAsia" w:ascii="宋体" w:hAnsi="宋体" w:eastAsia="宋体" w:cs="宋体"/>
                <w:b w:val="0"/>
                <w:bCs/>
                <w:color w:val="auto"/>
                <w:sz w:val="24"/>
                <w:szCs w:val="24"/>
              </w:rPr>
            </w:pPr>
          </w:p>
        </w:tc>
        <w:tc>
          <w:tcPr>
            <w:tcW w:w="2717" w:type="dxa"/>
            <w:vAlign w:val="top"/>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大写：</w:t>
            </w:r>
          </w:p>
        </w:tc>
        <w:tc>
          <w:tcPr>
            <w:tcW w:w="2670" w:type="dxa"/>
            <w:vMerge w:val="restart"/>
            <w:vAlign w:val="top"/>
          </w:tcPr>
          <w:p>
            <w:pPr>
              <w:widowControl w:val="0"/>
              <w:wordWrap/>
              <w:adjustRightInd w:val="0"/>
              <w:snapToGrid/>
              <w:spacing w:line="560" w:lineRule="exact"/>
              <w:ind w:firstLine="196" w:firstLineChars="82"/>
              <w:textAlignment w:val="baseline"/>
              <w:outlineLvl w:val="9"/>
              <w:rPr>
                <w:rFonts w:hint="eastAsia" w:ascii="宋体" w:hAnsi="宋体" w:eastAsia="宋体" w:cs="宋体"/>
                <w:b w:val="0"/>
                <w:bCs/>
                <w:color w:val="auto"/>
                <w:sz w:val="24"/>
                <w:szCs w:val="24"/>
              </w:rPr>
            </w:pPr>
          </w:p>
        </w:tc>
        <w:tc>
          <w:tcPr>
            <w:tcW w:w="1560" w:type="dxa"/>
            <w:vMerge w:val="restart"/>
            <w:vAlign w:val="top"/>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vAlign w:val="center"/>
          </w:tcPr>
          <w:p>
            <w:pPr>
              <w:widowControl w:val="0"/>
              <w:wordWrap/>
              <w:adjustRightInd w:val="0"/>
              <w:snapToGrid/>
              <w:spacing w:line="560" w:lineRule="exact"/>
              <w:ind w:firstLine="480" w:firstLineChars="200"/>
              <w:textAlignment w:val="baseline"/>
              <w:outlineLvl w:val="9"/>
              <w:rPr>
                <w:rFonts w:hint="eastAsia" w:ascii="宋体" w:hAnsi="宋体" w:eastAsia="宋体" w:cs="宋体"/>
                <w:b w:val="0"/>
                <w:bCs/>
                <w:color w:val="auto"/>
                <w:sz w:val="24"/>
                <w:szCs w:val="24"/>
              </w:rPr>
            </w:pPr>
          </w:p>
        </w:tc>
        <w:tc>
          <w:tcPr>
            <w:tcW w:w="2717" w:type="dxa"/>
            <w:vAlign w:val="top"/>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小写：</w:t>
            </w:r>
          </w:p>
        </w:tc>
        <w:tc>
          <w:tcPr>
            <w:tcW w:w="2670" w:type="dxa"/>
            <w:vMerge w:val="continue"/>
            <w:vAlign w:val="top"/>
          </w:tcPr>
          <w:p>
            <w:pPr>
              <w:widowControl w:val="0"/>
              <w:wordWrap/>
              <w:adjustRightInd w:val="0"/>
              <w:snapToGrid/>
              <w:spacing w:line="560" w:lineRule="exact"/>
              <w:ind w:firstLine="480" w:firstLineChars="200"/>
              <w:textAlignment w:val="baseline"/>
              <w:outlineLvl w:val="9"/>
              <w:rPr>
                <w:rFonts w:hint="eastAsia" w:ascii="宋体" w:hAnsi="宋体" w:eastAsia="宋体" w:cs="宋体"/>
                <w:b w:val="0"/>
                <w:bCs/>
                <w:color w:val="auto"/>
                <w:sz w:val="24"/>
                <w:szCs w:val="24"/>
              </w:rPr>
            </w:pPr>
          </w:p>
        </w:tc>
        <w:tc>
          <w:tcPr>
            <w:tcW w:w="1560" w:type="dxa"/>
            <w:vMerge w:val="continue"/>
            <w:vAlign w:val="top"/>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vAlign w:val="center"/>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其他承诺及需要说明的事项：</w:t>
            </w:r>
          </w:p>
        </w:tc>
      </w:tr>
    </w:tbl>
    <w:p>
      <w:pPr>
        <w:widowControl w:val="0"/>
        <w:wordWrap/>
        <w:snapToGrid/>
        <w:spacing w:line="560"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注：1、填写此表时不得改变表格形式。</w:t>
      </w:r>
    </w:p>
    <w:p>
      <w:pPr>
        <w:widowControl w:val="0"/>
        <w:wordWrap/>
        <w:snapToGrid/>
        <w:spacing w:line="560" w:lineRule="exact"/>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报价为总价。包括</w:t>
      </w:r>
      <w:r>
        <w:rPr>
          <w:rFonts w:hint="eastAsia" w:ascii="宋体" w:hAnsi="宋体" w:eastAsia="宋体" w:cs="宋体"/>
          <w:color w:val="auto"/>
          <w:sz w:val="24"/>
          <w:szCs w:val="24"/>
          <w:u w:val="none"/>
          <w:lang w:val="en-US" w:eastAsia="zh-CN"/>
        </w:rPr>
        <w:t>产品、检验、</w:t>
      </w:r>
      <w:r>
        <w:rPr>
          <w:rFonts w:hint="eastAsia" w:ascii="宋体" w:hAnsi="宋体" w:cs="宋体"/>
          <w:color w:val="auto"/>
          <w:sz w:val="24"/>
          <w:szCs w:val="24"/>
          <w:u w:val="none"/>
          <w:lang w:val="en-US" w:eastAsia="zh-CN"/>
        </w:rPr>
        <w:t>运输</w:t>
      </w:r>
      <w:r>
        <w:rPr>
          <w:rFonts w:hint="eastAsia" w:ascii="宋体" w:hAnsi="宋体" w:eastAsia="宋体" w:cs="宋体"/>
          <w:color w:val="auto"/>
          <w:sz w:val="24"/>
          <w:szCs w:val="24"/>
          <w:u w:val="none"/>
          <w:lang w:val="en-US" w:eastAsia="zh-CN"/>
        </w:rPr>
        <w:t>、</w:t>
      </w:r>
      <w:r>
        <w:rPr>
          <w:rFonts w:hint="eastAsia" w:ascii="宋体" w:hAnsi="宋体" w:cs="宋体"/>
          <w:color w:val="auto"/>
          <w:sz w:val="24"/>
          <w:szCs w:val="24"/>
          <w:u w:val="none"/>
          <w:lang w:val="en-US" w:eastAsia="zh-CN"/>
        </w:rPr>
        <w:t>安</w:t>
      </w:r>
      <w:r>
        <w:rPr>
          <w:rFonts w:hint="eastAsia" w:ascii="宋体" w:hAnsi="宋体" w:eastAsia="宋体" w:cs="宋体"/>
          <w:color w:val="auto"/>
          <w:sz w:val="24"/>
          <w:szCs w:val="24"/>
          <w:u w:val="none"/>
          <w:lang w:val="en-US" w:eastAsia="zh-CN"/>
        </w:rPr>
        <w:t>装</w:t>
      </w:r>
      <w:r>
        <w:rPr>
          <w:rFonts w:hint="eastAsia" w:ascii="宋体" w:hAnsi="宋体" w:cs="宋体"/>
          <w:color w:val="auto"/>
          <w:sz w:val="24"/>
          <w:szCs w:val="24"/>
          <w:u w:val="none"/>
          <w:lang w:val="en-US" w:eastAsia="zh-CN"/>
        </w:rPr>
        <w:t>等</w:t>
      </w:r>
      <w:r>
        <w:rPr>
          <w:rFonts w:hint="eastAsia" w:ascii="宋体" w:hAnsi="宋体" w:eastAsia="宋体" w:cs="宋体"/>
          <w:color w:val="auto"/>
          <w:sz w:val="24"/>
          <w:szCs w:val="24"/>
        </w:rPr>
        <w:t>费、税金及其他不可预见费等全部费用。</w:t>
      </w:r>
    </w:p>
    <w:p>
      <w:pPr>
        <w:widowControl w:val="0"/>
        <w:wordWrap/>
        <w:snapToGrid/>
        <w:spacing w:line="560" w:lineRule="exact"/>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3、“交货期”是指</w:t>
      </w:r>
      <w:r>
        <w:rPr>
          <w:rFonts w:hint="eastAsia" w:ascii="宋体" w:hAnsi="宋体" w:cs="宋体"/>
          <w:color w:val="auto"/>
          <w:sz w:val="24"/>
          <w:szCs w:val="24"/>
          <w:u w:val="none"/>
          <w:lang w:eastAsia="zh-CN"/>
        </w:rPr>
        <w:t>供货、拆除、安装、调试、验收等相关工作完成的时</w:t>
      </w:r>
      <w:r>
        <w:rPr>
          <w:rFonts w:hint="eastAsia" w:ascii="宋体" w:hAnsi="宋体" w:cs="宋体"/>
          <w:color w:val="auto"/>
          <w:sz w:val="24"/>
          <w:szCs w:val="24"/>
          <w:lang w:eastAsia="zh-CN"/>
        </w:rPr>
        <w:t>间（日历</w:t>
      </w:r>
      <w:r>
        <w:rPr>
          <w:rFonts w:hint="eastAsia" w:ascii="宋体" w:hAnsi="宋体" w:eastAsia="宋体" w:cs="宋体"/>
          <w:color w:val="auto"/>
          <w:sz w:val="24"/>
          <w:szCs w:val="24"/>
        </w:rPr>
        <w:t>日）。</w:t>
      </w:r>
    </w:p>
    <w:p>
      <w:pPr>
        <w:wordWrap/>
        <w:spacing w:before="157" w:beforeLines="50" w:line="560" w:lineRule="exact"/>
        <w:ind w:firstLine="482" w:firstLineChars="200"/>
        <w:jc w:val="center"/>
        <w:outlineLvl w:val="9"/>
        <w:rPr>
          <w:rFonts w:hint="eastAsia" w:ascii="宋体" w:hAnsi="宋体" w:eastAsia="宋体" w:cs="宋体"/>
          <w:b w:val="0"/>
          <w:bCs/>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 xml:space="preserve"> </w:t>
      </w:r>
      <w:bookmarkStart w:id="430" w:name="_Toc27526_WPSOffice_Level3"/>
      <w:r>
        <w:rPr>
          <w:rFonts w:hint="eastAsia" w:ascii="宋体" w:hAnsi="宋体" w:eastAsia="宋体" w:cs="宋体"/>
          <w:b/>
          <w:color w:val="auto"/>
          <w:sz w:val="24"/>
          <w:szCs w:val="24"/>
          <w:lang w:val="en-US" w:eastAsia="zh-CN"/>
        </w:rPr>
        <w:t xml:space="preserve"> </w:t>
      </w:r>
      <w:bookmarkStart w:id="431" w:name="_Toc11022_WPSOffice_Level3"/>
      <w:r>
        <w:rPr>
          <w:rFonts w:hint="eastAsia" w:ascii="宋体" w:hAnsi="宋体" w:eastAsia="宋体" w:cs="宋体"/>
          <w:b w:val="0"/>
          <w:bCs/>
          <w:color w:val="auto"/>
          <w:sz w:val="24"/>
          <w:szCs w:val="24"/>
          <w:lang w:eastAsia="zh-CN"/>
        </w:rPr>
        <w:t>单位名称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bookmarkEnd w:id="430"/>
      <w:bookmarkEnd w:id="431"/>
    </w:p>
    <w:p>
      <w:pPr>
        <w:wordWrap/>
        <w:spacing w:before="157" w:beforeLines="50" w:line="560" w:lineRule="exact"/>
        <w:ind w:firstLine="480" w:firstLineChars="20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432" w:name="_Toc23931_WPSOffice_Level3"/>
      <w:bookmarkStart w:id="433" w:name="_Toc32417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432"/>
      <w:bookmarkEnd w:id="433"/>
    </w:p>
    <w:p>
      <w:pPr>
        <w:wordWrap/>
        <w:spacing w:before="157" w:beforeLines="50" w:line="560" w:lineRule="exact"/>
        <w:ind w:firstLine="480" w:firstLineChars="20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bookmarkStart w:id="434" w:name="_Toc19388_WPSOffice_Level3"/>
      <w:bookmarkStart w:id="435" w:name="_Toc23319_WPSOffice_Level3"/>
      <w:r>
        <w:rPr>
          <w:rFonts w:hint="eastAsia" w:ascii="宋体" w:hAnsi="宋体" w:eastAsia="宋体" w:cs="宋体"/>
          <w:b w:val="0"/>
          <w:bCs/>
          <w:color w:val="auto"/>
          <w:sz w:val="24"/>
          <w:szCs w:val="24"/>
        </w:rPr>
        <w:t>年   月  日</w:t>
      </w:r>
      <w:bookmarkEnd w:id="434"/>
      <w:bookmarkEnd w:id="435"/>
    </w:p>
    <w:p>
      <w:pPr>
        <w:widowControl/>
        <w:wordWrap/>
        <w:snapToGrid w:val="0"/>
        <w:spacing w:before="157" w:beforeLines="50" w:line="560" w:lineRule="exac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bookmarkStart w:id="436" w:name="_Toc18824_WPSOffice_Level3"/>
      <w:bookmarkStart w:id="437" w:name="_Toc18436"/>
      <w:bookmarkStart w:id="438" w:name="_Toc7532"/>
      <w:bookmarkStart w:id="439" w:name="_Toc3352_WPSOffice_Level3"/>
      <w:bookmarkStart w:id="440" w:name="_Toc31202"/>
      <w:bookmarkStart w:id="441" w:name="_Toc13192"/>
      <w:r>
        <w:rPr>
          <w:rFonts w:hint="eastAsia" w:ascii="宋体" w:hAnsi="宋体" w:eastAsia="宋体" w:cs="宋体"/>
          <w:b/>
          <w:bCs w:val="0"/>
          <w:color w:val="auto"/>
          <w:kern w:val="2"/>
          <w:sz w:val="24"/>
          <w:szCs w:val="24"/>
          <w:lang w:val="en-US" w:eastAsia="zh-CN" w:bidi="ar-SA"/>
        </w:rPr>
        <w:t>附件</w:t>
      </w:r>
      <w:r>
        <w:rPr>
          <w:rFonts w:hint="eastAsia" w:ascii="宋体" w:hAnsi="宋体" w:cs="宋体"/>
          <w:b/>
          <w:bCs w:val="0"/>
          <w:color w:val="auto"/>
          <w:kern w:val="2"/>
          <w:sz w:val="24"/>
          <w:szCs w:val="24"/>
          <w:lang w:val="en-US" w:eastAsia="zh-CN" w:bidi="ar-SA"/>
        </w:rPr>
        <w:t>10</w:t>
      </w:r>
      <w:r>
        <w:rPr>
          <w:rFonts w:hint="eastAsia" w:ascii="宋体" w:hAnsi="宋体" w:eastAsia="宋体" w:cs="宋体"/>
          <w:b/>
          <w:bCs w:val="0"/>
          <w:color w:val="auto"/>
          <w:kern w:val="2"/>
          <w:sz w:val="24"/>
          <w:szCs w:val="24"/>
          <w:lang w:val="en-US" w:eastAsia="zh-CN" w:bidi="ar-SA"/>
        </w:rPr>
        <w:t>：分项报价表</w:t>
      </w:r>
      <w:bookmarkEnd w:id="436"/>
      <w:bookmarkEnd w:id="437"/>
      <w:bookmarkEnd w:id="438"/>
      <w:bookmarkEnd w:id="439"/>
      <w:bookmarkEnd w:id="440"/>
      <w:bookmarkEnd w:id="441"/>
    </w:p>
    <w:p>
      <w:pPr>
        <w:wordWrap/>
        <w:spacing w:before="157" w:beforeLines="50" w:line="560" w:lineRule="exact"/>
        <w:jc w:val="center"/>
        <w:outlineLvl w:val="9"/>
        <w:rPr>
          <w:rFonts w:hint="eastAsia" w:ascii="宋体" w:hAnsi="宋体" w:eastAsia="宋体" w:cs="宋体"/>
          <w:b/>
          <w:color w:val="auto"/>
          <w:sz w:val="24"/>
          <w:szCs w:val="24"/>
        </w:rPr>
      </w:pPr>
      <w:bookmarkStart w:id="442" w:name="_Toc19937_WPSOffice_Level1"/>
      <w:bookmarkStart w:id="443" w:name="_Toc31256_WPSOffice_Level3"/>
      <w:bookmarkStart w:id="444" w:name="_Toc12587_WPSOffice_Level1"/>
      <w:r>
        <w:rPr>
          <w:rFonts w:hint="eastAsia" w:ascii="宋体" w:hAnsi="宋体" w:eastAsia="宋体" w:cs="宋体"/>
          <w:b/>
          <w:color w:val="auto"/>
          <w:sz w:val="24"/>
          <w:szCs w:val="24"/>
          <w:lang w:val="zh-CN" w:eastAsia="zh-CN"/>
        </w:rPr>
        <w:t>分项报价表</w:t>
      </w:r>
      <w:bookmarkEnd w:id="442"/>
      <w:bookmarkEnd w:id="443"/>
      <w:bookmarkEnd w:id="444"/>
    </w:p>
    <w:p>
      <w:pPr>
        <w:widowControl w:val="0"/>
        <w:wordWrap/>
        <w:adjustRightInd/>
        <w:snapToGrid/>
        <w:spacing w:line="560" w:lineRule="exact"/>
        <w:textAlignment w:val="auto"/>
        <w:outlineLvl w:val="9"/>
        <w:rPr>
          <w:rFonts w:hint="eastAsia" w:ascii="宋体" w:hAnsi="宋体" w:eastAsia="宋体" w:cs="宋体"/>
          <w:b w:val="0"/>
          <w:bCs/>
          <w:color w:val="auto"/>
          <w:sz w:val="24"/>
          <w:szCs w:val="24"/>
          <w:lang w:val="en-US" w:eastAsia="zh-CN"/>
        </w:rPr>
      </w:pPr>
      <w:bookmarkStart w:id="445" w:name="_Toc30633_WPSOffice_Level2"/>
      <w:r>
        <w:rPr>
          <w:rFonts w:hint="eastAsia" w:ascii="宋体" w:hAnsi="宋体" w:eastAsia="宋体" w:cs="宋体"/>
          <w:b w:val="0"/>
          <w:bCs/>
          <w:color w:val="auto"/>
          <w:sz w:val="24"/>
          <w:szCs w:val="24"/>
        </w:rPr>
        <w:t>供应商名称:</w:t>
      </w:r>
      <w:bookmarkEnd w:id="445"/>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单位：人民币(元)</w:t>
      </w:r>
      <w:r>
        <w:rPr>
          <w:rFonts w:hint="eastAsia" w:ascii="宋体" w:hAnsi="宋体" w:eastAsia="宋体" w:cs="宋体"/>
          <w:b w:val="0"/>
          <w:bCs/>
          <w:color w:val="auto"/>
          <w:sz w:val="24"/>
          <w:szCs w:val="24"/>
          <w:lang w:val="en-US" w:eastAsia="zh-CN"/>
        </w:rPr>
        <w:t xml:space="preserve">                                          </w:t>
      </w:r>
    </w:p>
    <w:tbl>
      <w:tblPr>
        <w:tblStyle w:val="23"/>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497"/>
        <w:gridCol w:w="992"/>
        <w:gridCol w:w="1052"/>
        <w:gridCol w:w="1356"/>
        <w:gridCol w:w="953"/>
        <w:gridCol w:w="71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序号</w:t>
            </w:r>
          </w:p>
        </w:tc>
        <w:tc>
          <w:tcPr>
            <w:tcW w:w="1497" w:type="dxa"/>
            <w:vAlign w:val="center"/>
          </w:tcPr>
          <w:p>
            <w:pPr>
              <w:widowControl w:val="0"/>
              <w:wordWrap/>
              <w:adjustRightInd/>
              <w:snapToGrid/>
              <w:spacing w:line="560" w:lineRule="exact"/>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产品名称</w:t>
            </w:r>
          </w:p>
        </w:tc>
        <w:tc>
          <w:tcPr>
            <w:tcW w:w="992" w:type="dxa"/>
            <w:vAlign w:val="center"/>
          </w:tcPr>
          <w:p>
            <w:pPr>
              <w:widowControl w:val="0"/>
              <w:wordWrap/>
              <w:adjustRightInd/>
              <w:snapToGrid/>
              <w:spacing w:line="560" w:lineRule="exact"/>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品牌</w:t>
            </w:r>
          </w:p>
        </w:tc>
        <w:tc>
          <w:tcPr>
            <w:tcW w:w="1052" w:type="dxa"/>
            <w:vAlign w:val="center"/>
          </w:tcPr>
          <w:p>
            <w:pPr>
              <w:widowControl w:val="0"/>
              <w:wordWrap/>
              <w:adjustRightInd/>
              <w:snapToGrid/>
              <w:spacing w:line="560" w:lineRule="exact"/>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规格型号</w:t>
            </w:r>
          </w:p>
        </w:tc>
        <w:tc>
          <w:tcPr>
            <w:tcW w:w="1356" w:type="dxa"/>
            <w:vAlign w:val="center"/>
          </w:tcPr>
          <w:p>
            <w:pPr>
              <w:widowControl w:val="0"/>
              <w:wordWrap/>
              <w:adjustRightInd/>
              <w:snapToGrid/>
              <w:spacing w:line="560" w:lineRule="exact"/>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生产厂家</w:t>
            </w:r>
          </w:p>
        </w:tc>
        <w:tc>
          <w:tcPr>
            <w:tcW w:w="953" w:type="dxa"/>
            <w:vAlign w:val="center"/>
          </w:tcPr>
          <w:p>
            <w:pPr>
              <w:widowControl w:val="0"/>
              <w:wordWrap/>
              <w:adjustRightInd/>
              <w:snapToGrid/>
              <w:spacing w:line="560" w:lineRule="exact"/>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数量及单位</w:t>
            </w:r>
          </w:p>
        </w:tc>
        <w:tc>
          <w:tcPr>
            <w:tcW w:w="710" w:type="dxa"/>
            <w:vAlign w:val="center"/>
          </w:tcPr>
          <w:p>
            <w:pPr>
              <w:widowControl w:val="0"/>
              <w:wordWrap/>
              <w:adjustRightInd/>
              <w:snapToGrid/>
              <w:spacing w:line="560" w:lineRule="exact"/>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单价</w:t>
            </w:r>
          </w:p>
        </w:tc>
        <w:tc>
          <w:tcPr>
            <w:tcW w:w="851" w:type="dxa"/>
            <w:vAlign w:val="center"/>
          </w:tcPr>
          <w:p>
            <w:pPr>
              <w:widowControl w:val="0"/>
              <w:wordWrap/>
              <w:adjustRightInd/>
              <w:snapToGrid/>
              <w:spacing w:line="560" w:lineRule="exact"/>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合计</w:t>
            </w:r>
          </w:p>
        </w:tc>
        <w:tc>
          <w:tcPr>
            <w:tcW w:w="850" w:type="dxa"/>
            <w:vAlign w:val="center"/>
          </w:tcPr>
          <w:p>
            <w:pPr>
              <w:widowControl w:val="0"/>
              <w:wordWrap/>
              <w:adjustRightInd/>
              <w:snapToGrid/>
              <w:spacing w:line="560" w:lineRule="exact"/>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199" w:firstLineChars="83"/>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1497"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9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05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356"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53"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71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1"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199" w:firstLineChars="83"/>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p>
        </w:tc>
        <w:tc>
          <w:tcPr>
            <w:tcW w:w="1497"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9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05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356"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53"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71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1"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199" w:firstLineChars="83"/>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p>
        </w:tc>
        <w:tc>
          <w:tcPr>
            <w:tcW w:w="1497"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9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05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356"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53"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71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1"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199" w:firstLineChars="83"/>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w:t>
            </w:r>
          </w:p>
        </w:tc>
        <w:tc>
          <w:tcPr>
            <w:tcW w:w="1497"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9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05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356"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53"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71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1"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199" w:firstLineChars="83"/>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p>
        </w:tc>
        <w:tc>
          <w:tcPr>
            <w:tcW w:w="1497"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9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052"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1356"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953"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71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1"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c>
          <w:tcPr>
            <w:tcW w:w="850" w:type="dxa"/>
            <w:vAlign w:val="center"/>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919" w:type="dxa"/>
            <w:gridSpan w:val="9"/>
            <w:vAlign w:val="center"/>
          </w:tcPr>
          <w:p>
            <w:pPr>
              <w:widowControl w:val="0"/>
              <w:wordWrap/>
              <w:adjustRightInd/>
              <w:snapToGrid/>
              <w:spacing w:line="560" w:lineRule="exac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155" w:type="dxa"/>
            <w:gridSpan w:val="2"/>
            <w:vAlign w:val="center"/>
          </w:tcPr>
          <w:p>
            <w:pPr>
              <w:widowControl w:val="0"/>
              <w:wordWrap/>
              <w:adjustRightInd/>
              <w:snapToGrid/>
              <w:spacing w:line="560" w:lineRule="exact"/>
              <w:ind w:firstLine="480" w:firstLineChars="200"/>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总价</w:t>
            </w:r>
          </w:p>
        </w:tc>
        <w:tc>
          <w:tcPr>
            <w:tcW w:w="6764" w:type="dxa"/>
            <w:gridSpan w:val="7"/>
            <w:vAlign w:val="center"/>
          </w:tcPr>
          <w:p>
            <w:pPr>
              <w:widowControl w:val="0"/>
              <w:wordWrap/>
              <w:adjustRightInd/>
              <w:snapToGrid/>
              <w:spacing w:line="560" w:lineRule="exact"/>
              <w:ind w:firstLine="480" w:firstLineChars="200"/>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大写：                      小写：</w:t>
            </w:r>
          </w:p>
        </w:tc>
      </w:tr>
    </w:tbl>
    <w:p>
      <w:pPr>
        <w:widowControl w:val="0"/>
        <w:wordWrap/>
        <w:adjustRightInd/>
        <w:snapToGrid/>
        <w:spacing w:line="560" w:lineRule="exact"/>
        <w:jc w:val="both"/>
        <w:textAlignment w:val="auto"/>
        <w:outlineLvl w:val="9"/>
        <w:rPr>
          <w:rFonts w:hint="eastAsia" w:ascii="宋体" w:hAnsi="宋体" w:eastAsia="宋体" w:cs="宋体"/>
          <w:b w:val="0"/>
          <w:bCs/>
          <w:color w:val="auto"/>
          <w:sz w:val="24"/>
          <w:szCs w:val="24"/>
        </w:rPr>
      </w:pPr>
      <w:bookmarkStart w:id="446" w:name="_Toc698"/>
      <w:r>
        <w:rPr>
          <w:rFonts w:hint="eastAsia" w:ascii="宋体" w:hAnsi="宋体" w:eastAsia="宋体" w:cs="宋体"/>
          <w:b/>
          <w:color w:val="auto"/>
          <w:sz w:val="24"/>
          <w:szCs w:val="24"/>
        </w:rPr>
        <w:t xml:space="preserve">  </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p>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447" w:name="_Toc24193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447"/>
    </w:p>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bookmarkStart w:id="448" w:name="_Toc20924_WPSOffice_Level3"/>
      <w:r>
        <w:rPr>
          <w:rFonts w:hint="eastAsia" w:ascii="宋体" w:hAnsi="宋体" w:eastAsia="宋体" w:cs="宋体"/>
          <w:b w:val="0"/>
          <w:bCs/>
          <w:color w:val="auto"/>
          <w:sz w:val="24"/>
          <w:szCs w:val="24"/>
        </w:rPr>
        <w:t>年   月  日</w:t>
      </w:r>
      <w:bookmarkEnd w:id="448"/>
    </w:p>
    <w:p>
      <w:pPr>
        <w:rPr>
          <w:rFonts w:hint="eastAsia" w:ascii="宋体" w:hAnsi="宋体" w:eastAsia="宋体" w:cs="宋体"/>
          <w:color w:val="auto"/>
          <w:sz w:val="24"/>
          <w:szCs w:val="24"/>
        </w:rPr>
      </w:pPr>
    </w:p>
    <w:p>
      <w:pPr>
        <w:widowControl/>
        <w:wordWrap/>
        <w:snapToGrid w:val="0"/>
        <w:spacing w:before="157" w:beforeLines="50" w:line="560" w:lineRule="exact"/>
        <w:outlineLvl w:val="1"/>
        <w:rPr>
          <w:rFonts w:hint="eastAsia" w:ascii="宋体" w:hAnsi="宋体" w:eastAsia="宋体" w:cs="宋体"/>
          <w:b/>
          <w:color w:val="auto"/>
          <w:sz w:val="24"/>
          <w:szCs w:val="24"/>
        </w:rPr>
      </w:pPr>
      <w:bookmarkStart w:id="449" w:name="_Toc20734"/>
      <w:bookmarkStart w:id="450" w:name="_Toc13098_WPSOffice_Level3"/>
      <w:r>
        <w:rPr>
          <w:rFonts w:hint="eastAsia" w:ascii="宋体" w:hAnsi="宋体" w:eastAsia="宋体" w:cs="宋体"/>
          <w:b/>
          <w:color w:val="auto"/>
          <w:sz w:val="24"/>
          <w:szCs w:val="24"/>
          <w:lang w:eastAsia="zh-CN"/>
        </w:rPr>
        <w:br w:type="page"/>
      </w:r>
      <w:bookmarkStart w:id="451" w:name="_Toc16127"/>
      <w:bookmarkStart w:id="452" w:name="_Toc28315_WPSOffice_Level3"/>
      <w:bookmarkStart w:id="453" w:name="_Toc28398"/>
      <w:r>
        <w:rPr>
          <w:rFonts w:hint="eastAsia" w:ascii="宋体" w:hAnsi="宋体" w:eastAsia="宋体" w:cs="宋体"/>
          <w:b/>
          <w:bCs w:val="0"/>
          <w:color w:val="auto"/>
          <w:kern w:val="2"/>
          <w:sz w:val="24"/>
          <w:szCs w:val="24"/>
          <w:lang w:val="en-US" w:eastAsia="zh-CN" w:bidi="ar-SA"/>
        </w:rPr>
        <w:t>附件1</w:t>
      </w:r>
      <w:r>
        <w:rPr>
          <w:rFonts w:hint="eastAsia" w:ascii="宋体" w:hAnsi="宋体" w:cs="宋体"/>
          <w:b/>
          <w:bCs w:val="0"/>
          <w:color w:val="auto"/>
          <w:kern w:val="2"/>
          <w:sz w:val="24"/>
          <w:szCs w:val="24"/>
          <w:lang w:val="en-US" w:eastAsia="zh-CN" w:bidi="ar-SA"/>
        </w:rPr>
        <w:t>1</w:t>
      </w:r>
      <w:r>
        <w:rPr>
          <w:rFonts w:hint="eastAsia" w:ascii="宋体" w:hAnsi="宋体" w:eastAsia="宋体" w:cs="宋体"/>
          <w:b/>
          <w:bCs w:val="0"/>
          <w:color w:val="auto"/>
          <w:kern w:val="2"/>
          <w:sz w:val="24"/>
          <w:szCs w:val="24"/>
          <w:lang w:val="en-US" w:eastAsia="zh-CN" w:bidi="ar-SA"/>
        </w:rPr>
        <w:t>：技术规格响应表</w:t>
      </w:r>
      <w:bookmarkEnd w:id="446"/>
      <w:bookmarkEnd w:id="449"/>
      <w:bookmarkEnd w:id="450"/>
      <w:bookmarkEnd w:id="451"/>
      <w:bookmarkEnd w:id="452"/>
      <w:bookmarkEnd w:id="453"/>
    </w:p>
    <w:p>
      <w:pPr>
        <w:wordWrap/>
        <w:spacing w:before="157" w:beforeLines="50" w:line="560" w:lineRule="exact"/>
        <w:jc w:val="center"/>
        <w:outlineLvl w:val="9"/>
        <w:rPr>
          <w:rFonts w:hint="eastAsia" w:ascii="宋体" w:hAnsi="宋体" w:eastAsia="宋体" w:cs="宋体"/>
          <w:b/>
          <w:color w:val="auto"/>
          <w:sz w:val="24"/>
          <w:szCs w:val="24"/>
          <w:lang w:val="zh-CN" w:eastAsia="zh-CN"/>
        </w:rPr>
      </w:pPr>
      <w:bookmarkStart w:id="454" w:name="_Toc22043_WPSOffice_Level1"/>
      <w:bookmarkStart w:id="455" w:name="_Toc27646_WPSOffice_Level1"/>
      <w:bookmarkStart w:id="456" w:name="_Toc27772_WPSOffice_Level3"/>
      <w:r>
        <w:rPr>
          <w:rFonts w:hint="eastAsia" w:ascii="宋体" w:hAnsi="宋体" w:eastAsia="宋体" w:cs="宋体"/>
          <w:b/>
          <w:color w:val="auto"/>
          <w:sz w:val="24"/>
          <w:szCs w:val="24"/>
          <w:lang w:val="zh-CN" w:eastAsia="zh-CN"/>
        </w:rPr>
        <w:t>技术规格响应表</w:t>
      </w:r>
      <w:bookmarkEnd w:id="454"/>
      <w:bookmarkEnd w:id="455"/>
      <w:bookmarkEnd w:id="456"/>
    </w:p>
    <w:p>
      <w:pPr>
        <w:widowControl w:val="0"/>
        <w:wordWrap/>
        <w:adjustRightInd/>
        <w:snapToGrid/>
        <w:spacing w:line="560" w:lineRule="exact"/>
        <w:jc w:val="left"/>
        <w:textAlignment w:val="auto"/>
        <w:outlineLvl w:val="9"/>
        <w:rPr>
          <w:rFonts w:hint="eastAsia" w:ascii="宋体" w:hAnsi="宋体" w:eastAsia="宋体" w:cs="宋体"/>
          <w:b w:val="0"/>
          <w:bCs/>
          <w:color w:val="auto"/>
          <w:sz w:val="24"/>
          <w:szCs w:val="24"/>
        </w:rPr>
      </w:pPr>
      <w:bookmarkStart w:id="457" w:name="_Toc14764_WPSOffice_Level2"/>
      <w:r>
        <w:rPr>
          <w:rFonts w:hint="eastAsia" w:ascii="宋体" w:hAnsi="宋体" w:eastAsia="宋体" w:cs="宋体"/>
          <w:b w:val="0"/>
          <w:bCs/>
          <w:color w:val="auto"/>
          <w:sz w:val="24"/>
          <w:szCs w:val="24"/>
        </w:rPr>
        <w:t>供应商名称:</w:t>
      </w:r>
      <w:bookmarkEnd w:id="457"/>
    </w:p>
    <w:tbl>
      <w:tblPr>
        <w:tblStyle w:val="22"/>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7"/>
        <w:gridCol w:w="886"/>
        <w:gridCol w:w="2766"/>
        <w:gridCol w:w="915"/>
        <w:gridCol w:w="288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tc>
        <w:tc>
          <w:tcPr>
            <w:tcW w:w="3652" w:type="dxa"/>
            <w:gridSpan w:val="2"/>
            <w:vAlign w:val="top"/>
          </w:tcPr>
          <w:p>
            <w:pPr>
              <w:widowControl w:val="0"/>
              <w:wordWrap/>
              <w:adjustRightInd/>
              <w:snapToGrid/>
              <w:spacing w:line="560" w:lineRule="exact"/>
              <w:ind w:firstLine="120" w:firstLineChars="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采购需求技术参数、指标</w:t>
            </w:r>
          </w:p>
        </w:tc>
        <w:tc>
          <w:tcPr>
            <w:tcW w:w="3795" w:type="dxa"/>
            <w:gridSpan w:val="2"/>
            <w:vAlign w:val="top"/>
          </w:tcPr>
          <w:p>
            <w:pPr>
              <w:widowControl w:val="0"/>
              <w:wordWrap/>
              <w:adjustRightInd/>
              <w:snapToGrid/>
              <w:spacing w:line="56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投标产品技术参数、指标</w:t>
            </w:r>
          </w:p>
        </w:tc>
        <w:tc>
          <w:tcPr>
            <w:tcW w:w="873" w:type="dxa"/>
            <w:vAlign w:val="center"/>
          </w:tcPr>
          <w:p>
            <w:pPr>
              <w:widowControl w:val="0"/>
              <w:wordWrap/>
              <w:adjustRightInd/>
              <w:snapToGrid/>
              <w:spacing w:line="560" w:lineRule="exact"/>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top"/>
          </w:tcPr>
          <w:p>
            <w:pPr>
              <w:widowControl w:val="0"/>
              <w:wordWrap/>
              <w:adjustRightInd/>
              <w:snapToGrid/>
              <w:spacing w:line="56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886" w:type="dxa"/>
            <w:vAlign w:val="center"/>
          </w:tcPr>
          <w:p>
            <w:pPr>
              <w:widowControl w:val="0"/>
              <w:wordWrap/>
              <w:adjustRightInd/>
              <w:snapToGrid/>
              <w:spacing w:line="56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名称</w:t>
            </w:r>
          </w:p>
        </w:tc>
        <w:tc>
          <w:tcPr>
            <w:tcW w:w="2766" w:type="dxa"/>
            <w:vAlign w:val="center"/>
          </w:tcPr>
          <w:p>
            <w:pPr>
              <w:widowControl w:val="0"/>
              <w:wordWrap/>
              <w:adjustRightInd/>
              <w:snapToGrid/>
              <w:spacing w:line="560" w:lineRule="exact"/>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技术参数、指标及配置</w:t>
            </w:r>
          </w:p>
        </w:tc>
        <w:tc>
          <w:tcPr>
            <w:tcW w:w="915" w:type="dxa"/>
            <w:vAlign w:val="center"/>
          </w:tcPr>
          <w:p>
            <w:pPr>
              <w:widowControl w:val="0"/>
              <w:wordWrap/>
              <w:adjustRightInd/>
              <w:snapToGrid/>
              <w:spacing w:line="56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名称</w:t>
            </w:r>
          </w:p>
        </w:tc>
        <w:tc>
          <w:tcPr>
            <w:tcW w:w="2880" w:type="dxa"/>
            <w:vAlign w:val="center"/>
          </w:tcPr>
          <w:p>
            <w:pPr>
              <w:widowControl w:val="0"/>
              <w:wordWrap/>
              <w:adjustRightInd/>
              <w:snapToGrid/>
              <w:spacing w:line="560" w:lineRule="exact"/>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技术参数、指标及配置</w:t>
            </w:r>
          </w:p>
        </w:tc>
        <w:tc>
          <w:tcPr>
            <w:tcW w:w="873"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199" w:firstLineChars="83"/>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886"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2766"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915"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2880"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873"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199" w:firstLineChars="83"/>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886"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2766"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915"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2880"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873"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199" w:firstLineChars="83"/>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886"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2766"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915"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2880"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c>
          <w:tcPr>
            <w:tcW w:w="873" w:type="dxa"/>
            <w:vAlign w:val="top"/>
          </w:tcPr>
          <w:p>
            <w:pPr>
              <w:widowControl w:val="0"/>
              <w:wordWrap/>
              <w:adjustRightInd/>
              <w:snapToGrid/>
              <w:spacing w:line="560" w:lineRule="exact"/>
              <w:ind w:firstLine="480" w:firstLineChars="200"/>
              <w:jc w:val="center"/>
              <w:textAlignment w:val="auto"/>
              <w:outlineLvl w:val="9"/>
              <w:rPr>
                <w:rFonts w:hint="eastAsia" w:ascii="宋体" w:hAnsi="宋体" w:eastAsia="宋体" w:cs="宋体"/>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1、本表应按照采购分项报价表中“产品名称”及采购一览表中产品序号的指标填写。</w:t>
      </w:r>
    </w:p>
    <w:p>
      <w:pPr>
        <w:autoSpaceDE w:val="0"/>
        <w:autoSpaceDN w:val="0"/>
        <w:spacing w:line="360" w:lineRule="auto"/>
        <w:ind w:firstLine="480"/>
        <w:rPr>
          <w:rFonts w:hint="eastAsia" w:ascii="宋体" w:hAnsi="宋体" w:cs="宋体"/>
          <w:color w:val="auto"/>
          <w:kern w:val="0"/>
          <w:sz w:val="24"/>
          <w:szCs w:val="24"/>
          <w:highlight w:val="none"/>
          <w:lang w:val="zh-CN"/>
        </w:rPr>
      </w:pPr>
      <w:r>
        <w:rPr>
          <w:rFonts w:hint="eastAsia" w:ascii="宋体" w:hAnsi="宋体" w:eastAsia="宋体" w:cs="宋体"/>
          <w:color w:val="auto"/>
          <w:sz w:val="24"/>
          <w:szCs w:val="24"/>
        </w:rPr>
        <w:t>2、</w:t>
      </w:r>
      <w:r>
        <w:rPr>
          <w:rFonts w:hint="eastAsia" w:ascii="宋体" w:hAnsi="宋体" w:cs="宋体"/>
          <w:color w:val="auto"/>
          <w:kern w:val="0"/>
          <w:sz w:val="24"/>
          <w:szCs w:val="24"/>
          <w:highlight w:val="none"/>
          <w:lang w:val="zh-CN"/>
        </w:rPr>
        <w:t>投标人响应采购需求应具体、明确，含糊不清、不确切或伪造、编造证明材料的，按照实质性不响应处理。对伪造、编造证明材料的，将报送采购监管部门查处。</w:t>
      </w:r>
    </w:p>
    <w:p>
      <w:pPr>
        <w:pStyle w:val="17"/>
        <w:rPr>
          <w:rFonts w:hint="eastAsia"/>
          <w:color w:val="auto"/>
        </w:rPr>
      </w:pPr>
    </w:p>
    <w:p>
      <w:pPr>
        <w:widowControl w:val="0"/>
        <w:wordWrap/>
        <w:adjustRightInd/>
        <w:snapToGrid/>
        <w:spacing w:line="560" w:lineRule="exact"/>
        <w:ind w:firstLine="3120" w:firstLineChars="1300"/>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p>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458" w:name="_Toc3277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458"/>
    </w:p>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bookmarkStart w:id="459" w:name="_Toc22450_WPSOffice_Level3"/>
      <w:r>
        <w:rPr>
          <w:rFonts w:hint="eastAsia" w:ascii="宋体" w:hAnsi="宋体" w:eastAsia="宋体" w:cs="宋体"/>
          <w:b w:val="0"/>
          <w:bCs/>
          <w:color w:val="auto"/>
          <w:sz w:val="24"/>
          <w:szCs w:val="24"/>
        </w:rPr>
        <w:t>年   月  日</w:t>
      </w:r>
      <w:bookmarkEnd w:id="459"/>
    </w:p>
    <w:p>
      <w:pPr>
        <w:rPr>
          <w:rFonts w:hint="eastAsia" w:ascii="宋体" w:hAnsi="宋体" w:eastAsia="宋体" w:cs="宋体"/>
          <w:color w:val="auto"/>
          <w:sz w:val="24"/>
          <w:szCs w:val="24"/>
        </w:rPr>
      </w:pPr>
    </w:p>
    <w:p>
      <w:pPr>
        <w:rPr>
          <w:rFonts w:hint="eastAsia" w:ascii="宋体" w:hAnsi="宋体" w:eastAsia="宋体" w:cs="宋体"/>
          <w:b/>
          <w:bCs w:val="0"/>
          <w:color w:val="auto"/>
          <w:kern w:val="2"/>
          <w:sz w:val="24"/>
          <w:szCs w:val="24"/>
          <w:lang w:val="en-US" w:eastAsia="zh-CN" w:bidi="ar-SA"/>
        </w:rPr>
      </w:pPr>
      <w:bookmarkStart w:id="460" w:name="_Toc6913_WPSOffice_Level3"/>
      <w:bookmarkStart w:id="461" w:name="_Toc14547"/>
      <w:bookmarkStart w:id="462" w:name="_Toc7597"/>
      <w:bookmarkStart w:id="463" w:name="_Toc28501"/>
      <w:bookmarkStart w:id="464" w:name="_Toc18025_WPSOffice_Level3"/>
      <w:r>
        <w:rPr>
          <w:rFonts w:hint="eastAsia" w:ascii="宋体" w:hAnsi="宋体" w:eastAsia="宋体" w:cs="宋体"/>
          <w:b/>
          <w:bCs w:val="0"/>
          <w:color w:val="auto"/>
          <w:kern w:val="2"/>
          <w:sz w:val="24"/>
          <w:szCs w:val="24"/>
          <w:lang w:val="en-US" w:eastAsia="zh-CN" w:bidi="ar-SA"/>
        </w:rPr>
        <w:br w:type="page"/>
      </w:r>
    </w:p>
    <w:p>
      <w:pPr>
        <w:widowControl/>
        <w:wordWrap/>
        <w:snapToGrid w:val="0"/>
        <w:spacing w:before="157" w:beforeLines="50" w:line="560" w:lineRule="exact"/>
        <w:outlineLvl w:val="1"/>
        <w:rPr>
          <w:rFonts w:hint="eastAsia" w:ascii="宋体" w:hAnsi="宋体" w:eastAsia="宋体" w:cs="宋体"/>
          <w:b/>
          <w:color w:val="auto"/>
          <w:sz w:val="24"/>
          <w:szCs w:val="24"/>
        </w:rPr>
      </w:pPr>
      <w:bookmarkStart w:id="465" w:name="_Toc18246"/>
      <w:r>
        <w:rPr>
          <w:rFonts w:hint="eastAsia" w:ascii="宋体" w:hAnsi="宋体" w:eastAsia="宋体" w:cs="宋体"/>
          <w:b/>
          <w:bCs w:val="0"/>
          <w:color w:val="auto"/>
          <w:kern w:val="2"/>
          <w:sz w:val="24"/>
          <w:szCs w:val="24"/>
          <w:lang w:val="en-US" w:eastAsia="zh-CN" w:bidi="ar-SA"/>
        </w:rPr>
        <w:t>附件1</w:t>
      </w:r>
      <w:r>
        <w:rPr>
          <w:rFonts w:hint="eastAsia" w:ascii="宋体" w:hAnsi="宋体" w:cs="宋体"/>
          <w:b/>
          <w:bCs w:val="0"/>
          <w:color w:val="auto"/>
          <w:kern w:val="2"/>
          <w:sz w:val="24"/>
          <w:szCs w:val="24"/>
          <w:lang w:val="en-US" w:eastAsia="zh-CN" w:bidi="ar-SA"/>
        </w:rPr>
        <w:t>2</w:t>
      </w:r>
      <w:r>
        <w:rPr>
          <w:rFonts w:hint="eastAsia" w:ascii="宋体" w:hAnsi="宋体" w:eastAsia="宋体" w:cs="宋体"/>
          <w:b/>
          <w:bCs w:val="0"/>
          <w:color w:val="auto"/>
          <w:kern w:val="2"/>
          <w:sz w:val="24"/>
          <w:szCs w:val="24"/>
          <w:lang w:val="en-US" w:eastAsia="zh-CN" w:bidi="ar-SA"/>
        </w:rPr>
        <w:t>：</w:t>
      </w:r>
      <w:bookmarkEnd w:id="460"/>
      <w:bookmarkEnd w:id="461"/>
      <w:bookmarkEnd w:id="462"/>
      <w:r>
        <w:rPr>
          <w:rFonts w:hint="eastAsia" w:ascii="宋体" w:hAnsi="宋体" w:eastAsia="宋体" w:cs="宋体"/>
          <w:b/>
          <w:bCs w:val="0"/>
          <w:color w:val="auto"/>
          <w:kern w:val="2"/>
          <w:sz w:val="24"/>
          <w:szCs w:val="24"/>
          <w:lang w:val="en-US" w:eastAsia="zh-CN" w:bidi="ar-SA"/>
        </w:rPr>
        <w:t>产品相关资料</w:t>
      </w:r>
      <w:bookmarkEnd w:id="463"/>
      <w:bookmarkEnd w:id="464"/>
      <w:bookmarkEnd w:id="465"/>
    </w:p>
    <w:p>
      <w:pPr>
        <w:wordWrap/>
        <w:spacing w:before="157" w:beforeLines="50" w:line="560" w:lineRule="exact"/>
        <w:jc w:val="center"/>
        <w:outlineLvl w:val="9"/>
        <w:rPr>
          <w:rFonts w:hint="eastAsia" w:ascii="宋体" w:hAnsi="宋体" w:eastAsia="宋体" w:cs="宋体"/>
          <w:bCs/>
          <w:color w:val="auto"/>
          <w:sz w:val="24"/>
          <w:szCs w:val="24"/>
        </w:rPr>
      </w:pPr>
      <w:bookmarkStart w:id="466" w:name="_Toc21309_WPSOffice_Level3"/>
      <w:bookmarkStart w:id="467" w:name="_Toc19683_WPSOffice_Level1"/>
      <w:bookmarkStart w:id="468" w:name="_Toc2954_WPSOffice_Level1"/>
      <w:r>
        <w:rPr>
          <w:rFonts w:hint="eastAsia" w:ascii="宋体" w:hAnsi="宋体" w:eastAsia="宋体" w:cs="宋体"/>
          <w:b/>
          <w:color w:val="auto"/>
          <w:sz w:val="24"/>
          <w:szCs w:val="24"/>
          <w:lang w:val="zh-CN" w:eastAsia="zh-CN"/>
        </w:rPr>
        <w:t>产品相关资料</w:t>
      </w:r>
      <w:bookmarkEnd w:id="466"/>
      <w:bookmarkEnd w:id="467"/>
      <w:bookmarkEnd w:id="468"/>
    </w:p>
    <w:p>
      <w:pPr>
        <w:wordWrap/>
        <w:adjustRightIn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根据采购项目内容，提供</w:t>
      </w:r>
      <w:r>
        <w:rPr>
          <w:rFonts w:hint="eastAsia" w:ascii="宋体" w:hAnsi="宋体" w:cs="宋体"/>
          <w:color w:val="auto"/>
          <w:sz w:val="24"/>
          <w:szCs w:val="24"/>
          <w:lang w:eastAsia="zh-CN"/>
        </w:rPr>
        <w:t>相关</w:t>
      </w:r>
      <w:r>
        <w:rPr>
          <w:rFonts w:hint="eastAsia" w:ascii="宋体" w:hAnsi="宋体" w:eastAsia="宋体" w:cs="宋体"/>
          <w:color w:val="auto"/>
          <w:sz w:val="24"/>
          <w:szCs w:val="24"/>
        </w:rPr>
        <w:t>产品的产品检</w:t>
      </w:r>
      <w:r>
        <w:rPr>
          <w:rFonts w:hint="eastAsia" w:ascii="宋体" w:hAnsi="宋体" w:eastAsia="宋体" w:cs="宋体"/>
          <w:color w:val="auto"/>
          <w:sz w:val="24"/>
          <w:szCs w:val="24"/>
          <w:u w:val="none"/>
        </w:rPr>
        <w:t>验报告</w:t>
      </w:r>
      <w:r>
        <w:rPr>
          <w:rFonts w:hint="eastAsia" w:ascii="宋体" w:hAnsi="宋体" w:cs="宋体"/>
          <w:color w:val="auto"/>
          <w:sz w:val="24"/>
          <w:szCs w:val="24"/>
          <w:u w:val="none"/>
          <w:lang w:eastAsia="zh-CN"/>
        </w:rPr>
        <w:t>或产品合格证或</w:t>
      </w:r>
      <w:r>
        <w:rPr>
          <w:rFonts w:hint="eastAsia" w:ascii="宋体" w:hAnsi="宋体" w:eastAsia="宋体" w:cs="宋体"/>
          <w:color w:val="auto"/>
          <w:sz w:val="24"/>
          <w:szCs w:val="24"/>
          <w:u w:val="none"/>
        </w:rPr>
        <w:t>生产厂家出具的产品彩页证明材料等能够证明技术参数响应的相关资料。</w:t>
      </w: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widowControl/>
        <w:wordWrap/>
        <w:adjustRightInd w:val="0"/>
        <w:snapToGrid w:val="0"/>
        <w:spacing w:before="157" w:beforeLines="50" w:line="560" w:lineRule="exact"/>
        <w:jc w:val="left"/>
        <w:rPr>
          <w:rFonts w:hint="eastAsia" w:ascii="宋体" w:hAnsi="宋体" w:eastAsia="宋体" w:cs="宋体"/>
          <w:color w:val="auto"/>
          <w:spacing w:val="6"/>
          <w:kern w:val="0"/>
          <w:sz w:val="24"/>
          <w:szCs w:val="24"/>
        </w:rPr>
      </w:pPr>
    </w:p>
    <w:p>
      <w:pPr>
        <w:rPr>
          <w:rFonts w:hint="eastAsia" w:ascii="宋体" w:hAnsi="宋体" w:eastAsia="宋体" w:cs="宋体"/>
          <w:b/>
          <w:bCs w:val="0"/>
          <w:color w:val="auto"/>
          <w:kern w:val="2"/>
          <w:sz w:val="24"/>
          <w:szCs w:val="24"/>
          <w:lang w:val="en-US" w:eastAsia="zh-CN" w:bidi="ar-SA"/>
        </w:rPr>
      </w:pPr>
      <w:bookmarkStart w:id="469" w:name="_Toc31301_WPSOffice_Level3"/>
      <w:bookmarkStart w:id="470" w:name="_Toc4925"/>
      <w:bookmarkStart w:id="471" w:name="_Toc10368"/>
      <w:bookmarkStart w:id="472" w:name="_Toc3146_WPSOffice_Level3"/>
      <w:bookmarkStart w:id="473" w:name="_Toc17566"/>
      <w:bookmarkStart w:id="474" w:name="_Toc11887"/>
      <w:r>
        <w:rPr>
          <w:rFonts w:hint="eastAsia" w:ascii="宋体" w:hAnsi="宋体" w:eastAsia="宋体" w:cs="宋体"/>
          <w:b/>
          <w:bCs w:val="0"/>
          <w:color w:val="auto"/>
          <w:kern w:val="2"/>
          <w:sz w:val="24"/>
          <w:szCs w:val="24"/>
          <w:lang w:val="en-US" w:eastAsia="zh-CN" w:bidi="ar-SA"/>
        </w:rPr>
        <w:br w:type="page"/>
      </w:r>
    </w:p>
    <w:bookmarkEnd w:id="469"/>
    <w:bookmarkEnd w:id="470"/>
    <w:bookmarkEnd w:id="471"/>
    <w:bookmarkEnd w:id="472"/>
    <w:bookmarkEnd w:id="473"/>
    <w:bookmarkEnd w:id="474"/>
    <w:p>
      <w:pPr>
        <w:keepNext/>
        <w:keepLines w:val="0"/>
        <w:pageBreakBefore w:val="0"/>
        <w:widowControl w:val="0"/>
        <w:kinsoku/>
        <w:wordWrap/>
        <w:overflowPunct/>
        <w:topLinePunct w:val="0"/>
        <w:autoSpaceDE/>
        <w:autoSpaceDN/>
        <w:bidi w:val="0"/>
        <w:adjustRightInd w:val="0"/>
        <w:snapToGrid w:val="0"/>
        <w:spacing w:before="157" w:beforeLines="50" w:line="560" w:lineRule="exact"/>
        <w:jc w:val="both"/>
        <w:textAlignment w:val="auto"/>
        <w:outlineLvl w:val="0"/>
        <w:rPr>
          <w:rFonts w:hint="eastAsia" w:ascii="宋体" w:hAnsi="宋体" w:eastAsia="宋体" w:cs="宋体"/>
          <w:b w:val="0"/>
          <w:bCs w:val="0"/>
          <w:color w:val="auto"/>
          <w:sz w:val="24"/>
          <w:szCs w:val="24"/>
          <w:lang w:eastAsia="zh-CN"/>
        </w:rPr>
      </w:pPr>
      <w:bookmarkStart w:id="475" w:name="_Toc376936766"/>
      <w:bookmarkStart w:id="476" w:name="_Toc7329_WPSOffice_Level1"/>
      <w:bookmarkStart w:id="477" w:name="_Toc10105"/>
      <w:bookmarkStart w:id="478" w:name="_Toc5169"/>
      <w:bookmarkStart w:id="479" w:name="_Toc24112_WPSOffice_Level1"/>
      <w:bookmarkStart w:id="480" w:name="_Toc23740"/>
      <w:bookmarkStart w:id="481" w:name="_Toc27557_WPSOffice_Level1"/>
      <w:bookmarkStart w:id="482" w:name="_Toc416183225"/>
      <w:bookmarkStart w:id="483" w:name="_Toc23722_WPSOffice_Level1"/>
      <w:bookmarkStart w:id="484" w:name="_Toc16082_WPSOffice_Level1"/>
      <w:bookmarkStart w:id="485" w:name="_Toc5233"/>
      <w:bookmarkStart w:id="486" w:name="_Toc12949996"/>
      <w:bookmarkStart w:id="487" w:name="_Toc16779_WPSOffice_Level1"/>
      <w:r>
        <w:rPr>
          <w:rFonts w:hint="eastAsia" w:ascii="宋体" w:hAnsi="宋体" w:eastAsia="宋体" w:cs="宋体"/>
          <w:b/>
          <w:bCs w:val="0"/>
          <w:color w:val="auto"/>
          <w:kern w:val="2"/>
          <w:sz w:val="24"/>
          <w:szCs w:val="24"/>
          <w:lang w:val="en-US" w:eastAsia="zh-CN" w:bidi="ar-SA"/>
        </w:rPr>
        <w:t>附件13、</w:t>
      </w:r>
      <w:r>
        <w:rPr>
          <w:rFonts w:hint="eastAsia" w:ascii="宋体" w:hAnsi="宋体" w:eastAsia="宋体" w:cs="宋体"/>
          <w:b/>
          <w:bCs w:val="0"/>
          <w:color w:val="auto"/>
          <w:kern w:val="2"/>
          <w:sz w:val="24"/>
          <w:szCs w:val="24"/>
          <w:lang w:val="zh-CN" w:eastAsia="zh-CN" w:bidi="ar-SA"/>
        </w:rPr>
        <w:t>供应商认为在其他方面有必要说明的事项（格式自定）</w:t>
      </w: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keepNext/>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outlineLvl w:val="9"/>
        <w:rPr>
          <w:rFonts w:hint="eastAsia" w:ascii="宋体" w:hAnsi="宋体" w:eastAsia="宋体" w:cs="宋体"/>
          <w:b w:val="0"/>
          <w:bCs w:val="0"/>
          <w:color w:val="auto"/>
          <w:sz w:val="24"/>
          <w:szCs w:val="24"/>
          <w:lang w:eastAsia="zh-CN"/>
        </w:rPr>
      </w:pPr>
    </w:p>
    <w:p>
      <w:pPr>
        <w:pStyle w:val="3"/>
        <w:wordWrap/>
        <w:adjustRightInd w:val="0"/>
        <w:snapToGrid w:val="0"/>
        <w:spacing w:before="157" w:beforeLines="50" w:line="560" w:lineRule="exact"/>
        <w:jc w:val="center"/>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第五部分</w:t>
      </w:r>
      <w:r>
        <w:rPr>
          <w:rFonts w:hint="eastAsia" w:ascii="宋体" w:hAnsi="宋体" w:eastAsia="宋体" w:cs="宋体"/>
          <w:b w:val="0"/>
          <w:bCs w:val="0"/>
          <w:color w:val="auto"/>
          <w:sz w:val="24"/>
          <w:szCs w:val="24"/>
        </w:rPr>
        <w:t xml:space="preserve"> </w:t>
      </w:r>
      <w:bookmarkEnd w:id="475"/>
      <w:r>
        <w:rPr>
          <w:rFonts w:hint="eastAsia" w:ascii="宋体" w:hAnsi="宋体" w:eastAsia="宋体" w:cs="宋体"/>
          <w:b w:val="0"/>
          <w:bCs w:val="0"/>
          <w:color w:val="auto"/>
          <w:sz w:val="24"/>
          <w:szCs w:val="24"/>
        </w:rPr>
        <w:t>青海省采购项目合同书范本</w:t>
      </w:r>
      <w:bookmarkEnd w:id="476"/>
      <w:bookmarkEnd w:id="477"/>
      <w:bookmarkEnd w:id="478"/>
      <w:bookmarkEnd w:id="479"/>
    </w:p>
    <w:p>
      <w:pPr>
        <w:pStyle w:val="3"/>
        <w:wordWrap/>
        <w:adjustRightInd w:val="0"/>
        <w:snapToGrid w:val="0"/>
        <w:spacing w:before="157" w:beforeLines="50" w:line="560" w:lineRule="exact"/>
        <w:jc w:val="center"/>
        <w:outlineLvl w:val="0"/>
        <w:rPr>
          <w:rFonts w:hint="eastAsia" w:ascii="宋体" w:hAnsi="宋体" w:eastAsia="宋体" w:cs="宋体"/>
          <w:b w:val="0"/>
          <w:bCs w:val="0"/>
          <w:color w:val="auto"/>
          <w:sz w:val="24"/>
          <w:szCs w:val="24"/>
        </w:rPr>
      </w:pPr>
      <w:bookmarkStart w:id="488" w:name="_Toc22776_WPSOffice_Level1"/>
      <w:bookmarkStart w:id="489" w:name="_Toc32639"/>
      <w:bookmarkStart w:id="490" w:name="_Toc6589"/>
      <w:bookmarkStart w:id="491" w:name="_Toc29785_WPSOffice_Level1"/>
      <w:r>
        <w:rPr>
          <w:rFonts w:hint="eastAsia" w:ascii="宋体" w:hAnsi="宋体" w:eastAsia="宋体" w:cs="宋体"/>
          <w:b w:val="0"/>
          <w:bCs w:val="0"/>
          <w:color w:val="auto"/>
          <w:sz w:val="24"/>
          <w:szCs w:val="24"/>
        </w:rPr>
        <w:t>（货物类）</w:t>
      </w:r>
      <w:bookmarkEnd w:id="480"/>
      <w:bookmarkEnd w:id="481"/>
      <w:bookmarkEnd w:id="482"/>
      <w:bookmarkEnd w:id="483"/>
      <w:bookmarkEnd w:id="484"/>
      <w:bookmarkEnd w:id="485"/>
      <w:bookmarkEnd w:id="486"/>
      <w:bookmarkEnd w:id="487"/>
      <w:bookmarkEnd w:id="488"/>
      <w:bookmarkEnd w:id="489"/>
      <w:bookmarkEnd w:id="490"/>
      <w:bookmarkEnd w:id="491"/>
    </w:p>
    <w:p>
      <w:pPr>
        <w:wordWrap/>
        <w:adjustRightInd w:val="0"/>
        <w:snapToGrid w:val="0"/>
        <w:spacing w:before="157" w:beforeLines="50" w:line="560" w:lineRule="exact"/>
        <w:outlineLvl w:val="0"/>
        <w:rPr>
          <w:rFonts w:hint="eastAsia" w:ascii="宋体" w:hAnsi="宋体" w:eastAsia="宋体" w:cs="宋体"/>
          <w:bCs/>
          <w:color w:val="auto"/>
          <w:sz w:val="24"/>
          <w:szCs w:val="24"/>
        </w:rPr>
      </w:pPr>
      <w:bookmarkStart w:id="492" w:name="_Toc373954603"/>
      <w:bookmarkStart w:id="493" w:name="_Toc375576842"/>
      <w:bookmarkStart w:id="494" w:name="_Toc373936315"/>
    </w:p>
    <w:bookmarkEnd w:id="492"/>
    <w:bookmarkEnd w:id="493"/>
    <w:bookmarkEnd w:id="494"/>
    <w:p>
      <w:pPr>
        <w:keepNext/>
        <w:keepLines/>
        <w:widowControl/>
        <w:wordWrap/>
        <w:snapToGrid w:val="0"/>
        <w:spacing w:before="157" w:beforeLines="50" w:line="560" w:lineRule="exact"/>
        <w:jc w:val="center"/>
        <w:outlineLvl w:val="9"/>
        <w:rPr>
          <w:rFonts w:hint="eastAsia" w:ascii="宋体" w:hAnsi="宋体" w:eastAsia="宋体" w:cs="宋体"/>
          <w:b w:val="0"/>
          <w:bCs/>
          <w:color w:val="auto"/>
          <w:kern w:val="28"/>
          <w:sz w:val="24"/>
          <w:szCs w:val="24"/>
        </w:rPr>
      </w:pPr>
      <w:bookmarkStart w:id="495" w:name="_Toc8067_WPSOffice_Level1"/>
      <w:bookmarkStart w:id="496" w:name="_Toc31604_WPSOffice_Level1"/>
      <w:bookmarkStart w:id="497" w:name="_Toc416183226"/>
      <w:bookmarkStart w:id="498" w:name="_Toc3676_WPSOffice_Level1"/>
      <w:bookmarkStart w:id="499" w:name="_Toc4308"/>
      <w:bookmarkStart w:id="500" w:name="_Toc9715"/>
      <w:bookmarkStart w:id="501" w:name="_Toc9152_WPSOffice_Level1"/>
      <w:bookmarkStart w:id="502" w:name="_Toc10999_WPSOffice_Level1"/>
      <w:bookmarkStart w:id="503" w:name="_Toc12949997"/>
      <w:r>
        <w:rPr>
          <w:rFonts w:hint="eastAsia" w:ascii="宋体" w:hAnsi="宋体" w:eastAsia="宋体" w:cs="宋体"/>
          <w:b w:val="0"/>
          <w:bCs/>
          <w:color w:val="auto"/>
          <w:kern w:val="28"/>
          <w:sz w:val="24"/>
          <w:szCs w:val="24"/>
        </w:rPr>
        <w:t>青海省采购项目合同书</w:t>
      </w:r>
      <w:bookmarkEnd w:id="495"/>
      <w:bookmarkEnd w:id="496"/>
      <w:bookmarkEnd w:id="497"/>
      <w:bookmarkEnd w:id="498"/>
      <w:bookmarkEnd w:id="499"/>
      <w:bookmarkEnd w:id="500"/>
      <w:bookmarkEnd w:id="501"/>
      <w:bookmarkEnd w:id="502"/>
      <w:bookmarkEnd w:id="503"/>
    </w:p>
    <w:p>
      <w:pPr>
        <w:wordWrap/>
        <w:spacing w:before="157" w:beforeLines="50" w:line="560" w:lineRule="exact"/>
        <w:jc w:val="center"/>
        <w:outlineLvl w:val="9"/>
        <w:rPr>
          <w:rFonts w:hint="eastAsia" w:ascii="宋体" w:hAnsi="宋体" w:eastAsia="宋体" w:cs="宋体"/>
          <w:b w:val="0"/>
          <w:bCs/>
          <w:color w:val="auto"/>
          <w:sz w:val="24"/>
          <w:szCs w:val="24"/>
        </w:rPr>
      </w:pPr>
    </w:p>
    <w:p>
      <w:pPr>
        <w:wordWrap/>
        <w:spacing w:before="157" w:beforeLines="50" w:line="560" w:lineRule="exact"/>
        <w:ind w:firstLine="480" w:firstLineChars="200"/>
        <w:outlineLvl w:val="9"/>
        <w:rPr>
          <w:rFonts w:hint="eastAsia" w:ascii="宋体" w:hAnsi="宋体" w:eastAsia="宋体" w:cs="宋体"/>
          <w:b w:val="0"/>
          <w:bCs/>
          <w:color w:val="auto"/>
          <w:sz w:val="24"/>
          <w:szCs w:val="24"/>
        </w:rPr>
      </w:pPr>
    </w:p>
    <w:p>
      <w:pPr>
        <w:wordWrap/>
        <w:spacing w:before="157" w:beforeLines="50" w:line="560" w:lineRule="exact"/>
        <w:ind w:firstLine="480" w:firstLineChars="200"/>
        <w:outlineLvl w:val="9"/>
        <w:rPr>
          <w:rFonts w:hint="eastAsia" w:ascii="宋体" w:hAnsi="宋体" w:eastAsia="宋体" w:cs="宋体"/>
          <w:b w:val="0"/>
          <w:bCs/>
          <w:color w:val="auto"/>
          <w:sz w:val="24"/>
          <w:szCs w:val="24"/>
          <w:u w:val="single"/>
        </w:rPr>
      </w:pPr>
      <w:bookmarkStart w:id="504" w:name="_Toc23548_WPSOffice_Level1"/>
      <w:bookmarkStart w:id="505" w:name="_Toc19373_WPSOffice_Level1"/>
      <w:bookmarkStart w:id="506" w:name="_Toc18140_WPSOffice_Level1"/>
      <w:bookmarkStart w:id="507" w:name="_Toc23338_WPSOffice_Level1"/>
      <w:r>
        <w:rPr>
          <w:rFonts w:hint="eastAsia" w:ascii="宋体" w:hAnsi="宋体" w:eastAsia="宋体" w:cs="宋体"/>
          <w:b w:val="0"/>
          <w:bCs/>
          <w:color w:val="auto"/>
          <w:sz w:val="24"/>
          <w:szCs w:val="24"/>
        </w:rPr>
        <w:t>采购项目名称：</w:t>
      </w:r>
      <w:bookmarkEnd w:id="504"/>
      <w:bookmarkEnd w:id="505"/>
      <w:bookmarkEnd w:id="506"/>
      <w:bookmarkEnd w:id="507"/>
      <w:r>
        <w:rPr>
          <w:rFonts w:hint="eastAsia" w:ascii="宋体" w:hAnsi="宋体" w:eastAsia="宋体" w:cs="宋体"/>
          <w:b w:val="0"/>
          <w:bCs/>
          <w:color w:val="auto"/>
          <w:sz w:val="24"/>
          <w:szCs w:val="24"/>
          <w:u w:val="single"/>
        </w:rPr>
        <w:t xml:space="preserve">                                  </w:t>
      </w:r>
    </w:p>
    <w:p>
      <w:pPr>
        <w:wordWrap/>
        <w:spacing w:before="157" w:beforeLines="50" w:line="560" w:lineRule="exact"/>
        <w:ind w:firstLine="480" w:firstLineChars="200"/>
        <w:outlineLvl w:val="9"/>
        <w:rPr>
          <w:rFonts w:hint="eastAsia" w:ascii="宋体" w:hAnsi="宋体" w:eastAsia="宋体" w:cs="宋体"/>
          <w:b w:val="0"/>
          <w:bCs/>
          <w:color w:val="auto"/>
          <w:sz w:val="24"/>
          <w:szCs w:val="24"/>
          <w:u w:val="single"/>
        </w:rPr>
      </w:pPr>
      <w:bookmarkStart w:id="508" w:name="_Toc2770_WPSOffice_Level1"/>
      <w:bookmarkStart w:id="509" w:name="_Toc20437_WPSOffice_Level1"/>
      <w:bookmarkStart w:id="510" w:name="_Toc19950_WPSOffice_Level1"/>
      <w:bookmarkStart w:id="511" w:name="_Toc2957_WPSOffice_Level1"/>
      <w:r>
        <w:rPr>
          <w:rFonts w:hint="eastAsia" w:ascii="宋体" w:hAnsi="宋体" w:eastAsia="宋体" w:cs="宋体"/>
          <w:b w:val="0"/>
          <w:bCs/>
          <w:color w:val="auto"/>
          <w:sz w:val="24"/>
          <w:szCs w:val="24"/>
        </w:rPr>
        <w:t>采购项目编号：</w:t>
      </w:r>
      <w:bookmarkEnd w:id="508"/>
      <w:bookmarkEnd w:id="509"/>
      <w:bookmarkEnd w:id="510"/>
      <w:bookmarkEnd w:id="511"/>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 xml:space="preserve">                                              </w:t>
      </w:r>
    </w:p>
    <w:p>
      <w:pPr>
        <w:wordWrap/>
        <w:spacing w:before="157" w:beforeLines="50" w:line="560" w:lineRule="exact"/>
        <w:ind w:firstLine="480" w:firstLineChars="200"/>
        <w:outlineLvl w:val="9"/>
        <w:rPr>
          <w:rFonts w:hint="eastAsia" w:ascii="宋体" w:hAnsi="宋体" w:eastAsia="宋体" w:cs="宋体"/>
          <w:b w:val="0"/>
          <w:bCs/>
          <w:color w:val="auto"/>
          <w:sz w:val="24"/>
          <w:szCs w:val="24"/>
        </w:rPr>
      </w:pPr>
      <w:bookmarkStart w:id="512" w:name="_Toc1998_WPSOffice_Level1"/>
      <w:bookmarkStart w:id="513" w:name="_Toc19490_WPSOffice_Level1"/>
      <w:bookmarkStart w:id="514" w:name="_Toc3022_WPSOffice_Level1"/>
      <w:bookmarkStart w:id="515" w:name="_Toc31508_WPSOffice_Level1"/>
      <w:r>
        <w:rPr>
          <w:rFonts w:hint="eastAsia" w:ascii="宋体" w:hAnsi="宋体" w:eastAsia="宋体" w:cs="宋体"/>
          <w:b w:val="0"/>
          <w:bCs/>
          <w:color w:val="auto"/>
          <w:sz w:val="24"/>
          <w:szCs w:val="24"/>
        </w:rPr>
        <w:t>采购合同编号：</w:t>
      </w:r>
      <w:bookmarkEnd w:id="512"/>
      <w:bookmarkEnd w:id="513"/>
      <w:bookmarkEnd w:id="514"/>
      <w:bookmarkEnd w:id="515"/>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 xml:space="preserve">                                                 </w:t>
      </w:r>
    </w:p>
    <w:p>
      <w:pPr>
        <w:wordWrap/>
        <w:spacing w:before="157" w:beforeLines="50" w:line="560" w:lineRule="exact"/>
        <w:ind w:firstLine="480" w:firstLineChars="200"/>
        <w:outlineLvl w:val="9"/>
        <w:rPr>
          <w:rFonts w:hint="eastAsia" w:ascii="宋体" w:hAnsi="宋体" w:eastAsia="宋体" w:cs="宋体"/>
          <w:b w:val="0"/>
          <w:bCs/>
          <w:color w:val="auto"/>
          <w:sz w:val="24"/>
          <w:szCs w:val="24"/>
        </w:rPr>
      </w:pPr>
      <w:bookmarkStart w:id="516" w:name="_Toc5994_WPSOffice_Level1"/>
      <w:bookmarkStart w:id="517" w:name="_Toc24942_WPSOffice_Level1"/>
      <w:bookmarkStart w:id="518" w:name="_Toc2711_WPSOffice_Level1"/>
      <w:bookmarkStart w:id="519" w:name="_Toc8063_WPSOffice_Level1"/>
      <w:r>
        <w:rPr>
          <w:rFonts w:hint="eastAsia" w:ascii="宋体" w:hAnsi="宋体" w:eastAsia="宋体" w:cs="宋体"/>
          <w:b w:val="0"/>
          <w:bCs/>
          <w:color w:val="auto"/>
          <w:sz w:val="24"/>
          <w:szCs w:val="24"/>
        </w:rPr>
        <w:t>合同金额（人民币）：</w:t>
      </w:r>
      <w:bookmarkEnd w:id="516"/>
      <w:bookmarkEnd w:id="517"/>
      <w:bookmarkEnd w:id="518"/>
      <w:bookmarkEnd w:id="519"/>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 xml:space="preserve">                                   </w:t>
      </w:r>
    </w:p>
    <w:p>
      <w:pPr>
        <w:wordWrap/>
        <w:spacing w:before="157" w:beforeLines="50" w:line="560" w:lineRule="exact"/>
        <w:ind w:firstLine="480" w:firstLineChars="200"/>
        <w:jc w:val="left"/>
        <w:outlineLvl w:val="9"/>
        <w:rPr>
          <w:rFonts w:hint="eastAsia" w:ascii="宋体" w:hAnsi="宋体" w:eastAsia="宋体" w:cs="宋体"/>
          <w:b w:val="0"/>
          <w:bCs/>
          <w:color w:val="auto"/>
          <w:sz w:val="24"/>
          <w:szCs w:val="24"/>
        </w:rPr>
      </w:pPr>
      <w:bookmarkStart w:id="520" w:name="_Toc3522_WPSOffice_Level1"/>
      <w:bookmarkStart w:id="521" w:name="_Toc10610_WPSOffice_Level1"/>
      <w:bookmarkStart w:id="522" w:name="_Toc31793_WPSOffice_Level1"/>
      <w:bookmarkStart w:id="523" w:name="_Toc6126_WPSOffice_Level1"/>
      <w:r>
        <w:rPr>
          <w:rFonts w:hint="eastAsia" w:ascii="宋体" w:hAnsi="宋体" w:eastAsia="宋体" w:cs="宋体"/>
          <w:b w:val="0"/>
          <w:bCs/>
          <w:color w:val="auto"/>
          <w:sz w:val="24"/>
          <w:szCs w:val="24"/>
        </w:rPr>
        <w:t>采购单位（甲方）：</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（盖章）</w:t>
      </w:r>
      <w:bookmarkEnd w:id="520"/>
      <w:bookmarkEnd w:id="521"/>
      <w:bookmarkEnd w:id="522"/>
      <w:bookmarkEnd w:id="523"/>
    </w:p>
    <w:p>
      <w:pPr>
        <w:wordWrap/>
        <w:spacing w:before="157" w:beforeLines="50" w:line="560" w:lineRule="exact"/>
        <w:ind w:firstLine="480" w:firstLineChars="200"/>
        <w:jc w:val="left"/>
        <w:outlineLvl w:val="9"/>
        <w:rPr>
          <w:rFonts w:hint="eastAsia" w:ascii="宋体" w:hAnsi="宋体" w:eastAsia="宋体" w:cs="宋体"/>
          <w:b w:val="0"/>
          <w:bCs/>
          <w:color w:val="auto"/>
          <w:sz w:val="24"/>
          <w:szCs w:val="24"/>
          <w:u w:val="single"/>
        </w:rPr>
      </w:pPr>
      <w:bookmarkStart w:id="524" w:name="_Toc22516_WPSOffice_Level1"/>
      <w:bookmarkStart w:id="525" w:name="_Toc7246_WPSOffice_Level1"/>
      <w:bookmarkStart w:id="526" w:name="_Toc14960_WPSOffice_Level1"/>
      <w:bookmarkStart w:id="527" w:name="_Toc382_WPSOffice_Level1"/>
      <w:r>
        <w:rPr>
          <w:rFonts w:hint="eastAsia" w:ascii="宋体" w:hAnsi="宋体" w:eastAsia="宋体" w:cs="宋体"/>
          <w:b w:val="0"/>
          <w:bCs/>
          <w:color w:val="auto"/>
          <w:sz w:val="24"/>
          <w:szCs w:val="24"/>
        </w:rPr>
        <w:t>成交供应商（乙方）：</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（盖章）</w:t>
      </w:r>
      <w:bookmarkEnd w:id="524"/>
      <w:bookmarkEnd w:id="525"/>
      <w:bookmarkEnd w:id="526"/>
      <w:bookmarkEnd w:id="52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r>
        <w:rPr>
          <w:rFonts w:hint="eastAsia" w:ascii="宋体" w:hAnsi="宋体" w:eastAsia="宋体" w:cs="宋体"/>
          <w:bCs/>
          <w:color w:val="auto"/>
          <w:sz w:val="24"/>
          <w:szCs w:val="24"/>
        </w:rPr>
        <w:t>甲、乙双方根据20</w:t>
      </w:r>
      <w:r>
        <w:rPr>
          <w:rFonts w:hint="eastAsia" w:ascii="宋体" w:hAnsi="宋体" w:eastAsia="宋体" w:cs="宋体"/>
          <w:bCs/>
          <w:color w:val="auto"/>
          <w:sz w:val="24"/>
          <w:szCs w:val="24"/>
          <w:lang w:val="en-US" w:eastAsia="zh-CN"/>
        </w:rPr>
        <w:t>2</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 xml:space="preserve">日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项目（</w:t>
      </w:r>
      <w:r>
        <w:rPr>
          <w:rFonts w:hint="eastAsia" w:ascii="宋体" w:hAnsi="宋体" w:eastAsia="宋体" w:cs="宋体"/>
          <w:bCs/>
          <w:color w:val="auto"/>
          <w:sz w:val="24"/>
          <w:szCs w:val="24"/>
          <w:lang w:eastAsia="zh-CN"/>
        </w:rPr>
        <w:t>项目编号</w:t>
      </w:r>
      <w:r>
        <w:rPr>
          <w:rFonts w:hint="eastAsia" w:ascii="宋体" w:hAnsi="宋体" w:eastAsia="宋体" w:cs="宋体"/>
          <w:bCs/>
          <w:color w:val="auto"/>
          <w:sz w:val="24"/>
          <w:szCs w:val="24"/>
        </w:rPr>
        <w:t>）的</w:t>
      </w:r>
      <w:r>
        <w:rPr>
          <w:rFonts w:hint="eastAsia" w:ascii="宋体" w:hAnsi="宋体" w:cs="宋体"/>
          <w:bCs/>
          <w:color w:val="auto"/>
          <w:sz w:val="24"/>
          <w:szCs w:val="24"/>
          <w:lang w:eastAsia="zh-CN"/>
        </w:rPr>
        <w:t>询价</w:t>
      </w:r>
      <w:r>
        <w:rPr>
          <w:rFonts w:hint="eastAsia" w:ascii="宋体" w:hAnsi="宋体" w:eastAsia="宋体" w:cs="宋体"/>
          <w:bCs/>
          <w:color w:val="auto"/>
          <w:sz w:val="24"/>
          <w:szCs w:val="24"/>
        </w:rPr>
        <w:t>文件要求和采购机构出具的《成交通知书》，并经双方协商一致，达成合同总价款为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的</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项目采购合同：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bookmarkStart w:id="528" w:name="_Toc29795_WPSOffice_Level1"/>
      <w:bookmarkStart w:id="529" w:name="_Toc16675_WPSOffice_Level1"/>
      <w:bookmarkStart w:id="530" w:name="_Toc28036_WPSOffice_Level1"/>
      <w:bookmarkStart w:id="531" w:name="_Toc6866_WPSOffice_Level1"/>
      <w:bookmarkStart w:id="532" w:name="_Toc96_WPSOffice_Level1"/>
      <w:bookmarkStart w:id="533" w:name="_Toc6055_WPSOffice_Level1"/>
      <w:r>
        <w:rPr>
          <w:rFonts w:hint="eastAsia" w:ascii="宋体" w:hAnsi="宋体" w:eastAsia="宋体" w:cs="宋体"/>
          <w:bCs/>
          <w:color w:val="auto"/>
          <w:sz w:val="24"/>
          <w:szCs w:val="24"/>
          <w:lang w:val="zh-CN"/>
        </w:rPr>
        <w:t>一、签订本采购合同的依据</w:t>
      </w:r>
      <w:bookmarkEnd w:id="528"/>
      <w:bookmarkEnd w:id="529"/>
      <w:bookmarkEnd w:id="530"/>
      <w:bookmarkEnd w:id="531"/>
      <w:bookmarkEnd w:id="532"/>
      <w:bookmarkEnd w:id="53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本采购合同所附下列文件是构成本采购合同不可分割的部分：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bookmarkStart w:id="534" w:name="_Toc32479_WPSOffice_Level2"/>
      <w:bookmarkStart w:id="535" w:name="_Toc7329_WPSOffice_Level2"/>
      <w:bookmarkStart w:id="536" w:name="_Toc29065_WPSOffice_Level2"/>
      <w:r>
        <w:rPr>
          <w:rFonts w:hint="eastAsia" w:ascii="宋体" w:hAnsi="宋体" w:eastAsia="宋体" w:cs="宋体"/>
          <w:bCs/>
          <w:color w:val="auto"/>
          <w:sz w:val="24"/>
          <w:szCs w:val="24"/>
          <w:lang w:val="zh-CN"/>
        </w:rPr>
        <w:t>1.</w:t>
      </w:r>
      <w:r>
        <w:rPr>
          <w:rFonts w:hint="eastAsia" w:ascii="宋体" w:hAnsi="宋体" w:cs="宋体"/>
          <w:bCs/>
          <w:color w:val="auto"/>
          <w:sz w:val="24"/>
          <w:szCs w:val="24"/>
          <w:lang w:val="zh-CN"/>
        </w:rPr>
        <w:t>询价</w:t>
      </w:r>
      <w:r>
        <w:rPr>
          <w:rFonts w:hint="eastAsia" w:ascii="宋体" w:hAnsi="宋体" w:eastAsia="宋体" w:cs="宋体"/>
          <w:bCs/>
          <w:color w:val="auto"/>
          <w:sz w:val="24"/>
          <w:szCs w:val="24"/>
          <w:lang w:val="zh-CN"/>
        </w:rPr>
        <w:t>文件；</w:t>
      </w:r>
      <w:bookmarkEnd w:id="534"/>
      <w:bookmarkEnd w:id="535"/>
      <w:bookmarkEnd w:id="536"/>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bookmarkStart w:id="537" w:name="_Toc8989_WPSOffice_Level2"/>
      <w:bookmarkStart w:id="538" w:name="_Toc28112_WPSOffice_Level2"/>
      <w:bookmarkStart w:id="539" w:name="_Toc22776_WPSOffice_Level2"/>
      <w:r>
        <w:rPr>
          <w:rFonts w:hint="eastAsia" w:ascii="宋体" w:hAnsi="宋体" w:eastAsia="宋体" w:cs="宋体"/>
          <w:bCs/>
          <w:color w:val="auto"/>
          <w:sz w:val="24"/>
          <w:szCs w:val="24"/>
          <w:lang w:val="zh-CN"/>
        </w:rPr>
        <w:t>2.</w:t>
      </w:r>
      <w:r>
        <w:rPr>
          <w:rFonts w:hint="eastAsia" w:ascii="宋体" w:hAnsi="宋体" w:cs="宋体"/>
          <w:bCs/>
          <w:color w:val="auto"/>
          <w:sz w:val="24"/>
          <w:szCs w:val="24"/>
          <w:lang w:val="zh-CN"/>
        </w:rPr>
        <w:t>询价</w:t>
      </w:r>
      <w:r>
        <w:rPr>
          <w:rFonts w:hint="eastAsia" w:ascii="宋体" w:hAnsi="宋体" w:eastAsia="宋体" w:cs="宋体"/>
          <w:bCs/>
          <w:color w:val="auto"/>
          <w:sz w:val="24"/>
          <w:szCs w:val="24"/>
          <w:lang w:val="zh-CN"/>
        </w:rPr>
        <w:t>文件的更正、变更公告；</w:t>
      </w:r>
      <w:bookmarkEnd w:id="537"/>
      <w:bookmarkEnd w:id="538"/>
      <w:bookmarkEnd w:id="53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bookmarkStart w:id="540" w:name="_Toc29795_WPSOffice_Level2"/>
      <w:bookmarkStart w:id="541" w:name="_Toc28651_WPSOffice_Level2"/>
      <w:bookmarkStart w:id="542" w:name="_Toc29221_WPSOffice_Level2"/>
      <w:r>
        <w:rPr>
          <w:rFonts w:hint="eastAsia" w:ascii="宋体" w:hAnsi="宋体" w:eastAsia="宋体" w:cs="宋体"/>
          <w:bCs/>
          <w:color w:val="auto"/>
          <w:sz w:val="24"/>
          <w:szCs w:val="24"/>
          <w:lang w:val="zh-CN"/>
        </w:rPr>
        <w:t>3.成交供应商提交的</w:t>
      </w:r>
      <w:r>
        <w:rPr>
          <w:rFonts w:hint="eastAsia" w:ascii="宋体" w:hAnsi="宋体" w:cs="宋体"/>
          <w:bCs/>
          <w:color w:val="auto"/>
          <w:sz w:val="24"/>
          <w:szCs w:val="24"/>
          <w:lang w:val="zh-CN"/>
        </w:rPr>
        <w:t>询价</w:t>
      </w:r>
      <w:r>
        <w:rPr>
          <w:rFonts w:hint="eastAsia" w:ascii="宋体" w:hAnsi="宋体" w:eastAsia="宋体" w:cs="宋体"/>
          <w:bCs/>
          <w:color w:val="auto"/>
          <w:sz w:val="24"/>
          <w:szCs w:val="24"/>
          <w:lang w:val="zh-CN"/>
        </w:rPr>
        <w:t>响应文件；</w:t>
      </w:r>
      <w:bookmarkEnd w:id="540"/>
      <w:bookmarkEnd w:id="541"/>
      <w:bookmarkEnd w:id="54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bookmarkStart w:id="543" w:name="_Toc13685_WPSOffice_Level2"/>
      <w:bookmarkStart w:id="544" w:name="_Toc10173_WPSOffice_Level2"/>
      <w:bookmarkStart w:id="545" w:name="_Toc130_WPSOffice_Level2"/>
      <w:r>
        <w:rPr>
          <w:rFonts w:hint="eastAsia" w:ascii="宋体" w:hAnsi="宋体" w:eastAsia="宋体" w:cs="宋体"/>
          <w:bCs/>
          <w:color w:val="auto"/>
          <w:sz w:val="24"/>
          <w:szCs w:val="24"/>
          <w:lang w:val="zh-CN"/>
        </w:rPr>
        <w:t>4.采购合同通用条款；</w:t>
      </w:r>
      <w:bookmarkEnd w:id="543"/>
      <w:bookmarkEnd w:id="544"/>
      <w:bookmarkEnd w:id="54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bookmarkStart w:id="546" w:name="_Toc22537_WPSOffice_Level2"/>
      <w:bookmarkStart w:id="547" w:name="_Toc16117_WPSOffice_Level2"/>
      <w:bookmarkStart w:id="548" w:name="_Toc1858_WPSOffice_Level2"/>
      <w:r>
        <w:rPr>
          <w:rFonts w:hint="eastAsia" w:ascii="宋体" w:hAnsi="宋体" w:eastAsia="宋体" w:cs="宋体"/>
          <w:bCs/>
          <w:color w:val="auto"/>
          <w:sz w:val="24"/>
          <w:szCs w:val="24"/>
          <w:lang w:val="zh-CN"/>
        </w:rPr>
        <w:t>5.成交通知书；</w:t>
      </w:r>
      <w:bookmarkEnd w:id="546"/>
      <w:bookmarkEnd w:id="547"/>
      <w:bookmarkEnd w:id="54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bookmarkStart w:id="549" w:name="_Toc5771_WPSOffice_Level2"/>
      <w:bookmarkStart w:id="550" w:name="_Toc30677_WPSOffice_Level2"/>
      <w:bookmarkStart w:id="551" w:name="_Toc21545_WPSOffice_Level2"/>
      <w:r>
        <w:rPr>
          <w:rFonts w:hint="eastAsia" w:ascii="宋体" w:hAnsi="宋体" w:eastAsia="宋体" w:cs="宋体"/>
          <w:bCs/>
          <w:color w:val="auto"/>
          <w:sz w:val="24"/>
          <w:szCs w:val="24"/>
          <w:lang w:val="zh-CN"/>
        </w:rPr>
        <w:t>6.履约保证金缴费证明</w:t>
      </w:r>
      <w:bookmarkEnd w:id="549"/>
      <w:bookmarkEnd w:id="550"/>
      <w:bookmarkEnd w:id="551"/>
      <w:r>
        <w:rPr>
          <w:rFonts w:hint="eastAsia" w:ascii="宋体" w:hAnsi="宋体" w:eastAsia="宋体" w:cs="宋体"/>
          <w:bCs/>
          <w:color w:val="auto"/>
          <w:sz w:val="24"/>
          <w:szCs w:val="24"/>
          <w:lang w:val="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bCs/>
          <w:color w:val="auto"/>
          <w:sz w:val="24"/>
          <w:szCs w:val="24"/>
          <w:lang w:val="zh-CN"/>
        </w:rPr>
      </w:pPr>
      <w:bookmarkStart w:id="552" w:name="_Toc4921_WPSOffice_Level1"/>
      <w:bookmarkStart w:id="553" w:name="_Toc12658_WPSOffice_Level1"/>
      <w:bookmarkStart w:id="554" w:name="_Toc29813_WPSOffice_Level1"/>
      <w:bookmarkStart w:id="555" w:name="_Toc10843_WPSOffice_Level1"/>
      <w:bookmarkStart w:id="556" w:name="_Toc10173_WPSOffice_Level1"/>
      <w:bookmarkStart w:id="557" w:name="_Toc7426_WPSOffice_Level1"/>
      <w:r>
        <w:rPr>
          <w:rFonts w:hint="eastAsia" w:ascii="宋体" w:hAnsi="宋体" w:eastAsia="宋体" w:cs="宋体"/>
          <w:bCs/>
          <w:color w:val="auto"/>
          <w:sz w:val="24"/>
          <w:szCs w:val="24"/>
          <w:lang w:val="zh-CN"/>
        </w:rPr>
        <w:t>二、合同标的及金额                                       单位：元</w:t>
      </w:r>
      <w:bookmarkEnd w:id="552"/>
      <w:bookmarkEnd w:id="553"/>
      <w:bookmarkEnd w:id="554"/>
      <w:bookmarkEnd w:id="555"/>
      <w:bookmarkEnd w:id="556"/>
      <w:bookmarkEnd w:id="557"/>
    </w:p>
    <w:tbl>
      <w:tblPr>
        <w:tblStyle w:val="22"/>
        <w:tblW w:w="9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4"/>
        <w:gridCol w:w="1640"/>
        <w:gridCol w:w="1613"/>
        <w:gridCol w:w="1279"/>
        <w:gridCol w:w="1151"/>
        <w:gridCol w:w="1149"/>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包号</w:t>
            </w: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标的名称</w:t>
            </w: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型号规格</w:t>
            </w: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数量</w:t>
            </w: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单价</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总价</w:t>
            </w: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bCs/>
                <w:color w:val="auto"/>
                <w:sz w:val="24"/>
                <w:szCs w:val="24"/>
                <w:lang w:val="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根据上述采购合同文件要求，本采购合同的总金额为人民币</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val="zh-CN"/>
        </w:rPr>
        <w:t>（大写）</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val="zh-CN"/>
        </w:rPr>
        <w:t xml:space="preserve">          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val="zh-CN"/>
        </w:rPr>
        <w:t>本合同以人民币进行结算，合同总价包括：</w:t>
      </w:r>
      <w:r>
        <w:rPr>
          <w:rFonts w:hint="eastAsia" w:ascii="宋体" w:hAnsi="宋体" w:eastAsia="宋体" w:cs="宋体"/>
          <w:bCs/>
          <w:color w:val="auto"/>
          <w:sz w:val="24"/>
          <w:szCs w:val="24"/>
        </w:rPr>
        <w:t>产品费、检验费、手续费、包装费、运输费、保险费、税金</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排版印刷费、装订费、及其他不可预见费等全部费用。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558" w:name="_Toc20423_WPSOffice_Level1"/>
      <w:bookmarkStart w:id="559" w:name="_Toc6168_WPSOffice_Level1"/>
      <w:bookmarkStart w:id="560" w:name="_Toc28888_WPSOffice_Level1"/>
      <w:bookmarkStart w:id="561" w:name="_Toc7098_WPSOffice_Level1"/>
      <w:bookmarkStart w:id="562" w:name="_Toc22537_WPSOffice_Level1"/>
      <w:bookmarkStart w:id="563" w:name="_Toc23899_WPSOffice_Level1"/>
      <w:r>
        <w:rPr>
          <w:rFonts w:hint="eastAsia" w:ascii="宋体" w:hAnsi="宋体" w:eastAsia="宋体" w:cs="宋体"/>
          <w:bCs/>
          <w:color w:val="auto"/>
          <w:sz w:val="24"/>
          <w:szCs w:val="24"/>
          <w:lang w:val="zh-CN"/>
        </w:rPr>
        <w:t>三、交付时间、地点和要求</w:t>
      </w:r>
      <w:bookmarkEnd w:id="558"/>
      <w:bookmarkEnd w:id="559"/>
      <w:bookmarkEnd w:id="560"/>
      <w:bookmarkEnd w:id="561"/>
      <w:bookmarkEnd w:id="562"/>
      <w:bookmarkEnd w:id="56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zh-CN"/>
        </w:rPr>
        <w:t>交货时间：签订合同后</w:t>
      </w:r>
      <w:r>
        <w:rPr>
          <w:rFonts w:hint="eastAsia" w:ascii="宋体" w:hAnsi="宋体" w:eastAsia="宋体" w:cs="宋体"/>
          <w:bCs/>
          <w:color w:val="auto"/>
          <w:sz w:val="24"/>
          <w:szCs w:val="24"/>
          <w:u w:val="single"/>
          <w:lang w:val="zh-CN"/>
        </w:rPr>
        <w:t xml:space="preserve">    </w:t>
      </w:r>
      <w:r>
        <w:rPr>
          <w:rFonts w:hint="eastAsia" w:ascii="宋体" w:hAnsi="宋体" w:eastAsia="宋体" w:cs="宋体"/>
          <w:bCs/>
          <w:color w:val="auto"/>
          <w:sz w:val="24"/>
          <w:szCs w:val="24"/>
          <w:lang w:val="zh-CN"/>
        </w:rPr>
        <w:t>个工作日交付使用；交货地点：</w:t>
      </w:r>
      <w:r>
        <w:rPr>
          <w:rFonts w:hint="eastAsia" w:ascii="宋体" w:hAnsi="宋体" w:eastAsia="宋体" w:cs="宋体"/>
          <w:bCs/>
          <w:color w:val="auto"/>
          <w:sz w:val="24"/>
          <w:szCs w:val="24"/>
          <w:u w:val="single"/>
          <w:lang w:val="zh-CN"/>
        </w:rPr>
        <w:t xml:space="preserve">                </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val="zh-CN"/>
        </w:rPr>
        <w:t>乙方提供不符合</w:t>
      </w:r>
      <w:r>
        <w:rPr>
          <w:rFonts w:hint="eastAsia" w:ascii="宋体" w:hAnsi="宋体" w:cs="宋体"/>
          <w:bCs/>
          <w:color w:val="auto"/>
          <w:sz w:val="24"/>
          <w:szCs w:val="24"/>
          <w:lang w:val="zh-CN"/>
        </w:rPr>
        <w:t>询价</w:t>
      </w:r>
      <w:r>
        <w:rPr>
          <w:rFonts w:hint="eastAsia" w:ascii="宋体" w:hAnsi="宋体" w:eastAsia="宋体" w:cs="宋体"/>
          <w:bCs/>
          <w:color w:val="auto"/>
          <w:sz w:val="24"/>
          <w:szCs w:val="24"/>
          <w:lang w:val="zh-CN"/>
        </w:rPr>
        <w:t>文件、</w:t>
      </w:r>
      <w:r>
        <w:rPr>
          <w:rFonts w:hint="eastAsia" w:ascii="宋体" w:hAnsi="宋体" w:cs="宋体"/>
          <w:bCs/>
          <w:color w:val="auto"/>
          <w:sz w:val="24"/>
          <w:szCs w:val="24"/>
          <w:lang w:val="zh-CN"/>
        </w:rPr>
        <w:t>询价</w:t>
      </w:r>
      <w:r>
        <w:rPr>
          <w:rFonts w:hint="eastAsia" w:ascii="宋体" w:hAnsi="宋体" w:eastAsia="宋体" w:cs="宋体"/>
          <w:bCs/>
          <w:color w:val="auto"/>
          <w:sz w:val="24"/>
          <w:szCs w:val="24"/>
          <w:lang w:val="zh-CN"/>
        </w:rPr>
        <w:t>响应文件和本合同规定的产品，甲方有权拒绝接受。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w:t>
      </w:r>
      <w:r>
        <w:rPr>
          <w:rFonts w:hint="eastAsia" w:ascii="宋体" w:hAnsi="宋体" w:eastAsia="宋体" w:cs="宋体"/>
          <w:bCs/>
          <w:color w:val="auto"/>
          <w:sz w:val="24"/>
          <w:szCs w:val="24"/>
          <w:lang w:val="zh-CN"/>
        </w:rPr>
        <w:t>乙方应将提供产品的装箱清单、用户手册、资料、工具和备品、备件等交付给甲方，如有缺失应及时补齐，否则视为逾期交货。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4. </w:t>
      </w:r>
      <w:r>
        <w:rPr>
          <w:rFonts w:hint="eastAsia" w:ascii="宋体" w:hAnsi="宋体" w:eastAsia="宋体" w:cs="宋体"/>
          <w:bCs/>
          <w:color w:val="auto"/>
          <w:sz w:val="24"/>
          <w:szCs w:val="24"/>
          <w:lang w:val="zh-CN"/>
        </w:rPr>
        <w:t>甲方应当在到货（安装、调试完）后</w:t>
      </w:r>
      <w:r>
        <w:rPr>
          <w:rFonts w:hint="eastAsia" w:ascii="宋体" w:hAnsi="宋体" w:eastAsia="宋体" w:cs="宋体"/>
          <w:bCs/>
          <w:color w:val="auto"/>
          <w:sz w:val="24"/>
          <w:szCs w:val="24"/>
          <w:u w:val="single"/>
          <w:lang w:val="zh-CN"/>
        </w:rPr>
        <w:t xml:space="preserve">    </w:t>
      </w:r>
      <w:r>
        <w:rPr>
          <w:rFonts w:hint="eastAsia" w:ascii="宋体" w:hAnsi="宋体" w:eastAsia="宋体" w:cs="宋体"/>
          <w:bCs/>
          <w:color w:val="auto"/>
          <w:sz w:val="24"/>
          <w:szCs w:val="24"/>
          <w:lang w:val="zh-CN"/>
        </w:rPr>
        <w:t>个工作日内进行验收。验收合格后，由甲乙双方签署产品验收单并加盖采购人</w:t>
      </w:r>
      <w:r>
        <w:rPr>
          <w:rFonts w:hint="eastAsia" w:ascii="宋体" w:hAnsi="宋体" w:eastAsia="宋体" w:cs="宋体"/>
          <w:bCs/>
          <w:color w:val="auto"/>
          <w:sz w:val="24"/>
          <w:szCs w:val="24"/>
          <w:highlight w:val="none"/>
          <w:lang w:val="zh-CN"/>
        </w:rPr>
        <w:t>公章</w:t>
      </w:r>
      <w:r>
        <w:rPr>
          <w:rFonts w:hint="eastAsia" w:ascii="宋体" w:hAnsi="宋体" w:eastAsia="宋体" w:cs="宋体"/>
          <w:bCs/>
          <w:color w:val="auto"/>
          <w:sz w:val="24"/>
          <w:szCs w:val="24"/>
          <w:lang w:val="zh-CN"/>
        </w:rPr>
        <w:t>，甲乙双方各执一份。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zh-CN"/>
        </w:rPr>
        <w:t xml:space="preserve"> 甲方在履行合同过程中发现乙方有违约问题，可按</w:t>
      </w:r>
      <w:r>
        <w:rPr>
          <w:rFonts w:hint="eastAsia" w:ascii="宋体" w:hAnsi="宋体" w:cs="宋体"/>
          <w:bCs/>
          <w:color w:val="auto"/>
          <w:sz w:val="24"/>
          <w:szCs w:val="24"/>
          <w:lang w:val="zh-CN"/>
        </w:rPr>
        <w:t>询价</w:t>
      </w:r>
      <w:r>
        <w:rPr>
          <w:rFonts w:hint="eastAsia" w:ascii="宋体" w:hAnsi="宋体" w:eastAsia="宋体" w:cs="宋体"/>
          <w:bCs/>
          <w:color w:val="auto"/>
          <w:sz w:val="24"/>
          <w:szCs w:val="24"/>
          <w:lang w:val="zh-CN"/>
        </w:rPr>
        <w:t>文件、</w:t>
      </w:r>
      <w:r>
        <w:rPr>
          <w:rFonts w:hint="eastAsia" w:ascii="宋体" w:hAnsi="宋体" w:cs="宋体"/>
          <w:bCs/>
          <w:color w:val="auto"/>
          <w:sz w:val="24"/>
          <w:szCs w:val="24"/>
          <w:lang w:val="zh-CN"/>
        </w:rPr>
        <w:t>询价</w:t>
      </w:r>
      <w:r>
        <w:rPr>
          <w:rFonts w:hint="eastAsia" w:ascii="宋体" w:hAnsi="宋体" w:eastAsia="宋体" w:cs="宋体"/>
          <w:bCs/>
          <w:color w:val="auto"/>
          <w:sz w:val="24"/>
          <w:szCs w:val="24"/>
          <w:lang w:val="zh-CN"/>
        </w:rPr>
        <w:t>响应文件的规定要求乙方及时予以解决。</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6</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zh-CN"/>
        </w:rPr>
        <w:t>乙方向甲方提供产品相关完税销售发票。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564" w:name="_Toc32406_WPSOffice_Level1"/>
      <w:bookmarkStart w:id="565" w:name="_Toc5771_WPSOffice_Level1"/>
      <w:bookmarkStart w:id="566" w:name="_Toc29015_WPSOffice_Level1"/>
      <w:bookmarkStart w:id="567" w:name="_Toc2306_WPSOffice_Level1"/>
      <w:bookmarkStart w:id="568" w:name="_Toc23122_WPSOffice_Level1"/>
      <w:bookmarkStart w:id="569" w:name="_Toc19609_WPSOffice_Level1"/>
      <w:r>
        <w:rPr>
          <w:rFonts w:hint="eastAsia" w:ascii="宋体" w:hAnsi="宋体" w:eastAsia="宋体" w:cs="宋体"/>
          <w:bCs/>
          <w:color w:val="auto"/>
          <w:sz w:val="24"/>
          <w:szCs w:val="24"/>
        </w:rPr>
        <w:t>四、付款方式</w:t>
      </w:r>
      <w:bookmarkEnd w:id="564"/>
      <w:bookmarkEnd w:id="565"/>
      <w:bookmarkEnd w:id="566"/>
      <w:bookmarkEnd w:id="567"/>
      <w:bookmarkEnd w:id="568"/>
      <w:bookmarkEnd w:id="56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u w:val="single"/>
          <w:lang w:val="zh-CN"/>
        </w:rPr>
      </w:pPr>
      <w:r>
        <w:rPr>
          <w:rFonts w:hint="eastAsia" w:ascii="宋体" w:hAnsi="宋体" w:eastAsia="宋体" w:cs="宋体"/>
          <w:bCs/>
          <w:color w:val="auto"/>
          <w:sz w:val="24"/>
          <w:szCs w:val="24"/>
          <w:u w:val="single"/>
          <w:lang w:val="zh-CN"/>
        </w:rPr>
        <w:t>乙方所交付的产品由甲方验收，验收合格后由甲方报同级财政监管部门，申请资金拨付,按合同金额向乙方支付合同总价款的100%（付款方式及金额由采购人根据项目情况确定），即人民币（大写）：             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乙方向甲方提交的履约保证金计（大写）</w:t>
      </w:r>
      <w:r>
        <w:rPr>
          <w:rFonts w:hint="eastAsia" w:ascii="宋体" w:hAnsi="宋体" w:eastAsia="宋体" w:cs="宋体"/>
          <w:bCs/>
          <w:color w:val="auto"/>
          <w:sz w:val="24"/>
          <w:szCs w:val="24"/>
          <w:u w:val="single"/>
          <w:lang w:val="zh-CN"/>
        </w:rPr>
        <w:t xml:space="preserve">        </w:t>
      </w:r>
      <w:r>
        <w:rPr>
          <w:rFonts w:hint="eastAsia" w:ascii="宋体" w:hAnsi="宋体" w:eastAsia="宋体" w:cs="宋体"/>
          <w:bCs/>
          <w:color w:val="auto"/>
          <w:sz w:val="24"/>
          <w:szCs w:val="24"/>
          <w:lang w:val="zh-CN"/>
        </w:rPr>
        <w:t>元转为质量保证金。质量保证金待约定的免费质保期满</w:t>
      </w:r>
      <w:r>
        <w:rPr>
          <w:rFonts w:hint="eastAsia" w:ascii="宋体" w:hAnsi="宋体" w:eastAsia="宋体" w:cs="宋体"/>
          <w:bCs/>
          <w:color w:val="auto"/>
          <w:sz w:val="24"/>
          <w:szCs w:val="24"/>
          <w:u w:val="single"/>
          <w:lang w:val="zh-CN"/>
        </w:rPr>
        <w:t xml:space="preserve">     </w:t>
      </w:r>
      <w:r>
        <w:rPr>
          <w:rFonts w:hint="eastAsia" w:ascii="宋体" w:hAnsi="宋体" w:eastAsia="宋体" w:cs="宋体"/>
          <w:bCs/>
          <w:color w:val="auto"/>
          <w:sz w:val="24"/>
          <w:szCs w:val="24"/>
          <w:lang w:val="zh-CN"/>
        </w:rPr>
        <w:t>（年）且产品无质量问题后，由乙方提出书面申请，甲方以转账方式予以退还。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570" w:name="_Toc1156_WPSOffice_Level1"/>
      <w:bookmarkStart w:id="571" w:name="_Toc26468_WPSOffice_Level1"/>
      <w:bookmarkStart w:id="572" w:name="_Toc9071_WPSOffice_Level1"/>
      <w:bookmarkStart w:id="573" w:name="_Toc8581_WPSOffice_Level1"/>
      <w:bookmarkStart w:id="574" w:name="_Toc4233_WPSOffice_Level1"/>
      <w:bookmarkStart w:id="575" w:name="_Toc4945_WPSOffice_Level1"/>
      <w:r>
        <w:rPr>
          <w:rFonts w:hint="eastAsia" w:ascii="宋体" w:hAnsi="宋体" w:eastAsia="宋体" w:cs="宋体"/>
          <w:bCs/>
          <w:color w:val="auto"/>
          <w:sz w:val="24"/>
          <w:szCs w:val="24"/>
          <w:lang w:val="zh-CN"/>
        </w:rPr>
        <w:t>五、合同的变更、终止与转让</w:t>
      </w:r>
      <w:bookmarkEnd w:id="570"/>
      <w:bookmarkEnd w:id="571"/>
      <w:bookmarkEnd w:id="572"/>
      <w:bookmarkEnd w:id="573"/>
      <w:bookmarkEnd w:id="574"/>
      <w:bookmarkEnd w:id="57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zh-CN"/>
        </w:rPr>
        <w:t>除《中华人民共和国政府采购法》第</w:t>
      </w:r>
      <w:r>
        <w:rPr>
          <w:rFonts w:hint="eastAsia" w:ascii="宋体" w:hAnsi="宋体" w:eastAsia="宋体" w:cs="宋体"/>
          <w:bCs/>
          <w:color w:val="auto"/>
          <w:sz w:val="24"/>
          <w:szCs w:val="24"/>
        </w:rPr>
        <w:t>50</w:t>
      </w:r>
      <w:r>
        <w:rPr>
          <w:rFonts w:hint="eastAsia" w:ascii="宋体" w:hAnsi="宋体" w:eastAsia="宋体" w:cs="宋体"/>
          <w:bCs/>
          <w:color w:val="auto"/>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val="zh-CN"/>
        </w:rPr>
        <w:t>乙方不得擅自转让其应履行的合同义务。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576" w:name="_Toc29941_WPSOffice_Level1"/>
      <w:bookmarkStart w:id="577" w:name="_Toc20231_WPSOffice_Level1"/>
      <w:bookmarkStart w:id="578" w:name="_Toc14930_WPSOffice_Level1"/>
      <w:bookmarkStart w:id="579" w:name="_Toc27090_WPSOffice_Level1"/>
      <w:bookmarkStart w:id="580" w:name="_Toc21200_WPSOffice_Level1"/>
      <w:bookmarkStart w:id="581" w:name="_Toc2669_WPSOffice_Level1"/>
      <w:r>
        <w:rPr>
          <w:rFonts w:hint="eastAsia" w:ascii="宋体" w:hAnsi="宋体" w:eastAsia="宋体" w:cs="宋体"/>
          <w:bCs/>
          <w:color w:val="auto"/>
          <w:sz w:val="24"/>
          <w:szCs w:val="24"/>
          <w:lang w:val="zh-CN"/>
        </w:rPr>
        <w:t>六、违约责任</w:t>
      </w:r>
      <w:bookmarkEnd w:id="576"/>
      <w:bookmarkEnd w:id="577"/>
      <w:bookmarkEnd w:id="578"/>
      <w:bookmarkEnd w:id="579"/>
      <w:bookmarkEnd w:id="580"/>
      <w:bookmarkEnd w:id="58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zh-CN"/>
        </w:rPr>
        <w:t>乙方所提供的产品规格、技术标准、材料等质量不合格的，应及时更换；更换不及时的，按逾期交货承担违约责任；</w:t>
      </w:r>
      <w:r>
        <w:rPr>
          <w:rFonts w:hint="eastAsia" w:ascii="宋体" w:hAnsi="宋体" w:eastAsia="宋体" w:cs="宋体"/>
          <w:bCs/>
          <w:color w:val="auto"/>
          <w:sz w:val="24"/>
          <w:szCs w:val="24"/>
          <w:highlight w:val="none"/>
          <w:lang w:val="zh-CN"/>
        </w:rPr>
        <w:t>因质量问题甲方不同意接收的，甲方有权扣除质保金（或履约保证金），并由乙方赔偿由此引起的甲方的一切经济损失。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w:t>
      </w:r>
      <w:r>
        <w:rPr>
          <w:rFonts w:hint="eastAsia" w:ascii="宋体" w:hAnsi="宋体" w:eastAsia="宋体" w:cs="宋体"/>
          <w:bCs/>
          <w:color w:val="auto"/>
          <w:sz w:val="24"/>
          <w:szCs w:val="24"/>
          <w:lang w:val="zh-CN"/>
        </w:rPr>
        <w:t>因包装、运输引起的货物损坏，甲方有权拒收。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4.</w:t>
      </w:r>
      <w:r>
        <w:rPr>
          <w:rFonts w:hint="eastAsia" w:ascii="宋体" w:hAnsi="宋体" w:eastAsia="宋体" w:cs="宋体"/>
          <w:bCs/>
          <w:color w:val="auto"/>
          <w:sz w:val="24"/>
          <w:szCs w:val="24"/>
          <w:lang w:val="zh-CN"/>
        </w:rPr>
        <w:t>甲方无故延期接受货物和乙方逾期交货的，每天应向对方偿付未交货物的货款</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val="zh-CN"/>
        </w:rPr>
        <w:t>的违约金，但违约金累计不得超过违约货款的</w:t>
      </w:r>
      <w:r>
        <w:rPr>
          <w:rFonts w:hint="eastAsia" w:ascii="宋体" w:hAnsi="宋体" w:eastAsia="宋体" w:cs="宋体"/>
          <w:bCs/>
          <w:color w:val="auto"/>
          <w:sz w:val="24"/>
          <w:szCs w:val="24"/>
        </w:rPr>
        <w:t>5%</w:t>
      </w:r>
      <w:r>
        <w:rPr>
          <w:rFonts w:hint="eastAsia" w:ascii="宋体" w:hAnsi="宋体" w:eastAsia="宋体" w:cs="宋体"/>
          <w:bCs/>
          <w:color w:val="auto"/>
          <w:sz w:val="24"/>
          <w:szCs w:val="24"/>
          <w:lang w:val="zh-CN"/>
        </w:rPr>
        <w:t>，超过</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lang w:val="zh-CN"/>
        </w:rPr>
        <w:t>天对方有权解除合同，违约方承担因此给对方造成的经济损失</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lang w:val="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5.</w:t>
      </w:r>
      <w:r>
        <w:rPr>
          <w:rFonts w:hint="eastAsia" w:ascii="宋体" w:hAnsi="宋体" w:eastAsia="宋体" w:cs="宋体"/>
          <w:bCs/>
          <w:color w:val="auto"/>
          <w:sz w:val="24"/>
          <w:szCs w:val="24"/>
          <w:lang w:val="zh-CN"/>
        </w:rPr>
        <w:t>乙方未按本合同和响应文件中规定的服务承诺提供售后服务的，乙方应按本合同合计金额的</w:t>
      </w:r>
      <w:r>
        <w:rPr>
          <w:rFonts w:hint="eastAsia" w:ascii="宋体" w:hAnsi="宋体" w:eastAsia="宋体" w:cs="宋体"/>
          <w:bCs/>
          <w:color w:val="auto"/>
          <w:sz w:val="24"/>
          <w:szCs w:val="24"/>
        </w:rPr>
        <w:t>5%</w:t>
      </w:r>
      <w:r>
        <w:rPr>
          <w:rFonts w:hint="eastAsia" w:ascii="宋体" w:hAnsi="宋体" w:eastAsia="宋体" w:cs="宋体"/>
          <w:bCs/>
          <w:color w:val="auto"/>
          <w:sz w:val="24"/>
          <w:szCs w:val="24"/>
          <w:lang w:val="zh-CN"/>
        </w:rPr>
        <w:t>向甲方支付违约金。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6.</w:t>
      </w:r>
      <w:r>
        <w:rPr>
          <w:rFonts w:hint="eastAsia" w:ascii="宋体" w:hAnsi="宋体" w:eastAsia="宋体" w:cs="宋体"/>
          <w:bCs/>
          <w:color w:val="auto"/>
          <w:sz w:val="24"/>
          <w:szCs w:val="24"/>
          <w:lang w:val="zh-CN"/>
        </w:rPr>
        <w:t>乙方提供的货物在质量保证期内，因设计、工艺或材料的缺陷和其它质量原因造成的问题，由乙方负责，费用从</w:t>
      </w:r>
      <w:r>
        <w:rPr>
          <w:rFonts w:hint="eastAsia" w:ascii="宋体" w:hAnsi="宋体" w:eastAsia="宋体" w:cs="宋体"/>
          <w:bCs/>
          <w:color w:val="auto"/>
          <w:sz w:val="24"/>
          <w:szCs w:val="24"/>
          <w:highlight w:val="none"/>
          <w:lang w:val="zh-CN"/>
        </w:rPr>
        <w:t>质量保证金</w:t>
      </w:r>
      <w:r>
        <w:rPr>
          <w:rFonts w:hint="eastAsia" w:ascii="宋体" w:hAnsi="宋体" w:eastAsia="宋体" w:cs="宋体"/>
          <w:bCs/>
          <w:color w:val="auto"/>
          <w:sz w:val="24"/>
          <w:szCs w:val="24"/>
          <w:lang w:val="zh-CN"/>
        </w:rPr>
        <w:t>中扣除，不足另补。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7.</w:t>
      </w:r>
      <w:r>
        <w:rPr>
          <w:rFonts w:hint="eastAsia" w:ascii="宋体" w:hAnsi="宋体" w:eastAsia="宋体" w:cs="宋体"/>
          <w:bCs/>
          <w:color w:val="auto"/>
          <w:sz w:val="24"/>
          <w:szCs w:val="24"/>
          <w:lang w:val="zh-CN"/>
        </w:rPr>
        <w:t>其它违约行为按违约货款额</w:t>
      </w:r>
      <w:r>
        <w:rPr>
          <w:rFonts w:hint="eastAsia" w:ascii="宋体" w:hAnsi="宋体" w:eastAsia="宋体" w:cs="宋体"/>
          <w:bCs/>
          <w:color w:val="auto"/>
          <w:sz w:val="24"/>
          <w:szCs w:val="24"/>
        </w:rPr>
        <w:t>5%</w:t>
      </w:r>
      <w:r>
        <w:rPr>
          <w:rFonts w:hint="eastAsia" w:ascii="宋体" w:hAnsi="宋体" w:eastAsia="宋体" w:cs="宋体"/>
          <w:bCs/>
          <w:color w:val="auto"/>
          <w:sz w:val="24"/>
          <w:szCs w:val="24"/>
          <w:lang w:val="zh-CN"/>
        </w:rPr>
        <w:t>收取违约金并赔偿经济损失。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582" w:name="_Toc13664_WPSOffice_Level1"/>
      <w:bookmarkStart w:id="583" w:name="_Toc4924_WPSOffice_Level1"/>
      <w:bookmarkStart w:id="584" w:name="_Toc29473_WPSOffice_Level1"/>
      <w:bookmarkStart w:id="585" w:name="_Toc2639_WPSOffice_Level1"/>
      <w:bookmarkStart w:id="586" w:name="_Toc2021_WPSOffice_Level1"/>
      <w:bookmarkStart w:id="587" w:name="_Toc31682_WPSOffice_Level1"/>
      <w:r>
        <w:rPr>
          <w:rFonts w:hint="eastAsia" w:ascii="宋体" w:hAnsi="宋体" w:eastAsia="宋体" w:cs="宋体"/>
          <w:bCs/>
          <w:color w:val="auto"/>
          <w:sz w:val="24"/>
          <w:szCs w:val="24"/>
          <w:lang w:val="zh-CN"/>
        </w:rPr>
        <w:t>七、不可抗力</w:t>
      </w:r>
      <w:bookmarkEnd w:id="582"/>
      <w:bookmarkEnd w:id="583"/>
      <w:bookmarkEnd w:id="584"/>
      <w:bookmarkEnd w:id="585"/>
      <w:bookmarkEnd w:id="586"/>
      <w:bookmarkEnd w:id="58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zh-CN"/>
        </w:rPr>
        <w:t>不可抗力使合同的某些内容有变更必要的，双方应通过协商在</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val="zh-CN"/>
        </w:rPr>
        <w:t>除法律、法规规定的不可抗力情形外，双方约定出现</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lang w:val="zh-CN"/>
        </w:rPr>
        <w:t>情况亦视为不可抗力。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588" w:name="_Toc19414_WPSOffice_Level1"/>
      <w:bookmarkStart w:id="589" w:name="_Toc18318_WPSOffice_Level1"/>
      <w:bookmarkStart w:id="590" w:name="_Toc26412_WPSOffice_Level1"/>
      <w:bookmarkStart w:id="591" w:name="_Toc23622_WPSOffice_Level1"/>
      <w:bookmarkStart w:id="592" w:name="_Toc10383_WPSOffice_Level1"/>
      <w:bookmarkStart w:id="593" w:name="_Toc3848_WPSOffice_Level1"/>
      <w:r>
        <w:rPr>
          <w:rFonts w:hint="eastAsia" w:ascii="宋体" w:hAnsi="宋体" w:eastAsia="宋体" w:cs="宋体"/>
          <w:bCs/>
          <w:color w:val="auto"/>
          <w:sz w:val="24"/>
          <w:szCs w:val="24"/>
          <w:lang w:val="zh-CN"/>
        </w:rPr>
        <w:t>八、知识产权：</w:t>
      </w:r>
      <w:bookmarkEnd w:id="588"/>
      <w:bookmarkEnd w:id="589"/>
      <w:bookmarkEnd w:id="590"/>
      <w:bookmarkEnd w:id="591"/>
      <w:bookmarkEnd w:id="592"/>
      <w:bookmarkEnd w:id="59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594" w:name="_Toc19749_WPSOffice_Level1"/>
      <w:bookmarkStart w:id="595" w:name="_Toc10217_WPSOffice_Level1"/>
      <w:bookmarkStart w:id="596" w:name="_Toc20210_WPSOffice_Level1"/>
      <w:bookmarkStart w:id="597" w:name="_Toc19632_WPSOffice_Level1"/>
      <w:bookmarkStart w:id="598" w:name="_Toc2260_WPSOffice_Level1"/>
      <w:bookmarkStart w:id="599" w:name="_Toc13231_WPSOffice_Level1"/>
      <w:r>
        <w:rPr>
          <w:rFonts w:hint="eastAsia" w:ascii="宋体" w:hAnsi="宋体" w:eastAsia="宋体" w:cs="宋体"/>
          <w:bCs/>
          <w:color w:val="auto"/>
          <w:sz w:val="24"/>
          <w:szCs w:val="24"/>
          <w:lang w:val="zh-CN"/>
        </w:rPr>
        <w:t>九、其他约定：</w:t>
      </w:r>
      <w:bookmarkEnd w:id="594"/>
      <w:bookmarkEnd w:id="595"/>
      <w:bookmarkEnd w:id="596"/>
      <w:bookmarkEnd w:id="597"/>
      <w:bookmarkEnd w:id="598"/>
      <w:bookmarkEnd w:id="59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00" w:name="_Toc2032_WPSOffice_Level1"/>
      <w:bookmarkStart w:id="601" w:name="_Toc23823_WPSOffice_Level1"/>
      <w:bookmarkStart w:id="602" w:name="_Toc6985_WPSOffice_Level1"/>
      <w:bookmarkStart w:id="603" w:name="_Toc18552_WPSOffice_Level1"/>
      <w:bookmarkStart w:id="604" w:name="_Toc19521_WPSOffice_Level1"/>
      <w:bookmarkStart w:id="605" w:name="_Toc20133_WPSOffice_Level1"/>
      <w:r>
        <w:rPr>
          <w:rFonts w:hint="eastAsia" w:ascii="宋体" w:hAnsi="宋体" w:eastAsia="宋体" w:cs="宋体"/>
          <w:bCs/>
          <w:color w:val="auto"/>
          <w:sz w:val="24"/>
          <w:szCs w:val="24"/>
          <w:lang w:val="zh-CN"/>
        </w:rPr>
        <w:t>十、合同争议解决</w:t>
      </w:r>
      <w:bookmarkEnd w:id="600"/>
      <w:bookmarkEnd w:id="601"/>
      <w:bookmarkEnd w:id="602"/>
      <w:bookmarkEnd w:id="603"/>
      <w:bookmarkEnd w:id="604"/>
      <w:bookmarkEnd w:id="60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autoSpaceDN/>
        <w:bidi w:val="0"/>
        <w:spacing w:line="360" w:lineRule="auto"/>
        <w:ind w:firstLine="6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val="zh-CN"/>
        </w:rPr>
        <w:t>因履行本合同引起的或与本合同有关的争议，甲乙双方应首先通过友好协商解决，如果协商不能解决，可</w:t>
      </w:r>
      <w:r>
        <w:rPr>
          <w:rFonts w:hint="eastAsia" w:ascii="宋体" w:hAnsi="宋体" w:eastAsia="宋体" w:cs="宋体"/>
          <w:color w:val="auto"/>
          <w:sz w:val="24"/>
          <w:szCs w:val="24"/>
        </w:rPr>
        <w:t>按下列第</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种方式解决：</w:t>
      </w:r>
    </w:p>
    <w:p>
      <w:pPr>
        <w:keepNext w:val="0"/>
        <w:keepLines w:val="0"/>
        <w:pageBreakBefore w:val="0"/>
        <w:widowControl w:val="0"/>
        <w:kinsoku/>
        <w:wordWrap/>
        <w:overflowPunct/>
        <w:topLinePunct w:val="0"/>
        <w:autoSpaceDE/>
        <w:autoSpaceDN/>
        <w:bidi w:val="0"/>
        <w:spacing w:line="360" w:lineRule="auto"/>
        <w:ind w:firstLine="6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）向</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人民法院起诉。</w:t>
      </w:r>
    </w:p>
    <w:p>
      <w:pPr>
        <w:keepNext w:val="0"/>
        <w:keepLines w:val="0"/>
        <w:pageBreakBefore w:val="0"/>
        <w:widowControl w:val="0"/>
        <w:kinsoku/>
        <w:wordWrap/>
        <w:overflowPunct/>
        <w:topLinePunct w:val="0"/>
        <w:autoSpaceDE/>
        <w:autoSpaceDN/>
        <w:bidi w:val="0"/>
        <w:spacing w:line="360" w:lineRule="auto"/>
        <w:ind w:firstLine="6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）向</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仲裁委员会申请仲裁；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w:t>
      </w:r>
      <w:r>
        <w:rPr>
          <w:rFonts w:hint="eastAsia" w:ascii="宋体" w:hAnsi="宋体" w:eastAsia="宋体" w:cs="宋体"/>
          <w:bCs/>
          <w:color w:val="auto"/>
          <w:sz w:val="24"/>
          <w:szCs w:val="24"/>
          <w:lang w:val="zh-CN"/>
        </w:rPr>
        <w:t>诉讼期间，本合同继续履行。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06" w:name="_Toc8439_WPSOffice_Level1"/>
      <w:bookmarkStart w:id="607" w:name="_Toc18713_WPSOffice_Level1"/>
      <w:bookmarkStart w:id="608" w:name="_Toc25759_WPSOffice_Level1"/>
      <w:bookmarkStart w:id="609" w:name="_Toc27544_WPSOffice_Level1"/>
      <w:bookmarkStart w:id="610" w:name="_Toc12915_WPSOffice_Level1"/>
      <w:bookmarkStart w:id="611" w:name="_Toc20057_WPSOffice_Level1"/>
      <w:r>
        <w:rPr>
          <w:rFonts w:hint="eastAsia" w:ascii="宋体" w:hAnsi="宋体" w:eastAsia="宋体" w:cs="宋体"/>
          <w:bCs/>
          <w:color w:val="auto"/>
          <w:sz w:val="24"/>
          <w:szCs w:val="24"/>
          <w:lang w:val="zh-CN"/>
        </w:rPr>
        <w:t>十一、合同生效及其它</w:t>
      </w:r>
      <w:r>
        <w:rPr>
          <w:rFonts w:hint="eastAsia" w:ascii="宋体" w:hAnsi="宋体" w:eastAsia="宋体" w:cs="宋体"/>
          <w:bCs/>
          <w:color w:val="auto"/>
          <w:sz w:val="24"/>
          <w:szCs w:val="24"/>
        </w:rPr>
        <w:t>：</w:t>
      </w:r>
      <w:bookmarkEnd w:id="606"/>
      <w:bookmarkEnd w:id="607"/>
      <w:bookmarkEnd w:id="608"/>
      <w:bookmarkEnd w:id="609"/>
      <w:bookmarkEnd w:id="610"/>
      <w:bookmarkEnd w:id="61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12" w:name="_Toc26653_WPSOffice_Level2"/>
      <w:bookmarkStart w:id="613" w:name="_Toc15526_WPSOffice_Level2"/>
      <w:bookmarkStart w:id="614" w:name="_Toc20231_WPSOffice_Level2"/>
      <w:r>
        <w:rPr>
          <w:rFonts w:hint="eastAsia" w:ascii="宋体" w:hAnsi="宋体" w:eastAsia="宋体" w:cs="宋体"/>
          <w:bCs/>
          <w:color w:val="auto"/>
          <w:sz w:val="24"/>
          <w:szCs w:val="24"/>
        </w:rPr>
        <w:t>1.</w:t>
      </w:r>
      <w:r>
        <w:rPr>
          <w:rFonts w:hint="eastAsia" w:ascii="宋体" w:hAnsi="宋体" w:eastAsia="宋体" w:cs="宋体"/>
          <w:bCs/>
          <w:color w:val="auto"/>
          <w:sz w:val="24"/>
          <w:szCs w:val="24"/>
          <w:lang w:val="zh-CN"/>
        </w:rPr>
        <w:t>本合同一式六份，经双方签字，并加盖公章即为生效。</w:t>
      </w:r>
      <w:bookmarkEnd w:id="612"/>
      <w:bookmarkEnd w:id="613"/>
      <w:bookmarkEnd w:id="614"/>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15" w:name="_Toc16154_WPSOffice_Level2"/>
      <w:bookmarkStart w:id="616" w:name="_Toc11979_WPSOffice_Level2"/>
      <w:bookmarkStart w:id="617" w:name="_Toc13664_WPSOffice_Level2"/>
      <w:r>
        <w:rPr>
          <w:rFonts w:hint="eastAsia" w:ascii="宋体" w:hAnsi="宋体" w:eastAsia="宋体" w:cs="宋体"/>
          <w:bCs/>
          <w:color w:val="auto"/>
          <w:sz w:val="24"/>
          <w:szCs w:val="24"/>
        </w:rPr>
        <w:t>2.</w:t>
      </w:r>
      <w:r>
        <w:rPr>
          <w:rFonts w:hint="eastAsia" w:ascii="宋体" w:hAnsi="宋体" w:eastAsia="宋体" w:cs="宋体"/>
          <w:bCs/>
          <w:color w:val="auto"/>
          <w:sz w:val="24"/>
          <w:szCs w:val="24"/>
          <w:lang w:val="zh-CN"/>
        </w:rPr>
        <w:t>本合同未尽事宜，按《民法典》有关规定处理。</w:t>
      </w:r>
      <w:bookmarkEnd w:id="615"/>
      <w:bookmarkEnd w:id="616"/>
      <w:bookmarkEnd w:id="61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甲方（盖章）：                       乙方（盖章）：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地址：                              地址：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法定代表人或委托代理人：            法定代表人或委托代理人：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开户银行：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联系电话：                          账号：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联系电话：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签约时间：  年  月  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合同备案部门：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负责人：                                经办人：</w:t>
      </w:r>
    </w:p>
    <w:p>
      <w:pPr>
        <w:pStyle w:val="17"/>
        <w:rPr>
          <w:rFonts w:hint="eastAsia"/>
          <w:color w:val="auto"/>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合同备案时间：</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年  月  日</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合同通用条款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根据《民法典》、《中华人民共和国政府采购法》的规定，合同双方经协商达成一致，自愿订立本合同，遵循公平原则明确双方的权利、义务，确保双方诚实守信地履行合同。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18" w:name="_Toc22507_WPSOffice_Level2"/>
      <w:bookmarkStart w:id="619" w:name="_Toc20198_WPSOffice_Level2"/>
      <w:bookmarkStart w:id="620" w:name="_Toc26412_WPSOffice_Level2"/>
      <w:r>
        <w:rPr>
          <w:rFonts w:hint="eastAsia" w:ascii="宋体" w:hAnsi="宋体" w:eastAsia="宋体" w:cs="宋体"/>
          <w:bCs/>
          <w:color w:val="auto"/>
          <w:sz w:val="24"/>
          <w:szCs w:val="24"/>
        </w:rPr>
        <w:t>1.定义</w:t>
      </w:r>
      <w:bookmarkEnd w:id="618"/>
      <w:bookmarkEnd w:id="619"/>
      <w:bookmarkEnd w:id="62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本合同中的下列术语应解释为：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 “合同”指甲乙双方签署的、载明的甲乙双方权利义务的协议，包括所有的附件、附录和上述文件所提到的构成合同的所有文件。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1.2 “合同金额”指根据合同规定，乙方在正确地完全履行合同义务后甲方应付给乙方的价款。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1.3 “合同条款”指本合同条款。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1.4 “货物”指乙方根据合同约定须向甲方提供的一切产品、设备、机械、仪表、备件等，包括辅助工具、使用手册等相关资料。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1.5 “服务”指根据本合同规定乙方承担与供货有关的辅助服务，如运输、保险及安装、调试、提供技术援助、培训和合同中规定乙方应承担的其它义务。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1.6 “甲方”指购买货物和服务的单位。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1.7 “乙方”指提供本合同条款下货物和服务的公司或其他实体。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1.8 “现场”指合同规定货物将要运至和安装的地点。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1.9 “验收”指合同双方依据强制性的国家技术质量规范和合同约定，确认合同条款下的货物符合合同规定的活动。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1.10原厂商：产品制造商或其在中国境内设立的办事或技术服务机构。除另有说明外，本合同文件所述的制造商、产品制造商、制造厂家、产品制造厂家均为原厂商。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1.11 原产地：指产品的生产地，或提供服务的来源地。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1.12 “工作日”指国家法定工作日，“天”指日历天数。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21" w:name="_Toc9343_WPSOffice_Level2"/>
      <w:bookmarkStart w:id="622" w:name="_Toc20210_WPSOffice_Level2"/>
      <w:bookmarkStart w:id="623" w:name="_Toc21237_WPSOffice_Level2"/>
      <w:r>
        <w:rPr>
          <w:rFonts w:hint="eastAsia" w:ascii="宋体" w:hAnsi="宋体" w:eastAsia="宋体" w:cs="宋体"/>
          <w:bCs/>
          <w:color w:val="auto"/>
          <w:sz w:val="24"/>
          <w:szCs w:val="24"/>
        </w:rPr>
        <w:t>2.技术规格要求</w:t>
      </w:r>
      <w:bookmarkEnd w:id="621"/>
      <w:bookmarkEnd w:id="622"/>
      <w:bookmarkEnd w:id="62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2.1 本合同条款下提交货物的技术规格要求应等于或优于</w:t>
      </w:r>
      <w:r>
        <w:rPr>
          <w:rFonts w:hint="eastAsia" w:ascii="宋体" w:hAnsi="宋体" w:cs="宋体"/>
          <w:bCs/>
          <w:color w:val="auto"/>
          <w:sz w:val="24"/>
          <w:szCs w:val="24"/>
          <w:lang w:eastAsia="zh-CN"/>
        </w:rPr>
        <w:t>询价</w:t>
      </w:r>
      <w:r>
        <w:rPr>
          <w:rFonts w:hint="eastAsia" w:ascii="宋体" w:hAnsi="宋体" w:eastAsia="宋体" w:cs="宋体"/>
          <w:bCs/>
          <w:color w:val="auto"/>
          <w:sz w:val="24"/>
          <w:szCs w:val="24"/>
        </w:rPr>
        <w:t>文件、</w:t>
      </w:r>
      <w:r>
        <w:rPr>
          <w:rFonts w:hint="eastAsia" w:ascii="宋体" w:hAnsi="宋体" w:cs="宋体"/>
          <w:bCs/>
          <w:color w:val="auto"/>
          <w:sz w:val="24"/>
          <w:szCs w:val="24"/>
          <w:lang w:eastAsia="zh-CN"/>
        </w:rPr>
        <w:t>询价</w:t>
      </w:r>
      <w:r>
        <w:rPr>
          <w:rFonts w:hint="eastAsia" w:ascii="宋体" w:hAnsi="宋体" w:eastAsia="宋体" w:cs="宋体"/>
          <w:bCs/>
          <w:color w:val="auto"/>
          <w:sz w:val="24"/>
          <w:szCs w:val="24"/>
        </w:rPr>
        <w:t>响应文件技术规格要求。若技术规格要求中无相应规定，则应符合相应的国家有关部门最新颁布的相应正式标准。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2.2 乙方应向甲方提供货物及服务有关的标准的中文文本。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2.3 除非技术规范中另有规定，计量单位均采用中华人民共和国法定计量单位。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24" w:name="_Toc23823_WPSOffice_Level2"/>
      <w:bookmarkStart w:id="625" w:name="_Toc26773_WPSOffice_Level2"/>
      <w:bookmarkStart w:id="626" w:name="_Toc415_WPSOffice_Level2"/>
      <w:r>
        <w:rPr>
          <w:rFonts w:hint="eastAsia" w:ascii="宋体" w:hAnsi="宋体" w:eastAsia="宋体" w:cs="宋体"/>
          <w:bCs/>
          <w:color w:val="auto"/>
          <w:sz w:val="24"/>
          <w:szCs w:val="24"/>
        </w:rPr>
        <w:t>3.合同范围</w:t>
      </w:r>
      <w:bookmarkEnd w:id="624"/>
      <w:bookmarkEnd w:id="625"/>
      <w:bookmarkEnd w:id="626"/>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3.2 乙方应负责培训甲方的技术人员。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27" w:name="_Toc22989_WPSOffice_Level2"/>
      <w:bookmarkStart w:id="628" w:name="_Toc27544_WPSOffice_Level2"/>
      <w:bookmarkStart w:id="629" w:name="_Toc1426_WPSOffice_Level2"/>
      <w:r>
        <w:rPr>
          <w:rFonts w:hint="eastAsia" w:ascii="宋体" w:hAnsi="宋体" w:eastAsia="宋体" w:cs="宋体"/>
          <w:bCs/>
          <w:color w:val="auto"/>
          <w:sz w:val="24"/>
          <w:szCs w:val="24"/>
        </w:rPr>
        <w:t>4.合同文件和资料</w:t>
      </w:r>
      <w:bookmarkEnd w:id="627"/>
      <w:bookmarkEnd w:id="628"/>
      <w:bookmarkEnd w:id="62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4.1乙方在提供仪器设备时应同时提供中文版相关的技术资料，如目录索引、图纸、操作手册、使用指南、维修指南、服务手册等。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30" w:name="_Toc14802_WPSOffice_Level2"/>
      <w:bookmarkStart w:id="631" w:name="_Toc18584_WPSOffice_Level2"/>
      <w:bookmarkStart w:id="632" w:name="_Toc23784_WPSOffice_Level2"/>
      <w:r>
        <w:rPr>
          <w:rFonts w:hint="eastAsia" w:ascii="宋体" w:hAnsi="宋体" w:eastAsia="宋体" w:cs="宋体"/>
          <w:bCs/>
          <w:color w:val="auto"/>
          <w:sz w:val="24"/>
          <w:szCs w:val="24"/>
        </w:rPr>
        <w:t>5.知识产权</w:t>
      </w:r>
      <w:bookmarkEnd w:id="630"/>
      <w:bookmarkEnd w:id="631"/>
      <w:bookmarkEnd w:id="63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5.1乙方应保证甲方在使用该货物或其任何一部分时不受第三方提出的侵犯专利权、 著作权、商标权和工业设计权等的起诉。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5.2任何第三方提出侵权指控，乙方须与第三方交涉并承担由此产生的一切责任、费用和经济赔偿。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5.3双方应共同遵守国家有关版权、专利、商标等知识产权方面的法律规定，相互尊重对方的知识产权，对本合同内容、对方的技术秘密和商业秘密负有保密责任。如有违反，违约方负相关法律责任。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5.4在本合同生效时已经存在并为各方合法拥有或使用的所有技术、资料和信息的知识产权，仍应属于其各自的原权利人所有或享有，另有约定的除外。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33" w:name="_Toc22229_WPSOffice_Level2"/>
      <w:bookmarkStart w:id="634" w:name="_Toc25026_WPSOffice_Level2"/>
      <w:bookmarkStart w:id="635" w:name="_Toc13395_WPSOffice_Level2"/>
      <w:r>
        <w:rPr>
          <w:rFonts w:hint="eastAsia" w:ascii="宋体" w:hAnsi="宋体" w:eastAsia="宋体" w:cs="宋体"/>
          <w:bCs/>
          <w:color w:val="auto"/>
          <w:sz w:val="24"/>
          <w:szCs w:val="24"/>
        </w:rPr>
        <w:t>6.保密</w:t>
      </w:r>
      <w:bookmarkEnd w:id="633"/>
      <w:bookmarkEnd w:id="634"/>
      <w:bookmarkEnd w:id="63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6.2保密信息指任何一方因履行本合同所知悉的任何以口头、书面、图表或电子形式存在的对方信息，具体包括：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6.2.1任何涉及对方过去、现在或将来的商业计划、规章制度、操作规程、处理手段、财务信息；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6.2.2任何对方的技术措施、技术方案、软件应用及开发，硬件设备的品种、质量、数量、品牌等；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6.2.3任何对方的技术秘密或专有知识、文件 、报告、数据、客户软件、流程图、数据库、发明、知识、贸易秘密。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6.3乙方应根据甲方的要求签署相应的保密协议，保密协议与本条款存在不一致的，以保密协议为准。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36" w:name="_Toc12645_WPSOffice_Level2"/>
      <w:bookmarkStart w:id="637" w:name="_Toc23853_WPSOffice_Level2"/>
      <w:bookmarkStart w:id="638" w:name="_Toc6752_WPSOffice_Level2"/>
      <w:r>
        <w:rPr>
          <w:rFonts w:hint="eastAsia" w:ascii="宋体" w:hAnsi="宋体" w:eastAsia="宋体" w:cs="宋体"/>
          <w:bCs/>
          <w:color w:val="auto"/>
          <w:sz w:val="24"/>
          <w:szCs w:val="24"/>
        </w:rPr>
        <w:t>7. 质量保证</w:t>
      </w:r>
      <w:bookmarkEnd w:id="636"/>
      <w:bookmarkEnd w:id="637"/>
      <w:bookmarkEnd w:id="63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39" w:name="_Toc8450_WPSOffice_Level3"/>
      <w:bookmarkStart w:id="640" w:name="_Toc26729_WPSOffice_Level3"/>
      <w:r>
        <w:rPr>
          <w:rFonts w:hint="eastAsia" w:ascii="宋体" w:hAnsi="宋体" w:eastAsia="宋体" w:cs="宋体"/>
          <w:bCs/>
          <w:color w:val="auto"/>
          <w:sz w:val="24"/>
          <w:szCs w:val="24"/>
        </w:rPr>
        <w:t>7.1货物质量保证</w:t>
      </w:r>
      <w:bookmarkEnd w:id="639"/>
      <w:bookmarkEnd w:id="64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7.1.1乙方必须保证货物是全新、未使用过的，并完全符合强制性的国家技术质量规范和合同规定的质量、规格、性能和技术规范等的要求。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7.1.2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7.1.5 合同条款下货物的质量保证期自货物通过最终验收起算，合同另行规定除外。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41" w:name="_Toc18945_WPSOffice_Level3"/>
      <w:bookmarkStart w:id="642" w:name="_Toc9593_WPSOffice_Level3"/>
      <w:r>
        <w:rPr>
          <w:rFonts w:hint="eastAsia" w:ascii="宋体" w:hAnsi="宋体" w:eastAsia="宋体" w:cs="宋体"/>
          <w:bCs/>
          <w:color w:val="auto"/>
          <w:sz w:val="24"/>
          <w:szCs w:val="24"/>
        </w:rPr>
        <w:t>7.2辅助服务质量保证</w:t>
      </w:r>
      <w:bookmarkEnd w:id="641"/>
      <w:bookmarkEnd w:id="64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7.2.2乙方应保证合同条款下所提供的服务包括培训、安装指导、单机调试、系统联调和试验等，按合同规定方式进行，并保证不存在因乙方工作人员的过失、错误或疏忽而产生的缺陷。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43" w:name="_Toc444_WPSOffice_Level2"/>
      <w:bookmarkStart w:id="644" w:name="_Toc16656_WPSOffice_Level2"/>
      <w:bookmarkStart w:id="645" w:name="_Toc19930_WPSOffice_Level2"/>
      <w:r>
        <w:rPr>
          <w:rFonts w:hint="eastAsia" w:ascii="宋体" w:hAnsi="宋体" w:eastAsia="宋体" w:cs="宋体"/>
          <w:bCs/>
          <w:color w:val="auto"/>
          <w:sz w:val="24"/>
          <w:szCs w:val="24"/>
        </w:rPr>
        <w:t>8.包装要求</w:t>
      </w:r>
      <w:bookmarkEnd w:id="643"/>
      <w:bookmarkEnd w:id="644"/>
      <w:bookmarkEnd w:id="64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8.1 除合同另有约定外，乙方提供的全部货物，均应采用本行业通用的方式进行包装，且该包装应符合国家有关包装的法律、法规的规定。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8.2 包装应适应于远距离运输，并有良好的防潮、防震、防锈和防粗暴装卸等保护措施，以确保货物安全运抵现场。由于包装不善所引起的货物锈蚀、损坏和损失均由乙方承担。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乙方应提供货物运至合同规定的最终目的地所需要的包装，以防止货物在转运中损坏或变质。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8.3 乙方所提供的货物包装均为出厂时原包装。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8.4 乙方所提供货物必须附有质量合格证，装箱清单，主机、附件、各种零部件和消耗品，有清楚的与装箱单相对应的名称和编号。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8.5 货物运输中的运输费用和保险费用均由乙方承担。运输过程中的一切损失、损坏均由乙方负责。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46" w:name="_Toc9360_WPSOffice_Level2"/>
      <w:bookmarkStart w:id="647" w:name="_Toc19342_WPSOffice_Level2"/>
      <w:bookmarkStart w:id="648" w:name="_Toc15918_WPSOffice_Level2"/>
      <w:r>
        <w:rPr>
          <w:rFonts w:hint="eastAsia" w:ascii="宋体" w:hAnsi="宋体" w:eastAsia="宋体" w:cs="宋体"/>
          <w:bCs/>
          <w:color w:val="auto"/>
          <w:sz w:val="24"/>
          <w:szCs w:val="24"/>
        </w:rPr>
        <w:t>9. 价格</w:t>
      </w:r>
      <w:bookmarkEnd w:id="646"/>
      <w:bookmarkEnd w:id="647"/>
      <w:bookmarkEnd w:id="64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9.2 本合同价格为固定价格，包括了乙方履行合同全过程产生的所有成本和费用以及乙方应承担的一切税费。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9.3检验费用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9.3.1 乙方必须负担本条款下属于乙方负责的检验、测试、调试、试运行和验收的所有费用，并负责乙方派往买方组织的检验、测试和验收人员的所有费用。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9.3.2 甲方按合同计划参加在乙方工厂所在地检验、测试和验收的费用全部由乙方负责并已包含在合同总价中。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9.3.3甲方检验人员已到卖方所在地，测试无法依照合同进行， 而引起甲方人员延长逗留时间，所有由此产生的包括甲方人员在内的直接费用及成本由乙方承担。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49" w:name="_Toc29082_WPSOffice_Level2"/>
      <w:bookmarkStart w:id="650" w:name="_Toc21379_WPSOffice_Level2"/>
      <w:bookmarkStart w:id="651" w:name="_Toc13355_WPSOffice_Level2"/>
      <w:r>
        <w:rPr>
          <w:rFonts w:hint="eastAsia" w:ascii="宋体" w:hAnsi="宋体" w:eastAsia="宋体" w:cs="宋体"/>
          <w:bCs/>
          <w:color w:val="auto"/>
          <w:sz w:val="24"/>
          <w:szCs w:val="24"/>
        </w:rPr>
        <w:t>10.交货方式及交货日期</w:t>
      </w:r>
      <w:bookmarkEnd w:id="649"/>
      <w:bookmarkEnd w:id="650"/>
      <w:bookmarkEnd w:id="65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交货方式：现场交货，乙方负责办理运输和保险，将货物运抵现场。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交货日期：所有货物运抵现场并经双方开箱验收合格之日。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52" w:name="_Toc8711_WPSOffice_Level2"/>
      <w:bookmarkStart w:id="653" w:name="_Toc4905_WPSOffice_Level2"/>
      <w:bookmarkStart w:id="654" w:name="_Toc22184_WPSOffice_Level2"/>
      <w:r>
        <w:rPr>
          <w:rFonts w:hint="eastAsia" w:ascii="宋体" w:hAnsi="宋体" w:eastAsia="宋体" w:cs="宋体"/>
          <w:bCs/>
          <w:color w:val="auto"/>
          <w:sz w:val="24"/>
          <w:szCs w:val="24"/>
        </w:rPr>
        <w:t>11.检验和验收</w:t>
      </w:r>
      <w:bookmarkEnd w:id="652"/>
      <w:bookmarkEnd w:id="653"/>
      <w:bookmarkEnd w:id="654"/>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55" w:name="_Toc7309_WPSOffice_Level3"/>
      <w:bookmarkStart w:id="656" w:name="_Toc11588_WPSOffice_Level3"/>
      <w:r>
        <w:rPr>
          <w:rFonts w:hint="eastAsia" w:ascii="宋体" w:hAnsi="宋体" w:eastAsia="宋体" w:cs="宋体"/>
          <w:bCs/>
          <w:color w:val="auto"/>
          <w:sz w:val="24"/>
          <w:szCs w:val="24"/>
        </w:rPr>
        <w:t>11.1开箱验收</w:t>
      </w:r>
      <w:bookmarkEnd w:id="655"/>
      <w:bookmarkEnd w:id="656"/>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11.1.1货物运抵现场后，双方应及时开箱验收，并制作验收记录，以确认与本合同约定的数量、型号等是否一致。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11.1.2 乙方应在交货前对货物的质量、规格、数量等进行详细而全面的检验，并出具证明货物符合合同规定的文件。该文件将作为申请付款单据的一部分，但有关质量、规格、数量的检验不应视为最终检验。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11.1.3 开箱验收中如发现货物的数量、规格与合同约定不符，甲方有权拒收货物，乙方应及时按甲方要求免费对拒收货物采取更换或其他必要的补救措施，直至开箱验收合格，方视为乙方完成交货。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57" w:name="_Toc26974_WPSOffice_Level3"/>
      <w:bookmarkStart w:id="658" w:name="_Toc13911_WPSOffice_Level3"/>
      <w:r>
        <w:rPr>
          <w:rFonts w:hint="eastAsia" w:ascii="宋体" w:hAnsi="宋体" w:eastAsia="宋体" w:cs="宋体"/>
          <w:bCs/>
          <w:color w:val="auto"/>
          <w:sz w:val="24"/>
          <w:szCs w:val="24"/>
        </w:rPr>
        <w:t>11.2  检验验收</w:t>
      </w:r>
      <w:bookmarkEnd w:id="657"/>
      <w:bookmarkEnd w:id="65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11.2.1 交货完成后，乙方应及时组装、调试、试运行，按照合同专用条款规定的试运行完成后，双方及时组织对货物检验验收。合同双方均须派人参加合同要求双方参加的试验、检验。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11.2.2 在具体实施合同规定的检验验收之前，乙方需提前提交相应的测试计划（包括测试程序、测试内容和检验标准、试验时间安排等）供甲方确认。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11.2.3  除需甲方确认的试验验收外，乙方还应对所有检验验收测试的结果、步骤、原始数据等作妥善记录。如甲方要求，乙方应提供这些记录给买方。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11.2.4  检验测试出现全部或部分未达到本合同所约定的技术指标，甲方有权选择下列任一处理方式：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a.重新测试直至合格为止；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b.要求乙方对货物进行免费更换，然后重新测试直至合格为止；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无论选择何种方式，甲方因此而发生的因卖方原因引起的所有费用均由乙方负担。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59" w:name="_Toc5393_WPSOffice_Level3"/>
      <w:bookmarkStart w:id="660" w:name="_Toc1685_WPSOffice_Level3"/>
      <w:r>
        <w:rPr>
          <w:rFonts w:hint="eastAsia" w:ascii="宋体" w:hAnsi="宋体" w:eastAsia="宋体" w:cs="宋体"/>
          <w:bCs/>
          <w:color w:val="auto"/>
          <w:sz w:val="24"/>
          <w:szCs w:val="24"/>
        </w:rPr>
        <w:t>11.3  使用过程检验</w:t>
      </w:r>
      <w:bookmarkEnd w:id="659"/>
      <w:bookmarkEnd w:id="66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11.3.2如果合同双方对乙方提供的上述试验结果报告的解释有分歧，双方须于出现分歧后10天内给对方声明，以陈述己方的观点。声明须附有关证据。分歧应通过协商解决。</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61" w:name="_Toc17387_WPSOffice_Level2"/>
      <w:bookmarkStart w:id="662" w:name="_Toc17827_WPSOffice_Level2"/>
      <w:bookmarkStart w:id="663" w:name="_Toc10883_WPSOffice_Level2"/>
      <w:r>
        <w:rPr>
          <w:rFonts w:hint="eastAsia" w:ascii="宋体" w:hAnsi="宋体" w:eastAsia="宋体" w:cs="宋体"/>
          <w:bCs/>
          <w:color w:val="auto"/>
          <w:sz w:val="24"/>
          <w:szCs w:val="24"/>
        </w:rPr>
        <w:t>12.付款条件</w:t>
      </w:r>
      <w:bookmarkEnd w:id="661"/>
      <w:bookmarkEnd w:id="662"/>
      <w:bookmarkEnd w:id="66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本合同条款下的付款方法和条件在“合同专用条款”中具体规定。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64" w:name="_Toc25610_WPSOffice_Level2"/>
      <w:bookmarkStart w:id="665" w:name="_Toc24025_WPSOffice_Level2"/>
      <w:bookmarkStart w:id="666" w:name="_Toc8681_WPSOffice_Level2"/>
      <w:r>
        <w:rPr>
          <w:rFonts w:hint="eastAsia" w:ascii="宋体" w:hAnsi="宋体" w:eastAsia="宋体" w:cs="宋体"/>
          <w:bCs/>
          <w:color w:val="auto"/>
          <w:sz w:val="24"/>
          <w:szCs w:val="24"/>
        </w:rPr>
        <w:t>13.履约保证金</w:t>
      </w:r>
      <w:bookmarkEnd w:id="664"/>
      <w:bookmarkEnd w:id="665"/>
      <w:bookmarkEnd w:id="666"/>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13.1乙方应在合同签订后，按合同专用条款的约定提交履约保证金。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13.2履约保证金用于补偿甲方因卖方不能履行其合同义务而蒙受的损失。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13.3履约保证金应使用本合同货币，按下述方式之一提交（</w:t>
      </w:r>
      <w:r>
        <w:rPr>
          <w:rFonts w:hint="eastAsia" w:ascii="宋体" w:hAnsi="宋体" w:cs="宋体"/>
          <w:bCs/>
          <w:color w:val="auto"/>
          <w:sz w:val="24"/>
          <w:szCs w:val="24"/>
          <w:lang w:eastAsia="zh-CN"/>
        </w:rPr>
        <w:t>询价</w:t>
      </w:r>
      <w:r>
        <w:rPr>
          <w:rFonts w:hint="eastAsia" w:ascii="宋体" w:hAnsi="宋体" w:eastAsia="宋体" w:cs="宋体"/>
          <w:bCs/>
          <w:color w:val="auto"/>
          <w:sz w:val="24"/>
          <w:szCs w:val="24"/>
        </w:rPr>
        <w:t>文件中另有约定的除外）：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13.3.1甲方可接受的在中华人民共和国注册和营业的银行出具的履约保函；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13.3.2 应当以支票、汇票、本票或者金融机构、担保机构出具的保函等非现金形式提交。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13.4乙方未能按合同规定履行其义务，甲方有权从履约保证金中取得补偿。货物验收合格后，甲方将履约保证金退还乙方或转为质量保证金。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67" w:name="_Toc13321_WPSOffice_Level2"/>
      <w:bookmarkStart w:id="668" w:name="_Toc2215_WPSOffice_Level2"/>
      <w:bookmarkStart w:id="669" w:name="_Toc21607_WPSOffice_Level2"/>
      <w:r>
        <w:rPr>
          <w:rFonts w:hint="eastAsia" w:ascii="宋体" w:hAnsi="宋体" w:eastAsia="宋体" w:cs="宋体"/>
          <w:bCs/>
          <w:color w:val="auto"/>
          <w:sz w:val="24"/>
          <w:szCs w:val="24"/>
        </w:rPr>
        <w:t>14.索赔</w:t>
      </w:r>
      <w:bookmarkEnd w:id="667"/>
      <w:bookmarkEnd w:id="668"/>
      <w:bookmarkEnd w:id="66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14.2在履约保证期和检验期内，乙方对甲方提出的索赔负有责任，乙方应按照甲方同意的下列一种或多种方式解决索赔事宜：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14.2.1在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14.2.2根据货物低劣程度、损坏程度以及甲方所遭受损失的数额，经甲乙双方商定降低货物的价格，或由有资质的中介机构评估，以降低后的价格或评估价格为准。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14.3乙方收到甲方发出的索赔通知之日起5个工作日内未作答复的，甲方可从合同款或履约保证金中扣回索赔金额，如金额不足以补偿索赔金额，乙方应补足差额部分。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70" w:name="_Toc14292_WPSOffice_Level2"/>
      <w:bookmarkStart w:id="671" w:name="_Toc17056_WPSOffice_Level2"/>
      <w:bookmarkStart w:id="672" w:name="_Toc6747_WPSOffice_Level2"/>
      <w:r>
        <w:rPr>
          <w:rFonts w:hint="eastAsia" w:ascii="宋体" w:hAnsi="宋体" w:eastAsia="宋体" w:cs="宋体"/>
          <w:bCs/>
          <w:color w:val="auto"/>
          <w:sz w:val="24"/>
          <w:szCs w:val="24"/>
        </w:rPr>
        <w:t>15.迟延交货</w:t>
      </w:r>
      <w:bookmarkEnd w:id="670"/>
      <w:bookmarkEnd w:id="671"/>
      <w:bookmarkEnd w:id="67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15.1 乙方应按照合同约定的时间交货和提供服务。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15.2 除不可抗力因素外，乙方迟延交货，甲方有权提出违约损失赔偿或解除合同。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15.3在履行合同过程中，乙方遇到不能按时交货和提供服务的情况，应及时以书面形式将不能按时交货的理由、预期延误时间通知甲方。甲方收到乙方通知后，认为其理由正当的，可酌情延长交货时间。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73" w:name="_Toc10642_WPSOffice_Level2"/>
      <w:bookmarkStart w:id="674" w:name="_Toc32293_WPSOffice_Level2"/>
      <w:bookmarkStart w:id="675" w:name="_Toc15350_WPSOffice_Level2"/>
      <w:r>
        <w:rPr>
          <w:rFonts w:hint="eastAsia" w:ascii="宋体" w:hAnsi="宋体" w:eastAsia="宋体" w:cs="宋体"/>
          <w:bCs/>
          <w:color w:val="auto"/>
          <w:sz w:val="24"/>
          <w:szCs w:val="24"/>
        </w:rPr>
        <w:t>16.违约赔偿</w:t>
      </w:r>
      <w:bookmarkEnd w:id="673"/>
      <w:bookmarkEnd w:id="674"/>
      <w:bookmarkEnd w:id="67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除不可抗力因素外，乙方没有按照合同规定的时间交货和提供服务，甲方可要求乙方支付违约金。违约金每日按合同总价款的千分之五计收。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76" w:name="_Toc132_WPSOffice_Level2"/>
      <w:bookmarkStart w:id="677" w:name="_Toc13101_WPSOffice_Level2"/>
      <w:bookmarkStart w:id="678" w:name="_Toc32484_WPSOffice_Level2"/>
      <w:r>
        <w:rPr>
          <w:rFonts w:hint="eastAsia" w:ascii="宋体" w:hAnsi="宋体" w:eastAsia="宋体" w:cs="宋体"/>
          <w:bCs/>
          <w:color w:val="auto"/>
          <w:sz w:val="24"/>
          <w:szCs w:val="24"/>
        </w:rPr>
        <w:t>17.不可抗力</w:t>
      </w:r>
      <w:bookmarkEnd w:id="676"/>
      <w:bookmarkEnd w:id="677"/>
      <w:bookmarkEnd w:id="67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17.1.双方中任何一方遭遇法律规定的不可抗力，致使合同履行受阻时，履行合同的期限应予延长，延长的期限应相当于不可抗力所影响的时间。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17.2受事故影响的一方应在不可抗力的事故发生后以书面形式通知另一方。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17.3不可抗力使合同的某些内容有变更必要的， 双方应通过协商达成进一步履行合同的协议，因不可抗力致使合同不能履行的，合同终止。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79" w:name="_Toc17666_WPSOffice_Level2"/>
      <w:bookmarkStart w:id="680" w:name="_Toc17980_WPSOffice_Level2"/>
      <w:bookmarkStart w:id="681" w:name="_Toc27502_WPSOffice_Level2"/>
      <w:r>
        <w:rPr>
          <w:rFonts w:hint="eastAsia" w:ascii="宋体" w:hAnsi="宋体" w:eastAsia="宋体" w:cs="宋体"/>
          <w:bCs/>
          <w:color w:val="auto"/>
          <w:sz w:val="24"/>
          <w:szCs w:val="24"/>
        </w:rPr>
        <w:t>18.税费</w:t>
      </w:r>
      <w:bookmarkEnd w:id="679"/>
      <w:bookmarkEnd w:id="680"/>
      <w:bookmarkEnd w:id="68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与本合同有关的一切税费均由乙方承担。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82" w:name="_Toc27070_WPSOffice_Level2"/>
      <w:bookmarkStart w:id="683" w:name="_Toc16036_WPSOffice_Level2"/>
      <w:bookmarkStart w:id="684" w:name="_Toc1449_WPSOffice_Level2"/>
      <w:r>
        <w:rPr>
          <w:rFonts w:hint="eastAsia" w:ascii="宋体" w:hAnsi="宋体" w:eastAsia="宋体" w:cs="宋体"/>
          <w:bCs/>
          <w:color w:val="auto"/>
          <w:sz w:val="24"/>
          <w:szCs w:val="24"/>
        </w:rPr>
        <w:t>19.合同争议的解决</w:t>
      </w:r>
      <w:bookmarkEnd w:id="682"/>
      <w:bookmarkEnd w:id="683"/>
      <w:bookmarkEnd w:id="684"/>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19.1甲方和乙方由于本合同的履行而发生任何争议时，双方可先通过协商解决。</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19.2任何一方不愿通过协商或通过协商仍不能解决争议，则双方中任何一方均应向甲方所在地人民法院起诉。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85" w:name="_Toc1645_WPSOffice_Level2"/>
      <w:bookmarkStart w:id="686" w:name="_Toc4114_WPSOffice_Level2"/>
      <w:bookmarkStart w:id="687" w:name="_Toc25678_WPSOffice_Level2"/>
      <w:r>
        <w:rPr>
          <w:rFonts w:hint="eastAsia" w:ascii="宋体" w:hAnsi="宋体" w:eastAsia="宋体" w:cs="宋体"/>
          <w:bCs/>
          <w:color w:val="auto"/>
          <w:sz w:val="24"/>
          <w:szCs w:val="24"/>
        </w:rPr>
        <w:t>20.违约解除合同</w:t>
      </w:r>
      <w:bookmarkEnd w:id="685"/>
      <w:bookmarkEnd w:id="686"/>
      <w:bookmarkEnd w:id="68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20.1出现下列情形之一的，视为乙方违约。甲方可向乙方发出书面通知，部分或全部终止合同，同时保留向乙方索赔的权利。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20.1.1乙方未能在合同规定的限期或甲方同意延长的限期内，提供全部或部分货物的；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20.1.2乙方未能履行合同规定的其它主要义务的；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20.1.3乙方在本合同履行过程中有欺诈行为的。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88" w:name="_Toc4171_WPSOffice_Level2"/>
      <w:bookmarkStart w:id="689" w:name="_Toc3174_WPSOffice_Level2"/>
      <w:bookmarkStart w:id="690" w:name="_Toc26055_WPSOffice_Level2"/>
      <w:r>
        <w:rPr>
          <w:rFonts w:hint="eastAsia" w:ascii="宋体" w:hAnsi="宋体" w:eastAsia="宋体" w:cs="宋体"/>
          <w:bCs/>
          <w:color w:val="auto"/>
          <w:sz w:val="24"/>
          <w:szCs w:val="24"/>
        </w:rPr>
        <w:t>21.破产终止合同</w:t>
      </w:r>
      <w:bookmarkEnd w:id="688"/>
      <w:bookmarkEnd w:id="689"/>
      <w:bookmarkEnd w:id="69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乙方破产而无法完全履行本合同义务时，甲方可以书面方式通知乙方终止合同而不给予乙方补偿。该合同的终止将不损害或不影响甲方已经采取或将要采取任何行动或补救措施的权利。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91" w:name="_Toc6264_WPSOffice_Level2"/>
      <w:bookmarkStart w:id="692" w:name="_Toc12382_WPSOffice_Level2"/>
      <w:bookmarkStart w:id="693" w:name="_Toc17697_WPSOffice_Level2"/>
      <w:r>
        <w:rPr>
          <w:rFonts w:hint="eastAsia" w:ascii="宋体" w:hAnsi="宋体" w:eastAsia="宋体" w:cs="宋体"/>
          <w:bCs/>
          <w:color w:val="auto"/>
          <w:sz w:val="24"/>
          <w:szCs w:val="24"/>
        </w:rPr>
        <w:t>22.转让和分包</w:t>
      </w:r>
      <w:bookmarkEnd w:id="691"/>
      <w:bookmarkEnd w:id="692"/>
      <w:bookmarkEnd w:id="69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22.1采购合同不能转让。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94" w:name="_Toc2646_WPSOffice_Level2"/>
      <w:bookmarkStart w:id="695" w:name="_Toc32240_WPSOffice_Level2"/>
      <w:bookmarkStart w:id="696" w:name="_Toc30393_WPSOffice_Level2"/>
      <w:r>
        <w:rPr>
          <w:rFonts w:hint="eastAsia" w:ascii="宋体" w:hAnsi="宋体" w:eastAsia="宋体" w:cs="宋体"/>
          <w:bCs/>
          <w:color w:val="auto"/>
          <w:sz w:val="24"/>
          <w:szCs w:val="24"/>
        </w:rPr>
        <w:t>23.合同修改</w:t>
      </w:r>
      <w:bookmarkEnd w:id="694"/>
      <w:bookmarkEnd w:id="695"/>
      <w:bookmarkEnd w:id="696"/>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甲方和乙方都不得擅自变更本合同，但合同继续履行将损害国家和社会公共利益的除外。如必须对合同条款进行改动时，当事人双方须共同签署书面文件，做为合同的补充。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697" w:name="_Toc20751_WPSOffice_Level2"/>
      <w:bookmarkStart w:id="698" w:name="_Toc11324_WPSOffice_Level2"/>
      <w:bookmarkStart w:id="699" w:name="_Toc17115_WPSOffice_Level2"/>
      <w:r>
        <w:rPr>
          <w:rFonts w:hint="eastAsia" w:ascii="宋体" w:hAnsi="宋体" w:eastAsia="宋体" w:cs="宋体"/>
          <w:bCs/>
          <w:color w:val="auto"/>
          <w:sz w:val="24"/>
          <w:szCs w:val="24"/>
        </w:rPr>
        <w:t>24.通知</w:t>
      </w:r>
      <w:bookmarkEnd w:id="697"/>
      <w:bookmarkEnd w:id="698"/>
      <w:bookmarkEnd w:id="69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本合同任何一方给另一方的通知，都应以书面形式发送，而另一方也应以书面形式确认并发送到对方明确的地址。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700" w:name="_Toc15147_WPSOffice_Level2"/>
      <w:bookmarkStart w:id="701" w:name="_Toc11022_WPSOffice_Level2"/>
      <w:bookmarkStart w:id="702" w:name="_Toc11594_WPSOffice_Level2"/>
      <w:r>
        <w:rPr>
          <w:rFonts w:hint="eastAsia" w:ascii="宋体" w:hAnsi="宋体" w:eastAsia="宋体" w:cs="宋体"/>
          <w:bCs/>
          <w:color w:val="auto"/>
          <w:sz w:val="24"/>
          <w:szCs w:val="24"/>
        </w:rPr>
        <w:t>25.计量单位</w:t>
      </w:r>
      <w:bookmarkEnd w:id="700"/>
      <w:bookmarkEnd w:id="701"/>
      <w:bookmarkEnd w:id="70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除技术规范中另有规定外，计量单位均使用国家法定计量单位。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auto"/>
          <w:sz w:val="24"/>
          <w:szCs w:val="24"/>
        </w:rPr>
      </w:pPr>
      <w:bookmarkStart w:id="703" w:name="_Toc32417_WPSOffice_Level2"/>
      <w:bookmarkStart w:id="704" w:name="_Toc15506_WPSOffice_Level2"/>
      <w:bookmarkStart w:id="705" w:name="_Toc24346_WPSOffice_Level2"/>
      <w:r>
        <w:rPr>
          <w:rFonts w:hint="eastAsia" w:ascii="宋体" w:hAnsi="宋体" w:eastAsia="宋体" w:cs="宋体"/>
          <w:bCs/>
          <w:color w:val="auto"/>
          <w:sz w:val="24"/>
          <w:szCs w:val="24"/>
        </w:rPr>
        <w:t>26.适用法律</w:t>
      </w:r>
      <w:bookmarkEnd w:id="703"/>
      <w:bookmarkEnd w:id="704"/>
      <w:bookmarkEnd w:id="70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
          <w:color w:val="auto"/>
          <w:sz w:val="24"/>
          <w:szCs w:val="24"/>
        </w:rPr>
      </w:pPr>
      <w:r>
        <w:rPr>
          <w:rFonts w:hint="eastAsia" w:ascii="宋体" w:hAnsi="宋体" w:eastAsia="宋体" w:cs="宋体"/>
          <w:bCs/>
          <w:color w:val="auto"/>
          <w:sz w:val="24"/>
          <w:szCs w:val="24"/>
        </w:rPr>
        <w:t>本合同按照中华人民共和国的相关法律进行解释。</w:t>
      </w:r>
    </w:p>
    <w:sectPr>
      <w:footerReference r:id="rId3" w:type="default"/>
      <w:pgSz w:w="11906" w:h="16838"/>
      <w:pgMar w:top="1564" w:right="1474" w:bottom="1871" w:left="147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FED333"/>
    <w:multiLevelType w:val="singleLevel"/>
    <w:tmpl w:val="14FED333"/>
    <w:lvl w:ilvl="0" w:tentative="0">
      <w:start w:val="1"/>
      <w:numFmt w:val="chineseCounting"/>
      <w:suff w:val="space"/>
      <w:lvlText w:val="第%1部分"/>
      <w:lvlJc w:val="left"/>
      <w:rPr>
        <w:rFonts w:hint="eastAsia"/>
      </w:rPr>
    </w:lvl>
  </w:abstractNum>
  <w:abstractNum w:abstractNumId="1">
    <w:nsid w:val="5EC64F27"/>
    <w:multiLevelType w:val="singleLevel"/>
    <w:tmpl w:val="5EC64F2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B5E16"/>
    <w:rsid w:val="02637B1D"/>
    <w:rsid w:val="02664A99"/>
    <w:rsid w:val="02A9297E"/>
    <w:rsid w:val="03442F30"/>
    <w:rsid w:val="03A34D06"/>
    <w:rsid w:val="04474517"/>
    <w:rsid w:val="04DE17B1"/>
    <w:rsid w:val="05210BC9"/>
    <w:rsid w:val="055D0822"/>
    <w:rsid w:val="056913B5"/>
    <w:rsid w:val="059E4A93"/>
    <w:rsid w:val="05E12013"/>
    <w:rsid w:val="05FD3580"/>
    <w:rsid w:val="0624278B"/>
    <w:rsid w:val="062F24ED"/>
    <w:rsid w:val="06F2641E"/>
    <w:rsid w:val="07642EEF"/>
    <w:rsid w:val="07867AF5"/>
    <w:rsid w:val="0891104C"/>
    <w:rsid w:val="09A066AD"/>
    <w:rsid w:val="0A536242"/>
    <w:rsid w:val="0A801DDE"/>
    <w:rsid w:val="0AED28F4"/>
    <w:rsid w:val="0B2B4C7E"/>
    <w:rsid w:val="0BB54002"/>
    <w:rsid w:val="0C661388"/>
    <w:rsid w:val="0CA87A52"/>
    <w:rsid w:val="0D136637"/>
    <w:rsid w:val="0D256ADD"/>
    <w:rsid w:val="0D616E1A"/>
    <w:rsid w:val="0D711167"/>
    <w:rsid w:val="0DC739FA"/>
    <w:rsid w:val="0E783BEB"/>
    <w:rsid w:val="0E874D29"/>
    <w:rsid w:val="0E930373"/>
    <w:rsid w:val="109055EB"/>
    <w:rsid w:val="10DE48CA"/>
    <w:rsid w:val="11FB2BE7"/>
    <w:rsid w:val="12400F8A"/>
    <w:rsid w:val="1289645E"/>
    <w:rsid w:val="13D2255B"/>
    <w:rsid w:val="14526E5B"/>
    <w:rsid w:val="1532490E"/>
    <w:rsid w:val="158153AF"/>
    <w:rsid w:val="15E94352"/>
    <w:rsid w:val="160A7634"/>
    <w:rsid w:val="16932406"/>
    <w:rsid w:val="17B514B3"/>
    <w:rsid w:val="1802614F"/>
    <w:rsid w:val="181531AE"/>
    <w:rsid w:val="185A675A"/>
    <w:rsid w:val="18C211CC"/>
    <w:rsid w:val="19227628"/>
    <w:rsid w:val="19E10B40"/>
    <w:rsid w:val="1A840CB2"/>
    <w:rsid w:val="1A977682"/>
    <w:rsid w:val="1ACC3E1B"/>
    <w:rsid w:val="1AD11780"/>
    <w:rsid w:val="1B662DBF"/>
    <w:rsid w:val="1C2F5B31"/>
    <w:rsid w:val="1D7542D0"/>
    <w:rsid w:val="1D9A4A78"/>
    <w:rsid w:val="1E2F4669"/>
    <w:rsid w:val="1E662D79"/>
    <w:rsid w:val="1EED3CFC"/>
    <w:rsid w:val="1EF65831"/>
    <w:rsid w:val="1F1D4355"/>
    <w:rsid w:val="20525060"/>
    <w:rsid w:val="207F0C88"/>
    <w:rsid w:val="208E54D5"/>
    <w:rsid w:val="21C422F5"/>
    <w:rsid w:val="2272669E"/>
    <w:rsid w:val="227F4D71"/>
    <w:rsid w:val="2280389A"/>
    <w:rsid w:val="247C2A7C"/>
    <w:rsid w:val="24FD76C4"/>
    <w:rsid w:val="25A60401"/>
    <w:rsid w:val="26806F3F"/>
    <w:rsid w:val="26B0198D"/>
    <w:rsid w:val="278F5CF9"/>
    <w:rsid w:val="28773DCD"/>
    <w:rsid w:val="28ED597C"/>
    <w:rsid w:val="29907531"/>
    <w:rsid w:val="2ADE5E46"/>
    <w:rsid w:val="2B78699C"/>
    <w:rsid w:val="2C2E5CBB"/>
    <w:rsid w:val="2C7D59B3"/>
    <w:rsid w:val="2CC30608"/>
    <w:rsid w:val="2CFF0A52"/>
    <w:rsid w:val="2D3C1E92"/>
    <w:rsid w:val="2F173B14"/>
    <w:rsid w:val="2F7A1819"/>
    <w:rsid w:val="2F7B1CC0"/>
    <w:rsid w:val="2FD74D0A"/>
    <w:rsid w:val="30B46ED7"/>
    <w:rsid w:val="30D84A6D"/>
    <w:rsid w:val="31CD6FAF"/>
    <w:rsid w:val="34184F37"/>
    <w:rsid w:val="342873FA"/>
    <w:rsid w:val="348875DC"/>
    <w:rsid w:val="35061DD1"/>
    <w:rsid w:val="3547162B"/>
    <w:rsid w:val="356B65D3"/>
    <w:rsid w:val="36A14A85"/>
    <w:rsid w:val="381009F4"/>
    <w:rsid w:val="38177AC2"/>
    <w:rsid w:val="38330237"/>
    <w:rsid w:val="39E61C93"/>
    <w:rsid w:val="3AD61226"/>
    <w:rsid w:val="3AF36A8D"/>
    <w:rsid w:val="3AF96301"/>
    <w:rsid w:val="3C0E6A8C"/>
    <w:rsid w:val="3CDA061D"/>
    <w:rsid w:val="3D4C7081"/>
    <w:rsid w:val="3D9F3525"/>
    <w:rsid w:val="3DCC1178"/>
    <w:rsid w:val="3E004C98"/>
    <w:rsid w:val="3E3B0987"/>
    <w:rsid w:val="3E6F1C2A"/>
    <w:rsid w:val="3F000963"/>
    <w:rsid w:val="3FCC1BB2"/>
    <w:rsid w:val="3FFA1B0C"/>
    <w:rsid w:val="40B97554"/>
    <w:rsid w:val="43803F8D"/>
    <w:rsid w:val="44107D9B"/>
    <w:rsid w:val="44427E73"/>
    <w:rsid w:val="44B21139"/>
    <w:rsid w:val="45EE208A"/>
    <w:rsid w:val="460515BC"/>
    <w:rsid w:val="47176167"/>
    <w:rsid w:val="47C462E6"/>
    <w:rsid w:val="47CF0B1D"/>
    <w:rsid w:val="47E23378"/>
    <w:rsid w:val="4AD87F7A"/>
    <w:rsid w:val="4B9F2679"/>
    <w:rsid w:val="4C8D39F2"/>
    <w:rsid w:val="4CB10ACF"/>
    <w:rsid w:val="4CC01E86"/>
    <w:rsid w:val="4D2B7562"/>
    <w:rsid w:val="4DDB03B5"/>
    <w:rsid w:val="4DED4A76"/>
    <w:rsid w:val="4ED72EBD"/>
    <w:rsid w:val="4EE202E0"/>
    <w:rsid w:val="4F5C1D7A"/>
    <w:rsid w:val="4F6B7902"/>
    <w:rsid w:val="51271052"/>
    <w:rsid w:val="5176769E"/>
    <w:rsid w:val="519017FF"/>
    <w:rsid w:val="51B22AB2"/>
    <w:rsid w:val="51FE73D1"/>
    <w:rsid w:val="53534733"/>
    <w:rsid w:val="535B4140"/>
    <w:rsid w:val="53B41740"/>
    <w:rsid w:val="53E9079A"/>
    <w:rsid w:val="54AB36A4"/>
    <w:rsid w:val="5571016F"/>
    <w:rsid w:val="557F61CB"/>
    <w:rsid w:val="55B04C26"/>
    <w:rsid w:val="55F51E57"/>
    <w:rsid w:val="57045299"/>
    <w:rsid w:val="57F27B11"/>
    <w:rsid w:val="587D00AE"/>
    <w:rsid w:val="59361F1D"/>
    <w:rsid w:val="5AA26202"/>
    <w:rsid w:val="5AEF00AC"/>
    <w:rsid w:val="5BFA2163"/>
    <w:rsid w:val="5CC84CFD"/>
    <w:rsid w:val="5D4A3A21"/>
    <w:rsid w:val="5D6408DE"/>
    <w:rsid w:val="5E814705"/>
    <w:rsid w:val="5F8038FF"/>
    <w:rsid w:val="60AE2DC5"/>
    <w:rsid w:val="60F25329"/>
    <w:rsid w:val="61220D1D"/>
    <w:rsid w:val="655B5482"/>
    <w:rsid w:val="661E127D"/>
    <w:rsid w:val="6628294C"/>
    <w:rsid w:val="6658601C"/>
    <w:rsid w:val="666E6D57"/>
    <w:rsid w:val="668C6B1C"/>
    <w:rsid w:val="67466E44"/>
    <w:rsid w:val="698F51B3"/>
    <w:rsid w:val="6AC11213"/>
    <w:rsid w:val="6BB6488D"/>
    <w:rsid w:val="6BC0391C"/>
    <w:rsid w:val="6CB51DAA"/>
    <w:rsid w:val="6CC57E55"/>
    <w:rsid w:val="6D484EC2"/>
    <w:rsid w:val="6DCA6C4D"/>
    <w:rsid w:val="6E672B2B"/>
    <w:rsid w:val="6F443BEB"/>
    <w:rsid w:val="6F7922B4"/>
    <w:rsid w:val="6FB824BF"/>
    <w:rsid w:val="71E64DF1"/>
    <w:rsid w:val="7202096F"/>
    <w:rsid w:val="72F0558E"/>
    <w:rsid w:val="73972F2B"/>
    <w:rsid w:val="74DA3425"/>
    <w:rsid w:val="75053FA4"/>
    <w:rsid w:val="757F7E3A"/>
    <w:rsid w:val="75BE3D92"/>
    <w:rsid w:val="76275612"/>
    <w:rsid w:val="76473B85"/>
    <w:rsid w:val="76FE6E62"/>
    <w:rsid w:val="77233A1A"/>
    <w:rsid w:val="773837DA"/>
    <w:rsid w:val="77864563"/>
    <w:rsid w:val="785724B6"/>
    <w:rsid w:val="789F6743"/>
    <w:rsid w:val="78D63E2B"/>
    <w:rsid w:val="79465555"/>
    <w:rsid w:val="7A3D5E95"/>
    <w:rsid w:val="7C0C5B3E"/>
    <w:rsid w:val="7C355CCF"/>
    <w:rsid w:val="7CE5560B"/>
    <w:rsid w:val="7D9B5E16"/>
    <w:rsid w:val="7E143686"/>
    <w:rsid w:val="7E5A55AC"/>
    <w:rsid w:val="7E7F7D0E"/>
    <w:rsid w:val="7EE73E3D"/>
    <w:rsid w:val="7FBC7F56"/>
    <w:rsid w:val="7FC00A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0"/>
    <w:pPr>
      <w:keepNext/>
      <w:jc w:val="center"/>
      <w:outlineLvl w:val="0"/>
    </w:pPr>
    <w:rPr>
      <w:b/>
      <w:bCs/>
      <w:sz w:val="24"/>
      <w:szCs w:val="20"/>
    </w:rPr>
  </w:style>
  <w:style w:type="paragraph" w:styleId="2">
    <w:name w:val="heading 2"/>
    <w:basedOn w:val="1"/>
    <w:next w:val="1"/>
    <w:link w:val="54"/>
    <w:qFormat/>
    <w:uiPriority w:val="0"/>
    <w:pPr>
      <w:keepNext/>
      <w:keepLines/>
      <w:spacing w:line="360" w:lineRule="auto"/>
      <w:outlineLvl w:val="1"/>
    </w:pPr>
    <w:rPr>
      <w:rFonts w:ascii="Arial" w:hAnsi="Arial"/>
      <w:b/>
      <w:bCs/>
      <w:sz w:val="24"/>
      <w:szCs w:val="32"/>
    </w:rPr>
  </w:style>
  <w:style w:type="paragraph" w:styleId="4">
    <w:name w:val="heading 3"/>
    <w:basedOn w:val="1"/>
    <w:next w:val="1"/>
    <w:link w:val="52"/>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spacing w:line="400" w:lineRule="exact"/>
      <w:ind w:firstLine="420" w:firstLineChars="200"/>
    </w:pPr>
    <w:rPr>
      <w:rFonts w:ascii="Times New Roman" w:hAnsi="Times New Roman" w:eastAsia="宋体" w:cs="Times New Roman"/>
      <w:sz w:val="24"/>
      <w:szCs w:val="24"/>
    </w:rPr>
  </w:style>
  <w:style w:type="paragraph" w:styleId="7">
    <w:name w:val="annotation text"/>
    <w:basedOn w:val="1"/>
    <w:qFormat/>
    <w:uiPriority w:val="0"/>
    <w:pPr>
      <w:jc w:val="left"/>
    </w:pPr>
  </w:style>
  <w:style w:type="paragraph" w:styleId="8">
    <w:name w:val="Body Text"/>
    <w:basedOn w:val="1"/>
    <w:next w:val="9"/>
    <w:qFormat/>
    <w:uiPriority w:val="0"/>
    <w:rPr>
      <w:rFonts w:eastAsia="黑体"/>
      <w:sz w:val="36"/>
      <w:szCs w:val="24"/>
    </w:rPr>
  </w:style>
  <w:style w:type="paragraph" w:customStyle="1" w:styleId="9">
    <w:name w:val="一级条标题"/>
    <w:basedOn w:val="10"/>
    <w:next w:val="11"/>
    <w:qFormat/>
    <w:uiPriority w:val="99"/>
    <w:pPr>
      <w:spacing w:line="240" w:lineRule="auto"/>
      <w:ind w:left="420"/>
      <w:outlineLvl w:val="2"/>
    </w:pPr>
  </w:style>
  <w:style w:type="paragraph" w:customStyle="1" w:styleId="10">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11">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2">
    <w:name w:val="List 2"/>
    <w:basedOn w:val="1"/>
    <w:qFormat/>
    <w:uiPriority w:val="0"/>
    <w:pPr>
      <w:numPr>
        <w:ilvl w:val="1"/>
        <w:numId w:val="0"/>
      </w:numPr>
      <w:spacing w:line="360" w:lineRule="auto"/>
      <w:ind w:left="454"/>
    </w:pPr>
    <w:rPr>
      <w:sz w:val="24"/>
      <w:szCs w:val="24"/>
    </w:r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cs="Courier New"/>
      <w:szCs w:val="21"/>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style>
  <w:style w:type="paragraph" w:styleId="18">
    <w:name w:val="toc 2"/>
    <w:basedOn w:val="1"/>
    <w:next w:val="1"/>
    <w:qFormat/>
    <w:uiPriority w:val="0"/>
    <w:pPr>
      <w:ind w:left="420" w:leftChars="200"/>
    </w:p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20">
    <w:name w:val="Normal (Web)"/>
    <w:basedOn w:val="1"/>
    <w:qFormat/>
    <w:uiPriority w:val="0"/>
    <w:pPr>
      <w:spacing w:before="100" w:beforeAutospacing="1" w:after="100" w:afterAutospacing="1"/>
      <w:ind w:left="0" w:right="0"/>
      <w:jc w:val="left"/>
    </w:pPr>
    <w:rPr>
      <w:kern w:val="0"/>
      <w:sz w:val="24"/>
      <w:lang w:val="en-US" w:eastAsia="zh-CN"/>
    </w:rPr>
  </w:style>
  <w:style w:type="paragraph" w:styleId="21">
    <w:name w:val="Title"/>
    <w:basedOn w:val="1"/>
    <w:next w:val="1"/>
    <w:qFormat/>
    <w:uiPriority w:val="0"/>
    <w:pPr>
      <w:spacing w:before="240" w:after="60"/>
      <w:jc w:val="center"/>
      <w:outlineLvl w:val="0"/>
    </w:pPr>
    <w:rPr>
      <w:rFonts w:ascii="Cambria" w:hAnsi="Cambria"/>
      <w:b/>
      <w:bCs/>
      <w:sz w:val="36"/>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style>
  <w:style w:type="character" w:styleId="26">
    <w:name w:val="page number"/>
    <w:basedOn w:val="24"/>
    <w:qFormat/>
    <w:uiPriority w:val="0"/>
  </w:style>
  <w:style w:type="character" w:styleId="27">
    <w:name w:val="FollowedHyperlink"/>
    <w:basedOn w:val="24"/>
    <w:qFormat/>
    <w:uiPriority w:val="0"/>
    <w:rPr>
      <w:rFonts w:hint="eastAsia" w:ascii="微软雅黑" w:hAnsi="微软雅黑" w:eastAsia="微软雅黑" w:cs="微软雅黑"/>
      <w:color w:val="02396F"/>
      <w:u w:val="single"/>
    </w:rPr>
  </w:style>
  <w:style w:type="character" w:styleId="28">
    <w:name w:val="Emphasis"/>
    <w:basedOn w:val="24"/>
    <w:qFormat/>
    <w:uiPriority w:val="0"/>
  </w:style>
  <w:style w:type="character" w:styleId="29">
    <w:name w:val="HTML Definition"/>
    <w:basedOn w:val="24"/>
    <w:uiPriority w:val="0"/>
  </w:style>
  <w:style w:type="character" w:styleId="30">
    <w:name w:val="HTML Typewriter"/>
    <w:basedOn w:val="24"/>
    <w:uiPriority w:val="0"/>
    <w:rPr>
      <w:rFonts w:hint="default" w:ascii="monospace" w:hAnsi="monospace" w:eastAsia="monospace" w:cs="monospace"/>
      <w:sz w:val="20"/>
    </w:rPr>
  </w:style>
  <w:style w:type="character" w:styleId="31">
    <w:name w:val="HTML Acronym"/>
    <w:basedOn w:val="24"/>
    <w:uiPriority w:val="0"/>
  </w:style>
  <w:style w:type="character" w:styleId="32">
    <w:name w:val="HTML Variable"/>
    <w:basedOn w:val="24"/>
    <w:uiPriority w:val="0"/>
  </w:style>
  <w:style w:type="character" w:styleId="33">
    <w:name w:val="Hyperlink"/>
    <w:basedOn w:val="24"/>
    <w:qFormat/>
    <w:uiPriority w:val="0"/>
    <w:rPr>
      <w:rFonts w:ascii="微软雅黑" w:hAnsi="微软雅黑" w:eastAsia="微软雅黑" w:cs="微软雅黑"/>
      <w:color w:val="02396F"/>
      <w:u w:val="single"/>
    </w:rPr>
  </w:style>
  <w:style w:type="character" w:styleId="34">
    <w:name w:val="HTML Code"/>
    <w:basedOn w:val="24"/>
    <w:uiPriority w:val="0"/>
    <w:rPr>
      <w:rFonts w:ascii="monospace" w:hAnsi="monospace" w:eastAsia="monospace" w:cs="monospace"/>
      <w:sz w:val="20"/>
    </w:rPr>
  </w:style>
  <w:style w:type="character" w:styleId="35">
    <w:name w:val="HTML Cite"/>
    <w:basedOn w:val="24"/>
    <w:uiPriority w:val="0"/>
  </w:style>
  <w:style w:type="character" w:styleId="36">
    <w:name w:val="HTML Keyboard"/>
    <w:basedOn w:val="24"/>
    <w:uiPriority w:val="0"/>
    <w:rPr>
      <w:rFonts w:hint="default" w:ascii="monospace" w:hAnsi="monospace" w:eastAsia="monospace" w:cs="monospace"/>
      <w:sz w:val="20"/>
    </w:rPr>
  </w:style>
  <w:style w:type="character" w:styleId="37">
    <w:name w:val="HTML Sample"/>
    <w:basedOn w:val="24"/>
    <w:uiPriority w:val="0"/>
    <w:rPr>
      <w:rFonts w:hint="default" w:ascii="monospace" w:hAnsi="monospace" w:eastAsia="monospace" w:cs="monospace"/>
    </w:rPr>
  </w:style>
  <w:style w:type="paragraph" w:customStyle="1" w:styleId="38">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WPSOffice手动目录 1"/>
    <w:qFormat/>
    <w:uiPriority w:val="0"/>
    <w:pPr>
      <w:ind w:leftChars="0"/>
    </w:pPr>
    <w:rPr>
      <w:rFonts w:ascii="Times New Roman" w:hAnsi="Times New Roman" w:eastAsia="宋体" w:cs="Times New Roman"/>
      <w:sz w:val="20"/>
      <w:szCs w:val="20"/>
      <w:lang w:val="en-US" w:eastAsia="zh-CN" w:bidi="ar-SA"/>
    </w:rPr>
  </w:style>
  <w:style w:type="paragraph" w:customStyle="1" w:styleId="40">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41">
    <w:name w:val="p0"/>
    <w:basedOn w:val="1"/>
    <w:qFormat/>
    <w:uiPriority w:val="0"/>
    <w:pPr>
      <w:widowControl/>
    </w:pPr>
    <w:rPr>
      <w:kern w:val="0"/>
      <w:szCs w:val="21"/>
    </w:rPr>
  </w:style>
  <w:style w:type="paragraph" w:customStyle="1" w:styleId="42">
    <w:name w:val="文章正文"/>
    <w:basedOn w:val="1"/>
    <w:qFormat/>
    <w:uiPriority w:val="0"/>
    <w:pPr>
      <w:adjustRightInd w:val="0"/>
      <w:snapToGrid w:val="0"/>
      <w:spacing w:beforeLines="100" w:line="360" w:lineRule="auto"/>
      <w:ind w:firstLine="200" w:firstLineChars="200"/>
    </w:pPr>
    <w:rPr>
      <w:sz w:val="24"/>
      <w:szCs w:val="22"/>
    </w:rPr>
  </w:style>
  <w:style w:type="paragraph" w:customStyle="1" w:styleId="43">
    <w:name w:val="WPSOffice手动目录 2"/>
    <w:qFormat/>
    <w:uiPriority w:val="0"/>
    <w:pPr>
      <w:ind w:leftChars="200"/>
    </w:pPr>
    <w:rPr>
      <w:rFonts w:ascii="Times New Roman" w:hAnsi="Times New Roman" w:eastAsia="宋体" w:cs="Times New Roman"/>
      <w:sz w:val="20"/>
      <w:szCs w:val="20"/>
      <w:lang w:val="en-US" w:eastAsia="zh-CN" w:bidi="ar-SA"/>
    </w:rPr>
  </w:style>
  <w:style w:type="paragraph" w:customStyle="1" w:styleId="44">
    <w:name w:val="WPSOffice手动目录 3"/>
    <w:qFormat/>
    <w:uiPriority w:val="0"/>
    <w:pPr>
      <w:ind w:leftChars="400"/>
    </w:pPr>
    <w:rPr>
      <w:rFonts w:ascii="Times New Roman" w:hAnsi="Times New Roman" w:eastAsia="宋体" w:cs="Times New Roman"/>
      <w:sz w:val="20"/>
      <w:szCs w:val="20"/>
      <w:lang w:val="en-US" w:eastAsia="zh-CN" w:bidi="ar-SA"/>
    </w:rPr>
  </w:style>
  <w:style w:type="character" w:customStyle="1" w:styleId="45">
    <w:name w:val="gjfg"/>
    <w:basedOn w:val="24"/>
    <w:qFormat/>
    <w:uiPriority w:val="0"/>
  </w:style>
  <w:style w:type="character" w:customStyle="1" w:styleId="46">
    <w:name w:val="displayarti"/>
    <w:basedOn w:val="24"/>
    <w:qFormat/>
    <w:uiPriority w:val="0"/>
    <w:rPr>
      <w:color w:val="FFFFFF"/>
      <w:shd w:val="clear" w:color="010000" w:fill="A00000"/>
    </w:rPr>
  </w:style>
  <w:style w:type="character" w:customStyle="1" w:styleId="47">
    <w:name w:val="redfilefwwh"/>
    <w:basedOn w:val="24"/>
    <w:qFormat/>
    <w:uiPriority w:val="0"/>
    <w:rPr>
      <w:color w:val="BA2636"/>
      <w:sz w:val="14"/>
      <w:szCs w:val="14"/>
    </w:rPr>
  </w:style>
  <w:style w:type="character" w:customStyle="1" w:styleId="48">
    <w:name w:val="redfilenumber"/>
    <w:basedOn w:val="24"/>
    <w:qFormat/>
    <w:uiPriority w:val="0"/>
    <w:rPr>
      <w:color w:val="BA2636"/>
      <w:sz w:val="14"/>
      <w:szCs w:val="14"/>
    </w:rPr>
  </w:style>
  <w:style w:type="character" w:customStyle="1" w:styleId="49">
    <w:name w:val="qxdate"/>
    <w:basedOn w:val="24"/>
    <w:qFormat/>
    <w:uiPriority w:val="0"/>
    <w:rPr>
      <w:color w:val="333333"/>
      <w:sz w:val="14"/>
      <w:szCs w:val="14"/>
    </w:rPr>
  </w:style>
  <w:style w:type="character" w:customStyle="1" w:styleId="50">
    <w:name w:val="cfdate"/>
    <w:basedOn w:val="24"/>
    <w:qFormat/>
    <w:uiPriority w:val="0"/>
    <w:rPr>
      <w:color w:val="333333"/>
      <w:sz w:val="14"/>
      <w:szCs w:val="14"/>
    </w:rPr>
  </w:style>
  <w:style w:type="character" w:customStyle="1" w:styleId="51">
    <w:name w:val="标题 1 Char"/>
    <w:link w:val="3"/>
    <w:qFormat/>
    <w:uiPriority w:val="0"/>
    <w:rPr>
      <w:b/>
      <w:bCs/>
      <w:sz w:val="24"/>
      <w:szCs w:val="20"/>
    </w:rPr>
  </w:style>
  <w:style w:type="character" w:customStyle="1" w:styleId="52">
    <w:name w:val="标题 3 Char"/>
    <w:link w:val="4"/>
    <w:qFormat/>
    <w:uiPriority w:val="0"/>
    <w:rPr>
      <w:b/>
      <w:bCs/>
      <w:sz w:val="32"/>
      <w:szCs w:val="32"/>
    </w:rPr>
  </w:style>
  <w:style w:type="paragraph" w:customStyle="1" w:styleId="53">
    <w:name w:val="List Paragraph"/>
    <w:basedOn w:val="1"/>
    <w:qFormat/>
    <w:uiPriority w:val="34"/>
    <w:pPr>
      <w:ind w:firstLine="420" w:firstLineChars="200"/>
    </w:pPr>
    <w:rPr>
      <w:rFonts w:ascii="Calibri" w:hAnsi="Calibri"/>
      <w:szCs w:val="22"/>
    </w:rPr>
  </w:style>
  <w:style w:type="character" w:customStyle="1" w:styleId="54">
    <w:name w:val="标题 2 字符"/>
    <w:basedOn w:val="24"/>
    <w:link w:val="2"/>
    <w:qFormat/>
    <w:uiPriority w:val="9"/>
    <w:rPr>
      <w:rFonts w:ascii="Arial" w:hAnsi="Arial"/>
      <w:b/>
      <w:bCs/>
      <w:sz w:val="24"/>
      <w:szCs w:val="32"/>
    </w:rPr>
  </w:style>
  <w:style w:type="character" w:customStyle="1" w:styleId="55">
    <w:name w:val="font01"/>
    <w:basedOn w:val="24"/>
    <w:qFormat/>
    <w:uiPriority w:val="0"/>
    <w:rPr>
      <w:rFonts w:hint="eastAsia" w:ascii="宋体" w:hAnsi="宋体" w:eastAsia="宋体" w:cs="宋体"/>
      <w:color w:val="000000"/>
      <w:sz w:val="22"/>
      <w:szCs w:val="22"/>
      <w:u w:val="none"/>
    </w:rPr>
  </w:style>
  <w:style w:type="character" w:customStyle="1" w:styleId="56">
    <w:name w:val="font21"/>
    <w:basedOn w:val="24"/>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2020-04-01T00:51:00Z</dcterms:created>
  <dc:creator>Administrator</dc:creator>
  <cp:lastModifiedBy>￡ 空心、°</cp:lastModifiedBy>
  <cp:lastPrinted>2020-12-30T07:36:00Z</cp:lastPrinted>
  <dcterms:modified xsi:type="dcterms:W3CDTF">2022-03-22T10:08:44Z</dcterms:modified>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946810B3AFC84480A9BFEAD5A8C85776</vt:lpwstr>
  </property>
</Properties>
</file>