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hint="eastAsia" w:ascii="宋体" w:hAnsi="宋体"/>
          <w:b/>
          <w:sz w:val="48"/>
          <w:szCs w:val="48"/>
        </w:rPr>
      </w:pPr>
      <w:r>
        <w:rPr>
          <w:rFonts w:hint="eastAsia" w:ascii="宋体" w:hAnsi="宋体"/>
          <w:b/>
          <w:sz w:val="48"/>
          <w:szCs w:val="48"/>
        </w:rPr>
        <w:t xml:space="preserve"> </w:t>
      </w:r>
    </w:p>
    <w:p>
      <w:pPr>
        <w:adjustRightInd w:val="0"/>
        <w:spacing w:line="360" w:lineRule="auto"/>
        <w:jc w:val="center"/>
        <w:textAlignment w:val="baseline"/>
        <w:rPr>
          <w:rFonts w:ascii="宋体" w:hAnsi="宋体"/>
          <w:b/>
          <w:sz w:val="48"/>
          <w:szCs w:val="48"/>
        </w:rPr>
      </w:pPr>
    </w:p>
    <w:p>
      <w:pPr>
        <w:adjustRightInd w:val="0"/>
        <w:spacing w:line="360" w:lineRule="auto"/>
        <w:jc w:val="center"/>
        <w:textAlignment w:val="baseline"/>
        <w:rPr>
          <w:rFonts w:ascii="宋体" w:hAnsi="宋体"/>
          <w:sz w:val="48"/>
          <w:szCs w:val="48"/>
        </w:rPr>
      </w:pPr>
    </w:p>
    <w:p>
      <w:pPr>
        <w:adjustRightInd w:val="0"/>
        <w:spacing w:line="360" w:lineRule="auto"/>
        <w:jc w:val="center"/>
        <w:textAlignment w:val="baseline"/>
        <w:rPr>
          <w:rFonts w:ascii="宋体" w:hAnsi="宋体"/>
          <w:sz w:val="32"/>
        </w:rPr>
      </w:pPr>
    </w:p>
    <w:p>
      <w:pPr>
        <w:pStyle w:val="14"/>
        <w:spacing w:before="0" w:after="0" w:line="360" w:lineRule="auto"/>
        <w:rPr>
          <w:rFonts w:ascii="宋体" w:hAnsi="宋体"/>
          <w:sz w:val="96"/>
        </w:rPr>
      </w:pPr>
      <w:bookmarkStart w:id="0" w:name="_Toc449568588"/>
      <w:bookmarkStart w:id="1" w:name="_Toc17340"/>
      <w:r>
        <w:rPr>
          <w:rFonts w:hint="eastAsia" w:ascii="宋体" w:hAnsi="宋体"/>
          <w:sz w:val="96"/>
        </w:rPr>
        <w:t>竞争性磋商文件</w:t>
      </w:r>
      <w:bookmarkEnd w:id="0"/>
      <w:bookmarkEnd w:id="1"/>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spacing w:line="360" w:lineRule="auto"/>
        <w:ind w:firstLine="964" w:firstLineChars="300"/>
        <w:jc w:val="left"/>
        <w:rPr>
          <w:rFonts w:hint="eastAsia" w:ascii="宋体" w:hAnsi="宋体" w:cs="Arial"/>
          <w:b/>
          <w:kern w:val="0"/>
          <w:sz w:val="32"/>
          <w:szCs w:val="32"/>
        </w:rPr>
      </w:pPr>
      <w:r>
        <w:rPr>
          <w:rFonts w:hint="eastAsia" w:ascii="宋体" w:hAnsi="宋体" w:cs="Arial"/>
          <w:b/>
          <w:kern w:val="0"/>
          <w:sz w:val="32"/>
          <w:szCs w:val="32"/>
        </w:rPr>
        <w:t>采购项目名称：海东市平安区沙沟乡农村饮水安全</w:t>
      </w:r>
    </w:p>
    <w:p>
      <w:pPr>
        <w:spacing w:line="360" w:lineRule="auto"/>
        <w:ind w:firstLine="3213" w:firstLineChars="1000"/>
        <w:jc w:val="left"/>
        <w:rPr>
          <w:rFonts w:hint="eastAsia" w:ascii="宋体" w:hAnsi="宋体" w:eastAsia="宋体" w:cs="Arial"/>
          <w:b/>
          <w:color w:val="000000"/>
          <w:kern w:val="0"/>
          <w:sz w:val="32"/>
          <w:szCs w:val="32"/>
          <w:lang w:eastAsia="zh-CN"/>
        </w:rPr>
      </w:pPr>
      <w:r>
        <w:rPr>
          <w:rFonts w:hint="eastAsia" w:ascii="宋体" w:hAnsi="宋体" w:cs="Arial"/>
          <w:b/>
          <w:kern w:val="0"/>
          <w:sz w:val="32"/>
          <w:szCs w:val="32"/>
        </w:rPr>
        <w:t>及水质提升工程</w:t>
      </w:r>
    </w:p>
    <w:p>
      <w:pPr>
        <w:spacing w:line="360" w:lineRule="auto"/>
        <w:ind w:firstLine="964" w:firstLineChars="300"/>
        <w:rPr>
          <w:rFonts w:hint="default" w:ascii="宋体" w:hAnsi="宋体" w:eastAsia="宋体" w:cs="Arial"/>
          <w:b/>
          <w:color w:val="000000"/>
          <w:kern w:val="0"/>
          <w:sz w:val="32"/>
          <w:szCs w:val="32"/>
          <w:lang w:val="en-US" w:eastAsia="zh-CN"/>
        </w:rPr>
      </w:pPr>
      <w:r>
        <w:rPr>
          <w:rFonts w:hint="eastAsia" w:ascii="宋体" w:hAnsi="宋体" w:cs="Arial"/>
          <w:b/>
          <w:color w:val="000000"/>
          <w:kern w:val="0"/>
          <w:sz w:val="32"/>
          <w:szCs w:val="32"/>
        </w:rPr>
        <w:t>采购项目编号：</w:t>
      </w:r>
      <w:r>
        <w:rPr>
          <w:rFonts w:hint="eastAsia" w:ascii="宋体" w:hAnsi="宋体" w:cs="Arial"/>
          <w:b/>
          <w:color w:val="000000"/>
          <w:kern w:val="0"/>
          <w:sz w:val="32"/>
          <w:szCs w:val="32"/>
          <w:lang w:eastAsia="zh-CN"/>
        </w:rPr>
        <w:t>青海东煌竞磋（服务）2020-001</w:t>
      </w:r>
    </w:p>
    <w:p>
      <w:pPr>
        <w:widowControl/>
        <w:adjustRightInd w:val="0"/>
        <w:snapToGrid w:val="0"/>
        <w:spacing w:line="360" w:lineRule="auto"/>
        <w:ind w:firstLine="964" w:firstLineChars="300"/>
        <w:jc w:val="left"/>
        <w:textAlignment w:val="baseline"/>
        <w:rPr>
          <w:rFonts w:hint="eastAsia" w:ascii="宋体" w:hAnsi="宋体" w:eastAsia="宋体" w:cs="Arial"/>
          <w:b/>
          <w:color w:val="000000"/>
          <w:kern w:val="0"/>
          <w:sz w:val="32"/>
          <w:szCs w:val="32"/>
          <w:lang w:val="en-US" w:eastAsia="zh-CN"/>
        </w:rPr>
      </w:pPr>
      <w:r>
        <w:rPr>
          <w:rFonts w:hint="eastAsia" w:ascii="宋体" w:hAnsi="宋体"/>
          <w:b/>
          <w:bCs/>
          <w:color w:val="000000"/>
          <w:sz w:val="32"/>
          <w:szCs w:val="32"/>
          <w:lang w:eastAsia="zh-CN"/>
        </w:rPr>
        <w:t>采</w:t>
      </w:r>
      <w:r>
        <w:rPr>
          <w:rFonts w:hint="eastAsia" w:ascii="宋体" w:hAnsi="宋体"/>
          <w:b/>
          <w:bCs/>
          <w:color w:val="000000"/>
          <w:sz w:val="32"/>
          <w:szCs w:val="32"/>
          <w:lang w:val="en-US" w:eastAsia="zh-CN"/>
        </w:rPr>
        <w:t xml:space="preserve"> </w:t>
      </w:r>
      <w:r>
        <w:rPr>
          <w:rFonts w:hint="eastAsia" w:ascii="宋体" w:hAnsi="宋体"/>
          <w:b/>
          <w:bCs/>
          <w:color w:val="000000"/>
          <w:sz w:val="32"/>
          <w:szCs w:val="32"/>
          <w:lang w:eastAsia="zh-CN"/>
        </w:rPr>
        <w:t>购</w:t>
      </w:r>
      <w:r>
        <w:rPr>
          <w:rFonts w:hint="eastAsia" w:ascii="宋体" w:hAnsi="宋体"/>
          <w:b/>
          <w:bCs/>
          <w:color w:val="000000"/>
          <w:sz w:val="32"/>
          <w:szCs w:val="32"/>
        </w:rPr>
        <w:t xml:space="preserve"> 单 位</w:t>
      </w:r>
      <w:r>
        <w:rPr>
          <w:rFonts w:hint="eastAsia" w:ascii="宋体" w:hAnsi="宋体"/>
          <w:color w:val="000000"/>
          <w:sz w:val="32"/>
          <w:szCs w:val="32"/>
        </w:rPr>
        <w:t>：</w:t>
      </w:r>
      <w:r>
        <w:rPr>
          <w:rFonts w:hint="eastAsia" w:ascii="宋体" w:hAnsi="宋体" w:cs="Arial"/>
          <w:b/>
          <w:color w:val="000000"/>
          <w:kern w:val="0"/>
          <w:sz w:val="32"/>
          <w:szCs w:val="32"/>
          <w:lang w:eastAsia="zh-CN"/>
        </w:rPr>
        <w:t>海东市平安区水利工程技术管理办公室</w:t>
      </w:r>
    </w:p>
    <w:p>
      <w:pPr>
        <w:widowControl/>
        <w:adjustRightInd w:val="0"/>
        <w:snapToGrid w:val="0"/>
        <w:spacing w:line="360" w:lineRule="auto"/>
        <w:ind w:firstLine="964" w:firstLineChars="300"/>
        <w:jc w:val="left"/>
        <w:textAlignment w:val="baseline"/>
        <w:rPr>
          <w:rFonts w:hint="eastAsia" w:ascii="宋体" w:hAnsi="宋体" w:eastAsia="宋体"/>
          <w:b/>
          <w:bCs/>
          <w:color w:val="000000"/>
          <w:sz w:val="32"/>
          <w:szCs w:val="32"/>
          <w:lang w:val="en-US" w:eastAsia="zh-CN"/>
        </w:rPr>
      </w:pPr>
      <w:r>
        <w:rPr>
          <w:rFonts w:ascii="宋体" w:hAnsi="宋体"/>
          <w:b/>
          <w:bCs/>
          <w:color w:val="000000"/>
          <w:sz w:val="32"/>
          <w:szCs w:val="32"/>
        </w:rPr>
        <w:t>采购代理机构</w:t>
      </w:r>
      <w:r>
        <w:rPr>
          <w:rFonts w:hint="eastAsia" w:ascii="宋体" w:hAnsi="宋体"/>
          <w:b/>
          <w:bCs/>
          <w:color w:val="000000"/>
          <w:sz w:val="32"/>
          <w:szCs w:val="32"/>
        </w:rPr>
        <w:t>：</w:t>
      </w:r>
      <w:r>
        <w:rPr>
          <w:rFonts w:hint="eastAsia" w:ascii="宋体" w:hAnsi="宋体"/>
          <w:b/>
          <w:bCs/>
          <w:color w:val="000000"/>
          <w:sz w:val="32"/>
          <w:szCs w:val="32"/>
          <w:lang w:eastAsia="zh-CN"/>
        </w:rPr>
        <w:t>青海东煌工程咨询招标代理有限公司</w:t>
      </w:r>
    </w:p>
    <w:p>
      <w:pPr>
        <w:widowControl/>
        <w:adjustRightInd w:val="0"/>
        <w:snapToGrid w:val="0"/>
        <w:spacing w:line="360" w:lineRule="auto"/>
        <w:ind w:left="2681" w:leftChars="194" w:hanging="2274" w:hangingChars="708"/>
        <w:jc w:val="left"/>
        <w:textAlignment w:val="baseline"/>
        <w:rPr>
          <w:rFonts w:ascii="宋体" w:hAnsi="宋体"/>
          <w:b/>
          <w:bCs/>
          <w:color w:val="000000"/>
          <w:sz w:val="32"/>
          <w:szCs w:val="32"/>
        </w:rPr>
      </w:pPr>
    </w:p>
    <w:p>
      <w:pPr>
        <w:adjustRightInd w:val="0"/>
        <w:spacing w:line="360" w:lineRule="auto"/>
        <w:jc w:val="center"/>
        <w:textAlignment w:val="baseline"/>
        <w:rPr>
          <w:rFonts w:hint="eastAsia" w:ascii="宋体" w:hAnsi="宋体"/>
          <w:b/>
          <w:bCs/>
          <w:color w:val="000000"/>
          <w:sz w:val="32"/>
          <w:szCs w:val="32"/>
          <w:lang w:val="en-US" w:eastAsia="zh-CN"/>
        </w:rPr>
      </w:pPr>
    </w:p>
    <w:p>
      <w:pPr>
        <w:adjustRightInd w:val="0"/>
        <w:spacing w:line="360" w:lineRule="auto"/>
        <w:jc w:val="center"/>
        <w:textAlignment w:val="baseline"/>
        <w:rPr>
          <w:rFonts w:ascii="宋体" w:hAnsi="宋体"/>
          <w:b/>
          <w:bCs/>
          <w:color w:val="000000"/>
          <w:sz w:val="32"/>
          <w:szCs w:val="32"/>
        </w:rPr>
      </w:pPr>
      <w:r>
        <w:rPr>
          <w:rFonts w:hint="eastAsia" w:ascii="宋体" w:hAnsi="宋体"/>
          <w:b/>
          <w:bCs/>
          <w:color w:val="000000"/>
          <w:sz w:val="32"/>
          <w:szCs w:val="32"/>
          <w:lang w:val="en-US" w:eastAsia="zh-CN"/>
        </w:rPr>
        <w:t>2020</w:t>
      </w:r>
      <w:r>
        <w:rPr>
          <w:rFonts w:hint="eastAsia" w:ascii="宋体" w:hAnsi="宋体"/>
          <w:b/>
          <w:bCs/>
          <w:color w:val="000000"/>
          <w:sz w:val="32"/>
          <w:szCs w:val="32"/>
        </w:rPr>
        <w:t>年</w:t>
      </w:r>
      <w:r>
        <w:rPr>
          <w:rFonts w:hint="eastAsia" w:ascii="宋体" w:hAnsi="宋体"/>
          <w:b/>
          <w:bCs/>
          <w:color w:val="000000"/>
          <w:sz w:val="32"/>
          <w:szCs w:val="32"/>
          <w:lang w:val="en-US" w:eastAsia="zh-CN"/>
        </w:rPr>
        <w:t>04</w:t>
      </w:r>
      <w:r>
        <w:rPr>
          <w:rFonts w:hint="eastAsia" w:ascii="宋体" w:hAnsi="宋体"/>
          <w:b/>
          <w:bCs/>
          <w:color w:val="000000"/>
          <w:sz w:val="32"/>
          <w:szCs w:val="32"/>
        </w:rPr>
        <w:t>月</w:t>
      </w:r>
    </w:p>
    <w:p>
      <w:pPr>
        <w:pStyle w:val="11"/>
        <w:spacing w:before="0" w:after="0" w:line="360" w:lineRule="auto"/>
        <w:jc w:val="both"/>
        <w:outlineLvl w:val="2"/>
        <w:rPr>
          <w:rFonts w:hint="eastAsia" w:ascii="宋体" w:hAnsi="宋体"/>
          <w:lang w:val="en-US" w:eastAsia="zh-CN"/>
        </w:rPr>
      </w:pPr>
      <w:r>
        <w:rPr>
          <w:rFonts w:ascii="宋体" w:hAnsi="宋体"/>
        </w:rPr>
        <w:br w:type="page"/>
      </w:r>
      <w:bookmarkStart w:id="2" w:name="_Toc444715732"/>
      <w:bookmarkStart w:id="3" w:name="_Toc25237_WPSOffice_Level1"/>
      <w:bookmarkStart w:id="4" w:name="_Toc535421955"/>
      <w:r>
        <w:rPr>
          <w:rFonts w:hint="eastAsia" w:ascii="宋体" w:hAnsi="宋体"/>
          <w:lang w:val="en-US" w:eastAsia="zh-CN"/>
        </w:rPr>
        <w:t xml:space="preserve">      </w:t>
      </w:r>
    </w:p>
    <w:p>
      <w:pPr>
        <w:spacing w:before="0" w:beforeLines="0" w:after="0" w:afterLines="0" w:line="240" w:lineRule="auto"/>
        <w:ind w:left="0" w:leftChars="0" w:right="0" w:rightChars="0" w:firstLine="0" w:firstLineChars="0"/>
        <w:jc w:val="center"/>
        <w:rPr>
          <w:sz w:val="28"/>
          <w:szCs w:val="36"/>
        </w:rPr>
      </w:pPr>
      <w:r>
        <w:rPr>
          <w:rFonts w:ascii="宋体" w:hAnsi="宋体" w:eastAsia="宋体"/>
          <w:sz w:val="28"/>
          <w:szCs w:val="36"/>
        </w:rPr>
        <w:t>目录</w:t>
      </w:r>
    </w:p>
    <w:p>
      <w:pPr>
        <w:pStyle w:val="10"/>
        <w:tabs>
          <w:tab w:val="right" w:leader="dot" w:pos="9950"/>
          <w:tab w:val="clear" w:pos="8296"/>
        </w:tabs>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_Toc17340 </w:instrText>
      </w:r>
      <w:r>
        <w:rPr>
          <w:rFonts w:hint="eastAsia"/>
          <w:lang w:val="en-US" w:eastAsia="zh-CN"/>
        </w:rPr>
        <w:fldChar w:fldCharType="separate"/>
      </w:r>
      <w:r>
        <w:rPr>
          <w:rFonts w:hint="eastAsia" w:ascii="宋体" w:hAnsi="宋体"/>
        </w:rPr>
        <w:t>竞争性磋商文件</w:t>
      </w:r>
      <w:r>
        <w:tab/>
      </w:r>
      <w:r>
        <w:fldChar w:fldCharType="begin"/>
      </w:r>
      <w:r>
        <w:instrText xml:space="preserve"> PAGEREF _Toc17340 </w:instrText>
      </w:r>
      <w:r>
        <w:fldChar w:fldCharType="separate"/>
      </w:r>
      <w:r>
        <w:t>1</w:t>
      </w:r>
      <w:r>
        <w:fldChar w:fldCharType="end"/>
      </w:r>
      <w:r>
        <w:rPr>
          <w:rFonts w:hint="eastAsia"/>
          <w:lang w:val="en-US" w:eastAsia="zh-CN"/>
        </w:rPr>
        <w:fldChar w:fldCharType="end"/>
      </w:r>
    </w:p>
    <w:p>
      <w:pPr>
        <w:pStyle w:val="12"/>
        <w:tabs>
          <w:tab w:val="right" w:leader="dot" w:pos="9950"/>
        </w:tabs>
      </w:pPr>
      <w:r>
        <w:rPr>
          <w:rFonts w:hint="eastAsia"/>
          <w:lang w:val="en-US" w:eastAsia="zh-CN"/>
        </w:rPr>
        <w:fldChar w:fldCharType="begin"/>
      </w:r>
      <w:r>
        <w:rPr>
          <w:rFonts w:hint="eastAsia"/>
          <w:lang w:val="en-US" w:eastAsia="zh-CN"/>
        </w:rPr>
        <w:instrText xml:space="preserve"> HYPERLINK \l _Toc26710 </w:instrText>
      </w:r>
      <w:r>
        <w:rPr>
          <w:rFonts w:hint="eastAsia"/>
          <w:lang w:val="en-US" w:eastAsia="zh-CN"/>
        </w:rPr>
        <w:fldChar w:fldCharType="separate"/>
      </w:r>
      <w:r>
        <w:rPr>
          <w:rFonts w:hint="eastAsia" w:ascii="宋体" w:hAnsi="宋体"/>
        </w:rPr>
        <w:t>第一部分  磋商邀请</w:t>
      </w:r>
      <w:r>
        <w:tab/>
      </w:r>
      <w:r>
        <w:fldChar w:fldCharType="begin"/>
      </w:r>
      <w:r>
        <w:instrText xml:space="preserve"> PAGEREF _Toc26710 </w:instrText>
      </w:r>
      <w:r>
        <w:fldChar w:fldCharType="separate"/>
      </w:r>
      <w:r>
        <w:t>2</w:t>
      </w:r>
      <w:r>
        <w:fldChar w:fldCharType="end"/>
      </w:r>
      <w:r>
        <w:rPr>
          <w:rFonts w:hint="eastAsia"/>
          <w:lang w:val="en-US" w:eastAsia="zh-CN"/>
        </w:rPr>
        <w:fldChar w:fldCharType="end"/>
      </w:r>
    </w:p>
    <w:p>
      <w:pPr>
        <w:pStyle w:val="12"/>
        <w:tabs>
          <w:tab w:val="right" w:leader="dot" w:pos="9950"/>
        </w:tabs>
      </w:pPr>
      <w:r>
        <w:rPr>
          <w:rFonts w:hint="eastAsia"/>
          <w:lang w:val="en-US" w:eastAsia="zh-CN"/>
        </w:rPr>
        <w:fldChar w:fldCharType="begin"/>
      </w:r>
      <w:r>
        <w:rPr>
          <w:rFonts w:hint="eastAsia"/>
          <w:lang w:val="en-US" w:eastAsia="zh-CN"/>
        </w:rPr>
        <w:instrText xml:space="preserve"> HYPERLINK \l _Toc29447 </w:instrText>
      </w:r>
      <w:r>
        <w:rPr>
          <w:rFonts w:hint="eastAsia"/>
          <w:lang w:val="en-US" w:eastAsia="zh-CN"/>
        </w:rPr>
        <w:fldChar w:fldCharType="separate"/>
      </w:r>
      <w:r>
        <w:rPr>
          <w:rFonts w:hint="eastAsia" w:ascii="宋体" w:hAnsi="宋体"/>
        </w:rPr>
        <w:t>第二部分  磋商供应商须知前附表</w:t>
      </w:r>
      <w:r>
        <w:tab/>
      </w:r>
      <w:r>
        <w:fldChar w:fldCharType="begin"/>
      </w:r>
      <w:r>
        <w:instrText xml:space="preserve"> PAGEREF _Toc29447 </w:instrText>
      </w:r>
      <w:r>
        <w:fldChar w:fldCharType="separate"/>
      </w:r>
      <w:r>
        <w:t>5</w:t>
      </w:r>
      <w:r>
        <w:fldChar w:fldCharType="end"/>
      </w:r>
      <w:r>
        <w:rPr>
          <w:rFonts w:hint="eastAsia"/>
          <w:lang w:val="en-US" w:eastAsia="zh-CN"/>
        </w:rPr>
        <w:fldChar w:fldCharType="end"/>
      </w:r>
    </w:p>
    <w:p>
      <w:pPr>
        <w:pStyle w:val="12"/>
        <w:tabs>
          <w:tab w:val="right" w:leader="dot" w:pos="9950"/>
        </w:tabs>
      </w:pPr>
      <w:r>
        <w:rPr>
          <w:rFonts w:hint="eastAsia"/>
          <w:lang w:val="en-US" w:eastAsia="zh-CN"/>
        </w:rPr>
        <w:fldChar w:fldCharType="begin"/>
      </w:r>
      <w:r>
        <w:rPr>
          <w:rFonts w:hint="eastAsia"/>
          <w:lang w:val="en-US" w:eastAsia="zh-CN"/>
        </w:rPr>
        <w:instrText xml:space="preserve"> HYPERLINK \l _Toc13605 </w:instrText>
      </w:r>
      <w:r>
        <w:rPr>
          <w:rFonts w:hint="eastAsia"/>
          <w:lang w:val="en-US" w:eastAsia="zh-CN"/>
        </w:rPr>
        <w:fldChar w:fldCharType="separate"/>
      </w:r>
      <w:r>
        <w:rPr>
          <w:rFonts w:hint="eastAsia" w:ascii="宋体" w:hAnsi="宋体"/>
        </w:rPr>
        <w:t>第三部分  磋商供应商须知</w:t>
      </w:r>
      <w:r>
        <w:tab/>
      </w:r>
      <w:r>
        <w:fldChar w:fldCharType="begin"/>
      </w:r>
      <w:r>
        <w:instrText xml:space="preserve"> PAGEREF _Toc13605 </w:instrText>
      </w:r>
      <w:r>
        <w:fldChar w:fldCharType="separate"/>
      </w:r>
      <w:r>
        <w:t>9</w:t>
      </w:r>
      <w:r>
        <w:fldChar w:fldCharType="end"/>
      </w:r>
      <w:r>
        <w:rPr>
          <w:rFonts w:hint="eastAsia"/>
          <w:lang w:val="en-US" w:eastAsia="zh-CN"/>
        </w:rPr>
        <w:fldChar w:fldCharType="end"/>
      </w:r>
    </w:p>
    <w:p>
      <w:pPr>
        <w:pStyle w:val="6"/>
        <w:tabs>
          <w:tab w:val="right" w:leader="dot" w:pos="9950"/>
        </w:tabs>
      </w:pPr>
      <w:r>
        <w:rPr>
          <w:rFonts w:hint="eastAsia"/>
          <w:lang w:val="en-US" w:eastAsia="zh-CN"/>
        </w:rPr>
        <w:fldChar w:fldCharType="begin"/>
      </w:r>
      <w:r>
        <w:rPr>
          <w:rFonts w:hint="eastAsia"/>
          <w:lang w:val="en-US" w:eastAsia="zh-CN"/>
        </w:rPr>
        <w:instrText xml:space="preserve"> HYPERLINK \l _Toc9508 </w:instrText>
      </w:r>
      <w:r>
        <w:rPr>
          <w:rFonts w:hint="eastAsia"/>
          <w:lang w:val="en-US" w:eastAsia="zh-CN"/>
        </w:rPr>
        <w:fldChar w:fldCharType="separate"/>
      </w:r>
      <w:r>
        <w:rPr>
          <w:rFonts w:hint="eastAsia" w:hAnsi="宋体"/>
          <w:szCs w:val="32"/>
        </w:rPr>
        <w:t>一、 说明</w:t>
      </w:r>
      <w:r>
        <w:tab/>
      </w:r>
      <w:r>
        <w:fldChar w:fldCharType="begin"/>
      </w:r>
      <w:r>
        <w:instrText xml:space="preserve"> PAGEREF _Toc9508 </w:instrText>
      </w:r>
      <w:r>
        <w:fldChar w:fldCharType="separate"/>
      </w:r>
      <w:r>
        <w:t>9</w:t>
      </w:r>
      <w:r>
        <w:fldChar w:fldCharType="end"/>
      </w:r>
      <w:r>
        <w:rPr>
          <w:rFonts w:hint="eastAsia"/>
          <w:lang w:val="en-US" w:eastAsia="zh-CN"/>
        </w:rPr>
        <w:fldChar w:fldCharType="end"/>
      </w:r>
    </w:p>
    <w:p>
      <w:pPr>
        <w:pStyle w:val="6"/>
        <w:tabs>
          <w:tab w:val="right" w:leader="dot" w:pos="9950"/>
        </w:tabs>
      </w:pPr>
      <w:r>
        <w:rPr>
          <w:rFonts w:hint="eastAsia"/>
          <w:lang w:val="en-US" w:eastAsia="zh-CN"/>
        </w:rPr>
        <w:fldChar w:fldCharType="begin"/>
      </w:r>
      <w:r>
        <w:rPr>
          <w:rFonts w:hint="eastAsia"/>
          <w:lang w:val="en-US" w:eastAsia="zh-CN"/>
        </w:rPr>
        <w:instrText xml:space="preserve"> HYPERLINK \l _Toc23373 </w:instrText>
      </w:r>
      <w:r>
        <w:rPr>
          <w:rFonts w:hint="eastAsia"/>
          <w:lang w:val="en-US" w:eastAsia="zh-CN"/>
        </w:rPr>
        <w:fldChar w:fldCharType="separate"/>
      </w:r>
      <w:r>
        <w:rPr>
          <w:rFonts w:hint="eastAsia" w:hAnsi="宋体"/>
          <w:szCs w:val="32"/>
        </w:rPr>
        <w:t>二、 磋商文件说明</w:t>
      </w:r>
      <w:r>
        <w:tab/>
      </w:r>
      <w:r>
        <w:fldChar w:fldCharType="begin"/>
      </w:r>
      <w:r>
        <w:instrText xml:space="preserve"> PAGEREF _Toc23373 </w:instrText>
      </w:r>
      <w:r>
        <w:fldChar w:fldCharType="separate"/>
      </w:r>
      <w:r>
        <w:t>10</w:t>
      </w:r>
      <w:r>
        <w:fldChar w:fldCharType="end"/>
      </w:r>
      <w:r>
        <w:rPr>
          <w:rFonts w:hint="eastAsia"/>
          <w:lang w:val="en-US" w:eastAsia="zh-CN"/>
        </w:rPr>
        <w:fldChar w:fldCharType="end"/>
      </w:r>
    </w:p>
    <w:p>
      <w:pPr>
        <w:pStyle w:val="6"/>
        <w:tabs>
          <w:tab w:val="right" w:leader="dot" w:pos="9950"/>
        </w:tabs>
      </w:pPr>
      <w:r>
        <w:rPr>
          <w:rFonts w:hint="eastAsia"/>
          <w:lang w:val="en-US" w:eastAsia="zh-CN"/>
        </w:rPr>
        <w:fldChar w:fldCharType="begin"/>
      </w:r>
      <w:r>
        <w:rPr>
          <w:rFonts w:hint="eastAsia"/>
          <w:lang w:val="en-US" w:eastAsia="zh-CN"/>
        </w:rPr>
        <w:instrText xml:space="preserve"> HYPERLINK \l _Toc27344 </w:instrText>
      </w:r>
      <w:r>
        <w:rPr>
          <w:rFonts w:hint="eastAsia"/>
          <w:lang w:val="en-US" w:eastAsia="zh-CN"/>
        </w:rPr>
        <w:fldChar w:fldCharType="separate"/>
      </w:r>
      <w:r>
        <w:rPr>
          <w:rFonts w:hint="eastAsia" w:hAnsi="宋体"/>
          <w:szCs w:val="32"/>
        </w:rPr>
        <w:t>三、 磋商响应文件的编写</w:t>
      </w:r>
      <w:r>
        <w:tab/>
      </w:r>
      <w:r>
        <w:fldChar w:fldCharType="begin"/>
      </w:r>
      <w:r>
        <w:instrText xml:space="preserve"> PAGEREF _Toc27344 </w:instrText>
      </w:r>
      <w:r>
        <w:fldChar w:fldCharType="separate"/>
      </w:r>
      <w:r>
        <w:t>11</w:t>
      </w:r>
      <w:r>
        <w:fldChar w:fldCharType="end"/>
      </w:r>
      <w:r>
        <w:rPr>
          <w:rFonts w:hint="eastAsia"/>
          <w:lang w:val="en-US" w:eastAsia="zh-CN"/>
        </w:rPr>
        <w:fldChar w:fldCharType="end"/>
      </w:r>
    </w:p>
    <w:p>
      <w:pPr>
        <w:pStyle w:val="6"/>
        <w:tabs>
          <w:tab w:val="right" w:leader="dot" w:pos="9950"/>
        </w:tabs>
      </w:pPr>
      <w:r>
        <w:rPr>
          <w:rFonts w:hint="eastAsia"/>
          <w:lang w:val="en-US" w:eastAsia="zh-CN"/>
        </w:rPr>
        <w:fldChar w:fldCharType="begin"/>
      </w:r>
      <w:r>
        <w:rPr>
          <w:rFonts w:hint="eastAsia"/>
          <w:lang w:val="en-US" w:eastAsia="zh-CN"/>
        </w:rPr>
        <w:instrText xml:space="preserve"> HYPERLINK \l _Toc6400 </w:instrText>
      </w:r>
      <w:r>
        <w:rPr>
          <w:rFonts w:hint="eastAsia"/>
          <w:lang w:val="en-US" w:eastAsia="zh-CN"/>
        </w:rPr>
        <w:fldChar w:fldCharType="separate"/>
      </w:r>
      <w:r>
        <w:rPr>
          <w:rFonts w:hint="eastAsia" w:hAnsi="宋体"/>
        </w:rPr>
        <w:t>四、 磋商响应文件的递交</w:t>
      </w:r>
      <w:r>
        <w:tab/>
      </w:r>
      <w:r>
        <w:fldChar w:fldCharType="begin"/>
      </w:r>
      <w:r>
        <w:instrText xml:space="preserve"> PAGEREF _Toc6400 </w:instrText>
      </w:r>
      <w:r>
        <w:fldChar w:fldCharType="separate"/>
      </w:r>
      <w:r>
        <w:t>14</w:t>
      </w:r>
      <w:r>
        <w:fldChar w:fldCharType="end"/>
      </w:r>
      <w:r>
        <w:rPr>
          <w:rFonts w:hint="eastAsia"/>
          <w:lang w:val="en-US" w:eastAsia="zh-CN"/>
        </w:rPr>
        <w:fldChar w:fldCharType="end"/>
      </w:r>
    </w:p>
    <w:p>
      <w:pPr>
        <w:pStyle w:val="6"/>
        <w:tabs>
          <w:tab w:val="right" w:leader="dot" w:pos="9950"/>
        </w:tabs>
      </w:pPr>
      <w:r>
        <w:rPr>
          <w:rFonts w:hint="eastAsia"/>
          <w:lang w:val="en-US" w:eastAsia="zh-CN"/>
        </w:rPr>
        <w:fldChar w:fldCharType="begin"/>
      </w:r>
      <w:r>
        <w:rPr>
          <w:rFonts w:hint="eastAsia"/>
          <w:lang w:val="en-US" w:eastAsia="zh-CN"/>
        </w:rPr>
        <w:instrText xml:space="preserve"> HYPERLINK \l _Toc24628 </w:instrText>
      </w:r>
      <w:r>
        <w:rPr>
          <w:rFonts w:hint="eastAsia"/>
          <w:lang w:val="en-US" w:eastAsia="zh-CN"/>
        </w:rPr>
        <w:fldChar w:fldCharType="separate"/>
      </w:r>
      <w:r>
        <w:rPr>
          <w:rFonts w:hint="eastAsia" w:hAnsi="宋体"/>
        </w:rPr>
        <w:t>五、 磋商过程</w:t>
      </w:r>
      <w:r>
        <w:tab/>
      </w:r>
      <w:r>
        <w:fldChar w:fldCharType="begin"/>
      </w:r>
      <w:r>
        <w:instrText xml:space="preserve"> PAGEREF _Toc24628 </w:instrText>
      </w:r>
      <w:r>
        <w:fldChar w:fldCharType="separate"/>
      </w:r>
      <w:r>
        <w:t>15</w:t>
      </w:r>
      <w:r>
        <w:fldChar w:fldCharType="end"/>
      </w:r>
      <w:r>
        <w:rPr>
          <w:rFonts w:hint="eastAsia"/>
          <w:lang w:val="en-US" w:eastAsia="zh-CN"/>
        </w:rPr>
        <w:fldChar w:fldCharType="end"/>
      </w:r>
    </w:p>
    <w:p>
      <w:pPr>
        <w:pStyle w:val="6"/>
        <w:tabs>
          <w:tab w:val="right" w:leader="dot" w:pos="9950"/>
        </w:tabs>
      </w:pPr>
      <w:r>
        <w:rPr>
          <w:rFonts w:hint="eastAsia"/>
          <w:lang w:val="en-US" w:eastAsia="zh-CN"/>
        </w:rPr>
        <w:fldChar w:fldCharType="begin"/>
      </w:r>
      <w:r>
        <w:rPr>
          <w:rFonts w:hint="eastAsia"/>
          <w:lang w:val="en-US" w:eastAsia="zh-CN"/>
        </w:rPr>
        <w:instrText xml:space="preserve"> HYPERLINK \l _Toc7548 </w:instrText>
      </w:r>
      <w:r>
        <w:rPr>
          <w:rFonts w:hint="eastAsia"/>
          <w:lang w:val="en-US" w:eastAsia="zh-CN"/>
        </w:rPr>
        <w:fldChar w:fldCharType="separate"/>
      </w:r>
      <w:r>
        <w:rPr>
          <w:rFonts w:hint="eastAsia" w:hAnsi="宋体"/>
          <w:lang w:eastAsia="zh-CN"/>
        </w:rPr>
        <w:t xml:space="preserve">六、 </w:t>
      </w:r>
      <w:r>
        <w:rPr>
          <w:rFonts w:hint="eastAsia" w:hAnsi="宋体"/>
        </w:rPr>
        <w:t>资格审查程序</w:t>
      </w:r>
      <w:r>
        <w:tab/>
      </w:r>
      <w:r>
        <w:fldChar w:fldCharType="begin"/>
      </w:r>
      <w:r>
        <w:instrText xml:space="preserve"> PAGEREF _Toc7548 </w:instrText>
      </w:r>
      <w:r>
        <w:fldChar w:fldCharType="separate"/>
      </w:r>
      <w:r>
        <w:t>15</w:t>
      </w:r>
      <w:r>
        <w:fldChar w:fldCharType="end"/>
      </w:r>
      <w:r>
        <w:rPr>
          <w:rFonts w:hint="eastAsia"/>
          <w:lang w:val="en-US" w:eastAsia="zh-CN"/>
        </w:rPr>
        <w:fldChar w:fldCharType="end"/>
      </w:r>
    </w:p>
    <w:p>
      <w:pPr>
        <w:pStyle w:val="6"/>
        <w:tabs>
          <w:tab w:val="right" w:leader="dot" w:pos="9950"/>
        </w:tabs>
      </w:pPr>
      <w:r>
        <w:rPr>
          <w:rFonts w:hint="eastAsia"/>
          <w:lang w:val="en-US" w:eastAsia="zh-CN"/>
        </w:rPr>
        <w:fldChar w:fldCharType="begin"/>
      </w:r>
      <w:r>
        <w:rPr>
          <w:rFonts w:hint="eastAsia"/>
          <w:lang w:val="en-US" w:eastAsia="zh-CN"/>
        </w:rPr>
        <w:instrText xml:space="preserve"> HYPERLINK \l _Toc21611 </w:instrText>
      </w:r>
      <w:r>
        <w:rPr>
          <w:rFonts w:hint="eastAsia"/>
          <w:lang w:val="en-US" w:eastAsia="zh-CN"/>
        </w:rPr>
        <w:fldChar w:fldCharType="separate"/>
      </w:r>
      <w:r>
        <w:rPr>
          <w:rFonts w:hint="eastAsia" w:hAnsi="宋体"/>
        </w:rPr>
        <w:t>七、 评审程序及方法</w:t>
      </w:r>
      <w:r>
        <w:tab/>
      </w:r>
      <w:r>
        <w:fldChar w:fldCharType="begin"/>
      </w:r>
      <w:r>
        <w:instrText xml:space="preserve"> PAGEREF _Toc21611 </w:instrText>
      </w:r>
      <w:r>
        <w:fldChar w:fldCharType="separate"/>
      </w:r>
      <w:r>
        <w:t>15</w:t>
      </w:r>
      <w:r>
        <w:fldChar w:fldCharType="end"/>
      </w:r>
      <w:r>
        <w:rPr>
          <w:rFonts w:hint="eastAsia"/>
          <w:lang w:val="en-US" w:eastAsia="zh-CN"/>
        </w:rPr>
        <w:fldChar w:fldCharType="end"/>
      </w:r>
    </w:p>
    <w:p>
      <w:pPr>
        <w:pStyle w:val="6"/>
        <w:tabs>
          <w:tab w:val="right" w:leader="dot" w:pos="9950"/>
        </w:tabs>
      </w:pPr>
      <w:r>
        <w:rPr>
          <w:rFonts w:hint="eastAsia"/>
          <w:lang w:val="en-US" w:eastAsia="zh-CN"/>
        </w:rPr>
        <w:fldChar w:fldCharType="begin"/>
      </w:r>
      <w:r>
        <w:rPr>
          <w:rFonts w:hint="eastAsia"/>
          <w:lang w:val="en-US" w:eastAsia="zh-CN"/>
        </w:rPr>
        <w:instrText xml:space="preserve"> HYPERLINK \l _Toc11513 </w:instrText>
      </w:r>
      <w:r>
        <w:rPr>
          <w:rFonts w:hint="eastAsia"/>
          <w:lang w:val="en-US" w:eastAsia="zh-CN"/>
        </w:rPr>
        <w:fldChar w:fldCharType="separate"/>
      </w:r>
      <w:r>
        <w:rPr>
          <w:rFonts w:hint="eastAsia" w:hAnsi="宋体"/>
        </w:rPr>
        <w:t xml:space="preserve">八、 </w:t>
      </w:r>
      <w:r>
        <w:rPr>
          <w:rFonts w:hint="eastAsia" w:hAnsi="宋体"/>
          <w:szCs w:val="24"/>
        </w:rPr>
        <w:t>定标</w:t>
      </w:r>
      <w:r>
        <w:tab/>
      </w:r>
      <w:r>
        <w:fldChar w:fldCharType="begin"/>
      </w:r>
      <w:r>
        <w:instrText xml:space="preserve"> PAGEREF _Toc11513 </w:instrText>
      </w:r>
      <w:r>
        <w:fldChar w:fldCharType="separate"/>
      </w:r>
      <w:r>
        <w:t>19</w:t>
      </w:r>
      <w:r>
        <w:fldChar w:fldCharType="end"/>
      </w:r>
      <w:r>
        <w:rPr>
          <w:rFonts w:hint="eastAsia"/>
          <w:lang w:val="en-US" w:eastAsia="zh-CN"/>
        </w:rPr>
        <w:fldChar w:fldCharType="end"/>
      </w:r>
    </w:p>
    <w:p>
      <w:pPr>
        <w:pStyle w:val="6"/>
        <w:tabs>
          <w:tab w:val="right" w:leader="dot" w:pos="9950"/>
        </w:tabs>
      </w:pPr>
      <w:r>
        <w:rPr>
          <w:rFonts w:hint="eastAsia"/>
          <w:lang w:val="en-US" w:eastAsia="zh-CN"/>
        </w:rPr>
        <w:fldChar w:fldCharType="begin"/>
      </w:r>
      <w:r>
        <w:rPr>
          <w:rFonts w:hint="eastAsia"/>
          <w:lang w:val="en-US" w:eastAsia="zh-CN"/>
        </w:rPr>
        <w:instrText xml:space="preserve"> HYPERLINK \l _Toc3627 </w:instrText>
      </w:r>
      <w:r>
        <w:rPr>
          <w:rFonts w:hint="eastAsia"/>
          <w:lang w:val="en-US" w:eastAsia="zh-CN"/>
        </w:rPr>
        <w:fldChar w:fldCharType="separate"/>
      </w:r>
      <w:r>
        <w:rPr>
          <w:rFonts w:hint="eastAsia" w:hAnsi="宋体"/>
        </w:rPr>
        <w:t>九、 授予合同</w:t>
      </w:r>
      <w:r>
        <w:tab/>
      </w:r>
      <w:r>
        <w:fldChar w:fldCharType="begin"/>
      </w:r>
      <w:r>
        <w:instrText xml:space="preserve"> PAGEREF _Toc3627 </w:instrText>
      </w:r>
      <w:r>
        <w:fldChar w:fldCharType="separate"/>
      </w:r>
      <w:r>
        <w:t>22</w:t>
      </w:r>
      <w:r>
        <w:fldChar w:fldCharType="end"/>
      </w:r>
      <w:r>
        <w:rPr>
          <w:rFonts w:hint="eastAsia"/>
          <w:lang w:val="en-US" w:eastAsia="zh-CN"/>
        </w:rPr>
        <w:fldChar w:fldCharType="end"/>
      </w:r>
    </w:p>
    <w:p>
      <w:pPr>
        <w:pStyle w:val="6"/>
        <w:tabs>
          <w:tab w:val="right" w:leader="dot" w:pos="9950"/>
        </w:tabs>
      </w:pPr>
      <w:r>
        <w:rPr>
          <w:rFonts w:hint="eastAsia"/>
          <w:lang w:val="en-US" w:eastAsia="zh-CN"/>
        </w:rPr>
        <w:fldChar w:fldCharType="begin"/>
      </w:r>
      <w:r>
        <w:rPr>
          <w:rFonts w:hint="eastAsia"/>
          <w:lang w:val="en-US" w:eastAsia="zh-CN"/>
        </w:rPr>
        <w:instrText xml:space="preserve"> HYPERLINK \l _Toc16689 </w:instrText>
      </w:r>
      <w:r>
        <w:rPr>
          <w:rFonts w:hint="eastAsia"/>
          <w:lang w:val="en-US" w:eastAsia="zh-CN"/>
        </w:rPr>
        <w:fldChar w:fldCharType="separate"/>
      </w:r>
      <w:r>
        <w:rPr>
          <w:rFonts w:hint="eastAsia" w:hAnsi="宋体"/>
        </w:rPr>
        <w:t>十、 废标条款</w:t>
      </w:r>
      <w:r>
        <w:tab/>
      </w:r>
      <w:r>
        <w:fldChar w:fldCharType="begin"/>
      </w:r>
      <w:r>
        <w:instrText xml:space="preserve"> PAGEREF _Toc16689 </w:instrText>
      </w:r>
      <w:r>
        <w:fldChar w:fldCharType="separate"/>
      </w:r>
      <w:r>
        <w:t>23</w:t>
      </w:r>
      <w:r>
        <w:fldChar w:fldCharType="end"/>
      </w:r>
      <w:r>
        <w:rPr>
          <w:rFonts w:hint="eastAsia"/>
          <w:lang w:val="en-US" w:eastAsia="zh-CN"/>
        </w:rPr>
        <w:fldChar w:fldCharType="end"/>
      </w:r>
    </w:p>
    <w:p>
      <w:pPr>
        <w:pStyle w:val="6"/>
        <w:tabs>
          <w:tab w:val="right" w:leader="dot" w:pos="9950"/>
        </w:tabs>
      </w:pPr>
      <w:r>
        <w:rPr>
          <w:rFonts w:hint="eastAsia"/>
          <w:lang w:val="en-US" w:eastAsia="zh-CN"/>
        </w:rPr>
        <w:fldChar w:fldCharType="begin"/>
      </w:r>
      <w:r>
        <w:rPr>
          <w:rFonts w:hint="eastAsia"/>
          <w:lang w:val="en-US" w:eastAsia="zh-CN"/>
        </w:rPr>
        <w:instrText xml:space="preserve"> HYPERLINK \l _Toc7867 </w:instrText>
      </w:r>
      <w:r>
        <w:rPr>
          <w:rFonts w:hint="eastAsia"/>
          <w:lang w:val="en-US" w:eastAsia="zh-CN"/>
        </w:rPr>
        <w:fldChar w:fldCharType="separate"/>
      </w:r>
      <w:r>
        <w:rPr>
          <w:rFonts w:hint="eastAsia" w:hAnsi="宋体"/>
        </w:rPr>
        <w:t xml:space="preserve">十一、 </w:t>
      </w:r>
      <w:r>
        <w:rPr>
          <w:rFonts w:hint="eastAsia" w:hAnsi="宋体"/>
          <w:lang w:eastAsia="zh-CN"/>
        </w:rPr>
        <w:t>其他</w:t>
      </w:r>
      <w:r>
        <w:tab/>
      </w:r>
      <w:r>
        <w:fldChar w:fldCharType="begin"/>
      </w:r>
      <w:r>
        <w:instrText xml:space="preserve"> PAGEREF _Toc7867 </w:instrText>
      </w:r>
      <w:r>
        <w:fldChar w:fldCharType="separate"/>
      </w:r>
      <w:r>
        <w:t>23</w:t>
      </w:r>
      <w:r>
        <w:fldChar w:fldCharType="end"/>
      </w:r>
      <w:r>
        <w:rPr>
          <w:rFonts w:hint="eastAsia"/>
          <w:lang w:val="en-US" w:eastAsia="zh-CN"/>
        </w:rPr>
        <w:fldChar w:fldCharType="end"/>
      </w:r>
    </w:p>
    <w:p>
      <w:pPr>
        <w:pStyle w:val="12"/>
        <w:tabs>
          <w:tab w:val="right" w:leader="dot" w:pos="9950"/>
        </w:tabs>
      </w:pPr>
      <w:r>
        <w:rPr>
          <w:rFonts w:hint="eastAsia"/>
          <w:lang w:val="en-US" w:eastAsia="zh-CN"/>
        </w:rPr>
        <w:fldChar w:fldCharType="begin"/>
      </w:r>
      <w:r>
        <w:rPr>
          <w:rFonts w:hint="eastAsia"/>
          <w:lang w:val="en-US" w:eastAsia="zh-CN"/>
        </w:rPr>
        <w:instrText xml:space="preserve"> HYPERLINK \l _Toc29433 </w:instrText>
      </w:r>
      <w:r>
        <w:rPr>
          <w:rFonts w:hint="eastAsia"/>
          <w:lang w:val="en-US" w:eastAsia="zh-CN"/>
        </w:rPr>
        <w:fldChar w:fldCharType="separate"/>
      </w:r>
      <w:r>
        <w:rPr>
          <w:rFonts w:hint="eastAsia" w:ascii="宋体" w:hAnsi="宋体"/>
        </w:rPr>
        <w:t xml:space="preserve">第四部分 </w:t>
      </w:r>
      <w:r>
        <w:rPr>
          <w:rFonts w:ascii="宋体" w:hAnsi="宋体"/>
        </w:rPr>
        <w:t xml:space="preserve"> </w:t>
      </w:r>
      <w:r>
        <w:rPr>
          <w:rFonts w:hint="eastAsia" w:ascii="宋体" w:hAnsi="宋体"/>
        </w:rPr>
        <w:t>青海省政府采购合同文本样式</w:t>
      </w:r>
      <w:r>
        <w:tab/>
      </w:r>
      <w:r>
        <w:fldChar w:fldCharType="begin"/>
      </w:r>
      <w:r>
        <w:instrText xml:space="preserve"> PAGEREF _Toc29433 </w:instrText>
      </w:r>
      <w:r>
        <w:fldChar w:fldCharType="separate"/>
      </w:r>
      <w:r>
        <w:t>25</w:t>
      </w:r>
      <w:r>
        <w:fldChar w:fldCharType="end"/>
      </w:r>
      <w:r>
        <w:rPr>
          <w:rFonts w:hint="eastAsia"/>
          <w:lang w:val="en-US" w:eastAsia="zh-CN"/>
        </w:rPr>
        <w:fldChar w:fldCharType="end"/>
      </w:r>
    </w:p>
    <w:p>
      <w:pPr>
        <w:pStyle w:val="12"/>
        <w:tabs>
          <w:tab w:val="right" w:leader="dot" w:pos="9950"/>
        </w:tabs>
      </w:pPr>
      <w:r>
        <w:rPr>
          <w:rFonts w:hint="eastAsia"/>
          <w:lang w:val="en-US" w:eastAsia="zh-CN"/>
        </w:rPr>
        <w:fldChar w:fldCharType="begin"/>
      </w:r>
      <w:r>
        <w:rPr>
          <w:rFonts w:hint="eastAsia"/>
          <w:lang w:val="en-US" w:eastAsia="zh-CN"/>
        </w:rPr>
        <w:instrText xml:space="preserve"> HYPERLINK \l _Toc32159 </w:instrText>
      </w:r>
      <w:r>
        <w:rPr>
          <w:rFonts w:hint="eastAsia"/>
          <w:lang w:val="en-US" w:eastAsia="zh-CN"/>
        </w:rPr>
        <w:fldChar w:fldCharType="separate"/>
      </w:r>
      <w:r>
        <w:rPr>
          <w:rFonts w:hint="eastAsia" w:ascii="宋体" w:hAnsi="宋体"/>
        </w:rPr>
        <w:t>第五部分</w:t>
      </w:r>
      <w:r>
        <w:rPr>
          <w:rFonts w:ascii="宋体" w:hAnsi="宋体"/>
        </w:rPr>
        <w:t xml:space="preserve">  </w:t>
      </w:r>
      <w:r>
        <w:rPr>
          <w:rFonts w:hint="eastAsia" w:ascii="宋体" w:hAnsi="宋体"/>
        </w:rPr>
        <w:t>磋商响应文件格式</w:t>
      </w:r>
      <w:r>
        <w:tab/>
      </w:r>
      <w:r>
        <w:fldChar w:fldCharType="begin"/>
      </w:r>
      <w:r>
        <w:instrText xml:space="preserve"> PAGEREF _Toc32159 </w:instrText>
      </w:r>
      <w:r>
        <w:fldChar w:fldCharType="separate"/>
      </w:r>
      <w:r>
        <w:t>38</w:t>
      </w:r>
      <w:r>
        <w:fldChar w:fldCharType="end"/>
      </w:r>
      <w:r>
        <w:rPr>
          <w:rFonts w:hint="eastAsia"/>
          <w:lang w:val="en-US" w:eastAsia="zh-CN"/>
        </w:rPr>
        <w:fldChar w:fldCharType="end"/>
      </w:r>
    </w:p>
    <w:p>
      <w:pPr>
        <w:pStyle w:val="6"/>
        <w:tabs>
          <w:tab w:val="right" w:leader="dot" w:pos="9950"/>
        </w:tabs>
      </w:pPr>
      <w:r>
        <w:rPr>
          <w:rFonts w:hint="eastAsia"/>
          <w:lang w:val="en-US" w:eastAsia="zh-CN"/>
        </w:rPr>
        <w:fldChar w:fldCharType="begin"/>
      </w:r>
      <w:r>
        <w:rPr>
          <w:rFonts w:hint="eastAsia"/>
          <w:lang w:val="en-US" w:eastAsia="zh-CN"/>
        </w:rPr>
        <w:instrText xml:space="preserve"> HYPERLINK \l _Toc7613 </w:instrText>
      </w:r>
      <w:r>
        <w:rPr>
          <w:rFonts w:hint="eastAsia"/>
          <w:lang w:val="en-US" w:eastAsia="zh-CN"/>
        </w:rPr>
        <w:fldChar w:fldCharType="separate"/>
      </w:r>
      <w:r>
        <w:rPr>
          <w:rFonts w:hint="eastAsia"/>
          <w:lang w:val="zh-CN" w:eastAsia="zh-CN"/>
        </w:rPr>
        <w:t xml:space="preserve">一、 </w:t>
      </w:r>
      <w:r>
        <w:rPr>
          <w:rFonts w:hint="eastAsia" w:hAnsi="宋体"/>
          <w:lang w:val="zh-CN"/>
        </w:rPr>
        <w:t>磋商响应文件封面</w:t>
      </w:r>
      <w:r>
        <w:tab/>
      </w:r>
      <w:r>
        <w:fldChar w:fldCharType="begin"/>
      </w:r>
      <w:r>
        <w:instrText xml:space="preserve"> PAGEREF _Toc7613 </w:instrText>
      </w:r>
      <w:r>
        <w:fldChar w:fldCharType="separate"/>
      </w:r>
      <w:r>
        <w:t>39</w:t>
      </w:r>
      <w:r>
        <w:fldChar w:fldCharType="end"/>
      </w:r>
      <w:r>
        <w:rPr>
          <w:rFonts w:hint="eastAsia"/>
          <w:lang w:val="en-US" w:eastAsia="zh-CN"/>
        </w:rPr>
        <w:fldChar w:fldCharType="end"/>
      </w:r>
    </w:p>
    <w:p>
      <w:pPr>
        <w:pStyle w:val="6"/>
        <w:tabs>
          <w:tab w:val="right" w:leader="dot" w:pos="9950"/>
        </w:tabs>
      </w:pPr>
      <w:r>
        <w:rPr>
          <w:rFonts w:hint="eastAsia"/>
          <w:lang w:val="en-US" w:eastAsia="zh-CN"/>
        </w:rPr>
        <w:fldChar w:fldCharType="begin"/>
      </w:r>
      <w:r>
        <w:rPr>
          <w:rFonts w:hint="eastAsia"/>
          <w:lang w:val="en-US" w:eastAsia="zh-CN"/>
        </w:rPr>
        <w:instrText xml:space="preserve"> HYPERLINK \l _Toc15009 </w:instrText>
      </w:r>
      <w:r>
        <w:rPr>
          <w:rFonts w:hint="eastAsia"/>
          <w:lang w:val="en-US" w:eastAsia="zh-CN"/>
        </w:rPr>
        <w:fldChar w:fldCharType="separate"/>
      </w:r>
      <w:r>
        <w:rPr>
          <w:rFonts w:hint="eastAsia" w:hAnsi="宋体"/>
          <w:lang w:val="zh-CN"/>
        </w:rPr>
        <w:t>磋商响应文件目录</w:t>
      </w:r>
      <w:r>
        <w:tab/>
      </w:r>
      <w:r>
        <w:fldChar w:fldCharType="begin"/>
      </w:r>
      <w:r>
        <w:instrText xml:space="preserve"> PAGEREF _Toc15009 </w:instrText>
      </w:r>
      <w:r>
        <w:fldChar w:fldCharType="separate"/>
      </w:r>
      <w:r>
        <w:t>40</w:t>
      </w:r>
      <w:r>
        <w:fldChar w:fldCharType="end"/>
      </w:r>
      <w:r>
        <w:rPr>
          <w:rFonts w:hint="eastAsia"/>
          <w:lang w:val="en-US" w:eastAsia="zh-CN"/>
        </w:rPr>
        <w:fldChar w:fldCharType="end"/>
      </w:r>
    </w:p>
    <w:p>
      <w:pPr>
        <w:rPr>
          <w:rFonts w:hint="eastAsia"/>
          <w:lang w:val="en-US" w:eastAsia="zh-CN"/>
        </w:rPr>
      </w:pPr>
      <w:r>
        <w:rPr>
          <w:rFonts w:hint="eastAsia"/>
          <w:lang w:val="en-US" w:eastAsia="zh-CN"/>
        </w:rPr>
        <w:fldChar w:fldCharType="end"/>
      </w:r>
    </w:p>
    <w:p>
      <w:pPr>
        <w:pStyle w:val="11"/>
        <w:spacing w:before="0" w:after="0" w:line="360" w:lineRule="auto"/>
        <w:jc w:val="both"/>
        <w:outlineLvl w:val="2"/>
        <w:rPr>
          <w:rFonts w:hint="eastAsia" w:ascii="宋体" w:hAnsi="宋体"/>
          <w:lang w:val="en-US" w:eastAsia="zh-CN"/>
        </w:rPr>
      </w:pPr>
      <w:r>
        <w:rPr>
          <w:rFonts w:hint="eastAsia" w:ascii="宋体" w:hAnsi="宋体"/>
          <w:lang w:val="en-US" w:eastAsia="zh-CN"/>
        </w:rPr>
        <w:t xml:space="preserve">    </w:t>
      </w:r>
    </w:p>
    <w:p>
      <w:pPr>
        <w:pStyle w:val="11"/>
        <w:spacing w:before="0" w:after="0" w:line="360" w:lineRule="auto"/>
        <w:jc w:val="both"/>
        <w:rPr>
          <w:rFonts w:hint="eastAsia" w:ascii="宋体" w:hAnsi="宋体"/>
          <w:lang w:val="en-US" w:eastAsia="zh-CN"/>
        </w:rPr>
      </w:pPr>
    </w:p>
    <w:p>
      <w:pPr>
        <w:pStyle w:val="11"/>
        <w:spacing w:before="0" w:after="0" w:line="360" w:lineRule="auto"/>
        <w:jc w:val="both"/>
        <w:rPr>
          <w:rFonts w:hint="eastAsia" w:ascii="宋体" w:hAnsi="宋体"/>
          <w:lang w:val="en-US" w:eastAsia="zh-CN"/>
        </w:rPr>
      </w:pPr>
    </w:p>
    <w:p>
      <w:pPr>
        <w:pStyle w:val="11"/>
        <w:spacing w:before="0" w:after="0" w:line="360" w:lineRule="auto"/>
        <w:jc w:val="both"/>
        <w:rPr>
          <w:rFonts w:hint="eastAsia" w:ascii="宋体" w:hAnsi="宋体"/>
          <w:lang w:val="en-US" w:eastAsia="zh-CN"/>
        </w:rPr>
      </w:pPr>
    </w:p>
    <w:p>
      <w:pPr>
        <w:pStyle w:val="11"/>
        <w:spacing w:before="0" w:after="0" w:line="360" w:lineRule="auto"/>
        <w:jc w:val="both"/>
        <w:rPr>
          <w:rFonts w:hint="eastAsia" w:ascii="宋体" w:hAnsi="宋体"/>
          <w:lang w:val="en-US" w:eastAsia="zh-CN"/>
        </w:rPr>
      </w:pPr>
    </w:p>
    <w:p>
      <w:pPr>
        <w:pStyle w:val="11"/>
        <w:spacing w:before="0" w:after="0" w:line="360" w:lineRule="auto"/>
        <w:jc w:val="both"/>
        <w:rPr>
          <w:rFonts w:hint="eastAsia" w:ascii="宋体" w:hAnsi="宋体"/>
          <w:lang w:val="en-US" w:eastAsia="zh-CN"/>
        </w:rPr>
      </w:pPr>
    </w:p>
    <w:p>
      <w:pPr>
        <w:pStyle w:val="11"/>
        <w:spacing w:before="0" w:after="0" w:line="360" w:lineRule="auto"/>
        <w:jc w:val="both"/>
        <w:rPr>
          <w:rFonts w:hint="eastAsia" w:ascii="宋体" w:hAnsi="宋体"/>
          <w:lang w:val="en-US" w:eastAsia="zh-CN"/>
        </w:rPr>
      </w:pPr>
    </w:p>
    <w:p>
      <w:pPr>
        <w:pStyle w:val="11"/>
        <w:spacing w:before="0" w:after="0" w:line="360" w:lineRule="auto"/>
        <w:jc w:val="both"/>
        <w:rPr>
          <w:rFonts w:hint="eastAsia" w:ascii="宋体" w:hAnsi="宋体" w:eastAsia="宋体"/>
          <w:sz w:val="48"/>
          <w:lang w:eastAsia="zh-CN"/>
        </w:rPr>
      </w:pPr>
      <w:r>
        <w:rPr>
          <w:rFonts w:hint="eastAsia" w:ascii="宋体" w:hAnsi="宋体"/>
          <w:lang w:val="en-US" w:eastAsia="zh-CN"/>
        </w:rPr>
        <w:t xml:space="preserve">  </w:t>
      </w:r>
      <w:bookmarkStart w:id="5" w:name="_Toc26710"/>
      <w:r>
        <w:rPr>
          <w:rFonts w:hint="eastAsia" w:ascii="宋体" w:hAnsi="宋体"/>
          <w:lang w:val="en-US" w:eastAsia="zh-CN"/>
        </w:rPr>
        <w:t xml:space="preserve">             </w:t>
      </w:r>
      <w:bookmarkEnd w:id="2"/>
      <w:bookmarkEnd w:id="3"/>
      <w:bookmarkEnd w:id="4"/>
      <w:bookmarkEnd w:id="5"/>
    </w:p>
    <w:p>
      <w:pPr>
        <w:spacing w:line="360" w:lineRule="auto"/>
        <w:ind w:firstLine="420" w:firstLineChars="200"/>
        <w:jc w:val="left"/>
        <w:rPr>
          <w:rFonts w:hint="eastAsia" w:ascii="宋体" w:hAnsi="宋体"/>
          <w:lang w:val="en-US" w:eastAsia="zh-CN"/>
        </w:rPr>
      </w:pPr>
      <w:r>
        <w:rPr>
          <w:rFonts w:hint="eastAsia" w:ascii="宋体" w:hAnsi="宋体"/>
          <w:lang w:val="en-US" w:eastAsia="zh-CN"/>
        </w:rPr>
        <w:t xml:space="preserve">            </w:t>
      </w:r>
    </w:p>
    <w:p>
      <w:pPr>
        <w:spacing w:line="360" w:lineRule="auto"/>
        <w:ind w:firstLine="883" w:firstLineChars="200"/>
        <w:jc w:val="center"/>
        <w:rPr>
          <w:rFonts w:hint="eastAsia" w:cs="宋体"/>
          <w:sz w:val="24"/>
          <w:lang w:val="zh-CN" w:eastAsia="zh-CN"/>
        </w:rPr>
      </w:pPr>
      <w:r>
        <w:rPr>
          <w:rFonts w:hint="eastAsia" w:ascii="宋体" w:hAnsi="宋体"/>
          <w:b/>
          <w:bCs/>
          <w:sz w:val="44"/>
          <w:szCs w:val="28"/>
        </w:rPr>
        <w:t>第一部分  磋商邀请</w:t>
      </w:r>
      <w:r>
        <w:rPr>
          <w:rFonts w:hint="eastAsia" w:ascii="宋体" w:hAnsi="宋体"/>
          <w:b/>
          <w:bCs/>
          <w:sz w:val="44"/>
          <w:szCs w:val="28"/>
          <w:lang w:eastAsia="zh-CN"/>
        </w:rPr>
        <w:t>公告</w:t>
      </w:r>
    </w:p>
    <w:p>
      <w:pPr>
        <w:spacing w:line="360" w:lineRule="auto"/>
        <w:ind w:firstLine="480" w:firstLineChars="200"/>
        <w:jc w:val="left"/>
        <w:rPr>
          <w:rFonts w:cs="宋体"/>
          <w:sz w:val="24"/>
          <w:lang w:val="zh-CN"/>
        </w:rPr>
      </w:pPr>
      <w:r>
        <w:rPr>
          <w:rFonts w:hint="eastAsia" w:cs="宋体"/>
          <w:sz w:val="24"/>
          <w:lang w:val="zh-CN" w:eastAsia="zh-CN"/>
        </w:rPr>
        <w:t>青海东煌工程咨询招标代理有限公司</w:t>
      </w:r>
      <w:r>
        <w:rPr>
          <w:rFonts w:hint="eastAsia" w:cs="宋体"/>
          <w:sz w:val="24"/>
          <w:lang w:val="zh-CN"/>
        </w:rPr>
        <w:t>（以下</w:t>
      </w:r>
      <w:r>
        <w:rPr>
          <w:rFonts w:hint="eastAsia" w:cs="宋体"/>
          <w:color w:val="000000"/>
          <w:sz w:val="24"/>
          <w:lang w:val="zh-CN"/>
        </w:rPr>
        <w:t>均简称“采购代理机构”）受海东市平安区水利工程技术管理办公室（以下均简称“采购单位”）委托</w:t>
      </w:r>
      <w:r>
        <w:rPr>
          <w:rFonts w:hint="eastAsia" w:cs="宋体"/>
          <w:color w:val="000000"/>
          <w:sz w:val="24"/>
        </w:rPr>
        <w:t>，拟对</w:t>
      </w:r>
      <w:r>
        <w:rPr>
          <w:rFonts w:hint="eastAsia" w:cs="宋体"/>
          <w:color w:val="000000"/>
          <w:sz w:val="24"/>
          <w:lang w:val="en-US" w:eastAsia="zh-CN"/>
        </w:rPr>
        <w:t>海东市平安区沙沟乡农村饮水安全及水质提升工程</w:t>
      </w:r>
      <w:r>
        <w:rPr>
          <w:rFonts w:hint="eastAsia" w:ascii="宋体" w:hAnsi="宋体"/>
          <w:color w:val="000000"/>
          <w:kern w:val="0"/>
          <w:sz w:val="24"/>
          <w:lang w:eastAsia="zh-CN"/>
        </w:rPr>
        <w:t>，</w:t>
      </w:r>
      <w:r>
        <w:rPr>
          <w:rFonts w:hint="eastAsia" w:cs="宋体"/>
          <w:sz w:val="24"/>
        </w:rPr>
        <w:t>采购项目编号</w:t>
      </w:r>
      <w:r>
        <w:rPr>
          <w:rFonts w:hint="eastAsia" w:cs="宋体"/>
          <w:sz w:val="24"/>
          <w:lang w:eastAsia="zh-CN"/>
        </w:rPr>
        <w:t>：青海东煌竞磋（服务）2020-001</w:t>
      </w:r>
      <w:r>
        <w:rPr>
          <w:rFonts w:hint="eastAsia" w:ascii="宋体" w:hAnsi="宋体"/>
          <w:kern w:val="0"/>
          <w:sz w:val="24"/>
          <w:lang w:eastAsia="zh-CN"/>
        </w:rPr>
        <w:t>）</w:t>
      </w:r>
      <w:r>
        <w:rPr>
          <w:rFonts w:hint="eastAsia" w:cs="宋体"/>
          <w:sz w:val="24"/>
        </w:rPr>
        <w:t>进行国内竞争性磋商采购，现予以公告，欢迎潜在的磋商供应商参加本次政府采购活动</w:t>
      </w:r>
      <w:r>
        <w:rPr>
          <w:rFonts w:hint="eastAsia" w:cs="宋体"/>
          <w:sz w:val="24"/>
          <w:lang w:val="zh-CN"/>
        </w:rPr>
        <w:t>。</w:t>
      </w:r>
    </w:p>
    <w:tbl>
      <w:tblPr>
        <w:tblStyle w:val="15"/>
        <w:tblW w:w="9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089"/>
        <w:gridCol w:w="758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采购项目编号</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rPr>
                <w:rFonts w:hint="default" w:ascii="宋体" w:hAnsi="宋体" w:eastAsia="宋体"/>
                <w:bCs/>
                <w:sz w:val="24"/>
                <w:lang w:val="en-US" w:eastAsia="zh-CN"/>
              </w:rPr>
            </w:pPr>
            <w:r>
              <w:rPr>
                <w:rFonts w:hint="eastAsia" w:cs="宋体"/>
                <w:kern w:val="2"/>
                <w:sz w:val="24"/>
                <w:szCs w:val="24"/>
                <w:lang w:val="en-US" w:eastAsia="zh-CN" w:bidi="ar-SA"/>
              </w:rPr>
              <w:t>青海东煌竞磋（服务）2020-001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采购项目名称</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ascii="宋体" w:hAnsi="宋体" w:eastAsia="宋体" w:cs="Tahoma"/>
                <w:color w:val="000000"/>
                <w:lang w:eastAsia="zh-CN"/>
              </w:rPr>
            </w:pPr>
            <w:r>
              <w:rPr>
                <w:rFonts w:hint="eastAsia" w:ascii="宋体" w:hAnsi="宋体"/>
                <w:color w:val="000000"/>
                <w:kern w:val="0"/>
                <w:sz w:val="24"/>
                <w:szCs w:val="24"/>
                <w:lang w:val="en-US" w:eastAsia="zh-CN" w:bidi="ar-SA"/>
              </w:rPr>
              <w:t>海东市平安区沙沟乡农村饮水安全及水质提升工程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采购方式</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rPr>
                <w:rFonts w:ascii="宋体" w:hAnsi="宋体"/>
                <w:color w:val="000000"/>
                <w:kern w:val="0"/>
                <w:sz w:val="24"/>
              </w:rPr>
            </w:pPr>
            <w:r>
              <w:rPr>
                <w:rFonts w:ascii="宋体" w:hAnsi="宋体"/>
                <w:color w:val="000000"/>
                <w:kern w:val="0"/>
                <w:sz w:val="24"/>
              </w:rPr>
              <w:t>竞争性磋商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采购预算控制额度</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widowControl/>
              <w:suppressLineNumbers w:val="0"/>
              <w:jc w:val="left"/>
              <w:rPr>
                <w:rFonts w:hint="default" w:ascii="宋体" w:hAnsi="宋体"/>
                <w:color w:val="000000"/>
                <w:kern w:val="0"/>
                <w:sz w:val="24"/>
                <w:lang w:val="en-US" w:eastAsia="zh-CN"/>
              </w:rPr>
            </w:pPr>
            <w:r>
              <w:rPr>
                <w:rFonts w:hint="eastAsia" w:ascii="宋体" w:hAnsi="宋体"/>
                <w:color w:val="000000"/>
                <w:kern w:val="0"/>
                <w:sz w:val="24"/>
                <w:lang w:val="en-US" w:eastAsia="zh-CN"/>
              </w:rPr>
              <w:t xml:space="preserve"> 包一地质勘察费按照建设部计价格【2006】1352号文计取，以主管部门审定的费用基础上下浮1%—10%，超出此范围报价为无效报价</w:t>
            </w:r>
          </w:p>
          <w:p>
            <w:pPr>
              <w:keepNext w:val="0"/>
              <w:keepLines w:val="0"/>
              <w:widowControl/>
              <w:suppressLineNumbers w:val="0"/>
              <w:jc w:val="left"/>
              <w:rPr>
                <w:rFonts w:ascii="宋体" w:hAnsi="宋体"/>
                <w:color w:val="000000"/>
                <w:kern w:val="0"/>
                <w:sz w:val="24"/>
              </w:rPr>
            </w:pPr>
            <w:r>
              <w:rPr>
                <w:rFonts w:hint="eastAsia" w:ascii="宋体" w:hAnsi="宋体"/>
                <w:color w:val="000000"/>
                <w:kern w:val="0"/>
                <w:sz w:val="24"/>
                <w:lang w:val="en-US" w:eastAsia="zh-CN"/>
              </w:rPr>
              <w:t xml:space="preserve"> 包二实施方案设计费按照青计价格【2002】10号文计取，以主管部门审定的费用基础上下浮1%—10%，超出此范围报价为无效报价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089" w:type="dxa"/>
            <w:tcBorders>
              <w:top w:val="outset" w:color="000000" w:sz="6" w:space="0"/>
              <w:left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项目要求</w:t>
            </w:r>
          </w:p>
        </w:tc>
        <w:tc>
          <w:tcPr>
            <w:tcW w:w="7580" w:type="dxa"/>
            <w:tcBorders>
              <w:top w:val="outset" w:color="000000" w:sz="6" w:space="0"/>
              <w:left w:val="outset" w:color="000000" w:sz="6" w:space="0"/>
              <w:right w:val="outset" w:color="000000" w:sz="6" w:space="0"/>
            </w:tcBorders>
            <w:noWrap w:val="0"/>
            <w:vAlign w:val="center"/>
          </w:tcPr>
          <w:p>
            <w:pPr>
              <w:pStyle w:val="18"/>
              <w:spacing w:line="360" w:lineRule="auto"/>
              <w:rPr>
                <w:rFonts w:hint="eastAsia" w:ascii="宋体" w:hAnsi="宋体"/>
                <w:color w:val="000000"/>
                <w:sz w:val="24"/>
                <w:lang w:val="en-US" w:eastAsia="zh-CN"/>
                <w14:textFill>
                  <w14:gradFill>
                    <w14:gsLst>
                      <w14:gs w14:pos="0">
                        <w14:srgbClr w14:val="14CD68"/>
                      </w14:gs>
                      <w14:gs w14:pos="100000">
                        <w14:srgbClr w14:val="0B6E38"/>
                      </w14:gs>
                    </w14:gsLst>
                    <w14:lin w14:scaled="0"/>
                  </w14:gradFill>
                </w14:textFill>
              </w:rPr>
            </w:pPr>
            <w:r>
              <w:rPr>
                <w:rFonts w:hint="eastAsia" w:ascii="宋体" w:hAnsi="宋体"/>
                <w:color w:val="000000"/>
                <w:sz w:val="24"/>
                <w:lang w:val="en-US" w:eastAsia="zh-CN"/>
              </w:rPr>
              <w:t>磋商内容</w:t>
            </w:r>
            <w:r>
              <w:rPr>
                <w:rFonts w:hint="eastAsia" w:ascii="宋体" w:hAnsi="宋体"/>
                <w:color w:val="000000"/>
                <w:sz w:val="24"/>
                <w:lang w:val="en-US" w:eastAsia="zh-CN"/>
                <w14:textFill>
                  <w14:gradFill>
                    <w14:gsLst>
                      <w14:gs w14:pos="0">
                        <w14:srgbClr w14:val="14CD68"/>
                      </w14:gs>
                      <w14:gs w14:pos="100000">
                        <w14:srgbClr w14:val="0B6E38"/>
                      </w14:gs>
                    </w14:gsLst>
                    <w14:lin w14:scaled="0"/>
                  </w14:gradFill>
                </w14:textFill>
              </w:rPr>
              <w:t>：</w:t>
            </w:r>
          </w:p>
          <w:p>
            <w:pPr>
              <w:pStyle w:val="18"/>
              <w:spacing w:line="360" w:lineRule="auto"/>
              <w:rPr>
                <w:rFonts w:hint="eastAsia" w:ascii="宋体" w:hAnsi="宋体"/>
                <w:color w:val="auto"/>
                <w:sz w:val="24"/>
                <w:lang w:val="en-US" w:eastAsia="zh-CN"/>
              </w:rPr>
            </w:pPr>
            <w:r>
              <w:rPr>
                <w:rFonts w:hint="eastAsia" w:ascii="宋体" w:hAnsi="宋体"/>
                <w:color w:val="auto"/>
                <w:sz w:val="24"/>
                <w:lang w:val="en-US" w:eastAsia="zh-CN"/>
              </w:rPr>
              <w:t>包一：对净化水厂及人饮管道和相关建筑物的地质情况进行地质勘探编写地质报告并就施工全过程进行服务</w:t>
            </w:r>
          </w:p>
          <w:p>
            <w:pPr>
              <w:pStyle w:val="18"/>
              <w:spacing w:line="360" w:lineRule="auto"/>
              <w:rPr>
                <w:rFonts w:ascii="宋体" w:hAnsi="宋体"/>
                <w:color w:val="000000"/>
                <w:kern w:val="0"/>
                <w:sz w:val="24"/>
              </w:rPr>
            </w:pPr>
            <w:r>
              <w:rPr>
                <w:rFonts w:hint="eastAsia" w:ascii="宋体" w:hAnsi="宋体"/>
                <w:color w:val="auto"/>
                <w:sz w:val="24"/>
                <w:lang w:val="en-US" w:eastAsia="zh-CN"/>
              </w:rPr>
              <w:t>包二：对净化水厂及人饮管道和相关建筑物进行设计编写实施方案报告并就施工全过程进行服务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cs="宋体"/>
                <w:sz w:val="24"/>
              </w:rPr>
              <w:t>磋商供应商</w:t>
            </w:r>
            <w:r>
              <w:rPr>
                <w:rFonts w:hint="eastAsia" w:ascii="宋体" w:hAnsi="宋体"/>
                <w:kern w:val="0"/>
                <w:sz w:val="24"/>
              </w:rPr>
              <w:t>资格条件</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jc w:val="both"/>
              <w:rPr>
                <w:rFonts w:hint="eastAsia" w:ascii="宋体" w:hAnsi="宋体"/>
                <w:sz w:val="24"/>
                <w:lang w:val="zh-CN"/>
              </w:rPr>
            </w:pPr>
            <w:r>
              <w:rPr>
                <w:rFonts w:hint="eastAsia" w:ascii="宋体" w:hAnsi="宋体"/>
                <w:sz w:val="24"/>
                <w:lang w:val="zh-CN"/>
              </w:rPr>
              <w:t>1.符合《政府采购法》第22条条件，并提供下列材料：</w:t>
            </w:r>
          </w:p>
          <w:p>
            <w:pPr>
              <w:pStyle w:val="18"/>
              <w:spacing w:line="360" w:lineRule="auto"/>
              <w:rPr>
                <w:rFonts w:hint="eastAsia" w:ascii="宋体" w:hAnsi="宋体"/>
                <w:sz w:val="24"/>
                <w:lang w:val="zh-CN"/>
              </w:rPr>
            </w:pPr>
            <w:r>
              <w:rPr>
                <w:rFonts w:hint="eastAsia" w:ascii="宋体" w:hAnsi="宋体"/>
                <w:sz w:val="24"/>
                <w:lang w:val="zh-CN"/>
              </w:rPr>
              <w:t>&lt;1&gt;磋商人的营业执照等证明文件，自然人的身份证明。</w:t>
            </w:r>
          </w:p>
          <w:p>
            <w:pPr>
              <w:pStyle w:val="18"/>
              <w:spacing w:line="360" w:lineRule="auto"/>
              <w:rPr>
                <w:rFonts w:hint="eastAsia" w:ascii="宋体" w:hAnsi="宋体"/>
                <w:sz w:val="24"/>
                <w:lang w:val="zh-CN"/>
              </w:rPr>
            </w:pPr>
            <w:r>
              <w:rPr>
                <w:rFonts w:hint="eastAsia" w:ascii="宋体" w:hAnsi="宋体"/>
                <w:sz w:val="24"/>
                <w:lang w:val="zh-CN"/>
              </w:rPr>
              <w:t>&lt;2&gt;财务状况报告，依法缴纳税收和社会保障资金的相关材料。</w:t>
            </w:r>
          </w:p>
          <w:p>
            <w:pPr>
              <w:pStyle w:val="18"/>
              <w:spacing w:line="360" w:lineRule="auto"/>
              <w:rPr>
                <w:rFonts w:hint="eastAsia" w:ascii="宋体" w:hAnsi="宋体"/>
                <w:sz w:val="24"/>
                <w:lang w:val="zh-CN"/>
              </w:rPr>
            </w:pPr>
            <w:r>
              <w:rPr>
                <w:rFonts w:hint="eastAsia" w:ascii="宋体" w:hAnsi="宋体"/>
                <w:sz w:val="24"/>
                <w:lang w:val="zh-CN"/>
              </w:rPr>
              <w:t>&lt;</w:t>
            </w:r>
            <w:r>
              <w:rPr>
                <w:rFonts w:hint="eastAsia" w:ascii="宋体" w:hAnsi="宋体"/>
                <w:color w:val="000000"/>
                <w:sz w:val="24"/>
                <w:lang w:val="zh-CN"/>
              </w:rPr>
              <w:t>3&gt;具备履行合同所必需的设备和专业技术能力的证明材料</w:t>
            </w:r>
            <w:r>
              <w:rPr>
                <w:rFonts w:hint="eastAsia" w:ascii="宋体" w:hAnsi="宋体"/>
                <w:sz w:val="24"/>
                <w:lang w:val="zh-CN"/>
              </w:rPr>
              <w:t>。</w:t>
            </w:r>
          </w:p>
          <w:p>
            <w:pPr>
              <w:pStyle w:val="18"/>
              <w:spacing w:line="360" w:lineRule="auto"/>
              <w:rPr>
                <w:rFonts w:hint="eastAsia" w:ascii="宋体" w:hAnsi="宋体"/>
                <w:sz w:val="24"/>
                <w:lang w:val="zh-CN"/>
              </w:rPr>
            </w:pPr>
            <w:r>
              <w:rPr>
                <w:rFonts w:hint="eastAsia" w:ascii="宋体" w:hAnsi="宋体"/>
                <w:sz w:val="24"/>
                <w:lang w:val="zh-CN"/>
              </w:rPr>
              <w:t>&lt;4&gt;参加政府采购活动前3年内在经营活动中没有重大违法记录的书面声明。&lt;5&gt;具备法律、行政法规规定的其他条件的证明材料。</w:t>
            </w:r>
          </w:p>
          <w:p>
            <w:pPr>
              <w:pStyle w:val="18"/>
              <w:numPr>
                <w:ilvl w:val="0"/>
                <w:numId w:val="2"/>
              </w:numPr>
              <w:spacing w:line="360" w:lineRule="auto"/>
              <w:rPr>
                <w:rFonts w:hint="eastAsia" w:ascii="宋体" w:hAnsi="宋体"/>
                <w:sz w:val="24"/>
                <w:lang w:val="zh-CN"/>
              </w:rPr>
            </w:pPr>
            <w:r>
              <w:rPr>
                <w:rFonts w:hint="eastAsia" w:ascii="宋体" w:hAnsi="宋体"/>
                <w:color w:val="000000"/>
                <w:sz w:val="24"/>
                <w:lang w:val="zh-CN" w:eastAsia="zh-CN"/>
              </w:rPr>
              <w:t>本次招标要求投标人须具备 ：</w:t>
            </w:r>
            <w:r>
              <w:rPr>
                <w:rFonts w:hint="eastAsia" w:ascii="宋体" w:hAnsi="宋体"/>
                <w:color w:val="000000"/>
                <w:sz w:val="24"/>
                <w:lang w:val="en-US" w:eastAsia="zh-CN"/>
              </w:rPr>
              <w:t>包一，</w:t>
            </w:r>
            <w:r>
              <w:rPr>
                <w:spacing w:val="-10"/>
                <w:sz w:val="24"/>
              </w:rPr>
              <w:t>投标人须具备独立法人资格，供应商具备</w:t>
            </w:r>
            <w:r>
              <w:rPr>
                <w:rFonts w:hint="eastAsia"/>
                <w:spacing w:val="-10"/>
                <w:sz w:val="24"/>
                <w:lang w:eastAsia="zh-CN"/>
              </w:rPr>
              <w:t>工</w:t>
            </w:r>
            <w:r>
              <w:rPr>
                <w:rFonts w:hint="eastAsia" w:ascii="宋体" w:hAnsi="宋体"/>
                <w:sz w:val="24"/>
                <w:lang w:val="zh-CN" w:eastAsia="zh-CN"/>
              </w:rPr>
              <w:t>程</w:t>
            </w:r>
            <w:r>
              <w:rPr>
                <w:rFonts w:hint="eastAsia" w:ascii="宋体" w:hAnsi="宋体"/>
                <w:sz w:val="24"/>
                <w:lang w:val="zh-CN"/>
              </w:rPr>
              <w:t>地质</w:t>
            </w:r>
            <w:r>
              <w:rPr>
                <w:rFonts w:hint="eastAsia" w:ascii="宋体" w:hAnsi="宋体"/>
                <w:sz w:val="24"/>
                <w:lang w:val="en-US" w:eastAsia="zh-CN"/>
              </w:rPr>
              <w:t>勘察</w:t>
            </w:r>
            <w:r>
              <w:rPr>
                <w:rFonts w:hint="eastAsia" w:ascii="宋体" w:hAnsi="宋体"/>
                <w:sz w:val="24"/>
                <w:lang w:val="zh-CN"/>
              </w:rPr>
              <w:t>资质</w:t>
            </w:r>
            <w:r>
              <w:rPr>
                <w:rFonts w:hint="eastAsia" w:ascii="宋体" w:hAnsi="宋体"/>
                <w:sz w:val="24"/>
                <w:lang w:val="zh-CN" w:eastAsia="zh-CN"/>
              </w:rPr>
              <w:t>乙</w:t>
            </w:r>
            <w:r>
              <w:rPr>
                <w:rFonts w:hint="eastAsia" w:ascii="宋体" w:hAnsi="宋体"/>
                <w:sz w:val="24"/>
                <w:lang w:val="zh-CN"/>
              </w:rPr>
              <w:t>级及以上资质，并在</w:t>
            </w:r>
            <w:r>
              <w:rPr>
                <w:spacing w:val="-15"/>
                <w:sz w:val="24"/>
              </w:rPr>
              <w:t>人员、设备、资金等</w:t>
            </w:r>
            <w:r>
              <w:rPr>
                <w:spacing w:val="-13"/>
                <w:sz w:val="24"/>
              </w:rPr>
              <w:t>方面具备相应的技术能力</w:t>
            </w:r>
            <w:r>
              <w:rPr>
                <w:rFonts w:hint="eastAsia"/>
                <w:spacing w:val="-13"/>
                <w:sz w:val="24"/>
                <w:lang w:eastAsia="zh-CN"/>
              </w:rPr>
              <w:t>，</w:t>
            </w:r>
            <w:r>
              <w:rPr>
                <w:spacing w:val="-13"/>
                <w:sz w:val="24"/>
              </w:rPr>
              <w:t>拟任项目负责人应提供公司缴纳社保、</w:t>
            </w:r>
            <w:r>
              <w:rPr>
                <w:sz w:val="24"/>
              </w:rPr>
              <w:t>具有</w:t>
            </w:r>
            <w:r>
              <w:rPr>
                <w:rFonts w:hint="eastAsia" w:ascii="宋体" w:hAnsi="宋体"/>
                <w:sz w:val="24"/>
                <w:lang w:val="zh-CN" w:eastAsia="zh-CN"/>
              </w:rPr>
              <w:t>高</w:t>
            </w:r>
            <w:r>
              <w:rPr>
                <w:sz w:val="24"/>
              </w:rPr>
              <w:t>级及以上技术职称</w:t>
            </w:r>
            <w:r>
              <w:rPr>
                <w:spacing w:val="-128"/>
                <w:sz w:val="24"/>
              </w:rPr>
              <w:t>）</w:t>
            </w:r>
            <w:r>
              <w:rPr>
                <w:rFonts w:hint="eastAsia"/>
                <w:spacing w:val="-128"/>
                <w:sz w:val="24"/>
                <w:lang w:eastAsia="zh-CN"/>
              </w:rPr>
              <w:t>））</w:t>
            </w:r>
          </w:p>
          <w:p>
            <w:pPr>
              <w:pStyle w:val="18"/>
              <w:numPr>
                <w:ilvl w:val="0"/>
                <w:numId w:val="0"/>
              </w:numPr>
              <w:spacing w:line="360" w:lineRule="auto"/>
              <w:rPr>
                <w:rFonts w:hint="eastAsia" w:ascii="宋体" w:hAnsi="宋体"/>
                <w:sz w:val="24"/>
                <w:lang w:val="zh-CN"/>
              </w:rPr>
            </w:pPr>
            <w:r>
              <w:rPr>
                <w:rFonts w:hint="eastAsia" w:ascii="宋体" w:hAnsi="宋体"/>
                <w:sz w:val="24"/>
                <w:lang w:val="en-US" w:eastAsia="zh-CN"/>
              </w:rPr>
              <w:t>包二、</w:t>
            </w:r>
            <w:r>
              <w:rPr>
                <w:spacing w:val="-10"/>
                <w:sz w:val="24"/>
              </w:rPr>
              <w:t>投标人须具备独立法人资格，供应商具备</w:t>
            </w:r>
            <w:r>
              <w:rPr>
                <w:rFonts w:hint="eastAsia"/>
                <w:spacing w:val="-10"/>
                <w:sz w:val="24"/>
              </w:rPr>
              <w:t>水利行业（引调水）专业丙级（含丙级）及以上资质</w:t>
            </w:r>
            <w:r>
              <w:rPr>
                <w:rFonts w:hint="eastAsia"/>
                <w:spacing w:val="-10"/>
                <w:sz w:val="24"/>
                <w:lang w:val="en-US" w:eastAsia="zh-CN"/>
              </w:rPr>
              <w:t>，</w:t>
            </w:r>
            <w:r>
              <w:rPr>
                <w:rFonts w:hint="eastAsia" w:ascii="宋体" w:hAnsi="宋体"/>
                <w:sz w:val="24"/>
                <w:lang w:val="zh-CN"/>
              </w:rPr>
              <w:t>并在</w:t>
            </w:r>
            <w:r>
              <w:rPr>
                <w:spacing w:val="-15"/>
                <w:sz w:val="24"/>
              </w:rPr>
              <w:t>人员、设备、资金等</w:t>
            </w:r>
            <w:r>
              <w:rPr>
                <w:spacing w:val="-13"/>
                <w:sz w:val="24"/>
              </w:rPr>
              <w:t>方面具备相应的技术能力及拟任项目负责人应提供公司缴纳社保、</w:t>
            </w:r>
            <w:r>
              <w:rPr>
                <w:sz w:val="24"/>
              </w:rPr>
              <w:t>具有</w:t>
            </w:r>
            <w:r>
              <w:rPr>
                <w:rFonts w:hint="eastAsia"/>
                <w:spacing w:val="-13"/>
                <w:sz w:val="24"/>
                <w:lang w:val="en-US" w:eastAsia="zh-CN"/>
              </w:rPr>
              <w:t>中</w:t>
            </w:r>
            <w:r>
              <w:rPr>
                <w:sz w:val="24"/>
              </w:rPr>
              <w:t>级及以上技术职称</w:t>
            </w:r>
            <w:r>
              <w:rPr>
                <w:spacing w:val="-128"/>
                <w:sz w:val="24"/>
              </w:rPr>
              <w:t>）</w:t>
            </w:r>
            <w:r>
              <w:rPr>
                <w:rFonts w:hint="eastAsia"/>
                <w:spacing w:val="-128"/>
                <w:sz w:val="24"/>
                <w:lang w:eastAsia="zh-CN"/>
              </w:rPr>
              <w:t>））</w:t>
            </w:r>
          </w:p>
          <w:p>
            <w:pPr>
              <w:pStyle w:val="18"/>
              <w:numPr>
                <w:ilvl w:val="0"/>
                <w:numId w:val="0"/>
              </w:numPr>
              <w:spacing w:line="360" w:lineRule="auto"/>
              <w:rPr>
                <w:rFonts w:hint="eastAsia" w:ascii="宋体" w:hAnsi="宋体"/>
                <w:sz w:val="24"/>
                <w:lang w:val="zh-CN"/>
              </w:rPr>
            </w:pPr>
            <w:r>
              <w:rPr>
                <w:rFonts w:hint="eastAsia" w:ascii="宋体" w:hAnsi="宋体"/>
                <w:sz w:val="24"/>
                <w:lang w:val="en-US" w:eastAsia="zh-CN"/>
              </w:rPr>
              <w:t>3.</w:t>
            </w:r>
            <w:r>
              <w:rPr>
                <w:rFonts w:hint="eastAsia" w:ascii="宋体" w:hAnsi="宋体"/>
                <w:sz w:val="24"/>
                <w:lang w:val="zh-CN"/>
              </w:rPr>
              <w:t>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sz w:val="24"/>
                <w:lang w:val="en-US" w:eastAsia="zh-CN"/>
              </w:rPr>
              <w:t>7</w:t>
            </w:r>
            <w:r>
              <w:rPr>
                <w:rFonts w:hint="eastAsia" w:ascii="宋体" w:hAnsi="宋体"/>
                <w:sz w:val="24"/>
                <w:lang w:val="zh-CN"/>
              </w:rPr>
              <w:t>天内)。提供青海省水利建设市场信用信息平台从业单位查询</w:t>
            </w:r>
            <w:r>
              <w:rPr>
                <w:rFonts w:hint="eastAsia" w:ascii="宋体" w:hAnsi="宋体"/>
                <w:sz w:val="24"/>
                <w:lang w:val="zh-CN"/>
              </w:rPr>
              <w:fldChar w:fldCharType="begin"/>
            </w:r>
            <w:r>
              <w:rPr>
                <w:rFonts w:hint="eastAsia" w:ascii="宋体" w:hAnsi="宋体"/>
                <w:sz w:val="24"/>
                <w:lang w:val="zh-CN"/>
              </w:rPr>
              <w:instrText xml:space="preserve"> HYPERLINK "http://220.167.224.23/userlogin.do" \h </w:instrText>
            </w:r>
            <w:r>
              <w:rPr>
                <w:rFonts w:hint="eastAsia" w:ascii="宋体" w:hAnsi="宋体"/>
                <w:sz w:val="24"/>
                <w:lang w:val="zh-CN"/>
              </w:rPr>
              <w:fldChar w:fldCharType="separate"/>
            </w:r>
            <w:r>
              <w:rPr>
                <w:rFonts w:hint="eastAsia" w:ascii="宋体" w:hAnsi="宋体"/>
                <w:sz w:val="24"/>
                <w:lang w:val="zh-CN"/>
              </w:rPr>
              <w:t>截图（http://220.167.224.23/userlogin.do</w:t>
            </w:r>
            <w:r>
              <w:rPr>
                <w:rFonts w:hint="eastAsia" w:ascii="宋体" w:hAnsi="宋体"/>
                <w:sz w:val="24"/>
                <w:lang w:val="zh-CN"/>
              </w:rPr>
              <w:fldChar w:fldCharType="end"/>
            </w:r>
            <w:r>
              <w:rPr>
                <w:rFonts w:hint="eastAsia" w:ascii="宋体" w:hAnsi="宋体"/>
                <w:sz w:val="24"/>
                <w:lang w:val="zh-CN"/>
              </w:rPr>
              <w:t>）。</w:t>
            </w:r>
          </w:p>
          <w:p>
            <w:pPr>
              <w:pStyle w:val="18"/>
              <w:spacing w:line="360" w:lineRule="auto"/>
              <w:rPr>
                <w:rFonts w:ascii="宋体" w:hAnsi="宋体"/>
                <w:sz w:val="24"/>
              </w:rPr>
            </w:pPr>
            <w:r>
              <w:rPr>
                <w:rFonts w:hint="eastAsia" w:ascii="宋体" w:hAnsi="宋体"/>
                <w:sz w:val="24"/>
                <w:lang w:val="en-US" w:eastAsia="zh-CN"/>
              </w:rPr>
              <w:t>4</w:t>
            </w:r>
            <w:r>
              <w:rPr>
                <w:rFonts w:hint="eastAsia" w:ascii="宋体" w:hAnsi="宋体"/>
                <w:sz w:val="24"/>
                <w:lang w:val="zh-CN"/>
              </w:rPr>
              <w:t>.本项目不接受磋商人以联合体方式进行投标；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sz w:val="24"/>
                <w:lang w:val="zh-CN"/>
              </w:rPr>
            </w:pPr>
            <w:r>
              <w:rPr>
                <w:rFonts w:hint="eastAsia" w:ascii="宋体" w:hAnsi="宋体"/>
                <w:sz w:val="24"/>
                <w:lang w:val="zh-CN"/>
              </w:rPr>
              <w:t>公告发布时间</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9"/>
              <w:spacing w:line="360" w:lineRule="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2020年</w:t>
            </w:r>
            <w:r>
              <w:rPr>
                <w:rFonts w:hint="eastAsia" w:ascii="宋体" w:hAnsi="宋体" w:eastAsia="宋体" w:cs="宋体"/>
                <w:kern w:val="0"/>
                <w:sz w:val="24"/>
                <w:szCs w:val="24"/>
                <w:lang w:val="en-US" w:eastAsia="zh-CN" w:bidi="ar-SA"/>
              </w:rPr>
              <w:t>4</w:t>
            </w:r>
            <w:r>
              <w:rPr>
                <w:rFonts w:hint="eastAsia" w:ascii="宋体" w:hAnsi="宋体" w:eastAsia="宋体" w:cs="宋体"/>
                <w:kern w:val="0"/>
                <w:sz w:val="24"/>
                <w:szCs w:val="24"/>
                <w:lang w:val="zh-CN" w:eastAsia="zh-CN" w:bidi="ar-SA"/>
              </w:rPr>
              <w:t>月</w:t>
            </w:r>
            <w:r>
              <w:rPr>
                <w:rFonts w:hint="eastAsia" w:ascii="宋体" w:hAnsi="宋体" w:eastAsia="宋体" w:cs="宋体"/>
                <w:kern w:val="0"/>
                <w:sz w:val="24"/>
                <w:szCs w:val="24"/>
                <w:lang w:val="en-US" w:eastAsia="zh-CN" w:bidi="ar-SA"/>
              </w:rPr>
              <w:t>09</w:t>
            </w:r>
            <w:r>
              <w:rPr>
                <w:rFonts w:hint="eastAsia" w:ascii="宋体" w:hAnsi="宋体" w:eastAsia="宋体" w:cs="宋体"/>
                <w:kern w:val="0"/>
                <w:sz w:val="24"/>
                <w:szCs w:val="24"/>
                <w:lang w:val="zh-CN" w:eastAsia="zh-CN" w:bidi="ar-SA"/>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2089" w:type="dxa"/>
            <w:tcBorders>
              <w:top w:val="outset" w:color="000000" w:sz="6" w:space="0"/>
              <w:left w:val="outset" w:color="000000" w:sz="6" w:space="0"/>
              <w:bottom w:val="outset" w:color="000000" w:sz="6" w:space="0"/>
              <w:right w:val="outset" w:color="000000" w:sz="6" w:space="0"/>
            </w:tcBorders>
            <w:noWrap w:val="0"/>
            <w:vAlign w:val="top"/>
          </w:tcPr>
          <w:p>
            <w:pPr>
              <w:pStyle w:val="17"/>
              <w:spacing w:line="360" w:lineRule="auto"/>
              <w:jc w:val="left"/>
              <w:rPr>
                <w:rFonts w:ascii="宋体" w:hAnsi="宋体"/>
                <w:sz w:val="24"/>
              </w:rPr>
            </w:pPr>
            <w:r>
              <w:rPr>
                <w:rFonts w:hint="eastAsia" w:ascii="宋体" w:hAnsi="宋体"/>
                <w:sz w:val="24"/>
              </w:rPr>
              <w:t>磋商文件发售起止时间</w:t>
            </w:r>
          </w:p>
        </w:tc>
        <w:tc>
          <w:tcPr>
            <w:tcW w:w="7580" w:type="dxa"/>
            <w:tcBorders>
              <w:top w:val="outset" w:color="000000" w:sz="6" w:space="0"/>
              <w:left w:val="outset" w:color="000000" w:sz="6" w:space="0"/>
              <w:bottom w:val="outset" w:color="000000" w:sz="6" w:space="0"/>
              <w:right w:val="outset" w:color="000000" w:sz="6" w:space="0"/>
            </w:tcBorders>
            <w:noWrap w:val="0"/>
            <w:vAlign w:val="top"/>
          </w:tcPr>
          <w:p>
            <w:pPr>
              <w:pStyle w:val="19"/>
              <w:spacing w:line="360" w:lineRule="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自20</w:t>
            </w:r>
            <w:r>
              <w:rPr>
                <w:rFonts w:hint="eastAsia" w:ascii="宋体" w:hAnsi="宋体" w:eastAsia="宋体" w:cs="宋体"/>
                <w:kern w:val="0"/>
                <w:sz w:val="24"/>
                <w:szCs w:val="24"/>
                <w:lang w:val="en-US" w:eastAsia="zh-CN" w:bidi="ar-SA"/>
              </w:rPr>
              <w:t>20</w:t>
            </w:r>
            <w:r>
              <w:rPr>
                <w:rFonts w:hint="eastAsia" w:ascii="宋体" w:hAnsi="宋体" w:eastAsia="宋体" w:cs="宋体"/>
                <w:kern w:val="0"/>
                <w:sz w:val="24"/>
                <w:szCs w:val="24"/>
                <w:lang w:val="zh-CN" w:eastAsia="zh-CN" w:bidi="ar-SA"/>
              </w:rPr>
              <w:t>年</w:t>
            </w:r>
            <w:r>
              <w:rPr>
                <w:rFonts w:hint="eastAsia" w:ascii="宋体" w:hAnsi="宋体" w:eastAsia="宋体" w:cs="宋体"/>
                <w:kern w:val="0"/>
                <w:sz w:val="24"/>
                <w:szCs w:val="24"/>
                <w:lang w:val="en-US" w:eastAsia="zh-CN" w:bidi="ar-SA"/>
              </w:rPr>
              <w:t>4</w:t>
            </w:r>
            <w:r>
              <w:rPr>
                <w:rFonts w:hint="eastAsia" w:ascii="宋体" w:hAnsi="宋体" w:eastAsia="宋体" w:cs="宋体"/>
                <w:kern w:val="0"/>
                <w:sz w:val="24"/>
                <w:szCs w:val="24"/>
                <w:lang w:val="zh-CN" w:eastAsia="zh-CN" w:bidi="ar-SA"/>
              </w:rPr>
              <w:t>月</w:t>
            </w:r>
            <w:r>
              <w:rPr>
                <w:rFonts w:hint="eastAsia" w:ascii="宋体" w:hAnsi="宋体" w:eastAsia="宋体" w:cs="宋体"/>
                <w:kern w:val="0"/>
                <w:sz w:val="24"/>
                <w:szCs w:val="24"/>
                <w:lang w:val="en-US" w:eastAsia="zh-CN" w:bidi="ar-SA"/>
              </w:rPr>
              <w:t>10</w:t>
            </w:r>
            <w:r>
              <w:rPr>
                <w:rFonts w:hint="eastAsia" w:ascii="宋体" w:hAnsi="宋体" w:eastAsia="宋体" w:cs="宋体"/>
                <w:kern w:val="0"/>
                <w:sz w:val="24"/>
                <w:szCs w:val="24"/>
                <w:lang w:val="zh-CN" w:eastAsia="zh-CN" w:bidi="ar-SA"/>
              </w:rPr>
              <w:t>日至20</w:t>
            </w:r>
            <w:r>
              <w:rPr>
                <w:rFonts w:hint="eastAsia" w:ascii="宋体" w:hAnsi="宋体" w:eastAsia="宋体" w:cs="宋体"/>
                <w:kern w:val="0"/>
                <w:sz w:val="24"/>
                <w:szCs w:val="24"/>
                <w:lang w:val="en-US" w:eastAsia="zh-CN" w:bidi="ar-SA"/>
              </w:rPr>
              <w:t>20</w:t>
            </w:r>
            <w:r>
              <w:rPr>
                <w:rFonts w:hint="eastAsia" w:ascii="宋体" w:hAnsi="宋体" w:eastAsia="宋体" w:cs="宋体"/>
                <w:kern w:val="0"/>
                <w:sz w:val="24"/>
                <w:szCs w:val="24"/>
                <w:lang w:val="zh-CN" w:eastAsia="zh-CN" w:bidi="ar-SA"/>
              </w:rPr>
              <w:t>年</w:t>
            </w:r>
            <w:r>
              <w:rPr>
                <w:rFonts w:hint="eastAsia" w:ascii="宋体" w:hAnsi="宋体" w:eastAsia="宋体" w:cs="宋体"/>
                <w:kern w:val="0"/>
                <w:sz w:val="24"/>
                <w:szCs w:val="24"/>
                <w:lang w:val="en-US" w:eastAsia="zh-CN" w:bidi="ar-SA"/>
              </w:rPr>
              <w:t>04</w:t>
            </w:r>
            <w:r>
              <w:rPr>
                <w:rFonts w:hint="eastAsia" w:ascii="宋体" w:hAnsi="宋体" w:eastAsia="宋体" w:cs="宋体"/>
                <w:kern w:val="0"/>
                <w:sz w:val="24"/>
                <w:szCs w:val="24"/>
                <w:lang w:val="zh-CN" w:eastAsia="zh-CN" w:bidi="ar-SA"/>
              </w:rPr>
              <w:t>月</w:t>
            </w:r>
            <w:r>
              <w:rPr>
                <w:rFonts w:hint="eastAsia" w:ascii="宋体" w:hAnsi="宋体" w:eastAsia="宋体" w:cs="宋体"/>
                <w:kern w:val="0"/>
                <w:sz w:val="24"/>
                <w:szCs w:val="24"/>
                <w:lang w:val="en-US" w:eastAsia="zh-CN" w:bidi="ar-SA"/>
              </w:rPr>
              <w:t>16</w:t>
            </w:r>
            <w:r>
              <w:rPr>
                <w:rFonts w:hint="eastAsia" w:ascii="宋体" w:hAnsi="宋体" w:eastAsia="宋体" w:cs="宋体"/>
                <w:kern w:val="0"/>
                <w:sz w:val="24"/>
                <w:szCs w:val="24"/>
                <w:lang w:val="zh-CN" w:eastAsia="zh-CN" w:bidi="ar-SA"/>
              </w:rPr>
              <w:t>日（上午</w:t>
            </w:r>
            <w:r>
              <w:rPr>
                <w:rFonts w:hint="eastAsia" w:ascii="宋体" w:hAnsi="宋体" w:eastAsia="宋体" w:cs="宋体"/>
                <w:kern w:val="0"/>
                <w:sz w:val="24"/>
                <w:szCs w:val="24"/>
                <w:lang w:val="en-US" w:eastAsia="zh-CN" w:bidi="ar-SA"/>
              </w:rPr>
              <w:t>09</w:t>
            </w:r>
            <w:r>
              <w:rPr>
                <w:rFonts w:hint="eastAsia" w:ascii="宋体" w:hAnsi="宋体" w:eastAsia="宋体" w:cs="宋体"/>
                <w:kern w:val="0"/>
                <w:sz w:val="24"/>
                <w:szCs w:val="24"/>
                <w:lang w:val="zh-CN" w:eastAsia="zh-CN" w:bidi="ar-SA"/>
              </w:rPr>
              <w:t>:00-12:00，下午14:</w:t>
            </w: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zh-CN" w:eastAsia="zh-CN" w:bidi="ar-SA"/>
              </w:rPr>
              <w:t>0-17:</w:t>
            </w:r>
            <w:r>
              <w:rPr>
                <w:rFonts w:hint="eastAsia" w:ascii="宋体" w:hAnsi="宋体" w:eastAsia="宋体" w:cs="宋体"/>
                <w:kern w:val="0"/>
                <w:sz w:val="24"/>
                <w:szCs w:val="24"/>
                <w:lang w:val="en-US" w:eastAsia="zh-CN" w:bidi="ar-SA"/>
              </w:rPr>
              <w:t>30</w:t>
            </w:r>
            <w:r>
              <w:rPr>
                <w:rFonts w:hint="eastAsia" w:ascii="宋体" w:hAnsi="宋体" w:eastAsia="宋体" w:cs="宋体"/>
                <w:kern w:val="0"/>
                <w:sz w:val="24"/>
                <w:szCs w:val="24"/>
                <w:lang w:val="zh-CN" w:eastAsia="zh-CN" w:bidi="ar-SA"/>
              </w:rPr>
              <w:t>休息日、节假日除外）。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磋商文件发售方式</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rPr>
                <w:rFonts w:hint="eastAsia" w:ascii="宋体" w:hAnsi="宋体" w:eastAsia="宋体"/>
                <w:kern w:val="0"/>
                <w:sz w:val="24"/>
                <w:lang w:eastAsia="zh-CN"/>
              </w:rPr>
            </w:pPr>
            <w:r>
              <w:rPr>
                <w:rFonts w:hint="eastAsia"/>
                <w:kern w:val="0"/>
                <w:sz w:val="24"/>
                <w:lang w:eastAsia="zh-CN"/>
              </w:rPr>
              <w:t>现场购买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磋商文件售价</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rPr>
                <w:rFonts w:ascii="宋体" w:hAnsi="宋体"/>
                <w:kern w:val="0"/>
                <w:sz w:val="24"/>
              </w:rPr>
            </w:pPr>
            <w:r>
              <w:rPr>
                <w:rFonts w:hint="eastAsia" w:ascii="宋体" w:hAnsi="宋体"/>
                <w:kern w:val="0"/>
                <w:sz w:val="24"/>
              </w:rPr>
              <w:t>500元整</w:t>
            </w:r>
            <w:r>
              <w:rPr>
                <w:rFonts w:hint="eastAsia" w:ascii="宋体" w:hAnsi="宋体" w:cs="宋体"/>
                <w:kern w:val="0"/>
                <w:sz w:val="24"/>
                <w:lang w:val="zh-CN"/>
              </w:rPr>
              <w:t>（磋商文件售后不退,磋商资格不能转让）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磋商文件发售地点</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shd w:val="clear" w:color="000000" w:fill="auto"/>
              <w:autoSpaceDE w:val="0"/>
              <w:autoSpaceDN w:val="0"/>
              <w:adjustRightInd w:val="0"/>
              <w:spacing w:line="440" w:lineRule="exact"/>
              <w:jc w:val="left"/>
              <w:rPr>
                <w:rFonts w:hint="eastAsia" w:ascii="宋体" w:hAnsi="宋体" w:eastAsia="宋体"/>
                <w:kern w:val="0"/>
                <w:sz w:val="24"/>
                <w:lang w:val="en-US" w:eastAsia="zh-CN"/>
              </w:rPr>
            </w:pPr>
            <w:r>
              <w:rPr>
                <w:rFonts w:hint="eastAsia" w:ascii="宋体" w:hAnsi="宋体" w:cs="宋体"/>
                <w:color w:val="000000"/>
                <w:kern w:val="0"/>
                <w:sz w:val="24"/>
                <w:lang w:val="zh-CN" w:eastAsia="zh-CN"/>
              </w:rPr>
              <w:t>地址：</w:t>
            </w:r>
            <w:r>
              <w:rPr>
                <w:rFonts w:hint="eastAsia" w:ascii="宋体" w:hAnsi="宋体" w:cs="宋体"/>
                <w:color w:val="000000"/>
                <w:kern w:val="0"/>
                <w:sz w:val="24"/>
                <w:lang w:eastAsia="zh-CN"/>
              </w:rPr>
              <w:t>青海东煌工程咨询招标代理有限公司</w:t>
            </w:r>
            <w:r>
              <w:rPr>
                <w:rFonts w:hint="default" w:ascii="宋体" w:hAnsi="宋体" w:cs="宋体"/>
                <w:color w:val="000000"/>
                <w:kern w:val="0"/>
                <w:sz w:val="24"/>
                <w:lang w:val="en-US" w:eastAsia="zh-CN"/>
              </w:rPr>
              <w:t>(</w:t>
            </w:r>
            <w:r>
              <w:rPr>
                <w:rFonts w:hint="eastAsia" w:ascii="宋体" w:hAnsi="宋体" w:cs="宋体"/>
                <w:color w:val="000000"/>
                <w:kern w:val="0"/>
                <w:sz w:val="24"/>
                <w:lang w:val="en-US" w:eastAsia="zh-CN"/>
              </w:rPr>
              <w:t>招标部）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购买磋商文件时应提供材料</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widowControl/>
              <w:jc w:val="left"/>
              <w:textAlignment w:val="center"/>
              <w:rPr>
                <w:rFonts w:hint="eastAsia" w:ascii="宋体" w:hAnsi="宋体" w:cs="宋体"/>
                <w:sz w:val="24"/>
                <w:lang w:val="zh-CN"/>
              </w:rPr>
            </w:pPr>
            <w:r>
              <w:rPr>
                <w:rFonts w:hint="eastAsia" w:ascii="宋体" w:hAnsi="宋体" w:cs="宋体"/>
                <w:sz w:val="24"/>
                <w:lang w:val="zh-CN"/>
              </w:rPr>
              <w:t>单位介绍信原件；法人授权委托书原件；法人与被授权人身份证（复印件加盖公章）；有效的企业营业执照、组织机构代码证、税务登记证或三证合一营业执照（复印件加盖公章）；开户行许可证（复印件加盖公章）；</w:t>
            </w:r>
          </w:p>
          <w:p>
            <w:pPr>
              <w:pStyle w:val="17"/>
              <w:spacing w:line="360" w:lineRule="auto"/>
              <w:rPr>
                <w:rFonts w:ascii="宋体" w:hAnsi="宋体"/>
                <w:kern w:val="0"/>
                <w:sz w:val="24"/>
              </w:rPr>
            </w:pPr>
            <w:r>
              <w:rPr>
                <w:rFonts w:hint="eastAsia" w:ascii="宋体" w:hAnsi="宋体" w:cs="宋体"/>
                <w:sz w:val="24"/>
                <w:lang w:val="zh-CN"/>
              </w:rPr>
              <w:t>以上资料请投标单位加盖单位公章以便代理机构备案。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磋商截止时间</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2020年04月20日上午09：30分（北京时间）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磋商时间</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2020年04月20日上午09：30分（北京时间）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磋商及磋商地点</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rPr>
                <w:rFonts w:hint="default"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万达广场S0H04号楼3楼东面1一9号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采购单位及联系人电话</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pStyle w:val="18"/>
              <w:spacing w:line="360" w:lineRule="auto"/>
              <w:rPr>
                <w:rFonts w:hint="eastAsia" w:ascii="宋体" w:hAnsi="宋体" w:eastAsia="宋体"/>
                <w:color w:val="000000"/>
                <w:kern w:val="0"/>
                <w:sz w:val="24"/>
                <w:lang w:eastAsia="zh-CN"/>
              </w:rPr>
            </w:pPr>
            <w:r>
              <w:rPr>
                <w:rFonts w:ascii="宋体" w:hAnsi="宋体"/>
                <w:color w:val="000000"/>
                <w:kern w:val="0"/>
                <w:sz w:val="24"/>
              </w:rPr>
              <w:t>采</w:t>
            </w:r>
            <w:r>
              <w:rPr>
                <w:rFonts w:hint="eastAsia" w:ascii="宋体" w:hAnsi="宋体"/>
                <w:color w:val="000000"/>
                <w:kern w:val="0"/>
                <w:sz w:val="24"/>
              </w:rPr>
              <w:t xml:space="preserve"> </w:t>
            </w:r>
            <w:r>
              <w:rPr>
                <w:rFonts w:ascii="宋体" w:hAnsi="宋体"/>
                <w:color w:val="000000"/>
                <w:kern w:val="0"/>
                <w:sz w:val="24"/>
              </w:rPr>
              <w:t>购</w:t>
            </w:r>
            <w:r>
              <w:rPr>
                <w:rFonts w:hint="eastAsia" w:ascii="宋体" w:hAnsi="宋体"/>
                <w:color w:val="000000"/>
                <w:kern w:val="0"/>
                <w:sz w:val="24"/>
              </w:rPr>
              <w:t xml:space="preserve"> </w:t>
            </w:r>
            <w:r>
              <w:rPr>
                <w:rFonts w:ascii="宋体" w:hAnsi="宋体"/>
                <w:color w:val="000000"/>
                <w:kern w:val="0"/>
                <w:sz w:val="24"/>
              </w:rPr>
              <w:t>人</w:t>
            </w:r>
            <w:r>
              <w:rPr>
                <w:rFonts w:hint="eastAsia" w:ascii="宋体" w:hAnsi="宋体"/>
                <w:color w:val="000000"/>
                <w:kern w:val="0"/>
                <w:sz w:val="24"/>
              </w:rPr>
              <w:t>：</w:t>
            </w:r>
            <w:r>
              <w:rPr>
                <w:rFonts w:hint="eastAsia" w:ascii="宋体" w:hAnsi="宋体"/>
                <w:color w:val="000000"/>
                <w:kern w:val="0"/>
                <w:sz w:val="24"/>
                <w:lang w:eastAsia="zh-CN"/>
              </w:rPr>
              <w:t>海东市平安区水利工程技术管理办公室</w:t>
            </w:r>
          </w:p>
          <w:p>
            <w:pPr>
              <w:pStyle w:val="18"/>
              <w:spacing w:line="360" w:lineRule="auto"/>
              <w:rPr>
                <w:rFonts w:hint="default" w:ascii="宋体" w:hAnsi="宋体" w:eastAsia="宋体"/>
                <w:color w:val="auto"/>
                <w:kern w:val="0"/>
                <w:sz w:val="24"/>
                <w:lang w:val="en-US" w:eastAsia="zh-CN"/>
              </w:rPr>
            </w:pPr>
            <w:r>
              <w:rPr>
                <w:rFonts w:hint="eastAsia" w:ascii="宋体" w:hAnsi="宋体"/>
                <w:color w:val="000000"/>
                <w:kern w:val="0"/>
                <w:sz w:val="24"/>
              </w:rPr>
              <w:t>联 系 人：</w:t>
            </w:r>
            <w:r>
              <w:rPr>
                <w:rFonts w:hint="eastAsia" w:ascii="宋体" w:hAnsi="宋体"/>
                <w:color w:val="000000"/>
                <w:kern w:val="0"/>
                <w:sz w:val="24"/>
                <w:lang w:val="en-US" w:eastAsia="zh-CN"/>
              </w:rPr>
              <w:t xml:space="preserve">宋先生     </w:t>
            </w:r>
            <w:r>
              <w:rPr>
                <w:rFonts w:ascii="宋体" w:hAnsi="宋体"/>
                <w:color w:val="000000"/>
                <w:kern w:val="0"/>
                <w:sz w:val="24"/>
              </w:rPr>
              <w:t>联系电话</w:t>
            </w:r>
            <w:r>
              <w:rPr>
                <w:rFonts w:hint="eastAsia" w:ascii="宋体" w:hAnsi="宋体"/>
                <w:color w:val="000000"/>
                <w:kern w:val="0"/>
                <w:sz w:val="24"/>
              </w:rPr>
              <w:t>：</w:t>
            </w:r>
            <w:r>
              <w:rPr>
                <w:rFonts w:hint="eastAsia" w:ascii="宋体" w:hAnsi="宋体"/>
                <w:color w:val="auto"/>
                <w:kern w:val="0"/>
                <w:sz w:val="24"/>
                <w:lang w:val="en-US" w:eastAsia="zh-CN"/>
              </w:rPr>
              <w:t>0972-8615153</w:t>
            </w:r>
          </w:p>
          <w:p>
            <w:pPr>
              <w:pStyle w:val="17"/>
              <w:spacing w:line="360" w:lineRule="auto"/>
              <w:rPr>
                <w:rFonts w:ascii="宋体" w:hAnsi="宋体"/>
                <w:kern w:val="0"/>
                <w:sz w:val="24"/>
              </w:rPr>
            </w:pPr>
            <w:r>
              <w:rPr>
                <w:rFonts w:ascii="宋体" w:hAnsi="宋体"/>
                <w:color w:val="000000"/>
                <w:kern w:val="0"/>
                <w:sz w:val="24"/>
              </w:rPr>
              <w:t>联系地址</w:t>
            </w:r>
            <w:r>
              <w:rPr>
                <w:rFonts w:hint="eastAsia" w:ascii="宋体" w:hAnsi="宋体"/>
                <w:color w:val="000000"/>
                <w:kern w:val="0"/>
                <w:sz w:val="24"/>
              </w:rPr>
              <w:t>：</w:t>
            </w:r>
            <w:r>
              <w:rPr>
                <w:rFonts w:hint="eastAsia" w:ascii="宋体" w:hAnsi="宋体"/>
                <w:color w:val="000000"/>
                <w:kern w:val="0"/>
                <w:sz w:val="24"/>
                <w:lang w:eastAsia="zh-CN"/>
              </w:rPr>
              <w:t>海东市平安区水利工程技术管理办公室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64" w:hRule="atLeast"/>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采购代理机构及联系人电话</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spacing w:line="360" w:lineRule="auto"/>
              <w:rPr>
                <w:rFonts w:hint="eastAsia" w:ascii="宋体" w:hAnsi="宋体" w:eastAsia="宋体"/>
                <w:kern w:val="0"/>
                <w:sz w:val="24"/>
                <w:lang w:val="en-US" w:eastAsia="zh-CN"/>
              </w:rPr>
            </w:pPr>
            <w:r>
              <w:rPr>
                <w:rFonts w:hint="eastAsia" w:ascii="宋体" w:hAnsi="宋体"/>
                <w:kern w:val="0"/>
                <w:sz w:val="24"/>
              </w:rPr>
              <w:t>采购代理机构：</w:t>
            </w:r>
            <w:r>
              <w:rPr>
                <w:rFonts w:hint="eastAsia" w:ascii="宋体" w:hAnsi="宋体"/>
                <w:kern w:val="0"/>
                <w:sz w:val="24"/>
                <w:lang w:eastAsia="zh-CN"/>
              </w:rPr>
              <w:t>青海东煌工程咨询招标代理有限公司</w:t>
            </w:r>
          </w:p>
          <w:p>
            <w:pPr>
              <w:spacing w:line="360" w:lineRule="auto"/>
              <w:rPr>
                <w:rFonts w:hint="default" w:ascii="宋体" w:hAnsi="宋体" w:eastAsia="宋体"/>
                <w:kern w:val="0"/>
                <w:sz w:val="24"/>
                <w:lang w:val="en-US" w:eastAsia="zh-CN"/>
              </w:rPr>
            </w:pPr>
            <w:r>
              <w:rPr>
                <w:rFonts w:hint="eastAsia" w:ascii="宋体" w:hAnsi="宋体"/>
                <w:kern w:val="0"/>
                <w:sz w:val="24"/>
              </w:rPr>
              <w:t>联   系   人：</w:t>
            </w:r>
            <w:r>
              <w:rPr>
                <w:rFonts w:hint="eastAsia" w:ascii="宋体" w:hAnsi="宋体"/>
                <w:kern w:val="0"/>
                <w:sz w:val="24"/>
                <w:lang w:val="en-US" w:eastAsia="zh-CN"/>
              </w:rPr>
              <w:t xml:space="preserve">祁先生    </w:t>
            </w:r>
            <w:r>
              <w:rPr>
                <w:rFonts w:hint="eastAsia" w:ascii="宋体" w:hAnsi="宋体"/>
                <w:kern w:val="0"/>
                <w:sz w:val="24"/>
              </w:rPr>
              <w:t>联 系  电 话：</w:t>
            </w:r>
            <w:r>
              <w:rPr>
                <w:rFonts w:hint="eastAsia" w:ascii="宋体" w:hAnsi="宋体"/>
                <w:kern w:val="0"/>
                <w:sz w:val="24"/>
                <w:lang w:val="en-US" w:eastAsia="zh-CN"/>
              </w:rPr>
              <w:t>18997229207</w:t>
            </w:r>
          </w:p>
          <w:p>
            <w:pPr>
              <w:pStyle w:val="17"/>
              <w:spacing w:line="360" w:lineRule="auto"/>
              <w:rPr>
                <w:rFonts w:hint="eastAsia" w:ascii="宋体" w:hAnsi="宋体" w:eastAsia="宋体"/>
                <w:kern w:val="0"/>
                <w:sz w:val="24"/>
                <w:lang w:val="en-US" w:eastAsia="zh-CN"/>
              </w:rPr>
            </w:pPr>
            <w:r>
              <w:rPr>
                <w:rFonts w:hint="eastAsia" w:ascii="宋体" w:hAnsi="宋体"/>
                <w:kern w:val="0"/>
                <w:sz w:val="24"/>
              </w:rPr>
              <w:t>联 系  地 址：</w:t>
            </w:r>
            <w:r>
              <w:rPr>
                <w:rFonts w:hint="eastAsia" w:ascii="宋体" w:hAnsi="宋体" w:eastAsia="宋体" w:cs="Times New Roman"/>
                <w:color w:val="000000"/>
                <w:kern w:val="0"/>
                <w:sz w:val="24"/>
                <w:szCs w:val="24"/>
                <w:lang w:val="en-US" w:eastAsia="zh-CN" w:bidi="ar-SA"/>
              </w:rPr>
              <w:t>万达广场S0H04号楼3楼东面1一9号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采购代理机构开户银行</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default" w:ascii="宋体" w:hAnsi="宋体" w:cs="宋体"/>
                <w:kern w:val="0"/>
                <w:sz w:val="24"/>
                <w:lang w:val="en-US"/>
              </w:rPr>
            </w:pPr>
            <w:r>
              <w:rPr>
                <w:rFonts w:hint="eastAsia" w:ascii="宋体" w:hAnsi="宋体" w:cs="Arial"/>
                <w:color w:val="auto"/>
                <w:kern w:val="0"/>
                <w:sz w:val="24"/>
                <w:lang w:val="en-US" w:eastAsia="zh-CN"/>
              </w:rPr>
              <w:t>中国建设银行股份有限公司西宁昆仑中路支行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收款人</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ascii="宋体" w:hAnsi="宋体" w:cs="宋体"/>
                <w:kern w:val="0"/>
                <w:sz w:val="24"/>
                <w:lang w:val="zh-CN"/>
              </w:rPr>
            </w:pPr>
            <w:r>
              <w:rPr>
                <w:rFonts w:hint="eastAsia" w:ascii="宋体" w:hAnsi="宋体" w:cs="Arial"/>
                <w:color w:val="auto"/>
                <w:kern w:val="0"/>
                <w:sz w:val="24"/>
                <w:lang w:eastAsia="zh-CN"/>
              </w:rPr>
              <w:t>青海东煌工程咨询招标代理有限公司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银行账号</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default" w:ascii="宋体" w:hAnsi="宋体" w:cs="宋体"/>
                <w:kern w:val="0"/>
                <w:sz w:val="24"/>
                <w:lang w:val="en-US"/>
              </w:rPr>
            </w:pPr>
            <w:r>
              <w:rPr>
                <w:rFonts w:hint="eastAsia" w:ascii="宋体" w:hAnsi="宋体" w:cs="Arial"/>
                <w:color w:val="auto"/>
                <w:kern w:val="0"/>
                <w:sz w:val="24"/>
                <w:lang w:val="en-US" w:eastAsia="zh-CN"/>
              </w:rPr>
              <w:t>63050145360400000176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4" w:hRule="atLeast"/>
          <w:jc w:val="center"/>
        </w:trPr>
        <w:tc>
          <w:tcPr>
            <w:tcW w:w="2089" w:type="dxa"/>
            <w:tcBorders>
              <w:top w:val="outset" w:color="000000" w:sz="6" w:space="0"/>
              <w:left w:val="outset" w:color="000000" w:sz="6" w:space="0"/>
              <w:bottom w:val="outset" w:color="000000" w:sz="6" w:space="0"/>
              <w:right w:val="outset" w:color="000000" w:sz="6" w:space="0"/>
            </w:tcBorders>
            <w:noWrap w:val="0"/>
            <w:vAlign w:val="center"/>
          </w:tcPr>
          <w:p>
            <w:pPr>
              <w:pStyle w:val="17"/>
              <w:spacing w:line="360" w:lineRule="auto"/>
              <w:jc w:val="left"/>
              <w:rPr>
                <w:rFonts w:ascii="宋体" w:hAnsi="宋体"/>
                <w:kern w:val="0"/>
                <w:sz w:val="24"/>
              </w:rPr>
            </w:pPr>
            <w:r>
              <w:rPr>
                <w:rFonts w:hint="eastAsia" w:ascii="宋体" w:hAnsi="宋体"/>
                <w:kern w:val="0"/>
                <w:sz w:val="24"/>
              </w:rPr>
              <w:t>其他事项</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eastAsia" w:ascii="宋体" w:hAnsi="宋体" w:eastAsia="宋体" w:cs="宋体"/>
                <w:kern w:val="0"/>
                <w:sz w:val="24"/>
                <w:lang w:val="zh-CN" w:eastAsia="zh-CN"/>
              </w:rPr>
            </w:pPr>
            <w:r>
              <w:rPr>
                <w:rFonts w:hint="eastAsia" w:ascii="宋体" w:hAnsi="宋体"/>
                <w:kern w:val="0"/>
                <w:sz w:val="24"/>
                <w:lang w:eastAsia="zh-CN"/>
              </w:rPr>
              <w:t>本公告同时在《政府采购云平台》、《青海省公共资源交易网》、《中国采购与招标网》上同时发布。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9" w:type="dxa"/>
            <w:tcBorders>
              <w:top w:val="outset" w:color="000000" w:sz="6" w:space="0"/>
              <w:left w:val="outset" w:color="000000" w:sz="6" w:space="0"/>
              <w:bottom w:val="outset" w:color="000000" w:sz="6" w:space="0"/>
              <w:right w:val="outset" w:color="000000" w:sz="6" w:space="0"/>
            </w:tcBorders>
            <w:noWrap w:val="0"/>
            <w:vAlign w:val="top"/>
          </w:tcPr>
          <w:p>
            <w:pPr>
              <w:autoSpaceDE w:val="0"/>
              <w:autoSpaceDN w:val="0"/>
              <w:spacing w:line="360" w:lineRule="auto"/>
              <w:jc w:val="left"/>
              <w:rPr>
                <w:rFonts w:ascii="宋体" w:hAnsi="宋体" w:cs="宋体"/>
                <w:sz w:val="24"/>
              </w:rPr>
            </w:pPr>
            <w:r>
              <w:rPr>
                <w:rFonts w:hint="eastAsia" w:ascii="宋体" w:hAnsi="宋体" w:cs="宋体"/>
                <w:sz w:val="24"/>
              </w:rPr>
              <w:t>财政部门监督电话</w:t>
            </w:r>
          </w:p>
        </w:tc>
        <w:tc>
          <w:tcPr>
            <w:tcW w:w="7580" w:type="dxa"/>
            <w:tcBorders>
              <w:top w:val="outset" w:color="000000" w:sz="6" w:space="0"/>
              <w:left w:val="outset" w:color="000000" w:sz="6" w:space="0"/>
              <w:bottom w:val="outset" w:color="000000" w:sz="6" w:space="0"/>
              <w:right w:val="outset" w:color="000000" w:sz="6" w:space="0"/>
            </w:tcBorders>
            <w:noWrap w:val="0"/>
            <w:vAlign w:val="center"/>
          </w:tcPr>
          <w:p>
            <w:pPr>
              <w:autoSpaceDE w:val="0"/>
              <w:autoSpaceDN w:val="0"/>
              <w:spacing w:line="360" w:lineRule="auto"/>
              <w:jc w:val="left"/>
              <w:rPr>
                <w:rFonts w:hint="default" w:ascii="宋体" w:hAnsi="宋体" w:eastAsia="宋体" w:cs="宋体"/>
                <w:sz w:val="24"/>
                <w:lang w:val="en-US" w:eastAsia="zh-CN"/>
              </w:rPr>
            </w:pPr>
            <w:r>
              <w:rPr>
                <w:rFonts w:ascii="宋体" w:hAnsi="宋体" w:cs="宋体"/>
                <w:color w:val="000000"/>
                <w:kern w:val="0"/>
                <w:sz w:val="24"/>
              </w:rPr>
              <w:t>监督单位：</w:t>
            </w:r>
            <w:r>
              <w:rPr>
                <w:rFonts w:hint="eastAsia" w:ascii="宋体" w:hAnsi="宋体" w:cs="宋体"/>
                <w:color w:val="000000"/>
                <w:kern w:val="0"/>
                <w:sz w:val="24"/>
                <w:lang w:val="en-US" w:eastAsia="zh-CN"/>
              </w:rPr>
              <w:t>海东市平安区财政局</w:t>
            </w:r>
            <w:r>
              <w:rPr>
                <w:rFonts w:hint="eastAsia"/>
                <w:sz w:val="24"/>
                <w:lang w:val="en-US" w:eastAsia="zh-CN"/>
              </w:rPr>
              <w:t xml:space="preserve">            </w:t>
            </w:r>
            <w:r>
              <w:rPr>
                <w:sz w:val="24"/>
              </w:rPr>
              <w:t>联系电话：</w:t>
            </w:r>
            <w:r>
              <w:rPr>
                <w:rFonts w:hint="eastAsia"/>
                <w:sz w:val="24"/>
                <w:lang w:val="en-US" w:eastAsia="zh-CN"/>
              </w:rPr>
              <w:t>0972-8613242</w:t>
            </w:r>
          </w:p>
        </w:tc>
      </w:tr>
    </w:tbl>
    <w:p>
      <w:pPr>
        <w:adjustRightInd w:val="0"/>
        <w:spacing w:line="360" w:lineRule="auto"/>
        <w:jc w:val="both"/>
        <w:textAlignment w:val="baseline"/>
        <w:rPr>
          <w:rFonts w:hint="eastAsia" w:ascii="宋体" w:hAnsi="宋体" w:eastAsia="宋体"/>
          <w:sz w:val="24"/>
          <w:lang w:val="en-US" w:eastAsia="zh-CN"/>
        </w:rPr>
      </w:pPr>
    </w:p>
    <w:p>
      <w:pPr>
        <w:adjustRightInd w:val="0"/>
        <w:spacing w:line="360" w:lineRule="auto"/>
        <w:jc w:val="right"/>
        <w:textAlignment w:val="baseline"/>
        <w:rPr>
          <w:rFonts w:hint="eastAsia" w:ascii="宋体" w:hAnsi="宋体"/>
          <w:sz w:val="48"/>
        </w:rPr>
      </w:pPr>
      <w:r>
        <w:rPr>
          <w:rFonts w:hint="eastAsia" w:ascii="宋体" w:hAnsi="宋体"/>
          <w:color w:val="000000"/>
          <w:sz w:val="24"/>
          <w:lang w:eastAsia="zh-CN"/>
        </w:rPr>
        <w:t>2020年</w:t>
      </w:r>
      <w:r>
        <w:rPr>
          <w:rFonts w:hint="eastAsia" w:ascii="宋体" w:hAnsi="宋体"/>
          <w:color w:val="000000"/>
          <w:sz w:val="24"/>
          <w:lang w:val="en-US" w:eastAsia="zh-CN"/>
        </w:rPr>
        <w:t>04</w:t>
      </w:r>
      <w:r>
        <w:rPr>
          <w:rFonts w:hint="eastAsia" w:ascii="宋体" w:hAnsi="宋体"/>
          <w:color w:val="000000"/>
          <w:sz w:val="24"/>
          <w:lang w:eastAsia="zh-CN"/>
        </w:rPr>
        <w:t>月</w:t>
      </w:r>
      <w:r>
        <w:rPr>
          <w:rFonts w:hint="eastAsia" w:ascii="宋体" w:hAnsi="宋体"/>
          <w:color w:val="000000"/>
          <w:sz w:val="24"/>
          <w:lang w:val="en-US" w:eastAsia="zh-CN"/>
        </w:rPr>
        <w:t>09</w:t>
      </w:r>
      <w:r>
        <w:rPr>
          <w:rFonts w:hint="eastAsia" w:ascii="宋体" w:hAnsi="宋体"/>
          <w:color w:val="000000"/>
          <w:sz w:val="24"/>
          <w:lang w:eastAsia="zh-CN"/>
        </w:rPr>
        <w:t>日</w:t>
      </w:r>
      <w:bookmarkStart w:id="6" w:name="_Toc444715733"/>
      <w:bookmarkStart w:id="7" w:name="_Toc535421956"/>
      <w:bookmarkStart w:id="8" w:name="_Toc17192_WPSOffice_Level1"/>
      <w:bookmarkStart w:id="9" w:name="_Toc29447"/>
    </w:p>
    <w:p>
      <w:pPr>
        <w:pStyle w:val="11"/>
        <w:spacing w:before="0" w:after="0" w:line="360" w:lineRule="auto"/>
        <w:ind w:firstLine="964" w:firstLineChars="200"/>
        <w:jc w:val="both"/>
        <w:rPr>
          <w:rFonts w:hint="eastAsia" w:ascii="宋体" w:hAnsi="宋体"/>
          <w:sz w:val="48"/>
        </w:rPr>
      </w:pPr>
    </w:p>
    <w:p>
      <w:pPr>
        <w:pStyle w:val="11"/>
        <w:spacing w:before="0" w:after="0" w:line="360" w:lineRule="auto"/>
        <w:ind w:firstLine="964" w:firstLineChars="200"/>
        <w:jc w:val="both"/>
        <w:rPr>
          <w:rFonts w:ascii="宋体" w:hAnsi="宋体"/>
          <w:lang w:val="zh-CN"/>
        </w:rPr>
      </w:pPr>
      <w:r>
        <w:rPr>
          <w:rFonts w:hint="eastAsia" w:ascii="宋体" w:hAnsi="宋体"/>
          <w:sz w:val="48"/>
        </w:rPr>
        <w:t>第二部分  磋商供应商须知前附表</w:t>
      </w:r>
      <w:bookmarkEnd w:id="6"/>
      <w:bookmarkEnd w:id="7"/>
      <w:bookmarkEnd w:id="8"/>
      <w:bookmarkEnd w:id="9"/>
    </w:p>
    <w:tbl>
      <w:tblPr>
        <w:tblStyle w:val="15"/>
        <w:tblW w:w="10433" w:type="dxa"/>
        <w:jc w:val="center"/>
        <w:tblLayout w:type="fixed"/>
        <w:tblCellMar>
          <w:top w:w="0" w:type="dxa"/>
          <w:left w:w="57" w:type="dxa"/>
          <w:bottom w:w="0" w:type="dxa"/>
          <w:right w:w="57" w:type="dxa"/>
        </w:tblCellMar>
      </w:tblPr>
      <w:tblGrid>
        <w:gridCol w:w="653"/>
        <w:gridCol w:w="2098"/>
        <w:gridCol w:w="768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color w:val="000000"/>
                <w:kern w:val="0"/>
                <w:sz w:val="24"/>
                <w:lang w:val="zh-CN"/>
              </w:rPr>
            </w:pPr>
            <w:r>
              <w:rPr>
                <w:rFonts w:hint="eastAsia" w:ascii="宋体" w:hAnsi="宋体"/>
                <w:color w:val="000000"/>
                <w:kern w:val="0"/>
                <w:sz w:val="24"/>
                <w:szCs w:val="24"/>
                <w:lang w:val="en-US" w:eastAsia="zh-CN" w:bidi="ar-SA"/>
              </w:rPr>
              <w:t>海东市平安区沙沟乡农村饮水安全及水质提升工程</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default" w:ascii="宋体" w:hAnsi="宋体" w:cs="宋体"/>
                <w:color w:val="000000"/>
                <w:kern w:val="0"/>
                <w:sz w:val="24"/>
                <w:lang w:val="en-US"/>
              </w:rPr>
            </w:pPr>
            <w:r>
              <w:rPr>
                <w:rFonts w:hint="eastAsia" w:cs="宋体"/>
                <w:color w:val="000000"/>
                <w:kern w:val="2"/>
                <w:sz w:val="24"/>
                <w:szCs w:val="24"/>
                <w:lang w:val="en-US" w:eastAsia="zh-CN" w:bidi="ar-SA"/>
              </w:rPr>
              <w:t>青海东煌竞磋（服务）2020-001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海东市平安区水利工程技术管理办公室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4"/>
                <w:lang w:val="en-US"/>
              </w:rPr>
            </w:pPr>
            <w:r>
              <w:rPr>
                <w:rFonts w:hint="eastAsia" w:cs="宋体"/>
                <w:sz w:val="24"/>
                <w:lang w:val="zh-CN" w:eastAsia="zh-CN"/>
              </w:rPr>
              <w:t>青海东煌工程咨询招标代理有限公司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keepNext w:val="0"/>
              <w:keepLines w:val="0"/>
              <w:widowControl/>
              <w:suppressLineNumbers w:val="0"/>
              <w:jc w:val="left"/>
              <w:rPr>
                <w:rFonts w:hint="default" w:ascii="宋体" w:hAnsi="宋体"/>
                <w:color w:val="000000"/>
                <w:kern w:val="0"/>
                <w:sz w:val="24"/>
                <w:lang w:val="en-US" w:eastAsia="zh-CN"/>
              </w:rPr>
            </w:pPr>
            <w:r>
              <w:rPr>
                <w:rFonts w:hint="eastAsia" w:ascii="宋体" w:hAnsi="宋体"/>
                <w:color w:val="000000"/>
                <w:kern w:val="0"/>
                <w:sz w:val="24"/>
                <w:lang w:val="en-US" w:eastAsia="zh-CN"/>
              </w:rPr>
              <w:t>包一地质勘察费按照建设部计价格【2006】1352号文计取，以主管部门审定的费用基础上下浮1%—10%，超出此范围报价为无效报价</w:t>
            </w:r>
          </w:p>
          <w:p>
            <w:pPr>
              <w:spacing w:line="360" w:lineRule="auto"/>
              <w:jc w:val="left"/>
              <w:rPr>
                <w:rFonts w:ascii="宋体" w:hAnsi="宋体" w:cs="宋体"/>
                <w:kern w:val="0"/>
                <w:sz w:val="24"/>
                <w:lang w:val="zh-CN"/>
              </w:rPr>
            </w:pPr>
            <w:r>
              <w:rPr>
                <w:rFonts w:hint="eastAsia" w:ascii="宋体" w:hAnsi="宋体"/>
                <w:color w:val="000000"/>
                <w:kern w:val="0"/>
                <w:sz w:val="24"/>
                <w:lang w:val="en-US" w:eastAsia="zh-CN"/>
              </w:rPr>
              <w:t xml:space="preserve"> 包二实施方案设计费按照青计价格【2002】10号文计取，以主管部门审定的费用基础上下浮1%—10%，超出此范围报价为无效报价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left"/>
              <w:rPr>
                <w:rFonts w:hint="default" w:ascii="宋体" w:hAnsi="宋体" w:eastAsia="宋体" w:cs="宋体"/>
                <w:kern w:val="0"/>
                <w:sz w:val="24"/>
                <w:lang w:val="en-US" w:eastAsia="zh-CN"/>
              </w:rPr>
            </w:pPr>
            <w:r>
              <w:rPr>
                <w:rFonts w:hint="eastAsia" w:ascii="宋体" w:hAnsi="宋体" w:cs="宋体"/>
                <w:kern w:val="0"/>
                <w:sz w:val="24"/>
                <w:lang w:val="en-US" w:eastAsia="zh-CN"/>
              </w:rPr>
              <w:t>2个包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hint="eastAsia" w:ascii="宋体" w:hAnsi="宋体" w:cs="宋体"/>
                <w:bCs/>
                <w:kern w:val="0"/>
                <w:sz w:val="24"/>
                <w:highlight w:val="none"/>
                <w:lang w:val="zh-CN"/>
              </w:rPr>
            </w:pPr>
            <w:r>
              <w:rPr>
                <w:rFonts w:hint="eastAsia" w:ascii="宋体" w:hAnsi="宋体" w:cs="宋体"/>
                <w:bCs/>
                <w:color w:val="000000"/>
                <w:kern w:val="0"/>
                <w:sz w:val="24"/>
                <w:highlight w:val="none"/>
                <w:lang w:val="zh-CN"/>
              </w:rPr>
              <w:t>服务期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jc w:val="left"/>
              <w:rPr>
                <w:rFonts w:hint="eastAsia" w:ascii="宋体" w:hAnsi="宋体" w:eastAsia="宋体" w:cs="宋体"/>
                <w:kern w:val="0"/>
                <w:sz w:val="24"/>
                <w:lang w:val="en-US" w:eastAsia="zh-CN"/>
              </w:rPr>
            </w:pPr>
            <w:r>
              <w:rPr>
                <w:rFonts w:hint="eastAsia" w:ascii="宋体" w:hAnsi="宋体" w:cs="宋体"/>
                <w:kern w:val="0"/>
                <w:sz w:val="24"/>
                <w:lang w:val="zh-CN"/>
              </w:rPr>
              <w:t>合同签订后</w:t>
            </w:r>
            <w:r>
              <w:rPr>
                <w:rFonts w:hint="eastAsia" w:ascii="宋体" w:hAnsi="宋体" w:cs="宋体"/>
                <w:kern w:val="0"/>
                <w:sz w:val="24"/>
                <w:lang w:val="en-US" w:eastAsia="zh-CN"/>
              </w:rPr>
              <w:t>20天内编制完成</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详见磋商文件“第六部分 采购项目要求及技术参数”</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color w:val="000000"/>
                <w:kern w:val="0"/>
                <w:sz w:val="24"/>
                <w:lang w:val="zh-CN"/>
              </w:rPr>
            </w:pPr>
            <w:r>
              <w:rPr>
                <w:rFonts w:hint="eastAsia" w:ascii="宋体" w:hAnsi="宋体" w:cs="宋体"/>
                <w:color w:val="000000"/>
                <w:sz w:val="24"/>
              </w:rPr>
              <w:t>磋商供应商</w:t>
            </w:r>
            <w:r>
              <w:rPr>
                <w:rFonts w:hint="eastAsia" w:ascii="宋体" w:hAnsi="宋体" w:cs="宋体"/>
                <w:bCs/>
                <w:color w:val="000000"/>
                <w:kern w:val="0"/>
                <w:sz w:val="24"/>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pStyle w:val="18"/>
              <w:spacing w:line="360" w:lineRule="auto"/>
              <w:ind w:firstLine="240" w:firstLineChars="100"/>
              <w:rPr>
                <w:rFonts w:hint="eastAsia" w:ascii="宋体" w:hAnsi="宋体"/>
                <w:color w:val="000000"/>
                <w:sz w:val="24"/>
                <w:lang w:val="zh-CN"/>
              </w:rPr>
            </w:pPr>
            <w:r>
              <w:rPr>
                <w:rFonts w:hint="eastAsia" w:ascii="宋体" w:hAnsi="宋体"/>
                <w:color w:val="000000"/>
                <w:sz w:val="24"/>
                <w:lang w:val="zh-CN"/>
              </w:rPr>
              <w:t>1.符合《政府采购法》第22条条件，并提供下列材料：</w:t>
            </w:r>
          </w:p>
          <w:p>
            <w:pPr>
              <w:pStyle w:val="18"/>
              <w:spacing w:line="360" w:lineRule="auto"/>
              <w:rPr>
                <w:rFonts w:hint="eastAsia" w:ascii="宋体" w:hAnsi="宋体"/>
                <w:color w:val="000000"/>
                <w:sz w:val="24"/>
                <w:lang w:val="zh-CN"/>
              </w:rPr>
            </w:pPr>
            <w:r>
              <w:rPr>
                <w:rFonts w:hint="eastAsia" w:ascii="宋体" w:hAnsi="宋体"/>
                <w:color w:val="000000"/>
                <w:sz w:val="24"/>
                <w:lang w:val="zh-CN"/>
              </w:rPr>
              <w:t>&lt;1&gt;磋商人的营业执照等证明文件，自然人的身份证明。</w:t>
            </w:r>
          </w:p>
          <w:p>
            <w:pPr>
              <w:pStyle w:val="18"/>
              <w:spacing w:line="360" w:lineRule="auto"/>
              <w:rPr>
                <w:rFonts w:hint="eastAsia" w:ascii="宋体" w:hAnsi="宋体"/>
                <w:color w:val="000000"/>
                <w:sz w:val="24"/>
                <w:lang w:val="zh-CN"/>
              </w:rPr>
            </w:pPr>
            <w:r>
              <w:rPr>
                <w:rFonts w:hint="eastAsia" w:ascii="宋体" w:hAnsi="宋体"/>
                <w:color w:val="000000"/>
                <w:sz w:val="24"/>
                <w:lang w:val="zh-CN"/>
              </w:rPr>
              <w:t>&lt;2&gt;财务状况报告，依法缴纳税收和社会保障资金的相关材料。</w:t>
            </w:r>
          </w:p>
          <w:p>
            <w:pPr>
              <w:pStyle w:val="18"/>
              <w:spacing w:line="360" w:lineRule="auto"/>
              <w:rPr>
                <w:rFonts w:hint="eastAsia" w:ascii="宋体" w:hAnsi="宋体"/>
                <w:color w:val="000000"/>
                <w:sz w:val="24"/>
                <w:lang w:val="zh-CN"/>
              </w:rPr>
            </w:pPr>
            <w:r>
              <w:rPr>
                <w:rFonts w:hint="eastAsia" w:ascii="宋体" w:hAnsi="宋体"/>
                <w:color w:val="000000"/>
                <w:sz w:val="24"/>
                <w:lang w:val="zh-CN"/>
              </w:rPr>
              <w:t>&lt;3&gt;具备履行合同所必需的设备和专业技术能力的证明材料。</w:t>
            </w:r>
          </w:p>
          <w:p>
            <w:pPr>
              <w:pStyle w:val="18"/>
              <w:spacing w:line="360" w:lineRule="auto"/>
              <w:rPr>
                <w:rFonts w:hint="eastAsia" w:ascii="宋体" w:hAnsi="宋体"/>
                <w:color w:val="000000"/>
                <w:sz w:val="24"/>
                <w:lang w:val="zh-CN"/>
              </w:rPr>
            </w:pPr>
            <w:r>
              <w:rPr>
                <w:rFonts w:hint="eastAsia" w:ascii="宋体" w:hAnsi="宋体"/>
                <w:color w:val="000000"/>
                <w:sz w:val="24"/>
                <w:lang w:val="zh-CN"/>
              </w:rPr>
              <w:t>&lt;4&gt;参加政府采购活动前3年内在经营活动中没有重大违法记录的书面声明。</w:t>
            </w:r>
          </w:p>
          <w:p>
            <w:pPr>
              <w:pStyle w:val="18"/>
              <w:spacing w:line="360" w:lineRule="auto"/>
              <w:rPr>
                <w:rFonts w:hint="eastAsia" w:ascii="宋体" w:hAnsi="宋体"/>
                <w:color w:val="000000"/>
                <w:sz w:val="24"/>
                <w:lang w:val="zh-CN"/>
              </w:rPr>
            </w:pPr>
            <w:r>
              <w:rPr>
                <w:rFonts w:hint="eastAsia" w:ascii="宋体" w:hAnsi="宋体"/>
                <w:color w:val="000000"/>
                <w:sz w:val="24"/>
                <w:lang w:val="zh-CN"/>
              </w:rPr>
              <w:t>&lt;5&gt;具备法律、行政法规规定的其他条件的证明材料。</w:t>
            </w:r>
          </w:p>
          <w:p>
            <w:pPr>
              <w:pStyle w:val="18"/>
              <w:numPr>
                <w:ilvl w:val="0"/>
                <w:numId w:val="0"/>
              </w:numPr>
              <w:spacing w:line="360" w:lineRule="auto"/>
              <w:rPr>
                <w:rFonts w:hint="eastAsia"/>
                <w:spacing w:val="-13"/>
                <w:sz w:val="24"/>
                <w:lang w:val="zh-CN"/>
              </w:rPr>
            </w:pPr>
            <w:r>
              <w:rPr>
                <w:rFonts w:hint="eastAsia" w:ascii="宋体" w:hAnsi="宋体"/>
                <w:color w:val="000000"/>
                <w:sz w:val="24"/>
                <w:lang w:val="en-US" w:eastAsia="zh-CN"/>
              </w:rPr>
              <w:t>2.</w:t>
            </w:r>
            <w:r>
              <w:rPr>
                <w:rFonts w:hint="eastAsia" w:ascii="宋体" w:hAnsi="宋体"/>
                <w:color w:val="000000"/>
                <w:sz w:val="24"/>
                <w:lang w:val="zh-CN" w:eastAsia="zh-CN"/>
              </w:rPr>
              <w:t>本次招标要求投标人须具备 ：</w:t>
            </w:r>
            <w:r>
              <w:rPr>
                <w:rFonts w:hint="eastAsia" w:ascii="宋体" w:hAnsi="宋体"/>
                <w:color w:val="000000"/>
                <w:sz w:val="24"/>
                <w:lang w:val="en-US" w:eastAsia="zh-CN"/>
              </w:rPr>
              <w:t>包一，</w:t>
            </w:r>
            <w:r>
              <w:rPr>
                <w:spacing w:val="-10"/>
                <w:sz w:val="24"/>
              </w:rPr>
              <w:t>投标人须具备独立法人资格，供应商具备</w:t>
            </w:r>
            <w:r>
              <w:rPr>
                <w:rFonts w:hint="eastAsia"/>
                <w:spacing w:val="-10"/>
                <w:sz w:val="24"/>
                <w:lang w:eastAsia="zh-CN"/>
              </w:rPr>
              <w:t>工</w:t>
            </w:r>
            <w:r>
              <w:rPr>
                <w:rFonts w:hint="eastAsia" w:ascii="宋体" w:hAnsi="宋体"/>
                <w:sz w:val="24"/>
                <w:lang w:val="zh-CN" w:eastAsia="zh-CN"/>
              </w:rPr>
              <w:t>程</w:t>
            </w:r>
            <w:r>
              <w:rPr>
                <w:rFonts w:hint="eastAsia" w:ascii="宋体" w:hAnsi="宋体"/>
                <w:sz w:val="24"/>
                <w:lang w:val="zh-CN"/>
              </w:rPr>
              <w:t>地质</w:t>
            </w:r>
            <w:r>
              <w:rPr>
                <w:rFonts w:hint="eastAsia"/>
                <w:spacing w:val="-13"/>
                <w:sz w:val="24"/>
                <w:lang w:val="en-US" w:eastAsia="zh-CN"/>
              </w:rPr>
              <w:t>勘察</w:t>
            </w:r>
            <w:r>
              <w:rPr>
                <w:rFonts w:hint="eastAsia"/>
                <w:spacing w:val="-13"/>
                <w:sz w:val="24"/>
                <w:lang w:val="zh-CN"/>
              </w:rPr>
              <w:t>资质</w:t>
            </w:r>
            <w:r>
              <w:rPr>
                <w:rFonts w:hint="eastAsia"/>
                <w:spacing w:val="-13"/>
                <w:sz w:val="24"/>
                <w:lang w:val="zh-CN" w:eastAsia="zh-CN"/>
              </w:rPr>
              <w:t>乙</w:t>
            </w:r>
            <w:r>
              <w:rPr>
                <w:rFonts w:hint="eastAsia"/>
                <w:spacing w:val="-13"/>
                <w:sz w:val="24"/>
                <w:lang w:val="zh-CN"/>
              </w:rPr>
              <w:t>级及以上资质，并在</w:t>
            </w:r>
            <w:r>
              <w:rPr>
                <w:spacing w:val="-13"/>
                <w:sz w:val="24"/>
              </w:rPr>
              <w:t>人员、设备、资金等</w:t>
            </w:r>
            <w:r>
              <w:rPr>
                <w:spacing w:val="-13"/>
                <w:sz w:val="24"/>
              </w:rPr>
              <w:t>方面具备相应的技术能力及拟任项目负责人应提供公司缴纳社保、具有</w:t>
            </w:r>
            <w:r>
              <w:rPr>
                <w:rFonts w:hint="eastAsia"/>
                <w:spacing w:val="-13"/>
                <w:sz w:val="24"/>
                <w:lang w:eastAsia="zh-CN"/>
              </w:rPr>
              <w:t>高</w:t>
            </w:r>
            <w:r>
              <w:rPr>
                <w:spacing w:val="-13"/>
                <w:sz w:val="24"/>
              </w:rPr>
              <w:t>级及以上技术职称）</w:t>
            </w:r>
            <w:r>
              <w:rPr>
                <w:rFonts w:hint="eastAsia"/>
                <w:spacing w:val="-13"/>
                <w:sz w:val="24"/>
                <w:lang w:eastAsia="zh-CN"/>
              </w:rPr>
              <w:t>））</w:t>
            </w:r>
          </w:p>
          <w:p>
            <w:pPr>
              <w:pStyle w:val="18"/>
              <w:numPr>
                <w:ilvl w:val="0"/>
                <w:numId w:val="0"/>
              </w:numPr>
              <w:spacing w:line="360" w:lineRule="auto"/>
              <w:rPr>
                <w:rFonts w:hint="eastAsia"/>
                <w:spacing w:val="-13"/>
                <w:sz w:val="24"/>
                <w:lang w:val="zh-CN"/>
              </w:rPr>
            </w:pPr>
            <w:r>
              <w:rPr>
                <w:rFonts w:hint="eastAsia"/>
                <w:spacing w:val="-13"/>
                <w:sz w:val="24"/>
                <w:lang w:val="en-US" w:eastAsia="zh-CN"/>
              </w:rPr>
              <w:t>包二、</w:t>
            </w:r>
            <w:r>
              <w:rPr>
                <w:spacing w:val="-13"/>
                <w:sz w:val="24"/>
              </w:rPr>
              <w:t>投标人须具备独立法人资格，供应商具备</w:t>
            </w:r>
            <w:r>
              <w:rPr>
                <w:rFonts w:hint="eastAsia"/>
                <w:spacing w:val="-13"/>
                <w:sz w:val="24"/>
              </w:rPr>
              <w:t>水利行业（引调水）专业丙级（含丙级）及以上</w:t>
            </w:r>
            <w:r>
              <w:rPr>
                <w:rFonts w:hint="eastAsia"/>
                <w:spacing w:val="-13"/>
                <w:sz w:val="24"/>
                <w:lang w:val="en-US" w:eastAsia="zh-CN"/>
              </w:rPr>
              <w:t>设计资质，</w:t>
            </w:r>
            <w:r>
              <w:rPr>
                <w:rFonts w:hint="eastAsia"/>
                <w:spacing w:val="-13"/>
                <w:sz w:val="24"/>
                <w:lang w:val="zh-CN"/>
              </w:rPr>
              <w:t>并在</w:t>
            </w:r>
            <w:r>
              <w:rPr>
                <w:spacing w:val="-13"/>
                <w:sz w:val="24"/>
              </w:rPr>
              <w:t>人员、设备、资金等</w:t>
            </w:r>
            <w:r>
              <w:rPr>
                <w:spacing w:val="-13"/>
                <w:sz w:val="24"/>
              </w:rPr>
              <w:t>方面具备相应的技术能力及拟任项目负责人应提供公司缴纳社保、具有</w:t>
            </w:r>
            <w:r>
              <w:rPr>
                <w:rFonts w:hint="eastAsia"/>
                <w:spacing w:val="-13"/>
                <w:sz w:val="24"/>
                <w:lang w:val="en-US" w:eastAsia="zh-CN"/>
              </w:rPr>
              <w:t>中</w:t>
            </w:r>
            <w:r>
              <w:rPr>
                <w:spacing w:val="-13"/>
                <w:sz w:val="24"/>
              </w:rPr>
              <w:t>级及以上技术职称）</w:t>
            </w:r>
            <w:r>
              <w:rPr>
                <w:rFonts w:hint="eastAsia"/>
                <w:spacing w:val="-13"/>
                <w:sz w:val="24"/>
                <w:lang w:eastAsia="zh-CN"/>
              </w:rPr>
              <w:t>））</w:t>
            </w:r>
          </w:p>
          <w:p>
            <w:pPr>
              <w:pStyle w:val="18"/>
              <w:numPr>
                <w:ilvl w:val="0"/>
                <w:numId w:val="0"/>
              </w:numPr>
              <w:spacing w:line="360" w:lineRule="auto"/>
              <w:rPr>
                <w:rFonts w:hint="eastAsia"/>
                <w:spacing w:val="-13"/>
                <w:sz w:val="24"/>
                <w:lang w:val="zh-CN"/>
              </w:rPr>
            </w:pPr>
            <w:r>
              <w:rPr>
                <w:rFonts w:hint="eastAsia"/>
                <w:spacing w:val="-13"/>
                <w:sz w:val="24"/>
                <w:lang w:val="en-US" w:eastAsia="zh-CN"/>
              </w:rPr>
              <w:t>3</w:t>
            </w:r>
            <w:r>
              <w:rPr>
                <w:rFonts w:hint="eastAsia"/>
                <w:spacing w:val="-13"/>
                <w:sz w:val="24"/>
                <w:lang w:val="zh-CN"/>
              </w:rPr>
              <w:t>.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spacing w:val="-13"/>
                <w:sz w:val="24"/>
                <w:lang w:val="en-US" w:eastAsia="zh-CN"/>
              </w:rPr>
              <w:t>7</w:t>
            </w:r>
            <w:r>
              <w:rPr>
                <w:rFonts w:hint="eastAsia"/>
                <w:spacing w:val="-13"/>
                <w:sz w:val="24"/>
                <w:lang w:val="zh-CN"/>
              </w:rPr>
              <w:t>天内)。提供青海省水利建设市场信用信息平台从业单位查询</w:t>
            </w:r>
            <w:r>
              <w:rPr>
                <w:rFonts w:hint="eastAsia"/>
                <w:spacing w:val="-13"/>
                <w:sz w:val="24"/>
                <w:lang w:val="zh-CN"/>
              </w:rPr>
              <w:fldChar w:fldCharType="begin"/>
            </w:r>
            <w:r>
              <w:rPr>
                <w:rFonts w:hint="eastAsia"/>
                <w:spacing w:val="-13"/>
                <w:sz w:val="24"/>
                <w:lang w:val="zh-CN"/>
              </w:rPr>
              <w:instrText xml:space="preserve"> HYPERLINK "http://220.167.224.23/userlogin.do" \h </w:instrText>
            </w:r>
            <w:r>
              <w:rPr>
                <w:rFonts w:hint="eastAsia"/>
                <w:spacing w:val="-13"/>
                <w:sz w:val="24"/>
                <w:lang w:val="zh-CN"/>
              </w:rPr>
              <w:fldChar w:fldCharType="separate"/>
            </w:r>
            <w:r>
              <w:rPr>
                <w:rFonts w:hint="eastAsia"/>
                <w:spacing w:val="-13"/>
                <w:sz w:val="24"/>
                <w:lang w:val="zh-CN"/>
              </w:rPr>
              <w:t>截图（http://220.167.224.23/userlogin.do</w:t>
            </w:r>
            <w:r>
              <w:rPr>
                <w:rFonts w:hint="eastAsia"/>
                <w:spacing w:val="-13"/>
                <w:sz w:val="24"/>
                <w:lang w:val="zh-CN"/>
              </w:rPr>
              <w:fldChar w:fldCharType="end"/>
            </w:r>
            <w:r>
              <w:rPr>
                <w:rFonts w:hint="eastAsia"/>
                <w:spacing w:val="-13"/>
                <w:sz w:val="24"/>
                <w:lang w:val="zh-CN"/>
              </w:rPr>
              <w:t>）。</w:t>
            </w:r>
          </w:p>
          <w:p>
            <w:pPr>
              <w:autoSpaceDE w:val="0"/>
              <w:autoSpaceDN w:val="0"/>
              <w:spacing w:line="360" w:lineRule="auto"/>
              <w:jc w:val="left"/>
              <w:rPr>
                <w:rFonts w:hint="eastAsia"/>
                <w:color w:val="000000"/>
                <w:sz w:val="24"/>
                <w:lang w:val="zh-CN"/>
              </w:rPr>
            </w:pPr>
            <w:r>
              <w:rPr>
                <w:rFonts w:hint="eastAsia" w:ascii="宋体" w:hAnsi="宋体"/>
                <w:color w:val="000000"/>
                <w:sz w:val="24"/>
                <w:lang w:val="en-US" w:eastAsia="zh-CN"/>
              </w:rPr>
              <w:t>4</w:t>
            </w:r>
            <w:r>
              <w:rPr>
                <w:rFonts w:hint="eastAsia" w:ascii="宋体" w:hAnsi="宋体"/>
                <w:color w:val="000000"/>
                <w:sz w:val="24"/>
                <w:lang w:val="zh-CN"/>
              </w:rPr>
              <w:t>.本项目不接受磋商人以联合体方式进行投标；</w:t>
            </w:r>
          </w:p>
        </w:tc>
      </w:tr>
      <w:tr>
        <w:tblPrEx>
          <w:tblCellMar>
            <w:top w:w="0" w:type="dxa"/>
            <w:left w:w="57" w:type="dxa"/>
            <w:bottom w:w="0" w:type="dxa"/>
            <w:right w:w="57" w:type="dxa"/>
          </w:tblCellMar>
        </w:tblPrEx>
        <w:trPr>
          <w:trHeight w:val="403" w:hRule="atLeast"/>
          <w:jc w:val="center"/>
        </w:trPr>
        <w:tc>
          <w:tcPr>
            <w:tcW w:w="653" w:type="dxa"/>
            <w:tcBorders>
              <w:top w:val="single" w:color="000000" w:sz="6" w:space="0"/>
              <w:left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磋商保证金</w:t>
            </w:r>
          </w:p>
        </w:tc>
        <w:tc>
          <w:tcPr>
            <w:tcW w:w="7682" w:type="dxa"/>
            <w:tcBorders>
              <w:top w:val="single" w:color="000000" w:sz="6" w:space="0"/>
              <w:left w:val="single" w:color="000000" w:sz="6" w:space="0"/>
              <w:right w:val="single" w:color="000000" w:sz="6" w:space="0"/>
            </w:tcBorders>
            <w:shd w:val="clear" w:color="000000" w:fill="FFFFFF"/>
            <w:noWrap w:val="0"/>
            <w:vAlign w:val="top"/>
          </w:tcPr>
          <w:p>
            <w:pPr>
              <w:pageBreakBefore w:val="0"/>
              <w:kinsoku/>
              <w:overflowPunct/>
              <w:topLinePunct w:val="0"/>
              <w:autoSpaceDE w:val="0"/>
              <w:autoSpaceDN w:val="0"/>
              <w:bidi w:val="0"/>
              <w:spacing w:line="500" w:lineRule="exact"/>
              <w:ind w:firstLine="0" w:firstLineChars="0"/>
              <w:rPr>
                <w:rFonts w:hint="eastAsia" w:ascii="宋体" w:hAnsi="宋体" w:eastAsia="宋体" w:cs="宋体"/>
                <w:color w:val="000000"/>
                <w:kern w:val="0"/>
                <w:lang w:eastAsia="zh-CN"/>
              </w:rPr>
            </w:pPr>
            <w:r>
              <w:rPr>
                <w:rFonts w:hint="eastAsia" w:ascii="宋体" w:hAnsi="宋体" w:eastAsia="宋体" w:cs="宋体"/>
                <w:color w:val="000000"/>
                <w:kern w:val="0"/>
                <w:lang w:val="zh-CN"/>
              </w:rPr>
              <w:t>磋商保证金：</w:t>
            </w:r>
            <w:r>
              <w:rPr>
                <w:rFonts w:hint="eastAsia" w:ascii="宋体" w:hAnsi="宋体" w:eastAsia="宋体" w:cs="宋体"/>
                <w:color w:val="000000"/>
                <w:kern w:val="0"/>
                <w:lang w:val="en-US" w:eastAsia="zh-CN"/>
              </w:rPr>
              <w:t>10000元（</w:t>
            </w:r>
            <w:r>
              <w:rPr>
                <w:rFonts w:hint="eastAsia" w:ascii="宋体" w:hAnsi="宋体" w:eastAsia="宋体" w:cs="宋体"/>
                <w:b/>
                <w:bCs/>
                <w:color w:val="000000"/>
                <w:kern w:val="0"/>
                <w:lang w:val="en-US" w:eastAsia="zh-CN"/>
              </w:rPr>
              <w:t>壹万</w:t>
            </w:r>
            <w:r>
              <w:rPr>
                <w:rFonts w:hint="eastAsia" w:ascii="宋体" w:hAnsi="宋体" w:eastAsia="宋体" w:cs="宋体"/>
                <w:b/>
                <w:bCs/>
                <w:color w:val="000000"/>
                <w:kern w:val="0"/>
                <w:lang w:val="zh-CN"/>
              </w:rPr>
              <w:t>元</w:t>
            </w:r>
            <w:r>
              <w:rPr>
                <w:rFonts w:hint="eastAsia" w:ascii="宋体" w:hAnsi="宋体" w:eastAsia="宋体" w:cs="宋体"/>
                <w:b/>
                <w:bCs/>
                <w:color w:val="000000"/>
                <w:kern w:val="0"/>
                <w:lang w:eastAsia="zh-CN"/>
              </w:rPr>
              <w:t>整</w:t>
            </w:r>
            <w:r>
              <w:rPr>
                <w:rFonts w:hint="eastAsia" w:ascii="宋体" w:hAnsi="宋体" w:eastAsia="宋体" w:cs="宋体"/>
                <w:color w:val="000000"/>
                <w:kern w:val="0"/>
                <w:lang w:val="en-US" w:eastAsia="zh-CN"/>
              </w:rPr>
              <w:t>）</w:t>
            </w:r>
            <w:r>
              <w:rPr>
                <w:rFonts w:hint="eastAsia" w:ascii="宋体" w:hAnsi="宋体" w:eastAsia="宋体" w:cs="宋体"/>
                <w:b/>
                <w:bCs/>
                <w:color w:val="000000"/>
                <w:kern w:val="0"/>
                <w:lang w:eastAsia="zh-CN"/>
              </w:rPr>
              <w:t>；</w:t>
            </w:r>
          </w:p>
          <w:p>
            <w:pPr>
              <w:pageBreakBefore w:val="0"/>
              <w:kinsoku/>
              <w:overflowPunct/>
              <w:topLinePunct w:val="0"/>
              <w:autoSpaceDE w:val="0"/>
              <w:autoSpaceDN w:val="0"/>
              <w:bidi w:val="0"/>
              <w:spacing w:line="500" w:lineRule="exact"/>
              <w:ind w:firstLine="0" w:firstLineChars="0"/>
              <w:rPr>
                <w:rFonts w:hint="default" w:ascii="宋体" w:hAnsi="宋体" w:eastAsia="宋体" w:cs="宋体"/>
                <w:color w:val="000000"/>
                <w:kern w:val="0"/>
                <w:lang w:val="en-US" w:eastAsia="zh-CN"/>
              </w:rPr>
            </w:pPr>
            <w:r>
              <w:rPr>
                <w:rFonts w:hint="eastAsia" w:ascii="宋体" w:hAnsi="宋体" w:eastAsia="宋体" w:cs="宋体"/>
                <w:color w:val="000000"/>
                <w:kern w:val="0"/>
                <w:lang w:val="zh-CN"/>
              </w:rPr>
              <w:t>收款单位：</w:t>
            </w:r>
            <w:r>
              <w:rPr>
                <w:rFonts w:hint="eastAsia" w:ascii="宋体" w:hAnsi="宋体" w:cs="宋体"/>
                <w:color w:val="000000"/>
                <w:kern w:val="0"/>
                <w:lang w:val="en-US" w:eastAsia="zh-CN"/>
              </w:rPr>
              <w:t>青海东煌工程咨询招标代理有限公司</w:t>
            </w:r>
          </w:p>
          <w:p>
            <w:pPr>
              <w:pageBreakBefore w:val="0"/>
              <w:kinsoku/>
              <w:overflowPunct/>
              <w:topLinePunct w:val="0"/>
              <w:autoSpaceDE w:val="0"/>
              <w:autoSpaceDN w:val="0"/>
              <w:bidi w:val="0"/>
              <w:spacing w:line="500" w:lineRule="exact"/>
              <w:ind w:firstLine="0" w:firstLineChars="0"/>
              <w:rPr>
                <w:rFonts w:hint="eastAsia" w:ascii="宋体" w:hAnsi="宋体" w:eastAsia="宋体" w:cs="宋体"/>
                <w:color w:val="000000"/>
                <w:kern w:val="0"/>
                <w:lang w:val="zh-CN"/>
              </w:rPr>
            </w:pPr>
            <w:r>
              <w:rPr>
                <w:rFonts w:hint="eastAsia" w:ascii="宋体" w:hAnsi="宋体" w:eastAsia="宋体" w:cs="宋体"/>
                <w:color w:val="000000"/>
                <w:kern w:val="0"/>
                <w:lang w:val="zh-CN"/>
              </w:rPr>
              <w:t>开 户 行：</w:t>
            </w:r>
            <w:r>
              <w:rPr>
                <w:rFonts w:hint="eastAsia" w:ascii="宋体" w:hAnsi="宋体" w:cs="Arial"/>
                <w:color w:val="auto"/>
                <w:kern w:val="0"/>
                <w:sz w:val="24"/>
                <w:lang w:val="en-US" w:eastAsia="zh-CN"/>
              </w:rPr>
              <w:t>中国建设银行股份有限公司西宁昆仑中路支行</w:t>
            </w:r>
          </w:p>
          <w:p>
            <w:pPr>
              <w:pageBreakBefore w:val="0"/>
              <w:kinsoku/>
              <w:overflowPunct/>
              <w:topLinePunct w:val="0"/>
              <w:autoSpaceDE w:val="0"/>
              <w:autoSpaceDN w:val="0"/>
              <w:bidi w:val="0"/>
              <w:spacing w:line="500" w:lineRule="exact"/>
              <w:ind w:firstLine="0" w:firstLineChars="0"/>
              <w:rPr>
                <w:rFonts w:hint="eastAsia" w:ascii="宋体" w:hAnsi="宋体" w:eastAsia="宋体" w:cs="宋体"/>
                <w:color w:val="000000"/>
                <w:kern w:val="0"/>
                <w:lang w:val="zh-CN"/>
              </w:rPr>
            </w:pPr>
            <w:r>
              <w:rPr>
                <w:rFonts w:hint="eastAsia" w:ascii="宋体" w:hAnsi="宋体" w:eastAsia="宋体" w:cs="宋体"/>
                <w:color w:val="000000"/>
                <w:kern w:val="0"/>
                <w:lang w:val="zh-CN"/>
              </w:rPr>
              <w:t>银行账号：</w:t>
            </w:r>
            <w:r>
              <w:rPr>
                <w:rFonts w:hint="eastAsia" w:ascii="宋体" w:hAnsi="宋体" w:cs="Arial"/>
                <w:color w:val="auto"/>
                <w:kern w:val="0"/>
                <w:sz w:val="24"/>
                <w:lang w:val="en-US" w:eastAsia="zh-CN"/>
              </w:rPr>
              <w:t>6305 0145 3604 0000 0176</w:t>
            </w:r>
            <w:r>
              <w:rPr>
                <w:rFonts w:hint="eastAsia" w:ascii="宋体" w:hAnsi="宋体" w:eastAsia="宋体" w:cs="宋体"/>
                <w:color w:val="000000"/>
                <w:kern w:val="0"/>
                <w:sz w:val="24"/>
                <w:szCs w:val="24"/>
                <w:highlight w:val="none"/>
                <w:u w:val="none"/>
                <w:shd w:val="clear" w:color="auto" w:fill="auto"/>
                <w:lang w:val="zh-CN"/>
              </w:rPr>
              <w:t xml:space="preserve"> </w:t>
            </w:r>
          </w:p>
          <w:p>
            <w:pPr>
              <w:pStyle w:val="17"/>
              <w:spacing w:line="360" w:lineRule="auto"/>
              <w:rPr>
                <w:rFonts w:ascii="宋体" w:hAnsi="宋体" w:cs="宋体"/>
                <w:kern w:val="0"/>
                <w:lang w:val="zh-CN"/>
              </w:rPr>
            </w:pPr>
            <w:r>
              <w:rPr>
                <w:rFonts w:hint="eastAsia" w:ascii="宋体" w:hAnsi="宋体" w:eastAsia="宋体" w:cs="宋体"/>
                <w:color w:val="000000"/>
                <w:kern w:val="0"/>
                <w:lang w:val="zh-CN"/>
              </w:rPr>
              <w:t>缴费时间：</w:t>
            </w:r>
            <w:r>
              <w:rPr>
                <w:rFonts w:hint="eastAsia" w:ascii="宋体" w:hAnsi="宋体" w:eastAsia="宋体" w:cs="宋体"/>
                <w:b/>
                <w:bCs/>
                <w:color w:val="000000"/>
                <w:kern w:val="0"/>
                <w:lang w:val="zh-CN"/>
              </w:rPr>
              <w:t>20</w:t>
            </w:r>
            <w:r>
              <w:rPr>
                <w:rFonts w:hint="eastAsia" w:ascii="宋体" w:hAnsi="宋体" w:eastAsia="宋体" w:cs="宋体"/>
                <w:b/>
                <w:bCs/>
                <w:color w:val="000000"/>
                <w:kern w:val="0"/>
                <w:lang w:val="en-US" w:eastAsia="zh-CN"/>
              </w:rPr>
              <w:t>20</w:t>
            </w:r>
            <w:r>
              <w:rPr>
                <w:rFonts w:hint="eastAsia" w:ascii="宋体" w:hAnsi="宋体" w:eastAsia="宋体" w:cs="宋体"/>
                <w:b/>
                <w:bCs/>
                <w:color w:val="000000"/>
                <w:kern w:val="0"/>
                <w:lang w:val="zh-CN"/>
              </w:rPr>
              <w:t>年</w:t>
            </w:r>
            <w:r>
              <w:rPr>
                <w:rFonts w:hint="eastAsia" w:ascii="宋体" w:hAnsi="宋体" w:eastAsia="宋体" w:cs="宋体"/>
                <w:b/>
                <w:bCs/>
                <w:color w:val="000000"/>
                <w:kern w:val="0"/>
                <w:lang w:val="en-US" w:eastAsia="zh-CN"/>
              </w:rPr>
              <w:t>04</w:t>
            </w:r>
            <w:r>
              <w:rPr>
                <w:rFonts w:hint="eastAsia" w:ascii="宋体" w:hAnsi="宋体" w:eastAsia="宋体" w:cs="宋体"/>
                <w:b/>
                <w:bCs/>
                <w:color w:val="000000"/>
                <w:kern w:val="0"/>
                <w:lang w:val="zh-CN"/>
              </w:rPr>
              <w:t>月</w:t>
            </w:r>
            <w:r>
              <w:rPr>
                <w:rFonts w:hint="eastAsia" w:ascii="宋体" w:hAnsi="宋体" w:cs="宋体"/>
                <w:b/>
                <w:bCs/>
                <w:color w:val="000000"/>
                <w:kern w:val="0"/>
                <w:lang w:val="en-US" w:eastAsia="zh-CN"/>
              </w:rPr>
              <w:t>19</w:t>
            </w:r>
            <w:r>
              <w:rPr>
                <w:rFonts w:hint="eastAsia" w:ascii="宋体" w:hAnsi="宋体" w:eastAsia="宋体" w:cs="宋体"/>
                <w:b/>
                <w:bCs/>
                <w:color w:val="000000"/>
                <w:kern w:val="0"/>
                <w:lang w:val="zh-CN"/>
              </w:rPr>
              <w:t>日</w:t>
            </w: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7</w:t>
            </w:r>
            <w:r>
              <w:rPr>
                <w:rFonts w:hint="eastAsia" w:ascii="宋体" w:hAnsi="宋体" w:eastAsia="宋体" w:cs="宋体"/>
                <w:b/>
                <w:bCs/>
                <w:color w:val="000000"/>
                <w:kern w:val="0"/>
              </w:rPr>
              <w:t>:</w:t>
            </w:r>
            <w:r>
              <w:rPr>
                <w:rFonts w:hint="eastAsia" w:ascii="宋体" w:hAnsi="宋体" w:eastAsia="宋体" w:cs="宋体"/>
                <w:b/>
                <w:bCs/>
                <w:color w:val="000000"/>
                <w:kern w:val="0"/>
                <w:lang w:val="en-US" w:eastAsia="zh-CN"/>
              </w:rPr>
              <w:t>0</w:t>
            </w:r>
            <w:r>
              <w:rPr>
                <w:rFonts w:hint="eastAsia" w:ascii="宋体" w:hAnsi="宋体" w:eastAsia="宋体" w:cs="宋体"/>
                <w:b/>
                <w:bCs/>
                <w:color w:val="000000"/>
                <w:kern w:val="0"/>
              </w:rPr>
              <w:t>0</w:t>
            </w:r>
            <w:r>
              <w:rPr>
                <w:rFonts w:hint="eastAsia" w:ascii="宋体" w:hAnsi="宋体" w:eastAsia="宋体" w:cs="宋体"/>
                <w:b/>
                <w:bCs/>
                <w:color w:val="000000"/>
                <w:kern w:val="0"/>
                <w:lang w:val="zh-CN"/>
              </w:rPr>
              <w:t>前，</w:t>
            </w:r>
            <w:r>
              <w:rPr>
                <w:rFonts w:hint="eastAsia" w:ascii="宋体" w:hAnsi="宋体" w:eastAsia="宋体" w:cs="宋体"/>
                <w:color w:val="000000"/>
                <w:kern w:val="0"/>
                <w:lang w:val="zh-CN"/>
              </w:rPr>
              <w:t>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default" w:ascii="宋体" w:hAnsi="宋体" w:eastAsia="宋体" w:cs="宋体"/>
                <w:kern w:val="0"/>
                <w:sz w:val="24"/>
                <w:lang w:val="en-US" w:eastAsia="zh-CN"/>
              </w:rPr>
            </w:pPr>
            <w:r>
              <w:rPr>
                <w:rFonts w:hint="eastAsia" w:ascii="宋体" w:hAnsi="宋体" w:eastAsia="宋体" w:cs="宋体"/>
                <w:color w:val="auto"/>
                <w:kern w:val="0"/>
                <w:lang w:val="zh-CN"/>
              </w:rPr>
              <w:t>磋商保证金应当以支票、汇票、本票或者金融机构、担保机构出具的保函等非现金形式提交，通过银行转账的，必须由投标人从其基本账户(须提供开户许可证复印件</w:t>
            </w:r>
            <w:r>
              <w:rPr>
                <w:rFonts w:hint="eastAsia" w:ascii="宋体" w:hAnsi="宋体" w:eastAsia="宋体" w:cs="宋体"/>
                <w:color w:val="auto"/>
                <w:kern w:val="0"/>
                <w:lang w:val="zh-CN" w:eastAsia="zh-CN"/>
              </w:rPr>
              <w:t>并加盖财务专用章，否则投标无效</w:t>
            </w:r>
            <w:r>
              <w:rPr>
                <w:rFonts w:hint="eastAsia" w:ascii="宋体" w:hAnsi="宋体" w:eastAsia="宋体" w:cs="宋体"/>
                <w:color w:val="auto"/>
                <w:kern w:val="0"/>
                <w:lang w:val="zh-CN"/>
              </w:rPr>
              <w:t>)</w:t>
            </w:r>
            <w:r>
              <w:rPr>
                <w:rFonts w:hint="eastAsia" w:ascii="宋体" w:hAnsi="宋体" w:eastAsia="宋体" w:cs="宋体"/>
                <w:color w:val="auto"/>
                <w:kern w:val="0"/>
                <w:lang w:val="zh-CN" w:eastAsia="zh-CN"/>
              </w:rPr>
              <w:t>，</w:t>
            </w:r>
            <w:r>
              <w:rPr>
                <w:rFonts w:hint="eastAsia" w:ascii="宋体" w:hAnsi="宋体" w:eastAsia="宋体" w:cs="宋体"/>
                <w:color w:val="auto"/>
                <w:kern w:val="0"/>
                <w:lang w:val="zh-CN"/>
              </w:rPr>
              <w:t>汇（转）入规定的账户</w:t>
            </w:r>
            <w:r>
              <w:rPr>
                <w:rFonts w:hint="eastAsia" w:ascii="宋体" w:hAnsi="宋体" w:cs="宋体"/>
                <w:color w:val="auto"/>
                <w:kern w:val="0"/>
                <w:lang w:val="zh-CN"/>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eastAsia" w:ascii="宋体" w:hAnsi="宋体" w:eastAsia="宋体" w:cs="宋体"/>
                <w:kern w:val="0"/>
                <w:sz w:val="24"/>
                <w:lang w:val="zh-CN" w:eastAsia="zh-CN"/>
              </w:rPr>
            </w:pPr>
            <w:r>
              <w:rPr>
                <w:rFonts w:hint="eastAsia" w:ascii="宋体" w:hAnsi="宋体" w:eastAsia="宋体" w:cs="宋体"/>
                <w:color w:val="000000"/>
                <w:kern w:val="0"/>
                <w:lang w:val="zh-CN"/>
              </w:rPr>
              <w:t>未成交供应商的磋商保证金自成交通知书发出之日起5个工作日内退还（不退现金）；成交供应商的磋商保证金，自政府采购合同签订之日起5个工作日内退还（不退现金）。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磋商文件编制要求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ascii="宋体" w:hAnsi="宋体" w:cs="宋体"/>
                <w:kern w:val="0"/>
                <w:sz w:val="24"/>
                <w:lang w:val="zh-CN"/>
              </w:rPr>
            </w:pPr>
            <w:r>
              <w:rPr>
                <w:rFonts w:hint="eastAsia" w:ascii="宋体" w:hAnsi="宋体" w:cs="宋体"/>
                <w:kern w:val="0"/>
                <w:sz w:val="24"/>
                <w:lang w:val="zh-CN"/>
              </w:rPr>
              <w:t>1、磋商供应商应按照磋商文件所提供的磋商响应文件格式，分别填写磋商文件第五部分的内容，应</w:t>
            </w:r>
            <w:r>
              <w:rPr>
                <w:rFonts w:hint="eastAsia" w:ascii="宋体" w:hAnsi="宋体" w:cs="宋体"/>
                <w:color w:val="000000"/>
                <w:kern w:val="0"/>
                <w:sz w:val="24"/>
                <w:lang w:val="zh-CN"/>
              </w:rPr>
              <w:t>分别注明所提供服务的名称、设备、数量和价格等内容。</w:t>
            </w:r>
          </w:p>
          <w:p>
            <w:pPr>
              <w:spacing w:line="360" w:lineRule="auto"/>
              <w:rPr>
                <w:rFonts w:ascii="宋体" w:hAnsi="宋体" w:cs="宋体"/>
                <w:kern w:val="0"/>
                <w:sz w:val="24"/>
                <w:lang w:val="zh-CN"/>
              </w:rPr>
            </w:pPr>
            <w:r>
              <w:rPr>
                <w:rFonts w:hint="eastAsia" w:ascii="宋体" w:hAnsi="宋体" w:cs="宋体"/>
                <w:kern w:val="0"/>
                <w:sz w:val="24"/>
                <w:lang w:val="zh-CN"/>
              </w:rPr>
              <w:t>2、磋商供应商应按磋商文件要求准备磋商响应文件1份正本彩印、2份副本和相应的电子文档1份，每份磋商响应文件都必须清楚地标明“正本”或“副本”等字样。若发生正本和副本不符，以正本磋商响应文件为准。磋商响应文件统一使用A4幅面的纸张印制，必须胶装成册并编码，不得采用活页夹等可随时拆换的方式装订，其他方式装订的磋商响应文件一概不予接受。</w:t>
            </w:r>
          </w:p>
          <w:p>
            <w:pPr>
              <w:spacing w:line="360" w:lineRule="auto"/>
              <w:rPr>
                <w:rFonts w:ascii="宋体" w:hAnsi="宋体" w:cs="宋体"/>
                <w:kern w:val="0"/>
                <w:sz w:val="24"/>
                <w:lang w:val="zh-CN"/>
              </w:rPr>
            </w:pPr>
            <w:r>
              <w:rPr>
                <w:rFonts w:hint="eastAsia" w:ascii="宋体" w:hAnsi="宋体" w:cs="宋体"/>
                <w:kern w:val="0"/>
                <w:sz w:val="24"/>
                <w:lang w:val="zh-CN"/>
              </w:rPr>
              <w:t>3、磋商响应文件的正本和副本均需打印或用不褪色、不变质的墨水书写并由投标供应商的委托代理人</w:t>
            </w:r>
            <w:r>
              <w:rPr>
                <w:rFonts w:hint="eastAsia" w:ascii="宋体" w:hAnsi="宋体" w:cs="宋体"/>
                <w:kern w:val="0"/>
                <w:sz w:val="24"/>
                <w:lang w:val="en-US" w:eastAsia="zh-CN"/>
              </w:rPr>
              <w:t>按要求签字、盖章</w:t>
            </w:r>
            <w:r>
              <w:rPr>
                <w:rFonts w:hint="eastAsia" w:ascii="宋体" w:hAnsi="宋体" w:cs="宋体"/>
                <w:kern w:val="0"/>
                <w:sz w:val="24"/>
                <w:lang w:val="zh-CN"/>
              </w:rPr>
              <w:t>。磋商响应文件副本可采用正本的复印件，若不满足以上条件，按</w:t>
            </w:r>
            <w:r>
              <w:rPr>
                <w:rFonts w:hint="eastAsia" w:ascii="宋体" w:hAnsi="宋体" w:cs="Arial"/>
                <w:sz w:val="24"/>
                <w:lang w:val="zh-CN"/>
              </w:rPr>
              <w:t>对磋商文件规范性响应程度出现偏差处理。</w:t>
            </w:r>
          </w:p>
          <w:p>
            <w:pPr>
              <w:spacing w:line="360" w:lineRule="auto"/>
              <w:rPr>
                <w:rFonts w:ascii="宋体" w:hAnsi="宋体" w:cs="宋体"/>
                <w:kern w:val="0"/>
                <w:sz w:val="24"/>
                <w:lang w:val="zh-CN"/>
              </w:rPr>
            </w:pPr>
            <w:r>
              <w:rPr>
                <w:rFonts w:hint="eastAsia" w:ascii="宋体" w:hAnsi="宋体" w:cs="宋体"/>
                <w:kern w:val="0"/>
                <w:sz w:val="24"/>
                <w:lang w:val="zh-CN"/>
              </w:rPr>
              <w:t>4、电子文档采用可读的U盘编制，须写明采购项目名称、供应商名称及磋商日期，电子文档为纸质版磋商响应文件正本的扫描件，需采用不可修改文档格式，电子文档与纸质版磋商响应文件正本内容必须完全一致，包括盖章和签字，并与书面磋商响应文件一并提交，否则，视为无效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磋商文件的密封</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磋商响应文件的正本与副本须分别密封，加贴密封条，并在密封包装的封口处加盖磋商单位公章（未按要求密封的磋商响应文件将不予接收）；磋商响应文件的封套上应标记“正本”或“副本”字样，封套上应写明：</w:t>
            </w:r>
          </w:p>
          <w:p>
            <w:pPr>
              <w:autoSpaceDE w:val="0"/>
              <w:autoSpaceDN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采购项目名称：                正（副）本</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采购项目编号：</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磋商供应商名称：          （加盖单位公章）</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 xml:space="preserve">法定代表人：    </w:t>
            </w:r>
            <w:r>
              <w:rPr>
                <w:rFonts w:ascii="宋体" w:hAnsi="宋体" w:cs="宋体"/>
                <w:color w:val="000000"/>
                <w:kern w:val="0"/>
                <w:sz w:val="24"/>
                <w:lang w:val="zh-CN"/>
              </w:rPr>
              <w:t xml:space="preserve"> </w:t>
            </w:r>
            <w:r>
              <w:rPr>
                <w:rFonts w:hint="eastAsia" w:ascii="宋体" w:hAnsi="宋体" w:cs="宋体"/>
                <w:color w:val="000000"/>
                <w:kern w:val="0"/>
                <w:sz w:val="24"/>
                <w:lang w:val="zh-CN"/>
              </w:rPr>
              <w:t xml:space="preserve"> </w:t>
            </w:r>
            <w:r>
              <w:rPr>
                <w:rFonts w:ascii="宋体" w:hAnsi="宋体" w:cs="宋体"/>
                <w:color w:val="000000"/>
                <w:kern w:val="0"/>
                <w:sz w:val="24"/>
                <w:lang w:val="zh-CN"/>
              </w:rPr>
              <w:t xml:space="preserve">        </w:t>
            </w:r>
            <w:r>
              <w:rPr>
                <w:rFonts w:hint="eastAsia" w:ascii="宋体" w:hAnsi="宋体" w:cs="宋体"/>
                <w:color w:val="000000"/>
                <w:kern w:val="0"/>
                <w:sz w:val="24"/>
                <w:lang w:val="zh-CN"/>
              </w:rPr>
              <w:t>（签字）</w:t>
            </w:r>
          </w:p>
          <w:p>
            <w:pPr>
              <w:autoSpaceDE w:val="0"/>
              <w:autoSpaceDN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于</w:t>
            </w:r>
            <w:r>
              <w:rPr>
                <w:rFonts w:hint="eastAsia" w:ascii="宋体" w:hAnsi="宋体"/>
                <w:color w:val="000000"/>
                <w:kern w:val="0"/>
                <w:sz w:val="24"/>
                <w:lang w:eastAsia="zh-CN"/>
              </w:rPr>
              <w:t>2020年</w:t>
            </w:r>
            <w:r>
              <w:rPr>
                <w:rFonts w:hint="eastAsia" w:ascii="宋体" w:hAnsi="宋体"/>
                <w:color w:val="000000"/>
                <w:kern w:val="0"/>
                <w:sz w:val="24"/>
                <w:lang w:val="en-US" w:eastAsia="zh-CN"/>
              </w:rPr>
              <w:t>04</w:t>
            </w:r>
            <w:r>
              <w:rPr>
                <w:rFonts w:hint="eastAsia" w:ascii="宋体" w:hAnsi="宋体"/>
                <w:color w:val="000000"/>
                <w:kern w:val="0"/>
                <w:sz w:val="24"/>
                <w:lang w:eastAsia="zh-CN"/>
              </w:rPr>
              <w:t>月2</w:t>
            </w:r>
            <w:r>
              <w:rPr>
                <w:rFonts w:hint="eastAsia" w:ascii="宋体" w:hAnsi="宋体"/>
                <w:color w:val="000000"/>
                <w:kern w:val="0"/>
                <w:sz w:val="24"/>
                <w:lang w:val="en-US" w:eastAsia="zh-CN"/>
              </w:rPr>
              <w:t>0</w:t>
            </w:r>
            <w:r>
              <w:rPr>
                <w:rFonts w:hint="eastAsia" w:ascii="宋体" w:hAnsi="宋体"/>
                <w:color w:val="000000"/>
                <w:kern w:val="0"/>
                <w:sz w:val="24"/>
                <w:lang w:eastAsia="zh-CN"/>
              </w:rPr>
              <w:t>日</w:t>
            </w:r>
            <w:r>
              <w:rPr>
                <w:rFonts w:hint="eastAsia" w:ascii="宋体" w:hAnsi="宋体"/>
                <w:color w:val="000000"/>
                <w:kern w:val="0"/>
                <w:sz w:val="24"/>
                <w:lang w:val="en-US" w:eastAsia="zh-CN"/>
              </w:rPr>
              <w:t>09:30</w:t>
            </w:r>
            <w:r>
              <w:rPr>
                <w:rFonts w:hint="eastAsia" w:ascii="宋体" w:hAnsi="宋体"/>
                <w:color w:val="000000"/>
                <w:kern w:val="0"/>
                <w:sz w:val="24"/>
                <w:lang w:eastAsia="zh-CN"/>
              </w:rPr>
              <w:t>（北京时间）</w:t>
            </w:r>
            <w:r>
              <w:rPr>
                <w:rFonts w:hint="eastAsia" w:ascii="宋体" w:hAnsi="宋体" w:cs="宋体"/>
                <w:color w:val="000000"/>
                <w:kern w:val="0"/>
                <w:sz w:val="24"/>
                <w:lang w:val="zh-CN"/>
              </w:rPr>
              <w:t>前不得启封</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递交磋商文件方式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现场递交，不接受邮寄磋商。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截止时间</w:t>
            </w:r>
          </w:p>
        </w:tc>
        <w:tc>
          <w:tcPr>
            <w:tcW w:w="768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autoSpaceDE w:val="0"/>
              <w:autoSpaceDN w:val="0"/>
              <w:spacing w:line="360" w:lineRule="auto"/>
              <w:jc w:val="left"/>
              <w:rPr>
                <w:rFonts w:hint="eastAsia" w:ascii="宋体" w:hAnsi="宋体" w:cs="宋体"/>
                <w:color w:val="FF0000"/>
                <w:kern w:val="0"/>
                <w:sz w:val="24"/>
                <w:lang w:val="zh-CN" w:eastAsia="zh-CN"/>
              </w:rPr>
            </w:pPr>
            <w:r>
              <w:rPr>
                <w:rFonts w:hint="eastAsia" w:ascii="宋体" w:hAnsi="宋体"/>
                <w:color w:val="000000"/>
                <w:kern w:val="0"/>
                <w:sz w:val="24"/>
                <w:lang w:eastAsia="zh-CN"/>
              </w:rPr>
              <w:t>2020年</w:t>
            </w:r>
            <w:r>
              <w:rPr>
                <w:rFonts w:hint="eastAsia" w:ascii="宋体" w:hAnsi="宋体"/>
                <w:color w:val="000000"/>
                <w:kern w:val="0"/>
                <w:sz w:val="24"/>
                <w:lang w:val="en-US" w:eastAsia="zh-CN"/>
              </w:rPr>
              <w:t>04</w:t>
            </w:r>
            <w:r>
              <w:rPr>
                <w:rFonts w:hint="eastAsia" w:ascii="宋体" w:hAnsi="宋体"/>
                <w:color w:val="000000"/>
                <w:kern w:val="0"/>
                <w:sz w:val="24"/>
                <w:lang w:eastAsia="zh-CN"/>
              </w:rPr>
              <w:t>月2</w:t>
            </w:r>
            <w:r>
              <w:rPr>
                <w:rFonts w:hint="eastAsia" w:ascii="宋体" w:hAnsi="宋体"/>
                <w:color w:val="000000"/>
                <w:kern w:val="0"/>
                <w:sz w:val="24"/>
                <w:lang w:val="en-US" w:eastAsia="zh-CN"/>
              </w:rPr>
              <w:t>0</w:t>
            </w:r>
            <w:r>
              <w:rPr>
                <w:rFonts w:hint="eastAsia" w:ascii="宋体" w:hAnsi="宋体"/>
                <w:color w:val="000000"/>
                <w:kern w:val="0"/>
                <w:sz w:val="24"/>
                <w:lang w:eastAsia="zh-CN"/>
              </w:rPr>
              <w:t>日</w:t>
            </w:r>
            <w:r>
              <w:rPr>
                <w:rFonts w:hint="eastAsia" w:ascii="宋体" w:hAnsi="宋体"/>
                <w:color w:val="000000"/>
                <w:kern w:val="0"/>
                <w:sz w:val="24"/>
                <w:lang w:val="en-US" w:eastAsia="zh-CN"/>
              </w:rPr>
              <w:t>09:30</w:t>
            </w:r>
            <w:r>
              <w:rPr>
                <w:rFonts w:hint="eastAsia" w:ascii="宋体" w:hAnsi="宋体"/>
                <w:color w:val="000000"/>
                <w:kern w:val="0"/>
                <w:sz w:val="24"/>
                <w:lang w:eastAsia="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磋商时间</w:t>
            </w:r>
          </w:p>
        </w:tc>
        <w:tc>
          <w:tcPr>
            <w:tcW w:w="768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autoSpaceDE w:val="0"/>
              <w:autoSpaceDN w:val="0"/>
              <w:spacing w:line="360" w:lineRule="auto"/>
              <w:jc w:val="left"/>
              <w:rPr>
                <w:rFonts w:hint="eastAsia" w:ascii="宋体" w:hAnsi="宋体" w:cs="宋体"/>
                <w:color w:val="FF0000"/>
                <w:kern w:val="0"/>
                <w:sz w:val="24"/>
                <w:lang w:val="zh-CN" w:eastAsia="zh-CN"/>
              </w:rPr>
            </w:pPr>
            <w:r>
              <w:rPr>
                <w:rFonts w:hint="eastAsia" w:ascii="宋体" w:hAnsi="宋体"/>
                <w:color w:val="000000"/>
                <w:kern w:val="0"/>
                <w:sz w:val="24"/>
                <w:lang w:eastAsia="zh-CN"/>
              </w:rPr>
              <w:t>2020年</w:t>
            </w:r>
            <w:r>
              <w:rPr>
                <w:rFonts w:hint="eastAsia" w:ascii="宋体" w:hAnsi="宋体"/>
                <w:color w:val="000000"/>
                <w:kern w:val="0"/>
                <w:sz w:val="24"/>
                <w:lang w:val="en-US" w:eastAsia="zh-CN"/>
              </w:rPr>
              <w:t>04</w:t>
            </w:r>
            <w:r>
              <w:rPr>
                <w:rFonts w:hint="eastAsia" w:ascii="宋体" w:hAnsi="宋体"/>
                <w:color w:val="000000"/>
                <w:kern w:val="0"/>
                <w:sz w:val="24"/>
                <w:lang w:eastAsia="zh-CN"/>
              </w:rPr>
              <w:t>月</w:t>
            </w:r>
            <w:r>
              <w:rPr>
                <w:rFonts w:hint="eastAsia" w:ascii="宋体" w:hAnsi="宋体"/>
                <w:color w:val="000000"/>
                <w:kern w:val="0"/>
                <w:sz w:val="24"/>
                <w:lang w:val="en-US" w:eastAsia="zh-CN"/>
              </w:rPr>
              <w:t>20</w:t>
            </w:r>
            <w:r>
              <w:rPr>
                <w:rFonts w:hint="eastAsia" w:ascii="宋体" w:hAnsi="宋体"/>
                <w:color w:val="000000"/>
                <w:kern w:val="0"/>
                <w:sz w:val="24"/>
                <w:lang w:eastAsia="zh-CN"/>
              </w:rPr>
              <w:t>日</w:t>
            </w:r>
            <w:r>
              <w:rPr>
                <w:rFonts w:hint="eastAsia" w:ascii="宋体" w:hAnsi="宋体"/>
                <w:color w:val="000000"/>
                <w:kern w:val="0"/>
                <w:sz w:val="24"/>
                <w:lang w:val="en-US" w:eastAsia="zh-CN"/>
              </w:rPr>
              <w:t>09:30</w:t>
            </w:r>
            <w:r>
              <w:rPr>
                <w:rFonts w:hint="eastAsia" w:ascii="宋体" w:hAnsi="宋体"/>
                <w:color w:val="000000"/>
                <w:kern w:val="0"/>
                <w:sz w:val="24"/>
                <w:lang w:eastAsia="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磋商及磋商地点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eastAsia="宋体" w:cs="宋体"/>
                <w:kern w:val="0"/>
                <w:sz w:val="24"/>
                <w:lang w:val="en-US" w:eastAsia="zh-CN"/>
              </w:rPr>
            </w:pPr>
            <w:r>
              <w:rPr>
                <w:rFonts w:hint="eastAsia" w:ascii="宋体" w:hAnsi="宋体" w:eastAsia="宋体" w:cs="Times New Roman"/>
                <w:color w:val="000000"/>
                <w:kern w:val="0"/>
                <w:sz w:val="24"/>
                <w:szCs w:val="24"/>
                <w:lang w:val="en-US" w:eastAsia="zh-CN" w:bidi="ar-SA"/>
              </w:rPr>
              <w:t>万达广场S0H04号楼3楼东面1一9号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答疑澄清方式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采用现场答疑。磋商供应商须提供准确的联系方式（手机和固定电话），应在规定的时间内到达评审现场进行答疑澄清，如在规定的时间内联系无果或未按时到达的，视同放弃答疑。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rPr>
                <w:rFonts w:hint="eastAsia" w:ascii="Arial" w:hAnsi="Arial" w:eastAsia="宋体" w:cs="Arial"/>
                <w:color w:val="000000"/>
                <w:sz w:val="24"/>
                <w:lang w:val="en-US" w:eastAsia="zh-CN"/>
              </w:rPr>
            </w:pPr>
            <w:r>
              <w:rPr>
                <w:rFonts w:ascii="Arial" w:hAnsi="Arial" w:cs="Arial"/>
                <w:color w:val="000000"/>
                <w:sz w:val="24"/>
                <w:lang w:val="zh-CN"/>
              </w:rPr>
              <w:t>收取对象：</w:t>
            </w:r>
            <w:r>
              <w:rPr>
                <w:rFonts w:hint="eastAsia" w:ascii="Arial" w:hAnsi="Arial" w:cs="Arial"/>
                <w:color w:val="000000"/>
                <w:sz w:val="24"/>
                <w:lang w:val="zh-CN" w:eastAsia="zh-CN"/>
              </w:rPr>
              <w:t>采购人</w:t>
            </w:r>
          </w:p>
          <w:p>
            <w:pPr>
              <w:autoSpaceDE w:val="0"/>
              <w:autoSpaceDN w:val="0"/>
              <w:spacing w:line="360" w:lineRule="auto"/>
              <w:jc w:val="left"/>
              <w:rPr>
                <w:rFonts w:ascii="宋体" w:hAnsi="宋体" w:cs="宋体"/>
                <w:color w:val="000000"/>
                <w:kern w:val="0"/>
                <w:sz w:val="24"/>
                <w:lang w:val="zh-CN"/>
              </w:rPr>
            </w:pPr>
            <w:r>
              <w:rPr>
                <w:rFonts w:ascii="Arial" w:hAnsi="Arial" w:cs="Arial"/>
                <w:color w:val="000000"/>
                <w:sz w:val="24"/>
                <w:lang w:val="zh-CN"/>
              </w:rPr>
              <w:t>收费标准：</w:t>
            </w:r>
            <w:r>
              <w:rPr>
                <w:rFonts w:hint="eastAsia" w:ascii="宋体" w:hAnsi="宋体"/>
                <w:b w:val="0"/>
                <w:bCs/>
                <w:color w:val="000000"/>
                <w:sz w:val="24"/>
                <w:lang w:val="zh-CN"/>
              </w:rPr>
              <w:t>参照《招标代理服务收费管理暂行办法》（计价格[2002]1980号）以及《关于进一步放开建设项目专项业务服务价格的通知》（发改价格[2015]299号）规定执行。本项目招标代服务理费按招标代理协议约定的金额由采购人一次性向采购代理机构支付。</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自中标通知书发出之日起</w:t>
            </w:r>
            <w:r>
              <w:rPr>
                <w:rFonts w:hint="eastAsia" w:ascii="宋体" w:hAnsi="宋体" w:cs="宋体"/>
                <w:kern w:val="0"/>
                <w:sz w:val="24"/>
              </w:rPr>
              <w:t>30</w:t>
            </w:r>
            <w:r>
              <w:rPr>
                <w:rFonts w:hint="eastAsia" w:ascii="宋体" w:hAnsi="宋体" w:cs="宋体"/>
                <w:kern w:val="0"/>
                <w:sz w:val="24"/>
                <w:lang w:val="zh-CN"/>
              </w:rPr>
              <w:t>日内与采购单位签订服务合同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本次磋商有效期为磋商之日起60个日历日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3"/>
              </w:numPr>
              <w:autoSpaceDE w:val="0"/>
              <w:autoSpaceDN w:val="0"/>
              <w:spacing w:line="360" w:lineRule="auto"/>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其他要求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jc w:val="left"/>
              <w:rPr>
                <w:rFonts w:hint="eastAsia" w:ascii="宋体" w:hAnsi="宋体" w:eastAsia="宋体" w:cs="宋体"/>
                <w:kern w:val="0"/>
                <w:sz w:val="24"/>
                <w:lang w:val="zh-CN" w:eastAsia="zh-CN"/>
              </w:rPr>
            </w:pPr>
            <w:r>
              <w:rPr>
                <w:rFonts w:hint="eastAsia" w:ascii="宋体" w:hAnsi="宋体"/>
                <w:kern w:val="0"/>
                <w:sz w:val="24"/>
                <w:lang w:eastAsia="zh-CN"/>
              </w:rPr>
              <w:t>本公告同时在《</w:t>
            </w:r>
            <w:r>
              <w:rPr>
                <w:rFonts w:hint="eastAsia" w:ascii="宋体" w:hAnsi="宋体"/>
                <w:kern w:val="0"/>
                <w:sz w:val="24"/>
                <w:lang w:val="en-US" w:eastAsia="zh-CN"/>
              </w:rPr>
              <w:t>青海</w:t>
            </w:r>
            <w:r>
              <w:rPr>
                <w:rFonts w:hint="eastAsia" w:ascii="宋体" w:hAnsi="宋体"/>
                <w:kern w:val="0"/>
                <w:sz w:val="24"/>
                <w:lang w:eastAsia="zh-CN"/>
              </w:rPr>
              <w:t>政府采购</w:t>
            </w:r>
            <w:r>
              <w:rPr>
                <w:rFonts w:hint="eastAsia" w:ascii="宋体" w:hAnsi="宋体"/>
                <w:kern w:val="0"/>
                <w:sz w:val="24"/>
                <w:lang w:val="en-US" w:eastAsia="zh-CN"/>
              </w:rPr>
              <w:t>网</w:t>
            </w:r>
            <w:r>
              <w:rPr>
                <w:rFonts w:hint="eastAsia" w:ascii="宋体" w:hAnsi="宋体"/>
                <w:kern w:val="0"/>
                <w:sz w:val="24"/>
                <w:lang w:eastAsia="zh-CN"/>
              </w:rPr>
              <w:t>》、《青海省公共资源交易网》、《中国采购与招标网》上同时发布。</w:t>
            </w:r>
          </w:p>
        </w:tc>
      </w:tr>
    </w:tbl>
    <w:p>
      <w:pPr>
        <w:pStyle w:val="11"/>
        <w:spacing w:before="0" w:after="0" w:line="360" w:lineRule="auto"/>
        <w:rPr>
          <w:rFonts w:ascii="宋体" w:hAnsi="宋体"/>
          <w:lang w:val="zh-CN"/>
        </w:rPr>
      </w:pPr>
      <w:r>
        <w:rPr>
          <w:rFonts w:ascii="宋体" w:hAnsi="宋体"/>
          <w:b w:val="0"/>
          <w:sz w:val="44"/>
        </w:rPr>
        <w:br w:type="page"/>
      </w:r>
      <w:bookmarkStart w:id="10" w:name="_Toc444715734"/>
      <w:bookmarkStart w:id="11" w:name="_Toc13605"/>
      <w:bookmarkStart w:id="12" w:name="_Toc2028_WPSOffice_Level1"/>
      <w:bookmarkStart w:id="13" w:name="_Toc535421957"/>
      <w:r>
        <w:rPr>
          <w:rFonts w:hint="eastAsia" w:ascii="宋体" w:hAnsi="宋体"/>
          <w:sz w:val="48"/>
        </w:rPr>
        <w:t>第三部分  磋商供应商须知</w:t>
      </w:r>
      <w:bookmarkEnd w:id="10"/>
      <w:bookmarkEnd w:id="11"/>
      <w:bookmarkEnd w:id="12"/>
      <w:bookmarkEnd w:id="13"/>
    </w:p>
    <w:p>
      <w:pPr>
        <w:pStyle w:val="3"/>
        <w:rPr>
          <w:rFonts w:hAnsi="宋体"/>
          <w:b/>
          <w:sz w:val="32"/>
          <w:szCs w:val="32"/>
        </w:rPr>
      </w:pPr>
      <w:bookmarkStart w:id="14" w:name="_Toc9508"/>
      <w:bookmarkStart w:id="15" w:name="_Toc25621_WPSOffice_Level2"/>
      <w:bookmarkStart w:id="16" w:name="_Toc535421958"/>
      <w:r>
        <w:rPr>
          <w:rFonts w:hint="eastAsia" w:hAnsi="宋体"/>
          <w:b/>
          <w:sz w:val="32"/>
          <w:szCs w:val="32"/>
        </w:rPr>
        <w:t>说明</w:t>
      </w:r>
      <w:bookmarkEnd w:id="14"/>
      <w:bookmarkEnd w:id="15"/>
      <w:bookmarkEnd w:id="16"/>
    </w:p>
    <w:p>
      <w:pPr>
        <w:pStyle w:val="4"/>
        <w:numPr>
          <w:ilvl w:val="0"/>
          <w:numId w:val="4"/>
        </w:numPr>
        <w:spacing w:before="0" w:after="0" w:line="360" w:lineRule="auto"/>
        <w:rPr>
          <w:rFonts w:ascii="宋体" w:hAnsi="宋体"/>
          <w:b w:val="0"/>
        </w:rPr>
      </w:pPr>
      <w:bookmarkStart w:id="17" w:name="_Toc446427794"/>
      <w:bookmarkStart w:id="18" w:name="_Toc495570969"/>
      <w:bookmarkStart w:id="19" w:name="_Toc535421959"/>
      <w:bookmarkStart w:id="20" w:name="_Toc459377860"/>
      <w:bookmarkStart w:id="21" w:name="_Toc488691479"/>
      <w:r>
        <w:rPr>
          <w:rFonts w:ascii="宋体" w:hAnsi="宋体" w:cs="Arial"/>
          <w:b w:val="0"/>
          <w:bCs w:val="0"/>
          <w:kern w:val="0"/>
          <w:sz w:val="24"/>
          <w:szCs w:val="24"/>
          <w:lang w:val="en-US" w:eastAsia="zh-CN" w:bidi="ar-SA"/>
        </w:rPr>
        <w:t>磋商内容及要求</w:t>
      </w:r>
      <w:bookmarkEnd w:id="17"/>
      <w:bookmarkEnd w:id="18"/>
      <w:bookmarkEnd w:id="19"/>
      <w:bookmarkEnd w:id="20"/>
      <w:bookmarkEnd w:id="21"/>
    </w:p>
    <w:p>
      <w:pPr>
        <w:pStyle w:val="7"/>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pPr>
        <w:pStyle w:val="4"/>
        <w:numPr>
          <w:ilvl w:val="0"/>
          <w:numId w:val="4"/>
        </w:numPr>
        <w:spacing w:before="0" w:after="0" w:line="360" w:lineRule="auto"/>
        <w:rPr>
          <w:rFonts w:ascii="宋体" w:hAnsi="宋体" w:cs="Arial"/>
          <w:b w:val="0"/>
          <w:bCs w:val="0"/>
          <w:kern w:val="0"/>
          <w:sz w:val="24"/>
          <w:szCs w:val="24"/>
          <w:lang w:val="en-US" w:eastAsia="zh-CN" w:bidi="ar-SA"/>
        </w:rPr>
      </w:pPr>
      <w:bookmarkStart w:id="22" w:name="_Toc488673614"/>
      <w:bookmarkStart w:id="23" w:name="_Toc535421960"/>
      <w:r>
        <w:rPr>
          <w:rFonts w:hint="eastAsia" w:ascii="宋体" w:hAnsi="宋体" w:cs="Arial"/>
          <w:b w:val="0"/>
          <w:bCs w:val="0"/>
          <w:kern w:val="0"/>
          <w:sz w:val="24"/>
          <w:szCs w:val="24"/>
          <w:lang w:val="en-US" w:eastAsia="zh-CN" w:bidi="ar-SA"/>
        </w:rPr>
        <w:t>采购方式、合格的磋商供应商</w:t>
      </w:r>
      <w:bookmarkEnd w:id="22"/>
      <w:bookmarkEnd w:id="23"/>
    </w:p>
    <w:p>
      <w:pPr>
        <w:pStyle w:val="7"/>
        <w:numPr>
          <w:ilvl w:val="1"/>
          <w:numId w:val="5"/>
        </w:numPr>
        <w:spacing w:line="360" w:lineRule="auto"/>
        <w:rPr>
          <w:rFonts w:hAnsi="宋体"/>
          <w:sz w:val="24"/>
          <w:szCs w:val="28"/>
        </w:rPr>
      </w:pPr>
      <w:r>
        <w:rPr>
          <w:rFonts w:hint="eastAsia" w:hAnsi="宋体"/>
          <w:sz w:val="24"/>
          <w:szCs w:val="28"/>
        </w:rPr>
        <w:t>本次磋商采取竞争性磋商方式；</w:t>
      </w:r>
    </w:p>
    <w:p>
      <w:pPr>
        <w:pStyle w:val="7"/>
        <w:numPr>
          <w:ilvl w:val="1"/>
          <w:numId w:val="5"/>
        </w:numPr>
        <w:spacing w:line="360" w:lineRule="auto"/>
        <w:rPr>
          <w:rFonts w:hAnsi="宋体"/>
          <w:sz w:val="24"/>
          <w:szCs w:val="28"/>
        </w:rPr>
      </w:pPr>
      <w:r>
        <w:rPr>
          <w:rFonts w:hAnsi="宋体" w:cs="Arial"/>
          <w:sz w:val="24"/>
          <w:szCs w:val="24"/>
        </w:rPr>
        <w:t>合格的磋商供应商：</w:t>
      </w:r>
    </w:p>
    <w:p>
      <w:pPr>
        <w:pStyle w:val="18"/>
        <w:spacing w:line="360" w:lineRule="auto"/>
        <w:ind w:firstLine="240" w:firstLineChars="100"/>
        <w:rPr>
          <w:rFonts w:hint="eastAsia" w:ascii="宋体" w:hAnsi="宋体"/>
          <w:sz w:val="24"/>
          <w:lang w:val="zh-CN"/>
        </w:rPr>
      </w:pPr>
      <w:bookmarkStart w:id="24" w:name="_Toc535421961"/>
      <w:bookmarkStart w:id="25" w:name="_Toc488673615"/>
      <w:r>
        <w:rPr>
          <w:rFonts w:hint="eastAsia" w:ascii="宋体" w:hAnsi="宋体"/>
          <w:sz w:val="24"/>
          <w:lang w:val="zh-CN"/>
        </w:rPr>
        <w:t>1.符合《政府采购法》第22条条件，并提供下列材料：</w:t>
      </w:r>
    </w:p>
    <w:p>
      <w:pPr>
        <w:pStyle w:val="18"/>
        <w:spacing w:line="360" w:lineRule="auto"/>
        <w:rPr>
          <w:rFonts w:hint="eastAsia" w:ascii="宋体" w:hAnsi="宋体"/>
          <w:sz w:val="24"/>
          <w:lang w:val="zh-CN"/>
        </w:rPr>
      </w:pPr>
      <w:r>
        <w:rPr>
          <w:rFonts w:hint="eastAsia" w:ascii="宋体" w:hAnsi="宋体"/>
          <w:sz w:val="24"/>
          <w:lang w:val="zh-CN"/>
        </w:rPr>
        <w:t>&lt;1&gt;磋商人的营业执照等证明文件，自然人的身份证明。</w:t>
      </w:r>
    </w:p>
    <w:p>
      <w:pPr>
        <w:pStyle w:val="18"/>
        <w:spacing w:line="360" w:lineRule="auto"/>
        <w:rPr>
          <w:rFonts w:hint="eastAsia" w:ascii="宋体" w:hAnsi="宋体"/>
          <w:sz w:val="24"/>
          <w:lang w:val="zh-CN"/>
        </w:rPr>
      </w:pPr>
      <w:r>
        <w:rPr>
          <w:rFonts w:hint="eastAsia" w:ascii="宋体" w:hAnsi="宋体"/>
          <w:sz w:val="24"/>
          <w:lang w:val="zh-CN"/>
        </w:rPr>
        <w:t>&lt;2&gt;财务状况报告，依法缴纳税收和社会保障资金的相关材料。</w:t>
      </w:r>
    </w:p>
    <w:p>
      <w:pPr>
        <w:pStyle w:val="18"/>
        <w:spacing w:line="360" w:lineRule="auto"/>
        <w:rPr>
          <w:rFonts w:hint="eastAsia" w:ascii="宋体" w:hAnsi="宋体"/>
          <w:color w:val="000000"/>
          <w:sz w:val="24"/>
          <w:lang w:val="zh-CN"/>
        </w:rPr>
      </w:pPr>
      <w:r>
        <w:rPr>
          <w:rFonts w:hint="eastAsia" w:ascii="宋体" w:hAnsi="宋体"/>
          <w:color w:val="000000"/>
          <w:sz w:val="24"/>
          <w:lang w:val="zh-CN"/>
        </w:rPr>
        <w:t>&lt;3&gt;具备履行合同所必需的设备和专业技术能力的证明材料。</w:t>
      </w:r>
    </w:p>
    <w:p>
      <w:pPr>
        <w:pStyle w:val="18"/>
        <w:spacing w:line="360" w:lineRule="auto"/>
        <w:rPr>
          <w:rFonts w:hint="eastAsia" w:ascii="宋体" w:hAnsi="宋体"/>
          <w:sz w:val="24"/>
          <w:lang w:val="zh-CN"/>
        </w:rPr>
      </w:pPr>
      <w:r>
        <w:rPr>
          <w:rFonts w:hint="eastAsia" w:ascii="宋体" w:hAnsi="宋体"/>
          <w:sz w:val="24"/>
          <w:lang w:val="zh-CN"/>
        </w:rPr>
        <w:t>&lt;4&gt;参加政府采购活动前3年内在经营活动中没有重大违法记录的书面声明。</w:t>
      </w:r>
    </w:p>
    <w:p>
      <w:pPr>
        <w:pStyle w:val="18"/>
        <w:spacing w:line="360" w:lineRule="auto"/>
        <w:rPr>
          <w:rFonts w:hint="eastAsia" w:ascii="宋体" w:hAnsi="宋体"/>
          <w:sz w:val="24"/>
          <w:lang w:val="zh-CN"/>
        </w:rPr>
      </w:pPr>
      <w:r>
        <w:rPr>
          <w:rFonts w:hint="eastAsia" w:ascii="宋体" w:hAnsi="宋体"/>
          <w:sz w:val="24"/>
          <w:lang w:val="zh-CN"/>
        </w:rPr>
        <w:t>&lt;5&gt;具备法律、行政法规规定的其他条件的证明材料。</w:t>
      </w:r>
    </w:p>
    <w:p>
      <w:pPr>
        <w:pStyle w:val="4"/>
        <w:numPr>
          <w:ilvl w:val="0"/>
          <w:numId w:val="0"/>
        </w:numPr>
        <w:spacing w:before="0" w:after="0" w:line="360" w:lineRule="auto"/>
        <w:ind w:leftChars="0"/>
        <w:rPr>
          <w:rFonts w:hint="eastAsia" w:ascii="宋体" w:hAnsi="宋体" w:cs="Times New Roman"/>
          <w:b w:val="0"/>
          <w:bCs w:val="0"/>
          <w:color w:val="000000"/>
          <w:sz w:val="24"/>
          <w:lang w:val="zh-CN" w:eastAsia="zh-CN"/>
        </w:rPr>
      </w:pPr>
      <w:r>
        <w:rPr>
          <w:rFonts w:hint="eastAsia" w:ascii="宋体" w:hAnsi="宋体"/>
          <w:sz w:val="24"/>
          <w:lang w:val="en-US" w:eastAsia="zh-CN"/>
        </w:rPr>
        <w:t>2.</w:t>
      </w:r>
      <w:r>
        <w:rPr>
          <w:rFonts w:hint="eastAsia" w:ascii="宋体" w:hAnsi="宋体"/>
          <w:color w:val="000000"/>
          <w:sz w:val="24"/>
          <w:lang w:val="zh-CN" w:eastAsia="zh-CN"/>
        </w:rPr>
        <w:t>本次招标要求投标人须具备 ：</w:t>
      </w:r>
      <w:r>
        <w:rPr>
          <w:rFonts w:hint="eastAsia" w:ascii="宋体" w:hAnsi="宋体"/>
          <w:b w:val="0"/>
          <w:bCs w:val="0"/>
          <w:color w:val="000000"/>
          <w:sz w:val="24"/>
          <w:lang w:val="zh-CN" w:eastAsia="zh-CN"/>
        </w:rPr>
        <w:t>包一，投标人须具备独立法人资格，供应商具备工程地质</w:t>
      </w:r>
      <w:r>
        <w:rPr>
          <w:rFonts w:hint="eastAsia" w:ascii="宋体" w:hAnsi="宋体"/>
          <w:b w:val="0"/>
          <w:bCs w:val="0"/>
          <w:color w:val="000000"/>
          <w:sz w:val="24"/>
          <w:lang w:val="en-US" w:eastAsia="zh-CN"/>
        </w:rPr>
        <w:t>勘察</w:t>
      </w:r>
      <w:r>
        <w:rPr>
          <w:rFonts w:hint="eastAsia" w:ascii="宋体" w:hAnsi="宋体" w:cs="Times New Roman"/>
          <w:b w:val="0"/>
          <w:bCs w:val="0"/>
          <w:color w:val="000000"/>
          <w:sz w:val="24"/>
          <w:lang w:val="zh-CN" w:eastAsia="zh-CN"/>
        </w:rPr>
        <w:t>乙级及以上资质，并在人员、设备、资金等方面具备相应的技术能力，拟任项目负责人应提供公司缴纳社保证明、具有</w:t>
      </w:r>
      <w:r>
        <w:rPr>
          <w:rFonts w:hint="eastAsia" w:ascii="宋体" w:hAnsi="宋体" w:cs="Times New Roman"/>
          <w:b w:val="0"/>
          <w:bCs w:val="0"/>
          <w:color w:val="000000"/>
          <w:sz w:val="24"/>
          <w:lang w:val="en-US" w:eastAsia="zh-CN"/>
        </w:rPr>
        <w:t>高</w:t>
      </w:r>
      <w:r>
        <w:rPr>
          <w:rFonts w:hint="eastAsia" w:ascii="宋体" w:hAnsi="宋体" w:cs="Times New Roman"/>
          <w:b w:val="0"/>
          <w:bCs w:val="0"/>
          <w:color w:val="000000"/>
          <w:sz w:val="24"/>
          <w:lang w:val="zh-CN" w:eastAsia="zh-CN"/>
        </w:rPr>
        <w:t>级及以上技术职称）</w:t>
      </w:r>
    </w:p>
    <w:p>
      <w:pPr>
        <w:pStyle w:val="4"/>
        <w:numPr>
          <w:ilvl w:val="0"/>
          <w:numId w:val="0"/>
        </w:numPr>
        <w:spacing w:before="0" w:after="0" w:line="360" w:lineRule="auto"/>
        <w:ind w:leftChars="0"/>
        <w:rPr>
          <w:rFonts w:hint="eastAsia" w:ascii="宋体" w:hAnsi="宋体" w:cs="Times New Roman"/>
          <w:b w:val="0"/>
          <w:bCs w:val="0"/>
          <w:color w:val="000000"/>
          <w:sz w:val="24"/>
          <w:lang w:val="zh-CN" w:eastAsia="zh-CN"/>
        </w:rPr>
      </w:pPr>
      <w:r>
        <w:rPr>
          <w:rFonts w:hint="eastAsia" w:ascii="宋体" w:hAnsi="宋体" w:cs="Times New Roman"/>
          <w:b w:val="0"/>
          <w:bCs w:val="0"/>
          <w:color w:val="000000"/>
          <w:sz w:val="24"/>
          <w:lang w:val="zh-CN" w:eastAsia="zh-CN"/>
        </w:rPr>
        <w:t>包二、投标人须具备独立法人资格，供应商具备水利行业（引调水）专业丙级（含丙级）及以上设计资质，并在人员、设备、资金等方面具备相应的技术能力，拟任项目负责人应提供公司缴纳社保、具有</w:t>
      </w:r>
      <w:r>
        <w:rPr>
          <w:rFonts w:hint="eastAsia" w:ascii="宋体" w:hAnsi="宋体" w:cs="Times New Roman"/>
          <w:b w:val="0"/>
          <w:bCs w:val="0"/>
          <w:color w:val="000000"/>
          <w:sz w:val="24"/>
          <w:lang w:val="en-US" w:eastAsia="zh-CN"/>
        </w:rPr>
        <w:t>中</w:t>
      </w:r>
      <w:r>
        <w:rPr>
          <w:rFonts w:hint="eastAsia" w:ascii="宋体" w:hAnsi="宋体" w:cs="Times New Roman"/>
          <w:b w:val="0"/>
          <w:bCs w:val="0"/>
          <w:color w:val="000000"/>
          <w:sz w:val="24"/>
          <w:lang w:val="zh-CN" w:eastAsia="zh-CN"/>
        </w:rPr>
        <w:t>级及以上技术职称）</w:t>
      </w:r>
    </w:p>
    <w:p>
      <w:pPr>
        <w:pStyle w:val="4"/>
        <w:numPr>
          <w:ilvl w:val="0"/>
          <w:numId w:val="0"/>
        </w:numPr>
        <w:spacing w:before="0" w:after="0" w:line="360" w:lineRule="auto"/>
        <w:ind w:leftChars="0"/>
        <w:rPr>
          <w:rFonts w:hint="eastAsia" w:ascii="宋体" w:hAnsi="宋体"/>
          <w:b w:val="0"/>
          <w:bCs w:val="0"/>
          <w:color w:val="FF0000"/>
          <w:sz w:val="24"/>
          <w:szCs w:val="28"/>
          <w:lang w:val="zh-CN" w:eastAsia="zh-CN"/>
        </w:rPr>
      </w:pPr>
      <w:r>
        <w:rPr>
          <w:rFonts w:hint="eastAsia" w:ascii="宋体" w:hAnsi="宋体" w:cs="Times New Roman"/>
          <w:b w:val="0"/>
          <w:bCs w:val="0"/>
          <w:color w:val="000000"/>
          <w:sz w:val="24"/>
          <w:lang w:val="zh-CN" w:eastAsia="zh-CN"/>
        </w:rPr>
        <w:t>3.信用中国（www.creditchina.gov.cn）、中国政府采购网（www.ccgp.gov.cn）等</w:t>
      </w:r>
      <w:r>
        <w:rPr>
          <w:rFonts w:hint="eastAsia" w:ascii="宋体" w:hAnsi="宋体"/>
          <w:b w:val="0"/>
          <w:bCs w:val="0"/>
          <w:color w:val="000000"/>
          <w:sz w:val="24"/>
          <w:lang w:val="zh-CN" w:eastAsia="zh-CN"/>
        </w:rPr>
        <w:t>渠道查询后，列入失信被执行人、重大税收违法案件当事人名单、政府采购严重违法失信行为记录名单的，取消投标资格(提供“信用中国”网站的查询截图，时间为投标截止时间前7天内)。提供</w:t>
      </w:r>
      <w:r>
        <w:rPr>
          <w:rFonts w:hint="eastAsia" w:ascii="宋体" w:hAnsi="宋体" w:cs="Times New Roman"/>
          <w:b w:val="0"/>
          <w:bCs w:val="0"/>
          <w:color w:val="000000"/>
          <w:sz w:val="24"/>
          <w:lang w:val="zh-CN" w:eastAsia="zh-CN"/>
        </w:rPr>
        <w:t>青海省水利建设市场信用信息平台从业单位查询</w:t>
      </w:r>
      <w:r>
        <w:rPr>
          <w:rFonts w:hint="eastAsia" w:ascii="宋体" w:hAnsi="宋体" w:cs="Times New Roman"/>
          <w:b w:val="0"/>
          <w:bCs w:val="0"/>
          <w:color w:val="000000"/>
          <w:sz w:val="24"/>
          <w:lang w:val="zh-CN" w:eastAsia="zh-CN"/>
        </w:rPr>
        <w:fldChar w:fldCharType="begin"/>
      </w:r>
      <w:r>
        <w:rPr>
          <w:rFonts w:hint="eastAsia" w:ascii="宋体" w:hAnsi="宋体" w:cs="Times New Roman"/>
          <w:b w:val="0"/>
          <w:bCs w:val="0"/>
          <w:color w:val="000000"/>
          <w:sz w:val="24"/>
          <w:lang w:val="zh-CN" w:eastAsia="zh-CN"/>
        </w:rPr>
        <w:instrText xml:space="preserve"> HYPERLINK "http://220.167.224.23/userlogin.do" \h </w:instrText>
      </w:r>
      <w:r>
        <w:rPr>
          <w:rFonts w:hint="eastAsia" w:ascii="宋体" w:hAnsi="宋体" w:cs="Times New Roman"/>
          <w:b w:val="0"/>
          <w:bCs w:val="0"/>
          <w:color w:val="000000"/>
          <w:sz w:val="24"/>
          <w:lang w:val="zh-CN" w:eastAsia="zh-CN"/>
        </w:rPr>
        <w:fldChar w:fldCharType="separate"/>
      </w:r>
      <w:r>
        <w:rPr>
          <w:rFonts w:hint="eastAsia" w:ascii="宋体" w:hAnsi="宋体" w:cs="Times New Roman"/>
          <w:b w:val="0"/>
          <w:bCs w:val="0"/>
          <w:color w:val="000000"/>
          <w:sz w:val="24"/>
          <w:lang w:val="zh-CN" w:eastAsia="zh-CN"/>
        </w:rPr>
        <w:t>截图（http://220.167.224.23/userlogin.do</w:t>
      </w:r>
      <w:r>
        <w:rPr>
          <w:rFonts w:hint="eastAsia" w:ascii="宋体" w:hAnsi="宋体" w:cs="Times New Roman"/>
          <w:b w:val="0"/>
          <w:bCs w:val="0"/>
          <w:color w:val="000000"/>
          <w:sz w:val="24"/>
          <w:lang w:val="zh-CN" w:eastAsia="zh-CN"/>
        </w:rPr>
        <w:fldChar w:fldCharType="end"/>
      </w:r>
      <w:r>
        <w:rPr>
          <w:rFonts w:hint="eastAsia" w:ascii="宋体" w:hAnsi="宋体" w:cs="Times New Roman"/>
          <w:b w:val="0"/>
          <w:bCs w:val="0"/>
          <w:color w:val="000000"/>
          <w:sz w:val="24"/>
          <w:lang w:val="zh-CN" w:eastAsia="zh-CN"/>
        </w:rPr>
        <w:t>）。</w:t>
      </w:r>
    </w:p>
    <w:p>
      <w:pPr>
        <w:pStyle w:val="4"/>
        <w:numPr>
          <w:ilvl w:val="0"/>
          <w:numId w:val="0"/>
        </w:numPr>
        <w:spacing w:before="0" w:after="0" w:line="360" w:lineRule="auto"/>
        <w:ind w:leftChars="0"/>
        <w:rPr>
          <w:rFonts w:hint="eastAsia" w:ascii="宋体" w:hAnsi="宋体"/>
          <w:b w:val="0"/>
          <w:bCs w:val="0"/>
          <w:kern w:val="2"/>
          <w:sz w:val="24"/>
          <w:szCs w:val="24"/>
          <w:lang w:val="zh-CN" w:eastAsia="zh-CN" w:bidi="ar-SA"/>
        </w:rPr>
      </w:pPr>
      <w:r>
        <w:rPr>
          <w:rFonts w:hint="eastAsia" w:ascii="宋体" w:hAnsi="宋体"/>
          <w:b w:val="0"/>
          <w:bCs w:val="0"/>
          <w:kern w:val="2"/>
          <w:sz w:val="24"/>
          <w:szCs w:val="24"/>
          <w:lang w:val="en-US" w:eastAsia="zh-CN" w:bidi="ar-SA"/>
        </w:rPr>
        <w:t>4</w:t>
      </w:r>
      <w:r>
        <w:rPr>
          <w:rFonts w:hint="eastAsia" w:ascii="宋体" w:hAnsi="宋体"/>
          <w:b w:val="0"/>
          <w:bCs w:val="0"/>
          <w:kern w:val="2"/>
          <w:sz w:val="24"/>
          <w:szCs w:val="24"/>
          <w:lang w:val="zh-CN" w:eastAsia="zh-CN" w:bidi="ar-SA"/>
        </w:rPr>
        <w:t>.本项目不接受磋商人以联合体方式进行投标；</w:t>
      </w:r>
    </w:p>
    <w:p>
      <w:pPr>
        <w:pStyle w:val="4"/>
        <w:numPr>
          <w:ilvl w:val="0"/>
          <w:numId w:val="0"/>
        </w:numPr>
        <w:spacing w:before="0" w:after="0" w:line="360" w:lineRule="auto"/>
        <w:ind w:leftChars="0" w:firstLine="480" w:firstLineChars="200"/>
        <w:rPr>
          <w:rFonts w:hint="eastAsia" w:ascii="宋体" w:hAnsi="宋体"/>
          <w:b w:val="0"/>
          <w:bCs w:val="0"/>
          <w:kern w:val="2"/>
          <w:sz w:val="24"/>
          <w:szCs w:val="24"/>
          <w:lang w:val="en-US" w:eastAsia="zh-CN" w:bidi="ar-SA"/>
        </w:rPr>
      </w:pPr>
      <w:r>
        <w:rPr>
          <w:rFonts w:hint="eastAsia" w:ascii="宋体" w:hAnsi="宋体"/>
          <w:b w:val="0"/>
          <w:bCs w:val="0"/>
          <w:kern w:val="2"/>
          <w:sz w:val="24"/>
          <w:szCs w:val="24"/>
          <w:lang w:val="en-US" w:eastAsia="zh-CN" w:bidi="ar-SA"/>
        </w:rPr>
        <w:t>磋商费用</w:t>
      </w:r>
      <w:bookmarkEnd w:id="24"/>
      <w:bookmarkEnd w:id="25"/>
    </w:p>
    <w:p>
      <w:pPr>
        <w:pStyle w:val="7"/>
        <w:spacing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pPr>
        <w:pStyle w:val="3"/>
        <w:rPr>
          <w:rFonts w:hAnsi="宋体"/>
          <w:b/>
          <w:sz w:val="32"/>
          <w:szCs w:val="32"/>
        </w:rPr>
      </w:pPr>
      <w:bookmarkStart w:id="26" w:name="_Toc30318_WPSOffice_Level2"/>
      <w:bookmarkStart w:id="27" w:name="_Toc23373"/>
      <w:bookmarkStart w:id="28" w:name="_Toc535421962"/>
      <w:r>
        <w:rPr>
          <w:rFonts w:hint="eastAsia" w:hAnsi="宋体"/>
          <w:b/>
          <w:sz w:val="32"/>
          <w:szCs w:val="32"/>
        </w:rPr>
        <w:t>磋商文件说明</w:t>
      </w:r>
      <w:bookmarkEnd w:id="26"/>
      <w:bookmarkEnd w:id="27"/>
      <w:bookmarkEnd w:id="28"/>
    </w:p>
    <w:p>
      <w:pPr>
        <w:pStyle w:val="4"/>
        <w:numPr>
          <w:ilvl w:val="0"/>
          <w:numId w:val="4"/>
        </w:numPr>
        <w:spacing w:before="0" w:after="0" w:line="360" w:lineRule="auto"/>
        <w:rPr>
          <w:rFonts w:ascii="宋体" w:hAnsi="宋体"/>
          <w:b w:val="0"/>
        </w:rPr>
      </w:pPr>
      <w:bookmarkStart w:id="29" w:name="_Toc535421963"/>
      <w:bookmarkStart w:id="30" w:name="_Toc488673617"/>
      <w:r>
        <w:rPr>
          <w:rFonts w:hint="eastAsia" w:ascii="宋体" w:hAnsi="宋体"/>
          <w:b w:val="0"/>
        </w:rPr>
        <w:t>磋商文件的构成</w:t>
      </w:r>
      <w:bookmarkEnd w:id="29"/>
      <w:bookmarkEnd w:id="30"/>
    </w:p>
    <w:p>
      <w:pPr>
        <w:pStyle w:val="7"/>
        <w:numPr>
          <w:ilvl w:val="1"/>
          <w:numId w:val="6"/>
        </w:numPr>
        <w:spacing w:line="360" w:lineRule="auto"/>
        <w:rPr>
          <w:rFonts w:hAnsi="宋体"/>
          <w:sz w:val="24"/>
          <w:szCs w:val="28"/>
        </w:rPr>
      </w:pPr>
      <w:r>
        <w:rPr>
          <w:rFonts w:hint="eastAsia" w:hAnsi="宋体"/>
          <w:sz w:val="24"/>
          <w:szCs w:val="28"/>
        </w:rPr>
        <w:t>磋商文件包括：</w:t>
      </w:r>
    </w:p>
    <w:p>
      <w:pPr>
        <w:pStyle w:val="7"/>
        <w:numPr>
          <w:ilvl w:val="0"/>
          <w:numId w:val="7"/>
        </w:numPr>
        <w:spacing w:line="360" w:lineRule="auto"/>
        <w:rPr>
          <w:rFonts w:hAnsi="宋体" w:cs="Arial"/>
          <w:sz w:val="24"/>
          <w:szCs w:val="24"/>
        </w:rPr>
      </w:pPr>
      <w:r>
        <w:rPr>
          <w:rFonts w:hint="eastAsia" w:hAnsi="宋体" w:cs="Arial"/>
          <w:sz w:val="24"/>
          <w:szCs w:val="24"/>
        </w:rPr>
        <w:t>磋商邀请；</w:t>
      </w:r>
    </w:p>
    <w:p>
      <w:pPr>
        <w:pStyle w:val="7"/>
        <w:numPr>
          <w:ilvl w:val="0"/>
          <w:numId w:val="7"/>
        </w:numPr>
        <w:spacing w:line="360" w:lineRule="auto"/>
        <w:rPr>
          <w:rFonts w:hAnsi="宋体" w:cs="Arial"/>
          <w:sz w:val="24"/>
          <w:szCs w:val="24"/>
        </w:rPr>
      </w:pPr>
      <w:r>
        <w:rPr>
          <w:rFonts w:hint="eastAsia" w:hAnsi="宋体" w:cs="Arial"/>
          <w:sz w:val="24"/>
          <w:szCs w:val="24"/>
        </w:rPr>
        <w:t>磋商供应商须知前附表；</w:t>
      </w:r>
    </w:p>
    <w:p>
      <w:pPr>
        <w:pStyle w:val="7"/>
        <w:numPr>
          <w:ilvl w:val="0"/>
          <w:numId w:val="7"/>
        </w:numPr>
        <w:spacing w:line="360" w:lineRule="auto"/>
        <w:rPr>
          <w:rFonts w:hAnsi="宋体" w:cs="Arial"/>
          <w:sz w:val="24"/>
          <w:szCs w:val="24"/>
        </w:rPr>
      </w:pPr>
      <w:r>
        <w:rPr>
          <w:rFonts w:hint="eastAsia" w:hAnsi="宋体" w:cs="Arial"/>
          <w:sz w:val="24"/>
          <w:szCs w:val="24"/>
        </w:rPr>
        <w:t>磋商供应商须知；</w:t>
      </w:r>
    </w:p>
    <w:p>
      <w:pPr>
        <w:pStyle w:val="7"/>
        <w:numPr>
          <w:ilvl w:val="0"/>
          <w:numId w:val="7"/>
        </w:numPr>
        <w:spacing w:line="360" w:lineRule="auto"/>
        <w:rPr>
          <w:rFonts w:hAnsi="宋体" w:cs="Arial"/>
          <w:sz w:val="24"/>
          <w:szCs w:val="24"/>
        </w:rPr>
      </w:pPr>
      <w:r>
        <w:rPr>
          <w:rFonts w:hint="eastAsia" w:hAnsi="宋体" w:cs="Arial"/>
          <w:sz w:val="24"/>
          <w:szCs w:val="24"/>
        </w:rPr>
        <w:t>青海省政府采购合同文本样式；</w:t>
      </w:r>
    </w:p>
    <w:p>
      <w:pPr>
        <w:pStyle w:val="7"/>
        <w:numPr>
          <w:ilvl w:val="0"/>
          <w:numId w:val="7"/>
        </w:numPr>
        <w:spacing w:line="360" w:lineRule="auto"/>
        <w:rPr>
          <w:rFonts w:hAnsi="宋体" w:cs="Arial"/>
          <w:sz w:val="24"/>
          <w:szCs w:val="24"/>
        </w:rPr>
      </w:pPr>
      <w:r>
        <w:rPr>
          <w:rFonts w:hint="eastAsia" w:hAnsi="宋体" w:cs="Arial"/>
          <w:sz w:val="24"/>
          <w:szCs w:val="24"/>
        </w:rPr>
        <w:t>磋商响应文件格式；</w:t>
      </w:r>
    </w:p>
    <w:p>
      <w:pPr>
        <w:pStyle w:val="7"/>
        <w:numPr>
          <w:ilvl w:val="0"/>
          <w:numId w:val="7"/>
        </w:numPr>
        <w:spacing w:line="360" w:lineRule="auto"/>
        <w:rPr>
          <w:rFonts w:hAnsi="宋体" w:cs="Arial"/>
          <w:sz w:val="24"/>
          <w:szCs w:val="24"/>
        </w:rPr>
      </w:pPr>
      <w:r>
        <w:rPr>
          <w:rFonts w:hint="eastAsia" w:hAnsi="宋体" w:cs="Arial"/>
          <w:sz w:val="24"/>
          <w:szCs w:val="24"/>
        </w:rPr>
        <w:t>采购项目</w:t>
      </w:r>
      <w:r>
        <w:rPr>
          <w:rFonts w:hint="eastAsia" w:hAnsi="宋体" w:cs="Arial"/>
          <w:sz w:val="24"/>
          <w:szCs w:val="24"/>
          <w:lang w:eastAsia="zh-CN"/>
        </w:rPr>
        <w:t>服务</w:t>
      </w:r>
      <w:r>
        <w:rPr>
          <w:rFonts w:hint="eastAsia" w:hAnsi="宋体" w:cs="Arial"/>
          <w:sz w:val="24"/>
          <w:szCs w:val="24"/>
        </w:rPr>
        <w:t>要求；</w:t>
      </w:r>
    </w:p>
    <w:p>
      <w:pPr>
        <w:pStyle w:val="7"/>
        <w:numPr>
          <w:ilvl w:val="0"/>
          <w:numId w:val="7"/>
        </w:numPr>
        <w:spacing w:line="360" w:lineRule="auto"/>
        <w:rPr>
          <w:rFonts w:hAnsi="宋体" w:cs="Arial"/>
          <w:sz w:val="24"/>
          <w:szCs w:val="24"/>
        </w:rPr>
      </w:pPr>
      <w:r>
        <w:rPr>
          <w:rFonts w:hint="eastAsia" w:hAnsi="宋体" w:cs="Arial"/>
          <w:sz w:val="24"/>
          <w:szCs w:val="24"/>
        </w:rPr>
        <w:t>采购过程中发生的澄清、变更和补充文件；</w:t>
      </w:r>
    </w:p>
    <w:p>
      <w:pPr>
        <w:pStyle w:val="7"/>
        <w:numPr>
          <w:ilvl w:val="1"/>
          <w:numId w:val="6"/>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pPr>
        <w:pStyle w:val="4"/>
        <w:numPr>
          <w:ilvl w:val="0"/>
          <w:numId w:val="4"/>
        </w:numPr>
        <w:spacing w:before="0" w:after="0" w:line="360" w:lineRule="auto"/>
        <w:rPr>
          <w:rFonts w:ascii="宋体" w:hAnsi="宋体"/>
          <w:b w:val="0"/>
        </w:rPr>
      </w:pPr>
      <w:bookmarkStart w:id="31" w:name="_Toc488673618"/>
      <w:bookmarkStart w:id="32" w:name="_Toc535421964"/>
      <w:r>
        <w:rPr>
          <w:rFonts w:hint="eastAsia" w:ascii="宋体" w:hAnsi="宋体"/>
          <w:b w:val="0"/>
        </w:rPr>
        <w:t>磋商文件、磋商活动和中标结果的质疑</w:t>
      </w:r>
      <w:bookmarkEnd w:id="31"/>
      <w:bookmarkEnd w:id="32"/>
    </w:p>
    <w:p>
      <w:pPr>
        <w:pStyle w:val="7"/>
        <w:numPr>
          <w:ilvl w:val="1"/>
          <w:numId w:val="8"/>
        </w:numPr>
        <w:spacing w:line="360" w:lineRule="auto"/>
        <w:rPr>
          <w:rFonts w:hint="eastAsia" w:hAnsi="宋体"/>
          <w:sz w:val="24"/>
          <w:szCs w:val="28"/>
        </w:rPr>
      </w:pPr>
      <w:r>
        <w:rPr>
          <w:rFonts w:hint="eastAsia" w:hAnsi="宋体"/>
          <w:sz w:val="24"/>
          <w:szCs w:val="28"/>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Ansi="宋体"/>
          <w:sz w:val="24"/>
          <w:szCs w:val="28"/>
        </w:rPr>
        <w:t>潜在供应商已依法获取其可质疑的采购文件的，可以对该文件提出质疑</w:t>
      </w:r>
      <w:r>
        <w:rPr>
          <w:rFonts w:hint="eastAsia" w:hAnsi="宋体"/>
          <w:sz w:val="24"/>
          <w:szCs w:val="28"/>
        </w:rPr>
        <w:t>，</w:t>
      </w:r>
      <w:r>
        <w:rPr>
          <w:rFonts w:hAnsi="宋体"/>
          <w:sz w:val="24"/>
          <w:szCs w:val="28"/>
        </w:rPr>
        <w:t>对采购文件提出质疑的，应当在获取采购文件或者采购文件公告期限届满之日起7个工作日内提出</w:t>
      </w:r>
      <w:r>
        <w:rPr>
          <w:rFonts w:hint="eastAsia" w:hAnsi="宋体"/>
          <w:sz w:val="24"/>
          <w:szCs w:val="28"/>
        </w:rPr>
        <w:t>。</w:t>
      </w:r>
      <w:r>
        <w:rPr>
          <w:rFonts w:hAnsi="宋体"/>
          <w:sz w:val="24"/>
          <w:szCs w:val="28"/>
        </w:rPr>
        <w:t>供应商</w:t>
      </w:r>
      <w:r>
        <w:rPr>
          <w:rFonts w:hint="eastAsia" w:hAnsi="宋体"/>
          <w:sz w:val="24"/>
          <w:szCs w:val="28"/>
        </w:rPr>
        <w:t>须</w:t>
      </w:r>
      <w:r>
        <w:rPr>
          <w:rFonts w:hAnsi="宋体"/>
          <w:sz w:val="24"/>
          <w:szCs w:val="28"/>
        </w:rPr>
        <w:t>在法定质疑期内一次性提出针对同一采购程序环节的质疑。</w:t>
      </w:r>
      <w:r>
        <w:rPr>
          <w:rFonts w:hint="eastAsia" w:hAnsi="宋体"/>
          <w:sz w:val="24"/>
          <w:szCs w:val="28"/>
        </w:rPr>
        <w:t>采购人或采购代理机构在收到书面</w:t>
      </w:r>
      <w:r>
        <w:rPr>
          <w:rFonts w:hAnsi="宋体"/>
          <w:sz w:val="24"/>
          <w:szCs w:val="28"/>
        </w:rPr>
        <w:t>质疑函后7个工作日内作出答复</w:t>
      </w:r>
      <w:r>
        <w:rPr>
          <w:rFonts w:hint="eastAsia" w:hAnsi="宋体"/>
          <w:sz w:val="24"/>
          <w:szCs w:val="28"/>
        </w:rPr>
        <w:t>。</w:t>
      </w:r>
    </w:p>
    <w:p>
      <w:pPr>
        <w:pStyle w:val="7"/>
        <w:numPr>
          <w:ilvl w:val="1"/>
          <w:numId w:val="8"/>
        </w:numPr>
        <w:spacing w:line="360" w:lineRule="auto"/>
        <w:rPr>
          <w:rFonts w:hAnsi="宋体"/>
          <w:sz w:val="24"/>
          <w:szCs w:val="28"/>
        </w:rPr>
      </w:pPr>
      <w:r>
        <w:rPr>
          <w:rFonts w:hint="eastAsia" w:hAnsi="宋体"/>
          <w:sz w:val="24"/>
          <w:szCs w:val="28"/>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pPr>
        <w:pStyle w:val="7"/>
        <w:numPr>
          <w:ilvl w:val="1"/>
          <w:numId w:val="8"/>
        </w:numPr>
        <w:spacing w:line="360" w:lineRule="auto"/>
        <w:rPr>
          <w:rFonts w:hAnsi="宋体"/>
          <w:sz w:val="24"/>
          <w:szCs w:val="28"/>
        </w:rPr>
      </w:pPr>
      <w:r>
        <w:rPr>
          <w:rFonts w:hint="eastAsia" w:hAnsi="宋体"/>
          <w:sz w:val="24"/>
          <w:szCs w:val="28"/>
        </w:rPr>
        <w:t>质疑时效期间的计算</w:t>
      </w:r>
    </w:p>
    <w:p>
      <w:pPr>
        <w:pStyle w:val="7"/>
        <w:numPr>
          <w:ilvl w:val="0"/>
          <w:numId w:val="9"/>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pPr>
        <w:pStyle w:val="7"/>
        <w:numPr>
          <w:ilvl w:val="0"/>
          <w:numId w:val="9"/>
        </w:numPr>
        <w:spacing w:line="360" w:lineRule="auto"/>
        <w:rPr>
          <w:rFonts w:hAnsi="宋体" w:cs="Arial"/>
          <w:sz w:val="24"/>
          <w:szCs w:val="24"/>
        </w:rPr>
      </w:pPr>
      <w:r>
        <w:rPr>
          <w:rFonts w:hint="eastAsia" w:hAnsi="宋体" w:cs="Arial"/>
          <w:sz w:val="24"/>
          <w:szCs w:val="24"/>
        </w:rPr>
        <w:t>对磋商过程提出质疑的，为磋商程序各环节结束之日；</w:t>
      </w:r>
    </w:p>
    <w:p>
      <w:pPr>
        <w:pStyle w:val="7"/>
        <w:numPr>
          <w:ilvl w:val="0"/>
          <w:numId w:val="9"/>
        </w:numPr>
        <w:spacing w:line="360" w:lineRule="auto"/>
        <w:rPr>
          <w:rFonts w:hAnsi="宋体" w:cs="Arial"/>
          <w:sz w:val="24"/>
          <w:szCs w:val="24"/>
        </w:rPr>
      </w:pPr>
      <w:r>
        <w:rPr>
          <w:rFonts w:hint="eastAsia" w:hAnsi="宋体" w:cs="Arial"/>
          <w:sz w:val="24"/>
          <w:szCs w:val="24"/>
        </w:rPr>
        <w:t>对中标结果提出质疑的，为中标公告期限届满之日。</w:t>
      </w:r>
    </w:p>
    <w:p>
      <w:pPr>
        <w:pStyle w:val="4"/>
        <w:numPr>
          <w:ilvl w:val="0"/>
          <w:numId w:val="4"/>
        </w:numPr>
        <w:spacing w:before="0" w:after="0" w:line="360" w:lineRule="auto"/>
        <w:rPr>
          <w:rFonts w:ascii="宋体" w:hAnsi="宋体"/>
          <w:b w:val="0"/>
        </w:rPr>
      </w:pPr>
      <w:bookmarkStart w:id="33" w:name="_Toc535421965"/>
      <w:bookmarkStart w:id="34" w:name="_Toc488673619"/>
      <w:r>
        <w:rPr>
          <w:rFonts w:hint="eastAsia" w:ascii="宋体" w:hAnsi="宋体"/>
          <w:b w:val="0"/>
        </w:rPr>
        <w:t>磋商文件的修改</w:t>
      </w:r>
      <w:bookmarkEnd w:id="33"/>
      <w:bookmarkEnd w:id="34"/>
    </w:p>
    <w:p>
      <w:pPr>
        <w:pStyle w:val="7"/>
        <w:numPr>
          <w:ilvl w:val="1"/>
          <w:numId w:val="10"/>
        </w:numPr>
        <w:spacing w:line="360" w:lineRule="auto"/>
        <w:rPr>
          <w:rFonts w:hAnsi="宋体"/>
          <w:sz w:val="24"/>
          <w:szCs w:val="28"/>
        </w:rPr>
      </w:pPr>
      <w:r>
        <w:rPr>
          <w:rFonts w:hint="eastAsia" w:hAnsi="宋体"/>
          <w:sz w:val="24"/>
          <w:szCs w:val="28"/>
        </w:rPr>
        <w:t>在磋商截止期前，采购单位或采购代理机构可对磋商文件进行必要的修改或者澄清；</w:t>
      </w:r>
    </w:p>
    <w:p>
      <w:pPr>
        <w:pStyle w:val="7"/>
        <w:numPr>
          <w:ilvl w:val="1"/>
          <w:numId w:val="10"/>
        </w:numPr>
        <w:spacing w:line="360" w:lineRule="auto"/>
        <w:rPr>
          <w:rFonts w:hAnsi="宋体"/>
          <w:sz w:val="24"/>
          <w:szCs w:val="28"/>
        </w:rPr>
      </w:pPr>
      <w:r>
        <w:rPr>
          <w:rFonts w:hint="eastAsia" w:hAnsi="宋体"/>
          <w:sz w:val="24"/>
          <w:szCs w:val="28"/>
        </w:rPr>
        <w:t>采购代理机构对已发出的磋商文件进行必要的澄清或者修改的，澄清或者修改的内容可能影响磋商文件编制的，在磋商文件要求提交磋商响应文件截止时间</w:t>
      </w:r>
      <w:r>
        <w:rPr>
          <w:rFonts w:hAnsi="宋体"/>
          <w:sz w:val="24"/>
          <w:szCs w:val="28"/>
        </w:rPr>
        <w:t>5</w:t>
      </w:r>
      <w:r>
        <w:rPr>
          <w:rFonts w:hint="eastAsia" w:hAnsi="宋体"/>
          <w:sz w:val="24"/>
          <w:szCs w:val="28"/>
        </w:rPr>
        <w:t>日前，在</w:t>
      </w:r>
      <w:r>
        <w:rPr>
          <w:rFonts w:hint="eastAsia" w:hAnsi="宋体"/>
          <w:sz w:val="24"/>
          <w:szCs w:val="28"/>
          <w:lang w:eastAsia="zh-CN"/>
        </w:rPr>
        <w:t>《</w:t>
      </w:r>
      <w:r>
        <w:rPr>
          <w:rFonts w:hint="eastAsia" w:hAnsi="宋体"/>
          <w:sz w:val="24"/>
          <w:szCs w:val="28"/>
          <w:lang w:val="en-US" w:eastAsia="zh-CN"/>
        </w:rPr>
        <w:t>青海</w:t>
      </w:r>
      <w:r>
        <w:rPr>
          <w:rFonts w:hint="eastAsia" w:hAnsi="宋体"/>
          <w:sz w:val="24"/>
          <w:szCs w:val="28"/>
          <w:lang w:eastAsia="zh-CN"/>
        </w:rPr>
        <w:t>政府采购</w:t>
      </w:r>
      <w:r>
        <w:rPr>
          <w:rFonts w:hint="eastAsia" w:hAnsi="宋体"/>
          <w:sz w:val="24"/>
          <w:szCs w:val="28"/>
          <w:lang w:val="en-US" w:eastAsia="zh-CN"/>
        </w:rPr>
        <w:t>网</w:t>
      </w:r>
      <w:r>
        <w:rPr>
          <w:rFonts w:hint="eastAsia" w:hAnsi="宋体"/>
          <w:sz w:val="24"/>
          <w:szCs w:val="28"/>
          <w:lang w:eastAsia="zh-CN"/>
        </w:rPr>
        <w:t>》、《青海省公共资源交易网》、《中国采购与招标网》</w:t>
      </w:r>
      <w:r>
        <w:rPr>
          <w:rFonts w:hint="eastAsia" w:hAnsi="宋体"/>
          <w:sz w:val="24"/>
          <w:szCs w:val="28"/>
        </w:rPr>
        <w:t>。不足</w:t>
      </w:r>
      <w:r>
        <w:rPr>
          <w:rFonts w:hAnsi="宋体"/>
          <w:sz w:val="24"/>
          <w:szCs w:val="28"/>
        </w:rPr>
        <w:t>5</w:t>
      </w:r>
      <w:r>
        <w:rPr>
          <w:rFonts w:hint="eastAsia" w:hAnsi="宋体"/>
          <w:sz w:val="24"/>
          <w:szCs w:val="28"/>
        </w:rPr>
        <w:t>日的，顺延提交磋商文件的截止时间。该澄清或者修改的内容为磋商文件的组成部分；</w:t>
      </w:r>
    </w:p>
    <w:p>
      <w:pPr>
        <w:pStyle w:val="7"/>
        <w:numPr>
          <w:ilvl w:val="1"/>
          <w:numId w:val="10"/>
        </w:numPr>
        <w:spacing w:line="360" w:lineRule="auto"/>
        <w:rPr>
          <w:rFonts w:hAnsi="宋体"/>
          <w:sz w:val="24"/>
          <w:szCs w:val="28"/>
        </w:rPr>
      </w:pPr>
      <w:r>
        <w:rPr>
          <w:rFonts w:hint="eastAsia" w:hAnsi="宋体"/>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pPr>
        <w:pStyle w:val="3"/>
        <w:rPr>
          <w:rFonts w:hAnsi="宋体"/>
          <w:b/>
          <w:sz w:val="32"/>
          <w:szCs w:val="32"/>
        </w:rPr>
      </w:pPr>
      <w:bookmarkStart w:id="35" w:name="_Toc27344"/>
      <w:bookmarkStart w:id="36" w:name="_Toc6228_WPSOffice_Level2"/>
      <w:bookmarkStart w:id="37" w:name="_Toc535421966"/>
      <w:r>
        <w:rPr>
          <w:rFonts w:hint="eastAsia" w:hAnsi="宋体"/>
          <w:b/>
          <w:sz w:val="32"/>
          <w:szCs w:val="32"/>
        </w:rPr>
        <w:t>磋商响应文件的编写</w:t>
      </w:r>
      <w:bookmarkEnd w:id="35"/>
      <w:bookmarkEnd w:id="36"/>
      <w:bookmarkEnd w:id="37"/>
    </w:p>
    <w:p>
      <w:pPr>
        <w:pStyle w:val="4"/>
        <w:numPr>
          <w:ilvl w:val="0"/>
          <w:numId w:val="4"/>
        </w:numPr>
        <w:spacing w:before="0" w:after="0" w:line="360" w:lineRule="auto"/>
        <w:rPr>
          <w:rFonts w:ascii="宋体" w:hAnsi="宋体"/>
          <w:b w:val="0"/>
        </w:rPr>
      </w:pPr>
      <w:bookmarkStart w:id="38" w:name="_Toc535421967"/>
      <w:bookmarkStart w:id="39" w:name="_Toc488673621"/>
      <w:r>
        <w:rPr>
          <w:rFonts w:hint="eastAsia" w:ascii="宋体" w:hAnsi="宋体"/>
          <w:b w:val="0"/>
        </w:rPr>
        <w:t>磋商响应文件的语言及度量衡单位</w:t>
      </w:r>
      <w:bookmarkEnd w:id="38"/>
      <w:bookmarkEnd w:id="39"/>
    </w:p>
    <w:p>
      <w:pPr>
        <w:pStyle w:val="7"/>
        <w:numPr>
          <w:ilvl w:val="1"/>
          <w:numId w:val="11"/>
        </w:numPr>
        <w:spacing w:line="360" w:lineRule="auto"/>
        <w:rPr>
          <w:rFonts w:hAnsi="宋体"/>
          <w:sz w:val="24"/>
          <w:szCs w:val="28"/>
        </w:rPr>
      </w:pPr>
      <w:r>
        <w:rPr>
          <w:rFonts w:hint="eastAsia" w:hAnsi="宋体"/>
          <w:sz w:val="24"/>
          <w:szCs w:val="28"/>
        </w:rPr>
        <w:t>磋商供应商提交的磋商响应文件以及磋商供应商与采购代理机构就此磋商发生的所有来往函电均应使用简体中文；</w:t>
      </w:r>
    </w:p>
    <w:p>
      <w:pPr>
        <w:pStyle w:val="7"/>
        <w:numPr>
          <w:ilvl w:val="1"/>
          <w:numId w:val="11"/>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pPr>
        <w:pStyle w:val="7"/>
        <w:numPr>
          <w:ilvl w:val="1"/>
          <w:numId w:val="11"/>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pPr>
        <w:pStyle w:val="4"/>
        <w:numPr>
          <w:ilvl w:val="0"/>
          <w:numId w:val="4"/>
        </w:numPr>
        <w:spacing w:before="0" w:after="0" w:line="360" w:lineRule="auto"/>
        <w:rPr>
          <w:rFonts w:ascii="宋体" w:hAnsi="宋体"/>
          <w:b w:val="0"/>
        </w:rPr>
      </w:pPr>
      <w:bookmarkStart w:id="40" w:name="_Toc488673622"/>
      <w:bookmarkStart w:id="41" w:name="_Toc535421968"/>
      <w:r>
        <w:rPr>
          <w:rFonts w:hint="eastAsia" w:ascii="宋体" w:hAnsi="宋体"/>
          <w:b w:val="0"/>
        </w:rPr>
        <w:t>磋商报价及币种</w:t>
      </w:r>
      <w:bookmarkEnd w:id="40"/>
      <w:bookmarkEnd w:id="41"/>
    </w:p>
    <w:p>
      <w:pPr>
        <w:pStyle w:val="7"/>
        <w:numPr>
          <w:ilvl w:val="1"/>
          <w:numId w:val="12"/>
        </w:numPr>
        <w:spacing w:line="360" w:lineRule="auto"/>
        <w:rPr>
          <w:rFonts w:hAnsi="宋体"/>
          <w:sz w:val="24"/>
          <w:szCs w:val="28"/>
        </w:rPr>
      </w:pPr>
      <w:r>
        <w:rPr>
          <w:rFonts w:hint="eastAsia" w:hAnsi="宋体"/>
          <w:sz w:val="24"/>
          <w:szCs w:val="28"/>
        </w:rPr>
        <w:t>磋商报价为磋商总价。磋商报价必须包括：完成本服务内容可能发生的各项费用，如人员工资、交通、设备、利润、税收以及所有有关的管理成本和</w:t>
      </w:r>
      <w:r>
        <w:rPr>
          <w:rFonts w:hAnsi="宋体"/>
          <w:sz w:val="24"/>
          <w:szCs w:val="28"/>
        </w:rPr>
        <w:t>其他不可预见费等全部费用</w:t>
      </w:r>
      <w:r>
        <w:rPr>
          <w:rFonts w:hint="eastAsia" w:hAnsi="宋体"/>
          <w:sz w:val="24"/>
          <w:szCs w:val="28"/>
        </w:rPr>
        <w:t>。（说明：具体内容应根据项目特点实事求是的填写）</w:t>
      </w:r>
    </w:p>
    <w:p>
      <w:pPr>
        <w:pStyle w:val="7"/>
        <w:numPr>
          <w:ilvl w:val="1"/>
          <w:numId w:val="12"/>
        </w:numPr>
        <w:spacing w:line="360" w:lineRule="auto"/>
        <w:rPr>
          <w:rFonts w:hAnsi="宋体"/>
          <w:sz w:val="24"/>
          <w:szCs w:val="28"/>
        </w:rPr>
      </w:pPr>
      <w:r>
        <w:rPr>
          <w:rFonts w:hint="eastAsia" w:hAnsi="宋体"/>
          <w:sz w:val="24"/>
          <w:szCs w:val="28"/>
        </w:rPr>
        <w:t>磋商报价应注明有效期，有效期应与磋商有效期一致；</w:t>
      </w:r>
    </w:p>
    <w:p>
      <w:pPr>
        <w:pStyle w:val="7"/>
        <w:numPr>
          <w:ilvl w:val="1"/>
          <w:numId w:val="12"/>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pPr>
        <w:pStyle w:val="7"/>
        <w:numPr>
          <w:ilvl w:val="1"/>
          <w:numId w:val="12"/>
        </w:numPr>
        <w:spacing w:line="360" w:lineRule="auto"/>
        <w:rPr>
          <w:rFonts w:hAnsi="宋体"/>
          <w:sz w:val="24"/>
          <w:szCs w:val="28"/>
        </w:rPr>
      </w:pPr>
      <w:r>
        <w:rPr>
          <w:rFonts w:hint="eastAsia" w:hAnsi="宋体"/>
          <w:sz w:val="24"/>
          <w:szCs w:val="28"/>
        </w:rPr>
        <w:t>磋商报价为闭口价，即中标后在合同有效期内价格不变；</w:t>
      </w:r>
    </w:p>
    <w:p>
      <w:pPr>
        <w:pStyle w:val="7"/>
        <w:numPr>
          <w:ilvl w:val="1"/>
          <w:numId w:val="12"/>
        </w:numPr>
        <w:spacing w:line="360" w:lineRule="auto"/>
        <w:rPr>
          <w:rFonts w:hAnsi="宋体"/>
          <w:sz w:val="24"/>
          <w:szCs w:val="28"/>
        </w:rPr>
      </w:pPr>
      <w:r>
        <w:rPr>
          <w:rFonts w:hint="eastAsia" w:hAnsi="宋体"/>
          <w:sz w:val="24"/>
          <w:szCs w:val="28"/>
        </w:rPr>
        <w:t>磋商币种为人民币。</w:t>
      </w:r>
    </w:p>
    <w:p>
      <w:pPr>
        <w:pStyle w:val="4"/>
        <w:numPr>
          <w:ilvl w:val="0"/>
          <w:numId w:val="4"/>
        </w:numPr>
        <w:spacing w:before="0" w:after="0" w:line="360" w:lineRule="auto"/>
        <w:rPr>
          <w:rFonts w:ascii="宋体" w:hAnsi="宋体"/>
          <w:b w:val="0"/>
        </w:rPr>
      </w:pPr>
      <w:bookmarkStart w:id="42" w:name="_Toc535421969"/>
      <w:bookmarkStart w:id="43" w:name="_Toc488673623"/>
      <w:r>
        <w:rPr>
          <w:rFonts w:hint="eastAsia" w:ascii="宋体" w:hAnsi="宋体"/>
          <w:b w:val="0"/>
        </w:rPr>
        <w:t>磋商保证金</w:t>
      </w:r>
      <w:bookmarkEnd w:id="42"/>
      <w:bookmarkEnd w:id="43"/>
    </w:p>
    <w:p>
      <w:pPr>
        <w:pStyle w:val="7"/>
        <w:numPr>
          <w:ilvl w:val="1"/>
          <w:numId w:val="13"/>
        </w:numPr>
        <w:spacing w:line="360" w:lineRule="auto"/>
        <w:rPr>
          <w:rFonts w:hint="eastAsia" w:hAnsi="宋体"/>
          <w:sz w:val="24"/>
          <w:szCs w:val="28"/>
        </w:rPr>
      </w:pPr>
      <w:r>
        <w:rPr>
          <w:rFonts w:hint="eastAsia" w:hAnsi="宋体"/>
          <w:sz w:val="24"/>
          <w:szCs w:val="28"/>
        </w:rPr>
        <w:t>磋商供应商应将磋商保证金缴纳证明作为磋商文件的内容一并提供。缴纳的磋商保证金用于因磋商供应商的行为使本次磋商活动受到损失的抵项；</w:t>
      </w:r>
    </w:p>
    <w:p>
      <w:pPr>
        <w:pStyle w:val="7"/>
        <w:numPr>
          <w:ilvl w:val="1"/>
          <w:numId w:val="13"/>
        </w:numPr>
        <w:spacing w:line="360" w:lineRule="auto"/>
        <w:rPr>
          <w:rFonts w:hint="eastAsia" w:hAnsi="宋体"/>
          <w:sz w:val="24"/>
          <w:szCs w:val="28"/>
        </w:rPr>
      </w:pPr>
      <w:r>
        <w:rPr>
          <w:rFonts w:hint="eastAsia" w:hAnsi="宋体"/>
          <w:sz w:val="24"/>
          <w:szCs w:val="28"/>
        </w:rPr>
        <w:t>磋商人须在投标截止期前按以下要求交纳投标保证金</w:t>
      </w:r>
      <w:r>
        <w:rPr>
          <w:rFonts w:hint="eastAsia" w:hAnsi="宋体"/>
          <w:sz w:val="24"/>
          <w:szCs w:val="28"/>
          <w:lang w:eastAsia="zh-CN"/>
        </w:rPr>
        <w:t>：</w:t>
      </w:r>
    </w:p>
    <w:p>
      <w:pPr>
        <w:widowControl/>
        <w:adjustRightInd w:val="0"/>
        <w:snapToGrid w:val="0"/>
        <w:spacing w:line="360" w:lineRule="auto"/>
        <w:ind w:firstLine="480" w:firstLineChars="200"/>
        <w:jc w:val="left"/>
        <w:rPr>
          <w:rFonts w:ascii="宋体" w:hAnsi="宋体" w:cs="Arial"/>
          <w:color w:val="000000"/>
          <w:sz w:val="24"/>
        </w:rPr>
      </w:pPr>
      <w:r>
        <w:rPr>
          <w:rFonts w:hint="eastAsia" w:hAnsi="宋体"/>
          <w:sz w:val="24"/>
          <w:szCs w:val="28"/>
        </w:rPr>
        <w:t xml:space="preserve">   </w:t>
      </w:r>
      <w:r>
        <w:rPr>
          <w:rFonts w:hint="eastAsia" w:ascii="宋体" w:hAnsi="宋体" w:cs="Arial"/>
          <w:kern w:val="0"/>
          <w:sz w:val="24"/>
        </w:rPr>
        <w:t>磋商</w:t>
      </w:r>
      <w:r>
        <w:rPr>
          <w:rFonts w:ascii="宋体" w:hAnsi="宋体" w:cs="Arial"/>
          <w:sz w:val="24"/>
        </w:rPr>
        <w:t>保证</w:t>
      </w:r>
      <w:r>
        <w:rPr>
          <w:rFonts w:ascii="宋体" w:hAnsi="宋体" w:cs="Arial"/>
          <w:color w:val="000000"/>
          <w:sz w:val="24"/>
        </w:rPr>
        <w:t>金的金额（人民币）</w:t>
      </w:r>
      <w:bookmarkStart w:id="44" w:name="_Toc421873480"/>
      <w:r>
        <w:rPr>
          <w:rFonts w:hint="eastAsia" w:ascii="宋体" w:hAnsi="宋体" w:cs="Arial"/>
          <w:color w:val="000000"/>
          <w:sz w:val="24"/>
        </w:rPr>
        <w:t>：</w:t>
      </w:r>
    </w:p>
    <w:bookmarkEnd w:id="44"/>
    <w:p>
      <w:pPr>
        <w:pStyle w:val="17"/>
        <w:spacing w:line="360" w:lineRule="auto"/>
        <w:ind w:firstLine="720" w:firstLineChars="300"/>
        <w:rPr>
          <w:rFonts w:hint="default" w:ascii="宋体" w:hAnsi="宋体" w:eastAsia="宋体"/>
          <w:color w:val="000000"/>
          <w:kern w:val="0"/>
          <w:sz w:val="24"/>
          <w:szCs w:val="28"/>
          <w:lang w:val="en-US" w:eastAsia="zh-CN"/>
        </w:rPr>
      </w:pPr>
      <w:bookmarkStart w:id="45" w:name="_Toc421873483"/>
      <w:r>
        <w:rPr>
          <w:rFonts w:hint="eastAsia" w:ascii="宋体" w:hAnsi="宋体"/>
          <w:color w:val="000000"/>
          <w:kern w:val="0"/>
          <w:sz w:val="24"/>
          <w:szCs w:val="28"/>
        </w:rPr>
        <w:t>（</w:t>
      </w:r>
      <w:r>
        <w:rPr>
          <w:rFonts w:ascii="宋体" w:hAnsi="宋体"/>
          <w:color w:val="000000"/>
          <w:kern w:val="0"/>
          <w:sz w:val="24"/>
          <w:szCs w:val="28"/>
        </w:rPr>
        <w:t>小写</w:t>
      </w:r>
      <w:r>
        <w:rPr>
          <w:rFonts w:hint="eastAsia" w:ascii="宋体" w:hAnsi="宋体"/>
          <w:color w:val="000000"/>
          <w:kern w:val="0"/>
          <w:sz w:val="24"/>
          <w:szCs w:val="28"/>
        </w:rPr>
        <w:t>）：</w:t>
      </w:r>
      <w:r>
        <w:rPr>
          <w:rFonts w:hint="eastAsia" w:ascii="宋体" w:hAnsi="宋体"/>
          <w:color w:val="000000"/>
          <w:kern w:val="0"/>
          <w:sz w:val="24"/>
          <w:szCs w:val="28"/>
          <w:lang w:val="en-US" w:eastAsia="zh-CN"/>
        </w:rPr>
        <w:t>10000.00</w:t>
      </w:r>
    </w:p>
    <w:p>
      <w:pPr>
        <w:pStyle w:val="17"/>
        <w:spacing w:line="360" w:lineRule="auto"/>
        <w:ind w:firstLine="720" w:firstLineChars="300"/>
        <w:rPr>
          <w:rFonts w:hint="eastAsia" w:ascii="宋体" w:hAnsi="宋体" w:eastAsia="宋体"/>
          <w:color w:val="000000"/>
          <w:kern w:val="0"/>
          <w:sz w:val="24"/>
          <w:szCs w:val="28"/>
          <w:lang w:val="en-US" w:eastAsia="zh-CN"/>
        </w:rPr>
      </w:pPr>
      <w:r>
        <w:rPr>
          <w:rFonts w:hint="eastAsia" w:ascii="宋体" w:hAnsi="宋体"/>
          <w:color w:val="000000"/>
          <w:kern w:val="0"/>
          <w:sz w:val="24"/>
          <w:szCs w:val="28"/>
        </w:rPr>
        <w:t>（大写）：</w:t>
      </w:r>
      <w:r>
        <w:rPr>
          <w:rFonts w:hint="eastAsia" w:ascii="宋体" w:hAnsi="宋体"/>
          <w:color w:val="000000"/>
          <w:kern w:val="0"/>
          <w:sz w:val="24"/>
          <w:szCs w:val="28"/>
          <w:lang w:val="en-US" w:eastAsia="zh-CN"/>
        </w:rPr>
        <w:t>壹万元整</w:t>
      </w:r>
    </w:p>
    <w:p>
      <w:pPr>
        <w:widowControl/>
        <w:adjustRightInd w:val="0"/>
        <w:snapToGrid w:val="0"/>
        <w:spacing w:line="360" w:lineRule="auto"/>
        <w:ind w:firstLine="480" w:firstLineChars="200"/>
        <w:jc w:val="left"/>
        <w:rPr>
          <w:rFonts w:ascii="宋体" w:hAnsi="宋体" w:cs="Arial"/>
          <w:color w:val="auto"/>
          <w:kern w:val="0"/>
          <w:sz w:val="24"/>
        </w:rPr>
      </w:pPr>
      <w:r>
        <w:rPr>
          <w:rFonts w:ascii="宋体" w:hAnsi="宋体" w:cs="Arial"/>
          <w:color w:val="auto"/>
          <w:kern w:val="0"/>
          <w:sz w:val="24"/>
        </w:rPr>
        <w:t>磋商人可以采用现金支票、银行汇票、银行保函等非现金形式交纳</w:t>
      </w:r>
      <w:r>
        <w:rPr>
          <w:rFonts w:hint="eastAsia" w:ascii="宋体" w:hAnsi="宋体" w:cs="Arial"/>
          <w:color w:val="auto"/>
          <w:kern w:val="0"/>
          <w:sz w:val="24"/>
        </w:rPr>
        <w:t>磋商</w:t>
      </w:r>
      <w:r>
        <w:rPr>
          <w:rFonts w:ascii="宋体" w:hAnsi="宋体" w:cs="Arial"/>
          <w:color w:val="auto"/>
          <w:kern w:val="0"/>
          <w:sz w:val="24"/>
        </w:rPr>
        <w:t>保证金（注明此次项目磋商文件编号，例：）；提交账号如下：</w:t>
      </w:r>
      <w:bookmarkEnd w:id="45"/>
    </w:p>
    <w:p>
      <w:pPr>
        <w:widowControl/>
        <w:adjustRightInd w:val="0"/>
        <w:snapToGrid w:val="0"/>
        <w:spacing w:line="360" w:lineRule="auto"/>
        <w:ind w:firstLine="480" w:firstLineChars="200"/>
        <w:jc w:val="left"/>
        <w:rPr>
          <w:rFonts w:hint="eastAsia" w:ascii="宋体" w:hAnsi="宋体" w:cs="Arial"/>
          <w:color w:val="auto"/>
          <w:kern w:val="0"/>
          <w:sz w:val="24"/>
          <w:lang w:val="en-US" w:eastAsia="zh-CN"/>
        </w:rPr>
      </w:pPr>
      <w:r>
        <w:rPr>
          <w:rFonts w:hint="eastAsia" w:ascii="宋体" w:hAnsi="宋体" w:cs="Arial"/>
          <w:color w:val="auto"/>
          <w:kern w:val="0"/>
          <w:sz w:val="24"/>
          <w:highlight w:val="none"/>
        </w:rPr>
        <w:t>开户行：</w:t>
      </w:r>
      <w:r>
        <w:rPr>
          <w:rFonts w:hint="eastAsia" w:ascii="宋体" w:hAnsi="宋体" w:cs="Arial"/>
          <w:color w:val="auto"/>
          <w:kern w:val="0"/>
          <w:sz w:val="24"/>
          <w:lang w:val="en-US" w:eastAsia="zh-CN"/>
        </w:rPr>
        <w:t>中国建设银行股份有限公司西宁昆仑中路支行</w:t>
      </w:r>
    </w:p>
    <w:p>
      <w:pPr>
        <w:widowControl/>
        <w:adjustRightInd w:val="0"/>
        <w:snapToGrid w:val="0"/>
        <w:spacing w:line="360" w:lineRule="auto"/>
        <w:ind w:firstLine="480" w:firstLineChars="200"/>
        <w:jc w:val="left"/>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rPr>
        <w:t>账户名：</w:t>
      </w:r>
      <w:r>
        <w:rPr>
          <w:rFonts w:hint="eastAsia" w:ascii="宋体" w:hAnsi="宋体" w:cs="Arial"/>
          <w:color w:val="auto"/>
          <w:kern w:val="0"/>
          <w:sz w:val="24"/>
          <w:highlight w:val="none"/>
          <w:lang w:eastAsia="zh-CN"/>
        </w:rPr>
        <w:t>青海东煌工程咨询招标代理有限公司</w:t>
      </w:r>
    </w:p>
    <w:p>
      <w:pPr>
        <w:widowControl/>
        <w:adjustRightInd w:val="0"/>
        <w:snapToGrid w:val="0"/>
        <w:spacing w:line="360" w:lineRule="auto"/>
        <w:ind w:firstLine="480" w:firstLineChars="200"/>
        <w:jc w:val="left"/>
        <w:rPr>
          <w:rFonts w:hint="default" w:ascii="宋体" w:hAnsi="宋体" w:cs="Arial"/>
          <w:color w:val="auto"/>
          <w:kern w:val="0"/>
          <w:sz w:val="24"/>
          <w:highlight w:val="none"/>
          <w:lang w:val="en-US"/>
        </w:rPr>
      </w:pPr>
      <w:r>
        <w:rPr>
          <w:rFonts w:hint="eastAsia" w:ascii="宋体" w:hAnsi="宋体" w:cs="Arial"/>
          <w:color w:val="auto"/>
          <w:kern w:val="0"/>
          <w:sz w:val="24"/>
          <w:highlight w:val="none"/>
        </w:rPr>
        <w:t xml:space="preserve">账 </w:t>
      </w:r>
      <w:r>
        <w:rPr>
          <w:rFonts w:ascii="宋体" w:hAnsi="宋体" w:cs="Arial"/>
          <w:color w:val="auto"/>
          <w:kern w:val="0"/>
          <w:sz w:val="24"/>
          <w:highlight w:val="none"/>
        </w:rPr>
        <w:t xml:space="preserve"> </w:t>
      </w:r>
      <w:r>
        <w:rPr>
          <w:rFonts w:hint="eastAsia" w:ascii="宋体" w:hAnsi="宋体" w:cs="Arial"/>
          <w:color w:val="auto"/>
          <w:kern w:val="0"/>
          <w:sz w:val="24"/>
          <w:highlight w:val="none"/>
        </w:rPr>
        <w:t>号：</w:t>
      </w:r>
      <w:r>
        <w:rPr>
          <w:rFonts w:hint="eastAsia" w:ascii="宋体" w:hAnsi="宋体" w:cs="Arial"/>
          <w:color w:val="auto"/>
          <w:kern w:val="0"/>
          <w:sz w:val="24"/>
          <w:lang w:val="en-US" w:eastAsia="zh-CN"/>
        </w:rPr>
        <w:t>63050145360400000176</w:t>
      </w:r>
    </w:p>
    <w:p>
      <w:pPr>
        <w:pStyle w:val="7"/>
        <w:numPr>
          <w:ilvl w:val="1"/>
          <w:numId w:val="13"/>
        </w:numPr>
        <w:spacing w:line="360" w:lineRule="auto"/>
        <w:rPr>
          <w:rFonts w:hAnsi="宋体"/>
          <w:sz w:val="24"/>
          <w:szCs w:val="28"/>
        </w:rPr>
      </w:pPr>
      <w:r>
        <w:rPr>
          <w:rFonts w:hint="eastAsia" w:hAnsi="宋体"/>
          <w:sz w:val="24"/>
          <w:szCs w:val="28"/>
        </w:rPr>
        <w:t>磋商供应商应在磋商截止时间前1个工作日将磋商保证金缴纳到采购代理机构账户，以银行到账时间为准；</w:t>
      </w:r>
    </w:p>
    <w:p>
      <w:pPr>
        <w:pStyle w:val="7"/>
        <w:numPr>
          <w:ilvl w:val="1"/>
          <w:numId w:val="13"/>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磋商保证金应当以电汇、支票、汇票、本票或者金融机构、担保机构出具的保函等非现金形式提交，通过银行转账的，必须从磋商供应商基本账户直接汇（转）入采购代理机构指定账户；</w:t>
      </w:r>
    </w:p>
    <w:p>
      <w:pPr>
        <w:pStyle w:val="7"/>
        <w:numPr>
          <w:ilvl w:val="1"/>
          <w:numId w:val="13"/>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pPr>
        <w:pStyle w:val="7"/>
        <w:numPr>
          <w:ilvl w:val="1"/>
          <w:numId w:val="13"/>
        </w:numPr>
        <w:spacing w:line="360" w:lineRule="auto"/>
        <w:rPr>
          <w:rFonts w:hAnsi="宋体"/>
          <w:sz w:val="24"/>
          <w:szCs w:val="28"/>
        </w:rPr>
      </w:pPr>
      <w:r>
        <w:rPr>
          <w:rFonts w:hint="eastAsia" w:hAnsi="宋体"/>
          <w:sz w:val="24"/>
          <w:szCs w:val="28"/>
        </w:rPr>
        <w:t>未中标磋商供应商的磋商保证金自中标通知书发出之日起5个工作日内全额无息退还（不退现金）；中标磋商供应商的磋商保证金，自政府采购合同签订之日起5个工作日内全额无息退还（不退现金）</w:t>
      </w:r>
      <w:r>
        <w:rPr>
          <w:rFonts w:hint="eastAsia" w:hAnsi="宋体"/>
          <w:color w:val="000000"/>
          <w:sz w:val="24"/>
          <w:szCs w:val="28"/>
        </w:rPr>
        <w:t>；</w:t>
      </w:r>
      <w:r>
        <w:rPr>
          <w:rFonts w:hint="eastAsia" w:ascii="宋体" w:hAnsi="宋体" w:cs="宋体"/>
          <w:color w:val="000000"/>
          <w:kern w:val="0"/>
          <w:sz w:val="24"/>
          <w:lang w:val="zh-CN"/>
        </w:rPr>
        <w:t>注：退保证金时需提供财务开具的收据</w:t>
      </w:r>
      <w:r>
        <w:rPr>
          <w:rFonts w:hint="eastAsia" w:hAnsi="宋体" w:cs="宋体"/>
          <w:color w:val="000000"/>
          <w:kern w:val="0"/>
          <w:sz w:val="24"/>
          <w:lang w:val="zh-CN"/>
        </w:rPr>
        <w:t>（原件）</w:t>
      </w:r>
      <w:r>
        <w:rPr>
          <w:rFonts w:hint="eastAsia" w:ascii="宋体" w:hAnsi="宋体" w:cs="宋体"/>
          <w:color w:val="000000"/>
          <w:kern w:val="0"/>
          <w:sz w:val="24"/>
          <w:lang w:val="zh-CN"/>
        </w:rPr>
        <w:t>。</w:t>
      </w:r>
    </w:p>
    <w:p>
      <w:pPr>
        <w:pStyle w:val="7"/>
        <w:numPr>
          <w:ilvl w:val="1"/>
          <w:numId w:val="13"/>
        </w:numPr>
        <w:spacing w:line="360" w:lineRule="auto"/>
        <w:rPr>
          <w:rFonts w:hAnsi="宋体"/>
          <w:sz w:val="24"/>
          <w:szCs w:val="28"/>
        </w:rPr>
      </w:pPr>
      <w:r>
        <w:rPr>
          <w:rFonts w:hint="eastAsia" w:hAnsi="宋体"/>
          <w:sz w:val="24"/>
          <w:szCs w:val="28"/>
        </w:rPr>
        <w:t>下列任何情况发生时，磋商保证金将不予退还：</w:t>
      </w:r>
    </w:p>
    <w:p>
      <w:pPr>
        <w:pStyle w:val="7"/>
        <w:numPr>
          <w:ilvl w:val="0"/>
          <w:numId w:val="14"/>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磋商供应商在递交磋商响应文件的截止时间前未到达现场并且没有以书面形式如信函、传真等告知采购代理机构要撤其磋商的；</w:t>
      </w:r>
    </w:p>
    <w:p>
      <w:pPr>
        <w:pStyle w:val="7"/>
        <w:numPr>
          <w:ilvl w:val="0"/>
          <w:numId w:val="14"/>
        </w:numPr>
        <w:spacing w:line="360" w:lineRule="auto"/>
        <w:rPr>
          <w:rFonts w:hAnsi="宋体" w:cs="Arial"/>
          <w:sz w:val="24"/>
          <w:szCs w:val="24"/>
        </w:rPr>
      </w:pPr>
      <w:r>
        <w:rPr>
          <w:rFonts w:hint="eastAsia" w:hAnsi="宋体" w:cs="Arial"/>
          <w:sz w:val="24"/>
          <w:szCs w:val="24"/>
        </w:rPr>
        <w:t>中标磋商供应商在规定期限内未能按规定签订合同或未按规定缴纳中标服务费；</w:t>
      </w:r>
    </w:p>
    <w:p>
      <w:pPr>
        <w:pStyle w:val="7"/>
        <w:numPr>
          <w:ilvl w:val="0"/>
          <w:numId w:val="14"/>
        </w:numPr>
        <w:spacing w:line="360" w:lineRule="auto"/>
        <w:rPr>
          <w:rFonts w:hAnsi="宋体" w:cs="Arial"/>
          <w:sz w:val="24"/>
          <w:szCs w:val="24"/>
        </w:rPr>
      </w:pPr>
      <w:r>
        <w:rPr>
          <w:rFonts w:hint="eastAsia" w:hAnsi="宋体" w:cs="Arial"/>
          <w:sz w:val="24"/>
          <w:szCs w:val="24"/>
        </w:rPr>
        <w:t>提供虚假材料谋取中标的；</w:t>
      </w:r>
    </w:p>
    <w:p>
      <w:pPr>
        <w:pStyle w:val="7"/>
        <w:numPr>
          <w:ilvl w:val="0"/>
          <w:numId w:val="14"/>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pPr>
        <w:pStyle w:val="7"/>
        <w:numPr>
          <w:ilvl w:val="0"/>
          <w:numId w:val="14"/>
        </w:numPr>
        <w:spacing w:line="360" w:lineRule="auto"/>
        <w:rPr>
          <w:rFonts w:hAnsi="宋体" w:cs="Arial"/>
          <w:sz w:val="24"/>
          <w:szCs w:val="24"/>
        </w:rPr>
      </w:pPr>
      <w:r>
        <w:rPr>
          <w:rFonts w:hint="eastAsia" w:hAnsi="宋体" w:cs="Arial"/>
          <w:sz w:val="24"/>
          <w:szCs w:val="24"/>
        </w:rPr>
        <w:t>拒绝履行合同义务的；</w:t>
      </w:r>
    </w:p>
    <w:p>
      <w:pPr>
        <w:pStyle w:val="7"/>
        <w:numPr>
          <w:ilvl w:val="0"/>
          <w:numId w:val="14"/>
        </w:numPr>
        <w:spacing w:line="360" w:lineRule="auto"/>
        <w:rPr>
          <w:rFonts w:hAnsi="宋体" w:cs="Arial"/>
          <w:sz w:val="24"/>
          <w:szCs w:val="24"/>
        </w:rPr>
      </w:pPr>
      <w:r>
        <w:rPr>
          <w:rFonts w:hint="eastAsia" w:hAnsi="宋体" w:cs="Arial"/>
          <w:sz w:val="24"/>
          <w:szCs w:val="24"/>
        </w:rPr>
        <w:t>法律、法规规定的其他情形。</w:t>
      </w:r>
    </w:p>
    <w:p>
      <w:pPr>
        <w:pStyle w:val="4"/>
        <w:numPr>
          <w:ilvl w:val="0"/>
          <w:numId w:val="4"/>
        </w:numPr>
        <w:spacing w:before="0" w:after="0" w:line="360" w:lineRule="auto"/>
        <w:rPr>
          <w:rFonts w:ascii="宋体" w:hAnsi="宋体"/>
          <w:b w:val="0"/>
        </w:rPr>
      </w:pPr>
      <w:bookmarkStart w:id="46" w:name="_Toc488673624"/>
      <w:bookmarkStart w:id="47" w:name="_Toc535421970"/>
      <w:r>
        <w:rPr>
          <w:rFonts w:ascii="宋体" w:hAnsi="宋体"/>
          <w:b w:val="0"/>
        </w:rPr>
        <w:t>磋商有效期</w:t>
      </w:r>
      <w:bookmarkEnd w:id="46"/>
      <w:bookmarkEnd w:id="47"/>
    </w:p>
    <w:p>
      <w:pPr>
        <w:pStyle w:val="7"/>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lang w:eastAsia="zh-CN"/>
        </w:rPr>
        <w:t>6</w:t>
      </w:r>
      <w:r>
        <w:rPr>
          <w:rFonts w:hint="eastAsia" w:hAnsi="宋体" w:cs="Arial"/>
          <w:sz w:val="24"/>
          <w:szCs w:val="24"/>
        </w:rPr>
        <w:t>0</w:t>
      </w:r>
      <w:r>
        <w:rPr>
          <w:rFonts w:hAnsi="宋体" w:cs="Arial"/>
          <w:sz w:val="24"/>
          <w:szCs w:val="24"/>
        </w:rPr>
        <w:t>个日历日</w:t>
      </w:r>
      <w:r>
        <w:rPr>
          <w:rFonts w:hint="eastAsia" w:hAnsi="宋体" w:cs="Arial"/>
          <w:sz w:val="24"/>
          <w:szCs w:val="24"/>
        </w:rPr>
        <w:t>。</w:t>
      </w:r>
    </w:p>
    <w:p>
      <w:pPr>
        <w:pStyle w:val="4"/>
        <w:numPr>
          <w:ilvl w:val="0"/>
          <w:numId w:val="4"/>
        </w:numPr>
        <w:spacing w:before="0" w:after="0" w:line="360" w:lineRule="auto"/>
        <w:rPr>
          <w:rFonts w:hint="eastAsia" w:ascii="宋体" w:hAnsi="宋体"/>
          <w:b w:val="0"/>
          <w:bCs w:val="0"/>
          <w:kern w:val="0"/>
          <w:sz w:val="24"/>
          <w:szCs w:val="28"/>
          <w:lang w:val="en-US" w:eastAsia="zh-CN" w:bidi="ar-SA"/>
        </w:rPr>
      </w:pPr>
      <w:bookmarkStart w:id="48" w:name="_Toc488673625"/>
      <w:bookmarkStart w:id="49" w:name="_Toc535421971"/>
      <w:r>
        <w:rPr>
          <w:rFonts w:hint="eastAsia" w:ascii="宋体" w:hAnsi="宋体"/>
          <w:b w:val="0"/>
          <w:bCs w:val="0"/>
          <w:kern w:val="0"/>
          <w:sz w:val="24"/>
          <w:szCs w:val="28"/>
          <w:lang w:val="en-US" w:eastAsia="zh-CN" w:bidi="ar-SA"/>
        </w:rPr>
        <w:t>磋商响应文件的构成</w:t>
      </w:r>
      <w:bookmarkEnd w:id="48"/>
      <w:bookmarkEnd w:id="49"/>
    </w:p>
    <w:p>
      <w:pPr>
        <w:pStyle w:val="7"/>
        <w:numPr>
          <w:ilvl w:val="1"/>
          <w:numId w:val="15"/>
        </w:numPr>
        <w:spacing w:line="360" w:lineRule="auto"/>
        <w:rPr>
          <w:rFonts w:hint="eastAsia" w:hAnsi="宋体"/>
          <w:sz w:val="24"/>
          <w:szCs w:val="28"/>
        </w:rPr>
      </w:pPr>
      <w:r>
        <w:rPr>
          <w:rFonts w:hint="eastAsia" w:hAnsi="宋体"/>
          <w:sz w:val="24"/>
          <w:szCs w:val="28"/>
        </w:rPr>
        <w:t xml:space="preserve">磋商供应商应提交相关证明材料，作为其参加磋商和中标后有能力履行合同的证明。编写的磋商响应文件须包括以下内容（格式见磋商文件“第五部分 </w:t>
      </w:r>
      <w:r>
        <w:rPr>
          <w:rFonts w:hAnsi="宋体"/>
          <w:sz w:val="24"/>
          <w:szCs w:val="28"/>
        </w:rPr>
        <w:t xml:space="preserve"> </w:t>
      </w:r>
      <w:r>
        <w:rPr>
          <w:rFonts w:hint="eastAsia" w:hAnsi="宋体"/>
          <w:sz w:val="24"/>
          <w:szCs w:val="28"/>
        </w:rPr>
        <w:t>磋商响应文件格式”）：</w:t>
      </w:r>
    </w:p>
    <w:p>
      <w:pPr>
        <w:pStyle w:val="7"/>
        <w:numPr>
          <w:ilvl w:val="1"/>
          <w:numId w:val="15"/>
        </w:numPr>
        <w:spacing w:line="360" w:lineRule="auto"/>
        <w:rPr>
          <w:rFonts w:hAnsi="宋体"/>
          <w:sz w:val="24"/>
          <w:szCs w:val="28"/>
        </w:rPr>
      </w:pPr>
      <w:r>
        <w:rPr>
          <w:rFonts w:hint="eastAsia" w:hAnsi="宋体" w:cs="Arial"/>
          <w:sz w:val="24"/>
          <w:szCs w:val="24"/>
        </w:rPr>
        <w:t>磋商响应文件</w:t>
      </w:r>
    </w:p>
    <w:p>
      <w:pPr>
        <w:pStyle w:val="7"/>
        <w:numPr>
          <w:ilvl w:val="0"/>
          <w:numId w:val="16"/>
        </w:numPr>
        <w:spacing w:line="360" w:lineRule="auto"/>
        <w:rPr>
          <w:rFonts w:hAnsi="宋体" w:cs="Arial"/>
          <w:sz w:val="24"/>
          <w:szCs w:val="24"/>
        </w:rPr>
      </w:pPr>
      <w:r>
        <w:rPr>
          <w:rFonts w:hint="eastAsia" w:hAnsi="宋体" w:cs="Arial"/>
          <w:sz w:val="24"/>
          <w:szCs w:val="24"/>
        </w:rPr>
        <w:t>磋商函；</w:t>
      </w:r>
    </w:p>
    <w:p>
      <w:pPr>
        <w:pStyle w:val="7"/>
        <w:numPr>
          <w:ilvl w:val="0"/>
          <w:numId w:val="16"/>
        </w:numPr>
        <w:spacing w:line="360" w:lineRule="auto"/>
        <w:rPr>
          <w:rFonts w:hAnsi="宋体" w:cs="Arial"/>
          <w:sz w:val="24"/>
          <w:szCs w:val="24"/>
        </w:rPr>
      </w:pPr>
      <w:r>
        <w:rPr>
          <w:rFonts w:hint="eastAsia" w:hAnsi="宋体" w:cs="Arial"/>
          <w:sz w:val="24"/>
          <w:szCs w:val="24"/>
        </w:rPr>
        <w:t>法定代表人证明书；</w:t>
      </w:r>
    </w:p>
    <w:p>
      <w:pPr>
        <w:pStyle w:val="7"/>
        <w:numPr>
          <w:ilvl w:val="0"/>
          <w:numId w:val="16"/>
        </w:numPr>
        <w:spacing w:line="360" w:lineRule="auto"/>
        <w:rPr>
          <w:rFonts w:hAnsi="宋体" w:cs="Arial"/>
          <w:sz w:val="24"/>
          <w:szCs w:val="24"/>
        </w:rPr>
      </w:pPr>
      <w:r>
        <w:rPr>
          <w:rFonts w:hint="eastAsia" w:hAnsi="宋体" w:cs="Arial"/>
          <w:sz w:val="24"/>
          <w:szCs w:val="24"/>
        </w:rPr>
        <w:t>法定代表人授权书；</w:t>
      </w:r>
    </w:p>
    <w:p>
      <w:pPr>
        <w:pStyle w:val="7"/>
        <w:numPr>
          <w:ilvl w:val="0"/>
          <w:numId w:val="16"/>
        </w:numPr>
        <w:spacing w:line="360" w:lineRule="auto"/>
        <w:rPr>
          <w:rFonts w:hAnsi="宋体" w:cs="Arial"/>
          <w:sz w:val="24"/>
          <w:szCs w:val="24"/>
        </w:rPr>
      </w:pPr>
      <w:r>
        <w:rPr>
          <w:rFonts w:hint="eastAsia" w:hAnsi="宋体" w:cs="Arial"/>
          <w:sz w:val="24"/>
          <w:szCs w:val="24"/>
        </w:rPr>
        <w:t>磋商供应商承诺书；</w:t>
      </w:r>
    </w:p>
    <w:p>
      <w:pPr>
        <w:pStyle w:val="7"/>
        <w:numPr>
          <w:ilvl w:val="0"/>
          <w:numId w:val="16"/>
        </w:numPr>
        <w:spacing w:line="360" w:lineRule="auto"/>
        <w:rPr>
          <w:rFonts w:hAnsi="宋体" w:cs="Arial"/>
          <w:sz w:val="24"/>
          <w:szCs w:val="24"/>
        </w:rPr>
      </w:pPr>
      <w:r>
        <w:rPr>
          <w:rFonts w:hint="eastAsia" w:hAnsi="宋体" w:cs="Arial"/>
          <w:sz w:val="24"/>
          <w:szCs w:val="24"/>
        </w:rPr>
        <w:t>供应商诚信承诺书；</w:t>
      </w:r>
    </w:p>
    <w:p>
      <w:pPr>
        <w:pStyle w:val="7"/>
        <w:numPr>
          <w:ilvl w:val="0"/>
          <w:numId w:val="16"/>
        </w:numPr>
        <w:spacing w:line="360" w:lineRule="auto"/>
        <w:rPr>
          <w:rFonts w:hAnsi="宋体" w:cs="Arial"/>
          <w:sz w:val="24"/>
          <w:szCs w:val="24"/>
        </w:rPr>
      </w:pPr>
      <w:r>
        <w:rPr>
          <w:rFonts w:hint="eastAsia" w:hAnsi="宋体" w:cs="Arial"/>
          <w:sz w:val="24"/>
          <w:szCs w:val="24"/>
        </w:rPr>
        <w:t>资格证明材料；</w:t>
      </w:r>
    </w:p>
    <w:p>
      <w:pPr>
        <w:pStyle w:val="7"/>
        <w:numPr>
          <w:ilvl w:val="0"/>
          <w:numId w:val="16"/>
        </w:numPr>
        <w:spacing w:line="360" w:lineRule="auto"/>
        <w:rPr>
          <w:rFonts w:hAnsi="宋体" w:cs="Arial"/>
          <w:sz w:val="24"/>
          <w:szCs w:val="24"/>
        </w:rPr>
      </w:pPr>
      <w:r>
        <w:rPr>
          <w:rFonts w:hint="eastAsia" w:hAnsi="宋体" w:cs="Arial"/>
          <w:sz w:val="24"/>
          <w:szCs w:val="24"/>
        </w:rPr>
        <w:t>财务状况、缴纳税收和社会保障资金证明；</w:t>
      </w:r>
    </w:p>
    <w:p>
      <w:pPr>
        <w:pStyle w:val="7"/>
        <w:numPr>
          <w:ilvl w:val="0"/>
          <w:numId w:val="16"/>
        </w:numPr>
        <w:spacing w:line="360" w:lineRule="auto"/>
        <w:rPr>
          <w:rFonts w:hint="eastAsia" w:hAnsi="宋体" w:cs="Arial"/>
          <w:color w:val="000000"/>
          <w:sz w:val="24"/>
          <w:szCs w:val="24"/>
        </w:rPr>
      </w:pPr>
      <w:r>
        <w:rPr>
          <w:rFonts w:hint="eastAsia" w:hAnsi="宋体" w:cs="Arial"/>
          <w:color w:val="000000"/>
          <w:sz w:val="24"/>
          <w:szCs w:val="24"/>
        </w:rPr>
        <w:t>具备履行合同所必须的设备和专业技术能力证明；</w:t>
      </w:r>
    </w:p>
    <w:p>
      <w:pPr>
        <w:pStyle w:val="7"/>
        <w:numPr>
          <w:ilvl w:val="0"/>
          <w:numId w:val="16"/>
        </w:numPr>
        <w:spacing w:line="360" w:lineRule="auto"/>
        <w:rPr>
          <w:rFonts w:hAnsi="宋体" w:cs="Arial"/>
          <w:sz w:val="24"/>
          <w:szCs w:val="24"/>
        </w:rPr>
      </w:pPr>
      <w:r>
        <w:rPr>
          <w:rFonts w:hint="eastAsia" w:hAnsi="宋体" w:cs="Arial"/>
          <w:sz w:val="24"/>
          <w:szCs w:val="24"/>
        </w:rPr>
        <w:t>无重大违法记录声明；</w:t>
      </w:r>
    </w:p>
    <w:p>
      <w:pPr>
        <w:pStyle w:val="7"/>
        <w:numPr>
          <w:ilvl w:val="0"/>
          <w:numId w:val="16"/>
        </w:numPr>
        <w:spacing w:line="360" w:lineRule="auto"/>
        <w:rPr>
          <w:rFonts w:hAnsi="宋体" w:cs="Arial"/>
          <w:sz w:val="24"/>
          <w:szCs w:val="24"/>
        </w:rPr>
      </w:pPr>
      <w:r>
        <w:rPr>
          <w:rFonts w:hint="eastAsia" w:hAnsi="宋体" w:cs="Arial"/>
          <w:sz w:val="24"/>
          <w:szCs w:val="24"/>
        </w:rPr>
        <w:t>磋商保证金证明；</w:t>
      </w:r>
    </w:p>
    <w:p>
      <w:pPr>
        <w:pStyle w:val="7"/>
        <w:numPr>
          <w:ilvl w:val="0"/>
          <w:numId w:val="16"/>
        </w:numPr>
        <w:spacing w:line="360" w:lineRule="auto"/>
        <w:rPr>
          <w:rFonts w:hint="eastAsia" w:hAnsi="宋体" w:cs="Arial"/>
          <w:color w:val="000000"/>
          <w:sz w:val="24"/>
          <w:szCs w:val="24"/>
        </w:rPr>
      </w:pPr>
      <w:r>
        <w:rPr>
          <w:rFonts w:hint="eastAsia" w:hAnsi="宋体" w:cs="Arial"/>
          <w:color w:val="000000"/>
          <w:sz w:val="24"/>
          <w:szCs w:val="24"/>
        </w:rPr>
        <w:t>竞争性磋商首次报价表；</w:t>
      </w:r>
    </w:p>
    <w:p>
      <w:pPr>
        <w:pStyle w:val="7"/>
        <w:numPr>
          <w:ilvl w:val="0"/>
          <w:numId w:val="16"/>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pPr>
        <w:pStyle w:val="7"/>
        <w:numPr>
          <w:ilvl w:val="0"/>
          <w:numId w:val="16"/>
        </w:numPr>
        <w:spacing w:line="360" w:lineRule="auto"/>
        <w:rPr>
          <w:rFonts w:hAnsi="宋体" w:cs="Arial"/>
          <w:sz w:val="24"/>
          <w:szCs w:val="24"/>
        </w:rPr>
      </w:pPr>
      <w:r>
        <w:rPr>
          <w:rFonts w:hint="eastAsia" w:hAnsi="宋体" w:cs="Arial"/>
          <w:sz w:val="24"/>
          <w:szCs w:val="24"/>
        </w:rPr>
        <w:t>磋商</w:t>
      </w:r>
      <w:r>
        <w:rPr>
          <w:rFonts w:hint="eastAsia" w:hAnsi="宋体" w:cs="Arial"/>
          <w:sz w:val="24"/>
          <w:szCs w:val="24"/>
          <w:lang w:eastAsia="zh-CN"/>
        </w:rPr>
        <w:t>服务</w:t>
      </w:r>
      <w:r>
        <w:rPr>
          <w:rFonts w:hint="eastAsia" w:hAnsi="宋体" w:cs="Arial"/>
          <w:sz w:val="24"/>
          <w:szCs w:val="24"/>
        </w:rPr>
        <w:t>相关资料；</w:t>
      </w:r>
    </w:p>
    <w:p>
      <w:pPr>
        <w:pStyle w:val="7"/>
        <w:numPr>
          <w:ilvl w:val="0"/>
          <w:numId w:val="16"/>
        </w:numPr>
        <w:spacing w:line="360" w:lineRule="auto"/>
        <w:rPr>
          <w:rFonts w:hAnsi="宋体" w:cs="Arial"/>
          <w:sz w:val="24"/>
          <w:szCs w:val="24"/>
        </w:rPr>
      </w:pPr>
      <w:r>
        <w:rPr>
          <w:rFonts w:hint="eastAsia" w:hAnsi="宋体" w:cs="Arial"/>
          <w:sz w:val="24"/>
          <w:szCs w:val="24"/>
        </w:rPr>
        <w:t>磋商供应商的类似业绩证明材料；</w:t>
      </w:r>
    </w:p>
    <w:p>
      <w:pPr>
        <w:pStyle w:val="7"/>
        <w:numPr>
          <w:ilvl w:val="0"/>
          <w:numId w:val="16"/>
        </w:numPr>
        <w:spacing w:line="360" w:lineRule="auto"/>
        <w:rPr>
          <w:rFonts w:hAnsi="宋体" w:cs="Arial"/>
          <w:sz w:val="24"/>
          <w:szCs w:val="24"/>
        </w:rPr>
      </w:pPr>
      <w:r>
        <w:rPr>
          <w:rFonts w:hint="eastAsia" w:hAnsi="宋体" w:cs="Arial"/>
          <w:sz w:val="24"/>
          <w:szCs w:val="24"/>
        </w:rPr>
        <w:t>中小微型企业声明函；</w:t>
      </w:r>
    </w:p>
    <w:p>
      <w:pPr>
        <w:pStyle w:val="7"/>
        <w:numPr>
          <w:ilvl w:val="0"/>
          <w:numId w:val="16"/>
        </w:numPr>
        <w:spacing w:line="360" w:lineRule="auto"/>
        <w:rPr>
          <w:rFonts w:hAnsi="宋体" w:cs="Arial"/>
          <w:sz w:val="24"/>
          <w:szCs w:val="24"/>
        </w:rPr>
      </w:pPr>
      <w:r>
        <w:rPr>
          <w:rFonts w:hint="eastAsia" w:hAnsi="宋体" w:cs="Arial"/>
          <w:sz w:val="24"/>
          <w:szCs w:val="24"/>
        </w:rPr>
        <w:t>残疾人福利性单位声明函</w:t>
      </w:r>
    </w:p>
    <w:p>
      <w:pPr>
        <w:pStyle w:val="7"/>
        <w:numPr>
          <w:ilvl w:val="0"/>
          <w:numId w:val="16"/>
        </w:numPr>
        <w:spacing w:line="360" w:lineRule="auto"/>
        <w:rPr>
          <w:rFonts w:hAnsi="宋体" w:cs="Arial"/>
          <w:sz w:val="24"/>
          <w:szCs w:val="24"/>
        </w:rPr>
      </w:pPr>
      <w:r>
        <w:rPr>
          <w:rFonts w:hint="eastAsia" w:hAnsi="宋体" w:cs="Arial"/>
          <w:sz w:val="24"/>
          <w:szCs w:val="24"/>
        </w:rPr>
        <w:t>磋商供应商认为在其他方面有必要说明的事项；</w:t>
      </w:r>
    </w:p>
    <w:p>
      <w:pPr>
        <w:pStyle w:val="7"/>
        <w:numPr>
          <w:ilvl w:val="0"/>
          <w:numId w:val="16"/>
        </w:numPr>
        <w:spacing w:line="360" w:lineRule="auto"/>
        <w:rPr>
          <w:rFonts w:hint="eastAsia" w:hAnsi="宋体" w:cs="Arial"/>
          <w:sz w:val="24"/>
          <w:szCs w:val="24"/>
        </w:rPr>
      </w:pPr>
      <w:r>
        <w:rPr>
          <w:rFonts w:hAnsi="宋体" w:cs="Arial"/>
          <w:sz w:val="24"/>
          <w:szCs w:val="24"/>
        </w:rPr>
        <w:t>磋商最终报价表</w:t>
      </w:r>
      <w:r>
        <w:rPr>
          <w:rFonts w:hint="eastAsia" w:hAnsi="宋体" w:cs="Arial"/>
          <w:sz w:val="24"/>
          <w:szCs w:val="24"/>
        </w:rPr>
        <w:t>。</w:t>
      </w:r>
    </w:p>
    <w:p>
      <w:pPr>
        <w:pStyle w:val="7"/>
        <w:spacing w:line="360" w:lineRule="auto"/>
        <w:ind w:left="845"/>
        <w:rPr>
          <w:rFonts w:hAnsi="宋体" w:cs="Arial"/>
          <w:sz w:val="24"/>
          <w:szCs w:val="24"/>
        </w:rPr>
      </w:pPr>
      <w:r>
        <w:rPr>
          <w:rFonts w:hint="eastAsia" w:hAnsi="宋体" w:cs="Arial"/>
          <w:sz w:val="24"/>
          <w:szCs w:val="24"/>
        </w:rPr>
        <w:t>注：磋商人须按上述内容、顺序和格式编制磋商响应文件，并按要求编制目录、页码，并保证所提供的全部资料真实可信，自愿承担相应责任。</w:t>
      </w:r>
    </w:p>
    <w:p>
      <w:pPr>
        <w:pStyle w:val="4"/>
        <w:numPr>
          <w:ilvl w:val="0"/>
          <w:numId w:val="4"/>
        </w:numPr>
        <w:spacing w:before="0" w:after="0" w:line="360" w:lineRule="auto"/>
        <w:rPr>
          <w:rFonts w:ascii="宋体" w:hAnsi="宋体"/>
          <w:b w:val="0"/>
        </w:rPr>
      </w:pPr>
      <w:bookmarkStart w:id="50" w:name="_Toc488673626"/>
      <w:bookmarkStart w:id="51" w:name="_Toc535421972"/>
      <w:r>
        <w:rPr>
          <w:rFonts w:hint="eastAsia" w:ascii="宋体" w:hAnsi="宋体"/>
          <w:b w:val="0"/>
        </w:rPr>
        <w:t>磋商响应文件的编制要求</w:t>
      </w:r>
      <w:bookmarkEnd w:id="50"/>
      <w:bookmarkEnd w:id="51"/>
    </w:p>
    <w:p>
      <w:pPr>
        <w:pStyle w:val="7"/>
        <w:numPr>
          <w:ilvl w:val="1"/>
          <w:numId w:val="17"/>
        </w:numPr>
        <w:spacing w:line="360" w:lineRule="auto"/>
        <w:ind w:left="960"/>
        <w:rPr>
          <w:rFonts w:hAnsi="宋体"/>
          <w:sz w:val="24"/>
          <w:szCs w:val="28"/>
        </w:rPr>
      </w:pPr>
      <w:r>
        <w:rPr>
          <w:rFonts w:hint="eastAsia" w:hAnsi="宋体" w:cs="宋体"/>
          <w:sz w:val="24"/>
          <w:lang w:val="zh-CN"/>
        </w:rPr>
        <w:t>磋商供应商应按照磋商文件所提供的磋商响应文件格式，分别填写磋商文件第五部分的内容，应分别注明所提供服务的名称、数量和价格等内容；磋商文件要求签字、盖章的地方必须由磋商人的法定代表人或委托代理人按要求签字、盖章。</w:t>
      </w:r>
    </w:p>
    <w:p>
      <w:pPr>
        <w:pStyle w:val="7"/>
        <w:numPr>
          <w:ilvl w:val="1"/>
          <w:numId w:val="17"/>
        </w:numPr>
        <w:spacing w:line="360" w:lineRule="auto"/>
        <w:ind w:left="960"/>
        <w:rPr>
          <w:rFonts w:hAnsi="宋体"/>
          <w:sz w:val="24"/>
          <w:szCs w:val="28"/>
        </w:rPr>
      </w:pPr>
      <w:r>
        <w:rPr>
          <w:rFonts w:hint="eastAsia" w:hAnsi="宋体"/>
          <w:sz w:val="24"/>
          <w:szCs w:val="28"/>
        </w:rPr>
        <w:t>磋商供应商应按磋商文件要求准备磋商响应文件1份正本</w:t>
      </w:r>
      <w:r>
        <w:rPr>
          <w:rFonts w:hint="eastAsia" w:hAnsi="宋体"/>
          <w:sz w:val="24"/>
          <w:szCs w:val="28"/>
          <w:lang w:eastAsia="zh-CN"/>
        </w:rPr>
        <w:t>彩印</w:t>
      </w:r>
      <w:r>
        <w:rPr>
          <w:rFonts w:hint="eastAsia" w:hAnsi="宋体"/>
          <w:sz w:val="24"/>
          <w:szCs w:val="28"/>
        </w:rPr>
        <w:t>、2份副本和相应的电子文档1份。每份磋商响应文件都必须清楚地标明“正本”或“副本”等字样。若发生正本和副本不符，以正本磋商响应文件为准。磋商响应文件统一使用A4幅面的纸张印制，必须胶装成册并编码，不得采用活页夹等可随时拆换的方式装订。</w:t>
      </w:r>
    </w:p>
    <w:p>
      <w:pPr>
        <w:pStyle w:val="7"/>
        <w:numPr>
          <w:ilvl w:val="1"/>
          <w:numId w:val="17"/>
        </w:numPr>
        <w:spacing w:line="360" w:lineRule="auto"/>
        <w:ind w:left="960"/>
        <w:rPr>
          <w:rFonts w:hAnsi="宋体"/>
          <w:color w:val="auto"/>
          <w:sz w:val="24"/>
          <w:szCs w:val="28"/>
        </w:rPr>
      </w:pPr>
      <w:r>
        <w:rPr>
          <w:rFonts w:hint="eastAsia" w:hAnsi="宋体" w:cs="宋体"/>
          <w:color w:val="auto"/>
          <w:sz w:val="24"/>
          <w:lang w:val="zh-CN"/>
        </w:rPr>
        <w:t>磋商响应文件的正本和副本均需打印或用不褪色、不变质的墨水书写并由投标供应商的委托代理人</w:t>
      </w:r>
      <w:r>
        <w:rPr>
          <w:rFonts w:hint="eastAsia" w:hAnsi="宋体" w:cs="宋体"/>
          <w:sz w:val="24"/>
          <w:lang w:val="en-US" w:eastAsia="zh-CN"/>
        </w:rPr>
        <w:t>按要求签字、盖章</w:t>
      </w:r>
      <w:r>
        <w:rPr>
          <w:rFonts w:hint="eastAsia" w:hAnsi="宋体" w:cs="宋体"/>
          <w:color w:val="auto"/>
          <w:sz w:val="24"/>
          <w:lang w:val="zh-CN"/>
        </w:rPr>
        <w:t>。磋商响应文件副本可采用正本的复印件，若不满足以上条件，按</w:t>
      </w:r>
      <w:r>
        <w:rPr>
          <w:rFonts w:hint="eastAsia" w:hAnsi="宋体" w:cs="Arial"/>
          <w:color w:val="auto"/>
          <w:sz w:val="24"/>
          <w:lang w:val="zh-CN"/>
        </w:rPr>
        <w:t>对磋商文件规范性响应程度出现偏差处理。</w:t>
      </w:r>
    </w:p>
    <w:p>
      <w:pPr>
        <w:pStyle w:val="7"/>
        <w:numPr>
          <w:ilvl w:val="1"/>
          <w:numId w:val="17"/>
        </w:numPr>
        <w:spacing w:line="360" w:lineRule="auto"/>
        <w:ind w:left="960"/>
        <w:rPr>
          <w:rFonts w:hAnsi="宋体"/>
          <w:sz w:val="24"/>
          <w:szCs w:val="28"/>
        </w:rPr>
      </w:pPr>
      <w:r>
        <w:rPr>
          <w:rFonts w:hint="eastAsia" w:hAnsi="宋体" w:cs="宋体"/>
          <w:sz w:val="24"/>
          <w:lang w:val="zh-CN"/>
        </w:rPr>
        <w:t>电子文档采用可读的U盘编制，须写明采购项目名称、供应商名称及磋商日期，电子文档为纸质版磋商响应文件正本的扫描件，需采用不可修改</w:t>
      </w:r>
      <w:r>
        <w:rPr>
          <w:rFonts w:hint="eastAsia" w:hAnsi="宋体" w:cs="宋体"/>
          <w:sz w:val="24"/>
          <w:lang w:val="zh-CN" w:eastAsia="zh-CN"/>
        </w:rPr>
        <w:t>文档</w:t>
      </w:r>
      <w:r>
        <w:rPr>
          <w:rFonts w:hint="eastAsia" w:hAnsi="宋体" w:cs="宋体"/>
          <w:sz w:val="24"/>
          <w:lang w:val="zh-CN"/>
        </w:rPr>
        <w:t>格式，电子文档与纸质版磋商响应文件正本</w:t>
      </w:r>
      <w:r>
        <w:rPr>
          <w:rFonts w:hint="eastAsia" w:hAnsi="宋体"/>
          <w:sz w:val="24"/>
          <w:szCs w:val="28"/>
        </w:rPr>
        <w:t>)</w:t>
      </w:r>
      <w:r>
        <w:rPr>
          <w:rFonts w:hint="eastAsia" w:hAnsi="宋体" w:cs="宋体"/>
          <w:sz w:val="24"/>
          <w:lang w:val="zh-CN"/>
        </w:rPr>
        <w:t>内容必须完全一致，包括盖章和签字，并与书面磋商响应文件一并提交，否则，视为无效磋商。</w:t>
      </w:r>
    </w:p>
    <w:p>
      <w:pPr>
        <w:pStyle w:val="7"/>
        <w:numPr>
          <w:ilvl w:val="1"/>
          <w:numId w:val="17"/>
        </w:numPr>
        <w:spacing w:line="360" w:lineRule="auto"/>
        <w:ind w:left="960"/>
        <w:rPr>
          <w:rFonts w:hAnsi="宋体"/>
          <w:sz w:val="24"/>
          <w:szCs w:val="28"/>
        </w:rPr>
      </w:pPr>
      <w:r>
        <w:rPr>
          <w:rFonts w:hint="eastAsia" w:hAnsi="宋体"/>
          <w:sz w:val="24"/>
          <w:szCs w:val="28"/>
        </w:rPr>
        <w:t>磋商响应文件中不得行间插字、涂改或增删，如有修改错漏处，须由磋商供应商法人或其委托代理人签字或盖个人印鉴。</w:t>
      </w:r>
    </w:p>
    <w:p>
      <w:pPr>
        <w:pStyle w:val="3"/>
        <w:rPr>
          <w:rFonts w:hAnsi="宋体"/>
          <w:b/>
          <w:sz w:val="24"/>
          <w:szCs w:val="32"/>
        </w:rPr>
      </w:pPr>
      <w:bookmarkStart w:id="52" w:name="_Toc535421973"/>
      <w:bookmarkStart w:id="53" w:name="_Toc6400"/>
      <w:bookmarkStart w:id="54" w:name="_Toc32636_WPSOffice_Level2"/>
      <w:r>
        <w:rPr>
          <w:rFonts w:hint="eastAsia" w:hAnsi="宋体"/>
          <w:b/>
          <w:sz w:val="24"/>
          <w:szCs w:val="32"/>
        </w:rPr>
        <w:t>磋商响应文件的递交</w:t>
      </w:r>
      <w:bookmarkEnd w:id="52"/>
      <w:bookmarkEnd w:id="53"/>
      <w:bookmarkEnd w:id="54"/>
    </w:p>
    <w:p>
      <w:pPr>
        <w:pStyle w:val="4"/>
        <w:numPr>
          <w:ilvl w:val="0"/>
          <w:numId w:val="4"/>
        </w:numPr>
        <w:spacing w:before="0" w:after="0" w:line="360" w:lineRule="auto"/>
        <w:rPr>
          <w:rFonts w:ascii="宋体" w:hAnsi="宋体"/>
          <w:b w:val="0"/>
        </w:rPr>
      </w:pPr>
      <w:bookmarkStart w:id="55" w:name="_Toc488673628"/>
      <w:bookmarkStart w:id="56" w:name="_Toc535421974"/>
      <w:r>
        <w:rPr>
          <w:rFonts w:hint="eastAsia" w:ascii="宋体" w:hAnsi="宋体"/>
          <w:b w:val="0"/>
        </w:rPr>
        <w:t>磋商响应文件的密封和标记</w:t>
      </w:r>
      <w:bookmarkEnd w:id="55"/>
      <w:bookmarkEnd w:id="56"/>
    </w:p>
    <w:p>
      <w:pPr>
        <w:pStyle w:val="7"/>
        <w:numPr>
          <w:ilvl w:val="1"/>
          <w:numId w:val="18"/>
        </w:numPr>
        <w:spacing w:line="360" w:lineRule="auto"/>
        <w:rPr>
          <w:rFonts w:hAnsi="宋体"/>
          <w:sz w:val="24"/>
          <w:szCs w:val="28"/>
        </w:rPr>
      </w:pPr>
      <w:r>
        <w:rPr>
          <w:rFonts w:hint="eastAsia" w:hAnsi="宋体"/>
          <w:sz w:val="24"/>
          <w:szCs w:val="28"/>
        </w:rPr>
        <w:t>磋商响应文件正本、所有副本和磋商响应文件要求单独提交的电子文档，应分别封装于不同的密封袋内，密封袋上应分别标上“正本)”、“副本”、“电子文档”字样，并注明磋商供应商名称、采购项目编号、采购项目名称及分包号（如有分包）；</w:t>
      </w:r>
    </w:p>
    <w:p>
      <w:pPr>
        <w:pStyle w:val="7"/>
        <w:numPr>
          <w:ilvl w:val="1"/>
          <w:numId w:val="18"/>
        </w:numPr>
        <w:spacing w:line="360" w:lineRule="auto"/>
        <w:rPr>
          <w:rFonts w:hAnsi="宋体"/>
          <w:sz w:val="24"/>
          <w:szCs w:val="28"/>
        </w:rPr>
      </w:pPr>
      <w:r>
        <w:rPr>
          <w:rFonts w:hint="eastAsia" w:hAnsi="宋体"/>
          <w:sz w:val="24"/>
          <w:szCs w:val="28"/>
        </w:rPr>
        <w:t>密封后的磋商响应文件均应：</w:t>
      </w:r>
    </w:p>
    <w:p>
      <w:pPr>
        <w:pStyle w:val="7"/>
        <w:numPr>
          <w:ilvl w:val="0"/>
          <w:numId w:val="19"/>
        </w:numPr>
        <w:spacing w:line="360" w:lineRule="auto"/>
        <w:rPr>
          <w:rFonts w:hAnsi="宋体" w:cs="Arial"/>
          <w:sz w:val="24"/>
          <w:szCs w:val="24"/>
        </w:rPr>
      </w:pPr>
      <w:r>
        <w:rPr>
          <w:rFonts w:hint="eastAsia" w:hAnsi="宋体" w:cs="Arial"/>
          <w:sz w:val="24"/>
          <w:szCs w:val="24"/>
        </w:rPr>
        <w:t>按“磋商供应商须知前附表”注明的时间、地址送达；</w:t>
      </w:r>
    </w:p>
    <w:p>
      <w:pPr>
        <w:pStyle w:val="7"/>
        <w:numPr>
          <w:ilvl w:val="0"/>
          <w:numId w:val="19"/>
        </w:numPr>
        <w:spacing w:line="360" w:lineRule="auto"/>
        <w:rPr>
          <w:rFonts w:hAnsi="宋体" w:cs="Arial"/>
          <w:sz w:val="24"/>
          <w:szCs w:val="24"/>
        </w:rPr>
      </w:pPr>
      <w:r>
        <w:rPr>
          <w:rFonts w:hint="eastAsia" w:hAnsi="宋体" w:cs="Arial"/>
          <w:sz w:val="24"/>
          <w:szCs w:val="24"/>
        </w:rPr>
        <w:t>磋商响应文件密封袋用“于</w:t>
      </w:r>
      <w:r>
        <w:rPr>
          <w:rFonts w:hint="eastAsia" w:hAnsi="宋体"/>
          <w:color w:val="000000"/>
          <w:kern w:val="0"/>
          <w:sz w:val="24"/>
          <w:lang w:eastAsia="zh-CN"/>
        </w:rPr>
        <w:t>2020年</w:t>
      </w:r>
      <w:r>
        <w:rPr>
          <w:rFonts w:hint="eastAsia" w:hAnsi="宋体" w:cs="Arial"/>
          <w:sz w:val="24"/>
          <w:szCs w:val="24"/>
          <w:lang w:val="en-US" w:eastAsia="zh-CN"/>
        </w:rPr>
        <w:t>04</w:t>
      </w:r>
      <w:r>
        <w:rPr>
          <w:rFonts w:hint="eastAsia" w:hAnsi="宋体" w:cs="Arial"/>
          <w:sz w:val="24"/>
          <w:szCs w:val="24"/>
          <w:lang w:eastAsia="zh-CN"/>
        </w:rPr>
        <w:t>月</w:t>
      </w:r>
      <w:r>
        <w:rPr>
          <w:rFonts w:hint="eastAsia" w:hAnsi="宋体" w:cs="Arial"/>
          <w:sz w:val="24"/>
          <w:szCs w:val="24"/>
          <w:lang w:val="en-US" w:eastAsia="zh-CN"/>
        </w:rPr>
        <w:t>20</w:t>
      </w:r>
      <w:r>
        <w:rPr>
          <w:rFonts w:hint="eastAsia" w:hAnsi="宋体" w:cs="Arial"/>
          <w:sz w:val="24"/>
          <w:szCs w:val="24"/>
          <w:lang w:eastAsia="zh-CN"/>
        </w:rPr>
        <w:t>日</w:t>
      </w:r>
      <w:r>
        <w:rPr>
          <w:rFonts w:hint="eastAsia" w:hAnsi="宋体" w:cs="Arial"/>
          <w:sz w:val="24"/>
          <w:szCs w:val="24"/>
          <w:lang w:val="en-US" w:eastAsia="zh-CN"/>
        </w:rPr>
        <w:t>09:30</w:t>
      </w:r>
      <w:r>
        <w:rPr>
          <w:rFonts w:hint="eastAsia" w:hAnsi="宋体" w:cs="Arial"/>
          <w:sz w:val="24"/>
          <w:szCs w:val="24"/>
          <w:lang w:eastAsia="zh-CN"/>
        </w:rPr>
        <w:t>（北京时间）</w:t>
      </w:r>
      <w:r>
        <w:rPr>
          <w:rFonts w:hint="eastAsia" w:hAnsi="宋体" w:cs="Arial"/>
          <w:sz w:val="24"/>
          <w:szCs w:val="24"/>
        </w:rPr>
        <w:t>之前不</w:t>
      </w:r>
      <w:r>
        <w:rPr>
          <w:rFonts w:hint="eastAsia" w:hAnsi="宋体" w:cs="Arial"/>
          <w:sz w:val="24"/>
          <w:szCs w:val="24"/>
          <w:lang w:eastAsia="zh-CN"/>
        </w:rPr>
        <w:t>得</w:t>
      </w:r>
      <w:r>
        <w:rPr>
          <w:rFonts w:hint="eastAsia" w:hAnsi="宋体" w:cs="Arial"/>
          <w:sz w:val="24"/>
          <w:szCs w:val="24"/>
        </w:rPr>
        <w:t>启封”的标签密封。</w:t>
      </w:r>
    </w:p>
    <w:p>
      <w:pPr>
        <w:pStyle w:val="7"/>
        <w:numPr>
          <w:ilvl w:val="1"/>
          <w:numId w:val="18"/>
        </w:numPr>
        <w:spacing w:line="360" w:lineRule="auto"/>
        <w:rPr>
          <w:rFonts w:hAnsi="宋体"/>
          <w:sz w:val="24"/>
          <w:szCs w:val="28"/>
        </w:rPr>
      </w:pPr>
      <w:r>
        <w:rPr>
          <w:rFonts w:hint="eastAsia" w:hAnsi="宋体"/>
          <w:sz w:val="24"/>
          <w:szCs w:val="28"/>
        </w:rPr>
        <w:t>如果磋商供应商未按第13.1-1</w:t>
      </w:r>
      <w:r>
        <w:rPr>
          <w:rFonts w:hAnsi="宋体"/>
          <w:sz w:val="24"/>
          <w:szCs w:val="28"/>
        </w:rPr>
        <w:t>3</w:t>
      </w:r>
      <w:r>
        <w:rPr>
          <w:rFonts w:hint="eastAsia" w:hAnsi="宋体"/>
          <w:sz w:val="24"/>
          <w:szCs w:val="28"/>
        </w:rPr>
        <w:t>.</w:t>
      </w:r>
      <w:r>
        <w:rPr>
          <w:rFonts w:hAnsi="宋体"/>
          <w:sz w:val="24"/>
          <w:szCs w:val="28"/>
        </w:rPr>
        <w:t>4</w:t>
      </w:r>
      <w:r>
        <w:rPr>
          <w:rFonts w:hint="eastAsia" w:hAnsi="宋体"/>
          <w:sz w:val="24"/>
          <w:szCs w:val="28"/>
        </w:rPr>
        <w:t>条要求将磋商响应文件密封或在密封袋上加写标记，采购代理机构对误投或过早启封概不负责。由此造成提前启封的磋商响应文件，采购代理机构予以拒绝，并退回磋商供应商；</w:t>
      </w:r>
    </w:p>
    <w:p>
      <w:pPr>
        <w:pStyle w:val="7"/>
        <w:numPr>
          <w:ilvl w:val="1"/>
          <w:numId w:val="18"/>
        </w:numPr>
        <w:spacing w:line="360" w:lineRule="auto"/>
        <w:rPr>
          <w:rFonts w:hAnsi="宋体"/>
          <w:sz w:val="24"/>
          <w:szCs w:val="28"/>
        </w:rPr>
      </w:pPr>
      <w:r>
        <w:rPr>
          <w:rFonts w:hint="eastAsia" w:hAnsi="宋体"/>
          <w:sz w:val="24"/>
          <w:szCs w:val="28"/>
        </w:rPr>
        <w:t>磋商供应商以电报、电话、传真形式磋商的，采购代理机构概不接受。</w:t>
      </w:r>
    </w:p>
    <w:p>
      <w:pPr>
        <w:pStyle w:val="4"/>
        <w:numPr>
          <w:ilvl w:val="0"/>
          <w:numId w:val="4"/>
        </w:numPr>
        <w:spacing w:before="0" w:after="0" w:line="360" w:lineRule="auto"/>
        <w:rPr>
          <w:rFonts w:ascii="宋体" w:hAnsi="宋体"/>
          <w:b w:val="0"/>
        </w:rPr>
      </w:pPr>
      <w:bookmarkStart w:id="57" w:name="_Toc535421975"/>
      <w:bookmarkStart w:id="58" w:name="_Toc488673629"/>
      <w:r>
        <w:rPr>
          <w:rFonts w:hint="eastAsia" w:ascii="宋体" w:hAnsi="宋体"/>
          <w:b w:val="0"/>
        </w:rPr>
        <w:t>递交磋商响应文件的地点、截止时间</w:t>
      </w:r>
      <w:bookmarkEnd w:id="57"/>
      <w:bookmarkEnd w:id="58"/>
    </w:p>
    <w:p>
      <w:pPr>
        <w:pStyle w:val="7"/>
        <w:numPr>
          <w:ilvl w:val="1"/>
          <w:numId w:val="20"/>
        </w:numPr>
        <w:spacing w:line="360" w:lineRule="auto"/>
        <w:rPr>
          <w:rFonts w:hAnsi="宋体"/>
          <w:sz w:val="24"/>
          <w:szCs w:val="28"/>
        </w:rPr>
      </w:pPr>
      <w:r>
        <w:rPr>
          <w:rFonts w:hint="eastAsia" w:hAnsi="宋体"/>
          <w:sz w:val="24"/>
          <w:szCs w:val="28"/>
        </w:rPr>
        <w:t>所有磋商响应文件都必须按磋商文件规定的磋商截止时间之前送达磋商地点；</w:t>
      </w:r>
    </w:p>
    <w:p>
      <w:pPr>
        <w:pStyle w:val="7"/>
        <w:numPr>
          <w:ilvl w:val="1"/>
          <w:numId w:val="20"/>
        </w:numPr>
        <w:spacing w:line="360" w:lineRule="auto"/>
        <w:rPr>
          <w:rFonts w:hAnsi="宋体"/>
          <w:sz w:val="24"/>
          <w:szCs w:val="28"/>
        </w:rPr>
      </w:pPr>
      <w:r>
        <w:rPr>
          <w:rFonts w:hint="eastAsia" w:hAnsi="宋体"/>
          <w:sz w:val="24"/>
          <w:szCs w:val="28"/>
        </w:rPr>
        <w:t>采购代理机构将拒绝接收在磋商截止时间之后送达的磋商响应文件；</w:t>
      </w:r>
    </w:p>
    <w:p>
      <w:pPr>
        <w:pStyle w:val="4"/>
        <w:numPr>
          <w:ilvl w:val="0"/>
          <w:numId w:val="4"/>
        </w:numPr>
        <w:spacing w:before="0" w:after="0" w:line="360" w:lineRule="auto"/>
        <w:rPr>
          <w:rFonts w:ascii="宋体" w:hAnsi="宋体"/>
          <w:b w:val="0"/>
        </w:rPr>
      </w:pPr>
      <w:bookmarkStart w:id="59" w:name="_Toc488673630"/>
      <w:bookmarkStart w:id="60" w:name="_Toc535421976"/>
      <w:r>
        <w:rPr>
          <w:rFonts w:hint="eastAsia" w:ascii="宋体" w:hAnsi="宋体"/>
          <w:b w:val="0"/>
        </w:rPr>
        <w:t>磋商响应文件的撤回和修改</w:t>
      </w:r>
      <w:bookmarkEnd w:id="59"/>
      <w:bookmarkEnd w:id="60"/>
    </w:p>
    <w:p>
      <w:pPr>
        <w:pStyle w:val="7"/>
        <w:spacing w:line="360" w:lineRule="auto"/>
        <w:ind w:firstLine="480" w:firstLineChars="200"/>
        <w:rPr>
          <w:rFonts w:hAnsi="宋体"/>
          <w:sz w:val="24"/>
          <w:szCs w:val="28"/>
        </w:rPr>
      </w:pPr>
      <w:r>
        <w:rPr>
          <w:rFonts w:hint="eastAsia" w:hAnsi="宋体"/>
          <w:sz w:val="24"/>
          <w:szCs w:val="28"/>
        </w:rPr>
        <w:t>1、允许磋商供应商在磋商截止期前撤回其磋商响应文件（须以书面形式通知采购代理机构），磋商截止期后不得撤回其磋商响应文件。否则，其磋商保证金将不予退还，上缴同级财政部门。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无论中标与否，磋商人递交的一切磋商材料均不予退还</w:t>
      </w:r>
      <w:r>
        <w:rPr>
          <w:rFonts w:hint="eastAsia" w:ascii="宋体" w:hAnsi="宋体" w:cs="宋体"/>
          <w:kern w:val="0"/>
          <w:sz w:val="24"/>
        </w:rPr>
        <w:t>。</w:t>
      </w:r>
    </w:p>
    <w:p>
      <w:pPr>
        <w:pStyle w:val="3"/>
        <w:rPr>
          <w:rFonts w:hAnsi="宋体"/>
          <w:b/>
        </w:rPr>
      </w:pPr>
      <w:bookmarkStart w:id="61" w:name="_Toc535421977"/>
      <w:bookmarkStart w:id="62" w:name="_Toc24628"/>
      <w:bookmarkStart w:id="63" w:name="_Toc7273_WPSOffice_Level2"/>
      <w:r>
        <w:rPr>
          <w:rFonts w:hint="eastAsia" w:hAnsi="宋体"/>
          <w:b/>
        </w:rPr>
        <w:t>磋商过程</w:t>
      </w:r>
      <w:bookmarkEnd w:id="61"/>
      <w:bookmarkEnd w:id="62"/>
      <w:bookmarkEnd w:id="63"/>
    </w:p>
    <w:p>
      <w:pPr>
        <w:pStyle w:val="20"/>
        <w:numPr>
          <w:ilvl w:val="0"/>
          <w:numId w:val="21"/>
        </w:numPr>
        <w:spacing w:line="360" w:lineRule="auto"/>
        <w:ind w:firstLineChars="0"/>
        <w:jc w:val="left"/>
        <w:rPr>
          <w:rFonts w:ascii="宋体" w:hAnsi="宋体" w:cs="宋体"/>
          <w:sz w:val="24"/>
        </w:rPr>
      </w:pPr>
      <w:r>
        <w:rPr>
          <w:rFonts w:hint="eastAsia" w:ascii="宋体" w:hAnsi="宋体" w:cs="宋体"/>
          <w:sz w:val="24"/>
        </w:rPr>
        <w:t>采购代理机构按本磋商文件中确定的时间和地点组织本项目的磋商活动。供应商应由其委托代理人参加。</w:t>
      </w:r>
    </w:p>
    <w:p>
      <w:pPr>
        <w:pStyle w:val="20"/>
        <w:numPr>
          <w:ilvl w:val="0"/>
          <w:numId w:val="21"/>
        </w:numPr>
        <w:spacing w:line="360" w:lineRule="auto"/>
        <w:ind w:firstLineChars="0"/>
        <w:jc w:val="left"/>
        <w:rPr>
          <w:rFonts w:ascii="宋体" w:hAnsi="宋体" w:cs="宋体"/>
          <w:sz w:val="24"/>
        </w:rPr>
      </w:pPr>
      <w:r>
        <w:rPr>
          <w:rFonts w:hint="eastAsia" w:ascii="宋体" w:hAnsi="宋体" w:cs="宋体"/>
          <w:sz w:val="24"/>
        </w:rPr>
        <w:t>磋商时，对不同文字文本响应文件的解释发生异议的，以中文文本为准。</w:t>
      </w:r>
    </w:p>
    <w:p>
      <w:pPr>
        <w:pStyle w:val="20"/>
        <w:numPr>
          <w:ilvl w:val="0"/>
          <w:numId w:val="21"/>
        </w:numPr>
        <w:spacing w:line="360" w:lineRule="auto"/>
        <w:ind w:firstLineChars="0"/>
        <w:jc w:val="left"/>
        <w:rPr>
          <w:rFonts w:ascii="宋体" w:hAnsi="宋体" w:cs="宋体"/>
          <w:sz w:val="24"/>
        </w:rPr>
      </w:pPr>
      <w:r>
        <w:rPr>
          <w:rFonts w:hint="eastAsia" w:ascii="宋体" w:hAnsi="宋体" w:cs="宋体"/>
          <w:sz w:val="24"/>
        </w:rPr>
        <w:t>磋商工作由采购代理机构组织，采购单位、采购监管、纪检监察等有关方面代表可根据采购项目的具体情况列席。</w:t>
      </w:r>
    </w:p>
    <w:p>
      <w:pPr>
        <w:pStyle w:val="20"/>
        <w:numPr>
          <w:ilvl w:val="0"/>
          <w:numId w:val="21"/>
        </w:numPr>
        <w:spacing w:line="360" w:lineRule="auto"/>
        <w:ind w:firstLineChars="0"/>
        <w:jc w:val="left"/>
        <w:rPr>
          <w:rFonts w:hint="eastAsia" w:ascii="宋体" w:hAnsi="宋体" w:cs="宋体"/>
          <w:sz w:val="24"/>
        </w:rPr>
      </w:pPr>
      <w:r>
        <w:rPr>
          <w:rFonts w:hint="eastAsia" w:ascii="宋体" w:hAnsi="宋体" w:cs="宋体"/>
          <w:sz w:val="24"/>
        </w:rPr>
        <w:t>磋商过程有专人记录，并存档备查</w:t>
      </w:r>
    </w:p>
    <w:p>
      <w:pPr>
        <w:pStyle w:val="20"/>
        <w:numPr>
          <w:ilvl w:val="0"/>
          <w:numId w:val="21"/>
        </w:numPr>
        <w:spacing w:line="360" w:lineRule="auto"/>
        <w:ind w:firstLineChars="0"/>
        <w:jc w:val="left"/>
        <w:rPr>
          <w:rFonts w:ascii="宋体" w:hAnsi="宋体" w:cs="宋体"/>
          <w:sz w:val="24"/>
        </w:rPr>
      </w:pPr>
      <w:r>
        <w:rPr>
          <w:rFonts w:hint="eastAsia" w:ascii="宋体" w:hAnsi="宋体" w:cs="宋体"/>
          <w:sz w:val="24"/>
        </w:rPr>
        <w:t>采购人或者采购代理机构应当依法对磋商人的资格进行审查。</w:t>
      </w:r>
    </w:p>
    <w:p>
      <w:pPr>
        <w:pStyle w:val="3"/>
        <w:rPr>
          <w:rFonts w:hint="eastAsia" w:hAnsi="宋体"/>
          <w:b/>
          <w:lang w:eastAsia="zh-CN"/>
        </w:rPr>
      </w:pPr>
      <w:bookmarkStart w:id="64" w:name="_Toc535421978"/>
      <w:bookmarkStart w:id="65" w:name="_Toc25510_WPSOffice_Level2"/>
      <w:bookmarkStart w:id="66" w:name="_Toc500355579"/>
      <w:bookmarkStart w:id="67" w:name="_Toc7548"/>
      <w:r>
        <w:rPr>
          <w:rFonts w:hint="eastAsia" w:hAnsi="宋体"/>
          <w:b/>
        </w:rPr>
        <w:t>资格审查程序</w:t>
      </w:r>
      <w:bookmarkEnd w:id="64"/>
      <w:bookmarkEnd w:id="65"/>
      <w:bookmarkEnd w:id="66"/>
      <w:bookmarkEnd w:id="67"/>
    </w:p>
    <w:p>
      <w:pPr>
        <w:spacing w:line="360" w:lineRule="auto"/>
        <w:ind w:firstLine="420" w:firstLineChars="150"/>
        <w:rPr>
          <w:rFonts w:hint="eastAsia" w:ascii="宋体" w:hAnsi="宋体" w:cs="宋体"/>
          <w:sz w:val="28"/>
          <w:szCs w:val="28"/>
        </w:rPr>
      </w:pPr>
      <w:r>
        <w:rPr>
          <w:rFonts w:hint="eastAsia" w:ascii="宋体" w:hAnsi="宋体" w:cs="宋体"/>
          <w:sz w:val="28"/>
          <w:szCs w:val="28"/>
        </w:rPr>
        <w:t>资格审查</w:t>
      </w:r>
    </w:p>
    <w:p>
      <w:pPr>
        <w:pStyle w:val="20"/>
        <w:numPr>
          <w:ilvl w:val="0"/>
          <w:numId w:val="22"/>
        </w:numPr>
        <w:spacing w:line="360" w:lineRule="auto"/>
        <w:ind w:firstLineChars="0"/>
        <w:jc w:val="left"/>
        <w:rPr>
          <w:rFonts w:hint="eastAsia" w:ascii="宋体" w:hAnsi="宋体" w:cs="宋体"/>
          <w:sz w:val="24"/>
        </w:rPr>
      </w:pPr>
      <w:r>
        <w:rPr>
          <w:rFonts w:hint="eastAsia" w:ascii="宋体" w:hAnsi="宋体" w:cs="宋体"/>
          <w:sz w:val="24"/>
        </w:rPr>
        <w:t>采购人和采购代理机构应当依法对投标人的资格性审查文件进行审查。</w:t>
      </w:r>
    </w:p>
    <w:p>
      <w:pPr>
        <w:pStyle w:val="20"/>
        <w:numPr>
          <w:ilvl w:val="0"/>
          <w:numId w:val="22"/>
        </w:numPr>
        <w:spacing w:line="360" w:lineRule="auto"/>
        <w:ind w:firstLineChars="0"/>
        <w:jc w:val="left"/>
        <w:rPr>
          <w:rFonts w:hint="eastAsia" w:ascii="宋体" w:hAnsi="宋体" w:cs="宋体"/>
          <w:sz w:val="24"/>
        </w:rPr>
      </w:pPr>
      <w:r>
        <w:rPr>
          <w:rFonts w:hint="eastAsia" w:ascii="宋体" w:hAnsi="宋体" w:cs="宋体"/>
          <w:sz w:val="24"/>
        </w:rPr>
        <w:t>合格投标人不足3家的，不得评标。</w:t>
      </w:r>
    </w:p>
    <w:p>
      <w:pPr>
        <w:pStyle w:val="20"/>
        <w:numPr>
          <w:ilvl w:val="0"/>
          <w:numId w:val="22"/>
        </w:numPr>
        <w:spacing w:line="360" w:lineRule="auto"/>
        <w:ind w:firstLineChars="0"/>
        <w:jc w:val="left"/>
        <w:rPr>
          <w:rFonts w:hint="eastAsia" w:ascii="宋体" w:hAnsi="宋体" w:cs="宋体"/>
          <w:sz w:val="24"/>
        </w:rPr>
      </w:pPr>
      <w:r>
        <w:rPr>
          <w:rFonts w:hint="eastAsia" w:ascii="宋体" w:hAnsi="宋体" w:cs="宋体"/>
          <w:sz w:val="24"/>
        </w:rPr>
        <w:t>资格审查时，投标人存在下列情况之一的，按无效投标处理：</w:t>
      </w:r>
    </w:p>
    <w:p>
      <w:pPr>
        <w:pStyle w:val="20"/>
        <w:numPr>
          <w:ilvl w:val="0"/>
          <w:numId w:val="23"/>
        </w:numPr>
        <w:spacing w:line="360" w:lineRule="auto"/>
        <w:ind w:firstLineChars="0"/>
        <w:jc w:val="left"/>
        <w:rPr>
          <w:rFonts w:hint="eastAsia" w:ascii="宋体" w:hAnsi="宋体" w:cs="宋体"/>
          <w:sz w:val="24"/>
        </w:rPr>
      </w:pPr>
      <w:r>
        <w:rPr>
          <w:rFonts w:hint="eastAsia" w:ascii="宋体" w:hAnsi="宋体" w:cs="宋体"/>
          <w:sz w:val="24"/>
          <w:shd w:val="clear" w:color="auto" w:fill="FFFFFF"/>
        </w:rPr>
        <w:t>不具备</w:t>
      </w:r>
      <w:r>
        <w:rPr>
          <w:rFonts w:hint="eastAsia" w:ascii="宋体" w:hAnsi="宋体" w:cs="宋体"/>
          <w:kern w:val="0"/>
          <w:sz w:val="24"/>
          <w:lang w:val="zh-CN"/>
        </w:rPr>
        <w:t>第2.2款“合格的投标人”</w:t>
      </w:r>
      <w:r>
        <w:rPr>
          <w:rFonts w:hint="eastAsia" w:ascii="宋体" w:hAnsi="宋体" w:cs="宋体"/>
          <w:sz w:val="24"/>
          <w:shd w:val="clear" w:color="auto" w:fill="FFFFFF"/>
        </w:rPr>
        <w:t>规定的资格要求的；</w:t>
      </w:r>
    </w:p>
    <w:p>
      <w:pPr>
        <w:pStyle w:val="20"/>
        <w:numPr>
          <w:ilvl w:val="0"/>
          <w:numId w:val="23"/>
        </w:numPr>
        <w:spacing w:line="360" w:lineRule="auto"/>
        <w:ind w:firstLineChars="0"/>
        <w:jc w:val="left"/>
        <w:rPr>
          <w:rFonts w:hint="eastAsia" w:ascii="宋体" w:hAnsi="宋体" w:cs="宋体"/>
          <w:sz w:val="24"/>
        </w:rPr>
      </w:pPr>
      <w:r>
        <w:rPr>
          <w:rFonts w:hint="eastAsia" w:ascii="宋体" w:hAnsi="宋体" w:cs="宋体"/>
          <w:kern w:val="0"/>
          <w:sz w:val="24"/>
        </w:rPr>
        <w:t>未按磋商文件要求交纳或未足额交纳投标保证金的；</w:t>
      </w:r>
    </w:p>
    <w:p>
      <w:pPr>
        <w:pStyle w:val="20"/>
        <w:numPr>
          <w:ilvl w:val="0"/>
          <w:numId w:val="23"/>
        </w:numPr>
        <w:spacing w:line="360" w:lineRule="auto"/>
        <w:ind w:firstLineChars="0"/>
        <w:jc w:val="left"/>
        <w:rPr>
          <w:rFonts w:hint="eastAsia" w:ascii="宋体" w:hAnsi="宋体" w:cs="宋体"/>
          <w:sz w:val="24"/>
        </w:rPr>
      </w:pPr>
      <w:r>
        <w:rPr>
          <w:rFonts w:hint="eastAsia" w:ascii="宋体" w:hAnsi="宋体" w:cs="宋体"/>
          <w:kern w:val="0"/>
          <w:sz w:val="24"/>
        </w:rPr>
        <w:t>未按第11.2要求提供相关资料的；</w:t>
      </w:r>
    </w:p>
    <w:p>
      <w:pPr>
        <w:pStyle w:val="20"/>
        <w:numPr>
          <w:ilvl w:val="0"/>
          <w:numId w:val="23"/>
        </w:numPr>
        <w:spacing w:line="360" w:lineRule="auto"/>
        <w:ind w:firstLineChars="0"/>
        <w:jc w:val="left"/>
        <w:rPr>
          <w:rFonts w:hint="eastAsia" w:ascii="宋体" w:hAnsi="宋体" w:cs="宋体"/>
          <w:sz w:val="24"/>
        </w:rPr>
      </w:pPr>
      <w:r>
        <w:rPr>
          <w:rFonts w:hint="eastAsia" w:ascii="宋体" w:hAnsi="宋体" w:cs="宋体"/>
          <w:kern w:val="0"/>
          <w:sz w:val="24"/>
        </w:rPr>
        <w:t>资格性审查文件未按磋商文件规定和要求签字、盖章的；</w:t>
      </w:r>
    </w:p>
    <w:p>
      <w:pPr>
        <w:pStyle w:val="20"/>
        <w:numPr>
          <w:ilvl w:val="0"/>
          <w:numId w:val="23"/>
        </w:numPr>
        <w:spacing w:line="360" w:lineRule="auto"/>
        <w:ind w:firstLineChars="0"/>
        <w:jc w:val="left"/>
        <w:rPr>
          <w:rFonts w:hint="eastAsia" w:ascii="宋体" w:hAnsi="宋体" w:cs="宋体"/>
          <w:sz w:val="24"/>
        </w:rPr>
      </w:pPr>
      <w:r>
        <w:rPr>
          <w:rFonts w:hint="eastAsia" w:ascii="宋体" w:hAnsi="宋体" w:cs="宋体"/>
          <w:sz w:val="24"/>
          <w:shd w:val="clear" w:color="auto" w:fill="FFFFFF"/>
        </w:rPr>
        <w:t>报价超过</w:t>
      </w:r>
      <w:r>
        <w:rPr>
          <w:rFonts w:hint="eastAsia" w:ascii="宋体" w:hAnsi="宋体" w:cs="宋体"/>
          <w:kern w:val="0"/>
          <w:sz w:val="24"/>
        </w:rPr>
        <w:t>磋商</w:t>
      </w:r>
      <w:r>
        <w:rPr>
          <w:rFonts w:hint="eastAsia" w:ascii="宋体" w:hAnsi="宋体" w:cs="宋体"/>
          <w:sz w:val="24"/>
          <w:shd w:val="clear" w:color="auto" w:fill="FFFFFF"/>
        </w:rPr>
        <w:t>文件中规定的预算金额或者最高限价的；</w:t>
      </w:r>
    </w:p>
    <w:p>
      <w:pPr>
        <w:pStyle w:val="20"/>
        <w:numPr>
          <w:ilvl w:val="0"/>
          <w:numId w:val="23"/>
        </w:numPr>
        <w:spacing w:line="360" w:lineRule="auto"/>
        <w:ind w:firstLineChars="0"/>
        <w:jc w:val="left"/>
        <w:rPr>
          <w:rFonts w:hint="eastAsia" w:ascii="宋体" w:hAnsi="宋体" w:cs="宋体"/>
          <w:sz w:val="24"/>
        </w:rPr>
      </w:pPr>
      <w:r>
        <w:rPr>
          <w:rFonts w:hint="eastAsia" w:ascii="宋体" w:hAnsi="宋体" w:cs="宋体"/>
          <w:kern w:val="0"/>
          <w:sz w:val="24"/>
          <w:lang w:val="zh-CN"/>
        </w:rPr>
        <w:t>投标有效期不能满足</w:t>
      </w:r>
      <w:r>
        <w:rPr>
          <w:rFonts w:hint="eastAsia" w:ascii="宋体" w:hAnsi="宋体" w:cs="宋体"/>
          <w:kern w:val="0"/>
          <w:sz w:val="24"/>
        </w:rPr>
        <w:t>磋商</w:t>
      </w:r>
      <w:r>
        <w:rPr>
          <w:rFonts w:hint="eastAsia" w:ascii="宋体" w:hAnsi="宋体" w:cs="宋体"/>
          <w:kern w:val="0"/>
          <w:sz w:val="24"/>
          <w:lang w:val="zh-CN"/>
        </w:rPr>
        <w:t>文件要求的；</w:t>
      </w:r>
    </w:p>
    <w:p>
      <w:pPr>
        <w:pStyle w:val="20"/>
        <w:numPr>
          <w:ilvl w:val="0"/>
          <w:numId w:val="23"/>
        </w:numPr>
        <w:spacing w:line="360" w:lineRule="auto"/>
        <w:ind w:firstLineChars="0"/>
        <w:jc w:val="left"/>
        <w:rPr>
          <w:rFonts w:hint="eastAsia" w:ascii="宋体" w:hAnsi="宋体" w:cs="宋体"/>
          <w:sz w:val="24"/>
        </w:rPr>
      </w:pPr>
      <w:r>
        <w:rPr>
          <w:rFonts w:hint="eastAsia" w:hAnsi="宋体" w:cs="Arial"/>
          <w:sz w:val="24"/>
        </w:rPr>
        <w:t>未提供电子文档或电子文档与纸质磋商响应文件正本不一致的</w:t>
      </w:r>
      <w:r>
        <w:rPr>
          <w:rFonts w:hint="eastAsia" w:ascii="宋体" w:hAnsi="宋体" w:cs="宋体"/>
          <w:kern w:val="0"/>
          <w:sz w:val="24"/>
          <w:lang w:val="zh-CN"/>
        </w:rPr>
        <w:t>。</w:t>
      </w:r>
    </w:p>
    <w:p>
      <w:pPr>
        <w:spacing w:line="360" w:lineRule="auto"/>
        <w:rPr>
          <w:rFonts w:hint="eastAsia"/>
        </w:rPr>
      </w:pPr>
    </w:p>
    <w:p>
      <w:pPr>
        <w:pStyle w:val="3"/>
        <w:rPr>
          <w:rFonts w:hAnsi="宋体"/>
          <w:b/>
        </w:rPr>
      </w:pPr>
      <w:bookmarkStart w:id="68" w:name="_Toc13393_WPSOffice_Level2"/>
      <w:bookmarkStart w:id="69" w:name="_Toc535421979"/>
      <w:bookmarkStart w:id="70" w:name="_Toc21611"/>
      <w:r>
        <w:rPr>
          <w:rFonts w:hint="eastAsia" w:hAnsi="宋体"/>
          <w:b/>
        </w:rPr>
        <w:t>评审程序及方法</w:t>
      </w:r>
      <w:bookmarkEnd w:id="68"/>
      <w:bookmarkEnd w:id="69"/>
      <w:bookmarkEnd w:id="70"/>
    </w:p>
    <w:p>
      <w:pPr>
        <w:pStyle w:val="4"/>
        <w:numPr>
          <w:ilvl w:val="0"/>
          <w:numId w:val="4"/>
        </w:numPr>
        <w:spacing w:before="0" w:after="0" w:line="360" w:lineRule="auto"/>
        <w:rPr>
          <w:rFonts w:ascii="宋体" w:hAnsi="宋体"/>
          <w:b w:val="0"/>
        </w:rPr>
      </w:pPr>
      <w:bookmarkStart w:id="71" w:name="_Toc488673633"/>
      <w:bookmarkStart w:id="72" w:name="_Toc535421980"/>
      <w:r>
        <w:rPr>
          <w:rFonts w:hint="eastAsia" w:ascii="宋体" w:hAnsi="宋体"/>
          <w:b w:val="0"/>
        </w:rPr>
        <w:t>评标委员会</w:t>
      </w:r>
      <w:bookmarkEnd w:id="71"/>
      <w:bookmarkEnd w:id="72"/>
    </w:p>
    <w:p>
      <w:pPr>
        <w:pStyle w:val="7"/>
        <w:numPr>
          <w:ilvl w:val="1"/>
          <w:numId w:val="24"/>
        </w:numPr>
        <w:spacing w:line="360" w:lineRule="auto"/>
        <w:rPr>
          <w:rFonts w:hint="eastAsia" w:hAnsi="宋体"/>
          <w:sz w:val="24"/>
          <w:szCs w:val="28"/>
        </w:rPr>
      </w:pPr>
      <w:r>
        <w:rPr>
          <w:rFonts w:hint="eastAsia" w:hAnsi="宋体" w:cs="宋体"/>
          <w:sz w:val="24"/>
          <w:szCs w:val="24"/>
        </w:rPr>
        <w:t>采购代理机构将根据采购项目的特点依法组建磋商小组，其成员由具有一定专业水平的技术、经济等方面的专家和采购单位代表等三人以上单数组成。</w:t>
      </w:r>
    </w:p>
    <w:p>
      <w:pPr>
        <w:autoSpaceDE w:val="0"/>
        <w:autoSpaceDN w:val="0"/>
        <w:spacing w:line="360" w:lineRule="auto"/>
        <w:ind w:firstLine="600" w:firstLineChars="250"/>
        <w:rPr>
          <w:rFonts w:hint="eastAsia" w:ascii="宋体" w:hAnsi="宋体" w:cs="宋体"/>
          <w:kern w:val="0"/>
          <w:sz w:val="24"/>
        </w:rPr>
      </w:pPr>
      <w:r>
        <w:rPr>
          <w:rFonts w:hint="eastAsia" w:ascii="宋体" w:hAnsi="宋体" w:cs="宋体"/>
          <w:kern w:val="0"/>
          <w:sz w:val="24"/>
        </w:rPr>
        <w:t>评审专家对本单位的采购项目只能作为采购人代表参与评标。采购代理机构工作人员不得参加由本机构代理的政府采购项目的评标。</w:t>
      </w:r>
    </w:p>
    <w:p>
      <w:pPr>
        <w:pStyle w:val="7"/>
        <w:spacing w:line="360" w:lineRule="auto"/>
        <w:ind w:firstLine="600" w:firstLineChars="250"/>
        <w:rPr>
          <w:rFonts w:hint="eastAsia" w:hAnsi="宋体" w:cs="宋体"/>
          <w:sz w:val="24"/>
          <w:szCs w:val="24"/>
          <w:lang w:eastAsia="zh-CN"/>
        </w:rPr>
      </w:pPr>
      <w:r>
        <w:rPr>
          <w:rFonts w:hint="eastAsia" w:hAnsi="宋体" w:cs="宋体"/>
          <w:sz w:val="24"/>
          <w:szCs w:val="24"/>
        </w:rPr>
        <w:t>评标委员会成员名单在评标结果公告前应当保密。</w:t>
      </w:r>
    </w:p>
    <w:p>
      <w:pPr>
        <w:pStyle w:val="7"/>
        <w:numPr>
          <w:ilvl w:val="1"/>
          <w:numId w:val="24"/>
        </w:numPr>
        <w:spacing w:line="360" w:lineRule="auto"/>
        <w:rPr>
          <w:rFonts w:hint="eastAsia" w:hAnsi="宋体" w:cs="宋体"/>
          <w:sz w:val="24"/>
          <w:szCs w:val="24"/>
        </w:rPr>
      </w:pPr>
      <w:r>
        <w:rPr>
          <w:rFonts w:hint="eastAsia" w:hAnsi="宋体" w:cs="宋体"/>
          <w:sz w:val="24"/>
          <w:szCs w:val="24"/>
        </w:rPr>
        <w:t>采购人或采购代理机构应当从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7"/>
        <w:numPr>
          <w:ilvl w:val="1"/>
          <w:numId w:val="24"/>
        </w:numPr>
        <w:spacing w:line="360" w:lineRule="auto"/>
        <w:rPr>
          <w:rFonts w:hint="eastAsia" w:hAnsi="宋体" w:cs="宋体"/>
          <w:sz w:val="24"/>
          <w:szCs w:val="24"/>
        </w:rPr>
      </w:pPr>
      <w:r>
        <w:rPr>
          <w:rFonts w:hint="eastAsia" w:hAnsi="宋体" w:cs="宋体"/>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pPr>
        <w:pStyle w:val="7"/>
        <w:spacing w:line="360" w:lineRule="auto"/>
        <w:ind w:firstLine="840" w:firstLineChars="350"/>
        <w:rPr>
          <w:rFonts w:hint="eastAsia" w:hAnsi="宋体" w:cs="宋体"/>
          <w:sz w:val="24"/>
          <w:szCs w:val="24"/>
          <w:lang w:eastAsia="zh-CN"/>
        </w:rPr>
      </w:pPr>
      <w:r>
        <w:rPr>
          <w:rFonts w:hint="eastAsia" w:hAnsi="宋体" w:cs="宋体"/>
          <w:sz w:val="24"/>
          <w:szCs w:val="24"/>
          <w:lang w:val="zh-CN"/>
        </w:rPr>
        <w:t>采购人或采购代理机构</w:t>
      </w:r>
      <w:r>
        <w:rPr>
          <w:rFonts w:hint="eastAsia" w:hAnsi="宋体" w:cs="宋体"/>
          <w:sz w:val="24"/>
          <w:szCs w:val="24"/>
        </w:rPr>
        <w:t>应当将变更、重新组建评标委员会的情况予以记录，并随采购文件一并存档。</w:t>
      </w:r>
    </w:p>
    <w:p>
      <w:pPr>
        <w:pStyle w:val="7"/>
        <w:numPr>
          <w:ilvl w:val="1"/>
          <w:numId w:val="24"/>
        </w:numPr>
        <w:spacing w:line="360" w:lineRule="auto"/>
        <w:rPr>
          <w:rFonts w:hint="eastAsia" w:hAnsi="宋体" w:cs="宋体"/>
          <w:sz w:val="24"/>
          <w:szCs w:val="24"/>
        </w:rPr>
      </w:pPr>
      <w:r>
        <w:rPr>
          <w:rFonts w:hint="eastAsia" w:hAnsi="宋体" w:cs="宋体"/>
          <w:sz w:val="24"/>
          <w:szCs w:val="24"/>
        </w:rPr>
        <w:t>采购人、采购代理机构应当采取必要措施，保证评标在严格保密的情况下进行。除采购人代表、评标现场组织人员外，采购人的其他工作人员以及与评标工作无关的人员不得进入评标现场。</w:t>
      </w:r>
    </w:p>
    <w:p>
      <w:pPr>
        <w:pStyle w:val="7"/>
        <w:spacing w:line="360" w:lineRule="auto"/>
        <w:ind w:left="141" w:leftChars="67" w:firstLine="600" w:firstLineChars="250"/>
        <w:jc w:val="left"/>
        <w:rPr>
          <w:rFonts w:hAnsi="宋体" w:cs="宋体"/>
          <w:sz w:val="24"/>
          <w:szCs w:val="24"/>
        </w:rPr>
      </w:pPr>
      <w:r>
        <w:rPr>
          <w:rFonts w:hint="eastAsia" w:hAnsi="宋体" w:cs="宋体"/>
          <w:sz w:val="24"/>
          <w:szCs w:val="24"/>
        </w:rPr>
        <w:t>有关人员对评标情况以及在评标过程中获悉的国家秘密、商业秘密负有保密责任。</w:t>
      </w:r>
    </w:p>
    <w:p>
      <w:pPr>
        <w:pStyle w:val="7"/>
        <w:numPr>
          <w:ilvl w:val="1"/>
          <w:numId w:val="24"/>
        </w:numPr>
        <w:spacing w:line="360" w:lineRule="auto"/>
        <w:rPr>
          <w:rFonts w:hint="eastAsia" w:hAnsi="宋体"/>
          <w:sz w:val="24"/>
          <w:szCs w:val="28"/>
        </w:rPr>
      </w:pPr>
      <w:r>
        <w:rPr>
          <w:rFonts w:hint="eastAsia" w:hAnsi="宋体" w:cs="宋体"/>
          <w:sz w:val="24"/>
          <w:szCs w:val="24"/>
        </w:rPr>
        <w:t>磋商由采购代理机构负责组织，具体磋商事务由依法组建的磋商小组负责，并独立履行下列职责：</w:t>
      </w:r>
    </w:p>
    <w:p>
      <w:pPr>
        <w:numPr>
          <w:ilvl w:val="0"/>
          <w:numId w:val="25"/>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pPr>
        <w:numPr>
          <w:ilvl w:val="0"/>
          <w:numId w:val="25"/>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宣布评标纪律；</w:t>
      </w:r>
    </w:p>
    <w:p>
      <w:pPr>
        <w:numPr>
          <w:ilvl w:val="0"/>
          <w:numId w:val="25"/>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公布磋商人名单，告知评审专家应当回避的情形；</w:t>
      </w:r>
    </w:p>
    <w:p>
      <w:pPr>
        <w:numPr>
          <w:ilvl w:val="0"/>
          <w:numId w:val="25"/>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组织评标委员会推选评标组长，采购人代表不得担任组长；</w:t>
      </w:r>
    </w:p>
    <w:p>
      <w:pPr>
        <w:numPr>
          <w:ilvl w:val="0"/>
          <w:numId w:val="25"/>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在评标期间采取必要的通讯管理措施，保证评标活动不受外界干扰；</w:t>
      </w:r>
    </w:p>
    <w:p>
      <w:pPr>
        <w:numPr>
          <w:ilvl w:val="0"/>
          <w:numId w:val="25"/>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根据评标委员会的要求介绍政府采购相关政策法规、磋商文件；</w:t>
      </w:r>
    </w:p>
    <w:p>
      <w:pPr>
        <w:numPr>
          <w:ilvl w:val="0"/>
          <w:numId w:val="25"/>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维护评标秩序，监督评标委员会依照磋商文件规定的评标程序、方法和标准进行独立评审，及时制止和纠正采购人代表、评审专家的倾向性言论或者违法违规行为；</w:t>
      </w:r>
    </w:p>
    <w:p>
      <w:pPr>
        <w:numPr>
          <w:ilvl w:val="0"/>
          <w:numId w:val="25"/>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核对评标结果，有19.3规定情形的，要求评标委员会复核或者书面说明理由，评标委员会拒绝的，应予记录并向本级财政部门报告；</w:t>
      </w:r>
    </w:p>
    <w:p>
      <w:pPr>
        <w:numPr>
          <w:ilvl w:val="0"/>
          <w:numId w:val="25"/>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pPr>
        <w:numPr>
          <w:ilvl w:val="0"/>
          <w:numId w:val="25"/>
        </w:num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处理与评标有关的其他事项。</w:t>
      </w:r>
    </w:p>
    <w:p>
      <w:pPr>
        <w:pStyle w:val="7"/>
        <w:spacing w:line="360" w:lineRule="auto"/>
        <w:ind w:left="480"/>
        <w:rPr>
          <w:rFonts w:hAnsi="宋体"/>
          <w:sz w:val="24"/>
          <w:szCs w:val="24"/>
        </w:rPr>
      </w:pPr>
      <w:r>
        <w:rPr>
          <w:rFonts w:hint="eastAsia" w:hAnsi="宋体" w:cs="宋体"/>
          <w:sz w:val="24"/>
          <w:szCs w:val="24"/>
          <w:lang w:val="zh-CN"/>
        </w:rPr>
        <w:t>采购人可以在评标前说明项目背景和采购需求，说明内容不得含有歧视性、倾向性意见，不得超出磋商文件所述范围。说明应当提交书面材料，并随采购文件一并存档。</w:t>
      </w:r>
    </w:p>
    <w:p>
      <w:pPr>
        <w:pStyle w:val="7"/>
        <w:numPr>
          <w:ilvl w:val="1"/>
          <w:numId w:val="24"/>
        </w:numPr>
        <w:spacing w:line="360" w:lineRule="auto"/>
        <w:rPr>
          <w:rFonts w:hint="eastAsia" w:hAnsi="宋体"/>
          <w:sz w:val="24"/>
          <w:szCs w:val="28"/>
        </w:rPr>
      </w:pPr>
      <w:r>
        <w:rPr>
          <w:rFonts w:hint="eastAsia" w:hAnsi="宋体" w:cs="宋体"/>
          <w:sz w:val="24"/>
          <w:szCs w:val="24"/>
        </w:rPr>
        <w:t>磋商小组应遵守并履行下列义务</w:t>
      </w:r>
      <w:r>
        <w:rPr>
          <w:rFonts w:hint="eastAsia" w:hAnsi="宋体"/>
          <w:sz w:val="24"/>
          <w:szCs w:val="28"/>
        </w:rPr>
        <w:t>：</w:t>
      </w:r>
    </w:p>
    <w:p>
      <w:pPr>
        <w:numPr>
          <w:ilvl w:val="0"/>
          <w:numId w:val="26"/>
        </w:numPr>
        <w:autoSpaceDE w:val="0"/>
        <w:autoSpaceDN w:val="0"/>
        <w:spacing w:line="360" w:lineRule="auto"/>
        <w:rPr>
          <w:rFonts w:hint="eastAsia" w:ascii="宋体" w:hAnsi="宋体" w:cs="宋体"/>
          <w:kern w:val="0"/>
          <w:sz w:val="24"/>
        </w:rPr>
      </w:pPr>
      <w:r>
        <w:rPr>
          <w:rFonts w:hint="eastAsia" w:ascii="宋体" w:hAnsi="宋体" w:cs="宋体"/>
          <w:kern w:val="0"/>
          <w:sz w:val="24"/>
        </w:rPr>
        <w:t>审查、评价磋商响应文件是否符合磋商文件的商务、技术等实质性要求；</w:t>
      </w:r>
    </w:p>
    <w:p>
      <w:pPr>
        <w:numPr>
          <w:ilvl w:val="0"/>
          <w:numId w:val="26"/>
        </w:numPr>
        <w:autoSpaceDE w:val="0"/>
        <w:autoSpaceDN w:val="0"/>
        <w:spacing w:line="360" w:lineRule="auto"/>
        <w:rPr>
          <w:rFonts w:hint="eastAsia" w:ascii="宋体" w:hAnsi="宋体" w:cs="宋体"/>
          <w:kern w:val="0"/>
          <w:sz w:val="24"/>
        </w:rPr>
      </w:pPr>
      <w:r>
        <w:rPr>
          <w:rFonts w:hint="eastAsia" w:ascii="宋体" w:hAnsi="宋体" w:cs="宋体"/>
          <w:kern w:val="0"/>
          <w:sz w:val="24"/>
        </w:rPr>
        <w:t>要求磋商人对磋商响应文件有关事项作出澄清或者说明；</w:t>
      </w:r>
    </w:p>
    <w:p>
      <w:pPr>
        <w:numPr>
          <w:ilvl w:val="0"/>
          <w:numId w:val="26"/>
        </w:numPr>
        <w:autoSpaceDE w:val="0"/>
        <w:autoSpaceDN w:val="0"/>
        <w:spacing w:line="360" w:lineRule="auto"/>
        <w:rPr>
          <w:rFonts w:hint="eastAsia" w:ascii="宋体" w:hAnsi="宋体" w:cs="宋体"/>
          <w:kern w:val="0"/>
          <w:sz w:val="24"/>
        </w:rPr>
      </w:pPr>
      <w:r>
        <w:rPr>
          <w:rFonts w:hint="eastAsia" w:ascii="宋体" w:hAnsi="宋体" w:cs="宋体"/>
          <w:kern w:val="0"/>
          <w:sz w:val="24"/>
        </w:rPr>
        <w:t>对磋商响应文件进行比较和评价；</w:t>
      </w:r>
    </w:p>
    <w:p>
      <w:pPr>
        <w:numPr>
          <w:ilvl w:val="0"/>
          <w:numId w:val="26"/>
        </w:numPr>
        <w:autoSpaceDE w:val="0"/>
        <w:autoSpaceDN w:val="0"/>
        <w:spacing w:line="360" w:lineRule="auto"/>
        <w:rPr>
          <w:rFonts w:hint="eastAsia" w:ascii="宋体" w:hAnsi="宋体" w:cs="宋体"/>
          <w:kern w:val="0"/>
          <w:sz w:val="24"/>
        </w:rPr>
      </w:pPr>
      <w:r>
        <w:rPr>
          <w:rFonts w:hint="eastAsia" w:ascii="宋体" w:hAnsi="宋体" w:cs="宋体"/>
          <w:kern w:val="0"/>
          <w:sz w:val="24"/>
        </w:rPr>
        <w:t>确定中标候选人名单，以及根据采购人委托直接确定中标人；</w:t>
      </w:r>
    </w:p>
    <w:p>
      <w:pPr>
        <w:numPr>
          <w:ilvl w:val="0"/>
          <w:numId w:val="26"/>
        </w:numPr>
        <w:autoSpaceDE w:val="0"/>
        <w:autoSpaceDN w:val="0"/>
        <w:spacing w:line="360" w:lineRule="auto"/>
        <w:rPr>
          <w:rFonts w:ascii="宋体" w:hAnsi="宋体" w:cs="宋体"/>
          <w:kern w:val="0"/>
          <w:sz w:val="24"/>
        </w:rPr>
      </w:pPr>
      <w:r>
        <w:rPr>
          <w:rFonts w:hint="eastAsia" w:ascii="宋体" w:hAnsi="宋体" w:cs="宋体"/>
          <w:kern w:val="0"/>
          <w:sz w:val="24"/>
        </w:rPr>
        <w:t>向采购人、采购代理机构或者有关部门报告评标中发现的违法行为。</w:t>
      </w:r>
    </w:p>
    <w:p>
      <w:pPr>
        <w:pStyle w:val="7"/>
        <w:numPr>
          <w:ilvl w:val="1"/>
          <w:numId w:val="24"/>
        </w:numPr>
        <w:spacing w:line="360" w:lineRule="auto"/>
        <w:rPr>
          <w:rFonts w:hAnsi="宋体"/>
          <w:sz w:val="24"/>
          <w:szCs w:val="28"/>
        </w:rPr>
      </w:pPr>
      <w:r>
        <w:rPr>
          <w:rFonts w:hint="eastAsia" w:hAnsi="宋体"/>
          <w:sz w:val="24"/>
          <w:szCs w:val="28"/>
        </w:rPr>
        <w:t>评审工作在有关部门的监督下依法开展，任何单位和个人不得非法干预、影响评审工作和评审结果。</w:t>
      </w:r>
    </w:p>
    <w:p>
      <w:pPr>
        <w:pStyle w:val="4"/>
        <w:numPr>
          <w:ilvl w:val="0"/>
          <w:numId w:val="4"/>
        </w:numPr>
        <w:spacing w:before="0" w:after="0" w:line="360" w:lineRule="auto"/>
        <w:rPr>
          <w:rFonts w:ascii="宋体" w:hAnsi="宋体"/>
          <w:b w:val="0"/>
        </w:rPr>
      </w:pPr>
      <w:bookmarkStart w:id="73" w:name="_Toc488673634"/>
      <w:bookmarkStart w:id="74" w:name="_Toc535421981"/>
      <w:r>
        <w:rPr>
          <w:rFonts w:hint="eastAsia" w:ascii="宋体" w:hAnsi="宋体"/>
          <w:b w:val="0"/>
        </w:rPr>
        <w:t>磋商程序</w:t>
      </w:r>
      <w:bookmarkEnd w:id="73"/>
      <w:bookmarkEnd w:id="74"/>
    </w:p>
    <w:p>
      <w:pPr>
        <w:pStyle w:val="7"/>
        <w:numPr>
          <w:ilvl w:val="1"/>
          <w:numId w:val="27"/>
        </w:numPr>
        <w:spacing w:line="360" w:lineRule="auto"/>
        <w:rPr>
          <w:rFonts w:hAnsi="宋体"/>
          <w:sz w:val="24"/>
          <w:szCs w:val="24"/>
        </w:rPr>
      </w:pPr>
      <w:r>
        <w:rPr>
          <w:rFonts w:hint="eastAsia" w:hAnsi="宋体" w:cs="宋体"/>
          <w:sz w:val="24"/>
          <w:szCs w:val="24"/>
          <w:lang w:val="zh-CN"/>
        </w:rPr>
        <w:t>评标委员会应当对符合资格的磋商人的磋商响应文件进行符合性审查，以确定其是否满足磋商文件的实质性要求。</w:t>
      </w:r>
    </w:p>
    <w:p>
      <w:pPr>
        <w:pStyle w:val="7"/>
        <w:spacing w:line="360" w:lineRule="auto"/>
        <w:ind w:firstLine="240" w:firstLineChars="100"/>
        <w:rPr>
          <w:rFonts w:hAnsi="宋体" w:cs="Arial"/>
          <w:sz w:val="24"/>
          <w:szCs w:val="24"/>
        </w:rPr>
      </w:pPr>
      <w:r>
        <w:rPr>
          <w:rFonts w:hint="eastAsia" w:hAnsi="宋体" w:cs="Arial"/>
          <w:sz w:val="24"/>
          <w:szCs w:val="24"/>
          <w:lang w:eastAsia="zh-CN"/>
        </w:rPr>
        <w:t>（</w:t>
      </w:r>
      <w:r>
        <w:rPr>
          <w:rFonts w:hint="eastAsia" w:hAnsi="宋体" w:cs="Arial"/>
          <w:sz w:val="24"/>
          <w:szCs w:val="24"/>
          <w:lang w:val="en-US" w:eastAsia="zh-CN"/>
        </w:rPr>
        <w:t>1</w:t>
      </w:r>
      <w:r>
        <w:rPr>
          <w:rFonts w:hint="eastAsia" w:hAnsi="宋体" w:cs="Arial"/>
          <w:sz w:val="24"/>
          <w:szCs w:val="24"/>
          <w:lang w:eastAsia="zh-CN"/>
        </w:rPr>
        <w:t>）</w:t>
      </w:r>
      <w:r>
        <w:rPr>
          <w:rFonts w:hint="eastAsia" w:hAnsi="宋体" w:cs="Arial"/>
          <w:sz w:val="24"/>
          <w:szCs w:val="24"/>
        </w:rPr>
        <w:t>本次综合评分的主要因素是：磋商报价、商务评价、</w:t>
      </w:r>
      <w:r>
        <w:rPr>
          <w:rFonts w:hint="eastAsia" w:hAnsi="宋体" w:cs="Arial"/>
          <w:sz w:val="24"/>
          <w:lang w:eastAsia="zh-CN"/>
        </w:rPr>
        <w:t>技术部分</w:t>
      </w:r>
      <w:r>
        <w:rPr>
          <w:rFonts w:hAnsi="宋体" w:cs="Arial"/>
          <w:sz w:val="24"/>
        </w:rPr>
        <w:t>及售后</w:t>
      </w:r>
      <w:r>
        <w:rPr>
          <w:rFonts w:hint="eastAsia" w:hAnsi="宋体" w:cs="Arial"/>
          <w:sz w:val="24"/>
          <w:lang w:eastAsia="zh-CN"/>
        </w:rPr>
        <w:t>服务</w:t>
      </w:r>
      <w:r>
        <w:rPr>
          <w:rFonts w:hint="eastAsia" w:hAnsi="宋体" w:cs="Arial"/>
          <w:sz w:val="24"/>
          <w:szCs w:val="24"/>
        </w:rPr>
        <w:t>。</w:t>
      </w:r>
    </w:p>
    <w:p>
      <w:pPr>
        <w:autoSpaceDE w:val="0"/>
        <w:autoSpaceDN w:val="0"/>
        <w:spacing w:line="360" w:lineRule="auto"/>
        <w:ind w:firstLine="480" w:firstLineChars="200"/>
        <w:jc w:val="left"/>
        <w:rPr>
          <w:rFonts w:hAnsi="宋体" w:cs="宋体"/>
          <w:sz w:val="24"/>
          <w:lang w:val="zh-CN"/>
        </w:rPr>
      </w:pPr>
      <w:r>
        <w:rPr>
          <w:rFonts w:hint="eastAsia" w:hAnsi="宋体" w:cs="宋体"/>
          <w:sz w:val="24"/>
          <w:lang w:val="zh-CN"/>
        </w:rPr>
        <w:t>根据《政府采购促进中小企业发展暂行办法》，属小型、微型企业制造的货物（产品），磋商人须提供该制造（生产）企业出具的《中小微型企业声明函》、《从业人员声明函》，其划型标准严格按照国家工信部、国家统计局、国家发改委、财政部出台的《中小企业划型标准规定》（工信部联企业[2011]300号）执行。磋商人提供的《小型、微型企业声明函》、《从业人员声明函》资料必须真实，否则，按照有关规定予以处理。</w:t>
      </w:r>
    </w:p>
    <w:p>
      <w:pPr>
        <w:pStyle w:val="7"/>
        <w:spacing w:line="360" w:lineRule="auto"/>
        <w:ind w:firstLine="600" w:firstLineChars="250"/>
        <w:jc w:val="left"/>
        <w:rPr>
          <w:rFonts w:hAnsi="宋体" w:cs="Arial"/>
          <w:sz w:val="24"/>
          <w:szCs w:val="24"/>
        </w:rPr>
      </w:pPr>
      <w:r>
        <w:rPr>
          <w:rFonts w:hint="eastAsia" w:hAnsi="宋体" w:cs="宋体"/>
          <w:sz w:val="24"/>
          <w:lang w:val="zh-CN"/>
        </w:rPr>
        <w:t>根据财政部、民政部、中国残疾人联合会出台的《关于促进残疾人就业政府采购政策的通知》（财库[2017]141号），属残疾人福利性单位的，投标人须提供《残疾人福利性单位声明函》（详见</w:t>
      </w:r>
      <w:r>
        <w:rPr>
          <w:rFonts w:hint="eastAsia" w:hAnsi="宋体" w:cs="宋体"/>
          <w:sz w:val="24"/>
          <w:lang w:val="zh-CN" w:eastAsia="zh-CN"/>
        </w:rPr>
        <w:t>(17</w:t>
      </w:r>
      <w:r>
        <w:rPr>
          <w:rFonts w:hint="eastAsia" w:hAnsi="宋体" w:cs="宋体"/>
          <w:sz w:val="24"/>
          <w:lang w:val="zh-CN"/>
        </w:rPr>
        <w:t>）</w:t>
      </w:r>
      <w:r>
        <w:rPr>
          <w:rFonts w:hint="eastAsia" w:hAnsi="宋体" w:cs="宋体"/>
          <w:sz w:val="24"/>
          <w:lang w:val="zh-CN" w:eastAsia="zh-CN"/>
        </w:rPr>
        <w:t>)</w:t>
      </w:r>
      <w:r>
        <w:rPr>
          <w:rFonts w:hint="eastAsia" w:hAnsi="宋体" w:cs="宋体"/>
          <w:sz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pStyle w:val="7"/>
        <w:spacing w:line="360" w:lineRule="auto"/>
        <w:ind w:firstLine="480" w:firstLineChars="200"/>
        <w:jc w:val="left"/>
        <w:rPr>
          <w:rFonts w:hAnsi="宋体" w:cs="Arial"/>
          <w:sz w:val="24"/>
          <w:szCs w:val="24"/>
        </w:rPr>
      </w:pPr>
      <w:r>
        <w:rPr>
          <w:rFonts w:hint="eastAsia" w:hAnsi="宋体" w:cs="Arial"/>
          <w:sz w:val="24"/>
          <w:szCs w:val="24"/>
          <w:lang w:eastAsia="zh-CN"/>
        </w:rPr>
        <w:t>（</w:t>
      </w:r>
      <w:r>
        <w:rPr>
          <w:rFonts w:hint="eastAsia" w:hAnsi="宋体" w:cs="Arial"/>
          <w:sz w:val="24"/>
          <w:szCs w:val="24"/>
          <w:lang w:val="en-US" w:eastAsia="zh-CN"/>
        </w:rPr>
        <w:t>2</w:t>
      </w:r>
      <w:r>
        <w:rPr>
          <w:rFonts w:hint="eastAsia" w:hAnsi="宋体" w:cs="Arial"/>
          <w:sz w:val="24"/>
          <w:szCs w:val="24"/>
          <w:lang w:eastAsia="zh-CN"/>
        </w:rPr>
        <w:t>）</w:t>
      </w:r>
      <w:r>
        <w:rPr>
          <w:rFonts w:hint="eastAsia" w:hAnsi="宋体" w:cs="Arial"/>
          <w:sz w:val="24"/>
          <w:szCs w:val="24"/>
        </w:rPr>
        <w:t>除磋商价格因素外，评标委员会应依据磋商文件规定的评审方法和评审标准对其他因素进行客观评审；</w:t>
      </w:r>
    </w:p>
    <w:p>
      <w:pPr>
        <w:pStyle w:val="7"/>
        <w:numPr>
          <w:ilvl w:val="1"/>
          <w:numId w:val="27"/>
        </w:numPr>
        <w:spacing w:line="360" w:lineRule="auto"/>
        <w:rPr>
          <w:rFonts w:hint="eastAsia" w:hAnsi="宋体"/>
          <w:sz w:val="24"/>
          <w:szCs w:val="24"/>
        </w:rPr>
      </w:pPr>
      <w:r>
        <w:rPr>
          <w:rFonts w:hint="eastAsia" w:hAnsi="宋体" w:cs="宋体"/>
          <w:sz w:val="24"/>
          <w:szCs w:val="24"/>
          <w:lang w:val="zh-CN"/>
        </w:rPr>
        <w:t>磋商响应文件中含义不明确、同类问题表述不一致或者有明显文字和计算错误的内容，评标委员会应当以书面形式要求磋商人作出必要的澄清、说明或者补正。</w:t>
      </w:r>
    </w:p>
    <w:p>
      <w:pPr>
        <w:pStyle w:val="7"/>
        <w:spacing w:line="360" w:lineRule="auto"/>
        <w:ind w:left="141" w:leftChars="67" w:firstLine="720" w:firstLineChars="300"/>
        <w:jc w:val="left"/>
        <w:rPr>
          <w:rFonts w:hAnsi="宋体"/>
          <w:sz w:val="24"/>
          <w:szCs w:val="24"/>
        </w:rPr>
      </w:pPr>
      <w:r>
        <w:rPr>
          <w:rFonts w:hint="eastAsia" w:hAnsi="宋体" w:cs="宋体"/>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pPr>
        <w:pStyle w:val="7"/>
        <w:numPr>
          <w:ilvl w:val="0"/>
          <w:numId w:val="28"/>
        </w:numPr>
        <w:spacing w:line="360" w:lineRule="auto"/>
        <w:rPr>
          <w:rFonts w:hAnsi="宋体" w:cs="Arial"/>
          <w:sz w:val="24"/>
          <w:szCs w:val="24"/>
        </w:rPr>
      </w:pPr>
      <w:r>
        <w:rPr>
          <w:rFonts w:hint="eastAsia" w:hAnsi="宋体" w:cs="Arial"/>
          <w:sz w:val="24"/>
          <w:szCs w:val="24"/>
        </w:rPr>
        <w:t>磋商人存在下列情况之一的，按无效磋商处理</w:t>
      </w:r>
      <w:r>
        <w:rPr>
          <w:rFonts w:hint="eastAsia" w:hAnsi="宋体" w:cs="宋体"/>
          <w:lang w:val="zh-CN"/>
        </w:rPr>
        <w:t>:</w:t>
      </w:r>
    </w:p>
    <w:p>
      <w:pPr>
        <w:pStyle w:val="7"/>
        <w:numPr>
          <w:ilvl w:val="0"/>
          <w:numId w:val="29"/>
        </w:numPr>
        <w:spacing w:line="360" w:lineRule="auto"/>
        <w:rPr>
          <w:rFonts w:hAnsi="宋体" w:cs="Arial"/>
          <w:sz w:val="24"/>
          <w:szCs w:val="24"/>
        </w:rPr>
      </w:pPr>
      <w:r>
        <w:rPr>
          <w:rFonts w:hint="eastAsia" w:hAnsi="宋体" w:cs="Arial"/>
          <w:sz w:val="24"/>
          <w:szCs w:val="24"/>
        </w:rPr>
        <w:t>磋商响应文件未按磋商文件要求签署、盖章的；</w:t>
      </w:r>
    </w:p>
    <w:p>
      <w:pPr>
        <w:pStyle w:val="7"/>
        <w:numPr>
          <w:ilvl w:val="0"/>
          <w:numId w:val="29"/>
        </w:numPr>
        <w:spacing w:line="360" w:lineRule="auto"/>
        <w:rPr>
          <w:rFonts w:hAnsi="宋体" w:cs="Arial"/>
          <w:sz w:val="24"/>
          <w:szCs w:val="24"/>
        </w:rPr>
      </w:pPr>
      <w:r>
        <w:rPr>
          <w:rFonts w:hint="eastAsia" w:hAnsi="宋体" w:cs="Arial"/>
          <w:sz w:val="24"/>
          <w:szCs w:val="24"/>
        </w:rPr>
        <w:t>报价超过磋商文件中规定的预算金额或者最高限价的；</w:t>
      </w:r>
    </w:p>
    <w:p>
      <w:pPr>
        <w:pStyle w:val="7"/>
        <w:numPr>
          <w:ilvl w:val="0"/>
          <w:numId w:val="29"/>
        </w:numPr>
        <w:spacing w:line="360" w:lineRule="auto"/>
        <w:rPr>
          <w:rFonts w:hAnsi="宋体" w:cs="Arial"/>
          <w:sz w:val="24"/>
          <w:szCs w:val="24"/>
        </w:rPr>
      </w:pPr>
      <w:r>
        <w:rPr>
          <w:rFonts w:hint="eastAsia" w:hAnsi="宋体" w:cs="Arial"/>
          <w:sz w:val="24"/>
          <w:szCs w:val="24"/>
          <w:lang w:eastAsia="zh-CN"/>
        </w:rPr>
        <w:t>服务</w:t>
      </w:r>
      <w:r>
        <w:rPr>
          <w:rFonts w:hint="eastAsia" w:hAnsi="宋体" w:cs="Arial"/>
          <w:sz w:val="24"/>
          <w:szCs w:val="24"/>
        </w:rPr>
        <w:t>期、磋商有效期不能满足磋商文件要求的；</w:t>
      </w:r>
    </w:p>
    <w:p>
      <w:pPr>
        <w:pStyle w:val="7"/>
        <w:numPr>
          <w:ilvl w:val="0"/>
          <w:numId w:val="29"/>
        </w:numPr>
        <w:spacing w:line="360" w:lineRule="auto"/>
        <w:rPr>
          <w:rFonts w:hAnsi="宋体" w:cs="Arial"/>
          <w:sz w:val="24"/>
          <w:szCs w:val="24"/>
        </w:rPr>
      </w:pPr>
      <w:r>
        <w:rPr>
          <w:rFonts w:hint="eastAsia" w:hAnsi="宋体" w:cs="Arial"/>
          <w:sz w:val="24"/>
          <w:szCs w:val="24"/>
        </w:rPr>
        <w:t>未按第11</w:t>
      </w:r>
      <w:r>
        <w:rPr>
          <w:rFonts w:hint="eastAsia" w:hAnsi="宋体" w:cs="Arial"/>
          <w:sz w:val="24"/>
          <w:szCs w:val="24"/>
          <w:lang w:eastAsia="zh-CN"/>
        </w:rPr>
        <w:t>.3</w:t>
      </w:r>
      <w:r>
        <w:rPr>
          <w:rFonts w:hint="eastAsia" w:hAnsi="宋体" w:cs="Arial"/>
          <w:sz w:val="24"/>
          <w:szCs w:val="24"/>
        </w:rPr>
        <w:t>款中</w:t>
      </w:r>
      <w:r>
        <w:rPr>
          <w:rFonts w:hint="eastAsia" w:hAnsi="宋体" w:cs="Arial"/>
          <w:sz w:val="24"/>
          <w:szCs w:val="24"/>
          <w:lang w:eastAsia="zh-CN"/>
        </w:rPr>
        <w:t>(12)-(14)</w:t>
      </w:r>
      <w:r>
        <w:rPr>
          <w:rFonts w:hint="eastAsia" w:hAnsi="宋体" w:cs="Arial"/>
          <w:sz w:val="24"/>
          <w:szCs w:val="24"/>
        </w:rPr>
        <w:t>要求提供相关资料的；</w:t>
      </w:r>
    </w:p>
    <w:p>
      <w:pPr>
        <w:pStyle w:val="7"/>
        <w:numPr>
          <w:ilvl w:val="0"/>
          <w:numId w:val="29"/>
        </w:numPr>
        <w:spacing w:line="360" w:lineRule="auto"/>
        <w:rPr>
          <w:rFonts w:hAnsi="宋体" w:cs="Arial"/>
          <w:sz w:val="24"/>
          <w:szCs w:val="24"/>
        </w:rPr>
      </w:pPr>
      <w:r>
        <w:rPr>
          <w:rFonts w:hint="eastAsia" w:hAnsi="宋体" w:cs="Arial"/>
          <w:sz w:val="24"/>
          <w:szCs w:val="24"/>
        </w:rPr>
        <w:t>磋商响应文件中</w:t>
      </w:r>
      <w:r>
        <w:rPr>
          <w:rFonts w:hint="eastAsia" w:hAnsi="宋体" w:cs="Arial"/>
          <w:sz w:val="24"/>
          <w:szCs w:val="24"/>
          <w:lang w:eastAsia="zh-CN"/>
        </w:rPr>
        <w:t>含有</w:t>
      </w:r>
      <w:r>
        <w:rPr>
          <w:rFonts w:hint="eastAsia" w:hAnsi="宋体" w:cs="Arial"/>
          <w:sz w:val="24"/>
          <w:szCs w:val="24"/>
        </w:rPr>
        <w:t>采购单位不能接受的条件的；</w:t>
      </w:r>
    </w:p>
    <w:p>
      <w:pPr>
        <w:pStyle w:val="7"/>
        <w:numPr>
          <w:ilvl w:val="0"/>
          <w:numId w:val="29"/>
        </w:numPr>
        <w:spacing w:line="360" w:lineRule="auto"/>
        <w:rPr>
          <w:rFonts w:hAnsi="宋体" w:cs="Arial"/>
          <w:sz w:val="24"/>
          <w:szCs w:val="24"/>
        </w:rPr>
      </w:pPr>
      <w:r>
        <w:rPr>
          <w:rFonts w:hint="eastAsia" w:hAnsi="宋体" w:cs="Arial"/>
          <w:sz w:val="24"/>
          <w:szCs w:val="24"/>
        </w:rPr>
        <w:t>存在串通投标行为；</w:t>
      </w:r>
    </w:p>
    <w:p>
      <w:pPr>
        <w:pStyle w:val="7"/>
        <w:numPr>
          <w:ilvl w:val="0"/>
          <w:numId w:val="29"/>
        </w:numPr>
        <w:spacing w:line="360" w:lineRule="auto"/>
        <w:rPr>
          <w:rFonts w:hint="eastAsia" w:hAnsi="宋体" w:cs="Arial"/>
          <w:sz w:val="24"/>
          <w:szCs w:val="24"/>
        </w:rPr>
      </w:pPr>
      <w:r>
        <w:rPr>
          <w:rFonts w:hint="eastAsia" w:hAnsi="宋体" w:cs="Arial"/>
          <w:sz w:val="24"/>
          <w:szCs w:val="24"/>
        </w:rPr>
        <w:t>法律、法规和磋商文件规定的其他无效情形。</w:t>
      </w:r>
    </w:p>
    <w:p>
      <w:pPr>
        <w:pStyle w:val="7"/>
        <w:numPr>
          <w:ilvl w:val="0"/>
          <w:numId w:val="28"/>
        </w:numPr>
        <w:spacing w:line="360" w:lineRule="auto"/>
        <w:rPr>
          <w:rFonts w:hint="eastAsia" w:hAnsi="宋体" w:cs="Arial"/>
          <w:sz w:val="24"/>
          <w:szCs w:val="24"/>
        </w:rPr>
      </w:pPr>
      <w:r>
        <w:rPr>
          <w:rFonts w:hint="eastAsia" w:hAnsi="宋体" w:cs="Arial"/>
          <w:sz w:val="24"/>
          <w:szCs w:val="24"/>
        </w:rPr>
        <w:t>磋商响应文件报价出现前后不一致的，按照下列规定修正：</w:t>
      </w:r>
    </w:p>
    <w:p>
      <w:pPr>
        <w:pStyle w:val="7"/>
        <w:numPr>
          <w:ilvl w:val="0"/>
          <w:numId w:val="30"/>
        </w:numPr>
        <w:spacing w:line="360" w:lineRule="auto"/>
        <w:rPr>
          <w:rFonts w:hint="eastAsia" w:hAnsi="宋体" w:cs="Arial"/>
          <w:sz w:val="24"/>
          <w:szCs w:val="24"/>
        </w:rPr>
      </w:pPr>
      <w:r>
        <w:rPr>
          <w:rFonts w:hint="eastAsia" w:hAnsi="宋体" w:cs="Arial"/>
          <w:sz w:val="24"/>
          <w:szCs w:val="24"/>
        </w:rPr>
        <w:t>大写金额和小写金额不一致的，以大写金额为准；</w:t>
      </w:r>
    </w:p>
    <w:p>
      <w:pPr>
        <w:pStyle w:val="7"/>
        <w:numPr>
          <w:ilvl w:val="0"/>
          <w:numId w:val="30"/>
        </w:numPr>
        <w:spacing w:line="360" w:lineRule="auto"/>
        <w:rPr>
          <w:rFonts w:hint="eastAsia" w:hAnsi="宋体" w:cs="Arial"/>
          <w:sz w:val="24"/>
          <w:szCs w:val="24"/>
        </w:rPr>
      </w:pPr>
      <w:r>
        <w:rPr>
          <w:rFonts w:hint="eastAsia" w:hAnsi="宋体" w:cs="Arial"/>
          <w:sz w:val="24"/>
          <w:szCs w:val="24"/>
        </w:rPr>
        <w:t>总价金额与按单价汇总金额不一致的，以单价金额计算结果为准。</w:t>
      </w:r>
    </w:p>
    <w:p>
      <w:pPr>
        <w:pStyle w:val="7"/>
        <w:spacing w:line="360" w:lineRule="auto"/>
        <w:ind w:left="1129"/>
        <w:rPr>
          <w:rFonts w:hint="eastAsia" w:hAnsi="宋体" w:cs="宋体"/>
          <w:sz w:val="24"/>
          <w:szCs w:val="24"/>
          <w:lang w:eastAsia="zh-CN"/>
        </w:rPr>
      </w:pPr>
      <w:r>
        <w:rPr>
          <w:rFonts w:hint="eastAsia" w:hAnsi="宋体" w:cs="宋体"/>
          <w:sz w:val="24"/>
          <w:szCs w:val="24"/>
        </w:rPr>
        <w:t>同时出现两种以上不一致的，按照前款规定的顺序修正。修正后的报价按</w:t>
      </w:r>
      <w:r>
        <w:rPr>
          <w:rFonts w:hint="eastAsia" w:hAnsi="宋体" w:cs="宋体"/>
          <w:sz w:val="24"/>
          <w:szCs w:val="24"/>
          <w:lang w:eastAsia="zh-CN"/>
        </w:rPr>
        <w:t>17.2</w:t>
      </w:r>
      <w:r>
        <w:rPr>
          <w:rFonts w:hint="eastAsia" w:hAnsi="宋体" w:cs="宋体"/>
          <w:sz w:val="24"/>
          <w:szCs w:val="24"/>
        </w:rPr>
        <w:t>第二款的规定经磋商人确认后产生约束力，磋商人不确认的，其投标无效。</w:t>
      </w:r>
    </w:p>
    <w:p>
      <w:pPr>
        <w:pStyle w:val="7"/>
        <w:numPr>
          <w:ilvl w:val="1"/>
          <w:numId w:val="27"/>
        </w:numPr>
        <w:spacing w:line="360" w:lineRule="auto"/>
        <w:rPr>
          <w:rFonts w:hint="eastAsia" w:hAnsi="宋体" w:cs="Arial"/>
          <w:sz w:val="24"/>
          <w:szCs w:val="24"/>
          <w:lang w:eastAsia="zh-CN"/>
        </w:rPr>
      </w:pPr>
      <w:r>
        <w:rPr>
          <w:rFonts w:hint="eastAsia" w:hAnsi="宋体" w:cs="宋体"/>
          <w:sz w:val="24"/>
          <w:szCs w:val="24"/>
          <w:lang w:val="zh-CN"/>
        </w:rPr>
        <w:t>在评审过程中，</w:t>
      </w:r>
      <w:r>
        <w:rPr>
          <w:rFonts w:hint="eastAsia" w:hAnsi="宋体" w:cs="宋体"/>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pStyle w:val="7"/>
        <w:numPr>
          <w:ilvl w:val="1"/>
          <w:numId w:val="27"/>
        </w:numPr>
        <w:spacing w:line="360" w:lineRule="auto"/>
        <w:rPr>
          <w:rFonts w:hint="eastAsia" w:hAnsi="宋体" w:cs="Arial"/>
          <w:sz w:val="24"/>
          <w:szCs w:val="24"/>
          <w:lang w:eastAsia="zh-CN"/>
        </w:rPr>
      </w:pPr>
      <w:r>
        <w:rPr>
          <w:rFonts w:hint="eastAsia" w:hAnsi="宋体" w:cs="宋体"/>
          <w:sz w:val="24"/>
          <w:szCs w:val="24"/>
          <w:shd w:val="clear" w:color="auto" w:fill="FFFFFF"/>
        </w:rPr>
        <w:t>评标委员会应当按照磋商文件中规定的评标方法和标准，对符合性审查合格的磋商响应文件进行商务和技术评估，综合比较与评价。</w:t>
      </w:r>
    </w:p>
    <w:p>
      <w:pPr>
        <w:pStyle w:val="7"/>
        <w:numPr>
          <w:ilvl w:val="1"/>
          <w:numId w:val="27"/>
        </w:numPr>
        <w:spacing w:line="360" w:lineRule="auto"/>
        <w:rPr>
          <w:rFonts w:hint="eastAsia" w:hAnsi="宋体" w:cs="Arial"/>
          <w:sz w:val="24"/>
          <w:szCs w:val="24"/>
          <w:lang w:eastAsia="zh-CN"/>
        </w:rPr>
      </w:pPr>
      <w:r>
        <w:rPr>
          <w:rFonts w:hint="eastAsia" w:hAnsi="宋体" w:cs="宋体"/>
          <w:sz w:val="24"/>
          <w:szCs w:val="24"/>
          <w:shd w:val="clear" w:color="auto" w:fill="FFFFFF"/>
        </w:rPr>
        <w:t>评标委员会认为磋商人的报价明显低于其他通过符合性审查磋商人的报价，有可能影响</w:t>
      </w:r>
      <w:r>
        <w:rPr>
          <w:rFonts w:hint="eastAsia" w:hAnsi="宋体" w:cs="宋体"/>
          <w:sz w:val="24"/>
          <w:szCs w:val="24"/>
          <w:shd w:val="clear" w:color="auto" w:fill="FFFFFF"/>
          <w:lang w:eastAsia="zh-CN"/>
        </w:rPr>
        <w:t>服务</w:t>
      </w:r>
      <w:r>
        <w:rPr>
          <w:rFonts w:hint="eastAsia" w:hAnsi="宋体" w:cs="宋体"/>
          <w:sz w:val="24"/>
          <w:szCs w:val="24"/>
          <w:shd w:val="clear" w:color="auto" w:fill="FFFFFF"/>
        </w:rPr>
        <w:t>或者不能诚信履约的，应当要求其在评标现场合理的时间内提供书面说明，必要时提交相关证明材料；磋商人不能证明其报价合理性的，评标委员会应当将其作为无效投标处理。</w:t>
      </w:r>
    </w:p>
    <w:p>
      <w:pPr>
        <w:pStyle w:val="4"/>
        <w:numPr>
          <w:ilvl w:val="0"/>
          <w:numId w:val="4"/>
        </w:numPr>
        <w:spacing w:before="0" w:after="0" w:line="360" w:lineRule="auto"/>
        <w:rPr>
          <w:rFonts w:ascii="宋体" w:hAnsi="宋体"/>
          <w:b w:val="0"/>
        </w:rPr>
      </w:pPr>
      <w:bookmarkStart w:id="75" w:name="_Toc535421982"/>
      <w:bookmarkStart w:id="76" w:name="_Toc488673635"/>
      <w:r>
        <w:rPr>
          <w:rFonts w:hint="eastAsia" w:ascii="宋体" w:hAnsi="宋体"/>
          <w:b w:val="0"/>
        </w:rPr>
        <w:t>评审办法</w:t>
      </w:r>
      <w:bookmarkEnd w:id="75"/>
      <w:bookmarkEnd w:id="76"/>
    </w:p>
    <w:p>
      <w:pPr>
        <w:pStyle w:val="7"/>
        <w:numPr>
          <w:ilvl w:val="1"/>
          <w:numId w:val="31"/>
        </w:numPr>
        <w:spacing w:line="360" w:lineRule="auto"/>
        <w:jc w:val="left"/>
        <w:rPr>
          <w:rFonts w:hint="eastAsia" w:hAnsi="宋体"/>
          <w:sz w:val="24"/>
          <w:szCs w:val="28"/>
        </w:rPr>
      </w:pPr>
      <w:r>
        <w:rPr>
          <w:rFonts w:hint="eastAsia" w:hAnsi="宋体"/>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pPr>
        <w:pStyle w:val="7"/>
        <w:numPr>
          <w:ilvl w:val="1"/>
          <w:numId w:val="31"/>
        </w:numPr>
        <w:spacing w:line="360" w:lineRule="auto"/>
        <w:jc w:val="left"/>
        <w:rPr>
          <w:rFonts w:hAnsi="宋体"/>
          <w:sz w:val="24"/>
          <w:szCs w:val="24"/>
        </w:rPr>
      </w:pPr>
      <w:r>
        <w:rPr>
          <w:rFonts w:hint="eastAsia" w:hAnsi="宋体" w:cs="宋体"/>
          <w:sz w:val="24"/>
          <w:szCs w:val="24"/>
          <w:lang w:val="zh-CN"/>
        </w:rPr>
        <w:t>本次评审方法采用综合评分法</w:t>
      </w:r>
      <w:r>
        <w:rPr>
          <w:rFonts w:hint="eastAsia" w:hAnsi="宋体" w:cs="宋体"/>
          <w:sz w:val="24"/>
          <w:szCs w:val="24"/>
        </w:rPr>
        <w:t>。</w:t>
      </w:r>
    </w:p>
    <w:p>
      <w:pPr>
        <w:pStyle w:val="7"/>
        <w:spacing w:line="360" w:lineRule="auto"/>
        <w:ind w:left="141"/>
        <w:jc w:val="left"/>
        <w:rPr>
          <w:rFonts w:hint="eastAsia" w:hAnsi="宋体" w:cs="Arial"/>
          <w:sz w:val="24"/>
          <w:szCs w:val="24"/>
        </w:rPr>
      </w:pPr>
      <w:r>
        <w:rPr>
          <w:rFonts w:hAnsi="宋体" w:cs="Arial"/>
          <w:sz w:val="24"/>
          <w:szCs w:val="24"/>
        </w:rPr>
        <w:t>评审标准和分值分配</w:t>
      </w:r>
      <w:r>
        <w:rPr>
          <w:rFonts w:hint="eastAsia" w:hAnsi="宋体" w:cs="Arial"/>
          <w:sz w:val="24"/>
          <w:szCs w:val="24"/>
        </w:rPr>
        <w:t>：</w:t>
      </w:r>
    </w:p>
    <w:p>
      <w:pPr>
        <w:pStyle w:val="7"/>
        <w:spacing w:line="360" w:lineRule="auto"/>
        <w:ind w:left="141"/>
        <w:jc w:val="left"/>
        <w:rPr>
          <w:rFonts w:hint="eastAsia" w:hAnsi="宋体"/>
          <w:b/>
          <w:sz w:val="24"/>
        </w:rPr>
      </w:pPr>
    </w:p>
    <w:p>
      <w:pPr>
        <w:pStyle w:val="7"/>
        <w:spacing w:line="360" w:lineRule="auto"/>
        <w:ind w:left="141"/>
        <w:jc w:val="left"/>
        <w:rPr>
          <w:rFonts w:hint="eastAsia" w:hAnsi="宋体"/>
          <w:b/>
          <w:sz w:val="24"/>
          <w:lang w:eastAsia="zh-CN"/>
        </w:rPr>
      </w:pPr>
      <w:r>
        <w:rPr>
          <w:rFonts w:hint="eastAsia" w:hAnsi="宋体"/>
          <w:b/>
          <w:sz w:val="24"/>
        </w:rPr>
        <w:t>具体项目及评分细则</w:t>
      </w:r>
      <w:r>
        <w:rPr>
          <w:rFonts w:hint="eastAsia" w:hAnsi="宋体"/>
          <w:b/>
          <w:sz w:val="24"/>
          <w:lang w:eastAsia="zh-CN"/>
        </w:rPr>
        <w:t>如下；</w:t>
      </w:r>
    </w:p>
    <w:p>
      <w:pPr>
        <w:spacing w:before="151" w:after="42"/>
        <w:ind w:left="500" w:right="621" w:firstLine="0"/>
        <w:jc w:val="center"/>
        <w:rPr>
          <w:b/>
          <w:color w:val="FF0000"/>
          <w:sz w:val="28"/>
        </w:rPr>
      </w:pPr>
      <w:bookmarkStart w:id="77" w:name="_Toc535421983"/>
      <w:bookmarkStart w:id="78" w:name="_Toc3552_WPSOffice_Level2"/>
      <w:bookmarkStart w:id="79" w:name="_Toc11513"/>
      <w:r>
        <w:rPr>
          <w:rFonts w:hint="eastAsia"/>
          <w:b/>
          <w:color w:val="FF0000"/>
          <w:sz w:val="28"/>
          <w:lang w:val="en-US" w:eastAsia="zh-CN"/>
        </w:rPr>
        <w:t>包一</w:t>
      </w:r>
      <w:r>
        <w:rPr>
          <w:b/>
          <w:color w:val="FF0000"/>
          <w:sz w:val="28"/>
        </w:rPr>
        <w:t>评分分值表</w:t>
      </w:r>
    </w:p>
    <w:tbl>
      <w:tblPr>
        <w:tblStyle w:val="15"/>
        <w:tblW w:w="91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8"/>
        <w:gridCol w:w="1250"/>
        <w:gridCol w:w="717"/>
        <w:gridCol w:w="6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ascii="宋体" w:hAnsi="宋体"/>
                <w:sz w:val="24"/>
              </w:rPr>
            </w:pPr>
            <w:r>
              <w:rPr>
                <w:rFonts w:hint="eastAsia" w:ascii="宋体" w:hAnsi="宋体"/>
                <w:sz w:val="24"/>
              </w:rPr>
              <w:t>评审项目</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40" w:firstLineChars="100"/>
              <w:rPr>
                <w:rFonts w:hint="eastAsia" w:ascii="宋体" w:hAnsi="宋体"/>
                <w:sz w:val="24"/>
              </w:rPr>
            </w:pPr>
            <w:r>
              <w:rPr>
                <w:rFonts w:hint="eastAsia" w:ascii="宋体" w:hAnsi="宋体"/>
                <w:sz w:val="24"/>
              </w:rPr>
              <w:t>内容</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满分 分值</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400" w:firstLineChars="1000"/>
              <w:rPr>
                <w:rFonts w:ascii="宋体" w:hAnsi="宋体"/>
                <w:sz w:val="24"/>
              </w:rPr>
            </w:pPr>
            <w:r>
              <w:rPr>
                <w:rFonts w:hint="eastAsia" w:ascii="宋体" w:hAnsi="宋体"/>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磋商报价20分</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报价分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20</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1"/>
                <w:szCs w:val="21"/>
              </w:rPr>
            </w:pPr>
            <w:r>
              <w:rPr>
                <w:rFonts w:hint="eastAsia" w:ascii="宋体" w:hAnsi="宋体"/>
                <w:sz w:val="21"/>
                <w:szCs w:val="21"/>
              </w:rPr>
              <w:t>评标基准价：当投标报价多于5个（含5个）时，从所有报价中的同一报价内容，去掉一个最高和最低报价后，剩余报价的算术平均值为评标基准价。</w:t>
            </w:r>
          </w:p>
          <w:p>
            <w:pPr>
              <w:spacing w:line="440" w:lineRule="exact"/>
              <w:ind w:firstLine="0" w:firstLineChars="0"/>
              <w:jc w:val="left"/>
              <w:rPr>
                <w:rFonts w:hint="eastAsia" w:ascii="宋体" w:hAnsi="宋体"/>
                <w:sz w:val="21"/>
                <w:szCs w:val="21"/>
              </w:rPr>
            </w:pPr>
            <w:r>
              <w:rPr>
                <w:rFonts w:hint="eastAsia" w:ascii="宋体" w:hAnsi="宋体"/>
                <w:sz w:val="21"/>
                <w:szCs w:val="21"/>
              </w:rPr>
              <w:t>投标报价少于5个时，所有报价均参加算术平均值的计算。</w:t>
            </w:r>
          </w:p>
          <w:p>
            <w:pPr>
              <w:spacing w:line="440" w:lineRule="exact"/>
              <w:ind w:firstLine="0" w:firstLineChars="0"/>
              <w:jc w:val="left"/>
              <w:rPr>
                <w:rFonts w:hint="eastAsia" w:ascii="宋体" w:hAnsi="宋体"/>
                <w:sz w:val="21"/>
                <w:szCs w:val="21"/>
              </w:rPr>
            </w:pPr>
            <w:r>
              <w:rPr>
                <w:rFonts w:hint="eastAsia" w:ascii="宋体" w:hAnsi="宋体"/>
                <w:sz w:val="21"/>
                <w:szCs w:val="21"/>
              </w:rPr>
              <w:t>投标报价的差值：差值=投标人的同一报价内容-评标基准价。</w:t>
            </w:r>
          </w:p>
          <w:p>
            <w:pPr>
              <w:spacing w:line="440" w:lineRule="exact"/>
              <w:ind w:firstLine="0" w:firstLineChars="0"/>
              <w:jc w:val="left"/>
              <w:rPr>
                <w:rFonts w:hint="eastAsia" w:ascii="宋体" w:hAnsi="宋体"/>
                <w:sz w:val="21"/>
                <w:szCs w:val="21"/>
              </w:rPr>
            </w:pPr>
            <w:r>
              <w:rPr>
                <w:rFonts w:hint="eastAsia" w:ascii="宋体" w:hAnsi="宋体"/>
                <w:sz w:val="21"/>
                <w:szCs w:val="21"/>
              </w:rPr>
              <w:t>计分方法如下：有效投标报价与评标基准价相同的得（满分30分），每高出评标基准价1%，从30分的基础上减0.5分，直至减完为止； 每低于评标基准价1%，从30分的基础上减0.3分，直至减完为止。</w:t>
            </w:r>
          </w:p>
          <w:p>
            <w:pPr>
              <w:spacing w:line="440" w:lineRule="exact"/>
              <w:ind w:firstLine="0" w:firstLineChars="0"/>
              <w:jc w:val="left"/>
              <w:rPr>
                <w:rFonts w:hint="eastAsia" w:ascii="宋体" w:hAnsi="宋体"/>
                <w:sz w:val="24"/>
              </w:rPr>
            </w:pPr>
            <w:r>
              <w:rPr>
                <w:rFonts w:hint="eastAsia" w:ascii="宋体" w:hAnsi="宋体"/>
                <w:sz w:val="21"/>
                <w:szCs w:val="21"/>
              </w:rPr>
              <w:t>注：根据《政府采购促进中小企业发展暂行办法》、《关于促进残疾人就业政府采购政策的通知》的相关规定，对残疾人福利性单位、小型和微型企业制造（生产）产品的价格给予6%的扣除，用扣除后的价格参与评标。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1218" w:type="dxa"/>
            <w:vMerge w:val="restart"/>
            <w:tcBorders>
              <w:top w:val="single" w:color="auto" w:sz="4" w:space="0"/>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 xml:space="preserve">                  </w:t>
            </w:r>
          </w:p>
          <w:p>
            <w:pPr>
              <w:spacing w:line="440" w:lineRule="exact"/>
              <w:ind w:firstLine="0" w:firstLineChars="0"/>
              <w:jc w:val="center"/>
              <w:rPr>
                <w:rFonts w:hint="eastAsia" w:ascii="宋体" w:hAnsi="宋体"/>
                <w:sz w:val="24"/>
              </w:rPr>
            </w:pPr>
            <w:r>
              <w:rPr>
                <w:rFonts w:hint="eastAsia" w:ascii="宋体" w:hAnsi="宋体"/>
                <w:sz w:val="24"/>
                <w:lang w:eastAsia="zh-CN"/>
              </w:rPr>
              <w:t>资信、</w:t>
            </w:r>
            <w:r>
              <w:rPr>
                <w:rFonts w:hint="eastAsia" w:ascii="宋体" w:hAnsi="宋体"/>
                <w:sz w:val="24"/>
              </w:rPr>
              <w:t>业绩、人员及设备30分</w:t>
            </w:r>
          </w:p>
        </w:tc>
        <w:tc>
          <w:tcPr>
            <w:tcW w:w="1250" w:type="dxa"/>
            <w:tcBorders>
              <w:top w:val="single" w:color="auto" w:sz="4" w:space="0"/>
              <w:left w:val="single" w:color="auto" w:sz="4" w:space="0"/>
              <w:right w:val="single" w:color="auto" w:sz="4" w:space="0"/>
            </w:tcBorders>
            <w:noWrap w:val="0"/>
            <w:vAlign w:val="center"/>
          </w:tcPr>
          <w:p>
            <w:pPr>
              <w:spacing w:line="440" w:lineRule="exact"/>
              <w:ind w:firstLine="0" w:firstLineChars="0"/>
              <w:jc w:val="center"/>
              <w:rPr>
                <w:rFonts w:ascii="宋体" w:hAnsi="宋体"/>
                <w:sz w:val="24"/>
              </w:rPr>
            </w:pPr>
            <w:r>
              <w:rPr>
                <w:rFonts w:hint="eastAsia" w:ascii="宋体" w:hAnsi="宋体"/>
                <w:sz w:val="24"/>
              </w:rPr>
              <w:t>类似项目业绩</w:t>
            </w:r>
          </w:p>
        </w:tc>
        <w:tc>
          <w:tcPr>
            <w:tcW w:w="717" w:type="dxa"/>
            <w:tcBorders>
              <w:top w:val="single" w:color="auto" w:sz="4" w:space="0"/>
              <w:left w:val="single" w:color="auto" w:sz="4" w:space="0"/>
              <w:right w:val="single" w:color="auto" w:sz="4" w:space="0"/>
            </w:tcBorders>
            <w:noWrap w:val="0"/>
            <w:vAlign w:val="center"/>
          </w:tcPr>
          <w:p>
            <w:pPr>
              <w:spacing w:line="440" w:lineRule="exact"/>
              <w:ind w:firstLine="120" w:firstLineChars="50"/>
              <w:jc w:val="center"/>
              <w:rPr>
                <w:rFonts w:hint="default" w:ascii="宋体" w:hAnsi="宋体" w:eastAsia="宋体"/>
                <w:sz w:val="24"/>
                <w:lang w:val="en-US" w:eastAsia="zh-CN"/>
              </w:rPr>
            </w:pPr>
            <w:r>
              <w:rPr>
                <w:rFonts w:hint="eastAsia" w:ascii="宋体" w:hAnsi="宋体"/>
                <w:sz w:val="24"/>
                <w:lang w:val="en-US" w:eastAsia="zh-CN"/>
              </w:rPr>
              <w:t>10</w:t>
            </w:r>
          </w:p>
        </w:tc>
        <w:tc>
          <w:tcPr>
            <w:tcW w:w="6007" w:type="dxa"/>
            <w:tcBorders>
              <w:top w:val="single" w:color="auto" w:sz="4" w:space="0"/>
              <w:left w:val="single" w:color="auto" w:sz="4" w:space="0"/>
              <w:right w:val="single" w:color="auto" w:sz="4" w:space="0"/>
            </w:tcBorders>
            <w:noWrap w:val="0"/>
            <w:vAlign w:val="center"/>
          </w:tcPr>
          <w:p>
            <w:pPr>
              <w:spacing w:line="440" w:lineRule="exact"/>
              <w:ind w:firstLine="0" w:firstLineChars="0"/>
              <w:jc w:val="left"/>
              <w:rPr>
                <w:rFonts w:ascii="宋体" w:hAnsi="宋体"/>
                <w:sz w:val="24"/>
              </w:rPr>
            </w:pPr>
            <w:r>
              <w:rPr>
                <w:rFonts w:hint="eastAsia" w:ascii="宋体" w:hAnsi="宋体"/>
                <w:color w:val="FF0000"/>
                <w:sz w:val="24"/>
                <w:lang w:val="en-US" w:eastAsia="zh-CN"/>
              </w:rPr>
              <w:t>2017</w:t>
            </w:r>
            <w:r>
              <w:rPr>
                <w:rFonts w:hint="eastAsia" w:ascii="宋体" w:hAnsi="宋体"/>
                <w:color w:val="FF0000"/>
                <w:sz w:val="24"/>
              </w:rPr>
              <w:t>年</w:t>
            </w:r>
            <w:r>
              <w:rPr>
                <w:rFonts w:hint="eastAsia" w:ascii="宋体" w:hAnsi="宋体"/>
                <w:color w:val="FF0000"/>
                <w:sz w:val="24"/>
                <w:lang w:val="en-US" w:eastAsia="zh-CN"/>
              </w:rPr>
              <w:t>1</w:t>
            </w:r>
            <w:r>
              <w:rPr>
                <w:rFonts w:hint="eastAsia" w:ascii="宋体" w:hAnsi="宋体"/>
                <w:color w:val="FF0000"/>
                <w:sz w:val="24"/>
              </w:rPr>
              <w:t>月1日至今承担过类似</w:t>
            </w:r>
            <w:r>
              <w:rPr>
                <w:rFonts w:hint="eastAsia" w:ascii="宋体" w:hAnsi="宋体"/>
                <w:color w:val="FF0000"/>
                <w:sz w:val="24"/>
                <w:lang w:val="en-US" w:eastAsia="zh-CN"/>
              </w:rPr>
              <w:t>水利</w:t>
            </w:r>
            <w:r>
              <w:rPr>
                <w:rFonts w:hint="eastAsia" w:ascii="宋体" w:hAnsi="宋体"/>
                <w:color w:val="FF0000"/>
                <w:sz w:val="24"/>
              </w:rPr>
              <w:t>工程勘察项目，每</w:t>
            </w:r>
            <w:r>
              <w:rPr>
                <w:rFonts w:hint="eastAsia" w:ascii="宋体" w:hAnsi="宋体"/>
                <w:color w:val="FF0000"/>
                <w:sz w:val="24"/>
                <w:lang w:eastAsia="zh-CN"/>
              </w:rPr>
              <w:t>有</w:t>
            </w:r>
            <w:r>
              <w:rPr>
                <w:rFonts w:hint="eastAsia" w:ascii="宋体" w:hAnsi="宋体"/>
                <w:color w:val="FF0000"/>
                <w:sz w:val="24"/>
              </w:rPr>
              <w:t>一个项目得2.5分，最高得</w:t>
            </w:r>
            <w:r>
              <w:rPr>
                <w:rFonts w:hint="eastAsia" w:ascii="宋体" w:hAnsi="宋体"/>
                <w:color w:val="FF0000"/>
                <w:sz w:val="24"/>
                <w:lang w:val="en-US" w:eastAsia="zh-CN"/>
              </w:rPr>
              <w:t>10</w:t>
            </w:r>
            <w:r>
              <w:rPr>
                <w:rFonts w:hint="eastAsia" w:ascii="宋体" w:hAnsi="宋体"/>
                <w:color w:val="FF0000"/>
                <w:sz w:val="24"/>
              </w:rPr>
              <w:t>分。</w:t>
            </w:r>
            <w:r>
              <w:rPr>
                <w:rFonts w:hint="eastAsia" w:ascii="宋体" w:hAnsi="宋体"/>
                <w:color w:val="FF0000"/>
                <w:sz w:val="24"/>
                <w:lang w:eastAsia="zh-CN"/>
              </w:rPr>
              <w:t>（</w:t>
            </w:r>
            <w:r>
              <w:rPr>
                <w:rFonts w:hint="eastAsia" w:ascii="宋体" w:hAnsi="宋体"/>
                <w:color w:val="FF0000"/>
                <w:sz w:val="24"/>
              </w:rPr>
              <w:t>业绩须附中标通知书或合同复印件。</w:t>
            </w:r>
            <w:r>
              <w:rPr>
                <w:rFonts w:hint="eastAsia" w:ascii="宋体" w:hAnsi="宋体"/>
                <w:color w:val="FF000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lang w:eastAsia="zh-CN"/>
              </w:rPr>
            </w:pPr>
          </w:p>
        </w:tc>
        <w:tc>
          <w:tcPr>
            <w:tcW w:w="1250" w:type="dxa"/>
            <w:tcBorders>
              <w:top w:val="single" w:color="auto" w:sz="4" w:space="0"/>
              <w:left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sz w:val="24"/>
                <w:lang w:eastAsia="zh-CN"/>
              </w:rPr>
            </w:pPr>
            <w:r>
              <w:rPr>
                <w:rFonts w:hint="eastAsia" w:ascii="宋体" w:hAnsi="宋体"/>
                <w:sz w:val="24"/>
                <w:lang w:eastAsia="zh-CN"/>
              </w:rPr>
              <w:t>资信</w:t>
            </w:r>
          </w:p>
        </w:tc>
        <w:tc>
          <w:tcPr>
            <w:tcW w:w="717" w:type="dxa"/>
            <w:tcBorders>
              <w:top w:val="single" w:color="auto" w:sz="4" w:space="0"/>
              <w:left w:val="single" w:color="auto" w:sz="4" w:space="0"/>
              <w:right w:val="single" w:color="auto" w:sz="4" w:space="0"/>
            </w:tcBorders>
            <w:noWrap w:val="0"/>
            <w:vAlign w:val="center"/>
          </w:tcPr>
          <w:p>
            <w:pPr>
              <w:spacing w:line="440" w:lineRule="exact"/>
              <w:ind w:firstLine="120" w:firstLineChars="50"/>
              <w:jc w:val="center"/>
              <w:rPr>
                <w:rFonts w:hint="eastAsia" w:ascii="宋体" w:hAnsi="宋体" w:eastAsia="宋体"/>
                <w:sz w:val="24"/>
                <w:lang w:val="en-US" w:eastAsia="zh-CN"/>
              </w:rPr>
            </w:pPr>
            <w:r>
              <w:rPr>
                <w:rFonts w:hint="eastAsia" w:ascii="宋体" w:hAnsi="宋体"/>
                <w:sz w:val="24"/>
                <w:lang w:val="en-US" w:eastAsia="zh-CN"/>
              </w:rPr>
              <w:t>3</w:t>
            </w:r>
          </w:p>
        </w:tc>
        <w:tc>
          <w:tcPr>
            <w:tcW w:w="6007" w:type="dxa"/>
            <w:tcBorders>
              <w:top w:val="single" w:color="auto" w:sz="4" w:space="0"/>
              <w:left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lang w:val="en-US" w:eastAsia="zh-CN"/>
              </w:rPr>
              <w:t>投标人通过ISO9001质量管理体系认证的得1分，投标人通过ISO14001环境管理系统认证得1分，投标人通过</w:t>
            </w:r>
          </w:p>
          <w:p>
            <w:pPr>
              <w:spacing w:line="440" w:lineRule="exact"/>
              <w:ind w:firstLine="0" w:firstLineChars="0"/>
              <w:jc w:val="left"/>
              <w:rPr>
                <w:rFonts w:hint="eastAsia" w:ascii="宋体" w:hAnsi="宋体"/>
                <w:sz w:val="24"/>
                <w:lang w:val="en-US" w:eastAsia="zh-CN"/>
              </w:rPr>
            </w:pPr>
            <w:r>
              <w:rPr>
                <w:rFonts w:hint="eastAsia" w:ascii="宋体" w:hAnsi="宋体"/>
                <w:sz w:val="24"/>
                <w:lang w:val="en-US" w:eastAsia="zh-CN"/>
              </w:rPr>
              <w:t>QHSAS18001职业安全卫生管理体系认证的得1分。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lang w:eastAsia="zh-CN"/>
              </w:rPr>
            </w:pPr>
          </w:p>
        </w:tc>
        <w:tc>
          <w:tcPr>
            <w:tcW w:w="1250" w:type="dxa"/>
            <w:tcBorders>
              <w:top w:val="single" w:color="auto" w:sz="4" w:space="0"/>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lang w:eastAsia="zh-CN"/>
              </w:rPr>
            </w:pPr>
            <w:r>
              <w:rPr>
                <w:rFonts w:hint="eastAsia" w:ascii="宋体" w:hAnsi="宋体"/>
                <w:sz w:val="24"/>
                <w:lang w:val="en-US" w:eastAsia="zh-CN"/>
              </w:rPr>
              <w:t>项目负责人技术职称</w:t>
            </w:r>
          </w:p>
        </w:tc>
        <w:tc>
          <w:tcPr>
            <w:tcW w:w="717" w:type="dxa"/>
            <w:tcBorders>
              <w:top w:val="single" w:color="auto" w:sz="4" w:space="0"/>
              <w:left w:val="single" w:color="auto" w:sz="4" w:space="0"/>
              <w:right w:val="single" w:color="auto" w:sz="4" w:space="0"/>
            </w:tcBorders>
            <w:noWrap w:val="0"/>
            <w:vAlign w:val="center"/>
          </w:tcPr>
          <w:p>
            <w:pPr>
              <w:spacing w:line="440" w:lineRule="exact"/>
              <w:ind w:firstLine="120" w:firstLineChars="50"/>
              <w:jc w:val="center"/>
              <w:rPr>
                <w:rFonts w:hint="default" w:ascii="宋体" w:hAnsi="宋体"/>
                <w:sz w:val="24"/>
                <w:lang w:val="en-US" w:eastAsia="zh-CN"/>
              </w:rPr>
            </w:pPr>
            <w:r>
              <w:rPr>
                <w:rFonts w:hint="eastAsia" w:ascii="宋体" w:hAnsi="宋体"/>
                <w:sz w:val="24"/>
                <w:lang w:val="en-US" w:eastAsia="zh-CN"/>
              </w:rPr>
              <w:t>3</w:t>
            </w:r>
          </w:p>
        </w:tc>
        <w:tc>
          <w:tcPr>
            <w:tcW w:w="6007" w:type="dxa"/>
            <w:tcBorders>
              <w:top w:val="single" w:color="auto" w:sz="4" w:space="0"/>
              <w:left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lang w:val="en-US" w:eastAsia="zh-CN"/>
              </w:rPr>
            </w:pPr>
            <w:r>
              <w:rPr>
                <w:rFonts w:hint="eastAsia" w:ascii="宋体" w:hAnsi="宋体"/>
                <w:sz w:val="24"/>
                <w:lang w:val="en-US" w:eastAsia="zh-CN"/>
              </w:rPr>
              <w:t>满足招标条件（高级工程师）得2分，高于招标条件（同时具有高级工程师和注册岩土程师）得3分。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lang w:eastAsia="zh-CN"/>
              </w:rPr>
            </w:pPr>
          </w:p>
        </w:tc>
        <w:tc>
          <w:tcPr>
            <w:tcW w:w="1250" w:type="dxa"/>
            <w:tcBorders>
              <w:top w:val="single" w:color="auto" w:sz="4" w:space="0"/>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lang w:val="en-US" w:eastAsia="zh-CN"/>
              </w:rPr>
            </w:pPr>
            <w:r>
              <w:rPr>
                <w:rFonts w:hint="eastAsia" w:ascii="宋体" w:hAnsi="宋体"/>
                <w:sz w:val="24"/>
                <w:lang w:val="en-US" w:eastAsia="zh-CN"/>
              </w:rPr>
              <w:t>项目负责人类似项目业绩</w:t>
            </w:r>
          </w:p>
        </w:tc>
        <w:tc>
          <w:tcPr>
            <w:tcW w:w="717" w:type="dxa"/>
            <w:tcBorders>
              <w:top w:val="single" w:color="auto" w:sz="4" w:space="0"/>
              <w:left w:val="single" w:color="auto" w:sz="4" w:space="0"/>
              <w:right w:val="single" w:color="auto" w:sz="4" w:space="0"/>
            </w:tcBorders>
            <w:noWrap w:val="0"/>
            <w:vAlign w:val="center"/>
          </w:tcPr>
          <w:p>
            <w:pPr>
              <w:spacing w:line="440" w:lineRule="exact"/>
              <w:ind w:firstLine="120" w:firstLineChars="50"/>
              <w:jc w:val="center"/>
              <w:rPr>
                <w:rFonts w:hint="default" w:ascii="宋体" w:hAnsi="宋体"/>
                <w:sz w:val="24"/>
                <w:lang w:val="en-US" w:eastAsia="zh-CN"/>
              </w:rPr>
            </w:pPr>
            <w:r>
              <w:rPr>
                <w:rFonts w:hint="eastAsia" w:ascii="宋体" w:hAnsi="宋体"/>
                <w:sz w:val="24"/>
                <w:lang w:val="en-US" w:eastAsia="zh-CN"/>
              </w:rPr>
              <w:t>5</w:t>
            </w:r>
          </w:p>
        </w:tc>
        <w:tc>
          <w:tcPr>
            <w:tcW w:w="600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rPr>
                <w:rFonts w:hint="eastAsia" w:ascii="宋体" w:hAnsi="宋体"/>
                <w:sz w:val="24"/>
                <w:lang w:val="en-US" w:eastAsia="zh-CN"/>
              </w:rPr>
            </w:pPr>
            <w:r>
              <w:rPr>
                <w:rFonts w:hint="eastAsia" w:ascii="宋体" w:hAnsi="宋体"/>
                <w:sz w:val="24"/>
                <w:lang w:val="en-US" w:eastAsia="zh-CN"/>
              </w:rPr>
              <w:t>近3年承担一项类似项目得1分，最高得5分（以中标通知书或合同为准，</w:t>
            </w:r>
            <w:r>
              <w:rPr>
                <w:rFonts w:hint="eastAsia" w:ascii="宋体" w:hAnsi="宋体"/>
                <w:sz w:val="24"/>
              </w:rPr>
              <w:t>不与企业类似业绩重复加分</w:t>
            </w:r>
            <w:r>
              <w:rPr>
                <w:rFonts w:hint="eastAsia" w:ascii="宋体" w:hAnsi="宋体"/>
                <w:sz w:val="24"/>
                <w:lang w:eastAsia="zh-CN"/>
              </w:rPr>
              <w:t>。</w:t>
            </w:r>
            <w:r>
              <w:rPr>
                <w:rFonts w:hint="eastAsia" w:ascii="宋体"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项目勘察机构人员素质</w:t>
            </w:r>
          </w:p>
        </w:tc>
        <w:tc>
          <w:tcPr>
            <w:tcW w:w="717" w:type="dxa"/>
            <w:tcBorders>
              <w:top w:val="single" w:color="auto" w:sz="4" w:space="0"/>
              <w:left w:val="single" w:color="auto" w:sz="4" w:space="0"/>
              <w:right w:val="single" w:color="auto" w:sz="4" w:space="0"/>
            </w:tcBorders>
            <w:noWrap w:val="0"/>
            <w:vAlign w:val="center"/>
          </w:tcPr>
          <w:p>
            <w:pPr>
              <w:spacing w:line="440" w:lineRule="exact"/>
              <w:ind w:firstLine="120" w:firstLineChars="50"/>
              <w:jc w:val="center"/>
              <w:rPr>
                <w:rFonts w:hint="eastAsia" w:ascii="宋体" w:hAnsi="宋体" w:eastAsia="宋体"/>
                <w:sz w:val="24"/>
                <w:lang w:eastAsia="zh-CN"/>
              </w:rPr>
            </w:pPr>
            <w:r>
              <w:rPr>
                <w:rFonts w:hint="eastAsia" w:ascii="宋体" w:hAnsi="宋体"/>
                <w:sz w:val="24"/>
                <w:lang w:val="en-US" w:eastAsia="zh-CN"/>
              </w:rPr>
              <w:t>5</w:t>
            </w:r>
          </w:p>
        </w:tc>
        <w:tc>
          <w:tcPr>
            <w:tcW w:w="6007" w:type="dxa"/>
            <w:tcBorders>
              <w:top w:val="single" w:color="auto" w:sz="4" w:space="0"/>
              <w:left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针对本项目的实际情况，结合建设工程的项目特点，专业勘察</w:t>
            </w:r>
            <w:r>
              <w:rPr>
                <w:rFonts w:hint="eastAsia" w:ascii="宋体" w:hAnsi="宋体"/>
                <w:sz w:val="24"/>
                <w:lang w:val="en-US" w:eastAsia="zh-CN"/>
              </w:rPr>
              <w:t>技术人员</w:t>
            </w:r>
            <w:r>
              <w:rPr>
                <w:rFonts w:hint="eastAsia" w:ascii="宋体" w:hAnsi="宋体"/>
                <w:sz w:val="24"/>
              </w:rPr>
              <w:t>配置齐全，提供</w:t>
            </w:r>
            <w:r>
              <w:rPr>
                <w:rFonts w:hint="eastAsia" w:ascii="宋体" w:hAnsi="宋体"/>
                <w:sz w:val="24"/>
                <w:lang w:val="en-US" w:eastAsia="zh-CN"/>
              </w:rPr>
              <w:t>3-4</w:t>
            </w:r>
            <w:r>
              <w:rPr>
                <w:rFonts w:hint="eastAsia" w:ascii="宋体" w:hAnsi="宋体"/>
                <w:sz w:val="24"/>
              </w:rPr>
              <w:t>个及以上高级工程师且配备人员较为</w:t>
            </w:r>
            <w:r>
              <w:rPr>
                <w:rFonts w:hint="eastAsia" w:ascii="宋体" w:hAnsi="宋体"/>
                <w:sz w:val="24"/>
                <w:lang w:val="en-US" w:eastAsia="zh-CN"/>
              </w:rPr>
              <w:t>合理</w:t>
            </w:r>
            <w:r>
              <w:rPr>
                <w:rFonts w:hint="eastAsia" w:ascii="宋体" w:hAnsi="宋体"/>
                <w:sz w:val="24"/>
              </w:rPr>
              <w:t>者得4-5分，提供</w:t>
            </w:r>
            <w:r>
              <w:rPr>
                <w:rFonts w:hint="eastAsia" w:ascii="宋体" w:hAnsi="宋体"/>
                <w:sz w:val="24"/>
                <w:lang w:val="en-US" w:eastAsia="zh-CN"/>
              </w:rPr>
              <w:t>1-2</w:t>
            </w:r>
            <w:r>
              <w:rPr>
                <w:rFonts w:hint="eastAsia" w:ascii="宋体" w:hAnsi="宋体"/>
                <w:sz w:val="24"/>
              </w:rPr>
              <w:t>个高级工程师且配备人员较为</w:t>
            </w:r>
            <w:r>
              <w:rPr>
                <w:rFonts w:hint="eastAsia" w:ascii="宋体" w:hAnsi="宋体"/>
                <w:sz w:val="24"/>
                <w:lang w:val="en-US" w:eastAsia="zh-CN"/>
              </w:rPr>
              <w:t>合理</w:t>
            </w:r>
            <w:r>
              <w:rPr>
                <w:rFonts w:hint="eastAsia" w:ascii="宋体" w:hAnsi="宋体"/>
                <w:sz w:val="24"/>
              </w:rPr>
              <w:t>者得1-3分。差或不提供的不得分。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continue"/>
            <w:tcBorders>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拟投入勘察仪器设备</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sz w:val="24"/>
                <w:lang w:eastAsia="zh-CN"/>
              </w:rPr>
            </w:pPr>
            <w:r>
              <w:rPr>
                <w:rFonts w:hint="eastAsia" w:ascii="宋体" w:hAnsi="宋体"/>
                <w:sz w:val="24"/>
                <w:lang w:val="en-US" w:eastAsia="zh-CN"/>
              </w:rPr>
              <w:t>4</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设备齐全，完全满足工程</w:t>
            </w:r>
            <w:r>
              <w:rPr>
                <w:rFonts w:hint="eastAsia" w:ascii="宋体" w:hAnsi="宋体"/>
                <w:sz w:val="24"/>
                <w:lang w:val="en-US" w:eastAsia="zh-CN"/>
              </w:rPr>
              <w:t>勘察</w:t>
            </w:r>
            <w:r>
              <w:rPr>
                <w:rFonts w:hint="eastAsia" w:ascii="宋体" w:hAnsi="宋体"/>
                <w:sz w:val="24"/>
              </w:rPr>
              <w:t>要求、设备状况良好的得</w:t>
            </w:r>
            <w:r>
              <w:rPr>
                <w:rFonts w:hint="eastAsia" w:ascii="宋体" w:hAnsi="宋体"/>
                <w:sz w:val="24"/>
                <w:lang w:val="en-US" w:eastAsia="zh-CN"/>
              </w:rPr>
              <w:t>4-3</w:t>
            </w:r>
            <w:r>
              <w:rPr>
                <w:rFonts w:hint="eastAsia" w:ascii="宋体" w:hAnsi="宋体"/>
                <w:sz w:val="24"/>
              </w:rPr>
              <w:t>分；设备的配置基本满足工程要求的得</w:t>
            </w:r>
            <w:r>
              <w:rPr>
                <w:rFonts w:hint="eastAsia" w:ascii="宋体" w:hAnsi="宋体"/>
                <w:sz w:val="24"/>
                <w:lang w:val="en-US" w:eastAsia="zh-CN"/>
              </w:rPr>
              <w:t>2-1</w:t>
            </w:r>
            <w:r>
              <w:rPr>
                <w:rFonts w:hint="eastAsia" w:ascii="宋体" w:hAnsi="宋体"/>
                <w:sz w:val="24"/>
              </w:rPr>
              <w:t>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restart"/>
            <w:tcBorders>
              <w:top w:val="single" w:color="auto" w:sz="4" w:space="0"/>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勘察纲要50分</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勘察范围、勘察内容</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ascii="宋体" w:hAnsi="宋体"/>
                <w:sz w:val="24"/>
              </w:rPr>
              <w:t>2</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勘察纲要描述勘察的目的和任务满足磋商文件规定要求的最高得2分，一般的得1分，差或不提供的不得分。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勘察依据、勘察工作目标</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ascii="宋体" w:hAnsi="宋体"/>
                <w:sz w:val="24"/>
              </w:rPr>
              <w:t>3</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勘察依据准确度高、勘察工作目标明确，能够按照磋商文件要求进行布设，并满足相关规范要求的最高得3分，一般的得</w:t>
            </w:r>
            <w:r>
              <w:rPr>
                <w:rFonts w:hint="eastAsia" w:ascii="宋体" w:hAnsi="宋体"/>
                <w:sz w:val="24"/>
                <w:lang w:val="en-US" w:eastAsia="zh-CN"/>
              </w:rPr>
              <w:t>2-1</w:t>
            </w:r>
            <w:r>
              <w:rPr>
                <w:rFonts w:hint="eastAsia" w:ascii="宋体" w:hAnsi="宋体"/>
                <w:sz w:val="24"/>
              </w:rPr>
              <w:t>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勘察机构设置和岗位职责分配</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ascii="宋体" w:hAnsi="宋体"/>
                <w:sz w:val="24"/>
              </w:rPr>
              <w:t>5</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1、对现场勘察包括调查测绘、钻探、取样、原位测试、工程物探等工作组织实施人员分配合理的最高得2分，一般的得1分，差或不提供的不得分。</w:t>
            </w:r>
          </w:p>
          <w:p>
            <w:pPr>
              <w:spacing w:line="440" w:lineRule="exact"/>
              <w:ind w:firstLine="0" w:firstLineChars="0"/>
              <w:jc w:val="left"/>
              <w:rPr>
                <w:rFonts w:hint="eastAsia" w:ascii="宋体" w:hAnsi="宋体"/>
                <w:sz w:val="24"/>
              </w:rPr>
            </w:pPr>
            <w:r>
              <w:rPr>
                <w:rFonts w:hint="eastAsia" w:ascii="宋体" w:hAnsi="宋体"/>
                <w:sz w:val="24"/>
              </w:rPr>
              <w:t>2、对室内试验工作组织实施人员分配合理最高得2分，一般的得1分，差或不提供的不得分。</w:t>
            </w:r>
          </w:p>
          <w:p>
            <w:pPr>
              <w:spacing w:line="440" w:lineRule="exact"/>
              <w:ind w:firstLine="0" w:firstLineChars="0"/>
              <w:jc w:val="left"/>
              <w:rPr>
                <w:rFonts w:hint="eastAsia" w:ascii="宋体" w:hAnsi="宋体"/>
                <w:sz w:val="24"/>
              </w:rPr>
            </w:pPr>
            <w:r>
              <w:rPr>
                <w:rFonts w:hint="eastAsia" w:ascii="宋体" w:hAnsi="宋体"/>
                <w:sz w:val="24"/>
              </w:rPr>
              <w:t>3、内业资料整理、综合分析和报告编制工作组织实施人员合理分配的最高得1分。差或不提供的不得分。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lang w:val="en-US" w:eastAsia="zh-CN"/>
              </w:rPr>
              <w:t>勘察设计思路</w:t>
            </w:r>
          </w:p>
          <w:p>
            <w:pPr>
              <w:spacing w:line="440" w:lineRule="exact"/>
              <w:ind w:firstLine="0" w:firstLineChars="0"/>
              <w:jc w:val="center"/>
              <w:rPr>
                <w:rFonts w:hint="eastAsia"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ascii="宋体" w:hAnsi="宋体"/>
                <w:sz w:val="24"/>
              </w:rPr>
            </w:pPr>
            <w:r>
              <w:rPr>
                <w:rFonts w:hint="eastAsia" w:ascii="宋体" w:hAnsi="宋体"/>
                <w:sz w:val="24"/>
                <w:lang w:val="en-US" w:eastAsia="zh-CN"/>
              </w:rPr>
              <w:t>4</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sz w:val="24"/>
              </w:rPr>
            </w:pPr>
            <w:r>
              <w:rPr>
                <w:rFonts w:hint="eastAsia" w:ascii="宋体" w:hAnsi="宋体"/>
                <w:sz w:val="24"/>
                <w:lang w:val="en-US" w:eastAsia="zh-CN"/>
              </w:rPr>
              <w:t>勘察设计思路清楚可行，优得4分，良好得3分，一般得2分，差或不提供的不得分。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勘察方案</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ascii="宋体" w:hAnsi="宋体"/>
                <w:sz w:val="24"/>
              </w:rPr>
              <w:t>10</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勘察钻孔的平面布置合理</w:t>
            </w:r>
            <w:r>
              <w:rPr>
                <w:rFonts w:hint="eastAsia" w:ascii="宋体" w:hAnsi="宋体"/>
                <w:sz w:val="24"/>
                <w:lang w:eastAsia="zh-CN"/>
              </w:rPr>
              <w:t>，钻</w:t>
            </w:r>
            <w:r>
              <w:rPr>
                <w:rFonts w:hint="eastAsia" w:ascii="宋体" w:hAnsi="宋体"/>
                <w:sz w:val="24"/>
              </w:rPr>
              <w:t>孔位置、方法数量、深度科学的，</w:t>
            </w:r>
            <w:r>
              <w:rPr>
                <w:rFonts w:hint="eastAsia" w:ascii="宋体" w:hAnsi="宋体"/>
                <w:sz w:val="24"/>
                <w:lang w:val="en-US" w:eastAsia="zh-CN"/>
              </w:rPr>
              <w:t>优</w:t>
            </w:r>
            <w:r>
              <w:rPr>
                <w:rFonts w:hint="eastAsia" w:ascii="宋体" w:hAnsi="宋体"/>
                <w:sz w:val="24"/>
              </w:rPr>
              <w:t>得10-7分，</w:t>
            </w:r>
            <w:r>
              <w:rPr>
                <w:rFonts w:hint="eastAsia" w:ascii="宋体" w:hAnsi="宋体"/>
                <w:sz w:val="24"/>
                <w:lang w:val="en-US" w:eastAsia="zh-CN"/>
              </w:rPr>
              <w:t>良好</w:t>
            </w:r>
            <w:r>
              <w:rPr>
                <w:rFonts w:hint="eastAsia" w:ascii="宋体" w:hAnsi="宋体"/>
                <w:sz w:val="24"/>
              </w:rPr>
              <w:t>得6-3分，一般得2-1分，差或不提供的不得分。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质量、进度、保密等保证措施</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sz w:val="24"/>
                <w:lang w:eastAsia="zh-CN"/>
              </w:rPr>
            </w:pPr>
            <w:r>
              <w:rPr>
                <w:rFonts w:hint="eastAsia" w:ascii="宋体" w:hAnsi="宋体"/>
                <w:sz w:val="24"/>
                <w:lang w:val="en-US" w:eastAsia="zh-CN"/>
              </w:rPr>
              <w:t>4</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sz w:val="24"/>
              </w:rPr>
            </w:pPr>
            <w:r>
              <w:rPr>
                <w:rFonts w:hint="eastAsia" w:ascii="宋体" w:hAnsi="宋体"/>
                <w:sz w:val="24"/>
              </w:rPr>
              <w:t>1、</w:t>
            </w:r>
            <w:r>
              <w:rPr>
                <w:rFonts w:hint="eastAsia" w:ascii="宋体" w:hAnsi="宋体"/>
                <w:sz w:val="24"/>
                <w:lang w:val="en-US" w:eastAsia="zh-CN"/>
              </w:rPr>
              <w:t>质量保证措施</w:t>
            </w:r>
            <w:r>
              <w:rPr>
                <w:rFonts w:hint="eastAsia" w:ascii="宋体" w:hAnsi="宋体"/>
                <w:sz w:val="24"/>
              </w:rPr>
              <w:t>得</w:t>
            </w:r>
            <w:r>
              <w:rPr>
                <w:rFonts w:hint="eastAsia" w:ascii="宋体" w:hAnsi="宋体"/>
                <w:sz w:val="24"/>
                <w:lang w:val="en-US" w:eastAsia="zh-CN"/>
              </w:rPr>
              <w:t>1</w:t>
            </w:r>
            <w:r>
              <w:rPr>
                <w:rFonts w:hint="eastAsia" w:ascii="宋体" w:hAnsi="宋体"/>
                <w:sz w:val="24"/>
              </w:rPr>
              <w:t>分，差或不提供的不得分；</w:t>
            </w:r>
          </w:p>
          <w:p>
            <w:pPr>
              <w:keepNext w:val="0"/>
              <w:keepLines w:val="0"/>
              <w:widowControl/>
              <w:suppressLineNumbers w:val="0"/>
              <w:jc w:val="left"/>
              <w:rPr>
                <w:rFonts w:hint="eastAsia" w:ascii="宋体" w:hAnsi="宋体"/>
                <w:sz w:val="24"/>
                <w:lang w:val="en-US" w:eastAsia="zh-CN"/>
              </w:rPr>
            </w:pPr>
            <w:r>
              <w:rPr>
                <w:rFonts w:hint="eastAsia" w:ascii="宋体" w:hAnsi="宋体"/>
                <w:sz w:val="24"/>
              </w:rPr>
              <w:t>2、</w:t>
            </w:r>
            <w:r>
              <w:rPr>
                <w:rFonts w:hint="eastAsia" w:ascii="宋体" w:hAnsi="宋体"/>
                <w:sz w:val="24"/>
                <w:lang w:val="en-US" w:eastAsia="zh-CN"/>
              </w:rPr>
              <w:t>进度安排及保证措施</w:t>
            </w:r>
            <w:r>
              <w:rPr>
                <w:rFonts w:hint="eastAsia" w:ascii="宋体" w:hAnsi="宋体"/>
                <w:sz w:val="24"/>
              </w:rPr>
              <w:t>得</w:t>
            </w:r>
            <w:r>
              <w:rPr>
                <w:rFonts w:hint="eastAsia" w:ascii="宋体" w:hAnsi="宋体"/>
                <w:sz w:val="24"/>
                <w:lang w:val="en-US" w:eastAsia="zh-CN"/>
              </w:rPr>
              <w:t>1</w:t>
            </w:r>
            <w:r>
              <w:rPr>
                <w:rFonts w:hint="eastAsia" w:ascii="宋体" w:hAnsi="宋体"/>
                <w:sz w:val="24"/>
              </w:rPr>
              <w:t>分，差或不提供的不得分</w:t>
            </w:r>
            <w:r>
              <w:rPr>
                <w:rFonts w:hint="eastAsia" w:ascii="宋体" w:hAnsi="宋体"/>
                <w:sz w:val="24"/>
                <w:lang w:val="en-US" w:eastAsia="zh-CN"/>
              </w:rPr>
              <w:t>；</w:t>
            </w:r>
          </w:p>
          <w:p>
            <w:pPr>
              <w:keepNext w:val="0"/>
              <w:keepLines w:val="0"/>
              <w:widowControl/>
              <w:suppressLineNumbers w:val="0"/>
              <w:jc w:val="left"/>
              <w:rPr>
                <w:rFonts w:hint="eastAsia" w:ascii="宋体" w:hAnsi="宋体" w:eastAsia="宋体"/>
                <w:sz w:val="24"/>
                <w:lang w:val="en-US" w:eastAsia="zh-CN"/>
              </w:rPr>
            </w:pPr>
            <w:r>
              <w:rPr>
                <w:rFonts w:hint="eastAsia" w:ascii="宋体" w:hAnsi="宋体"/>
                <w:sz w:val="24"/>
              </w:rPr>
              <w:t>3、保密</w:t>
            </w:r>
            <w:r>
              <w:rPr>
                <w:rFonts w:hint="eastAsia" w:ascii="宋体" w:hAnsi="宋体"/>
                <w:sz w:val="24"/>
                <w:lang w:val="en-US" w:eastAsia="zh-CN"/>
              </w:rPr>
              <w:t>保证措施</w:t>
            </w:r>
            <w:r>
              <w:rPr>
                <w:rFonts w:hint="eastAsia" w:ascii="宋体" w:hAnsi="宋体"/>
                <w:sz w:val="24"/>
              </w:rPr>
              <w:t>得</w:t>
            </w:r>
            <w:r>
              <w:rPr>
                <w:rFonts w:hint="eastAsia" w:ascii="宋体" w:hAnsi="宋体"/>
                <w:sz w:val="24"/>
                <w:lang w:val="en-US" w:eastAsia="zh-CN"/>
              </w:rPr>
              <w:t>1</w:t>
            </w:r>
            <w:r>
              <w:rPr>
                <w:rFonts w:hint="eastAsia" w:ascii="宋体" w:hAnsi="宋体"/>
                <w:sz w:val="24"/>
              </w:rPr>
              <w:t>分，差或不提供的不得分</w:t>
            </w:r>
            <w:r>
              <w:rPr>
                <w:rFonts w:hint="eastAsia" w:ascii="宋体" w:hAnsi="宋体"/>
                <w:sz w:val="24"/>
                <w:lang w:eastAsia="zh-CN"/>
              </w:rPr>
              <w:t>；</w:t>
            </w:r>
          </w:p>
          <w:p>
            <w:pPr>
              <w:keepNext w:val="0"/>
              <w:keepLines w:val="0"/>
              <w:widowControl/>
              <w:suppressLineNumbers w:val="0"/>
              <w:jc w:val="left"/>
              <w:rPr>
                <w:rFonts w:hint="eastAsia" w:ascii="宋体" w:hAnsi="宋体"/>
                <w:sz w:val="24"/>
              </w:rPr>
            </w:pPr>
            <w:r>
              <w:rPr>
                <w:rFonts w:hint="eastAsia" w:ascii="宋体" w:hAnsi="宋体"/>
                <w:sz w:val="24"/>
              </w:rPr>
              <w:t>4、</w:t>
            </w:r>
            <w:r>
              <w:rPr>
                <w:rFonts w:hint="eastAsia" w:ascii="宋体" w:hAnsi="宋体"/>
                <w:sz w:val="24"/>
                <w:lang w:val="en-US" w:eastAsia="zh-CN"/>
              </w:rPr>
              <w:t>质量目标和服务承诺得1分</w:t>
            </w:r>
            <w:r>
              <w:rPr>
                <w:rFonts w:hint="eastAsia" w:ascii="宋体" w:hAnsi="宋体"/>
                <w:sz w:val="24"/>
              </w:rPr>
              <w:t>，差或不提供的不得分</w:t>
            </w:r>
            <w:r>
              <w:rPr>
                <w:rFonts w:hint="eastAsia" w:ascii="宋体"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勘察安全保证措施</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sz w:val="24"/>
                <w:lang w:eastAsia="zh-CN"/>
              </w:rPr>
            </w:pPr>
            <w:r>
              <w:rPr>
                <w:rFonts w:hint="eastAsia" w:ascii="宋体" w:hAnsi="宋体"/>
                <w:sz w:val="24"/>
                <w:lang w:val="en-US" w:eastAsia="zh-CN"/>
              </w:rPr>
              <w:t>7</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1、有安全、职业健康管理体系得2分；</w:t>
            </w:r>
          </w:p>
          <w:p>
            <w:pPr>
              <w:spacing w:line="440" w:lineRule="exact"/>
              <w:ind w:firstLine="0" w:firstLineChars="0"/>
              <w:jc w:val="left"/>
              <w:rPr>
                <w:rFonts w:hint="eastAsia" w:ascii="宋体" w:hAnsi="宋体"/>
                <w:sz w:val="24"/>
              </w:rPr>
            </w:pPr>
            <w:r>
              <w:rPr>
                <w:rFonts w:hint="eastAsia" w:ascii="宋体" w:hAnsi="宋体"/>
                <w:sz w:val="24"/>
              </w:rPr>
              <w:t>2、有安全组织措施规范、详细、到位最高得2分，差或不提供的不得分；</w:t>
            </w:r>
          </w:p>
          <w:p>
            <w:pPr>
              <w:spacing w:line="440" w:lineRule="exact"/>
              <w:ind w:firstLine="0" w:firstLineChars="0"/>
              <w:jc w:val="left"/>
              <w:rPr>
                <w:rFonts w:hint="eastAsia" w:ascii="宋体" w:hAnsi="宋体"/>
                <w:sz w:val="24"/>
              </w:rPr>
            </w:pPr>
            <w:r>
              <w:rPr>
                <w:rFonts w:hint="eastAsia" w:ascii="宋体" w:hAnsi="宋体"/>
                <w:sz w:val="24"/>
              </w:rPr>
              <w:t>3、有安全技术措施得</w:t>
            </w:r>
            <w:r>
              <w:rPr>
                <w:rFonts w:hint="eastAsia" w:ascii="宋体" w:hAnsi="宋体"/>
                <w:sz w:val="24"/>
                <w:lang w:val="en-US" w:eastAsia="zh-CN"/>
              </w:rPr>
              <w:t>1</w:t>
            </w:r>
            <w:r>
              <w:rPr>
                <w:rFonts w:hint="eastAsia" w:ascii="宋体" w:hAnsi="宋体"/>
                <w:sz w:val="24"/>
              </w:rPr>
              <w:t>分，差或不提供的不得分；</w:t>
            </w:r>
          </w:p>
          <w:p>
            <w:pPr>
              <w:spacing w:line="440" w:lineRule="exact"/>
              <w:ind w:firstLine="0" w:firstLineChars="0"/>
              <w:jc w:val="left"/>
              <w:rPr>
                <w:rFonts w:hint="eastAsia" w:ascii="宋体" w:hAnsi="宋体"/>
                <w:sz w:val="24"/>
              </w:rPr>
            </w:pPr>
            <w:r>
              <w:rPr>
                <w:rFonts w:hint="eastAsia" w:ascii="宋体" w:hAnsi="宋体"/>
                <w:sz w:val="24"/>
              </w:rPr>
              <w:t>4、有作业安全应急预案得</w:t>
            </w:r>
            <w:r>
              <w:rPr>
                <w:rFonts w:hint="eastAsia" w:ascii="宋体" w:hAnsi="宋体"/>
                <w:sz w:val="24"/>
                <w:lang w:val="en-US" w:eastAsia="zh-CN"/>
              </w:rPr>
              <w:t>1</w:t>
            </w:r>
            <w:r>
              <w:rPr>
                <w:rFonts w:hint="eastAsia" w:ascii="宋体" w:hAnsi="宋体"/>
                <w:sz w:val="24"/>
              </w:rPr>
              <w:t>分，差或不提供的不得分；</w:t>
            </w:r>
          </w:p>
          <w:p>
            <w:pPr>
              <w:spacing w:line="440" w:lineRule="exact"/>
              <w:ind w:firstLine="0" w:firstLineChars="0"/>
              <w:jc w:val="left"/>
              <w:rPr>
                <w:rFonts w:hint="eastAsia" w:ascii="宋体" w:hAnsi="宋体"/>
                <w:sz w:val="24"/>
              </w:rPr>
            </w:pPr>
            <w:r>
              <w:rPr>
                <w:rFonts w:hint="eastAsia" w:ascii="宋体" w:hAnsi="宋体"/>
                <w:sz w:val="24"/>
              </w:rPr>
              <w:t>5、有文明施工保证措施得</w:t>
            </w:r>
            <w:r>
              <w:rPr>
                <w:rFonts w:hint="eastAsia" w:ascii="宋体" w:hAnsi="宋体"/>
                <w:sz w:val="24"/>
                <w:lang w:val="en-US" w:eastAsia="zh-CN"/>
              </w:rPr>
              <w:t>1</w:t>
            </w:r>
            <w:r>
              <w:rPr>
                <w:rFonts w:hint="eastAsia" w:ascii="宋体" w:hAnsi="宋体"/>
                <w:sz w:val="24"/>
              </w:rPr>
              <w:t>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勘察工作重点、难点分析</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default" w:ascii="宋体" w:hAnsi="宋体" w:eastAsia="宋体"/>
                <w:sz w:val="24"/>
                <w:lang w:val="en-US" w:eastAsia="zh-CN"/>
              </w:rPr>
            </w:pPr>
            <w:r>
              <w:rPr>
                <w:rFonts w:hint="eastAsia" w:ascii="宋体" w:hAnsi="宋体"/>
                <w:sz w:val="24"/>
                <w:lang w:val="en-US" w:eastAsia="zh-CN"/>
              </w:rPr>
              <w:t>10</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勘察工作重点、难点分析</w:t>
            </w:r>
            <w:r>
              <w:rPr>
                <w:rFonts w:hint="eastAsia" w:ascii="宋体" w:hAnsi="宋体"/>
                <w:sz w:val="24"/>
                <w:lang w:val="en-US" w:eastAsia="zh-CN"/>
              </w:rPr>
              <w:t>优着</w:t>
            </w:r>
            <w:r>
              <w:rPr>
                <w:rFonts w:hint="eastAsia" w:ascii="宋体" w:hAnsi="宋体"/>
                <w:sz w:val="24"/>
              </w:rPr>
              <w:t>得</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7</w:t>
            </w:r>
            <w:r>
              <w:rPr>
                <w:rFonts w:hint="eastAsia" w:ascii="宋体" w:hAnsi="宋体"/>
                <w:sz w:val="24"/>
              </w:rPr>
              <w:t>分，较好得</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3</w:t>
            </w:r>
            <w:r>
              <w:rPr>
                <w:rFonts w:hint="eastAsia" w:ascii="宋体" w:hAnsi="宋体"/>
                <w:sz w:val="24"/>
              </w:rPr>
              <w:t>分，一般得</w:t>
            </w:r>
            <w:r>
              <w:rPr>
                <w:rFonts w:hint="eastAsia" w:ascii="宋体" w:hAnsi="宋体"/>
                <w:sz w:val="24"/>
                <w:lang w:val="en-US" w:eastAsia="zh-CN"/>
              </w:rPr>
              <w:t>2-1</w:t>
            </w:r>
            <w:r>
              <w:rPr>
                <w:rFonts w:hint="eastAsia" w:ascii="宋体" w:hAnsi="宋体"/>
                <w:sz w:val="24"/>
              </w:rPr>
              <w:t>分，差或不提供的不得分。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218" w:type="dxa"/>
            <w:vMerge w:val="continue"/>
            <w:tcBorders>
              <w:left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hint="eastAsia" w:ascii="宋体" w:hAnsi="宋体"/>
                <w:sz w:val="24"/>
              </w:rPr>
              <w:t>合理化建议</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sz w:val="24"/>
              </w:rPr>
            </w:pPr>
            <w:r>
              <w:rPr>
                <w:rFonts w:ascii="宋体" w:hAnsi="宋体"/>
                <w:sz w:val="24"/>
              </w:rPr>
              <w:t>5</w:t>
            </w:r>
          </w:p>
        </w:tc>
        <w:tc>
          <w:tcPr>
            <w:tcW w:w="60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sz w:val="24"/>
              </w:rPr>
            </w:pPr>
            <w:r>
              <w:rPr>
                <w:rFonts w:hint="eastAsia" w:ascii="宋体" w:hAnsi="宋体"/>
                <w:sz w:val="24"/>
              </w:rPr>
              <w:t>合理化建议好得5-4分，较好得3-2分，一般得1分，差或不提供的不得分。</w:t>
            </w:r>
          </w:p>
        </w:tc>
      </w:tr>
    </w:tbl>
    <w:p>
      <w:pPr>
        <w:pStyle w:val="13"/>
        <w:rPr>
          <w:b/>
          <w:sz w:val="28"/>
        </w:rPr>
      </w:pPr>
    </w:p>
    <w:p>
      <w:pPr>
        <w:spacing w:before="151" w:after="42"/>
        <w:ind w:left="500" w:right="621" w:firstLine="0"/>
        <w:jc w:val="center"/>
        <w:rPr>
          <w:b/>
          <w:color w:val="FF0000"/>
          <w:sz w:val="28"/>
        </w:rPr>
      </w:pPr>
      <w:r>
        <w:rPr>
          <w:rFonts w:hint="eastAsia"/>
          <w:b/>
          <w:color w:val="FF0000"/>
          <w:sz w:val="28"/>
          <w:lang w:val="en-US" w:eastAsia="zh-CN"/>
        </w:rPr>
        <w:t>包二</w:t>
      </w:r>
      <w:r>
        <w:rPr>
          <w:b/>
          <w:color w:val="FF0000"/>
          <w:sz w:val="28"/>
        </w:rPr>
        <w:t>评分分值表</w:t>
      </w:r>
    </w:p>
    <w:tbl>
      <w:tblPr>
        <w:tblStyle w:val="15"/>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67"/>
        <w:gridCol w:w="1276"/>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trPr>
        <w:tc>
          <w:tcPr>
            <w:tcW w:w="675" w:type="dxa"/>
            <w:noWrap w:val="0"/>
            <w:vAlign w:val="center"/>
          </w:tcPr>
          <w:p>
            <w:pPr>
              <w:jc w:val="center"/>
              <w:rPr>
                <w:rFonts w:hint="eastAsia" w:ascii="仿宋" w:hAnsi="仿宋" w:eastAsia="仿宋"/>
                <w:b/>
              </w:rPr>
            </w:pPr>
            <w:bookmarkStart w:id="80" w:name="_Toc256695185"/>
            <w:bookmarkStart w:id="81" w:name="_Toc256691309"/>
            <w:r>
              <w:rPr>
                <w:rFonts w:hint="eastAsia" w:ascii="仿宋" w:hAnsi="仿宋" w:eastAsia="仿宋"/>
                <w:b/>
              </w:rPr>
              <w:t>序号</w:t>
            </w:r>
            <w:bookmarkEnd w:id="80"/>
            <w:bookmarkEnd w:id="81"/>
          </w:p>
        </w:tc>
        <w:tc>
          <w:tcPr>
            <w:tcW w:w="1134" w:type="dxa"/>
            <w:noWrap w:val="0"/>
            <w:vAlign w:val="center"/>
          </w:tcPr>
          <w:p>
            <w:pPr>
              <w:rPr>
                <w:rFonts w:hint="eastAsia" w:ascii="仿宋" w:hAnsi="仿宋" w:eastAsia="仿宋"/>
                <w:b/>
              </w:rPr>
            </w:pPr>
            <w:bookmarkStart w:id="82" w:name="_Toc256691310"/>
            <w:bookmarkStart w:id="83" w:name="_Toc256695186"/>
            <w:r>
              <w:rPr>
                <w:rFonts w:hint="eastAsia" w:ascii="仿宋" w:hAnsi="仿宋" w:eastAsia="仿宋"/>
                <w:b/>
              </w:rPr>
              <w:t>评分要素</w:t>
            </w:r>
            <w:bookmarkEnd w:id="82"/>
            <w:bookmarkEnd w:id="83"/>
          </w:p>
        </w:tc>
        <w:tc>
          <w:tcPr>
            <w:tcW w:w="567" w:type="dxa"/>
            <w:noWrap w:val="0"/>
            <w:vAlign w:val="center"/>
          </w:tcPr>
          <w:p>
            <w:pPr>
              <w:jc w:val="center"/>
              <w:rPr>
                <w:rFonts w:hint="eastAsia" w:ascii="仿宋" w:hAnsi="仿宋" w:eastAsia="仿宋"/>
                <w:b/>
              </w:rPr>
            </w:pPr>
            <w:bookmarkStart w:id="84" w:name="_Toc256695187"/>
            <w:bookmarkStart w:id="85" w:name="_Toc256691311"/>
            <w:r>
              <w:rPr>
                <w:rFonts w:hint="eastAsia" w:ascii="仿宋" w:hAnsi="仿宋" w:eastAsia="仿宋"/>
                <w:b/>
              </w:rPr>
              <w:t>分值</w:t>
            </w:r>
            <w:bookmarkEnd w:id="84"/>
            <w:bookmarkEnd w:id="85"/>
          </w:p>
        </w:tc>
        <w:tc>
          <w:tcPr>
            <w:tcW w:w="6908" w:type="dxa"/>
            <w:gridSpan w:val="2"/>
            <w:noWrap w:val="0"/>
            <w:vAlign w:val="center"/>
          </w:tcPr>
          <w:p>
            <w:pPr>
              <w:rPr>
                <w:rFonts w:hint="eastAsia" w:ascii="仿宋" w:hAnsi="仿宋" w:eastAsia="仿宋"/>
                <w:b/>
              </w:rPr>
            </w:pPr>
            <w:bookmarkStart w:id="86" w:name="_Toc256695188"/>
            <w:bookmarkStart w:id="87" w:name="_Toc256691312"/>
            <w:r>
              <w:rPr>
                <w:rFonts w:hint="eastAsia" w:ascii="仿宋" w:hAnsi="仿宋" w:eastAsia="仿宋"/>
                <w:b/>
              </w:rPr>
              <w:t>评分标准</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675" w:type="dxa"/>
            <w:vMerge w:val="restart"/>
            <w:noWrap w:val="0"/>
            <w:vAlign w:val="center"/>
          </w:tcPr>
          <w:p>
            <w:pPr>
              <w:jc w:val="center"/>
              <w:rPr>
                <w:rFonts w:hint="eastAsia" w:ascii="仿宋" w:hAnsi="仿宋" w:eastAsia="仿宋"/>
              </w:rPr>
            </w:pPr>
            <w:r>
              <w:rPr>
                <w:rFonts w:hint="eastAsia" w:ascii="仿宋" w:hAnsi="仿宋" w:eastAsia="仿宋"/>
              </w:rPr>
              <w:t>1</w:t>
            </w:r>
          </w:p>
        </w:tc>
        <w:tc>
          <w:tcPr>
            <w:tcW w:w="1134" w:type="dxa"/>
            <w:vMerge w:val="restart"/>
            <w:noWrap w:val="0"/>
            <w:vAlign w:val="center"/>
          </w:tcPr>
          <w:p>
            <w:pPr>
              <w:rPr>
                <w:rFonts w:hint="eastAsia" w:ascii="仿宋" w:hAnsi="仿宋" w:eastAsia="仿宋"/>
              </w:rPr>
            </w:pPr>
            <w:r>
              <w:rPr>
                <w:rFonts w:hint="eastAsia" w:ascii="仿宋" w:hAnsi="仿宋" w:eastAsia="仿宋"/>
              </w:rPr>
              <w:t>资信业绩评分标准</w:t>
            </w:r>
          </w:p>
        </w:tc>
        <w:tc>
          <w:tcPr>
            <w:tcW w:w="567" w:type="dxa"/>
            <w:vMerge w:val="restart"/>
            <w:noWrap w:val="0"/>
            <w:vAlign w:val="center"/>
          </w:tcPr>
          <w:p>
            <w:pPr>
              <w:jc w:val="center"/>
              <w:rPr>
                <w:rFonts w:hint="eastAsia" w:ascii="仿宋" w:hAnsi="仿宋" w:eastAsia="仿宋"/>
              </w:rPr>
            </w:pPr>
            <w:r>
              <w:rPr>
                <w:rFonts w:hint="eastAsia" w:ascii="仿宋" w:hAnsi="仿宋" w:eastAsia="仿宋"/>
              </w:rPr>
              <w:t>20</w:t>
            </w:r>
          </w:p>
        </w:tc>
        <w:tc>
          <w:tcPr>
            <w:tcW w:w="1276" w:type="dxa"/>
            <w:noWrap w:val="0"/>
            <w:vAlign w:val="center"/>
          </w:tcPr>
          <w:p>
            <w:pPr>
              <w:spacing w:line="320" w:lineRule="exact"/>
              <w:rPr>
                <w:rFonts w:hint="eastAsia" w:ascii="仿宋" w:hAnsi="仿宋" w:eastAsia="仿宋"/>
              </w:rPr>
            </w:pPr>
            <w:r>
              <w:rPr>
                <w:rFonts w:hint="eastAsia" w:ascii="仿宋" w:hAnsi="仿宋" w:eastAsia="仿宋"/>
              </w:rPr>
              <w:t>类似项目业绩</w:t>
            </w:r>
          </w:p>
        </w:tc>
        <w:tc>
          <w:tcPr>
            <w:tcW w:w="5632" w:type="dxa"/>
            <w:noWrap w:val="0"/>
            <w:vAlign w:val="center"/>
          </w:tcPr>
          <w:p>
            <w:pPr>
              <w:spacing w:line="320" w:lineRule="exact"/>
              <w:rPr>
                <w:rFonts w:hint="eastAsia" w:ascii="仿宋" w:hAnsi="仿宋" w:eastAsia="仿宋"/>
              </w:rPr>
            </w:pPr>
            <w:r>
              <w:rPr>
                <w:rFonts w:hint="eastAsia" w:ascii="仿宋" w:hAnsi="仿宋" w:eastAsia="仿宋"/>
              </w:rPr>
              <w:t>类似项目业绩：近 3 年（2017年 03月至今）具有水利工程类似设计业绩，每一项得 2 分，最高得 8 分。（须提供中标通知书或合同协议书，加盖项目发包人鲜章）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675" w:type="dxa"/>
            <w:vMerge w:val="continue"/>
            <w:noWrap w:val="0"/>
            <w:vAlign w:val="center"/>
          </w:tcPr>
          <w:p>
            <w:pPr>
              <w:jc w:val="center"/>
              <w:rPr>
                <w:rFonts w:hint="eastAsia" w:ascii="仿宋" w:hAnsi="仿宋" w:eastAsia="仿宋"/>
              </w:rPr>
            </w:pPr>
          </w:p>
        </w:tc>
        <w:tc>
          <w:tcPr>
            <w:tcW w:w="1134" w:type="dxa"/>
            <w:vMerge w:val="continue"/>
            <w:noWrap w:val="0"/>
            <w:vAlign w:val="center"/>
          </w:tcPr>
          <w:p>
            <w:pPr>
              <w:rPr>
                <w:rFonts w:hint="eastAsia" w:ascii="仿宋" w:hAnsi="仿宋" w:eastAsia="仿宋"/>
              </w:rPr>
            </w:pPr>
          </w:p>
        </w:tc>
        <w:tc>
          <w:tcPr>
            <w:tcW w:w="567" w:type="dxa"/>
            <w:vMerge w:val="continue"/>
            <w:noWrap w:val="0"/>
            <w:vAlign w:val="center"/>
          </w:tcPr>
          <w:p>
            <w:pPr>
              <w:jc w:val="center"/>
              <w:rPr>
                <w:rFonts w:hint="eastAsia" w:ascii="仿宋" w:hAnsi="仿宋" w:eastAsia="仿宋"/>
              </w:rPr>
            </w:pPr>
          </w:p>
        </w:tc>
        <w:tc>
          <w:tcPr>
            <w:tcW w:w="1276" w:type="dxa"/>
            <w:noWrap w:val="0"/>
            <w:vAlign w:val="center"/>
          </w:tcPr>
          <w:p>
            <w:pPr>
              <w:spacing w:line="320" w:lineRule="exact"/>
              <w:rPr>
                <w:rFonts w:hint="eastAsia" w:ascii="仿宋" w:hAnsi="仿宋" w:eastAsia="仿宋"/>
              </w:rPr>
            </w:pPr>
            <w:r>
              <w:rPr>
                <w:rFonts w:hint="eastAsia" w:ascii="仿宋" w:hAnsi="仿宋" w:eastAsia="仿宋"/>
              </w:rPr>
              <w:t>项目负责人业绩</w:t>
            </w:r>
          </w:p>
        </w:tc>
        <w:tc>
          <w:tcPr>
            <w:tcW w:w="5632" w:type="dxa"/>
            <w:noWrap w:val="0"/>
            <w:vAlign w:val="center"/>
          </w:tcPr>
          <w:p>
            <w:pPr>
              <w:spacing w:line="320" w:lineRule="exact"/>
              <w:rPr>
                <w:rFonts w:hint="eastAsia" w:ascii="仿宋" w:hAnsi="仿宋" w:eastAsia="仿宋"/>
              </w:rPr>
            </w:pPr>
            <w:r>
              <w:rPr>
                <w:rFonts w:hint="eastAsia" w:ascii="仿宋" w:hAnsi="仿宋" w:eastAsia="仿宋"/>
              </w:rPr>
              <w:t>项目负责人业绩：近 3 年（2017年 03月至今）有水利工程类似设计业绩的，每一项得 2 分，最高得 4 分。（须</w:t>
            </w:r>
          </w:p>
          <w:p>
            <w:pPr>
              <w:spacing w:line="320" w:lineRule="exact"/>
              <w:rPr>
                <w:rFonts w:hint="eastAsia" w:ascii="仿宋" w:hAnsi="仿宋" w:eastAsia="仿宋"/>
              </w:rPr>
            </w:pPr>
            <w:r>
              <w:rPr>
                <w:rFonts w:hint="eastAsia" w:ascii="仿宋" w:hAnsi="仿宋" w:eastAsia="仿宋"/>
              </w:rPr>
              <w:t>提供中标通知书或合同协议书，加盖项目发包人鲜章）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exact"/>
        </w:trPr>
        <w:tc>
          <w:tcPr>
            <w:tcW w:w="675" w:type="dxa"/>
            <w:vMerge w:val="continue"/>
            <w:noWrap w:val="0"/>
            <w:vAlign w:val="center"/>
          </w:tcPr>
          <w:p>
            <w:pPr>
              <w:jc w:val="center"/>
              <w:rPr>
                <w:rFonts w:hint="eastAsia" w:ascii="仿宋" w:hAnsi="仿宋" w:eastAsia="仿宋"/>
              </w:rPr>
            </w:pPr>
          </w:p>
        </w:tc>
        <w:tc>
          <w:tcPr>
            <w:tcW w:w="1134" w:type="dxa"/>
            <w:vMerge w:val="continue"/>
            <w:noWrap w:val="0"/>
            <w:vAlign w:val="center"/>
          </w:tcPr>
          <w:p>
            <w:pPr>
              <w:rPr>
                <w:rFonts w:hint="eastAsia" w:ascii="仿宋" w:hAnsi="仿宋" w:eastAsia="仿宋"/>
              </w:rPr>
            </w:pPr>
          </w:p>
        </w:tc>
        <w:tc>
          <w:tcPr>
            <w:tcW w:w="567" w:type="dxa"/>
            <w:vMerge w:val="continue"/>
            <w:noWrap w:val="0"/>
            <w:vAlign w:val="center"/>
          </w:tcPr>
          <w:p>
            <w:pPr>
              <w:jc w:val="center"/>
              <w:rPr>
                <w:rFonts w:hint="eastAsia" w:ascii="仿宋" w:hAnsi="仿宋" w:eastAsia="仿宋"/>
              </w:rPr>
            </w:pPr>
          </w:p>
        </w:tc>
        <w:tc>
          <w:tcPr>
            <w:tcW w:w="1276" w:type="dxa"/>
            <w:noWrap w:val="0"/>
            <w:vAlign w:val="center"/>
          </w:tcPr>
          <w:p>
            <w:pPr>
              <w:spacing w:line="320" w:lineRule="exact"/>
              <w:rPr>
                <w:rFonts w:hint="eastAsia" w:ascii="仿宋" w:hAnsi="仿宋" w:eastAsia="仿宋"/>
              </w:rPr>
            </w:pPr>
            <w:r>
              <w:rPr>
                <w:rFonts w:hint="eastAsia" w:ascii="仿宋" w:hAnsi="仿宋" w:eastAsia="仿宋"/>
              </w:rPr>
              <w:t>专业人员配备</w:t>
            </w:r>
          </w:p>
        </w:tc>
        <w:tc>
          <w:tcPr>
            <w:tcW w:w="5632" w:type="dxa"/>
            <w:noWrap w:val="0"/>
            <w:vAlign w:val="center"/>
          </w:tcPr>
          <w:p>
            <w:pPr>
              <w:jc w:val="left"/>
              <w:rPr>
                <w:rFonts w:hint="eastAsia" w:ascii="仿宋" w:hAnsi="仿宋" w:eastAsia="仿宋"/>
              </w:rPr>
            </w:pPr>
            <w:r>
              <w:rPr>
                <w:rFonts w:hint="eastAsia" w:ascii="仿宋" w:hAnsi="仿宋" w:eastAsia="仿宋"/>
              </w:rPr>
              <w:t>专业技术力配备合理，拟投入此工程技术人员10人以上（含10人），且高级职称比例达到50%以上，得8分；技术人员3-9人，且高级职称比例达到30%以上，得5分；技术人员1-2人，得1分，未配备不得分。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exact"/>
        </w:trPr>
        <w:tc>
          <w:tcPr>
            <w:tcW w:w="675" w:type="dxa"/>
            <w:vMerge w:val="restart"/>
            <w:noWrap w:val="0"/>
            <w:vAlign w:val="center"/>
          </w:tcPr>
          <w:p>
            <w:pPr>
              <w:jc w:val="center"/>
              <w:rPr>
                <w:rFonts w:hint="eastAsia" w:ascii="仿宋" w:hAnsi="仿宋" w:eastAsia="仿宋"/>
              </w:rPr>
            </w:pPr>
            <w:r>
              <w:rPr>
                <w:rFonts w:hint="eastAsia" w:ascii="仿宋" w:hAnsi="仿宋" w:eastAsia="仿宋"/>
              </w:rPr>
              <w:t>2</w:t>
            </w:r>
          </w:p>
        </w:tc>
        <w:tc>
          <w:tcPr>
            <w:tcW w:w="1134" w:type="dxa"/>
            <w:vMerge w:val="restart"/>
            <w:noWrap w:val="0"/>
            <w:vAlign w:val="center"/>
          </w:tcPr>
          <w:p>
            <w:pPr>
              <w:rPr>
                <w:rFonts w:hint="eastAsia" w:ascii="仿宋" w:hAnsi="仿宋" w:eastAsia="仿宋"/>
              </w:rPr>
            </w:pPr>
            <w:r>
              <w:rPr>
                <w:rFonts w:hint="eastAsia" w:ascii="仿宋" w:hAnsi="仿宋" w:eastAsia="仿宋"/>
              </w:rPr>
              <w:t>设计方案评分标准</w:t>
            </w:r>
          </w:p>
        </w:tc>
        <w:tc>
          <w:tcPr>
            <w:tcW w:w="567" w:type="dxa"/>
            <w:vMerge w:val="restart"/>
            <w:noWrap w:val="0"/>
            <w:vAlign w:val="center"/>
          </w:tcPr>
          <w:p>
            <w:pPr>
              <w:jc w:val="center"/>
              <w:rPr>
                <w:rFonts w:hint="eastAsia" w:ascii="仿宋" w:hAnsi="仿宋" w:eastAsia="仿宋"/>
              </w:rPr>
            </w:pPr>
            <w:r>
              <w:rPr>
                <w:rFonts w:hint="eastAsia" w:ascii="仿宋" w:hAnsi="仿宋" w:eastAsia="仿宋"/>
              </w:rPr>
              <w:t>50</w:t>
            </w:r>
          </w:p>
        </w:tc>
        <w:tc>
          <w:tcPr>
            <w:tcW w:w="1276" w:type="dxa"/>
            <w:noWrap w:val="0"/>
            <w:vAlign w:val="center"/>
          </w:tcPr>
          <w:p>
            <w:pPr>
              <w:spacing w:line="320" w:lineRule="exact"/>
              <w:rPr>
                <w:rFonts w:hint="eastAsia" w:ascii="仿宋" w:hAnsi="仿宋" w:eastAsia="仿宋"/>
              </w:rPr>
            </w:pPr>
            <w:r>
              <w:rPr>
                <w:rFonts w:hint="eastAsia" w:ascii="仿宋" w:hAnsi="仿宋" w:eastAsia="仿宋"/>
              </w:rPr>
              <w:t>设计工作大纲</w:t>
            </w:r>
          </w:p>
        </w:tc>
        <w:tc>
          <w:tcPr>
            <w:tcW w:w="5632" w:type="dxa"/>
            <w:noWrap w:val="0"/>
            <w:vAlign w:val="center"/>
          </w:tcPr>
          <w:p>
            <w:pPr>
              <w:spacing w:line="320" w:lineRule="exact"/>
              <w:rPr>
                <w:rFonts w:hint="eastAsia" w:ascii="仿宋" w:hAnsi="仿宋" w:eastAsia="仿宋"/>
              </w:rPr>
            </w:pPr>
            <w:r>
              <w:rPr>
                <w:rFonts w:hint="eastAsia" w:ascii="仿宋" w:hAnsi="仿宋" w:eastAsia="仿宋"/>
              </w:rPr>
              <w:t>设计方案合理，设计工作大纲任务明确，重点突出，设计成果具有良好的经济性、安全性、可靠性得10分，否则酌情扣减，直至扣完为止。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trPr>
        <w:tc>
          <w:tcPr>
            <w:tcW w:w="675" w:type="dxa"/>
            <w:vMerge w:val="continue"/>
            <w:noWrap w:val="0"/>
            <w:vAlign w:val="center"/>
          </w:tcPr>
          <w:p>
            <w:pPr>
              <w:jc w:val="center"/>
              <w:rPr>
                <w:rFonts w:hint="eastAsia" w:ascii="仿宋" w:hAnsi="仿宋" w:eastAsia="仿宋"/>
              </w:rPr>
            </w:pPr>
          </w:p>
        </w:tc>
        <w:tc>
          <w:tcPr>
            <w:tcW w:w="1134" w:type="dxa"/>
            <w:vMerge w:val="continue"/>
            <w:noWrap w:val="0"/>
            <w:vAlign w:val="center"/>
          </w:tcPr>
          <w:p>
            <w:pPr>
              <w:rPr>
                <w:rFonts w:hint="eastAsia" w:ascii="仿宋" w:hAnsi="仿宋" w:eastAsia="仿宋"/>
              </w:rPr>
            </w:pPr>
          </w:p>
        </w:tc>
        <w:tc>
          <w:tcPr>
            <w:tcW w:w="567" w:type="dxa"/>
            <w:vMerge w:val="continue"/>
            <w:noWrap w:val="0"/>
            <w:vAlign w:val="center"/>
          </w:tcPr>
          <w:p>
            <w:pPr>
              <w:jc w:val="center"/>
              <w:rPr>
                <w:rFonts w:hint="eastAsia" w:ascii="仿宋" w:hAnsi="仿宋" w:eastAsia="仿宋"/>
              </w:rPr>
            </w:pPr>
          </w:p>
        </w:tc>
        <w:tc>
          <w:tcPr>
            <w:tcW w:w="1276" w:type="dxa"/>
            <w:noWrap w:val="0"/>
            <w:vAlign w:val="center"/>
          </w:tcPr>
          <w:p>
            <w:pPr>
              <w:spacing w:line="320" w:lineRule="exact"/>
              <w:rPr>
                <w:rFonts w:hint="eastAsia" w:ascii="仿宋" w:hAnsi="仿宋" w:eastAsia="仿宋"/>
              </w:rPr>
            </w:pPr>
            <w:r>
              <w:rPr>
                <w:rFonts w:hint="eastAsia" w:ascii="仿宋" w:hAnsi="仿宋" w:eastAsia="仿宋"/>
              </w:rPr>
              <w:t>总进度计划</w:t>
            </w:r>
          </w:p>
        </w:tc>
        <w:tc>
          <w:tcPr>
            <w:tcW w:w="5632" w:type="dxa"/>
            <w:noWrap w:val="0"/>
            <w:vAlign w:val="center"/>
          </w:tcPr>
          <w:p>
            <w:pPr>
              <w:spacing w:line="320" w:lineRule="exact"/>
              <w:rPr>
                <w:rFonts w:hint="eastAsia" w:ascii="仿宋" w:hAnsi="仿宋" w:eastAsia="仿宋"/>
              </w:rPr>
            </w:pPr>
            <w:r>
              <w:rPr>
                <w:rFonts w:hint="eastAsia" w:ascii="仿宋" w:hAnsi="仿宋" w:eastAsia="仿宋"/>
              </w:rPr>
              <w:t>工程设计工作人员配备合理，能满足精度和时间要求，设计工作充分考虑到修改的空间，能保证在招标人规定的时间内完成得8分；否则酌情扣减，直至扣完为止。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exact"/>
        </w:trPr>
        <w:tc>
          <w:tcPr>
            <w:tcW w:w="675" w:type="dxa"/>
            <w:vMerge w:val="continue"/>
            <w:noWrap w:val="0"/>
            <w:vAlign w:val="center"/>
          </w:tcPr>
          <w:p>
            <w:pPr>
              <w:jc w:val="center"/>
              <w:rPr>
                <w:rFonts w:hint="eastAsia" w:ascii="仿宋" w:hAnsi="仿宋" w:eastAsia="仿宋"/>
              </w:rPr>
            </w:pPr>
          </w:p>
        </w:tc>
        <w:tc>
          <w:tcPr>
            <w:tcW w:w="1134" w:type="dxa"/>
            <w:vMerge w:val="continue"/>
            <w:noWrap w:val="0"/>
            <w:vAlign w:val="center"/>
          </w:tcPr>
          <w:p>
            <w:pPr>
              <w:rPr>
                <w:rFonts w:hint="eastAsia" w:ascii="仿宋" w:hAnsi="仿宋" w:eastAsia="仿宋"/>
              </w:rPr>
            </w:pPr>
          </w:p>
        </w:tc>
        <w:tc>
          <w:tcPr>
            <w:tcW w:w="567" w:type="dxa"/>
            <w:vMerge w:val="continue"/>
            <w:noWrap w:val="0"/>
            <w:vAlign w:val="center"/>
          </w:tcPr>
          <w:p>
            <w:pPr>
              <w:jc w:val="center"/>
              <w:rPr>
                <w:rFonts w:hint="eastAsia" w:ascii="仿宋" w:hAnsi="仿宋" w:eastAsia="仿宋"/>
              </w:rPr>
            </w:pPr>
          </w:p>
        </w:tc>
        <w:tc>
          <w:tcPr>
            <w:tcW w:w="1276" w:type="dxa"/>
            <w:noWrap w:val="0"/>
            <w:vAlign w:val="center"/>
          </w:tcPr>
          <w:p>
            <w:pPr>
              <w:spacing w:line="320" w:lineRule="exact"/>
              <w:rPr>
                <w:rFonts w:hint="eastAsia" w:ascii="仿宋" w:hAnsi="仿宋" w:eastAsia="仿宋"/>
              </w:rPr>
            </w:pPr>
            <w:r>
              <w:rPr>
                <w:rFonts w:hint="eastAsia" w:ascii="仿宋" w:hAnsi="仿宋" w:eastAsia="仿宋"/>
              </w:rPr>
              <w:t>项目管理及质量保证措施</w:t>
            </w:r>
          </w:p>
        </w:tc>
        <w:tc>
          <w:tcPr>
            <w:tcW w:w="5632" w:type="dxa"/>
            <w:noWrap w:val="0"/>
            <w:vAlign w:val="center"/>
          </w:tcPr>
          <w:p>
            <w:pPr>
              <w:spacing w:line="320" w:lineRule="exact"/>
              <w:rPr>
                <w:rFonts w:hint="eastAsia" w:ascii="仿宋" w:hAnsi="仿宋" w:eastAsia="仿宋"/>
              </w:rPr>
            </w:pPr>
            <w:r>
              <w:rPr>
                <w:rFonts w:hint="eastAsia" w:ascii="仿宋" w:hAnsi="仿宋" w:eastAsia="仿宋"/>
              </w:rPr>
              <w:t>有可靠的质量保证措施可得5分，否则酌情扣减，直至扣完为止。</w:t>
            </w:r>
          </w:p>
          <w:p>
            <w:pPr>
              <w:spacing w:line="320" w:lineRule="exact"/>
              <w:rPr>
                <w:rFonts w:hint="eastAsia" w:ascii="仿宋" w:hAnsi="仿宋" w:eastAsia="仿宋"/>
              </w:rPr>
            </w:pPr>
            <w:r>
              <w:rPr>
                <w:rFonts w:hint="eastAsia" w:ascii="仿宋" w:hAnsi="仿宋" w:eastAsia="仿宋"/>
              </w:rPr>
              <w:t>有合理的项目管理措施得5分，否则酌情扣减，直至扣完为止。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trPr>
        <w:tc>
          <w:tcPr>
            <w:tcW w:w="675" w:type="dxa"/>
            <w:vMerge w:val="continue"/>
            <w:noWrap w:val="0"/>
            <w:vAlign w:val="center"/>
          </w:tcPr>
          <w:p>
            <w:pPr>
              <w:jc w:val="center"/>
              <w:rPr>
                <w:rFonts w:hint="eastAsia" w:ascii="仿宋" w:hAnsi="仿宋" w:eastAsia="仿宋"/>
              </w:rPr>
            </w:pPr>
          </w:p>
        </w:tc>
        <w:tc>
          <w:tcPr>
            <w:tcW w:w="1134" w:type="dxa"/>
            <w:vMerge w:val="continue"/>
            <w:noWrap w:val="0"/>
            <w:vAlign w:val="center"/>
          </w:tcPr>
          <w:p>
            <w:pPr>
              <w:rPr>
                <w:rFonts w:hint="eastAsia" w:ascii="仿宋" w:hAnsi="仿宋" w:eastAsia="仿宋"/>
              </w:rPr>
            </w:pPr>
          </w:p>
        </w:tc>
        <w:tc>
          <w:tcPr>
            <w:tcW w:w="567" w:type="dxa"/>
            <w:vMerge w:val="continue"/>
            <w:noWrap w:val="0"/>
            <w:vAlign w:val="center"/>
          </w:tcPr>
          <w:p>
            <w:pPr>
              <w:jc w:val="center"/>
              <w:rPr>
                <w:rFonts w:hint="eastAsia" w:ascii="仿宋" w:hAnsi="仿宋" w:eastAsia="仿宋"/>
              </w:rPr>
            </w:pPr>
          </w:p>
        </w:tc>
        <w:tc>
          <w:tcPr>
            <w:tcW w:w="1276" w:type="dxa"/>
            <w:noWrap w:val="0"/>
            <w:vAlign w:val="center"/>
          </w:tcPr>
          <w:p>
            <w:pPr>
              <w:spacing w:line="320" w:lineRule="exact"/>
              <w:rPr>
                <w:rFonts w:hint="eastAsia" w:ascii="仿宋" w:hAnsi="仿宋" w:eastAsia="仿宋"/>
              </w:rPr>
            </w:pPr>
            <w:r>
              <w:rPr>
                <w:rFonts w:hint="eastAsia" w:ascii="仿宋" w:hAnsi="仿宋" w:eastAsia="仿宋"/>
              </w:rPr>
              <w:t>设计方案初步设想</w:t>
            </w:r>
          </w:p>
        </w:tc>
        <w:tc>
          <w:tcPr>
            <w:tcW w:w="5632" w:type="dxa"/>
            <w:noWrap w:val="0"/>
            <w:vAlign w:val="center"/>
          </w:tcPr>
          <w:p>
            <w:pPr>
              <w:spacing w:line="320" w:lineRule="exact"/>
              <w:rPr>
                <w:rFonts w:hint="eastAsia" w:ascii="仿宋" w:hAnsi="仿宋" w:eastAsia="仿宋"/>
              </w:rPr>
            </w:pPr>
            <w:r>
              <w:rPr>
                <w:rFonts w:hint="eastAsia" w:ascii="仿宋" w:hAnsi="仿宋" w:eastAsia="仿宋"/>
              </w:rPr>
              <w:t>设计方案内容全面(附图纸）、切合实际、在技术上有创新得10分，否则酌情扣减，直至扣完为止。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trPr>
        <w:tc>
          <w:tcPr>
            <w:tcW w:w="675" w:type="dxa"/>
            <w:vMerge w:val="continue"/>
            <w:noWrap w:val="0"/>
            <w:vAlign w:val="center"/>
          </w:tcPr>
          <w:p>
            <w:pPr>
              <w:jc w:val="center"/>
              <w:rPr>
                <w:rFonts w:hint="eastAsia" w:ascii="仿宋" w:hAnsi="仿宋" w:eastAsia="仿宋"/>
              </w:rPr>
            </w:pPr>
          </w:p>
        </w:tc>
        <w:tc>
          <w:tcPr>
            <w:tcW w:w="1134" w:type="dxa"/>
            <w:vMerge w:val="continue"/>
            <w:noWrap w:val="0"/>
            <w:vAlign w:val="center"/>
          </w:tcPr>
          <w:p>
            <w:pPr>
              <w:rPr>
                <w:rFonts w:hint="eastAsia" w:ascii="仿宋" w:hAnsi="仿宋" w:eastAsia="仿宋"/>
              </w:rPr>
            </w:pPr>
          </w:p>
        </w:tc>
        <w:tc>
          <w:tcPr>
            <w:tcW w:w="567" w:type="dxa"/>
            <w:vMerge w:val="continue"/>
            <w:noWrap w:val="0"/>
            <w:vAlign w:val="center"/>
          </w:tcPr>
          <w:p>
            <w:pPr>
              <w:jc w:val="center"/>
              <w:rPr>
                <w:rFonts w:hint="eastAsia" w:ascii="仿宋" w:hAnsi="仿宋" w:eastAsia="仿宋"/>
              </w:rPr>
            </w:pPr>
          </w:p>
        </w:tc>
        <w:tc>
          <w:tcPr>
            <w:tcW w:w="1276" w:type="dxa"/>
            <w:noWrap w:val="0"/>
            <w:vAlign w:val="center"/>
          </w:tcPr>
          <w:p>
            <w:pPr>
              <w:spacing w:line="320" w:lineRule="exact"/>
              <w:rPr>
                <w:rFonts w:hint="eastAsia" w:ascii="仿宋" w:hAnsi="仿宋" w:eastAsia="仿宋"/>
              </w:rPr>
            </w:pPr>
            <w:r>
              <w:rPr>
                <w:rFonts w:hint="eastAsia" w:ascii="仿宋" w:hAnsi="仿宋" w:eastAsia="仿宋"/>
              </w:rPr>
              <w:t>设计工作重点、难点分析</w:t>
            </w:r>
          </w:p>
        </w:tc>
        <w:tc>
          <w:tcPr>
            <w:tcW w:w="5632" w:type="dxa"/>
            <w:noWrap w:val="0"/>
            <w:vAlign w:val="center"/>
          </w:tcPr>
          <w:p>
            <w:pPr>
              <w:spacing w:line="320" w:lineRule="exact"/>
              <w:rPr>
                <w:rFonts w:hint="eastAsia" w:ascii="仿宋" w:hAnsi="仿宋" w:eastAsia="仿宋"/>
              </w:rPr>
            </w:pPr>
            <w:r>
              <w:rPr>
                <w:rFonts w:hint="eastAsia" w:ascii="仿宋" w:hAnsi="仿宋" w:eastAsia="仿宋"/>
              </w:rPr>
              <w:t>设计工作重点、难点分析：优得6分，否则酌情扣减，直至扣完为止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675" w:type="dxa"/>
            <w:vMerge w:val="continue"/>
            <w:noWrap w:val="0"/>
            <w:vAlign w:val="center"/>
          </w:tcPr>
          <w:p>
            <w:pPr>
              <w:jc w:val="center"/>
              <w:rPr>
                <w:rFonts w:hint="eastAsia" w:ascii="仿宋" w:hAnsi="仿宋" w:eastAsia="仿宋"/>
              </w:rPr>
            </w:pPr>
          </w:p>
        </w:tc>
        <w:tc>
          <w:tcPr>
            <w:tcW w:w="1134" w:type="dxa"/>
            <w:vMerge w:val="continue"/>
            <w:noWrap w:val="0"/>
            <w:vAlign w:val="center"/>
          </w:tcPr>
          <w:p>
            <w:pPr>
              <w:rPr>
                <w:rFonts w:hint="eastAsia" w:ascii="仿宋" w:hAnsi="仿宋" w:eastAsia="仿宋"/>
              </w:rPr>
            </w:pPr>
          </w:p>
        </w:tc>
        <w:tc>
          <w:tcPr>
            <w:tcW w:w="567" w:type="dxa"/>
            <w:vMerge w:val="continue"/>
            <w:noWrap w:val="0"/>
            <w:vAlign w:val="center"/>
          </w:tcPr>
          <w:p>
            <w:pPr>
              <w:jc w:val="center"/>
              <w:rPr>
                <w:rFonts w:hint="eastAsia" w:ascii="仿宋" w:hAnsi="仿宋" w:eastAsia="仿宋"/>
              </w:rPr>
            </w:pPr>
          </w:p>
        </w:tc>
        <w:tc>
          <w:tcPr>
            <w:tcW w:w="1276" w:type="dxa"/>
            <w:noWrap w:val="0"/>
            <w:vAlign w:val="center"/>
          </w:tcPr>
          <w:p>
            <w:pPr>
              <w:spacing w:line="320" w:lineRule="exact"/>
              <w:rPr>
                <w:rFonts w:hint="eastAsia" w:ascii="仿宋" w:hAnsi="仿宋" w:eastAsia="仿宋"/>
              </w:rPr>
            </w:pPr>
            <w:r>
              <w:rPr>
                <w:rFonts w:hint="eastAsia" w:ascii="仿宋" w:hAnsi="仿宋" w:eastAsia="仿宋"/>
              </w:rPr>
              <w:t>合理化建议</w:t>
            </w:r>
          </w:p>
        </w:tc>
        <w:tc>
          <w:tcPr>
            <w:tcW w:w="5632" w:type="dxa"/>
            <w:noWrap w:val="0"/>
            <w:vAlign w:val="center"/>
          </w:tcPr>
          <w:p>
            <w:pPr>
              <w:spacing w:line="320" w:lineRule="exact"/>
              <w:rPr>
                <w:rFonts w:hint="eastAsia" w:ascii="仿宋" w:hAnsi="仿宋" w:eastAsia="仿宋"/>
              </w:rPr>
            </w:pPr>
            <w:r>
              <w:rPr>
                <w:rFonts w:hint="eastAsia" w:ascii="仿宋" w:hAnsi="仿宋" w:eastAsia="仿宋"/>
              </w:rPr>
              <w:t>合理化建议：针对本项目提出切实可行的合理化建议，优的得6 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5" w:type="dxa"/>
            <w:noWrap w:val="0"/>
            <w:vAlign w:val="center"/>
          </w:tcPr>
          <w:p>
            <w:pPr>
              <w:spacing w:line="300" w:lineRule="exact"/>
              <w:jc w:val="center"/>
              <w:rPr>
                <w:rFonts w:hint="eastAsia" w:ascii="仿宋" w:hAnsi="仿宋" w:eastAsia="仿宋"/>
                <w:szCs w:val="21"/>
              </w:rPr>
            </w:pPr>
            <w:r>
              <w:rPr>
                <w:rFonts w:hint="eastAsia" w:ascii="仿宋" w:hAnsi="仿宋" w:eastAsia="仿宋"/>
                <w:szCs w:val="21"/>
              </w:rPr>
              <w:t>3</w:t>
            </w:r>
          </w:p>
        </w:tc>
        <w:tc>
          <w:tcPr>
            <w:tcW w:w="1134" w:type="dxa"/>
            <w:noWrap w:val="0"/>
            <w:vAlign w:val="center"/>
          </w:tcPr>
          <w:p>
            <w:pPr>
              <w:rPr>
                <w:rFonts w:hint="eastAsia" w:ascii="仿宋" w:hAnsi="仿宋" w:eastAsia="仿宋"/>
              </w:rPr>
            </w:pPr>
            <w:r>
              <w:rPr>
                <w:rFonts w:hint="eastAsia" w:ascii="仿宋" w:hAnsi="仿宋" w:eastAsia="仿宋"/>
              </w:rPr>
              <w:t>投标报价</w:t>
            </w:r>
          </w:p>
        </w:tc>
        <w:tc>
          <w:tcPr>
            <w:tcW w:w="567" w:type="dxa"/>
            <w:noWrap w:val="0"/>
            <w:vAlign w:val="center"/>
          </w:tcPr>
          <w:p>
            <w:pPr>
              <w:jc w:val="center"/>
              <w:rPr>
                <w:rFonts w:hint="eastAsia" w:ascii="仿宋" w:hAnsi="仿宋" w:eastAsia="仿宋"/>
              </w:rPr>
            </w:pPr>
            <w:r>
              <w:rPr>
                <w:rFonts w:hint="eastAsia" w:ascii="仿宋" w:hAnsi="仿宋" w:eastAsia="仿宋"/>
              </w:rPr>
              <w:t>30</w:t>
            </w:r>
          </w:p>
        </w:tc>
        <w:tc>
          <w:tcPr>
            <w:tcW w:w="6908" w:type="dxa"/>
            <w:gridSpan w:val="2"/>
            <w:noWrap w:val="0"/>
            <w:vAlign w:val="center"/>
          </w:tcPr>
          <w:p>
            <w:pPr>
              <w:spacing w:line="320" w:lineRule="exact"/>
              <w:rPr>
                <w:rFonts w:hint="eastAsia" w:ascii="仿宋" w:hAnsi="仿宋" w:eastAsia="仿宋"/>
              </w:rPr>
            </w:pPr>
            <w:r>
              <w:rPr>
                <w:rFonts w:hint="eastAsia" w:ascii="仿宋" w:hAnsi="仿宋" w:eastAsia="仿宋"/>
              </w:rPr>
              <w:t>报价得分采用评标基准价进行评定。当有效报价多于5个（含5个）时，从所有有效报价中去掉一个最高和最低报价后，剩余报价的算术平均值为评标基准价。</w:t>
            </w:r>
          </w:p>
          <w:p>
            <w:pPr>
              <w:spacing w:line="320" w:lineRule="exact"/>
              <w:rPr>
                <w:rFonts w:hint="eastAsia" w:ascii="仿宋" w:hAnsi="仿宋" w:eastAsia="仿宋"/>
              </w:rPr>
            </w:pPr>
            <w:r>
              <w:rPr>
                <w:rFonts w:hint="eastAsia" w:ascii="仿宋" w:hAnsi="仿宋" w:eastAsia="仿宋"/>
              </w:rPr>
              <w:t>有效报价少于5个时，所有有效报价均参加算术平均值的计算。</w:t>
            </w:r>
          </w:p>
          <w:p>
            <w:pPr>
              <w:spacing w:line="320" w:lineRule="exact"/>
              <w:rPr>
                <w:rFonts w:hint="eastAsia" w:ascii="仿宋" w:hAnsi="仿宋" w:eastAsia="仿宋"/>
              </w:rPr>
            </w:pPr>
            <w:r>
              <w:rPr>
                <w:rFonts w:hint="eastAsia" w:ascii="仿宋" w:hAnsi="仿宋" w:eastAsia="仿宋"/>
              </w:rPr>
              <w:t xml:space="preserve">有效报价与评标基准价相同的得30分，每高出评标基准价1%，从30分的基础上减0.5分，减完为止；每低于评标基准价1%，从30分的基础上减0.3分，减完为止。计算时取小数点后两位。 </w:t>
            </w:r>
          </w:p>
        </w:tc>
      </w:tr>
    </w:tbl>
    <w:p>
      <w:pPr>
        <w:pStyle w:val="13"/>
        <w:rPr>
          <w:b/>
          <w:sz w:val="28"/>
        </w:rPr>
      </w:pPr>
    </w:p>
    <w:p>
      <w:pPr>
        <w:pStyle w:val="13"/>
        <w:rPr>
          <w:b/>
          <w:sz w:val="28"/>
        </w:rPr>
      </w:pPr>
    </w:p>
    <w:p>
      <w:pPr>
        <w:pStyle w:val="13"/>
        <w:rPr>
          <w:b/>
          <w:sz w:val="28"/>
        </w:rPr>
      </w:pPr>
    </w:p>
    <w:p>
      <w:pPr>
        <w:pStyle w:val="13"/>
        <w:rPr>
          <w:b/>
          <w:sz w:val="28"/>
        </w:rPr>
      </w:pPr>
    </w:p>
    <w:p>
      <w:pPr>
        <w:pStyle w:val="13"/>
        <w:rPr>
          <w:b/>
          <w:sz w:val="28"/>
        </w:rPr>
      </w:pPr>
    </w:p>
    <w:p>
      <w:pPr>
        <w:pStyle w:val="7"/>
        <w:spacing w:line="360" w:lineRule="auto"/>
        <w:rPr>
          <w:rFonts w:hint="eastAsia" w:hAnsi="宋体" w:cs="宋体"/>
          <w:sz w:val="24"/>
          <w:szCs w:val="24"/>
        </w:rPr>
        <w:sectPr>
          <w:pgSz w:w="11910" w:h="16840"/>
          <w:pgMar w:top="1580" w:right="780" w:bottom="1260" w:left="1520" w:header="0" w:footer="998" w:gutter="0"/>
          <w:cols w:space="720" w:num="1"/>
        </w:sectPr>
      </w:pPr>
    </w:p>
    <w:p>
      <w:pPr>
        <w:pStyle w:val="5"/>
        <w:spacing w:before="8"/>
        <w:rPr>
          <w:rFonts w:ascii="Times New Roman"/>
          <w:sz w:val="25"/>
        </w:rPr>
      </w:pPr>
    </w:p>
    <w:p>
      <w:pPr>
        <w:pStyle w:val="3"/>
        <w:rPr>
          <w:rFonts w:hAnsi="宋体"/>
          <w:b/>
        </w:rPr>
      </w:pPr>
      <w:r>
        <w:rPr>
          <w:rFonts w:hint="eastAsia" w:hAnsi="宋体"/>
          <w:b/>
          <w:sz w:val="24"/>
          <w:szCs w:val="24"/>
        </w:rPr>
        <w:t>定标</w:t>
      </w:r>
      <w:bookmarkEnd w:id="77"/>
      <w:bookmarkEnd w:id="78"/>
      <w:bookmarkEnd w:id="79"/>
    </w:p>
    <w:p>
      <w:pPr>
        <w:pStyle w:val="4"/>
        <w:numPr>
          <w:ilvl w:val="0"/>
          <w:numId w:val="4"/>
        </w:numPr>
        <w:spacing w:before="0" w:after="0" w:line="360" w:lineRule="auto"/>
        <w:rPr>
          <w:rFonts w:ascii="宋体" w:hAnsi="宋体"/>
          <w:b w:val="0"/>
        </w:rPr>
      </w:pPr>
      <w:bookmarkStart w:id="88" w:name="_Toc535421984"/>
      <w:bookmarkStart w:id="89" w:name="_Toc488673637"/>
      <w:r>
        <w:rPr>
          <w:rFonts w:hint="eastAsia" w:ascii="宋体" w:hAnsi="宋体"/>
          <w:b w:val="0"/>
        </w:rPr>
        <w:t>推荐并确定中标磋商供应商</w:t>
      </w:r>
      <w:bookmarkEnd w:id="88"/>
      <w:bookmarkEnd w:id="89"/>
    </w:p>
    <w:p>
      <w:pPr>
        <w:pStyle w:val="7"/>
        <w:numPr>
          <w:ilvl w:val="1"/>
          <w:numId w:val="32"/>
        </w:numPr>
        <w:spacing w:line="360" w:lineRule="auto"/>
        <w:jc w:val="left"/>
        <w:rPr>
          <w:rFonts w:hAnsi="宋体"/>
          <w:sz w:val="24"/>
          <w:szCs w:val="24"/>
        </w:rPr>
      </w:pP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pPr>
        <w:pStyle w:val="7"/>
        <w:numPr>
          <w:ilvl w:val="1"/>
          <w:numId w:val="32"/>
        </w:numPr>
        <w:spacing w:line="360" w:lineRule="auto"/>
        <w:jc w:val="left"/>
        <w:rPr>
          <w:rFonts w:hint="eastAsia" w:hAnsi="宋体"/>
          <w:sz w:val="24"/>
          <w:szCs w:val="28"/>
        </w:rPr>
      </w:pPr>
      <w:r>
        <w:rPr>
          <w:rFonts w:hint="eastAsia" w:hAnsi="宋体"/>
          <w:sz w:val="24"/>
          <w:szCs w:val="28"/>
        </w:rPr>
        <w:t>中标磋商供应商因不可抗力或自身原因不能履行合同时，采购单位可以按照评审报告推荐的预中标候选磋商供应商名单排序，确定下一候选磋商供应商为中标磋商供应商，也可重新开展政府采购活动。</w:t>
      </w:r>
    </w:p>
    <w:p>
      <w:pPr>
        <w:pStyle w:val="7"/>
        <w:numPr>
          <w:ilvl w:val="1"/>
          <w:numId w:val="32"/>
        </w:numPr>
        <w:spacing w:line="360" w:lineRule="auto"/>
        <w:jc w:val="left"/>
        <w:rPr>
          <w:rFonts w:hint="eastAsia" w:hAnsi="宋体"/>
          <w:sz w:val="24"/>
          <w:szCs w:val="24"/>
        </w:rPr>
      </w:pPr>
      <w:r>
        <w:rPr>
          <w:rFonts w:hint="eastAsia" w:hAnsi="宋体" w:cs="宋体"/>
          <w:sz w:val="24"/>
          <w:szCs w:val="24"/>
          <w:shd w:val="clear" w:color="auto" w:fill="FFFFFF"/>
        </w:rPr>
        <w:t>评标结果汇总完成后，除下列情形外，任何人不得修改评标结果：</w:t>
      </w:r>
    </w:p>
    <w:p>
      <w:pPr>
        <w:pStyle w:val="7"/>
        <w:numPr>
          <w:ilvl w:val="0"/>
          <w:numId w:val="33"/>
        </w:numPr>
        <w:spacing w:line="360" w:lineRule="auto"/>
        <w:jc w:val="left"/>
        <w:rPr>
          <w:rFonts w:hint="eastAsia" w:hAnsi="宋体"/>
          <w:sz w:val="24"/>
          <w:szCs w:val="24"/>
        </w:rPr>
      </w:pPr>
      <w:r>
        <w:rPr>
          <w:rFonts w:hint="eastAsia" w:hAnsi="宋体" w:cs="宋体"/>
          <w:sz w:val="24"/>
          <w:szCs w:val="24"/>
          <w:shd w:val="clear" w:color="auto" w:fill="FFFFFF"/>
        </w:rPr>
        <w:t>分值汇总计算错误的；</w:t>
      </w:r>
    </w:p>
    <w:p>
      <w:pPr>
        <w:pStyle w:val="7"/>
        <w:numPr>
          <w:ilvl w:val="0"/>
          <w:numId w:val="33"/>
        </w:numPr>
        <w:spacing w:line="360" w:lineRule="auto"/>
        <w:jc w:val="left"/>
        <w:rPr>
          <w:rFonts w:hint="eastAsia" w:hAnsi="宋体"/>
          <w:sz w:val="24"/>
          <w:szCs w:val="24"/>
        </w:rPr>
      </w:pPr>
      <w:r>
        <w:rPr>
          <w:rFonts w:hint="eastAsia" w:hAnsi="宋体" w:cs="宋体"/>
          <w:sz w:val="24"/>
          <w:szCs w:val="24"/>
          <w:shd w:val="clear" w:color="auto" w:fill="FFFFFF"/>
        </w:rPr>
        <w:t>分项评分超出评分标准范围的；</w:t>
      </w:r>
    </w:p>
    <w:p>
      <w:pPr>
        <w:pStyle w:val="7"/>
        <w:numPr>
          <w:ilvl w:val="0"/>
          <w:numId w:val="33"/>
        </w:numPr>
        <w:spacing w:line="360" w:lineRule="auto"/>
        <w:jc w:val="left"/>
        <w:rPr>
          <w:rFonts w:hint="eastAsia" w:hAnsi="宋体"/>
          <w:sz w:val="24"/>
          <w:szCs w:val="24"/>
        </w:rPr>
      </w:pPr>
      <w:r>
        <w:rPr>
          <w:rFonts w:hint="eastAsia" w:hAnsi="宋体" w:cs="宋体"/>
          <w:sz w:val="24"/>
          <w:szCs w:val="24"/>
          <w:shd w:val="clear" w:color="auto" w:fill="FFFFFF"/>
        </w:rPr>
        <w:t>评标委员会成员对客观评审因素评分不一致的；</w:t>
      </w:r>
    </w:p>
    <w:p>
      <w:pPr>
        <w:pStyle w:val="7"/>
        <w:numPr>
          <w:ilvl w:val="0"/>
          <w:numId w:val="33"/>
        </w:numPr>
        <w:spacing w:line="360" w:lineRule="auto"/>
        <w:jc w:val="left"/>
        <w:rPr>
          <w:rFonts w:hint="eastAsia" w:hAnsi="宋体"/>
          <w:sz w:val="24"/>
          <w:szCs w:val="24"/>
        </w:rPr>
      </w:pPr>
      <w:r>
        <w:rPr>
          <w:rFonts w:hint="eastAsia" w:hAnsi="宋体" w:cs="宋体"/>
          <w:sz w:val="24"/>
          <w:szCs w:val="24"/>
          <w:shd w:val="clear" w:color="auto" w:fill="FFFFFF"/>
        </w:rPr>
        <w:t>经评标委员会认定评分畸高、畸低的。</w:t>
      </w:r>
    </w:p>
    <w:p>
      <w:pPr>
        <w:autoSpaceDE w:val="0"/>
        <w:autoSpaceDN w:val="0"/>
        <w:spacing w:line="360" w:lineRule="auto"/>
        <w:ind w:firstLine="720" w:firstLineChars="300"/>
        <w:rPr>
          <w:rFonts w:hint="eastAsia"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7"/>
        <w:spacing w:line="360" w:lineRule="auto"/>
        <w:ind w:firstLine="720" w:firstLineChars="300"/>
        <w:jc w:val="left"/>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pPr>
        <w:pStyle w:val="4"/>
        <w:numPr>
          <w:ilvl w:val="0"/>
          <w:numId w:val="4"/>
        </w:numPr>
        <w:spacing w:before="0" w:after="0" w:line="360" w:lineRule="auto"/>
        <w:rPr>
          <w:rFonts w:ascii="宋体" w:hAnsi="宋体"/>
          <w:b w:val="0"/>
        </w:rPr>
      </w:pPr>
      <w:bookmarkStart w:id="90" w:name="_Toc488673638"/>
      <w:bookmarkStart w:id="91" w:name="_Toc535421985"/>
      <w:r>
        <w:rPr>
          <w:rFonts w:hint="eastAsia" w:ascii="宋体" w:hAnsi="宋体"/>
          <w:b w:val="0"/>
        </w:rPr>
        <w:t>中标通知</w:t>
      </w:r>
      <w:bookmarkEnd w:id="90"/>
      <w:bookmarkEnd w:id="91"/>
    </w:p>
    <w:p>
      <w:pPr>
        <w:pStyle w:val="7"/>
        <w:numPr>
          <w:ilvl w:val="1"/>
          <w:numId w:val="34"/>
        </w:numPr>
        <w:spacing w:line="360" w:lineRule="auto"/>
        <w:jc w:val="left"/>
        <w:rPr>
          <w:rFonts w:hint="eastAsia" w:hAnsi="宋体"/>
          <w:b/>
          <w:bCs/>
          <w:sz w:val="24"/>
          <w:szCs w:val="24"/>
        </w:rPr>
      </w:pPr>
      <w:r>
        <w:rPr>
          <w:rFonts w:hint="eastAsia" w:hAnsi="宋体" w:cs="宋体"/>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pPr>
        <w:pStyle w:val="7"/>
        <w:numPr>
          <w:ilvl w:val="1"/>
          <w:numId w:val="34"/>
        </w:numPr>
        <w:spacing w:line="360" w:lineRule="auto"/>
        <w:jc w:val="left"/>
        <w:rPr>
          <w:rFonts w:hint="eastAsia" w:hAnsi="宋体"/>
          <w:b/>
          <w:bCs/>
          <w:sz w:val="24"/>
          <w:szCs w:val="24"/>
        </w:rPr>
      </w:pPr>
      <w:r>
        <w:rPr>
          <w:rFonts w:hint="eastAsia" w:hAnsi="宋体" w:cs="宋体"/>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7"/>
        <w:numPr>
          <w:ilvl w:val="1"/>
          <w:numId w:val="34"/>
        </w:numPr>
        <w:spacing w:line="360" w:lineRule="auto"/>
        <w:jc w:val="left"/>
        <w:rPr>
          <w:rFonts w:hint="eastAsia" w:hAnsi="宋体"/>
          <w:b/>
          <w:bCs/>
          <w:sz w:val="32"/>
        </w:rPr>
      </w:pPr>
      <w:r>
        <w:rPr>
          <w:rFonts w:hint="eastAsia" w:hAnsi="宋体"/>
          <w:sz w:val="24"/>
          <w:szCs w:val="28"/>
        </w:rPr>
        <w:t>采购代理机构自中标磋商供应商确定之日起2个工作日内发出《中标通知书》，并在青海政府采购网、青海省电子招标投标公共服务平台、青海经济信息网等媒体上公告中标结果。</w:t>
      </w:r>
    </w:p>
    <w:p>
      <w:pPr>
        <w:pStyle w:val="7"/>
        <w:numPr>
          <w:ilvl w:val="1"/>
          <w:numId w:val="34"/>
        </w:numPr>
        <w:spacing w:line="360" w:lineRule="auto"/>
        <w:jc w:val="left"/>
        <w:rPr>
          <w:rFonts w:hint="eastAsia" w:hAnsi="宋体"/>
          <w:b/>
          <w:bCs/>
          <w:sz w:val="24"/>
          <w:szCs w:val="24"/>
        </w:rPr>
      </w:pPr>
      <w:r>
        <w:rPr>
          <w:rFonts w:hint="eastAsia" w:hAnsi="宋体" w:cs="宋体"/>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pStyle w:val="7"/>
        <w:numPr>
          <w:ilvl w:val="1"/>
          <w:numId w:val="34"/>
        </w:numPr>
        <w:spacing w:line="360" w:lineRule="auto"/>
        <w:jc w:val="left"/>
        <w:rPr>
          <w:rFonts w:hint="eastAsia" w:hAnsi="宋体"/>
          <w:b/>
          <w:bCs/>
          <w:sz w:val="24"/>
          <w:szCs w:val="24"/>
        </w:rPr>
      </w:pPr>
      <w:r>
        <w:rPr>
          <w:rFonts w:hint="eastAsia" w:hAnsi="宋体" w:cs="宋体"/>
          <w:sz w:val="24"/>
          <w:szCs w:val="24"/>
        </w:rPr>
        <w:t>中标公告期限为</w:t>
      </w:r>
      <w:r>
        <w:rPr>
          <w:rFonts w:hint="eastAsia" w:hAnsi="宋体" w:cs="宋体"/>
          <w:sz w:val="24"/>
          <w:szCs w:val="24"/>
          <w:lang w:val="en-US" w:eastAsia="zh-CN"/>
        </w:rPr>
        <w:t>2</w:t>
      </w:r>
      <w:r>
        <w:rPr>
          <w:rFonts w:hint="eastAsia" w:hAnsi="宋体" w:cs="宋体"/>
          <w:sz w:val="24"/>
          <w:szCs w:val="24"/>
        </w:rPr>
        <w:t>个工作日。</w:t>
      </w:r>
    </w:p>
    <w:p>
      <w:pPr>
        <w:pStyle w:val="7"/>
        <w:numPr>
          <w:ilvl w:val="1"/>
          <w:numId w:val="34"/>
        </w:numPr>
        <w:spacing w:line="360" w:lineRule="auto"/>
        <w:jc w:val="left"/>
        <w:rPr>
          <w:rFonts w:hint="eastAsia" w:hAnsi="宋体"/>
          <w:b/>
          <w:bCs/>
          <w:sz w:val="24"/>
          <w:szCs w:val="24"/>
        </w:rPr>
      </w:pPr>
      <w:r>
        <w:rPr>
          <w:rFonts w:hint="eastAsia" w:hAnsi="宋体" w:cs="宋体"/>
          <w:sz w:val="24"/>
          <w:szCs w:val="24"/>
        </w:rPr>
        <w:t>在公告中标结果的同时，</w:t>
      </w:r>
      <w:r>
        <w:rPr>
          <w:rFonts w:hint="eastAsia" w:hAnsi="宋体" w:cs="宋体"/>
          <w:sz w:val="24"/>
          <w:szCs w:val="24"/>
          <w:shd w:val="clear" w:color="auto" w:fill="FFFFFF"/>
        </w:rPr>
        <w:t>采购人或者采购代理机构</w:t>
      </w:r>
      <w:r>
        <w:rPr>
          <w:rFonts w:hint="eastAsia" w:hAnsi="宋体" w:cs="宋体"/>
          <w:sz w:val="24"/>
          <w:szCs w:val="24"/>
        </w:rPr>
        <w:t>应当向中标人发出中标通知书；采用综合评分法评审的，还应当告知未中标人本人的评审得分与排序。</w:t>
      </w:r>
    </w:p>
    <w:p>
      <w:pPr>
        <w:pStyle w:val="7"/>
        <w:numPr>
          <w:ilvl w:val="1"/>
          <w:numId w:val="34"/>
        </w:numPr>
        <w:spacing w:line="360" w:lineRule="auto"/>
        <w:jc w:val="left"/>
        <w:rPr>
          <w:rFonts w:hAnsi="宋体"/>
          <w:b/>
          <w:bCs/>
          <w:sz w:val="24"/>
          <w:szCs w:val="24"/>
        </w:rPr>
      </w:pPr>
      <w:r>
        <w:rPr>
          <w:rFonts w:hint="eastAsia" w:hAnsi="宋体" w:cs="宋体"/>
          <w:sz w:val="24"/>
          <w:szCs w:val="24"/>
        </w:rPr>
        <w:t>中标通知书发出后，采购人不得违法改变中标结果，中标人无正当理由不得放弃中标。</w:t>
      </w:r>
    </w:p>
    <w:p>
      <w:pPr>
        <w:pStyle w:val="7"/>
        <w:numPr>
          <w:ilvl w:val="1"/>
          <w:numId w:val="34"/>
        </w:numPr>
        <w:spacing w:line="360" w:lineRule="auto"/>
        <w:jc w:val="left"/>
        <w:rPr>
          <w:rFonts w:hAnsi="宋体"/>
          <w:b/>
          <w:bCs/>
          <w:sz w:val="32"/>
        </w:rPr>
      </w:pPr>
      <w:r>
        <w:rPr>
          <w:rFonts w:hint="eastAsia" w:hAnsi="宋体"/>
          <w:sz w:val="24"/>
          <w:szCs w:val="28"/>
        </w:rPr>
        <w:t>《中标通知书》对采购单位和中标磋商供应商具有同等效力，《中标通知书》发出后，采购单位改变中标结果的，或者中标磋商供应商无正当理由放弃中标项目的，依法承担法律责任。</w:t>
      </w:r>
    </w:p>
    <w:p>
      <w:pPr>
        <w:pStyle w:val="3"/>
        <w:rPr>
          <w:rFonts w:hAnsi="宋体"/>
          <w:b/>
        </w:rPr>
      </w:pPr>
      <w:bookmarkStart w:id="92" w:name="_Toc8816_WPSOffice_Level2"/>
      <w:bookmarkStart w:id="93" w:name="_Toc3627"/>
      <w:bookmarkStart w:id="94" w:name="_Toc535421986"/>
      <w:r>
        <w:rPr>
          <w:rFonts w:hint="eastAsia" w:hAnsi="宋体"/>
          <w:b/>
        </w:rPr>
        <w:t>授予合同</w:t>
      </w:r>
      <w:bookmarkEnd w:id="92"/>
      <w:bookmarkEnd w:id="93"/>
      <w:bookmarkEnd w:id="94"/>
    </w:p>
    <w:p>
      <w:pPr>
        <w:pStyle w:val="4"/>
        <w:numPr>
          <w:ilvl w:val="0"/>
          <w:numId w:val="4"/>
        </w:numPr>
        <w:spacing w:before="0" w:after="0" w:line="360" w:lineRule="auto"/>
        <w:rPr>
          <w:rFonts w:ascii="宋体" w:hAnsi="宋体"/>
          <w:b w:val="0"/>
        </w:rPr>
      </w:pPr>
      <w:bookmarkStart w:id="95" w:name="_Toc488673640"/>
      <w:bookmarkStart w:id="96" w:name="_Toc535421987"/>
      <w:r>
        <w:rPr>
          <w:rFonts w:hint="eastAsia" w:ascii="宋体" w:hAnsi="宋体"/>
          <w:b w:val="0"/>
        </w:rPr>
        <w:t>签订合同</w:t>
      </w:r>
      <w:bookmarkEnd w:id="95"/>
      <w:bookmarkEnd w:id="96"/>
    </w:p>
    <w:p>
      <w:pPr>
        <w:pStyle w:val="7"/>
        <w:numPr>
          <w:ilvl w:val="1"/>
          <w:numId w:val="35"/>
        </w:numPr>
        <w:spacing w:line="360" w:lineRule="auto"/>
        <w:jc w:val="left"/>
        <w:rPr>
          <w:rFonts w:hAnsi="宋体"/>
          <w:sz w:val="24"/>
          <w:szCs w:val="28"/>
        </w:rPr>
      </w:pPr>
      <w:r>
        <w:rPr>
          <w:rFonts w:hint="eastAsia" w:hAnsi="宋体"/>
          <w:sz w:val="24"/>
          <w:szCs w:val="28"/>
        </w:rPr>
        <w:t>采购单位与中标磋商供应商双方应当自《中标通知书》发出之日起30日内，签订采购合同，送采购代理机构审核并备案；</w:t>
      </w:r>
    </w:p>
    <w:p>
      <w:pPr>
        <w:pStyle w:val="7"/>
        <w:numPr>
          <w:ilvl w:val="1"/>
          <w:numId w:val="35"/>
        </w:numPr>
        <w:spacing w:line="360" w:lineRule="auto"/>
        <w:jc w:val="left"/>
        <w:rPr>
          <w:rFonts w:hAnsi="宋体"/>
          <w:sz w:val="24"/>
          <w:szCs w:val="28"/>
        </w:rPr>
      </w:pPr>
      <w:r>
        <w:rPr>
          <w:rFonts w:hint="eastAsia" w:hAnsi="宋体"/>
          <w:sz w:val="24"/>
          <w:szCs w:val="28"/>
        </w:rPr>
        <w:t>中标磋商供应商在法定期限内无正当理由拒签合同的，按违约处理。同时，采购代理机构和采购单位可依评标排序重新确定中标磋商供应商，并协调双方签订采购合同，或重新组织采购活动；</w:t>
      </w:r>
    </w:p>
    <w:p>
      <w:pPr>
        <w:pStyle w:val="7"/>
        <w:numPr>
          <w:ilvl w:val="1"/>
          <w:numId w:val="35"/>
        </w:numPr>
        <w:spacing w:line="360" w:lineRule="auto"/>
        <w:jc w:val="left"/>
        <w:rPr>
          <w:rFonts w:hAnsi="宋体"/>
          <w:sz w:val="24"/>
          <w:szCs w:val="28"/>
        </w:rPr>
      </w:pPr>
      <w:r>
        <w:rPr>
          <w:rFonts w:hint="eastAsia" w:hAnsi="宋体"/>
          <w:sz w:val="24"/>
          <w:szCs w:val="28"/>
        </w:rPr>
        <w:t>采购单位不得向中标供应商提出任何不合理的要求作为订立合同的条件，采购单位和中标供应商不得私下订立背离合同实质性内容的协议；</w:t>
      </w:r>
    </w:p>
    <w:p>
      <w:pPr>
        <w:pStyle w:val="7"/>
        <w:numPr>
          <w:ilvl w:val="1"/>
          <w:numId w:val="35"/>
        </w:numPr>
        <w:spacing w:line="360" w:lineRule="auto"/>
        <w:jc w:val="left"/>
        <w:rPr>
          <w:rFonts w:hint="eastAsia" w:hAnsi="宋体"/>
          <w:sz w:val="24"/>
          <w:szCs w:val="28"/>
        </w:rPr>
      </w:pPr>
      <w:r>
        <w:rPr>
          <w:rFonts w:hint="eastAsia" w:hAnsi="宋体"/>
          <w:sz w:val="24"/>
          <w:szCs w:val="28"/>
        </w:rPr>
        <w:t>磋商文件、中标磋商供应商的磋商响应文件、《中标通知书》及其澄清、说明文件、承诺等，均为签订采购合同的依据，作为采购合同的组成部分；</w:t>
      </w:r>
    </w:p>
    <w:p>
      <w:pPr>
        <w:pStyle w:val="7"/>
        <w:numPr>
          <w:ilvl w:val="1"/>
          <w:numId w:val="35"/>
        </w:numPr>
        <w:spacing w:line="360" w:lineRule="auto"/>
        <w:jc w:val="left"/>
        <w:rPr>
          <w:rFonts w:hint="eastAsia" w:hAnsi="宋体"/>
          <w:sz w:val="24"/>
          <w:szCs w:val="28"/>
        </w:rPr>
      </w:pPr>
      <w:r>
        <w:rPr>
          <w:rFonts w:hint="eastAsia" w:hAnsi="宋体"/>
          <w:sz w:val="24"/>
          <w:szCs w:val="28"/>
        </w:rPr>
        <w:t>采购人与中标人应当根据合同的约定依法履行合同义务。政府采购合同的履行、违约责任和解决争议的方法等适用《中华人民共和国合同法》。</w:t>
      </w:r>
    </w:p>
    <w:p>
      <w:pPr>
        <w:pStyle w:val="7"/>
        <w:numPr>
          <w:ilvl w:val="1"/>
          <w:numId w:val="35"/>
        </w:numPr>
        <w:spacing w:line="360" w:lineRule="auto"/>
        <w:jc w:val="left"/>
        <w:rPr>
          <w:rFonts w:hint="eastAsia" w:hAnsi="宋体"/>
          <w:sz w:val="24"/>
          <w:szCs w:val="28"/>
        </w:rPr>
      </w:pP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pPr>
        <w:pStyle w:val="7"/>
        <w:numPr>
          <w:ilvl w:val="1"/>
          <w:numId w:val="35"/>
        </w:numPr>
        <w:spacing w:line="360" w:lineRule="auto"/>
        <w:jc w:val="left"/>
        <w:rPr>
          <w:rFonts w:hAnsi="宋体"/>
          <w:sz w:val="24"/>
          <w:szCs w:val="28"/>
        </w:rPr>
      </w:pPr>
      <w:r>
        <w:rPr>
          <w:rFonts w:hint="eastAsia" w:hAnsi="宋体"/>
          <w:sz w:val="24"/>
          <w:szCs w:val="28"/>
        </w:rPr>
        <w:t>采购人应当加强对中标人的履约管理，并按照采购合同约定，及时向中标人支付采购资金。对于中标人违反采购合同约定的行为，采购人应当及时处理，依法追究其违约责任。</w:t>
      </w:r>
    </w:p>
    <w:p>
      <w:pPr>
        <w:pStyle w:val="7"/>
        <w:numPr>
          <w:ilvl w:val="1"/>
          <w:numId w:val="35"/>
        </w:numPr>
        <w:spacing w:line="360" w:lineRule="auto"/>
        <w:jc w:val="left"/>
        <w:rPr>
          <w:rFonts w:hint="eastAsia" w:hAnsi="宋体"/>
          <w:sz w:val="24"/>
          <w:szCs w:val="28"/>
        </w:rPr>
      </w:pPr>
      <w:r>
        <w:rPr>
          <w:rFonts w:hint="eastAsia" w:hAnsi="宋体"/>
          <w:sz w:val="24"/>
          <w:szCs w:val="28"/>
        </w:rPr>
        <w:t>采购合同签订之日起2个工作日内，由采购单位将采购合同在青海政府采购网、青海省电子招标投标公共服务平台等媒体上公告，但采购合同中涉及国家秘密、商业秘密的内容除外。</w:t>
      </w:r>
    </w:p>
    <w:p>
      <w:pPr>
        <w:pStyle w:val="7"/>
        <w:numPr>
          <w:ilvl w:val="1"/>
          <w:numId w:val="35"/>
        </w:numPr>
        <w:spacing w:line="360" w:lineRule="auto"/>
        <w:jc w:val="left"/>
        <w:rPr>
          <w:rFonts w:hAnsi="宋体"/>
          <w:sz w:val="24"/>
          <w:szCs w:val="28"/>
        </w:rPr>
      </w:pPr>
      <w:r>
        <w:rPr>
          <w:rFonts w:hint="eastAsia" w:hAnsi="宋体"/>
          <w:sz w:val="24"/>
          <w:szCs w:val="28"/>
        </w:rPr>
        <w:t>采购人、采购代理机构应当建立真实完整的招标采购档案，妥善保存每项采购活动的采购文件。</w:t>
      </w:r>
    </w:p>
    <w:p>
      <w:pPr>
        <w:pStyle w:val="3"/>
        <w:rPr>
          <w:rFonts w:hAnsi="宋体"/>
          <w:b/>
        </w:rPr>
      </w:pPr>
      <w:bookmarkStart w:id="97" w:name="_Toc535421988"/>
      <w:bookmarkStart w:id="98" w:name="_Toc16689"/>
      <w:bookmarkStart w:id="99" w:name="_Toc13619_WPSOffice_Level2"/>
      <w:r>
        <w:rPr>
          <w:rFonts w:hint="eastAsia" w:hAnsi="宋体"/>
          <w:b/>
        </w:rPr>
        <w:t>废标条款</w:t>
      </w:r>
      <w:bookmarkEnd w:id="97"/>
      <w:bookmarkEnd w:id="98"/>
      <w:bookmarkEnd w:id="99"/>
    </w:p>
    <w:p>
      <w:pPr>
        <w:pStyle w:val="4"/>
        <w:numPr>
          <w:ilvl w:val="0"/>
          <w:numId w:val="4"/>
        </w:numPr>
        <w:spacing w:before="0" w:after="0" w:line="360" w:lineRule="auto"/>
        <w:rPr>
          <w:rFonts w:ascii="宋体" w:hAnsi="宋体"/>
          <w:b w:val="0"/>
        </w:rPr>
      </w:pPr>
      <w:bookmarkStart w:id="100" w:name="_Toc488673642"/>
      <w:bookmarkStart w:id="101" w:name="_Toc535421989"/>
      <w:r>
        <w:rPr>
          <w:rFonts w:hint="eastAsia" w:ascii="宋体" w:hAnsi="宋体"/>
          <w:b w:val="0"/>
        </w:rPr>
        <w:t>废标情形</w:t>
      </w:r>
      <w:bookmarkEnd w:id="100"/>
      <w:bookmarkEnd w:id="101"/>
    </w:p>
    <w:p>
      <w:pPr>
        <w:pStyle w:val="7"/>
        <w:numPr>
          <w:ilvl w:val="1"/>
          <w:numId w:val="36"/>
        </w:numPr>
        <w:spacing w:line="360" w:lineRule="auto"/>
        <w:jc w:val="left"/>
        <w:rPr>
          <w:rFonts w:hAnsi="宋体"/>
          <w:sz w:val="24"/>
          <w:szCs w:val="28"/>
        </w:rPr>
      </w:pPr>
      <w:r>
        <w:rPr>
          <w:rFonts w:hAnsi="宋体" w:cs="Arial"/>
          <w:sz w:val="24"/>
          <w:szCs w:val="24"/>
        </w:rPr>
        <w:t>在磋商采购中，出现下列情形之一的，应予废标</w:t>
      </w:r>
      <w:r>
        <w:rPr>
          <w:rFonts w:hint="eastAsia" w:hAnsi="宋体" w:cs="Arial"/>
          <w:sz w:val="24"/>
          <w:szCs w:val="24"/>
        </w:rPr>
        <w:t>：</w:t>
      </w:r>
    </w:p>
    <w:p>
      <w:pPr>
        <w:pStyle w:val="7"/>
        <w:numPr>
          <w:ilvl w:val="0"/>
          <w:numId w:val="37"/>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pPr>
        <w:pStyle w:val="7"/>
        <w:numPr>
          <w:ilvl w:val="0"/>
          <w:numId w:val="37"/>
        </w:numPr>
        <w:spacing w:line="360" w:lineRule="auto"/>
        <w:rPr>
          <w:rFonts w:hAnsi="宋体" w:cs="Arial"/>
          <w:sz w:val="24"/>
          <w:szCs w:val="24"/>
        </w:rPr>
      </w:pPr>
      <w:r>
        <w:rPr>
          <w:rFonts w:hint="eastAsia" w:hAnsi="宋体" w:cs="Arial"/>
          <w:sz w:val="24"/>
          <w:szCs w:val="24"/>
        </w:rPr>
        <w:t>出现影响采购活动正常推进的违法、违规行为的；</w:t>
      </w:r>
    </w:p>
    <w:p>
      <w:pPr>
        <w:pStyle w:val="7"/>
        <w:numPr>
          <w:ilvl w:val="0"/>
          <w:numId w:val="37"/>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pPr>
        <w:pStyle w:val="7"/>
        <w:numPr>
          <w:ilvl w:val="0"/>
          <w:numId w:val="37"/>
        </w:numPr>
        <w:spacing w:line="360" w:lineRule="auto"/>
        <w:rPr>
          <w:rFonts w:hAnsi="宋体" w:cs="Arial"/>
          <w:sz w:val="24"/>
          <w:szCs w:val="24"/>
        </w:rPr>
      </w:pPr>
      <w:r>
        <w:rPr>
          <w:rFonts w:hint="eastAsia" w:hAnsi="宋体" w:cs="Arial"/>
          <w:sz w:val="24"/>
          <w:szCs w:val="24"/>
        </w:rPr>
        <w:t>因重大变故，采购任务取消的。</w:t>
      </w:r>
    </w:p>
    <w:p>
      <w:pPr>
        <w:pStyle w:val="7"/>
        <w:numPr>
          <w:ilvl w:val="1"/>
          <w:numId w:val="36"/>
        </w:numPr>
        <w:spacing w:line="360" w:lineRule="auto"/>
        <w:jc w:val="left"/>
        <w:rPr>
          <w:rFonts w:hAnsi="宋体"/>
          <w:sz w:val="24"/>
          <w:szCs w:val="28"/>
        </w:rPr>
      </w:pPr>
      <w:r>
        <w:rPr>
          <w:rFonts w:hint="eastAsia" w:hAnsi="宋体"/>
          <w:sz w:val="24"/>
          <w:szCs w:val="28"/>
        </w:rPr>
        <w:t>废标后，由采购代理机构发布废标公告。</w:t>
      </w:r>
    </w:p>
    <w:p>
      <w:pPr>
        <w:pStyle w:val="3"/>
        <w:rPr>
          <w:rFonts w:hAnsi="宋体"/>
          <w:b/>
        </w:rPr>
      </w:pPr>
      <w:bookmarkStart w:id="102" w:name="_Toc12037_WPSOffice_Level2"/>
      <w:bookmarkStart w:id="103" w:name="_Toc535421990"/>
      <w:bookmarkStart w:id="104" w:name="_Toc7867"/>
      <w:r>
        <w:rPr>
          <w:rFonts w:hint="eastAsia" w:hAnsi="宋体"/>
          <w:b/>
          <w:lang w:eastAsia="zh-CN"/>
        </w:rPr>
        <w:t>其他</w:t>
      </w:r>
      <w:bookmarkEnd w:id="102"/>
      <w:bookmarkEnd w:id="103"/>
      <w:bookmarkEnd w:id="104"/>
    </w:p>
    <w:p>
      <w:pPr>
        <w:pStyle w:val="4"/>
        <w:numPr>
          <w:ilvl w:val="0"/>
          <w:numId w:val="4"/>
        </w:numPr>
        <w:spacing w:before="0" w:after="0" w:line="360" w:lineRule="auto"/>
        <w:rPr>
          <w:rFonts w:ascii="宋体" w:hAnsi="宋体"/>
          <w:b w:val="0"/>
        </w:rPr>
      </w:pPr>
      <w:bookmarkStart w:id="105" w:name="_Toc535421991"/>
      <w:bookmarkStart w:id="106" w:name="_Toc488673644"/>
      <w:r>
        <w:rPr>
          <w:rFonts w:hint="eastAsia" w:ascii="宋体" w:hAnsi="宋体"/>
          <w:b w:val="0"/>
          <w:lang w:eastAsia="zh-CN"/>
        </w:rPr>
        <w:t>串标</w:t>
      </w:r>
      <w:r>
        <w:rPr>
          <w:rFonts w:hint="eastAsia" w:ascii="宋体" w:hAnsi="宋体"/>
          <w:b w:val="0"/>
        </w:rPr>
        <w:t>情形</w:t>
      </w:r>
      <w:bookmarkEnd w:id="105"/>
      <w:bookmarkEnd w:id="106"/>
    </w:p>
    <w:p>
      <w:pPr>
        <w:pStyle w:val="7"/>
        <w:numPr>
          <w:ilvl w:val="0"/>
          <w:numId w:val="38"/>
        </w:numPr>
        <w:spacing w:line="360" w:lineRule="auto"/>
        <w:jc w:val="left"/>
        <w:rPr>
          <w:rFonts w:hint="eastAsia" w:hAnsi="宋体"/>
          <w:sz w:val="24"/>
          <w:szCs w:val="28"/>
        </w:rPr>
      </w:pP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pPr>
        <w:pStyle w:val="7"/>
        <w:spacing w:line="360" w:lineRule="auto"/>
        <w:ind w:left="1042" w:leftChars="496" w:firstLine="480" w:firstLineChars="200"/>
        <w:jc w:val="left"/>
        <w:rPr>
          <w:rFonts w:hint="eastAsia" w:hAnsi="宋体" w:cs="宋体"/>
          <w:lang w:eastAsia="zh-CN"/>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pPr>
        <w:pStyle w:val="7"/>
        <w:numPr>
          <w:ilvl w:val="0"/>
          <w:numId w:val="38"/>
        </w:numPr>
        <w:spacing w:line="360" w:lineRule="auto"/>
        <w:jc w:val="left"/>
        <w:rPr>
          <w:rFonts w:hint="eastAsia" w:hAnsi="宋体"/>
          <w:sz w:val="24"/>
          <w:szCs w:val="28"/>
        </w:rPr>
      </w:pPr>
      <w:r>
        <w:rPr>
          <w:rFonts w:hint="eastAsia" w:hAnsi="宋体"/>
          <w:sz w:val="24"/>
          <w:szCs w:val="28"/>
        </w:rPr>
        <w:t>有下列情形之一的，视为磋商人串通投标，其投标无效：</w:t>
      </w:r>
    </w:p>
    <w:p>
      <w:pPr>
        <w:pStyle w:val="7"/>
        <w:numPr>
          <w:ilvl w:val="0"/>
          <w:numId w:val="39"/>
        </w:numPr>
        <w:spacing w:line="360" w:lineRule="auto"/>
        <w:jc w:val="left"/>
        <w:rPr>
          <w:rFonts w:hint="eastAsia" w:hAnsi="宋体"/>
          <w:sz w:val="24"/>
          <w:szCs w:val="24"/>
        </w:rPr>
      </w:pPr>
      <w:r>
        <w:rPr>
          <w:rFonts w:hint="eastAsia" w:hAnsi="宋体" w:cs="宋体"/>
          <w:sz w:val="24"/>
          <w:szCs w:val="24"/>
        </w:rPr>
        <w:t>不同磋商人的磋商响应文件由同一单位或者个人编制；</w:t>
      </w:r>
    </w:p>
    <w:p>
      <w:pPr>
        <w:pStyle w:val="7"/>
        <w:numPr>
          <w:ilvl w:val="0"/>
          <w:numId w:val="39"/>
        </w:numPr>
        <w:spacing w:line="360" w:lineRule="auto"/>
        <w:jc w:val="left"/>
        <w:rPr>
          <w:rFonts w:hint="eastAsia" w:hAnsi="宋体"/>
          <w:sz w:val="24"/>
          <w:szCs w:val="24"/>
        </w:rPr>
      </w:pPr>
      <w:r>
        <w:rPr>
          <w:rFonts w:hint="eastAsia" w:hAnsi="宋体" w:cs="宋体"/>
          <w:sz w:val="24"/>
          <w:szCs w:val="24"/>
        </w:rPr>
        <w:t>不同磋商人委托同一单位或者个人办理投标事宜；</w:t>
      </w:r>
    </w:p>
    <w:p>
      <w:pPr>
        <w:pStyle w:val="7"/>
        <w:numPr>
          <w:ilvl w:val="0"/>
          <w:numId w:val="39"/>
        </w:numPr>
        <w:spacing w:line="360" w:lineRule="auto"/>
        <w:jc w:val="left"/>
        <w:rPr>
          <w:rFonts w:hint="eastAsia" w:hAnsi="宋体"/>
          <w:sz w:val="24"/>
          <w:szCs w:val="24"/>
        </w:rPr>
      </w:pPr>
      <w:r>
        <w:rPr>
          <w:rFonts w:hint="eastAsia" w:hAnsi="宋体" w:cs="宋体"/>
          <w:sz w:val="24"/>
          <w:szCs w:val="24"/>
        </w:rPr>
        <w:t>不同磋商人的磋商响应文件载明的项目管理成员或者联系人员为同一人；</w:t>
      </w:r>
    </w:p>
    <w:p>
      <w:pPr>
        <w:pStyle w:val="7"/>
        <w:numPr>
          <w:ilvl w:val="0"/>
          <w:numId w:val="39"/>
        </w:numPr>
        <w:spacing w:line="360" w:lineRule="auto"/>
        <w:jc w:val="left"/>
        <w:rPr>
          <w:rFonts w:hint="eastAsia" w:hAnsi="宋体"/>
          <w:sz w:val="24"/>
          <w:szCs w:val="24"/>
        </w:rPr>
      </w:pPr>
      <w:r>
        <w:rPr>
          <w:rFonts w:hint="eastAsia" w:hAnsi="宋体" w:cs="宋体"/>
          <w:sz w:val="24"/>
          <w:szCs w:val="24"/>
        </w:rPr>
        <w:t>不同磋商人的磋商响应文件异常一致或者投标报价呈规律性差异；</w:t>
      </w:r>
    </w:p>
    <w:p>
      <w:pPr>
        <w:pStyle w:val="7"/>
        <w:numPr>
          <w:ilvl w:val="0"/>
          <w:numId w:val="39"/>
        </w:numPr>
        <w:spacing w:line="360" w:lineRule="auto"/>
        <w:jc w:val="left"/>
        <w:rPr>
          <w:rFonts w:hint="eastAsia" w:hAnsi="宋体"/>
          <w:sz w:val="24"/>
          <w:szCs w:val="24"/>
        </w:rPr>
      </w:pPr>
      <w:r>
        <w:rPr>
          <w:rFonts w:hint="eastAsia" w:hAnsi="宋体" w:cs="宋体"/>
          <w:sz w:val="24"/>
          <w:szCs w:val="24"/>
        </w:rPr>
        <w:t>不同磋商人的磋商响应文件相互混装；</w:t>
      </w:r>
    </w:p>
    <w:p>
      <w:pPr>
        <w:pStyle w:val="7"/>
        <w:numPr>
          <w:ilvl w:val="0"/>
          <w:numId w:val="39"/>
        </w:numPr>
        <w:spacing w:line="360" w:lineRule="auto"/>
        <w:jc w:val="left"/>
        <w:rPr>
          <w:rFonts w:hint="eastAsia" w:hAnsi="宋体"/>
          <w:sz w:val="24"/>
          <w:szCs w:val="24"/>
        </w:rPr>
      </w:pPr>
      <w:r>
        <w:rPr>
          <w:rFonts w:hint="eastAsia" w:hAnsi="宋体" w:cs="宋体"/>
          <w:sz w:val="24"/>
          <w:szCs w:val="24"/>
        </w:rPr>
        <w:t>不同磋商人的投标保证金从同一单位或者个人的账户转出。</w:t>
      </w:r>
    </w:p>
    <w:p>
      <w:pPr>
        <w:pStyle w:val="7"/>
        <w:spacing w:line="360" w:lineRule="auto"/>
        <w:ind w:firstLine="960" w:firstLineChars="400"/>
        <w:jc w:val="left"/>
        <w:rPr>
          <w:rFonts w:hAnsi="宋体"/>
          <w:sz w:val="24"/>
          <w:szCs w:val="28"/>
        </w:rPr>
      </w:pPr>
      <w:r>
        <w:rPr>
          <w:rFonts w:hint="eastAsia" w:hAnsi="宋体"/>
          <w:sz w:val="24"/>
          <w:szCs w:val="28"/>
        </w:rPr>
        <w:t>算。</w:t>
      </w:r>
    </w:p>
    <w:p>
      <w:pPr>
        <w:pStyle w:val="7"/>
        <w:numPr>
          <w:ilvl w:val="0"/>
          <w:numId w:val="38"/>
        </w:numPr>
        <w:spacing w:line="360" w:lineRule="auto"/>
        <w:jc w:val="left"/>
        <w:rPr>
          <w:rFonts w:hAnsi="宋体"/>
          <w:sz w:val="24"/>
          <w:szCs w:val="28"/>
        </w:rPr>
      </w:pP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pPr>
        <w:pStyle w:val="11"/>
        <w:spacing w:before="0" w:after="0" w:line="360" w:lineRule="auto"/>
        <w:rPr>
          <w:rFonts w:ascii="宋体" w:hAnsi="宋体"/>
          <w:sz w:val="48"/>
        </w:rPr>
      </w:pPr>
      <w:r>
        <w:rPr>
          <w:rFonts w:hAnsi="宋体"/>
          <w:sz w:val="24"/>
          <w:szCs w:val="28"/>
        </w:rPr>
        <w:br w:type="page"/>
      </w:r>
      <w:bookmarkStart w:id="107" w:name="_Toc535421992"/>
      <w:bookmarkStart w:id="108" w:name="_Toc241_WPSOffice_Level1"/>
      <w:bookmarkStart w:id="109" w:name="_Toc29433"/>
      <w:r>
        <w:rPr>
          <w:rFonts w:hint="eastAsia" w:ascii="宋体" w:hAnsi="宋体"/>
          <w:sz w:val="48"/>
        </w:rPr>
        <w:t xml:space="preserve">第四部分 </w:t>
      </w:r>
      <w:r>
        <w:rPr>
          <w:rFonts w:ascii="宋体" w:hAnsi="宋体"/>
          <w:sz w:val="48"/>
        </w:rPr>
        <w:t xml:space="preserve"> </w:t>
      </w:r>
      <w:r>
        <w:rPr>
          <w:rFonts w:hint="eastAsia" w:ascii="宋体" w:hAnsi="宋体"/>
          <w:sz w:val="48"/>
        </w:rPr>
        <w:t>青海省政府采购合</w:t>
      </w:r>
      <w:r>
        <w:rPr>
          <w:rFonts w:hint="eastAsia" w:ascii="宋体" w:hAnsi="宋体"/>
          <w:b/>
          <w:bCs/>
          <w:sz w:val="48"/>
        </w:rPr>
        <w:t>同</w:t>
      </w:r>
      <w:bookmarkEnd w:id="107"/>
      <w:bookmarkEnd w:id="108"/>
      <w:bookmarkEnd w:id="109"/>
      <w:r>
        <w:rPr>
          <w:rFonts w:hint="eastAsia" w:ascii="宋体" w:hAnsi="宋体"/>
          <w:b/>
          <w:bCs/>
          <w:sz w:val="48"/>
          <w:lang w:val="zh-CN"/>
        </w:rPr>
        <w:t>书范本</w:t>
      </w:r>
      <w:r>
        <w:rPr>
          <w:rFonts w:hint="eastAsia" w:ascii="宋体" w:hAnsi="宋体"/>
          <w:b/>
          <w:bCs/>
          <w:sz w:val="48"/>
          <w:lang w:val="zh-CN" w:eastAsia="zh-CN"/>
        </w:rPr>
        <w:t>（参考）</w:t>
      </w:r>
    </w:p>
    <w:p>
      <w:pPr>
        <w:rPr>
          <w:color w:val="000000"/>
          <w:lang w:val="zh-CN"/>
        </w:rPr>
      </w:pPr>
      <w:bookmarkStart w:id="110" w:name="_Toc19076_WPSOffice_Level2"/>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rFonts w:hint="eastAsia"/>
          <w:color w:val="000000"/>
          <w:lang w:val="zh-CN"/>
        </w:rPr>
      </w:pPr>
    </w:p>
    <w:p>
      <w:pPr>
        <w:rPr>
          <w:color w:val="000000"/>
          <w:lang w:val="zh-CN"/>
        </w:rPr>
      </w:pPr>
    </w:p>
    <w:p>
      <w:pPr>
        <w:jc w:val="center"/>
        <w:rPr>
          <w:color w:val="000000"/>
          <w:lang w:val="zh-CN"/>
        </w:rPr>
      </w:pPr>
      <w:r>
        <w:rPr>
          <w:rFonts w:hint="eastAsia" w:ascii="宋体" w:hAnsi="Calibri" w:cs="宋体"/>
          <w:b/>
          <w:bCs/>
          <w:color w:val="000000"/>
          <w:sz w:val="48"/>
          <w:szCs w:val="48"/>
          <w:lang w:val="zh-CN"/>
        </w:rPr>
        <w:t>青海省政府采购项目合同书</w:t>
      </w: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rFonts w:hint="eastAsia"/>
          <w:color w:val="000000"/>
          <w:lang w:val="zh-CN"/>
        </w:rPr>
      </w:pPr>
    </w:p>
    <w:p>
      <w:pPr>
        <w:autoSpaceDE w:val="0"/>
        <w:autoSpaceDN w:val="0"/>
        <w:adjustRightInd w:val="0"/>
        <w:spacing w:line="360" w:lineRule="auto"/>
        <w:rPr>
          <w:rFonts w:ascii="Calibri" w:hAnsi="Calibri" w:cs="Calibri"/>
          <w:b/>
          <w:bCs/>
          <w:color w:val="000000"/>
          <w:sz w:val="30"/>
          <w:szCs w:val="30"/>
        </w:rPr>
      </w:pPr>
      <w:r>
        <w:rPr>
          <w:rFonts w:hint="eastAsia" w:ascii="宋体" w:hAnsi="Calibri" w:cs="宋体"/>
          <w:b/>
          <w:bCs/>
          <w:color w:val="000000"/>
          <w:sz w:val="30"/>
          <w:szCs w:val="30"/>
          <w:lang w:val="zh-CN"/>
        </w:rPr>
        <w:t>项目名称：</w:t>
      </w:r>
      <w:r>
        <w:rPr>
          <w:rFonts w:hint="eastAsia" w:ascii="Calibri" w:hAnsi="Calibri" w:cs="Calibri"/>
          <w:b/>
          <w:bCs/>
          <w:color w:val="000000"/>
          <w:sz w:val="30"/>
          <w:szCs w:val="30"/>
          <w:u w:val="single"/>
        </w:rPr>
        <w:t xml:space="preserve">                                </w:t>
      </w:r>
      <w:r>
        <w:rPr>
          <w:rFonts w:hint="eastAsia" w:ascii="Calibri" w:hAnsi="Calibri" w:cs="Calibri"/>
          <w:b/>
          <w:bCs/>
          <w:color w:val="000000"/>
          <w:sz w:val="30"/>
          <w:szCs w:val="30"/>
          <w:u w:val="single"/>
          <w:lang w:val="en-US" w:eastAsia="zh-CN"/>
        </w:rPr>
        <w:t xml:space="preserve">     </w:t>
      </w:r>
      <w:r>
        <w:rPr>
          <w:rFonts w:hint="eastAsia" w:ascii="Calibri" w:hAnsi="Calibri" w:cs="Calibri"/>
          <w:b/>
          <w:bCs/>
          <w:color w:val="000000"/>
          <w:sz w:val="30"/>
          <w:szCs w:val="30"/>
          <w:u w:val="single"/>
        </w:rPr>
        <w:t xml:space="preserve">   </w:t>
      </w:r>
      <w:r>
        <w:rPr>
          <w:rFonts w:ascii="Calibri" w:hAnsi="Calibri" w:cs="Calibri"/>
          <w:b/>
          <w:bCs/>
          <w:color w:val="000000"/>
          <w:sz w:val="30"/>
          <w:szCs w:val="30"/>
          <w:u w:val="single"/>
        </w:rPr>
        <w:t xml:space="preserve"> </w:t>
      </w:r>
    </w:p>
    <w:p>
      <w:pPr>
        <w:autoSpaceDE w:val="0"/>
        <w:autoSpaceDN w:val="0"/>
        <w:adjustRightInd w:val="0"/>
        <w:spacing w:line="360" w:lineRule="auto"/>
        <w:rPr>
          <w:rFonts w:ascii="Calibri" w:hAnsi="Calibri" w:cs="Calibri"/>
          <w:b/>
          <w:bCs/>
          <w:color w:val="000000"/>
          <w:sz w:val="30"/>
          <w:szCs w:val="30"/>
        </w:rPr>
      </w:pPr>
      <w:r>
        <w:rPr>
          <w:rFonts w:hint="eastAsia" w:ascii="宋体" w:hAnsi="Calibri" w:cs="宋体"/>
          <w:b/>
          <w:bCs/>
          <w:color w:val="000000"/>
          <w:sz w:val="30"/>
          <w:szCs w:val="30"/>
          <w:lang w:val="zh-CN"/>
        </w:rPr>
        <w:t>项目编号：</w:t>
      </w:r>
      <w:r>
        <w:rPr>
          <w:rFonts w:hint="eastAsia" w:ascii="宋体" w:hAnsi="Calibri" w:cs="宋体"/>
          <w:b/>
          <w:bCs/>
          <w:color w:val="000000"/>
          <w:sz w:val="30"/>
          <w:szCs w:val="30"/>
          <w:u w:val="single"/>
          <w:lang w:val="zh-CN"/>
        </w:rPr>
        <w:t xml:space="preserve">                            </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rPr>
        <w:t xml:space="preserve">  </w:t>
      </w:r>
      <w:r>
        <w:rPr>
          <w:rFonts w:hint="eastAsia" w:ascii="Calibri" w:hAnsi="Calibri" w:cs="Calibri"/>
          <w:b/>
          <w:bCs/>
          <w:color w:val="000000"/>
          <w:sz w:val="30"/>
          <w:szCs w:val="30"/>
          <w:u w:val="single"/>
          <w:lang w:val="en-US" w:eastAsia="zh-CN"/>
        </w:rPr>
        <w:t xml:space="preserve">     </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rPr>
        <w:t xml:space="preserve"> </w:t>
      </w:r>
    </w:p>
    <w:p>
      <w:pPr>
        <w:autoSpaceDE w:val="0"/>
        <w:autoSpaceDN w:val="0"/>
        <w:adjustRightInd w:val="0"/>
        <w:spacing w:line="360" w:lineRule="auto"/>
        <w:rPr>
          <w:rFonts w:ascii="Calibri" w:hAnsi="Calibri" w:cs="Calibri"/>
          <w:b/>
          <w:bCs/>
          <w:color w:val="000000"/>
          <w:sz w:val="30"/>
          <w:szCs w:val="30"/>
        </w:rPr>
      </w:pPr>
      <w:r>
        <w:rPr>
          <w:rFonts w:hint="eastAsia" w:ascii="宋体" w:hAnsi="Calibri" w:cs="宋体"/>
          <w:b/>
          <w:bCs/>
          <w:color w:val="000000"/>
          <w:sz w:val="30"/>
          <w:szCs w:val="30"/>
          <w:lang w:val="zh-CN"/>
        </w:rPr>
        <w:t>合同编号：</w:t>
      </w:r>
      <w:r>
        <w:rPr>
          <w:rFonts w:hint="eastAsia" w:ascii="宋体" w:hAnsi="Calibri" w:cs="宋体"/>
          <w:b/>
          <w:bCs/>
          <w:color w:val="000000"/>
          <w:sz w:val="30"/>
          <w:szCs w:val="30"/>
          <w:u w:val="single"/>
          <w:lang w:val="zh-CN"/>
        </w:rPr>
        <w:t xml:space="preserve">                            </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rPr>
        <w:t xml:space="preserve">  </w:t>
      </w:r>
      <w:r>
        <w:rPr>
          <w:rFonts w:hint="eastAsia" w:ascii="Calibri" w:hAnsi="Calibri" w:cs="Calibri"/>
          <w:b/>
          <w:bCs/>
          <w:color w:val="000000"/>
          <w:sz w:val="30"/>
          <w:szCs w:val="30"/>
          <w:u w:val="single"/>
          <w:lang w:val="en-US" w:eastAsia="zh-CN"/>
        </w:rPr>
        <w:t xml:space="preserve">     </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rPr>
        <w:t xml:space="preserve"> </w:t>
      </w:r>
    </w:p>
    <w:p>
      <w:pPr>
        <w:autoSpaceDE w:val="0"/>
        <w:autoSpaceDN w:val="0"/>
        <w:adjustRightInd w:val="0"/>
        <w:spacing w:line="360" w:lineRule="auto"/>
        <w:rPr>
          <w:rFonts w:ascii="Calibri" w:hAnsi="Calibri" w:cs="Calibri"/>
          <w:b/>
          <w:bCs/>
          <w:color w:val="000000"/>
          <w:sz w:val="30"/>
          <w:szCs w:val="30"/>
        </w:rPr>
      </w:pPr>
      <w:r>
        <w:rPr>
          <w:rFonts w:hint="eastAsia" w:ascii="宋体" w:hAnsi="Calibri" w:cs="宋体"/>
          <w:b/>
          <w:bCs/>
          <w:color w:val="000000"/>
          <w:sz w:val="30"/>
          <w:szCs w:val="30"/>
          <w:lang w:val="zh-CN"/>
        </w:rPr>
        <w:t>合同金额（人民币）：</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lang w:val="en-US" w:eastAsia="zh-CN"/>
        </w:rPr>
        <w:t xml:space="preserve"> </w:t>
      </w:r>
      <w:r>
        <w:rPr>
          <w:rFonts w:ascii="Calibri" w:hAnsi="Calibri" w:cs="Calibri"/>
          <w:b/>
          <w:bCs/>
          <w:color w:val="000000"/>
          <w:sz w:val="30"/>
          <w:szCs w:val="30"/>
          <w:u w:val="single"/>
        </w:rPr>
        <w:t xml:space="preserve">         </w:t>
      </w:r>
    </w:p>
    <w:p>
      <w:pPr>
        <w:autoSpaceDE w:val="0"/>
        <w:autoSpaceDN w:val="0"/>
        <w:adjustRightInd w:val="0"/>
        <w:spacing w:line="360" w:lineRule="auto"/>
        <w:rPr>
          <w:rFonts w:ascii="Calibri" w:hAnsi="Calibri" w:cs="Calibri"/>
          <w:b/>
          <w:bCs/>
          <w:color w:val="000000"/>
          <w:sz w:val="30"/>
          <w:szCs w:val="30"/>
        </w:rPr>
      </w:pPr>
      <w:r>
        <w:rPr>
          <w:rFonts w:hint="eastAsia" w:ascii="宋体" w:hAnsi="Calibri" w:cs="宋体"/>
          <w:b/>
          <w:bCs/>
          <w:color w:val="000000"/>
          <w:sz w:val="30"/>
          <w:szCs w:val="30"/>
          <w:lang w:val="zh-CN"/>
        </w:rPr>
        <w:t>采购单位（甲方）：</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lang w:val="en-US" w:eastAsia="zh-CN"/>
        </w:rPr>
        <w:t xml:space="preserve"> </w:t>
      </w:r>
      <w:r>
        <w:rPr>
          <w:rFonts w:ascii="Calibri" w:hAnsi="Calibri" w:cs="Calibri"/>
          <w:b/>
          <w:bCs/>
          <w:color w:val="000000"/>
          <w:sz w:val="30"/>
          <w:szCs w:val="30"/>
          <w:u w:val="single"/>
        </w:rPr>
        <w:t xml:space="preserve">  </w:t>
      </w:r>
      <w:r>
        <w:rPr>
          <w:rFonts w:hint="eastAsia" w:ascii="宋体" w:hAnsi="Calibri" w:cs="宋体"/>
          <w:b/>
          <w:bCs/>
          <w:color w:val="000000"/>
          <w:sz w:val="30"/>
          <w:szCs w:val="30"/>
          <w:u w:val="single"/>
          <w:lang w:val="zh-CN"/>
        </w:rPr>
        <w:t>（盖章）</w:t>
      </w:r>
    </w:p>
    <w:p>
      <w:pPr>
        <w:autoSpaceDE w:val="0"/>
        <w:autoSpaceDN w:val="0"/>
        <w:adjustRightInd w:val="0"/>
        <w:spacing w:line="360" w:lineRule="auto"/>
        <w:rPr>
          <w:rFonts w:ascii="Calibri" w:hAnsi="Calibri" w:cs="Calibri"/>
          <w:b/>
          <w:bCs/>
          <w:color w:val="000000"/>
          <w:sz w:val="30"/>
          <w:szCs w:val="30"/>
        </w:rPr>
      </w:pPr>
      <w:r>
        <w:rPr>
          <w:rFonts w:hint="eastAsia" w:ascii="宋体" w:hAnsi="Calibri" w:cs="宋体"/>
          <w:b/>
          <w:bCs/>
          <w:color w:val="000000"/>
          <w:sz w:val="30"/>
          <w:szCs w:val="30"/>
          <w:lang w:val="zh-CN"/>
        </w:rPr>
        <w:t>成交人（乙方）：</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lang w:val="en-US" w:eastAsia="zh-CN"/>
        </w:rPr>
        <w:t xml:space="preserve">     </w:t>
      </w:r>
      <w:r>
        <w:rPr>
          <w:rFonts w:ascii="Calibri" w:hAnsi="Calibri" w:cs="Calibri"/>
          <w:b/>
          <w:bCs/>
          <w:color w:val="000000"/>
          <w:sz w:val="30"/>
          <w:szCs w:val="30"/>
          <w:u w:val="single"/>
        </w:rPr>
        <w:t xml:space="preserve"> </w:t>
      </w:r>
      <w:r>
        <w:rPr>
          <w:rFonts w:hint="eastAsia" w:ascii="宋体" w:hAnsi="Calibri" w:cs="宋体"/>
          <w:b/>
          <w:bCs/>
          <w:color w:val="000000"/>
          <w:sz w:val="30"/>
          <w:szCs w:val="30"/>
          <w:u w:val="single"/>
          <w:lang w:val="zh-CN"/>
        </w:rPr>
        <w:t>（盖章）</w:t>
      </w:r>
    </w:p>
    <w:p>
      <w:pPr>
        <w:autoSpaceDE w:val="0"/>
        <w:autoSpaceDN w:val="0"/>
        <w:adjustRightInd w:val="0"/>
        <w:spacing w:line="360" w:lineRule="auto"/>
        <w:rPr>
          <w:rFonts w:ascii="Calibri" w:hAnsi="Calibri" w:cs="Calibri"/>
          <w:b/>
          <w:bCs/>
          <w:color w:val="000000"/>
          <w:sz w:val="30"/>
          <w:szCs w:val="30"/>
        </w:rPr>
      </w:pPr>
      <w:r>
        <w:rPr>
          <w:rFonts w:hint="eastAsia" w:ascii="宋体" w:hAnsi="Calibri" w:cs="宋体"/>
          <w:b/>
          <w:bCs/>
          <w:color w:val="000000"/>
          <w:sz w:val="30"/>
          <w:szCs w:val="30"/>
          <w:lang w:val="zh-CN"/>
        </w:rPr>
        <w:t>采购日期：</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lang w:val="en-US" w:eastAsia="zh-CN"/>
        </w:rPr>
        <w:t xml:space="preserve"> </w:t>
      </w:r>
      <w:r>
        <w:rPr>
          <w:rFonts w:ascii="Calibri" w:hAnsi="Calibri" w:cs="Calibri"/>
          <w:b/>
          <w:bCs/>
          <w:color w:val="000000"/>
          <w:sz w:val="30"/>
          <w:szCs w:val="30"/>
          <w:u w:val="single"/>
        </w:rPr>
        <w:t xml:space="preserve">      </w:t>
      </w:r>
      <w:r>
        <w:rPr>
          <w:rFonts w:hint="eastAsia" w:ascii="Calibri" w:hAnsi="Calibri" w:cs="Calibri"/>
          <w:b/>
          <w:bCs/>
          <w:color w:val="000000"/>
          <w:sz w:val="30"/>
          <w:szCs w:val="30"/>
          <w:u w:val="single"/>
        </w:rPr>
        <w:t xml:space="preserve"> </w:t>
      </w:r>
      <w:r>
        <w:rPr>
          <w:rFonts w:ascii="Calibri" w:hAnsi="Calibri" w:cs="Calibri"/>
          <w:b/>
          <w:bCs/>
          <w:color w:val="000000"/>
          <w:sz w:val="30"/>
          <w:szCs w:val="30"/>
          <w:u w:val="single"/>
        </w:rPr>
        <w:t xml:space="preserve">   </w:t>
      </w:r>
    </w:p>
    <w:p>
      <w:pPr>
        <w:autoSpaceDE w:val="0"/>
        <w:autoSpaceDN w:val="0"/>
        <w:adjustRightInd w:val="0"/>
        <w:spacing w:line="360" w:lineRule="auto"/>
        <w:rPr>
          <w:rFonts w:ascii="Calibri" w:hAnsi="Calibri" w:cs="Calibri"/>
          <w:color w:val="000000"/>
          <w:sz w:val="28"/>
          <w:szCs w:val="28"/>
        </w:rPr>
      </w:pPr>
      <w:r>
        <w:rPr>
          <w:rFonts w:ascii="Calibri" w:hAnsi="Calibri" w:cs="Calibri"/>
          <w:color w:val="000000"/>
          <w:sz w:val="28"/>
          <w:szCs w:val="28"/>
        </w:rPr>
        <w:t xml:space="preserve"> </w:t>
      </w: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rPr>
          <w:color w:val="000000"/>
          <w:lang w:val="zh-CN"/>
        </w:rPr>
      </w:pPr>
    </w:p>
    <w:p>
      <w:pPr>
        <w:autoSpaceDE w:val="0"/>
        <w:autoSpaceDN w:val="0"/>
        <w:adjustRightInd w:val="0"/>
        <w:spacing w:line="400" w:lineRule="exact"/>
        <w:rPr>
          <w:rFonts w:hint="eastAsia" w:ascii="宋体" w:hAnsi="Calibri" w:cs="宋体"/>
          <w:b/>
          <w:bCs/>
          <w:color w:val="000000"/>
          <w:sz w:val="28"/>
          <w:szCs w:val="28"/>
          <w:lang w:val="zh-CN"/>
        </w:rPr>
      </w:pPr>
    </w:p>
    <w:p>
      <w:pPr>
        <w:autoSpaceDE w:val="0"/>
        <w:autoSpaceDN w:val="0"/>
        <w:adjustRightInd w:val="0"/>
        <w:spacing w:line="400" w:lineRule="exact"/>
        <w:rPr>
          <w:rFonts w:hint="eastAsia" w:ascii="Calibri" w:hAnsi="Calibri" w:cs="Calibri"/>
          <w:b w:val="0"/>
          <w:bCs w:val="0"/>
          <w:color w:val="000000"/>
          <w:sz w:val="28"/>
          <w:szCs w:val="28"/>
          <w:u w:val="single"/>
          <w:lang w:val="en-US" w:eastAsia="zh-CN"/>
        </w:rPr>
      </w:pPr>
      <w:r>
        <w:rPr>
          <w:rFonts w:hint="eastAsia" w:ascii="宋体" w:hAnsi="Calibri" w:cs="宋体"/>
          <w:b/>
          <w:bCs/>
          <w:color w:val="000000"/>
          <w:sz w:val="28"/>
          <w:szCs w:val="28"/>
          <w:lang w:val="zh-CN"/>
        </w:rPr>
        <w:t>采</w:t>
      </w:r>
      <w:r>
        <w:rPr>
          <w:rFonts w:ascii="Calibri" w:hAnsi="Calibri" w:cs="Calibri"/>
          <w:b/>
          <w:bCs/>
          <w:color w:val="000000"/>
          <w:sz w:val="28"/>
          <w:szCs w:val="28"/>
        </w:rPr>
        <w:t xml:space="preserve"> </w:t>
      </w:r>
      <w:r>
        <w:rPr>
          <w:rFonts w:hint="eastAsia" w:ascii="宋体" w:hAnsi="Calibri" w:cs="宋体"/>
          <w:b/>
          <w:bCs/>
          <w:color w:val="000000"/>
          <w:sz w:val="28"/>
          <w:szCs w:val="28"/>
          <w:lang w:val="zh-CN"/>
        </w:rPr>
        <w:t>购</w:t>
      </w:r>
      <w:r>
        <w:rPr>
          <w:rFonts w:ascii="Calibri" w:hAnsi="Calibri" w:cs="Calibri"/>
          <w:b/>
          <w:bCs/>
          <w:color w:val="000000"/>
          <w:sz w:val="28"/>
          <w:szCs w:val="28"/>
        </w:rPr>
        <w:t xml:space="preserve"> </w:t>
      </w:r>
      <w:r>
        <w:rPr>
          <w:rFonts w:hint="eastAsia" w:ascii="Calibri" w:hAnsi="Calibri" w:cs="Calibri"/>
          <w:b/>
          <w:bCs/>
          <w:color w:val="000000"/>
          <w:sz w:val="28"/>
          <w:szCs w:val="28"/>
        </w:rPr>
        <w:t>单 位</w:t>
      </w:r>
      <w:r>
        <w:rPr>
          <w:rFonts w:hint="eastAsia" w:ascii="宋体" w:hAnsi="Calibri" w:cs="宋体"/>
          <w:b/>
          <w:bCs/>
          <w:color w:val="000000"/>
          <w:sz w:val="28"/>
          <w:szCs w:val="28"/>
          <w:lang w:val="zh-CN"/>
        </w:rPr>
        <w:t>（以下简称甲方）：</w:t>
      </w:r>
      <w:r>
        <w:rPr>
          <w:rFonts w:hint="eastAsia" w:ascii="Calibri" w:hAnsi="Calibri" w:cs="Calibri"/>
          <w:b w:val="0"/>
          <w:bCs w:val="0"/>
          <w:color w:val="000000"/>
          <w:sz w:val="28"/>
          <w:szCs w:val="28"/>
          <w:u w:val="single"/>
          <w:lang w:val="en-US" w:eastAsia="zh-CN"/>
        </w:rPr>
        <w:t xml:space="preserve">             </w:t>
      </w:r>
    </w:p>
    <w:p>
      <w:pPr>
        <w:autoSpaceDE w:val="0"/>
        <w:autoSpaceDN w:val="0"/>
        <w:adjustRightInd w:val="0"/>
        <w:spacing w:line="400" w:lineRule="exact"/>
        <w:rPr>
          <w:rFonts w:hint="eastAsia" w:ascii="Calibri" w:hAnsi="Calibri" w:cs="Calibri"/>
          <w:color w:val="000000"/>
          <w:sz w:val="28"/>
          <w:szCs w:val="28"/>
          <w:u w:val="single"/>
          <w:lang w:val="en-US" w:eastAsia="zh-CN"/>
        </w:rPr>
      </w:pPr>
      <w:r>
        <w:rPr>
          <w:rFonts w:hint="eastAsia" w:ascii="宋体" w:hAnsi="Calibri" w:cs="宋体"/>
          <w:b/>
          <w:bCs/>
          <w:color w:val="000000"/>
          <w:sz w:val="28"/>
          <w:szCs w:val="28"/>
          <w:lang w:val="zh-CN"/>
        </w:rPr>
        <w:t>供</w:t>
      </w:r>
      <w:r>
        <w:rPr>
          <w:rFonts w:ascii="Calibri" w:hAnsi="Calibri" w:cs="Calibri"/>
          <w:b/>
          <w:bCs/>
          <w:color w:val="000000"/>
          <w:sz w:val="28"/>
          <w:szCs w:val="28"/>
        </w:rPr>
        <w:t xml:space="preserve"> </w:t>
      </w:r>
      <w:r>
        <w:rPr>
          <w:rFonts w:hint="eastAsia" w:ascii="宋体" w:hAnsi="Calibri" w:cs="宋体"/>
          <w:b/>
          <w:bCs/>
          <w:color w:val="000000"/>
          <w:sz w:val="28"/>
          <w:szCs w:val="28"/>
          <w:lang w:val="zh-CN"/>
        </w:rPr>
        <w:t>应</w:t>
      </w:r>
      <w:r>
        <w:rPr>
          <w:rFonts w:ascii="Calibri" w:hAnsi="Calibri" w:cs="Calibri"/>
          <w:b/>
          <w:bCs/>
          <w:color w:val="000000"/>
          <w:sz w:val="28"/>
          <w:szCs w:val="28"/>
        </w:rPr>
        <w:t xml:space="preserve"> </w:t>
      </w:r>
      <w:r>
        <w:rPr>
          <w:rFonts w:hint="eastAsia" w:ascii="宋体" w:hAnsi="Calibri" w:cs="宋体"/>
          <w:b/>
          <w:bCs/>
          <w:color w:val="000000"/>
          <w:sz w:val="28"/>
          <w:szCs w:val="28"/>
          <w:lang w:val="zh-CN"/>
        </w:rPr>
        <w:t>商（以下简称乙方）：</w:t>
      </w:r>
      <w:r>
        <w:rPr>
          <w:rFonts w:hint="eastAsia" w:ascii="Calibri" w:hAnsi="Calibri" w:cs="Calibri"/>
          <w:color w:val="000000"/>
          <w:sz w:val="28"/>
          <w:szCs w:val="28"/>
          <w:u w:val="single"/>
          <w:lang w:val="en-US" w:eastAsia="zh-CN"/>
        </w:rPr>
        <w:t xml:space="preserve">                </w:t>
      </w:r>
    </w:p>
    <w:p>
      <w:pPr>
        <w:spacing w:line="360" w:lineRule="auto"/>
        <w:ind w:firstLine="720" w:firstLineChars="300"/>
        <w:rPr>
          <w:rFonts w:hint="eastAsia" w:hAnsi="Calibri" w:cs="宋体"/>
          <w:color w:val="000000"/>
          <w:sz w:val="24"/>
          <w:lang w:val="zh-CN"/>
        </w:rPr>
      </w:pPr>
      <w:r>
        <w:rPr>
          <w:rFonts w:hint="eastAsia" w:hAnsi="Calibri" w:cs="宋体"/>
          <w:color w:val="000000"/>
          <w:sz w:val="24"/>
          <w:lang w:val="zh-CN"/>
        </w:rPr>
        <w:t>甲、乙双方根据</w:t>
      </w:r>
      <w:r>
        <w:rPr>
          <w:rFonts w:hint="eastAsia" w:hAnsi="Calibri" w:cs="宋体"/>
          <w:color w:val="000000"/>
          <w:sz w:val="24"/>
          <w:u w:val="single"/>
          <w:lang w:val="zh-CN"/>
        </w:rPr>
        <w:t xml:space="preserve"> </w:t>
      </w:r>
      <w:r>
        <w:rPr>
          <w:rFonts w:hint="eastAsia" w:hAnsi="Calibri" w:cs="宋体"/>
          <w:color w:val="000000"/>
          <w:sz w:val="24"/>
          <w:u w:val="single"/>
          <w:lang w:val="zh-CN" w:eastAsia="zh-CN"/>
        </w:rPr>
        <w:t>海东市平安区沙沟乡农村饮水安全及水质提升工程，</w:t>
      </w:r>
      <w:r>
        <w:rPr>
          <w:rFonts w:hint="eastAsia" w:hAnsi="Calibri" w:cs="宋体"/>
          <w:color w:val="000000"/>
          <w:sz w:val="24"/>
          <w:lang w:val="zh-CN"/>
        </w:rPr>
        <w:t>（</w:t>
      </w:r>
      <w:r>
        <w:rPr>
          <w:rFonts w:hint="eastAsia" w:ascii="Times New Roman" w:hAnsi="Calibri" w:cs="宋体"/>
          <w:color w:val="000000"/>
          <w:sz w:val="24"/>
          <w:lang w:val="zh-CN" w:eastAsia="zh-CN"/>
        </w:rPr>
        <w:t>青海东煌竞磋（服务）2020-001</w:t>
      </w:r>
      <w:r>
        <w:rPr>
          <w:rFonts w:hint="eastAsia" w:hAnsi="Calibri" w:cs="宋体"/>
          <w:color w:val="000000"/>
          <w:sz w:val="24"/>
          <w:lang w:val="zh-CN"/>
        </w:rPr>
        <w:t>）的磋商文件要求、成交人响应文件内容及承诺和采购代理机构出具的《成交通知书》，并经双方协商一致，签订本合同协议书。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一、签订本政府采购合同的依据</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本政府采购合同所附下列文件是构成本政府采购合同不可分割的部分：</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1.磋商文件；</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2.磋商文件的更正、变更公告；</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3.成交人提交的响应文件；</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二、合同组成</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1.分项报价表；</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2.技术条款偏离表；</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3.其他相关承诺；</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4.成交通知书（交采购单位</w:t>
      </w:r>
      <w:r>
        <w:rPr>
          <w:rFonts w:ascii="宋体" w:hAnsi="Calibri" w:cs="宋体"/>
          <w:color w:val="000000"/>
          <w:lang w:val="zh-CN"/>
        </w:rPr>
        <w:t>）</w:t>
      </w:r>
      <w:r>
        <w:rPr>
          <w:rFonts w:hint="eastAsia" w:ascii="宋体" w:hAnsi="Calibri" w:cs="宋体"/>
          <w:color w:val="000000"/>
          <w:lang w:val="zh-CN"/>
        </w:rPr>
        <w:t>；</w:t>
      </w:r>
    </w:p>
    <w:p>
      <w:pPr>
        <w:autoSpaceDE w:val="0"/>
        <w:autoSpaceDN w:val="0"/>
        <w:adjustRightInd w:val="0"/>
        <w:spacing w:line="400" w:lineRule="exact"/>
        <w:ind w:firstLine="480"/>
        <w:rPr>
          <w:rFonts w:hint="eastAsia" w:ascii="宋体" w:hAnsi="Calibri" w:cs="宋体"/>
          <w:color w:val="000000"/>
          <w:lang w:val="zh-CN"/>
        </w:rPr>
      </w:pPr>
      <w:r>
        <w:rPr>
          <w:rFonts w:hint="eastAsia" w:ascii="宋体" w:hAnsi="Calibri" w:cs="宋体"/>
          <w:color w:val="000000"/>
          <w:lang w:val="zh-CN"/>
        </w:rPr>
        <w:t>三、合同标的及金额</w:t>
      </w:r>
      <w:r>
        <w:rPr>
          <w:rFonts w:hint="eastAsia" w:ascii="宋体" w:hAnsi="Calibri" w:cs="宋体"/>
          <w:color w:val="000000"/>
          <w:u w:val="single"/>
          <w:lang w:val="zh-CN"/>
        </w:rPr>
        <w:t xml:space="preserve">                            </w:t>
      </w:r>
      <w:r>
        <w:rPr>
          <w:rFonts w:hint="eastAsia" w:ascii="宋体" w:hAnsi="Calibri" w:cs="宋体"/>
          <w:color w:val="000000"/>
          <w:lang w:val="zh-CN"/>
        </w:rPr>
        <w:t>单位：元</w:t>
      </w:r>
    </w:p>
    <w:p>
      <w:pPr>
        <w:autoSpaceDE w:val="0"/>
        <w:autoSpaceDN w:val="0"/>
        <w:adjustRightInd w:val="0"/>
        <w:spacing w:line="400" w:lineRule="exact"/>
        <w:rPr>
          <w:rFonts w:hint="eastAsia" w:ascii="宋体" w:hAnsi="Calibri" w:cs="宋体"/>
          <w:color w:val="000000"/>
          <w:u w:val="single"/>
          <w:lang w:val="zh-CN"/>
        </w:rPr>
      </w:pPr>
      <w:r>
        <w:rPr>
          <w:rFonts w:hint="eastAsia" w:ascii="宋体" w:hAnsi="Calibri" w:cs="宋体"/>
          <w:color w:val="000000"/>
          <w:lang w:val="zh-CN"/>
        </w:rPr>
        <w:t>根据上述政府采购合同文件要求，本政府采购合同的总金额为人民币</w:t>
      </w:r>
    </w:p>
    <w:p>
      <w:pPr>
        <w:autoSpaceDE w:val="0"/>
        <w:autoSpaceDN w:val="0"/>
        <w:adjustRightInd w:val="0"/>
        <w:spacing w:line="400" w:lineRule="exact"/>
        <w:rPr>
          <w:rFonts w:hint="eastAsia" w:ascii="宋体" w:hAnsi="Calibri" w:cs="宋体"/>
          <w:color w:val="000000"/>
          <w:lang w:val="zh-CN"/>
        </w:rPr>
      </w:pPr>
      <w:r>
        <w:rPr>
          <w:rFonts w:hint="eastAsia" w:ascii="宋体" w:hAnsi="Calibri" w:cs="宋体"/>
          <w:color w:val="000000"/>
          <w:lang w:val="zh-CN"/>
        </w:rPr>
        <w:t>（大写）</w:t>
      </w:r>
      <w:r>
        <w:rPr>
          <w:rFonts w:hint="eastAsia" w:ascii="宋体" w:hAnsi="Calibri" w:cs="宋体"/>
          <w:color w:val="000000"/>
          <w:u w:val="single"/>
          <w:lang w:val="zh-CN"/>
        </w:rPr>
        <w:t xml:space="preserve">                 </w:t>
      </w:r>
      <w:r>
        <w:rPr>
          <w:rFonts w:hint="eastAsia" w:ascii="宋体" w:hAnsi="Calibri" w:cs="宋体"/>
          <w:color w:val="000000"/>
          <w:lang w:val="zh-CN"/>
        </w:rPr>
        <w:t>元。</w:t>
      </w:r>
    </w:p>
    <w:p>
      <w:pPr>
        <w:spacing w:line="360" w:lineRule="auto"/>
        <w:ind w:firstLine="420" w:firstLineChars="200"/>
        <w:rPr>
          <w:rFonts w:ascii="宋体" w:hAnsi="宋体"/>
          <w:color w:val="000000"/>
        </w:rPr>
      </w:pPr>
      <w:bookmarkStart w:id="111" w:name="_Toc238984975"/>
      <w:bookmarkStart w:id="112" w:name="_Toc239233914"/>
      <w:bookmarkStart w:id="113" w:name="_Toc283019214"/>
      <w:bookmarkStart w:id="114" w:name="_Toc286993786"/>
      <w:bookmarkStart w:id="115" w:name="_Toc237145406"/>
      <w:bookmarkStart w:id="116" w:name="_Toc251768862"/>
      <w:bookmarkStart w:id="117" w:name="_Toc247334841"/>
      <w:bookmarkStart w:id="118" w:name="_Toc225244852"/>
      <w:bookmarkStart w:id="119" w:name="_Toc211911348"/>
      <w:bookmarkStart w:id="120" w:name="_Toc225670751"/>
      <w:bookmarkStart w:id="121" w:name="_Toc211854449"/>
      <w:bookmarkStart w:id="122" w:name="_Toc225654644"/>
      <w:bookmarkStart w:id="123" w:name="_Toc241833903"/>
      <w:bookmarkStart w:id="124" w:name="_Toc185395249"/>
      <w:bookmarkStart w:id="125" w:name="_Toc212019594"/>
      <w:bookmarkStart w:id="126" w:name="_Toc232492928"/>
      <w:bookmarkStart w:id="127" w:name="_Toc239568418"/>
      <w:bookmarkStart w:id="128" w:name="_Toc282696226"/>
    </w:p>
    <w:p>
      <w:pPr>
        <w:spacing w:line="360" w:lineRule="auto"/>
        <w:ind w:firstLine="420" w:firstLineChars="200"/>
        <w:rPr>
          <w:rFonts w:ascii="宋体" w:hAnsi="宋体"/>
          <w:color w:val="000000"/>
        </w:rPr>
      </w:pPr>
      <w:r>
        <w:rPr>
          <w:rFonts w:hint="eastAsia" w:ascii="宋体" w:hAnsi="宋体"/>
          <w:color w:val="000000"/>
        </w:rPr>
        <w:t>四、服务内容与质量标准</w:t>
      </w:r>
    </w:p>
    <w:p>
      <w:pPr>
        <w:widowControl w:val="0"/>
        <w:numPr>
          <w:ilvl w:val="0"/>
          <w:numId w:val="40"/>
        </w:numPr>
        <w:spacing w:line="360" w:lineRule="auto"/>
        <w:ind w:left="0" w:firstLine="567"/>
        <w:jc w:val="both"/>
        <w:rPr>
          <w:rFonts w:ascii="宋体" w:hAnsi="宋体"/>
          <w:color w:val="000000"/>
        </w:rPr>
      </w:pPr>
    </w:p>
    <w:p>
      <w:pPr>
        <w:widowControl w:val="0"/>
        <w:numPr>
          <w:ilvl w:val="0"/>
          <w:numId w:val="40"/>
        </w:numPr>
        <w:spacing w:line="360" w:lineRule="auto"/>
        <w:ind w:left="0" w:firstLine="567"/>
        <w:jc w:val="both"/>
        <w:rPr>
          <w:rFonts w:ascii="宋体" w:hAnsi="宋体"/>
          <w:color w:val="000000"/>
        </w:rPr>
      </w:pPr>
    </w:p>
    <w:p>
      <w:pPr>
        <w:widowControl w:val="0"/>
        <w:numPr>
          <w:ilvl w:val="0"/>
          <w:numId w:val="40"/>
        </w:numPr>
        <w:spacing w:line="360" w:lineRule="auto"/>
        <w:ind w:left="0" w:firstLine="567"/>
        <w:jc w:val="both"/>
        <w:rPr>
          <w:rFonts w:ascii="宋体" w:hAnsi="宋体"/>
          <w:color w:val="000000"/>
        </w:rPr>
      </w:pPr>
    </w:p>
    <w:p>
      <w:pPr>
        <w:widowControl w:val="0"/>
        <w:numPr>
          <w:ilvl w:val="0"/>
          <w:numId w:val="40"/>
        </w:numPr>
        <w:spacing w:line="360" w:lineRule="auto"/>
        <w:ind w:left="0" w:firstLine="567"/>
        <w:jc w:val="both"/>
        <w:rPr>
          <w:rFonts w:ascii="宋体" w:hAnsi="宋体"/>
          <w:color w:val="000000"/>
        </w:rPr>
      </w:pPr>
    </w:p>
    <w:p>
      <w:pPr>
        <w:widowControl w:val="0"/>
        <w:numPr>
          <w:ilvl w:val="0"/>
          <w:numId w:val="40"/>
        </w:numPr>
        <w:spacing w:line="360" w:lineRule="auto"/>
        <w:ind w:left="0" w:firstLine="567"/>
        <w:jc w:val="both"/>
        <w:rPr>
          <w:rFonts w:ascii="宋体" w:hAnsi="宋体"/>
          <w:color w:val="000000"/>
        </w:rPr>
      </w:pPr>
    </w:p>
    <w:p>
      <w:pPr>
        <w:spacing w:line="360" w:lineRule="auto"/>
        <w:ind w:firstLine="630"/>
        <w:rPr>
          <w:rFonts w:ascii="宋体" w:hAnsi="宋体"/>
          <w:color w:val="000000"/>
        </w:rPr>
      </w:pPr>
      <w:r>
        <w:rPr>
          <w:rFonts w:hint="eastAsia" w:ascii="宋体" w:hAnsi="宋体"/>
          <w:color w:val="000000"/>
        </w:rPr>
        <w:t>…</w:t>
      </w:r>
    </w:p>
    <w:p>
      <w:pPr>
        <w:spacing w:line="360" w:lineRule="auto"/>
        <w:ind w:firstLine="420" w:firstLineChars="200"/>
        <w:rPr>
          <w:rFonts w:hint="eastAsia" w:ascii="宋体" w:hAnsi="宋体" w:eastAsia="宋体"/>
          <w:color w:val="000000"/>
          <w:lang w:eastAsia="zh-CN"/>
        </w:rPr>
      </w:pPr>
      <w:r>
        <w:rPr>
          <w:rFonts w:hint="eastAsia" w:ascii="宋体" w:hAnsi="宋体"/>
          <w:color w:val="000000"/>
        </w:rPr>
        <w:t>五、付款方式</w:t>
      </w:r>
      <w:r>
        <w:rPr>
          <w:rFonts w:hint="eastAsia" w:ascii="宋体" w:hAnsi="宋体"/>
          <w:color w:val="000000"/>
          <w:lang w:eastAsia="zh-CN"/>
        </w:rPr>
        <w:t>：</w:t>
      </w:r>
    </w:p>
    <w:p>
      <w:pPr>
        <w:tabs>
          <w:tab w:val="left" w:pos="780"/>
        </w:tabs>
        <w:spacing w:line="360" w:lineRule="auto"/>
        <w:ind w:firstLine="422" w:firstLineChars="200"/>
        <w:rPr>
          <w:rFonts w:hint="eastAsia" w:ascii="宋体" w:hAnsi="宋体"/>
          <w:b/>
          <w:color w:val="000000"/>
        </w:rPr>
      </w:pPr>
      <w:r>
        <w:rPr>
          <w:rFonts w:hint="eastAsia" w:ascii="宋体" w:hAnsi="宋体"/>
          <w:b/>
          <w:color w:val="000000"/>
          <w:lang w:eastAsia="zh-CN"/>
        </w:rPr>
        <w:t>按合同约定执行</w:t>
      </w:r>
      <w:r>
        <w:rPr>
          <w:rFonts w:hint="eastAsia" w:ascii="宋体" w:hAnsi="宋体"/>
          <w:b/>
          <w:color w:val="000000"/>
        </w:rPr>
        <w:t>。</w:t>
      </w:r>
    </w:p>
    <w:p>
      <w:pPr>
        <w:widowControl w:val="0"/>
        <w:numPr>
          <w:ilvl w:val="0"/>
          <w:numId w:val="41"/>
        </w:numPr>
        <w:spacing w:line="360" w:lineRule="auto"/>
        <w:jc w:val="both"/>
        <w:rPr>
          <w:rFonts w:ascii="宋体" w:hAnsi="宋体"/>
          <w:color w:val="000000"/>
        </w:rPr>
      </w:pPr>
      <w:r>
        <w:rPr>
          <w:rFonts w:hint="eastAsia" w:ascii="宋体" w:hAnsi="宋体"/>
          <w:color w:val="000000"/>
        </w:rPr>
        <w:t>知识产权</w:t>
      </w:r>
    </w:p>
    <w:p>
      <w:pPr>
        <w:tabs>
          <w:tab w:val="left" w:pos="1440"/>
        </w:tabs>
        <w:spacing w:line="360" w:lineRule="auto"/>
        <w:ind w:firstLine="420" w:firstLineChars="200"/>
        <w:rPr>
          <w:rFonts w:ascii="宋体" w:hAnsi="宋体"/>
          <w:color w:val="000000"/>
        </w:rPr>
      </w:pPr>
      <w:r>
        <w:rPr>
          <w:rFonts w:hint="eastAsia" w:ascii="宋体" w:hAnsi="宋体"/>
          <w:color w:val="000000"/>
        </w:rPr>
        <w:t>乙方应保证所提供的服务或其任何一部分均不会侵犯任何第三方的专利权、商标权或著作权。</w:t>
      </w:r>
    </w:p>
    <w:p>
      <w:pPr>
        <w:widowControl w:val="0"/>
        <w:numPr>
          <w:ilvl w:val="0"/>
          <w:numId w:val="41"/>
        </w:numPr>
        <w:spacing w:line="360" w:lineRule="auto"/>
        <w:jc w:val="both"/>
        <w:rPr>
          <w:rFonts w:ascii="宋体" w:hAnsi="宋体"/>
          <w:color w:val="000000"/>
        </w:rPr>
      </w:pPr>
      <w:r>
        <w:rPr>
          <w:rFonts w:hint="eastAsia" w:ascii="宋体" w:hAnsi="宋体"/>
          <w:color w:val="000000"/>
        </w:rPr>
        <w:t>无产权瑕疵条款</w:t>
      </w:r>
    </w:p>
    <w:p>
      <w:pPr>
        <w:tabs>
          <w:tab w:val="left" w:pos="1440"/>
        </w:tabs>
        <w:spacing w:line="360" w:lineRule="auto"/>
        <w:ind w:firstLine="420" w:firstLineChars="200"/>
        <w:rPr>
          <w:rFonts w:ascii="宋体" w:hAnsi="宋体"/>
          <w:color w:val="000000"/>
        </w:rPr>
      </w:pPr>
      <w:r>
        <w:rPr>
          <w:rFonts w:hint="eastAsia" w:ascii="宋体" w:hAnsi="宋体"/>
          <w:color w:val="000000"/>
        </w:rPr>
        <w:t>乙方保证所提供的服务的所有权完全属于乙方且无任何抵押、查封等产权瑕疵。如有产权瑕疵的，视为乙方违约。乙方应负担由此而产生的一切损失。</w:t>
      </w:r>
    </w:p>
    <w:p>
      <w:pPr>
        <w:widowControl w:val="0"/>
        <w:numPr>
          <w:ilvl w:val="0"/>
          <w:numId w:val="41"/>
        </w:numPr>
        <w:spacing w:line="360" w:lineRule="auto"/>
        <w:jc w:val="both"/>
        <w:rPr>
          <w:rFonts w:ascii="宋体" w:hAnsi="宋体"/>
          <w:color w:val="000000"/>
        </w:rPr>
      </w:pPr>
      <w:r>
        <w:rPr>
          <w:rFonts w:hint="eastAsia" w:ascii="宋体" w:hAnsi="宋体"/>
          <w:color w:val="000000"/>
        </w:rPr>
        <w:t>履约保证金</w:t>
      </w:r>
    </w:p>
    <w:p>
      <w:pPr>
        <w:pStyle w:val="7"/>
        <w:numPr>
          <w:ilvl w:val="0"/>
          <w:numId w:val="42"/>
        </w:numPr>
        <w:autoSpaceDE/>
        <w:autoSpaceDN/>
        <w:adjustRightInd/>
        <w:spacing w:line="360" w:lineRule="auto"/>
        <w:ind w:left="0" w:firstLine="567"/>
        <w:rPr>
          <w:rFonts w:hAnsi="宋体"/>
          <w:color w:val="000000"/>
          <w:sz w:val="24"/>
        </w:rPr>
      </w:pPr>
      <w:r>
        <w:rPr>
          <w:rFonts w:hAnsi="宋体"/>
          <w:color w:val="000000"/>
          <w:sz w:val="24"/>
        </w:rPr>
        <w:t>乙方交纳人民币</w:t>
      </w:r>
      <w:r>
        <w:rPr>
          <w:rFonts w:hAnsi="宋体"/>
          <w:color w:val="000000"/>
          <w:sz w:val="24"/>
          <w:u w:val="single"/>
        </w:rPr>
        <w:t>　　　　　　</w:t>
      </w:r>
      <w:r>
        <w:rPr>
          <w:rFonts w:hAnsi="宋体"/>
          <w:color w:val="000000"/>
          <w:sz w:val="24"/>
        </w:rPr>
        <w:t>元作为本合同的履约保证金。</w:t>
      </w:r>
    </w:p>
    <w:p>
      <w:pPr>
        <w:pStyle w:val="7"/>
        <w:numPr>
          <w:ilvl w:val="0"/>
          <w:numId w:val="42"/>
        </w:numPr>
        <w:autoSpaceDE/>
        <w:autoSpaceDN/>
        <w:adjustRightInd/>
        <w:spacing w:line="360" w:lineRule="auto"/>
        <w:ind w:left="0" w:firstLine="567"/>
        <w:rPr>
          <w:rFonts w:hAnsi="宋体"/>
          <w:color w:val="000000"/>
          <w:sz w:val="24"/>
        </w:rPr>
      </w:pPr>
      <w:r>
        <w:rPr>
          <w:rFonts w:hAnsi="宋体"/>
          <w:color w:val="000000"/>
          <w:sz w:val="24"/>
        </w:rPr>
        <w:t>履约保证金作为违约金的一部分及用于补偿甲方因乙方不能履行合同义务而蒙受的损失。</w:t>
      </w:r>
    </w:p>
    <w:p>
      <w:pPr>
        <w:widowControl w:val="0"/>
        <w:numPr>
          <w:ilvl w:val="0"/>
          <w:numId w:val="41"/>
        </w:numPr>
        <w:spacing w:line="360" w:lineRule="auto"/>
        <w:jc w:val="both"/>
        <w:rPr>
          <w:rFonts w:ascii="宋体" w:hAnsi="宋体"/>
          <w:color w:val="000000"/>
        </w:rPr>
      </w:pPr>
      <w:r>
        <w:rPr>
          <w:rFonts w:hint="eastAsia" w:ascii="宋体" w:hAnsi="宋体"/>
          <w:color w:val="000000"/>
        </w:rPr>
        <w:t>甲方的权利和义务</w:t>
      </w:r>
    </w:p>
    <w:p>
      <w:pPr>
        <w:widowControl w:val="0"/>
        <w:numPr>
          <w:ilvl w:val="0"/>
          <w:numId w:val="43"/>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43"/>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甲方有权依据双方签订的考评办法对乙方提供的服务进行定期考评。当考评结果未达到标准时，有权依据考评办法约定的数额扣除履约保证金。</w:t>
      </w:r>
    </w:p>
    <w:p>
      <w:pPr>
        <w:widowControl w:val="0"/>
        <w:numPr>
          <w:ilvl w:val="0"/>
          <w:numId w:val="43"/>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负责检查监督乙方管理工作的实施及制度的执行情况。</w:t>
      </w:r>
    </w:p>
    <w:p>
      <w:pPr>
        <w:widowControl w:val="0"/>
        <w:numPr>
          <w:ilvl w:val="0"/>
          <w:numId w:val="43"/>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根据本合同规定，按时向乙方支付应付服务费用。</w:t>
      </w:r>
    </w:p>
    <w:p>
      <w:pPr>
        <w:widowControl w:val="0"/>
        <w:numPr>
          <w:ilvl w:val="0"/>
          <w:numId w:val="43"/>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国家法律、法规所规定由甲方承担的其它责任。</w:t>
      </w:r>
    </w:p>
    <w:p>
      <w:pPr>
        <w:widowControl w:val="0"/>
        <w:numPr>
          <w:ilvl w:val="0"/>
          <w:numId w:val="41"/>
        </w:numPr>
        <w:spacing w:line="360" w:lineRule="auto"/>
        <w:jc w:val="both"/>
        <w:rPr>
          <w:rFonts w:ascii="宋体" w:hAnsi="宋体"/>
          <w:color w:val="000000"/>
        </w:rPr>
      </w:pPr>
      <w:r>
        <w:rPr>
          <w:rFonts w:hint="eastAsia" w:ascii="宋体" w:hAnsi="宋体"/>
          <w:color w:val="000000"/>
        </w:rPr>
        <w:t>乙方的权利和义务</w:t>
      </w:r>
    </w:p>
    <w:p>
      <w:pPr>
        <w:widowControl w:val="0"/>
        <w:numPr>
          <w:ilvl w:val="0"/>
          <w:numId w:val="44"/>
        </w:numPr>
        <w:adjustRightInd w:val="0"/>
        <w:spacing w:line="360" w:lineRule="auto"/>
        <w:ind w:firstLine="567"/>
        <w:textAlignment w:val="baseline"/>
        <w:rPr>
          <w:rFonts w:ascii="宋体" w:hAnsi="宋体"/>
          <w:bCs/>
          <w:color w:val="000000"/>
        </w:rPr>
      </w:pPr>
      <w:r>
        <w:rPr>
          <w:rFonts w:hint="eastAsia" w:ascii="宋体" w:hAnsi="宋体"/>
          <w:bCs/>
          <w:color w:val="000000"/>
        </w:rPr>
        <w:t>对本合同规定的委托服务范围内的项目享有管理权及服务义务。</w:t>
      </w:r>
    </w:p>
    <w:p>
      <w:pPr>
        <w:widowControl w:val="0"/>
        <w:numPr>
          <w:ilvl w:val="0"/>
          <w:numId w:val="44"/>
        </w:numPr>
        <w:adjustRightInd w:val="0"/>
        <w:spacing w:line="360" w:lineRule="auto"/>
        <w:ind w:firstLine="567"/>
        <w:textAlignment w:val="baseline"/>
        <w:rPr>
          <w:rFonts w:ascii="宋体" w:hAnsi="宋体"/>
          <w:bCs/>
          <w:color w:val="000000"/>
        </w:rPr>
      </w:pPr>
      <w:r>
        <w:rPr>
          <w:rFonts w:hint="eastAsia" w:ascii="宋体" w:hAnsi="宋体"/>
          <w:bCs/>
          <w:color w:val="000000"/>
        </w:rPr>
        <w:t>根据本合同的规定向甲方收取相关服务费用，并有权在本项目管理范围内管理及合理使用。</w:t>
      </w:r>
    </w:p>
    <w:p>
      <w:pPr>
        <w:widowControl w:val="0"/>
        <w:numPr>
          <w:ilvl w:val="0"/>
          <w:numId w:val="44"/>
        </w:numPr>
        <w:adjustRightInd w:val="0"/>
        <w:spacing w:line="360" w:lineRule="auto"/>
        <w:ind w:firstLine="567"/>
        <w:textAlignment w:val="baseline"/>
        <w:rPr>
          <w:rFonts w:ascii="宋体" w:hAnsi="宋体"/>
          <w:bCs/>
          <w:color w:val="000000"/>
        </w:rPr>
      </w:pPr>
      <w:r>
        <w:rPr>
          <w:rFonts w:hint="eastAsia" w:ascii="宋体" w:hAnsi="宋体"/>
          <w:color w:val="000000"/>
        </w:rPr>
        <w:t>及时向甲方通告本项目服务范围内有关服务的重大事项，及时配合处理投诉。</w:t>
      </w:r>
    </w:p>
    <w:p>
      <w:pPr>
        <w:widowControl w:val="0"/>
        <w:numPr>
          <w:ilvl w:val="0"/>
          <w:numId w:val="44"/>
        </w:numPr>
        <w:adjustRightInd w:val="0"/>
        <w:spacing w:line="360" w:lineRule="auto"/>
        <w:ind w:firstLine="567"/>
        <w:textAlignment w:val="baseline"/>
        <w:rPr>
          <w:rFonts w:ascii="宋体" w:hAnsi="宋体"/>
          <w:bCs/>
          <w:color w:val="000000"/>
        </w:rPr>
      </w:pPr>
      <w:r>
        <w:rPr>
          <w:rFonts w:hint="eastAsia" w:ascii="宋体" w:hAnsi="宋体"/>
          <w:bCs/>
          <w:color w:val="000000"/>
        </w:rPr>
        <w:t>接受项目行业管理部门及政府有关部门的指导，接受甲方的监督。</w:t>
      </w:r>
    </w:p>
    <w:p>
      <w:pPr>
        <w:widowControl w:val="0"/>
        <w:numPr>
          <w:ilvl w:val="0"/>
          <w:numId w:val="44"/>
        </w:numPr>
        <w:adjustRightInd w:val="0"/>
        <w:spacing w:line="360" w:lineRule="auto"/>
        <w:ind w:firstLine="567"/>
        <w:textAlignment w:val="baseline"/>
        <w:rPr>
          <w:rFonts w:ascii="宋体" w:hAnsi="宋体"/>
          <w:bCs/>
          <w:color w:val="000000"/>
        </w:rPr>
      </w:pPr>
      <w:r>
        <w:rPr>
          <w:rFonts w:hint="eastAsia" w:ascii="宋体" w:hAnsi="宋体"/>
          <w:bCs/>
          <w:color w:val="000000"/>
        </w:rPr>
        <w:t>国家法律、法规所规定由乙方承担的其它责任。</w:t>
      </w:r>
    </w:p>
    <w:p>
      <w:pPr>
        <w:widowControl w:val="0"/>
        <w:numPr>
          <w:ilvl w:val="0"/>
          <w:numId w:val="41"/>
        </w:numPr>
        <w:spacing w:line="360" w:lineRule="auto"/>
        <w:jc w:val="both"/>
        <w:rPr>
          <w:rFonts w:ascii="宋体" w:hAnsi="宋体"/>
          <w:color w:val="000000"/>
        </w:rPr>
      </w:pPr>
      <w:r>
        <w:rPr>
          <w:rFonts w:hint="eastAsia" w:ascii="宋体" w:hAnsi="宋体"/>
          <w:color w:val="000000"/>
        </w:rPr>
        <w:t>违约责任</w:t>
      </w:r>
    </w:p>
    <w:p>
      <w:pPr>
        <w:widowControl w:val="0"/>
        <w:numPr>
          <w:ilvl w:val="0"/>
          <w:numId w:val="0"/>
        </w:numPr>
        <w:adjustRightInd w:val="0"/>
        <w:spacing w:line="360" w:lineRule="auto"/>
        <w:ind w:left="567" w:leftChars="0"/>
        <w:textAlignment w:val="baseline"/>
        <w:rPr>
          <w:rFonts w:ascii="宋体" w:hAnsi="宋体"/>
          <w:bCs/>
          <w:color w:val="000000"/>
        </w:rPr>
      </w:pPr>
      <w:r>
        <w:rPr>
          <w:rFonts w:hint="eastAsia" w:ascii="宋体" w:hAnsi="宋体"/>
          <w:bCs/>
          <w:color w:val="000000"/>
          <w:lang w:val="en-US" w:eastAsia="zh-CN"/>
        </w:rPr>
        <w:t>1.</w:t>
      </w:r>
      <w:r>
        <w:rPr>
          <w:rFonts w:hint="eastAsia" w:ascii="宋体" w:hAnsi="宋体"/>
          <w:bCs/>
          <w:color w:val="000000"/>
        </w:rPr>
        <w:t>甲乙双方必须遵守本合同并执行合同中的各项规定，保证本合同的正常履行。</w:t>
      </w:r>
    </w:p>
    <w:p>
      <w:pPr>
        <w:widowControl w:val="0"/>
        <w:numPr>
          <w:ilvl w:val="0"/>
          <w:numId w:val="0"/>
        </w:numPr>
        <w:adjustRightInd w:val="0"/>
        <w:spacing w:line="360" w:lineRule="auto"/>
        <w:ind w:left="567" w:leftChars="0"/>
        <w:textAlignment w:val="baseline"/>
        <w:rPr>
          <w:rFonts w:ascii="宋体" w:hAnsi="宋体"/>
          <w:bCs/>
          <w:color w:val="000000"/>
        </w:rPr>
      </w:pPr>
      <w:r>
        <w:rPr>
          <w:rFonts w:hint="eastAsia" w:ascii="宋体" w:hAnsi="宋体"/>
          <w:bCs/>
          <w:color w:val="000000"/>
          <w:lang w:val="en-US" w:eastAsia="zh-CN"/>
        </w:rPr>
        <w:t>2.</w:t>
      </w:r>
      <w:r>
        <w:rPr>
          <w:rFonts w:hint="eastAsia" w:ascii="宋体" w:hAnsi="宋体"/>
          <w:bCs/>
          <w:color w:val="000000"/>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numPr>
          <w:ilvl w:val="0"/>
          <w:numId w:val="41"/>
        </w:numPr>
        <w:spacing w:line="360" w:lineRule="auto"/>
        <w:jc w:val="both"/>
        <w:rPr>
          <w:rFonts w:ascii="宋体" w:hAnsi="宋体"/>
          <w:color w:val="000000"/>
        </w:rPr>
      </w:pPr>
      <w:r>
        <w:rPr>
          <w:rFonts w:hint="eastAsia" w:ascii="宋体" w:hAnsi="宋体"/>
          <w:color w:val="000000"/>
        </w:rPr>
        <w:t>不可抗力事件处理</w:t>
      </w:r>
    </w:p>
    <w:p>
      <w:pPr>
        <w:widowControl w:val="0"/>
        <w:numPr>
          <w:ilvl w:val="0"/>
          <w:numId w:val="0"/>
        </w:numPr>
        <w:tabs>
          <w:tab w:val="left" w:pos="0"/>
        </w:tabs>
        <w:spacing w:line="360" w:lineRule="auto"/>
        <w:ind w:left="567" w:leftChars="0"/>
        <w:jc w:val="both"/>
        <w:rPr>
          <w:rFonts w:ascii="宋体" w:hAnsi="宋体"/>
          <w:color w:val="000000"/>
        </w:rPr>
      </w:pPr>
      <w:r>
        <w:rPr>
          <w:rFonts w:hint="eastAsia" w:ascii="宋体" w:hAnsi="宋体"/>
          <w:color w:val="000000"/>
          <w:lang w:val="en-US" w:eastAsia="zh-CN"/>
        </w:rPr>
        <w:t>1.</w:t>
      </w:r>
      <w:r>
        <w:rPr>
          <w:rFonts w:hint="eastAsia" w:ascii="宋体" w:hAnsi="宋体"/>
          <w:color w:val="000000"/>
        </w:rPr>
        <w:t>在合同有效期内，任何一方因不可抗力事件导致不能履行合同，则合同履行期可延长，其延长期与不可抗力影响期相同。</w:t>
      </w:r>
    </w:p>
    <w:p>
      <w:pPr>
        <w:widowControl w:val="0"/>
        <w:numPr>
          <w:ilvl w:val="0"/>
          <w:numId w:val="0"/>
        </w:numPr>
        <w:tabs>
          <w:tab w:val="left" w:pos="0"/>
        </w:tabs>
        <w:spacing w:line="360" w:lineRule="auto"/>
        <w:ind w:left="567" w:leftChars="0"/>
        <w:jc w:val="both"/>
        <w:rPr>
          <w:rFonts w:ascii="宋体" w:hAnsi="宋体"/>
          <w:color w:val="000000"/>
        </w:rPr>
      </w:pPr>
      <w:r>
        <w:rPr>
          <w:rFonts w:hint="eastAsia" w:ascii="宋体" w:hAnsi="宋体"/>
          <w:color w:val="000000"/>
          <w:lang w:val="en-US" w:eastAsia="zh-CN"/>
        </w:rPr>
        <w:t>2.</w:t>
      </w:r>
      <w:r>
        <w:rPr>
          <w:rFonts w:hint="eastAsia" w:ascii="宋体" w:hAnsi="宋体"/>
          <w:color w:val="000000"/>
        </w:rPr>
        <w:t>不可抗力事件发生后，应立即通知对方，并寄送有关权威机构出具的证明。</w:t>
      </w:r>
    </w:p>
    <w:p>
      <w:pPr>
        <w:widowControl w:val="0"/>
        <w:numPr>
          <w:ilvl w:val="0"/>
          <w:numId w:val="0"/>
        </w:numPr>
        <w:tabs>
          <w:tab w:val="left" w:pos="0"/>
        </w:tabs>
        <w:spacing w:line="360" w:lineRule="auto"/>
        <w:ind w:left="567" w:leftChars="0"/>
        <w:jc w:val="both"/>
        <w:rPr>
          <w:rFonts w:ascii="宋体" w:hAnsi="宋体"/>
          <w:color w:val="000000"/>
        </w:rPr>
      </w:pPr>
      <w:r>
        <w:rPr>
          <w:rFonts w:hint="eastAsia" w:ascii="宋体" w:hAnsi="宋体"/>
          <w:color w:val="000000"/>
          <w:lang w:val="en-US" w:eastAsia="zh-CN"/>
        </w:rPr>
        <w:t>3.</w:t>
      </w:r>
      <w:r>
        <w:rPr>
          <w:rFonts w:hint="eastAsia" w:ascii="宋体" w:hAnsi="宋体"/>
          <w:color w:val="000000"/>
        </w:rPr>
        <w:t>不可抗力事件延续120天以上，双方应通过友好协商，确定是否继续履行合同。</w:t>
      </w:r>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Pr>
        <w:widowControl w:val="0"/>
        <w:numPr>
          <w:ilvl w:val="0"/>
          <w:numId w:val="41"/>
        </w:numPr>
        <w:spacing w:line="360" w:lineRule="auto"/>
        <w:jc w:val="both"/>
        <w:rPr>
          <w:rFonts w:ascii="宋体" w:hAnsi="宋体"/>
          <w:color w:val="000000"/>
        </w:rPr>
      </w:pPr>
      <w:bookmarkStart w:id="129" w:name="_Toc286993792"/>
      <w:bookmarkStart w:id="130" w:name="_Toc185395254"/>
      <w:bookmarkStart w:id="131" w:name="_Toc225670756"/>
      <w:bookmarkStart w:id="132" w:name="_Toc211911353"/>
      <w:bookmarkStart w:id="133" w:name="_Toc225654649"/>
      <w:bookmarkStart w:id="134" w:name="_Toc251768867"/>
      <w:bookmarkStart w:id="135" w:name="_Toc239233919"/>
      <w:bookmarkStart w:id="136" w:name="_Toc241833908"/>
      <w:bookmarkStart w:id="137" w:name="_Toc247334846"/>
      <w:bookmarkStart w:id="138" w:name="_Toc232492933"/>
      <w:bookmarkStart w:id="139" w:name="_Toc212019599"/>
      <w:bookmarkStart w:id="140" w:name="_Toc238984980"/>
      <w:bookmarkStart w:id="141" w:name="_Toc211854454"/>
      <w:bookmarkStart w:id="142" w:name="_Toc237145411"/>
      <w:bookmarkStart w:id="143" w:name="_Toc225244857"/>
      <w:bookmarkStart w:id="144" w:name="_Toc239568423"/>
      <w:r>
        <w:rPr>
          <w:rFonts w:hint="eastAsia" w:ascii="宋体" w:hAnsi="宋体"/>
          <w:color w:val="000000"/>
        </w:rPr>
        <w:t>解决合同纠纷的方式</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widowControl w:val="0"/>
        <w:numPr>
          <w:ilvl w:val="0"/>
          <w:numId w:val="45"/>
        </w:numPr>
        <w:tabs>
          <w:tab w:val="left" w:pos="0"/>
        </w:tabs>
        <w:spacing w:line="360" w:lineRule="auto"/>
        <w:ind w:left="0" w:firstLine="560"/>
        <w:jc w:val="both"/>
        <w:rPr>
          <w:rFonts w:ascii="宋体" w:hAnsi="宋体"/>
          <w:color w:val="000000"/>
        </w:rPr>
      </w:pPr>
      <w:r>
        <w:rPr>
          <w:rFonts w:hint="eastAsia" w:ascii="宋体" w:hAnsi="宋体"/>
          <w:color w:val="000000"/>
        </w:rPr>
        <w:t>在执行本合同中发生的或与本合同有关的争端，双方应通过友好协商解决，经协商在60天内不能达成协议时，应提交成都仲裁委员会仲裁。</w:t>
      </w:r>
    </w:p>
    <w:p>
      <w:pPr>
        <w:widowControl w:val="0"/>
        <w:numPr>
          <w:ilvl w:val="0"/>
          <w:numId w:val="45"/>
        </w:numPr>
        <w:tabs>
          <w:tab w:val="left" w:pos="0"/>
        </w:tabs>
        <w:spacing w:line="360" w:lineRule="auto"/>
        <w:ind w:left="0" w:firstLine="560"/>
        <w:jc w:val="both"/>
        <w:rPr>
          <w:rFonts w:ascii="宋体" w:hAnsi="宋体"/>
          <w:color w:val="000000"/>
        </w:rPr>
      </w:pPr>
      <w:r>
        <w:rPr>
          <w:rFonts w:hint="eastAsia" w:ascii="宋体" w:hAnsi="宋体"/>
          <w:color w:val="000000"/>
        </w:rPr>
        <w:t>仲裁裁决应为最终决定，并对双方具有约束力。</w:t>
      </w:r>
    </w:p>
    <w:p>
      <w:pPr>
        <w:widowControl w:val="0"/>
        <w:numPr>
          <w:ilvl w:val="0"/>
          <w:numId w:val="45"/>
        </w:numPr>
        <w:tabs>
          <w:tab w:val="left" w:pos="0"/>
        </w:tabs>
        <w:spacing w:line="360" w:lineRule="auto"/>
        <w:ind w:left="0" w:firstLine="560"/>
        <w:jc w:val="both"/>
        <w:rPr>
          <w:rFonts w:ascii="宋体" w:hAnsi="宋体"/>
          <w:color w:val="000000"/>
        </w:rPr>
      </w:pPr>
      <w:r>
        <w:rPr>
          <w:rFonts w:hint="eastAsia" w:ascii="宋体" w:hAnsi="宋体"/>
          <w:color w:val="000000"/>
        </w:rPr>
        <w:t xml:space="preserve">除另有裁决外，仲裁费应由败诉方负担。 </w:t>
      </w:r>
    </w:p>
    <w:p>
      <w:pPr>
        <w:widowControl w:val="0"/>
        <w:numPr>
          <w:ilvl w:val="0"/>
          <w:numId w:val="45"/>
        </w:numPr>
        <w:tabs>
          <w:tab w:val="left" w:pos="0"/>
        </w:tabs>
        <w:spacing w:line="360" w:lineRule="auto"/>
        <w:ind w:left="0" w:firstLine="560"/>
        <w:jc w:val="both"/>
        <w:rPr>
          <w:rFonts w:ascii="宋体" w:hAnsi="宋体"/>
          <w:color w:val="000000"/>
        </w:rPr>
      </w:pPr>
      <w:r>
        <w:rPr>
          <w:rFonts w:hint="eastAsia" w:ascii="宋体" w:hAnsi="宋体"/>
          <w:color w:val="000000"/>
        </w:rPr>
        <w:t xml:space="preserve">在仲裁期间，除正在进行仲裁部分外，合同其他部分继续执行。  </w:t>
      </w:r>
    </w:p>
    <w:p>
      <w:pPr>
        <w:widowControl w:val="0"/>
        <w:numPr>
          <w:ilvl w:val="0"/>
          <w:numId w:val="41"/>
        </w:numPr>
        <w:spacing w:line="360" w:lineRule="auto"/>
        <w:jc w:val="both"/>
        <w:rPr>
          <w:rFonts w:ascii="宋体" w:hAnsi="宋体"/>
          <w:color w:val="000000"/>
        </w:rPr>
      </w:pPr>
      <w:bookmarkStart w:id="145" w:name="_Toc211854455"/>
      <w:bookmarkStart w:id="146" w:name="_Toc225654650"/>
      <w:bookmarkStart w:id="147" w:name="_Toc225670757"/>
      <w:bookmarkStart w:id="148" w:name="_Toc185395255"/>
      <w:bookmarkStart w:id="149" w:name="_Toc286993793"/>
      <w:bookmarkStart w:id="150" w:name="_Toc241833909"/>
      <w:bookmarkStart w:id="151" w:name="_Toc247334847"/>
      <w:bookmarkStart w:id="152" w:name="_Toc211911354"/>
      <w:bookmarkStart w:id="153" w:name="_Toc238984981"/>
      <w:bookmarkStart w:id="154" w:name="_Toc237145412"/>
      <w:bookmarkStart w:id="155" w:name="_Toc282696231"/>
      <w:bookmarkStart w:id="156" w:name="_Toc225244858"/>
      <w:bookmarkStart w:id="157" w:name="_Toc239233920"/>
      <w:bookmarkStart w:id="158" w:name="_Toc212019600"/>
      <w:bookmarkStart w:id="159" w:name="_Toc232492934"/>
      <w:bookmarkStart w:id="160" w:name="_Toc283019219"/>
      <w:bookmarkStart w:id="161" w:name="_Toc251768868"/>
      <w:bookmarkStart w:id="162" w:name="_Toc239568424"/>
      <w:r>
        <w:rPr>
          <w:rFonts w:hint="eastAsia" w:ascii="宋体" w:hAnsi="宋体"/>
          <w:color w:val="000000"/>
        </w:rPr>
        <w:t>合同</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hint="eastAsia" w:ascii="宋体" w:hAnsi="宋体"/>
          <w:color w:val="000000"/>
        </w:rPr>
        <w:t>生效及其他</w:t>
      </w:r>
    </w:p>
    <w:p>
      <w:pPr>
        <w:pStyle w:val="20"/>
        <w:numPr>
          <w:ilvl w:val="0"/>
          <w:numId w:val="46"/>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合同经双方法定代表人或授权委托代理人签字并加盖单位公章后生效。</w:t>
      </w:r>
    </w:p>
    <w:p>
      <w:pPr>
        <w:pStyle w:val="20"/>
        <w:numPr>
          <w:ilvl w:val="0"/>
          <w:numId w:val="46"/>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合同执行中涉及采购资金和采购内容修改或补充的，须经政府采购监管部门审批，并签书面补充协议报政府采购监督管理部门备案，方可作为主合同不可分割的一部分。</w:t>
      </w:r>
    </w:p>
    <w:p>
      <w:pPr>
        <w:pStyle w:val="20"/>
        <w:numPr>
          <w:ilvl w:val="0"/>
          <w:numId w:val="46"/>
        </w:numPr>
        <w:spacing w:line="360" w:lineRule="auto"/>
        <w:ind w:left="0" w:firstLine="630" w:firstLineChars="0"/>
        <w:rPr>
          <w:rFonts w:ascii="宋体" w:hAnsi="宋体"/>
          <w:color w:val="000000"/>
          <w:sz w:val="24"/>
          <w:szCs w:val="24"/>
        </w:rPr>
      </w:pPr>
      <w:r>
        <w:rPr>
          <w:rFonts w:hint="eastAsia" w:ascii="宋体" w:hAnsi="宋体"/>
          <w:color w:val="000000"/>
          <w:sz w:val="24"/>
          <w:szCs w:val="24"/>
        </w:rPr>
        <w:t>本合同一式</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份，自双方签章之日起起效。甲方</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份，乙方</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份，政府采购代理机构</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2</w:t>
      </w:r>
      <w:r>
        <w:rPr>
          <w:rFonts w:hint="eastAsia" w:ascii="宋体" w:hAnsi="宋体"/>
          <w:color w:val="000000"/>
          <w:sz w:val="24"/>
          <w:szCs w:val="24"/>
          <w:u w:val="single"/>
        </w:rPr>
        <w:t xml:space="preserve"> </w:t>
      </w:r>
      <w:r>
        <w:rPr>
          <w:rFonts w:hint="eastAsia" w:ascii="宋体" w:hAnsi="宋体"/>
          <w:color w:val="000000"/>
          <w:sz w:val="24"/>
          <w:szCs w:val="24"/>
        </w:rPr>
        <w:t>份，具有同等法律效力。</w:t>
      </w:r>
    </w:p>
    <w:p>
      <w:pPr>
        <w:autoSpaceDE w:val="0"/>
        <w:autoSpaceDN w:val="0"/>
        <w:adjustRightInd w:val="0"/>
        <w:spacing w:line="400" w:lineRule="exact"/>
        <w:rPr>
          <w:rFonts w:ascii="Calibri" w:hAnsi="Calibri" w:cs="Calibri"/>
          <w:color w:val="000000"/>
        </w:rPr>
      </w:pPr>
      <w:r>
        <w:rPr>
          <w:rFonts w:hint="eastAsia" w:ascii="宋体" w:hAnsi="Calibri" w:cs="宋体"/>
          <w:color w:val="000000"/>
          <w:lang w:val="zh-CN"/>
        </w:rPr>
        <w:t>甲方（盖章）：</w:t>
      </w:r>
      <w:r>
        <w:rPr>
          <w:rFonts w:ascii="Calibri" w:hAnsi="Calibri" w:cs="Calibri"/>
          <w:color w:val="000000"/>
        </w:rPr>
        <w:t xml:space="preserve">                  </w:t>
      </w:r>
      <w:r>
        <w:rPr>
          <w:rFonts w:hint="eastAsia" w:ascii="Calibri" w:hAnsi="Calibri" w:cs="Calibri"/>
          <w:color w:val="000000"/>
        </w:rPr>
        <w:t xml:space="preserve">       </w:t>
      </w:r>
      <w:r>
        <w:rPr>
          <w:rFonts w:hint="eastAsia" w:ascii="宋体" w:hAnsi="Calibri" w:cs="宋体"/>
          <w:color w:val="000000"/>
          <w:lang w:val="zh-CN"/>
        </w:rPr>
        <w:t>乙方（盖章）：</w:t>
      </w:r>
    </w:p>
    <w:p>
      <w:pPr>
        <w:autoSpaceDE w:val="0"/>
        <w:autoSpaceDN w:val="0"/>
        <w:adjustRightInd w:val="0"/>
        <w:spacing w:line="400" w:lineRule="exact"/>
        <w:rPr>
          <w:rFonts w:ascii="Calibri" w:hAnsi="Calibri" w:cs="Calibri"/>
          <w:color w:val="000000"/>
        </w:rPr>
      </w:pPr>
      <w:r>
        <w:rPr>
          <w:rFonts w:hint="eastAsia" w:ascii="宋体" w:hAnsi="Calibri" w:cs="宋体"/>
          <w:color w:val="000000"/>
          <w:lang w:val="zh-CN"/>
        </w:rPr>
        <w:t>法定代表人或委托代理人</w:t>
      </w:r>
      <w:r>
        <w:rPr>
          <w:rFonts w:hint="eastAsia" w:ascii="宋体" w:hAnsi="Calibri" w:cs="宋体"/>
          <w:color w:val="000000"/>
        </w:rPr>
        <w:t>：</w:t>
      </w:r>
      <w:r>
        <w:rPr>
          <w:rFonts w:ascii="Calibri" w:hAnsi="Calibri" w:cs="Calibri"/>
          <w:color w:val="000000"/>
        </w:rPr>
        <w:t xml:space="preserve">      </w:t>
      </w:r>
      <w:r>
        <w:rPr>
          <w:rFonts w:hint="eastAsia" w:ascii="Calibri" w:hAnsi="Calibri" w:cs="Calibri"/>
          <w:color w:val="000000"/>
        </w:rPr>
        <w:t xml:space="preserve">         </w:t>
      </w:r>
      <w:r>
        <w:rPr>
          <w:rFonts w:hint="eastAsia" w:ascii="宋体" w:hAnsi="Calibri" w:cs="宋体"/>
          <w:color w:val="000000"/>
          <w:lang w:val="zh-CN"/>
        </w:rPr>
        <w:t>法定代表人或委托代理人</w:t>
      </w:r>
      <w:r>
        <w:rPr>
          <w:rFonts w:hint="eastAsia" w:ascii="宋体" w:hAnsi="Calibri" w:cs="宋体"/>
          <w:color w:val="000000"/>
        </w:rPr>
        <w:t>：</w:t>
      </w:r>
    </w:p>
    <w:p>
      <w:pPr>
        <w:autoSpaceDE w:val="0"/>
        <w:autoSpaceDN w:val="0"/>
        <w:adjustRightInd w:val="0"/>
        <w:spacing w:line="400" w:lineRule="exact"/>
        <w:rPr>
          <w:rFonts w:hint="eastAsia" w:ascii="Calibri" w:hAnsi="Calibri" w:cs="Calibri"/>
          <w:color w:val="000000"/>
        </w:rPr>
      </w:pPr>
      <w:r>
        <w:rPr>
          <w:rFonts w:ascii="Calibri" w:hAnsi="Calibri" w:cs="Calibri"/>
          <w:color w:val="000000"/>
        </w:rPr>
        <w:t xml:space="preserve">           </w:t>
      </w:r>
      <w:r>
        <w:rPr>
          <w:rFonts w:hint="eastAsia" w:ascii="Calibri" w:hAnsi="Calibri" w:cs="Calibri"/>
          <w:color w:val="000000"/>
        </w:rPr>
        <w:t xml:space="preserve"> </w:t>
      </w:r>
      <w:r>
        <w:rPr>
          <w:rFonts w:ascii="Calibri" w:hAnsi="Calibri" w:cs="Calibri"/>
          <w:color w:val="000000"/>
        </w:rPr>
        <w:t xml:space="preserve">  </w:t>
      </w:r>
      <w:r>
        <w:rPr>
          <w:rFonts w:hint="eastAsia" w:ascii="Calibri" w:hAnsi="Calibri" w:cs="Calibri"/>
          <w:color w:val="000000"/>
        </w:rPr>
        <w:t xml:space="preserve">                        </w:t>
      </w:r>
      <w:r>
        <w:rPr>
          <w:rFonts w:ascii="Calibri" w:hAnsi="Calibri" w:cs="Calibri"/>
          <w:color w:val="000000"/>
        </w:rPr>
        <w:t xml:space="preserve"> </w:t>
      </w:r>
      <w:r>
        <w:rPr>
          <w:rFonts w:hint="eastAsia" w:ascii="宋体" w:hAnsi="Calibri" w:cs="宋体"/>
          <w:color w:val="000000"/>
          <w:lang w:val="zh-CN"/>
        </w:rPr>
        <w:t>开户银行：</w:t>
      </w:r>
      <w:r>
        <w:rPr>
          <w:rFonts w:ascii="Calibri" w:hAnsi="Calibri" w:cs="Calibri"/>
          <w:color w:val="000000"/>
        </w:rPr>
        <w:t xml:space="preserve">     </w:t>
      </w:r>
    </w:p>
    <w:p>
      <w:pPr>
        <w:autoSpaceDE w:val="0"/>
        <w:autoSpaceDN w:val="0"/>
        <w:adjustRightInd w:val="0"/>
        <w:spacing w:line="400" w:lineRule="exact"/>
        <w:rPr>
          <w:rFonts w:ascii="Calibri" w:hAnsi="Calibri" w:cs="Calibri"/>
          <w:color w:val="000000"/>
        </w:rPr>
      </w:pPr>
      <w:r>
        <w:rPr>
          <w:rFonts w:hint="eastAsia" w:ascii="宋体" w:hAnsi="Calibri" w:cs="宋体"/>
          <w:color w:val="000000"/>
          <w:lang w:val="zh-CN"/>
        </w:rPr>
        <w:t>联系电话：</w:t>
      </w:r>
      <w:r>
        <w:rPr>
          <w:rFonts w:ascii="Calibri" w:hAnsi="Calibri" w:cs="Calibri"/>
          <w:color w:val="000000"/>
        </w:rPr>
        <w:t xml:space="preserve">                   </w:t>
      </w:r>
      <w:r>
        <w:rPr>
          <w:rFonts w:hint="eastAsia" w:ascii="Calibri" w:hAnsi="Calibri" w:cs="Calibri"/>
          <w:color w:val="000000"/>
        </w:rPr>
        <w:t xml:space="preserve">        </w:t>
      </w:r>
      <w:r>
        <w:rPr>
          <w:rFonts w:ascii="Calibri" w:hAnsi="Calibri" w:cs="Calibri"/>
          <w:color w:val="000000"/>
        </w:rPr>
        <w:t xml:space="preserve">  </w:t>
      </w:r>
      <w:r>
        <w:rPr>
          <w:rFonts w:hint="eastAsia" w:ascii="宋体" w:hAnsi="Calibri" w:cs="宋体"/>
          <w:color w:val="000000"/>
          <w:lang w:val="zh-CN"/>
        </w:rPr>
        <w:t>账号：</w:t>
      </w:r>
    </w:p>
    <w:p>
      <w:pPr>
        <w:autoSpaceDE w:val="0"/>
        <w:autoSpaceDN w:val="0"/>
        <w:adjustRightInd w:val="0"/>
        <w:spacing w:line="400" w:lineRule="exact"/>
        <w:rPr>
          <w:rFonts w:hint="eastAsia" w:ascii="Calibri" w:hAnsi="Calibri" w:cs="Calibri"/>
          <w:color w:val="000000"/>
        </w:rPr>
      </w:pPr>
      <w:r>
        <w:rPr>
          <w:rFonts w:ascii="Calibri" w:hAnsi="Calibri" w:cs="Calibri"/>
          <w:color w:val="000000"/>
        </w:rPr>
        <w:t xml:space="preserve">                              </w:t>
      </w:r>
      <w:r>
        <w:rPr>
          <w:rFonts w:hint="eastAsia" w:ascii="Calibri" w:hAnsi="Calibri" w:cs="Calibri"/>
          <w:color w:val="000000"/>
        </w:rPr>
        <w:t xml:space="preserve">        </w:t>
      </w:r>
      <w:r>
        <w:rPr>
          <w:rFonts w:ascii="Calibri" w:hAnsi="Calibri" w:cs="Calibri"/>
          <w:color w:val="000000"/>
        </w:rPr>
        <w:t xml:space="preserve"> </w:t>
      </w:r>
      <w:r>
        <w:rPr>
          <w:rFonts w:hint="eastAsia" w:ascii="宋体" w:hAnsi="Calibri" w:cs="宋体"/>
          <w:color w:val="000000"/>
          <w:lang w:val="zh-CN"/>
        </w:rPr>
        <w:t>联系电话：</w:t>
      </w:r>
    </w:p>
    <w:p>
      <w:pPr>
        <w:autoSpaceDE w:val="0"/>
        <w:autoSpaceDN w:val="0"/>
        <w:adjustRightInd w:val="0"/>
        <w:spacing w:line="400" w:lineRule="exact"/>
        <w:ind w:firstLine="1155" w:firstLineChars="550"/>
        <w:rPr>
          <w:rFonts w:ascii="Calibri" w:hAnsi="Calibri" w:cs="Calibri"/>
          <w:color w:val="000000"/>
        </w:rPr>
      </w:pPr>
      <w:r>
        <w:rPr>
          <w:rFonts w:hint="eastAsia" w:ascii="宋体" w:hAnsi="Calibri" w:cs="宋体"/>
          <w:color w:val="000000"/>
          <w:lang w:val="zh-CN"/>
        </w:rPr>
        <w:t>签约时间：</w:t>
      </w:r>
      <w:r>
        <w:rPr>
          <w:rFonts w:ascii="Calibri" w:hAnsi="Calibri" w:cs="Calibri"/>
          <w:color w:val="000000"/>
        </w:rPr>
        <w:t xml:space="preserve">  </w:t>
      </w:r>
      <w:r>
        <w:rPr>
          <w:rFonts w:hint="eastAsia" w:ascii="宋体" w:hAnsi="Calibri" w:cs="宋体"/>
          <w:color w:val="000000"/>
          <w:lang w:val="zh-CN"/>
        </w:rPr>
        <w:t>年</w:t>
      </w:r>
      <w:r>
        <w:rPr>
          <w:rFonts w:ascii="Calibri" w:hAnsi="Calibri" w:cs="Calibri"/>
          <w:color w:val="000000"/>
        </w:rPr>
        <w:t xml:space="preserve">  </w:t>
      </w:r>
      <w:r>
        <w:rPr>
          <w:rFonts w:hint="eastAsia" w:ascii="宋体" w:hAnsi="Calibri" w:cs="宋体"/>
          <w:color w:val="000000"/>
          <w:lang w:val="zh-CN"/>
        </w:rPr>
        <w:t>月</w:t>
      </w:r>
      <w:r>
        <w:rPr>
          <w:rFonts w:ascii="Calibri" w:hAnsi="Calibri" w:cs="Calibri"/>
          <w:color w:val="000000"/>
        </w:rPr>
        <w:t xml:space="preserve">  </w:t>
      </w:r>
      <w:r>
        <w:rPr>
          <w:rFonts w:hint="eastAsia" w:ascii="宋体" w:hAnsi="Calibri" w:cs="宋体"/>
          <w:color w:val="000000"/>
          <w:lang w:val="zh-CN"/>
        </w:rPr>
        <w:t>日</w:t>
      </w:r>
    </w:p>
    <w:p>
      <w:pPr>
        <w:autoSpaceDE w:val="0"/>
        <w:autoSpaceDN w:val="0"/>
        <w:adjustRightInd w:val="0"/>
        <w:spacing w:line="400" w:lineRule="exact"/>
        <w:rPr>
          <w:rFonts w:hint="eastAsia" w:ascii="宋体" w:hAnsi="Calibri" w:cs="宋体"/>
          <w:color w:val="000000"/>
          <w:lang w:val="zh-CN"/>
        </w:rPr>
      </w:pPr>
    </w:p>
    <w:p>
      <w:pPr>
        <w:autoSpaceDE w:val="0"/>
        <w:autoSpaceDN w:val="0"/>
        <w:adjustRightInd w:val="0"/>
        <w:spacing w:line="400" w:lineRule="exact"/>
        <w:rPr>
          <w:rFonts w:ascii="Calibri" w:hAnsi="Calibri" w:cs="Calibri"/>
          <w:color w:val="000000"/>
        </w:rPr>
      </w:pPr>
      <w:r>
        <w:rPr>
          <w:rFonts w:hint="eastAsia" w:ascii="宋体" w:hAnsi="Calibri" w:cs="宋体"/>
          <w:color w:val="000000"/>
          <w:lang w:val="zh-CN"/>
        </w:rPr>
        <w:t>采购代理机构：</w:t>
      </w:r>
      <w:r>
        <w:rPr>
          <w:rFonts w:ascii="Calibri" w:hAnsi="Calibri" w:cs="Calibri"/>
          <w:color w:val="000000"/>
        </w:rPr>
        <w:t xml:space="preserve">                        </w:t>
      </w:r>
    </w:p>
    <w:p>
      <w:pPr>
        <w:autoSpaceDE w:val="0"/>
        <w:autoSpaceDN w:val="0"/>
        <w:adjustRightInd w:val="0"/>
        <w:spacing w:line="400" w:lineRule="exact"/>
        <w:rPr>
          <w:rFonts w:ascii="Calibri" w:hAnsi="Calibri" w:cs="Calibri"/>
          <w:color w:val="000000"/>
        </w:rPr>
      </w:pPr>
      <w:r>
        <w:rPr>
          <w:rFonts w:hint="eastAsia" w:ascii="宋体" w:hAnsi="Calibri" w:cs="宋体"/>
          <w:color w:val="000000"/>
          <w:lang w:val="zh-CN"/>
        </w:rPr>
        <w:t>负责人或经办人：</w:t>
      </w:r>
    </w:p>
    <w:p>
      <w:pPr>
        <w:autoSpaceDE w:val="0"/>
        <w:autoSpaceDN w:val="0"/>
        <w:adjustRightInd w:val="0"/>
        <w:spacing w:line="400" w:lineRule="exact"/>
        <w:rPr>
          <w:rFonts w:ascii="Calibri" w:hAnsi="Calibri" w:cs="Calibri"/>
          <w:color w:val="000000"/>
          <w:sz w:val="28"/>
          <w:szCs w:val="28"/>
        </w:rPr>
      </w:pPr>
      <w:r>
        <w:rPr>
          <w:rFonts w:hint="eastAsia" w:ascii="宋体" w:hAnsi="Calibri" w:cs="宋体"/>
          <w:color w:val="000000"/>
          <w:lang w:val="zh-CN"/>
        </w:rPr>
        <w:t>合同备案时间：</w:t>
      </w:r>
      <w:r>
        <w:rPr>
          <w:rFonts w:ascii="Calibri" w:hAnsi="Calibri" w:cs="Calibri"/>
          <w:color w:val="000000"/>
        </w:rPr>
        <w:t xml:space="preserve"> </w:t>
      </w:r>
      <w:r>
        <w:rPr>
          <w:rFonts w:hint="eastAsia" w:ascii="Calibri" w:hAnsi="Calibri" w:cs="Calibri"/>
          <w:color w:val="000000"/>
          <w:lang w:val="en-US" w:eastAsia="zh-CN"/>
        </w:rPr>
        <w:t xml:space="preserve">    </w:t>
      </w:r>
      <w:r>
        <w:rPr>
          <w:rFonts w:hint="eastAsia" w:ascii="宋体" w:hAnsi="Calibri" w:cs="宋体"/>
          <w:color w:val="000000"/>
          <w:lang w:val="zh-CN"/>
        </w:rPr>
        <w:t>年</w:t>
      </w:r>
      <w:r>
        <w:rPr>
          <w:rFonts w:ascii="Calibri" w:hAnsi="Calibri" w:cs="Calibri"/>
          <w:color w:val="000000"/>
        </w:rPr>
        <w:t xml:space="preserve">  </w:t>
      </w:r>
      <w:r>
        <w:rPr>
          <w:rFonts w:hint="eastAsia" w:ascii="宋体" w:hAnsi="Calibri" w:cs="宋体"/>
          <w:color w:val="000000"/>
          <w:lang w:val="zh-CN"/>
        </w:rPr>
        <w:t>月</w:t>
      </w:r>
      <w:r>
        <w:rPr>
          <w:rFonts w:ascii="Calibri" w:hAnsi="Calibri" w:cs="Calibri"/>
          <w:color w:val="000000"/>
        </w:rPr>
        <w:t xml:space="preserve">  </w:t>
      </w:r>
      <w:r>
        <w:rPr>
          <w:rFonts w:hint="eastAsia" w:ascii="宋体" w:hAnsi="Calibri" w:cs="宋体"/>
          <w:color w:val="000000"/>
          <w:lang w:val="zh-CN"/>
        </w:rPr>
        <w:t>日</w:t>
      </w:r>
    </w:p>
    <w:p>
      <w:pPr>
        <w:spacing w:line="360" w:lineRule="auto"/>
        <w:jc w:val="center"/>
        <w:rPr>
          <w:rFonts w:ascii="宋体" w:hAnsi="宋体"/>
          <w:sz w:val="24"/>
        </w:rPr>
      </w:pPr>
      <w:r>
        <w:rPr>
          <w:rFonts w:ascii="宋体" w:hAnsi="Calibri" w:cs="宋体"/>
          <w:b/>
          <w:bCs/>
          <w:color w:val="000000"/>
          <w:sz w:val="28"/>
          <w:szCs w:val="28"/>
          <w:lang w:val="zh-CN"/>
        </w:rPr>
        <w:br w:type="page"/>
      </w:r>
      <w:r>
        <w:rPr>
          <w:rFonts w:hint="eastAsia" w:ascii="宋体" w:hAnsi="宋体"/>
          <w:b/>
          <w:sz w:val="28"/>
          <w:szCs w:val="28"/>
        </w:rPr>
        <w:t>合同通用条款</w:t>
      </w:r>
      <w:bookmarkEnd w:id="110"/>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numPr>
          <w:ilvl w:val="0"/>
          <w:numId w:val="47"/>
        </w:numPr>
        <w:autoSpaceDE w:val="0"/>
        <w:autoSpaceDN w:val="0"/>
        <w:spacing w:line="360" w:lineRule="auto"/>
        <w:rPr>
          <w:rFonts w:ascii="宋体" w:hAnsi="宋体" w:cs="宋体"/>
          <w:b/>
          <w:bCs/>
          <w:kern w:val="0"/>
          <w:sz w:val="24"/>
        </w:rPr>
      </w:pPr>
      <w:bookmarkStart w:id="163" w:name="_Toc1535_WPSOffice_Level2"/>
      <w:r>
        <w:rPr>
          <w:rFonts w:hint="eastAsia" w:ascii="宋体" w:hAnsi="宋体" w:cs="宋体"/>
          <w:b/>
          <w:bCs/>
          <w:kern w:val="0"/>
          <w:sz w:val="24"/>
          <w:lang w:val="zh-CN"/>
        </w:rPr>
        <w:t>定义</w:t>
      </w:r>
      <w:bookmarkEnd w:id="163"/>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pPr>
        <w:numPr>
          <w:ilvl w:val="0"/>
          <w:numId w:val="47"/>
        </w:numPr>
        <w:autoSpaceDE w:val="0"/>
        <w:autoSpaceDN w:val="0"/>
        <w:spacing w:line="360" w:lineRule="auto"/>
        <w:rPr>
          <w:rFonts w:ascii="宋体" w:hAnsi="宋体" w:cs="宋体"/>
          <w:kern w:val="0"/>
          <w:sz w:val="24"/>
        </w:rPr>
      </w:pPr>
      <w:bookmarkStart w:id="164" w:name="_Toc21129_WPSOffice_Level2"/>
      <w:r>
        <w:rPr>
          <w:rFonts w:hint="eastAsia" w:ascii="宋体" w:hAnsi="宋体" w:cs="宋体"/>
          <w:b/>
          <w:bCs/>
          <w:kern w:val="0"/>
          <w:sz w:val="24"/>
          <w:lang w:val="zh-CN"/>
        </w:rPr>
        <w:t>技术规格要求</w:t>
      </w:r>
      <w:bookmarkEnd w:id="164"/>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pPr>
        <w:numPr>
          <w:ilvl w:val="0"/>
          <w:numId w:val="47"/>
        </w:numPr>
        <w:autoSpaceDE w:val="0"/>
        <w:autoSpaceDN w:val="0"/>
        <w:spacing w:line="360" w:lineRule="auto"/>
        <w:rPr>
          <w:rFonts w:ascii="宋体" w:hAnsi="宋体" w:cs="宋体"/>
          <w:kern w:val="0"/>
          <w:sz w:val="24"/>
        </w:rPr>
      </w:pPr>
      <w:bookmarkStart w:id="165" w:name="_Toc432_WPSOffice_Level2"/>
      <w:r>
        <w:rPr>
          <w:rFonts w:hint="eastAsia" w:ascii="宋体" w:hAnsi="宋体" w:cs="宋体"/>
          <w:b/>
          <w:bCs/>
          <w:kern w:val="0"/>
          <w:sz w:val="24"/>
          <w:lang w:val="zh-CN"/>
        </w:rPr>
        <w:t>合同范围</w:t>
      </w:r>
      <w:bookmarkEnd w:id="165"/>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47"/>
        </w:numPr>
        <w:autoSpaceDE w:val="0"/>
        <w:autoSpaceDN w:val="0"/>
        <w:spacing w:line="360" w:lineRule="auto"/>
        <w:rPr>
          <w:rFonts w:ascii="宋体" w:hAnsi="宋体" w:cs="宋体"/>
          <w:kern w:val="0"/>
          <w:sz w:val="24"/>
        </w:rPr>
      </w:pPr>
      <w:bookmarkStart w:id="166" w:name="_Toc16600_WPSOffice_Level2"/>
      <w:r>
        <w:rPr>
          <w:rFonts w:hint="eastAsia" w:ascii="宋体" w:hAnsi="宋体" w:cs="宋体"/>
          <w:b/>
          <w:bCs/>
          <w:kern w:val="0"/>
          <w:sz w:val="24"/>
          <w:lang w:val="zh-CN"/>
        </w:rPr>
        <w:t>合同文件和资料</w:t>
      </w:r>
      <w:bookmarkEnd w:id="166"/>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47"/>
        </w:numPr>
        <w:autoSpaceDE w:val="0"/>
        <w:autoSpaceDN w:val="0"/>
        <w:spacing w:line="360" w:lineRule="auto"/>
        <w:rPr>
          <w:rFonts w:ascii="宋体" w:hAnsi="宋体" w:cs="宋体"/>
          <w:kern w:val="0"/>
          <w:sz w:val="24"/>
        </w:rPr>
      </w:pPr>
      <w:bookmarkStart w:id="167" w:name="_Toc15544_WPSOffice_Level2"/>
      <w:r>
        <w:rPr>
          <w:rFonts w:hint="eastAsia" w:ascii="宋体" w:hAnsi="宋体" w:cs="宋体"/>
          <w:b/>
          <w:bCs/>
          <w:kern w:val="0"/>
          <w:sz w:val="24"/>
          <w:lang w:val="zh-CN"/>
        </w:rPr>
        <w:t>知识产权</w:t>
      </w:r>
      <w:bookmarkEnd w:id="167"/>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47"/>
        </w:numPr>
        <w:autoSpaceDE w:val="0"/>
        <w:autoSpaceDN w:val="0"/>
        <w:spacing w:line="360" w:lineRule="auto"/>
        <w:rPr>
          <w:rFonts w:ascii="宋体" w:hAnsi="宋体" w:cs="宋体"/>
          <w:kern w:val="0"/>
          <w:sz w:val="24"/>
        </w:rPr>
      </w:pPr>
      <w:bookmarkStart w:id="168" w:name="_Toc32646_WPSOffice_Level2"/>
      <w:r>
        <w:rPr>
          <w:rFonts w:hint="eastAsia" w:ascii="宋体" w:hAnsi="宋体" w:cs="宋体"/>
          <w:b/>
          <w:bCs/>
          <w:kern w:val="0"/>
          <w:sz w:val="24"/>
          <w:lang w:val="zh-CN"/>
        </w:rPr>
        <w:t>保密</w:t>
      </w:r>
      <w:bookmarkEnd w:id="168"/>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w:t>
      </w:r>
      <w:r>
        <w:rPr>
          <w:rFonts w:hint="eastAsia" w:ascii="宋体" w:hAnsi="宋体" w:cs="宋体"/>
          <w:kern w:val="0"/>
          <w:sz w:val="24"/>
        </w:rPr>
        <w:t xml:space="preserve"> </w:t>
      </w:r>
      <w:r>
        <w:rPr>
          <w:rFonts w:hint="eastAsia" w:ascii="宋体" w:hAnsi="宋体" w:cs="宋体"/>
          <w:kern w:val="0"/>
          <w:sz w:val="24"/>
          <w:lang w:val="zh-CN"/>
        </w:rPr>
        <w:t>、报告、数据、客户软件、流程图、数据库、发明、知识、贸易秘密。</w:t>
      </w:r>
    </w:p>
    <w:p>
      <w:pPr>
        <w:numPr>
          <w:ilvl w:val="1"/>
          <w:numId w:val="47"/>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pPr>
        <w:numPr>
          <w:ilvl w:val="0"/>
          <w:numId w:val="47"/>
        </w:numPr>
        <w:autoSpaceDE w:val="0"/>
        <w:autoSpaceDN w:val="0"/>
        <w:spacing w:line="360" w:lineRule="auto"/>
        <w:rPr>
          <w:rFonts w:ascii="宋体" w:hAnsi="宋体" w:cs="宋体"/>
          <w:kern w:val="0"/>
          <w:sz w:val="24"/>
        </w:rPr>
      </w:pPr>
      <w:bookmarkStart w:id="169" w:name="_Toc11392_WPSOffice_Level2"/>
      <w:r>
        <w:rPr>
          <w:rFonts w:hint="eastAsia" w:ascii="宋体" w:hAnsi="宋体" w:cs="宋体"/>
          <w:b/>
          <w:bCs/>
          <w:kern w:val="0"/>
          <w:sz w:val="24"/>
          <w:lang w:val="zh-CN"/>
        </w:rPr>
        <w:t>质量保证</w:t>
      </w:r>
      <w:bookmarkEnd w:id="169"/>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pPr>
        <w:numPr>
          <w:ilvl w:val="1"/>
          <w:numId w:val="47"/>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47"/>
        </w:numPr>
        <w:autoSpaceDE w:val="0"/>
        <w:autoSpaceDN w:val="0"/>
        <w:spacing w:line="360" w:lineRule="auto"/>
        <w:rPr>
          <w:rFonts w:ascii="宋体" w:hAnsi="宋体" w:cs="宋体"/>
          <w:b/>
          <w:bCs/>
          <w:kern w:val="0"/>
          <w:sz w:val="24"/>
          <w:lang w:val="zh-CN"/>
        </w:rPr>
      </w:pPr>
      <w:bookmarkStart w:id="170" w:name="_Toc15188_WPSOffice_Level2"/>
      <w:r>
        <w:rPr>
          <w:rFonts w:hint="eastAsia" w:ascii="宋体" w:hAnsi="宋体" w:cs="宋体"/>
          <w:b/>
          <w:bCs/>
          <w:kern w:val="0"/>
          <w:sz w:val="24"/>
          <w:lang w:val="zh-CN"/>
        </w:rPr>
        <w:t>包装要求</w:t>
      </w:r>
      <w:bookmarkEnd w:id="170"/>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pPr>
        <w:numPr>
          <w:ilvl w:val="0"/>
          <w:numId w:val="47"/>
        </w:numPr>
        <w:autoSpaceDE w:val="0"/>
        <w:autoSpaceDN w:val="0"/>
        <w:spacing w:line="360" w:lineRule="auto"/>
        <w:rPr>
          <w:rFonts w:ascii="宋体" w:hAnsi="宋体" w:cs="宋体"/>
          <w:b/>
          <w:bCs/>
          <w:kern w:val="0"/>
          <w:sz w:val="24"/>
          <w:lang w:val="zh-CN"/>
        </w:rPr>
      </w:pPr>
      <w:bookmarkStart w:id="171" w:name="_Toc11203_WPSOffice_Level2"/>
      <w:r>
        <w:rPr>
          <w:rFonts w:hint="eastAsia" w:ascii="宋体" w:hAnsi="宋体" w:cs="宋体"/>
          <w:b/>
          <w:bCs/>
          <w:kern w:val="0"/>
          <w:sz w:val="24"/>
          <w:lang w:val="zh-CN"/>
        </w:rPr>
        <w:t>价格</w:t>
      </w:r>
      <w:bookmarkEnd w:id="171"/>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pPr>
        <w:numPr>
          <w:ilvl w:val="0"/>
          <w:numId w:val="47"/>
        </w:numPr>
        <w:autoSpaceDE w:val="0"/>
        <w:autoSpaceDN w:val="0"/>
        <w:spacing w:line="360" w:lineRule="auto"/>
        <w:rPr>
          <w:rFonts w:ascii="宋体" w:hAnsi="宋体" w:cs="宋体"/>
          <w:b/>
          <w:bCs/>
          <w:kern w:val="0"/>
          <w:sz w:val="24"/>
        </w:rPr>
      </w:pPr>
      <w:bookmarkStart w:id="172" w:name="_Toc10532_WPSOffice_Level2"/>
      <w:r>
        <w:rPr>
          <w:rFonts w:hint="eastAsia" w:ascii="宋体" w:hAnsi="宋体" w:cs="宋体"/>
          <w:b/>
          <w:bCs/>
          <w:kern w:val="0"/>
          <w:sz w:val="24"/>
          <w:lang w:val="zh-CN"/>
        </w:rPr>
        <w:t>交货方式及交货时间</w:t>
      </w:r>
      <w:bookmarkEnd w:id="172"/>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pPr>
        <w:numPr>
          <w:ilvl w:val="0"/>
          <w:numId w:val="47"/>
        </w:numPr>
        <w:autoSpaceDE w:val="0"/>
        <w:autoSpaceDN w:val="0"/>
        <w:spacing w:line="360" w:lineRule="auto"/>
        <w:rPr>
          <w:rFonts w:ascii="宋体" w:hAnsi="宋体" w:cs="宋体"/>
          <w:b/>
          <w:bCs/>
          <w:kern w:val="0"/>
          <w:sz w:val="24"/>
          <w:lang w:val="zh-CN"/>
        </w:rPr>
      </w:pPr>
      <w:bookmarkStart w:id="173" w:name="_Toc5281_WPSOffice_Level2"/>
      <w:r>
        <w:rPr>
          <w:rFonts w:hint="eastAsia" w:ascii="宋体" w:hAnsi="宋体" w:cs="宋体"/>
          <w:b/>
          <w:bCs/>
          <w:kern w:val="0"/>
          <w:sz w:val="24"/>
          <w:lang w:val="zh-CN"/>
        </w:rPr>
        <w:t>检验和验收</w:t>
      </w:r>
      <w:bookmarkEnd w:id="173"/>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pPr>
        <w:numPr>
          <w:ilvl w:val="0"/>
          <w:numId w:val="48"/>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pPr>
        <w:numPr>
          <w:ilvl w:val="0"/>
          <w:numId w:val="48"/>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pPr>
        <w:numPr>
          <w:ilvl w:val="0"/>
          <w:numId w:val="47"/>
        </w:numPr>
        <w:autoSpaceDE w:val="0"/>
        <w:autoSpaceDN w:val="0"/>
        <w:spacing w:line="360" w:lineRule="auto"/>
        <w:rPr>
          <w:rFonts w:ascii="宋体" w:hAnsi="宋体" w:cs="宋体"/>
          <w:b/>
          <w:bCs/>
          <w:kern w:val="0"/>
          <w:sz w:val="24"/>
        </w:rPr>
      </w:pPr>
      <w:bookmarkStart w:id="174" w:name="_Toc30781_WPSOffice_Level2"/>
      <w:r>
        <w:rPr>
          <w:rFonts w:hint="eastAsia" w:ascii="宋体" w:hAnsi="宋体" w:cs="宋体"/>
          <w:b/>
          <w:bCs/>
          <w:kern w:val="0"/>
          <w:sz w:val="24"/>
          <w:lang w:val="zh-CN"/>
        </w:rPr>
        <w:t>付款条件</w:t>
      </w:r>
      <w:bookmarkEnd w:id="174"/>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pPr>
        <w:numPr>
          <w:ilvl w:val="0"/>
          <w:numId w:val="47"/>
        </w:numPr>
        <w:autoSpaceDE w:val="0"/>
        <w:autoSpaceDN w:val="0"/>
        <w:spacing w:line="360" w:lineRule="auto"/>
        <w:rPr>
          <w:rFonts w:ascii="宋体" w:hAnsi="宋体" w:cs="宋体"/>
          <w:b/>
          <w:bCs/>
          <w:kern w:val="0"/>
          <w:sz w:val="24"/>
          <w:lang w:val="zh-CN"/>
        </w:rPr>
      </w:pPr>
      <w:bookmarkStart w:id="175" w:name="_Toc10339_WPSOffice_Level2"/>
      <w:r>
        <w:rPr>
          <w:rFonts w:hint="eastAsia" w:ascii="宋体" w:hAnsi="宋体" w:cs="宋体"/>
          <w:b/>
          <w:bCs/>
          <w:kern w:val="0"/>
          <w:sz w:val="24"/>
          <w:lang w:val="zh-CN"/>
        </w:rPr>
        <w:t>履约保证金</w:t>
      </w:r>
      <w:bookmarkEnd w:id="175"/>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pPr>
        <w:numPr>
          <w:ilvl w:val="0"/>
          <w:numId w:val="47"/>
        </w:numPr>
        <w:autoSpaceDE w:val="0"/>
        <w:autoSpaceDN w:val="0"/>
        <w:spacing w:line="360" w:lineRule="auto"/>
        <w:rPr>
          <w:rFonts w:ascii="宋体" w:hAnsi="宋体" w:cs="宋体"/>
          <w:b/>
          <w:bCs/>
          <w:kern w:val="0"/>
          <w:sz w:val="24"/>
          <w:lang w:val="zh-CN"/>
        </w:rPr>
      </w:pPr>
      <w:bookmarkStart w:id="176" w:name="_Toc24431_WPSOffice_Level2"/>
      <w:r>
        <w:rPr>
          <w:rFonts w:hint="eastAsia" w:ascii="宋体" w:hAnsi="宋体" w:cs="宋体"/>
          <w:b/>
          <w:bCs/>
          <w:kern w:val="0"/>
          <w:sz w:val="24"/>
          <w:lang w:val="zh-CN"/>
        </w:rPr>
        <w:t>索赔</w:t>
      </w:r>
      <w:bookmarkEnd w:id="176"/>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47"/>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pPr>
        <w:numPr>
          <w:ilvl w:val="0"/>
          <w:numId w:val="47"/>
        </w:numPr>
        <w:autoSpaceDE w:val="0"/>
        <w:autoSpaceDN w:val="0"/>
        <w:spacing w:line="360" w:lineRule="auto"/>
        <w:rPr>
          <w:rFonts w:ascii="宋体" w:hAnsi="宋体" w:cs="宋体"/>
          <w:b/>
          <w:bCs/>
          <w:kern w:val="0"/>
          <w:sz w:val="24"/>
          <w:lang w:val="zh-CN"/>
        </w:rPr>
      </w:pPr>
      <w:bookmarkStart w:id="177" w:name="_Toc6786_WPSOffice_Level2"/>
      <w:r>
        <w:rPr>
          <w:rFonts w:hint="eastAsia" w:ascii="宋体" w:hAnsi="宋体" w:cs="宋体"/>
          <w:b/>
          <w:bCs/>
          <w:kern w:val="0"/>
          <w:sz w:val="24"/>
          <w:lang w:val="zh-CN"/>
        </w:rPr>
        <w:t>迟延交货</w:t>
      </w:r>
      <w:bookmarkEnd w:id="177"/>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47"/>
        </w:numPr>
        <w:autoSpaceDE w:val="0"/>
        <w:autoSpaceDN w:val="0"/>
        <w:spacing w:line="360" w:lineRule="auto"/>
        <w:rPr>
          <w:rFonts w:ascii="宋体" w:hAnsi="宋体" w:cs="宋体"/>
          <w:b/>
          <w:bCs/>
          <w:kern w:val="0"/>
          <w:sz w:val="24"/>
        </w:rPr>
      </w:pPr>
      <w:bookmarkStart w:id="178" w:name="_Toc25750_WPSOffice_Level2"/>
      <w:r>
        <w:rPr>
          <w:rFonts w:hint="eastAsia" w:ascii="宋体" w:hAnsi="宋体" w:cs="宋体"/>
          <w:b/>
          <w:bCs/>
          <w:kern w:val="0"/>
          <w:sz w:val="24"/>
          <w:lang w:val="zh-CN"/>
        </w:rPr>
        <w:t>违约赔偿</w:t>
      </w:r>
      <w:bookmarkEnd w:id="178"/>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pPr>
        <w:numPr>
          <w:ilvl w:val="0"/>
          <w:numId w:val="47"/>
        </w:numPr>
        <w:autoSpaceDE w:val="0"/>
        <w:autoSpaceDN w:val="0"/>
        <w:spacing w:line="360" w:lineRule="auto"/>
        <w:rPr>
          <w:rFonts w:ascii="宋体" w:hAnsi="宋体" w:cs="宋体"/>
          <w:b/>
          <w:bCs/>
          <w:kern w:val="0"/>
          <w:sz w:val="24"/>
          <w:lang w:val="zh-CN"/>
        </w:rPr>
      </w:pPr>
      <w:bookmarkStart w:id="179" w:name="_Toc161_WPSOffice_Level2"/>
      <w:r>
        <w:rPr>
          <w:rFonts w:hint="eastAsia" w:ascii="宋体" w:hAnsi="宋体" w:cs="宋体"/>
          <w:b/>
          <w:bCs/>
          <w:kern w:val="0"/>
          <w:sz w:val="24"/>
          <w:lang w:val="zh-CN"/>
        </w:rPr>
        <w:t>不可抗力</w:t>
      </w:r>
      <w:bookmarkEnd w:id="179"/>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pPr>
        <w:numPr>
          <w:ilvl w:val="0"/>
          <w:numId w:val="47"/>
        </w:numPr>
        <w:autoSpaceDE w:val="0"/>
        <w:autoSpaceDN w:val="0"/>
        <w:spacing w:line="360" w:lineRule="auto"/>
        <w:rPr>
          <w:rFonts w:ascii="宋体" w:hAnsi="宋体" w:cs="宋体"/>
          <w:b/>
          <w:bCs/>
          <w:kern w:val="0"/>
          <w:sz w:val="24"/>
        </w:rPr>
      </w:pPr>
      <w:bookmarkStart w:id="180" w:name="_Toc14616_WPSOffice_Level2"/>
      <w:r>
        <w:rPr>
          <w:rFonts w:hint="eastAsia" w:ascii="宋体" w:hAnsi="宋体" w:cs="宋体"/>
          <w:b/>
          <w:bCs/>
          <w:kern w:val="0"/>
          <w:sz w:val="24"/>
          <w:lang w:val="zh-CN"/>
        </w:rPr>
        <w:t>税费</w:t>
      </w:r>
      <w:bookmarkEnd w:id="180"/>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pPr>
        <w:numPr>
          <w:ilvl w:val="0"/>
          <w:numId w:val="47"/>
        </w:numPr>
        <w:autoSpaceDE w:val="0"/>
        <w:autoSpaceDN w:val="0"/>
        <w:spacing w:line="360" w:lineRule="auto"/>
        <w:rPr>
          <w:rFonts w:ascii="宋体" w:hAnsi="宋体" w:cs="宋体"/>
          <w:b/>
          <w:bCs/>
          <w:kern w:val="0"/>
          <w:sz w:val="24"/>
          <w:lang w:val="zh-CN"/>
        </w:rPr>
      </w:pPr>
      <w:bookmarkStart w:id="181" w:name="_Toc14237_WPSOffice_Level2"/>
      <w:r>
        <w:rPr>
          <w:rFonts w:hint="eastAsia" w:ascii="宋体" w:hAnsi="宋体" w:cs="宋体"/>
          <w:b/>
          <w:bCs/>
          <w:kern w:val="0"/>
          <w:sz w:val="24"/>
          <w:lang w:val="zh-CN"/>
        </w:rPr>
        <w:t>合同争议的解决</w:t>
      </w:r>
      <w:bookmarkEnd w:id="181"/>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pPr>
        <w:numPr>
          <w:ilvl w:val="0"/>
          <w:numId w:val="47"/>
        </w:numPr>
        <w:autoSpaceDE w:val="0"/>
        <w:autoSpaceDN w:val="0"/>
        <w:spacing w:line="360" w:lineRule="auto"/>
        <w:rPr>
          <w:rFonts w:ascii="宋体" w:hAnsi="宋体" w:cs="宋体"/>
          <w:b/>
          <w:bCs/>
          <w:kern w:val="0"/>
          <w:sz w:val="24"/>
          <w:lang w:val="zh-CN"/>
        </w:rPr>
      </w:pPr>
      <w:bookmarkStart w:id="182" w:name="_Toc6978_WPSOffice_Level2"/>
      <w:r>
        <w:rPr>
          <w:rFonts w:hint="eastAsia" w:ascii="宋体" w:hAnsi="宋体" w:cs="宋体"/>
          <w:b/>
          <w:bCs/>
          <w:kern w:val="0"/>
          <w:sz w:val="24"/>
          <w:lang w:val="zh-CN"/>
        </w:rPr>
        <w:t>违约解除合同</w:t>
      </w:r>
      <w:bookmarkEnd w:id="182"/>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pPr>
        <w:numPr>
          <w:ilvl w:val="2"/>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pPr>
        <w:numPr>
          <w:ilvl w:val="1"/>
          <w:numId w:val="47"/>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47"/>
        </w:numPr>
        <w:autoSpaceDE w:val="0"/>
        <w:autoSpaceDN w:val="0"/>
        <w:spacing w:line="360" w:lineRule="auto"/>
        <w:rPr>
          <w:rFonts w:ascii="宋体" w:hAnsi="宋体" w:cs="宋体"/>
          <w:b/>
          <w:bCs/>
          <w:kern w:val="0"/>
          <w:sz w:val="24"/>
        </w:rPr>
      </w:pPr>
      <w:bookmarkStart w:id="183" w:name="_Toc3556_WPSOffice_Level2"/>
      <w:r>
        <w:rPr>
          <w:rFonts w:hint="eastAsia" w:ascii="宋体" w:hAnsi="宋体" w:cs="宋体"/>
          <w:b/>
          <w:bCs/>
          <w:kern w:val="0"/>
          <w:sz w:val="24"/>
          <w:lang w:val="zh-CN"/>
        </w:rPr>
        <w:t>破产终止合同</w:t>
      </w:r>
      <w:bookmarkEnd w:id="183"/>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47"/>
        </w:numPr>
        <w:autoSpaceDE w:val="0"/>
        <w:autoSpaceDN w:val="0"/>
        <w:spacing w:line="360" w:lineRule="auto"/>
        <w:rPr>
          <w:rFonts w:ascii="宋体" w:hAnsi="宋体" w:cs="宋体"/>
          <w:b/>
          <w:bCs/>
          <w:kern w:val="0"/>
          <w:sz w:val="24"/>
          <w:lang w:val="zh-CN"/>
        </w:rPr>
      </w:pPr>
      <w:bookmarkStart w:id="184" w:name="_Toc27580_WPSOffice_Level2"/>
      <w:r>
        <w:rPr>
          <w:rFonts w:hint="eastAsia" w:ascii="宋体" w:hAnsi="宋体" w:cs="宋体"/>
          <w:b/>
          <w:bCs/>
          <w:kern w:val="0"/>
          <w:sz w:val="24"/>
          <w:lang w:val="zh-CN"/>
        </w:rPr>
        <w:t>转让和分包</w:t>
      </w:r>
      <w:bookmarkEnd w:id="184"/>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pPr>
        <w:numPr>
          <w:ilvl w:val="1"/>
          <w:numId w:val="47"/>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47"/>
        </w:numPr>
        <w:autoSpaceDE w:val="0"/>
        <w:autoSpaceDN w:val="0"/>
        <w:spacing w:line="360" w:lineRule="auto"/>
        <w:rPr>
          <w:rFonts w:ascii="宋体" w:hAnsi="宋体" w:cs="宋体"/>
          <w:b/>
          <w:bCs/>
          <w:kern w:val="0"/>
          <w:sz w:val="24"/>
        </w:rPr>
      </w:pPr>
      <w:bookmarkStart w:id="185" w:name="_Toc17834_WPSOffice_Level2"/>
      <w:r>
        <w:rPr>
          <w:rFonts w:hint="eastAsia" w:ascii="宋体" w:hAnsi="宋体" w:cs="宋体"/>
          <w:b/>
          <w:bCs/>
          <w:kern w:val="0"/>
          <w:sz w:val="24"/>
          <w:lang w:val="zh-CN"/>
        </w:rPr>
        <w:t>合同修改</w:t>
      </w:r>
      <w:bookmarkEnd w:id="185"/>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47"/>
        </w:numPr>
        <w:autoSpaceDE w:val="0"/>
        <w:autoSpaceDN w:val="0"/>
        <w:spacing w:line="360" w:lineRule="auto"/>
        <w:rPr>
          <w:rFonts w:ascii="宋体" w:hAnsi="宋体" w:cs="宋体"/>
          <w:b/>
          <w:bCs/>
          <w:kern w:val="0"/>
          <w:sz w:val="24"/>
        </w:rPr>
      </w:pPr>
      <w:bookmarkStart w:id="186" w:name="_Toc24426_WPSOffice_Level2"/>
      <w:r>
        <w:rPr>
          <w:rFonts w:hint="eastAsia" w:ascii="宋体" w:hAnsi="宋体" w:cs="宋体"/>
          <w:b/>
          <w:bCs/>
          <w:kern w:val="0"/>
          <w:sz w:val="24"/>
          <w:lang w:val="zh-CN"/>
        </w:rPr>
        <w:t>通知</w:t>
      </w:r>
      <w:bookmarkEnd w:id="186"/>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pPr>
        <w:numPr>
          <w:ilvl w:val="0"/>
          <w:numId w:val="47"/>
        </w:numPr>
        <w:autoSpaceDE w:val="0"/>
        <w:autoSpaceDN w:val="0"/>
        <w:spacing w:line="360" w:lineRule="auto"/>
        <w:rPr>
          <w:rFonts w:ascii="宋体" w:hAnsi="宋体" w:cs="宋体"/>
          <w:b/>
          <w:bCs/>
          <w:kern w:val="0"/>
          <w:sz w:val="24"/>
        </w:rPr>
      </w:pPr>
      <w:bookmarkStart w:id="187" w:name="_Toc21953_WPSOffice_Level2"/>
      <w:r>
        <w:rPr>
          <w:rFonts w:hint="eastAsia" w:ascii="宋体" w:hAnsi="宋体" w:cs="宋体"/>
          <w:b/>
          <w:bCs/>
          <w:kern w:val="0"/>
          <w:sz w:val="24"/>
          <w:lang w:val="zh-CN"/>
        </w:rPr>
        <w:t>计量单位</w:t>
      </w:r>
      <w:bookmarkEnd w:id="187"/>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pPr>
        <w:numPr>
          <w:ilvl w:val="0"/>
          <w:numId w:val="47"/>
        </w:numPr>
        <w:autoSpaceDE w:val="0"/>
        <w:autoSpaceDN w:val="0"/>
        <w:spacing w:line="360" w:lineRule="auto"/>
        <w:rPr>
          <w:rFonts w:ascii="宋体" w:hAnsi="宋体" w:cs="宋体"/>
          <w:b/>
          <w:bCs/>
          <w:kern w:val="0"/>
          <w:sz w:val="24"/>
        </w:rPr>
      </w:pPr>
      <w:bookmarkStart w:id="188" w:name="_Toc14697_WPSOffice_Level2"/>
      <w:r>
        <w:rPr>
          <w:rFonts w:hint="eastAsia" w:ascii="宋体" w:hAnsi="宋体" w:cs="宋体"/>
          <w:b/>
          <w:bCs/>
          <w:kern w:val="0"/>
          <w:sz w:val="24"/>
          <w:lang w:val="zh-CN"/>
        </w:rPr>
        <w:t>适用法律</w:t>
      </w:r>
      <w:bookmarkEnd w:id="188"/>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pPr>
        <w:pStyle w:val="11"/>
        <w:spacing w:before="0" w:after="0" w:line="360" w:lineRule="auto"/>
        <w:rPr>
          <w:rFonts w:ascii="宋体" w:hAnsi="宋体"/>
        </w:rPr>
      </w:pPr>
      <w:r>
        <w:rPr>
          <w:rFonts w:ascii="宋体" w:hAnsi="宋体" w:cs="宋体"/>
          <w:kern w:val="0"/>
          <w:sz w:val="24"/>
          <w:lang w:val="zh-CN"/>
        </w:rPr>
        <w:br w:type="page"/>
      </w:r>
      <w:bookmarkStart w:id="189" w:name="_Toc535421993"/>
      <w:bookmarkStart w:id="190" w:name="_Toc17939_WPSOffice_Level1"/>
      <w:bookmarkStart w:id="191" w:name="_Toc32159"/>
      <w:r>
        <w:rPr>
          <w:rFonts w:hint="eastAsia" w:ascii="宋体" w:hAnsi="宋体"/>
          <w:sz w:val="48"/>
        </w:rPr>
        <w:t>第五部分</w:t>
      </w:r>
      <w:r>
        <w:rPr>
          <w:rFonts w:ascii="宋体" w:hAnsi="宋体"/>
          <w:sz w:val="48"/>
        </w:rPr>
        <w:t xml:space="preserve">  </w:t>
      </w:r>
      <w:r>
        <w:rPr>
          <w:rFonts w:hint="eastAsia" w:ascii="宋体" w:hAnsi="宋体"/>
          <w:sz w:val="48"/>
        </w:rPr>
        <w:t>磋商响应文件格式</w:t>
      </w:r>
      <w:bookmarkEnd w:id="189"/>
      <w:bookmarkEnd w:id="190"/>
      <w:bookmarkEnd w:id="191"/>
    </w:p>
    <w:p>
      <w:pPr>
        <w:spacing w:line="360" w:lineRule="auto"/>
        <w:rPr>
          <w:rFonts w:ascii="宋体" w:hAnsi="宋体"/>
          <w:sz w:val="32"/>
        </w:rPr>
      </w:pPr>
    </w:p>
    <w:p>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磋商供应商应严格按照本格式要求编制磋商响应文件，胶装成册并编制相应页码，否则其磋商响应文件将不予接受。</w:t>
      </w:r>
    </w:p>
    <w:p>
      <w:pPr>
        <w:rPr>
          <w:rFonts w:hint="eastAsia" w:hAnsi="宋体"/>
          <w:b/>
          <w:sz w:val="32"/>
          <w:lang w:val="zh-CN"/>
        </w:rPr>
      </w:pPr>
      <w:r>
        <w:rPr>
          <w:rFonts w:hAnsi="宋体" w:cs="宋体"/>
          <w:kern w:val="0"/>
          <w:szCs w:val="28"/>
          <w:lang w:val="zh-CN"/>
        </w:rPr>
        <w:br w:type="page"/>
      </w:r>
      <w:r>
        <w:rPr>
          <w:rFonts w:hint="eastAsia"/>
          <w:b/>
          <w:sz w:val="28"/>
          <w:lang w:val="zh-CN"/>
        </w:rPr>
        <w:t>磋商响应文件封面</w:t>
      </w:r>
    </w:p>
    <w:p>
      <w:pPr>
        <w:pStyle w:val="3"/>
        <w:numPr>
          <w:ilvl w:val="0"/>
          <w:numId w:val="49"/>
        </w:numPr>
        <w:tabs>
          <w:tab w:val="left" w:pos="425"/>
        </w:tabs>
        <w:rPr>
          <w:rFonts w:hint="eastAsia"/>
          <w:lang w:val="zh-CN" w:eastAsia="zh-CN"/>
        </w:rPr>
      </w:pPr>
      <w:bookmarkStart w:id="192" w:name="_Toc7613"/>
      <w:bookmarkStart w:id="193" w:name="_Toc5662_WPSOffice_Level2"/>
      <w:bookmarkStart w:id="194" w:name="_Toc535421994"/>
      <w:r>
        <w:rPr>
          <w:rFonts w:hint="eastAsia" w:hAnsi="宋体"/>
          <w:b/>
          <w:sz w:val="32"/>
          <w:lang w:val="zh-CN"/>
        </w:rPr>
        <w:t>磋商响应文件封面</w:t>
      </w:r>
      <w:bookmarkEnd w:id="192"/>
      <w:bookmarkEnd w:id="193"/>
      <w:bookmarkEnd w:id="194"/>
    </w:p>
    <w:p>
      <w:pPr>
        <w:spacing w:line="360" w:lineRule="auto"/>
        <w:jc w:val="right"/>
        <w:rPr>
          <w:rFonts w:ascii="宋体" w:hAnsi="宋体"/>
          <w:sz w:val="32"/>
        </w:rPr>
      </w:pPr>
      <w:bookmarkStart w:id="195" w:name="_Toc11540_WPSOffice_Level1"/>
      <w:r>
        <w:rPr>
          <w:rFonts w:hint="eastAsia" w:ascii="宋体" w:hAnsi="宋体" w:cs="宋体"/>
          <w:b/>
          <w:bCs/>
          <w:kern w:val="0"/>
          <w:sz w:val="36"/>
          <w:szCs w:val="36"/>
        </w:rPr>
        <w:t>正本/副本</w:t>
      </w:r>
      <w:bookmarkEnd w:id="195"/>
    </w:p>
    <w:p>
      <w:pPr>
        <w:spacing w:line="360" w:lineRule="auto"/>
        <w:rPr>
          <w:rFonts w:ascii="宋体" w:hAnsi="宋体"/>
          <w:sz w:val="32"/>
        </w:rPr>
      </w:pPr>
    </w:p>
    <w:p>
      <w:pPr>
        <w:spacing w:line="360" w:lineRule="auto"/>
        <w:rPr>
          <w:rFonts w:ascii="宋体" w:hAnsi="宋体"/>
          <w:sz w:val="32"/>
        </w:rPr>
      </w:pPr>
    </w:p>
    <w:p>
      <w:pPr>
        <w:spacing w:line="360" w:lineRule="auto"/>
        <w:jc w:val="center"/>
        <w:rPr>
          <w:rFonts w:ascii="宋体" w:hAnsi="宋体"/>
          <w:b/>
          <w:sz w:val="96"/>
        </w:rPr>
      </w:pPr>
      <w:bookmarkStart w:id="196" w:name="_Toc22367_WPSOffice_Level2"/>
      <w:r>
        <w:rPr>
          <w:rFonts w:hint="eastAsia" w:ascii="宋体" w:hAnsi="宋体"/>
          <w:b/>
          <w:sz w:val="72"/>
        </w:rPr>
        <w:t>青海省政府采购项目</w:t>
      </w:r>
      <w:bookmarkEnd w:id="196"/>
    </w:p>
    <w:p>
      <w:pPr>
        <w:spacing w:line="360" w:lineRule="auto"/>
        <w:jc w:val="center"/>
        <w:rPr>
          <w:rFonts w:ascii="宋体" w:hAnsi="宋体"/>
          <w:b/>
          <w:sz w:val="48"/>
        </w:rPr>
      </w:pPr>
    </w:p>
    <w:p>
      <w:pPr>
        <w:spacing w:line="360" w:lineRule="auto"/>
        <w:jc w:val="center"/>
        <w:rPr>
          <w:rFonts w:ascii="宋体" w:hAnsi="宋体"/>
          <w:b/>
          <w:sz w:val="48"/>
        </w:rPr>
      </w:pPr>
    </w:p>
    <w:p>
      <w:pPr>
        <w:spacing w:line="360" w:lineRule="auto"/>
        <w:jc w:val="center"/>
        <w:rPr>
          <w:rFonts w:ascii="宋体" w:hAnsi="宋体"/>
          <w:b/>
          <w:sz w:val="56"/>
        </w:rPr>
      </w:pPr>
      <w:bookmarkStart w:id="197" w:name="_Toc15785_WPSOffice_Level1"/>
      <w:r>
        <w:rPr>
          <w:rFonts w:hint="eastAsia" w:ascii="宋体" w:hAnsi="宋体"/>
          <w:b/>
          <w:sz w:val="52"/>
        </w:rPr>
        <w:t>磋商响应文件</w:t>
      </w:r>
      <w:bookmarkEnd w:id="197"/>
    </w:p>
    <w:p>
      <w:pPr>
        <w:adjustRightInd w:val="0"/>
        <w:spacing w:line="360" w:lineRule="auto"/>
        <w:textAlignment w:val="baseline"/>
        <w:rPr>
          <w:rFonts w:ascii="宋体" w:hAnsi="宋体"/>
          <w:b/>
          <w:bCs/>
          <w:sz w:val="32"/>
        </w:rPr>
      </w:pPr>
    </w:p>
    <w:p>
      <w:pPr>
        <w:adjustRightInd w:val="0"/>
        <w:spacing w:line="360" w:lineRule="auto"/>
        <w:ind w:firstLine="643" w:firstLineChars="200"/>
        <w:textAlignment w:val="baseline"/>
        <w:rPr>
          <w:rFonts w:ascii="宋体" w:hAnsi="宋体"/>
          <w:b/>
          <w:bCs/>
          <w:sz w:val="32"/>
          <w:szCs w:val="32"/>
          <w:u w:val="single"/>
        </w:rPr>
      </w:pPr>
      <w:bookmarkStart w:id="198" w:name="_Toc831_WPSOffice_Level1"/>
      <w:r>
        <w:rPr>
          <w:rFonts w:hint="eastAsia" w:ascii="宋体" w:hAnsi="宋体"/>
          <w:b/>
          <w:bCs/>
          <w:sz w:val="32"/>
          <w:szCs w:val="32"/>
        </w:rPr>
        <w:t>采购项目编号</w:t>
      </w:r>
      <w:r>
        <w:rPr>
          <w:rFonts w:hint="eastAsia" w:ascii="宋体" w:hAnsi="宋体"/>
          <w:sz w:val="32"/>
          <w:szCs w:val="32"/>
        </w:rPr>
        <w:t>：</w:t>
      </w:r>
      <w:bookmarkEnd w:id="198"/>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p>
    <w:p>
      <w:pPr>
        <w:adjustRightInd w:val="0"/>
        <w:spacing w:line="360" w:lineRule="auto"/>
        <w:ind w:firstLine="660"/>
        <w:textAlignment w:val="baseline"/>
        <w:rPr>
          <w:rFonts w:ascii="宋体" w:hAnsi="宋体"/>
          <w:b/>
          <w:bCs/>
          <w:sz w:val="32"/>
          <w:szCs w:val="32"/>
          <w:u w:val="single"/>
        </w:rPr>
      </w:pPr>
      <w:bookmarkStart w:id="199" w:name="_Toc4432_WPSOffice_Level1"/>
      <w:r>
        <w:rPr>
          <w:rFonts w:ascii="宋体" w:hAnsi="宋体"/>
          <w:b/>
          <w:bCs/>
          <w:sz w:val="32"/>
          <w:szCs w:val="32"/>
        </w:rPr>
        <w:t>采购项目名称</w:t>
      </w:r>
      <w:r>
        <w:rPr>
          <w:rFonts w:hint="eastAsia" w:ascii="宋体" w:hAnsi="宋体"/>
          <w:b/>
          <w:bCs/>
          <w:sz w:val="32"/>
          <w:szCs w:val="32"/>
        </w:rPr>
        <w:t>：</w:t>
      </w:r>
      <w:bookmarkEnd w:id="199"/>
      <w:r>
        <w:rPr>
          <w:rFonts w:hint="eastAsia" w:ascii="宋体" w:hAnsi="宋体"/>
          <w:b/>
          <w:bCs/>
          <w:sz w:val="32"/>
          <w:szCs w:val="32"/>
          <w:u w:val="single"/>
        </w:rPr>
        <w:t xml:space="preserve">                              </w:t>
      </w:r>
    </w:p>
    <w:p>
      <w:pPr>
        <w:adjustRightInd w:val="0"/>
        <w:spacing w:line="360" w:lineRule="auto"/>
        <w:ind w:firstLine="643" w:firstLineChars="200"/>
        <w:textAlignment w:val="baseline"/>
        <w:rPr>
          <w:rFonts w:ascii="宋体" w:hAnsi="宋体"/>
          <w:b/>
          <w:bCs/>
          <w:sz w:val="32"/>
          <w:szCs w:val="32"/>
          <w:u w:val="single"/>
        </w:rPr>
      </w:pPr>
      <w:bookmarkStart w:id="200" w:name="_Toc12819_WPSOffice_Level1"/>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bookmarkEnd w:id="200"/>
    </w:p>
    <w:p>
      <w:pPr>
        <w:adjustRightInd w:val="0"/>
        <w:spacing w:line="360" w:lineRule="auto"/>
        <w:ind w:firstLine="643" w:firstLineChars="200"/>
        <w:textAlignment w:val="baseline"/>
        <w:rPr>
          <w:rFonts w:ascii="宋体" w:hAnsi="宋体"/>
          <w:b/>
          <w:sz w:val="32"/>
          <w:u w:val="single"/>
        </w:rPr>
      </w:pPr>
      <w:bookmarkStart w:id="201" w:name="_Toc30869_WPSOffice_Level1"/>
      <w:r>
        <w:rPr>
          <w:rFonts w:hint="eastAsia" w:ascii="宋体" w:hAnsi="宋体"/>
          <w:b/>
          <w:sz w:val="32"/>
        </w:rPr>
        <w:t>法定代表人：</w:t>
      </w:r>
      <w:r>
        <w:rPr>
          <w:rFonts w:hint="eastAsia" w:ascii="宋体" w:hAnsi="宋体"/>
          <w:b/>
          <w:sz w:val="32"/>
          <w:u w:val="single"/>
        </w:rPr>
        <w:t xml:space="preserve">          </w:t>
      </w:r>
      <w:r>
        <w:rPr>
          <w:rFonts w:ascii="宋体" w:hAnsi="宋体"/>
          <w:b/>
          <w:sz w:val="32"/>
          <w:u w:val="single"/>
        </w:rPr>
        <w:t xml:space="preserve">  </w:t>
      </w:r>
      <w:r>
        <w:rPr>
          <w:rFonts w:hint="eastAsia" w:ascii="宋体" w:hAnsi="宋体"/>
          <w:b/>
          <w:sz w:val="32"/>
          <w:u w:val="single"/>
        </w:rPr>
        <w:t>（签字）</w:t>
      </w:r>
      <w:bookmarkEnd w:id="201"/>
    </w:p>
    <w:p>
      <w:pPr>
        <w:adjustRightInd w:val="0"/>
        <w:spacing w:line="360" w:lineRule="auto"/>
        <w:ind w:firstLine="643" w:firstLineChars="200"/>
        <w:textAlignment w:val="baseline"/>
        <w:rPr>
          <w:rFonts w:ascii="宋体" w:hAnsi="宋体"/>
          <w:b/>
          <w:sz w:val="32"/>
          <w:u w:val="single"/>
        </w:rPr>
      </w:pPr>
    </w:p>
    <w:p>
      <w:pPr>
        <w:spacing w:line="360" w:lineRule="auto"/>
        <w:ind w:firstLine="645"/>
        <w:jc w:val="center"/>
        <w:rPr>
          <w:rFonts w:ascii="宋体" w:hAnsi="宋体"/>
          <w:sz w:val="32"/>
        </w:rPr>
      </w:pPr>
      <w:r>
        <w:rPr>
          <w:rFonts w:hint="eastAsia" w:ascii="宋体" w:hAnsi="宋体"/>
          <w:sz w:val="32"/>
        </w:rPr>
        <w:t xml:space="preserve">                </w:t>
      </w:r>
      <w:bookmarkStart w:id="202" w:name="_Toc19868_WPSOffice_Level2"/>
      <w:r>
        <w:rPr>
          <w:rFonts w:hint="eastAsia" w:ascii="宋体" w:hAnsi="宋体"/>
          <w:sz w:val="32"/>
        </w:rPr>
        <w:t>年   月  日</w:t>
      </w:r>
      <w:bookmarkEnd w:id="202"/>
      <w:bookmarkStart w:id="203" w:name="_Toc444715735"/>
    </w:p>
    <w:p>
      <w:pPr>
        <w:pStyle w:val="3"/>
        <w:numPr>
          <w:ilvl w:val="0"/>
          <w:numId w:val="0"/>
        </w:numPr>
        <w:tabs>
          <w:tab w:val="left" w:pos="425"/>
        </w:tabs>
        <w:ind w:left="709" w:hanging="709"/>
        <w:rPr>
          <w:rFonts w:hAnsi="宋体"/>
          <w:b/>
          <w:sz w:val="32"/>
          <w:lang w:val="zh-CN" w:eastAsia="zh-CN"/>
        </w:rPr>
      </w:pPr>
      <w:r>
        <w:rPr>
          <w:rFonts w:hAnsi="宋体"/>
        </w:rPr>
        <w:br w:type="page"/>
      </w:r>
      <w:bookmarkStart w:id="204" w:name="_Toc15009"/>
      <w:bookmarkStart w:id="205" w:name="_Toc11283_WPSOffice_Level1"/>
      <w:bookmarkStart w:id="206" w:name="_Toc535421995"/>
      <w:r>
        <w:rPr>
          <w:rFonts w:hint="eastAsia" w:hAnsi="宋体"/>
          <w:b/>
          <w:sz w:val="32"/>
          <w:lang w:val="zh-CN"/>
        </w:rPr>
        <w:t>磋商响应文件目录</w:t>
      </w:r>
      <w:bookmarkEnd w:id="203"/>
      <w:bookmarkEnd w:id="204"/>
      <w:bookmarkEnd w:id="205"/>
      <w:bookmarkEnd w:id="206"/>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w:t>
      </w:r>
      <w:r>
        <w:rPr>
          <w:rFonts w:hint="eastAsia" w:ascii="宋体" w:hAnsi="宋体" w:cs="宋体"/>
          <w:kern w:val="0"/>
          <w:sz w:val="24"/>
        </w:rPr>
        <w:t xml:space="preserve"> 磋商</w:t>
      </w:r>
      <w:r>
        <w:rPr>
          <w:rFonts w:hint="eastAsia" w:ascii="宋体" w:hAnsi="宋体" w:cs="宋体"/>
          <w:kern w:val="0"/>
          <w:sz w:val="24"/>
          <w:lang w:val="zh-CN"/>
        </w:rPr>
        <w:t>函……………………………………………………………所在页码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 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 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（4）磋商供应商承诺书……………………………………………… 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 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 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 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（9）无重大违法记录声明……………………………………………所在页码</w:t>
      </w:r>
    </w:p>
    <w:p>
      <w:pPr>
        <w:autoSpaceDE w:val="0"/>
        <w:autoSpaceDN w:val="0"/>
        <w:spacing w:line="360" w:lineRule="auto"/>
        <w:ind w:firstLine="240" w:firstLineChars="100"/>
        <w:jc w:val="both"/>
        <w:rPr>
          <w:rFonts w:ascii="宋体" w:hAnsi="宋体" w:cs="宋体"/>
          <w:kern w:val="0"/>
          <w:sz w:val="24"/>
          <w:lang w:val="zh-CN"/>
        </w:rPr>
      </w:pPr>
      <w:r>
        <w:rPr>
          <w:rFonts w:hint="eastAsia" w:ascii="宋体" w:hAnsi="宋体" w:cs="宋体"/>
          <w:kern w:val="0"/>
          <w:sz w:val="24"/>
          <w:lang w:val="zh-CN"/>
        </w:rPr>
        <w:t>（10）</w:t>
      </w:r>
      <w:r>
        <w:rPr>
          <w:rFonts w:hint="eastAsia" w:ascii="宋体" w:hAnsi="宋体" w:cs="宋体"/>
          <w:sz w:val="24"/>
        </w:rPr>
        <w:t>磋商保证金证明</w:t>
      </w:r>
      <w:r>
        <w:rPr>
          <w:rFonts w:hint="eastAsia" w:ascii="宋体" w:hAnsi="宋体" w:cs="宋体"/>
          <w:kern w:val="0"/>
          <w:sz w:val="24"/>
          <w:lang w:val="zh-CN"/>
        </w:rPr>
        <w:t>…………………………………………………所在页码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eastAsia="宋体" w:cs="宋体"/>
          <w:kern w:val="0"/>
          <w:sz w:val="24"/>
          <w:lang w:val="en-US" w:eastAsia="zh-CN"/>
        </w:rPr>
        <w:t>11</w:t>
      </w:r>
      <w:r>
        <w:rPr>
          <w:rFonts w:hint="eastAsia" w:ascii="宋体" w:hAnsi="宋体" w:cs="宋体"/>
          <w:kern w:val="0"/>
          <w:sz w:val="24"/>
          <w:lang w:val="zh-CN"/>
        </w:rPr>
        <w:t>）竞争性磋商首次报价表…………………………………………所在页码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eastAsia="宋体" w:cs="宋体"/>
          <w:kern w:val="0"/>
          <w:sz w:val="24"/>
          <w:lang w:val="en-US" w:eastAsia="zh-CN"/>
        </w:rPr>
        <w:t>12</w:t>
      </w:r>
      <w:r>
        <w:rPr>
          <w:rFonts w:hint="eastAsia" w:ascii="宋体" w:hAnsi="宋体" w:cs="宋体"/>
          <w:kern w:val="0"/>
          <w:sz w:val="24"/>
          <w:lang w:val="zh-CN"/>
        </w:rPr>
        <w:t>）分项报价表………………………………………………………所在页码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eastAsia="宋体" w:cs="宋体"/>
          <w:kern w:val="0"/>
          <w:sz w:val="24"/>
          <w:lang w:val="en-US" w:eastAsia="zh-CN"/>
        </w:rPr>
        <w:t>(13)</w:t>
      </w:r>
      <w:r>
        <w:rPr>
          <w:rFonts w:hint="eastAsia" w:ascii="宋体" w:hAnsi="宋体" w:cs="宋体"/>
          <w:kern w:val="0"/>
          <w:sz w:val="24"/>
          <w:lang w:val="zh-CN"/>
        </w:rPr>
        <w:t>磋商服务相关资料………………………………………………所在页码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eastAsia="宋体" w:cs="宋体"/>
          <w:kern w:val="0"/>
          <w:sz w:val="24"/>
          <w:lang w:val="en-US" w:eastAsia="zh-CN"/>
        </w:rPr>
        <w:t>(14)</w:t>
      </w:r>
      <w:r>
        <w:rPr>
          <w:rFonts w:hint="eastAsia" w:ascii="宋体" w:hAnsi="宋体" w:cs="宋体"/>
          <w:kern w:val="0"/>
          <w:sz w:val="24"/>
          <w:lang w:val="zh-CN"/>
        </w:rPr>
        <w:t>磋商供应商的类似业绩证明材料………………………………所在页码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eastAsia="宋体" w:cs="宋体"/>
          <w:kern w:val="0"/>
          <w:sz w:val="24"/>
          <w:lang w:val="en-US" w:eastAsia="zh-CN"/>
        </w:rPr>
        <w:t>(15)</w:t>
      </w:r>
      <w:r>
        <w:rPr>
          <w:rFonts w:hint="eastAsia" w:ascii="宋体" w:hAnsi="宋体" w:cs="宋体"/>
          <w:kern w:val="0"/>
          <w:sz w:val="24"/>
          <w:lang w:val="zh-CN"/>
        </w:rPr>
        <w:t>中小微型企业声明函……………………………………………所在页码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eastAsia="宋体" w:cs="宋体"/>
          <w:kern w:val="0"/>
          <w:sz w:val="24"/>
          <w:lang w:val="en-US" w:eastAsia="zh-CN"/>
        </w:rPr>
        <w:t>(16)</w:t>
      </w:r>
      <w:r>
        <w:rPr>
          <w:rFonts w:hint="eastAsia" w:ascii="宋体" w:hAnsi="宋体" w:cs="宋体"/>
          <w:kern w:val="0"/>
          <w:sz w:val="24"/>
          <w:lang w:val="zh-CN"/>
        </w:rPr>
        <w:t>残疾人福利性单位声明函………………………………………所在页码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eastAsia="宋体" w:cs="宋体"/>
          <w:kern w:val="0"/>
          <w:sz w:val="24"/>
          <w:lang w:val="en-US" w:eastAsia="zh-CN"/>
        </w:rPr>
        <w:t>(17)</w:t>
      </w:r>
      <w:r>
        <w:rPr>
          <w:rFonts w:hint="eastAsia" w:ascii="宋体" w:hAnsi="宋体" w:cs="宋体"/>
          <w:kern w:val="0"/>
          <w:sz w:val="24"/>
          <w:lang w:val="zh-CN"/>
        </w:rPr>
        <w:t>磋商供应商认为在其他方面有必要说明的事项………………所在页码</w:t>
      </w:r>
    </w:p>
    <w:p>
      <w:pPr>
        <w:autoSpaceDE w:val="0"/>
        <w:autoSpaceDN w:val="0"/>
        <w:spacing w:line="360" w:lineRule="auto"/>
        <w:ind w:firstLine="240" w:firstLineChars="100"/>
        <w:jc w:val="both"/>
        <w:rPr>
          <w:rFonts w:hint="eastAsia" w:ascii="宋体" w:hAnsi="宋体" w:cs="宋体"/>
          <w:kern w:val="0"/>
          <w:sz w:val="24"/>
          <w:lang w:val="zh-CN"/>
        </w:rPr>
      </w:pPr>
      <w:r>
        <w:rPr>
          <w:rFonts w:hint="eastAsia" w:ascii="宋体" w:hAnsi="宋体" w:eastAsia="宋体" w:cs="宋体"/>
          <w:kern w:val="0"/>
          <w:sz w:val="24"/>
          <w:lang w:val="en-US" w:eastAsia="zh-CN"/>
        </w:rPr>
        <w:t>(18)</w:t>
      </w:r>
      <w:r>
        <w:rPr>
          <w:rFonts w:hint="eastAsia" w:ascii="宋体" w:hAnsi="宋体" w:cs="宋体"/>
          <w:kern w:val="0"/>
          <w:sz w:val="24"/>
          <w:lang w:val="zh-CN"/>
        </w:rPr>
        <w:t>磋商最终报价表…………………………………………………所在页码</w:t>
      </w:r>
    </w:p>
    <w:p>
      <w:pPr>
        <w:autoSpaceDE w:val="0"/>
        <w:autoSpaceDN w:val="0"/>
        <w:spacing w:line="360" w:lineRule="auto"/>
        <w:ind w:firstLine="240" w:firstLineChars="100"/>
        <w:rPr>
          <w:rFonts w:ascii="宋体" w:hAnsi="宋体" w:cs="宋体"/>
          <w:kern w:val="0"/>
          <w:sz w:val="24"/>
          <w:lang w:val="zh-CN"/>
        </w:rPr>
      </w:pPr>
    </w:p>
    <w:p>
      <w:pPr>
        <w:pStyle w:val="3"/>
        <w:numPr>
          <w:ilvl w:val="0"/>
          <w:numId w:val="0"/>
        </w:numPr>
        <w:tabs>
          <w:tab w:val="left" w:pos="425"/>
        </w:tabs>
        <w:ind w:left="709" w:hanging="709"/>
        <w:rPr>
          <w:rFonts w:hAnsi="宋体"/>
        </w:rPr>
      </w:pPr>
      <w:r>
        <w:rPr>
          <w:rFonts w:hAnsi="宋体"/>
          <w:b/>
          <w:bCs/>
        </w:rPr>
        <w:br w:type="page"/>
      </w:r>
      <w:bookmarkStart w:id="207" w:name="_Toc12922_WPSOffice_Level1"/>
      <w:bookmarkStart w:id="208" w:name="_Toc29674"/>
      <w:bookmarkStart w:id="209" w:name="_Toc535421996"/>
      <w:r>
        <w:rPr>
          <w:rFonts w:hint="eastAsia" w:hAnsi="宋体"/>
          <w:b/>
          <w:sz w:val="32"/>
          <w:lang w:val="zh-CN"/>
        </w:rPr>
        <w:t>格式</w:t>
      </w:r>
      <w:r>
        <w:rPr>
          <w:rFonts w:hint="eastAsia" w:hAnsi="宋体"/>
          <w:b/>
          <w:sz w:val="32"/>
          <w:lang w:val="zh-CN" w:eastAsia="zh-CN"/>
        </w:rPr>
        <w:t>1</w:t>
      </w:r>
      <w:r>
        <w:rPr>
          <w:rFonts w:hint="eastAsia" w:hAnsi="宋体"/>
          <w:b/>
          <w:sz w:val="32"/>
          <w:lang w:val="zh-CN"/>
        </w:rPr>
        <w:t>、磋商函</w:t>
      </w:r>
      <w:bookmarkEnd w:id="207"/>
      <w:bookmarkEnd w:id="208"/>
      <w:bookmarkEnd w:id="209"/>
    </w:p>
    <w:p>
      <w:pPr>
        <w:adjustRightInd w:val="0"/>
        <w:spacing w:line="360" w:lineRule="auto"/>
        <w:jc w:val="center"/>
        <w:textAlignment w:val="baseline"/>
        <w:rPr>
          <w:rFonts w:ascii="宋体" w:hAnsi="宋体"/>
          <w:b/>
          <w:sz w:val="32"/>
          <w:szCs w:val="30"/>
        </w:rPr>
      </w:pPr>
      <w:bookmarkStart w:id="210" w:name="_Toc19089_WPSOffice_Level2"/>
      <w:r>
        <w:rPr>
          <w:rFonts w:hint="eastAsia" w:ascii="宋体" w:hAnsi="宋体"/>
          <w:b/>
          <w:sz w:val="32"/>
          <w:szCs w:val="30"/>
        </w:rPr>
        <w:t>磋 商 函</w:t>
      </w:r>
      <w:bookmarkEnd w:id="210"/>
    </w:p>
    <w:p>
      <w:pPr>
        <w:adjustRightInd w:val="0"/>
        <w:spacing w:line="360" w:lineRule="auto"/>
        <w:ind w:left="482" w:hanging="482" w:hangingChars="200"/>
        <w:textAlignment w:val="baseline"/>
        <w:rPr>
          <w:rFonts w:ascii="宋体" w:hAnsi="宋体"/>
          <w:b/>
          <w:sz w:val="24"/>
        </w:rPr>
      </w:pPr>
      <w:r>
        <w:rPr>
          <w:rFonts w:hint="eastAsia" w:ascii="宋体" w:hAnsi="宋体"/>
          <w:b/>
          <w:sz w:val="24"/>
        </w:rPr>
        <w:t>致：</w:t>
      </w:r>
      <w:r>
        <w:rPr>
          <w:rFonts w:hint="eastAsia" w:ascii="宋体" w:hAnsi="宋体"/>
          <w:b/>
          <w:sz w:val="24"/>
          <w:u w:val="single"/>
        </w:rPr>
        <w:t>：</w:t>
      </w:r>
    </w:p>
    <w:p>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磋商文件，经研究，法定代表人（姓名、职务）正式授权（委托代理人姓名、职务）代表磋商供应商（磋商供应商名称、地址）提交磋商响应文件。</w:t>
      </w:r>
    </w:p>
    <w:p>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pPr>
        <w:adjustRightInd w:val="0"/>
        <w:spacing w:line="360" w:lineRule="auto"/>
        <w:ind w:firstLine="480" w:firstLineChars="200"/>
        <w:textAlignment w:val="baseline"/>
        <w:rPr>
          <w:rFonts w:ascii="宋体" w:hAnsi="宋体"/>
          <w:sz w:val="24"/>
        </w:rPr>
      </w:pPr>
      <w:r>
        <w:rPr>
          <w:rFonts w:hint="eastAsia" w:ascii="宋体" w:hAnsi="宋体"/>
          <w:sz w:val="24"/>
        </w:rPr>
        <w:t>2.磋商有效期自开标之日起</w:t>
      </w:r>
      <w:r>
        <w:rPr>
          <w:rFonts w:hint="eastAsia" w:ascii="宋体" w:hAnsi="宋体"/>
          <w:sz w:val="24"/>
          <w:u w:val="single"/>
        </w:rPr>
        <w:t xml:space="preserve">    </w:t>
      </w:r>
      <w:r>
        <w:rPr>
          <w:rFonts w:hint="eastAsia" w:ascii="宋体" w:hAnsi="宋体"/>
          <w:sz w:val="24"/>
        </w:rPr>
        <w:t>天内有效。如果在规定的开标时间后，我方在磋商有效期内撤回磋商或中标后不签约的，磋商保证金将被贵方没收。</w:t>
      </w:r>
    </w:p>
    <w:p>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pPr>
        <w:adjustRightInd w:val="0"/>
        <w:spacing w:line="360" w:lineRule="auto"/>
        <w:ind w:firstLine="480" w:firstLineChars="200"/>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地址：</w:t>
      </w:r>
      <w:r>
        <w:rPr>
          <w:rFonts w:ascii="宋体" w:hAnsi="宋体"/>
          <w:sz w:val="24"/>
          <w:u w:val="single"/>
        </w:rPr>
        <w:t xml:space="preserve">                     </w:t>
      </w:r>
      <w:r>
        <w:rPr>
          <w:rFonts w:hint="eastAsia" w:ascii="宋体" w:hAnsi="宋体"/>
          <w:sz w:val="24"/>
        </w:rPr>
        <w:t>邮编：</w:t>
      </w:r>
      <w:r>
        <w:rPr>
          <w:rFonts w:ascii="宋体" w:hAnsi="宋体"/>
          <w:sz w:val="24"/>
          <w:u w:val="single"/>
        </w:rPr>
        <w:t xml:space="preserve">                     </w:t>
      </w:r>
    </w:p>
    <w:p>
      <w:pPr>
        <w:adjustRightInd w:val="0"/>
        <w:spacing w:line="360" w:lineRule="auto"/>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p>
    <w:p>
      <w:pPr>
        <w:adjustRightInd w:val="0"/>
        <w:spacing w:line="360" w:lineRule="auto"/>
        <w:textAlignment w:val="baseline"/>
        <w:rPr>
          <w:rFonts w:ascii="宋体" w:hAnsi="宋体"/>
          <w:sz w:val="24"/>
        </w:rPr>
      </w:pPr>
    </w:p>
    <w:p>
      <w:pPr>
        <w:adjustRightInd w:val="0"/>
        <w:spacing w:line="360" w:lineRule="auto"/>
        <w:textAlignment w:val="baseline"/>
        <w:rPr>
          <w:rFonts w:hint="eastAsia" w:ascii="宋体" w:hAnsi="宋体"/>
          <w:sz w:val="24"/>
        </w:rPr>
      </w:pPr>
      <w:r>
        <w:rPr>
          <w:rFonts w:hint="eastAsia" w:ascii="宋体" w:hAnsi="宋体"/>
          <w:sz w:val="24"/>
        </w:rPr>
        <w:t>法定代表人姓名：</w:t>
      </w:r>
      <w:r>
        <w:rPr>
          <w:rFonts w:ascii="宋体" w:hAnsi="宋体"/>
          <w:sz w:val="24"/>
          <w:u w:val="single"/>
        </w:rPr>
        <w:t xml:space="preserve">           </w:t>
      </w:r>
      <w:r>
        <w:rPr>
          <w:rFonts w:hint="eastAsia" w:ascii="宋体" w:hAnsi="宋体"/>
          <w:sz w:val="24"/>
        </w:rPr>
        <w:t>职务：</w:t>
      </w:r>
      <w:bookmarkStart w:id="211" w:name="_Toc444715736"/>
      <w:r>
        <w:rPr>
          <w:rFonts w:ascii="宋体" w:hAnsi="宋体"/>
          <w:sz w:val="24"/>
          <w:u w:val="single"/>
        </w:rPr>
        <w:t xml:space="preserve">                     </w:t>
      </w:r>
    </w:p>
    <w:p>
      <w:pPr>
        <w:tabs>
          <w:tab w:val="left" w:pos="168"/>
        </w:tabs>
        <w:adjustRightInd w:val="0"/>
        <w:spacing w:line="360" w:lineRule="auto"/>
        <w:ind w:right="480"/>
        <w:jc w:val="right"/>
        <w:textAlignment w:val="baseline"/>
        <w:rPr>
          <w:rFonts w:hint="eastAsia"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bookmarkEnd w:id="211"/>
    <w:p>
      <w:pPr>
        <w:pStyle w:val="3"/>
        <w:numPr>
          <w:ilvl w:val="0"/>
          <w:numId w:val="0"/>
        </w:numPr>
        <w:tabs>
          <w:tab w:val="left" w:pos="425"/>
        </w:tabs>
        <w:rPr>
          <w:rFonts w:hint="eastAsia" w:hAnsi="宋体"/>
          <w:b/>
          <w:sz w:val="32"/>
          <w:lang w:val="zh-CN"/>
        </w:rPr>
      </w:pPr>
      <w:bookmarkStart w:id="212" w:name="_Toc444715737"/>
      <w:bookmarkStart w:id="213" w:name="_Toc25583"/>
      <w:r>
        <w:rPr>
          <w:rFonts w:hAnsi="宋体"/>
          <w:bCs/>
          <w:sz w:val="24"/>
          <w:szCs w:val="28"/>
        </w:rPr>
        <w:t xml:space="preserve"> </w:t>
      </w:r>
      <w:bookmarkEnd w:id="212"/>
      <w:bookmarkEnd w:id="213"/>
      <w:bookmarkStart w:id="214" w:name="_Toc16671"/>
      <w:bookmarkStart w:id="215" w:name="_Toc3675_WPSOffice_Level1"/>
      <w:bookmarkStart w:id="216" w:name="_Toc535421997"/>
    </w:p>
    <w:p>
      <w:pPr>
        <w:pStyle w:val="3"/>
        <w:numPr>
          <w:ilvl w:val="0"/>
          <w:numId w:val="0"/>
        </w:numPr>
        <w:tabs>
          <w:tab w:val="left" w:pos="425"/>
        </w:tabs>
        <w:ind w:left="709" w:hanging="709"/>
        <w:rPr>
          <w:rFonts w:hAnsi="宋体"/>
          <w:lang w:val="zh-CN"/>
        </w:rPr>
      </w:pPr>
      <w:r>
        <w:rPr>
          <w:rFonts w:hint="eastAsia" w:hAnsi="宋体"/>
          <w:b/>
          <w:sz w:val="32"/>
          <w:lang w:val="zh-CN"/>
        </w:rPr>
        <w:t>格式</w:t>
      </w:r>
      <w:r>
        <w:rPr>
          <w:rFonts w:hint="eastAsia" w:hAnsi="宋体"/>
          <w:b/>
          <w:sz w:val="32"/>
          <w:lang w:val="zh-CN" w:eastAsia="zh-CN"/>
        </w:rPr>
        <w:t>2</w:t>
      </w:r>
      <w:r>
        <w:rPr>
          <w:rFonts w:hint="eastAsia" w:hAnsi="宋体"/>
          <w:b/>
          <w:sz w:val="32"/>
          <w:lang w:val="zh-CN"/>
        </w:rPr>
        <w:t>、法定代表人证明书</w:t>
      </w:r>
      <w:bookmarkEnd w:id="214"/>
      <w:bookmarkEnd w:id="215"/>
      <w:bookmarkEnd w:id="216"/>
    </w:p>
    <w:p>
      <w:pPr>
        <w:spacing w:line="360" w:lineRule="auto"/>
        <w:rPr>
          <w:rFonts w:ascii="宋体" w:hAnsi="宋体"/>
          <w:lang w:val="zh-CN"/>
        </w:rPr>
      </w:pPr>
    </w:p>
    <w:p>
      <w:pPr>
        <w:spacing w:line="360" w:lineRule="auto"/>
        <w:rPr>
          <w:rFonts w:ascii="宋体" w:hAnsi="宋体"/>
          <w:lang w:val="zh-CN"/>
        </w:rPr>
      </w:pPr>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6"/>
          <w:szCs w:val="36"/>
          <w:lang w:val="zh-CN"/>
        </w:rPr>
      </w:pPr>
      <w:bookmarkStart w:id="217" w:name="_Toc13566_WPSOffice_Level2"/>
      <w:r>
        <w:rPr>
          <w:rFonts w:hint="eastAsia" w:ascii="宋体" w:hAnsi="宋体" w:cs="宋体"/>
          <w:b/>
          <w:bCs/>
          <w:kern w:val="0"/>
          <w:sz w:val="30"/>
          <w:szCs w:val="30"/>
          <w:lang w:val="zh-CN"/>
        </w:rPr>
        <w:t>法定代表人证明书</w:t>
      </w:r>
      <w:bookmarkEnd w:id="217"/>
    </w:p>
    <w:p>
      <w:pPr>
        <w:autoSpaceDE w:val="0"/>
        <w:autoSpaceDN w:val="0"/>
        <w:adjustRightInd w:val="0"/>
        <w:spacing w:line="360" w:lineRule="auto"/>
        <w:rPr>
          <w:rFonts w:ascii="宋体" w:hAnsi="宋体" w:cs="宋体"/>
          <w:b/>
          <w:bCs/>
          <w:kern w:val="0"/>
          <w:sz w:val="24"/>
          <w:lang w:val="en-US"/>
        </w:rPr>
      </w:pPr>
      <w:r>
        <w:rPr>
          <w:rFonts w:hint="eastAsia" w:ascii="宋体" w:hAnsi="宋体" w:cs="宋体"/>
          <w:b/>
          <w:bCs/>
          <w:kern w:val="0"/>
          <w:sz w:val="24"/>
          <w:lang w:val="zh-CN"/>
        </w:rPr>
        <w:t>致：</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法定代表人基本情况：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hint="eastAsia" w:ascii="宋体" w:hAnsi="宋体"/>
          <w:bCs/>
          <w:sz w:val="28"/>
          <w:szCs w:val="28"/>
        </w:rPr>
      </w:pPr>
      <w:bookmarkStart w:id="218" w:name="_Toc444715738"/>
      <w:bookmarkStart w:id="219" w:name="_Toc16858"/>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法定代表人：                   （签字）</w:t>
      </w:r>
    </w:p>
    <w:p>
      <w:pPr>
        <w:tabs>
          <w:tab w:val="left" w:pos="168"/>
        </w:tabs>
        <w:adjustRightInd w:val="0"/>
        <w:spacing w:line="360" w:lineRule="auto"/>
        <w:ind w:right="480" w:firstLine="4320" w:firstLineChars="1800"/>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3"/>
        <w:numPr>
          <w:ilvl w:val="0"/>
          <w:numId w:val="0"/>
        </w:numPr>
        <w:tabs>
          <w:tab w:val="left" w:pos="425"/>
        </w:tabs>
        <w:ind w:left="709" w:hanging="709"/>
        <w:rPr>
          <w:rFonts w:hAnsi="宋体"/>
          <w:szCs w:val="28"/>
        </w:rPr>
      </w:pPr>
      <w:r>
        <w:rPr>
          <w:rFonts w:hAnsi="宋体"/>
          <w:bCs/>
          <w:szCs w:val="28"/>
        </w:rPr>
        <w:br w:type="page"/>
      </w:r>
      <w:bookmarkStart w:id="220" w:name="_Toc26755_WPSOffice_Level1"/>
      <w:bookmarkStart w:id="221" w:name="_Toc535421998"/>
      <w:bookmarkStart w:id="222" w:name="_Toc13187"/>
      <w:r>
        <w:rPr>
          <w:rFonts w:hint="eastAsia" w:hAnsi="宋体"/>
          <w:b/>
          <w:sz w:val="32"/>
          <w:lang w:val="zh-CN"/>
        </w:rPr>
        <w:t>格式</w:t>
      </w:r>
      <w:r>
        <w:rPr>
          <w:rFonts w:hint="eastAsia" w:hAnsi="宋体"/>
          <w:b/>
          <w:sz w:val="32"/>
          <w:lang w:val="zh-CN" w:eastAsia="zh-CN"/>
        </w:rPr>
        <w:t>3</w:t>
      </w:r>
      <w:r>
        <w:rPr>
          <w:rFonts w:hint="eastAsia" w:hAnsi="宋体"/>
          <w:b/>
          <w:sz w:val="32"/>
          <w:lang w:val="zh-CN"/>
        </w:rPr>
        <w:t>、法定代表人授权书</w:t>
      </w:r>
      <w:bookmarkEnd w:id="218"/>
      <w:bookmarkEnd w:id="219"/>
      <w:bookmarkEnd w:id="220"/>
      <w:bookmarkEnd w:id="221"/>
      <w:bookmarkEnd w:id="222"/>
    </w:p>
    <w:p>
      <w:pPr>
        <w:autoSpaceDE w:val="0"/>
        <w:autoSpaceDN w:val="0"/>
        <w:adjustRightInd w:val="0"/>
        <w:spacing w:line="360" w:lineRule="auto"/>
        <w:jc w:val="center"/>
        <w:rPr>
          <w:rFonts w:hint="eastAsia" w:ascii="宋体" w:hAnsi="宋体" w:cs="宋体"/>
          <w:b/>
          <w:bCs/>
          <w:kern w:val="0"/>
          <w:sz w:val="32"/>
          <w:szCs w:val="30"/>
          <w:lang w:val="zh-CN"/>
        </w:rPr>
      </w:pPr>
      <w:bookmarkStart w:id="223" w:name="_Toc8024_WPSOffice_Level2"/>
    </w:p>
    <w:p>
      <w:pPr>
        <w:autoSpaceDE w:val="0"/>
        <w:autoSpaceDN w:val="0"/>
        <w:adjustRightInd w:val="0"/>
        <w:spacing w:line="360" w:lineRule="auto"/>
        <w:jc w:val="center"/>
        <w:rPr>
          <w:rFonts w:hint="eastAsia" w:ascii="宋体" w:hAnsi="宋体" w:cs="宋体"/>
          <w:b/>
          <w:bCs/>
          <w:kern w:val="0"/>
          <w:sz w:val="32"/>
          <w:szCs w:val="30"/>
          <w:lang w:val="zh-CN"/>
        </w:rPr>
      </w:pPr>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法定代表人授权书</w:t>
      </w:r>
      <w:bookmarkEnd w:id="223"/>
    </w:p>
    <w:p>
      <w:pPr>
        <w:spacing w:line="360" w:lineRule="auto"/>
        <w:rPr>
          <w:rFonts w:hint="eastAsia" w:ascii="宋体" w:hAnsi="宋体" w:eastAsia="宋体"/>
          <w:b/>
          <w:bCs/>
          <w:sz w:val="24"/>
          <w:lang w:val="en-US" w:eastAsia="zh-CN"/>
        </w:rPr>
      </w:pPr>
      <w:r>
        <w:rPr>
          <w:rFonts w:hint="eastAsia" w:ascii="宋体" w:hAnsi="宋体"/>
          <w:b/>
          <w:bCs/>
          <w:sz w:val="24"/>
        </w:rPr>
        <w:t>致：</w:t>
      </w:r>
    </w:p>
    <w:p>
      <w:pPr>
        <w:spacing w:line="360" w:lineRule="auto"/>
        <w:rPr>
          <w:rFonts w:ascii="宋体" w:hAnsi="宋体"/>
          <w:sz w:val="24"/>
          <w:u w:val="single"/>
        </w:rPr>
      </w:pP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（磋商供应商名称）</w:t>
      </w:r>
      <w:r>
        <w:rPr>
          <w:rFonts w:ascii="宋体" w:hAnsi="宋体"/>
          <w:sz w:val="24"/>
          <w:u w:val="single"/>
        </w:rPr>
        <w:t xml:space="preserve">  </w:t>
      </w:r>
      <w:r>
        <w:rPr>
          <w:rFonts w:hint="eastAsia" w:ascii="宋体" w:hAnsi="宋体"/>
          <w:sz w:val="24"/>
        </w:rPr>
        <w:t>系中华人民共和国合法企业，法定地址</w:t>
      </w:r>
      <w:r>
        <w:rPr>
          <w:rFonts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（法定代表人姓名）</w:t>
      </w:r>
      <w:r>
        <w:rPr>
          <w:rFonts w:ascii="宋体" w:hAnsi="宋体"/>
          <w:sz w:val="24"/>
          <w:u w:val="single"/>
        </w:rPr>
        <w:t xml:space="preserve">  </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项目的磋商、答疑等具体工作，并签署全部有关的文件、协议及合同。</w:t>
      </w:r>
    </w:p>
    <w:p>
      <w:pPr>
        <w:spacing w:line="360" w:lineRule="auto"/>
        <w:ind w:firstLine="480" w:firstLineChars="200"/>
        <w:rPr>
          <w:rFonts w:ascii="宋体" w:hAnsi="宋体"/>
          <w:sz w:val="24"/>
        </w:rPr>
      </w:pPr>
      <w:r>
        <w:rPr>
          <w:rFonts w:hint="eastAsia" w:ascii="宋体" w:hAnsi="宋体"/>
          <w:sz w:val="24"/>
        </w:rPr>
        <w:t>我单位对被授权人的签名负全部责任。</w:t>
      </w:r>
    </w:p>
    <w:p>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pPr>
        <w:autoSpaceDE w:val="0"/>
        <w:autoSpaceDN w:val="0"/>
        <w:adjustRightInd w:val="0"/>
        <w:spacing w:line="360" w:lineRule="auto"/>
        <w:ind w:firstLine="480" w:firstLineChars="200"/>
        <w:rPr>
          <w:rFonts w:ascii="宋体" w:hAnsi="宋体" w:cs="宋体"/>
          <w:kern w:val="0"/>
          <w:sz w:val="24"/>
          <w:lang w:val="zh-CN"/>
        </w:rPr>
      </w:pP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被授权人（委托代理人）签名：</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授权人（法定代表人）签名：</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附：被授权人身份证正、反面扫描（或复印）件</w:t>
      </w: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hint="eastAsia" w:ascii="宋体" w:hAnsi="宋体"/>
          <w:bCs/>
          <w:sz w:val="28"/>
          <w:szCs w:val="28"/>
        </w:rPr>
      </w:pP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法定代表人：                   （签字）</w:t>
      </w:r>
    </w:p>
    <w:p>
      <w:pPr>
        <w:tabs>
          <w:tab w:val="left" w:pos="168"/>
        </w:tabs>
        <w:adjustRightInd w:val="0"/>
        <w:spacing w:line="360" w:lineRule="auto"/>
        <w:ind w:right="480" w:firstLine="4080" w:firstLineChars="1700"/>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3"/>
        <w:numPr>
          <w:ilvl w:val="0"/>
          <w:numId w:val="0"/>
        </w:numPr>
        <w:tabs>
          <w:tab w:val="left" w:pos="425"/>
        </w:tabs>
        <w:ind w:left="709" w:hanging="709"/>
        <w:rPr>
          <w:rFonts w:hAnsi="宋体"/>
          <w:lang w:val="zh-CN"/>
        </w:rPr>
      </w:pPr>
      <w:r>
        <w:rPr>
          <w:rFonts w:hAnsi="宋体"/>
          <w:bCs/>
          <w:sz w:val="24"/>
        </w:rPr>
        <w:br w:type="page"/>
      </w:r>
      <w:bookmarkStart w:id="224" w:name="_Toc16067"/>
      <w:bookmarkStart w:id="225" w:name="_Toc535421999"/>
      <w:bookmarkStart w:id="226" w:name="_Toc28571_WPSOffice_Level1"/>
      <w:r>
        <w:rPr>
          <w:rFonts w:hint="eastAsia" w:hAnsi="宋体"/>
          <w:b/>
          <w:sz w:val="32"/>
          <w:lang w:val="zh-CN"/>
        </w:rPr>
        <w:t>格式</w:t>
      </w:r>
      <w:r>
        <w:rPr>
          <w:rFonts w:hint="eastAsia" w:hAnsi="宋体"/>
          <w:b/>
          <w:sz w:val="32"/>
          <w:lang w:val="zh-CN" w:eastAsia="zh-CN"/>
        </w:rPr>
        <w:t>4</w:t>
      </w:r>
      <w:r>
        <w:rPr>
          <w:rFonts w:hint="eastAsia" w:hAnsi="宋体"/>
          <w:b/>
          <w:sz w:val="32"/>
          <w:lang w:val="zh-CN"/>
        </w:rPr>
        <w:t>、磋商供应商承诺书</w:t>
      </w:r>
      <w:bookmarkEnd w:id="224"/>
      <w:bookmarkEnd w:id="225"/>
      <w:bookmarkEnd w:id="226"/>
    </w:p>
    <w:p>
      <w:pPr>
        <w:autoSpaceDE w:val="0"/>
        <w:autoSpaceDN w:val="0"/>
        <w:adjustRightInd w:val="0"/>
        <w:spacing w:line="360" w:lineRule="auto"/>
        <w:jc w:val="center"/>
        <w:rPr>
          <w:rFonts w:hint="eastAsia" w:ascii="宋体" w:hAnsi="宋体" w:cs="宋体"/>
          <w:b/>
          <w:bCs/>
          <w:kern w:val="0"/>
          <w:sz w:val="32"/>
          <w:szCs w:val="30"/>
          <w:lang w:val="zh-CN"/>
        </w:rPr>
      </w:pPr>
      <w:bookmarkStart w:id="227" w:name="_Toc9667_WPSOffice_Level2"/>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磋商供应商承诺书</w:t>
      </w:r>
      <w:bookmarkEnd w:id="227"/>
    </w:p>
    <w:p>
      <w:pPr>
        <w:spacing w:line="360" w:lineRule="auto"/>
        <w:rPr>
          <w:rFonts w:hint="eastAsia" w:ascii="宋体" w:hAnsi="宋体" w:eastAsia="宋体"/>
          <w:b/>
          <w:bCs/>
          <w:sz w:val="24"/>
          <w:szCs w:val="28"/>
          <w:lang w:val="en-US" w:eastAsia="zh-CN"/>
        </w:rPr>
      </w:pPr>
      <w:r>
        <w:rPr>
          <w:rFonts w:hint="eastAsia" w:ascii="宋体" w:hAnsi="宋体"/>
          <w:b/>
          <w:bCs/>
          <w:sz w:val="24"/>
          <w:szCs w:val="28"/>
        </w:rPr>
        <w:t>致：</w:t>
      </w:r>
    </w:p>
    <w:p>
      <w:pPr>
        <w:spacing w:line="360" w:lineRule="auto"/>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关于贵方20</w:t>
      </w:r>
      <w:r>
        <w:rPr>
          <w:rFonts w:hint="eastAsia" w:ascii="宋体" w:hAnsi="宋体"/>
          <w:sz w:val="24"/>
          <w:szCs w:val="28"/>
          <w:lang w:val="en-US" w:eastAsia="zh-CN"/>
        </w:rPr>
        <w:t>20</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 xml:space="preserve">          (项目名称)</w:t>
      </w:r>
      <w:r>
        <w:rPr>
          <w:rFonts w:hint="eastAsia" w:ascii="宋体" w:hAnsi="宋体"/>
          <w:sz w:val="24"/>
          <w:szCs w:val="28"/>
        </w:rPr>
        <w:t>采购项目，本签字人愿意参加磋商，提供服务要求的所有服务，并证实提交的所有资料是准确的和真实的。同时，我代表（磋商供应商名称），在此作如下承诺：</w:t>
      </w:r>
    </w:p>
    <w:p>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、若中标，我方将按照磋商文件的具体规定与采购单位签订合同，并且严格履行合同义务，按时服务，提供优质的服务。如果在合同执行过程中，发现服务出现问题，我方一定尽快解决，并承担相应的经济责任；</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jc w:val="both"/>
        <w:textAlignment w:val="baseline"/>
        <w:rPr>
          <w:rFonts w:hint="eastAsia" w:ascii="宋体" w:hAnsi="宋体"/>
          <w:bCs/>
          <w:sz w:val="24"/>
          <w:szCs w:val="28"/>
        </w:rPr>
      </w:pPr>
    </w:p>
    <w:p>
      <w:pPr>
        <w:tabs>
          <w:tab w:val="left" w:pos="168"/>
        </w:tabs>
        <w:adjustRightInd w:val="0"/>
        <w:spacing w:line="360" w:lineRule="auto"/>
        <w:ind w:firstLine="4320" w:firstLineChars="1800"/>
        <w:jc w:val="both"/>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3"/>
        <w:numPr>
          <w:ilvl w:val="0"/>
          <w:numId w:val="0"/>
        </w:numPr>
        <w:tabs>
          <w:tab w:val="left" w:pos="425"/>
        </w:tabs>
        <w:rPr>
          <w:rFonts w:hint="eastAsia" w:hAnsi="宋体"/>
          <w:b/>
          <w:sz w:val="32"/>
          <w:lang w:val="zh-CN"/>
        </w:rPr>
      </w:pPr>
      <w:bookmarkStart w:id="228" w:name="_Toc535422000"/>
      <w:bookmarkStart w:id="229" w:name="_Toc25711"/>
      <w:bookmarkStart w:id="230" w:name="_Toc16102_WPSOffice_Level1"/>
    </w:p>
    <w:p>
      <w:pPr>
        <w:pStyle w:val="3"/>
        <w:numPr>
          <w:ilvl w:val="0"/>
          <w:numId w:val="0"/>
        </w:numPr>
        <w:tabs>
          <w:tab w:val="left" w:pos="425"/>
        </w:tabs>
        <w:rPr>
          <w:rFonts w:hAnsi="宋体"/>
          <w:lang w:val="zh-CN"/>
        </w:rPr>
      </w:pPr>
      <w:r>
        <w:rPr>
          <w:rFonts w:hint="eastAsia" w:hAnsi="宋体"/>
          <w:b/>
          <w:sz w:val="32"/>
          <w:lang w:val="zh-CN"/>
        </w:rPr>
        <w:t>格式</w:t>
      </w:r>
      <w:r>
        <w:rPr>
          <w:rFonts w:hint="eastAsia" w:hAnsi="宋体"/>
          <w:b/>
          <w:sz w:val="32"/>
          <w:lang w:val="zh-CN" w:eastAsia="zh-CN"/>
        </w:rPr>
        <w:t>5</w:t>
      </w:r>
      <w:r>
        <w:rPr>
          <w:rFonts w:hint="eastAsia" w:hAnsi="宋体"/>
          <w:b/>
          <w:sz w:val="32"/>
          <w:lang w:val="zh-CN"/>
        </w:rPr>
        <w:t>、供应商诚信承诺书</w:t>
      </w:r>
      <w:bookmarkEnd w:id="228"/>
      <w:bookmarkEnd w:id="229"/>
      <w:bookmarkEnd w:id="230"/>
    </w:p>
    <w:p>
      <w:pPr>
        <w:autoSpaceDE w:val="0"/>
        <w:autoSpaceDN w:val="0"/>
        <w:adjustRightInd w:val="0"/>
        <w:spacing w:line="360" w:lineRule="auto"/>
        <w:jc w:val="center"/>
        <w:rPr>
          <w:rFonts w:hint="eastAsia" w:ascii="宋体" w:hAnsi="宋体" w:cs="宋体"/>
          <w:b/>
          <w:bCs/>
          <w:kern w:val="0"/>
          <w:sz w:val="32"/>
          <w:szCs w:val="30"/>
          <w:lang w:val="zh-CN"/>
        </w:rPr>
      </w:pPr>
      <w:bookmarkStart w:id="231" w:name="_Toc28506_WPSOffice_Level2"/>
    </w:p>
    <w:p>
      <w:pPr>
        <w:autoSpaceDE w:val="0"/>
        <w:autoSpaceDN w:val="0"/>
        <w:adjustRightInd w:val="0"/>
        <w:spacing w:line="360" w:lineRule="auto"/>
        <w:jc w:val="center"/>
        <w:rPr>
          <w:rFonts w:ascii="宋体" w:hAnsi="宋体" w:cs="宋体"/>
          <w:kern w:val="0"/>
          <w:sz w:val="24"/>
          <w:lang w:val="zh-CN"/>
        </w:rPr>
      </w:pPr>
      <w:r>
        <w:rPr>
          <w:rFonts w:hint="eastAsia" w:ascii="宋体" w:hAnsi="宋体" w:cs="宋体"/>
          <w:b/>
          <w:bCs/>
          <w:kern w:val="0"/>
          <w:sz w:val="32"/>
          <w:szCs w:val="30"/>
          <w:lang w:val="zh-CN"/>
        </w:rPr>
        <w:t>供应商诚信承诺书</w:t>
      </w:r>
      <w:bookmarkEnd w:id="231"/>
    </w:p>
    <w:p>
      <w:pPr>
        <w:autoSpaceDE w:val="0"/>
        <w:autoSpaceDN w:val="0"/>
        <w:adjustRightInd w:val="0"/>
        <w:spacing w:line="360" w:lineRule="auto"/>
        <w:rPr>
          <w:rFonts w:ascii="宋体" w:hAnsi="宋体" w:cs="宋体"/>
          <w:b/>
          <w:bCs/>
          <w:kern w:val="0"/>
          <w:sz w:val="24"/>
          <w:lang w:val="en-US"/>
        </w:rPr>
      </w:pPr>
      <w:r>
        <w:rPr>
          <w:rFonts w:hint="eastAsia" w:ascii="宋体" w:hAnsi="宋体" w:cs="宋体"/>
          <w:b/>
          <w:bCs/>
          <w:kern w:val="0"/>
          <w:sz w:val="24"/>
          <w:lang w:val="zh-CN"/>
        </w:rPr>
        <w:t>致：</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六、认真履行中标人应承担的责任和义务，全面执行采购合同规定的各项内容，保质保量地按时提供采购服务。</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本承诺是采购项目磋商文件的组成部分。</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8"/>
          <w:szCs w:val="28"/>
        </w:rPr>
      </w:pPr>
      <w:bookmarkStart w:id="232" w:name="_Toc17097"/>
      <w:bookmarkStart w:id="233" w:name="_Toc444715739"/>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3"/>
        <w:numPr>
          <w:ilvl w:val="0"/>
          <w:numId w:val="0"/>
        </w:numPr>
        <w:tabs>
          <w:tab w:val="left" w:pos="425"/>
        </w:tabs>
        <w:rPr>
          <w:rFonts w:hAnsi="宋体" w:cs="宋体"/>
          <w:lang w:val="zh-CN"/>
        </w:rPr>
      </w:pPr>
      <w:bookmarkStart w:id="234" w:name="_Toc4374"/>
      <w:bookmarkStart w:id="235" w:name="_Toc7767_WPSOffice_Level1"/>
      <w:bookmarkStart w:id="236" w:name="_Toc535422001"/>
      <w:r>
        <w:rPr>
          <w:rFonts w:hint="eastAsia" w:hAnsi="宋体"/>
          <w:b/>
          <w:sz w:val="32"/>
          <w:lang w:val="zh-CN"/>
        </w:rPr>
        <w:t>格式</w:t>
      </w:r>
      <w:r>
        <w:rPr>
          <w:rFonts w:hint="eastAsia" w:hAnsi="宋体"/>
          <w:b/>
          <w:sz w:val="32"/>
          <w:lang w:val="zh-CN" w:eastAsia="zh-CN"/>
        </w:rPr>
        <w:t>6</w:t>
      </w:r>
      <w:r>
        <w:rPr>
          <w:rFonts w:hint="eastAsia" w:hAnsi="宋体"/>
          <w:b/>
          <w:sz w:val="32"/>
          <w:lang w:val="zh-CN"/>
        </w:rPr>
        <w:t>、资格证明材料</w:t>
      </w:r>
      <w:bookmarkEnd w:id="232"/>
      <w:bookmarkEnd w:id="233"/>
      <w:bookmarkEnd w:id="234"/>
      <w:bookmarkEnd w:id="235"/>
      <w:bookmarkEnd w:id="236"/>
    </w:p>
    <w:p>
      <w:pPr>
        <w:spacing w:line="360" w:lineRule="auto"/>
        <w:rPr>
          <w:rFonts w:ascii="宋体" w:hAnsi="宋体"/>
          <w:lang w:val="zh-CN"/>
        </w:rPr>
      </w:pPr>
    </w:p>
    <w:p>
      <w:pPr>
        <w:autoSpaceDE w:val="0"/>
        <w:autoSpaceDN w:val="0"/>
        <w:adjustRightInd w:val="0"/>
        <w:spacing w:line="360" w:lineRule="auto"/>
        <w:jc w:val="center"/>
        <w:rPr>
          <w:rFonts w:hint="eastAsia" w:ascii="宋体" w:hAnsi="宋体" w:cs="宋体"/>
          <w:b/>
          <w:bCs/>
          <w:kern w:val="0"/>
          <w:sz w:val="32"/>
          <w:szCs w:val="30"/>
          <w:lang w:val="zh-CN"/>
        </w:rPr>
      </w:pPr>
      <w:bookmarkStart w:id="237" w:name="_Toc29823_WPSOffice_Level2"/>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资格证明材料</w:t>
      </w:r>
      <w:bookmarkEnd w:id="237"/>
    </w:p>
    <w:p>
      <w:pPr>
        <w:spacing w:line="360" w:lineRule="auto"/>
        <w:ind w:firstLine="424" w:firstLineChars="177"/>
        <w:rPr>
          <w:rFonts w:ascii="宋体" w:hAnsi="宋体" w:cs="Arial"/>
          <w:sz w:val="24"/>
        </w:rPr>
      </w:pPr>
      <w:r>
        <w:rPr>
          <w:rFonts w:ascii="宋体" w:hAnsi="宋体" w:cs="Arial"/>
          <w:sz w:val="24"/>
        </w:rPr>
        <w:t>资格证明材料包括：</w:t>
      </w:r>
    </w:p>
    <w:p>
      <w:pPr>
        <w:spacing w:line="360" w:lineRule="auto"/>
        <w:rPr>
          <w:rFonts w:ascii="宋体" w:hAnsi="宋体" w:cs="Arial"/>
          <w:sz w:val="24"/>
        </w:rPr>
      </w:pPr>
      <w:bookmarkStart w:id="238" w:name="_Toc7196_WPSOffice_Level2"/>
      <w:r>
        <w:rPr>
          <w:rFonts w:ascii="宋体" w:hAnsi="宋体" w:cs="Arial"/>
          <w:sz w:val="24"/>
        </w:rPr>
        <w:t>（1）单位法人营业执照、税务登记证、组织机构代码证；</w:t>
      </w:r>
      <w:bookmarkEnd w:id="238"/>
    </w:p>
    <w:p>
      <w:pPr>
        <w:spacing w:line="360" w:lineRule="auto"/>
        <w:rPr>
          <w:rFonts w:ascii="宋体" w:hAnsi="宋体" w:cs="Arial"/>
          <w:sz w:val="24"/>
        </w:rPr>
      </w:pPr>
      <w:bookmarkStart w:id="239" w:name="_Toc27829_WPSOffice_Level2"/>
      <w:r>
        <w:rPr>
          <w:rFonts w:ascii="宋体" w:hAnsi="宋体" w:cs="Arial"/>
          <w:sz w:val="24"/>
        </w:rPr>
        <w:t>（2）磋商文件规定的有关资格证书、许可证书、认证等；</w:t>
      </w:r>
      <w:bookmarkEnd w:id="239"/>
    </w:p>
    <w:p>
      <w:pPr>
        <w:spacing w:line="360" w:lineRule="auto"/>
        <w:rPr>
          <w:rFonts w:ascii="宋体" w:hAnsi="宋体" w:cs="Arial"/>
          <w:sz w:val="24"/>
        </w:rPr>
      </w:pPr>
      <w:bookmarkStart w:id="240" w:name="_Toc5005_WPSOffice_Level2"/>
      <w:r>
        <w:rPr>
          <w:rFonts w:ascii="宋体" w:hAnsi="宋体" w:cs="Arial"/>
          <w:sz w:val="24"/>
        </w:rPr>
        <w:t>（3）磋商供应商简介及获得相关证书证明文件；</w:t>
      </w:r>
      <w:bookmarkEnd w:id="240"/>
    </w:p>
    <w:p>
      <w:pPr>
        <w:spacing w:line="360" w:lineRule="auto"/>
        <w:rPr>
          <w:rFonts w:ascii="宋体" w:hAnsi="宋体" w:cs="Arial"/>
          <w:sz w:val="24"/>
        </w:rPr>
      </w:pPr>
      <w:bookmarkStart w:id="241" w:name="_Toc18507_WPSOffice_Level2"/>
      <w:r>
        <w:rPr>
          <w:rFonts w:ascii="宋体" w:hAnsi="宋体" w:cs="Arial"/>
          <w:sz w:val="24"/>
        </w:rPr>
        <w:t>（4）磋商供应商认为有必要提供的其他资格证明文件。</w:t>
      </w:r>
      <w:bookmarkEnd w:id="241"/>
    </w:p>
    <w:p>
      <w:pPr>
        <w:pStyle w:val="3"/>
        <w:numPr>
          <w:ilvl w:val="0"/>
          <w:numId w:val="0"/>
        </w:numPr>
        <w:tabs>
          <w:tab w:val="left" w:pos="425"/>
        </w:tabs>
        <w:ind w:left="709" w:hanging="709"/>
        <w:rPr>
          <w:rFonts w:hAnsi="宋体"/>
          <w:lang w:val="zh-CN"/>
        </w:rPr>
      </w:pPr>
      <w:r>
        <w:rPr>
          <w:rFonts w:hAnsi="宋体" w:cs="宋体"/>
          <w:kern w:val="0"/>
          <w:sz w:val="24"/>
          <w:lang w:val="zh-CN"/>
        </w:rPr>
        <w:br w:type="page"/>
      </w:r>
      <w:bookmarkStart w:id="242" w:name="_Toc5710"/>
      <w:bookmarkStart w:id="243" w:name="_Toc5294_WPSOffice_Level1"/>
      <w:bookmarkStart w:id="244" w:name="_Toc535422002"/>
      <w:bookmarkStart w:id="245" w:name="_Toc20673"/>
      <w:bookmarkStart w:id="246" w:name="_Toc444715740"/>
      <w:r>
        <w:rPr>
          <w:rFonts w:hint="eastAsia" w:hAnsi="宋体"/>
          <w:b/>
          <w:sz w:val="32"/>
          <w:lang w:val="zh-CN"/>
        </w:rPr>
        <w:t>格式</w:t>
      </w:r>
      <w:r>
        <w:rPr>
          <w:rFonts w:hint="eastAsia" w:hAnsi="宋体"/>
          <w:b/>
          <w:sz w:val="32"/>
          <w:lang w:val="zh-CN" w:eastAsia="zh-CN"/>
        </w:rPr>
        <w:t>7</w:t>
      </w:r>
      <w:r>
        <w:rPr>
          <w:rFonts w:hint="eastAsia" w:hAnsi="宋体"/>
          <w:b/>
          <w:sz w:val="32"/>
          <w:lang w:val="zh-CN"/>
        </w:rPr>
        <w:t>、财务状况、缴纳税收和社会保障资金证明</w:t>
      </w:r>
      <w:bookmarkEnd w:id="242"/>
      <w:bookmarkEnd w:id="243"/>
      <w:bookmarkEnd w:id="244"/>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2"/>
          <w:szCs w:val="30"/>
          <w:lang w:val="zh-CN"/>
        </w:rPr>
      </w:pPr>
      <w:bookmarkStart w:id="247" w:name="_Toc31841_WPSOffice_Level2"/>
      <w:r>
        <w:rPr>
          <w:rFonts w:ascii="宋体" w:hAnsi="宋体" w:cs="宋体"/>
          <w:b/>
          <w:bCs/>
          <w:kern w:val="0"/>
          <w:sz w:val="32"/>
          <w:szCs w:val="30"/>
          <w:lang w:val="zh-CN"/>
        </w:rPr>
        <w:t>财务状况、缴纳税收和社会保障资金证明</w:t>
      </w:r>
      <w:bookmarkEnd w:id="247"/>
    </w:p>
    <w:p>
      <w:pPr>
        <w:autoSpaceDE w:val="0"/>
        <w:autoSpaceDN w:val="0"/>
        <w:spacing w:line="360" w:lineRule="auto"/>
        <w:rPr>
          <w:rFonts w:ascii="宋体" w:hAnsi="宋体" w:cs="Arial"/>
          <w:sz w:val="24"/>
          <w:lang w:val="zh-CN"/>
        </w:rPr>
      </w:pPr>
    </w:p>
    <w:p>
      <w:pPr>
        <w:spacing w:line="400" w:lineRule="exact"/>
        <w:rPr>
          <w:rFonts w:hint="eastAsia" w:ascii="宋体" w:hAnsi="宋体"/>
          <w:sz w:val="24"/>
        </w:rPr>
      </w:pPr>
      <w:bookmarkStart w:id="248" w:name="_Toc535422003"/>
      <w:r>
        <w:rPr>
          <w:rFonts w:hint="eastAsia" w:ascii="宋体" w:hAnsi="宋体"/>
          <w:sz w:val="24"/>
        </w:rPr>
        <w:t>1、经第三方机构出具的201</w:t>
      </w:r>
      <w:r>
        <w:rPr>
          <w:rFonts w:hint="eastAsia" w:ascii="宋体" w:hAnsi="宋体"/>
          <w:sz w:val="24"/>
          <w:lang w:val="en-US" w:eastAsia="zh-CN"/>
        </w:rPr>
        <w:t>8</w:t>
      </w:r>
      <w:r>
        <w:rPr>
          <w:rFonts w:hint="eastAsia" w:ascii="宋体" w:hAnsi="宋体"/>
          <w:sz w:val="24"/>
        </w:rPr>
        <w:t>年度财务状况审计报告或财务报表（包括：资产负债表、现金流量表、利润表和</w:t>
      </w:r>
      <w:bookmarkStart w:id="306" w:name="_GoBack"/>
      <w:bookmarkEnd w:id="306"/>
      <w:r>
        <w:rPr>
          <w:rFonts w:hint="eastAsia" w:ascii="宋体" w:hAnsi="宋体"/>
          <w:sz w:val="24"/>
        </w:rPr>
        <w:t>财务情况说明书，扫描（或复印）件应全面、完整、清晰）。注册成立未满一年的新公司需提供银行资信证明</w:t>
      </w:r>
    </w:p>
    <w:p>
      <w:pPr>
        <w:spacing w:line="400" w:lineRule="exact"/>
        <w:rPr>
          <w:rFonts w:hint="eastAsia" w:ascii="宋体" w:hAnsi="宋体"/>
          <w:sz w:val="24"/>
        </w:rPr>
      </w:pPr>
      <w:r>
        <w:rPr>
          <w:rFonts w:hint="eastAsia" w:ascii="宋体" w:hAnsi="宋体"/>
          <w:sz w:val="24"/>
        </w:rPr>
        <w:t>2、201</w:t>
      </w:r>
      <w:r>
        <w:rPr>
          <w:rFonts w:hint="eastAsia" w:ascii="宋体" w:hAnsi="宋体"/>
          <w:sz w:val="24"/>
          <w:lang w:val="en-US" w:eastAsia="zh-CN"/>
        </w:rPr>
        <w:t>9</w:t>
      </w:r>
      <w:r>
        <w:rPr>
          <w:rFonts w:hint="eastAsia" w:ascii="宋体" w:hAnsi="宋体"/>
          <w:sz w:val="24"/>
        </w:rPr>
        <w:t>年任意</w:t>
      </w:r>
      <w:r>
        <w:rPr>
          <w:rFonts w:hint="eastAsia" w:ascii="宋体" w:hAnsi="宋体"/>
          <w:sz w:val="24"/>
          <w:lang w:eastAsia="zh-CN"/>
        </w:rPr>
        <w:t>一</w:t>
      </w:r>
      <w:r>
        <w:rPr>
          <w:rFonts w:hint="eastAsia" w:ascii="宋体" w:hAnsi="宋体"/>
          <w:sz w:val="24"/>
        </w:rPr>
        <w:t>个月依法缴纳税收和社会保险凭证记录的证明材料。如依法免税或不需要缴纳社会保障资金的，应提供相应文件证明。</w:t>
      </w:r>
    </w:p>
    <w:p>
      <w:pPr>
        <w:spacing w:line="400" w:lineRule="exact"/>
        <w:rPr>
          <w:rFonts w:hint="eastAsia" w:ascii="宋体" w:hAnsi="宋体"/>
          <w:b/>
          <w:bCs/>
          <w:sz w:val="28"/>
          <w:szCs w:val="28"/>
        </w:rPr>
      </w:pPr>
      <w:r>
        <w:rPr>
          <w:rFonts w:hint="eastAsia" w:ascii="宋体" w:hAnsi="宋体"/>
          <w:b/>
          <w:bCs/>
          <w:sz w:val="24"/>
        </w:rPr>
        <w:t>备注1：</w:t>
      </w:r>
      <w:r>
        <w:rPr>
          <w:rFonts w:hint="eastAsia" w:ascii="宋体" w:hAnsi="宋体"/>
          <w:sz w:val="24"/>
        </w:rPr>
        <w:t>注册成立未满一年的新公司需提供银行资信证明。</w:t>
      </w:r>
    </w:p>
    <w:p>
      <w:pPr>
        <w:pStyle w:val="3"/>
        <w:numPr>
          <w:ilvl w:val="0"/>
          <w:numId w:val="0"/>
        </w:numPr>
        <w:tabs>
          <w:tab w:val="left" w:pos="425"/>
        </w:tabs>
        <w:ind w:left="709" w:hanging="709"/>
        <w:rPr>
          <w:rFonts w:hint="eastAsia" w:hAnsi="宋体"/>
          <w:b/>
          <w:sz w:val="32"/>
          <w:lang w:val="zh-CN"/>
        </w:rPr>
      </w:pPr>
    </w:p>
    <w:p>
      <w:pPr>
        <w:pStyle w:val="3"/>
        <w:numPr>
          <w:ilvl w:val="0"/>
          <w:numId w:val="0"/>
        </w:numPr>
        <w:tabs>
          <w:tab w:val="left" w:pos="425"/>
        </w:tabs>
        <w:ind w:left="709" w:hanging="709"/>
        <w:rPr>
          <w:rFonts w:hint="eastAsia" w:hAnsi="宋体"/>
          <w:b/>
          <w:sz w:val="32"/>
          <w:lang w:val="zh-CN"/>
        </w:rPr>
      </w:pPr>
    </w:p>
    <w:p>
      <w:pPr>
        <w:pStyle w:val="3"/>
        <w:numPr>
          <w:ilvl w:val="0"/>
          <w:numId w:val="0"/>
        </w:numPr>
        <w:tabs>
          <w:tab w:val="left" w:pos="425"/>
        </w:tabs>
        <w:ind w:left="709" w:hanging="709"/>
        <w:rPr>
          <w:rFonts w:hint="eastAsia" w:hAnsi="宋体"/>
          <w:b/>
          <w:sz w:val="32"/>
          <w:lang w:val="zh-CN"/>
        </w:rPr>
      </w:pPr>
    </w:p>
    <w:p>
      <w:pPr>
        <w:pStyle w:val="3"/>
        <w:numPr>
          <w:ilvl w:val="0"/>
          <w:numId w:val="0"/>
        </w:numPr>
        <w:tabs>
          <w:tab w:val="left" w:pos="425"/>
        </w:tabs>
        <w:ind w:left="709" w:hanging="709"/>
        <w:rPr>
          <w:rFonts w:hint="eastAsia" w:hAnsi="宋体"/>
          <w:b/>
          <w:sz w:val="32"/>
          <w:lang w:val="zh-CN"/>
        </w:rPr>
      </w:pPr>
    </w:p>
    <w:p>
      <w:pPr>
        <w:pStyle w:val="3"/>
        <w:numPr>
          <w:ilvl w:val="0"/>
          <w:numId w:val="0"/>
        </w:numPr>
        <w:tabs>
          <w:tab w:val="left" w:pos="425"/>
        </w:tabs>
        <w:ind w:left="709" w:hanging="709"/>
        <w:rPr>
          <w:rFonts w:hint="eastAsia" w:hAnsi="宋体"/>
          <w:b/>
          <w:sz w:val="32"/>
          <w:lang w:val="zh-CN"/>
        </w:rPr>
      </w:pPr>
    </w:p>
    <w:p>
      <w:pPr>
        <w:pStyle w:val="3"/>
        <w:numPr>
          <w:ilvl w:val="0"/>
          <w:numId w:val="0"/>
        </w:numPr>
        <w:tabs>
          <w:tab w:val="left" w:pos="425"/>
        </w:tabs>
        <w:ind w:left="709" w:hanging="709"/>
        <w:rPr>
          <w:rFonts w:hint="eastAsia" w:hAnsi="宋体"/>
          <w:b/>
          <w:sz w:val="32"/>
          <w:lang w:val="zh-CN"/>
        </w:rPr>
      </w:pPr>
    </w:p>
    <w:p>
      <w:pPr>
        <w:pStyle w:val="3"/>
        <w:numPr>
          <w:ilvl w:val="0"/>
          <w:numId w:val="0"/>
        </w:numPr>
        <w:tabs>
          <w:tab w:val="left" w:pos="425"/>
        </w:tabs>
        <w:ind w:left="709" w:hanging="709"/>
        <w:rPr>
          <w:rFonts w:hint="eastAsia" w:hAnsi="宋体"/>
          <w:b/>
          <w:sz w:val="32"/>
          <w:lang w:val="zh-CN"/>
        </w:rPr>
      </w:pPr>
    </w:p>
    <w:p>
      <w:pPr>
        <w:pStyle w:val="3"/>
        <w:numPr>
          <w:ilvl w:val="0"/>
          <w:numId w:val="0"/>
        </w:numPr>
        <w:tabs>
          <w:tab w:val="left" w:pos="425"/>
        </w:tabs>
        <w:ind w:left="709" w:hanging="709"/>
        <w:rPr>
          <w:rFonts w:hint="eastAsia" w:hAnsi="宋体"/>
          <w:b/>
          <w:sz w:val="32"/>
          <w:lang w:val="zh-CN"/>
        </w:rPr>
      </w:pPr>
    </w:p>
    <w:p>
      <w:pPr>
        <w:rPr>
          <w:rFonts w:hint="eastAsia" w:hAnsi="宋体"/>
          <w:b/>
          <w:sz w:val="32"/>
          <w:lang w:val="zh-CN"/>
        </w:rPr>
      </w:pPr>
    </w:p>
    <w:p>
      <w:pPr>
        <w:rPr>
          <w:rFonts w:hint="eastAsia" w:hAnsi="宋体"/>
          <w:b/>
          <w:sz w:val="32"/>
          <w:lang w:val="zh-CN"/>
        </w:rPr>
      </w:pPr>
    </w:p>
    <w:p>
      <w:pPr>
        <w:rPr>
          <w:rFonts w:hint="eastAsia" w:hAnsi="宋体"/>
          <w:b/>
          <w:sz w:val="32"/>
          <w:lang w:val="zh-CN"/>
        </w:rPr>
      </w:pPr>
    </w:p>
    <w:p>
      <w:pPr>
        <w:rPr>
          <w:rFonts w:hint="eastAsia" w:hAnsi="宋体"/>
          <w:b/>
          <w:sz w:val="32"/>
          <w:lang w:val="zh-CN"/>
        </w:rPr>
      </w:pPr>
    </w:p>
    <w:p>
      <w:pPr>
        <w:pStyle w:val="3"/>
        <w:numPr>
          <w:ilvl w:val="0"/>
          <w:numId w:val="0"/>
        </w:numPr>
        <w:tabs>
          <w:tab w:val="left" w:pos="425"/>
        </w:tabs>
        <w:rPr>
          <w:rFonts w:hint="eastAsia" w:hAnsi="宋体"/>
          <w:b/>
          <w:sz w:val="32"/>
          <w:lang w:val="zh-CN"/>
        </w:rPr>
      </w:pPr>
    </w:p>
    <w:p>
      <w:pPr>
        <w:rPr>
          <w:rFonts w:hint="eastAsia" w:hAnsi="宋体"/>
          <w:b/>
          <w:sz w:val="32"/>
          <w:lang w:val="zh-CN"/>
        </w:rPr>
      </w:pPr>
    </w:p>
    <w:p>
      <w:pPr>
        <w:rPr>
          <w:rFonts w:hint="eastAsia" w:hAnsi="宋体"/>
          <w:b/>
          <w:sz w:val="32"/>
          <w:lang w:val="zh-CN"/>
        </w:rPr>
      </w:pPr>
    </w:p>
    <w:p>
      <w:pPr>
        <w:pStyle w:val="3"/>
        <w:numPr>
          <w:ilvl w:val="0"/>
          <w:numId w:val="0"/>
        </w:numPr>
        <w:tabs>
          <w:tab w:val="left" w:pos="425"/>
        </w:tabs>
        <w:rPr>
          <w:rFonts w:hAnsi="宋体"/>
          <w:lang w:val="zh-CN"/>
        </w:rPr>
      </w:pPr>
      <w:bookmarkStart w:id="249" w:name="_Toc30880_WPSOffice_Level1"/>
      <w:bookmarkStart w:id="250" w:name="_Toc30860"/>
      <w:r>
        <w:rPr>
          <w:rFonts w:hint="eastAsia" w:hAnsi="宋体"/>
          <w:b/>
          <w:sz w:val="32"/>
          <w:lang w:val="zh-CN"/>
        </w:rPr>
        <w:t>格式</w:t>
      </w:r>
      <w:r>
        <w:rPr>
          <w:rFonts w:hint="eastAsia" w:hAnsi="宋体"/>
          <w:b/>
          <w:sz w:val="32"/>
          <w:lang w:val="zh-CN" w:eastAsia="zh-CN"/>
        </w:rPr>
        <w:t>8</w:t>
      </w:r>
      <w:r>
        <w:rPr>
          <w:rFonts w:hint="eastAsia" w:hAnsi="宋体"/>
          <w:b/>
          <w:sz w:val="32"/>
          <w:lang w:val="zh-CN"/>
        </w:rPr>
        <w:t>、具备履行合同所必须的设备和专业技术能力证明</w:t>
      </w:r>
      <w:bookmarkEnd w:id="248"/>
      <w:bookmarkEnd w:id="249"/>
      <w:bookmarkEnd w:id="250"/>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2"/>
          <w:szCs w:val="30"/>
          <w:lang w:val="zh-CN"/>
        </w:rPr>
      </w:pPr>
      <w:bookmarkStart w:id="251" w:name="_Toc23565_WPSOffice_Level2"/>
      <w:r>
        <w:rPr>
          <w:rFonts w:hint="eastAsia" w:ascii="宋体" w:hAnsi="宋体" w:cs="宋体"/>
          <w:b/>
          <w:bCs/>
          <w:kern w:val="0"/>
          <w:sz w:val="32"/>
          <w:szCs w:val="30"/>
          <w:lang w:val="zh-CN"/>
        </w:rPr>
        <w:t>具备履行合同所必须的设备和专业技术能力证明</w:t>
      </w:r>
      <w:bookmarkEnd w:id="251"/>
    </w:p>
    <w:p>
      <w:pPr>
        <w:pStyle w:val="3"/>
        <w:numPr>
          <w:ilvl w:val="0"/>
          <w:numId w:val="0"/>
        </w:numPr>
        <w:tabs>
          <w:tab w:val="left" w:pos="425"/>
        </w:tabs>
        <w:ind w:left="353" w:leftChars="168" w:firstLine="480" w:firstLineChars="200"/>
        <w:jc w:val="left"/>
        <w:rPr>
          <w:rFonts w:hint="eastAsia"/>
          <w:sz w:val="24"/>
          <w:lang w:val="en-US" w:eastAsia="zh-CN"/>
        </w:rPr>
      </w:pPr>
    </w:p>
    <w:p>
      <w:pPr>
        <w:pStyle w:val="21"/>
        <w:ind w:firstLine="600" w:firstLineChars="250"/>
        <w:rPr>
          <w:rFonts w:hAnsi="宋体" w:cs="宋体"/>
          <w:lang w:val="zh-CN"/>
        </w:rPr>
      </w:pPr>
      <w:r>
        <w:rPr>
          <w:rFonts w:hint="eastAsia"/>
          <w:sz w:val="24"/>
        </w:rPr>
        <w:t>为保证本项目合同的顺利履行，投标人必须具备履行合同的设备和专业技术能力，须提供相关设备的购置发票以及相关人员的职称证书和用工合同等证明材料。</w:t>
      </w:r>
      <w:r>
        <w:br w:type="page"/>
      </w:r>
      <w:r>
        <w:rPr>
          <w:rFonts w:hint="eastAsia" w:hAnsi="宋体"/>
          <w:b/>
          <w:sz w:val="32"/>
          <w:lang w:val="zh-CN"/>
        </w:rPr>
        <w:t>格式</w:t>
      </w:r>
      <w:bookmarkEnd w:id="245"/>
      <w:bookmarkEnd w:id="246"/>
      <w:r>
        <w:rPr>
          <w:rFonts w:hint="eastAsia" w:hAnsi="宋体"/>
          <w:b/>
          <w:sz w:val="32"/>
          <w:lang w:val="zh-CN"/>
        </w:rPr>
        <w:t>9、磋商保证金证明</w:t>
      </w:r>
    </w:p>
    <w:p>
      <w:pPr>
        <w:spacing w:line="360" w:lineRule="auto"/>
        <w:rPr>
          <w:rFonts w:ascii="宋体" w:hAnsi="宋体" w:cs="宋体"/>
          <w:sz w:val="22"/>
          <w:lang w:val="zh-CN"/>
        </w:rPr>
      </w:pPr>
    </w:p>
    <w:p>
      <w:pPr>
        <w:autoSpaceDE w:val="0"/>
        <w:autoSpaceDN w:val="0"/>
        <w:adjustRightInd w:val="0"/>
        <w:spacing w:line="360" w:lineRule="auto"/>
        <w:jc w:val="center"/>
        <w:rPr>
          <w:rFonts w:ascii="宋体" w:hAnsi="宋体" w:cs="宋体"/>
          <w:b/>
          <w:bCs/>
          <w:kern w:val="0"/>
          <w:sz w:val="32"/>
          <w:szCs w:val="30"/>
          <w:lang w:val="zh-CN"/>
        </w:rPr>
      </w:pPr>
      <w:bookmarkStart w:id="252" w:name="_Toc4787_WPSOffice_Level2"/>
      <w:r>
        <w:rPr>
          <w:rFonts w:hint="eastAsia" w:ascii="宋体" w:hAnsi="宋体" w:cs="宋体"/>
          <w:b/>
          <w:bCs/>
          <w:kern w:val="0"/>
          <w:sz w:val="32"/>
          <w:szCs w:val="30"/>
          <w:lang w:val="zh-CN"/>
        </w:rPr>
        <w:t>磋商保证金证明</w:t>
      </w:r>
      <w:bookmarkEnd w:id="252"/>
    </w:p>
    <w:p>
      <w:pPr>
        <w:autoSpaceDE w:val="0"/>
        <w:autoSpaceDN w:val="0"/>
        <w:adjustRightInd w:val="0"/>
        <w:spacing w:line="360" w:lineRule="auto"/>
        <w:rPr>
          <w:rFonts w:ascii="宋体" w:hAnsi="宋体" w:cs="宋体"/>
          <w:b/>
          <w:bCs/>
          <w:kern w:val="0"/>
          <w:sz w:val="24"/>
          <w:szCs w:val="28"/>
          <w:lang w:val="zh-CN"/>
        </w:rPr>
      </w:pPr>
      <w:bookmarkStart w:id="253" w:name="_Toc325726048"/>
      <w:bookmarkEnd w:id="253"/>
    </w:p>
    <w:p>
      <w:pPr>
        <w:autoSpaceDE w:val="0"/>
        <w:autoSpaceDN w:val="0"/>
        <w:adjustRightInd w:val="0"/>
        <w:spacing w:line="360" w:lineRule="auto"/>
        <w:rPr>
          <w:rFonts w:ascii="宋体" w:hAnsi="宋体" w:cs="宋体"/>
          <w:b/>
          <w:bCs/>
          <w:kern w:val="0"/>
          <w:sz w:val="22"/>
          <w:lang w:val="en-US"/>
        </w:rPr>
      </w:pPr>
      <w:r>
        <w:rPr>
          <w:rFonts w:hint="eastAsia" w:ascii="宋体" w:hAnsi="宋体" w:cs="宋体"/>
          <w:b/>
          <w:bCs/>
          <w:kern w:val="0"/>
          <w:sz w:val="24"/>
          <w:szCs w:val="28"/>
          <w:lang w:val="zh-CN"/>
        </w:rPr>
        <w:t>致：</w:t>
      </w:r>
    </w:p>
    <w:p>
      <w:pPr>
        <w:autoSpaceDE w:val="0"/>
        <w:autoSpaceDN w:val="0"/>
        <w:adjustRightInd w:val="0"/>
        <w:spacing w:line="360" w:lineRule="auto"/>
        <w:rPr>
          <w:rFonts w:ascii="宋体" w:hAnsi="宋体" w:cs="宋体"/>
          <w:b/>
          <w:bCs/>
          <w:kern w:val="0"/>
          <w:sz w:val="24"/>
          <w:lang w:val="zh-CN"/>
        </w:rPr>
      </w:pPr>
    </w:p>
    <w:p>
      <w:pPr>
        <w:autoSpaceDE w:val="0"/>
        <w:autoSpaceDN w:val="0"/>
        <w:adjustRightInd w:val="0"/>
        <w:spacing w:line="360" w:lineRule="auto"/>
        <w:ind w:firstLine="650" w:firstLineChars="271"/>
        <w:rPr>
          <w:rFonts w:ascii="宋体" w:hAnsi="宋体" w:cs="宋体"/>
          <w:kern w:val="0"/>
          <w:sz w:val="24"/>
          <w:lang w:val="zh-CN"/>
        </w:rPr>
      </w:pPr>
      <w:r>
        <w:rPr>
          <w:rFonts w:hint="eastAsia" w:ascii="宋体" w:hAnsi="宋体" w:cs="宋体"/>
          <w:kern w:val="0"/>
          <w:sz w:val="24"/>
          <w:lang w:val="zh-CN"/>
        </w:rPr>
        <w:t>我方为（项目名称）项目（采购编号为：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lang w:val="zh-CN"/>
        </w:rPr>
        <w:t xml:space="preserve">            </w:t>
      </w:r>
      <w:r>
        <w:rPr>
          <w:rFonts w:hint="eastAsia" w:ascii="宋体" w:hAnsi="宋体" w:cs="宋体"/>
          <w:kern w:val="0"/>
          <w:sz w:val="24"/>
          <w:lang w:val="zh-CN"/>
        </w:rPr>
        <w:t>（大写：人民币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lang w:val="zh-CN"/>
        </w:rPr>
        <w:t xml:space="preserve">     </w:t>
      </w:r>
      <w:r>
        <w:rPr>
          <w:rFonts w:hint="eastAsia" w:ascii="宋体" w:hAnsi="宋体" w:cs="宋体"/>
          <w:kern w:val="0"/>
          <w:sz w:val="24"/>
          <w:lang w:val="zh-CN"/>
        </w:rPr>
        <w:t>年</w:t>
      </w:r>
      <w:r>
        <w:rPr>
          <w:rFonts w:hint="eastAsia" w:ascii="宋体" w:hAnsi="宋体" w:cs="宋体"/>
          <w:kern w:val="0"/>
          <w:sz w:val="24"/>
          <w:u w:val="single"/>
          <w:lang w:val="zh-CN"/>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lang w:val="zh-CN"/>
        </w:rPr>
        <w:t>日以基本户转账方式汇入你方账户。</w:t>
      </w:r>
    </w:p>
    <w:p>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 失。</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color w:val="000000"/>
          <w:kern w:val="0"/>
          <w:sz w:val="24"/>
          <w:lang w:val="zh-CN"/>
        </w:rPr>
      </w:pPr>
      <w:r>
        <w:rPr>
          <w:rFonts w:ascii="宋体" w:hAnsi="宋体" w:cs="宋体"/>
          <w:kern w:val="0"/>
          <w:sz w:val="24"/>
          <w:lang w:val="zh-CN"/>
        </w:rPr>
        <w:br w:type="textWrapping"/>
      </w:r>
      <w:r>
        <w:rPr>
          <w:rFonts w:hint="eastAsia" w:ascii="宋体" w:hAnsi="宋体" w:cs="宋体"/>
          <w:color w:val="000000"/>
          <w:kern w:val="0"/>
          <w:sz w:val="24"/>
          <w:lang w:val="zh-CN"/>
        </w:rPr>
        <w:t>注：退保证金时需提供财务开具的收据（原件）。</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spacing w:line="360" w:lineRule="auto"/>
        <w:rPr>
          <w:lang w:val="zh-CN"/>
        </w:rPr>
      </w:pPr>
    </w:p>
    <w:p>
      <w:pPr>
        <w:pStyle w:val="3"/>
        <w:numPr>
          <w:ilvl w:val="0"/>
          <w:numId w:val="0"/>
        </w:numPr>
        <w:tabs>
          <w:tab w:val="left" w:pos="425"/>
        </w:tabs>
        <w:ind w:left="709" w:hanging="709"/>
        <w:rPr>
          <w:rFonts w:hAnsi="宋体" w:cs="宋体"/>
        </w:rPr>
      </w:pPr>
      <w:r>
        <w:rPr>
          <w:rFonts w:hAnsi="宋体" w:cs="宋体"/>
          <w:kern w:val="0"/>
          <w:sz w:val="24"/>
          <w:lang w:val="zh-CN"/>
        </w:rPr>
        <w:br w:type="page"/>
      </w:r>
      <w:bookmarkStart w:id="254" w:name="_Toc428180589"/>
      <w:bookmarkStart w:id="255" w:name="_Toc466"/>
      <w:bookmarkStart w:id="256" w:name="_Toc535422004"/>
      <w:bookmarkStart w:id="257" w:name="_Toc444715741"/>
      <w:bookmarkStart w:id="258" w:name="_Toc21450"/>
      <w:bookmarkStart w:id="259" w:name="_Toc20394_WPSOffice_Level1"/>
      <w:r>
        <w:rPr>
          <w:rFonts w:hint="eastAsia" w:hAnsi="宋体"/>
          <w:b/>
          <w:sz w:val="32"/>
          <w:lang w:val="zh-CN"/>
        </w:rPr>
        <w:t>格式</w:t>
      </w:r>
      <w:r>
        <w:rPr>
          <w:rFonts w:hint="eastAsia" w:hAnsi="宋体"/>
          <w:b/>
          <w:sz w:val="32"/>
          <w:lang w:val="zh-CN" w:eastAsia="zh-CN"/>
        </w:rPr>
        <w:t>10</w:t>
      </w:r>
      <w:r>
        <w:rPr>
          <w:rFonts w:hint="eastAsia" w:hAnsi="宋体"/>
          <w:b/>
          <w:sz w:val="32"/>
          <w:lang w:val="zh-CN"/>
        </w:rPr>
        <w:t>、无重大违法记录声明</w:t>
      </w:r>
      <w:bookmarkEnd w:id="254"/>
      <w:bookmarkEnd w:id="255"/>
      <w:bookmarkEnd w:id="256"/>
      <w:bookmarkEnd w:id="257"/>
      <w:bookmarkEnd w:id="258"/>
      <w:bookmarkEnd w:id="259"/>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2"/>
          <w:szCs w:val="30"/>
          <w:lang w:val="zh-CN"/>
        </w:rPr>
      </w:pPr>
      <w:bookmarkStart w:id="260" w:name="_Toc11004_WPSOffice_Level2"/>
      <w:r>
        <w:rPr>
          <w:rFonts w:hint="eastAsia" w:ascii="宋体" w:hAnsi="宋体" w:cs="宋体"/>
          <w:b/>
          <w:bCs/>
          <w:kern w:val="0"/>
          <w:sz w:val="32"/>
          <w:szCs w:val="30"/>
          <w:lang w:val="zh-CN"/>
        </w:rPr>
        <w:t>无重大违法记录声明</w:t>
      </w:r>
      <w:bookmarkEnd w:id="260"/>
    </w:p>
    <w:p>
      <w:pPr>
        <w:autoSpaceDE w:val="0"/>
        <w:autoSpaceDN w:val="0"/>
        <w:adjustRightInd w:val="0"/>
        <w:spacing w:line="360" w:lineRule="auto"/>
        <w:rPr>
          <w:rFonts w:ascii="宋体" w:hAnsi="宋体" w:cs="宋体"/>
          <w:kern w:val="0"/>
          <w:sz w:val="22"/>
          <w:lang w:val="zh-CN"/>
        </w:rPr>
      </w:pPr>
    </w:p>
    <w:p>
      <w:pPr>
        <w:spacing w:line="360" w:lineRule="auto"/>
        <w:ind w:firstLine="426" w:firstLineChars="177"/>
        <w:rPr>
          <w:rFonts w:ascii="宋体" w:hAnsi="宋体" w:cs="Arial"/>
          <w:sz w:val="22"/>
          <w:lang w:val="en-US"/>
        </w:rPr>
      </w:pPr>
      <w:r>
        <w:rPr>
          <w:rFonts w:hint="eastAsia" w:ascii="宋体" w:hAnsi="宋体" w:cs="宋体"/>
          <w:b/>
          <w:bCs/>
          <w:kern w:val="0"/>
          <w:sz w:val="24"/>
          <w:szCs w:val="28"/>
          <w:lang w:val="zh-CN"/>
        </w:rPr>
        <w:t>致：</w:t>
      </w:r>
    </w:p>
    <w:p>
      <w:pPr>
        <w:spacing w:line="360" w:lineRule="auto"/>
        <w:ind w:firstLine="424" w:firstLineChars="177"/>
        <w:rPr>
          <w:rFonts w:ascii="宋体" w:hAnsi="宋体" w:cs="Arial"/>
          <w:sz w:val="24"/>
        </w:rPr>
      </w:pPr>
      <w:r>
        <w:rPr>
          <w:rFonts w:hint="eastAsia" w:ascii="宋体" w:hAnsi="宋体"/>
          <w:sz w:val="24"/>
          <w:lang w:val="zh-CN"/>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r>
        <w:rPr>
          <w:rFonts w:ascii="宋体" w:hAnsi="宋体" w:cs="Arial"/>
          <w:sz w:val="24"/>
        </w:rPr>
        <w:t>。</w:t>
      </w:r>
    </w:p>
    <w:p>
      <w:pPr>
        <w:spacing w:line="360" w:lineRule="auto"/>
        <w:ind w:firstLine="424" w:firstLineChars="177"/>
        <w:rPr>
          <w:rFonts w:ascii="宋体" w:hAnsi="宋体" w:cs="Arial"/>
          <w:sz w:val="24"/>
        </w:rPr>
      </w:pPr>
      <w:r>
        <w:rPr>
          <w:rFonts w:hint="eastAsia" w:ascii="宋体" w:hAnsi="宋体" w:cs="Arial"/>
          <w:sz w:val="24"/>
        </w:rPr>
        <w:t xml:space="preserve"> </w:t>
      </w: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r>
        <w:rPr>
          <w:rFonts w:ascii="宋体" w:hAnsi="宋体" w:cs="Arial"/>
          <w:sz w:val="24"/>
        </w:rPr>
        <w:t>特此声明。</w:t>
      </w: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spacing w:line="360" w:lineRule="auto"/>
        <w:ind w:firstLine="424" w:firstLineChars="177"/>
        <w:rPr>
          <w:rFonts w:hint="eastAsia" w:ascii="宋体" w:hAnsi="宋体" w:cs="Arial"/>
          <w:sz w:val="24"/>
        </w:rPr>
      </w:pP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 xml:space="preserve">投标供应商：     </w:t>
      </w:r>
      <w:r>
        <w:rPr>
          <w:rFonts w:ascii="宋体" w:hAnsi="宋体"/>
          <w:bCs/>
          <w:sz w:val="24"/>
          <w:szCs w:val="28"/>
        </w:rPr>
        <w:t xml:space="preserve">   </w:t>
      </w:r>
      <w:r>
        <w:rPr>
          <w:rFonts w:hint="eastAsia" w:ascii="宋体" w:hAnsi="宋体"/>
          <w:bCs/>
          <w:sz w:val="24"/>
          <w:szCs w:val="28"/>
        </w:rPr>
        <w:t xml:space="preserve"> </w:t>
      </w:r>
      <w:r>
        <w:rPr>
          <w:rFonts w:ascii="宋体" w:hAnsi="宋体"/>
          <w:bCs/>
          <w:sz w:val="24"/>
          <w:szCs w:val="28"/>
        </w:rPr>
        <w:t xml:space="preserve">   </w:t>
      </w:r>
      <w:r>
        <w:rPr>
          <w:rFonts w:hint="eastAsia" w:ascii="宋体" w:hAnsi="宋体"/>
          <w:bCs/>
          <w:sz w:val="24"/>
          <w:szCs w:val="28"/>
        </w:rPr>
        <w:t xml:space="preserve">        （公章）</w:t>
      </w:r>
    </w:p>
    <w:p>
      <w:pPr>
        <w:tabs>
          <w:tab w:val="left" w:pos="168"/>
        </w:tabs>
        <w:wordWrap w:val="0"/>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委托代理人：                    （签字）</w:t>
      </w:r>
    </w:p>
    <w:p>
      <w:pPr>
        <w:spacing w:line="360" w:lineRule="auto"/>
        <w:ind w:firstLine="424" w:firstLineChars="177"/>
        <w:jc w:val="right"/>
        <w:rPr>
          <w:rFonts w:hint="eastAsia" w:ascii="宋体" w:hAnsi="宋体" w:cs="Arial"/>
          <w:sz w:val="24"/>
        </w:rPr>
      </w:pPr>
      <w:r>
        <w:rPr>
          <w:rFonts w:hint="eastAsia" w:ascii="宋体" w:hAnsi="宋体"/>
          <w:bCs/>
          <w:sz w:val="24"/>
          <w:szCs w:val="28"/>
        </w:rPr>
        <w:t xml:space="preserve">                                 日期：                  年   月   日</w:t>
      </w:r>
    </w:p>
    <w:p>
      <w:pPr>
        <w:pStyle w:val="3"/>
        <w:numPr>
          <w:ilvl w:val="0"/>
          <w:numId w:val="0"/>
        </w:numPr>
        <w:tabs>
          <w:tab w:val="left" w:pos="425"/>
        </w:tabs>
        <w:rPr>
          <w:rFonts w:hAnsi="宋体"/>
          <w:lang w:val="zh-CN"/>
        </w:rPr>
      </w:pPr>
      <w:r>
        <w:rPr>
          <w:rFonts w:hAnsi="宋体"/>
          <w:bCs/>
          <w:sz w:val="24"/>
          <w:szCs w:val="28"/>
        </w:rPr>
        <w:br w:type="page"/>
      </w:r>
      <w:bookmarkStart w:id="261" w:name="_Toc12772_WPSOffice_Level1"/>
      <w:bookmarkStart w:id="262" w:name="_Toc20968"/>
      <w:bookmarkStart w:id="263" w:name="_Toc535422008"/>
      <w:r>
        <w:rPr>
          <w:rFonts w:hint="eastAsia" w:hAnsi="宋体"/>
          <w:b/>
          <w:sz w:val="32"/>
          <w:lang w:val="zh-CN"/>
        </w:rPr>
        <w:t>格式</w:t>
      </w:r>
      <w:r>
        <w:rPr>
          <w:rFonts w:hint="eastAsia" w:hAnsi="宋体"/>
          <w:b/>
          <w:sz w:val="32"/>
          <w:lang w:val="zh-CN" w:eastAsia="zh-CN"/>
        </w:rPr>
        <w:t>12</w:t>
      </w:r>
      <w:r>
        <w:rPr>
          <w:rFonts w:hint="eastAsia" w:hAnsi="宋体"/>
          <w:b/>
          <w:sz w:val="32"/>
          <w:lang w:val="zh-CN"/>
        </w:rPr>
        <w:t>、</w:t>
      </w:r>
      <w:bookmarkStart w:id="264" w:name="_Toc487036155"/>
      <w:r>
        <w:rPr>
          <w:rFonts w:hint="eastAsia" w:hAnsi="宋体"/>
          <w:b/>
          <w:sz w:val="32"/>
          <w:szCs w:val="32"/>
        </w:rPr>
        <w:t>竞争性磋商首次报价表</w:t>
      </w:r>
      <w:bookmarkEnd w:id="261"/>
      <w:bookmarkEnd w:id="262"/>
      <w:bookmarkEnd w:id="263"/>
      <w:bookmarkEnd w:id="264"/>
    </w:p>
    <w:p>
      <w:pPr>
        <w:autoSpaceDE w:val="0"/>
        <w:autoSpaceDN w:val="0"/>
        <w:adjustRightInd w:val="0"/>
        <w:spacing w:line="360" w:lineRule="auto"/>
        <w:jc w:val="center"/>
        <w:rPr>
          <w:rFonts w:hint="eastAsia" w:ascii="宋体" w:hAnsi="宋体"/>
          <w:b/>
          <w:sz w:val="32"/>
          <w:szCs w:val="32"/>
        </w:rPr>
      </w:pPr>
      <w:bookmarkStart w:id="265" w:name="_Toc8952_WPSOffice_Level2"/>
    </w:p>
    <w:p>
      <w:pPr>
        <w:autoSpaceDE w:val="0"/>
        <w:autoSpaceDN w:val="0"/>
        <w:adjustRightInd w:val="0"/>
        <w:spacing w:line="360" w:lineRule="auto"/>
        <w:jc w:val="center"/>
        <w:rPr>
          <w:rFonts w:hint="eastAsia" w:ascii="宋体" w:hAnsi="宋体"/>
          <w:b/>
          <w:sz w:val="32"/>
          <w:szCs w:val="32"/>
        </w:rPr>
      </w:pPr>
    </w:p>
    <w:p>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bookmarkEnd w:id="265"/>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p>
      <w:pP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15"/>
        <w:tblW w:w="0" w:type="auto"/>
        <w:jc w:val="center"/>
        <w:tblLayout w:type="fixed"/>
        <w:tblCellMar>
          <w:top w:w="0" w:type="dxa"/>
          <w:left w:w="108" w:type="dxa"/>
          <w:bottom w:w="0" w:type="dxa"/>
          <w:right w:w="108" w:type="dxa"/>
        </w:tblCellMar>
      </w:tblPr>
      <w:tblGrid>
        <w:gridCol w:w="2966"/>
        <w:gridCol w:w="3188"/>
        <w:gridCol w:w="2129"/>
        <w:gridCol w:w="1685"/>
      </w:tblGrid>
      <w:tr>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482"/>
              <w:jc w:val="center"/>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bCs/>
                <w:sz w:val="24"/>
                <w:lang w:val="zh-CN"/>
              </w:rPr>
            </w:pPr>
            <w:r>
              <w:rPr>
                <w:rFonts w:hint="eastAsia" w:ascii="Arial" w:hAnsi="Arial" w:cs="Arial"/>
                <w:bCs/>
                <w:sz w:val="24"/>
                <w:lang w:val="zh-CN"/>
              </w:rPr>
              <w:t>服务</w:t>
            </w:r>
            <w:r>
              <w:rPr>
                <w:rFonts w:ascii="Arial" w:hAnsi="Arial" w:cs="Arial"/>
                <w:bCs/>
                <w:sz w:val="24"/>
                <w:lang w:val="zh-CN"/>
              </w:rPr>
              <w:t>期</w:t>
            </w:r>
          </w:p>
          <w:p>
            <w:pPr>
              <w:autoSpaceDE w:val="0"/>
              <w:autoSpaceDN w:val="0"/>
              <w:spacing w:line="360" w:lineRule="auto"/>
              <w:jc w:val="center"/>
              <w:rPr>
                <w:rFonts w:hint="eastAsia" w:ascii="Arial" w:hAnsi="Arial" w:cs="Arial"/>
                <w:sz w:val="24"/>
                <w:lang w:val="zh-CN"/>
              </w:rPr>
            </w:pPr>
            <w:r>
              <w:rPr>
                <w:rFonts w:ascii="Arial" w:hAnsi="Arial" w:cs="Arial"/>
                <w:bCs/>
                <w:sz w:val="24"/>
                <w:lang w:val="zh-CN"/>
              </w:rPr>
              <w:t>（日历日）</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pPr>
        <w:autoSpaceDE w:val="0"/>
        <w:autoSpaceDN w:val="0"/>
        <w:spacing w:line="360" w:lineRule="auto"/>
        <w:rPr>
          <w:rFonts w:hint="eastAsia" w:ascii="宋体" w:hAnsi="宋体" w:eastAsia="宋体" w:cs="宋体"/>
          <w:b/>
          <w:szCs w:val="21"/>
          <w:lang w:val="zh-CN"/>
        </w:rPr>
      </w:pPr>
      <w:r>
        <w:rPr>
          <w:rFonts w:hint="eastAsia" w:ascii="宋体" w:hAnsi="宋体" w:eastAsia="宋体" w:cs="宋体"/>
          <w:b/>
          <w:bCs/>
          <w:szCs w:val="21"/>
          <w:lang w:val="zh-CN"/>
        </w:rPr>
        <w:t>注：</w:t>
      </w:r>
      <w:r>
        <w:rPr>
          <w:rFonts w:hint="eastAsia" w:ascii="宋体" w:hAnsi="宋体" w:eastAsia="宋体" w:cs="宋体"/>
          <w:b/>
          <w:szCs w:val="21"/>
          <w:lang w:val="zh-CN"/>
        </w:rPr>
        <w:t>1、填写此表时不得改变表格形式（可按所投包增加行）。</w:t>
      </w:r>
    </w:p>
    <w:p>
      <w:pPr>
        <w:spacing w:line="360" w:lineRule="auto"/>
        <w:ind w:firstLine="407" w:firstLineChars="193"/>
        <w:rPr>
          <w:rFonts w:hint="eastAsia" w:ascii="宋体" w:hAnsi="宋体" w:eastAsia="宋体" w:cs="宋体"/>
          <w:b/>
          <w:szCs w:val="21"/>
          <w:lang w:val="zh-CN"/>
        </w:rPr>
      </w:pPr>
      <w:r>
        <w:rPr>
          <w:rFonts w:hint="eastAsia" w:ascii="宋体" w:hAnsi="宋体" w:eastAsia="宋体" w:cs="宋体"/>
          <w:b/>
          <w:szCs w:val="21"/>
          <w:lang w:val="zh-CN"/>
        </w:rPr>
        <w:t>2、“磋商报价”为磋商总价。磋商报价必须包括：完成本服务内容可能发生的各项费用，如人员工资、交通、通讯、设备、利润、税收以及所有有关的管理成本和其他不可预见费等全部费用。</w:t>
      </w:r>
    </w:p>
    <w:p>
      <w:pPr>
        <w:spacing w:line="360" w:lineRule="auto"/>
        <w:ind w:firstLine="407" w:firstLineChars="193"/>
        <w:rPr>
          <w:rFonts w:hint="eastAsia" w:ascii="宋体" w:hAnsi="宋体" w:eastAsia="宋体" w:cs="宋体"/>
          <w:b/>
          <w:bCs/>
          <w:kern w:val="0"/>
          <w:szCs w:val="21"/>
          <w:lang w:val="zh-CN"/>
        </w:rPr>
      </w:pPr>
      <w:r>
        <w:rPr>
          <w:rFonts w:hint="eastAsia" w:ascii="宋体" w:hAnsi="宋体" w:eastAsia="宋体" w:cs="宋体"/>
          <w:b/>
          <w:szCs w:val="21"/>
          <w:lang w:val="zh-CN"/>
        </w:rPr>
        <w:t>3、“服务时间”是指服务能够交付使用的具体时间。</w:t>
      </w:r>
    </w:p>
    <w:p>
      <w:pPr>
        <w:spacing w:line="360" w:lineRule="auto"/>
        <w:ind w:firstLine="407" w:firstLineChars="193"/>
        <w:rPr>
          <w:rFonts w:hint="eastAsia" w:ascii="宋体" w:hAnsi="宋体" w:eastAsia="宋体" w:cs="宋体"/>
          <w:b/>
          <w:bCs/>
          <w:kern w:val="0"/>
          <w:szCs w:val="21"/>
          <w:lang w:val="zh-CN"/>
        </w:rPr>
      </w:pPr>
      <w:r>
        <w:rPr>
          <w:rFonts w:hint="eastAsia" w:ascii="宋体" w:hAnsi="宋体" w:eastAsia="宋体" w:cs="宋体"/>
          <w:b/>
          <w:szCs w:val="21"/>
          <w:lang w:val="zh-CN"/>
        </w:rPr>
        <w:t>4、磋商报价不能有两个或两个以上的报价方案。</w:t>
      </w: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hint="eastAsia" w:ascii="宋体" w:hAnsi="宋体" w:cs="宋体"/>
          <w:b/>
          <w:bCs/>
          <w:kern w:val="0"/>
          <w:sz w:val="20"/>
          <w:lang w:val="zh-CN"/>
        </w:rPr>
      </w:pPr>
    </w:p>
    <w:p>
      <w:pPr>
        <w:spacing w:line="360" w:lineRule="auto"/>
        <w:ind w:firstLine="388" w:firstLineChars="193"/>
        <w:rPr>
          <w:rFonts w:ascii="宋体" w:hAnsi="宋体" w:cs="宋体"/>
          <w:b/>
          <w:bCs/>
          <w:kern w:val="0"/>
          <w:sz w:val="20"/>
          <w:szCs w:val="22"/>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3"/>
        <w:numPr>
          <w:ilvl w:val="0"/>
          <w:numId w:val="0"/>
        </w:numPr>
        <w:tabs>
          <w:tab w:val="left" w:pos="425"/>
        </w:tabs>
        <w:rPr>
          <w:rFonts w:hAnsi="宋体"/>
          <w:lang w:val="zh-CN"/>
        </w:rPr>
      </w:pPr>
      <w:r>
        <w:rPr>
          <w:rFonts w:hAnsi="宋体"/>
          <w:bCs/>
          <w:sz w:val="24"/>
          <w:szCs w:val="28"/>
        </w:rPr>
        <w:br w:type="page"/>
      </w:r>
      <w:bookmarkStart w:id="266" w:name="_Toc3700"/>
      <w:bookmarkStart w:id="267" w:name="_Toc1765_WPSOffice_Level1"/>
      <w:bookmarkStart w:id="268" w:name="_Toc535422009"/>
      <w:r>
        <w:rPr>
          <w:rFonts w:hint="eastAsia" w:hAnsi="宋体"/>
          <w:b/>
          <w:sz w:val="32"/>
          <w:lang w:val="zh-CN"/>
        </w:rPr>
        <w:t>格式</w:t>
      </w:r>
      <w:r>
        <w:rPr>
          <w:rFonts w:hint="eastAsia" w:hAnsi="宋体"/>
          <w:b/>
          <w:sz w:val="32"/>
          <w:lang w:val="zh-CN" w:eastAsia="zh-CN"/>
        </w:rPr>
        <w:t>13</w:t>
      </w:r>
      <w:r>
        <w:rPr>
          <w:rFonts w:hint="eastAsia" w:hAnsi="宋体"/>
          <w:b/>
          <w:sz w:val="32"/>
          <w:lang w:val="zh-CN"/>
        </w:rPr>
        <w:t>、分项报价表</w:t>
      </w:r>
      <w:bookmarkEnd w:id="266"/>
      <w:bookmarkEnd w:id="267"/>
      <w:bookmarkEnd w:id="268"/>
    </w:p>
    <w:p>
      <w:pPr>
        <w:autoSpaceDE w:val="0"/>
        <w:autoSpaceDN w:val="0"/>
        <w:adjustRightInd w:val="0"/>
        <w:spacing w:line="360" w:lineRule="auto"/>
        <w:jc w:val="center"/>
        <w:rPr>
          <w:rFonts w:ascii="宋体" w:hAnsi="宋体" w:cs="宋体"/>
          <w:b/>
          <w:bCs/>
          <w:kern w:val="0"/>
          <w:sz w:val="32"/>
          <w:szCs w:val="30"/>
          <w:lang w:val="zh-CN"/>
        </w:rPr>
      </w:pPr>
      <w:bookmarkStart w:id="269" w:name="_Toc29971_WPSOffice_Level2"/>
      <w:r>
        <w:rPr>
          <w:rFonts w:hint="eastAsia" w:ascii="宋体" w:hAnsi="宋体" w:cs="宋体"/>
          <w:b/>
          <w:bCs/>
          <w:kern w:val="0"/>
          <w:sz w:val="32"/>
          <w:szCs w:val="30"/>
          <w:lang w:val="zh-CN"/>
        </w:rPr>
        <w:t>分项报价表</w:t>
      </w:r>
      <w:bookmarkEnd w:id="269"/>
    </w:p>
    <w:p>
      <w:pPr>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p>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15"/>
        <w:tblW w:w="0" w:type="auto"/>
        <w:jc w:val="center"/>
        <w:tblLayout w:type="fixed"/>
        <w:tblCellMar>
          <w:top w:w="0" w:type="dxa"/>
          <w:left w:w="108" w:type="dxa"/>
          <w:bottom w:w="0" w:type="dxa"/>
          <w:right w:w="108" w:type="dxa"/>
        </w:tblCellMar>
      </w:tblPr>
      <w:tblGrid>
        <w:gridCol w:w="826"/>
        <w:gridCol w:w="1403"/>
        <w:gridCol w:w="14"/>
        <w:gridCol w:w="1416"/>
        <w:gridCol w:w="1417"/>
        <w:gridCol w:w="1983"/>
        <w:gridCol w:w="1275"/>
        <w:gridCol w:w="1702"/>
      </w:tblGrid>
      <w:tr>
        <w:tblPrEx>
          <w:tblCellMar>
            <w:top w:w="0" w:type="dxa"/>
            <w:left w:w="108" w:type="dxa"/>
            <w:bottom w:w="0" w:type="dxa"/>
            <w:right w:w="108" w:type="dxa"/>
          </w:tblCellMar>
        </w:tblPrEx>
        <w:trPr>
          <w:trHeight w:val="870" w:hRule="atLeast"/>
          <w:jc w:val="center"/>
        </w:trPr>
        <w:tc>
          <w:tcPr>
            <w:tcW w:w="82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Arial" w:hAnsi="Arial" w:cs="Arial"/>
                <w:bCs/>
                <w:sz w:val="24"/>
                <w:lang w:val="zh-CN"/>
              </w:rPr>
            </w:pPr>
            <w:r>
              <w:rPr>
                <w:rFonts w:hint="eastAsia" w:ascii="Arial" w:hAnsi="Arial" w:cs="Arial"/>
                <w:bCs/>
                <w:sz w:val="24"/>
                <w:lang w:val="zh-CN"/>
              </w:rPr>
              <w:t>序号</w:t>
            </w:r>
          </w:p>
        </w:tc>
        <w:tc>
          <w:tcPr>
            <w:tcW w:w="1403"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服务名称</w:t>
            </w:r>
          </w:p>
        </w:tc>
        <w:tc>
          <w:tcPr>
            <w:tcW w:w="1430" w:type="dxa"/>
            <w:gridSpan w:val="2"/>
            <w:tcBorders>
              <w:top w:val="single" w:color="auto" w:sz="8" w:space="0"/>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r>
              <w:rPr>
                <w:rFonts w:hint="eastAsia" w:ascii="Arial" w:hAnsi="Arial" w:cs="Arial"/>
                <w:bCs/>
                <w:sz w:val="24"/>
                <w:lang w:val="zh-CN"/>
              </w:rPr>
              <w:t>服务内容</w:t>
            </w:r>
          </w:p>
        </w:tc>
        <w:tc>
          <w:tcPr>
            <w:tcW w:w="1417"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单价</w:t>
            </w:r>
          </w:p>
        </w:tc>
        <w:tc>
          <w:tcPr>
            <w:tcW w:w="1983"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数量及单位</w:t>
            </w:r>
          </w:p>
        </w:tc>
        <w:tc>
          <w:tcPr>
            <w:tcW w:w="1275"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合计</w:t>
            </w:r>
          </w:p>
        </w:tc>
        <w:tc>
          <w:tcPr>
            <w:tcW w:w="1702"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备注</w:t>
            </w:r>
          </w:p>
        </w:tc>
      </w:tr>
      <w:tr>
        <w:tblPrEx>
          <w:tblCellMar>
            <w:top w:w="0" w:type="dxa"/>
            <w:left w:w="108" w:type="dxa"/>
            <w:bottom w:w="0" w:type="dxa"/>
            <w:right w:w="108" w:type="dxa"/>
          </w:tblCellMar>
        </w:tblPrEx>
        <w:trPr>
          <w:trHeight w:val="462"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1</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54"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2</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34"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3</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42"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4</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50"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1125" w:hRule="atLeast"/>
          <w:jc w:val="center"/>
        </w:trPr>
        <w:tc>
          <w:tcPr>
            <w:tcW w:w="10036" w:type="dxa"/>
            <w:gridSpan w:val="8"/>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hint="eastAsia" w:ascii="Arial" w:hAnsi="Arial" w:cs="Arial"/>
                <w:bCs/>
                <w:sz w:val="24"/>
                <w:lang w:val="zh-CN"/>
              </w:rPr>
            </w:pPr>
            <w:r>
              <w:rPr>
                <w:rFonts w:hint="eastAsia" w:ascii="Arial" w:hAnsi="Arial" w:cs="Arial"/>
                <w:bCs/>
                <w:sz w:val="24"/>
                <w:lang w:val="zh-CN"/>
              </w:rPr>
              <w:t>优惠承诺及其他：</w:t>
            </w:r>
          </w:p>
          <w:p>
            <w:pPr>
              <w:spacing w:line="360" w:lineRule="auto"/>
              <w:rPr>
                <w:rFonts w:hint="eastAsia" w:ascii="Arial" w:hAnsi="Arial" w:cs="Arial"/>
                <w:bCs/>
                <w:sz w:val="24"/>
                <w:lang w:val="zh-CN"/>
              </w:rPr>
            </w:pPr>
          </w:p>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971" w:hRule="atLeast"/>
          <w:jc w:val="center"/>
        </w:trPr>
        <w:tc>
          <w:tcPr>
            <w:tcW w:w="2243" w:type="dxa"/>
            <w:gridSpan w:val="3"/>
            <w:tcBorders>
              <w:top w:val="single" w:color="auto" w:sz="8" w:space="0"/>
              <w:left w:val="single" w:color="auto" w:sz="8" w:space="0"/>
              <w:bottom w:val="single" w:color="auto" w:sz="8" w:space="0"/>
              <w:right w:val="single" w:color="000000"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投标总价</w:t>
            </w:r>
          </w:p>
        </w:tc>
        <w:tc>
          <w:tcPr>
            <w:tcW w:w="7793" w:type="dxa"/>
            <w:gridSpan w:val="5"/>
            <w:tcBorders>
              <w:top w:val="single" w:color="auto" w:sz="8" w:space="0"/>
              <w:left w:val="nil"/>
              <w:bottom w:val="single" w:color="auto" w:sz="8" w:space="0"/>
              <w:right w:val="single" w:color="000000" w:sz="8" w:space="0"/>
            </w:tcBorders>
            <w:noWrap w:val="0"/>
            <w:vAlign w:val="center"/>
          </w:tcPr>
          <w:p>
            <w:pPr>
              <w:spacing w:line="360" w:lineRule="auto"/>
              <w:rPr>
                <w:rFonts w:ascii="Arial" w:hAnsi="Arial" w:cs="Arial"/>
                <w:bCs/>
                <w:sz w:val="24"/>
                <w:lang w:val="zh-CN"/>
              </w:rPr>
            </w:pPr>
            <w:r>
              <w:rPr>
                <w:rFonts w:hint="eastAsia" w:ascii="Arial" w:hAnsi="Arial" w:cs="Arial"/>
                <w:bCs/>
                <w:sz w:val="24"/>
                <w:lang w:val="zh-CN"/>
              </w:rPr>
              <w:t>大写：</w:t>
            </w:r>
          </w:p>
          <w:p>
            <w:pPr>
              <w:spacing w:line="360" w:lineRule="auto"/>
              <w:rPr>
                <w:rFonts w:hint="eastAsia" w:ascii="Arial" w:hAnsi="Arial" w:cs="Arial"/>
                <w:bCs/>
                <w:sz w:val="24"/>
                <w:lang w:val="zh-CN"/>
              </w:rPr>
            </w:pPr>
            <w:r>
              <w:rPr>
                <w:rFonts w:hint="eastAsia" w:ascii="Arial" w:hAnsi="Arial" w:cs="Arial"/>
                <w:bCs/>
                <w:sz w:val="24"/>
                <w:lang w:val="zh-CN"/>
              </w:rPr>
              <w:br w:type="textWrapping"/>
            </w:r>
            <w:r>
              <w:rPr>
                <w:rFonts w:hint="eastAsia" w:ascii="Arial" w:hAnsi="Arial" w:cs="Arial"/>
                <w:bCs/>
                <w:sz w:val="24"/>
                <w:lang w:val="zh-CN"/>
              </w:rPr>
              <w:t>小写：</w:t>
            </w:r>
          </w:p>
        </w:tc>
      </w:tr>
    </w:tbl>
    <w:p>
      <w:pPr>
        <w:autoSpaceDE w:val="0"/>
        <w:autoSpaceDN w:val="0"/>
        <w:spacing w:line="360" w:lineRule="auto"/>
        <w:rPr>
          <w:rFonts w:hint="eastAsia" w:ascii="楷体" w:hAnsi="楷体" w:eastAsia="楷体" w:cs="Arial"/>
          <w:b/>
          <w:bCs/>
          <w:szCs w:val="21"/>
          <w:lang w:val="zh-CN"/>
        </w:rPr>
      </w:pPr>
    </w:p>
    <w:p>
      <w:pPr>
        <w:spacing w:line="360" w:lineRule="auto"/>
        <w:rPr>
          <w:rFonts w:hint="eastAsia" w:ascii="Arial" w:hAnsi="Arial" w:cs="Arial"/>
          <w:bCs/>
          <w:sz w:val="24"/>
          <w:lang w:val="zh-CN"/>
        </w:rPr>
      </w:pPr>
      <w:r>
        <w:rPr>
          <w:rFonts w:hint="eastAsia" w:ascii="Arial" w:hAnsi="Arial" w:cs="Arial"/>
          <w:bCs/>
          <w:sz w:val="24"/>
          <w:lang w:val="zh-CN"/>
        </w:rPr>
        <w:t>注：“分项报价表”须为打印版，手写无效。</w:t>
      </w:r>
    </w:p>
    <w:p>
      <w:pPr>
        <w:spacing w:line="360" w:lineRule="auto"/>
        <w:rPr>
          <w:rFonts w:ascii="宋体" w:hAnsi="宋体"/>
          <w:lang w:val="zh-CN"/>
        </w:rPr>
      </w:pPr>
    </w:p>
    <w:p>
      <w:pPr>
        <w:tabs>
          <w:tab w:val="left" w:pos="168"/>
        </w:tabs>
        <w:adjustRightInd w:val="0"/>
        <w:spacing w:line="360" w:lineRule="auto"/>
        <w:jc w:val="right"/>
        <w:textAlignment w:val="baseline"/>
        <w:rPr>
          <w:rFonts w:hint="eastAsia" w:ascii="宋体" w:hAnsi="宋体"/>
          <w:bCs/>
          <w:sz w:val="24"/>
          <w:szCs w:val="28"/>
        </w:rPr>
      </w:pPr>
    </w:p>
    <w:p>
      <w:pPr>
        <w:tabs>
          <w:tab w:val="left" w:pos="168"/>
        </w:tabs>
        <w:adjustRightInd w:val="0"/>
        <w:spacing w:line="360" w:lineRule="auto"/>
        <w:jc w:val="right"/>
        <w:textAlignment w:val="baseline"/>
        <w:rPr>
          <w:rFonts w:hint="eastAsia" w:ascii="宋体" w:hAnsi="宋体"/>
          <w:bCs/>
          <w:sz w:val="24"/>
          <w:szCs w:val="28"/>
        </w:rPr>
      </w:pPr>
    </w:p>
    <w:p>
      <w:pPr>
        <w:tabs>
          <w:tab w:val="left" w:pos="168"/>
        </w:tabs>
        <w:adjustRightInd w:val="0"/>
        <w:spacing w:line="360" w:lineRule="auto"/>
        <w:jc w:val="right"/>
        <w:textAlignment w:val="baseline"/>
        <w:rPr>
          <w:rFonts w:hint="eastAsia" w:ascii="宋体" w:hAnsi="宋体"/>
          <w:bCs/>
          <w:sz w:val="24"/>
          <w:szCs w:val="28"/>
        </w:rPr>
      </w:pPr>
    </w:p>
    <w:p>
      <w:pPr>
        <w:tabs>
          <w:tab w:val="left" w:pos="168"/>
        </w:tabs>
        <w:adjustRightInd w:val="0"/>
        <w:spacing w:line="360" w:lineRule="auto"/>
        <w:ind w:firstLine="4320" w:firstLineChars="1800"/>
        <w:jc w:val="both"/>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hint="eastAsia" w:ascii="宋体" w:hAnsi="宋体"/>
          <w:bCs/>
          <w:sz w:val="24"/>
          <w:szCs w:val="28"/>
        </w:rPr>
      </w:pP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3"/>
        <w:numPr>
          <w:ilvl w:val="0"/>
          <w:numId w:val="0"/>
        </w:numPr>
        <w:tabs>
          <w:tab w:val="left" w:pos="425"/>
        </w:tabs>
        <w:rPr>
          <w:rFonts w:hAnsi="宋体"/>
          <w:bCs/>
          <w:sz w:val="24"/>
          <w:szCs w:val="28"/>
        </w:rPr>
      </w:pPr>
      <w:r>
        <w:rPr>
          <w:rFonts w:hAnsi="宋体"/>
          <w:bCs/>
          <w:sz w:val="24"/>
          <w:szCs w:val="28"/>
        </w:rPr>
        <w:t xml:space="preserve"> </w:t>
      </w:r>
    </w:p>
    <w:p>
      <w:pPr>
        <w:pStyle w:val="3"/>
        <w:numPr>
          <w:ilvl w:val="0"/>
          <w:numId w:val="0"/>
        </w:numPr>
        <w:tabs>
          <w:tab w:val="left" w:pos="425"/>
        </w:tabs>
        <w:rPr>
          <w:rFonts w:hAnsi="宋体" w:cs="宋体"/>
          <w:bCs/>
          <w:sz w:val="24"/>
        </w:rPr>
      </w:pPr>
      <w:bookmarkStart w:id="270" w:name="_Toc24154_WPSOffice_Level1"/>
      <w:bookmarkStart w:id="271" w:name="_Toc15166"/>
      <w:bookmarkStart w:id="272" w:name="_Toc535422010"/>
      <w:bookmarkStart w:id="273" w:name="_Toc20510"/>
      <w:bookmarkStart w:id="274" w:name="_Toc25742"/>
      <w:bookmarkStart w:id="275" w:name="_Toc444715742"/>
      <w:r>
        <w:rPr>
          <w:rFonts w:hint="eastAsia" w:hAnsi="宋体"/>
          <w:b/>
          <w:sz w:val="32"/>
          <w:lang w:val="zh-CN"/>
        </w:rPr>
        <w:t>格式</w:t>
      </w:r>
      <w:r>
        <w:rPr>
          <w:rFonts w:hint="eastAsia" w:hAnsi="宋体"/>
          <w:b/>
          <w:sz w:val="32"/>
          <w:lang w:val="zh-CN" w:eastAsia="zh-CN"/>
        </w:rPr>
        <w:t>14</w:t>
      </w:r>
      <w:r>
        <w:rPr>
          <w:rFonts w:hint="eastAsia" w:hAnsi="宋体"/>
          <w:b/>
          <w:sz w:val="32"/>
          <w:lang w:val="zh-CN"/>
        </w:rPr>
        <w:t>：磋商</w:t>
      </w:r>
      <w:r>
        <w:rPr>
          <w:rFonts w:hint="eastAsia" w:hAnsi="宋体"/>
          <w:b/>
          <w:sz w:val="32"/>
          <w:lang w:val="zh-CN" w:eastAsia="zh-CN"/>
        </w:rPr>
        <w:t>服务</w:t>
      </w:r>
      <w:r>
        <w:rPr>
          <w:rFonts w:hint="eastAsia" w:hAnsi="宋体"/>
          <w:b/>
          <w:sz w:val="32"/>
          <w:lang w:val="zh-CN"/>
        </w:rPr>
        <w:t>相关资料</w:t>
      </w:r>
      <w:bookmarkEnd w:id="270"/>
      <w:bookmarkEnd w:id="271"/>
      <w:bookmarkEnd w:id="272"/>
    </w:p>
    <w:p>
      <w:pPr>
        <w:spacing w:line="360" w:lineRule="auto"/>
        <w:rPr>
          <w:rFonts w:ascii="宋体" w:hAnsi="宋体"/>
          <w:b/>
          <w:bCs/>
          <w:kern w:val="28"/>
          <w:sz w:val="32"/>
          <w:szCs w:val="32"/>
          <w:lang w:val="zh-CN"/>
        </w:rPr>
      </w:pPr>
    </w:p>
    <w:p>
      <w:pPr>
        <w:autoSpaceDE w:val="0"/>
        <w:autoSpaceDN w:val="0"/>
        <w:adjustRightInd w:val="0"/>
        <w:spacing w:line="360" w:lineRule="auto"/>
        <w:jc w:val="center"/>
        <w:rPr>
          <w:rFonts w:ascii="宋体" w:hAnsi="宋体" w:cs="Arial"/>
          <w:bCs/>
          <w:sz w:val="40"/>
          <w:szCs w:val="36"/>
          <w:lang w:val="zh-CN"/>
        </w:rPr>
      </w:pPr>
      <w:bookmarkStart w:id="276" w:name="_Toc16896_WPSOffice_Level2"/>
      <w:r>
        <w:rPr>
          <w:rFonts w:hint="eastAsia" w:ascii="宋体" w:hAnsi="宋体" w:cs="宋体"/>
          <w:b/>
          <w:bCs/>
          <w:kern w:val="0"/>
          <w:sz w:val="32"/>
          <w:szCs w:val="30"/>
          <w:lang w:val="zh-CN"/>
        </w:rPr>
        <w:t>磋商服务</w:t>
      </w:r>
      <w:r>
        <w:rPr>
          <w:rFonts w:ascii="宋体" w:hAnsi="宋体" w:cs="宋体"/>
          <w:b/>
          <w:bCs/>
          <w:kern w:val="0"/>
          <w:sz w:val="32"/>
          <w:szCs w:val="30"/>
          <w:lang w:val="zh-CN"/>
        </w:rPr>
        <w:t>相关资料</w:t>
      </w:r>
      <w:bookmarkEnd w:id="276"/>
    </w:p>
    <w:p>
      <w:pPr>
        <w:tabs>
          <w:tab w:val="left" w:pos="168"/>
        </w:tabs>
        <w:spacing w:line="360" w:lineRule="auto"/>
        <w:ind w:firstLine="480" w:firstLineChars="200"/>
        <w:textAlignment w:val="baseline"/>
        <w:rPr>
          <w:rFonts w:ascii="宋体" w:hAnsi="宋体" w:cs="宋体"/>
          <w:kern w:val="0"/>
          <w:sz w:val="24"/>
          <w:lang w:val="zh-CN"/>
        </w:rPr>
      </w:pPr>
      <w:r>
        <w:rPr>
          <w:rFonts w:hint="eastAsia" w:ascii="宋体" w:hAnsi="宋体" w:cs="宋体"/>
          <w:kern w:val="0"/>
          <w:sz w:val="24"/>
          <w:lang w:val="zh-CN"/>
        </w:rPr>
        <w:t>根据采购项目内容，提供磋商服务相关资料；扫描（或复印）件应全面、完整、清晰并加盖磋商供应商公章。</w:t>
      </w:r>
    </w:p>
    <w:bookmarkEnd w:id="273"/>
    <w:bookmarkEnd w:id="274"/>
    <w:bookmarkEnd w:id="275"/>
    <w:p>
      <w:pPr>
        <w:spacing w:line="360" w:lineRule="auto"/>
        <w:ind w:firstLine="569" w:firstLineChars="177"/>
        <w:rPr>
          <w:rFonts w:hAnsi="宋体"/>
          <w:b/>
          <w:sz w:val="32"/>
          <w:lang w:val="zh-CN"/>
        </w:rPr>
      </w:pPr>
    </w:p>
    <w:p>
      <w:pPr>
        <w:pStyle w:val="3"/>
        <w:numPr>
          <w:ilvl w:val="0"/>
          <w:numId w:val="0"/>
        </w:numPr>
        <w:tabs>
          <w:tab w:val="left" w:pos="425"/>
        </w:tabs>
        <w:ind w:left="709" w:hanging="709"/>
        <w:rPr>
          <w:rFonts w:hAnsi="宋体" w:cs="宋体"/>
        </w:rPr>
      </w:pPr>
      <w:r>
        <w:rPr>
          <w:rFonts w:hAnsi="宋体"/>
          <w:bCs/>
          <w:sz w:val="24"/>
          <w:szCs w:val="28"/>
        </w:rPr>
        <w:br w:type="page"/>
      </w:r>
      <w:bookmarkStart w:id="277" w:name="_Toc18383_WPSOffice_Level1"/>
      <w:bookmarkStart w:id="278" w:name="_Toc26502"/>
      <w:bookmarkStart w:id="279" w:name="_Toc535422011"/>
      <w:r>
        <w:rPr>
          <w:rFonts w:hint="eastAsia" w:hAnsi="宋体"/>
          <w:b/>
          <w:sz w:val="32"/>
          <w:lang w:val="zh-CN"/>
        </w:rPr>
        <w:t>格式</w:t>
      </w:r>
      <w:r>
        <w:rPr>
          <w:rFonts w:hint="eastAsia" w:hAnsi="宋体"/>
          <w:b/>
          <w:sz w:val="32"/>
          <w:lang w:val="zh-CN" w:eastAsia="zh-CN"/>
        </w:rPr>
        <w:t>15</w:t>
      </w:r>
      <w:r>
        <w:rPr>
          <w:rFonts w:hint="eastAsia" w:hAnsi="宋体"/>
          <w:b/>
          <w:sz w:val="32"/>
          <w:lang w:val="zh-CN"/>
        </w:rPr>
        <w:t>、磋商供应商的类似业绩证明材料</w:t>
      </w:r>
      <w:bookmarkEnd w:id="277"/>
      <w:bookmarkEnd w:id="278"/>
      <w:bookmarkEnd w:id="279"/>
    </w:p>
    <w:p>
      <w:pPr>
        <w:autoSpaceDE w:val="0"/>
        <w:autoSpaceDN w:val="0"/>
        <w:adjustRightInd w:val="0"/>
        <w:spacing w:line="360" w:lineRule="auto"/>
        <w:rPr>
          <w:rFonts w:ascii="宋体" w:hAnsi="宋体" w:cs="宋体"/>
          <w:kern w:val="0"/>
          <w:sz w:val="28"/>
          <w:lang w:val="zh-CN"/>
        </w:rPr>
      </w:pPr>
    </w:p>
    <w:p>
      <w:pPr>
        <w:autoSpaceDE w:val="0"/>
        <w:autoSpaceDN w:val="0"/>
        <w:adjustRightInd w:val="0"/>
        <w:spacing w:line="360" w:lineRule="auto"/>
        <w:jc w:val="center"/>
        <w:rPr>
          <w:rFonts w:ascii="宋体" w:hAnsi="宋体" w:cs="宋体"/>
          <w:b/>
          <w:bCs/>
          <w:kern w:val="0"/>
          <w:sz w:val="32"/>
          <w:szCs w:val="30"/>
          <w:lang w:val="zh-CN"/>
        </w:rPr>
      </w:pPr>
      <w:bookmarkStart w:id="280" w:name="_Toc13964_WPSOffice_Level2"/>
      <w:r>
        <w:rPr>
          <w:rFonts w:hint="eastAsia" w:ascii="宋体" w:hAnsi="宋体" w:cs="宋体"/>
          <w:b/>
          <w:bCs/>
          <w:kern w:val="0"/>
          <w:sz w:val="32"/>
          <w:szCs w:val="30"/>
          <w:lang w:val="zh-CN"/>
        </w:rPr>
        <w:t>磋商供应商的类似业绩证明材料</w:t>
      </w:r>
      <w:bookmarkEnd w:id="280"/>
    </w:p>
    <w:p>
      <w:pPr>
        <w:autoSpaceDE w:val="0"/>
        <w:autoSpaceDN w:val="0"/>
        <w:adjustRightInd w:val="0"/>
        <w:spacing w:line="360" w:lineRule="auto"/>
        <w:rPr>
          <w:rFonts w:hint="eastAsia" w:ascii="宋体" w:hAnsi="宋体" w:cs="宋体"/>
          <w:kern w:val="0"/>
          <w:sz w:val="24"/>
          <w:lang w:val="zh-CN"/>
        </w:rPr>
      </w:pP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提供</w:t>
      </w:r>
      <w:r>
        <w:rPr>
          <w:rFonts w:hint="eastAsia" w:ascii="宋体" w:hAnsi="宋体" w:cs="宋体"/>
          <w:kern w:val="0"/>
          <w:sz w:val="24"/>
          <w:lang w:val="en-US" w:eastAsia="zh-CN"/>
        </w:rPr>
        <w:t>2017年01月至2020年01月期间类似业绩</w:t>
      </w:r>
      <w:r>
        <w:rPr>
          <w:rFonts w:hint="eastAsia" w:ascii="宋体" w:hAnsi="宋体" w:cs="宋体"/>
          <w:kern w:val="0"/>
          <w:sz w:val="24"/>
          <w:lang w:val="zh-CN"/>
        </w:rPr>
        <w:t>投标人类似业绩证明材料，</w:t>
      </w:r>
      <w:r>
        <w:rPr>
          <w:rFonts w:hint="eastAsia" w:ascii="宋体" w:hAnsi="宋体" w:cs="宋体"/>
          <w:kern w:val="0"/>
          <w:sz w:val="24"/>
          <w:lang w:val="en-US" w:eastAsia="zh-CN"/>
        </w:rPr>
        <w:t>应包括中标通知书或服务合同协议书（以签订合同日期为准）</w:t>
      </w:r>
    </w:p>
    <w:p>
      <w:pPr>
        <w:autoSpaceDE w:val="0"/>
        <w:autoSpaceDN w:val="0"/>
        <w:adjustRightInd w:val="0"/>
        <w:spacing w:line="360" w:lineRule="auto"/>
        <w:ind w:firstLine="480"/>
        <w:rPr>
          <w:rFonts w:ascii="宋体" w:hAnsi="宋体" w:cs="宋体"/>
          <w:kern w:val="0"/>
          <w:sz w:val="24"/>
          <w:lang w:val="zh-CN"/>
        </w:rPr>
      </w:pPr>
    </w:p>
    <w:p>
      <w:pPr>
        <w:pStyle w:val="2"/>
        <w:keepNext/>
        <w:keepLines/>
        <w:numPr>
          <w:ilvl w:val="0"/>
          <w:numId w:val="0"/>
        </w:numPr>
        <w:tabs>
          <w:tab w:val="clear" w:pos="720"/>
        </w:tabs>
        <w:snapToGrid/>
        <w:ind w:left="567" w:hanging="567"/>
        <w:jc w:val="left"/>
        <w:rPr>
          <w:rFonts w:hAnsi="宋体"/>
          <w:kern w:val="0"/>
          <w:sz w:val="32"/>
          <w:szCs w:val="32"/>
        </w:rPr>
      </w:pPr>
      <w:r>
        <w:rPr>
          <w:rFonts w:hAnsi="宋体"/>
          <w:bCs/>
          <w:sz w:val="24"/>
          <w:szCs w:val="28"/>
        </w:rPr>
        <w:br w:type="page"/>
      </w:r>
      <w:bookmarkStart w:id="281" w:name="_Toc31976"/>
      <w:bookmarkStart w:id="282" w:name="_Toc535422012"/>
      <w:bookmarkStart w:id="283" w:name="_Toc29319_WPSOffice_Level1"/>
      <w:r>
        <w:rPr>
          <w:rFonts w:hint="eastAsia" w:hAnsi="宋体"/>
          <w:b/>
          <w:sz w:val="32"/>
          <w:lang w:val="zh-CN"/>
        </w:rPr>
        <w:t>格式</w:t>
      </w:r>
      <w:r>
        <w:rPr>
          <w:rFonts w:hint="eastAsia" w:hAnsi="宋体"/>
          <w:b/>
          <w:sz w:val="32"/>
          <w:lang w:val="zh-CN" w:eastAsia="zh-CN"/>
        </w:rPr>
        <w:t>16</w:t>
      </w:r>
      <w:r>
        <w:rPr>
          <w:rFonts w:hint="eastAsia" w:hAnsi="宋体"/>
          <w:b/>
          <w:sz w:val="32"/>
          <w:lang w:val="zh-CN"/>
        </w:rPr>
        <w:t>、</w:t>
      </w:r>
      <w:bookmarkStart w:id="284" w:name="_Toc488314153"/>
      <w:bookmarkStart w:id="285" w:name="_Toc459377894"/>
      <w:bookmarkStart w:id="286" w:name="_Toc479326333"/>
      <w:r>
        <w:rPr>
          <w:rFonts w:hint="eastAsia" w:hAnsi="宋体"/>
          <w:b/>
          <w:sz w:val="32"/>
          <w:lang w:val="zh-CN"/>
        </w:rPr>
        <w:t>中小微型企业声明函</w:t>
      </w:r>
      <w:bookmarkEnd w:id="281"/>
      <w:bookmarkEnd w:id="282"/>
      <w:bookmarkEnd w:id="283"/>
      <w:bookmarkEnd w:id="284"/>
      <w:bookmarkEnd w:id="285"/>
      <w:bookmarkEnd w:id="286"/>
    </w:p>
    <w:p>
      <w:pPr>
        <w:spacing w:line="360" w:lineRule="auto"/>
        <w:rPr>
          <w:rFonts w:hint="eastAsia" w:ascii="宋体" w:hAnsi="宋体" w:cs="Arial"/>
        </w:rPr>
      </w:pPr>
    </w:p>
    <w:p>
      <w:pPr>
        <w:autoSpaceDE w:val="0"/>
        <w:autoSpaceDN w:val="0"/>
        <w:spacing w:line="360" w:lineRule="auto"/>
        <w:jc w:val="center"/>
        <w:rPr>
          <w:rFonts w:hint="eastAsia" w:ascii="宋体" w:hAnsi="宋体" w:cs="宋体"/>
          <w:b/>
          <w:bCs/>
          <w:sz w:val="32"/>
          <w:szCs w:val="30"/>
          <w:lang w:val="zh-CN"/>
        </w:rPr>
      </w:pPr>
      <w:bookmarkStart w:id="287" w:name="_Toc19443_WPSOffice_Level2"/>
      <w:r>
        <w:rPr>
          <w:rFonts w:hint="eastAsia" w:ascii="宋体" w:hAnsi="宋体" w:cs="宋体"/>
          <w:b/>
          <w:bCs/>
          <w:sz w:val="32"/>
          <w:szCs w:val="30"/>
          <w:lang w:val="zh-CN"/>
        </w:rPr>
        <w:t>中小微型企业声明函</w:t>
      </w:r>
      <w:bookmarkEnd w:id="287"/>
    </w:p>
    <w:p>
      <w:pPr>
        <w:autoSpaceDE w:val="0"/>
        <w:autoSpaceDN w:val="0"/>
        <w:spacing w:line="360" w:lineRule="auto"/>
        <w:rPr>
          <w:rFonts w:hint="eastAsia" w:ascii="宋体" w:hAnsi="宋体" w:cs="宋体"/>
          <w:b/>
          <w:bCs/>
          <w:kern w:val="0"/>
          <w:sz w:val="28"/>
          <w:szCs w:val="28"/>
          <w:lang w:val="en-US"/>
        </w:rPr>
      </w:pPr>
      <w:r>
        <w:rPr>
          <w:rFonts w:hint="eastAsia" w:ascii="宋体" w:hAnsi="宋体" w:cs="宋体"/>
          <w:b/>
          <w:bCs/>
          <w:kern w:val="0"/>
          <w:sz w:val="24"/>
          <w:szCs w:val="28"/>
          <w:lang w:val="zh-CN"/>
        </w:rPr>
        <w:t>致：</w:t>
      </w:r>
    </w:p>
    <w:p>
      <w:pPr>
        <w:spacing w:line="360" w:lineRule="auto"/>
        <w:rPr>
          <w:rFonts w:hint="eastAsia" w:ascii="宋体" w:hAnsi="宋体" w:cs="宋体"/>
          <w:lang w:val="zh-CN"/>
        </w:rPr>
      </w:pPr>
    </w:p>
    <w:p>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本公司郑重声明，根据《政府采购促进中小企业发展暂行办法》（财库〔2011〕181号）的规定，本公司为______（请填写：中型、小型、微型）企业。即，本公司满足以下条件：</w:t>
      </w:r>
    </w:p>
    <w:p>
      <w:pPr>
        <w:numPr>
          <w:ilvl w:val="0"/>
          <w:numId w:val="50"/>
        </w:numPr>
        <w:autoSpaceDE w:val="0"/>
        <w:autoSpaceDN w:val="0"/>
        <w:spacing w:line="360" w:lineRule="auto"/>
        <w:rPr>
          <w:rFonts w:hint="eastAsia" w:ascii="宋体" w:hAnsi="宋体" w:cs="宋体"/>
          <w:sz w:val="24"/>
        </w:rPr>
      </w:pPr>
      <w:r>
        <w:rPr>
          <w:rFonts w:hint="eastAsia" w:ascii="宋体" w:hAnsi="宋体" w:cs="宋体"/>
          <w:sz w:val="24"/>
        </w:rPr>
        <w:t xml:space="preserve">根据《工业和信息化部、国家统计局、国家发展和改革委员会、财政部关于印发中小企业划型标准规定的通知》（工信部联企业〔2011〕300号）规定的划分标准，本公司为     （请填写：中型、小型、微型）企业  </w:t>
      </w:r>
    </w:p>
    <w:p>
      <w:pPr>
        <w:numPr>
          <w:ilvl w:val="0"/>
          <w:numId w:val="50"/>
        </w:numPr>
        <w:autoSpaceDE w:val="0"/>
        <w:autoSpaceDN w:val="0"/>
        <w:spacing w:line="360" w:lineRule="auto"/>
        <w:rPr>
          <w:rFonts w:hint="eastAsia" w:ascii="宋体" w:hAnsi="宋体" w:cs="宋体"/>
          <w:sz w:val="24"/>
        </w:rPr>
      </w:pPr>
      <w:r>
        <w:rPr>
          <w:rFonts w:hint="eastAsia" w:ascii="宋体" w:hAnsi="宋体" w:cs="宋体"/>
          <w:sz w:val="24"/>
        </w:rPr>
        <w:t>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本公司对上述声明的真实性负责。如有虚假，将依法承担相应责任。</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p>
    <w:p>
      <w:pPr>
        <w:autoSpaceDE w:val="0"/>
        <w:autoSpaceDN w:val="0"/>
        <w:spacing w:line="360" w:lineRule="auto"/>
        <w:ind w:firstLine="3120" w:firstLineChars="1300"/>
        <w:jc w:val="right"/>
        <w:rPr>
          <w:rFonts w:hint="eastAsia" w:ascii="宋体" w:hAnsi="宋体"/>
          <w:bCs/>
          <w:sz w:val="24"/>
          <w:szCs w:val="28"/>
        </w:rPr>
      </w:pPr>
      <w:r>
        <w:rPr>
          <w:rFonts w:hint="eastAsia" w:ascii="宋体" w:hAnsi="宋体"/>
          <w:bCs/>
          <w:sz w:val="24"/>
          <w:szCs w:val="28"/>
        </w:rPr>
        <w:t>企业名称：       （公章）</w:t>
      </w:r>
    </w:p>
    <w:p>
      <w:pPr>
        <w:autoSpaceDE w:val="0"/>
        <w:autoSpaceDN w:val="0"/>
        <w:spacing w:line="360" w:lineRule="auto"/>
        <w:ind w:firstLine="2400" w:firstLineChars="1000"/>
        <w:jc w:val="right"/>
        <w:rPr>
          <w:rFonts w:hint="eastAsia" w:ascii="宋体" w:hAnsi="宋体"/>
          <w:bCs/>
          <w:sz w:val="24"/>
          <w:szCs w:val="28"/>
        </w:rPr>
      </w:pPr>
      <w:r>
        <w:rPr>
          <w:rFonts w:hint="eastAsia" w:ascii="宋体" w:hAnsi="宋体"/>
          <w:bCs/>
          <w:sz w:val="24"/>
          <w:szCs w:val="28"/>
        </w:rPr>
        <w:t>企业法定代表人：       （签字）</w:t>
      </w:r>
    </w:p>
    <w:p>
      <w:pPr>
        <w:pStyle w:val="21"/>
        <w:jc w:val="right"/>
        <w:rPr>
          <w:rFonts w:hint="eastAsia" w:ascii="宋体" w:hAnsi="宋体" w:cs="宋体"/>
          <w:b/>
          <w:bCs/>
          <w:kern w:val="0"/>
          <w:lang w:val="zh-CN"/>
        </w:rPr>
      </w:pPr>
      <w:bookmarkStart w:id="288" w:name="_Toc500519553"/>
      <w:r>
        <w:rPr>
          <w:rFonts w:hint="eastAsia"/>
          <w:sz w:val="24"/>
        </w:rPr>
        <w:t>年   月   日</w:t>
      </w:r>
      <w:bookmarkEnd w:id="288"/>
    </w:p>
    <w:p>
      <w:pPr>
        <w:adjustRightInd w:val="0"/>
        <w:snapToGrid w:val="0"/>
        <w:spacing w:line="360" w:lineRule="auto"/>
        <w:ind w:firstLine="3654" w:firstLineChars="1300"/>
        <w:jc w:val="both"/>
        <w:rPr>
          <w:rFonts w:hint="eastAsia" w:ascii="宋体" w:hAnsi="宋体" w:cs="宋体"/>
          <w:b/>
          <w:sz w:val="28"/>
          <w:szCs w:val="28"/>
        </w:rPr>
      </w:pPr>
    </w:p>
    <w:p>
      <w:pPr>
        <w:adjustRightInd w:val="0"/>
        <w:snapToGrid w:val="0"/>
        <w:spacing w:line="360" w:lineRule="auto"/>
        <w:ind w:firstLine="3654" w:firstLineChars="1300"/>
        <w:jc w:val="both"/>
        <w:rPr>
          <w:rFonts w:hint="eastAsia" w:ascii="宋体" w:hAnsi="宋体" w:cs="宋体"/>
          <w:b/>
          <w:sz w:val="28"/>
          <w:szCs w:val="28"/>
        </w:rPr>
      </w:pPr>
    </w:p>
    <w:p>
      <w:pPr>
        <w:adjustRightInd w:val="0"/>
        <w:snapToGrid w:val="0"/>
        <w:spacing w:line="360" w:lineRule="auto"/>
        <w:jc w:val="both"/>
        <w:rPr>
          <w:rFonts w:hint="eastAsia" w:ascii="宋体" w:hAnsi="宋体" w:cs="宋体"/>
          <w:b/>
          <w:sz w:val="28"/>
          <w:szCs w:val="28"/>
        </w:rPr>
      </w:pPr>
    </w:p>
    <w:p>
      <w:pPr>
        <w:adjustRightInd w:val="0"/>
        <w:snapToGrid w:val="0"/>
        <w:spacing w:line="360" w:lineRule="auto"/>
        <w:ind w:firstLine="3654" w:firstLineChars="1300"/>
        <w:jc w:val="both"/>
        <w:rPr>
          <w:rFonts w:hint="eastAsia" w:ascii="宋体" w:hAnsi="宋体" w:cs="宋体"/>
          <w:b/>
        </w:rPr>
      </w:pPr>
      <w:r>
        <w:rPr>
          <w:rFonts w:hint="eastAsia" w:ascii="宋体" w:hAnsi="宋体" w:cs="宋体"/>
          <w:b/>
          <w:sz w:val="28"/>
          <w:szCs w:val="28"/>
        </w:rPr>
        <w:t>从业人员声明函</w:t>
      </w:r>
    </w:p>
    <w:p>
      <w:pPr>
        <w:adjustRightInd w:val="0"/>
        <w:snapToGrid w:val="0"/>
        <w:spacing w:line="360" w:lineRule="auto"/>
        <w:ind w:left="6114" w:hanging="6114" w:hangingChars="2900"/>
        <w:rPr>
          <w:rFonts w:hint="eastAsia" w:ascii="宋体" w:hAnsi="宋体" w:cs="宋体"/>
          <w:b/>
          <w:bCs/>
          <w:kern w:val="0"/>
          <w:lang w:val="zh-CN"/>
        </w:rPr>
      </w:pPr>
    </w:p>
    <w:p>
      <w:pPr>
        <w:adjustRightInd w:val="0"/>
        <w:snapToGrid w:val="0"/>
        <w:spacing w:line="360" w:lineRule="auto"/>
        <w:ind w:left="8152" w:hanging="8152" w:hangingChars="2900"/>
        <w:rPr>
          <w:rFonts w:hint="eastAsia" w:ascii="宋体" w:hAnsi="宋体" w:cs="宋体"/>
          <w:lang w:val="en-US"/>
        </w:rPr>
      </w:pPr>
      <w:r>
        <w:rPr>
          <w:rFonts w:hint="eastAsia" w:ascii="宋体" w:hAnsi="宋体" w:cs="宋体"/>
          <w:b/>
          <w:bCs/>
          <w:kern w:val="0"/>
          <w:sz w:val="28"/>
          <w:szCs w:val="28"/>
          <w:lang w:val="zh-CN"/>
        </w:rPr>
        <w:t>致：</w:t>
      </w:r>
    </w:p>
    <w:p>
      <w:pPr>
        <w:adjustRightInd w:val="0"/>
        <w:snapToGrid w:val="0"/>
        <w:spacing w:line="360" w:lineRule="auto"/>
        <w:ind w:left="-4" w:leftChars="-2" w:firstLine="480" w:firstLineChars="200"/>
        <w:rPr>
          <w:rFonts w:hint="eastAsia" w:ascii="宋体" w:hAnsi="宋体" w:cs="宋体"/>
          <w:sz w:val="24"/>
        </w:rPr>
      </w:pPr>
      <w:r>
        <w:rPr>
          <w:rFonts w:hint="eastAsia" w:ascii="宋体" w:hAnsi="宋体" w:cs="宋体"/>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sz w:val="24"/>
          <w:u w:val="single"/>
        </w:rPr>
        <w:t xml:space="preserve">       </w:t>
      </w:r>
      <w:r>
        <w:rPr>
          <w:rFonts w:hint="eastAsia" w:ascii="宋体" w:hAnsi="宋体" w:cs="宋体"/>
          <w:sz w:val="24"/>
        </w:rPr>
        <w:t>人。</w:t>
      </w:r>
    </w:p>
    <w:p>
      <w:pPr>
        <w:adjustRightInd w:val="0"/>
        <w:snapToGrid w:val="0"/>
        <w:spacing w:line="360" w:lineRule="auto"/>
        <w:ind w:left="-2" w:leftChars="-1" w:firstLine="480" w:firstLineChars="200"/>
        <w:rPr>
          <w:rFonts w:hint="eastAsia" w:ascii="宋体" w:hAnsi="宋体" w:cs="宋体"/>
          <w:sz w:val="24"/>
        </w:rPr>
      </w:pPr>
      <w:r>
        <w:rPr>
          <w:rFonts w:hint="eastAsia" w:ascii="宋体" w:hAnsi="宋体" w:cs="宋体"/>
          <w:sz w:val="24"/>
        </w:rPr>
        <w:t>本公司对上述声明的真实性负责，如有虚假，将依法承担相应责任。</w:t>
      </w:r>
    </w:p>
    <w:p>
      <w:pPr>
        <w:autoSpaceDE w:val="0"/>
        <w:autoSpaceDN w:val="0"/>
        <w:spacing w:line="360" w:lineRule="auto"/>
        <w:jc w:val="center"/>
        <w:rPr>
          <w:rFonts w:hint="eastAsia" w:ascii="宋体" w:hAnsi="宋体" w:cs="宋体"/>
          <w:b/>
          <w:bCs/>
          <w:kern w:val="0"/>
          <w:sz w:val="24"/>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both"/>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企业名称：       （公章）</w:t>
      </w:r>
    </w:p>
    <w:p>
      <w:pPr>
        <w:autoSpaceDE w:val="0"/>
        <w:autoSpaceDN w:val="0"/>
        <w:spacing w:line="360" w:lineRule="auto"/>
        <w:jc w:val="right"/>
        <w:rPr>
          <w:rFonts w:hint="eastAsia" w:ascii="宋体" w:hAnsi="宋体"/>
          <w:bCs/>
          <w:sz w:val="24"/>
          <w:szCs w:val="28"/>
        </w:rPr>
      </w:pPr>
      <w:r>
        <w:rPr>
          <w:rFonts w:hint="eastAsia" w:ascii="宋体" w:hAnsi="宋体"/>
          <w:bCs/>
          <w:sz w:val="24"/>
          <w:szCs w:val="28"/>
        </w:rPr>
        <w:t>企业法定代表人：       （签字）</w:t>
      </w:r>
    </w:p>
    <w:p>
      <w:pPr>
        <w:autoSpaceDE w:val="0"/>
        <w:autoSpaceDN w:val="0"/>
        <w:spacing w:line="360" w:lineRule="auto"/>
        <w:jc w:val="right"/>
        <w:rPr>
          <w:rFonts w:hint="eastAsia"/>
          <w:lang w:val="zh-CN"/>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3"/>
        <w:numPr>
          <w:ilvl w:val="0"/>
          <w:numId w:val="0"/>
        </w:numPr>
        <w:tabs>
          <w:tab w:val="left" w:pos="425"/>
        </w:tabs>
        <w:rPr>
          <w:rFonts w:hint="eastAsia" w:hAnsi="宋体"/>
          <w:b/>
          <w:sz w:val="32"/>
          <w:lang w:val="zh-CN"/>
        </w:rPr>
      </w:pPr>
      <w:bookmarkStart w:id="289" w:name="_Toc535422013"/>
      <w:bookmarkStart w:id="290" w:name="_Toc6017"/>
      <w:bookmarkStart w:id="291" w:name="_Toc26054_WPSOffice_Level1"/>
      <w:bookmarkStart w:id="292" w:name="OLE_LINK13"/>
      <w:bookmarkStart w:id="293" w:name="OLE_LINK14"/>
      <w:bookmarkStart w:id="294" w:name="_Toc31287"/>
      <w:r>
        <w:rPr>
          <w:rFonts w:hint="eastAsia" w:hAnsi="宋体"/>
          <w:b/>
          <w:sz w:val="32"/>
          <w:lang w:val="zh-CN"/>
        </w:rPr>
        <w:t>格式</w:t>
      </w:r>
      <w:r>
        <w:rPr>
          <w:rFonts w:hint="eastAsia" w:hAnsi="宋体"/>
          <w:b/>
          <w:sz w:val="32"/>
          <w:lang w:val="zh-CN" w:eastAsia="zh-CN"/>
        </w:rPr>
        <w:t>17</w:t>
      </w:r>
      <w:r>
        <w:rPr>
          <w:rFonts w:hint="eastAsia" w:hAnsi="宋体"/>
          <w:b/>
          <w:sz w:val="32"/>
          <w:lang w:val="zh-CN"/>
        </w:rPr>
        <w:t>、残疾人福利性单位声明函</w:t>
      </w:r>
      <w:bookmarkEnd w:id="289"/>
      <w:bookmarkEnd w:id="290"/>
      <w:bookmarkEnd w:id="291"/>
    </w:p>
    <w:p>
      <w:pPr>
        <w:autoSpaceDE w:val="0"/>
        <w:autoSpaceDN w:val="0"/>
        <w:spacing w:line="360" w:lineRule="auto"/>
        <w:jc w:val="center"/>
        <w:rPr>
          <w:rFonts w:hint="eastAsia" w:ascii="宋体" w:hAnsi="宋体" w:cs="宋体"/>
          <w:b/>
          <w:bCs/>
          <w:kern w:val="0"/>
          <w:sz w:val="28"/>
          <w:szCs w:val="28"/>
          <w:lang w:val="zh-CN"/>
        </w:rPr>
      </w:pPr>
      <w:bookmarkStart w:id="295" w:name="_Toc31610_WPSOffice_Level2"/>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r>
        <w:rPr>
          <w:rFonts w:hint="eastAsia" w:ascii="宋体" w:hAnsi="宋体" w:cs="宋体"/>
          <w:b/>
          <w:bCs/>
          <w:kern w:val="0"/>
          <w:sz w:val="28"/>
          <w:szCs w:val="28"/>
          <w:lang w:val="zh-CN"/>
        </w:rPr>
        <w:t>残疾人福利性单位声明函</w:t>
      </w:r>
      <w:bookmarkEnd w:id="295"/>
    </w:p>
    <w:bookmarkEnd w:id="292"/>
    <w:bookmarkEnd w:id="293"/>
    <w:p>
      <w:pPr>
        <w:spacing w:after="120" w:afterLines="50" w:line="360" w:lineRule="auto"/>
        <w:rPr>
          <w:rFonts w:hint="eastAsia" w:ascii="宋体" w:hAnsi="宋体" w:cs="宋体"/>
          <w:bCs/>
        </w:rPr>
      </w:pPr>
    </w:p>
    <w:p>
      <w:pPr>
        <w:adjustRightInd w:val="0"/>
        <w:snapToGrid w:val="0"/>
        <w:spacing w:line="360" w:lineRule="auto"/>
        <w:ind w:left="6987" w:hanging="6987" w:hangingChars="2900"/>
        <w:rPr>
          <w:rFonts w:hint="eastAsia" w:ascii="宋体" w:hAnsi="宋体" w:cs="宋体"/>
          <w:b/>
          <w:bCs/>
          <w:kern w:val="0"/>
          <w:sz w:val="24"/>
          <w:lang w:val="en-US"/>
        </w:rPr>
      </w:pPr>
      <w:r>
        <w:rPr>
          <w:rFonts w:hint="eastAsia" w:ascii="宋体" w:hAnsi="宋体" w:cs="宋体"/>
          <w:b/>
          <w:bCs/>
          <w:kern w:val="0"/>
          <w:sz w:val="24"/>
          <w:lang w:val="zh-CN"/>
        </w:rPr>
        <w:t>致：</w:t>
      </w:r>
    </w:p>
    <w:p>
      <w:pPr>
        <w:spacing w:line="360" w:lineRule="auto"/>
        <w:ind w:firstLine="480"/>
        <w:rPr>
          <w:rFonts w:hint="eastAsia" w:ascii="宋体" w:hAnsi="宋体" w:cs="宋体"/>
        </w:rPr>
      </w:pPr>
    </w:p>
    <w:p>
      <w:pPr>
        <w:adjustRightInd w:val="0"/>
        <w:snapToGrid w:val="0"/>
        <w:spacing w:line="360" w:lineRule="auto"/>
        <w:ind w:left="-4" w:leftChars="-2"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left="-4" w:leftChars="-2"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adjustRightInd w:val="0"/>
        <w:snapToGrid w:val="0"/>
        <w:spacing w:line="360" w:lineRule="auto"/>
        <w:ind w:left="-4" w:leftChars="-2" w:firstLine="480" w:firstLineChars="200"/>
        <w:rPr>
          <w:rFonts w:hint="eastAsia" w:ascii="宋体" w:hAnsi="宋体" w:cs="宋体"/>
          <w:sz w:val="24"/>
        </w:rPr>
      </w:pPr>
    </w:p>
    <w:p>
      <w:pPr>
        <w:adjustRightInd w:val="0"/>
        <w:snapToGrid w:val="0"/>
        <w:spacing w:line="360" w:lineRule="auto"/>
        <w:ind w:left="-4" w:leftChars="-2" w:firstLine="480" w:firstLineChars="200"/>
        <w:rPr>
          <w:rFonts w:hint="eastAsia" w:ascii="宋体" w:hAnsi="宋体" w:cs="宋体"/>
          <w:sz w:val="24"/>
        </w:rPr>
      </w:pPr>
      <w:r>
        <w:rPr>
          <w:rFonts w:hint="eastAsia" w:ascii="宋体" w:hAnsi="宋体" w:cs="宋体"/>
          <w:sz w:val="24"/>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right"/>
        <w:rPr>
          <w:rFonts w:hint="eastAsia" w:ascii="宋体" w:hAnsi="宋体"/>
          <w:bCs/>
          <w:sz w:val="24"/>
          <w:szCs w:val="28"/>
        </w:rPr>
      </w:pPr>
      <w:r>
        <w:rPr>
          <w:rFonts w:hint="eastAsia" w:ascii="宋体" w:hAnsi="宋体" w:cs="宋体"/>
          <w:b/>
        </w:rPr>
        <w:t xml:space="preserve">                                </w:t>
      </w:r>
      <w:r>
        <w:rPr>
          <w:rFonts w:hint="eastAsia" w:ascii="宋体" w:hAnsi="宋体"/>
          <w:bCs/>
          <w:sz w:val="24"/>
          <w:szCs w:val="28"/>
        </w:rPr>
        <w:t>企业名称：       （公章）</w:t>
      </w:r>
    </w:p>
    <w:p>
      <w:pPr>
        <w:spacing w:line="360" w:lineRule="auto"/>
        <w:ind w:firstLine="482"/>
        <w:jc w:val="right"/>
        <w:rPr>
          <w:rFonts w:hint="eastAsia" w:ascii="宋体" w:hAnsi="宋体"/>
          <w:bCs/>
          <w:sz w:val="24"/>
          <w:szCs w:val="28"/>
        </w:rPr>
      </w:pPr>
      <w:r>
        <w:rPr>
          <w:rFonts w:hint="eastAsia" w:ascii="宋体" w:hAnsi="宋体"/>
          <w:bCs/>
          <w:sz w:val="24"/>
          <w:szCs w:val="28"/>
        </w:rPr>
        <w:t xml:space="preserve">       企业法定代表人：       （签字或盖章）</w:t>
      </w:r>
    </w:p>
    <w:p>
      <w:pPr>
        <w:autoSpaceDE w:val="0"/>
        <w:autoSpaceDN w:val="0"/>
        <w:spacing w:line="360" w:lineRule="auto"/>
        <w:jc w:val="right"/>
        <w:rPr>
          <w:rFonts w:hAnsi="宋体"/>
          <w:bCs/>
          <w:sz w:val="24"/>
          <w:szCs w:val="28"/>
        </w:rPr>
      </w:pPr>
      <w:r>
        <w:rPr>
          <w:rFonts w:hint="eastAsia" w:hAnsi="宋体"/>
          <w:bCs/>
          <w:sz w:val="24"/>
          <w:szCs w:val="28"/>
        </w:rPr>
        <w:t xml:space="preserve">   </w:t>
      </w:r>
      <w:r>
        <w:rPr>
          <w:rFonts w:hAnsi="宋体"/>
          <w:bCs/>
          <w:sz w:val="24"/>
          <w:szCs w:val="28"/>
        </w:rPr>
        <w:t xml:space="preserve">                              </w:t>
      </w:r>
      <w:r>
        <w:rPr>
          <w:rFonts w:hint="eastAsia" w:hAnsi="宋体"/>
          <w:bCs/>
          <w:sz w:val="24"/>
          <w:szCs w:val="28"/>
        </w:rPr>
        <w:t xml:space="preserve">           </w:t>
      </w:r>
      <w:r>
        <w:rPr>
          <w:rFonts w:hint="eastAsia" w:ascii="宋体" w:hAnsi="宋体"/>
          <w:bCs/>
          <w:sz w:val="24"/>
          <w:szCs w:val="28"/>
        </w:rPr>
        <w:t>年   月  日</w:t>
      </w:r>
    </w:p>
    <w:p>
      <w:pPr>
        <w:pStyle w:val="3"/>
        <w:numPr>
          <w:ilvl w:val="0"/>
          <w:numId w:val="0"/>
        </w:numPr>
        <w:tabs>
          <w:tab w:val="left" w:pos="425"/>
        </w:tabs>
        <w:ind w:left="709" w:hanging="709"/>
        <w:rPr>
          <w:rFonts w:hAnsi="宋体"/>
          <w:b/>
          <w:sz w:val="32"/>
          <w:lang w:val="zh-CN" w:eastAsia="zh-CN"/>
        </w:rPr>
      </w:pPr>
    </w:p>
    <w:p>
      <w:pPr>
        <w:rPr>
          <w:lang w:val="zh-CN" w:eastAsia="zh-CN"/>
        </w:rPr>
      </w:pPr>
    </w:p>
    <w:p>
      <w:pPr>
        <w:pStyle w:val="3"/>
        <w:numPr>
          <w:ilvl w:val="0"/>
          <w:numId w:val="0"/>
        </w:numPr>
        <w:tabs>
          <w:tab w:val="left" w:pos="425"/>
        </w:tabs>
        <w:ind w:left="709" w:hanging="709"/>
        <w:rPr>
          <w:rFonts w:hAnsi="宋体"/>
          <w:b/>
          <w:sz w:val="32"/>
          <w:lang w:val="zh-CN" w:eastAsia="zh-CN"/>
        </w:rPr>
      </w:pPr>
    </w:p>
    <w:p>
      <w:pPr>
        <w:pStyle w:val="3"/>
        <w:numPr>
          <w:ilvl w:val="0"/>
          <w:numId w:val="0"/>
        </w:numPr>
        <w:tabs>
          <w:tab w:val="left" w:pos="425"/>
        </w:tabs>
        <w:ind w:left="709" w:hanging="709"/>
        <w:rPr>
          <w:rFonts w:hAnsi="宋体"/>
          <w:b/>
          <w:sz w:val="32"/>
          <w:lang w:val="zh-CN" w:eastAsia="zh-CN"/>
        </w:rPr>
      </w:pPr>
    </w:p>
    <w:p>
      <w:pPr>
        <w:pStyle w:val="3"/>
        <w:numPr>
          <w:ilvl w:val="0"/>
          <w:numId w:val="0"/>
        </w:numPr>
        <w:tabs>
          <w:tab w:val="left" w:pos="425"/>
        </w:tabs>
        <w:rPr>
          <w:rFonts w:hint="eastAsia" w:hAnsi="宋体"/>
          <w:b/>
          <w:sz w:val="32"/>
          <w:lang w:val="zh-CN" w:eastAsia="zh-CN"/>
        </w:rPr>
      </w:pPr>
    </w:p>
    <w:p>
      <w:pPr>
        <w:pStyle w:val="3"/>
        <w:numPr>
          <w:ilvl w:val="0"/>
          <w:numId w:val="0"/>
        </w:numPr>
        <w:tabs>
          <w:tab w:val="left" w:pos="425"/>
        </w:tabs>
        <w:rPr>
          <w:rFonts w:hAnsi="宋体"/>
          <w:b/>
          <w:sz w:val="32"/>
          <w:lang w:val="zh-CN" w:eastAsia="zh-CN"/>
        </w:rPr>
      </w:pPr>
      <w:bookmarkStart w:id="296" w:name="_Toc31534"/>
      <w:bookmarkStart w:id="297" w:name="_Toc20617_WPSOffice_Level1"/>
      <w:bookmarkStart w:id="298" w:name="_Toc535422014"/>
      <w:r>
        <w:rPr>
          <w:rFonts w:hint="eastAsia" w:hAnsi="宋体"/>
          <w:b/>
          <w:sz w:val="32"/>
          <w:lang w:val="zh-CN"/>
        </w:rPr>
        <w:t>格式</w:t>
      </w:r>
      <w:r>
        <w:rPr>
          <w:rFonts w:hint="eastAsia" w:hAnsi="宋体"/>
          <w:b/>
          <w:sz w:val="32"/>
          <w:lang w:val="zh-CN" w:eastAsia="zh-CN"/>
        </w:rPr>
        <w:t>18</w:t>
      </w:r>
      <w:r>
        <w:rPr>
          <w:rFonts w:hint="eastAsia" w:hAnsi="宋体"/>
          <w:b/>
          <w:sz w:val="32"/>
          <w:lang w:val="zh-CN"/>
        </w:rPr>
        <w:t>、磋商供应商认为在其他方面有必要说明的事项</w:t>
      </w:r>
      <w:bookmarkEnd w:id="294"/>
      <w:bookmarkEnd w:id="296"/>
      <w:bookmarkEnd w:id="297"/>
      <w:bookmarkEnd w:id="298"/>
    </w:p>
    <w:p>
      <w:pPr>
        <w:autoSpaceDE w:val="0"/>
        <w:autoSpaceDN w:val="0"/>
        <w:adjustRightInd w:val="0"/>
        <w:spacing w:line="360" w:lineRule="auto"/>
        <w:rPr>
          <w:rFonts w:ascii="宋体" w:hAnsi="宋体" w:cs="宋体"/>
          <w:kern w:val="0"/>
          <w:sz w:val="24"/>
          <w:lang w:val="zh-CN"/>
        </w:rPr>
      </w:pPr>
    </w:p>
    <w:p>
      <w:pPr>
        <w:pStyle w:val="7"/>
        <w:spacing w:line="360" w:lineRule="auto"/>
        <w:jc w:val="center"/>
        <w:rPr>
          <w:rFonts w:hint="eastAsia" w:hAnsi="宋体" w:cs="宋体"/>
          <w:b/>
          <w:bCs/>
          <w:sz w:val="32"/>
          <w:szCs w:val="30"/>
          <w:lang w:val="zh-CN"/>
        </w:rPr>
      </w:pPr>
      <w:bookmarkStart w:id="299" w:name="_Toc4042_WPSOffice_Level2"/>
    </w:p>
    <w:p>
      <w:pPr>
        <w:pStyle w:val="7"/>
        <w:spacing w:line="360" w:lineRule="auto"/>
        <w:jc w:val="center"/>
        <w:rPr>
          <w:rFonts w:hAnsi="宋体" w:cs="宋体"/>
          <w:b/>
          <w:bCs/>
          <w:sz w:val="30"/>
          <w:szCs w:val="30"/>
          <w:lang w:val="zh-CN"/>
        </w:rPr>
      </w:pPr>
      <w:r>
        <w:rPr>
          <w:rFonts w:hint="eastAsia" w:hAnsi="宋体" w:cs="宋体"/>
          <w:b/>
          <w:bCs/>
          <w:sz w:val="32"/>
          <w:szCs w:val="30"/>
          <w:lang w:val="zh-CN"/>
        </w:rPr>
        <w:t>磋商供应商认为在其他方面有必要说明的事项</w:t>
      </w:r>
      <w:bookmarkEnd w:id="299"/>
    </w:p>
    <w:p>
      <w:pPr>
        <w:autoSpaceDE w:val="0"/>
        <w:autoSpaceDN w:val="0"/>
        <w:adjustRightInd w:val="0"/>
        <w:spacing w:line="360" w:lineRule="auto"/>
        <w:rPr>
          <w:rFonts w:ascii="宋体" w:hAnsi="宋体" w:cs="宋体"/>
          <w:kern w:val="0"/>
          <w:sz w:val="24"/>
          <w:lang w:val="zh-CN"/>
        </w:rPr>
      </w:pP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pPr>
        <w:pStyle w:val="3"/>
        <w:numPr>
          <w:ilvl w:val="0"/>
          <w:numId w:val="0"/>
        </w:numPr>
        <w:tabs>
          <w:tab w:val="left" w:pos="425"/>
        </w:tabs>
        <w:ind w:left="709" w:hanging="709"/>
        <w:rPr>
          <w:rFonts w:hAnsi="宋体"/>
          <w:b/>
          <w:sz w:val="32"/>
          <w:lang w:val="zh-CN"/>
        </w:rPr>
      </w:pPr>
      <w:r>
        <w:rPr>
          <w:rFonts w:hAnsi="宋体"/>
          <w:bCs/>
          <w:sz w:val="24"/>
          <w:szCs w:val="28"/>
        </w:rPr>
        <w:br w:type="page"/>
      </w:r>
      <w:bookmarkStart w:id="300" w:name="_Toc10925"/>
      <w:bookmarkStart w:id="301" w:name="_Toc21486_WPSOffice_Level1"/>
      <w:bookmarkStart w:id="302" w:name="_Toc535422015"/>
      <w:r>
        <w:rPr>
          <w:rFonts w:hint="eastAsia" w:hAnsi="宋体"/>
          <w:b/>
          <w:sz w:val="32"/>
          <w:lang w:val="zh-CN"/>
        </w:rPr>
        <w:t>格式</w:t>
      </w:r>
      <w:r>
        <w:rPr>
          <w:rFonts w:hint="eastAsia" w:hAnsi="宋体"/>
          <w:b/>
          <w:sz w:val="32"/>
          <w:lang w:val="zh-CN" w:eastAsia="zh-CN"/>
        </w:rPr>
        <w:t>19</w:t>
      </w:r>
      <w:r>
        <w:rPr>
          <w:rFonts w:hint="eastAsia" w:hAnsi="宋体"/>
          <w:b/>
          <w:sz w:val="32"/>
          <w:lang w:val="zh-CN"/>
        </w:rPr>
        <w:t>、磋商最终报价表</w:t>
      </w:r>
      <w:r>
        <w:rPr>
          <w:rFonts w:hint="eastAsia" w:hAnsi="宋体"/>
          <w:b/>
          <w:sz w:val="36"/>
          <w:szCs w:val="36"/>
        </w:rPr>
        <w:t>（单独提交）</w:t>
      </w:r>
      <w:bookmarkEnd w:id="300"/>
      <w:bookmarkEnd w:id="301"/>
      <w:bookmarkEnd w:id="302"/>
    </w:p>
    <w:p>
      <w:pPr>
        <w:spacing w:line="360" w:lineRule="auto"/>
        <w:jc w:val="center"/>
        <w:rPr>
          <w:rFonts w:hint="eastAsia" w:ascii="宋体" w:hAnsi="宋体"/>
          <w:b/>
          <w:sz w:val="32"/>
          <w:szCs w:val="36"/>
        </w:rPr>
      </w:pPr>
      <w:bookmarkStart w:id="303" w:name="_Toc2620_WPSOffice_Level2"/>
    </w:p>
    <w:p>
      <w:pPr>
        <w:spacing w:line="360" w:lineRule="auto"/>
        <w:jc w:val="center"/>
        <w:rPr>
          <w:rFonts w:hint="eastAsia" w:ascii="宋体" w:hAnsi="宋体"/>
          <w:b/>
          <w:sz w:val="32"/>
          <w:szCs w:val="36"/>
        </w:rPr>
      </w:pPr>
    </w:p>
    <w:p>
      <w:pPr>
        <w:spacing w:line="360" w:lineRule="auto"/>
        <w:jc w:val="center"/>
        <w:rPr>
          <w:rFonts w:ascii="宋体" w:hAnsi="宋体"/>
          <w:b/>
          <w:sz w:val="32"/>
          <w:szCs w:val="36"/>
        </w:rPr>
      </w:pPr>
      <w:r>
        <w:rPr>
          <w:rFonts w:hint="eastAsia" w:ascii="宋体" w:hAnsi="宋体"/>
          <w:b/>
          <w:sz w:val="32"/>
          <w:szCs w:val="36"/>
        </w:rPr>
        <w:t>磋商最终报价表</w:t>
      </w:r>
      <w:bookmarkEnd w:id="303"/>
    </w:p>
    <w:p>
      <w:pPr>
        <w:spacing w:line="360" w:lineRule="auto"/>
        <w:rPr>
          <w:rFonts w:ascii="宋体" w:hAnsi="宋体"/>
          <w:b/>
          <w:sz w:val="28"/>
          <w:szCs w:val="28"/>
        </w:rPr>
      </w:pPr>
      <w:r>
        <w:rPr>
          <w:rFonts w:hint="eastAsia" w:ascii="宋体" w:hAnsi="宋体"/>
          <w:b/>
          <w:sz w:val="24"/>
          <w:szCs w:val="28"/>
        </w:rPr>
        <w:t xml:space="preserve">磋商供应商名称： </w:t>
      </w:r>
      <w:r>
        <w:rPr>
          <w:rFonts w:hint="eastAsia" w:ascii="宋体" w:hAnsi="宋体"/>
          <w:b/>
          <w:sz w:val="28"/>
          <w:szCs w:val="28"/>
        </w:rPr>
        <w:t xml:space="preserve">                                       </w:t>
      </w:r>
      <w:r>
        <w:rPr>
          <w:rFonts w:hint="eastAsia" w:ascii="宋体" w:hAnsi="宋体"/>
          <w:b/>
          <w:sz w:val="24"/>
        </w:rPr>
        <w:t>单位：元</w:t>
      </w:r>
    </w:p>
    <w:tbl>
      <w:tblPr>
        <w:tblStyle w:val="15"/>
        <w:tblW w:w="0" w:type="auto"/>
        <w:jc w:val="center"/>
        <w:tblLayout w:type="fixed"/>
        <w:tblCellMar>
          <w:top w:w="0" w:type="dxa"/>
          <w:left w:w="108" w:type="dxa"/>
          <w:bottom w:w="0" w:type="dxa"/>
          <w:right w:w="108" w:type="dxa"/>
        </w:tblCellMar>
      </w:tblPr>
      <w:tblGrid>
        <w:gridCol w:w="2534"/>
        <w:gridCol w:w="3188"/>
        <w:gridCol w:w="2129"/>
        <w:gridCol w:w="1685"/>
      </w:tblGrid>
      <w:tr>
        <w:tblPrEx>
          <w:tblCellMar>
            <w:top w:w="0" w:type="dxa"/>
            <w:left w:w="108" w:type="dxa"/>
            <w:bottom w:w="0" w:type="dxa"/>
            <w:right w:w="108" w:type="dxa"/>
          </w:tblCellMar>
        </w:tblPrEx>
        <w:trPr>
          <w:trHeight w:val="699" w:hRule="atLeast"/>
          <w:jc w:val="center"/>
        </w:trPr>
        <w:tc>
          <w:tcPr>
            <w:tcW w:w="25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bCs/>
                <w:sz w:val="24"/>
                <w:lang w:val="zh-CN"/>
              </w:rPr>
            </w:pPr>
            <w:r>
              <w:rPr>
                <w:rFonts w:hint="eastAsia" w:ascii="Arial" w:hAnsi="Arial" w:cs="Arial"/>
                <w:bCs/>
                <w:sz w:val="24"/>
                <w:lang w:val="zh-CN"/>
              </w:rPr>
              <w:t>服务</w:t>
            </w:r>
            <w:r>
              <w:rPr>
                <w:rFonts w:ascii="Arial" w:hAnsi="Arial" w:cs="Arial"/>
                <w:bCs/>
                <w:sz w:val="24"/>
                <w:lang w:val="zh-CN"/>
              </w:rPr>
              <w:t>期</w:t>
            </w:r>
          </w:p>
          <w:p>
            <w:pPr>
              <w:autoSpaceDE w:val="0"/>
              <w:autoSpaceDN w:val="0"/>
              <w:spacing w:line="360" w:lineRule="auto"/>
              <w:jc w:val="center"/>
              <w:rPr>
                <w:rFonts w:hint="eastAsia" w:ascii="Arial" w:hAnsi="Arial" w:cs="Arial"/>
                <w:sz w:val="24"/>
                <w:lang w:val="zh-CN"/>
              </w:rPr>
            </w:pPr>
            <w:r>
              <w:rPr>
                <w:rFonts w:ascii="Arial" w:hAnsi="Arial" w:cs="Arial"/>
                <w:bCs/>
                <w:sz w:val="24"/>
                <w:lang w:val="zh-CN"/>
              </w:rPr>
              <w:t>（日历日）</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555" w:hRule="atLeast"/>
          <w:jc w:val="center"/>
        </w:trPr>
        <w:tc>
          <w:tcPr>
            <w:tcW w:w="2534"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534"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283" w:hRule="atLeast"/>
          <w:jc w:val="center"/>
        </w:trPr>
        <w:tc>
          <w:tcPr>
            <w:tcW w:w="9536"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注：此表不需装订在磋商响应文件中，磋商供应商事先须盖章、签字。在磋商期间，由磋商小组确定合格的磋商供应商现场填写。</w:t>
      </w: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hint="eastAsia"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磋商供应商：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委托代理人：                （签字）</w:t>
      </w:r>
    </w:p>
    <w:p>
      <w:pPr>
        <w:tabs>
          <w:tab w:val="left" w:pos="168"/>
        </w:tabs>
        <w:adjustRightInd w:val="0"/>
        <w:spacing w:line="360" w:lineRule="auto"/>
        <w:jc w:val="right"/>
        <w:textAlignment w:val="baseline"/>
        <w:rPr>
          <w:rFonts w:hint="eastAsia"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w:t>
      </w:r>
    </w:p>
    <w:p>
      <w:pPr>
        <w:tabs>
          <w:tab w:val="left" w:pos="168"/>
        </w:tabs>
        <w:adjustRightInd w:val="0"/>
        <w:spacing w:line="360" w:lineRule="auto"/>
        <w:jc w:val="right"/>
        <w:textAlignment w:val="baseline"/>
        <w:rPr>
          <w:rFonts w:hint="eastAsia" w:ascii="宋体" w:hAnsi="宋体"/>
          <w:bCs/>
          <w:sz w:val="24"/>
          <w:szCs w:val="28"/>
        </w:rPr>
      </w:pPr>
    </w:p>
    <w:p>
      <w:pPr>
        <w:tabs>
          <w:tab w:val="left" w:pos="168"/>
        </w:tabs>
        <w:adjustRightInd w:val="0"/>
        <w:spacing w:line="360" w:lineRule="auto"/>
        <w:jc w:val="right"/>
        <w:textAlignment w:val="baseline"/>
        <w:rPr>
          <w:rFonts w:hint="eastAsia" w:ascii="宋体" w:hAnsi="宋体"/>
          <w:bCs/>
          <w:sz w:val="24"/>
          <w:szCs w:val="28"/>
        </w:rPr>
      </w:pPr>
    </w:p>
    <w:p>
      <w:pPr>
        <w:spacing w:line="480" w:lineRule="exact"/>
        <w:jc w:val="left"/>
        <w:rPr>
          <w:rFonts w:hint="default" w:ascii="宋体" w:hAnsi="宋体"/>
          <w:sz w:val="24"/>
          <w:lang w:val="en-US"/>
        </w:rPr>
      </w:pPr>
      <w:bookmarkStart w:id="304" w:name="第15章  结论与建议"/>
      <w:bookmarkEnd w:id="304"/>
      <w:bookmarkStart w:id="305" w:name="_bookmark63"/>
      <w:bookmarkEnd w:id="305"/>
    </w:p>
    <w:p/>
    <w:sectPr>
      <w:headerReference r:id="rId3" w:type="default"/>
      <w:footerReference r:id="rId4" w:type="default"/>
      <w:pgSz w:w="11906" w:h="16838"/>
      <w:pgMar w:top="1701"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b/>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17</w:t>
                          </w:r>
                          <w:r>
                            <w:rPr>
                              <w:rFonts w:ascii="宋体" w:hAnsi="宋体"/>
                              <w:b/>
                              <w:sz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jc w:val="cente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17</w:t>
                    </w:r>
                    <w:r>
                      <w:rPr>
                        <w:rFonts w:ascii="宋体" w:hAnsi="宋体"/>
                        <w:b/>
                        <w:sz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8817" w:hanging="8817" w:hangingChars="4879"/>
      <w:jc w:val="left"/>
      <w:rPr>
        <w:sz w:val="15"/>
        <w:lang w:eastAsia="zh-CN"/>
      </w:rPr>
    </w:pPr>
    <w:r>
      <w:rPr>
        <w:rFonts w:hint="eastAsia" w:ascii="楷体" w:hAnsi="楷体" w:eastAsia="楷体"/>
        <w:b/>
        <w:szCs w:val="21"/>
        <w:lang w:eastAsia="zh-CN"/>
      </w:rPr>
      <w:t xml:space="preserve">                                           </w:t>
    </w:r>
  </w:p>
  <w:p>
    <w:pPr>
      <w:widowControl/>
      <w:adjustRightInd w:val="0"/>
      <w:snapToGrid w:val="0"/>
      <w:spacing w:line="360" w:lineRule="auto"/>
      <w:textAlignment w:val="baseline"/>
      <w:rPr>
        <w:rFonts w:ascii="楷体" w:hAnsi="楷体" w:eastAsia="楷体"/>
        <w:b/>
        <w:sz w:val="16"/>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84B73"/>
    <w:multiLevelType w:val="singleLevel"/>
    <w:tmpl w:val="88284B73"/>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multilevel"/>
    <w:tmpl w:val="00000007"/>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8">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0">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1">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2">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4">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5">
    <w:nsid w:val="1E920307"/>
    <w:multiLevelType w:val="multilevel"/>
    <w:tmpl w:val="1E920307"/>
    <w:lvl w:ilvl="0" w:tentative="0">
      <w:start w:val="21"/>
      <w:numFmt w:val="decimal"/>
      <w:lvlText w:val="%1"/>
      <w:lvlJc w:val="left"/>
      <w:pPr>
        <w:ind w:left="480" w:hanging="480"/>
      </w:pPr>
      <w:rPr>
        <w:rFonts w:hint="default"/>
        <w:b w:val="0"/>
        <w:sz w:val="24"/>
      </w:rPr>
    </w:lvl>
    <w:lvl w:ilvl="1" w:tentative="0">
      <w:start w:val="1"/>
      <w:numFmt w:val="decimal"/>
      <w:lvlText w:val="20.%2."/>
      <w:lvlJc w:val="left"/>
      <w:pPr>
        <w:ind w:left="861" w:hanging="720"/>
      </w:pPr>
      <w:rPr>
        <w:rFonts w:hint="eastAsia"/>
        <w:b w:val="0"/>
        <w:sz w:val="24"/>
      </w:rPr>
    </w:lvl>
    <w:lvl w:ilvl="2" w:tentative="0">
      <w:start w:val="1"/>
      <w:numFmt w:val="decimal"/>
      <w:lvlText w:val="%1.%2.%3"/>
      <w:lvlJc w:val="left"/>
      <w:pPr>
        <w:ind w:left="2040" w:hanging="1080"/>
      </w:pPr>
      <w:rPr>
        <w:rFonts w:hint="default"/>
        <w:b w:val="0"/>
        <w:sz w:val="24"/>
      </w:rPr>
    </w:lvl>
    <w:lvl w:ilvl="3" w:tentative="0">
      <w:start w:val="1"/>
      <w:numFmt w:val="decimal"/>
      <w:lvlText w:val="%1.%2.%3.%4"/>
      <w:lvlJc w:val="left"/>
      <w:pPr>
        <w:ind w:left="2880" w:hanging="1440"/>
      </w:pPr>
      <w:rPr>
        <w:rFonts w:hint="default"/>
        <w:b w:val="0"/>
        <w:sz w:val="24"/>
      </w:rPr>
    </w:lvl>
    <w:lvl w:ilvl="4" w:tentative="0">
      <w:start w:val="1"/>
      <w:numFmt w:val="decimal"/>
      <w:lvlText w:val="%1.%2.%3.%4.%5"/>
      <w:lvlJc w:val="left"/>
      <w:pPr>
        <w:ind w:left="3720" w:hanging="1800"/>
      </w:pPr>
      <w:rPr>
        <w:rFonts w:hint="default"/>
        <w:b w:val="0"/>
        <w:sz w:val="24"/>
      </w:rPr>
    </w:lvl>
    <w:lvl w:ilvl="5" w:tentative="0">
      <w:start w:val="1"/>
      <w:numFmt w:val="decimal"/>
      <w:lvlText w:val="%1.%2.%3.%4.%5.%6"/>
      <w:lvlJc w:val="left"/>
      <w:pPr>
        <w:ind w:left="4200" w:hanging="1800"/>
      </w:pPr>
      <w:rPr>
        <w:rFonts w:hint="default"/>
        <w:b w:val="0"/>
        <w:sz w:val="24"/>
      </w:rPr>
    </w:lvl>
    <w:lvl w:ilvl="6" w:tentative="0">
      <w:start w:val="1"/>
      <w:numFmt w:val="decimal"/>
      <w:lvlText w:val="%1.%2.%3.%4.%5.%6.%7"/>
      <w:lvlJc w:val="left"/>
      <w:pPr>
        <w:ind w:left="5040" w:hanging="2160"/>
      </w:pPr>
      <w:rPr>
        <w:rFonts w:hint="default"/>
        <w:b w:val="0"/>
        <w:sz w:val="24"/>
      </w:rPr>
    </w:lvl>
    <w:lvl w:ilvl="7" w:tentative="0">
      <w:start w:val="1"/>
      <w:numFmt w:val="decimal"/>
      <w:lvlText w:val="%1.%2.%3.%4.%5.%6.%7.%8"/>
      <w:lvlJc w:val="left"/>
      <w:pPr>
        <w:ind w:left="5880" w:hanging="2520"/>
      </w:pPr>
      <w:rPr>
        <w:rFonts w:hint="default"/>
        <w:b w:val="0"/>
        <w:sz w:val="24"/>
      </w:rPr>
    </w:lvl>
    <w:lvl w:ilvl="8" w:tentative="0">
      <w:start w:val="1"/>
      <w:numFmt w:val="decimal"/>
      <w:lvlText w:val="%1.%2.%3.%4.%5.%6.%7.%8.%9"/>
      <w:lvlJc w:val="left"/>
      <w:pPr>
        <w:ind w:left="6720" w:hanging="2880"/>
      </w:pPr>
      <w:rPr>
        <w:rFonts w:hint="default"/>
        <w:b w:val="0"/>
        <w:sz w:val="24"/>
      </w:rPr>
    </w:lvl>
  </w:abstractNum>
  <w:abstractNum w:abstractNumId="16">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27FD3F7B"/>
    <w:multiLevelType w:val="multilevel"/>
    <w:tmpl w:val="27FD3F7B"/>
    <w:lvl w:ilvl="0" w:tentative="0">
      <w:start w:val="6"/>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2F200FD8"/>
    <w:multiLevelType w:val="multilevel"/>
    <w:tmpl w:val="2F200FD8"/>
    <w:lvl w:ilvl="0" w:tentative="0">
      <w:start w:val="11"/>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9">
    <w:nsid w:val="30EB525F"/>
    <w:multiLevelType w:val="multilevel"/>
    <w:tmpl w:val="30EB525F"/>
    <w:lvl w:ilvl="0" w:tentative="0">
      <w:start w:val="13"/>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0">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21">
    <w:nsid w:val="40CF13D4"/>
    <w:multiLevelType w:val="multilevel"/>
    <w:tmpl w:val="40CF13D4"/>
    <w:lvl w:ilvl="0" w:tentative="0">
      <w:start w:val="1"/>
      <w:numFmt w:val="decimal"/>
      <w:lvlText w:val="%1."/>
      <w:lvlJc w:val="left"/>
      <w:pPr>
        <w:tabs>
          <w:tab w:val="left" w:pos="425"/>
        </w:tabs>
        <w:ind w:left="425" w:hanging="425"/>
      </w:pPr>
      <w:rPr>
        <w:rFonts w:hint="eastAsia"/>
      </w:rPr>
    </w:lvl>
    <w:lvl w:ilvl="1" w:tentative="0">
      <w:start w:val="1"/>
      <w:numFmt w:val="decimal"/>
      <w:pStyle w:val="2"/>
      <w:lvlText w:val="%1.%2."/>
      <w:lvlJc w:val="left"/>
      <w:pPr>
        <w:tabs>
          <w:tab w:val="left" w:pos="720"/>
        </w:tabs>
        <w:ind w:left="567" w:hanging="567"/>
      </w:pPr>
      <w:rPr>
        <w:rFonts w:hint="eastAsia"/>
      </w:rPr>
    </w:lvl>
    <w:lvl w:ilvl="2" w:tentative="0">
      <w:start w:val="1"/>
      <w:numFmt w:val="chineseCountingThousand"/>
      <w:pStyle w:val="3"/>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3">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24">
    <w:nsid w:val="4A136EE9"/>
    <w:multiLevelType w:val="multilevel"/>
    <w:tmpl w:val="4A136EE9"/>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25">
    <w:nsid w:val="4EFA17D5"/>
    <w:multiLevelType w:val="multilevel"/>
    <w:tmpl w:val="4EFA17D5"/>
    <w:lvl w:ilvl="0" w:tentative="0">
      <w:start w:val="19"/>
      <w:numFmt w:val="decimal"/>
      <w:lvlText w:val="%1"/>
      <w:lvlJc w:val="left"/>
      <w:pPr>
        <w:ind w:left="480" w:hanging="480"/>
      </w:pPr>
      <w:rPr>
        <w:rFonts w:hint="default"/>
      </w:rPr>
    </w:lvl>
    <w:lvl w:ilvl="1" w:tentative="0">
      <w:start w:val="1"/>
      <w:numFmt w:val="decimal"/>
      <w:lvlText w:val="18.%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6">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7">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8">
    <w:nsid w:val="56222FB0"/>
    <w:multiLevelType w:val="multilevel"/>
    <w:tmpl w:val="56222FB0"/>
    <w:lvl w:ilvl="0" w:tentative="0">
      <w:start w:val="14"/>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9">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1">
    <w:nsid w:val="57693060"/>
    <w:multiLevelType w:val="multilevel"/>
    <w:tmpl w:val="57693060"/>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2">
    <w:nsid w:val="57912FC9"/>
    <w:multiLevelType w:val="multilevel"/>
    <w:tmpl w:val="57912FC9"/>
    <w:lvl w:ilvl="0" w:tentative="0">
      <w:start w:val="23"/>
      <w:numFmt w:val="decimal"/>
      <w:lvlText w:val="%1"/>
      <w:lvlJc w:val="left"/>
      <w:pPr>
        <w:ind w:left="465" w:hanging="465"/>
      </w:pPr>
      <w:rPr>
        <w:rFonts w:hint="default" w:ascii="Arial" w:hAnsi="Arial" w:cs="Arial"/>
      </w:rPr>
    </w:lvl>
    <w:lvl w:ilvl="1" w:tentative="0">
      <w:start w:val="1"/>
      <w:numFmt w:val="decimal"/>
      <w:lvlText w:val="22.%2."/>
      <w:lvlJc w:val="left"/>
      <w:pPr>
        <w:ind w:left="606" w:hanging="465"/>
      </w:pPr>
      <w:rPr>
        <w:rFonts w:hint="eastAsia"/>
      </w:rPr>
    </w:lvl>
    <w:lvl w:ilvl="2" w:tentative="0">
      <w:start w:val="1"/>
      <w:numFmt w:val="decimal"/>
      <w:lvlText w:val="%1.%2.%3"/>
      <w:lvlJc w:val="left"/>
      <w:pPr>
        <w:ind w:left="1680" w:hanging="720"/>
      </w:pPr>
      <w:rPr>
        <w:rFonts w:hint="default" w:ascii="Arial" w:hAnsi="Arial" w:cs="Arial"/>
      </w:rPr>
    </w:lvl>
    <w:lvl w:ilvl="3" w:tentative="0">
      <w:start w:val="1"/>
      <w:numFmt w:val="decimal"/>
      <w:lvlText w:val="%1.%2.%3.%4"/>
      <w:lvlJc w:val="left"/>
      <w:pPr>
        <w:ind w:left="2520" w:hanging="1080"/>
      </w:pPr>
      <w:rPr>
        <w:rFonts w:hint="default" w:ascii="Arial" w:hAnsi="Arial" w:cs="Arial"/>
      </w:rPr>
    </w:lvl>
    <w:lvl w:ilvl="4" w:tentative="0">
      <w:start w:val="1"/>
      <w:numFmt w:val="decimal"/>
      <w:lvlText w:val="%1.%2.%3.%4.%5"/>
      <w:lvlJc w:val="left"/>
      <w:pPr>
        <w:ind w:left="3000" w:hanging="1080"/>
      </w:pPr>
      <w:rPr>
        <w:rFonts w:hint="default" w:ascii="Arial" w:hAnsi="Arial" w:cs="Arial"/>
      </w:rPr>
    </w:lvl>
    <w:lvl w:ilvl="5" w:tentative="0">
      <w:start w:val="1"/>
      <w:numFmt w:val="decimal"/>
      <w:lvlText w:val="%1.%2.%3.%4.%5.%6"/>
      <w:lvlJc w:val="left"/>
      <w:pPr>
        <w:ind w:left="3840" w:hanging="1440"/>
      </w:pPr>
      <w:rPr>
        <w:rFonts w:hint="default" w:ascii="Arial" w:hAnsi="Arial" w:cs="Arial"/>
      </w:rPr>
    </w:lvl>
    <w:lvl w:ilvl="6" w:tentative="0">
      <w:start w:val="1"/>
      <w:numFmt w:val="decimal"/>
      <w:lvlText w:val="%1.%2.%3.%4.%5.%6.%7"/>
      <w:lvlJc w:val="left"/>
      <w:pPr>
        <w:ind w:left="4680" w:hanging="1800"/>
      </w:pPr>
      <w:rPr>
        <w:rFonts w:hint="default" w:ascii="Arial" w:hAnsi="Arial" w:cs="Arial"/>
      </w:rPr>
    </w:lvl>
    <w:lvl w:ilvl="7" w:tentative="0">
      <w:start w:val="1"/>
      <w:numFmt w:val="decimal"/>
      <w:lvlText w:val="%1.%2.%3.%4.%5.%6.%7.%8"/>
      <w:lvlJc w:val="left"/>
      <w:pPr>
        <w:ind w:left="5160" w:hanging="1800"/>
      </w:pPr>
      <w:rPr>
        <w:rFonts w:hint="default" w:ascii="Arial" w:hAnsi="Arial" w:cs="Arial"/>
      </w:rPr>
    </w:lvl>
    <w:lvl w:ilvl="8" w:tentative="0">
      <w:start w:val="1"/>
      <w:numFmt w:val="decimal"/>
      <w:lvlText w:val="%1.%2.%3.%4.%5.%6.%7.%8.%9"/>
      <w:lvlJc w:val="left"/>
      <w:pPr>
        <w:ind w:left="6000" w:hanging="2160"/>
      </w:pPr>
      <w:rPr>
        <w:rFonts w:hint="default" w:ascii="Arial" w:hAnsi="Arial" w:cs="Arial"/>
      </w:rPr>
    </w:lvl>
  </w:abstractNum>
  <w:abstractNum w:abstractNumId="33">
    <w:nsid w:val="599149B8"/>
    <w:multiLevelType w:val="multilevel"/>
    <w:tmpl w:val="599149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5B7609C1"/>
    <w:multiLevelType w:val="multilevel"/>
    <w:tmpl w:val="5B7609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6">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7">
    <w:nsid w:val="6B626D06"/>
    <w:multiLevelType w:val="multilevel"/>
    <w:tmpl w:val="6B626D06"/>
    <w:lvl w:ilvl="0" w:tentative="0">
      <w:start w:val="17"/>
      <w:numFmt w:val="decimal"/>
      <w:lvlText w:val="%1"/>
      <w:lvlJc w:val="left"/>
      <w:pPr>
        <w:ind w:left="480" w:hanging="480"/>
      </w:pPr>
      <w:rPr>
        <w:rFonts w:hint="default"/>
      </w:rPr>
    </w:lvl>
    <w:lvl w:ilvl="1" w:tentative="0">
      <w:start w:val="1"/>
      <w:numFmt w:val="decimal"/>
      <w:lvlText w:val="16.%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8">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9">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0">
    <w:nsid w:val="6FBA724A"/>
    <w:multiLevelType w:val="multilevel"/>
    <w:tmpl w:val="6FBA724A"/>
    <w:lvl w:ilvl="0" w:tentative="0">
      <w:start w:val="22"/>
      <w:numFmt w:val="decimal"/>
      <w:lvlText w:val="%1"/>
      <w:lvlJc w:val="left"/>
      <w:pPr>
        <w:ind w:left="480" w:hanging="480"/>
      </w:pPr>
      <w:rPr>
        <w:rFonts w:hint="default"/>
      </w:rPr>
    </w:lvl>
    <w:lvl w:ilvl="1" w:tentative="0">
      <w:start w:val="1"/>
      <w:numFmt w:val="decimal"/>
      <w:lvlText w:val="21.%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1">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2">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3">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4">
    <w:nsid w:val="79FF76B9"/>
    <w:multiLevelType w:val="multilevel"/>
    <w:tmpl w:val="79FF76B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7A113608"/>
    <w:multiLevelType w:val="multilevel"/>
    <w:tmpl w:val="7A113608"/>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6">
    <w:nsid w:val="7AA846C6"/>
    <w:multiLevelType w:val="multilevel"/>
    <w:tmpl w:val="7AA846C6"/>
    <w:lvl w:ilvl="0" w:tentative="0">
      <w:start w:val="12"/>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7">
    <w:nsid w:val="7B216D2B"/>
    <w:multiLevelType w:val="multilevel"/>
    <w:tmpl w:val="7B216D2B"/>
    <w:lvl w:ilvl="0" w:tentative="0">
      <w:start w:val="20"/>
      <w:numFmt w:val="decimal"/>
      <w:lvlText w:val="%1"/>
      <w:lvlJc w:val="left"/>
      <w:pPr>
        <w:ind w:left="480" w:hanging="480"/>
      </w:pPr>
      <w:rPr>
        <w:rFonts w:hint="default"/>
      </w:rPr>
    </w:lvl>
    <w:lvl w:ilvl="1" w:tentative="0">
      <w:start w:val="1"/>
      <w:numFmt w:val="decimal"/>
      <w:lvlText w:val="19.%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8">
    <w:nsid w:val="7B9E3C32"/>
    <w:multiLevelType w:val="multilevel"/>
    <w:tmpl w:val="7B9E3C32"/>
    <w:lvl w:ilvl="0" w:tentative="0">
      <w:start w:val="18"/>
      <w:numFmt w:val="decimal"/>
      <w:lvlText w:val="%1"/>
      <w:lvlJc w:val="left"/>
      <w:pPr>
        <w:ind w:left="480" w:hanging="480"/>
      </w:pPr>
      <w:rPr>
        <w:rFonts w:hint="default"/>
      </w:rPr>
    </w:lvl>
    <w:lvl w:ilvl="1" w:tentative="0">
      <w:start w:val="1"/>
      <w:numFmt w:val="decimal"/>
      <w:lvlText w:val="17.%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9">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21"/>
  </w:num>
  <w:num w:numId="2">
    <w:abstractNumId w:val="0"/>
  </w:num>
  <w:num w:numId="3">
    <w:abstractNumId w:val="27"/>
  </w:num>
  <w:num w:numId="4">
    <w:abstractNumId w:val="8"/>
  </w:num>
  <w:num w:numId="5">
    <w:abstractNumId w:val="13"/>
  </w:num>
  <w:num w:numId="6">
    <w:abstractNumId w:val="43"/>
  </w:num>
  <w:num w:numId="7">
    <w:abstractNumId w:val="12"/>
  </w:num>
  <w:num w:numId="8">
    <w:abstractNumId w:val="39"/>
  </w:num>
  <w:num w:numId="9">
    <w:abstractNumId w:val="14"/>
  </w:num>
  <w:num w:numId="10">
    <w:abstractNumId w:val="36"/>
  </w:num>
  <w:num w:numId="11">
    <w:abstractNumId w:val="41"/>
  </w:num>
  <w:num w:numId="12">
    <w:abstractNumId w:val="38"/>
  </w:num>
  <w:num w:numId="13">
    <w:abstractNumId w:val="42"/>
  </w:num>
  <w:num w:numId="14">
    <w:abstractNumId w:val="26"/>
  </w:num>
  <w:num w:numId="15">
    <w:abstractNumId w:val="18"/>
  </w:num>
  <w:num w:numId="16">
    <w:abstractNumId w:val="16"/>
  </w:num>
  <w:num w:numId="17">
    <w:abstractNumId w:val="46"/>
  </w:num>
  <w:num w:numId="18">
    <w:abstractNumId w:val="19"/>
  </w:num>
  <w:num w:numId="19">
    <w:abstractNumId w:val="49"/>
  </w:num>
  <w:num w:numId="20">
    <w:abstractNumId w:val="28"/>
  </w:num>
  <w:num w:numId="21">
    <w:abstractNumId w:val="20"/>
  </w:num>
  <w:num w:numId="22">
    <w:abstractNumId w:val="24"/>
  </w:num>
  <w:num w:numId="23">
    <w:abstractNumId w:val="33"/>
  </w:num>
  <w:num w:numId="24">
    <w:abstractNumId w:val="37"/>
  </w:num>
  <w:num w:numId="25">
    <w:abstractNumId w:val="45"/>
  </w:num>
  <w:num w:numId="26">
    <w:abstractNumId w:val="31"/>
  </w:num>
  <w:num w:numId="27">
    <w:abstractNumId w:val="48"/>
  </w:num>
  <w:num w:numId="28">
    <w:abstractNumId w:val="35"/>
  </w:num>
  <w:num w:numId="29">
    <w:abstractNumId w:val="11"/>
  </w:num>
  <w:num w:numId="30">
    <w:abstractNumId w:val="22"/>
  </w:num>
  <w:num w:numId="31">
    <w:abstractNumId w:val="25"/>
  </w:num>
  <w:num w:numId="32">
    <w:abstractNumId w:val="47"/>
  </w:num>
  <w:num w:numId="33">
    <w:abstractNumId w:val="7"/>
  </w:num>
  <w:num w:numId="34">
    <w:abstractNumId w:val="15"/>
  </w:num>
  <w:num w:numId="35">
    <w:abstractNumId w:val="40"/>
  </w:num>
  <w:num w:numId="36">
    <w:abstractNumId w:val="32"/>
  </w:num>
  <w:num w:numId="37">
    <w:abstractNumId w:val="30"/>
  </w:num>
  <w:num w:numId="38">
    <w:abstractNumId w:val="10"/>
  </w:num>
  <w:num w:numId="39">
    <w:abstractNumId w:val="23"/>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29"/>
  </w:num>
  <w:num w:numId="49">
    <w:abstractNumId w:val="34"/>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44DA3"/>
    <w:rsid w:val="09CB126D"/>
    <w:rsid w:val="09E72E64"/>
    <w:rsid w:val="0B3860AF"/>
    <w:rsid w:val="10D414C2"/>
    <w:rsid w:val="119D11D8"/>
    <w:rsid w:val="17833A2D"/>
    <w:rsid w:val="1B034257"/>
    <w:rsid w:val="22B76AAE"/>
    <w:rsid w:val="28B44DA3"/>
    <w:rsid w:val="31D739F6"/>
    <w:rsid w:val="411C6352"/>
    <w:rsid w:val="4168759E"/>
    <w:rsid w:val="42B6484E"/>
    <w:rsid w:val="48583292"/>
    <w:rsid w:val="4FA57704"/>
    <w:rsid w:val="5A7867CB"/>
    <w:rsid w:val="5B4A3F27"/>
    <w:rsid w:val="5B8559BE"/>
    <w:rsid w:val="5ECA105D"/>
    <w:rsid w:val="69126B24"/>
    <w:rsid w:val="6DD21BF8"/>
    <w:rsid w:val="7150408C"/>
    <w:rsid w:val="7F81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numPr>
        <w:ilvl w:val="1"/>
        <w:numId w:val="1"/>
      </w:numPr>
      <w:tabs>
        <w:tab w:val="left" w:pos="425"/>
      </w:tabs>
      <w:snapToGrid w:val="0"/>
      <w:spacing w:line="360" w:lineRule="auto"/>
      <w:outlineLvl w:val="1"/>
    </w:pPr>
    <w:rPr>
      <w:rFonts w:ascii="宋体"/>
      <w:sz w:val="28"/>
      <w:szCs w:val="20"/>
    </w:rPr>
  </w:style>
  <w:style w:type="paragraph" w:styleId="3">
    <w:name w:val="heading 3"/>
    <w:basedOn w:val="1"/>
    <w:next w:val="1"/>
    <w:qFormat/>
    <w:uiPriority w:val="0"/>
    <w:pPr>
      <w:numPr>
        <w:ilvl w:val="2"/>
        <w:numId w:val="1"/>
      </w:numPr>
      <w:tabs>
        <w:tab w:val="left" w:pos="720"/>
      </w:tabs>
      <w:outlineLvl w:val="2"/>
    </w:pPr>
  </w:style>
  <w:style w:type="paragraph" w:styleId="4">
    <w:name w:val="heading 4"/>
    <w:basedOn w:val="1"/>
    <w:next w:val="1"/>
    <w:qFormat/>
    <w:uiPriority w:val="0"/>
    <w:pPr>
      <w:keepNext/>
      <w:keepLines/>
      <w:spacing w:before="280" w:after="290" w:line="376" w:lineRule="auto"/>
      <w:outlineLvl w:val="3"/>
    </w:pPr>
    <w:rPr>
      <w:rFonts w:ascii="Calibri Light" w:hAnsi="Calibri Light"/>
      <w:b/>
      <w:bCs/>
      <w:kern w:val="0"/>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rPr>
      <w:kern w:val="0"/>
      <w:sz w:val="20"/>
    </w:rPr>
  </w:style>
  <w:style w:type="paragraph" w:styleId="6">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7">
    <w:name w:val="Plain Text"/>
    <w:basedOn w:val="1"/>
    <w:qFormat/>
    <w:uiPriority w:val="0"/>
    <w:rPr>
      <w:rFonts w:ascii="宋体" w:hAnsi="Courier New"/>
      <w:kern w:val="0"/>
      <w:sz w:val="20"/>
      <w:szCs w:val="20"/>
    </w:rPr>
  </w:style>
  <w:style w:type="paragraph" w:styleId="8">
    <w:name w:val="footer"/>
    <w:basedOn w:val="1"/>
    <w:qFormat/>
    <w:uiPriority w:val="99"/>
    <w:pPr>
      <w:tabs>
        <w:tab w:val="center" w:pos="4153"/>
        <w:tab w:val="right" w:pos="8306"/>
      </w:tabs>
      <w:snapToGrid w:val="0"/>
      <w:jc w:val="left"/>
    </w:pPr>
    <w:rPr>
      <w:kern w:val="0"/>
      <w:sz w:val="18"/>
      <w:szCs w:val="20"/>
    </w:rPr>
  </w:style>
  <w:style w:type="paragraph" w:styleId="9">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39"/>
    <w:pPr>
      <w:tabs>
        <w:tab w:val="right" w:leader="dot" w:pos="8296"/>
      </w:tabs>
      <w:jc w:val="left"/>
    </w:pPr>
  </w:style>
  <w:style w:type="paragraph" w:styleId="11">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2">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1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4">
    <w:name w:val="Title"/>
    <w:basedOn w:val="1"/>
    <w:next w:val="1"/>
    <w:qFormat/>
    <w:uiPriority w:val="0"/>
    <w:pPr>
      <w:spacing w:before="240" w:after="60"/>
      <w:jc w:val="center"/>
      <w:outlineLvl w:val="0"/>
    </w:pPr>
    <w:rPr>
      <w:rFonts w:ascii="Cambria" w:hAnsi="Cambria"/>
      <w:b/>
      <w:bCs/>
      <w:kern w:val="0"/>
      <w:sz w:val="36"/>
      <w:szCs w:val="32"/>
    </w:rPr>
  </w:style>
  <w:style w:type="paragraph" w:customStyle="1" w:styleId="17">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20">
    <w:name w:val="List Paragraph"/>
    <w:basedOn w:val="1"/>
    <w:qFormat/>
    <w:uiPriority w:val="99"/>
    <w:pPr>
      <w:ind w:firstLine="420" w:firstLineChars="200"/>
    </w:pPr>
  </w:style>
  <w:style w:type="paragraph" w:customStyle="1" w:styleId="21">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2020-04-07T14:02:00Z</dcterms:created>
  <dc:creator>hasee</dc:creator>
  <cp:lastModifiedBy>安逸的魂</cp:lastModifiedBy>
  <cp:lastPrinted>2020-04-08T01:13:00Z</cp:lastPrinted>
  <dcterms:modified xsi:type="dcterms:W3CDTF">2020-04-09T10:16:21Z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