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hAnsi="仿宋" w:eastAsia="仿宋" w:cs="仿宋"/>
          <w:b/>
          <w:bCs/>
          <w:color w:val="auto"/>
          <w:kern w:val="0"/>
          <w:sz w:val="84"/>
          <w:szCs w:val="84"/>
          <w:highlight w:val="none"/>
          <w:lang w:val="zh-CN"/>
        </w:rPr>
      </w:pPr>
      <w:r>
        <w:rPr>
          <w:rFonts w:hint="eastAsia" w:ascii="仿宋" w:hAnsi="仿宋" w:eastAsia="仿宋" w:cs="仿宋"/>
          <w:b/>
          <w:bCs/>
          <w:color w:val="auto"/>
          <w:kern w:val="0"/>
          <w:sz w:val="84"/>
          <w:szCs w:val="84"/>
          <w:highlight w:val="none"/>
          <w:lang w:val="zh-CN"/>
        </w:rPr>
        <w:t xml:space="preserve"> </w:t>
      </w:r>
    </w:p>
    <w:p>
      <w:pPr>
        <w:autoSpaceDE w:val="0"/>
        <w:autoSpaceDN w:val="0"/>
        <w:adjustRightInd w:val="0"/>
        <w:spacing w:line="360" w:lineRule="auto"/>
        <w:jc w:val="center"/>
        <w:rPr>
          <w:rFonts w:hint="eastAsia" w:ascii="仿宋" w:hAnsi="仿宋" w:eastAsia="仿宋" w:cs="仿宋"/>
          <w:b/>
          <w:bCs/>
          <w:color w:val="auto"/>
          <w:kern w:val="0"/>
          <w:sz w:val="84"/>
          <w:szCs w:val="84"/>
          <w:highlight w:val="none"/>
        </w:rPr>
      </w:pPr>
      <w:r>
        <w:rPr>
          <w:rFonts w:hint="eastAsia" w:ascii="仿宋" w:hAnsi="仿宋" w:eastAsia="仿宋" w:cs="仿宋"/>
          <w:b/>
          <w:bCs/>
          <w:color w:val="auto"/>
          <w:kern w:val="0"/>
          <w:sz w:val="84"/>
          <w:szCs w:val="84"/>
          <w:highlight w:val="none"/>
          <w:lang w:val="zh-CN"/>
        </w:rPr>
        <w:t>公开招标文件</w:t>
      </w:r>
    </w:p>
    <w:p>
      <w:pPr>
        <w:autoSpaceDE w:val="0"/>
        <w:autoSpaceDN w:val="0"/>
        <w:adjustRightInd w:val="0"/>
        <w:spacing w:line="360" w:lineRule="auto"/>
        <w:jc w:val="center"/>
        <w:rPr>
          <w:rFonts w:hint="eastAsia" w:ascii="仿宋" w:hAnsi="仿宋" w:eastAsia="仿宋" w:cs="仿宋"/>
          <w:b/>
          <w:bCs/>
          <w:color w:val="auto"/>
          <w:kern w:val="0"/>
          <w:sz w:val="36"/>
          <w:szCs w:val="36"/>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center"/>
        <w:textAlignment w:val="auto"/>
        <w:rPr>
          <w:rFonts w:hint="default" w:ascii="仿宋" w:hAnsi="仿宋" w:eastAsia="仿宋" w:cs="仿宋"/>
          <w:b/>
          <w:bCs/>
          <w:color w:val="auto"/>
          <w:kern w:val="0"/>
          <w:sz w:val="36"/>
          <w:szCs w:val="36"/>
          <w:highlight w:val="none"/>
          <w:u w:val="single"/>
          <w:lang w:val="en-US" w:eastAsia="zh-CN"/>
        </w:rPr>
      </w:pPr>
    </w:p>
    <w:p>
      <w:pPr>
        <w:autoSpaceDE w:val="0"/>
        <w:autoSpaceDN w:val="0"/>
        <w:adjustRightInd w:val="0"/>
        <w:spacing w:line="360" w:lineRule="auto"/>
        <w:jc w:val="left"/>
        <w:rPr>
          <w:rFonts w:hint="eastAsia" w:ascii="仿宋" w:hAnsi="仿宋" w:eastAsia="仿宋" w:cs="仿宋"/>
          <w:color w:val="auto"/>
          <w:kern w:val="0"/>
          <w:sz w:val="36"/>
          <w:szCs w:val="36"/>
          <w:highlight w:val="none"/>
          <w:u w:val="dotDash"/>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 xml:space="preserve">采购项目编号：德汇青海公招（货物）2022-001  </w:t>
      </w: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仿宋" w:hAnsi="仿宋" w:eastAsia="仿宋" w:cs="仿宋"/>
          <w:b/>
          <w:bCs/>
          <w:color w:val="auto"/>
          <w:kern w:val="0"/>
          <w:sz w:val="36"/>
          <w:szCs w:val="36"/>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hanging="2530" w:hangingChars="700"/>
        <w:jc w:val="left"/>
        <w:textAlignment w:val="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采购项目名称：大通县2021年祁连山生态保护和修复项目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仿宋" w:hAnsi="仿宋" w:eastAsia="仿宋" w:cs="仿宋"/>
          <w:b/>
          <w:bCs/>
          <w:color w:val="auto"/>
          <w:kern w:val="0"/>
          <w:sz w:val="36"/>
          <w:szCs w:val="36"/>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项目采购人：大通县林业和草原局</w:t>
      </w: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rPr>
          <w:rFonts w:hint="eastAsia" w:ascii="仿宋" w:hAnsi="仿宋" w:eastAsia="仿宋" w:cs="仿宋"/>
          <w:b/>
          <w:bCs/>
          <w:color w:val="auto"/>
          <w:kern w:val="0"/>
          <w:sz w:val="36"/>
          <w:szCs w:val="36"/>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采购代理机构：德汇工程管理（北京）有限公司</w:t>
      </w:r>
    </w:p>
    <w:p>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eastAsia" w:ascii="仿宋" w:hAnsi="仿宋" w:eastAsia="仿宋" w:cs="仿宋"/>
          <w:b/>
          <w:bCs/>
          <w:color w:val="auto"/>
          <w:kern w:val="0"/>
          <w:sz w:val="28"/>
          <w:szCs w:val="28"/>
          <w:highlight w:val="none"/>
          <w:u w:val="single"/>
          <w:lang w:val="zh-CN"/>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20</w:t>
      </w:r>
      <w:r>
        <w:rPr>
          <w:rFonts w:hint="eastAsia" w:ascii="仿宋" w:hAnsi="仿宋" w:eastAsia="仿宋" w:cs="仿宋"/>
          <w:b/>
          <w:bCs/>
          <w:color w:val="auto"/>
          <w:kern w:val="0"/>
          <w:sz w:val="36"/>
          <w:szCs w:val="36"/>
          <w:highlight w:val="none"/>
        </w:rPr>
        <w:t>2</w:t>
      </w:r>
      <w:r>
        <w:rPr>
          <w:rFonts w:hint="eastAsia" w:ascii="仿宋" w:hAnsi="仿宋" w:eastAsia="仿宋" w:cs="仿宋"/>
          <w:b/>
          <w:bCs/>
          <w:color w:val="auto"/>
          <w:kern w:val="0"/>
          <w:sz w:val="36"/>
          <w:szCs w:val="36"/>
          <w:highlight w:val="none"/>
          <w:lang w:val="en-US" w:eastAsia="zh-CN"/>
        </w:rPr>
        <w:t>2</w:t>
      </w:r>
      <w:r>
        <w:rPr>
          <w:rFonts w:hint="eastAsia" w:ascii="仿宋" w:hAnsi="仿宋" w:eastAsia="仿宋" w:cs="仿宋"/>
          <w:b/>
          <w:bCs/>
          <w:color w:val="auto"/>
          <w:kern w:val="0"/>
          <w:sz w:val="36"/>
          <w:szCs w:val="36"/>
          <w:highlight w:val="none"/>
          <w:lang w:val="zh-CN"/>
        </w:rPr>
        <w:t>年</w:t>
      </w:r>
      <w:r>
        <w:rPr>
          <w:rFonts w:hint="eastAsia" w:ascii="仿宋" w:hAnsi="仿宋" w:eastAsia="仿宋" w:cs="仿宋"/>
          <w:b/>
          <w:bCs/>
          <w:color w:val="auto"/>
          <w:kern w:val="0"/>
          <w:sz w:val="36"/>
          <w:szCs w:val="36"/>
          <w:highlight w:val="none"/>
          <w:lang w:val="en-US" w:eastAsia="zh-CN"/>
        </w:rPr>
        <w:t>3</w:t>
      </w:r>
      <w:r>
        <w:rPr>
          <w:rFonts w:hint="eastAsia" w:ascii="仿宋" w:hAnsi="仿宋" w:eastAsia="仿宋" w:cs="仿宋"/>
          <w:b/>
          <w:bCs/>
          <w:color w:val="auto"/>
          <w:kern w:val="0"/>
          <w:sz w:val="36"/>
          <w:szCs w:val="36"/>
          <w:highlight w:val="none"/>
          <w:lang w:val="zh-CN"/>
        </w:rPr>
        <w:t>月</w:t>
      </w:r>
    </w:p>
    <w:p>
      <w:pPr>
        <w:pStyle w:val="2"/>
        <w:rPr>
          <w:rFonts w:hint="eastAsia" w:ascii="仿宋" w:hAnsi="仿宋" w:eastAsia="仿宋" w:cs="仿宋"/>
          <w:color w:val="auto"/>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jc w:val="both"/>
        <w:textAlignment w:val="auto"/>
        <w:rPr>
          <w:rFonts w:hint="eastAsia" w:ascii="仿宋" w:hAnsi="仿宋" w:eastAsia="仿宋" w:cs="仿宋"/>
          <w:color w:val="auto"/>
          <w:kern w:val="0"/>
          <w:sz w:val="36"/>
          <w:szCs w:val="36"/>
          <w:highlight w:val="none"/>
        </w:rPr>
      </w:pPr>
    </w:p>
    <w:p>
      <w:pPr>
        <w:adjustRightInd w:val="0"/>
        <w:spacing w:line="360" w:lineRule="auto"/>
        <w:jc w:val="center"/>
        <w:textAlignment w:val="baseline"/>
        <w:rPr>
          <w:rFonts w:hint="eastAsia" w:ascii="仿宋" w:hAnsi="仿宋" w:eastAsia="仿宋" w:cs="仿宋"/>
          <w:b/>
          <w:color w:val="auto"/>
          <w:sz w:val="40"/>
          <w:szCs w:val="30"/>
          <w:highlight w:val="none"/>
          <w:lang w:val="en-US" w:eastAsia="zh-CN"/>
        </w:rPr>
      </w:pPr>
      <w:r>
        <w:rPr>
          <w:rFonts w:hint="eastAsia" w:ascii="仿宋" w:hAnsi="仿宋" w:eastAsia="仿宋" w:cs="仿宋"/>
          <w:b/>
          <w:color w:val="auto"/>
          <w:sz w:val="40"/>
          <w:szCs w:val="30"/>
          <w:highlight w:val="none"/>
          <w:lang w:val="en-US" w:eastAsia="zh-CN"/>
        </w:rPr>
        <w:t xml:space="preserve">                        </w:t>
      </w:r>
    </w:p>
    <w:p>
      <w:pPr>
        <w:pStyle w:val="2"/>
        <w:rPr>
          <w:rFonts w:hint="eastAsia" w:ascii="仿宋" w:hAnsi="仿宋" w:eastAsia="仿宋" w:cs="仿宋"/>
          <w:b/>
          <w:color w:val="auto"/>
          <w:sz w:val="40"/>
          <w:szCs w:val="30"/>
          <w:highlight w:val="none"/>
          <w:lang w:val="en-US" w:eastAsia="zh-CN"/>
        </w:rPr>
      </w:pPr>
    </w:p>
    <w:p>
      <w:pPr>
        <w:rPr>
          <w:rFonts w:hint="eastAsia" w:ascii="仿宋" w:hAnsi="仿宋" w:eastAsia="仿宋" w:cs="仿宋"/>
        </w:rPr>
      </w:pPr>
    </w:p>
    <w:p>
      <w:pPr>
        <w:adjustRightInd w:val="0"/>
        <w:spacing w:line="360" w:lineRule="auto"/>
        <w:jc w:val="center"/>
        <w:textAlignment w:val="baseline"/>
        <w:rPr>
          <w:rFonts w:hint="eastAsia" w:ascii="仿宋" w:hAnsi="仿宋" w:eastAsia="仿宋" w:cs="仿宋"/>
          <w:b/>
          <w:color w:val="auto"/>
          <w:sz w:val="40"/>
          <w:szCs w:val="30"/>
          <w:highlight w:val="none"/>
        </w:rPr>
      </w:pPr>
    </w:p>
    <w:p>
      <w:pPr>
        <w:adjustRightInd w:val="0"/>
        <w:spacing w:line="360" w:lineRule="auto"/>
        <w:jc w:val="center"/>
        <w:textAlignment w:val="baseline"/>
        <w:rPr>
          <w:rFonts w:hint="eastAsia" w:ascii="仿宋" w:hAnsi="仿宋" w:eastAsia="仿宋" w:cs="仿宋"/>
          <w:b/>
          <w:color w:val="auto"/>
          <w:sz w:val="40"/>
          <w:szCs w:val="30"/>
          <w:highlight w:val="none"/>
        </w:rPr>
      </w:pPr>
      <w:r>
        <w:rPr>
          <w:rFonts w:hint="eastAsia" w:ascii="仿宋" w:hAnsi="仿宋" w:eastAsia="仿宋" w:cs="仿宋"/>
          <w:b/>
          <w:color w:val="auto"/>
          <w:sz w:val="40"/>
          <w:szCs w:val="30"/>
          <w:highlight w:val="none"/>
        </w:rPr>
        <w:t>目  录</w:t>
      </w:r>
    </w:p>
    <w:p>
      <w:pPr>
        <w:pStyle w:val="17"/>
        <w:tabs>
          <w:tab w:val="right" w:leader="dot" w:pos="8243"/>
        </w:tabs>
        <w:ind w:firstLine="480"/>
        <w:rPr>
          <w:rFonts w:hint="eastAsia" w:ascii="仿宋" w:hAnsi="仿宋" w:eastAsia="仿宋" w:cs="仿宋"/>
          <w:color w:val="auto"/>
          <w:highlight w:val="none"/>
        </w:rPr>
      </w:pPr>
      <w:r>
        <w:rPr>
          <w:rFonts w:hint="eastAsia" w:ascii="仿宋" w:hAnsi="仿宋" w:eastAsia="仿宋" w:cs="仿宋"/>
          <w:b w:val="0"/>
          <w:bCs w:val="0"/>
          <w:color w:val="auto"/>
          <w:kern w:val="0"/>
          <w:szCs w:val="24"/>
          <w:highlight w:val="none"/>
        </w:rPr>
        <w:fldChar w:fldCharType="begin"/>
      </w:r>
      <w:r>
        <w:rPr>
          <w:rStyle w:val="28"/>
          <w:rFonts w:hint="eastAsia" w:ascii="仿宋" w:hAnsi="仿宋" w:eastAsia="仿宋" w:cs="仿宋"/>
          <w:b w:val="0"/>
          <w:bCs w:val="0"/>
          <w:color w:val="auto"/>
          <w:kern w:val="0"/>
          <w:szCs w:val="24"/>
          <w:highlight w:val="none"/>
        </w:rPr>
        <w:instrText xml:space="preserve"> TOC \o "3-3" \h \z \t "标题 1,2,标题 2,3,标题,1" </w:instrText>
      </w:r>
      <w:r>
        <w:rPr>
          <w:rFonts w:hint="eastAsia" w:ascii="仿宋" w:hAnsi="仿宋" w:eastAsia="仿宋" w:cs="仿宋"/>
          <w:b w:val="0"/>
          <w:bCs w:val="0"/>
          <w:color w:val="auto"/>
          <w:kern w:val="0"/>
          <w:szCs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"_Toc22785"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lang w:val="zh-CN"/>
        </w:rPr>
        <w:t>第一部分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_Toc22785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"_Toc24188"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lang w:val="zh-CN"/>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_Toc24188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"_Toc32131"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一、说明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"_Toc31092"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二、招标文件说明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_Toc31092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"_Toc29284"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三、投标文件的编制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_Toc29284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"_Toc29848"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四、投标文件的提交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"_Toc10377"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五、开标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_Toc10377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"_Toc16522"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Cs w:val="36"/>
          <w:highlight w:val="none"/>
        </w:rPr>
        <w:t>六、资格</w:t>
      </w:r>
      <w:r>
        <w:rPr>
          <w:rFonts w:hint="eastAsia" w:ascii="仿宋" w:hAnsi="仿宋" w:eastAsia="仿宋" w:cs="仿宋"/>
          <w:color w:val="auto"/>
          <w:highlight w:val="none"/>
          <w:lang w:val="zh-CN"/>
        </w:rPr>
        <w:t>审查</w:t>
      </w:r>
      <w:r>
        <w:rPr>
          <w:rFonts w:hint="eastAsia" w:ascii="仿宋" w:hAnsi="仿宋" w:eastAsia="仿宋" w:cs="仿宋"/>
          <w:color w:val="auto"/>
          <w:kern w:val="0"/>
          <w:szCs w:val="36"/>
          <w:highlight w:val="none"/>
        </w:rPr>
        <w:t>程序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_Toc16522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"_Toc11627"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七、评审程序及方法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"_Toc13988"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八、中标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_Toc13988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"_Toc27898"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九、授予合同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_Toc27898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"_Toc9349"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lang w:val="zh-CN"/>
        </w:rPr>
        <w:t>十、其他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_Toc9349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"_Toc17361"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lang w:val="zh-CN"/>
        </w:rPr>
        <w:t>第三部分 青海省政府采购项目合同书范本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"_Toc17010"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lang w:val="zh-CN"/>
        </w:rPr>
        <w:t>第四部分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_Toc17010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7"/>
        <w:tabs>
          <w:tab w:val="right" w:leader="dot" w:pos="8243"/>
        </w:tabs>
        <w:ind w:firstLine="482"/>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"_Toc5180"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lang w:val="zh-CN"/>
        </w:rPr>
        <w:t>第五部分  采购项目要求及技术参数</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_Toc5180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spacing w:line="400" w:lineRule="exact"/>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pPr>
        <w:pStyle w:val="21"/>
        <w:spacing w:before="0" w:after="0" w:line="360" w:lineRule="auto"/>
        <w:rPr>
          <w:rFonts w:hint="eastAsia" w:ascii="仿宋" w:hAnsi="仿宋" w:eastAsia="仿宋" w:cs="仿宋"/>
          <w:color w:val="auto"/>
          <w:szCs w:val="36"/>
          <w:highlight w:val="none"/>
          <w:lang w:val="zh-CN"/>
        </w:rPr>
      </w:pPr>
      <w:r>
        <w:rPr>
          <w:rFonts w:hint="eastAsia" w:ascii="仿宋" w:hAnsi="仿宋" w:eastAsia="仿宋" w:cs="仿宋"/>
          <w:color w:val="auto"/>
          <w:highlight w:val="none"/>
        </w:rPr>
        <w:br w:type="page"/>
      </w:r>
      <w:bookmarkStart w:id="0" w:name="_Toc22785"/>
      <w:r>
        <w:rPr>
          <w:rFonts w:hint="eastAsia" w:ascii="仿宋" w:hAnsi="仿宋" w:eastAsia="仿宋" w:cs="仿宋"/>
          <w:color w:val="auto"/>
          <w:szCs w:val="36"/>
          <w:highlight w:val="none"/>
          <w:lang w:val="zh-CN"/>
        </w:rPr>
        <w:t>第一部分  投标邀请</w:t>
      </w:r>
      <w:bookmarkEnd w:id="0"/>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center"/>
        <w:textAlignment w:val="auto"/>
        <w:rPr>
          <w:rFonts w:hint="eastAsia" w:ascii="仿宋" w:hAnsi="仿宋" w:eastAsia="仿宋" w:cs="仿宋"/>
          <w:b/>
          <w:bCs/>
          <w:color w:val="000000"/>
          <w:kern w:val="0"/>
          <w:sz w:val="28"/>
          <w:szCs w:val="28"/>
        </w:rPr>
      </w:pPr>
      <w:bookmarkStart w:id="1" w:name="_Toc28359001"/>
      <w:bookmarkStart w:id="2" w:name="_Toc15622"/>
      <w:bookmarkStart w:id="3" w:name="_Toc45123858"/>
      <w:bookmarkStart w:id="4" w:name="_Toc35393789"/>
      <w:bookmarkStart w:id="5" w:name="_Toc24188"/>
      <w:r>
        <w:rPr>
          <w:rFonts w:hint="eastAsia" w:ascii="仿宋" w:hAnsi="仿宋" w:eastAsia="仿宋" w:cs="仿宋"/>
          <w:b/>
          <w:bCs/>
          <w:color w:val="000000"/>
          <w:kern w:val="0"/>
          <w:sz w:val="28"/>
          <w:szCs w:val="28"/>
          <w:lang w:val="zh-CN"/>
        </w:rPr>
        <w:t>大通县2021年祁连山生态保护和修复项目</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color w:val="000000"/>
          <w:kern w:val="0"/>
          <w:sz w:val="28"/>
          <w:szCs w:val="28"/>
          <w:lang w:val="zh-CN"/>
        </w:rPr>
        <w:t>公开</w:t>
      </w:r>
      <w:r>
        <w:rPr>
          <w:rFonts w:hint="eastAsia" w:ascii="仿宋" w:hAnsi="仿宋" w:eastAsia="仿宋" w:cs="仿宋"/>
          <w:b/>
          <w:bCs/>
          <w:sz w:val="28"/>
          <w:szCs w:val="28"/>
        </w:rPr>
        <w:t>招标公告</w:t>
      </w:r>
      <w:bookmarkEnd w:id="1"/>
      <w:bookmarkEnd w:id="2"/>
      <w:bookmarkEnd w:id="3"/>
      <w:bookmarkEnd w:id="4"/>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rPr>
      </w:pPr>
      <w:r>
        <w:rPr>
          <w:rFonts w:hint="eastAsia" w:ascii="仿宋" w:hAnsi="仿宋" w:eastAsia="仿宋" w:cs="仿宋"/>
          <w:b/>
          <w:bCs/>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auto"/>
        <w:ind w:firstLine="482" w:firstLineChars="200"/>
        <w:textAlignment w:val="auto"/>
        <w:rPr>
          <w:rFonts w:hint="eastAsia" w:ascii="仿宋" w:hAnsi="仿宋" w:eastAsia="仿宋" w:cs="仿宋"/>
          <w:b/>
          <w:bCs/>
          <w:highlight w:val="none"/>
        </w:rPr>
      </w:pPr>
      <w:r>
        <w:rPr>
          <w:rFonts w:hint="eastAsia" w:ascii="仿宋" w:hAnsi="仿宋" w:eastAsia="仿宋" w:cs="仿宋"/>
          <w:b/>
          <w:bCs/>
          <w:color w:val="000000"/>
          <w:kern w:val="0"/>
          <w:highlight w:val="none"/>
          <w:u w:val="single"/>
          <w:lang w:val="zh-CN"/>
        </w:rPr>
        <w:t>大通县2021年祁连山生态保护和修复项目</w:t>
      </w:r>
      <w:r>
        <w:rPr>
          <w:rFonts w:hint="eastAsia" w:ascii="仿宋" w:hAnsi="仿宋" w:eastAsia="仿宋" w:cs="仿宋"/>
          <w:b/>
          <w:bCs/>
          <w:highlight w:val="none"/>
        </w:rPr>
        <w:t>招标项目的潜在投标人应在</w:t>
      </w:r>
      <w:r>
        <w:rPr>
          <w:rFonts w:hint="eastAsia" w:ascii="仿宋" w:hAnsi="仿宋" w:eastAsia="仿宋" w:cs="仿宋"/>
          <w:b/>
          <w:bCs/>
          <w:color w:val="000000"/>
          <w:kern w:val="0"/>
          <w:highlight w:val="none"/>
          <w:u w:val="single"/>
          <w:lang w:val="zh-CN"/>
        </w:rPr>
        <w:t>德汇工程管理（北京）有限公司（</w:t>
      </w:r>
      <w:r>
        <w:rPr>
          <w:rFonts w:hint="eastAsia" w:ascii="仿宋" w:hAnsi="仿宋" w:eastAsia="仿宋" w:cs="仿宋"/>
          <w:b/>
          <w:bCs/>
          <w:color w:val="000000"/>
          <w:kern w:val="0"/>
          <w:highlight w:val="none"/>
          <w:u w:val="single"/>
          <w:lang w:val="en-US" w:eastAsia="zh-CN"/>
        </w:rPr>
        <w:t>西宁市城西区海湖新区苏商大厦A座9楼913室）</w:t>
      </w:r>
      <w:r>
        <w:rPr>
          <w:rFonts w:hint="eastAsia" w:ascii="仿宋" w:hAnsi="仿宋" w:eastAsia="仿宋" w:cs="仿宋"/>
          <w:b/>
          <w:bCs/>
          <w:highlight w:val="none"/>
        </w:rPr>
        <w:t>获取招标文件，</w:t>
      </w:r>
      <w:r>
        <w:rPr>
          <w:rFonts w:hint="eastAsia" w:ascii="仿宋" w:hAnsi="仿宋" w:eastAsia="仿宋" w:cs="仿宋"/>
          <w:b/>
          <w:bCs/>
          <w:color w:val="auto"/>
          <w:highlight w:val="none"/>
        </w:rPr>
        <w:t>并于</w:t>
      </w:r>
      <w:r>
        <w:rPr>
          <w:rFonts w:hint="eastAsia" w:ascii="仿宋" w:hAnsi="仿宋" w:eastAsia="仿宋" w:cs="仿宋"/>
          <w:b/>
          <w:bCs/>
          <w:color w:val="auto"/>
          <w:highlight w:val="none"/>
          <w:u w:val="single"/>
          <w:lang w:eastAsia="zh-CN"/>
        </w:rPr>
        <w:t>2022年3月24日09:00时</w:t>
      </w:r>
      <w:r>
        <w:rPr>
          <w:rFonts w:hint="eastAsia" w:ascii="仿宋" w:hAnsi="仿宋" w:eastAsia="仿宋" w:cs="仿宋"/>
          <w:b/>
          <w:bCs/>
          <w:color w:val="auto"/>
          <w:highlight w:val="none"/>
          <w:u w:val="single"/>
        </w:rPr>
        <w:t>（</w:t>
      </w:r>
      <w:r>
        <w:rPr>
          <w:rFonts w:hint="eastAsia" w:ascii="仿宋" w:hAnsi="仿宋" w:eastAsia="仿宋" w:cs="仿宋"/>
          <w:b/>
          <w:bCs/>
          <w:color w:val="auto"/>
          <w:highlight w:val="none"/>
        </w:rPr>
        <w:t>北</w:t>
      </w:r>
      <w:r>
        <w:rPr>
          <w:rFonts w:hint="eastAsia" w:ascii="仿宋" w:hAnsi="仿宋" w:eastAsia="仿宋" w:cs="仿宋"/>
          <w:b/>
          <w:bCs/>
          <w:highlight w:val="none"/>
        </w:rPr>
        <w:t>京时间）前递交投标文件。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highlight w:val="none"/>
        </w:rPr>
      </w:pPr>
      <w:bookmarkStart w:id="6" w:name="_Toc28359002"/>
      <w:bookmarkStart w:id="7" w:name="_Toc35393621"/>
      <w:bookmarkStart w:id="8" w:name="_Toc35393790"/>
      <w:bookmarkStart w:id="9" w:name="_Toc28359079"/>
      <w:bookmarkStart w:id="10" w:name="_Hlk24379207"/>
      <w:r>
        <w:rPr>
          <w:rFonts w:hint="eastAsia" w:ascii="仿宋" w:hAnsi="仿宋" w:eastAsia="仿宋" w:cs="仿宋"/>
          <w:highlight w:val="none"/>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lang w:val="zh-CN"/>
        </w:rPr>
        <w:t xml:space="preserve">德汇青海公招（货物）2022-001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color w:val="000000"/>
          <w:kern w:val="0"/>
          <w:highlight w:val="none"/>
          <w:lang w:val="zh-CN"/>
        </w:rPr>
        <w:t>大通县2021年祁连山生态保护和修复项目</w:t>
      </w:r>
    </w:p>
    <w:bookmarkEnd w:id="10"/>
    <w:p>
      <w:pPr>
        <w:pStyle w:val="37"/>
        <w:tabs>
          <w:tab w:val="left" w:pos="3347"/>
        </w:tabs>
        <w:spacing w:before="175" w:line="480" w:lineRule="auto"/>
        <w:ind w:right="-29" w:firstLine="480" w:firstLineChars="200"/>
        <w:jc w:val="left"/>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sz w:val="24"/>
          <w:lang w:val="en-US" w:eastAsia="zh-CN"/>
        </w:rPr>
        <w:t>2341.</w:t>
      </w:r>
      <w:r>
        <w:rPr>
          <w:rFonts w:hint="eastAsia" w:cs="仿宋"/>
          <w:sz w:val="24"/>
          <w:lang w:val="en-US" w:eastAsia="zh-CN"/>
        </w:rPr>
        <w:t>507614</w:t>
      </w:r>
      <w:r>
        <w:rPr>
          <w:rFonts w:hint="eastAsia" w:ascii="仿宋" w:hAnsi="仿宋" w:eastAsia="仿宋" w:cs="仿宋"/>
          <w:highlight w:val="none"/>
        </w:rPr>
        <w:t>万元（其中：</w:t>
      </w:r>
      <w:r>
        <w:rPr>
          <w:sz w:val="24"/>
        </w:rPr>
        <w:t>包一：人民币</w:t>
      </w:r>
      <w:r>
        <w:rPr>
          <w:spacing w:val="-60"/>
          <w:sz w:val="24"/>
        </w:rPr>
        <w:t xml:space="preserve"> </w:t>
      </w:r>
      <w:r>
        <w:rPr>
          <w:rFonts w:hint="eastAsia"/>
          <w:sz w:val="24"/>
          <w:lang w:val="en-US" w:eastAsia="zh-CN"/>
        </w:rPr>
        <w:t>131.009895</w:t>
      </w:r>
      <w:r>
        <w:rPr>
          <w:spacing w:val="-60"/>
          <w:sz w:val="24"/>
        </w:rPr>
        <w:t xml:space="preserve"> </w:t>
      </w:r>
      <w:r>
        <w:rPr>
          <w:sz w:val="24"/>
        </w:rPr>
        <w:t>万元</w:t>
      </w:r>
      <w:r>
        <w:rPr>
          <w:rFonts w:hint="eastAsia"/>
          <w:sz w:val="24"/>
          <w:lang w:eastAsia="zh-CN"/>
        </w:rPr>
        <w:t>；</w:t>
      </w:r>
      <w:r>
        <w:rPr>
          <w:sz w:val="24"/>
        </w:rPr>
        <w:t>包二：人民币</w:t>
      </w:r>
      <w:r>
        <w:rPr>
          <w:spacing w:val="-60"/>
          <w:sz w:val="24"/>
        </w:rPr>
        <w:t xml:space="preserve"> </w:t>
      </w:r>
      <w:r>
        <w:rPr>
          <w:rFonts w:hint="eastAsia"/>
          <w:sz w:val="24"/>
          <w:lang w:val="en-US" w:eastAsia="zh-CN"/>
        </w:rPr>
        <w:t>86.371457</w:t>
      </w:r>
      <w:r>
        <w:rPr>
          <w:sz w:val="24"/>
        </w:rPr>
        <w:t>万元</w:t>
      </w:r>
      <w:r>
        <w:rPr>
          <w:rFonts w:hint="eastAsia"/>
          <w:sz w:val="24"/>
          <w:lang w:eastAsia="zh-CN"/>
        </w:rPr>
        <w:t>；</w:t>
      </w:r>
      <w:r>
        <w:rPr>
          <w:sz w:val="24"/>
        </w:rPr>
        <w:t>包三</w:t>
      </w:r>
      <w:r>
        <w:rPr>
          <w:rFonts w:hint="eastAsia"/>
          <w:sz w:val="24"/>
          <w:lang w:val="en-US" w:eastAsia="zh-CN"/>
        </w:rPr>
        <w:t>：人民币117.760414 万</w:t>
      </w:r>
      <w:r>
        <w:rPr>
          <w:sz w:val="24"/>
        </w:rPr>
        <w:t>元</w:t>
      </w:r>
      <w:r>
        <w:rPr>
          <w:rFonts w:hint="eastAsia"/>
          <w:sz w:val="24"/>
          <w:lang w:eastAsia="zh-CN"/>
        </w:rPr>
        <w:t>；</w:t>
      </w:r>
      <w:r>
        <w:rPr>
          <w:sz w:val="24"/>
        </w:rPr>
        <w:t>包四：人民币</w:t>
      </w:r>
      <w:r>
        <w:rPr>
          <w:rFonts w:hint="eastAsia"/>
          <w:sz w:val="24"/>
          <w:lang w:val="en-US" w:eastAsia="zh-CN"/>
        </w:rPr>
        <w:t>101.987923 万元；</w:t>
      </w:r>
      <w:r>
        <w:rPr>
          <w:sz w:val="24"/>
        </w:rPr>
        <w:t>包五：人</w:t>
      </w:r>
      <w:r>
        <w:rPr>
          <w:rFonts w:hint="eastAsia"/>
          <w:sz w:val="24"/>
          <w:lang w:val="en-US" w:eastAsia="zh-CN"/>
        </w:rPr>
        <w:t>民币100.557872万</w:t>
      </w:r>
      <w:r>
        <w:rPr>
          <w:sz w:val="24"/>
        </w:rPr>
        <w:t>元</w:t>
      </w:r>
      <w:r>
        <w:rPr>
          <w:rFonts w:hint="eastAsia"/>
          <w:sz w:val="24"/>
          <w:lang w:eastAsia="zh-CN"/>
        </w:rPr>
        <w:t>；</w:t>
      </w:r>
      <w:r>
        <w:rPr>
          <w:sz w:val="24"/>
        </w:rPr>
        <w:t>包六：人民币</w:t>
      </w:r>
      <w:r>
        <w:rPr>
          <w:rFonts w:hint="eastAsia"/>
          <w:sz w:val="24"/>
          <w:lang w:val="en-US" w:eastAsia="zh-CN"/>
        </w:rPr>
        <w:t>109.504058</w:t>
      </w:r>
      <w:r>
        <w:rPr>
          <w:sz w:val="24"/>
        </w:rPr>
        <w:t xml:space="preserve"> 万元</w:t>
      </w:r>
      <w:r>
        <w:rPr>
          <w:rFonts w:hint="eastAsia"/>
          <w:sz w:val="24"/>
          <w:lang w:eastAsia="zh-CN"/>
        </w:rPr>
        <w:t>；</w:t>
      </w:r>
      <w:r>
        <w:rPr>
          <w:sz w:val="24"/>
        </w:rPr>
        <w:t xml:space="preserve">包七：人民币 </w:t>
      </w:r>
      <w:r>
        <w:rPr>
          <w:rFonts w:hint="eastAsia"/>
          <w:sz w:val="24"/>
          <w:lang w:val="en-US" w:eastAsia="zh-CN"/>
        </w:rPr>
        <w:t>133.949071</w:t>
      </w:r>
      <w:r>
        <w:rPr>
          <w:sz w:val="24"/>
        </w:rPr>
        <w:t>万元</w:t>
      </w:r>
      <w:r>
        <w:rPr>
          <w:rFonts w:hint="eastAsia"/>
          <w:sz w:val="24"/>
          <w:lang w:eastAsia="zh-CN"/>
        </w:rPr>
        <w:t>；</w:t>
      </w:r>
      <w:r>
        <w:rPr>
          <w:sz w:val="24"/>
        </w:rPr>
        <w:t>包八：人民币</w:t>
      </w:r>
      <w:r>
        <w:rPr>
          <w:rFonts w:hint="eastAsia"/>
          <w:sz w:val="24"/>
          <w:lang w:val="en-US" w:eastAsia="zh-CN"/>
        </w:rPr>
        <w:t>85.9415</w:t>
      </w:r>
      <w:r>
        <w:rPr>
          <w:sz w:val="24"/>
        </w:rPr>
        <w:t>万元</w:t>
      </w:r>
      <w:r>
        <w:rPr>
          <w:rFonts w:hint="eastAsia"/>
          <w:sz w:val="24"/>
          <w:lang w:eastAsia="zh-CN"/>
        </w:rPr>
        <w:t>；</w:t>
      </w:r>
      <w:r>
        <w:rPr>
          <w:sz w:val="24"/>
        </w:rPr>
        <w:t xml:space="preserve">包九：人民币 </w:t>
      </w:r>
      <w:r>
        <w:rPr>
          <w:rFonts w:hint="eastAsia"/>
          <w:sz w:val="24"/>
          <w:lang w:val="en-US" w:eastAsia="zh-CN"/>
        </w:rPr>
        <w:t>130.7614</w:t>
      </w:r>
      <w:r>
        <w:rPr>
          <w:sz w:val="24"/>
        </w:rPr>
        <w:t>万元</w:t>
      </w:r>
      <w:r>
        <w:rPr>
          <w:rFonts w:hint="eastAsia"/>
          <w:sz w:val="24"/>
          <w:lang w:val="en-US" w:eastAsia="zh-CN"/>
        </w:rPr>
        <w:t>；</w:t>
      </w:r>
      <w:r>
        <w:rPr>
          <w:sz w:val="24"/>
        </w:rPr>
        <w:t>包</w:t>
      </w:r>
      <w:r>
        <w:rPr>
          <w:rFonts w:hint="eastAsia"/>
          <w:sz w:val="24"/>
          <w:lang w:val="en-US" w:eastAsia="zh-CN"/>
        </w:rPr>
        <w:t>十</w:t>
      </w:r>
      <w:r>
        <w:rPr>
          <w:sz w:val="24"/>
        </w:rPr>
        <w:t>：人民币</w:t>
      </w:r>
      <w:r>
        <w:rPr>
          <w:rFonts w:hint="eastAsia"/>
          <w:sz w:val="24"/>
          <w:lang w:val="en-US" w:eastAsia="zh-CN"/>
        </w:rPr>
        <w:t>104.444624</w:t>
      </w:r>
      <w:r>
        <w:rPr>
          <w:sz w:val="24"/>
        </w:rPr>
        <w:t xml:space="preserve"> 万元</w:t>
      </w:r>
      <w:r>
        <w:rPr>
          <w:rFonts w:hint="eastAsia"/>
          <w:sz w:val="24"/>
          <w:lang w:eastAsia="zh-CN"/>
        </w:rPr>
        <w:t>；</w:t>
      </w:r>
      <w:r>
        <w:rPr>
          <w:sz w:val="24"/>
        </w:rPr>
        <w:t>包</w:t>
      </w:r>
      <w:r>
        <w:rPr>
          <w:rFonts w:hint="eastAsia"/>
          <w:sz w:val="24"/>
          <w:lang w:val="en-US" w:eastAsia="zh-CN"/>
        </w:rPr>
        <w:t>十一</w:t>
      </w:r>
      <w:r>
        <w:rPr>
          <w:sz w:val="24"/>
        </w:rPr>
        <w:t>：人</w:t>
      </w:r>
      <w:r>
        <w:rPr>
          <w:rFonts w:hint="eastAsia"/>
          <w:sz w:val="24"/>
          <w:lang w:val="en-US" w:eastAsia="zh-CN"/>
        </w:rPr>
        <w:t>民币 41.1295万元；包十二：人民币 54.11899 万元；包十三：人民币58.35183 万元；包十四：人民币 54.56553万元；包十五：人民币60.88365万元；包十六：人民币 121.693 万元；</w:t>
      </w:r>
      <w:r>
        <w:rPr>
          <w:sz w:val="24"/>
        </w:rPr>
        <w:t>包</w:t>
      </w:r>
      <w:r>
        <w:rPr>
          <w:rFonts w:hint="eastAsia"/>
          <w:sz w:val="24"/>
          <w:lang w:val="en-US" w:eastAsia="zh-CN"/>
        </w:rPr>
        <w:t>十</w:t>
      </w:r>
      <w:r>
        <w:rPr>
          <w:sz w:val="24"/>
        </w:rPr>
        <w:t>七：人民币</w:t>
      </w:r>
      <w:r>
        <w:rPr>
          <w:spacing w:val="-60"/>
          <w:sz w:val="24"/>
        </w:rPr>
        <w:t xml:space="preserve"> </w:t>
      </w:r>
      <w:r>
        <w:rPr>
          <w:rFonts w:hint="eastAsia"/>
          <w:sz w:val="24"/>
          <w:lang w:val="en-US" w:eastAsia="zh-CN"/>
        </w:rPr>
        <w:t>133.607</w:t>
      </w:r>
      <w:r>
        <w:rPr>
          <w:sz w:val="24"/>
        </w:rPr>
        <w:t>万元</w:t>
      </w:r>
      <w:r>
        <w:rPr>
          <w:rFonts w:hint="eastAsia"/>
          <w:sz w:val="24"/>
          <w:lang w:eastAsia="zh-CN"/>
        </w:rPr>
        <w:t>；</w:t>
      </w:r>
      <w:r>
        <w:rPr>
          <w:sz w:val="24"/>
        </w:rPr>
        <w:t>包</w:t>
      </w:r>
      <w:r>
        <w:rPr>
          <w:rFonts w:hint="eastAsia"/>
          <w:sz w:val="24"/>
          <w:lang w:val="en-US" w:eastAsia="zh-CN"/>
        </w:rPr>
        <w:t>十八：人民币202.04万元；</w:t>
      </w:r>
      <w:r>
        <w:rPr>
          <w:sz w:val="24"/>
        </w:rPr>
        <w:t>包</w:t>
      </w:r>
      <w:r>
        <w:rPr>
          <w:rFonts w:hint="eastAsia"/>
          <w:sz w:val="24"/>
          <w:lang w:val="en-US" w:eastAsia="zh-CN"/>
        </w:rPr>
        <w:t>十</w:t>
      </w:r>
      <w:r>
        <w:rPr>
          <w:sz w:val="24"/>
        </w:rPr>
        <w:t>九：人民币</w:t>
      </w:r>
      <w:r>
        <w:rPr>
          <w:rFonts w:hint="eastAsia"/>
          <w:sz w:val="24"/>
          <w:lang w:val="en-US" w:eastAsia="zh-CN"/>
        </w:rPr>
        <w:t>82.2416</w:t>
      </w:r>
      <w:r>
        <w:rPr>
          <w:sz w:val="24"/>
        </w:rPr>
        <w:t>万元</w:t>
      </w:r>
      <w:r>
        <w:rPr>
          <w:rFonts w:hint="eastAsia"/>
          <w:sz w:val="24"/>
          <w:lang w:val="en-US" w:eastAsia="zh-CN"/>
        </w:rPr>
        <w:t>；</w:t>
      </w:r>
      <w:r>
        <w:rPr>
          <w:sz w:val="24"/>
        </w:rPr>
        <w:t>包</w:t>
      </w:r>
      <w:r>
        <w:rPr>
          <w:rFonts w:hint="eastAsia"/>
          <w:sz w:val="24"/>
          <w:lang w:val="en-US" w:eastAsia="zh-CN"/>
        </w:rPr>
        <w:t>二十</w:t>
      </w:r>
      <w:r>
        <w:rPr>
          <w:sz w:val="24"/>
        </w:rPr>
        <w:t>：人民币</w:t>
      </w:r>
      <w:r>
        <w:rPr>
          <w:spacing w:val="-60"/>
          <w:sz w:val="24"/>
        </w:rPr>
        <w:t xml:space="preserve"> </w:t>
      </w:r>
      <w:r>
        <w:rPr>
          <w:rFonts w:hint="eastAsia"/>
          <w:sz w:val="24"/>
          <w:lang w:val="en-US" w:eastAsia="zh-CN"/>
        </w:rPr>
        <w:t>53.3092</w:t>
      </w:r>
      <w:r>
        <w:rPr>
          <w:sz w:val="24"/>
        </w:rPr>
        <w:t>万元</w:t>
      </w:r>
      <w:r>
        <w:rPr>
          <w:rFonts w:hint="eastAsia"/>
          <w:sz w:val="24"/>
          <w:lang w:eastAsia="zh-CN"/>
        </w:rPr>
        <w:t>；</w:t>
      </w:r>
      <w:r>
        <w:rPr>
          <w:sz w:val="24"/>
        </w:rPr>
        <w:t>包</w:t>
      </w:r>
      <w:r>
        <w:rPr>
          <w:rFonts w:hint="eastAsia"/>
          <w:sz w:val="24"/>
          <w:lang w:val="en-US" w:eastAsia="zh-CN"/>
        </w:rPr>
        <w:t>二十</w:t>
      </w:r>
      <w:r>
        <w:rPr>
          <w:sz w:val="24"/>
        </w:rPr>
        <w:t>一：人民币</w:t>
      </w:r>
      <w:r>
        <w:rPr>
          <w:spacing w:val="-60"/>
          <w:sz w:val="24"/>
        </w:rPr>
        <w:t xml:space="preserve"> </w:t>
      </w:r>
      <w:r>
        <w:rPr>
          <w:rFonts w:hint="eastAsia"/>
          <w:sz w:val="24"/>
          <w:lang w:val="en-US" w:eastAsia="zh-CN"/>
        </w:rPr>
        <w:t>77.7885</w:t>
      </w:r>
      <w:r>
        <w:rPr>
          <w:spacing w:val="-60"/>
          <w:sz w:val="24"/>
        </w:rPr>
        <w:t xml:space="preserve"> </w:t>
      </w:r>
      <w:r>
        <w:rPr>
          <w:sz w:val="24"/>
        </w:rPr>
        <w:t>万元</w:t>
      </w:r>
      <w:r>
        <w:rPr>
          <w:rFonts w:hint="eastAsia"/>
          <w:sz w:val="24"/>
          <w:lang w:eastAsia="zh-CN"/>
        </w:rPr>
        <w:t>；</w:t>
      </w:r>
      <w:r>
        <w:rPr>
          <w:sz w:val="24"/>
        </w:rPr>
        <w:t>包二</w:t>
      </w:r>
      <w:r>
        <w:rPr>
          <w:rFonts w:hint="eastAsia"/>
          <w:sz w:val="24"/>
          <w:lang w:val="en-US" w:eastAsia="zh-CN"/>
        </w:rPr>
        <w:t>十二</w:t>
      </w:r>
      <w:r>
        <w:rPr>
          <w:sz w:val="24"/>
        </w:rPr>
        <w:t>：人民币</w:t>
      </w:r>
      <w:r>
        <w:rPr>
          <w:spacing w:val="-60"/>
          <w:sz w:val="24"/>
        </w:rPr>
        <w:t xml:space="preserve"> </w:t>
      </w:r>
      <w:r>
        <w:rPr>
          <w:rFonts w:hint="eastAsia"/>
          <w:sz w:val="24"/>
          <w:lang w:val="en-US" w:eastAsia="zh-CN"/>
        </w:rPr>
        <w:t>74.626</w:t>
      </w:r>
      <w:r>
        <w:rPr>
          <w:sz w:val="24"/>
        </w:rPr>
        <w:t>万元</w:t>
      </w:r>
      <w:r>
        <w:rPr>
          <w:rFonts w:hint="eastAsia"/>
          <w:sz w:val="24"/>
          <w:lang w:eastAsia="zh-CN"/>
        </w:rPr>
        <w:t>；</w:t>
      </w:r>
      <w:r>
        <w:rPr>
          <w:sz w:val="24"/>
        </w:rPr>
        <w:t>包</w:t>
      </w:r>
      <w:r>
        <w:rPr>
          <w:rFonts w:hint="eastAsia"/>
          <w:sz w:val="24"/>
          <w:lang w:val="en-US" w:eastAsia="zh-CN"/>
        </w:rPr>
        <w:t>二十</w:t>
      </w:r>
      <w:r>
        <w:rPr>
          <w:sz w:val="24"/>
        </w:rPr>
        <w:t>三：人民币</w:t>
      </w:r>
      <w:r>
        <w:rPr>
          <w:rFonts w:hint="eastAsia"/>
          <w:sz w:val="24"/>
          <w:lang w:val="en-US" w:eastAsia="zh-CN"/>
        </w:rPr>
        <w:t>53.9246</w:t>
      </w:r>
      <w:r>
        <w:rPr>
          <w:sz w:val="24"/>
        </w:rPr>
        <w:t>万元</w:t>
      </w:r>
      <w:r>
        <w:rPr>
          <w:rFonts w:hint="eastAsia"/>
          <w:sz w:val="24"/>
          <w:lang w:eastAsia="zh-CN"/>
        </w:rPr>
        <w:t>；</w:t>
      </w:r>
      <w:r>
        <w:rPr>
          <w:sz w:val="24"/>
        </w:rPr>
        <w:t>包</w:t>
      </w:r>
      <w:r>
        <w:rPr>
          <w:rFonts w:hint="eastAsia"/>
          <w:sz w:val="24"/>
          <w:lang w:val="en-US" w:eastAsia="zh-CN"/>
        </w:rPr>
        <w:t>二十</w:t>
      </w:r>
      <w:r>
        <w:rPr>
          <w:sz w:val="24"/>
        </w:rPr>
        <w:t xml:space="preserve">四：人民币 </w:t>
      </w:r>
      <w:r>
        <w:rPr>
          <w:rFonts w:hint="eastAsia"/>
          <w:sz w:val="24"/>
          <w:lang w:val="en-US" w:eastAsia="zh-CN"/>
        </w:rPr>
        <w:t>43.5965</w:t>
      </w:r>
      <w:r>
        <w:rPr>
          <w:sz w:val="24"/>
        </w:rPr>
        <w:t>万元</w:t>
      </w:r>
      <w:r>
        <w:rPr>
          <w:rFonts w:hint="eastAsia"/>
          <w:sz w:val="24"/>
          <w:lang w:eastAsia="zh-CN"/>
        </w:rPr>
        <w:t>；</w:t>
      </w:r>
      <w:r>
        <w:rPr>
          <w:sz w:val="24"/>
        </w:rPr>
        <w:t>包</w:t>
      </w:r>
      <w:r>
        <w:rPr>
          <w:rFonts w:hint="eastAsia"/>
          <w:sz w:val="24"/>
          <w:lang w:val="en-US" w:eastAsia="zh-CN"/>
        </w:rPr>
        <w:t>二十</w:t>
      </w:r>
      <w:r>
        <w:rPr>
          <w:sz w:val="24"/>
        </w:rPr>
        <w:t>五：人民币</w:t>
      </w:r>
      <w:r>
        <w:rPr>
          <w:rFonts w:hint="eastAsia"/>
          <w:sz w:val="24"/>
          <w:lang w:val="en-US" w:eastAsia="zh-CN"/>
        </w:rPr>
        <w:t>52.7897</w:t>
      </w:r>
      <w:r>
        <w:rPr>
          <w:sz w:val="24"/>
        </w:rPr>
        <w:t xml:space="preserve"> 万元</w:t>
      </w:r>
      <w:r>
        <w:rPr>
          <w:rFonts w:hint="eastAsia"/>
          <w:sz w:val="24"/>
          <w:lang w:eastAsia="zh-CN"/>
        </w:rPr>
        <w:t>；</w:t>
      </w:r>
      <w:r>
        <w:rPr>
          <w:sz w:val="24"/>
        </w:rPr>
        <w:t>包</w:t>
      </w:r>
      <w:r>
        <w:rPr>
          <w:rFonts w:hint="eastAsia"/>
          <w:sz w:val="24"/>
          <w:lang w:val="en-US" w:eastAsia="zh-CN"/>
        </w:rPr>
        <w:t>二十</w:t>
      </w:r>
      <w:r>
        <w:rPr>
          <w:sz w:val="24"/>
        </w:rPr>
        <w:t>六：人民币</w:t>
      </w:r>
      <w:r>
        <w:rPr>
          <w:rFonts w:hint="eastAsia"/>
          <w:sz w:val="24"/>
          <w:lang w:val="en-US" w:eastAsia="zh-CN"/>
        </w:rPr>
        <w:t>74.5538</w:t>
      </w:r>
      <w:r>
        <w:rPr>
          <w:sz w:val="24"/>
        </w:rPr>
        <w:t>万元</w:t>
      </w:r>
      <w:r>
        <w:rPr>
          <w:rFonts w:hint="eastAsia" w:ascii="仿宋" w:hAnsi="仿宋" w:eastAsia="仿宋" w:cs="仿宋"/>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最高限价（如有）：/</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rPr>
      </w:pPr>
      <w:r>
        <w:rPr>
          <w:rFonts w:hint="eastAsia" w:ascii="仿宋" w:hAnsi="仿宋" w:eastAsia="仿宋" w:cs="仿宋"/>
          <w:b/>
          <w:bCs/>
          <w:highlight w:val="none"/>
        </w:rPr>
        <w:t>标项一</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大通县2021年祁连山生态保护和修复项目包一</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1536亩</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131.009895</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标项二</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1219亩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86.371457</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标项三</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三</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eastAsia"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1052亩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117.760414</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标项四</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四</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1257亩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101.987923</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标项五</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五</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1330亩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100.557872</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标项六</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六</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589亩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109.504058</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r>
        <w:rPr>
          <w:rFonts w:hint="eastAsia" w:ascii="仿宋" w:hAnsi="仿宋" w:eastAsia="仿宋" w:cs="仿宋"/>
          <w:b/>
          <w:bCs/>
          <w:highlight w:val="none"/>
        </w:rPr>
        <w:t>标项七</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七</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725亩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133.949071</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r>
        <w:rPr>
          <w:rFonts w:hint="eastAsia" w:ascii="仿宋" w:hAnsi="仿宋" w:eastAsia="仿宋" w:cs="仿宋"/>
          <w:b/>
          <w:bCs/>
          <w:highlight w:val="none"/>
        </w:rPr>
        <w:t>标项八</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八</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733亩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85.9415</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标项九</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九</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1847亩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130.7614</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标项十</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562亩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104.444624</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人工造</w:t>
      </w:r>
      <w:bookmarkStart w:id="177" w:name="_GoBack"/>
      <w:bookmarkEnd w:id="177"/>
      <w:r>
        <w:rPr>
          <w:rFonts w:hint="eastAsia" w:ascii="仿宋" w:hAnsi="仿宋" w:eastAsia="仿宋" w:cs="仿宋"/>
          <w:highlight w:val="none"/>
          <w:lang w:val="en-US" w:eastAsia="zh-CN"/>
        </w:rPr>
        <w:t>林及网围栏运输安装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b/>
          <w:bCs/>
          <w:highlight w:val="none"/>
        </w:rPr>
      </w:pPr>
      <w:r>
        <w:rPr>
          <w:rFonts w:hint="eastAsia" w:ascii="仿宋" w:hAnsi="仿宋" w:eastAsia="仿宋" w:cs="仿宋"/>
          <w:b/>
          <w:bCs/>
          <w:highlight w:val="none"/>
        </w:rPr>
        <w:t>标项十一</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十一</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34203米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41.1295</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lang w:eastAsia="zh-CN"/>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网围栏采购</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rPr>
      </w:pPr>
      <w:r>
        <w:rPr>
          <w:rFonts w:hint="eastAsia" w:ascii="仿宋" w:hAnsi="仿宋" w:eastAsia="仿宋" w:cs="仿宋"/>
          <w:b/>
          <w:bCs/>
          <w:highlight w:val="none"/>
        </w:rPr>
        <w:t>标项十</w:t>
      </w:r>
      <w:r>
        <w:rPr>
          <w:rFonts w:hint="eastAsia" w:ascii="仿宋" w:hAnsi="仿宋" w:eastAsia="仿宋" w:cs="仿宋"/>
          <w:b/>
          <w:bCs/>
          <w:highlight w:val="none"/>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十二</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1000亩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54.11899</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lang w:eastAsia="zh-CN"/>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退化林修复</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b/>
          <w:bCs/>
          <w:highlight w:val="none"/>
        </w:rPr>
        <w:t>标项十</w:t>
      </w:r>
      <w:r>
        <w:rPr>
          <w:rFonts w:hint="eastAsia" w:ascii="仿宋" w:hAnsi="仿宋" w:eastAsia="仿宋" w:cs="仿宋"/>
          <w:b/>
          <w:bCs/>
          <w:highlight w:val="none"/>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十三</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960亩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58.35183</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lang w:eastAsia="zh-CN"/>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退化林修复</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b/>
          <w:bCs/>
          <w:highlight w:val="none"/>
        </w:rPr>
        <w:t>标项十</w:t>
      </w:r>
      <w:r>
        <w:rPr>
          <w:rFonts w:hint="eastAsia" w:ascii="仿宋" w:hAnsi="仿宋" w:eastAsia="仿宋" w:cs="仿宋"/>
          <w:b/>
          <w:bCs/>
          <w:highlight w:val="none"/>
          <w:lang w:val="en-US" w:eastAsia="zh-CN"/>
        </w:rPr>
        <w:t>四</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十四</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1000亩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54.56553</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退化林修复</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ascii="仿宋" w:hAnsi="仿宋" w:eastAsia="仿宋" w:cs="仿宋"/>
          <w:b/>
          <w:bCs/>
          <w:highlight w:val="none"/>
        </w:rPr>
        <w:t>标项十</w:t>
      </w:r>
      <w:r>
        <w:rPr>
          <w:rFonts w:hint="eastAsia" w:ascii="仿宋" w:hAnsi="仿宋" w:eastAsia="仿宋" w:cs="仿宋"/>
          <w:b/>
          <w:bCs/>
          <w:highlight w:val="none"/>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十五</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1040亩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60.88365</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退化林修复</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标项十六</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十六</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715亩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121.693</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封山育林(苗木栽植）</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标项十七</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十七</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785亩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133.607</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封山育林(苗木栽植）</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标项十八</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十八</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eastAsia"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114706米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202.04</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封山育林（网围栏采购及安装),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标项十九</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十九</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9622亩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82.2416</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草地改良施工及有机肥采购</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lang w:val="zh-CN"/>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6237亩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53.3092</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草地改良施工及有机肥采购</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标项二十一</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二十一</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9101亩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77.7885</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草地改良施工及有机肥采购</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标项二十二</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二十二</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8731亩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74.626</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草地改良施工及有机肥采购</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标项二十三</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二十三</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6309亩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53.9246</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草地改良施工及有机肥采购</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标项二十四</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二十四</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25504米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43.5965</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草原网围栏采购及安装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标项二十五</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二十五</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rPr>
      </w:pPr>
      <w:r>
        <w:rPr>
          <w:rFonts w:hint="eastAsia" w:ascii="仿宋" w:hAnsi="仿宋" w:eastAsia="仿宋" w:cs="仿宋"/>
          <w:highlight w:val="none"/>
        </w:rPr>
        <w:t>数量：</w:t>
      </w:r>
      <w:r>
        <w:rPr>
          <w:rFonts w:hint="eastAsia" w:ascii="仿宋" w:hAnsi="仿宋" w:eastAsia="仿宋" w:cs="仿宋"/>
          <w:highlight w:val="none"/>
          <w:lang w:val="en-US" w:eastAsia="zh-CN"/>
        </w:rPr>
        <w:t>30882米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52.7897</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left="480" w:left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草原网围栏采购及安装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highlight w:val="none"/>
        </w:rPr>
      </w:pPr>
      <w:r>
        <w:rPr>
          <w:rFonts w:hint="eastAsia" w:ascii="仿宋" w:hAnsi="仿宋" w:eastAsia="仿宋" w:cs="仿宋"/>
          <w:b/>
          <w:bCs/>
          <w:highlight w:val="none"/>
        </w:rPr>
        <w:t>标项二十六</w:t>
      </w:r>
    </w:p>
    <w:p>
      <w:pPr>
        <w:keepNext w:val="0"/>
        <w:keepLines w:val="0"/>
        <w:pageBreakBefore w:val="0"/>
        <w:widowControl w:val="0"/>
        <w:kinsoku/>
        <w:wordWrap/>
        <w:overflowPunct/>
        <w:topLinePunct w:val="0"/>
        <w:autoSpaceDE/>
        <w:autoSpaceDN/>
        <w:bidi w:val="0"/>
        <w:adjustRightInd/>
        <w:snapToGrid/>
        <w:spacing w:line="360" w:lineRule="auto"/>
        <w:ind w:left="480" w:leftChars="100" w:hanging="240" w:hangingChars="100"/>
        <w:textAlignment w:val="auto"/>
        <w:rPr>
          <w:rFonts w:hint="eastAsia" w:ascii="仿宋" w:hAnsi="仿宋" w:eastAsia="仿宋" w:cs="仿宋"/>
          <w:color w:val="000000"/>
          <w:kern w:val="0"/>
          <w:highlight w:val="none"/>
          <w:u w:val="single"/>
        </w:rPr>
      </w:pPr>
      <w:r>
        <w:rPr>
          <w:rFonts w:hint="eastAsia" w:ascii="仿宋" w:hAnsi="仿宋" w:eastAsia="仿宋" w:cs="仿宋"/>
          <w:highlight w:val="none"/>
        </w:rPr>
        <w:t xml:space="preserve">  标项名称:</w:t>
      </w:r>
      <w:r>
        <w:rPr>
          <w:rFonts w:hint="eastAsia" w:ascii="仿宋" w:hAnsi="仿宋" w:eastAsia="仿宋" w:cs="仿宋"/>
          <w:color w:val="000000"/>
          <w:kern w:val="0"/>
          <w:highlight w:val="none"/>
          <w:lang w:val="zh-CN"/>
        </w:rPr>
        <w:t>大通县2021年祁连山生态保护和修复项目包</w:t>
      </w:r>
      <w:r>
        <w:rPr>
          <w:rFonts w:hint="eastAsia" w:ascii="仿宋" w:hAnsi="仿宋" w:eastAsia="仿宋" w:cs="仿宋"/>
          <w:color w:val="000000"/>
          <w:kern w:val="0"/>
          <w:highlight w:val="none"/>
        </w:rPr>
        <w:t>二十六</w:t>
      </w:r>
    </w:p>
    <w:p>
      <w:pPr>
        <w:keepNext w:val="0"/>
        <w:keepLines w:val="0"/>
        <w:pageBreakBefore w:val="0"/>
        <w:widowControl w:val="0"/>
        <w:kinsoku/>
        <w:wordWrap/>
        <w:overflowPunct/>
        <w:topLinePunct w:val="0"/>
        <w:autoSpaceDE/>
        <w:autoSpaceDN/>
        <w:bidi w:val="0"/>
        <w:adjustRightInd/>
        <w:snapToGrid/>
        <w:spacing w:line="360" w:lineRule="auto"/>
        <w:ind w:left="449" w:leftChars="187"/>
        <w:textAlignment w:val="auto"/>
        <w:rPr>
          <w:rFonts w:hint="default" w:ascii="仿宋" w:hAnsi="仿宋" w:eastAsia="仿宋" w:cs="仿宋"/>
          <w:highlight w:val="none"/>
          <w:lang w:val="en-US" w:eastAsia="zh-CN"/>
        </w:rPr>
      </w:pPr>
      <w:r>
        <w:rPr>
          <w:rFonts w:hint="eastAsia" w:ascii="仿宋" w:hAnsi="仿宋" w:eastAsia="仿宋" w:cs="仿宋"/>
          <w:highlight w:val="none"/>
        </w:rPr>
        <w:t>数量：</w:t>
      </w:r>
      <w:r>
        <w:rPr>
          <w:rFonts w:hint="eastAsia" w:ascii="仿宋" w:hAnsi="仿宋" w:eastAsia="仿宋" w:cs="仿宋"/>
          <w:highlight w:val="none"/>
          <w:lang w:val="en-US" w:eastAsia="zh-CN"/>
        </w:rPr>
        <w:t>43614米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74.5538</w:t>
      </w:r>
      <w:r>
        <w:rPr>
          <w:rFonts w:hint="eastAsia" w:ascii="仿宋" w:hAnsi="仿宋" w:eastAsia="仿宋" w:cs="仿宋"/>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简要规格描述：</w:t>
      </w:r>
      <w:r>
        <w:rPr>
          <w:rFonts w:hint="eastAsia" w:ascii="仿宋" w:hAnsi="仿宋" w:eastAsia="仿宋" w:cs="仿宋"/>
          <w:highlight w:val="none"/>
          <w:lang w:val="en-US" w:eastAsia="zh-CN"/>
        </w:rPr>
        <w:t>草原网围栏采购及安装</w:t>
      </w:r>
      <w:r>
        <w:rPr>
          <w:rFonts w:hint="eastAsia" w:ascii="仿宋" w:hAnsi="仿宋" w:eastAsia="仿宋" w:cs="仿宋"/>
          <w:highlight w:val="none"/>
        </w:rPr>
        <w:t>，具体内容详见《招标文件》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highlight w:val="none"/>
          <w:lang w:val="en-US" w:eastAsia="zh-CN"/>
        </w:rPr>
      </w:pPr>
      <w:r>
        <w:rPr>
          <w:rFonts w:hint="eastAsia" w:ascii="仿宋" w:hAnsi="仿宋" w:eastAsia="仿宋" w:cs="仿宋"/>
          <w:b/>
          <w:bCs/>
          <w:highlight w:val="none"/>
        </w:rPr>
        <w:t>合同履行期限：</w:t>
      </w:r>
      <w:r>
        <w:rPr>
          <w:rFonts w:hint="eastAsia" w:ascii="仿宋" w:hAnsi="仿宋" w:eastAsia="仿宋" w:cs="仿宋"/>
          <w:b/>
          <w:bCs/>
          <w:highlight w:val="none"/>
          <w:lang w:val="en-US" w:eastAsia="zh-CN"/>
        </w:rPr>
        <w:t>按合同约定执行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bookmarkStart w:id="11" w:name="_Toc35393791"/>
      <w:bookmarkStart w:id="12" w:name="_Toc28359003"/>
      <w:bookmarkStart w:id="13" w:name="_Toc35393622"/>
      <w:bookmarkStart w:id="14" w:name="_Toc28359080"/>
      <w:r>
        <w:rPr>
          <w:rFonts w:hint="eastAsia" w:ascii="仿宋" w:hAnsi="仿宋" w:eastAsia="仿宋" w:cs="仿宋"/>
          <w:highlight w:val="none"/>
        </w:rPr>
        <w:t>二、申请人的资格要求：</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bookmarkStart w:id="15" w:name="_Toc28359081"/>
      <w:bookmarkStart w:id="16" w:name="_Toc28359004"/>
      <w:r>
        <w:rPr>
          <w:rFonts w:hint="eastAsia" w:ascii="仿宋" w:hAnsi="仿宋" w:eastAsia="仿宋" w:cs="仿宋"/>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3.本项目的特定资格要求：</w:t>
      </w:r>
      <w:bookmarkStart w:id="17" w:name="_Toc35393623"/>
      <w:bookmarkStart w:id="18" w:name="_Toc3539379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rPr>
        <w:t>（1）本次采购要求</w:t>
      </w:r>
      <w:r>
        <w:rPr>
          <w:rFonts w:hint="eastAsia" w:ascii="仿宋" w:hAnsi="仿宋" w:eastAsia="仿宋" w:cs="仿宋"/>
          <w:b/>
          <w:bCs/>
          <w:color w:val="auto"/>
          <w:highlight w:val="none"/>
          <w:lang w:val="en-US" w:eastAsia="zh-CN"/>
        </w:rPr>
        <w:t>包一至包十和包十二至包十七投标人</w:t>
      </w:r>
      <w:r>
        <w:rPr>
          <w:rFonts w:hint="eastAsia" w:ascii="仿宋" w:hAnsi="仿宋" w:eastAsia="仿宋" w:cs="仿宋"/>
          <w:color w:val="auto"/>
          <w:highlight w:val="none"/>
          <w:lang w:val="en-US" w:eastAsia="zh-CN"/>
        </w:rPr>
        <w:t>须提供投标人需具备有效的</w:t>
      </w:r>
      <w:r>
        <w:rPr>
          <w:rFonts w:hint="eastAsia" w:ascii="仿宋" w:hAnsi="仿宋" w:eastAsia="仿宋" w:cs="仿宋"/>
          <w:color w:val="auto"/>
          <w:highlight w:val="none"/>
        </w:rPr>
        <w:t>《林木种子生产经营许可证》</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林木种子生产许可证》</w:t>
      </w:r>
      <w:r>
        <w:rPr>
          <w:rFonts w:hint="eastAsia" w:ascii="仿宋" w:hAnsi="仿宋" w:eastAsia="仿宋" w:cs="仿宋"/>
          <w:color w:val="auto"/>
          <w:highlight w:val="none"/>
          <w:lang w:val="en-US" w:eastAsia="zh-CN"/>
        </w:rPr>
        <w:t>或《</w:t>
      </w:r>
      <w:r>
        <w:rPr>
          <w:rFonts w:hint="eastAsia" w:ascii="仿宋" w:hAnsi="仿宋" w:eastAsia="仿宋" w:cs="仿宋"/>
          <w:color w:val="auto"/>
          <w:highlight w:val="none"/>
        </w:rPr>
        <w:t>林木种子</w:t>
      </w:r>
      <w:r>
        <w:rPr>
          <w:rFonts w:hint="eastAsia" w:ascii="仿宋" w:hAnsi="仿宋" w:eastAsia="仿宋" w:cs="仿宋"/>
          <w:color w:val="auto"/>
          <w:highlight w:val="none"/>
          <w:lang w:val="en-US" w:eastAsia="zh-CN"/>
        </w:rPr>
        <w:t>经营</w:t>
      </w:r>
      <w:r>
        <w:rPr>
          <w:rFonts w:hint="eastAsia" w:ascii="仿宋" w:hAnsi="仿宋" w:eastAsia="仿宋" w:cs="仿宋"/>
          <w:color w:val="auto"/>
          <w:highlight w:val="none"/>
        </w:rPr>
        <w:t>许可证》</w:t>
      </w:r>
      <w:r>
        <w:rPr>
          <w:rFonts w:hint="eastAsia" w:ascii="仿宋" w:hAnsi="仿宋" w:eastAsia="仿宋" w:cs="仿宋"/>
          <w:color w:val="auto"/>
          <w:highlight w:val="none"/>
          <w:lang w:val="en-US" w:eastAsia="zh-CN"/>
        </w:rPr>
        <w:t>及苗木产地检疫证，</w:t>
      </w:r>
      <w:r>
        <w:rPr>
          <w:rFonts w:hint="eastAsia" w:ascii="仿宋" w:hAnsi="仿宋" w:eastAsia="仿宋" w:cs="仿宋"/>
          <w:color w:val="auto"/>
          <w:highlight w:val="none"/>
        </w:rPr>
        <w:t>并在人员、设备、资金等方</w:t>
      </w:r>
      <w:r>
        <w:rPr>
          <w:rFonts w:hint="eastAsia" w:ascii="仿宋" w:hAnsi="仿宋" w:eastAsia="仿宋" w:cs="仿宋"/>
          <w:color w:val="auto"/>
          <w:highlight w:val="none"/>
          <w:lang w:val="en-US" w:eastAsia="zh-CN"/>
        </w:rPr>
        <w:t>面具备相应的能力。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包十一、包十八、包二十四、包二十五、包二十六投标人</w:t>
      </w:r>
      <w:r>
        <w:rPr>
          <w:rFonts w:hint="eastAsia" w:ascii="仿宋" w:hAnsi="仿宋" w:eastAsia="仿宋" w:cs="仿宋"/>
          <w:color w:val="auto"/>
          <w:highlight w:val="none"/>
          <w:lang w:val="en-US" w:eastAsia="zh-CN"/>
        </w:rPr>
        <w:t>须提供有效的网围栏检测报告，针对本项目具有相应的供货能力。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rPr>
      </w:pPr>
      <w:r>
        <w:rPr>
          <w:rFonts w:hint="eastAsia" w:ascii="仿宋" w:hAnsi="仿宋" w:eastAsia="仿宋" w:cs="仿宋"/>
          <w:b/>
          <w:bCs/>
          <w:color w:val="auto"/>
          <w:highlight w:val="none"/>
          <w:lang w:val="en-US" w:eastAsia="zh-CN"/>
        </w:rPr>
        <w:t>包十九至包二十三的投标人</w:t>
      </w:r>
      <w:r>
        <w:rPr>
          <w:rFonts w:hint="eastAsia" w:ascii="仿宋" w:hAnsi="仿宋" w:eastAsia="仿宋" w:cs="仿宋"/>
          <w:color w:val="auto"/>
          <w:highlight w:val="none"/>
          <w:lang w:val="en-US" w:eastAsia="zh-CN"/>
        </w:rPr>
        <w:t>需具备有效的《草种生产（或经营）许可证》</w:t>
      </w:r>
      <w:r>
        <w:rPr>
          <w:rFonts w:hint="eastAsia" w:ascii="仿宋" w:hAnsi="仿宋" w:eastAsia="仿宋" w:cs="仿宋"/>
          <w:color w:val="auto"/>
          <w:highlight w:val="none"/>
          <w:lang w:val="zh-CN" w:eastAsia="zh-CN"/>
        </w:rPr>
        <w:t>及国家法定检测机构出具的种子检验报告，</w:t>
      </w:r>
      <w:r>
        <w:rPr>
          <w:rFonts w:hint="eastAsia" w:ascii="仿宋" w:hAnsi="仿宋" w:eastAsia="仿宋" w:cs="仿宋"/>
          <w:color w:val="auto"/>
          <w:highlight w:val="none"/>
          <w:lang w:val="en-US" w:eastAsia="zh-CN"/>
        </w:rPr>
        <w:t>同时提供所投有机肥生产厂家有效的《肥料登记证》；</w:t>
      </w:r>
      <w:r>
        <w:rPr>
          <w:rFonts w:hint="eastAsia" w:ascii="仿宋" w:hAnsi="仿宋" w:eastAsia="仿宋" w:cs="仿宋"/>
          <w:color w:val="auto"/>
        </w:rPr>
        <w:t>并在人员、资金、设备等方面具备相应的能力；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color w:val="auto"/>
        </w:rPr>
        <w:t>（2）经信用中国（www.creditchina.gov.cn）、中国政府采购</w:t>
      </w:r>
      <w:r>
        <w:rPr>
          <w:rFonts w:hint="eastAsia" w:ascii="仿宋" w:hAnsi="仿宋" w:eastAsia="仿宋" w:cs="仿宋"/>
        </w:rPr>
        <w:t xml:space="preserve">网（www.ccgp.gov.cn）等渠道查询后，列入失信被执行人、重大税收违法案件当事人名单、政府采购严重违法失信行为记录名单的，取消投标资格。（提供“信用中国”网站下载的完整的信用信息，信息生成时间和截图时间为投标文件递交截止时间前20天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rPr>
        <w:t>（3）单位负责人为同一人或者存在直接控股、管理关系的不同投标人，不得参加同一合同项下的政府采购活动。否则，皆取消投标资格；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rPr>
        <w:t>（4）为本采购项目提供整体设计、规范编制或者项目管理、监理、检测等服务的投标人，不得再参加该采购项目的其他采购活动。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rPr>
      </w:pPr>
      <w:r>
        <w:rPr>
          <w:rFonts w:hint="eastAsia" w:ascii="仿宋" w:hAnsi="仿宋" w:eastAsia="仿宋" w:cs="仿宋"/>
        </w:rPr>
        <w:t>三、获取招标文件</w:t>
      </w:r>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u w:val="single"/>
        </w:rPr>
      </w:pPr>
      <w:r>
        <w:rPr>
          <w:rFonts w:hint="eastAsia" w:ascii="仿宋" w:hAnsi="仿宋" w:eastAsia="仿宋" w:cs="仿宋"/>
          <w:u w:val="single"/>
        </w:rPr>
        <w:t>时间：202</w:t>
      </w:r>
      <w:r>
        <w:rPr>
          <w:rFonts w:hint="eastAsia" w:ascii="仿宋" w:hAnsi="仿宋" w:eastAsia="仿宋" w:cs="仿宋"/>
          <w:u w:val="single"/>
          <w:lang w:val="en-US" w:eastAsia="zh-CN"/>
        </w:rPr>
        <w:t>2</w:t>
      </w:r>
      <w:r>
        <w:rPr>
          <w:rFonts w:hint="eastAsia" w:ascii="仿宋" w:hAnsi="仿宋" w:eastAsia="仿宋" w:cs="仿宋"/>
          <w:u w:val="single"/>
        </w:rPr>
        <w:t>年</w:t>
      </w:r>
      <w:r>
        <w:rPr>
          <w:rFonts w:hint="eastAsia" w:ascii="仿宋" w:hAnsi="仿宋" w:eastAsia="仿宋" w:cs="仿宋"/>
          <w:u w:val="single"/>
          <w:lang w:val="en-US" w:eastAsia="zh-CN"/>
        </w:rPr>
        <w:t>03</w:t>
      </w:r>
      <w:r>
        <w:rPr>
          <w:rFonts w:hint="eastAsia" w:ascii="仿宋" w:hAnsi="仿宋" w:eastAsia="仿宋" w:cs="仿宋"/>
          <w:u w:val="single"/>
        </w:rPr>
        <w:t>月</w:t>
      </w:r>
      <w:r>
        <w:rPr>
          <w:rFonts w:hint="eastAsia" w:ascii="仿宋" w:hAnsi="仿宋" w:eastAsia="仿宋" w:cs="仿宋"/>
          <w:u w:val="single"/>
          <w:lang w:val="en-US" w:eastAsia="zh-CN"/>
        </w:rPr>
        <w:t>02</w:t>
      </w:r>
      <w:r>
        <w:rPr>
          <w:rFonts w:hint="eastAsia" w:ascii="仿宋" w:hAnsi="仿宋" w:eastAsia="仿宋" w:cs="仿宋"/>
          <w:u w:val="single"/>
        </w:rPr>
        <w:t>日至202</w:t>
      </w:r>
      <w:r>
        <w:rPr>
          <w:rFonts w:hint="eastAsia" w:ascii="仿宋" w:hAnsi="仿宋" w:eastAsia="仿宋" w:cs="仿宋"/>
          <w:u w:val="single"/>
          <w:lang w:val="en-US" w:eastAsia="zh-CN"/>
        </w:rPr>
        <w:t>2</w:t>
      </w:r>
      <w:r>
        <w:rPr>
          <w:rFonts w:hint="eastAsia" w:ascii="仿宋" w:hAnsi="仿宋" w:eastAsia="仿宋" w:cs="仿宋"/>
          <w:u w:val="single"/>
        </w:rPr>
        <w:t>年</w:t>
      </w:r>
      <w:r>
        <w:rPr>
          <w:rFonts w:hint="eastAsia" w:ascii="仿宋" w:hAnsi="仿宋" w:eastAsia="仿宋" w:cs="仿宋"/>
          <w:u w:val="single"/>
          <w:lang w:val="en-US" w:eastAsia="zh-CN"/>
        </w:rPr>
        <w:t>03</w:t>
      </w:r>
      <w:r>
        <w:rPr>
          <w:rFonts w:hint="eastAsia" w:ascii="仿宋" w:hAnsi="仿宋" w:eastAsia="仿宋" w:cs="仿宋"/>
          <w:u w:val="single"/>
        </w:rPr>
        <w:t>月</w:t>
      </w:r>
      <w:r>
        <w:rPr>
          <w:rFonts w:hint="eastAsia" w:ascii="仿宋" w:hAnsi="仿宋" w:eastAsia="仿宋" w:cs="仿宋"/>
          <w:u w:val="single"/>
          <w:lang w:val="en-US" w:eastAsia="zh-CN"/>
        </w:rPr>
        <w:t>08</w:t>
      </w:r>
      <w:r>
        <w:rPr>
          <w:rFonts w:hint="eastAsia" w:ascii="仿宋" w:hAnsi="仿宋" w:eastAsia="仿宋" w:cs="仿宋"/>
          <w:u w:val="single"/>
        </w:rPr>
        <w:t>日</w:t>
      </w:r>
      <w:r>
        <w:rPr>
          <w:rFonts w:hint="eastAsia" w:ascii="仿宋" w:hAnsi="仿宋" w:eastAsia="仿宋" w:cs="仿宋"/>
          <w:u w:val="single"/>
          <w:lang w:eastAsia="zh-CN"/>
        </w:rPr>
        <w:t>（</w:t>
      </w:r>
      <w:r>
        <w:rPr>
          <w:rFonts w:hint="eastAsia" w:ascii="仿宋" w:hAnsi="仿宋" w:eastAsia="仿宋" w:cs="仿宋"/>
          <w:u w:val="single"/>
          <w:lang w:val="en-US" w:eastAsia="zh-CN"/>
        </w:rPr>
        <w:t>节假日及双休日除外</w:t>
      </w:r>
      <w:r>
        <w:rPr>
          <w:rFonts w:hint="eastAsia" w:ascii="仿宋" w:hAnsi="仿宋" w:eastAsia="仿宋" w:cs="仿宋"/>
          <w:u w:val="single"/>
          <w:lang w:eastAsia="zh-CN"/>
        </w:rPr>
        <w:t>）</w:t>
      </w:r>
      <w:r>
        <w:rPr>
          <w:rFonts w:hint="eastAsia" w:ascii="仿宋" w:hAnsi="仿宋" w:eastAsia="仿宋" w:cs="仿宋"/>
          <w:u w:val="single"/>
        </w:rPr>
        <w:t>，每天上午9:00至11:30时，下午13:30至18:00时</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default" w:ascii="仿宋" w:hAnsi="仿宋" w:eastAsia="仿宋" w:cs="仿宋"/>
          <w:u w:val="single"/>
          <w:lang w:val="en-US" w:eastAsia="zh-CN"/>
        </w:rPr>
      </w:pPr>
      <w:r>
        <w:rPr>
          <w:rFonts w:hint="eastAsia" w:ascii="仿宋" w:hAnsi="仿宋" w:eastAsia="仿宋" w:cs="仿宋"/>
        </w:rPr>
        <w:t>地点：</w:t>
      </w:r>
      <w:r>
        <w:rPr>
          <w:rFonts w:hint="eastAsia" w:ascii="仿宋" w:hAnsi="仿宋" w:eastAsia="仿宋" w:cs="仿宋"/>
          <w:lang w:val="en-US" w:eastAsia="zh-CN"/>
        </w:rPr>
        <w:t>西宁市城西区海湖新区苏商大厦A座9楼913室（德汇工程管理（北京有限公司)</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000000"/>
          <w:kern w:val="0"/>
        </w:rPr>
      </w:pPr>
      <w:r>
        <w:rPr>
          <w:rFonts w:hint="eastAsia" w:ascii="仿宋" w:hAnsi="仿宋" w:eastAsia="仿宋" w:cs="仿宋"/>
        </w:rPr>
        <w:t>方式：</w:t>
      </w:r>
      <w:r>
        <w:rPr>
          <w:rFonts w:hint="eastAsia" w:ascii="仿宋" w:hAnsi="仿宋" w:eastAsia="仿宋" w:cs="仿宋"/>
          <w:kern w:val="0"/>
          <w:lang w:val="zh-CN"/>
        </w:rPr>
        <w:t>现场购买</w:t>
      </w:r>
      <w:r>
        <w:rPr>
          <w:rFonts w:hint="eastAsia" w:ascii="仿宋" w:hAnsi="仿宋" w:eastAsia="仿宋" w:cs="仿宋"/>
          <w:color w:val="000000"/>
          <w:kern w:val="0"/>
          <w:lang w:val="zh-CN"/>
        </w:rPr>
        <w:t>【</w:t>
      </w:r>
      <w:r>
        <w:rPr>
          <w:rFonts w:hint="eastAsia" w:ascii="仿宋" w:hAnsi="仿宋" w:eastAsia="仿宋" w:cs="仿宋"/>
          <w:color w:val="000000"/>
          <w:kern w:val="0"/>
          <w:u w:val="single"/>
          <w:lang w:val="en-US" w:eastAsia="zh-CN"/>
        </w:rPr>
        <w:t>现</w:t>
      </w:r>
      <w:r>
        <w:rPr>
          <w:rFonts w:hint="eastAsia" w:ascii="仿宋" w:hAnsi="仿宋" w:eastAsia="仿宋" w:cs="仿宋"/>
          <w:kern w:val="0"/>
          <w:u w:val="single"/>
          <w:lang w:val="zh-CN"/>
        </w:rPr>
        <w:t>场购买</w:t>
      </w:r>
      <w:r>
        <w:rPr>
          <w:rFonts w:hint="eastAsia" w:ascii="仿宋" w:hAnsi="仿宋" w:eastAsia="仿宋" w:cs="仿宋"/>
          <w:kern w:val="0"/>
          <w:u w:val="single"/>
        </w:rPr>
        <w:t>招标</w:t>
      </w:r>
      <w:r>
        <w:rPr>
          <w:rFonts w:hint="eastAsia" w:ascii="仿宋" w:hAnsi="仿宋" w:eastAsia="仿宋" w:cs="仿宋"/>
          <w:kern w:val="0"/>
          <w:u w:val="single"/>
          <w:lang w:val="zh-CN"/>
        </w:rPr>
        <w:t>文件的供应商请持介绍信</w:t>
      </w:r>
      <w:r>
        <w:rPr>
          <w:rFonts w:hint="eastAsia" w:ascii="仿宋" w:hAnsi="仿宋" w:eastAsia="仿宋" w:cs="仿宋"/>
          <w:kern w:val="0"/>
          <w:u w:val="single"/>
        </w:rPr>
        <w:t>（</w:t>
      </w:r>
      <w:r>
        <w:rPr>
          <w:rFonts w:hint="eastAsia" w:ascii="仿宋" w:hAnsi="仿宋" w:eastAsia="仿宋" w:cs="仿宋"/>
          <w:kern w:val="0"/>
          <w:u w:val="single"/>
          <w:lang w:val="zh-CN"/>
        </w:rPr>
        <w:t>或授权委托书</w:t>
      </w:r>
      <w:r>
        <w:rPr>
          <w:rFonts w:hint="eastAsia" w:ascii="仿宋" w:hAnsi="仿宋" w:eastAsia="仿宋" w:cs="仿宋"/>
          <w:kern w:val="0"/>
          <w:u w:val="single"/>
        </w:rPr>
        <w:t>）</w:t>
      </w:r>
      <w:r>
        <w:rPr>
          <w:rFonts w:hint="eastAsia" w:ascii="仿宋" w:hAnsi="仿宋" w:eastAsia="仿宋" w:cs="仿宋"/>
          <w:kern w:val="0"/>
          <w:u w:val="single"/>
          <w:lang w:val="zh-CN"/>
        </w:rPr>
        <w:t>原件、</w:t>
      </w:r>
      <w:r>
        <w:rPr>
          <w:rFonts w:hint="eastAsia" w:ascii="仿宋" w:hAnsi="仿宋" w:eastAsia="仿宋" w:cs="仿宋"/>
          <w:kern w:val="0"/>
          <w:u w:val="single"/>
          <w:lang w:val="en-US" w:eastAsia="zh-CN"/>
        </w:rPr>
        <w:t>营业执照复印件（加盖公章）</w:t>
      </w:r>
      <w:r>
        <w:rPr>
          <w:rFonts w:hint="eastAsia" w:ascii="仿宋" w:hAnsi="仿宋" w:eastAsia="仿宋" w:cs="仿宋"/>
          <w:kern w:val="0"/>
          <w:u w:val="single"/>
          <w:lang w:val="zh-CN"/>
        </w:rPr>
        <w:t>在</w:t>
      </w:r>
      <w:r>
        <w:rPr>
          <w:rFonts w:hint="eastAsia" w:ascii="仿宋" w:hAnsi="仿宋" w:eastAsia="仿宋" w:cs="仿宋"/>
          <w:kern w:val="0"/>
          <w:u w:val="single"/>
          <w:lang w:eastAsia="zh-CN"/>
        </w:rPr>
        <w:t>德汇工程管理（北京）有限公司</w:t>
      </w:r>
      <w:r>
        <w:rPr>
          <w:rFonts w:hint="eastAsia" w:ascii="仿宋" w:hAnsi="仿宋" w:eastAsia="仿宋" w:cs="仿宋"/>
          <w:kern w:val="0"/>
          <w:u w:val="single"/>
          <w:lang w:val="zh-CN"/>
        </w:rPr>
        <w:t>报名并购买采购文件</w:t>
      </w:r>
      <w:r>
        <w:rPr>
          <w:rFonts w:hint="eastAsia" w:ascii="仿宋" w:hAnsi="仿宋" w:eastAsia="仿宋" w:cs="仿宋"/>
          <w:color w:val="000000"/>
          <w:kern w:val="0"/>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kern w:val="0"/>
          <w:lang w:val="zh-CN"/>
        </w:rPr>
      </w:pPr>
      <w:r>
        <w:rPr>
          <w:rFonts w:hint="eastAsia" w:ascii="仿宋" w:hAnsi="仿宋" w:eastAsia="仿宋" w:cs="仿宋"/>
          <w:kern w:val="0"/>
          <w:lang w:val="zh-CN"/>
        </w:rPr>
        <w:t>售价：500.00元</w:t>
      </w:r>
      <w:r>
        <w:rPr>
          <w:rFonts w:hint="eastAsia" w:ascii="仿宋" w:hAnsi="仿宋" w:eastAsia="仿宋" w:cs="仿宋"/>
          <w:kern w:val="0"/>
        </w:rPr>
        <w:t>/包</w:t>
      </w:r>
      <w:r>
        <w:rPr>
          <w:rFonts w:hint="eastAsia" w:ascii="仿宋" w:hAnsi="仿宋" w:eastAsia="仿宋" w:cs="仿宋"/>
          <w:kern w:val="0"/>
          <w:lang w:val="zh-CN"/>
        </w:rPr>
        <w:t>（招标文件售后不退,投标资格不能转让。）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lang w:val="zh-CN"/>
        </w:rPr>
      </w:pPr>
      <w:bookmarkStart w:id="19" w:name="_Toc28359082"/>
      <w:bookmarkStart w:id="20" w:name="_Toc28359005"/>
      <w:bookmarkStart w:id="21" w:name="_Toc35393793"/>
      <w:bookmarkStart w:id="22" w:name="_Toc35393624"/>
      <w:r>
        <w:rPr>
          <w:rFonts w:hint="eastAsia" w:ascii="仿宋" w:hAnsi="仿宋" w:eastAsia="仿宋" w:cs="仿宋"/>
          <w:kern w:val="0"/>
          <w:lang w:val="zh-CN"/>
        </w:rPr>
        <w:t>四、提交投标文件</w:t>
      </w:r>
      <w:bookmarkEnd w:id="19"/>
      <w:bookmarkEnd w:id="20"/>
      <w:r>
        <w:rPr>
          <w:rFonts w:hint="eastAsia" w:ascii="仿宋" w:hAnsi="仿宋" w:eastAsia="仿宋" w:cs="仿宋"/>
          <w:kern w:val="0"/>
          <w:lang w:val="zh-CN"/>
        </w:rPr>
        <w:t>截止时间、开标时间和地点</w:t>
      </w:r>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rPr>
      </w:pPr>
      <w:r>
        <w:rPr>
          <w:rFonts w:hint="eastAsia" w:ascii="仿宋" w:hAnsi="仿宋" w:eastAsia="仿宋" w:cs="仿宋"/>
          <w:kern w:val="0"/>
        </w:rPr>
        <w:t>提交投标文件截止时</w:t>
      </w:r>
      <w:r>
        <w:rPr>
          <w:rFonts w:hint="eastAsia" w:ascii="仿宋" w:hAnsi="仿宋" w:eastAsia="仿宋" w:cs="仿宋"/>
        </w:rPr>
        <w:t>间：</w:t>
      </w:r>
      <w:r>
        <w:rPr>
          <w:rFonts w:hint="eastAsia" w:ascii="仿宋" w:hAnsi="仿宋" w:eastAsia="仿宋" w:cs="仿宋"/>
          <w:u w:val="single"/>
          <w:lang w:eastAsia="zh-CN"/>
        </w:rPr>
        <w:t>2022年3月24日09:00时</w:t>
      </w:r>
      <w:r>
        <w:rPr>
          <w:rFonts w:hint="eastAsia" w:ascii="仿宋" w:hAnsi="仿宋" w:eastAsia="仿宋" w:cs="仿宋"/>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u w:val="single"/>
        </w:rPr>
      </w:pPr>
      <w:r>
        <w:rPr>
          <w:rFonts w:hint="eastAsia" w:ascii="仿宋" w:hAnsi="仿宋" w:eastAsia="仿宋" w:cs="仿宋"/>
        </w:rPr>
        <w:t>投标地点：</w:t>
      </w:r>
      <w:r>
        <w:rPr>
          <w:rFonts w:hint="eastAsia" w:ascii="仿宋" w:hAnsi="仿宋" w:eastAsia="仿宋" w:cs="仿宋"/>
          <w:u w:val="single"/>
        </w:rPr>
        <w:t>西宁市</w:t>
      </w:r>
      <w:r>
        <w:rPr>
          <w:rFonts w:hint="eastAsia" w:ascii="仿宋" w:hAnsi="仿宋" w:eastAsia="仿宋" w:cs="仿宋"/>
          <w:u w:val="single"/>
          <w:lang w:val="zh-CN"/>
        </w:rPr>
        <w:t>公共资源交易中</w:t>
      </w:r>
      <w:r>
        <w:rPr>
          <w:rFonts w:hint="eastAsia" w:ascii="仿宋" w:hAnsi="仿宋" w:eastAsia="仿宋" w:cs="仿宋"/>
          <w:highlight w:val="none"/>
          <w:u w:val="single"/>
          <w:lang w:val="zh-CN"/>
        </w:rPr>
        <w:t>心</w:t>
      </w:r>
      <w:r>
        <w:rPr>
          <w:rFonts w:hint="eastAsia" w:ascii="仿宋" w:hAnsi="仿宋" w:eastAsia="仿宋" w:cs="仿宋"/>
          <w:highlight w:val="none"/>
          <w:u w:val="single"/>
          <w:lang w:val="en-US" w:eastAsia="zh-CN"/>
        </w:rPr>
        <w:t>4</w:t>
      </w:r>
      <w:r>
        <w:rPr>
          <w:rFonts w:hint="eastAsia" w:ascii="仿宋" w:hAnsi="仿宋" w:eastAsia="仿宋" w:cs="仿宋"/>
          <w:highlight w:val="none"/>
          <w:u w:val="single"/>
          <w:lang w:val="zh-CN"/>
        </w:rPr>
        <w:t>号开</w:t>
      </w:r>
      <w:r>
        <w:rPr>
          <w:rFonts w:hint="eastAsia" w:ascii="仿宋" w:hAnsi="仿宋" w:eastAsia="仿宋" w:cs="仿宋"/>
          <w:u w:val="single"/>
          <w:lang w:val="zh-CN"/>
        </w:rPr>
        <w:t>标室</w:t>
      </w: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rPr>
      </w:pPr>
      <w:bookmarkStart w:id="23" w:name="_Toc28359007"/>
      <w:bookmarkStart w:id="24" w:name="_Toc35393625"/>
      <w:bookmarkStart w:id="25" w:name="_Toc35393794"/>
      <w:bookmarkStart w:id="26" w:name="_Toc28359084"/>
      <w:r>
        <w:rPr>
          <w:rFonts w:hint="eastAsia" w:ascii="仿宋" w:hAnsi="仿宋" w:eastAsia="仿宋" w:cs="仿宋"/>
          <w:kern w:val="0"/>
        </w:rPr>
        <w:t>五、公告期限</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rPr>
      </w:pPr>
      <w:r>
        <w:rPr>
          <w:rFonts w:hint="eastAsia" w:ascii="仿宋" w:hAnsi="仿宋" w:eastAsia="仿宋" w:cs="仿宋"/>
          <w:kern w:val="0"/>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pPr>
      <w:bookmarkStart w:id="27" w:name="_Toc35393795"/>
      <w:bookmarkStart w:id="28" w:name="_Toc35393626"/>
      <w:r>
        <w:rPr>
          <w:rFonts w:hint="eastAsia" w:ascii="仿宋" w:hAnsi="仿宋" w:eastAsia="仿宋" w:cs="仿宋"/>
          <w:kern w:val="0"/>
        </w:rPr>
        <w:t>六、其他补充</w:t>
      </w:r>
      <w:r>
        <w:rPr>
          <w:rFonts w:hint="eastAsia" w:ascii="仿宋" w:hAnsi="仿宋" w:eastAsia="仿宋" w:cs="仿宋"/>
        </w:rPr>
        <w:t>事宜</w:t>
      </w:r>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rPr>
      </w:pPr>
      <w:r>
        <w:rPr>
          <w:rFonts w:hint="eastAsia" w:ascii="仿宋" w:hAnsi="仿宋" w:eastAsia="仿宋" w:cs="仿宋"/>
          <w:kern w:val="0"/>
          <w:lang w:val="zh-CN"/>
        </w:rPr>
        <w:t>本项目采购公告同时在《青海省电子招标投标公共服务平台》和《青海政府采购网》、《</w:t>
      </w:r>
      <w:r>
        <w:rPr>
          <w:rFonts w:hint="eastAsia" w:ascii="仿宋" w:hAnsi="仿宋" w:eastAsia="仿宋" w:cs="仿宋"/>
          <w:kern w:val="0"/>
          <w:lang w:val="en-US" w:eastAsia="zh-CN"/>
        </w:rPr>
        <w:t>中国采购与招标网》</w:t>
      </w:r>
      <w:r>
        <w:rPr>
          <w:rFonts w:hint="eastAsia" w:ascii="仿宋" w:hAnsi="仿宋" w:eastAsia="仿宋" w:cs="仿宋"/>
          <w:kern w:val="0"/>
          <w:lang w:val="zh-CN"/>
        </w:rPr>
        <w:t>上发布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lang w:val="zh-CN"/>
        </w:rPr>
      </w:pPr>
      <w:bookmarkStart w:id="29" w:name="_Toc28359085"/>
      <w:bookmarkStart w:id="30" w:name="_Toc35393627"/>
      <w:bookmarkStart w:id="31" w:name="_Toc35393796"/>
      <w:bookmarkStart w:id="32" w:name="_Toc28359008"/>
      <w:r>
        <w:rPr>
          <w:rFonts w:hint="eastAsia" w:ascii="仿宋" w:hAnsi="仿宋" w:eastAsia="仿宋" w:cs="仿宋"/>
          <w:kern w:val="0"/>
          <w:lang w:val="zh-CN"/>
        </w:rPr>
        <w:t>七、对本次招标提出询问，请按以下方式联系。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lang w:val="zh-CN"/>
        </w:rPr>
      </w:pPr>
      <w:r>
        <w:rPr>
          <w:rFonts w:hint="eastAsia" w:ascii="仿宋" w:hAnsi="仿宋" w:eastAsia="仿宋" w:cs="仿宋"/>
          <w:kern w:val="0"/>
          <w:lang w:val="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lang w:val="zh-CN"/>
        </w:rPr>
      </w:pPr>
      <w:r>
        <w:rPr>
          <w:rFonts w:hint="eastAsia" w:ascii="仿宋" w:hAnsi="仿宋" w:eastAsia="仿宋" w:cs="仿宋"/>
          <w:kern w:val="0"/>
          <w:lang w:val="zh-CN"/>
        </w:rPr>
        <w:t>名 称：大通县林业和草原局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lang w:val="en-US" w:eastAsia="zh-CN"/>
        </w:rPr>
      </w:pPr>
      <w:r>
        <w:rPr>
          <w:rFonts w:hint="eastAsia" w:ascii="仿宋" w:hAnsi="仿宋" w:eastAsia="仿宋" w:cs="仿宋"/>
          <w:kern w:val="0"/>
          <w:lang w:val="zh-CN"/>
        </w:rPr>
        <w:t>地址：</w:t>
      </w:r>
      <w:r>
        <w:rPr>
          <w:rFonts w:hint="eastAsia" w:ascii="仿宋" w:hAnsi="仿宋" w:eastAsia="仿宋" w:cs="仿宋"/>
          <w:kern w:val="0"/>
          <w:lang w:val="en-US" w:eastAsia="zh-CN"/>
        </w:rPr>
        <w:t>大通县园林北路2号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highlight w:val="yellow"/>
          <w:lang w:val="en-US" w:eastAsia="zh-CN"/>
        </w:rPr>
      </w:pPr>
      <w:bookmarkStart w:id="33" w:name="_Toc28359086"/>
      <w:bookmarkStart w:id="34" w:name="_Toc28359009"/>
      <w:r>
        <w:rPr>
          <w:rFonts w:hint="eastAsia" w:ascii="仿宋" w:hAnsi="仿宋" w:eastAsia="仿宋" w:cs="仿宋"/>
          <w:kern w:val="0"/>
          <w:lang w:val="zh-CN"/>
        </w:rPr>
        <w:t>项目联系人（询问）：</w:t>
      </w:r>
      <w:r>
        <w:rPr>
          <w:rFonts w:hint="eastAsia" w:ascii="仿宋" w:hAnsi="仿宋" w:eastAsia="仿宋" w:cs="仿宋"/>
          <w:kern w:val="0"/>
          <w:lang w:val="en-US" w:eastAsia="zh-CN"/>
        </w:rPr>
        <w:t>李女士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lang w:val="en-US" w:eastAsia="zh-CN"/>
        </w:rPr>
      </w:pPr>
      <w:r>
        <w:rPr>
          <w:rFonts w:hint="eastAsia" w:ascii="仿宋" w:hAnsi="仿宋" w:eastAsia="仿宋" w:cs="仿宋"/>
          <w:kern w:val="0"/>
          <w:lang w:val="zh-CN"/>
        </w:rPr>
        <w:t>项目联系方式（询问）：</w:t>
      </w:r>
      <w:r>
        <w:rPr>
          <w:rFonts w:hint="eastAsia" w:ascii="仿宋" w:hAnsi="仿宋" w:eastAsia="仿宋" w:cs="仿宋"/>
          <w:kern w:val="0"/>
        </w:rPr>
        <w:t>097</w:t>
      </w:r>
      <w:r>
        <w:rPr>
          <w:rFonts w:hint="eastAsia" w:ascii="仿宋" w:hAnsi="仿宋" w:eastAsia="仿宋" w:cs="仿宋"/>
          <w:kern w:val="0"/>
          <w:lang w:val="en-US" w:eastAsia="zh-CN"/>
        </w:rPr>
        <w:t>1-2728353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rPr>
      </w:pPr>
      <w:r>
        <w:rPr>
          <w:rFonts w:hint="eastAsia" w:ascii="仿宋" w:hAnsi="仿宋" w:eastAsia="仿宋" w:cs="仿宋"/>
        </w:rPr>
        <w:t>2.采购代理机构信息</w:t>
      </w:r>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lang w:val="zh-CN"/>
        </w:rPr>
      </w:pPr>
      <w:r>
        <w:rPr>
          <w:rFonts w:hint="eastAsia" w:ascii="仿宋" w:hAnsi="仿宋" w:eastAsia="仿宋" w:cs="仿宋"/>
          <w:kern w:val="0"/>
          <w:lang w:val="zh-CN"/>
        </w:rPr>
        <w:t>名称：德汇工程管理（北京）有限公司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lang w:val="en-US" w:eastAsia="zh-CN"/>
        </w:rPr>
      </w:pPr>
      <w:r>
        <w:rPr>
          <w:rFonts w:hint="eastAsia" w:ascii="仿宋" w:hAnsi="仿宋" w:eastAsia="仿宋" w:cs="仿宋"/>
          <w:kern w:val="0"/>
          <w:lang w:val="zh-CN"/>
        </w:rPr>
        <w:t>地址：</w:t>
      </w:r>
      <w:r>
        <w:rPr>
          <w:rFonts w:hint="eastAsia" w:ascii="仿宋" w:hAnsi="仿宋" w:eastAsia="仿宋" w:cs="仿宋"/>
          <w:kern w:val="0"/>
          <w:lang w:val="en-US" w:eastAsia="zh-CN"/>
        </w:rPr>
        <w:t>西宁市城西区海湖新区苏商大厦A座9楼913室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u w:val="single"/>
        </w:rPr>
      </w:pPr>
      <w:bookmarkStart w:id="35" w:name="_Toc28359010"/>
      <w:bookmarkStart w:id="36" w:name="_Toc28359087"/>
      <w:r>
        <w:rPr>
          <w:rFonts w:hint="eastAsia" w:ascii="仿宋" w:hAnsi="仿宋" w:eastAsia="仿宋" w:cs="仿宋"/>
        </w:rPr>
        <w:t>3.项目联系方式</w:t>
      </w:r>
      <w:bookmarkEnd w:id="35"/>
      <w:bookmarkEnd w:id="36"/>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rPr>
        <w:t>项目联系人：</w:t>
      </w:r>
      <w:r>
        <w:rPr>
          <w:rFonts w:hint="eastAsia" w:ascii="仿宋" w:hAnsi="仿宋" w:eastAsia="仿宋" w:cs="仿宋"/>
          <w:kern w:val="0"/>
          <w:sz w:val="24"/>
          <w:szCs w:val="24"/>
          <w:lang w:val="en-US" w:eastAsia="zh-CN"/>
        </w:rPr>
        <w:t>赵女士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lang w:val="en-US" w:eastAsia="zh-CN"/>
        </w:rPr>
      </w:pPr>
      <w:r>
        <w:rPr>
          <w:rFonts w:hint="eastAsia" w:ascii="仿宋" w:hAnsi="仿宋" w:eastAsia="仿宋" w:cs="仿宋"/>
          <w:kern w:val="0"/>
          <w:lang w:val="zh-CN"/>
        </w:rPr>
        <w:t>电话：</w:t>
      </w:r>
      <w:r>
        <w:rPr>
          <w:rFonts w:hint="eastAsia" w:ascii="仿宋" w:hAnsi="仿宋" w:eastAsia="仿宋" w:cs="仿宋"/>
          <w:kern w:val="0"/>
          <w:lang w:val="en-US" w:eastAsia="zh-CN"/>
        </w:rPr>
        <w:t>15597177747</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hint="eastAsia" w:ascii="仿宋" w:hAnsi="仿宋" w:eastAsia="仿宋" w:cs="仿宋"/>
          <w:kern w:val="0"/>
          <w:lang w:val="en-US" w:eastAsia="zh-CN"/>
        </w:rPr>
      </w:pPr>
      <w:r>
        <w:rPr>
          <w:rFonts w:hint="eastAsia" w:ascii="仿宋" w:hAnsi="仿宋" w:eastAsia="仿宋" w:cs="仿宋"/>
          <w:kern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hint="eastAsia" w:ascii="仿宋" w:hAnsi="仿宋" w:eastAsia="仿宋" w:cs="仿宋"/>
          <w:kern w:val="0"/>
          <w:lang w:val="en-US" w:eastAsia="zh-CN"/>
        </w:rPr>
        <w:sectPr>
          <w:headerReference r:id="rId3" w:type="default"/>
          <w:footerReference r:id="rId4" w:type="default"/>
          <w:pgSz w:w="11849" w:h="16781"/>
          <w:pgMar w:top="1440" w:right="1803" w:bottom="1440" w:left="1803" w:header="851" w:footer="992" w:gutter="0"/>
          <w:pgBorders>
            <w:top w:val="none" w:sz="0" w:space="0"/>
            <w:left w:val="none" w:sz="0" w:space="0"/>
            <w:bottom w:val="none" w:sz="0" w:space="0"/>
            <w:right w:val="none" w:sz="0" w:space="0"/>
          </w:pgBorders>
          <w:cols w:space="720" w:num="1"/>
          <w:docGrid w:linePitch="397" w:charSpace="0"/>
        </w:sectPr>
      </w:pPr>
      <w:r>
        <w:rPr>
          <w:rFonts w:hint="eastAsia" w:ascii="仿宋" w:hAnsi="仿宋" w:eastAsia="仿宋" w:cs="仿宋"/>
          <w:kern w:val="0"/>
          <w:lang w:val="en-US" w:eastAsia="zh-CN"/>
        </w:rPr>
        <w:t xml:space="preserve">                          </w:t>
      </w:r>
      <w:r>
        <w:rPr>
          <w:rFonts w:hint="eastAsia" w:ascii="仿宋" w:hAnsi="仿宋" w:eastAsia="仿宋" w:cs="仿宋"/>
          <w:kern w:val="0"/>
        </w:rPr>
        <w:t>20</w:t>
      </w:r>
      <w:r>
        <w:rPr>
          <w:rFonts w:hint="eastAsia" w:ascii="仿宋" w:hAnsi="仿宋" w:eastAsia="仿宋" w:cs="仿宋"/>
          <w:kern w:val="0"/>
          <w:lang w:val="en-US" w:eastAsia="zh-CN"/>
        </w:rPr>
        <w:t>22</w:t>
      </w:r>
      <w:r>
        <w:rPr>
          <w:rFonts w:hint="eastAsia" w:ascii="仿宋" w:hAnsi="仿宋" w:eastAsia="仿宋" w:cs="仿宋"/>
          <w:kern w:val="0"/>
        </w:rPr>
        <w:t>年</w:t>
      </w:r>
      <w:r>
        <w:rPr>
          <w:rFonts w:hint="eastAsia" w:ascii="仿宋" w:hAnsi="仿宋" w:eastAsia="仿宋" w:cs="仿宋"/>
          <w:kern w:val="0"/>
          <w:lang w:val="en-US" w:eastAsia="zh-CN"/>
        </w:rPr>
        <w:t>03</w:t>
      </w:r>
      <w:r>
        <w:rPr>
          <w:rFonts w:hint="eastAsia" w:ascii="仿宋" w:hAnsi="仿宋" w:eastAsia="仿宋" w:cs="仿宋"/>
          <w:kern w:val="0"/>
        </w:rPr>
        <w:t>月</w:t>
      </w:r>
      <w:r>
        <w:rPr>
          <w:rFonts w:hint="eastAsia" w:ascii="仿宋" w:hAnsi="仿宋" w:eastAsia="仿宋" w:cs="仿宋"/>
          <w:kern w:val="0"/>
          <w:lang w:val="en-US" w:eastAsia="zh-CN"/>
        </w:rPr>
        <w:t>01日</w:t>
      </w:r>
    </w:p>
    <w:p>
      <w:pPr>
        <w:pStyle w:val="21"/>
        <w:spacing w:before="0" w:after="0" w:line="360" w:lineRule="auto"/>
        <w:rPr>
          <w:rFonts w:hint="eastAsia" w:ascii="仿宋" w:hAnsi="仿宋" w:eastAsia="仿宋" w:cs="仿宋"/>
          <w:color w:val="auto"/>
          <w:szCs w:val="36"/>
          <w:highlight w:val="none"/>
        </w:rPr>
      </w:pPr>
      <w:r>
        <w:rPr>
          <w:rFonts w:hint="eastAsia" w:ascii="仿宋" w:hAnsi="仿宋" w:eastAsia="仿宋" w:cs="仿宋"/>
          <w:color w:val="auto"/>
          <w:szCs w:val="36"/>
          <w:highlight w:val="none"/>
          <w:lang w:val="zh-CN"/>
        </w:rPr>
        <w:t>第二部分  投标人须知</w:t>
      </w:r>
      <w:bookmarkEnd w:id="5"/>
    </w:p>
    <w:p>
      <w:pPr>
        <w:pStyle w:val="21"/>
        <w:spacing w:before="0" w:after="0" w:line="360" w:lineRule="auto"/>
        <w:rPr>
          <w:rFonts w:hint="eastAsia" w:ascii="仿宋" w:hAnsi="仿宋" w:eastAsia="仿宋" w:cs="仿宋"/>
          <w:color w:val="auto"/>
          <w:highlight w:val="none"/>
        </w:rPr>
      </w:pPr>
      <w:bookmarkStart w:id="37" w:name="_Toc32131"/>
      <w:r>
        <w:rPr>
          <w:rFonts w:hint="eastAsia" w:ascii="仿宋" w:hAnsi="仿宋" w:eastAsia="仿宋" w:cs="仿宋"/>
          <w:color w:val="auto"/>
          <w:highlight w:val="none"/>
          <w:lang w:val="zh-CN"/>
        </w:rPr>
        <w:t>一、说明</w:t>
      </w:r>
      <w:bookmarkEnd w:id="37"/>
    </w:p>
    <w:p>
      <w:pPr>
        <w:pStyle w:val="21"/>
        <w:spacing w:before="0" w:after="0" w:line="360" w:lineRule="auto"/>
        <w:jc w:val="left"/>
        <w:rPr>
          <w:rFonts w:hint="eastAsia" w:ascii="仿宋" w:hAnsi="仿宋" w:eastAsia="仿宋" w:cs="仿宋"/>
          <w:color w:val="auto"/>
          <w:highlight w:val="none"/>
          <w:lang w:val="zh-CN"/>
        </w:rPr>
      </w:pPr>
      <w:bookmarkStart w:id="38" w:name="_Toc25202"/>
      <w:r>
        <w:rPr>
          <w:rFonts w:hint="eastAsia" w:ascii="仿宋" w:hAnsi="仿宋" w:eastAsia="仿宋" w:cs="仿宋"/>
          <w:color w:val="auto"/>
          <w:sz w:val="28"/>
          <w:szCs w:val="28"/>
          <w:highlight w:val="none"/>
          <w:lang w:val="zh-CN"/>
        </w:rPr>
        <w:t>1.适用范围</w:t>
      </w:r>
      <w:bookmarkEnd w:id="38"/>
    </w:p>
    <w:p>
      <w:pPr>
        <w:autoSpaceDE w:val="0"/>
        <w:autoSpaceDN w:val="0"/>
        <w:spacing w:line="360" w:lineRule="auto"/>
        <w:ind w:firstLine="360" w:firstLineChars="15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本次招标依据采购人的采购计划，仅适用于本招标文件中所叙述的项目。</w:t>
      </w:r>
    </w:p>
    <w:p>
      <w:pPr>
        <w:pStyle w:val="21"/>
        <w:spacing w:before="0" w:after="0" w:line="360" w:lineRule="auto"/>
        <w:jc w:val="left"/>
        <w:rPr>
          <w:rFonts w:hint="eastAsia" w:ascii="仿宋" w:hAnsi="仿宋" w:eastAsia="仿宋" w:cs="仿宋"/>
          <w:color w:val="auto"/>
          <w:highlight w:val="none"/>
          <w:lang w:val="zh-CN"/>
        </w:rPr>
      </w:pPr>
      <w:bookmarkStart w:id="39" w:name="_Toc15434"/>
      <w:r>
        <w:rPr>
          <w:rFonts w:hint="eastAsia" w:ascii="仿宋" w:hAnsi="仿宋" w:eastAsia="仿宋" w:cs="仿宋"/>
          <w:color w:val="auto"/>
          <w:sz w:val="28"/>
          <w:szCs w:val="28"/>
          <w:highlight w:val="none"/>
          <w:lang w:val="zh-CN"/>
        </w:rPr>
        <w:t>2.采购方式、合格的投标人</w:t>
      </w:r>
      <w:bookmarkEnd w:id="39"/>
    </w:p>
    <w:p>
      <w:pPr>
        <w:autoSpaceDE w:val="0"/>
        <w:autoSpaceDN w:val="0"/>
        <w:spacing w:line="360" w:lineRule="auto"/>
        <w:ind w:firstLine="360" w:firstLineChars="150"/>
        <w:rPr>
          <w:rFonts w:hint="eastAsia" w:ascii="仿宋" w:hAnsi="仿宋" w:eastAsia="仿宋" w:cs="仿宋"/>
          <w:b/>
          <w:bCs/>
          <w:color w:val="auto"/>
          <w:kern w:val="0"/>
          <w:highlight w:val="none"/>
          <w:lang w:val="zh-CN"/>
        </w:rPr>
      </w:pPr>
      <w:r>
        <w:rPr>
          <w:rFonts w:hint="eastAsia" w:ascii="仿宋" w:hAnsi="仿宋" w:eastAsia="仿宋" w:cs="仿宋"/>
          <w:color w:val="auto"/>
          <w:kern w:val="0"/>
          <w:highlight w:val="none"/>
          <w:lang w:val="zh-CN"/>
        </w:rPr>
        <w:t>2.1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本次招标采取公开招标方式。</w:t>
      </w:r>
    </w:p>
    <w:p>
      <w:pPr>
        <w:autoSpaceDE w:val="0"/>
        <w:autoSpaceDN w:val="0"/>
        <w:spacing w:line="360" w:lineRule="auto"/>
        <w:ind w:firstLine="360" w:firstLineChars="15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2.2</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合格的投标人：详见第一部分</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各包投标人资格要求</w:t>
      </w:r>
      <w:r>
        <w:rPr>
          <w:rFonts w:hint="eastAsia" w:ascii="仿宋" w:hAnsi="仿宋" w:eastAsia="仿宋" w:cs="仿宋"/>
          <w:color w:val="auto"/>
          <w:kern w:val="0"/>
          <w:highlight w:val="none"/>
        </w:rPr>
        <w:t>”。</w:t>
      </w:r>
    </w:p>
    <w:p>
      <w:pPr>
        <w:pStyle w:val="21"/>
        <w:spacing w:before="0" w:after="0" w:line="360" w:lineRule="auto"/>
        <w:jc w:val="left"/>
        <w:rPr>
          <w:rFonts w:hint="eastAsia" w:ascii="仿宋" w:hAnsi="仿宋" w:eastAsia="仿宋" w:cs="仿宋"/>
          <w:color w:val="auto"/>
          <w:highlight w:val="none"/>
          <w:lang w:val="zh-CN"/>
        </w:rPr>
      </w:pPr>
      <w:bookmarkStart w:id="40" w:name="_Toc26823"/>
      <w:r>
        <w:rPr>
          <w:rFonts w:hint="eastAsia" w:ascii="仿宋" w:hAnsi="仿宋" w:eastAsia="仿宋" w:cs="仿宋"/>
          <w:color w:val="auto"/>
          <w:sz w:val="28"/>
          <w:szCs w:val="28"/>
          <w:highlight w:val="none"/>
          <w:lang w:val="zh-CN"/>
        </w:rPr>
        <w:t>3.投标费用</w:t>
      </w:r>
      <w:bookmarkEnd w:id="40"/>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投标人应自愿承担与参加本次投标有关的费用。采购代理机构对投标人发生的费用不承担任何责任。</w:t>
      </w:r>
    </w:p>
    <w:p>
      <w:pPr>
        <w:pStyle w:val="21"/>
        <w:spacing w:before="0" w:after="0" w:line="360" w:lineRule="auto"/>
        <w:rPr>
          <w:rFonts w:hint="eastAsia" w:ascii="仿宋" w:hAnsi="仿宋" w:eastAsia="仿宋" w:cs="仿宋"/>
          <w:color w:val="auto"/>
          <w:highlight w:val="none"/>
        </w:rPr>
      </w:pPr>
      <w:bookmarkStart w:id="41" w:name="_Toc31092"/>
      <w:r>
        <w:rPr>
          <w:rFonts w:hint="eastAsia" w:ascii="仿宋" w:hAnsi="仿宋" w:eastAsia="仿宋" w:cs="仿宋"/>
          <w:color w:val="auto"/>
          <w:highlight w:val="none"/>
          <w:lang w:val="zh-CN"/>
        </w:rPr>
        <w:t>二、招标文件说明</w:t>
      </w:r>
      <w:bookmarkEnd w:id="41"/>
    </w:p>
    <w:p>
      <w:pPr>
        <w:pStyle w:val="21"/>
        <w:spacing w:before="0" w:after="0" w:line="360" w:lineRule="auto"/>
        <w:jc w:val="left"/>
        <w:rPr>
          <w:rFonts w:hint="eastAsia" w:ascii="仿宋" w:hAnsi="仿宋" w:eastAsia="仿宋" w:cs="仿宋"/>
          <w:color w:val="auto"/>
          <w:highlight w:val="none"/>
          <w:lang w:val="zh-CN"/>
        </w:rPr>
      </w:pPr>
      <w:bookmarkStart w:id="42" w:name="_Toc30827"/>
      <w:r>
        <w:rPr>
          <w:rFonts w:hint="eastAsia" w:ascii="仿宋" w:hAnsi="仿宋" w:eastAsia="仿宋" w:cs="仿宋"/>
          <w:color w:val="auto"/>
          <w:sz w:val="28"/>
          <w:szCs w:val="28"/>
          <w:highlight w:val="none"/>
          <w:lang w:val="zh-CN"/>
        </w:rPr>
        <w:t>4.招标文件的构成</w:t>
      </w:r>
      <w:bookmarkEnd w:id="42"/>
    </w:p>
    <w:p>
      <w:pPr>
        <w:autoSpaceDE w:val="0"/>
        <w:autoSpaceDN w:val="0"/>
        <w:spacing w:line="360" w:lineRule="auto"/>
        <w:ind w:firstLine="360" w:firstLineChars="15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招标文件包括：</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（1）投标邀请</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）投标人须知</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）青海省政府采购项目合同书范本</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val="zh-CN"/>
        </w:rPr>
        <w:t>）投标文件格式</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5</w:t>
      </w:r>
      <w:r>
        <w:rPr>
          <w:rFonts w:hint="eastAsia" w:ascii="仿宋" w:hAnsi="仿宋" w:eastAsia="仿宋" w:cs="仿宋"/>
          <w:color w:val="auto"/>
          <w:kern w:val="0"/>
          <w:highlight w:val="none"/>
          <w:lang w:val="zh-CN"/>
        </w:rPr>
        <w:t>）采购项目要求及技术参数</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）采购过程中发生的澄清、变更和补充文件</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4.2 </w:t>
      </w:r>
      <w:r>
        <w:rPr>
          <w:rFonts w:hint="eastAsia" w:ascii="仿宋" w:hAnsi="仿宋" w:eastAsia="仿宋" w:cs="仿宋"/>
          <w:color w:val="auto"/>
          <w:kern w:val="0"/>
          <w:highlight w:val="none"/>
        </w:rPr>
        <w:t>投标人应当按照招标文件的要求编制投标文件。投标文件应当对招标文件提出的要求和条件作出明确响应。</w:t>
      </w:r>
    </w:p>
    <w:p>
      <w:pPr>
        <w:pStyle w:val="21"/>
        <w:spacing w:before="0" w:after="0" w:line="360" w:lineRule="auto"/>
        <w:jc w:val="left"/>
        <w:rPr>
          <w:rFonts w:hint="eastAsia" w:ascii="仿宋" w:hAnsi="仿宋" w:eastAsia="仿宋" w:cs="仿宋"/>
          <w:color w:val="auto"/>
          <w:sz w:val="28"/>
          <w:szCs w:val="28"/>
          <w:highlight w:val="none"/>
          <w:lang w:val="zh-CN"/>
        </w:rPr>
      </w:pPr>
      <w:bookmarkStart w:id="43" w:name="_Toc20029"/>
      <w:r>
        <w:rPr>
          <w:rFonts w:hint="eastAsia" w:ascii="仿宋" w:hAnsi="仿宋" w:eastAsia="仿宋" w:cs="仿宋"/>
          <w:color w:val="auto"/>
          <w:sz w:val="28"/>
          <w:szCs w:val="28"/>
          <w:highlight w:val="none"/>
          <w:lang w:val="zh-CN"/>
        </w:rPr>
        <w:t>5.招标文件、采购活动和中标结果的质疑</w:t>
      </w:r>
      <w:bookmarkEnd w:id="43"/>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仿宋" w:hAnsi="仿宋" w:eastAsia="仿宋" w:cs="仿宋"/>
          <w:color w:val="auto"/>
          <w:highlight w:val="none"/>
        </w:rPr>
        <w:t>潜在供应商已依法获取其可质疑的采购文件的，可以对该文件提出质疑，对采购文件提出质疑的，应当在获取采购文件或者采购文件公告期限届满之日起7个工作日内提出</w:t>
      </w:r>
      <w:r>
        <w:rPr>
          <w:rFonts w:hint="eastAsia" w:ascii="仿宋" w:hAnsi="仿宋" w:eastAsia="仿宋" w:cs="仿宋"/>
          <w:color w:val="auto"/>
          <w:kern w:val="0"/>
          <w:highlight w:val="none"/>
        </w:rPr>
        <w:t>。</w:t>
      </w:r>
      <w:r>
        <w:rPr>
          <w:rFonts w:hint="eastAsia" w:ascii="仿宋" w:hAnsi="仿宋" w:eastAsia="仿宋" w:cs="仿宋"/>
          <w:color w:val="auto"/>
          <w:highlight w:val="none"/>
        </w:rPr>
        <w:t>供应商须在法定质疑期内一次性提出针对同一采购程序环节的质疑。</w:t>
      </w:r>
      <w:r>
        <w:rPr>
          <w:rFonts w:hint="eastAsia" w:ascii="仿宋" w:hAnsi="仿宋" w:eastAsia="仿宋" w:cs="仿宋"/>
          <w:color w:val="auto"/>
          <w:kern w:val="0"/>
          <w:highlight w:val="none"/>
          <w:lang w:val="zh-CN"/>
        </w:rPr>
        <w:t>采购人或采购代理机构在收到书面</w:t>
      </w:r>
      <w:r>
        <w:rPr>
          <w:rFonts w:hint="eastAsia" w:ascii="仿宋" w:hAnsi="仿宋" w:eastAsia="仿宋" w:cs="仿宋"/>
          <w:color w:val="auto"/>
          <w:highlight w:val="none"/>
        </w:rPr>
        <w:t>质疑函后7个工作日内作出答复</w:t>
      </w:r>
      <w:r>
        <w:rPr>
          <w:rFonts w:hint="eastAsia" w:ascii="仿宋" w:hAnsi="仿宋" w:eastAsia="仿宋" w:cs="仿宋"/>
          <w:color w:val="auto"/>
          <w:kern w:val="0"/>
          <w:highlight w:val="none"/>
          <w:lang w:val="zh-CN"/>
        </w:rPr>
        <w:t>。</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投标人应知其权益受到损害之日，是指：</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（二）对采购过程提出质疑的，为各采购程序环节结束之日；</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（三）对中标结果提出质疑的，为中标结果公告期限届满之日。</w:t>
      </w:r>
    </w:p>
    <w:p>
      <w:pPr>
        <w:pStyle w:val="21"/>
        <w:spacing w:before="0" w:after="0" w:line="360" w:lineRule="auto"/>
        <w:jc w:val="left"/>
        <w:rPr>
          <w:rFonts w:hint="eastAsia" w:ascii="仿宋" w:hAnsi="仿宋" w:eastAsia="仿宋" w:cs="仿宋"/>
          <w:color w:val="auto"/>
          <w:highlight w:val="none"/>
          <w:lang w:val="zh-CN"/>
        </w:rPr>
      </w:pPr>
      <w:bookmarkStart w:id="44" w:name="_Toc25490"/>
      <w:r>
        <w:rPr>
          <w:rFonts w:hint="eastAsia" w:ascii="仿宋" w:hAnsi="仿宋" w:eastAsia="仿宋" w:cs="仿宋"/>
          <w:color w:val="auto"/>
          <w:sz w:val="28"/>
          <w:szCs w:val="28"/>
          <w:highlight w:val="none"/>
          <w:lang w:val="zh-CN"/>
        </w:rPr>
        <w:t>6.招标文件的澄清或修改</w:t>
      </w:r>
      <w:bookmarkEnd w:id="44"/>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21"/>
        <w:spacing w:before="0" w:after="0" w:line="360" w:lineRule="auto"/>
        <w:rPr>
          <w:rFonts w:hint="eastAsia" w:ascii="仿宋" w:hAnsi="仿宋" w:eastAsia="仿宋" w:cs="仿宋"/>
          <w:color w:val="auto"/>
          <w:highlight w:val="none"/>
        </w:rPr>
      </w:pPr>
      <w:bookmarkStart w:id="45" w:name="_Toc29284"/>
      <w:r>
        <w:rPr>
          <w:rFonts w:hint="eastAsia" w:ascii="仿宋" w:hAnsi="仿宋" w:eastAsia="仿宋" w:cs="仿宋"/>
          <w:color w:val="auto"/>
          <w:highlight w:val="none"/>
          <w:lang w:val="zh-CN"/>
        </w:rPr>
        <w:t>三、投标文件的编制</w:t>
      </w:r>
      <w:bookmarkEnd w:id="45"/>
    </w:p>
    <w:p>
      <w:pPr>
        <w:pStyle w:val="21"/>
        <w:spacing w:before="0" w:after="0" w:line="360" w:lineRule="auto"/>
        <w:jc w:val="left"/>
        <w:rPr>
          <w:rFonts w:hint="eastAsia" w:ascii="仿宋" w:hAnsi="仿宋" w:eastAsia="仿宋" w:cs="仿宋"/>
          <w:color w:val="auto"/>
          <w:highlight w:val="none"/>
          <w:lang w:val="zh-CN"/>
        </w:rPr>
      </w:pPr>
      <w:bookmarkStart w:id="46" w:name="_Toc24561"/>
      <w:r>
        <w:rPr>
          <w:rFonts w:hint="eastAsia" w:ascii="仿宋" w:hAnsi="仿宋" w:eastAsia="仿宋" w:cs="仿宋"/>
          <w:color w:val="auto"/>
          <w:sz w:val="28"/>
          <w:szCs w:val="28"/>
          <w:highlight w:val="none"/>
          <w:lang w:val="zh-CN"/>
        </w:rPr>
        <w:t>7.投标文件的语言及度量衡单位</w:t>
      </w:r>
      <w:bookmarkEnd w:id="46"/>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7.1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投标人提交的投标文件以及投标人与</w:t>
      </w:r>
      <w:r>
        <w:rPr>
          <w:rFonts w:hint="eastAsia" w:ascii="仿宋" w:hAnsi="仿宋" w:eastAsia="仿宋" w:cs="仿宋"/>
          <w:color w:val="auto"/>
          <w:kern w:val="0"/>
          <w:highlight w:val="none"/>
          <w:u w:val="dashDotHeavy"/>
          <w:lang w:val="zh-CN"/>
        </w:rPr>
        <w:t>采购人或者采购代理机构</w:t>
      </w:r>
      <w:r>
        <w:rPr>
          <w:rFonts w:hint="eastAsia" w:ascii="仿宋" w:hAnsi="仿宋" w:eastAsia="仿宋" w:cs="仿宋"/>
          <w:color w:val="auto"/>
          <w:kern w:val="0"/>
          <w:highlight w:val="none"/>
          <w:lang w:val="zh-CN"/>
        </w:rPr>
        <w:t>就此投标发生的所有来往函电均应使用简体中文。</w:t>
      </w:r>
      <w:r>
        <w:rPr>
          <w:rFonts w:hint="eastAsia" w:ascii="仿宋" w:hAnsi="仿宋" w:eastAsia="仿宋" w:cs="仿宋"/>
          <w:color w:val="auto"/>
          <w:highlight w:val="none"/>
        </w:rPr>
        <w:t>除签名、盖章、专用名称等特殊情形外，以中文汉语以外的文字表述的投标文件视同未提供。</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7.3 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hint="eastAsia" w:ascii="仿宋" w:hAnsi="仿宋" w:eastAsia="仿宋" w:cs="仿宋"/>
          <w:color w:val="auto"/>
          <w:highlight w:val="none"/>
          <w:lang w:val="zh-CN"/>
        </w:rPr>
      </w:pPr>
      <w:bookmarkStart w:id="47" w:name="_Toc30190"/>
      <w:r>
        <w:rPr>
          <w:rFonts w:hint="eastAsia" w:ascii="仿宋" w:hAnsi="仿宋" w:eastAsia="仿宋" w:cs="仿宋"/>
          <w:color w:val="auto"/>
          <w:sz w:val="28"/>
          <w:szCs w:val="28"/>
          <w:highlight w:val="none"/>
          <w:lang w:val="zh-CN"/>
        </w:rPr>
        <w:t>8.投标报价及币种</w:t>
      </w:r>
      <w:bookmarkEnd w:id="47"/>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8.1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投标报价为投标总价。投标报价必须包括：</w:t>
      </w:r>
      <w:r>
        <w:rPr>
          <w:rFonts w:hint="eastAsia" w:ascii="仿宋" w:hAnsi="仿宋" w:eastAsia="仿宋" w:cs="仿宋"/>
          <w:color w:val="auto"/>
          <w:kern w:val="0"/>
          <w:highlight w:val="none"/>
          <w:u w:val="single"/>
          <w:lang w:val="zh-CN"/>
        </w:rPr>
        <w:t>人工费、机械费、产品费、验收费、手续费、包装费、运输费、</w:t>
      </w:r>
      <w:r>
        <w:rPr>
          <w:rFonts w:hint="eastAsia" w:ascii="仿宋" w:hAnsi="仿宋" w:eastAsia="仿宋" w:cs="仿宋"/>
          <w:color w:val="auto"/>
          <w:kern w:val="0"/>
          <w:highlight w:val="none"/>
          <w:u w:val="single"/>
          <w:lang w:val="en-US" w:eastAsia="zh-CN"/>
        </w:rPr>
        <w:t>安装调试费、</w:t>
      </w:r>
      <w:r>
        <w:rPr>
          <w:rFonts w:hint="eastAsia" w:ascii="仿宋" w:hAnsi="仿宋" w:eastAsia="仿宋" w:cs="仿宋"/>
          <w:color w:val="auto"/>
          <w:kern w:val="0"/>
          <w:highlight w:val="none"/>
          <w:u w:val="single"/>
          <w:lang w:val="zh-CN"/>
        </w:rPr>
        <w:t>差旅费、招标代理服务费。</w:t>
      </w:r>
      <w:r>
        <w:rPr>
          <w:rFonts w:hint="eastAsia" w:ascii="仿宋" w:hAnsi="仿宋" w:eastAsia="仿宋" w:cs="仿宋"/>
          <w:color w:val="auto"/>
          <w:kern w:val="0"/>
          <w:highlight w:val="none"/>
          <w:lang w:val="zh-CN"/>
        </w:rPr>
        <w:t>（说明：具体内容应根据项目特点实事求是的填写）</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8.2</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投标报价有效期与投标有效期一致。</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8.</w:t>
      </w:r>
      <w:r>
        <w:rPr>
          <w:rFonts w:hint="eastAsia" w:ascii="仿宋" w:hAnsi="仿宋" w:eastAsia="仿宋" w:cs="仿宋"/>
          <w:color w:val="auto"/>
          <w:kern w:val="0"/>
          <w:highlight w:val="none"/>
        </w:rPr>
        <w:t xml:space="preserve">3 </w:t>
      </w:r>
      <w:r>
        <w:rPr>
          <w:rFonts w:hint="eastAsia" w:ascii="仿宋" w:hAnsi="仿宋" w:eastAsia="仿宋" w:cs="仿宋"/>
          <w:color w:val="auto"/>
          <w:kern w:val="0"/>
          <w:highlight w:val="none"/>
          <w:lang w:val="zh-CN"/>
        </w:rPr>
        <w:t>投标币种是人民币。</w:t>
      </w:r>
    </w:p>
    <w:p>
      <w:pPr>
        <w:pStyle w:val="21"/>
        <w:spacing w:before="0" w:after="0" w:line="360" w:lineRule="auto"/>
        <w:jc w:val="left"/>
        <w:rPr>
          <w:rFonts w:hint="eastAsia" w:ascii="仿宋" w:hAnsi="仿宋" w:eastAsia="仿宋" w:cs="仿宋"/>
          <w:color w:val="auto"/>
          <w:highlight w:val="none"/>
          <w:lang w:val="zh-CN"/>
        </w:rPr>
      </w:pPr>
      <w:bookmarkStart w:id="48" w:name="_Toc20982"/>
      <w:r>
        <w:rPr>
          <w:rFonts w:hint="eastAsia" w:ascii="仿宋" w:hAnsi="仿宋" w:eastAsia="仿宋" w:cs="仿宋"/>
          <w:color w:val="auto"/>
          <w:sz w:val="28"/>
          <w:szCs w:val="28"/>
          <w:highlight w:val="none"/>
          <w:lang w:val="zh-CN"/>
        </w:rPr>
        <w:t>9.投标保证金</w:t>
      </w:r>
      <w:bookmarkEnd w:id="48"/>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9.1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投标保证金：</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2232"/>
        <w:gridCol w:w="1614"/>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14" w:type="dxa"/>
            <w:vAlign w:val="center"/>
          </w:tcPr>
          <w:p>
            <w:pPr>
              <w:pStyle w:val="2"/>
              <w:spacing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包号</w:t>
            </w:r>
          </w:p>
        </w:tc>
        <w:tc>
          <w:tcPr>
            <w:tcW w:w="2232" w:type="dxa"/>
            <w:vAlign w:val="center"/>
          </w:tcPr>
          <w:p>
            <w:pPr>
              <w:pStyle w:val="2"/>
              <w:spacing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保证金金额（元）</w:t>
            </w:r>
          </w:p>
        </w:tc>
        <w:tc>
          <w:tcPr>
            <w:tcW w:w="1614" w:type="dxa"/>
            <w:vAlign w:val="center"/>
          </w:tcPr>
          <w:p>
            <w:pPr>
              <w:pStyle w:val="2"/>
              <w:spacing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包号</w:t>
            </w:r>
          </w:p>
        </w:tc>
        <w:tc>
          <w:tcPr>
            <w:tcW w:w="2499" w:type="dxa"/>
            <w:vAlign w:val="center"/>
          </w:tcPr>
          <w:p>
            <w:pPr>
              <w:pStyle w:val="2"/>
              <w:spacing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保证金金额（元）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包3</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包4</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包5</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包6</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包7</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包8</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包9</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包10</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包11</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包12</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包13</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包14</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包15</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12000.00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包16</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包17</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26000.00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包18</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包19</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16000.00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包20</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包21</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包22</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包23</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包24</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包25</w:t>
            </w:r>
          </w:p>
        </w:tc>
        <w:tc>
          <w:tcPr>
            <w:tcW w:w="2232"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10000.00</w:t>
            </w:r>
          </w:p>
        </w:tc>
        <w:tc>
          <w:tcPr>
            <w:tcW w:w="1614" w:type="dxa"/>
            <w:vAlign w:val="center"/>
          </w:tcPr>
          <w:p>
            <w:pPr>
              <w:autoSpaceDE w:val="0"/>
              <w:autoSpaceDN w:val="0"/>
              <w:spacing w:line="360" w:lineRule="auto"/>
              <w:ind w:firstLine="480" w:firstLineChars="20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包26</w:t>
            </w:r>
          </w:p>
        </w:tc>
        <w:tc>
          <w:tcPr>
            <w:tcW w:w="2499" w:type="dxa"/>
            <w:vAlign w:val="center"/>
          </w:tcPr>
          <w:p>
            <w:pPr>
              <w:autoSpaceDE w:val="0"/>
              <w:autoSpaceDN w:val="0"/>
              <w:spacing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14000.00</w:t>
            </w:r>
          </w:p>
        </w:tc>
      </w:tr>
    </w:tbl>
    <w:p>
      <w:pPr>
        <w:autoSpaceDE w:val="0"/>
        <w:autoSpaceDN w:val="0"/>
        <w:spacing w:line="360" w:lineRule="auto"/>
        <w:ind w:firstLine="482" w:firstLineChars="200"/>
        <w:rPr>
          <w:rFonts w:hint="default" w:ascii="仿宋" w:hAnsi="仿宋" w:eastAsia="仿宋" w:cs="仿宋"/>
          <w:b/>
          <w:bCs/>
          <w:color w:val="auto"/>
          <w:kern w:val="0"/>
          <w:highlight w:val="none"/>
          <w:lang w:val="en-US" w:eastAsia="zh-CN"/>
        </w:rPr>
      </w:pPr>
      <w:r>
        <w:rPr>
          <w:rFonts w:hint="eastAsia" w:ascii="仿宋" w:hAnsi="仿宋" w:eastAsia="仿宋" w:cs="仿宋"/>
          <w:b/>
          <w:bCs/>
          <w:color w:val="auto"/>
          <w:kern w:val="0"/>
          <w:highlight w:val="none"/>
          <w:lang w:val="zh-CN"/>
        </w:rPr>
        <w:t>收款单位：德汇工程管理（北京）有限公司</w:t>
      </w:r>
      <w:r>
        <w:rPr>
          <w:rFonts w:hint="eastAsia" w:ascii="仿宋" w:hAnsi="仿宋" w:eastAsia="仿宋" w:cs="仿宋"/>
          <w:b/>
          <w:bCs/>
          <w:color w:val="auto"/>
          <w:kern w:val="0"/>
          <w:highlight w:val="none"/>
          <w:lang w:val="en-US" w:eastAsia="zh-CN"/>
        </w:rPr>
        <w:t>青海分公司</w:t>
      </w:r>
    </w:p>
    <w:p>
      <w:pPr>
        <w:autoSpaceDE w:val="0"/>
        <w:autoSpaceDN w:val="0"/>
        <w:adjustRightInd w:val="0"/>
        <w:spacing w:line="360" w:lineRule="auto"/>
        <w:ind w:firstLine="482" w:firstLineChars="200"/>
        <w:jc w:val="left"/>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zh-CN"/>
        </w:rPr>
        <w:t>开 户 行：建行</w:t>
      </w:r>
      <w:r>
        <w:rPr>
          <w:rFonts w:hint="eastAsia" w:ascii="仿宋" w:hAnsi="仿宋" w:eastAsia="仿宋" w:cs="仿宋"/>
          <w:b/>
          <w:bCs/>
          <w:color w:val="000000"/>
          <w:kern w:val="0"/>
          <w:sz w:val="24"/>
          <w:szCs w:val="24"/>
          <w:lang w:val="en-US" w:eastAsia="zh-CN"/>
        </w:rPr>
        <w:t>西宁共和路支行</w:t>
      </w:r>
    </w:p>
    <w:p>
      <w:pPr>
        <w:autoSpaceDE w:val="0"/>
        <w:autoSpaceDN w:val="0"/>
        <w:spacing w:line="360" w:lineRule="auto"/>
        <w:ind w:firstLine="482" w:firstLineChars="20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zh-CN"/>
        </w:rPr>
        <w:t>银行账号：</w:t>
      </w:r>
      <w:r>
        <w:rPr>
          <w:rFonts w:hint="eastAsia" w:ascii="仿宋" w:hAnsi="仿宋" w:eastAsia="仿宋" w:cs="仿宋"/>
          <w:b/>
          <w:bCs/>
          <w:color w:val="000000"/>
          <w:kern w:val="0"/>
          <w:sz w:val="24"/>
          <w:szCs w:val="24"/>
          <w:lang w:val="en-US" w:eastAsia="zh-CN"/>
        </w:rPr>
        <w:t>6300 1543 6030 5020 1102</w:t>
      </w:r>
    </w:p>
    <w:p>
      <w:pPr>
        <w:autoSpaceDE w:val="0"/>
        <w:autoSpaceDN w:val="0"/>
        <w:spacing w:line="360" w:lineRule="auto"/>
        <w:ind w:firstLine="482" w:firstLineChars="200"/>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交纳时间：投标文件递交截止前，以银行到账时间为准。</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如采购项目变更开标时间，则保证金交纳时间相应顺延。</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9.2</w:t>
      </w:r>
      <w:r>
        <w:rPr>
          <w:rFonts w:hint="eastAsia" w:ascii="仿宋" w:hAnsi="仿宋" w:eastAsia="仿宋" w:cs="仿宋"/>
          <w:color w:val="auto"/>
          <w:kern w:val="0"/>
          <w:highlight w:val="none"/>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9.3</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投标保证金退还：投标人在投标截止时间前撤回已提交的投标文件的，</w:t>
      </w: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9.4 投标有效期内投标人撤销投标文件的，采购人或者采购代理机构可以不退还投标保证金。</w:t>
      </w:r>
    </w:p>
    <w:p>
      <w:pPr>
        <w:pStyle w:val="21"/>
        <w:spacing w:before="0" w:after="0" w:line="360" w:lineRule="auto"/>
        <w:jc w:val="left"/>
        <w:rPr>
          <w:rFonts w:hint="eastAsia" w:ascii="仿宋" w:hAnsi="仿宋" w:eastAsia="仿宋" w:cs="仿宋"/>
          <w:color w:val="auto"/>
          <w:highlight w:val="none"/>
          <w:lang w:val="zh-CN"/>
        </w:rPr>
      </w:pPr>
      <w:bookmarkStart w:id="49" w:name="_Toc30226"/>
      <w:r>
        <w:rPr>
          <w:rFonts w:hint="eastAsia" w:ascii="仿宋" w:hAnsi="仿宋" w:eastAsia="仿宋" w:cs="仿宋"/>
          <w:color w:val="auto"/>
          <w:sz w:val="28"/>
          <w:szCs w:val="28"/>
          <w:highlight w:val="none"/>
          <w:lang w:val="zh-CN"/>
        </w:rPr>
        <w:t>10.投标有效期</w:t>
      </w:r>
      <w:bookmarkEnd w:id="49"/>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highlight w:val="none"/>
          <w:shd w:val="clear" w:color="auto" w:fill="FFFFFF"/>
        </w:rPr>
        <w:t>从提交投标文件的截止之日起</w:t>
      </w:r>
      <w:r>
        <w:rPr>
          <w:rFonts w:hint="eastAsia" w:ascii="仿宋" w:hAnsi="仿宋" w:eastAsia="仿宋" w:cs="仿宋"/>
          <w:color w:val="auto"/>
          <w:kern w:val="0"/>
          <w:highlight w:val="none"/>
          <w:u w:val="dashDotHeavy"/>
        </w:rPr>
        <w:t>60</w:t>
      </w:r>
      <w:r>
        <w:rPr>
          <w:rFonts w:hint="eastAsia" w:ascii="仿宋" w:hAnsi="仿宋" w:eastAsia="仿宋" w:cs="仿宋"/>
          <w:color w:val="auto"/>
          <w:kern w:val="0"/>
          <w:highlight w:val="none"/>
          <w:lang w:val="zh-CN"/>
        </w:rPr>
        <w:t>日历日（说明：一般为</w:t>
      </w:r>
      <w:r>
        <w:rPr>
          <w:rFonts w:hint="eastAsia" w:ascii="仿宋" w:hAnsi="仿宋" w:eastAsia="仿宋" w:cs="仿宋"/>
          <w:color w:val="auto"/>
          <w:kern w:val="0"/>
          <w:highlight w:val="none"/>
        </w:rPr>
        <w:t>60天</w:t>
      </w:r>
      <w:r>
        <w:rPr>
          <w:rFonts w:hint="eastAsia" w:ascii="仿宋" w:hAnsi="仿宋" w:eastAsia="仿宋" w:cs="仿宋"/>
          <w:color w:val="auto"/>
          <w:kern w:val="0"/>
          <w:highlight w:val="none"/>
          <w:lang w:val="zh-CN"/>
        </w:rPr>
        <w:t>）。投标文件中承诺的投标有效期应当不少于招标文件中载明的投标有效期。</w:t>
      </w:r>
    </w:p>
    <w:p>
      <w:pPr>
        <w:pStyle w:val="21"/>
        <w:spacing w:before="0" w:after="0" w:line="360" w:lineRule="auto"/>
        <w:jc w:val="left"/>
        <w:rPr>
          <w:rFonts w:hint="eastAsia" w:ascii="仿宋" w:hAnsi="仿宋" w:eastAsia="仿宋" w:cs="仿宋"/>
          <w:color w:val="auto"/>
          <w:highlight w:val="none"/>
          <w:lang w:val="zh-CN"/>
        </w:rPr>
      </w:pPr>
      <w:bookmarkStart w:id="50" w:name="_Toc27283"/>
      <w:r>
        <w:rPr>
          <w:rFonts w:hint="eastAsia" w:ascii="仿宋" w:hAnsi="仿宋" w:eastAsia="仿宋" w:cs="仿宋"/>
          <w:color w:val="auto"/>
          <w:sz w:val="28"/>
          <w:szCs w:val="28"/>
          <w:highlight w:val="none"/>
          <w:lang w:val="zh-CN"/>
        </w:rPr>
        <w:t>11.投标文件构成</w:t>
      </w:r>
      <w:bookmarkEnd w:id="50"/>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bCs/>
          <w:color w:val="auto"/>
          <w:kern w:val="0"/>
          <w:highlight w:val="none"/>
        </w:rPr>
        <w:t>11.1</w:t>
      </w:r>
      <w:r>
        <w:rPr>
          <w:rFonts w:hint="eastAsia" w:ascii="仿宋" w:hAnsi="仿宋" w:eastAsia="仿宋" w:cs="仿宋"/>
          <w:b/>
          <w:bCs/>
          <w:color w:val="auto"/>
          <w:kern w:val="0"/>
          <w:highlight w:val="none"/>
          <w:lang w:val="zh-CN"/>
        </w:rPr>
        <w:t>、投标文件（上册）（资格审查）</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投标函</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法定代表人证明书</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法定代表人授权书</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投标人承诺函</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投标人诚信承诺书</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资格证明材料</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财务状况报告，依法缴纳税收和社会保障资金的相关材料</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具备履行合同所必需的设备和专业技术能力的证明材料</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无重大违法记录声明</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投标保证金证明</w:t>
      </w:r>
    </w:p>
    <w:p>
      <w:pPr>
        <w:autoSpaceDE w:val="0"/>
        <w:autoSpaceDN w:val="0"/>
        <w:spacing w:line="360" w:lineRule="auto"/>
        <w:ind w:firstLine="482" w:firstLineChars="200"/>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rPr>
        <w:t xml:space="preserve">11.2 </w:t>
      </w:r>
      <w:r>
        <w:rPr>
          <w:rFonts w:hint="eastAsia" w:ascii="仿宋" w:hAnsi="仿宋" w:eastAsia="仿宋" w:cs="仿宋"/>
          <w:b/>
          <w:bCs/>
          <w:color w:val="auto"/>
          <w:kern w:val="0"/>
          <w:highlight w:val="none"/>
          <w:lang w:val="zh-CN"/>
        </w:rPr>
        <w:t>投标文件（下册）</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评分对照表</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开标一览表（报价表）</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分项报价表</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服务内容及技术规格响应表</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投标人的类似业绩证明材料</w:t>
      </w:r>
    </w:p>
    <w:p>
      <w:pPr>
        <w:numPr>
          <w:ilvl w:val="0"/>
          <w:numId w:val="1"/>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中小企业声明函</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17</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监狱企业证明资料</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18</w:t>
      </w:r>
      <w:r>
        <w:rPr>
          <w:rFonts w:hint="eastAsia" w:ascii="仿宋" w:hAnsi="仿宋" w:eastAsia="仿宋" w:cs="仿宋"/>
          <w:color w:val="auto"/>
          <w:kern w:val="0"/>
          <w:highlight w:val="none"/>
          <w:lang w:val="zh-CN"/>
        </w:rPr>
        <w:t>）残疾人福利性单位声明函</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19</w:t>
      </w:r>
      <w:r>
        <w:rPr>
          <w:rFonts w:hint="eastAsia" w:ascii="仿宋" w:hAnsi="仿宋" w:eastAsia="仿宋" w:cs="仿宋"/>
          <w:color w:val="auto"/>
          <w:kern w:val="0"/>
          <w:highlight w:val="none"/>
          <w:lang w:val="zh-CN"/>
        </w:rPr>
        <w:t>）投标人认为在其他方面有必要说明的事项</w:t>
      </w:r>
    </w:p>
    <w:p>
      <w:pPr>
        <w:autoSpaceDE w:val="0"/>
        <w:autoSpaceDN w:val="0"/>
        <w:spacing w:line="360" w:lineRule="auto"/>
        <w:ind w:firstLine="600" w:firstLineChars="25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注：投标人须按上述内容、顺序和格式编制投标文件，并按要求编制目录、页码，并保证所提供的全部资料真实可信，自愿承担相应责任。</w:t>
      </w:r>
    </w:p>
    <w:p>
      <w:pPr>
        <w:pStyle w:val="21"/>
        <w:spacing w:before="0" w:after="0" w:line="360" w:lineRule="auto"/>
        <w:jc w:val="left"/>
        <w:rPr>
          <w:rFonts w:hint="eastAsia" w:ascii="仿宋" w:hAnsi="仿宋" w:eastAsia="仿宋" w:cs="仿宋"/>
          <w:color w:val="auto"/>
          <w:highlight w:val="none"/>
          <w:lang w:val="zh-CN"/>
        </w:rPr>
      </w:pPr>
      <w:bookmarkStart w:id="51" w:name="_Toc3648"/>
      <w:r>
        <w:rPr>
          <w:rFonts w:hint="eastAsia" w:ascii="仿宋" w:hAnsi="仿宋" w:eastAsia="仿宋" w:cs="仿宋"/>
          <w:color w:val="auto"/>
          <w:sz w:val="28"/>
          <w:szCs w:val="28"/>
          <w:highlight w:val="none"/>
          <w:lang w:val="zh-CN"/>
        </w:rPr>
        <w:t>12.投标文件的编制要求</w:t>
      </w:r>
      <w:bookmarkEnd w:id="51"/>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12.1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12.2</w:t>
      </w:r>
      <w:r>
        <w:rPr>
          <w:rFonts w:hint="eastAsia" w:ascii="仿宋" w:hAnsi="仿宋" w:eastAsia="仿宋" w:cs="仿宋"/>
          <w:color w:val="auto"/>
          <w:kern w:val="0"/>
          <w:highlight w:val="none"/>
        </w:rPr>
        <w:t xml:space="preserve"> </w:t>
      </w:r>
      <w:r>
        <w:rPr>
          <w:rFonts w:hint="eastAsia" w:ascii="仿宋" w:hAnsi="仿宋" w:eastAsia="仿宋" w:cs="仿宋"/>
          <w:b/>
          <w:bCs/>
          <w:color w:val="auto"/>
          <w:kern w:val="0"/>
          <w:highlight w:val="none"/>
        </w:rPr>
        <w:t>“投标人应按包号准备纸质投标文件，每包正本1份(上、下册)、副本</w:t>
      </w:r>
      <w:r>
        <w:rPr>
          <w:rFonts w:hint="eastAsia" w:ascii="仿宋" w:hAnsi="仿宋" w:eastAsia="仿宋" w:cs="仿宋"/>
          <w:b/>
          <w:bCs/>
          <w:color w:val="auto"/>
          <w:kern w:val="0"/>
          <w:highlight w:val="none"/>
          <w:lang w:val="en-US" w:eastAsia="zh-CN"/>
        </w:rPr>
        <w:t>2</w:t>
      </w:r>
      <w:r>
        <w:rPr>
          <w:rFonts w:hint="eastAsia" w:ascii="仿宋" w:hAnsi="仿宋" w:eastAsia="仿宋" w:cs="仿宋"/>
          <w:b/>
          <w:bCs/>
          <w:color w:val="auto"/>
          <w:kern w:val="0"/>
          <w:highlight w:val="none"/>
        </w:rPr>
        <w:t>份(上、下册)，电子文档1份(上、下册)，以及用于开标唱标单独提交的“报价一览表”1份。若发生正本和副本不符，以正本为准。投标文件统一使用A4幅面的纸张印制，必须胶装成上、下两册并编码，其他方式装订的投标文件一概不予接受”，其他事宜不变。</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12.3 投标文件的正本</w:t>
      </w:r>
      <w:r>
        <w:rPr>
          <w:rFonts w:hint="eastAsia" w:ascii="仿宋" w:hAnsi="仿宋" w:eastAsia="仿宋" w:cs="仿宋"/>
          <w:color w:val="auto"/>
          <w:kern w:val="0"/>
          <w:highlight w:val="none"/>
        </w:rPr>
        <w:t>(上、下册)</w:t>
      </w:r>
      <w:r>
        <w:rPr>
          <w:rFonts w:hint="eastAsia" w:ascii="仿宋" w:hAnsi="仿宋" w:eastAsia="仿宋" w:cs="仿宋"/>
          <w:color w:val="auto"/>
          <w:kern w:val="0"/>
          <w:highlight w:val="none"/>
          <w:lang w:val="zh-CN"/>
        </w:rPr>
        <w:t>需打印或用不褪色、不变质的墨水书写，副本</w:t>
      </w:r>
      <w:r>
        <w:rPr>
          <w:rFonts w:hint="eastAsia" w:ascii="仿宋" w:hAnsi="仿宋" w:eastAsia="仿宋" w:cs="仿宋"/>
          <w:color w:val="auto"/>
          <w:kern w:val="0"/>
          <w:highlight w:val="none"/>
        </w:rPr>
        <w:t>(上、下册)</w:t>
      </w:r>
      <w:r>
        <w:rPr>
          <w:rFonts w:hint="eastAsia" w:ascii="仿宋" w:hAnsi="仿宋" w:eastAsia="仿宋" w:cs="仿宋"/>
          <w:color w:val="auto"/>
          <w:kern w:val="0"/>
          <w:highlight w:val="none"/>
          <w:lang w:val="zh-CN"/>
        </w:rPr>
        <w:t>可采用正本的复印件。</w:t>
      </w:r>
      <w:r>
        <w:rPr>
          <w:rFonts w:hint="eastAsia" w:ascii="仿宋" w:hAnsi="仿宋" w:eastAsia="仿宋" w:cs="仿宋"/>
          <w:color w:val="auto"/>
          <w:kern w:val="0"/>
          <w:highlight w:val="none"/>
          <w:lang w:val="en-US" w:eastAsia="zh-CN"/>
        </w:rPr>
        <w:t>书脊处需打印本次采购项目名称及项目编号、包号。</w:t>
      </w:r>
      <w:r>
        <w:rPr>
          <w:rFonts w:hint="eastAsia" w:ascii="仿宋" w:hAnsi="仿宋" w:eastAsia="仿宋" w:cs="仿宋"/>
          <w:color w:val="auto"/>
          <w:kern w:val="0"/>
          <w:highlight w:val="none"/>
          <w:lang w:val="zh-CN"/>
        </w:rPr>
        <w:t>电子文档</w:t>
      </w:r>
      <w:r>
        <w:rPr>
          <w:rFonts w:hint="eastAsia" w:ascii="仿宋" w:hAnsi="仿宋" w:eastAsia="仿宋" w:cs="仿宋"/>
          <w:color w:val="auto"/>
          <w:kern w:val="0"/>
          <w:highlight w:val="none"/>
        </w:rPr>
        <w:t>(上、下册)</w:t>
      </w:r>
      <w:r>
        <w:rPr>
          <w:rFonts w:hint="eastAsia" w:ascii="仿宋" w:hAnsi="仿宋" w:eastAsia="仿宋" w:cs="仿宋"/>
          <w:color w:val="auto"/>
          <w:kern w:val="0"/>
          <w:highlight w:val="none"/>
          <w:lang w:val="zh-CN"/>
        </w:rPr>
        <w:t>用光盘或U盘制作，采用不可修改文档格式（如：PDF格式），内容必须和纸质投标文件正本</w:t>
      </w:r>
      <w:r>
        <w:rPr>
          <w:rFonts w:hint="eastAsia" w:ascii="仿宋" w:hAnsi="仿宋" w:eastAsia="仿宋" w:cs="仿宋"/>
          <w:color w:val="auto"/>
          <w:kern w:val="0"/>
          <w:highlight w:val="none"/>
        </w:rPr>
        <w:t>(上、下册)</w:t>
      </w:r>
      <w:r>
        <w:rPr>
          <w:rFonts w:hint="eastAsia" w:ascii="仿宋" w:hAnsi="仿宋" w:eastAsia="仿宋" w:cs="仿宋"/>
          <w:color w:val="auto"/>
          <w:kern w:val="0"/>
          <w:highlight w:val="none"/>
          <w:lang w:val="zh-CN"/>
        </w:rPr>
        <w:t>完全一致，包括封面、页码、签字、盖章等。</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12.4 投标文件中不得行间插字、涂改或增删，如有修改错漏处，须由投标人法定代表人或其委托代理人签字、加盖公章。</w:t>
      </w:r>
    </w:p>
    <w:p>
      <w:pPr>
        <w:pStyle w:val="21"/>
        <w:spacing w:before="0" w:after="0" w:line="360" w:lineRule="auto"/>
        <w:rPr>
          <w:rFonts w:hint="eastAsia" w:ascii="仿宋" w:hAnsi="仿宋" w:eastAsia="仿宋" w:cs="仿宋"/>
          <w:color w:val="auto"/>
          <w:highlight w:val="none"/>
        </w:rPr>
      </w:pPr>
      <w:bookmarkStart w:id="52" w:name="_Toc29848"/>
      <w:r>
        <w:rPr>
          <w:rFonts w:hint="eastAsia" w:ascii="仿宋" w:hAnsi="仿宋" w:eastAsia="仿宋" w:cs="仿宋"/>
          <w:color w:val="auto"/>
          <w:highlight w:val="none"/>
          <w:lang w:val="zh-CN"/>
        </w:rPr>
        <w:t>四、投标文件的提交</w:t>
      </w:r>
      <w:bookmarkEnd w:id="52"/>
    </w:p>
    <w:p>
      <w:pPr>
        <w:pStyle w:val="21"/>
        <w:spacing w:before="0" w:after="0" w:line="360" w:lineRule="auto"/>
        <w:jc w:val="left"/>
        <w:rPr>
          <w:rFonts w:hint="eastAsia" w:ascii="仿宋" w:hAnsi="仿宋" w:eastAsia="仿宋" w:cs="仿宋"/>
          <w:color w:val="auto"/>
          <w:highlight w:val="none"/>
          <w:lang w:val="zh-CN"/>
        </w:rPr>
      </w:pPr>
      <w:bookmarkStart w:id="53" w:name="_Toc3748"/>
      <w:r>
        <w:rPr>
          <w:rFonts w:hint="eastAsia" w:ascii="仿宋" w:hAnsi="仿宋" w:eastAsia="仿宋" w:cs="仿宋"/>
          <w:color w:val="auto"/>
          <w:sz w:val="28"/>
          <w:szCs w:val="28"/>
          <w:highlight w:val="none"/>
          <w:lang w:val="zh-CN"/>
        </w:rPr>
        <w:t>13.投标文件的密封和标记</w:t>
      </w:r>
      <w:bookmarkEnd w:id="53"/>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13.1</w:t>
      </w:r>
      <w:r>
        <w:rPr>
          <w:rFonts w:hint="eastAsia" w:ascii="仿宋" w:hAnsi="仿宋" w:eastAsia="仿宋" w:cs="仿宋"/>
          <w:color w:val="auto"/>
          <w:kern w:val="0"/>
          <w:highlight w:val="none"/>
        </w:rPr>
        <w:t xml:space="preserve"> </w:t>
      </w:r>
      <w:r>
        <w:rPr>
          <w:rFonts w:hint="eastAsia" w:ascii="仿宋" w:hAnsi="仿宋" w:eastAsia="仿宋" w:cs="仿宋"/>
          <w:b/>
          <w:bCs/>
          <w:color w:val="auto"/>
          <w:kern w:val="0"/>
          <w:highlight w:val="none"/>
          <w:lang w:val="zh-CN"/>
        </w:rPr>
        <w:t>投标文件正本</w:t>
      </w:r>
      <w:r>
        <w:rPr>
          <w:rFonts w:hint="eastAsia" w:ascii="仿宋" w:hAnsi="仿宋" w:eastAsia="仿宋" w:cs="仿宋"/>
          <w:b/>
          <w:bCs/>
          <w:color w:val="auto"/>
          <w:kern w:val="0"/>
          <w:highlight w:val="none"/>
        </w:rPr>
        <w:t>(上、下册)</w:t>
      </w:r>
      <w:r>
        <w:rPr>
          <w:rFonts w:hint="eastAsia" w:ascii="仿宋" w:hAnsi="仿宋" w:eastAsia="仿宋" w:cs="仿宋"/>
          <w:b/>
          <w:bCs/>
          <w:color w:val="auto"/>
          <w:kern w:val="0"/>
          <w:highlight w:val="none"/>
          <w:lang w:val="zh-CN"/>
        </w:rPr>
        <w:t>、所有副本</w:t>
      </w:r>
      <w:r>
        <w:rPr>
          <w:rFonts w:hint="eastAsia" w:ascii="仿宋" w:hAnsi="仿宋" w:eastAsia="仿宋" w:cs="仿宋"/>
          <w:b/>
          <w:bCs/>
          <w:color w:val="auto"/>
          <w:kern w:val="0"/>
          <w:highlight w:val="none"/>
        </w:rPr>
        <w:t>(上、下册)</w:t>
      </w:r>
      <w:r>
        <w:rPr>
          <w:rFonts w:hint="eastAsia" w:ascii="仿宋" w:hAnsi="仿宋" w:eastAsia="仿宋" w:cs="仿宋"/>
          <w:b/>
          <w:bCs/>
          <w:color w:val="auto"/>
          <w:kern w:val="0"/>
          <w:highlight w:val="none"/>
          <w:lang w:val="zh-CN"/>
        </w:rPr>
        <w:t>、电子文档</w:t>
      </w:r>
      <w:r>
        <w:rPr>
          <w:rFonts w:hint="eastAsia" w:ascii="仿宋" w:hAnsi="仿宋" w:eastAsia="仿宋" w:cs="仿宋"/>
          <w:b/>
          <w:bCs/>
          <w:color w:val="auto"/>
          <w:kern w:val="0"/>
          <w:highlight w:val="none"/>
        </w:rPr>
        <w:t>(上、下册)、</w:t>
      </w:r>
      <w:r>
        <w:rPr>
          <w:rFonts w:hint="eastAsia" w:ascii="仿宋" w:hAnsi="仿宋" w:eastAsia="仿宋" w:cs="仿宋"/>
          <w:b/>
          <w:bCs/>
          <w:color w:val="auto"/>
          <w:kern w:val="0"/>
          <w:highlight w:val="none"/>
          <w:lang w:val="zh-CN"/>
        </w:rPr>
        <w:t>报价一览表，应分别封装于不同的密封袋内，</w:t>
      </w:r>
      <w:r>
        <w:rPr>
          <w:rFonts w:hint="eastAsia" w:ascii="仿宋" w:hAnsi="仿宋" w:eastAsia="仿宋" w:cs="仿宋"/>
          <w:color w:val="auto"/>
          <w:kern w:val="0"/>
          <w:highlight w:val="none"/>
          <w:lang w:val="zh-CN"/>
        </w:rPr>
        <w:t>密封袋上应分别标上“正本”、“副本”、“电子文档”“报价一览表”字样，并注明投标人名称、采购项目编号、采购项目名称及分包号（如有分包）。</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13.2</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密封后的投标文件密封袋</w:t>
      </w:r>
      <w:r>
        <w:rPr>
          <w:rFonts w:hint="eastAsia" w:ascii="仿宋" w:hAnsi="仿宋" w:eastAsia="仿宋" w:cs="仿宋"/>
          <w:color w:val="auto"/>
          <w:kern w:val="0"/>
          <w:highlight w:val="none"/>
        </w:rPr>
        <w:t>上标明</w:t>
      </w:r>
      <w:r>
        <w:rPr>
          <w:rFonts w:hint="eastAsia" w:ascii="仿宋" w:hAnsi="仿宋" w:eastAsia="仿宋" w:cs="仿宋"/>
          <w:color w:val="auto"/>
          <w:kern w:val="0"/>
          <w:highlight w:val="none"/>
          <w:lang w:val="zh-CN"/>
        </w:rPr>
        <w:t>“于</w:t>
      </w:r>
      <w:r>
        <w:rPr>
          <w:rFonts w:hint="eastAsia" w:ascii="仿宋" w:hAnsi="仿宋" w:eastAsia="仿宋" w:cs="仿宋"/>
          <w:color w:val="auto"/>
          <w:kern w:val="0"/>
          <w:highlight w:val="none"/>
        </w:rPr>
        <w:t>20</w:t>
      </w:r>
      <w:r>
        <w:rPr>
          <w:rFonts w:hint="eastAsia" w:ascii="仿宋" w:hAnsi="仿宋" w:eastAsia="仿宋" w:cs="仿宋"/>
          <w:color w:val="auto"/>
          <w:kern w:val="0"/>
          <w:highlight w:val="none"/>
          <w:lang w:val="en-US" w:eastAsia="zh-CN"/>
        </w:rPr>
        <w:t>xx</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lang w:val="en-US" w:eastAsia="zh-CN"/>
        </w:rPr>
        <w:t>xx</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lang w:val="en-US" w:eastAsia="zh-CN"/>
        </w:rPr>
        <w:t>xx</w:t>
      </w:r>
      <w:r>
        <w:rPr>
          <w:rFonts w:hint="eastAsia" w:ascii="仿宋" w:hAnsi="仿宋" w:eastAsia="仿宋" w:cs="仿宋"/>
          <w:color w:val="auto"/>
          <w:kern w:val="0"/>
          <w:highlight w:val="none"/>
          <w:lang w:val="zh-CN"/>
        </w:rPr>
        <w:t>日</w:t>
      </w:r>
      <w:r>
        <w:rPr>
          <w:rFonts w:hint="eastAsia" w:ascii="仿宋" w:hAnsi="仿宋" w:eastAsia="仿宋" w:cs="仿宋"/>
          <w:color w:val="auto"/>
          <w:kern w:val="0"/>
          <w:highlight w:val="none"/>
          <w:lang w:val="en-US" w:eastAsia="zh-CN"/>
        </w:rPr>
        <w:t>xx</w:t>
      </w:r>
      <w:r>
        <w:rPr>
          <w:rFonts w:hint="eastAsia" w:ascii="仿宋" w:hAnsi="仿宋" w:eastAsia="仿宋" w:cs="仿宋"/>
          <w:color w:val="auto"/>
          <w:kern w:val="0"/>
          <w:highlight w:val="none"/>
          <w:lang w:val="zh-CN"/>
        </w:rPr>
        <w:t>时</w:t>
      </w:r>
      <w:r>
        <w:rPr>
          <w:rFonts w:hint="eastAsia" w:ascii="仿宋" w:hAnsi="仿宋" w:eastAsia="仿宋" w:cs="仿宋"/>
          <w:color w:val="auto"/>
          <w:kern w:val="0"/>
          <w:highlight w:val="none"/>
          <w:lang w:val="en-US" w:eastAsia="zh-CN"/>
        </w:rPr>
        <w:t>xx</w:t>
      </w:r>
      <w:r>
        <w:rPr>
          <w:rFonts w:hint="eastAsia" w:ascii="仿宋" w:hAnsi="仿宋" w:eastAsia="仿宋" w:cs="仿宋"/>
          <w:color w:val="auto"/>
          <w:kern w:val="0"/>
          <w:highlight w:val="none"/>
          <w:lang w:val="zh-CN"/>
        </w:rPr>
        <w:t>分（北京时间）之前不准启封”的</w:t>
      </w:r>
      <w:r>
        <w:rPr>
          <w:rFonts w:hint="eastAsia" w:ascii="仿宋" w:hAnsi="仿宋" w:eastAsia="仿宋" w:cs="仿宋"/>
          <w:color w:val="auto"/>
          <w:kern w:val="0"/>
          <w:highlight w:val="none"/>
        </w:rPr>
        <w:t>字样</w:t>
      </w:r>
      <w:r>
        <w:rPr>
          <w:rFonts w:hint="eastAsia" w:ascii="仿宋" w:hAnsi="仿宋" w:eastAsia="仿宋" w:cs="仿宋"/>
          <w:color w:val="auto"/>
          <w:kern w:val="0"/>
          <w:highlight w:val="none"/>
          <w:lang w:val="zh-CN"/>
        </w:rPr>
        <w:t>。</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13.</w:t>
      </w:r>
      <w:r>
        <w:rPr>
          <w:rFonts w:hint="eastAsia" w:ascii="仿宋" w:hAnsi="仿宋" w:eastAsia="仿宋" w:cs="仿宋"/>
          <w:color w:val="auto"/>
          <w:kern w:val="0"/>
          <w:highlight w:val="none"/>
        </w:rPr>
        <w:t>3 投标人</w:t>
      </w:r>
      <w:r>
        <w:rPr>
          <w:rFonts w:hint="eastAsia" w:ascii="仿宋" w:hAnsi="仿宋" w:eastAsia="仿宋" w:cs="仿宋"/>
          <w:color w:val="auto"/>
          <w:highlight w:val="none"/>
        </w:rPr>
        <w:t>如投多个包，投标文件每包分别按上述规定装订（如果有）。</w:t>
      </w:r>
    </w:p>
    <w:p>
      <w:pPr>
        <w:pStyle w:val="21"/>
        <w:spacing w:before="0" w:after="0" w:line="360" w:lineRule="auto"/>
        <w:jc w:val="left"/>
        <w:rPr>
          <w:rFonts w:hint="eastAsia" w:ascii="仿宋" w:hAnsi="仿宋" w:eastAsia="仿宋" w:cs="仿宋"/>
          <w:color w:val="auto"/>
          <w:highlight w:val="none"/>
          <w:lang w:val="zh-CN"/>
        </w:rPr>
      </w:pPr>
      <w:bookmarkStart w:id="54" w:name="_Toc21939"/>
      <w:r>
        <w:rPr>
          <w:rFonts w:hint="eastAsia" w:ascii="仿宋" w:hAnsi="仿宋" w:eastAsia="仿宋" w:cs="仿宋"/>
          <w:color w:val="auto"/>
          <w:sz w:val="28"/>
          <w:szCs w:val="28"/>
          <w:highlight w:val="none"/>
          <w:lang w:val="zh-CN"/>
        </w:rPr>
        <w:t>14.提交投标文件的时间、地点、方式</w:t>
      </w:r>
      <w:bookmarkEnd w:id="54"/>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14.1</w:t>
      </w:r>
      <w:r>
        <w:rPr>
          <w:rFonts w:hint="eastAsia" w:ascii="仿宋" w:hAnsi="仿宋" w:eastAsia="仿宋" w:cs="仿宋"/>
          <w:color w:val="auto"/>
          <w:kern w:val="0"/>
          <w:highlight w:val="none"/>
        </w:rPr>
        <w:t xml:space="preserve"> 投标人应当在招标文件要求提交投标文件的截止时间前，将投标文件（正本、副本、电子文档、开标一览表）密封送达投标地点，并按要求递交投标文件，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 xml:space="preserve">14.2 </w:t>
      </w:r>
      <w:r>
        <w:rPr>
          <w:rFonts w:hint="eastAsia" w:ascii="仿宋" w:hAnsi="仿宋" w:eastAsia="仿宋" w:cs="仿宋"/>
          <w:color w:val="auto"/>
          <w:kern w:val="0"/>
          <w:highlight w:val="none"/>
          <w:lang w:val="zh-CN"/>
        </w:rPr>
        <w:t>逾期送达或者未按照招标文件第13.1-1</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条要求密封的投标文件，采购人、采购代理机构应当拒收。</w:t>
      </w:r>
    </w:p>
    <w:p>
      <w:pPr>
        <w:pStyle w:val="21"/>
        <w:spacing w:before="0" w:after="0" w:line="360" w:lineRule="auto"/>
        <w:jc w:val="left"/>
        <w:rPr>
          <w:rFonts w:hint="eastAsia" w:ascii="仿宋" w:hAnsi="仿宋" w:eastAsia="仿宋" w:cs="仿宋"/>
          <w:color w:val="auto"/>
          <w:highlight w:val="none"/>
          <w:lang w:val="zh-CN"/>
        </w:rPr>
      </w:pPr>
      <w:bookmarkStart w:id="55" w:name="_Toc2973"/>
      <w:r>
        <w:rPr>
          <w:rFonts w:hint="eastAsia" w:ascii="仿宋" w:hAnsi="仿宋" w:eastAsia="仿宋" w:cs="仿宋"/>
          <w:color w:val="auto"/>
          <w:sz w:val="28"/>
          <w:szCs w:val="28"/>
          <w:highlight w:val="none"/>
          <w:lang w:val="zh-CN"/>
        </w:rPr>
        <w:t>15.投标文件的补充、修改或者撤回</w:t>
      </w:r>
      <w:bookmarkEnd w:id="55"/>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15.1</w:t>
      </w:r>
      <w:r>
        <w:rPr>
          <w:rFonts w:hint="eastAsia" w:ascii="仿宋" w:hAnsi="仿宋" w:eastAsia="仿宋" w:cs="仿宋"/>
          <w:color w:val="auto"/>
          <w:kern w:val="0"/>
          <w:highlight w:val="none"/>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21"/>
        <w:spacing w:before="0" w:after="0" w:line="360" w:lineRule="auto"/>
        <w:rPr>
          <w:rFonts w:hint="eastAsia" w:ascii="仿宋" w:hAnsi="仿宋" w:eastAsia="仿宋" w:cs="仿宋"/>
          <w:color w:val="auto"/>
          <w:highlight w:val="none"/>
        </w:rPr>
      </w:pPr>
      <w:bookmarkStart w:id="56" w:name="_Toc10377"/>
      <w:r>
        <w:rPr>
          <w:rFonts w:hint="eastAsia" w:ascii="仿宋" w:hAnsi="仿宋" w:eastAsia="仿宋" w:cs="仿宋"/>
          <w:color w:val="auto"/>
          <w:highlight w:val="none"/>
          <w:lang w:val="zh-CN"/>
        </w:rPr>
        <w:t>五、开标</w:t>
      </w:r>
      <w:bookmarkEnd w:id="56"/>
    </w:p>
    <w:p>
      <w:pPr>
        <w:pStyle w:val="21"/>
        <w:spacing w:before="0" w:after="0" w:line="360" w:lineRule="auto"/>
        <w:jc w:val="left"/>
        <w:rPr>
          <w:rFonts w:hint="eastAsia" w:ascii="仿宋" w:hAnsi="仿宋" w:eastAsia="仿宋" w:cs="仿宋"/>
          <w:color w:val="auto"/>
          <w:highlight w:val="none"/>
          <w:lang w:val="zh-CN"/>
        </w:rPr>
      </w:pPr>
      <w:bookmarkStart w:id="57" w:name="_Toc13815"/>
      <w:r>
        <w:rPr>
          <w:rFonts w:hint="eastAsia" w:ascii="仿宋" w:hAnsi="仿宋" w:eastAsia="仿宋" w:cs="仿宋"/>
          <w:color w:val="auto"/>
          <w:sz w:val="28"/>
          <w:szCs w:val="28"/>
          <w:highlight w:val="none"/>
          <w:lang w:val="zh-CN"/>
        </w:rPr>
        <w:t>16.开标</w:t>
      </w:r>
      <w:bookmarkEnd w:id="57"/>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16.1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开标应当在招标文件确定的提交投标文件截止时间的同一时间进行。</w:t>
      </w: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lang w:val="zh-CN"/>
        </w:rPr>
        <w:t>应当按本文件中确定的时间和地点组织开标活动。</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16.2</w:t>
      </w:r>
      <w:r>
        <w:rPr>
          <w:rFonts w:hint="eastAsia" w:ascii="仿宋" w:hAnsi="仿宋" w:eastAsia="仿宋" w:cs="仿宋"/>
          <w:color w:val="auto"/>
          <w:kern w:val="0"/>
          <w:highlight w:val="none"/>
        </w:rPr>
        <w:t xml:space="preserve"> </w:t>
      </w:r>
      <w:r>
        <w:rPr>
          <w:rFonts w:hint="eastAsia" w:ascii="仿宋" w:hAnsi="仿宋" w:eastAsia="仿宋" w:cs="仿宋"/>
          <w:color w:val="auto"/>
          <w:highlight w:val="none"/>
          <w:shd w:val="clear" w:color="auto" w:fill="FFFFFF"/>
        </w:rPr>
        <w:t>开标由</w:t>
      </w: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highlight w:val="none"/>
          <w:shd w:val="clear" w:color="auto" w:fill="FFFFFF"/>
        </w:rPr>
        <w:t>主持，邀请投标人参加。评标委员会成员不得参加开标活动。</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kern w:val="0"/>
          <w:highlight w:val="none"/>
          <w:lang w:val="zh-CN"/>
        </w:rPr>
        <w:t xml:space="preserve">16.3 </w:t>
      </w:r>
      <w:r>
        <w:rPr>
          <w:rFonts w:hint="eastAsia" w:ascii="仿宋" w:hAnsi="仿宋" w:eastAsia="仿宋" w:cs="仿宋"/>
          <w:color w:val="auto"/>
          <w:highlight w:val="none"/>
          <w:shd w:val="clear" w:color="auto" w:fill="FFFFFF"/>
        </w:rPr>
        <w:t>开标时，应当由投标人或者其推选的代表检查投标文件的密封情况；经确认无误后，由</w:t>
      </w:r>
      <w:r>
        <w:rPr>
          <w:rFonts w:hint="eastAsia" w:ascii="仿宋" w:hAnsi="仿宋" w:eastAsia="仿宋" w:cs="仿宋"/>
          <w:color w:val="auto"/>
          <w:kern w:val="0"/>
          <w:highlight w:val="none"/>
          <w:u w:val="dashDotHeavy"/>
          <w:lang w:val="zh-CN"/>
        </w:rPr>
        <w:t>采购人或者采购代理机构</w:t>
      </w:r>
      <w:r>
        <w:rPr>
          <w:rFonts w:hint="eastAsia" w:ascii="仿宋" w:hAnsi="仿宋" w:eastAsia="仿宋" w:cs="仿宋"/>
          <w:color w:val="auto"/>
          <w:highlight w:val="none"/>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仿宋" w:hAnsi="仿宋" w:eastAsia="仿宋" w:cs="仿宋"/>
          <w:color w:val="auto"/>
          <w:highlight w:val="none"/>
          <w:shd w:val="clear" w:color="auto" w:fill="FFFFFF"/>
          <w:lang w:val="zh-CN"/>
        </w:rPr>
      </w:pPr>
      <w:r>
        <w:rPr>
          <w:rFonts w:hint="eastAsia" w:ascii="仿宋" w:hAnsi="仿宋" w:eastAsia="仿宋" w:cs="仿宋"/>
          <w:color w:val="auto"/>
          <w:highlight w:val="none"/>
          <w:shd w:val="clear" w:color="auto" w:fill="FFFFFF"/>
          <w:lang w:val="zh-CN"/>
        </w:rPr>
        <w:t>投标人不足3家的，不得开标。</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16.4 开标过程应当由</w:t>
      </w: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rPr>
        <w:t>负责记录，由参加开标的各投标人代表和相关工作人员签字确认后随采购文件一并存档。</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投标人未参加开标的，视同认可开标结果。</w:t>
      </w:r>
    </w:p>
    <w:p>
      <w:pPr>
        <w:pStyle w:val="21"/>
        <w:spacing w:before="0" w:after="0" w:line="360" w:lineRule="auto"/>
        <w:rPr>
          <w:rFonts w:hint="eastAsia" w:ascii="仿宋" w:hAnsi="仿宋" w:eastAsia="仿宋" w:cs="仿宋"/>
          <w:color w:val="auto"/>
          <w:kern w:val="0"/>
          <w:highlight w:val="none"/>
        </w:rPr>
      </w:pPr>
      <w:bookmarkStart w:id="58" w:name="_Toc496004006"/>
      <w:bookmarkStart w:id="59" w:name="_Toc16522"/>
      <w:r>
        <w:rPr>
          <w:rFonts w:hint="eastAsia" w:ascii="仿宋" w:hAnsi="仿宋" w:eastAsia="仿宋" w:cs="仿宋"/>
          <w:color w:val="auto"/>
          <w:kern w:val="0"/>
          <w:szCs w:val="36"/>
          <w:highlight w:val="none"/>
        </w:rPr>
        <w:t>六、资格</w:t>
      </w:r>
      <w:r>
        <w:rPr>
          <w:rFonts w:hint="eastAsia" w:ascii="仿宋" w:hAnsi="仿宋" w:eastAsia="仿宋" w:cs="仿宋"/>
          <w:color w:val="auto"/>
          <w:highlight w:val="none"/>
          <w:lang w:val="zh-CN"/>
        </w:rPr>
        <w:t>审查</w:t>
      </w:r>
      <w:r>
        <w:rPr>
          <w:rFonts w:hint="eastAsia" w:ascii="仿宋" w:hAnsi="仿宋" w:eastAsia="仿宋" w:cs="仿宋"/>
          <w:color w:val="auto"/>
          <w:kern w:val="0"/>
          <w:szCs w:val="36"/>
          <w:highlight w:val="none"/>
        </w:rPr>
        <w:t>程序</w:t>
      </w:r>
      <w:bookmarkEnd w:id="58"/>
      <w:bookmarkEnd w:id="59"/>
    </w:p>
    <w:p>
      <w:pPr>
        <w:pStyle w:val="21"/>
        <w:spacing w:before="0" w:after="0" w:line="360" w:lineRule="auto"/>
        <w:jc w:val="left"/>
        <w:rPr>
          <w:rFonts w:hint="eastAsia" w:ascii="仿宋" w:hAnsi="仿宋" w:eastAsia="仿宋" w:cs="仿宋"/>
          <w:color w:val="auto"/>
          <w:sz w:val="28"/>
          <w:szCs w:val="28"/>
          <w:highlight w:val="none"/>
        </w:rPr>
      </w:pPr>
      <w:bookmarkStart w:id="60" w:name="_Toc10731"/>
      <w:r>
        <w:rPr>
          <w:rFonts w:hint="eastAsia" w:ascii="仿宋" w:hAnsi="仿宋" w:eastAsia="仿宋" w:cs="仿宋"/>
          <w:color w:val="auto"/>
          <w:sz w:val="28"/>
          <w:szCs w:val="28"/>
          <w:highlight w:val="none"/>
        </w:rPr>
        <w:t>17.资格审查</w:t>
      </w:r>
      <w:bookmarkEnd w:id="60"/>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17.2 合格投标人不足3家的，不得评标。</w:t>
      </w:r>
    </w:p>
    <w:p>
      <w:pPr>
        <w:autoSpaceDE w:val="0"/>
        <w:autoSpaceDN w:val="0"/>
        <w:spacing w:line="360" w:lineRule="auto"/>
        <w:ind w:firstLine="480" w:firstLineChars="200"/>
        <w:rPr>
          <w:rFonts w:hint="eastAsia" w:ascii="仿宋" w:hAnsi="仿宋" w:eastAsia="仿宋" w:cs="仿宋"/>
          <w:color w:val="auto"/>
          <w:sz w:val="28"/>
          <w:szCs w:val="28"/>
          <w:highlight w:val="none"/>
        </w:rPr>
      </w:pPr>
      <w:bookmarkStart w:id="61" w:name="_Toc30809"/>
      <w:bookmarkStart w:id="62" w:name="_Toc497503516"/>
      <w:bookmarkStart w:id="63" w:name="_Toc497503315"/>
      <w:bookmarkStart w:id="64" w:name="_Toc497503249"/>
      <w:bookmarkStart w:id="65" w:name="_Toc497503449"/>
      <w:r>
        <w:rPr>
          <w:rFonts w:hint="eastAsia" w:ascii="仿宋" w:hAnsi="仿宋" w:eastAsia="仿宋" w:cs="仿宋"/>
          <w:color w:val="auto"/>
          <w:kern w:val="0"/>
          <w:highlight w:val="none"/>
        </w:rPr>
        <w:t>17.3 资格审查时，投标人存在下列情况之一的，按无效投标处理：</w:t>
      </w:r>
      <w:bookmarkEnd w:id="61"/>
      <w:bookmarkEnd w:id="62"/>
      <w:bookmarkEnd w:id="63"/>
      <w:bookmarkEnd w:id="64"/>
      <w:bookmarkEnd w:id="65"/>
    </w:p>
    <w:p>
      <w:pPr>
        <w:numPr>
          <w:ilvl w:val="0"/>
          <w:numId w:val="2"/>
        </w:numPr>
        <w:tabs>
          <w:tab w:val="left" w:pos="960"/>
        </w:tabs>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highlight w:val="none"/>
          <w:shd w:val="clear" w:color="auto" w:fill="FFFFFF"/>
        </w:rPr>
        <w:t>不具备</w:t>
      </w:r>
      <w:r>
        <w:rPr>
          <w:rFonts w:hint="eastAsia" w:ascii="仿宋" w:hAnsi="仿宋" w:eastAsia="仿宋" w:cs="仿宋"/>
          <w:color w:val="auto"/>
          <w:kern w:val="0"/>
          <w:highlight w:val="none"/>
          <w:lang w:val="zh-CN"/>
        </w:rPr>
        <w:t>第一部分“投标邀请”中申请人资格要求</w:t>
      </w:r>
      <w:r>
        <w:rPr>
          <w:rFonts w:hint="eastAsia" w:ascii="仿宋" w:hAnsi="仿宋" w:eastAsia="仿宋" w:cs="仿宋"/>
          <w:color w:val="auto"/>
          <w:highlight w:val="none"/>
          <w:shd w:val="clear" w:color="auto" w:fill="FFFFFF"/>
        </w:rPr>
        <w:t>的；</w:t>
      </w:r>
    </w:p>
    <w:p>
      <w:pPr>
        <w:numPr>
          <w:ilvl w:val="0"/>
          <w:numId w:val="2"/>
        </w:numPr>
        <w:tabs>
          <w:tab w:val="left" w:pos="960"/>
        </w:tabs>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未按第11.1要求提供相关资料的；</w:t>
      </w:r>
    </w:p>
    <w:p>
      <w:pPr>
        <w:numPr>
          <w:ilvl w:val="0"/>
          <w:numId w:val="2"/>
        </w:numPr>
        <w:tabs>
          <w:tab w:val="left" w:pos="960"/>
        </w:tabs>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kern w:val="0"/>
          <w:highlight w:val="none"/>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kern w:val="0"/>
          <w:highlight w:val="none"/>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未按照招标文件要求提供电子文档</w:t>
      </w:r>
      <w:r>
        <w:rPr>
          <w:rFonts w:hint="eastAsia" w:ascii="仿宋" w:hAnsi="仿宋" w:eastAsia="仿宋" w:cs="仿宋"/>
          <w:color w:val="auto"/>
          <w:kern w:val="0"/>
          <w:highlight w:val="none"/>
          <w:lang w:val="zh-CN"/>
        </w:rPr>
        <w:t>的。</w:t>
      </w:r>
    </w:p>
    <w:p>
      <w:pPr>
        <w:pStyle w:val="21"/>
        <w:spacing w:before="0" w:after="0" w:line="360" w:lineRule="auto"/>
        <w:rPr>
          <w:rFonts w:hint="eastAsia" w:ascii="仿宋" w:hAnsi="仿宋" w:eastAsia="仿宋" w:cs="仿宋"/>
          <w:color w:val="auto"/>
          <w:highlight w:val="none"/>
        </w:rPr>
      </w:pPr>
      <w:bookmarkStart w:id="66" w:name="_Toc11627"/>
      <w:r>
        <w:rPr>
          <w:rFonts w:hint="eastAsia" w:ascii="仿宋" w:hAnsi="仿宋" w:eastAsia="仿宋" w:cs="仿宋"/>
          <w:color w:val="auto"/>
          <w:highlight w:val="none"/>
          <w:lang w:val="zh-CN"/>
        </w:rPr>
        <w:t>七、评审程序及方法</w:t>
      </w:r>
      <w:bookmarkEnd w:id="66"/>
    </w:p>
    <w:p>
      <w:pPr>
        <w:pStyle w:val="21"/>
        <w:spacing w:before="0" w:after="0" w:line="360" w:lineRule="auto"/>
        <w:jc w:val="left"/>
        <w:rPr>
          <w:rFonts w:hint="eastAsia" w:ascii="仿宋" w:hAnsi="仿宋" w:eastAsia="仿宋" w:cs="仿宋"/>
          <w:color w:val="auto"/>
          <w:highlight w:val="none"/>
          <w:lang w:val="zh-CN"/>
        </w:rPr>
      </w:pPr>
      <w:bookmarkStart w:id="67" w:name="_Toc4916"/>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zh-CN"/>
        </w:rPr>
        <w:t>.评标委员会</w:t>
      </w:r>
      <w:bookmarkEnd w:id="67"/>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18.1</w:t>
      </w: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lang w:val="zh-CN"/>
        </w:rPr>
        <w:t>负责组织评标工作，并履行下列职责：</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）宣布评标纪律；</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）公布投标人名单，告知评审专家应当回避的情形；</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val="zh-CN"/>
        </w:rPr>
        <w:t>）组织评标委员会推选评标组长，采购人代表不得担任组长；</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5</w:t>
      </w:r>
      <w:r>
        <w:rPr>
          <w:rFonts w:hint="eastAsia" w:ascii="仿宋" w:hAnsi="仿宋" w:eastAsia="仿宋" w:cs="仿宋"/>
          <w:color w:val="auto"/>
          <w:kern w:val="0"/>
          <w:highlight w:val="none"/>
          <w:lang w:val="zh-CN"/>
        </w:rPr>
        <w:t>）在评标期间采取必要的通讯管理措施，保证评标活动不受外界干扰；</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6</w:t>
      </w:r>
      <w:r>
        <w:rPr>
          <w:rFonts w:hint="eastAsia" w:ascii="仿宋" w:hAnsi="仿宋" w:eastAsia="仿宋" w:cs="仿宋"/>
          <w:color w:val="auto"/>
          <w:kern w:val="0"/>
          <w:highlight w:val="none"/>
          <w:lang w:val="zh-CN"/>
        </w:rPr>
        <w:t>）根据评标委员会的要求介绍政府采购相关政策法规、招标文件；</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7</w:t>
      </w:r>
      <w:r>
        <w:rPr>
          <w:rFonts w:hint="eastAsia" w:ascii="仿宋" w:hAnsi="仿宋" w:eastAsia="仿宋" w:cs="仿宋"/>
          <w:color w:val="auto"/>
          <w:kern w:val="0"/>
          <w:highlight w:val="none"/>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8</w:t>
      </w:r>
      <w:r>
        <w:rPr>
          <w:rFonts w:hint="eastAsia" w:ascii="仿宋" w:hAnsi="仿宋" w:eastAsia="仿宋" w:cs="仿宋"/>
          <w:color w:val="auto"/>
          <w:kern w:val="0"/>
          <w:highlight w:val="none"/>
          <w:lang w:val="zh-CN"/>
        </w:rPr>
        <w:t>）核对评标结果，有</w:t>
      </w:r>
      <w:r>
        <w:rPr>
          <w:rFonts w:hint="eastAsia" w:ascii="仿宋" w:hAnsi="仿宋" w:eastAsia="仿宋" w:cs="仿宋"/>
          <w:color w:val="auto"/>
          <w:kern w:val="0"/>
          <w:highlight w:val="none"/>
        </w:rPr>
        <w:t>20.4</w:t>
      </w:r>
      <w:r>
        <w:rPr>
          <w:rFonts w:hint="eastAsia" w:ascii="仿宋" w:hAnsi="仿宋" w:eastAsia="仿宋" w:cs="仿宋"/>
          <w:color w:val="auto"/>
          <w:kern w:val="0"/>
          <w:highlight w:val="none"/>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9</w:t>
      </w:r>
      <w:r>
        <w:rPr>
          <w:rFonts w:hint="eastAsia" w:ascii="仿宋" w:hAnsi="仿宋" w:eastAsia="仿宋" w:cs="仿宋"/>
          <w:color w:val="auto"/>
          <w:kern w:val="0"/>
          <w:highlight w:val="none"/>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10</w:t>
      </w:r>
      <w:r>
        <w:rPr>
          <w:rFonts w:hint="eastAsia" w:ascii="仿宋" w:hAnsi="仿宋" w:eastAsia="仿宋" w:cs="仿宋"/>
          <w:color w:val="auto"/>
          <w:kern w:val="0"/>
          <w:highlight w:val="none"/>
          <w:lang w:val="zh-CN"/>
        </w:rPr>
        <w:t>）处理与评标有关的其他事项。</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18.2 评标委员会负责具体评标事务，并独立履行下列职责：</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严格遵守评审工作纪律,按照客观、公正、审慎的原则,根据采购文件规定的评审程序、评审方法和评审标准进行独立评审</w:t>
      </w:r>
      <w:r>
        <w:rPr>
          <w:rFonts w:hint="eastAsia" w:ascii="仿宋" w:hAnsi="仿宋" w:eastAsia="仿宋" w:cs="仿宋"/>
          <w:color w:val="auto"/>
          <w:kern w:val="0"/>
          <w:highlight w:val="none"/>
          <w:lang w:val="zh-CN"/>
        </w:rPr>
        <w:t>；</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现采购文件内容违反国家有关强制性规定或者采购文件存在歧义、重大缺陷导致评审工作无法进行时,应当停止评审并向采购人或者采购代理机构书面说明情况</w:t>
      </w:r>
      <w:r>
        <w:rPr>
          <w:rFonts w:hint="eastAsia" w:ascii="仿宋" w:hAnsi="仿宋" w:eastAsia="仿宋" w:cs="仿宋"/>
          <w:color w:val="auto"/>
          <w:kern w:val="0"/>
          <w:highlight w:val="none"/>
          <w:lang w:val="zh-CN"/>
        </w:rPr>
        <w:t>；</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审查、评价投标文件是否符合招标文件的商务、技术等实质性要求</w:t>
      </w:r>
      <w:r>
        <w:rPr>
          <w:rFonts w:hint="eastAsia" w:ascii="仿宋" w:hAnsi="仿宋" w:eastAsia="仿宋" w:cs="仿宋"/>
          <w:color w:val="auto"/>
          <w:kern w:val="0"/>
          <w:highlight w:val="none"/>
          <w:lang w:val="zh-CN"/>
        </w:rPr>
        <w:t>；</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要求投标人对投标文件有关事项作出澄清或者说明；</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对投标文件进行比较和评价；</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确定中标候选人名单，以及根据采购人委托直接确定中标人；</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配合答复供应商的询问、质疑和投诉等事项,不得泄露评审文件、评审情况和在评审过程中获悉的商业秘密</w:t>
      </w:r>
      <w:r>
        <w:rPr>
          <w:rFonts w:hint="eastAsia" w:ascii="仿宋" w:hAnsi="仿宋" w:eastAsia="仿宋" w:cs="仿宋"/>
          <w:color w:val="auto"/>
          <w:kern w:val="0"/>
          <w:highlight w:val="none"/>
          <w:lang w:val="zh-CN"/>
        </w:rPr>
        <w:t>；</w:t>
      </w:r>
    </w:p>
    <w:p>
      <w:pPr>
        <w:numPr>
          <w:ilvl w:val="0"/>
          <w:numId w:val="3"/>
        </w:num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向采购人、采购代理机构或者有关部门报告评标中发现的违法行为。</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采购项目符合下列情形之一的，评标委员会成员人数应当为7人以上单数：</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（1）采购预算金额在1000万元以上；</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（2）技术复杂；</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（3）社会影响较大。</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评标委员会成员名单在评标结果公告前应当保密。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18.4</w:t>
      </w: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rPr>
        <w:t>8</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dashDotHeavy"/>
          <w:lang w:val="zh-CN"/>
        </w:rPr>
        <w:t>采购代理机构</w:t>
      </w:r>
      <w:r>
        <w:rPr>
          <w:rFonts w:hint="eastAsia" w:ascii="仿宋" w:hAnsi="仿宋" w:eastAsia="仿宋" w:cs="仿宋"/>
          <w:color w:val="auto"/>
          <w:kern w:val="0"/>
          <w:highlight w:val="none"/>
        </w:rPr>
        <w:t>应当将变更、重新组建评标委员会的情况予以记录，并随采购文件一并存档。</w:t>
      </w:r>
    </w:p>
    <w:p>
      <w:pPr>
        <w:pStyle w:val="21"/>
        <w:spacing w:before="0" w:after="0" w:line="360" w:lineRule="auto"/>
        <w:jc w:val="left"/>
        <w:rPr>
          <w:rFonts w:hint="eastAsia" w:ascii="仿宋" w:hAnsi="仿宋" w:eastAsia="仿宋" w:cs="仿宋"/>
          <w:color w:val="auto"/>
          <w:highlight w:val="none"/>
          <w:lang w:val="zh-CN"/>
        </w:rPr>
      </w:pPr>
      <w:bookmarkStart w:id="68" w:name="_Toc17261"/>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lang w:val="zh-CN"/>
        </w:rPr>
        <w:t>.评审工作程序</w:t>
      </w:r>
      <w:bookmarkEnd w:id="68"/>
    </w:p>
    <w:p>
      <w:pPr>
        <w:autoSpaceDE w:val="0"/>
        <w:autoSpaceDN w:val="0"/>
        <w:spacing w:line="360" w:lineRule="auto"/>
        <w:ind w:firstLine="482" w:firstLineChars="200"/>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1</w:t>
      </w:r>
      <w:r>
        <w:rPr>
          <w:rFonts w:hint="eastAsia" w:ascii="仿宋" w:hAnsi="仿宋" w:eastAsia="仿宋" w:cs="仿宋"/>
          <w:b/>
          <w:bCs/>
          <w:color w:val="auto"/>
          <w:kern w:val="0"/>
          <w:highlight w:val="none"/>
        </w:rPr>
        <w:t>9</w:t>
      </w:r>
      <w:r>
        <w:rPr>
          <w:rFonts w:hint="eastAsia" w:ascii="仿宋" w:hAnsi="仿宋" w:eastAsia="仿宋" w:cs="仿宋"/>
          <w:b/>
          <w:bCs/>
          <w:color w:val="auto"/>
          <w:kern w:val="0"/>
          <w:highlight w:val="none"/>
          <w:lang w:val="zh-CN"/>
        </w:rPr>
        <w:t>.1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19.1.1</w:t>
      </w:r>
      <w:r>
        <w:rPr>
          <w:rFonts w:hint="eastAsia" w:ascii="仿宋" w:hAnsi="仿宋" w:eastAsia="仿宋" w:cs="仿宋"/>
          <w:b/>
          <w:bCs/>
          <w:color w:val="auto"/>
          <w:kern w:val="0"/>
          <w:highlight w:val="none"/>
        </w:rPr>
        <w:t xml:space="preserve"> </w:t>
      </w:r>
      <w:r>
        <w:rPr>
          <w:rFonts w:hint="eastAsia" w:ascii="仿宋" w:hAnsi="仿宋" w:eastAsia="仿宋" w:cs="仿宋"/>
          <w:color w:val="auto"/>
          <w:kern w:val="0"/>
          <w:highlight w:val="none"/>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仿宋" w:hAnsi="仿宋" w:eastAsia="仿宋" w:cs="仿宋"/>
          <w:b/>
          <w:bCs/>
          <w:color w:val="auto"/>
          <w:kern w:val="0"/>
          <w:highlight w:val="none"/>
        </w:rPr>
      </w:pPr>
      <w:r>
        <w:rPr>
          <w:rFonts w:hint="eastAsia" w:ascii="仿宋" w:hAnsi="仿宋" w:eastAsia="仿宋" w:cs="仿宋"/>
          <w:color w:val="auto"/>
          <w:kern w:val="0"/>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rPr>
        <w:t>9</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1</w:t>
      </w:r>
      <w:r>
        <w:rPr>
          <w:rFonts w:hint="eastAsia" w:ascii="仿宋" w:hAnsi="仿宋" w:eastAsia="仿宋" w:cs="仿宋"/>
          <w:color w:val="auto"/>
          <w:kern w:val="0"/>
          <w:highlight w:val="none"/>
          <w:lang w:val="zh-CN"/>
        </w:rPr>
        <w:t>.2投标人存在下列情况之一的，投标无效:</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符合性审查文件未按招标文件要求签署、盖章的；</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highlight w:val="none"/>
          <w:lang w:val="zh-CN"/>
        </w:rPr>
        <w:t>未按第11</w:t>
      </w:r>
      <w:r>
        <w:rPr>
          <w:rFonts w:hint="eastAsia" w:ascii="仿宋" w:hAnsi="仿宋" w:eastAsia="仿宋" w:cs="仿宋"/>
          <w:color w:val="auto"/>
          <w:highlight w:val="none"/>
        </w:rPr>
        <w:t>.</w:t>
      </w:r>
      <w:r>
        <w:rPr>
          <w:rFonts w:hint="eastAsia" w:ascii="仿宋" w:hAnsi="仿宋" w:eastAsia="仿宋" w:cs="仿宋"/>
          <w:color w:val="auto"/>
          <w:highlight w:val="none"/>
          <w:lang w:val="zh-CN"/>
        </w:rPr>
        <w:t>2（11）-（14）款要求提供相关资料的；</w:t>
      </w:r>
    </w:p>
    <w:p>
      <w:pPr>
        <w:numPr>
          <w:ilvl w:val="0"/>
          <w:numId w:val="4"/>
        </w:num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en-US" w:eastAsia="zh-CN"/>
        </w:rPr>
        <w:t>交货（工）期</w:t>
      </w:r>
      <w:r>
        <w:rPr>
          <w:rFonts w:hint="eastAsia" w:ascii="仿宋" w:hAnsi="仿宋" w:eastAsia="仿宋" w:cs="仿宋"/>
          <w:color w:val="auto"/>
          <w:kern w:val="0"/>
          <w:highlight w:val="none"/>
          <w:lang w:val="zh-CN"/>
        </w:rPr>
        <w:t>不能满足招标文件要求的；</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highlight w:val="none"/>
        </w:rPr>
        <w:t>投标总报价超过招标文件规定的采购预算额度或者最高限价的；</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存在串通投标行为；</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highlight w:val="none"/>
        </w:rPr>
        <w:t>投标报价出现前后不一致，又不按19.1.1进行确认的；</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highlight w:val="none"/>
        </w:rPr>
        <w:t>评标委员会认为应按无效投标处理的其他情况；</w:t>
      </w:r>
    </w:p>
    <w:p>
      <w:pPr>
        <w:numPr>
          <w:ilvl w:val="0"/>
          <w:numId w:val="4"/>
        </w:num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法律、法规和招标文件规定的其他无效情形。</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19.1.3 投标文件报价出现前后不一致的，按照下列规定修正：</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（2）大写金额和小写金额不一致的，以大写金额为准；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（3）单价金额小数点或者百分比有明显错位的，以开标一览表的总价为准，并修改单价；</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（4）总价金额与按单价汇总金额不一致的，以单价金额计算结果为准。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 xml:space="preserve">19.2 </w:t>
      </w:r>
      <w:r>
        <w:rPr>
          <w:rFonts w:hint="eastAsia" w:ascii="仿宋" w:hAnsi="仿宋" w:eastAsia="仿宋" w:cs="仿宋"/>
          <w:color w:val="auto"/>
          <w:kern w:val="0"/>
          <w:highlight w:val="none"/>
          <w:lang w:val="zh-CN"/>
        </w:rPr>
        <w:t>评审过程中，在同等条件下，优先采购具有环境标志、节能、自主创新的产品。</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根据《政府采购促进中小企业发展办法》，属小型、微型企业制造的货物（产品），投标人须提供该制造（生产）企业出具的（中小企业声明函（服务），其划型标准严格按照国家工信部、国家统计局、国家发改委、财政部出台的《中小企业划型标准规定》（工信部联企业[2011]300号）执行。投标人提供的（中小企业声明函（服务）资料必须真实，否则，按照有关规定予以处理。</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仿宋" w:hAnsi="仿宋" w:eastAsia="仿宋" w:cs="仿宋"/>
          <w:color w:val="auto"/>
          <w:kern w:val="0"/>
          <w:highlight w:val="none"/>
        </w:rPr>
        <w:t>18</w:t>
      </w:r>
      <w:r>
        <w:rPr>
          <w:rFonts w:hint="eastAsia" w:ascii="仿宋" w:hAnsi="仿宋" w:eastAsia="仿宋" w:cs="仿宋"/>
          <w:color w:val="auto"/>
          <w:kern w:val="0"/>
          <w:highlight w:val="none"/>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 xml:space="preserve">19.3 </w:t>
      </w:r>
      <w:r>
        <w:rPr>
          <w:rFonts w:hint="eastAsia" w:ascii="仿宋" w:hAnsi="仿宋" w:eastAsia="仿宋" w:cs="仿宋"/>
          <w:color w:val="auto"/>
          <w:kern w:val="0"/>
          <w:highlight w:val="none"/>
          <w:lang w:val="zh-CN"/>
        </w:rPr>
        <w:t>在评审过程中，</w:t>
      </w:r>
      <w:r>
        <w:rPr>
          <w:rFonts w:hint="eastAsia" w:ascii="仿宋" w:hAnsi="仿宋" w:eastAsia="仿宋" w:cs="仿宋"/>
          <w:color w:val="auto"/>
          <w:highlight w:val="none"/>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rPr>
        <w:t>9</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val="zh-CN"/>
        </w:rPr>
        <w:t xml:space="preserve"> </w:t>
      </w:r>
      <w:r>
        <w:rPr>
          <w:rFonts w:hint="eastAsia" w:ascii="仿宋" w:hAnsi="仿宋" w:eastAsia="仿宋" w:cs="仿宋"/>
          <w:color w:val="auto"/>
          <w:highlight w:val="none"/>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rPr>
        <w:t>9</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 xml:space="preserve">5 </w:t>
      </w:r>
      <w:r>
        <w:rPr>
          <w:rFonts w:hint="eastAsia" w:ascii="仿宋" w:hAnsi="仿宋" w:eastAsia="仿宋" w:cs="仿宋"/>
          <w:b/>
          <w:bCs/>
          <w:color w:val="auto"/>
          <w:highlight w:val="none"/>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eastAsia="仿宋" w:cs="仿宋"/>
          <w:color w:val="auto"/>
          <w:highlight w:val="none"/>
          <w:shd w:val="clear" w:color="auto" w:fill="FFFFFF"/>
        </w:rPr>
        <w:t>。</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kern w:val="0"/>
          <w:highlight w:val="none"/>
        </w:rPr>
        <w:t>19.6</w:t>
      </w:r>
      <w:r>
        <w:rPr>
          <w:rFonts w:hint="eastAsia" w:ascii="仿宋" w:hAnsi="仿宋" w:eastAsia="仿宋" w:cs="仿宋"/>
          <w:color w:val="auto"/>
          <w:highlight w:val="none"/>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仿宋" w:hAnsi="仿宋" w:eastAsia="仿宋" w:cs="仿宋"/>
          <w:color w:val="auto"/>
          <w:highlight w:val="none"/>
          <w:u w:val="dashDotHeavy"/>
          <w:shd w:val="clear" w:color="auto" w:fill="FFFFFF"/>
        </w:rPr>
        <w:t>招标文件规定的方式</w:t>
      </w:r>
      <w:r>
        <w:rPr>
          <w:rFonts w:hint="eastAsia" w:ascii="仿宋" w:hAnsi="仿宋" w:eastAsia="仿宋" w:cs="仿宋"/>
          <w:color w:val="auto"/>
          <w:highlight w:val="none"/>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360" w:lineRule="auto"/>
        <w:jc w:val="left"/>
        <w:rPr>
          <w:rFonts w:hint="eastAsia" w:ascii="仿宋" w:hAnsi="仿宋" w:eastAsia="仿宋" w:cs="仿宋"/>
          <w:color w:val="auto"/>
          <w:sz w:val="28"/>
          <w:szCs w:val="28"/>
          <w:highlight w:val="none"/>
          <w:lang w:val="zh-CN"/>
        </w:rPr>
      </w:pPr>
      <w:bookmarkStart w:id="69" w:name="_Toc14011"/>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zh-CN"/>
        </w:rPr>
        <w:t>.评审方法和标准</w:t>
      </w:r>
      <w:bookmarkEnd w:id="69"/>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20</w:t>
      </w: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kern w:val="0"/>
          <w:highlight w:val="none"/>
        </w:rPr>
        <w:t>20</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本次评审方法采用综合评分法</w:t>
      </w:r>
      <w:r>
        <w:rPr>
          <w:rFonts w:hint="eastAsia" w:ascii="仿宋" w:hAnsi="仿宋" w:eastAsia="仿宋" w:cs="仿宋"/>
          <w:color w:val="auto"/>
          <w:kern w:val="0"/>
          <w:highlight w:val="none"/>
        </w:rPr>
        <w:t>。</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综合评分法，</w:t>
      </w:r>
      <w:r>
        <w:rPr>
          <w:rFonts w:hint="eastAsia" w:ascii="仿宋" w:hAnsi="仿宋" w:eastAsia="仿宋" w:cs="仿宋"/>
          <w:color w:val="auto"/>
          <w:highlight w:val="none"/>
          <w:shd w:val="clear" w:color="auto" w:fill="FFFFFF"/>
        </w:rPr>
        <w:t>是指投标文件满足招标文件全部实质性要求，且按照评审因素的量化指标评审得分最高的投标人为中标候选人的评标方法</w:t>
      </w:r>
      <w:r>
        <w:rPr>
          <w:rFonts w:hint="eastAsia" w:ascii="仿宋" w:hAnsi="仿宋" w:eastAsia="仿宋" w:cs="仿宋"/>
          <w:color w:val="auto"/>
          <w:kern w:val="0"/>
          <w:highlight w:val="none"/>
          <w:lang w:val="zh-CN"/>
        </w:rPr>
        <w:t>。</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评审因素的设定应当与投标人所提供货物服务的质量相关，包括</w:t>
      </w:r>
      <w:r>
        <w:rPr>
          <w:rFonts w:hint="eastAsia" w:ascii="仿宋" w:hAnsi="仿宋" w:eastAsia="仿宋" w:cs="仿宋"/>
          <w:b/>
          <w:bCs/>
          <w:color w:val="auto"/>
          <w:highlight w:val="none"/>
          <w:shd w:val="clear" w:color="auto" w:fill="FFFFFF"/>
        </w:rPr>
        <w:t>投标报价、</w:t>
      </w:r>
      <w:r>
        <w:rPr>
          <w:rFonts w:hint="eastAsia" w:ascii="仿宋" w:hAnsi="仿宋" w:eastAsia="仿宋" w:cs="仿宋"/>
          <w:b/>
          <w:bCs/>
          <w:color w:val="auto"/>
          <w:highlight w:val="none"/>
          <w:shd w:val="clear" w:color="auto" w:fill="FFFFFF"/>
          <w:lang w:val="en-US" w:eastAsia="zh-CN"/>
        </w:rPr>
        <w:t>项目实施方案、</w:t>
      </w:r>
      <w:r>
        <w:rPr>
          <w:rFonts w:hint="eastAsia" w:ascii="仿宋" w:hAnsi="仿宋" w:eastAsia="仿宋" w:cs="仿宋"/>
          <w:b/>
          <w:bCs/>
          <w:color w:val="auto"/>
          <w:highlight w:val="none"/>
          <w:shd w:val="clear" w:color="auto" w:fill="FFFFFF"/>
        </w:rPr>
        <w:t>技术水平、履约能力</w:t>
      </w:r>
      <w:r>
        <w:rPr>
          <w:rFonts w:hint="eastAsia" w:ascii="仿宋" w:hAnsi="仿宋" w:eastAsia="仿宋" w:cs="仿宋"/>
          <w:color w:val="auto"/>
          <w:highlight w:val="none"/>
          <w:shd w:val="clear" w:color="auto" w:fill="FFFFFF"/>
        </w:rPr>
        <w:t>等。资格条件不得作为评审因素。</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包一至包七、包九、包十评标办法</w:t>
      </w:r>
    </w:p>
    <w:tbl>
      <w:tblPr>
        <w:tblStyle w:val="22"/>
        <w:tblW w:w="9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276"/>
        <w:gridCol w:w="7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561" w:type="dxa"/>
            <w:noWrap w:val="0"/>
            <w:vAlign w:val="top"/>
          </w:tcPr>
          <w:p>
            <w:pPr>
              <w:pStyle w:val="37"/>
              <w:spacing w:before="35" w:line="242" w:lineRule="auto"/>
              <w:ind w:left="160" w:right="143"/>
              <w:rPr>
                <w:sz w:val="24"/>
              </w:rPr>
            </w:pPr>
            <w:r>
              <w:rPr>
                <w:sz w:val="24"/>
              </w:rPr>
              <w:t>序号</w:t>
            </w:r>
          </w:p>
        </w:tc>
        <w:tc>
          <w:tcPr>
            <w:tcW w:w="1276" w:type="dxa"/>
            <w:noWrap w:val="0"/>
            <w:vAlign w:val="top"/>
          </w:tcPr>
          <w:p>
            <w:pPr>
              <w:pStyle w:val="37"/>
              <w:spacing w:before="191"/>
              <w:ind w:left="158"/>
              <w:rPr>
                <w:sz w:val="24"/>
              </w:rPr>
            </w:pPr>
            <w:r>
              <w:rPr>
                <w:sz w:val="24"/>
              </w:rPr>
              <w:t>评审因素</w:t>
            </w:r>
          </w:p>
        </w:tc>
        <w:tc>
          <w:tcPr>
            <w:tcW w:w="7601" w:type="dxa"/>
            <w:noWrap w:val="0"/>
            <w:vAlign w:val="top"/>
          </w:tcPr>
          <w:p>
            <w:pPr>
              <w:pStyle w:val="37"/>
              <w:spacing w:before="191"/>
              <w:ind w:left="2911" w:right="2899"/>
              <w:jc w:val="center"/>
              <w:rPr>
                <w:sz w:val="24"/>
              </w:rPr>
            </w:pPr>
            <w:r>
              <w:rPr>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3"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210"/>
              <w:ind w:left="14"/>
              <w:jc w:val="center"/>
              <w:rPr>
                <w:b/>
                <w:sz w:val="24"/>
              </w:rPr>
            </w:pPr>
            <w:r>
              <w:rPr>
                <w:b/>
                <w:w w:val="99"/>
                <w:sz w:val="24"/>
              </w:rPr>
              <w:t>1</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spacing w:before="3"/>
              <w:rPr>
                <w:b/>
                <w:sz w:val="22"/>
              </w:rPr>
            </w:pPr>
          </w:p>
          <w:p>
            <w:pPr>
              <w:pStyle w:val="37"/>
              <w:ind w:left="158"/>
              <w:rPr>
                <w:b/>
                <w:sz w:val="24"/>
              </w:rPr>
            </w:pPr>
            <w:r>
              <w:rPr>
                <w:b/>
                <w:w w:val="95"/>
                <w:sz w:val="24"/>
              </w:rPr>
              <w:t>投标报价</w:t>
            </w:r>
          </w:p>
          <w:p>
            <w:pPr>
              <w:pStyle w:val="37"/>
              <w:spacing w:before="158"/>
              <w:ind w:left="187"/>
              <w:rPr>
                <w:b/>
                <w:sz w:val="24"/>
              </w:rPr>
            </w:pPr>
            <w:r>
              <w:rPr>
                <w:b/>
                <w:sz w:val="24"/>
              </w:rPr>
              <w:t>（30</w:t>
            </w:r>
            <w:r>
              <w:rPr>
                <w:b/>
                <w:spacing w:val="-22"/>
                <w:sz w:val="24"/>
              </w:rPr>
              <w:t xml:space="preserve"> 分)</w:t>
            </w:r>
          </w:p>
        </w:tc>
        <w:tc>
          <w:tcPr>
            <w:tcW w:w="7601" w:type="dxa"/>
            <w:noWrap w:val="0"/>
            <w:vAlign w:val="top"/>
          </w:tcPr>
          <w:p>
            <w:pPr>
              <w:pStyle w:val="37"/>
              <w:spacing w:before="113" w:line="360" w:lineRule="auto"/>
              <w:ind w:left="108" w:right="247" w:rightChars="0"/>
              <w:rPr>
                <w:sz w:val="24"/>
                <w:szCs w:val="24"/>
              </w:rPr>
            </w:pPr>
            <w:r>
              <w:rPr>
                <w:sz w:val="24"/>
                <w:szCs w:val="24"/>
              </w:rPr>
              <w:t>投标基准价=满足招标文件要求且最后有效投标报价的最低价为基准价。</w:t>
            </w:r>
            <w:r>
              <w:rPr>
                <w:spacing w:val="-3"/>
                <w:sz w:val="24"/>
                <w:szCs w:val="24"/>
              </w:rPr>
              <w:t>报价得分=</w:t>
            </w:r>
            <w:r>
              <w:rPr>
                <w:spacing w:val="-12"/>
                <w:sz w:val="24"/>
                <w:szCs w:val="24"/>
              </w:rPr>
              <w:t>（</w:t>
            </w:r>
            <w:r>
              <w:rPr>
                <w:sz w:val="24"/>
                <w:szCs w:val="24"/>
              </w:rPr>
              <w:t>基准价/最后报价</w:t>
            </w:r>
            <w:r>
              <w:rPr>
                <w:spacing w:val="-11"/>
                <w:sz w:val="24"/>
                <w:szCs w:val="24"/>
              </w:rPr>
              <w:t>）</w:t>
            </w:r>
            <w:r>
              <w:rPr>
                <w:spacing w:val="-7"/>
                <w:sz w:val="24"/>
                <w:szCs w:val="24"/>
              </w:rPr>
              <w:t>×价格权值</w:t>
            </w:r>
            <w:r>
              <w:rPr>
                <w:spacing w:val="-5"/>
                <w:sz w:val="24"/>
                <w:szCs w:val="24"/>
              </w:rPr>
              <w:t>（30%）×100（</w:t>
            </w:r>
            <w:r>
              <w:rPr>
                <w:spacing w:val="-8"/>
                <w:sz w:val="24"/>
                <w:szCs w:val="24"/>
              </w:rPr>
              <w:t>四舍</w:t>
            </w:r>
            <w:r>
              <w:rPr>
                <w:sz w:val="24"/>
                <w:szCs w:val="24"/>
              </w:rPr>
              <w:t>五入后保留小数点后两位）。</w:t>
            </w:r>
          </w:p>
          <w:p>
            <w:pPr>
              <w:pStyle w:val="37"/>
              <w:spacing w:line="360" w:lineRule="auto"/>
              <w:ind w:left="108" w:right="247" w:rightChars="0"/>
              <w:rPr>
                <w:sz w:val="24"/>
                <w:szCs w:val="24"/>
              </w:rPr>
            </w:pPr>
            <w:r>
              <w:rPr>
                <w:spacing w:val="-10"/>
                <w:sz w:val="24"/>
                <w:szCs w:val="24"/>
              </w:rPr>
              <w:t>注：根据《政府采购促进中小企业发展暂行办法》、《关于促进</w:t>
            </w:r>
            <w:r>
              <w:rPr>
                <w:spacing w:val="-17"/>
                <w:sz w:val="24"/>
                <w:szCs w:val="24"/>
              </w:rPr>
              <w:t>残疾人就业政府采购政策的通知》的相关规定，对残疾人福利性</w:t>
            </w:r>
            <w:r>
              <w:rPr>
                <w:spacing w:val="-9"/>
                <w:sz w:val="24"/>
                <w:szCs w:val="24"/>
              </w:rPr>
              <w:t>单位、小型和微型企业制造</w:t>
            </w:r>
            <w:r>
              <w:rPr>
                <w:sz w:val="24"/>
                <w:szCs w:val="24"/>
              </w:rPr>
              <w:t>（生产</w:t>
            </w:r>
            <w:r>
              <w:rPr>
                <w:spacing w:val="-17"/>
                <w:sz w:val="24"/>
                <w:szCs w:val="24"/>
              </w:rPr>
              <w:t>）</w:t>
            </w:r>
            <w:r>
              <w:rPr>
                <w:spacing w:val="-8"/>
                <w:sz w:val="24"/>
                <w:szCs w:val="24"/>
              </w:rPr>
              <w:t xml:space="preserve">产品的价格给予 </w:t>
            </w:r>
            <w:r>
              <w:rPr>
                <w:sz w:val="24"/>
                <w:szCs w:val="24"/>
              </w:rPr>
              <w:t>6%</w:t>
            </w:r>
            <w:r>
              <w:rPr>
                <w:spacing w:val="-4"/>
                <w:sz w:val="24"/>
                <w:szCs w:val="24"/>
              </w:rPr>
              <w:t xml:space="preserve">的扣除， </w:t>
            </w:r>
            <w:r>
              <w:rPr>
                <w:spacing w:val="-8"/>
                <w:sz w:val="24"/>
                <w:szCs w:val="24"/>
              </w:rPr>
              <w:t>用扣除后的价格参与评标。残疾人福利性单位属于小型、微型企</w:t>
            </w:r>
            <w:r>
              <w:rPr>
                <w:sz w:val="24"/>
                <w:szCs w:val="24"/>
              </w:rPr>
              <w:t>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164"/>
              <w:ind w:left="14"/>
              <w:jc w:val="center"/>
              <w:rPr>
                <w:b/>
                <w:sz w:val="24"/>
              </w:rPr>
            </w:pPr>
            <w:r>
              <w:rPr>
                <w:b/>
                <w:w w:val="99"/>
                <w:sz w:val="24"/>
              </w:rPr>
              <w:t>2</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8"/>
              <w:rPr>
                <w:b/>
                <w:sz w:val="18"/>
              </w:rPr>
            </w:pPr>
          </w:p>
          <w:p>
            <w:pPr>
              <w:pStyle w:val="37"/>
              <w:ind w:left="158"/>
              <w:rPr>
                <w:b/>
                <w:sz w:val="24"/>
              </w:rPr>
            </w:pPr>
            <w:r>
              <w:rPr>
                <w:b/>
                <w:w w:val="95"/>
                <w:sz w:val="24"/>
              </w:rPr>
              <w:t>技术水平</w:t>
            </w:r>
          </w:p>
          <w:p>
            <w:pPr>
              <w:pStyle w:val="37"/>
              <w:spacing w:before="158"/>
              <w:ind w:left="127"/>
              <w:rPr>
                <w:b/>
                <w:sz w:val="24"/>
              </w:rPr>
            </w:pPr>
            <w:r>
              <w:rPr>
                <w:b/>
                <w:sz w:val="24"/>
              </w:rPr>
              <w:t>（</w:t>
            </w:r>
            <w:r>
              <w:rPr>
                <w:rFonts w:hint="eastAsia"/>
                <w:b/>
                <w:sz w:val="24"/>
                <w:lang w:val="en-US" w:eastAsia="zh-CN"/>
              </w:rPr>
              <w:t>53</w:t>
            </w:r>
            <w:r>
              <w:rPr>
                <w:b/>
                <w:spacing w:val="-32"/>
                <w:sz w:val="24"/>
              </w:rPr>
              <w:t>分</w:t>
            </w:r>
            <w:r>
              <w:rPr>
                <w:b/>
                <w:sz w:val="24"/>
              </w:rPr>
              <w:t>）</w:t>
            </w:r>
          </w:p>
        </w:tc>
        <w:tc>
          <w:tcPr>
            <w:tcW w:w="7601" w:type="dxa"/>
            <w:noWrap w:val="0"/>
            <w:vAlign w:val="top"/>
          </w:tcPr>
          <w:p>
            <w:pPr>
              <w:pStyle w:val="37"/>
              <w:spacing w:before="113" w:line="360" w:lineRule="auto"/>
              <w:ind w:left="108" w:right="247" w:rightChars="0"/>
              <w:rPr>
                <w:sz w:val="24"/>
                <w:szCs w:val="24"/>
              </w:rPr>
            </w:pPr>
            <w:r>
              <w:rPr>
                <w:b/>
                <w:bCs/>
                <w:sz w:val="24"/>
                <w:szCs w:val="24"/>
              </w:rPr>
              <w:t>对招标文件的响应程度（15分）：</w:t>
            </w:r>
            <w:r>
              <w:rPr>
                <w:sz w:val="24"/>
                <w:szCs w:val="24"/>
              </w:rPr>
              <w:t>针对本项目实际情况横向比较各投标人提供的苗木准备的供货工序（包括起苗、选苗、运输等方面）有保证措施且好的得 15 分，较好的得 10 分，一般的得 5 分，没有不得分。</w:t>
            </w:r>
          </w:p>
          <w:p>
            <w:pPr>
              <w:pStyle w:val="37"/>
              <w:numPr>
                <w:ilvl w:val="0"/>
                <w:numId w:val="0"/>
              </w:numPr>
              <w:tabs>
                <w:tab w:val="left" w:pos="350"/>
              </w:tabs>
              <w:spacing w:before="134" w:after="0" w:line="360" w:lineRule="auto"/>
              <w:ind w:left="108" w:leftChars="0" w:right="247" w:rightChars="0"/>
              <w:jc w:val="left"/>
              <w:rPr>
                <w:spacing w:val="-8"/>
                <w:sz w:val="24"/>
                <w:szCs w:val="24"/>
              </w:rPr>
            </w:pPr>
            <w:r>
              <w:rPr>
                <w:b/>
                <w:spacing w:val="-3"/>
                <w:sz w:val="24"/>
                <w:szCs w:val="24"/>
              </w:rPr>
              <w:t>项目管理及实施方案</w:t>
            </w:r>
            <w:r>
              <w:rPr>
                <w:b/>
                <w:sz w:val="24"/>
                <w:szCs w:val="24"/>
              </w:rPr>
              <w:t>（10</w:t>
            </w:r>
            <w:r>
              <w:rPr>
                <w:b/>
                <w:spacing w:val="-29"/>
                <w:sz w:val="24"/>
                <w:szCs w:val="24"/>
              </w:rPr>
              <w:t xml:space="preserve"> 分</w:t>
            </w:r>
            <w:r>
              <w:rPr>
                <w:b/>
                <w:spacing w:val="-21"/>
                <w:sz w:val="24"/>
                <w:szCs w:val="24"/>
              </w:rPr>
              <w:t>）：</w:t>
            </w:r>
            <w:r>
              <w:rPr>
                <w:spacing w:val="-1"/>
                <w:sz w:val="24"/>
                <w:szCs w:val="24"/>
              </w:rPr>
              <w:t xml:space="preserve">针对本项目有项目管理机构， </w:t>
            </w:r>
            <w:r>
              <w:rPr>
                <w:spacing w:val="-10"/>
                <w:sz w:val="24"/>
                <w:szCs w:val="24"/>
              </w:rPr>
              <w:t>并且有科学、具体的项目管理措施及质量、进度、安全文明施工</w:t>
            </w:r>
            <w:r>
              <w:rPr>
                <w:spacing w:val="-13"/>
                <w:sz w:val="24"/>
                <w:szCs w:val="24"/>
              </w:rPr>
              <w:t xml:space="preserve">方案，能够结合项目特点制定实施方案，优秀的，得 </w:t>
            </w:r>
            <w:r>
              <w:rPr>
                <w:sz w:val="24"/>
                <w:szCs w:val="24"/>
              </w:rPr>
              <w:t>10</w:t>
            </w:r>
            <w:r>
              <w:rPr>
                <w:spacing w:val="-15"/>
                <w:sz w:val="24"/>
                <w:szCs w:val="24"/>
              </w:rPr>
              <w:t xml:space="preserve"> 分；</w:t>
            </w:r>
            <w:r>
              <w:rPr>
                <w:rFonts w:hint="eastAsia"/>
                <w:spacing w:val="-15"/>
                <w:sz w:val="24"/>
                <w:szCs w:val="24"/>
                <w:lang w:val="en-US" w:eastAsia="zh-CN"/>
              </w:rPr>
              <w:t>较好</w:t>
            </w:r>
            <w:r>
              <w:rPr>
                <w:spacing w:val="-12"/>
                <w:sz w:val="24"/>
                <w:szCs w:val="24"/>
              </w:rPr>
              <w:t xml:space="preserve">的，得 </w:t>
            </w:r>
            <w:r>
              <w:rPr>
                <w:sz w:val="24"/>
                <w:szCs w:val="24"/>
              </w:rPr>
              <w:t>6</w:t>
            </w:r>
            <w:r>
              <w:rPr>
                <w:spacing w:val="-14"/>
                <w:sz w:val="24"/>
                <w:szCs w:val="24"/>
              </w:rPr>
              <w:t xml:space="preserve"> 分；</w:t>
            </w:r>
            <w:r>
              <w:rPr>
                <w:rFonts w:hint="eastAsia"/>
                <w:spacing w:val="-14"/>
                <w:sz w:val="24"/>
                <w:szCs w:val="24"/>
                <w:lang w:val="en-US" w:eastAsia="zh-CN"/>
              </w:rPr>
              <w:t>一般</w:t>
            </w:r>
            <w:r>
              <w:rPr>
                <w:spacing w:val="-14"/>
                <w:sz w:val="24"/>
                <w:szCs w:val="24"/>
              </w:rPr>
              <w:t xml:space="preserve">的得 </w:t>
            </w:r>
            <w:r>
              <w:rPr>
                <w:sz w:val="24"/>
                <w:szCs w:val="24"/>
              </w:rPr>
              <w:t>3</w:t>
            </w:r>
            <w:r>
              <w:rPr>
                <w:spacing w:val="-8"/>
                <w:sz w:val="24"/>
                <w:szCs w:val="24"/>
              </w:rPr>
              <w:t xml:space="preserve"> 分；未提供或其他情况不得分。</w:t>
            </w:r>
          </w:p>
          <w:p>
            <w:pPr>
              <w:pStyle w:val="37"/>
              <w:spacing w:before="113" w:line="360" w:lineRule="auto"/>
              <w:ind w:left="108" w:right="247" w:rightChars="0"/>
              <w:rPr>
                <w:sz w:val="24"/>
                <w:szCs w:val="24"/>
              </w:rPr>
            </w:pPr>
            <w:r>
              <w:rPr>
                <w:rFonts w:hint="eastAsia"/>
                <w:b/>
                <w:bCs/>
                <w:sz w:val="24"/>
                <w:szCs w:val="24"/>
                <w:lang w:val="zh-CN" w:eastAsia="zh-CN"/>
              </w:rPr>
              <w:t>货物的数量和质量保证措施（</w:t>
            </w:r>
            <w:r>
              <w:rPr>
                <w:rFonts w:hint="eastAsia"/>
                <w:b/>
                <w:bCs/>
                <w:sz w:val="24"/>
                <w:szCs w:val="24"/>
                <w:lang w:val="en-US" w:eastAsia="zh-CN"/>
              </w:rPr>
              <w:t>9分）</w:t>
            </w:r>
            <w:r>
              <w:rPr>
                <w:rFonts w:hint="eastAsia"/>
                <w:sz w:val="24"/>
                <w:szCs w:val="24"/>
                <w:lang w:val="zh-CN" w:eastAsia="zh-CN"/>
              </w:rPr>
              <w:t>：根据各投标人的货物的数量和质量保证措施，</w:t>
            </w:r>
            <w:r>
              <w:rPr>
                <w:rFonts w:hint="eastAsia"/>
                <w:sz w:val="24"/>
                <w:szCs w:val="24"/>
                <w:lang w:val="en-US" w:eastAsia="zh-CN"/>
              </w:rPr>
              <w:t>优秀的</w:t>
            </w:r>
            <w:r>
              <w:rPr>
                <w:rFonts w:hint="eastAsia"/>
                <w:sz w:val="24"/>
                <w:szCs w:val="24"/>
                <w:lang w:val="zh-CN" w:eastAsia="zh-CN"/>
              </w:rPr>
              <w:t>得</w:t>
            </w:r>
            <w:r>
              <w:rPr>
                <w:rFonts w:hint="eastAsia"/>
                <w:sz w:val="24"/>
                <w:szCs w:val="24"/>
                <w:lang w:val="en-US" w:eastAsia="zh-CN"/>
              </w:rPr>
              <w:t>9</w:t>
            </w:r>
            <w:r>
              <w:rPr>
                <w:rFonts w:hint="eastAsia"/>
                <w:sz w:val="24"/>
                <w:szCs w:val="24"/>
                <w:lang w:val="zh-CN" w:eastAsia="zh-CN"/>
              </w:rPr>
              <w:t>分，</w:t>
            </w:r>
            <w:r>
              <w:rPr>
                <w:rFonts w:hint="eastAsia"/>
                <w:sz w:val="24"/>
                <w:szCs w:val="24"/>
                <w:lang w:val="en-US" w:eastAsia="zh-CN"/>
              </w:rPr>
              <w:t>较好的</w:t>
            </w:r>
            <w:r>
              <w:rPr>
                <w:rFonts w:hint="eastAsia"/>
                <w:sz w:val="24"/>
                <w:szCs w:val="24"/>
                <w:lang w:val="zh-CN" w:eastAsia="zh-CN"/>
              </w:rPr>
              <w:t>得6分，一般的得</w:t>
            </w:r>
            <w:r>
              <w:rPr>
                <w:rFonts w:hint="eastAsia"/>
                <w:sz w:val="24"/>
                <w:szCs w:val="24"/>
                <w:lang w:val="en-US" w:eastAsia="zh-CN"/>
              </w:rPr>
              <w:t>3</w:t>
            </w:r>
            <w:r>
              <w:rPr>
                <w:rFonts w:hint="eastAsia"/>
                <w:sz w:val="24"/>
                <w:szCs w:val="24"/>
                <w:lang w:val="zh-CN" w:eastAsia="zh-CN"/>
              </w:rPr>
              <w:t>分，差或不提供的不得分。</w:t>
            </w:r>
          </w:p>
          <w:p>
            <w:pPr>
              <w:pStyle w:val="37"/>
              <w:numPr>
                <w:ilvl w:val="0"/>
                <w:numId w:val="0"/>
              </w:numPr>
              <w:tabs>
                <w:tab w:val="left" w:pos="352"/>
              </w:tabs>
              <w:spacing w:before="112" w:after="0" w:line="480" w:lineRule="auto"/>
              <w:ind w:left="108" w:leftChars="0" w:right="247" w:rightChars="0"/>
              <w:jc w:val="both"/>
              <w:rPr>
                <w:sz w:val="24"/>
                <w:szCs w:val="24"/>
              </w:rPr>
            </w:pPr>
            <w:r>
              <w:rPr>
                <w:b/>
                <w:spacing w:val="1"/>
                <w:sz w:val="24"/>
                <w:szCs w:val="24"/>
              </w:rPr>
              <w:t>供苗流程</w:t>
            </w:r>
            <w:r>
              <w:rPr>
                <w:b/>
                <w:spacing w:val="2"/>
                <w:sz w:val="24"/>
                <w:szCs w:val="24"/>
              </w:rPr>
              <w:t>（10</w:t>
            </w:r>
            <w:r>
              <w:rPr>
                <w:b/>
                <w:spacing w:val="-20"/>
                <w:sz w:val="24"/>
                <w:szCs w:val="24"/>
              </w:rPr>
              <w:t xml:space="preserve"> 分</w:t>
            </w:r>
            <w:r>
              <w:rPr>
                <w:b/>
                <w:spacing w:val="3"/>
                <w:sz w:val="24"/>
                <w:szCs w:val="24"/>
              </w:rPr>
              <w:t>）：</w:t>
            </w:r>
            <w:r>
              <w:rPr>
                <w:sz w:val="24"/>
                <w:szCs w:val="24"/>
              </w:rPr>
              <w:t>供苗流程能满足进度计划和保证苗木质</w:t>
            </w:r>
            <w:r>
              <w:rPr>
                <w:spacing w:val="-11"/>
                <w:sz w:val="24"/>
                <w:szCs w:val="24"/>
              </w:rPr>
              <w:t>量要求，流水作业能保证施工连续、均衡、有节奏地进行。管理</w:t>
            </w:r>
            <w:r>
              <w:rPr>
                <w:spacing w:val="-14"/>
                <w:sz w:val="24"/>
                <w:szCs w:val="24"/>
              </w:rPr>
              <w:t>措施能有效保证投标计划的顺利完成，</w:t>
            </w:r>
            <w:r>
              <w:rPr>
                <w:rFonts w:hint="eastAsia"/>
                <w:spacing w:val="-14"/>
                <w:sz w:val="24"/>
                <w:szCs w:val="24"/>
                <w:lang w:val="en-US" w:eastAsia="zh-CN"/>
              </w:rPr>
              <w:t>优秀</w:t>
            </w:r>
            <w:r>
              <w:rPr>
                <w:spacing w:val="-14"/>
                <w:sz w:val="24"/>
                <w:szCs w:val="24"/>
              </w:rPr>
              <w:t xml:space="preserve">的得 </w:t>
            </w:r>
            <w:r>
              <w:rPr>
                <w:sz w:val="24"/>
                <w:szCs w:val="24"/>
              </w:rPr>
              <w:t>10</w:t>
            </w:r>
            <w:r>
              <w:rPr>
                <w:spacing w:val="-10"/>
                <w:sz w:val="24"/>
                <w:szCs w:val="24"/>
              </w:rPr>
              <w:t xml:space="preserve"> 分；一般的</w:t>
            </w:r>
            <w:r>
              <w:rPr>
                <w:sz w:val="24"/>
                <w:szCs w:val="24"/>
              </w:rPr>
              <w:t>得 6 分；较差的得 3 分；未提供或其他情况不得分。</w:t>
            </w:r>
          </w:p>
          <w:p>
            <w:pPr>
              <w:pStyle w:val="37"/>
              <w:spacing w:before="1" w:line="360" w:lineRule="auto"/>
              <w:ind w:left="108" w:right="247" w:rightChars="0"/>
              <w:rPr>
                <w:sz w:val="24"/>
                <w:szCs w:val="24"/>
              </w:rPr>
            </w:pPr>
            <w:r>
              <w:rPr>
                <w:b/>
                <w:spacing w:val="-10"/>
                <w:sz w:val="24"/>
                <w:szCs w:val="24"/>
              </w:rPr>
              <w:t>网围栏</w:t>
            </w:r>
            <w:r>
              <w:rPr>
                <w:rFonts w:hint="eastAsia"/>
                <w:b/>
                <w:spacing w:val="-10"/>
                <w:sz w:val="24"/>
                <w:szCs w:val="24"/>
                <w:lang w:val="en-US" w:eastAsia="zh-CN"/>
              </w:rPr>
              <w:t>运输及</w:t>
            </w:r>
            <w:r>
              <w:rPr>
                <w:b/>
                <w:spacing w:val="-10"/>
                <w:sz w:val="24"/>
                <w:szCs w:val="24"/>
              </w:rPr>
              <w:t>安装质量</w:t>
            </w:r>
            <w:r>
              <w:rPr>
                <w:b/>
                <w:sz w:val="24"/>
                <w:szCs w:val="24"/>
              </w:rPr>
              <w:t>（</w:t>
            </w:r>
            <w:r>
              <w:rPr>
                <w:rFonts w:hint="eastAsia"/>
                <w:b/>
                <w:sz w:val="24"/>
                <w:szCs w:val="24"/>
                <w:lang w:val="en-US" w:eastAsia="zh-CN"/>
              </w:rPr>
              <w:t>9</w:t>
            </w:r>
            <w:r>
              <w:rPr>
                <w:b/>
                <w:spacing w:val="-30"/>
                <w:sz w:val="24"/>
                <w:szCs w:val="24"/>
              </w:rPr>
              <w:t xml:space="preserve"> 分</w:t>
            </w:r>
            <w:r>
              <w:rPr>
                <w:b/>
                <w:spacing w:val="-21"/>
                <w:sz w:val="24"/>
                <w:szCs w:val="24"/>
              </w:rPr>
              <w:t>）：</w:t>
            </w:r>
            <w:r>
              <w:rPr>
                <w:spacing w:val="-1"/>
                <w:sz w:val="24"/>
                <w:szCs w:val="24"/>
              </w:rPr>
              <w:t>针对本项目网围栏</w:t>
            </w:r>
            <w:r>
              <w:rPr>
                <w:rFonts w:hint="eastAsia"/>
                <w:spacing w:val="-1"/>
                <w:sz w:val="24"/>
                <w:szCs w:val="24"/>
                <w:lang w:val="en-US" w:eastAsia="zh-CN"/>
              </w:rPr>
              <w:t>运输及</w:t>
            </w:r>
            <w:r>
              <w:rPr>
                <w:spacing w:val="-1"/>
                <w:sz w:val="24"/>
                <w:szCs w:val="24"/>
              </w:rPr>
              <w:t>安装</w:t>
            </w:r>
            <w:r>
              <w:rPr>
                <w:rFonts w:hint="eastAsia"/>
                <w:spacing w:val="-1"/>
                <w:sz w:val="24"/>
                <w:szCs w:val="24"/>
                <w:lang w:eastAsia="zh-CN"/>
              </w:rPr>
              <w:t>、</w:t>
            </w:r>
            <w:r>
              <w:rPr>
                <w:spacing w:val="-1"/>
                <w:sz w:val="24"/>
                <w:szCs w:val="24"/>
              </w:rPr>
              <w:t>质量控制</w:t>
            </w:r>
            <w:r>
              <w:rPr>
                <w:rFonts w:hint="eastAsia"/>
                <w:spacing w:val="-1"/>
                <w:sz w:val="24"/>
                <w:szCs w:val="24"/>
                <w:lang w:eastAsia="zh-CN"/>
              </w:rPr>
              <w:t>、</w:t>
            </w:r>
            <w:r>
              <w:rPr>
                <w:rFonts w:hint="eastAsia"/>
                <w:spacing w:val="-1"/>
                <w:sz w:val="24"/>
                <w:szCs w:val="24"/>
                <w:lang w:val="en-US" w:eastAsia="zh-CN"/>
              </w:rPr>
              <w:t>人员配备完整明确的</w:t>
            </w:r>
            <w:r>
              <w:rPr>
                <w:spacing w:val="-1"/>
                <w:sz w:val="24"/>
                <w:szCs w:val="24"/>
              </w:rPr>
              <w:t xml:space="preserve">得 </w:t>
            </w:r>
            <w:r>
              <w:rPr>
                <w:rFonts w:hint="eastAsia"/>
                <w:sz w:val="24"/>
                <w:szCs w:val="24"/>
                <w:lang w:val="en-US" w:eastAsia="zh-CN"/>
              </w:rPr>
              <w:t>9</w:t>
            </w:r>
            <w:r>
              <w:rPr>
                <w:spacing w:val="-8"/>
                <w:sz w:val="24"/>
                <w:szCs w:val="24"/>
              </w:rPr>
              <w:t xml:space="preserve"> 分；</w:t>
            </w:r>
            <w:r>
              <w:rPr>
                <w:rFonts w:hint="eastAsia"/>
                <w:spacing w:val="-8"/>
                <w:sz w:val="24"/>
                <w:szCs w:val="24"/>
                <w:lang w:val="en-US" w:eastAsia="zh-CN"/>
              </w:rPr>
              <w:t>每缺一项扣3</w:t>
            </w:r>
            <w:r>
              <w:rPr>
                <w:spacing w:val="-16"/>
                <w:sz w:val="24"/>
                <w:szCs w:val="24"/>
              </w:rPr>
              <w:t xml:space="preserve"> 分</w:t>
            </w:r>
            <w:r>
              <w:rPr>
                <w:rFonts w:hint="eastAsia"/>
                <w:spacing w:val="-16"/>
                <w:sz w:val="24"/>
                <w:szCs w:val="24"/>
                <w:lang w:eastAsia="zh-CN"/>
              </w:rPr>
              <w:t>，</w:t>
            </w:r>
            <w:r>
              <w:rPr>
                <w:rFonts w:hint="eastAsia"/>
                <w:spacing w:val="-16"/>
                <w:sz w:val="24"/>
                <w:szCs w:val="24"/>
                <w:lang w:val="en-US" w:eastAsia="zh-CN"/>
              </w:rPr>
              <w:t>扣完为止</w:t>
            </w:r>
            <w:r>
              <w:rPr>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19"/>
              </w:rPr>
            </w:pPr>
          </w:p>
          <w:p>
            <w:pPr>
              <w:pStyle w:val="37"/>
              <w:ind w:left="14" w:leftChars="0"/>
              <w:jc w:val="center"/>
              <w:rPr>
                <w:rFonts w:ascii="仿宋" w:hAnsi="仿宋" w:eastAsia="仿宋" w:cs="仿宋"/>
                <w:b/>
                <w:kern w:val="2"/>
                <w:sz w:val="24"/>
                <w:szCs w:val="24"/>
                <w:lang w:val="zh-CN" w:eastAsia="zh-CN" w:bidi="zh-CN"/>
              </w:rPr>
            </w:pPr>
            <w:r>
              <w:rPr>
                <w:b/>
                <w:w w:val="99"/>
                <w:sz w:val="24"/>
              </w:rPr>
              <w:t>3</w:t>
            </w:r>
          </w:p>
        </w:tc>
        <w:tc>
          <w:tcPr>
            <w:tcW w:w="1276" w:type="dxa"/>
            <w:noWrap w:val="0"/>
            <w:vAlign w:val="top"/>
          </w:tcPr>
          <w:p>
            <w:pPr>
              <w:pStyle w:val="37"/>
              <w:rPr>
                <w:b/>
                <w:sz w:val="24"/>
              </w:rPr>
            </w:pPr>
          </w:p>
          <w:p>
            <w:pPr>
              <w:pStyle w:val="37"/>
              <w:spacing w:before="160"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履约能力(</w:t>
            </w:r>
            <w:r>
              <w:rPr>
                <w:rFonts w:hint="eastAsia"/>
                <w:b/>
                <w:sz w:val="24"/>
                <w:lang w:val="en-US" w:eastAsia="zh-CN"/>
              </w:rPr>
              <w:t>6</w:t>
            </w:r>
            <w:r>
              <w:rPr>
                <w:b/>
                <w:sz w:val="24"/>
              </w:rPr>
              <w:t xml:space="preserve"> 分)</w:t>
            </w:r>
          </w:p>
        </w:tc>
        <w:tc>
          <w:tcPr>
            <w:tcW w:w="7601" w:type="dxa"/>
            <w:noWrap w:val="0"/>
            <w:vAlign w:val="top"/>
          </w:tcPr>
          <w:p>
            <w:pPr>
              <w:pStyle w:val="37"/>
              <w:spacing w:before="2" w:line="360" w:lineRule="auto"/>
              <w:ind w:left="108" w:right="247" w:rightChars="0"/>
              <w:rPr>
                <w:rFonts w:ascii="仿宋" w:hAnsi="仿宋" w:eastAsia="仿宋" w:cs="仿宋"/>
                <w:kern w:val="2"/>
                <w:sz w:val="24"/>
                <w:szCs w:val="24"/>
                <w:lang w:val="zh-CN" w:eastAsia="zh-CN" w:bidi="zh-CN"/>
              </w:rPr>
            </w:pPr>
            <w:r>
              <w:rPr>
                <w:b/>
                <w:sz w:val="24"/>
                <w:szCs w:val="24"/>
              </w:rPr>
              <w:t>类似业绩情况（</w:t>
            </w:r>
            <w:r>
              <w:rPr>
                <w:rFonts w:hint="eastAsia"/>
                <w:b/>
                <w:sz w:val="24"/>
                <w:szCs w:val="24"/>
                <w:lang w:val="en-US" w:eastAsia="zh-CN"/>
              </w:rPr>
              <w:t>6</w:t>
            </w:r>
            <w:r>
              <w:rPr>
                <w:b/>
                <w:spacing w:val="-31"/>
                <w:sz w:val="24"/>
                <w:szCs w:val="24"/>
              </w:rPr>
              <w:t xml:space="preserve"> 分</w:t>
            </w:r>
            <w:r>
              <w:rPr>
                <w:b/>
                <w:sz w:val="24"/>
                <w:szCs w:val="24"/>
              </w:rPr>
              <w:t>）：</w:t>
            </w:r>
            <w:r>
              <w:rPr>
                <w:spacing w:val="-6"/>
                <w:sz w:val="24"/>
                <w:szCs w:val="24"/>
              </w:rPr>
              <w:t xml:space="preserve">提供投标截止日前近 </w:t>
            </w:r>
            <w:r>
              <w:rPr>
                <w:sz w:val="24"/>
                <w:szCs w:val="24"/>
              </w:rPr>
              <w:t>3</w:t>
            </w:r>
            <w:r>
              <w:rPr>
                <w:spacing w:val="-31"/>
                <w:sz w:val="24"/>
                <w:szCs w:val="24"/>
              </w:rPr>
              <w:t xml:space="preserve"> 年</w:t>
            </w:r>
            <w:r>
              <w:rPr>
                <w:sz w:val="24"/>
                <w:szCs w:val="24"/>
              </w:rPr>
              <w:t>（2019</w:t>
            </w:r>
            <w:r>
              <w:rPr>
                <w:spacing w:val="-41"/>
                <w:sz w:val="24"/>
                <w:szCs w:val="24"/>
              </w:rPr>
              <w:t xml:space="preserve"> 年 </w:t>
            </w:r>
            <w:r>
              <w:rPr>
                <w:sz w:val="24"/>
                <w:szCs w:val="24"/>
              </w:rPr>
              <w:t>1</w:t>
            </w:r>
            <w:r>
              <w:rPr>
                <w:spacing w:val="-30"/>
                <w:sz w:val="24"/>
                <w:szCs w:val="24"/>
              </w:rPr>
              <w:t xml:space="preserve">月 </w:t>
            </w:r>
            <w:r>
              <w:rPr>
                <w:sz w:val="24"/>
                <w:szCs w:val="24"/>
              </w:rPr>
              <w:t>1</w:t>
            </w:r>
            <w:r>
              <w:rPr>
                <w:spacing w:val="-8"/>
                <w:sz w:val="24"/>
                <w:szCs w:val="24"/>
              </w:rPr>
              <w:t>日至投标截止日</w:t>
            </w:r>
            <w:r>
              <w:rPr>
                <w:spacing w:val="-58"/>
                <w:sz w:val="24"/>
                <w:szCs w:val="24"/>
              </w:rPr>
              <w:t>）</w:t>
            </w:r>
            <w:r>
              <w:rPr>
                <w:spacing w:val="-7"/>
                <w:sz w:val="24"/>
                <w:szCs w:val="24"/>
              </w:rPr>
              <w:t>的类似业绩证明材料</w:t>
            </w:r>
            <w:r>
              <w:rPr>
                <w:sz w:val="24"/>
                <w:szCs w:val="24"/>
              </w:rPr>
              <w:t>（需提供包含合同首</w:t>
            </w:r>
            <w:r>
              <w:rPr>
                <w:spacing w:val="-10"/>
                <w:sz w:val="24"/>
                <w:szCs w:val="24"/>
              </w:rPr>
              <w:t>页、标的及金额所在页、签字盖章页的合同复印件或扫描件</w:t>
            </w:r>
            <w:r>
              <w:rPr>
                <w:spacing w:val="-39"/>
                <w:sz w:val="24"/>
                <w:szCs w:val="24"/>
              </w:rPr>
              <w:t>）</w:t>
            </w:r>
            <w:r>
              <w:rPr>
                <w:spacing w:val="-16"/>
                <w:sz w:val="24"/>
                <w:szCs w:val="24"/>
              </w:rPr>
              <w:t>每</w:t>
            </w:r>
            <w:r>
              <w:rPr>
                <w:spacing w:val="-10"/>
                <w:sz w:val="24"/>
                <w:szCs w:val="24"/>
              </w:rPr>
              <w:t xml:space="preserve">提供一项得 </w:t>
            </w:r>
            <w:r>
              <w:rPr>
                <w:rFonts w:hint="eastAsia"/>
                <w:sz w:val="24"/>
                <w:szCs w:val="24"/>
                <w:lang w:val="en-US" w:eastAsia="zh-CN"/>
              </w:rPr>
              <w:t>2</w:t>
            </w:r>
            <w:r>
              <w:rPr>
                <w:spacing w:val="-20"/>
                <w:sz w:val="24"/>
                <w:szCs w:val="24"/>
              </w:rPr>
              <w:t xml:space="preserve">分，满分 </w:t>
            </w:r>
            <w:r>
              <w:rPr>
                <w:rFonts w:hint="eastAsia"/>
                <w:sz w:val="24"/>
                <w:szCs w:val="24"/>
                <w:lang w:val="en-US" w:eastAsia="zh-CN"/>
              </w:rPr>
              <w:t>6</w:t>
            </w:r>
            <w:r>
              <w:rPr>
                <w:spacing w:val="-8"/>
                <w:sz w:val="24"/>
                <w:szCs w:val="24"/>
              </w:rPr>
              <w:t xml:space="preserve"> 分，不提供不得分。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20"/>
              </w:rPr>
            </w:pPr>
          </w:p>
          <w:p>
            <w:pPr>
              <w:pStyle w:val="37"/>
              <w:ind w:left="14" w:leftChars="0"/>
              <w:jc w:val="center"/>
              <w:rPr>
                <w:rFonts w:ascii="宋体" w:hAnsi="仿宋" w:eastAsia="仿宋" w:cs="仿宋"/>
                <w:b/>
                <w:kern w:val="2"/>
                <w:sz w:val="24"/>
                <w:szCs w:val="24"/>
                <w:lang w:val="zh-CN" w:eastAsia="zh-CN" w:bidi="zh-CN"/>
              </w:rPr>
            </w:pPr>
            <w:r>
              <w:rPr>
                <w:rFonts w:ascii="宋体"/>
                <w:b/>
                <w:w w:val="99"/>
                <w:sz w:val="24"/>
              </w:rPr>
              <w:t>4</w:t>
            </w:r>
          </w:p>
        </w:tc>
        <w:tc>
          <w:tcPr>
            <w:tcW w:w="1276" w:type="dxa"/>
            <w:noWrap w:val="0"/>
            <w:vAlign w:val="top"/>
          </w:tcPr>
          <w:p>
            <w:pPr>
              <w:pStyle w:val="37"/>
              <w:rPr>
                <w:b/>
                <w:sz w:val="24"/>
              </w:rPr>
            </w:pPr>
          </w:p>
          <w:p>
            <w:pPr>
              <w:pStyle w:val="37"/>
              <w:rPr>
                <w:b/>
                <w:sz w:val="24"/>
              </w:rPr>
            </w:pPr>
          </w:p>
          <w:p>
            <w:pPr>
              <w:pStyle w:val="37"/>
              <w:rPr>
                <w:b/>
                <w:sz w:val="24"/>
              </w:rPr>
            </w:pPr>
          </w:p>
          <w:p>
            <w:pPr>
              <w:pStyle w:val="37"/>
              <w:spacing w:before="12"/>
              <w:rPr>
                <w:b/>
                <w:sz w:val="25"/>
              </w:rPr>
            </w:pPr>
          </w:p>
          <w:p>
            <w:pPr>
              <w:pStyle w:val="37"/>
              <w:spacing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售后服务(</w:t>
            </w:r>
            <w:r>
              <w:rPr>
                <w:rFonts w:hint="eastAsia"/>
                <w:b/>
                <w:sz w:val="24"/>
                <w:lang w:val="en-US" w:eastAsia="zh-CN"/>
              </w:rPr>
              <w:t>11</w:t>
            </w:r>
            <w:r>
              <w:rPr>
                <w:b/>
                <w:sz w:val="24"/>
              </w:rPr>
              <w:t xml:space="preserve"> 分)</w:t>
            </w:r>
          </w:p>
        </w:tc>
        <w:tc>
          <w:tcPr>
            <w:tcW w:w="7601" w:type="dxa"/>
            <w:noWrap w:val="0"/>
            <w:vAlign w:val="top"/>
          </w:tcPr>
          <w:p>
            <w:pPr>
              <w:pStyle w:val="37"/>
              <w:numPr>
                <w:ilvl w:val="0"/>
                <w:numId w:val="0"/>
              </w:numPr>
              <w:tabs>
                <w:tab w:val="left" w:pos="737"/>
              </w:tabs>
              <w:spacing w:before="0" w:after="0" w:line="360" w:lineRule="auto"/>
              <w:ind w:right="247" w:rightChars="0"/>
              <w:jc w:val="left"/>
              <w:rPr>
                <w:sz w:val="24"/>
                <w:szCs w:val="24"/>
              </w:rPr>
            </w:pPr>
            <w:r>
              <w:rPr>
                <w:b/>
                <w:sz w:val="24"/>
                <w:szCs w:val="24"/>
              </w:rPr>
              <w:t>后期养护管理及成活率保障（6</w:t>
            </w:r>
            <w:r>
              <w:rPr>
                <w:b/>
                <w:spacing w:val="-26"/>
                <w:sz w:val="24"/>
                <w:szCs w:val="24"/>
              </w:rPr>
              <w:t xml:space="preserve"> 分</w:t>
            </w:r>
            <w:r>
              <w:rPr>
                <w:b/>
                <w:spacing w:val="3"/>
                <w:sz w:val="24"/>
                <w:szCs w:val="24"/>
              </w:rPr>
              <w:t>）：</w:t>
            </w:r>
            <w:r>
              <w:rPr>
                <w:sz w:val="24"/>
                <w:szCs w:val="24"/>
              </w:rPr>
              <w:t>成活率保障等方面</w:t>
            </w:r>
            <w:r>
              <w:rPr>
                <w:spacing w:val="-3"/>
                <w:sz w:val="24"/>
                <w:szCs w:val="24"/>
              </w:rPr>
              <w:t xml:space="preserve">所提供的方案完全满足招标文件的要求，且方案优秀的得 </w:t>
            </w:r>
            <w:r>
              <w:rPr>
                <w:sz w:val="24"/>
                <w:szCs w:val="24"/>
              </w:rPr>
              <w:t>6</w:t>
            </w:r>
            <w:r>
              <w:rPr>
                <w:spacing w:val="-20"/>
                <w:sz w:val="24"/>
                <w:szCs w:val="24"/>
              </w:rPr>
              <w:t xml:space="preserve"> 分，</w:t>
            </w:r>
            <w:r>
              <w:rPr>
                <w:sz w:val="24"/>
                <w:szCs w:val="24"/>
              </w:rPr>
              <w:t>一般得的 4 分，其他的得 2 分。</w:t>
            </w:r>
          </w:p>
          <w:p>
            <w:pPr>
              <w:pStyle w:val="37"/>
              <w:numPr>
                <w:ilvl w:val="0"/>
                <w:numId w:val="0"/>
              </w:numPr>
              <w:tabs>
                <w:tab w:val="left" w:pos="737"/>
              </w:tabs>
              <w:spacing w:before="158" w:after="0" w:line="360" w:lineRule="auto"/>
              <w:ind w:right="247" w:rightChars="0"/>
              <w:jc w:val="left"/>
              <w:rPr>
                <w:rFonts w:ascii="仿宋" w:hAnsi="仿宋" w:eastAsia="仿宋" w:cs="仿宋"/>
                <w:kern w:val="2"/>
                <w:sz w:val="24"/>
                <w:szCs w:val="24"/>
                <w:lang w:val="zh-CN" w:eastAsia="zh-CN" w:bidi="zh-CN"/>
              </w:rPr>
            </w:pPr>
            <w:r>
              <w:rPr>
                <w:b/>
                <w:sz w:val="24"/>
                <w:szCs w:val="24"/>
              </w:rPr>
              <w:t>售后服务计划、措施（5</w:t>
            </w:r>
            <w:r>
              <w:rPr>
                <w:b/>
                <w:spacing w:val="-27"/>
                <w:sz w:val="24"/>
                <w:szCs w:val="24"/>
              </w:rPr>
              <w:t xml:space="preserve"> 分</w:t>
            </w:r>
            <w:r>
              <w:rPr>
                <w:b/>
                <w:spacing w:val="3"/>
                <w:sz w:val="24"/>
                <w:szCs w:val="24"/>
              </w:rPr>
              <w:t>）：</w:t>
            </w:r>
            <w:r>
              <w:rPr>
                <w:sz w:val="24"/>
                <w:szCs w:val="24"/>
              </w:rPr>
              <w:t>针对该项目须有详尽的组</w:t>
            </w:r>
            <w:r>
              <w:rPr>
                <w:spacing w:val="-18"/>
                <w:sz w:val="24"/>
                <w:szCs w:val="24"/>
              </w:rPr>
              <w:t>织配送、验收、售后等方面的服务计划、能力、措施。服务计划、</w:t>
            </w:r>
            <w:r>
              <w:rPr>
                <w:spacing w:val="-16"/>
                <w:sz w:val="24"/>
                <w:szCs w:val="24"/>
              </w:rPr>
              <w:t xml:space="preserve">措施，优秀的，得 </w:t>
            </w:r>
            <w:r>
              <w:rPr>
                <w:sz w:val="24"/>
                <w:szCs w:val="24"/>
              </w:rPr>
              <w:t>5</w:t>
            </w:r>
            <w:r>
              <w:rPr>
                <w:spacing w:val="-20"/>
                <w:sz w:val="24"/>
                <w:szCs w:val="24"/>
              </w:rPr>
              <w:t xml:space="preserve"> 分；一般的，得 </w:t>
            </w:r>
            <w:r>
              <w:rPr>
                <w:sz w:val="24"/>
                <w:szCs w:val="24"/>
              </w:rPr>
              <w:t>3</w:t>
            </w:r>
            <w:r>
              <w:rPr>
                <w:spacing w:val="-20"/>
                <w:sz w:val="24"/>
                <w:szCs w:val="24"/>
              </w:rPr>
              <w:t xml:space="preserve"> 分；较差的，得 </w:t>
            </w:r>
            <w:r>
              <w:rPr>
                <w:sz w:val="24"/>
                <w:szCs w:val="24"/>
              </w:rPr>
              <w:t>1</w:t>
            </w:r>
            <w:r>
              <w:rPr>
                <w:spacing w:val="-19"/>
                <w:sz w:val="24"/>
                <w:szCs w:val="24"/>
              </w:rPr>
              <w:t xml:space="preserve"> 分；未</w:t>
            </w:r>
            <w:r>
              <w:rPr>
                <w:sz w:val="24"/>
                <w:szCs w:val="24"/>
              </w:rPr>
              <w:t>提供或其他情况不得分。</w:t>
            </w:r>
          </w:p>
        </w:tc>
      </w:tr>
    </w:tbl>
    <w:p>
      <w:pPr>
        <w:rPr>
          <w:rFonts w:hint="eastAsia" w:ascii="仿宋" w:hAnsi="仿宋" w:eastAsia="仿宋" w:cs="仿宋"/>
          <w:color w:val="auto"/>
          <w:highlight w:val="none"/>
          <w:shd w:val="clear" w:color="auto" w:fill="FFFFFF"/>
          <w:lang w:val="en-US" w:eastAsia="zh-CN"/>
        </w:rPr>
      </w:pPr>
    </w:p>
    <w:p>
      <w:pPr>
        <w:pStyle w:val="5"/>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包八评标办法</w:t>
      </w:r>
    </w:p>
    <w:tbl>
      <w:tblPr>
        <w:tblStyle w:val="22"/>
        <w:tblW w:w="9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276"/>
        <w:gridCol w:w="7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561" w:type="dxa"/>
            <w:noWrap w:val="0"/>
            <w:vAlign w:val="top"/>
          </w:tcPr>
          <w:p>
            <w:pPr>
              <w:pStyle w:val="37"/>
              <w:spacing w:before="35" w:line="242" w:lineRule="auto"/>
              <w:ind w:left="160" w:right="143"/>
              <w:rPr>
                <w:sz w:val="24"/>
              </w:rPr>
            </w:pPr>
            <w:r>
              <w:rPr>
                <w:sz w:val="24"/>
              </w:rPr>
              <w:t>序号</w:t>
            </w:r>
          </w:p>
        </w:tc>
        <w:tc>
          <w:tcPr>
            <w:tcW w:w="1276" w:type="dxa"/>
            <w:noWrap w:val="0"/>
            <w:vAlign w:val="top"/>
          </w:tcPr>
          <w:p>
            <w:pPr>
              <w:pStyle w:val="37"/>
              <w:spacing w:before="191"/>
              <w:ind w:left="158"/>
              <w:rPr>
                <w:sz w:val="24"/>
              </w:rPr>
            </w:pPr>
            <w:r>
              <w:rPr>
                <w:sz w:val="24"/>
              </w:rPr>
              <w:t>评审因素</w:t>
            </w:r>
          </w:p>
        </w:tc>
        <w:tc>
          <w:tcPr>
            <w:tcW w:w="7601" w:type="dxa"/>
            <w:noWrap w:val="0"/>
            <w:vAlign w:val="top"/>
          </w:tcPr>
          <w:p>
            <w:pPr>
              <w:pStyle w:val="37"/>
              <w:spacing w:before="191"/>
              <w:ind w:left="2911" w:right="2899"/>
              <w:jc w:val="center"/>
              <w:rPr>
                <w:sz w:val="24"/>
              </w:rPr>
            </w:pPr>
            <w:r>
              <w:rPr>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3"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210"/>
              <w:ind w:left="14"/>
              <w:jc w:val="center"/>
              <w:rPr>
                <w:b/>
                <w:sz w:val="24"/>
              </w:rPr>
            </w:pPr>
            <w:r>
              <w:rPr>
                <w:b/>
                <w:w w:val="99"/>
                <w:sz w:val="24"/>
              </w:rPr>
              <w:t>1</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spacing w:before="3"/>
              <w:rPr>
                <w:b/>
                <w:sz w:val="22"/>
              </w:rPr>
            </w:pPr>
          </w:p>
          <w:p>
            <w:pPr>
              <w:pStyle w:val="37"/>
              <w:ind w:left="158"/>
              <w:rPr>
                <w:b/>
                <w:sz w:val="24"/>
              </w:rPr>
            </w:pPr>
            <w:r>
              <w:rPr>
                <w:b/>
                <w:w w:val="95"/>
                <w:sz w:val="24"/>
              </w:rPr>
              <w:t>投标报价</w:t>
            </w:r>
          </w:p>
          <w:p>
            <w:pPr>
              <w:pStyle w:val="37"/>
              <w:spacing w:before="158"/>
              <w:ind w:left="187"/>
              <w:rPr>
                <w:b/>
                <w:sz w:val="24"/>
              </w:rPr>
            </w:pPr>
            <w:r>
              <w:rPr>
                <w:b/>
                <w:sz w:val="24"/>
              </w:rPr>
              <w:t>（30</w:t>
            </w:r>
            <w:r>
              <w:rPr>
                <w:b/>
                <w:spacing w:val="-22"/>
                <w:sz w:val="24"/>
              </w:rPr>
              <w:t xml:space="preserve"> 分)</w:t>
            </w:r>
          </w:p>
        </w:tc>
        <w:tc>
          <w:tcPr>
            <w:tcW w:w="7601" w:type="dxa"/>
            <w:noWrap w:val="0"/>
            <w:vAlign w:val="top"/>
          </w:tcPr>
          <w:p>
            <w:pPr>
              <w:pStyle w:val="37"/>
              <w:spacing w:before="113" w:line="360" w:lineRule="auto"/>
              <w:ind w:left="108" w:right="247" w:rightChars="0"/>
              <w:rPr>
                <w:sz w:val="24"/>
                <w:szCs w:val="24"/>
              </w:rPr>
            </w:pPr>
            <w:r>
              <w:rPr>
                <w:sz w:val="24"/>
                <w:szCs w:val="24"/>
              </w:rPr>
              <w:t>投标基准价=满足招标文件要求且最后有效投标报价的最低价为基准价。</w:t>
            </w:r>
            <w:r>
              <w:rPr>
                <w:spacing w:val="-3"/>
                <w:sz w:val="24"/>
                <w:szCs w:val="24"/>
              </w:rPr>
              <w:t>报价得分=</w:t>
            </w:r>
            <w:r>
              <w:rPr>
                <w:spacing w:val="-12"/>
                <w:sz w:val="24"/>
                <w:szCs w:val="24"/>
              </w:rPr>
              <w:t>（</w:t>
            </w:r>
            <w:r>
              <w:rPr>
                <w:sz w:val="24"/>
                <w:szCs w:val="24"/>
              </w:rPr>
              <w:t>基准价/最后报价</w:t>
            </w:r>
            <w:r>
              <w:rPr>
                <w:spacing w:val="-11"/>
                <w:sz w:val="24"/>
                <w:szCs w:val="24"/>
              </w:rPr>
              <w:t>）</w:t>
            </w:r>
            <w:r>
              <w:rPr>
                <w:spacing w:val="-7"/>
                <w:sz w:val="24"/>
                <w:szCs w:val="24"/>
              </w:rPr>
              <w:t>×价格权值</w:t>
            </w:r>
            <w:r>
              <w:rPr>
                <w:spacing w:val="-5"/>
                <w:sz w:val="24"/>
                <w:szCs w:val="24"/>
              </w:rPr>
              <w:t>（30%）×100（</w:t>
            </w:r>
            <w:r>
              <w:rPr>
                <w:spacing w:val="-8"/>
                <w:sz w:val="24"/>
                <w:szCs w:val="24"/>
              </w:rPr>
              <w:t>四舍</w:t>
            </w:r>
            <w:r>
              <w:rPr>
                <w:sz w:val="24"/>
                <w:szCs w:val="24"/>
              </w:rPr>
              <w:t>五入后保留小数点后两位）。</w:t>
            </w:r>
          </w:p>
          <w:p>
            <w:pPr>
              <w:pStyle w:val="37"/>
              <w:spacing w:line="360" w:lineRule="auto"/>
              <w:ind w:left="108" w:right="247" w:rightChars="0"/>
              <w:rPr>
                <w:sz w:val="24"/>
                <w:szCs w:val="24"/>
              </w:rPr>
            </w:pPr>
            <w:r>
              <w:rPr>
                <w:spacing w:val="-10"/>
                <w:sz w:val="24"/>
                <w:szCs w:val="24"/>
              </w:rPr>
              <w:t>注：根据《政府采购促进中小企业发展暂行办法》、《关于促进</w:t>
            </w:r>
            <w:r>
              <w:rPr>
                <w:spacing w:val="-17"/>
                <w:sz w:val="24"/>
                <w:szCs w:val="24"/>
              </w:rPr>
              <w:t>残疾人就业政府采购政策的通知》的相关规定，对残疾人福利性</w:t>
            </w:r>
            <w:r>
              <w:rPr>
                <w:spacing w:val="-9"/>
                <w:sz w:val="24"/>
                <w:szCs w:val="24"/>
              </w:rPr>
              <w:t>单位、小型和微型企业制造</w:t>
            </w:r>
            <w:r>
              <w:rPr>
                <w:sz w:val="24"/>
                <w:szCs w:val="24"/>
              </w:rPr>
              <w:t>（生产</w:t>
            </w:r>
            <w:r>
              <w:rPr>
                <w:spacing w:val="-17"/>
                <w:sz w:val="24"/>
                <w:szCs w:val="24"/>
              </w:rPr>
              <w:t>）</w:t>
            </w:r>
            <w:r>
              <w:rPr>
                <w:spacing w:val="-8"/>
                <w:sz w:val="24"/>
                <w:szCs w:val="24"/>
              </w:rPr>
              <w:t xml:space="preserve">产品的价格给予 </w:t>
            </w:r>
            <w:r>
              <w:rPr>
                <w:sz w:val="24"/>
                <w:szCs w:val="24"/>
              </w:rPr>
              <w:t>6%</w:t>
            </w:r>
            <w:r>
              <w:rPr>
                <w:spacing w:val="-4"/>
                <w:sz w:val="24"/>
                <w:szCs w:val="24"/>
              </w:rPr>
              <w:t xml:space="preserve">的扣除， </w:t>
            </w:r>
            <w:r>
              <w:rPr>
                <w:spacing w:val="-8"/>
                <w:sz w:val="24"/>
                <w:szCs w:val="24"/>
              </w:rPr>
              <w:t>用扣除后的价格参与评标。残疾人福利性单位属于小型、微型企</w:t>
            </w:r>
            <w:r>
              <w:rPr>
                <w:sz w:val="24"/>
                <w:szCs w:val="24"/>
              </w:rPr>
              <w:t>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164"/>
              <w:ind w:left="14"/>
              <w:jc w:val="center"/>
              <w:rPr>
                <w:b/>
                <w:sz w:val="24"/>
              </w:rPr>
            </w:pPr>
            <w:r>
              <w:rPr>
                <w:b/>
                <w:w w:val="99"/>
                <w:sz w:val="24"/>
              </w:rPr>
              <w:t>2</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8"/>
              <w:rPr>
                <w:b/>
                <w:sz w:val="18"/>
              </w:rPr>
            </w:pPr>
          </w:p>
          <w:p>
            <w:pPr>
              <w:pStyle w:val="37"/>
              <w:ind w:left="158"/>
              <w:rPr>
                <w:b/>
                <w:sz w:val="24"/>
              </w:rPr>
            </w:pPr>
            <w:r>
              <w:rPr>
                <w:b/>
                <w:w w:val="95"/>
                <w:sz w:val="24"/>
              </w:rPr>
              <w:t>技术水平</w:t>
            </w:r>
          </w:p>
          <w:p>
            <w:pPr>
              <w:pStyle w:val="37"/>
              <w:spacing w:before="158"/>
              <w:ind w:left="127"/>
              <w:rPr>
                <w:b/>
                <w:sz w:val="24"/>
              </w:rPr>
            </w:pPr>
            <w:r>
              <w:rPr>
                <w:b/>
                <w:sz w:val="24"/>
              </w:rPr>
              <w:t>（</w:t>
            </w:r>
            <w:r>
              <w:rPr>
                <w:rFonts w:hint="eastAsia"/>
                <w:b/>
                <w:sz w:val="24"/>
                <w:lang w:val="en-US" w:eastAsia="zh-CN"/>
              </w:rPr>
              <w:t>49</w:t>
            </w:r>
            <w:r>
              <w:rPr>
                <w:b/>
                <w:spacing w:val="-32"/>
                <w:sz w:val="24"/>
              </w:rPr>
              <w:t>分</w:t>
            </w:r>
            <w:r>
              <w:rPr>
                <w:b/>
                <w:sz w:val="24"/>
              </w:rPr>
              <w:t>）</w:t>
            </w:r>
          </w:p>
        </w:tc>
        <w:tc>
          <w:tcPr>
            <w:tcW w:w="7601" w:type="dxa"/>
            <w:noWrap w:val="0"/>
            <w:vAlign w:val="top"/>
          </w:tcPr>
          <w:p>
            <w:pPr>
              <w:pStyle w:val="37"/>
              <w:spacing w:before="113" w:line="360" w:lineRule="auto"/>
              <w:ind w:left="108" w:right="247" w:rightChars="0"/>
              <w:rPr>
                <w:sz w:val="24"/>
                <w:szCs w:val="24"/>
              </w:rPr>
            </w:pPr>
            <w:r>
              <w:rPr>
                <w:b/>
                <w:bCs/>
                <w:sz w:val="24"/>
                <w:szCs w:val="24"/>
              </w:rPr>
              <w:t>对招标文件的响应程度（15分）：</w:t>
            </w:r>
            <w:r>
              <w:rPr>
                <w:sz w:val="24"/>
                <w:szCs w:val="24"/>
              </w:rPr>
              <w:t>针对本项目实际情况横向比较各投标人提供的苗木准备的供货工序（包括起苗、选苗、运输等方面）有保证措施且好的得 15 分，较好的得 10 分，一般的得 5 分，没有不得分。</w:t>
            </w:r>
          </w:p>
          <w:p>
            <w:pPr>
              <w:pStyle w:val="37"/>
              <w:numPr>
                <w:ilvl w:val="0"/>
                <w:numId w:val="0"/>
              </w:numPr>
              <w:tabs>
                <w:tab w:val="left" w:pos="350"/>
              </w:tabs>
              <w:spacing w:before="134" w:after="0" w:line="360" w:lineRule="auto"/>
              <w:ind w:left="108" w:leftChars="0" w:right="247" w:rightChars="0"/>
              <w:jc w:val="left"/>
              <w:rPr>
                <w:spacing w:val="-8"/>
                <w:sz w:val="24"/>
                <w:szCs w:val="24"/>
                <w:highlight w:val="none"/>
              </w:rPr>
            </w:pPr>
            <w:r>
              <w:rPr>
                <w:b/>
                <w:spacing w:val="-3"/>
                <w:sz w:val="24"/>
                <w:szCs w:val="24"/>
              </w:rPr>
              <w:t>项目</w:t>
            </w:r>
            <w:r>
              <w:rPr>
                <w:b/>
                <w:spacing w:val="-3"/>
                <w:sz w:val="24"/>
                <w:szCs w:val="24"/>
                <w:highlight w:val="none"/>
              </w:rPr>
              <w:t>管理及实施方案</w:t>
            </w:r>
            <w:r>
              <w:rPr>
                <w:b/>
                <w:sz w:val="24"/>
                <w:szCs w:val="24"/>
                <w:highlight w:val="none"/>
              </w:rPr>
              <w:t>（</w:t>
            </w:r>
            <w:r>
              <w:rPr>
                <w:rFonts w:hint="eastAsia"/>
                <w:b/>
                <w:sz w:val="24"/>
                <w:szCs w:val="24"/>
                <w:highlight w:val="none"/>
                <w:lang w:val="en-US" w:eastAsia="zh-CN"/>
              </w:rPr>
              <w:t>15</w:t>
            </w:r>
            <w:r>
              <w:rPr>
                <w:b/>
                <w:spacing w:val="-29"/>
                <w:sz w:val="24"/>
                <w:szCs w:val="24"/>
                <w:highlight w:val="none"/>
              </w:rPr>
              <w:t>分</w:t>
            </w:r>
            <w:r>
              <w:rPr>
                <w:b/>
                <w:spacing w:val="-21"/>
                <w:sz w:val="24"/>
                <w:szCs w:val="24"/>
                <w:highlight w:val="none"/>
              </w:rPr>
              <w:t>）：</w:t>
            </w:r>
            <w:r>
              <w:rPr>
                <w:spacing w:val="-1"/>
                <w:sz w:val="24"/>
                <w:szCs w:val="24"/>
                <w:highlight w:val="none"/>
              </w:rPr>
              <w:t xml:space="preserve">针对本项目有项目管理机构， </w:t>
            </w:r>
            <w:r>
              <w:rPr>
                <w:spacing w:val="-10"/>
                <w:sz w:val="24"/>
                <w:szCs w:val="24"/>
                <w:highlight w:val="none"/>
              </w:rPr>
              <w:t>并且有科学、具体的项目管理措施及质量、进度、安全文明施工</w:t>
            </w:r>
            <w:r>
              <w:rPr>
                <w:spacing w:val="-13"/>
                <w:sz w:val="24"/>
                <w:szCs w:val="24"/>
                <w:highlight w:val="none"/>
              </w:rPr>
              <w:t xml:space="preserve">方案，能够结合项目特点制定实施方案，优秀的，得 </w:t>
            </w:r>
            <w:r>
              <w:rPr>
                <w:rFonts w:hint="eastAsia"/>
                <w:sz w:val="24"/>
                <w:szCs w:val="24"/>
                <w:highlight w:val="none"/>
                <w:lang w:val="en-US" w:eastAsia="zh-CN"/>
              </w:rPr>
              <w:t>15</w:t>
            </w:r>
            <w:r>
              <w:rPr>
                <w:spacing w:val="-15"/>
                <w:sz w:val="24"/>
                <w:szCs w:val="24"/>
                <w:highlight w:val="none"/>
              </w:rPr>
              <w:t>分；</w:t>
            </w:r>
            <w:r>
              <w:rPr>
                <w:rFonts w:hint="eastAsia"/>
                <w:spacing w:val="-15"/>
                <w:sz w:val="24"/>
                <w:szCs w:val="24"/>
                <w:highlight w:val="none"/>
                <w:lang w:val="en-US" w:eastAsia="zh-CN"/>
              </w:rPr>
              <w:t>较好</w:t>
            </w:r>
            <w:r>
              <w:rPr>
                <w:spacing w:val="-12"/>
                <w:sz w:val="24"/>
                <w:szCs w:val="24"/>
                <w:highlight w:val="none"/>
              </w:rPr>
              <w:t xml:space="preserve">的，得 </w:t>
            </w:r>
            <w:r>
              <w:rPr>
                <w:rFonts w:hint="eastAsia"/>
                <w:sz w:val="24"/>
                <w:szCs w:val="24"/>
                <w:highlight w:val="none"/>
                <w:lang w:val="en-US" w:eastAsia="zh-CN"/>
              </w:rPr>
              <w:t>10</w:t>
            </w:r>
            <w:r>
              <w:rPr>
                <w:spacing w:val="-14"/>
                <w:sz w:val="24"/>
                <w:szCs w:val="24"/>
                <w:highlight w:val="none"/>
              </w:rPr>
              <w:t xml:space="preserve"> 分；</w:t>
            </w:r>
            <w:r>
              <w:rPr>
                <w:rFonts w:hint="eastAsia"/>
                <w:spacing w:val="-14"/>
                <w:sz w:val="24"/>
                <w:szCs w:val="24"/>
                <w:highlight w:val="none"/>
                <w:lang w:val="en-US" w:eastAsia="zh-CN"/>
              </w:rPr>
              <w:t>一般</w:t>
            </w:r>
            <w:r>
              <w:rPr>
                <w:spacing w:val="-14"/>
                <w:sz w:val="24"/>
                <w:szCs w:val="24"/>
                <w:highlight w:val="none"/>
              </w:rPr>
              <w:t>的得</w:t>
            </w:r>
            <w:r>
              <w:rPr>
                <w:rFonts w:hint="eastAsia"/>
                <w:spacing w:val="-14"/>
                <w:sz w:val="24"/>
                <w:szCs w:val="24"/>
                <w:highlight w:val="none"/>
                <w:lang w:val="en-US" w:eastAsia="zh-CN"/>
              </w:rPr>
              <w:t>5</w:t>
            </w:r>
            <w:r>
              <w:rPr>
                <w:spacing w:val="-8"/>
                <w:sz w:val="24"/>
                <w:szCs w:val="24"/>
                <w:highlight w:val="none"/>
              </w:rPr>
              <w:t xml:space="preserve"> 分；未提供或其他情况不得分。</w:t>
            </w:r>
          </w:p>
          <w:p>
            <w:pPr>
              <w:pStyle w:val="37"/>
              <w:spacing w:before="113" w:line="360" w:lineRule="auto"/>
              <w:ind w:left="108" w:right="247" w:rightChars="0"/>
              <w:rPr>
                <w:sz w:val="24"/>
                <w:szCs w:val="24"/>
              </w:rPr>
            </w:pPr>
            <w:r>
              <w:rPr>
                <w:rFonts w:hint="eastAsia"/>
                <w:b/>
                <w:bCs/>
                <w:sz w:val="24"/>
                <w:szCs w:val="24"/>
                <w:lang w:val="zh-CN" w:eastAsia="zh-CN"/>
              </w:rPr>
              <w:t>货物的数量和质量保证措施（</w:t>
            </w:r>
            <w:r>
              <w:rPr>
                <w:rFonts w:hint="eastAsia"/>
                <w:b/>
                <w:bCs/>
                <w:sz w:val="24"/>
                <w:szCs w:val="24"/>
                <w:lang w:val="en-US" w:eastAsia="zh-CN"/>
              </w:rPr>
              <w:t>9分）</w:t>
            </w:r>
            <w:r>
              <w:rPr>
                <w:rFonts w:hint="eastAsia"/>
                <w:sz w:val="24"/>
                <w:szCs w:val="24"/>
                <w:lang w:val="zh-CN" w:eastAsia="zh-CN"/>
              </w:rPr>
              <w:t>：根据各投标人的货物的数量和质量保证措施，</w:t>
            </w:r>
            <w:r>
              <w:rPr>
                <w:rFonts w:hint="eastAsia"/>
                <w:sz w:val="24"/>
                <w:szCs w:val="24"/>
                <w:lang w:val="en-US" w:eastAsia="zh-CN"/>
              </w:rPr>
              <w:t>优秀的</w:t>
            </w:r>
            <w:r>
              <w:rPr>
                <w:rFonts w:hint="eastAsia"/>
                <w:sz w:val="24"/>
                <w:szCs w:val="24"/>
                <w:lang w:val="zh-CN" w:eastAsia="zh-CN"/>
              </w:rPr>
              <w:t>得</w:t>
            </w:r>
            <w:r>
              <w:rPr>
                <w:rFonts w:hint="eastAsia"/>
                <w:sz w:val="24"/>
                <w:szCs w:val="24"/>
                <w:lang w:val="en-US" w:eastAsia="zh-CN"/>
              </w:rPr>
              <w:t>9</w:t>
            </w:r>
            <w:r>
              <w:rPr>
                <w:rFonts w:hint="eastAsia"/>
                <w:sz w:val="24"/>
                <w:szCs w:val="24"/>
                <w:lang w:val="zh-CN" w:eastAsia="zh-CN"/>
              </w:rPr>
              <w:t>分，</w:t>
            </w:r>
            <w:r>
              <w:rPr>
                <w:rFonts w:hint="eastAsia"/>
                <w:sz w:val="24"/>
                <w:szCs w:val="24"/>
                <w:lang w:val="en-US" w:eastAsia="zh-CN"/>
              </w:rPr>
              <w:t>较好的</w:t>
            </w:r>
            <w:r>
              <w:rPr>
                <w:rFonts w:hint="eastAsia"/>
                <w:sz w:val="24"/>
                <w:szCs w:val="24"/>
                <w:lang w:val="zh-CN" w:eastAsia="zh-CN"/>
              </w:rPr>
              <w:t>得6分，一般的得</w:t>
            </w:r>
            <w:r>
              <w:rPr>
                <w:rFonts w:hint="eastAsia"/>
                <w:sz w:val="24"/>
                <w:szCs w:val="24"/>
                <w:lang w:val="en-US" w:eastAsia="zh-CN"/>
              </w:rPr>
              <w:t>3</w:t>
            </w:r>
            <w:r>
              <w:rPr>
                <w:rFonts w:hint="eastAsia"/>
                <w:sz w:val="24"/>
                <w:szCs w:val="24"/>
                <w:lang w:val="zh-CN" w:eastAsia="zh-CN"/>
              </w:rPr>
              <w:t>分，差或不提供的不得分。</w:t>
            </w:r>
          </w:p>
          <w:p>
            <w:pPr>
              <w:pStyle w:val="37"/>
              <w:numPr>
                <w:ilvl w:val="0"/>
                <w:numId w:val="0"/>
              </w:numPr>
              <w:tabs>
                <w:tab w:val="left" w:pos="352"/>
              </w:tabs>
              <w:spacing w:before="112" w:after="0" w:line="480" w:lineRule="auto"/>
              <w:ind w:left="108" w:leftChars="0" w:right="247" w:rightChars="0"/>
              <w:jc w:val="both"/>
              <w:rPr>
                <w:sz w:val="24"/>
                <w:szCs w:val="24"/>
              </w:rPr>
            </w:pPr>
            <w:r>
              <w:rPr>
                <w:b/>
                <w:spacing w:val="1"/>
                <w:sz w:val="24"/>
                <w:szCs w:val="24"/>
              </w:rPr>
              <w:t>供苗流程</w:t>
            </w:r>
            <w:r>
              <w:rPr>
                <w:b/>
                <w:spacing w:val="2"/>
                <w:sz w:val="24"/>
                <w:szCs w:val="24"/>
              </w:rPr>
              <w:t>（10</w:t>
            </w:r>
            <w:r>
              <w:rPr>
                <w:b/>
                <w:spacing w:val="-20"/>
                <w:sz w:val="24"/>
                <w:szCs w:val="24"/>
              </w:rPr>
              <w:t xml:space="preserve"> 分</w:t>
            </w:r>
            <w:r>
              <w:rPr>
                <w:b/>
                <w:spacing w:val="3"/>
                <w:sz w:val="24"/>
                <w:szCs w:val="24"/>
              </w:rPr>
              <w:t>）：</w:t>
            </w:r>
            <w:r>
              <w:rPr>
                <w:sz w:val="24"/>
                <w:szCs w:val="24"/>
              </w:rPr>
              <w:t>供苗流程能满足进度计划和保证苗木质</w:t>
            </w:r>
            <w:r>
              <w:rPr>
                <w:spacing w:val="-11"/>
                <w:sz w:val="24"/>
                <w:szCs w:val="24"/>
              </w:rPr>
              <w:t>量要求，流水作业能保证施工连续、均衡、有节奏地进行。管理</w:t>
            </w:r>
            <w:r>
              <w:rPr>
                <w:spacing w:val="-14"/>
                <w:sz w:val="24"/>
                <w:szCs w:val="24"/>
              </w:rPr>
              <w:t>措施能有效保证投标计划的顺利完成，</w:t>
            </w:r>
            <w:r>
              <w:rPr>
                <w:rFonts w:hint="eastAsia"/>
                <w:spacing w:val="-14"/>
                <w:sz w:val="24"/>
                <w:szCs w:val="24"/>
                <w:lang w:val="en-US" w:eastAsia="zh-CN"/>
              </w:rPr>
              <w:t>优秀</w:t>
            </w:r>
            <w:r>
              <w:rPr>
                <w:spacing w:val="-14"/>
                <w:sz w:val="24"/>
                <w:szCs w:val="24"/>
              </w:rPr>
              <w:t xml:space="preserve">的得 </w:t>
            </w:r>
            <w:r>
              <w:rPr>
                <w:sz w:val="24"/>
                <w:szCs w:val="24"/>
              </w:rPr>
              <w:t>10</w:t>
            </w:r>
            <w:r>
              <w:rPr>
                <w:spacing w:val="-10"/>
                <w:sz w:val="24"/>
                <w:szCs w:val="24"/>
              </w:rPr>
              <w:t xml:space="preserve"> 分；一般的</w:t>
            </w:r>
            <w:r>
              <w:rPr>
                <w:sz w:val="24"/>
                <w:szCs w:val="24"/>
              </w:rPr>
              <w:t>得 6 分；较差的得 3 分；未提供或其他情况不得分。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19"/>
              </w:rPr>
            </w:pPr>
          </w:p>
          <w:p>
            <w:pPr>
              <w:pStyle w:val="37"/>
              <w:ind w:left="14" w:leftChars="0"/>
              <w:jc w:val="center"/>
              <w:rPr>
                <w:rFonts w:ascii="仿宋" w:hAnsi="仿宋" w:eastAsia="仿宋" w:cs="仿宋"/>
                <w:b/>
                <w:kern w:val="2"/>
                <w:sz w:val="24"/>
                <w:szCs w:val="24"/>
                <w:lang w:val="zh-CN" w:eastAsia="zh-CN" w:bidi="zh-CN"/>
              </w:rPr>
            </w:pPr>
            <w:r>
              <w:rPr>
                <w:b/>
                <w:w w:val="99"/>
                <w:sz w:val="24"/>
              </w:rPr>
              <w:t>3</w:t>
            </w:r>
          </w:p>
        </w:tc>
        <w:tc>
          <w:tcPr>
            <w:tcW w:w="1276" w:type="dxa"/>
            <w:noWrap w:val="0"/>
            <w:vAlign w:val="top"/>
          </w:tcPr>
          <w:p>
            <w:pPr>
              <w:pStyle w:val="37"/>
              <w:rPr>
                <w:b/>
                <w:sz w:val="24"/>
              </w:rPr>
            </w:pPr>
          </w:p>
          <w:p>
            <w:pPr>
              <w:pStyle w:val="37"/>
              <w:spacing w:before="160"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履约能力(</w:t>
            </w:r>
            <w:r>
              <w:rPr>
                <w:rFonts w:hint="eastAsia"/>
                <w:b/>
                <w:sz w:val="24"/>
                <w:lang w:val="en-US" w:eastAsia="zh-CN"/>
              </w:rPr>
              <w:t>6</w:t>
            </w:r>
            <w:r>
              <w:rPr>
                <w:b/>
                <w:sz w:val="24"/>
              </w:rPr>
              <w:t xml:space="preserve"> 分)</w:t>
            </w:r>
          </w:p>
        </w:tc>
        <w:tc>
          <w:tcPr>
            <w:tcW w:w="7601" w:type="dxa"/>
            <w:noWrap w:val="0"/>
            <w:vAlign w:val="top"/>
          </w:tcPr>
          <w:p>
            <w:pPr>
              <w:pStyle w:val="37"/>
              <w:spacing w:before="2" w:line="360" w:lineRule="auto"/>
              <w:ind w:left="108" w:right="247" w:rightChars="0"/>
              <w:rPr>
                <w:rFonts w:ascii="仿宋" w:hAnsi="仿宋" w:eastAsia="仿宋" w:cs="仿宋"/>
                <w:kern w:val="2"/>
                <w:sz w:val="24"/>
                <w:szCs w:val="24"/>
                <w:lang w:val="zh-CN" w:eastAsia="zh-CN" w:bidi="zh-CN"/>
              </w:rPr>
            </w:pPr>
            <w:r>
              <w:rPr>
                <w:b/>
                <w:sz w:val="24"/>
                <w:szCs w:val="24"/>
              </w:rPr>
              <w:t>类似业绩情况（</w:t>
            </w:r>
            <w:r>
              <w:rPr>
                <w:rFonts w:hint="eastAsia"/>
                <w:b/>
                <w:sz w:val="24"/>
                <w:szCs w:val="24"/>
                <w:lang w:val="en-US" w:eastAsia="zh-CN"/>
              </w:rPr>
              <w:t>6</w:t>
            </w:r>
            <w:r>
              <w:rPr>
                <w:b/>
                <w:spacing w:val="-31"/>
                <w:sz w:val="24"/>
                <w:szCs w:val="24"/>
              </w:rPr>
              <w:t xml:space="preserve"> 分</w:t>
            </w:r>
            <w:r>
              <w:rPr>
                <w:b/>
                <w:sz w:val="24"/>
                <w:szCs w:val="24"/>
              </w:rPr>
              <w:t>）：</w:t>
            </w:r>
            <w:r>
              <w:rPr>
                <w:spacing w:val="-6"/>
                <w:sz w:val="24"/>
                <w:szCs w:val="24"/>
              </w:rPr>
              <w:t xml:space="preserve">提供投标截止日前近 </w:t>
            </w:r>
            <w:r>
              <w:rPr>
                <w:sz w:val="24"/>
                <w:szCs w:val="24"/>
              </w:rPr>
              <w:t>3</w:t>
            </w:r>
            <w:r>
              <w:rPr>
                <w:spacing w:val="-31"/>
                <w:sz w:val="24"/>
                <w:szCs w:val="24"/>
              </w:rPr>
              <w:t xml:space="preserve"> 年</w:t>
            </w:r>
            <w:r>
              <w:rPr>
                <w:sz w:val="24"/>
                <w:szCs w:val="24"/>
              </w:rPr>
              <w:t>（2019</w:t>
            </w:r>
            <w:r>
              <w:rPr>
                <w:spacing w:val="-41"/>
                <w:sz w:val="24"/>
                <w:szCs w:val="24"/>
              </w:rPr>
              <w:t xml:space="preserve"> 年 </w:t>
            </w:r>
            <w:r>
              <w:rPr>
                <w:sz w:val="24"/>
                <w:szCs w:val="24"/>
              </w:rPr>
              <w:t>1</w:t>
            </w:r>
            <w:r>
              <w:rPr>
                <w:spacing w:val="-30"/>
                <w:sz w:val="24"/>
                <w:szCs w:val="24"/>
              </w:rPr>
              <w:t xml:space="preserve">月 </w:t>
            </w:r>
            <w:r>
              <w:rPr>
                <w:sz w:val="24"/>
                <w:szCs w:val="24"/>
              </w:rPr>
              <w:t>1</w:t>
            </w:r>
            <w:r>
              <w:rPr>
                <w:spacing w:val="-8"/>
                <w:sz w:val="24"/>
                <w:szCs w:val="24"/>
              </w:rPr>
              <w:t>日至投标截止日</w:t>
            </w:r>
            <w:r>
              <w:rPr>
                <w:spacing w:val="-58"/>
                <w:sz w:val="24"/>
                <w:szCs w:val="24"/>
              </w:rPr>
              <w:t>）</w:t>
            </w:r>
            <w:r>
              <w:rPr>
                <w:spacing w:val="-7"/>
                <w:sz w:val="24"/>
                <w:szCs w:val="24"/>
              </w:rPr>
              <w:t>的类似业绩证明材料</w:t>
            </w:r>
            <w:r>
              <w:rPr>
                <w:sz w:val="24"/>
                <w:szCs w:val="24"/>
              </w:rPr>
              <w:t>（需提供包含合同首</w:t>
            </w:r>
            <w:r>
              <w:rPr>
                <w:spacing w:val="-10"/>
                <w:sz w:val="24"/>
                <w:szCs w:val="24"/>
              </w:rPr>
              <w:t>页、标的及金额所在页、签字盖章页的合同复印件或扫描件</w:t>
            </w:r>
            <w:r>
              <w:rPr>
                <w:spacing w:val="-39"/>
                <w:sz w:val="24"/>
                <w:szCs w:val="24"/>
              </w:rPr>
              <w:t>）</w:t>
            </w:r>
            <w:r>
              <w:rPr>
                <w:spacing w:val="-16"/>
                <w:sz w:val="24"/>
                <w:szCs w:val="24"/>
              </w:rPr>
              <w:t>每</w:t>
            </w:r>
            <w:r>
              <w:rPr>
                <w:spacing w:val="-10"/>
                <w:sz w:val="24"/>
                <w:szCs w:val="24"/>
              </w:rPr>
              <w:t xml:space="preserve">提供一项得 </w:t>
            </w:r>
            <w:r>
              <w:rPr>
                <w:rFonts w:hint="eastAsia"/>
                <w:sz w:val="24"/>
                <w:szCs w:val="24"/>
                <w:lang w:val="en-US" w:eastAsia="zh-CN"/>
              </w:rPr>
              <w:t>2</w:t>
            </w:r>
            <w:r>
              <w:rPr>
                <w:spacing w:val="-20"/>
                <w:sz w:val="24"/>
                <w:szCs w:val="24"/>
              </w:rPr>
              <w:t xml:space="preserve">分，满分 </w:t>
            </w:r>
            <w:r>
              <w:rPr>
                <w:rFonts w:hint="eastAsia"/>
                <w:sz w:val="24"/>
                <w:szCs w:val="24"/>
                <w:lang w:val="en-US" w:eastAsia="zh-CN"/>
              </w:rPr>
              <w:t>6</w:t>
            </w:r>
            <w:r>
              <w:rPr>
                <w:spacing w:val="-8"/>
                <w:sz w:val="24"/>
                <w:szCs w:val="24"/>
              </w:rPr>
              <w:t xml:space="preserve"> 分，不提供不得分。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20"/>
              </w:rPr>
            </w:pPr>
          </w:p>
          <w:p>
            <w:pPr>
              <w:pStyle w:val="37"/>
              <w:ind w:left="14" w:leftChars="0"/>
              <w:jc w:val="center"/>
              <w:rPr>
                <w:rFonts w:ascii="宋体" w:hAnsi="仿宋" w:eastAsia="仿宋" w:cs="仿宋"/>
                <w:b/>
                <w:kern w:val="2"/>
                <w:sz w:val="24"/>
                <w:szCs w:val="24"/>
                <w:lang w:val="zh-CN" w:eastAsia="zh-CN" w:bidi="zh-CN"/>
              </w:rPr>
            </w:pPr>
            <w:r>
              <w:rPr>
                <w:rFonts w:ascii="宋体"/>
                <w:b/>
                <w:w w:val="99"/>
                <w:sz w:val="24"/>
              </w:rPr>
              <w:t>4</w:t>
            </w:r>
          </w:p>
        </w:tc>
        <w:tc>
          <w:tcPr>
            <w:tcW w:w="1276" w:type="dxa"/>
            <w:noWrap w:val="0"/>
            <w:vAlign w:val="top"/>
          </w:tcPr>
          <w:p>
            <w:pPr>
              <w:pStyle w:val="37"/>
              <w:rPr>
                <w:b/>
                <w:sz w:val="24"/>
              </w:rPr>
            </w:pPr>
          </w:p>
          <w:p>
            <w:pPr>
              <w:pStyle w:val="37"/>
              <w:rPr>
                <w:b/>
                <w:sz w:val="24"/>
              </w:rPr>
            </w:pPr>
          </w:p>
          <w:p>
            <w:pPr>
              <w:pStyle w:val="37"/>
              <w:rPr>
                <w:b/>
                <w:sz w:val="24"/>
              </w:rPr>
            </w:pPr>
          </w:p>
          <w:p>
            <w:pPr>
              <w:pStyle w:val="37"/>
              <w:spacing w:before="12"/>
              <w:rPr>
                <w:b/>
                <w:sz w:val="25"/>
              </w:rPr>
            </w:pPr>
          </w:p>
          <w:p>
            <w:pPr>
              <w:pStyle w:val="37"/>
              <w:spacing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售后服务(</w:t>
            </w:r>
            <w:r>
              <w:rPr>
                <w:rFonts w:hint="eastAsia"/>
                <w:b/>
                <w:sz w:val="24"/>
                <w:lang w:val="en-US" w:eastAsia="zh-CN"/>
              </w:rPr>
              <w:t>15</w:t>
            </w:r>
            <w:r>
              <w:rPr>
                <w:b/>
                <w:sz w:val="24"/>
              </w:rPr>
              <w:t>分)</w:t>
            </w:r>
          </w:p>
        </w:tc>
        <w:tc>
          <w:tcPr>
            <w:tcW w:w="7601" w:type="dxa"/>
            <w:noWrap w:val="0"/>
            <w:vAlign w:val="top"/>
          </w:tcPr>
          <w:p>
            <w:pPr>
              <w:pStyle w:val="37"/>
              <w:numPr>
                <w:ilvl w:val="0"/>
                <w:numId w:val="0"/>
              </w:numPr>
              <w:tabs>
                <w:tab w:val="left" w:pos="737"/>
              </w:tabs>
              <w:spacing w:before="0" w:after="0" w:line="360" w:lineRule="auto"/>
              <w:ind w:right="247" w:rightChars="0"/>
              <w:jc w:val="left"/>
              <w:rPr>
                <w:sz w:val="24"/>
                <w:szCs w:val="24"/>
              </w:rPr>
            </w:pPr>
            <w:r>
              <w:rPr>
                <w:b/>
                <w:sz w:val="24"/>
                <w:szCs w:val="24"/>
              </w:rPr>
              <w:t>后期养护管理及成活率保障（</w:t>
            </w:r>
            <w:r>
              <w:rPr>
                <w:rFonts w:hint="eastAsia"/>
                <w:b/>
                <w:sz w:val="24"/>
                <w:szCs w:val="24"/>
                <w:lang w:val="en-US" w:eastAsia="zh-CN"/>
              </w:rPr>
              <w:t>10</w:t>
            </w:r>
            <w:r>
              <w:rPr>
                <w:b/>
                <w:spacing w:val="-26"/>
                <w:sz w:val="24"/>
                <w:szCs w:val="24"/>
              </w:rPr>
              <w:t xml:space="preserve"> 分</w:t>
            </w:r>
            <w:r>
              <w:rPr>
                <w:b/>
                <w:spacing w:val="3"/>
                <w:sz w:val="24"/>
                <w:szCs w:val="24"/>
              </w:rPr>
              <w:t>）：</w:t>
            </w:r>
            <w:r>
              <w:rPr>
                <w:sz w:val="24"/>
                <w:szCs w:val="24"/>
              </w:rPr>
              <w:t>成活率保障等方面</w:t>
            </w:r>
            <w:r>
              <w:rPr>
                <w:spacing w:val="-3"/>
                <w:sz w:val="24"/>
                <w:szCs w:val="24"/>
              </w:rPr>
              <w:t>所提供的方案完全满足招标文件的要求，且方案</w:t>
            </w:r>
            <w:r>
              <w:rPr>
                <w:rFonts w:hint="eastAsia"/>
                <w:spacing w:val="-14"/>
                <w:sz w:val="24"/>
                <w:szCs w:val="24"/>
                <w:lang w:val="en-US" w:eastAsia="zh-CN"/>
              </w:rPr>
              <w:t>优秀</w:t>
            </w:r>
            <w:r>
              <w:rPr>
                <w:spacing w:val="-14"/>
                <w:sz w:val="24"/>
                <w:szCs w:val="24"/>
              </w:rPr>
              <w:t xml:space="preserve">的得 </w:t>
            </w:r>
            <w:r>
              <w:rPr>
                <w:sz w:val="24"/>
                <w:szCs w:val="24"/>
              </w:rPr>
              <w:t>10</w:t>
            </w:r>
            <w:r>
              <w:rPr>
                <w:spacing w:val="-10"/>
                <w:sz w:val="24"/>
                <w:szCs w:val="24"/>
              </w:rPr>
              <w:t xml:space="preserve"> 分；一般的</w:t>
            </w:r>
            <w:r>
              <w:rPr>
                <w:sz w:val="24"/>
                <w:szCs w:val="24"/>
              </w:rPr>
              <w:t>得 6 分；较差的得 3 分；未提供或其他情况不得分。</w:t>
            </w:r>
          </w:p>
          <w:p>
            <w:pPr>
              <w:pStyle w:val="37"/>
              <w:numPr>
                <w:ilvl w:val="0"/>
                <w:numId w:val="0"/>
              </w:numPr>
              <w:tabs>
                <w:tab w:val="left" w:pos="737"/>
              </w:tabs>
              <w:spacing w:before="158" w:after="0" w:line="360" w:lineRule="auto"/>
              <w:ind w:right="247" w:rightChars="0"/>
              <w:jc w:val="left"/>
              <w:rPr>
                <w:rFonts w:ascii="仿宋" w:hAnsi="仿宋" w:eastAsia="仿宋" w:cs="仿宋"/>
                <w:kern w:val="2"/>
                <w:sz w:val="24"/>
                <w:szCs w:val="24"/>
                <w:lang w:val="zh-CN" w:eastAsia="zh-CN" w:bidi="zh-CN"/>
              </w:rPr>
            </w:pPr>
            <w:r>
              <w:rPr>
                <w:b/>
                <w:sz w:val="24"/>
                <w:szCs w:val="24"/>
              </w:rPr>
              <w:t>售后服务计划、措施（5</w:t>
            </w:r>
            <w:r>
              <w:rPr>
                <w:b/>
                <w:spacing w:val="-27"/>
                <w:sz w:val="24"/>
                <w:szCs w:val="24"/>
              </w:rPr>
              <w:t xml:space="preserve"> 分</w:t>
            </w:r>
            <w:r>
              <w:rPr>
                <w:b/>
                <w:spacing w:val="3"/>
                <w:sz w:val="24"/>
                <w:szCs w:val="24"/>
              </w:rPr>
              <w:t>）：</w:t>
            </w:r>
            <w:r>
              <w:rPr>
                <w:sz w:val="24"/>
                <w:szCs w:val="24"/>
              </w:rPr>
              <w:t>针对该项目须有详尽的组</w:t>
            </w:r>
            <w:r>
              <w:rPr>
                <w:spacing w:val="-18"/>
                <w:sz w:val="24"/>
                <w:szCs w:val="24"/>
              </w:rPr>
              <w:t>织配送、验收、售后等方面的服务计划、能力、措施。服务计划、</w:t>
            </w:r>
            <w:r>
              <w:rPr>
                <w:spacing w:val="-16"/>
                <w:sz w:val="24"/>
                <w:szCs w:val="24"/>
              </w:rPr>
              <w:t xml:space="preserve">措施，优秀的，得 </w:t>
            </w:r>
            <w:r>
              <w:rPr>
                <w:sz w:val="24"/>
                <w:szCs w:val="24"/>
              </w:rPr>
              <w:t>5</w:t>
            </w:r>
            <w:r>
              <w:rPr>
                <w:spacing w:val="-20"/>
                <w:sz w:val="24"/>
                <w:szCs w:val="24"/>
              </w:rPr>
              <w:t xml:space="preserve"> 分；一般的，得 </w:t>
            </w:r>
            <w:r>
              <w:rPr>
                <w:sz w:val="24"/>
                <w:szCs w:val="24"/>
              </w:rPr>
              <w:t>3</w:t>
            </w:r>
            <w:r>
              <w:rPr>
                <w:spacing w:val="-20"/>
                <w:sz w:val="24"/>
                <w:szCs w:val="24"/>
              </w:rPr>
              <w:t xml:space="preserve"> 分；较差的，得 </w:t>
            </w:r>
            <w:r>
              <w:rPr>
                <w:sz w:val="24"/>
                <w:szCs w:val="24"/>
              </w:rPr>
              <w:t>1</w:t>
            </w:r>
            <w:r>
              <w:rPr>
                <w:spacing w:val="-19"/>
                <w:sz w:val="24"/>
                <w:szCs w:val="24"/>
              </w:rPr>
              <w:t xml:space="preserve"> 分；未</w:t>
            </w:r>
            <w:r>
              <w:rPr>
                <w:sz w:val="24"/>
                <w:szCs w:val="24"/>
              </w:rPr>
              <w:t>提供或其他情况不得分。</w:t>
            </w:r>
          </w:p>
        </w:tc>
      </w:tr>
    </w:tbl>
    <w:p>
      <w:pPr>
        <w:pStyle w:val="2"/>
        <w:rPr>
          <w:rFonts w:hint="eastAsia"/>
          <w:lang w:val="en-US" w:eastAsia="zh-CN"/>
        </w:rPr>
      </w:pPr>
    </w:p>
    <w:p>
      <w:pPr>
        <w:rPr>
          <w:rFonts w:hint="eastAsia"/>
          <w:lang w:val="en-US" w:eastAsia="zh-CN"/>
        </w:rPr>
      </w:pP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包十二至包十五评标办法</w:t>
      </w:r>
    </w:p>
    <w:tbl>
      <w:tblPr>
        <w:tblStyle w:val="22"/>
        <w:tblW w:w="9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276"/>
        <w:gridCol w:w="7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561" w:type="dxa"/>
            <w:noWrap w:val="0"/>
            <w:vAlign w:val="top"/>
          </w:tcPr>
          <w:p>
            <w:pPr>
              <w:pStyle w:val="37"/>
              <w:spacing w:before="35" w:line="242" w:lineRule="auto"/>
              <w:ind w:left="160" w:right="143"/>
              <w:rPr>
                <w:sz w:val="24"/>
              </w:rPr>
            </w:pPr>
            <w:r>
              <w:rPr>
                <w:sz w:val="24"/>
              </w:rPr>
              <w:t>序号</w:t>
            </w:r>
          </w:p>
        </w:tc>
        <w:tc>
          <w:tcPr>
            <w:tcW w:w="1276" w:type="dxa"/>
            <w:noWrap w:val="0"/>
            <w:vAlign w:val="top"/>
          </w:tcPr>
          <w:p>
            <w:pPr>
              <w:pStyle w:val="37"/>
              <w:spacing w:before="191"/>
              <w:ind w:left="158"/>
              <w:rPr>
                <w:sz w:val="24"/>
              </w:rPr>
            </w:pPr>
            <w:r>
              <w:rPr>
                <w:sz w:val="24"/>
              </w:rPr>
              <w:t>评审因素</w:t>
            </w:r>
          </w:p>
        </w:tc>
        <w:tc>
          <w:tcPr>
            <w:tcW w:w="7601" w:type="dxa"/>
            <w:noWrap w:val="0"/>
            <w:vAlign w:val="top"/>
          </w:tcPr>
          <w:p>
            <w:pPr>
              <w:pStyle w:val="37"/>
              <w:spacing w:before="191"/>
              <w:ind w:left="2911" w:right="2899"/>
              <w:jc w:val="center"/>
              <w:rPr>
                <w:sz w:val="24"/>
              </w:rPr>
            </w:pPr>
            <w:r>
              <w:rPr>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3"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210"/>
              <w:ind w:left="14"/>
              <w:jc w:val="center"/>
              <w:rPr>
                <w:b/>
                <w:sz w:val="24"/>
              </w:rPr>
            </w:pPr>
            <w:r>
              <w:rPr>
                <w:b/>
                <w:w w:val="99"/>
                <w:sz w:val="24"/>
              </w:rPr>
              <w:t>1</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spacing w:before="3"/>
              <w:rPr>
                <w:b/>
                <w:sz w:val="22"/>
              </w:rPr>
            </w:pPr>
          </w:p>
          <w:p>
            <w:pPr>
              <w:pStyle w:val="37"/>
              <w:ind w:left="158"/>
              <w:rPr>
                <w:b/>
                <w:sz w:val="24"/>
              </w:rPr>
            </w:pPr>
            <w:r>
              <w:rPr>
                <w:b/>
                <w:w w:val="95"/>
                <w:sz w:val="24"/>
              </w:rPr>
              <w:t>投标报价</w:t>
            </w:r>
          </w:p>
          <w:p>
            <w:pPr>
              <w:pStyle w:val="37"/>
              <w:spacing w:before="158"/>
              <w:ind w:left="187"/>
              <w:rPr>
                <w:b/>
                <w:sz w:val="24"/>
              </w:rPr>
            </w:pPr>
            <w:r>
              <w:rPr>
                <w:b/>
                <w:sz w:val="24"/>
              </w:rPr>
              <w:t>（30</w:t>
            </w:r>
            <w:r>
              <w:rPr>
                <w:b/>
                <w:spacing w:val="-22"/>
                <w:sz w:val="24"/>
              </w:rPr>
              <w:t xml:space="preserve"> 分)</w:t>
            </w:r>
          </w:p>
        </w:tc>
        <w:tc>
          <w:tcPr>
            <w:tcW w:w="7601" w:type="dxa"/>
            <w:noWrap w:val="0"/>
            <w:vAlign w:val="top"/>
          </w:tcPr>
          <w:p>
            <w:pPr>
              <w:pStyle w:val="37"/>
              <w:spacing w:before="113" w:line="360" w:lineRule="auto"/>
              <w:ind w:left="108" w:right="247" w:rightChars="0"/>
              <w:rPr>
                <w:sz w:val="24"/>
                <w:szCs w:val="24"/>
              </w:rPr>
            </w:pPr>
            <w:r>
              <w:rPr>
                <w:sz w:val="24"/>
                <w:szCs w:val="24"/>
              </w:rPr>
              <w:t>投标基准价=满足招标文件要求且最后有效投标报价的最低价为基准价。</w:t>
            </w:r>
            <w:r>
              <w:rPr>
                <w:spacing w:val="-3"/>
                <w:sz w:val="24"/>
                <w:szCs w:val="24"/>
              </w:rPr>
              <w:t>报价得分=</w:t>
            </w:r>
            <w:r>
              <w:rPr>
                <w:spacing w:val="-12"/>
                <w:sz w:val="24"/>
                <w:szCs w:val="24"/>
              </w:rPr>
              <w:t>（</w:t>
            </w:r>
            <w:r>
              <w:rPr>
                <w:sz w:val="24"/>
                <w:szCs w:val="24"/>
              </w:rPr>
              <w:t>基准价/最后报价</w:t>
            </w:r>
            <w:r>
              <w:rPr>
                <w:spacing w:val="-11"/>
                <w:sz w:val="24"/>
                <w:szCs w:val="24"/>
              </w:rPr>
              <w:t>）</w:t>
            </w:r>
            <w:r>
              <w:rPr>
                <w:spacing w:val="-7"/>
                <w:sz w:val="24"/>
                <w:szCs w:val="24"/>
              </w:rPr>
              <w:t>×价格权值</w:t>
            </w:r>
            <w:r>
              <w:rPr>
                <w:spacing w:val="-5"/>
                <w:sz w:val="24"/>
                <w:szCs w:val="24"/>
              </w:rPr>
              <w:t>（30%）×100（</w:t>
            </w:r>
            <w:r>
              <w:rPr>
                <w:spacing w:val="-8"/>
                <w:sz w:val="24"/>
                <w:szCs w:val="24"/>
              </w:rPr>
              <w:t>四舍</w:t>
            </w:r>
            <w:r>
              <w:rPr>
                <w:sz w:val="24"/>
                <w:szCs w:val="24"/>
              </w:rPr>
              <w:t>五入后保留小数点后两位）。</w:t>
            </w:r>
          </w:p>
          <w:p>
            <w:pPr>
              <w:pStyle w:val="37"/>
              <w:spacing w:line="360" w:lineRule="auto"/>
              <w:ind w:left="108" w:right="247" w:rightChars="0"/>
              <w:rPr>
                <w:sz w:val="24"/>
                <w:szCs w:val="24"/>
              </w:rPr>
            </w:pPr>
            <w:r>
              <w:rPr>
                <w:spacing w:val="-10"/>
                <w:sz w:val="24"/>
                <w:szCs w:val="24"/>
              </w:rPr>
              <w:t>注：根据《政府采购促进中小企业发展暂行办法》、《关于促进</w:t>
            </w:r>
            <w:r>
              <w:rPr>
                <w:spacing w:val="-17"/>
                <w:sz w:val="24"/>
                <w:szCs w:val="24"/>
              </w:rPr>
              <w:t>残疾人就业政府采购政策的通知》的相关规定，对残疾人福利性</w:t>
            </w:r>
            <w:r>
              <w:rPr>
                <w:spacing w:val="-9"/>
                <w:sz w:val="24"/>
                <w:szCs w:val="24"/>
              </w:rPr>
              <w:t>单位、小型和微型企业制造</w:t>
            </w:r>
            <w:r>
              <w:rPr>
                <w:sz w:val="24"/>
                <w:szCs w:val="24"/>
              </w:rPr>
              <w:t>（生产</w:t>
            </w:r>
            <w:r>
              <w:rPr>
                <w:spacing w:val="-17"/>
                <w:sz w:val="24"/>
                <w:szCs w:val="24"/>
              </w:rPr>
              <w:t>）</w:t>
            </w:r>
            <w:r>
              <w:rPr>
                <w:spacing w:val="-8"/>
                <w:sz w:val="24"/>
                <w:szCs w:val="24"/>
              </w:rPr>
              <w:t xml:space="preserve">产品的价格给予 </w:t>
            </w:r>
            <w:r>
              <w:rPr>
                <w:sz w:val="24"/>
                <w:szCs w:val="24"/>
              </w:rPr>
              <w:t>6%</w:t>
            </w:r>
            <w:r>
              <w:rPr>
                <w:spacing w:val="-4"/>
                <w:sz w:val="24"/>
                <w:szCs w:val="24"/>
              </w:rPr>
              <w:t xml:space="preserve">的扣除， </w:t>
            </w:r>
            <w:r>
              <w:rPr>
                <w:spacing w:val="-8"/>
                <w:sz w:val="24"/>
                <w:szCs w:val="24"/>
              </w:rPr>
              <w:t>用扣除后的价格参与评标。残疾人福利性单位属于小型、微型企</w:t>
            </w:r>
            <w:r>
              <w:rPr>
                <w:sz w:val="24"/>
                <w:szCs w:val="24"/>
              </w:rPr>
              <w:t>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164"/>
              <w:ind w:left="14"/>
              <w:jc w:val="center"/>
              <w:rPr>
                <w:b/>
                <w:sz w:val="24"/>
              </w:rPr>
            </w:pPr>
            <w:r>
              <w:rPr>
                <w:b/>
                <w:w w:val="99"/>
                <w:sz w:val="24"/>
              </w:rPr>
              <w:t>2</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8"/>
              <w:rPr>
                <w:b/>
                <w:sz w:val="18"/>
              </w:rPr>
            </w:pPr>
          </w:p>
          <w:p>
            <w:pPr>
              <w:pStyle w:val="37"/>
              <w:ind w:left="158"/>
              <w:rPr>
                <w:b/>
                <w:sz w:val="24"/>
              </w:rPr>
            </w:pPr>
            <w:r>
              <w:rPr>
                <w:b/>
                <w:w w:val="95"/>
                <w:sz w:val="24"/>
              </w:rPr>
              <w:t>技术水平</w:t>
            </w:r>
          </w:p>
          <w:p>
            <w:pPr>
              <w:pStyle w:val="37"/>
              <w:spacing w:before="158"/>
              <w:ind w:left="127"/>
              <w:rPr>
                <w:b/>
                <w:sz w:val="24"/>
              </w:rPr>
            </w:pPr>
            <w:r>
              <w:rPr>
                <w:b/>
                <w:sz w:val="24"/>
              </w:rPr>
              <w:t>（</w:t>
            </w:r>
            <w:r>
              <w:rPr>
                <w:rFonts w:hint="eastAsia"/>
                <w:b/>
                <w:sz w:val="24"/>
                <w:lang w:val="en-US" w:eastAsia="zh-CN"/>
              </w:rPr>
              <w:t>53</w:t>
            </w:r>
            <w:r>
              <w:rPr>
                <w:b/>
                <w:spacing w:val="-32"/>
                <w:sz w:val="24"/>
              </w:rPr>
              <w:t>分</w:t>
            </w:r>
            <w:r>
              <w:rPr>
                <w:b/>
                <w:sz w:val="24"/>
              </w:rPr>
              <w:t>）</w:t>
            </w:r>
          </w:p>
        </w:tc>
        <w:tc>
          <w:tcPr>
            <w:tcW w:w="7601" w:type="dxa"/>
            <w:noWrap w:val="0"/>
            <w:vAlign w:val="top"/>
          </w:tcPr>
          <w:p>
            <w:pPr>
              <w:pStyle w:val="37"/>
              <w:spacing w:before="113" w:line="360" w:lineRule="auto"/>
              <w:ind w:left="108" w:right="247" w:rightChars="0"/>
              <w:rPr>
                <w:sz w:val="24"/>
                <w:szCs w:val="24"/>
              </w:rPr>
            </w:pPr>
            <w:r>
              <w:rPr>
                <w:b/>
                <w:bCs/>
                <w:sz w:val="24"/>
                <w:szCs w:val="24"/>
              </w:rPr>
              <w:t>对招标文件的响应程度（15分）：</w:t>
            </w:r>
            <w:r>
              <w:rPr>
                <w:sz w:val="24"/>
                <w:szCs w:val="24"/>
              </w:rPr>
              <w:t>针对本项目实际情况横向比较各投标人提供的苗木准备的供货工序（包括起苗、选苗、运输等方面）有保证措施且好的得 15 分，较好的得 10 分，一般的得 5 分，没有不得分。</w:t>
            </w:r>
          </w:p>
          <w:p>
            <w:pPr>
              <w:pStyle w:val="37"/>
              <w:numPr>
                <w:ilvl w:val="0"/>
                <w:numId w:val="0"/>
              </w:numPr>
              <w:tabs>
                <w:tab w:val="left" w:pos="350"/>
              </w:tabs>
              <w:spacing w:before="134" w:after="0" w:line="360" w:lineRule="auto"/>
              <w:ind w:left="108" w:leftChars="0" w:right="247" w:rightChars="0"/>
              <w:jc w:val="left"/>
              <w:rPr>
                <w:spacing w:val="-8"/>
                <w:sz w:val="24"/>
                <w:szCs w:val="24"/>
              </w:rPr>
            </w:pPr>
            <w:r>
              <w:rPr>
                <w:b/>
                <w:spacing w:val="-3"/>
                <w:sz w:val="24"/>
                <w:szCs w:val="24"/>
              </w:rPr>
              <w:t>项目管理及实施方案</w:t>
            </w:r>
            <w:r>
              <w:rPr>
                <w:b/>
                <w:sz w:val="24"/>
                <w:szCs w:val="24"/>
              </w:rPr>
              <w:t>（10</w:t>
            </w:r>
            <w:r>
              <w:rPr>
                <w:b/>
                <w:spacing w:val="-29"/>
                <w:sz w:val="24"/>
                <w:szCs w:val="24"/>
              </w:rPr>
              <w:t xml:space="preserve"> 分</w:t>
            </w:r>
            <w:r>
              <w:rPr>
                <w:b/>
                <w:spacing w:val="-21"/>
                <w:sz w:val="24"/>
                <w:szCs w:val="24"/>
              </w:rPr>
              <w:t>）：</w:t>
            </w:r>
            <w:r>
              <w:rPr>
                <w:spacing w:val="-1"/>
                <w:sz w:val="24"/>
                <w:szCs w:val="24"/>
              </w:rPr>
              <w:t xml:space="preserve">针对本项目有项目管理机构， </w:t>
            </w:r>
            <w:r>
              <w:rPr>
                <w:spacing w:val="-10"/>
                <w:sz w:val="24"/>
                <w:szCs w:val="24"/>
              </w:rPr>
              <w:t>并且有科学、具体的项目管理措施及质量、进度、安全文明施工</w:t>
            </w:r>
            <w:r>
              <w:rPr>
                <w:spacing w:val="-13"/>
                <w:sz w:val="24"/>
                <w:szCs w:val="24"/>
              </w:rPr>
              <w:t xml:space="preserve">方案，能够结合项目特点制定实施方案，优秀的，得 </w:t>
            </w:r>
            <w:r>
              <w:rPr>
                <w:sz w:val="24"/>
                <w:szCs w:val="24"/>
              </w:rPr>
              <w:t>10</w:t>
            </w:r>
            <w:r>
              <w:rPr>
                <w:spacing w:val="-15"/>
                <w:sz w:val="24"/>
                <w:szCs w:val="24"/>
              </w:rPr>
              <w:t xml:space="preserve"> 分；</w:t>
            </w:r>
            <w:r>
              <w:rPr>
                <w:rFonts w:hint="eastAsia"/>
                <w:spacing w:val="-15"/>
                <w:sz w:val="24"/>
                <w:szCs w:val="24"/>
                <w:lang w:val="en-US" w:eastAsia="zh-CN"/>
              </w:rPr>
              <w:t>较好</w:t>
            </w:r>
            <w:r>
              <w:rPr>
                <w:spacing w:val="-12"/>
                <w:sz w:val="24"/>
                <w:szCs w:val="24"/>
              </w:rPr>
              <w:t xml:space="preserve">的，得 </w:t>
            </w:r>
            <w:r>
              <w:rPr>
                <w:sz w:val="24"/>
                <w:szCs w:val="24"/>
              </w:rPr>
              <w:t>6</w:t>
            </w:r>
            <w:r>
              <w:rPr>
                <w:spacing w:val="-14"/>
                <w:sz w:val="24"/>
                <w:szCs w:val="24"/>
              </w:rPr>
              <w:t xml:space="preserve"> 分；</w:t>
            </w:r>
            <w:r>
              <w:rPr>
                <w:rFonts w:hint="eastAsia"/>
                <w:spacing w:val="-14"/>
                <w:sz w:val="24"/>
                <w:szCs w:val="24"/>
                <w:lang w:val="en-US" w:eastAsia="zh-CN"/>
              </w:rPr>
              <w:t>一般</w:t>
            </w:r>
            <w:r>
              <w:rPr>
                <w:spacing w:val="-14"/>
                <w:sz w:val="24"/>
                <w:szCs w:val="24"/>
              </w:rPr>
              <w:t xml:space="preserve">的得 </w:t>
            </w:r>
            <w:r>
              <w:rPr>
                <w:sz w:val="24"/>
                <w:szCs w:val="24"/>
              </w:rPr>
              <w:t>3</w:t>
            </w:r>
            <w:r>
              <w:rPr>
                <w:spacing w:val="-8"/>
                <w:sz w:val="24"/>
                <w:szCs w:val="24"/>
              </w:rPr>
              <w:t xml:space="preserve"> 分；未提供或其他情况不得分。</w:t>
            </w:r>
          </w:p>
          <w:p>
            <w:pPr>
              <w:pStyle w:val="37"/>
              <w:spacing w:before="113" w:line="360" w:lineRule="auto"/>
              <w:ind w:left="108" w:right="247" w:rightChars="0"/>
              <w:rPr>
                <w:sz w:val="24"/>
                <w:szCs w:val="24"/>
              </w:rPr>
            </w:pPr>
            <w:r>
              <w:rPr>
                <w:rFonts w:hint="eastAsia"/>
                <w:b/>
                <w:bCs/>
                <w:sz w:val="24"/>
                <w:szCs w:val="24"/>
                <w:lang w:val="zh-CN" w:eastAsia="zh-CN"/>
              </w:rPr>
              <w:t>货物的数量和质量保证措施（</w:t>
            </w:r>
            <w:r>
              <w:rPr>
                <w:rFonts w:hint="eastAsia"/>
                <w:b/>
                <w:bCs/>
                <w:sz w:val="24"/>
                <w:szCs w:val="24"/>
                <w:lang w:val="en-US" w:eastAsia="zh-CN"/>
              </w:rPr>
              <w:t>9分）</w:t>
            </w:r>
            <w:r>
              <w:rPr>
                <w:rFonts w:hint="eastAsia"/>
                <w:sz w:val="24"/>
                <w:szCs w:val="24"/>
                <w:lang w:val="zh-CN" w:eastAsia="zh-CN"/>
              </w:rPr>
              <w:t>：根据各投标人的货物的数量和质量保证措施，</w:t>
            </w:r>
            <w:r>
              <w:rPr>
                <w:rFonts w:hint="eastAsia"/>
                <w:sz w:val="24"/>
                <w:szCs w:val="24"/>
                <w:lang w:val="en-US" w:eastAsia="zh-CN"/>
              </w:rPr>
              <w:t>优秀的</w:t>
            </w:r>
            <w:r>
              <w:rPr>
                <w:rFonts w:hint="eastAsia"/>
                <w:sz w:val="24"/>
                <w:szCs w:val="24"/>
                <w:lang w:val="zh-CN" w:eastAsia="zh-CN"/>
              </w:rPr>
              <w:t>得</w:t>
            </w:r>
            <w:r>
              <w:rPr>
                <w:rFonts w:hint="eastAsia"/>
                <w:sz w:val="24"/>
                <w:szCs w:val="24"/>
                <w:lang w:val="en-US" w:eastAsia="zh-CN"/>
              </w:rPr>
              <w:t>9</w:t>
            </w:r>
            <w:r>
              <w:rPr>
                <w:rFonts w:hint="eastAsia"/>
                <w:sz w:val="24"/>
                <w:szCs w:val="24"/>
                <w:lang w:val="zh-CN" w:eastAsia="zh-CN"/>
              </w:rPr>
              <w:t>分，</w:t>
            </w:r>
            <w:r>
              <w:rPr>
                <w:rFonts w:hint="eastAsia"/>
                <w:sz w:val="24"/>
                <w:szCs w:val="24"/>
                <w:lang w:val="en-US" w:eastAsia="zh-CN"/>
              </w:rPr>
              <w:t>较好的</w:t>
            </w:r>
            <w:r>
              <w:rPr>
                <w:rFonts w:hint="eastAsia"/>
                <w:sz w:val="24"/>
                <w:szCs w:val="24"/>
                <w:lang w:val="zh-CN" w:eastAsia="zh-CN"/>
              </w:rPr>
              <w:t>得6分，一般的得</w:t>
            </w:r>
            <w:r>
              <w:rPr>
                <w:rFonts w:hint="eastAsia"/>
                <w:sz w:val="24"/>
                <w:szCs w:val="24"/>
                <w:lang w:val="en-US" w:eastAsia="zh-CN"/>
              </w:rPr>
              <w:t>3</w:t>
            </w:r>
            <w:r>
              <w:rPr>
                <w:rFonts w:hint="eastAsia"/>
                <w:sz w:val="24"/>
                <w:szCs w:val="24"/>
                <w:lang w:val="zh-CN" w:eastAsia="zh-CN"/>
              </w:rPr>
              <w:t>分，差或不提供的不得分。</w:t>
            </w:r>
          </w:p>
          <w:p>
            <w:pPr>
              <w:pStyle w:val="37"/>
              <w:numPr>
                <w:ilvl w:val="0"/>
                <w:numId w:val="0"/>
              </w:numPr>
              <w:tabs>
                <w:tab w:val="left" w:pos="352"/>
              </w:tabs>
              <w:spacing w:before="112" w:after="0" w:line="480" w:lineRule="auto"/>
              <w:ind w:left="108" w:leftChars="0" w:right="247" w:rightChars="0"/>
              <w:jc w:val="both"/>
              <w:rPr>
                <w:sz w:val="24"/>
                <w:szCs w:val="24"/>
              </w:rPr>
            </w:pPr>
            <w:r>
              <w:rPr>
                <w:b/>
                <w:spacing w:val="1"/>
                <w:sz w:val="24"/>
                <w:szCs w:val="24"/>
              </w:rPr>
              <w:t>供苗流程</w:t>
            </w:r>
            <w:r>
              <w:rPr>
                <w:b/>
                <w:spacing w:val="2"/>
                <w:sz w:val="24"/>
                <w:szCs w:val="24"/>
              </w:rPr>
              <w:t>（10</w:t>
            </w:r>
            <w:r>
              <w:rPr>
                <w:b/>
                <w:spacing w:val="-20"/>
                <w:sz w:val="24"/>
                <w:szCs w:val="24"/>
              </w:rPr>
              <w:t xml:space="preserve"> 分</w:t>
            </w:r>
            <w:r>
              <w:rPr>
                <w:b/>
                <w:spacing w:val="3"/>
                <w:sz w:val="24"/>
                <w:szCs w:val="24"/>
              </w:rPr>
              <w:t>）：</w:t>
            </w:r>
            <w:r>
              <w:rPr>
                <w:sz w:val="24"/>
                <w:szCs w:val="24"/>
              </w:rPr>
              <w:t>供苗流程能满足进度计划和保证苗木质</w:t>
            </w:r>
            <w:r>
              <w:rPr>
                <w:spacing w:val="-11"/>
                <w:sz w:val="24"/>
                <w:szCs w:val="24"/>
              </w:rPr>
              <w:t>量要求，流水作业能保证施工连续、均衡、有节奏地进行。管理</w:t>
            </w:r>
            <w:r>
              <w:rPr>
                <w:spacing w:val="-14"/>
                <w:sz w:val="24"/>
                <w:szCs w:val="24"/>
              </w:rPr>
              <w:t>措施能有效保证投标计划的顺利完成，</w:t>
            </w:r>
            <w:r>
              <w:rPr>
                <w:rFonts w:hint="eastAsia"/>
                <w:spacing w:val="-14"/>
                <w:sz w:val="24"/>
                <w:szCs w:val="24"/>
                <w:lang w:val="en-US" w:eastAsia="zh-CN"/>
              </w:rPr>
              <w:t>优秀</w:t>
            </w:r>
            <w:r>
              <w:rPr>
                <w:spacing w:val="-14"/>
                <w:sz w:val="24"/>
                <w:szCs w:val="24"/>
              </w:rPr>
              <w:t xml:space="preserve">的得 </w:t>
            </w:r>
            <w:r>
              <w:rPr>
                <w:sz w:val="24"/>
                <w:szCs w:val="24"/>
              </w:rPr>
              <w:t>10</w:t>
            </w:r>
            <w:r>
              <w:rPr>
                <w:spacing w:val="-10"/>
                <w:sz w:val="24"/>
                <w:szCs w:val="24"/>
              </w:rPr>
              <w:t xml:space="preserve"> 分；一般的</w:t>
            </w:r>
            <w:r>
              <w:rPr>
                <w:sz w:val="24"/>
                <w:szCs w:val="24"/>
              </w:rPr>
              <w:t>得 6 分；较差的得 3 分；未提供或其他情况不得分。</w:t>
            </w:r>
          </w:p>
          <w:p>
            <w:pPr>
              <w:keepNext w:val="0"/>
              <w:keepLines w:val="0"/>
              <w:pageBreakBefore w:val="0"/>
              <w:kinsoku/>
              <w:wordWrap/>
              <w:overflowPunct/>
              <w:topLinePunct w:val="0"/>
              <w:bidi w:val="0"/>
              <w:snapToGrid/>
              <w:spacing w:beforeAutospacing="0" w:afterAutospacing="0" w:line="480" w:lineRule="exact"/>
              <w:ind w:right="186" w:rightChars="0"/>
              <w:textAlignment w:val="auto"/>
              <w:rPr>
                <w:rFonts w:hint="eastAsia" w:ascii="仿宋" w:hAnsi="仿宋" w:eastAsia="仿宋" w:cs="仿宋"/>
                <w:b w:val="0"/>
                <w:bCs/>
                <w:spacing w:val="1"/>
                <w:kern w:val="2"/>
                <w:sz w:val="24"/>
                <w:szCs w:val="24"/>
                <w:lang w:val="zh-CN" w:eastAsia="zh-CN" w:bidi="zh-CN"/>
              </w:rPr>
            </w:pPr>
            <w:r>
              <w:rPr>
                <w:rFonts w:hint="eastAsia" w:ascii="仿宋" w:hAnsi="仿宋" w:eastAsia="仿宋" w:cs="仿宋"/>
                <w:b/>
                <w:spacing w:val="1"/>
                <w:kern w:val="2"/>
                <w:sz w:val="24"/>
                <w:szCs w:val="24"/>
                <w:lang w:val="en-US" w:eastAsia="zh-CN" w:bidi="zh-CN"/>
              </w:rPr>
              <w:t>病虫害防治</w:t>
            </w:r>
            <w:r>
              <w:rPr>
                <w:rFonts w:ascii="仿宋" w:hAnsi="仿宋" w:eastAsia="仿宋" w:cs="仿宋"/>
                <w:b/>
                <w:spacing w:val="1"/>
                <w:kern w:val="2"/>
                <w:sz w:val="24"/>
                <w:szCs w:val="24"/>
                <w:lang w:val="zh-CN" w:eastAsia="zh-CN" w:bidi="zh-CN"/>
              </w:rPr>
              <w:t>（</w:t>
            </w:r>
            <w:r>
              <w:rPr>
                <w:rFonts w:hint="eastAsia" w:ascii="仿宋" w:hAnsi="仿宋" w:eastAsia="仿宋" w:cs="仿宋"/>
                <w:b/>
                <w:spacing w:val="1"/>
                <w:kern w:val="2"/>
                <w:sz w:val="24"/>
                <w:szCs w:val="24"/>
                <w:lang w:val="en-US" w:eastAsia="zh-CN" w:bidi="zh-CN"/>
              </w:rPr>
              <w:t>9</w:t>
            </w:r>
            <w:r>
              <w:rPr>
                <w:rFonts w:ascii="仿宋" w:hAnsi="仿宋" w:eastAsia="仿宋" w:cs="仿宋"/>
                <w:b/>
                <w:spacing w:val="1"/>
                <w:kern w:val="2"/>
                <w:sz w:val="24"/>
                <w:szCs w:val="24"/>
                <w:lang w:val="zh-CN" w:eastAsia="zh-CN" w:bidi="zh-CN"/>
              </w:rPr>
              <w:t xml:space="preserve"> 分）：</w:t>
            </w:r>
            <w:r>
              <w:rPr>
                <w:rFonts w:hint="eastAsia" w:ascii="仿宋" w:hAnsi="仿宋" w:eastAsia="仿宋" w:cs="仿宋"/>
                <w:b w:val="0"/>
                <w:bCs/>
                <w:spacing w:val="1"/>
                <w:kern w:val="2"/>
                <w:sz w:val="24"/>
                <w:szCs w:val="24"/>
                <w:lang w:val="en-US" w:eastAsia="zh-CN" w:bidi="zh-CN"/>
              </w:rPr>
              <w:t>病虫害防治方案，</w:t>
            </w:r>
            <w:r>
              <w:rPr>
                <w:rFonts w:hint="eastAsia" w:ascii="仿宋" w:hAnsi="仿宋" w:eastAsia="仿宋" w:cs="仿宋"/>
                <w:b w:val="0"/>
                <w:bCs/>
                <w:spacing w:val="1"/>
                <w:kern w:val="2"/>
                <w:sz w:val="24"/>
                <w:szCs w:val="24"/>
                <w:lang w:val="zh-CN" w:eastAsia="zh-CN" w:bidi="zh-CN"/>
              </w:rPr>
              <w:t>投标人针对项目情况提供的</w:t>
            </w:r>
            <w:r>
              <w:rPr>
                <w:rFonts w:hint="eastAsia" w:ascii="仿宋" w:hAnsi="仿宋" w:eastAsia="仿宋" w:cs="仿宋"/>
                <w:b w:val="0"/>
                <w:bCs/>
                <w:spacing w:val="1"/>
                <w:kern w:val="2"/>
                <w:sz w:val="24"/>
                <w:szCs w:val="24"/>
                <w:lang w:val="en-US" w:eastAsia="zh-CN" w:bidi="zh-CN"/>
              </w:rPr>
              <w:t>退化林修复施工</w:t>
            </w:r>
            <w:r>
              <w:rPr>
                <w:rFonts w:hint="eastAsia" w:ascii="仿宋" w:hAnsi="仿宋" w:eastAsia="仿宋" w:cs="仿宋"/>
                <w:b w:val="0"/>
                <w:bCs/>
                <w:spacing w:val="1"/>
                <w:kern w:val="2"/>
                <w:sz w:val="24"/>
                <w:szCs w:val="24"/>
                <w:lang w:val="zh-CN" w:eastAsia="zh-CN" w:bidi="zh-CN"/>
              </w:rPr>
              <w:t>实施方案包括但不限于项目实施重难点的理解和分析、总体实施思路和技术路线、人员培训方案、</w:t>
            </w:r>
            <w:r>
              <w:rPr>
                <w:rFonts w:hint="eastAsia" w:ascii="仿宋" w:hAnsi="仿宋" w:eastAsia="仿宋" w:cs="仿宋"/>
                <w:b w:val="0"/>
                <w:bCs/>
                <w:spacing w:val="1"/>
                <w:kern w:val="2"/>
                <w:sz w:val="24"/>
                <w:szCs w:val="24"/>
                <w:lang w:val="en-US" w:eastAsia="zh-CN" w:bidi="zh-CN"/>
              </w:rPr>
              <w:t>防治器械的配备等</w:t>
            </w:r>
            <w:r>
              <w:rPr>
                <w:rFonts w:hint="eastAsia" w:ascii="仿宋" w:hAnsi="仿宋" w:eastAsia="仿宋" w:cs="仿宋"/>
                <w:b w:val="0"/>
                <w:bCs/>
                <w:spacing w:val="1"/>
                <w:kern w:val="2"/>
                <w:sz w:val="24"/>
                <w:szCs w:val="24"/>
                <w:lang w:val="zh-CN" w:eastAsia="zh-CN" w:bidi="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186" w:rightChars="0"/>
              <w:jc w:val="both"/>
              <w:textAlignment w:val="auto"/>
              <w:rPr>
                <w:sz w:val="24"/>
                <w:szCs w:val="24"/>
              </w:rPr>
            </w:pPr>
            <w:r>
              <w:rPr>
                <w:rFonts w:hint="eastAsia" w:ascii="仿宋" w:hAnsi="仿宋" w:eastAsia="仿宋" w:cs="仿宋"/>
                <w:b w:val="0"/>
                <w:bCs/>
                <w:spacing w:val="1"/>
                <w:kern w:val="2"/>
                <w:sz w:val="24"/>
                <w:szCs w:val="24"/>
                <w:lang w:val="en-US" w:eastAsia="zh-CN" w:bidi="zh-CN"/>
              </w:rPr>
              <w:t>内容完整、计划科学合理、措施得当、完全满足项目实施要求的得9分；内容较完整、计划科学合理、措施较得当、能保证项目顺利实施的得6分；内容基本完整、基本能保证项目实施的得3分；内容简单、计划措施单一，不能完全满足项目实施的得1分</w:t>
            </w:r>
            <w:r>
              <w:rPr>
                <w:rFonts w:hint="eastAsia" w:ascii="仿宋" w:hAnsi="仿宋" w:eastAsia="仿宋" w:cs="仿宋"/>
                <w:b/>
                <w:spacing w:val="1"/>
                <w:kern w:val="2"/>
                <w:sz w:val="24"/>
                <w:szCs w:val="24"/>
                <w:lang w:val="en-US" w:eastAsia="zh-CN" w:bidi="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19"/>
              </w:rPr>
            </w:pPr>
          </w:p>
          <w:p>
            <w:pPr>
              <w:pStyle w:val="37"/>
              <w:ind w:left="14" w:leftChars="0"/>
              <w:jc w:val="center"/>
              <w:rPr>
                <w:rFonts w:ascii="仿宋" w:hAnsi="仿宋" w:eastAsia="仿宋" w:cs="仿宋"/>
                <w:b/>
                <w:kern w:val="2"/>
                <w:sz w:val="24"/>
                <w:szCs w:val="24"/>
                <w:lang w:val="zh-CN" w:eastAsia="zh-CN" w:bidi="zh-CN"/>
              </w:rPr>
            </w:pPr>
            <w:r>
              <w:rPr>
                <w:b/>
                <w:w w:val="99"/>
                <w:sz w:val="24"/>
              </w:rPr>
              <w:t>3</w:t>
            </w:r>
          </w:p>
        </w:tc>
        <w:tc>
          <w:tcPr>
            <w:tcW w:w="1276" w:type="dxa"/>
            <w:noWrap w:val="0"/>
            <w:vAlign w:val="top"/>
          </w:tcPr>
          <w:p>
            <w:pPr>
              <w:pStyle w:val="37"/>
              <w:rPr>
                <w:b/>
                <w:sz w:val="24"/>
              </w:rPr>
            </w:pPr>
          </w:p>
          <w:p>
            <w:pPr>
              <w:pStyle w:val="37"/>
              <w:spacing w:before="160"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履约能力(</w:t>
            </w:r>
            <w:r>
              <w:rPr>
                <w:rFonts w:hint="eastAsia"/>
                <w:b/>
                <w:sz w:val="24"/>
                <w:lang w:val="en-US" w:eastAsia="zh-CN"/>
              </w:rPr>
              <w:t>6</w:t>
            </w:r>
            <w:r>
              <w:rPr>
                <w:b/>
                <w:sz w:val="24"/>
              </w:rPr>
              <w:t xml:space="preserve"> 分)</w:t>
            </w:r>
          </w:p>
        </w:tc>
        <w:tc>
          <w:tcPr>
            <w:tcW w:w="7601" w:type="dxa"/>
            <w:noWrap w:val="0"/>
            <w:vAlign w:val="top"/>
          </w:tcPr>
          <w:p>
            <w:pPr>
              <w:pStyle w:val="37"/>
              <w:spacing w:before="2" w:line="360" w:lineRule="auto"/>
              <w:ind w:left="108" w:right="247" w:rightChars="0"/>
              <w:rPr>
                <w:rFonts w:ascii="仿宋" w:hAnsi="仿宋" w:eastAsia="仿宋" w:cs="仿宋"/>
                <w:kern w:val="2"/>
                <w:sz w:val="24"/>
                <w:szCs w:val="24"/>
                <w:lang w:val="zh-CN" w:eastAsia="zh-CN" w:bidi="zh-CN"/>
              </w:rPr>
            </w:pPr>
            <w:r>
              <w:rPr>
                <w:b/>
                <w:sz w:val="24"/>
                <w:szCs w:val="24"/>
              </w:rPr>
              <w:t>类似业绩情况（</w:t>
            </w:r>
            <w:r>
              <w:rPr>
                <w:rFonts w:hint="eastAsia"/>
                <w:b/>
                <w:sz w:val="24"/>
                <w:szCs w:val="24"/>
                <w:lang w:val="en-US" w:eastAsia="zh-CN"/>
              </w:rPr>
              <w:t>6</w:t>
            </w:r>
            <w:r>
              <w:rPr>
                <w:b/>
                <w:spacing w:val="-31"/>
                <w:sz w:val="24"/>
                <w:szCs w:val="24"/>
              </w:rPr>
              <w:t xml:space="preserve"> 分</w:t>
            </w:r>
            <w:r>
              <w:rPr>
                <w:b/>
                <w:sz w:val="24"/>
                <w:szCs w:val="24"/>
              </w:rPr>
              <w:t>）：</w:t>
            </w:r>
            <w:r>
              <w:rPr>
                <w:spacing w:val="-6"/>
                <w:sz w:val="24"/>
                <w:szCs w:val="24"/>
              </w:rPr>
              <w:t xml:space="preserve">提供投标截止日前近 </w:t>
            </w:r>
            <w:r>
              <w:rPr>
                <w:sz w:val="24"/>
                <w:szCs w:val="24"/>
              </w:rPr>
              <w:t>3</w:t>
            </w:r>
            <w:r>
              <w:rPr>
                <w:spacing w:val="-31"/>
                <w:sz w:val="24"/>
                <w:szCs w:val="24"/>
              </w:rPr>
              <w:t xml:space="preserve"> 年</w:t>
            </w:r>
            <w:r>
              <w:rPr>
                <w:sz w:val="24"/>
                <w:szCs w:val="24"/>
              </w:rPr>
              <w:t>（2019</w:t>
            </w:r>
            <w:r>
              <w:rPr>
                <w:spacing w:val="-41"/>
                <w:sz w:val="24"/>
                <w:szCs w:val="24"/>
              </w:rPr>
              <w:t xml:space="preserve"> 年 </w:t>
            </w:r>
            <w:r>
              <w:rPr>
                <w:sz w:val="24"/>
                <w:szCs w:val="24"/>
              </w:rPr>
              <w:t>1</w:t>
            </w:r>
            <w:r>
              <w:rPr>
                <w:spacing w:val="-30"/>
                <w:sz w:val="24"/>
                <w:szCs w:val="24"/>
              </w:rPr>
              <w:t xml:space="preserve">月 </w:t>
            </w:r>
            <w:r>
              <w:rPr>
                <w:sz w:val="24"/>
                <w:szCs w:val="24"/>
              </w:rPr>
              <w:t>1</w:t>
            </w:r>
            <w:r>
              <w:rPr>
                <w:spacing w:val="-8"/>
                <w:sz w:val="24"/>
                <w:szCs w:val="24"/>
              </w:rPr>
              <w:t>日至投标截止日</w:t>
            </w:r>
            <w:r>
              <w:rPr>
                <w:spacing w:val="-58"/>
                <w:sz w:val="24"/>
                <w:szCs w:val="24"/>
              </w:rPr>
              <w:t>）</w:t>
            </w:r>
            <w:r>
              <w:rPr>
                <w:spacing w:val="-7"/>
                <w:sz w:val="24"/>
                <w:szCs w:val="24"/>
              </w:rPr>
              <w:t>的类似业绩证明材料</w:t>
            </w:r>
            <w:r>
              <w:rPr>
                <w:sz w:val="24"/>
                <w:szCs w:val="24"/>
              </w:rPr>
              <w:t>（需提供包含合同首</w:t>
            </w:r>
            <w:r>
              <w:rPr>
                <w:spacing w:val="-10"/>
                <w:sz w:val="24"/>
                <w:szCs w:val="24"/>
              </w:rPr>
              <w:t>页、标的及金额所在页、签字盖章页的合同复印件或扫描件</w:t>
            </w:r>
            <w:r>
              <w:rPr>
                <w:spacing w:val="-39"/>
                <w:sz w:val="24"/>
                <w:szCs w:val="24"/>
              </w:rPr>
              <w:t>）</w:t>
            </w:r>
            <w:r>
              <w:rPr>
                <w:spacing w:val="-16"/>
                <w:sz w:val="24"/>
                <w:szCs w:val="24"/>
              </w:rPr>
              <w:t>每</w:t>
            </w:r>
            <w:r>
              <w:rPr>
                <w:spacing w:val="-10"/>
                <w:sz w:val="24"/>
                <w:szCs w:val="24"/>
              </w:rPr>
              <w:t xml:space="preserve">提供一项得 </w:t>
            </w:r>
            <w:r>
              <w:rPr>
                <w:rFonts w:hint="eastAsia"/>
                <w:sz w:val="24"/>
                <w:szCs w:val="24"/>
                <w:lang w:val="en-US" w:eastAsia="zh-CN"/>
              </w:rPr>
              <w:t>2</w:t>
            </w:r>
            <w:r>
              <w:rPr>
                <w:spacing w:val="-20"/>
                <w:sz w:val="24"/>
                <w:szCs w:val="24"/>
              </w:rPr>
              <w:t xml:space="preserve">分，满分 </w:t>
            </w:r>
            <w:r>
              <w:rPr>
                <w:rFonts w:hint="eastAsia"/>
                <w:sz w:val="24"/>
                <w:szCs w:val="24"/>
                <w:lang w:val="en-US" w:eastAsia="zh-CN"/>
              </w:rPr>
              <w:t>6</w:t>
            </w:r>
            <w:r>
              <w:rPr>
                <w:spacing w:val="-8"/>
                <w:sz w:val="24"/>
                <w:szCs w:val="24"/>
              </w:rPr>
              <w:t xml:space="preserve"> 分，不提供不得分。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20"/>
              </w:rPr>
            </w:pPr>
          </w:p>
          <w:p>
            <w:pPr>
              <w:pStyle w:val="37"/>
              <w:ind w:left="14" w:leftChars="0"/>
              <w:jc w:val="center"/>
              <w:rPr>
                <w:rFonts w:ascii="宋体" w:hAnsi="仿宋" w:eastAsia="仿宋" w:cs="仿宋"/>
                <w:b/>
                <w:kern w:val="2"/>
                <w:sz w:val="24"/>
                <w:szCs w:val="24"/>
                <w:lang w:val="zh-CN" w:eastAsia="zh-CN" w:bidi="zh-CN"/>
              </w:rPr>
            </w:pPr>
            <w:r>
              <w:rPr>
                <w:rFonts w:ascii="宋体"/>
                <w:b/>
                <w:w w:val="99"/>
                <w:sz w:val="24"/>
              </w:rPr>
              <w:t>4</w:t>
            </w:r>
          </w:p>
        </w:tc>
        <w:tc>
          <w:tcPr>
            <w:tcW w:w="1276" w:type="dxa"/>
            <w:noWrap w:val="0"/>
            <w:vAlign w:val="top"/>
          </w:tcPr>
          <w:p>
            <w:pPr>
              <w:pStyle w:val="37"/>
              <w:rPr>
                <w:b/>
                <w:sz w:val="24"/>
              </w:rPr>
            </w:pPr>
          </w:p>
          <w:p>
            <w:pPr>
              <w:pStyle w:val="37"/>
              <w:rPr>
                <w:b/>
                <w:sz w:val="24"/>
              </w:rPr>
            </w:pPr>
          </w:p>
          <w:p>
            <w:pPr>
              <w:pStyle w:val="37"/>
              <w:rPr>
                <w:b/>
                <w:sz w:val="24"/>
              </w:rPr>
            </w:pPr>
          </w:p>
          <w:p>
            <w:pPr>
              <w:pStyle w:val="37"/>
              <w:spacing w:before="12"/>
              <w:rPr>
                <w:b/>
                <w:sz w:val="25"/>
              </w:rPr>
            </w:pPr>
          </w:p>
          <w:p>
            <w:pPr>
              <w:pStyle w:val="37"/>
              <w:spacing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售后服务(</w:t>
            </w:r>
            <w:r>
              <w:rPr>
                <w:rFonts w:hint="eastAsia"/>
                <w:b/>
                <w:sz w:val="24"/>
                <w:lang w:val="en-US" w:eastAsia="zh-CN"/>
              </w:rPr>
              <w:t>11</w:t>
            </w:r>
            <w:r>
              <w:rPr>
                <w:b/>
                <w:sz w:val="24"/>
              </w:rPr>
              <w:t xml:space="preserve"> 分)</w:t>
            </w:r>
          </w:p>
        </w:tc>
        <w:tc>
          <w:tcPr>
            <w:tcW w:w="7601" w:type="dxa"/>
            <w:noWrap w:val="0"/>
            <w:vAlign w:val="top"/>
          </w:tcPr>
          <w:p>
            <w:pPr>
              <w:pStyle w:val="37"/>
              <w:numPr>
                <w:ilvl w:val="0"/>
                <w:numId w:val="0"/>
              </w:numPr>
              <w:tabs>
                <w:tab w:val="left" w:pos="737"/>
              </w:tabs>
              <w:spacing w:before="0" w:after="0" w:line="360" w:lineRule="auto"/>
              <w:ind w:right="247" w:rightChars="0"/>
              <w:jc w:val="left"/>
              <w:rPr>
                <w:sz w:val="24"/>
                <w:szCs w:val="24"/>
              </w:rPr>
            </w:pPr>
            <w:r>
              <w:rPr>
                <w:b/>
                <w:sz w:val="24"/>
                <w:szCs w:val="24"/>
              </w:rPr>
              <w:t>后期养护管理及成活率保障（6</w:t>
            </w:r>
            <w:r>
              <w:rPr>
                <w:b/>
                <w:spacing w:val="-26"/>
                <w:sz w:val="24"/>
                <w:szCs w:val="24"/>
              </w:rPr>
              <w:t xml:space="preserve"> 分</w:t>
            </w:r>
            <w:r>
              <w:rPr>
                <w:b/>
                <w:spacing w:val="3"/>
                <w:sz w:val="24"/>
                <w:szCs w:val="24"/>
              </w:rPr>
              <w:t>）：</w:t>
            </w:r>
            <w:r>
              <w:rPr>
                <w:sz w:val="24"/>
                <w:szCs w:val="24"/>
              </w:rPr>
              <w:t>成活率保障等方面</w:t>
            </w:r>
            <w:r>
              <w:rPr>
                <w:spacing w:val="-3"/>
                <w:sz w:val="24"/>
                <w:szCs w:val="24"/>
              </w:rPr>
              <w:t xml:space="preserve">所提供的方案完全满足招标文件的要求，且方案优秀的得 </w:t>
            </w:r>
            <w:r>
              <w:rPr>
                <w:sz w:val="24"/>
                <w:szCs w:val="24"/>
              </w:rPr>
              <w:t>6</w:t>
            </w:r>
            <w:r>
              <w:rPr>
                <w:spacing w:val="-20"/>
                <w:sz w:val="24"/>
                <w:szCs w:val="24"/>
              </w:rPr>
              <w:t xml:space="preserve"> 分，</w:t>
            </w:r>
            <w:r>
              <w:rPr>
                <w:sz w:val="24"/>
                <w:szCs w:val="24"/>
              </w:rPr>
              <w:t>一般得的 4 分，其他的得 2 分。</w:t>
            </w:r>
          </w:p>
          <w:p>
            <w:pPr>
              <w:pStyle w:val="37"/>
              <w:numPr>
                <w:ilvl w:val="0"/>
                <w:numId w:val="0"/>
              </w:numPr>
              <w:tabs>
                <w:tab w:val="left" w:pos="737"/>
              </w:tabs>
              <w:spacing w:before="158" w:after="0" w:line="360" w:lineRule="auto"/>
              <w:ind w:right="247" w:rightChars="0"/>
              <w:jc w:val="left"/>
              <w:rPr>
                <w:rFonts w:ascii="仿宋" w:hAnsi="仿宋" w:eastAsia="仿宋" w:cs="仿宋"/>
                <w:kern w:val="2"/>
                <w:sz w:val="24"/>
                <w:szCs w:val="24"/>
                <w:lang w:val="zh-CN" w:eastAsia="zh-CN" w:bidi="zh-CN"/>
              </w:rPr>
            </w:pPr>
            <w:r>
              <w:rPr>
                <w:b/>
                <w:sz w:val="24"/>
                <w:szCs w:val="24"/>
              </w:rPr>
              <w:t>售后服务计划、措施（5</w:t>
            </w:r>
            <w:r>
              <w:rPr>
                <w:b/>
                <w:spacing w:val="-27"/>
                <w:sz w:val="24"/>
                <w:szCs w:val="24"/>
              </w:rPr>
              <w:t xml:space="preserve"> 分</w:t>
            </w:r>
            <w:r>
              <w:rPr>
                <w:b/>
                <w:spacing w:val="3"/>
                <w:sz w:val="24"/>
                <w:szCs w:val="24"/>
              </w:rPr>
              <w:t>）：</w:t>
            </w:r>
            <w:r>
              <w:rPr>
                <w:sz w:val="24"/>
                <w:szCs w:val="24"/>
              </w:rPr>
              <w:t>针对该项目须有详尽的组</w:t>
            </w:r>
            <w:r>
              <w:rPr>
                <w:spacing w:val="-18"/>
                <w:sz w:val="24"/>
                <w:szCs w:val="24"/>
              </w:rPr>
              <w:t>织配送、验收、售后等方面的服务计划、能力、措施。服务计划、</w:t>
            </w:r>
            <w:r>
              <w:rPr>
                <w:spacing w:val="-16"/>
                <w:sz w:val="24"/>
                <w:szCs w:val="24"/>
              </w:rPr>
              <w:t xml:space="preserve">措施，优秀的，得 </w:t>
            </w:r>
            <w:r>
              <w:rPr>
                <w:sz w:val="24"/>
                <w:szCs w:val="24"/>
              </w:rPr>
              <w:t>5</w:t>
            </w:r>
            <w:r>
              <w:rPr>
                <w:spacing w:val="-20"/>
                <w:sz w:val="24"/>
                <w:szCs w:val="24"/>
              </w:rPr>
              <w:t xml:space="preserve"> 分；一般的，得 </w:t>
            </w:r>
            <w:r>
              <w:rPr>
                <w:sz w:val="24"/>
                <w:szCs w:val="24"/>
              </w:rPr>
              <w:t>3</w:t>
            </w:r>
            <w:r>
              <w:rPr>
                <w:spacing w:val="-20"/>
                <w:sz w:val="24"/>
                <w:szCs w:val="24"/>
              </w:rPr>
              <w:t xml:space="preserve"> 分；较差的，得 </w:t>
            </w:r>
            <w:r>
              <w:rPr>
                <w:sz w:val="24"/>
                <w:szCs w:val="24"/>
              </w:rPr>
              <w:t>1</w:t>
            </w:r>
            <w:r>
              <w:rPr>
                <w:spacing w:val="-19"/>
                <w:sz w:val="24"/>
                <w:szCs w:val="24"/>
              </w:rPr>
              <w:t xml:space="preserve"> 分；未</w:t>
            </w:r>
            <w:r>
              <w:rPr>
                <w:sz w:val="24"/>
                <w:szCs w:val="24"/>
              </w:rPr>
              <w:t>提供或其他情况不得分。</w:t>
            </w:r>
          </w:p>
        </w:tc>
      </w:tr>
    </w:tbl>
    <w:p>
      <w:pPr>
        <w:pStyle w:val="2"/>
        <w:rPr>
          <w:rFonts w:hint="eastAsia" w:ascii="仿宋" w:hAnsi="仿宋" w:eastAsia="仿宋" w:cs="仿宋"/>
          <w:color w:val="auto"/>
          <w:highlight w:val="none"/>
          <w:shd w:val="clear" w:color="auto" w:fill="FFFFFF"/>
          <w:lang w:val="en-US" w:eastAsia="zh-CN"/>
        </w:rPr>
      </w:pP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包十六至包十七评标办法</w:t>
      </w:r>
    </w:p>
    <w:p>
      <w:pPr>
        <w:rPr>
          <w:rFonts w:hint="eastAsia" w:ascii="仿宋" w:hAnsi="仿宋" w:eastAsia="仿宋" w:cs="仿宋"/>
          <w:color w:val="auto"/>
          <w:highlight w:val="none"/>
          <w:shd w:val="clear" w:color="auto" w:fill="FFFFFF"/>
          <w:lang w:val="en-US" w:eastAsia="zh-CN"/>
        </w:rPr>
      </w:pPr>
    </w:p>
    <w:tbl>
      <w:tblPr>
        <w:tblStyle w:val="22"/>
        <w:tblW w:w="9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276"/>
        <w:gridCol w:w="7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561" w:type="dxa"/>
            <w:noWrap w:val="0"/>
            <w:vAlign w:val="top"/>
          </w:tcPr>
          <w:p>
            <w:pPr>
              <w:pStyle w:val="37"/>
              <w:spacing w:before="35" w:line="242" w:lineRule="auto"/>
              <w:ind w:left="160" w:right="143"/>
              <w:rPr>
                <w:sz w:val="24"/>
              </w:rPr>
            </w:pPr>
            <w:r>
              <w:rPr>
                <w:sz w:val="24"/>
              </w:rPr>
              <w:t>序号</w:t>
            </w:r>
          </w:p>
        </w:tc>
        <w:tc>
          <w:tcPr>
            <w:tcW w:w="1276" w:type="dxa"/>
            <w:noWrap w:val="0"/>
            <w:vAlign w:val="top"/>
          </w:tcPr>
          <w:p>
            <w:pPr>
              <w:pStyle w:val="37"/>
              <w:spacing w:before="191"/>
              <w:ind w:left="158"/>
              <w:rPr>
                <w:sz w:val="24"/>
              </w:rPr>
            </w:pPr>
            <w:r>
              <w:rPr>
                <w:sz w:val="24"/>
              </w:rPr>
              <w:t>评审因素</w:t>
            </w:r>
          </w:p>
        </w:tc>
        <w:tc>
          <w:tcPr>
            <w:tcW w:w="7601" w:type="dxa"/>
            <w:noWrap w:val="0"/>
            <w:vAlign w:val="top"/>
          </w:tcPr>
          <w:p>
            <w:pPr>
              <w:pStyle w:val="37"/>
              <w:spacing w:before="191"/>
              <w:ind w:left="2911" w:right="2899"/>
              <w:jc w:val="center"/>
              <w:rPr>
                <w:sz w:val="24"/>
              </w:rPr>
            </w:pPr>
            <w:r>
              <w:rPr>
                <w:sz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3"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210"/>
              <w:ind w:left="14"/>
              <w:jc w:val="center"/>
              <w:rPr>
                <w:b/>
                <w:sz w:val="24"/>
              </w:rPr>
            </w:pPr>
            <w:r>
              <w:rPr>
                <w:b/>
                <w:w w:val="99"/>
                <w:sz w:val="24"/>
              </w:rPr>
              <w:t>1</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spacing w:before="3"/>
              <w:rPr>
                <w:b/>
                <w:sz w:val="22"/>
              </w:rPr>
            </w:pPr>
          </w:p>
          <w:p>
            <w:pPr>
              <w:pStyle w:val="37"/>
              <w:ind w:left="158"/>
              <w:rPr>
                <w:b/>
                <w:sz w:val="24"/>
              </w:rPr>
            </w:pPr>
            <w:r>
              <w:rPr>
                <w:b/>
                <w:w w:val="95"/>
                <w:sz w:val="24"/>
              </w:rPr>
              <w:t>投标报价</w:t>
            </w:r>
          </w:p>
          <w:p>
            <w:pPr>
              <w:pStyle w:val="37"/>
              <w:spacing w:before="158"/>
              <w:ind w:left="187"/>
              <w:rPr>
                <w:b/>
                <w:sz w:val="24"/>
              </w:rPr>
            </w:pPr>
            <w:r>
              <w:rPr>
                <w:b/>
                <w:sz w:val="24"/>
              </w:rPr>
              <w:t>（30</w:t>
            </w:r>
            <w:r>
              <w:rPr>
                <w:b/>
                <w:spacing w:val="-22"/>
                <w:sz w:val="24"/>
              </w:rPr>
              <w:t xml:space="preserve"> 分)</w:t>
            </w:r>
          </w:p>
        </w:tc>
        <w:tc>
          <w:tcPr>
            <w:tcW w:w="7601" w:type="dxa"/>
            <w:noWrap w:val="0"/>
            <w:vAlign w:val="top"/>
          </w:tcPr>
          <w:p>
            <w:pPr>
              <w:pStyle w:val="37"/>
              <w:spacing w:before="113" w:line="360" w:lineRule="auto"/>
              <w:ind w:left="108" w:right="247" w:rightChars="0"/>
              <w:rPr>
                <w:sz w:val="24"/>
                <w:szCs w:val="24"/>
              </w:rPr>
            </w:pPr>
            <w:r>
              <w:rPr>
                <w:sz w:val="24"/>
                <w:szCs w:val="24"/>
              </w:rPr>
              <w:t>投标基准价=满足招标文件要求且最后有效投标报价的最低价为基准价。</w:t>
            </w:r>
            <w:r>
              <w:rPr>
                <w:spacing w:val="-3"/>
                <w:sz w:val="24"/>
                <w:szCs w:val="24"/>
              </w:rPr>
              <w:t>报价得分=</w:t>
            </w:r>
            <w:r>
              <w:rPr>
                <w:spacing w:val="-12"/>
                <w:sz w:val="24"/>
                <w:szCs w:val="24"/>
              </w:rPr>
              <w:t>（</w:t>
            </w:r>
            <w:r>
              <w:rPr>
                <w:sz w:val="24"/>
                <w:szCs w:val="24"/>
              </w:rPr>
              <w:t>基准价/最后报价</w:t>
            </w:r>
            <w:r>
              <w:rPr>
                <w:spacing w:val="-11"/>
                <w:sz w:val="24"/>
                <w:szCs w:val="24"/>
              </w:rPr>
              <w:t>）</w:t>
            </w:r>
            <w:r>
              <w:rPr>
                <w:spacing w:val="-7"/>
                <w:sz w:val="24"/>
                <w:szCs w:val="24"/>
              </w:rPr>
              <w:t>×价格权值</w:t>
            </w:r>
            <w:r>
              <w:rPr>
                <w:spacing w:val="-5"/>
                <w:sz w:val="24"/>
                <w:szCs w:val="24"/>
              </w:rPr>
              <w:t>（30%）×100（</w:t>
            </w:r>
            <w:r>
              <w:rPr>
                <w:spacing w:val="-8"/>
                <w:sz w:val="24"/>
                <w:szCs w:val="24"/>
              </w:rPr>
              <w:t>四舍</w:t>
            </w:r>
            <w:r>
              <w:rPr>
                <w:sz w:val="24"/>
                <w:szCs w:val="24"/>
              </w:rPr>
              <w:t>五入后保留小数点后两位）。</w:t>
            </w:r>
          </w:p>
          <w:p>
            <w:pPr>
              <w:pStyle w:val="37"/>
              <w:spacing w:line="360" w:lineRule="auto"/>
              <w:ind w:left="108" w:right="247" w:rightChars="0"/>
              <w:rPr>
                <w:sz w:val="24"/>
                <w:szCs w:val="24"/>
              </w:rPr>
            </w:pPr>
            <w:r>
              <w:rPr>
                <w:spacing w:val="-10"/>
                <w:sz w:val="24"/>
                <w:szCs w:val="24"/>
              </w:rPr>
              <w:t>注：根据《政府采购促进中小企业发展暂行办法》、《关于促进</w:t>
            </w:r>
            <w:r>
              <w:rPr>
                <w:spacing w:val="-17"/>
                <w:sz w:val="24"/>
                <w:szCs w:val="24"/>
              </w:rPr>
              <w:t>残疾人就业政府采购政策的通知》的相关规定，对残疾人福利性</w:t>
            </w:r>
            <w:r>
              <w:rPr>
                <w:spacing w:val="-9"/>
                <w:sz w:val="24"/>
                <w:szCs w:val="24"/>
              </w:rPr>
              <w:t>单位、小型和微型企业制造</w:t>
            </w:r>
            <w:r>
              <w:rPr>
                <w:sz w:val="24"/>
                <w:szCs w:val="24"/>
              </w:rPr>
              <w:t>（生产</w:t>
            </w:r>
            <w:r>
              <w:rPr>
                <w:spacing w:val="-17"/>
                <w:sz w:val="24"/>
                <w:szCs w:val="24"/>
              </w:rPr>
              <w:t>）</w:t>
            </w:r>
            <w:r>
              <w:rPr>
                <w:spacing w:val="-8"/>
                <w:sz w:val="24"/>
                <w:szCs w:val="24"/>
              </w:rPr>
              <w:t xml:space="preserve">产品的价格给予 </w:t>
            </w:r>
            <w:r>
              <w:rPr>
                <w:sz w:val="24"/>
                <w:szCs w:val="24"/>
              </w:rPr>
              <w:t>6%</w:t>
            </w:r>
            <w:r>
              <w:rPr>
                <w:spacing w:val="-4"/>
                <w:sz w:val="24"/>
                <w:szCs w:val="24"/>
              </w:rPr>
              <w:t xml:space="preserve">的扣除， </w:t>
            </w:r>
            <w:r>
              <w:rPr>
                <w:spacing w:val="-8"/>
                <w:sz w:val="24"/>
                <w:szCs w:val="24"/>
              </w:rPr>
              <w:t>用扣除后的价格参与评标。残疾人福利性单位属于小型、微型企</w:t>
            </w:r>
            <w:r>
              <w:rPr>
                <w:sz w:val="24"/>
                <w:szCs w:val="24"/>
              </w:rPr>
              <w:t>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164"/>
              <w:ind w:left="14"/>
              <w:jc w:val="center"/>
              <w:rPr>
                <w:b/>
                <w:sz w:val="24"/>
              </w:rPr>
            </w:pPr>
            <w:r>
              <w:rPr>
                <w:b/>
                <w:w w:val="99"/>
                <w:sz w:val="24"/>
              </w:rPr>
              <w:t>2</w:t>
            </w:r>
          </w:p>
        </w:tc>
        <w:tc>
          <w:tcPr>
            <w:tcW w:w="1276" w:type="dxa"/>
            <w:noWrap w:val="0"/>
            <w:vAlign w:val="top"/>
          </w:tcPr>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rPr>
                <w:b/>
                <w:sz w:val="24"/>
              </w:rPr>
            </w:pPr>
          </w:p>
          <w:p>
            <w:pPr>
              <w:pStyle w:val="37"/>
              <w:spacing w:before="8"/>
              <w:rPr>
                <w:b/>
                <w:sz w:val="18"/>
              </w:rPr>
            </w:pPr>
          </w:p>
          <w:p>
            <w:pPr>
              <w:pStyle w:val="37"/>
              <w:ind w:left="158"/>
              <w:rPr>
                <w:b/>
                <w:sz w:val="24"/>
              </w:rPr>
            </w:pPr>
            <w:r>
              <w:rPr>
                <w:b/>
                <w:w w:val="95"/>
                <w:sz w:val="24"/>
              </w:rPr>
              <w:t>技术水平</w:t>
            </w:r>
          </w:p>
          <w:p>
            <w:pPr>
              <w:pStyle w:val="37"/>
              <w:spacing w:before="158"/>
              <w:ind w:left="127"/>
              <w:rPr>
                <w:b/>
                <w:sz w:val="24"/>
              </w:rPr>
            </w:pPr>
            <w:r>
              <w:rPr>
                <w:b/>
                <w:sz w:val="24"/>
              </w:rPr>
              <w:t>（</w:t>
            </w:r>
            <w:r>
              <w:rPr>
                <w:rFonts w:hint="eastAsia"/>
                <w:b/>
                <w:sz w:val="24"/>
                <w:lang w:val="en-US" w:eastAsia="zh-CN"/>
              </w:rPr>
              <w:t>53</w:t>
            </w:r>
            <w:r>
              <w:rPr>
                <w:b/>
                <w:spacing w:val="-32"/>
                <w:sz w:val="24"/>
              </w:rPr>
              <w:t>分</w:t>
            </w:r>
            <w:r>
              <w:rPr>
                <w:b/>
                <w:sz w:val="24"/>
              </w:rPr>
              <w:t>）</w:t>
            </w:r>
          </w:p>
        </w:tc>
        <w:tc>
          <w:tcPr>
            <w:tcW w:w="7601" w:type="dxa"/>
            <w:noWrap w:val="0"/>
            <w:vAlign w:val="top"/>
          </w:tcPr>
          <w:p>
            <w:pPr>
              <w:pStyle w:val="37"/>
              <w:spacing w:before="113" w:line="360" w:lineRule="auto"/>
              <w:ind w:left="108" w:right="247" w:rightChars="0"/>
              <w:rPr>
                <w:sz w:val="24"/>
                <w:szCs w:val="24"/>
              </w:rPr>
            </w:pPr>
            <w:r>
              <w:rPr>
                <w:b/>
                <w:bCs/>
                <w:sz w:val="24"/>
                <w:szCs w:val="24"/>
              </w:rPr>
              <w:t>对招标文件的响应程度（15分）：</w:t>
            </w:r>
            <w:r>
              <w:rPr>
                <w:sz w:val="24"/>
                <w:szCs w:val="24"/>
              </w:rPr>
              <w:t>针对本项目实际情况横向比较各投标人提供的苗木准备的供货工序（包括起苗、选苗、运输等方面）有保证措施且好的得 15 分，较好的得 10 分，一般的得 5 分，没有不得分。</w:t>
            </w:r>
          </w:p>
          <w:p>
            <w:pPr>
              <w:pStyle w:val="37"/>
              <w:numPr>
                <w:ilvl w:val="0"/>
                <w:numId w:val="0"/>
              </w:numPr>
              <w:tabs>
                <w:tab w:val="left" w:pos="350"/>
              </w:tabs>
              <w:spacing w:before="134" w:after="0" w:line="360" w:lineRule="auto"/>
              <w:ind w:left="108" w:leftChars="0" w:right="247" w:rightChars="0"/>
              <w:jc w:val="left"/>
              <w:rPr>
                <w:spacing w:val="-8"/>
                <w:sz w:val="24"/>
                <w:szCs w:val="24"/>
              </w:rPr>
            </w:pPr>
            <w:r>
              <w:rPr>
                <w:b/>
                <w:spacing w:val="-3"/>
                <w:sz w:val="24"/>
                <w:szCs w:val="24"/>
              </w:rPr>
              <w:t>项目管理及实施方案</w:t>
            </w:r>
            <w:r>
              <w:rPr>
                <w:b/>
                <w:sz w:val="24"/>
                <w:szCs w:val="24"/>
              </w:rPr>
              <w:t>（10</w:t>
            </w:r>
            <w:r>
              <w:rPr>
                <w:b/>
                <w:spacing w:val="-29"/>
                <w:sz w:val="24"/>
                <w:szCs w:val="24"/>
              </w:rPr>
              <w:t xml:space="preserve"> 分</w:t>
            </w:r>
            <w:r>
              <w:rPr>
                <w:b/>
                <w:spacing w:val="-21"/>
                <w:sz w:val="24"/>
                <w:szCs w:val="24"/>
              </w:rPr>
              <w:t>）：</w:t>
            </w:r>
            <w:r>
              <w:rPr>
                <w:spacing w:val="-1"/>
                <w:sz w:val="24"/>
                <w:szCs w:val="24"/>
              </w:rPr>
              <w:t xml:space="preserve">针对本项目有项目管理机构， </w:t>
            </w:r>
            <w:r>
              <w:rPr>
                <w:spacing w:val="-10"/>
                <w:sz w:val="24"/>
                <w:szCs w:val="24"/>
              </w:rPr>
              <w:t>并且有科学、具体的项目管理措施及质量、进度、安全文明施工</w:t>
            </w:r>
            <w:r>
              <w:rPr>
                <w:spacing w:val="-13"/>
                <w:sz w:val="24"/>
                <w:szCs w:val="24"/>
              </w:rPr>
              <w:t xml:space="preserve">方案，能够结合项目特点制定实施方案，优秀的，得 </w:t>
            </w:r>
            <w:r>
              <w:rPr>
                <w:sz w:val="24"/>
                <w:szCs w:val="24"/>
              </w:rPr>
              <w:t>10</w:t>
            </w:r>
            <w:r>
              <w:rPr>
                <w:spacing w:val="-15"/>
                <w:sz w:val="24"/>
                <w:szCs w:val="24"/>
              </w:rPr>
              <w:t xml:space="preserve"> 分；</w:t>
            </w:r>
            <w:r>
              <w:rPr>
                <w:rFonts w:hint="eastAsia"/>
                <w:spacing w:val="-15"/>
                <w:sz w:val="24"/>
                <w:szCs w:val="24"/>
                <w:lang w:val="en-US" w:eastAsia="zh-CN"/>
              </w:rPr>
              <w:t>较好</w:t>
            </w:r>
            <w:r>
              <w:rPr>
                <w:spacing w:val="-12"/>
                <w:sz w:val="24"/>
                <w:szCs w:val="24"/>
              </w:rPr>
              <w:t xml:space="preserve">的，得 </w:t>
            </w:r>
            <w:r>
              <w:rPr>
                <w:sz w:val="24"/>
                <w:szCs w:val="24"/>
              </w:rPr>
              <w:t>6</w:t>
            </w:r>
            <w:r>
              <w:rPr>
                <w:spacing w:val="-14"/>
                <w:sz w:val="24"/>
                <w:szCs w:val="24"/>
              </w:rPr>
              <w:t xml:space="preserve"> 分；</w:t>
            </w:r>
            <w:r>
              <w:rPr>
                <w:rFonts w:hint="eastAsia"/>
                <w:spacing w:val="-14"/>
                <w:sz w:val="24"/>
                <w:szCs w:val="24"/>
                <w:lang w:val="en-US" w:eastAsia="zh-CN"/>
              </w:rPr>
              <w:t>一般</w:t>
            </w:r>
            <w:r>
              <w:rPr>
                <w:spacing w:val="-14"/>
                <w:sz w:val="24"/>
                <w:szCs w:val="24"/>
              </w:rPr>
              <w:t xml:space="preserve">的得 </w:t>
            </w:r>
            <w:r>
              <w:rPr>
                <w:sz w:val="24"/>
                <w:szCs w:val="24"/>
              </w:rPr>
              <w:t>3</w:t>
            </w:r>
            <w:r>
              <w:rPr>
                <w:spacing w:val="-8"/>
                <w:sz w:val="24"/>
                <w:szCs w:val="24"/>
              </w:rPr>
              <w:t xml:space="preserve"> 分；未提供或其他情况不得分。</w:t>
            </w:r>
          </w:p>
          <w:p>
            <w:pPr>
              <w:pStyle w:val="37"/>
              <w:spacing w:before="113" w:line="360" w:lineRule="auto"/>
              <w:ind w:left="108" w:right="247" w:rightChars="0"/>
              <w:rPr>
                <w:sz w:val="24"/>
                <w:szCs w:val="24"/>
              </w:rPr>
            </w:pPr>
            <w:r>
              <w:rPr>
                <w:rFonts w:hint="eastAsia"/>
                <w:b/>
                <w:bCs/>
                <w:sz w:val="24"/>
                <w:szCs w:val="24"/>
                <w:lang w:val="zh-CN" w:eastAsia="zh-CN"/>
              </w:rPr>
              <w:t>货物的数量和质量保证措施（</w:t>
            </w:r>
            <w:r>
              <w:rPr>
                <w:rFonts w:hint="eastAsia"/>
                <w:b/>
                <w:bCs/>
                <w:sz w:val="24"/>
                <w:szCs w:val="24"/>
                <w:lang w:val="en-US" w:eastAsia="zh-CN"/>
              </w:rPr>
              <w:t>9分）</w:t>
            </w:r>
            <w:r>
              <w:rPr>
                <w:rFonts w:hint="eastAsia"/>
                <w:sz w:val="24"/>
                <w:szCs w:val="24"/>
                <w:lang w:val="zh-CN" w:eastAsia="zh-CN"/>
              </w:rPr>
              <w:t>：根据各投标人的货物的数量和质量保证措施，</w:t>
            </w:r>
            <w:r>
              <w:rPr>
                <w:rFonts w:hint="eastAsia"/>
                <w:sz w:val="24"/>
                <w:szCs w:val="24"/>
                <w:lang w:val="en-US" w:eastAsia="zh-CN"/>
              </w:rPr>
              <w:t>优秀的</w:t>
            </w:r>
            <w:r>
              <w:rPr>
                <w:rFonts w:hint="eastAsia"/>
                <w:sz w:val="24"/>
                <w:szCs w:val="24"/>
                <w:lang w:val="zh-CN" w:eastAsia="zh-CN"/>
              </w:rPr>
              <w:t>得</w:t>
            </w:r>
            <w:r>
              <w:rPr>
                <w:rFonts w:hint="eastAsia"/>
                <w:sz w:val="24"/>
                <w:szCs w:val="24"/>
                <w:lang w:val="en-US" w:eastAsia="zh-CN"/>
              </w:rPr>
              <w:t>9</w:t>
            </w:r>
            <w:r>
              <w:rPr>
                <w:rFonts w:hint="eastAsia"/>
                <w:sz w:val="24"/>
                <w:szCs w:val="24"/>
                <w:lang w:val="zh-CN" w:eastAsia="zh-CN"/>
              </w:rPr>
              <w:t>分，</w:t>
            </w:r>
            <w:r>
              <w:rPr>
                <w:rFonts w:hint="eastAsia"/>
                <w:sz w:val="24"/>
                <w:szCs w:val="24"/>
                <w:lang w:val="en-US" w:eastAsia="zh-CN"/>
              </w:rPr>
              <w:t>较好的</w:t>
            </w:r>
            <w:r>
              <w:rPr>
                <w:rFonts w:hint="eastAsia"/>
                <w:sz w:val="24"/>
                <w:szCs w:val="24"/>
                <w:lang w:val="zh-CN" w:eastAsia="zh-CN"/>
              </w:rPr>
              <w:t>得6分，一般的得</w:t>
            </w:r>
            <w:r>
              <w:rPr>
                <w:rFonts w:hint="eastAsia"/>
                <w:sz w:val="24"/>
                <w:szCs w:val="24"/>
                <w:lang w:val="en-US" w:eastAsia="zh-CN"/>
              </w:rPr>
              <w:t>3</w:t>
            </w:r>
            <w:r>
              <w:rPr>
                <w:rFonts w:hint="eastAsia"/>
                <w:sz w:val="24"/>
                <w:szCs w:val="24"/>
                <w:lang w:val="zh-CN" w:eastAsia="zh-CN"/>
              </w:rPr>
              <w:t>分，差或不提供的不得分。</w:t>
            </w:r>
          </w:p>
          <w:p>
            <w:pPr>
              <w:pStyle w:val="37"/>
              <w:numPr>
                <w:ilvl w:val="0"/>
                <w:numId w:val="0"/>
              </w:numPr>
              <w:tabs>
                <w:tab w:val="left" w:pos="352"/>
              </w:tabs>
              <w:spacing w:before="112" w:after="0" w:line="480" w:lineRule="auto"/>
              <w:ind w:left="108" w:leftChars="0" w:right="247" w:rightChars="0"/>
              <w:jc w:val="both"/>
              <w:rPr>
                <w:sz w:val="24"/>
                <w:szCs w:val="24"/>
              </w:rPr>
            </w:pPr>
            <w:r>
              <w:rPr>
                <w:b/>
                <w:spacing w:val="1"/>
                <w:sz w:val="24"/>
                <w:szCs w:val="24"/>
              </w:rPr>
              <w:t>供苗流程</w:t>
            </w:r>
            <w:r>
              <w:rPr>
                <w:b/>
                <w:spacing w:val="2"/>
                <w:sz w:val="24"/>
                <w:szCs w:val="24"/>
              </w:rPr>
              <w:t>（10</w:t>
            </w:r>
            <w:r>
              <w:rPr>
                <w:b/>
                <w:spacing w:val="-20"/>
                <w:sz w:val="24"/>
                <w:szCs w:val="24"/>
              </w:rPr>
              <w:t xml:space="preserve"> 分</w:t>
            </w:r>
            <w:r>
              <w:rPr>
                <w:b/>
                <w:spacing w:val="3"/>
                <w:sz w:val="24"/>
                <w:szCs w:val="24"/>
              </w:rPr>
              <w:t>）：</w:t>
            </w:r>
            <w:r>
              <w:rPr>
                <w:sz w:val="24"/>
                <w:szCs w:val="24"/>
              </w:rPr>
              <w:t>供苗流程能满足进度计划和保证苗木质</w:t>
            </w:r>
            <w:r>
              <w:rPr>
                <w:spacing w:val="-11"/>
                <w:sz w:val="24"/>
                <w:szCs w:val="24"/>
              </w:rPr>
              <w:t>量要求，流水作业能保证施工连续、均衡、有节奏地进行。管理</w:t>
            </w:r>
            <w:r>
              <w:rPr>
                <w:spacing w:val="-14"/>
                <w:sz w:val="24"/>
                <w:szCs w:val="24"/>
              </w:rPr>
              <w:t>措施能有效保证投标计划的顺利完成，</w:t>
            </w:r>
            <w:r>
              <w:rPr>
                <w:rFonts w:hint="eastAsia"/>
                <w:spacing w:val="-14"/>
                <w:sz w:val="24"/>
                <w:szCs w:val="24"/>
                <w:lang w:val="en-US" w:eastAsia="zh-CN"/>
              </w:rPr>
              <w:t>优秀</w:t>
            </w:r>
            <w:r>
              <w:rPr>
                <w:spacing w:val="-14"/>
                <w:sz w:val="24"/>
                <w:szCs w:val="24"/>
              </w:rPr>
              <w:t xml:space="preserve">的得 </w:t>
            </w:r>
            <w:r>
              <w:rPr>
                <w:sz w:val="24"/>
                <w:szCs w:val="24"/>
              </w:rPr>
              <w:t>10</w:t>
            </w:r>
            <w:r>
              <w:rPr>
                <w:spacing w:val="-10"/>
                <w:sz w:val="24"/>
                <w:szCs w:val="24"/>
              </w:rPr>
              <w:t xml:space="preserve"> 分；一般的</w:t>
            </w:r>
            <w:r>
              <w:rPr>
                <w:sz w:val="24"/>
                <w:szCs w:val="24"/>
              </w:rPr>
              <w:t>得 6 分；较差的得 3 分；未提供或其他情况不得分。</w:t>
            </w:r>
          </w:p>
          <w:p>
            <w:pPr>
              <w:pStyle w:val="3"/>
              <w:keepNext w:val="0"/>
              <w:keepLines w:val="0"/>
              <w:pageBreakBefore w:val="0"/>
              <w:kinsoku/>
              <w:wordWrap/>
              <w:overflowPunct/>
              <w:topLinePunct w:val="0"/>
              <w:bidi w:val="0"/>
              <w:snapToGrid/>
              <w:spacing w:beforeAutospacing="0" w:afterAutospacing="0" w:line="480" w:lineRule="exact"/>
              <w:ind w:right="167" w:rightChars="0"/>
              <w:textAlignment w:val="auto"/>
              <w:rPr>
                <w:sz w:val="24"/>
                <w:szCs w:val="24"/>
              </w:rPr>
            </w:pPr>
            <w:r>
              <w:rPr>
                <w:rFonts w:hint="eastAsia" w:ascii="仿宋" w:hAnsi="仿宋" w:eastAsia="仿宋" w:cs="仿宋"/>
                <w:b/>
                <w:spacing w:val="-3"/>
                <w:kern w:val="2"/>
                <w:sz w:val="24"/>
                <w:szCs w:val="24"/>
                <w:lang w:val="en-US" w:eastAsia="zh-CN" w:bidi="zh-CN"/>
              </w:rPr>
              <w:t>封山育林的专项措施</w:t>
            </w:r>
            <w:r>
              <w:rPr>
                <w:rFonts w:ascii="仿宋" w:hAnsi="仿宋" w:eastAsia="仿宋" w:cs="仿宋"/>
                <w:b/>
                <w:spacing w:val="-3"/>
                <w:kern w:val="2"/>
                <w:sz w:val="24"/>
                <w:szCs w:val="24"/>
                <w:lang w:val="zh-CN" w:eastAsia="zh-CN" w:bidi="zh-CN"/>
              </w:rPr>
              <w:t>（</w:t>
            </w:r>
            <w:r>
              <w:rPr>
                <w:rFonts w:hint="eastAsia" w:ascii="仿宋" w:hAnsi="仿宋" w:eastAsia="仿宋" w:cs="仿宋"/>
                <w:b/>
                <w:spacing w:val="-3"/>
                <w:kern w:val="2"/>
                <w:sz w:val="24"/>
                <w:szCs w:val="24"/>
                <w:lang w:val="en-US" w:eastAsia="zh-CN" w:bidi="zh-CN"/>
              </w:rPr>
              <w:t>9</w:t>
            </w:r>
            <w:r>
              <w:rPr>
                <w:rFonts w:ascii="仿宋" w:hAnsi="仿宋" w:eastAsia="仿宋" w:cs="仿宋"/>
                <w:b/>
                <w:spacing w:val="-3"/>
                <w:kern w:val="2"/>
                <w:sz w:val="24"/>
                <w:szCs w:val="24"/>
                <w:lang w:val="zh-CN" w:eastAsia="zh-CN" w:bidi="zh-CN"/>
              </w:rPr>
              <w:t xml:space="preserve"> 分）：</w:t>
            </w:r>
            <w:r>
              <w:rPr>
                <w:rFonts w:hint="eastAsia" w:ascii="仿宋" w:hAnsi="仿宋" w:eastAsia="仿宋" w:cs="仿宋"/>
                <w:spacing w:val="-1"/>
                <w:kern w:val="2"/>
                <w:sz w:val="24"/>
                <w:szCs w:val="24"/>
                <w:lang w:val="zh-CN" w:eastAsia="zh-CN" w:bidi="zh-CN"/>
              </w:rPr>
              <w:t>根据投标人针对本项目提供的应急预案，内容包括但不限于应急体系及运行机制、应急组织机构及职责划分、预防预警制度、安全运输措施、突发事件处理措施、新冠肺炎预防措施</w:t>
            </w:r>
            <w:r>
              <w:rPr>
                <w:rFonts w:hint="eastAsia" w:ascii="仿宋" w:hAnsi="仿宋" w:eastAsia="仿宋" w:cs="仿宋"/>
                <w:spacing w:val="-1"/>
                <w:kern w:val="2"/>
                <w:sz w:val="24"/>
                <w:szCs w:val="24"/>
                <w:lang w:val="en-US" w:eastAsia="zh-CN" w:bidi="zh-CN"/>
              </w:rPr>
              <w:t>及</w:t>
            </w:r>
            <w:r>
              <w:rPr>
                <w:rFonts w:hint="eastAsia" w:ascii="仿宋" w:hAnsi="仿宋" w:eastAsia="仿宋" w:cs="仿宋"/>
                <w:spacing w:val="-1"/>
                <w:kern w:val="2"/>
                <w:sz w:val="24"/>
                <w:szCs w:val="24"/>
                <w:lang w:val="zh-CN" w:eastAsia="zh-CN" w:bidi="zh-CN"/>
              </w:rPr>
              <w:t>劳动争议处理</w:t>
            </w:r>
            <w:r>
              <w:rPr>
                <w:rFonts w:hint="eastAsia" w:ascii="仿宋" w:hAnsi="仿宋" w:eastAsia="仿宋" w:cs="仿宋"/>
                <w:spacing w:val="-1"/>
                <w:kern w:val="2"/>
                <w:sz w:val="24"/>
                <w:szCs w:val="24"/>
                <w:lang w:val="en-US" w:eastAsia="zh-CN" w:bidi="zh-CN"/>
              </w:rPr>
              <w:t>方案等</w:t>
            </w:r>
            <w:r>
              <w:rPr>
                <w:rFonts w:hint="eastAsia" w:ascii="仿宋" w:hAnsi="仿宋" w:eastAsia="仿宋" w:cs="仿宋"/>
                <w:spacing w:val="-1"/>
                <w:kern w:val="2"/>
                <w:sz w:val="24"/>
                <w:szCs w:val="24"/>
                <w:lang w:val="zh-CN" w:eastAsia="zh-CN" w:bidi="zh-CN"/>
              </w:rPr>
              <w:t>。</w:t>
            </w:r>
            <w:r>
              <w:rPr>
                <w:rFonts w:hint="eastAsia" w:ascii="仿宋" w:hAnsi="仿宋" w:eastAsia="仿宋" w:cs="仿宋"/>
                <w:spacing w:val="-1"/>
                <w:kern w:val="2"/>
                <w:sz w:val="24"/>
                <w:szCs w:val="24"/>
                <w:lang w:val="en-US" w:eastAsia="zh-CN" w:bidi="zh-CN"/>
              </w:rPr>
              <w:t>内容完整、计划科学合理、措施得当、完全满足项目实施要求的得9分；内容较完整、计划科学合理、措施较得当、能保证项目顺利实施的得5分；内容基本完整、基本能保证项目实施的得3分；内容简单、计划措施单一，不能完全满足项目实施的得1分。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19"/>
              </w:rPr>
            </w:pPr>
          </w:p>
          <w:p>
            <w:pPr>
              <w:pStyle w:val="37"/>
              <w:ind w:left="14" w:leftChars="0"/>
              <w:jc w:val="center"/>
              <w:rPr>
                <w:rFonts w:ascii="仿宋" w:hAnsi="仿宋" w:eastAsia="仿宋" w:cs="仿宋"/>
                <w:b/>
                <w:kern w:val="2"/>
                <w:sz w:val="24"/>
                <w:szCs w:val="24"/>
                <w:lang w:val="zh-CN" w:eastAsia="zh-CN" w:bidi="zh-CN"/>
              </w:rPr>
            </w:pPr>
            <w:r>
              <w:rPr>
                <w:b/>
                <w:w w:val="99"/>
                <w:sz w:val="24"/>
              </w:rPr>
              <w:t>3</w:t>
            </w:r>
          </w:p>
        </w:tc>
        <w:tc>
          <w:tcPr>
            <w:tcW w:w="1276" w:type="dxa"/>
            <w:noWrap w:val="0"/>
            <w:vAlign w:val="top"/>
          </w:tcPr>
          <w:p>
            <w:pPr>
              <w:pStyle w:val="37"/>
              <w:rPr>
                <w:b/>
                <w:sz w:val="24"/>
              </w:rPr>
            </w:pPr>
          </w:p>
          <w:p>
            <w:pPr>
              <w:pStyle w:val="37"/>
              <w:spacing w:before="160"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履约能力(</w:t>
            </w:r>
            <w:r>
              <w:rPr>
                <w:rFonts w:hint="eastAsia"/>
                <w:b/>
                <w:sz w:val="24"/>
                <w:lang w:val="en-US" w:eastAsia="zh-CN"/>
              </w:rPr>
              <w:t>6</w:t>
            </w:r>
            <w:r>
              <w:rPr>
                <w:b/>
                <w:sz w:val="24"/>
              </w:rPr>
              <w:t xml:space="preserve"> 分)</w:t>
            </w:r>
          </w:p>
        </w:tc>
        <w:tc>
          <w:tcPr>
            <w:tcW w:w="7601" w:type="dxa"/>
            <w:noWrap w:val="0"/>
            <w:vAlign w:val="top"/>
          </w:tcPr>
          <w:p>
            <w:pPr>
              <w:pStyle w:val="37"/>
              <w:spacing w:before="2" w:line="360" w:lineRule="auto"/>
              <w:ind w:left="108" w:right="247" w:rightChars="0"/>
              <w:rPr>
                <w:rFonts w:ascii="仿宋" w:hAnsi="仿宋" w:eastAsia="仿宋" w:cs="仿宋"/>
                <w:kern w:val="2"/>
                <w:sz w:val="24"/>
                <w:szCs w:val="24"/>
                <w:lang w:val="zh-CN" w:eastAsia="zh-CN" w:bidi="zh-CN"/>
              </w:rPr>
            </w:pPr>
            <w:r>
              <w:rPr>
                <w:b/>
                <w:sz w:val="24"/>
                <w:szCs w:val="24"/>
              </w:rPr>
              <w:t>类似业绩情况（</w:t>
            </w:r>
            <w:r>
              <w:rPr>
                <w:rFonts w:hint="eastAsia"/>
                <w:b/>
                <w:sz w:val="24"/>
                <w:szCs w:val="24"/>
                <w:lang w:val="en-US" w:eastAsia="zh-CN"/>
              </w:rPr>
              <w:t>6</w:t>
            </w:r>
            <w:r>
              <w:rPr>
                <w:b/>
                <w:spacing w:val="-31"/>
                <w:sz w:val="24"/>
                <w:szCs w:val="24"/>
              </w:rPr>
              <w:t xml:space="preserve"> 分</w:t>
            </w:r>
            <w:r>
              <w:rPr>
                <w:b/>
                <w:sz w:val="24"/>
                <w:szCs w:val="24"/>
              </w:rPr>
              <w:t>）：</w:t>
            </w:r>
            <w:r>
              <w:rPr>
                <w:spacing w:val="-6"/>
                <w:sz w:val="24"/>
                <w:szCs w:val="24"/>
              </w:rPr>
              <w:t xml:space="preserve">提供投标截止日前近 </w:t>
            </w:r>
            <w:r>
              <w:rPr>
                <w:sz w:val="24"/>
                <w:szCs w:val="24"/>
              </w:rPr>
              <w:t>3</w:t>
            </w:r>
            <w:r>
              <w:rPr>
                <w:spacing w:val="-31"/>
                <w:sz w:val="24"/>
                <w:szCs w:val="24"/>
              </w:rPr>
              <w:t xml:space="preserve"> 年</w:t>
            </w:r>
            <w:r>
              <w:rPr>
                <w:sz w:val="24"/>
                <w:szCs w:val="24"/>
              </w:rPr>
              <w:t>（2019</w:t>
            </w:r>
            <w:r>
              <w:rPr>
                <w:spacing w:val="-41"/>
                <w:sz w:val="24"/>
                <w:szCs w:val="24"/>
              </w:rPr>
              <w:t xml:space="preserve"> 年 </w:t>
            </w:r>
            <w:r>
              <w:rPr>
                <w:sz w:val="24"/>
                <w:szCs w:val="24"/>
              </w:rPr>
              <w:t>1</w:t>
            </w:r>
            <w:r>
              <w:rPr>
                <w:spacing w:val="-30"/>
                <w:sz w:val="24"/>
                <w:szCs w:val="24"/>
              </w:rPr>
              <w:t xml:space="preserve">月 </w:t>
            </w:r>
            <w:r>
              <w:rPr>
                <w:sz w:val="24"/>
                <w:szCs w:val="24"/>
              </w:rPr>
              <w:t>1</w:t>
            </w:r>
            <w:r>
              <w:rPr>
                <w:spacing w:val="-8"/>
                <w:sz w:val="24"/>
                <w:szCs w:val="24"/>
              </w:rPr>
              <w:t>日至投标截止日</w:t>
            </w:r>
            <w:r>
              <w:rPr>
                <w:spacing w:val="-58"/>
                <w:sz w:val="24"/>
                <w:szCs w:val="24"/>
              </w:rPr>
              <w:t>）</w:t>
            </w:r>
            <w:r>
              <w:rPr>
                <w:spacing w:val="-7"/>
                <w:sz w:val="24"/>
                <w:szCs w:val="24"/>
              </w:rPr>
              <w:t>的类似业绩证明材料</w:t>
            </w:r>
            <w:r>
              <w:rPr>
                <w:sz w:val="24"/>
                <w:szCs w:val="24"/>
              </w:rPr>
              <w:t>（需提供包含合同首</w:t>
            </w:r>
            <w:r>
              <w:rPr>
                <w:spacing w:val="-10"/>
                <w:sz w:val="24"/>
                <w:szCs w:val="24"/>
              </w:rPr>
              <w:t>页、标的及金额所在页、签字盖章页的合同复印件或扫描件</w:t>
            </w:r>
            <w:r>
              <w:rPr>
                <w:spacing w:val="-39"/>
                <w:sz w:val="24"/>
                <w:szCs w:val="24"/>
              </w:rPr>
              <w:t>）</w:t>
            </w:r>
            <w:r>
              <w:rPr>
                <w:spacing w:val="-16"/>
                <w:sz w:val="24"/>
                <w:szCs w:val="24"/>
              </w:rPr>
              <w:t>每</w:t>
            </w:r>
            <w:r>
              <w:rPr>
                <w:spacing w:val="-10"/>
                <w:sz w:val="24"/>
                <w:szCs w:val="24"/>
              </w:rPr>
              <w:t xml:space="preserve">提供一项得 </w:t>
            </w:r>
            <w:r>
              <w:rPr>
                <w:rFonts w:hint="eastAsia"/>
                <w:sz w:val="24"/>
                <w:szCs w:val="24"/>
                <w:lang w:val="en-US" w:eastAsia="zh-CN"/>
              </w:rPr>
              <w:t>2</w:t>
            </w:r>
            <w:r>
              <w:rPr>
                <w:spacing w:val="-20"/>
                <w:sz w:val="24"/>
                <w:szCs w:val="24"/>
              </w:rPr>
              <w:t xml:space="preserve">分，满分 </w:t>
            </w:r>
            <w:r>
              <w:rPr>
                <w:rFonts w:hint="eastAsia"/>
                <w:sz w:val="24"/>
                <w:szCs w:val="24"/>
                <w:lang w:val="en-US" w:eastAsia="zh-CN"/>
              </w:rPr>
              <w:t>6</w:t>
            </w:r>
            <w:r>
              <w:rPr>
                <w:spacing w:val="-8"/>
                <w:sz w:val="24"/>
                <w:szCs w:val="24"/>
              </w:rPr>
              <w:t xml:space="preserve"> 分，不提供不得分。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8" w:hRule="atLeast"/>
          <w:jc w:val="center"/>
        </w:trPr>
        <w:tc>
          <w:tcPr>
            <w:tcW w:w="561" w:type="dxa"/>
            <w:noWrap w:val="0"/>
            <w:vAlign w:val="top"/>
          </w:tcPr>
          <w:p>
            <w:pPr>
              <w:pStyle w:val="37"/>
              <w:rPr>
                <w:b/>
                <w:sz w:val="24"/>
              </w:rPr>
            </w:pPr>
          </w:p>
          <w:p>
            <w:pPr>
              <w:pStyle w:val="37"/>
              <w:rPr>
                <w:b/>
                <w:sz w:val="24"/>
              </w:rPr>
            </w:pPr>
          </w:p>
          <w:p>
            <w:pPr>
              <w:pStyle w:val="37"/>
              <w:rPr>
                <w:b/>
                <w:sz w:val="24"/>
              </w:rPr>
            </w:pPr>
          </w:p>
          <w:p>
            <w:pPr>
              <w:pStyle w:val="37"/>
              <w:spacing w:before="2"/>
              <w:rPr>
                <w:b/>
                <w:sz w:val="20"/>
              </w:rPr>
            </w:pPr>
          </w:p>
          <w:p>
            <w:pPr>
              <w:pStyle w:val="37"/>
              <w:ind w:left="14" w:leftChars="0"/>
              <w:jc w:val="center"/>
              <w:rPr>
                <w:rFonts w:ascii="宋体" w:hAnsi="仿宋" w:eastAsia="仿宋" w:cs="仿宋"/>
                <w:b/>
                <w:kern w:val="2"/>
                <w:sz w:val="24"/>
                <w:szCs w:val="24"/>
                <w:lang w:val="zh-CN" w:eastAsia="zh-CN" w:bidi="zh-CN"/>
              </w:rPr>
            </w:pPr>
            <w:r>
              <w:rPr>
                <w:rFonts w:ascii="宋体"/>
                <w:b/>
                <w:w w:val="99"/>
                <w:sz w:val="24"/>
              </w:rPr>
              <w:t>4</w:t>
            </w:r>
          </w:p>
        </w:tc>
        <w:tc>
          <w:tcPr>
            <w:tcW w:w="1276" w:type="dxa"/>
            <w:noWrap w:val="0"/>
            <w:vAlign w:val="top"/>
          </w:tcPr>
          <w:p>
            <w:pPr>
              <w:pStyle w:val="37"/>
              <w:rPr>
                <w:b/>
                <w:sz w:val="24"/>
              </w:rPr>
            </w:pPr>
          </w:p>
          <w:p>
            <w:pPr>
              <w:pStyle w:val="37"/>
              <w:rPr>
                <w:b/>
                <w:sz w:val="24"/>
              </w:rPr>
            </w:pPr>
          </w:p>
          <w:p>
            <w:pPr>
              <w:pStyle w:val="37"/>
              <w:rPr>
                <w:b/>
                <w:sz w:val="24"/>
              </w:rPr>
            </w:pPr>
          </w:p>
          <w:p>
            <w:pPr>
              <w:pStyle w:val="37"/>
              <w:spacing w:before="12"/>
              <w:rPr>
                <w:b/>
                <w:sz w:val="25"/>
              </w:rPr>
            </w:pPr>
          </w:p>
          <w:p>
            <w:pPr>
              <w:pStyle w:val="37"/>
              <w:spacing w:line="362" w:lineRule="auto"/>
              <w:ind w:left="247" w:leftChars="0" w:right="138" w:rightChars="0" w:hanging="89" w:firstLineChars="0"/>
              <w:rPr>
                <w:rFonts w:ascii="仿宋" w:hAnsi="仿宋" w:eastAsia="仿宋" w:cs="仿宋"/>
                <w:b/>
                <w:kern w:val="2"/>
                <w:sz w:val="24"/>
                <w:szCs w:val="24"/>
                <w:lang w:val="zh-CN" w:eastAsia="zh-CN" w:bidi="zh-CN"/>
              </w:rPr>
            </w:pPr>
            <w:r>
              <w:rPr>
                <w:b/>
                <w:sz w:val="24"/>
              </w:rPr>
              <w:t>售后服务(</w:t>
            </w:r>
            <w:r>
              <w:rPr>
                <w:rFonts w:hint="eastAsia"/>
                <w:b/>
                <w:sz w:val="24"/>
                <w:lang w:val="en-US" w:eastAsia="zh-CN"/>
              </w:rPr>
              <w:t>11</w:t>
            </w:r>
            <w:r>
              <w:rPr>
                <w:b/>
                <w:sz w:val="24"/>
              </w:rPr>
              <w:t xml:space="preserve"> 分)</w:t>
            </w:r>
          </w:p>
        </w:tc>
        <w:tc>
          <w:tcPr>
            <w:tcW w:w="7601" w:type="dxa"/>
            <w:noWrap w:val="0"/>
            <w:vAlign w:val="top"/>
          </w:tcPr>
          <w:p>
            <w:pPr>
              <w:pStyle w:val="37"/>
              <w:numPr>
                <w:ilvl w:val="0"/>
                <w:numId w:val="0"/>
              </w:numPr>
              <w:tabs>
                <w:tab w:val="left" w:pos="737"/>
              </w:tabs>
              <w:spacing w:before="0" w:after="0" w:line="360" w:lineRule="auto"/>
              <w:ind w:right="247" w:rightChars="0"/>
              <w:jc w:val="left"/>
              <w:rPr>
                <w:sz w:val="24"/>
                <w:szCs w:val="24"/>
              </w:rPr>
            </w:pPr>
            <w:r>
              <w:rPr>
                <w:b/>
                <w:sz w:val="24"/>
                <w:szCs w:val="24"/>
              </w:rPr>
              <w:t>后期养护管理及成活率保障（6</w:t>
            </w:r>
            <w:r>
              <w:rPr>
                <w:b/>
                <w:spacing w:val="-26"/>
                <w:sz w:val="24"/>
                <w:szCs w:val="24"/>
              </w:rPr>
              <w:t xml:space="preserve"> 分</w:t>
            </w:r>
            <w:r>
              <w:rPr>
                <w:b/>
                <w:spacing w:val="3"/>
                <w:sz w:val="24"/>
                <w:szCs w:val="24"/>
              </w:rPr>
              <w:t>）：</w:t>
            </w:r>
            <w:r>
              <w:rPr>
                <w:sz w:val="24"/>
                <w:szCs w:val="24"/>
              </w:rPr>
              <w:t>成活率保障等方面</w:t>
            </w:r>
            <w:r>
              <w:rPr>
                <w:spacing w:val="-3"/>
                <w:sz w:val="24"/>
                <w:szCs w:val="24"/>
              </w:rPr>
              <w:t xml:space="preserve">所提供的方案完全满足招标文件的要求，且方案优秀的得 </w:t>
            </w:r>
            <w:r>
              <w:rPr>
                <w:sz w:val="24"/>
                <w:szCs w:val="24"/>
              </w:rPr>
              <w:t>6</w:t>
            </w:r>
            <w:r>
              <w:rPr>
                <w:spacing w:val="-20"/>
                <w:sz w:val="24"/>
                <w:szCs w:val="24"/>
              </w:rPr>
              <w:t xml:space="preserve"> 分，</w:t>
            </w:r>
            <w:r>
              <w:rPr>
                <w:sz w:val="24"/>
                <w:szCs w:val="24"/>
              </w:rPr>
              <w:t>一般得的 4 分，其他的得 2 分。</w:t>
            </w:r>
          </w:p>
          <w:p>
            <w:pPr>
              <w:pStyle w:val="37"/>
              <w:numPr>
                <w:ilvl w:val="0"/>
                <w:numId w:val="0"/>
              </w:numPr>
              <w:tabs>
                <w:tab w:val="left" w:pos="737"/>
              </w:tabs>
              <w:spacing w:before="158" w:after="0" w:line="360" w:lineRule="auto"/>
              <w:ind w:right="247" w:rightChars="0"/>
              <w:jc w:val="left"/>
              <w:rPr>
                <w:rFonts w:ascii="仿宋" w:hAnsi="仿宋" w:eastAsia="仿宋" w:cs="仿宋"/>
                <w:kern w:val="2"/>
                <w:sz w:val="24"/>
                <w:szCs w:val="24"/>
                <w:lang w:val="zh-CN" w:eastAsia="zh-CN" w:bidi="zh-CN"/>
              </w:rPr>
            </w:pPr>
            <w:r>
              <w:rPr>
                <w:b/>
                <w:sz w:val="24"/>
                <w:szCs w:val="24"/>
              </w:rPr>
              <w:t>售后服务计划、措施（5</w:t>
            </w:r>
            <w:r>
              <w:rPr>
                <w:b/>
                <w:spacing w:val="-27"/>
                <w:sz w:val="24"/>
                <w:szCs w:val="24"/>
              </w:rPr>
              <w:t xml:space="preserve"> 分</w:t>
            </w:r>
            <w:r>
              <w:rPr>
                <w:b/>
                <w:spacing w:val="3"/>
                <w:sz w:val="24"/>
                <w:szCs w:val="24"/>
              </w:rPr>
              <w:t>）：</w:t>
            </w:r>
            <w:r>
              <w:rPr>
                <w:sz w:val="24"/>
                <w:szCs w:val="24"/>
              </w:rPr>
              <w:t>针对该项目须有详尽的组</w:t>
            </w:r>
            <w:r>
              <w:rPr>
                <w:spacing w:val="-18"/>
                <w:sz w:val="24"/>
                <w:szCs w:val="24"/>
              </w:rPr>
              <w:t>织配送、验收、售后等方面的服务计划、能力、措施。服务计划、</w:t>
            </w:r>
            <w:r>
              <w:rPr>
                <w:spacing w:val="-16"/>
                <w:sz w:val="24"/>
                <w:szCs w:val="24"/>
              </w:rPr>
              <w:t xml:space="preserve">措施，优秀的，得 </w:t>
            </w:r>
            <w:r>
              <w:rPr>
                <w:sz w:val="24"/>
                <w:szCs w:val="24"/>
              </w:rPr>
              <w:t>5</w:t>
            </w:r>
            <w:r>
              <w:rPr>
                <w:spacing w:val="-20"/>
                <w:sz w:val="24"/>
                <w:szCs w:val="24"/>
              </w:rPr>
              <w:t xml:space="preserve"> 分；一般的，得 </w:t>
            </w:r>
            <w:r>
              <w:rPr>
                <w:sz w:val="24"/>
                <w:szCs w:val="24"/>
              </w:rPr>
              <w:t>3</w:t>
            </w:r>
            <w:r>
              <w:rPr>
                <w:spacing w:val="-20"/>
                <w:sz w:val="24"/>
                <w:szCs w:val="24"/>
              </w:rPr>
              <w:t xml:space="preserve"> 分；较差的，得 </w:t>
            </w:r>
            <w:r>
              <w:rPr>
                <w:sz w:val="24"/>
                <w:szCs w:val="24"/>
              </w:rPr>
              <w:t>1</w:t>
            </w:r>
            <w:r>
              <w:rPr>
                <w:spacing w:val="-19"/>
                <w:sz w:val="24"/>
                <w:szCs w:val="24"/>
              </w:rPr>
              <w:t xml:space="preserve"> 分；未</w:t>
            </w:r>
            <w:r>
              <w:rPr>
                <w:sz w:val="24"/>
                <w:szCs w:val="24"/>
              </w:rPr>
              <w:t>提供或其他情况不得分。</w:t>
            </w:r>
          </w:p>
        </w:tc>
      </w:tr>
    </w:tbl>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ascii="仿宋" w:hAnsi="仿宋" w:eastAsia="仿宋" w:cs="仿宋"/>
          <w:color w:val="auto"/>
          <w:highlight w:val="none"/>
          <w:shd w:val="clear" w:color="auto" w:fill="FFFFFF"/>
          <w:lang w:val="en-US" w:eastAsia="zh-CN"/>
        </w:rPr>
      </w:pP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包十一评标办法</w:t>
      </w:r>
    </w:p>
    <w:tbl>
      <w:tblPr>
        <w:tblStyle w:val="22"/>
        <w:tblW w:w="96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4"/>
        <w:gridCol w:w="1282"/>
        <w:gridCol w:w="7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034" w:type="dxa"/>
            <w:noWrap w:val="0"/>
            <w:vAlign w:val="top"/>
          </w:tcPr>
          <w:p>
            <w:pPr>
              <w:pStyle w:val="37"/>
              <w:spacing w:before="35" w:line="360" w:lineRule="auto"/>
              <w:ind w:left="160" w:right="143"/>
              <w:rPr>
                <w:sz w:val="24"/>
                <w:szCs w:val="24"/>
              </w:rPr>
            </w:pPr>
            <w:r>
              <w:rPr>
                <w:sz w:val="24"/>
                <w:szCs w:val="24"/>
              </w:rPr>
              <w:t>序号</w:t>
            </w:r>
          </w:p>
        </w:tc>
        <w:tc>
          <w:tcPr>
            <w:tcW w:w="1282" w:type="dxa"/>
            <w:noWrap w:val="0"/>
            <w:vAlign w:val="top"/>
          </w:tcPr>
          <w:p>
            <w:pPr>
              <w:pStyle w:val="37"/>
              <w:spacing w:before="191" w:line="360" w:lineRule="auto"/>
              <w:ind w:left="158"/>
              <w:rPr>
                <w:sz w:val="24"/>
                <w:szCs w:val="24"/>
              </w:rPr>
            </w:pPr>
            <w:r>
              <w:rPr>
                <w:sz w:val="24"/>
                <w:szCs w:val="24"/>
              </w:rPr>
              <w:t>评审因素</w:t>
            </w:r>
          </w:p>
        </w:tc>
        <w:tc>
          <w:tcPr>
            <w:tcW w:w="7292" w:type="dxa"/>
            <w:noWrap w:val="0"/>
            <w:vAlign w:val="top"/>
          </w:tcPr>
          <w:p>
            <w:pPr>
              <w:pStyle w:val="37"/>
              <w:spacing w:before="191" w:line="360" w:lineRule="auto"/>
              <w:ind w:left="2911" w:right="2899"/>
              <w:jc w:val="center"/>
              <w:rPr>
                <w:sz w:val="24"/>
                <w:szCs w:val="24"/>
              </w:rPr>
            </w:pPr>
            <w:r>
              <w:rPr>
                <w:sz w:val="24"/>
                <w:szCs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4" w:hRule="atLeast"/>
          <w:jc w:val="center"/>
        </w:trPr>
        <w:tc>
          <w:tcPr>
            <w:tcW w:w="1034" w:type="dxa"/>
            <w:noWrap w:val="0"/>
            <w:vAlign w:val="top"/>
          </w:tcPr>
          <w:p>
            <w:pPr>
              <w:pStyle w:val="37"/>
              <w:spacing w:line="360" w:lineRule="auto"/>
              <w:rPr>
                <w:b/>
                <w:sz w:val="24"/>
                <w:szCs w:val="24"/>
              </w:rPr>
            </w:pPr>
          </w:p>
          <w:p>
            <w:pPr>
              <w:pStyle w:val="37"/>
              <w:spacing w:line="360" w:lineRule="auto"/>
              <w:rPr>
                <w:b/>
                <w:sz w:val="24"/>
                <w:szCs w:val="24"/>
              </w:rPr>
            </w:pPr>
          </w:p>
          <w:p>
            <w:pPr>
              <w:pStyle w:val="37"/>
              <w:spacing w:before="210" w:line="360" w:lineRule="auto"/>
              <w:ind w:left="14"/>
              <w:jc w:val="center"/>
              <w:rPr>
                <w:b/>
                <w:sz w:val="24"/>
                <w:szCs w:val="24"/>
              </w:rPr>
            </w:pPr>
            <w:r>
              <w:rPr>
                <w:b/>
                <w:w w:val="99"/>
                <w:sz w:val="24"/>
                <w:szCs w:val="24"/>
              </w:rPr>
              <w:t>1</w:t>
            </w:r>
          </w:p>
        </w:tc>
        <w:tc>
          <w:tcPr>
            <w:tcW w:w="1282" w:type="dxa"/>
            <w:noWrap w:val="0"/>
            <w:vAlign w:val="top"/>
          </w:tcPr>
          <w:p>
            <w:pPr>
              <w:pStyle w:val="37"/>
              <w:spacing w:line="360" w:lineRule="auto"/>
              <w:rPr>
                <w:b/>
                <w:sz w:val="24"/>
                <w:szCs w:val="24"/>
              </w:rPr>
            </w:pPr>
          </w:p>
          <w:p>
            <w:pPr>
              <w:pStyle w:val="37"/>
              <w:spacing w:before="3" w:line="360" w:lineRule="auto"/>
              <w:rPr>
                <w:b/>
                <w:sz w:val="24"/>
                <w:szCs w:val="24"/>
              </w:rPr>
            </w:pPr>
          </w:p>
          <w:p>
            <w:pPr>
              <w:pStyle w:val="37"/>
              <w:spacing w:line="360" w:lineRule="auto"/>
              <w:ind w:left="158"/>
              <w:rPr>
                <w:b/>
                <w:sz w:val="24"/>
                <w:szCs w:val="24"/>
              </w:rPr>
            </w:pPr>
            <w:r>
              <w:rPr>
                <w:b/>
                <w:w w:val="95"/>
                <w:sz w:val="24"/>
                <w:szCs w:val="24"/>
              </w:rPr>
              <w:t>投标报价</w:t>
            </w:r>
          </w:p>
          <w:p>
            <w:pPr>
              <w:pStyle w:val="37"/>
              <w:spacing w:before="158" w:line="360" w:lineRule="auto"/>
              <w:ind w:left="187"/>
              <w:rPr>
                <w:b/>
                <w:sz w:val="24"/>
                <w:szCs w:val="24"/>
              </w:rPr>
            </w:pPr>
            <w:r>
              <w:rPr>
                <w:b/>
                <w:sz w:val="24"/>
                <w:szCs w:val="24"/>
              </w:rPr>
              <w:t>（30</w:t>
            </w:r>
            <w:r>
              <w:rPr>
                <w:b/>
                <w:spacing w:val="-22"/>
                <w:sz w:val="24"/>
                <w:szCs w:val="24"/>
              </w:rPr>
              <w:t xml:space="preserve"> 分)</w:t>
            </w:r>
          </w:p>
        </w:tc>
        <w:tc>
          <w:tcPr>
            <w:tcW w:w="7292" w:type="dxa"/>
            <w:noWrap w:val="0"/>
            <w:vAlign w:val="top"/>
          </w:tcPr>
          <w:p>
            <w:pPr>
              <w:pStyle w:val="37"/>
              <w:spacing w:before="113" w:line="360" w:lineRule="auto"/>
              <w:ind w:right="217" w:rightChars="0"/>
              <w:rPr>
                <w:sz w:val="24"/>
                <w:szCs w:val="24"/>
              </w:rPr>
            </w:pPr>
            <w:r>
              <w:rPr>
                <w:sz w:val="24"/>
                <w:szCs w:val="24"/>
              </w:rPr>
              <w:t>投标基准价=满足招标文件要求且最后有效投标报价的最低价为基准价。</w:t>
            </w:r>
          </w:p>
          <w:p>
            <w:pPr>
              <w:pStyle w:val="37"/>
              <w:spacing w:line="360" w:lineRule="auto"/>
              <w:ind w:left="108" w:right="217" w:rightChars="0"/>
              <w:rPr>
                <w:sz w:val="24"/>
                <w:szCs w:val="24"/>
              </w:rPr>
            </w:pPr>
            <w:r>
              <w:rPr>
                <w:spacing w:val="-3"/>
                <w:sz w:val="24"/>
                <w:szCs w:val="24"/>
              </w:rPr>
              <w:t>报价得分=</w:t>
            </w:r>
            <w:r>
              <w:rPr>
                <w:spacing w:val="-12"/>
                <w:sz w:val="24"/>
                <w:szCs w:val="24"/>
              </w:rPr>
              <w:t>（</w:t>
            </w:r>
            <w:r>
              <w:rPr>
                <w:sz w:val="24"/>
                <w:szCs w:val="24"/>
              </w:rPr>
              <w:t>基准价/最后报价</w:t>
            </w:r>
            <w:r>
              <w:rPr>
                <w:spacing w:val="-11"/>
                <w:sz w:val="24"/>
                <w:szCs w:val="24"/>
              </w:rPr>
              <w:t>）</w:t>
            </w:r>
            <w:r>
              <w:rPr>
                <w:spacing w:val="-7"/>
                <w:sz w:val="24"/>
                <w:szCs w:val="24"/>
              </w:rPr>
              <w:t>×价格权值</w:t>
            </w:r>
            <w:r>
              <w:rPr>
                <w:spacing w:val="-5"/>
                <w:sz w:val="24"/>
                <w:szCs w:val="24"/>
              </w:rPr>
              <w:t>（30%）×100（</w:t>
            </w:r>
            <w:r>
              <w:rPr>
                <w:spacing w:val="-8"/>
                <w:sz w:val="24"/>
                <w:szCs w:val="24"/>
              </w:rPr>
              <w:t>四舍</w:t>
            </w:r>
            <w:r>
              <w:rPr>
                <w:sz w:val="24"/>
                <w:szCs w:val="24"/>
              </w:rPr>
              <w:t>五入后保留小数点后两位）。</w:t>
            </w:r>
          </w:p>
          <w:p>
            <w:pPr>
              <w:pStyle w:val="37"/>
              <w:spacing w:line="360" w:lineRule="auto"/>
              <w:ind w:left="108" w:right="217" w:rightChars="0"/>
              <w:rPr>
                <w:sz w:val="24"/>
                <w:szCs w:val="24"/>
              </w:rPr>
            </w:pPr>
            <w:r>
              <w:rPr>
                <w:spacing w:val="-10"/>
                <w:sz w:val="24"/>
                <w:szCs w:val="24"/>
              </w:rPr>
              <w:t>注：根据《政府采购促进中小企业发展暂行办法》、《关于促进</w:t>
            </w:r>
            <w:r>
              <w:rPr>
                <w:spacing w:val="-17"/>
                <w:sz w:val="24"/>
                <w:szCs w:val="24"/>
              </w:rPr>
              <w:t>残疾人就业政府采购政策的通知》的相关规定，对残疾人福利性</w:t>
            </w:r>
            <w:r>
              <w:rPr>
                <w:spacing w:val="-9"/>
                <w:sz w:val="24"/>
                <w:szCs w:val="24"/>
              </w:rPr>
              <w:t>单位、小型和微型企业制造</w:t>
            </w:r>
            <w:r>
              <w:rPr>
                <w:sz w:val="24"/>
                <w:szCs w:val="24"/>
              </w:rPr>
              <w:t>（生产</w:t>
            </w:r>
            <w:r>
              <w:rPr>
                <w:spacing w:val="-17"/>
                <w:sz w:val="24"/>
                <w:szCs w:val="24"/>
              </w:rPr>
              <w:t>）</w:t>
            </w:r>
            <w:r>
              <w:rPr>
                <w:spacing w:val="-8"/>
                <w:sz w:val="24"/>
                <w:szCs w:val="24"/>
              </w:rPr>
              <w:t xml:space="preserve">产品的价格给予 </w:t>
            </w:r>
            <w:r>
              <w:rPr>
                <w:sz w:val="24"/>
                <w:szCs w:val="24"/>
              </w:rPr>
              <w:t>6%</w:t>
            </w:r>
            <w:r>
              <w:rPr>
                <w:spacing w:val="-4"/>
                <w:sz w:val="24"/>
                <w:szCs w:val="24"/>
              </w:rPr>
              <w:t xml:space="preserve">的扣除， </w:t>
            </w:r>
            <w:r>
              <w:rPr>
                <w:spacing w:val="-8"/>
                <w:sz w:val="24"/>
                <w:szCs w:val="24"/>
              </w:rPr>
              <w:t>用扣除后的价格参与评标。残疾人福利性单位属于小型、微型企</w:t>
            </w:r>
            <w:r>
              <w:rPr>
                <w:sz w:val="24"/>
                <w:szCs w:val="24"/>
              </w:rPr>
              <w:t>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3" w:hRule="atLeast"/>
          <w:jc w:val="center"/>
        </w:trPr>
        <w:tc>
          <w:tcPr>
            <w:tcW w:w="1034" w:type="dxa"/>
            <w:noWrap w:val="0"/>
            <w:vAlign w:val="top"/>
          </w:tcPr>
          <w:p>
            <w:pPr>
              <w:pStyle w:val="37"/>
              <w:spacing w:line="360" w:lineRule="auto"/>
              <w:rPr>
                <w:b/>
                <w:sz w:val="24"/>
                <w:szCs w:val="24"/>
              </w:rPr>
            </w:pPr>
          </w:p>
          <w:p>
            <w:pPr>
              <w:pStyle w:val="37"/>
              <w:spacing w:line="360" w:lineRule="auto"/>
              <w:rPr>
                <w:b/>
                <w:sz w:val="24"/>
                <w:szCs w:val="24"/>
              </w:rPr>
            </w:pPr>
          </w:p>
          <w:p>
            <w:pPr>
              <w:pStyle w:val="37"/>
              <w:spacing w:before="172" w:line="360" w:lineRule="auto"/>
              <w:ind w:left="11" w:leftChars="0"/>
              <w:jc w:val="center"/>
              <w:rPr>
                <w:rFonts w:ascii="仿宋" w:hAnsi="仿宋" w:eastAsia="仿宋" w:cs="仿宋"/>
                <w:b/>
                <w:kern w:val="2"/>
                <w:sz w:val="24"/>
                <w:szCs w:val="24"/>
                <w:lang w:val="zh-CN" w:eastAsia="zh-CN" w:bidi="zh-CN"/>
              </w:rPr>
            </w:pPr>
            <w:r>
              <w:rPr>
                <w:b/>
                <w:w w:val="99"/>
                <w:sz w:val="24"/>
                <w:szCs w:val="24"/>
              </w:rPr>
              <w:t>2</w:t>
            </w:r>
          </w:p>
        </w:tc>
        <w:tc>
          <w:tcPr>
            <w:tcW w:w="1282" w:type="dxa"/>
            <w:noWrap w:val="0"/>
            <w:vAlign w:val="top"/>
          </w:tcPr>
          <w:p>
            <w:pPr>
              <w:pStyle w:val="37"/>
              <w:spacing w:line="360" w:lineRule="auto"/>
              <w:rPr>
                <w:b/>
                <w:sz w:val="24"/>
                <w:szCs w:val="24"/>
              </w:rPr>
            </w:pPr>
          </w:p>
          <w:p>
            <w:pPr>
              <w:pStyle w:val="37"/>
              <w:spacing w:line="360" w:lineRule="auto"/>
              <w:ind w:left="192"/>
              <w:rPr>
                <w:b/>
                <w:w w:val="95"/>
                <w:sz w:val="24"/>
                <w:szCs w:val="24"/>
              </w:rPr>
            </w:pPr>
          </w:p>
          <w:p>
            <w:pPr>
              <w:pStyle w:val="37"/>
              <w:spacing w:line="360" w:lineRule="auto"/>
              <w:ind w:left="192"/>
              <w:rPr>
                <w:b/>
                <w:sz w:val="24"/>
                <w:szCs w:val="24"/>
              </w:rPr>
            </w:pPr>
            <w:r>
              <w:rPr>
                <w:b/>
                <w:w w:val="95"/>
                <w:sz w:val="24"/>
                <w:szCs w:val="24"/>
              </w:rPr>
              <w:t>技术水平</w:t>
            </w:r>
          </w:p>
          <w:p>
            <w:pPr>
              <w:pStyle w:val="37"/>
              <w:spacing w:before="158" w:line="360" w:lineRule="auto"/>
              <w:ind w:left="161" w:leftChars="0"/>
              <w:rPr>
                <w:rFonts w:ascii="仿宋" w:hAnsi="仿宋" w:eastAsia="仿宋" w:cs="仿宋"/>
                <w:b/>
                <w:kern w:val="2"/>
                <w:sz w:val="24"/>
                <w:szCs w:val="24"/>
                <w:lang w:val="zh-CN" w:eastAsia="zh-CN" w:bidi="zh-CN"/>
              </w:rPr>
            </w:pPr>
            <w:r>
              <w:rPr>
                <w:b/>
                <w:sz w:val="24"/>
                <w:szCs w:val="24"/>
              </w:rPr>
              <w:t>（42</w:t>
            </w:r>
            <w:r>
              <w:rPr>
                <w:b/>
                <w:spacing w:val="-31"/>
                <w:sz w:val="24"/>
                <w:szCs w:val="24"/>
              </w:rPr>
              <w:t xml:space="preserve"> 分</w:t>
            </w:r>
            <w:r>
              <w:rPr>
                <w:b/>
                <w:sz w:val="24"/>
                <w:szCs w:val="24"/>
              </w:rPr>
              <w:t>）</w:t>
            </w:r>
          </w:p>
        </w:tc>
        <w:tc>
          <w:tcPr>
            <w:tcW w:w="7292" w:type="dxa"/>
            <w:noWrap w:val="0"/>
            <w:vAlign w:val="top"/>
          </w:tcPr>
          <w:p>
            <w:pPr>
              <w:pStyle w:val="37"/>
              <w:numPr>
                <w:ilvl w:val="0"/>
                <w:numId w:val="0"/>
              </w:numPr>
              <w:tabs>
                <w:tab w:val="left" w:pos="711"/>
              </w:tabs>
              <w:spacing w:before="3" w:after="0" w:line="360" w:lineRule="auto"/>
              <w:ind w:left="106" w:leftChars="0" w:right="217" w:rightChars="0"/>
              <w:jc w:val="both"/>
              <w:rPr>
                <w:sz w:val="24"/>
                <w:szCs w:val="24"/>
              </w:rPr>
            </w:pPr>
            <w:r>
              <w:rPr>
                <w:b/>
                <w:spacing w:val="-2"/>
                <w:sz w:val="24"/>
                <w:szCs w:val="24"/>
              </w:rPr>
              <w:t>技术参数</w:t>
            </w:r>
            <w:r>
              <w:rPr>
                <w:b/>
                <w:sz w:val="24"/>
                <w:szCs w:val="24"/>
              </w:rPr>
              <w:t>（40</w:t>
            </w:r>
            <w:r>
              <w:rPr>
                <w:b/>
                <w:spacing w:val="-30"/>
                <w:sz w:val="24"/>
                <w:szCs w:val="24"/>
              </w:rPr>
              <w:t xml:space="preserve"> 分</w:t>
            </w:r>
            <w:r>
              <w:rPr>
                <w:b/>
                <w:spacing w:val="-5"/>
                <w:sz w:val="24"/>
                <w:szCs w:val="24"/>
              </w:rPr>
              <w:t>）：</w:t>
            </w:r>
            <w:r>
              <w:rPr>
                <w:sz w:val="24"/>
                <w:szCs w:val="24"/>
              </w:rPr>
              <w:t>技术参数和配置完全满足或高于招标文</w:t>
            </w:r>
            <w:r>
              <w:rPr>
                <w:spacing w:val="-13"/>
                <w:sz w:val="24"/>
                <w:szCs w:val="24"/>
              </w:rPr>
              <w:t xml:space="preserve">件要求的，得 </w:t>
            </w:r>
            <w:r>
              <w:rPr>
                <w:sz w:val="24"/>
                <w:szCs w:val="24"/>
              </w:rPr>
              <w:t>40</w:t>
            </w:r>
            <w:r>
              <w:rPr>
                <w:spacing w:val="-15"/>
                <w:sz w:val="24"/>
                <w:szCs w:val="24"/>
              </w:rPr>
              <w:t xml:space="preserve"> 分；每有一项负偏离扣 </w:t>
            </w:r>
            <w:r>
              <w:rPr>
                <w:sz w:val="24"/>
                <w:szCs w:val="24"/>
              </w:rPr>
              <w:t>4</w:t>
            </w:r>
            <w:r>
              <w:rPr>
                <w:spacing w:val="-11"/>
                <w:sz w:val="24"/>
                <w:szCs w:val="24"/>
              </w:rPr>
              <w:t xml:space="preserve"> 分，扣完该项得分为止。</w:t>
            </w:r>
          </w:p>
          <w:p>
            <w:pPr>
              <w:pStyle w:val="37"/>
              <w:numPr>
                <w:ilvl w:val="0"/>
                <w:numId w:val="0"/>
              </w:numPr>
              <w:tabs>
                <w:tab w:val="left" w:pos="722"/>
              </w:tabs>
              <w:spacing w:before="2" w:after="0" w:line="360" w:lineRule="auto"/>
              <w:ind w:left="106" w:leftChars="0" w:right="217" w:rightChars="0"/>
              <w:jc w:val="both"/>
              <w:rPr>
                <w:rFonts w:ascii="仿宋" w:hAnsi="仿宋" w:eastAsia="仿宋" w:cs="仿宋"/>
                <w:kern w:val="2"/>
                <w:sz w:val="24"/>
                <w:szCs w:val="24"/>
                <w:lang w:val="zh-CN" w:eastAsia="zh-CN" w:bidi="zh-CN"/>
              </w:rPr>
            </w:pPr>
            <w:r>
              <w:rPr>
                <w:b/>
                <w:spacing w:val="4"/>
                <w:sz w:val="24"/>
                <w:szCs w:val="24"/>
              </w:rPr>
              <w:t>节能和环保</w:t>
            </w:r>
            <w:r>
              <w:rPr>
                <w:b/>
                <w:sz w:val="24"/>
                <w:szCs w:val="24"/>
              </w:rPr>
              <w:t>（2</w:t>
            </w:r>
            <w:r>
              <w:rPr>
                <w:b/>
                <w:spacing w:val="-26"/>
                <w:sz w:val="24"/>
                <w:szCs w:val="24"/>
              </w:rPr>
              <w:t xml:space="preserve"> 分</w:t>
            </w:r>
            <w:r>
              <w:rPr>
                <w:b/>
                <w:spacing w:val="4"/>
                <w:sz w:val="24"/>
                <w:szCs w:val="24"/>
              </w:rPr>
              <w:t>）</w:t>
            </w:r>
            <w:r>
              <w:rPr>
                <w:spacing w:val="-5"/>
                <w:sz w:val="24"/>
                <w:szCs w:val="24"/>
              </w:rPr>
              <w:t xml:space="preserve">：所投产品为节能产品得 </w:t>
            </w:r>
            <w:r>
              <w:rPr>
                <w:sz w:val="24"/>
                <w:szCs w:val="24"/>
              </w:rPr>
              <w:t>1</w:t>
            </w:r>
            <w:r>
              <w:rPr>
                <w:spacing w:val="-10"/>
                <w:sz w:val="24"/>
                <w:szCs w:val="24"/>
              </w:rPr>
              <w:t xml:space="preserve"> 分；所投产</w:t>
            </w:r>
            <w:r>
              <w:rPr>
                <w:spacing w:val="-17"/>
                <w:sz w:val="24"/>
                <w:szCs w:val="24"/>
              </w:rPr>
              <w:t xml:space="preserve">品为环保产品得 </w:t>
            </w:r>
            <w:r>
              <w:rPr>
                <w:sz w:val="24"/>
                <w:szCs w:val="24"/>
              </w:rPr>
              <w:t>1</w:t>
            </w:r>
            <w:r>
              <w:rPr>
                <w:spacing w:val="-12"/>
                <w:sz w:val="24"/>
                <w:szCs w:val="24"/>
              </w:rPr>
              <w:t xml:space="preserve"> 分；未提供不得分。该项得分的认定以《国家节</w:t>
            </w:r>
            <w:r>
              <w:rPr>
                <w:spacing w:val="-13"/>
                <w:sz w:val="24"/>
                <w:szCs w:val="24"/>
              </w:rPr>
              <w:t>能产品认证证书》、《中国环境标志产品认证证书》和政府部门公</w:t>
            </w:r>
            <w:r>
              <w:rPr>
                <w:spacing w:val="-14"/>
                <w:sz w:val="24"/>
                <w:szCs w:val="24"/>
              </w:rPr>
              <w:t>布的《节能产品政府采购清单》、《环境标志产品政府采购清单》</w:t>
            </w:r>
            <w:r>
              <w:rPr>
                <w:sz w:val="24"/>
                <w:szCs w:val="24"/>
              </w:rPr>
              <w:t>网页截屏为准。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jc w:val="center"/>
        </w:trPr>
        <w:tc>
          <w:tcPr>
            <w:tcW w:w="1034" w:type="dxa"/>
            <w:noWrap w:val="0"/>
            <w:vAlign w:val="top"/>
          </w:tcPr>
          <w:p>
            <w:pPr>
              <w:pStyle w:val="37"/>
              <w:spacing w:line="360" w:lineRule="auto"/>
              <w:rPr>
                <w:b/>
                <w:sz w:val="24"/>
                <w:szCs w:val="24"/>
              </w:rPr>
            </w:pPr>
          </w:p>
          <w:p>
            <w:pPr>
              <w:pStyle w:val="37"/>
              <w:spacing w:line="360" w:lineRule="auto"/>
              <w:rPr>
                <w:b/>
                <w:sz w:val="24"/>
                <w:szCs w:val="24"/>
              </w:rPr>
            </w:pPr>
          </w:p>
          <w:p>
            <w:pPr>
              <w:pStyle w:val="37"/>
              <w:spacing w:before="6" w:line="360" w:lineRule="auto"/>
              <w:rPr>
                <w:b/>
                <w:sz w:val="24"/>
                <w:szCs w:val="24"/>
              </w:rPr>
            </w:pPr>
          </w:p>
          <w:p>
            <w:pPr>
              <w:pStyle w:val="37"/>
              <w:spacing w:line="360" w:lineRule="auto"/>
              <w:ind w:left="11" w:leftChars="0"/>
              <w:jc w:val="center"/>
              <w:rPr>
                <w:rFonts w:ascii="仿宋" w:hAnsi="仿宋" w:eastAsia="仿宋" w:cs="仿宋"/>
                <w:b/>
                <w:kern w:val="2"/>
                <w:sz w:val="24"/>
                <w:szCs w:val="24"/>
                <w:lang w:val="zh-CN" w:eastAsia="zh-CN" w:bidi="zh-CN"/>
              </w:rPr>
            </w:pPr>
            <w:r>
              <w:rPr>
                <w:b/>
                <w:w w:val="99"/>
                <w:sz w:val="24"/>
                <w:szCs w:val="24"/>
              </w:rPr>
              <w:t>3</w:t>
            </w:r>
          </w:p>
        </w:tc>
        <w:tc>
          <w:tcPr>
            <w:tcW w:w="1282" w:type="dxa"/>
            <w:noWrap w:val="0"/>
            <w:vAlign w:val="top"/>
          </w:tcPr>
          <w:p>
            <w:pPr>
              <w:pStyle w:val="37"/>
              <w:spacing w:line="360" w:lineRule="auto"/>
              <w:rPr>
                <w:b/>
                <w:sz w:val="24"/>
                <w:szCs w:val="24"/>
              </w:rPr>
            </w:pPr>
          </w:p>
          <w:p>
            <w:pPr>
              <w:pStyle w:val="37"/>
              <w:spacing w:line="360" w:lineRule="auto"/>
              <w:rPr>
                <w:b/>
                <w:sz w:val="24"/>
                <w:szCs w:val="24"/>
              </w:rPr>
            </w:pPr>
          </w:p>
          <w:p>
            <w:pPr>
              <w:pStyle w:val="37"/>
              <w:spacing w:before="12" w:line="360" w:lineRule="auto"/>
              <w:rPr>
                <w:b/>
                <w:sz w:val="24"/>
                <w:szCs w:val="24"/>
              </w:rPr>
            </w:pPr>
          </w:p>
          <w:p>
            <w:pPr>
              <w:pStyle w:val="37"/>
              <w:spacing w:line="360" w:lineRule="auto"/>
              <w:ind w:right="173" w:rightChars="0"/>
              <w:rPr>
                <w:rFonts w:ascii="仿宋" w:hAnsi="仿宋" w:eastAsia="仿宋" w:cs="仿宋"/>
                <w:b/>
                <w:kern w:val="2"/>
                <w:sz w:val="24"/>
                <w:szCs w:val="24"/>
                <w:lang w:val="zh-CN" w:eastAsia="zh-CN" w:bidi="zh-CN"/>
              </w:rPr>
            </w:pPr>
            <w:r>
              <w:rPr>
                <w:b/>
                <w:sz w:val="24"/>
                <w:szCs w:val="24"/>
              </w:rPr>
              <w:t>履约能力(1</w:t>
            </w:r>
            <w:r>
              <w:rPr>
                <w:rFonts w:hint="eastAsia"/>
                <w:b/>
                <w:sz w:val="24"/>
                <w:szCs w:val="24"/>
                <w:lang w:val="en-US" w:eastAsia="zh-CN"/>
              </w:rPr>
              <w:t>8</w:t>
            </w:r>
            <w:r>
              <w:rPr>
                <w:b/>
                <w:sz w:val="24"/>
                <w:szCs w:val="24"/>
              </w:rPr>
              <w:t xml:space="preserve"> 分)</w:t>
            </w:r>
          </w:p>
        </w:tc>
        <w:tc>
          <w:tcPr>
            <w:tcW w:w="7292" w:type="dxa"/>
            <w:noWrap w:val="0"/>
            <w:vAlign w:val="top"/>
          </w:tcPr>
          <w:p>
            <w:pPr>
              <w:pStyle w:val="37"/>
              <w:numPr>
                <w:ilvl w:val="0"/>
                <w:numId w:val="0"/>
              </w:numPr>
              <w:tabs>
                <w:tab w:val="left" w:pos="712"/>
              </w:tabs>
              <w:spacing w:before="113" w:after="0" w:line="360" w:lineRule="auto"/>
              <w:ind w:left="106" w:leftChars="0" w:right="217" w:rightChars="0"/>
              <w:jc w:val="both"/>
              <w:rPr>
                <w:sz w:val="24"/>
                <w:szCs w:val="24"/>
              </w:rPr>
            </w:pPr>
            <w:r>
              <w:rPr>
                <w:b/>
                <w:sz w:val="24"/>
                <w:szCs w:val="24"/>
              </w:rPr>
              <w:t>类似业绩情况（5</w:t>
            </w:r>
            <w:r>
              <w:rPr>
                <w:b/>
                <w:spacing w:val="-29"/>
                <w:sz w:val="24"/>
                <w:szCs w:val="24"/>
              </w:rPr>
              <w:t xml:space="preserve"> 分</w:t>
            </w:r>
            <w:r>
              <w:rPr>
                <w:b/>
                <w:sz w:val="24"/>
                <w:szCs w:val="24"/>
              </w:rPr>
              <w:t>）：</w:t>
            </w:r>
            <w:r>
              <w:rPr>
                <w:spacing w:val="-6"/>
                <w:sz w:val="24"/>
                <w:szCs w:val="24"/>
              </w:rPr>
              <w:t xml:space="preserve">提供投标截止日前近 </w:t>
            </w:r>
            <w:r>
              <w:rPr>
                <w:sz w:val="24"/>
                <w:szCs w:val="24"/>
              </w:rPr>
              <w:t>3</w:t>
            </w:r>
            <w:r>
              <w:rPr>
                <w:spacing w:val="-30"/>
                <w:sz w:val="24"/>
                <w:szCs w:val="24"/>
              </w:rPr>
              <w:t xml:space="preserve"> 年</w:t>
            </w:r>
            <w:r>
              <w:rPr>
                <w:sz w:val="24"/>
                <w:szCs w:val="24"/>
              </w:rPr>
              <w:t>（2019</w:t>
            </w:r>
            <w:r>
              <w:rPr>
                <w:spacing w:val="-28"/>
                <w:sz w:val="24"/>
                <w:szCs w:val="24"/>
              </w:rPr>
              <w:t xml:space="preserve"> 年1</w:t>
            </w:r>
            <w:r>
              <w:rPr>
                <w:spacing w:val="-40"/>
                <w:sz w:val="24"/>
                <w:szCs w:val="24"/>
              </w:rPr>
              <w:t xml:space="preserve"> 月 </w:t>
            </w:r>
            <w:r>
              <w:rPr>
                <w:sz w:val="24"/>
                <w:szCs w:val="24"/>
              </w:rPr>
              <w:t>1</w:t>
            </w:r>
            <w:r>
              <w:rPr>
                <w:spacing w:val="-8"/>
                <w:sz w:val="24"/>
                <w:szCs w:val="24"/>
              </w:rPr>
              <w:t xml:space="preserve"> 日至投标截止日）</w:t>
            </w:r>
            <w:r>
              <w:rPr>
                <w:spacing w:val="-1"/>
                <w:sz w:val="24"/>
                <w:szCs w:val="24"/>
              </w:rPr>
              <w:t>的类似业绩证明材料</w:t>
            </w:r>
            <w:r>
              <w:rPr>
                <w:sz w:val="24"/>
                <w:szCs w:val="24"/>
              </w:rPr>
              <w:t>（</w:t>
            </w:r>
            <w:r>
              <w:rPr>
                <w:spacing w:val="-2"/>
                <w:sz w:val="24"/>
                <w:szCs w:val="24"/>
              </w:rPr>
              <w:t>需提供包含合同首</w:t>
            </w:r>
            <w:r>
              <w:rPr>
                <w:spacing w:val="-7"/>
                <w:sz w:val="24"/>
                <w:szCs w:val="24"/>
              </w:rPr>
              <w:t>页、标的及金额所在页、签字盖章页的合同复印件或扫描件</w:t>
            </w:r>
            <w:r>
              <w:rPr>
                <w:spacing w:val="-27"/>
                <w:sz w:val="24"/>
                <w:szCs w:val="24"/>
              </w:rPr>
              <w:t>）</w:t>
            </w:r>
            <w:r>
              <w:rPr>
                <w:spacing w:val="-8"/>
                <w:sz w:val="24"/>
                <w:szCs w:val="24"/>
              </w:rPr>
              <w:t>每提</w:t>
            </w:r>
            <w:r>
              <w:rPr>
                <w:spacing w:val="-12"/>
                <w:sz w:val="24"/>
                <w:szCs w:val="24"/>
              </w:rPr>
              <w:t xml:space="preserve">供一项得 </w:t>
            </w:r>
            <w:r>
              <w:rPr>
                <w:sz w:val="24"/>
                <w:szCs w:val="24"/>
              </w:rPr>
              <w:t>2.5</w:t>
            </w:r>
            <w:r>
              <w:rPr>
                <w:spacing w:val="-20"/>
                <w:sz w:val="24"/>
                <w:szCs w:val="24"/>
              </w:rPr>
              <w:t xml:space="preserve"> 分，满分 </w:t>
            </w:r>
            <w:r>
              <w:rPr>
                <w:sz w:val="24"/>
                <w:szCs w:val="24"/>
              </w:rPr>
              <w:t>5</w:t>
            </w:r>
            <w:r>
              <w:rPr>
                <w:spacing w:val="-8"/>
                <w:sz w:val="24"/>
                <w:szCs w:val="24"/>
              </w:rPr>
              <w:t xml:space="preserve"> 分，不提供不得分。</w:t>
            </w:r>
          </w:p>
          <w:p>
            <w:pPr>
              <w:pStyle w:val="37"/>
              <w:numPr>
                <w:ilvl w:val="0"/>
                <w:numId w:val="0"/>
              </w:numPr>
              <w:tabs>
                <w:tab w:val="left" w:pos="711"/>
              </w:tabs>
              <w:spacing w:before="1" w:after="0" w:line="360" w:lineRule="auto"/>
              <w:ind w:left="106" w:leftChars="0" w:right="217" w:rightChars="0"/>
              <w:jc w:val="both"/>
              <w:rPr>
                <w:rFonts w:ascii="仿宋" w:hAnsi="仿宋" w:eastAsia="仿宋" w:cs="仿宋"/>
                <w:kern w:val="2"/>
                <w:sz w:val="24"/>
                <w:szCs w:val="24"/>
                <w:lang w:val="zh-CN" w:eastAsia="zh-CN" w:bidi="zh-CN"/>
              </w:rPr>
            </w:pPr>
            <w:r>
              <w:rPr>
                <w:b/>
                <w:spacing w:val="-4"/>
                <w:sz w:val="24"/>
                <w:szCs w:val="24"/>
              </w:rPr>
              <w:t>项目管理及实施方案</w:t>
            </w:r>
            <w:r>
              <w:rPr>
                <w:b/>
                <w:sz w:val="24"/>
                <w:szCs w:val="24"/>
              </w:rPr>
              <w:t>（1</w:t>
            </w:r>
            <w:r>
              <w:rPr>
                <w:rFonts w:hint="eastAsia"/>
                <w:b/>
                <w:sz w:val="24"/>
                <w:szCs w:val="24"/>
                <w:lang w:val="en-US" w:eastAsia="zh-CN"/>
              </w:rPr>
              <w:t>3</w:t>
            </w:r>
            <w:r>
              <w:rPr>
                <w:b/>
                <w:spacing w:val="-30"/>
                <w:sz w:val="24"/>
                <w:szCs w:val="24"/>
              </w:rPr>
              <w:t>分</w:t>
            </w:r>
            <w:r>
              <w:rPr>
                <w:b/>
                <w:spacing w:val="-36"/>
                <w:sz w:val="24"/>
                <w:szCs w:val="24"/>
              </w:rPr>
              <w:t>）：</w:t>
            </w:r>
            <w:r>
              <w:rPr>
                <w:sz w:val="24"/>
                <w:szCs w:val="24"/>
              </w:rPr>
              <w:t>针对本项目有项目管理机构</w:t>
            </w:r>
            <w:r>
              <w:rPr>
                <w:spacing w:val="-6"/>
                <w:sz w:val="24"/>
                <w:szCs w:val="24"/>
              </w:rPr>
              <w:t xml:space="preserve">，能够结合项目特点制定实施方案，优秀得 </w:t>
            </w:r>
            <w:r>
              <w:rPr>
                <w:sz w:val="24"/>
                <w:szCs w:val="24"/>
              </w:rPr>
              <w:t>1</w:t>
            </w:r>
            <w:r>
              <w:rPr>
                <w:rFonts w:hint="eastAsia"/>
                <w:sz w:val="24"/>
                <w:szCs w:val="24"/>
                <w:lang w:val="en-US" w:eastAsia="zh-CN"/>
              </w:rPr>
              <w:t>3</w:t>
            </w:r>
            <w:r>
              <w:rPr>
                <w:spacing w:val="-17"/>
                <w:sz w:val="24"/>
                <w:szCs w:val="24"/>
              </w:rPr>
              <w:t>分，良好得</w:t>
            </w:r>
            <w:r>
              <w:rPr>
                <w:rFonts w:hint="eastAsia"/>
                <w:spacing w:val="-17"/>
                <w:sz w:val="24"/>
                <w:szCs w:val="24"/>
                <w:lang w:val="en-US" w:eastAsia="zh-CN"/>
              </w:rPr>
              <w:t>8</w:t>
            </w:r>
            <w:r>
              <w:rPr>
                <w:spacing w:val="-18"/>
                <w:sz w:val="24"/>
                <w:szCs w:val="24"/>
              </w:rPr>
              <w:t>分， 一</w:t>
            </w:r>
            <w:r>
              <w:rPr>
                <w:sz w:val="24"/>
                <w:szCs w:val="24"/>
              </w:rPr>
              <w:t>般得 4 分，不提供不得分。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1" w:hRule="atLeast"/>
          <w:jc w:val="center"/>
        </w:trPr>
        <w:tc>
          <w:tcPr>
            <w:tcW w:w="1034" w:type="dxa"/>
            <w:noWrap w:val="0"/>
            <w:vAlign w:val="top"/>
          </w:tcPr>
          <w:p>
            <w:pPr>
              <w:pStyle w:val="37"/>
              <w:spacing w:line="360" w:lineRule="auto"/>
              <w:rPr>
                <w:b/>
                <w:sz w:val="24"/>
                <w:szCs w:val="24"/>
              </w:rPr>
            </w:pPr>
          </w:p>
          <w:p>
            <w:pPr>
              <w:pStyle w:val="37"/>
              <w:spacing w:before="3" w:line="360" w:lineRule="auto"/>
              <w:rPr>
                <w:b/>
                <w:sz w:val="24"/>
                <w:szCs w:val="24"/>
              </w:rPr>
            </w:pPr>
          </w:p>
          <w:p>
            <w:pPr>
              <w:pStyle w:val="37"/>
              <w:spacing w:line="360" w:lineRule="auto"/>
              <w:ind w:left="11" w:leftChars="0"/>
              <w:jc w:val="center"/>
              <w:rPr>
                <w:rFonts w:ascii="宋体" w:hAnsi="仿宋" w:eastAsia="仿宋" w:cs="仿宋"/>
                <w:b/>
                <w:kern w:val="2"/>
                <w:sz w:val="24"/>
                <w:szCs w:val="24"/>
                <w:lang w:val="zh-CN" w:eastAsia="zh-CN" w:bidi="zh-CN"/>
              </w:rPr>
            </w:pPr>
            <w:r>
              <w:rPr>
                <w:rFonts w:ascii="宋体"/>
                <w:b/>
                <w:w w:val="99"/>
                <w:sz w:val="24"/>
                <w:szCs w:val="24"/>
              </w:rPr>
              <w:t>4</w:t>
            </w:r>
          </w:p>
        </w:tc>
        <w:tc>
          <w:tcPr>
            <w:tcW w:w="1282" w:type="dxa"/>
            <w:noWrap w:val="0"/>
            <w:vAlign w:val="top"/>
          </w:tcPr>
          <w:p>
            <w:pPr>
              <w:pStyle w:val="37"/>
              <w:spacing w:before="154" w:line="360" w:lineRule="auto"/>
              <w:ind w:right="173" w:rightChars="0"/>
              <w:rPr>
                <w:b/>
                <w:sz w:val="24"/>
                <w:szCs w:val="24"/>
              </w:rPr>
            </w:pPr>
          </w:p>
          <w:p>
            <w:pPr>
              <w:pStyle w:val="37"/>
              <w:spacing w:before="154" w:line="360" w:lineRule="auto"/>
              <w:ind w:right="173" w:rightChars="0"/>
              <w:rPr>
                <w:rFonts w:ascii="仿宋" w:hAnsi="仿宋" w:eastAsia="仿宋" w:cs="仿宋"/>
                <w:b/>
                <w:kern w:val="2"/>
                <w:sz w:val="24"/>
                <w:szCs w:val="24"/>
                <w:lang w:val="zh-CN" w:eastAsia="zh-CN" w:bidi="zh-CN"/>
              </w:rPr>
            </w:pPr>
            <w:r>
              <w:rPr>
                <w:b/>
                <w:sz w:val="24"/>
                <w:szCs w:val="24"/>
              </w:rPr>
              <w:t>售后服务(1</w:t>
            </w:r>
            <w:r>
              <w:rPr>
                <w:rFonts w:hint="eastAsia"/>
                <w:b/>
                <w:sz w:val="24"/>
                <w:szCs w:val="24"/>
                <w:lang w:val="en-US" w:eastAsia="zh-CN"/>
              </w:rPr>
              <w:t>0</w:t>
            </w:r>
            <w:r>
              <w:rPr>
                <w:b/>
                <w:sz w:val="24"/>
                <w:szCs w:val="24"/>
              </w:rPr>
              <w:t xml:space="preserve"> 分)</w:t>
            </w:r>
          </w:p>
        </w:tc>
        <w:tc>
          <w:tcPr>
            <w:tcW w:w="7292" w:type="dxa"/>
            <w:noWrap w:val="0"/>
            <w:vAlign w:val="top"/>
          </w:tcPr>
          <w:p>
            <w:pPr>
              <w:pStyle w:val="37"/>
              <w:numPr>
                <w:ilvl w:val="0"/>
                <w:numId w:val="0"/>
              </w:numPr>
              <w:tabs>
                <w:tab w:val="left" w:pos="713"/>
              </w:tabs>
              <w:spacing w:before="1" w:after="0" w:line="360" w:lineRule="auto"/>
              <w:ind w:left="106" w:leftChars="0" w:right="74" w:rightChars="0"/>
              <w:jc w:val="both"/>
              <w:rPr>
                <w:sz w:val="24"/>
                <w:szCs w:val="24"/>
              </w:rPr>
            </w:pPr>
            <w:r>
              <w:rPr>
                <w:b/>
                <w:spacing w:val="-2"/>
                <w:sz w:val="24"/>
                <w:szCs w:val="24"/>
              </w:rPr>
              <w:t>售后服务计划、措施及服务承诺</w:t>
            </w:r>
            <w:r>
              <w:rPr>
                <w:b/>
                <w:sz w:val="24"/>
                <w:szCs w:val="24"/>
              </w:rPr>
              <w:t>（10</w:t>
            </w:r>
            <w:r>
              <w:rPr>
                <w:b/>
                <w:spacing w:val="-28"/>
                <w:sz w:val="24"/>
                <w:szCs w:val="24"/>
              </w:rPr>
              <w:t xml:space="preserve"> 分</w:t>
            </w:r>
            <w:r>
              <w:rPr>
                <w:b/>
                <w:spacing w:val="-7"/>
                <w:sz w:val="24"/>
                <w:szCs w:val="24"/>
              </w:rPr>
              <w:t>）：</w:t>
            </w:r>
            <w:r>
              <w:rPr>
                <w:sz w:val="24"/>
                <w:szCs w:val="24"/>
              </w:rPr>
              <w:t>针对本项目提供</w:t>
            </w:r>
            <w:r>
              <w:rPr>
                <w:spacing w:val="-6"/>
                <w:sz w:val="24"/>
                <w:szCs w:val="24"/>
              </w:rPr>
              <w:t>详尽的验收方案、售后服务计划、措施、相关承诺，所述内容对磋</w:t>
            </w:r>
            <w:r>
              <w:rPr>
                <w:spacing w:val="-2"/>
                <w:sz w:val="24"/>
                <w:szCs w:val="24"/>
              </w:rPr>
              <w:t xml:space="preserve">商文件要求响应优秀的得 </w:t>
            </w:r>
            <w:r>
              <w:rPr>
                <w:sz w:val="24"/>
                <w:szCs w:val="24"/>
              </w:rPr>
              <w:t>10</w:t>
            </w:r>
            <w:r>
              <w:rPr>
                <w:spacing w:val="-12"/>
                <w:sz w:val="24"/>
                <w:szCs w:val="24"/>
              </w:rPr>
              <w:t xml:space="preserve"> 分，良好的得 </w:t>
            </w:r>
            <w:r>
              <w:rPr>
                <w:sz w:val="24"/>
                <w:szCs w:val="24"/>
              </w:rPr>
              <w:t>6</w:t>
            </w:r>
            <w:r>
              <w:rPr>
                <w:spacing w:val="-13"/>
                <w:sz w:val="24"/>
                <w:szCs w:val="24"/>
              </w:rPr>
              <w:t xml:space="preserve"> 分，一般的得 </w:t>
            </w:r>
            <w:r>
              <w:rPr>
                <w:sz w:val="24"/>
                <w:szCs w:val="24"/>
              </w:rPr>
              <w:t>4</w:t>
            </w:r>
            <w:r>
              <w:rPr>
                <w:spacing w:val="-16"/>
                <w:sz w:val="24"/>
                <w:szCs w:val="24"/>
              </w:rPr>
              <w:t xml:space="preserve"> 分,</w:t>
            </w:r>
          </w:p>
          <w:p>
            <w:pPr>
              <w:pStyle w:val="37"/>
              <w:spacing w:before="1" w:line="360" w:lineRule="auto"/>
              <w:ind w:left="106" w:leftChars="0"/>
              <w:rPr>
                <w:rFonts w:ascii="仿宋" w:hAnsi="仿宋" w:eastAsia="仿宋" w:cs="仿宋"/>
                <w:kern w:val="2"/>
                <w:sz w:val="24"/>
                <w:szCs w:val="24"/>
                <w:lang w:val="zh-CN" w:eastAsia="zh-CN" w:bidi="zh-CN"/>
              </w:rPr>
            </w:pPr>
            <w:r>
              <w:rPr>
                <w:sz w:val="24"/>
                <w:szCs w:val="24"/>
              </w:rPr>
              <w:t>未提供不得分。</w:t>
            </w:r>
          </w:p>
        </w:tc>
      </w:tr>
    </w:tbl>
    <w:p>
      <w:pPr>
        <w:rPr>
          <w:rFonts w:hint="eastAsia" w:ascii="仿宋" w:hAnsi="仿宋" w:eastAsia="仿宋" w:cs="仿宋"/>
          <w:color w:val="auto"/>
          <w:highlight w:val="none"/>
          <w:shd w:val="clear" w:color="auto" w:fill="FFFFFF"/>
          <w:lang w:val="en-US" w:eastAsia="zh-CN"/>
        </w:rPr>
      </w:pP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包十八、包二十四、包二十五、包二十六评标办法</w:t>
      </w:r>
    </w:p>
    <w:tbl>
      <w:tblPr>
        <w:tblStyle w:val="22"/>
        <w:tblW w:w="8952" w:type="dxa"/>
        <w:jc w:val="center"/>
        <w:tblLayout w:type="fixed"/>
        <w:tblCellMar>
          <w:top w:w="0" w:type="dxa"/>
          <w:left w:w="108" w:type="dxa"/>
          <w:bottom w:w="0" w:type="dxa"/>
          <w:right w:w="108" w:type="dxa"/>
        </w:tblCellMar>
      </w:tblPr>
      <w:tblGrid>
        <w:gridCol w:w="777"/>
        <w:gridCol w:w="1139"/>
        <w:gridCol w:w="1363"/>
        <w:gridCol w:w="5673"/>
      </w:tblGrid>
      <w:tr>
        <w:tblPrEx>
          <w:tblCellMar>
            <w:top w:w="0" w:type="dxa"/>
            <w:left w:w="108" w:type="dxa"/>
            <w:bottom w:w="0" w:type="dxa"/>
            <w:right w:w="108" w:type="dxa"/>
          </w:tblCellMar>
        </w:tblPrEx>
        <w:trPr>
          <w:trHeight w:val="415" w:hRule="atLeast"/>
          <w:jc w:val="center"/>
        </w:trPr>
        <w:tc>
          <w:tcPr>
            <w:tcW w:w="777"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序号</w:t>
            </w:r>
          </w:p>
        </w:tc>
        <w:tc>
          <w:tcPr>
            <w:tcW w:w="1139"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val="zh-CN"/>
              </w:rPr>
              <w:t>评审</w:t>
            </w:r>
            <w:r>
              <w:rPr>
                <w:rFonts w:hint="eastAsia" w:ascii="仿宋" w:hAnsi="仿宋" w:eastAsia="仿宋" w:cs="仿宋"/>
                <w:b/>
                <w:color w:val="000000"/>
                <w:sz w:val="24"/>
                <w:szCs w:val="24"/>
              </w:rPr>
              <w:t>类别</w:t>
            </w:r>
          </w:p>
        </w:tc>
        <w:tc>
          <w:tcPr>
            <w:tcW w:w="1363" w:type="dxa"/>
            <w:tcBorders>
              <w:top w:val="single" w:color="000000" w:sz="6" w:space="0"/>
              <w:left w:val="single" w:color="000000" w:sz="6" w:space="0"/>
              <w:bottom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t>评审因素</w:t>
            </w:r>
          </w:p>
        </w:tc>
        <w:tc>
          <w:tcPr>
            <w:tcW w:w="5673" w:type="dxa"/>
            <w:tcBorders>
              <w:top w:val="single" w:color="000000" w:sz="6" w:space="0"/>
              <w:left w:val="single" w:color="auto" w:sz="4" w:space="0"/>
              <w:bottom w:val="single" w:color="000000" w:sz="6" w:space="0"/>
              <w:right w:val="single" w:color="000000" w:sz="6" w:space="0"/>
            </w:tcBorders>
            <w:noWrap w:val="0"/>
            <w:vAlign w:val="center"/>
          </w:tcPr>
          <w:p>
            <w:pPr>
              <w:pStyle w:val="20"/>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color w:val="000000"/>
                <w:sz w:val="24"/>
                <w:szCs w:val="24"/>
                <w:lang w:val="zh-CN"/>
              </w:rPr>
            </w:pPr>
            <w:r>
              <w:rPr>
                <w:rFonts w:hint="eastAsia" w:ascii="仿宋" w:hAnsi="仿宋" w:eastAsia="仿宋" w:cs="仿宋"/>
                <w:b/>
                <w:color w:val="000000"/>
                <w:sz w:val="24"/>
                <w:szCs w:val="24"/>
              </w:rPr>
              <w:t>评审标准</w:t>
            </w:r>
          </w:p>
        </w:tc>
      </w:tr>
      <w:tr>
        <w:tblPrEx>
          <w:tblCellMar>
            <w:top w:w="0" w:type="dxa"/>
            <w:left w:w="108" w:type="dxa"/>
            <w:bottom w:w="0" w:type="dxa"/>
            <w:right w:w="108" w:type="dxa"/>
          </w:tblCellMar>
        </w:tblPrEx>
        <w:trPr>
          <w:trHeight w:val="90" w:hRule="atLeast"/>
          <w:jc w:val="center"/>
        </w:trPr>
        <w:tc>
          <w:tcPr>
            <w:tcW w:w="777"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p>
        </w:tc>
        <w:tc>
          <w:tcPr>
            <w:tcW w:w="1139"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投标报价</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shd w:val="clear" w:color="auto" w:fill="FFFFFF"/>
              </w:rPr>
              <w:t>(</w:t>
            </w:r>
            <w:r>
              <w:rPr>
                <w:rFonts w:hint="eastAsia" w:ascii="仿宋" w:hAnsi="仿宋" w:eastAsia="仿宋" w:cs="仿宋"/>
                <w:b/>
                <w:bCs/>
                <w:color w:val="000000"/>
                <w:sz w:val="24"/>
                <w:szCs w:val="24"/>
              </w:rPr>
              <w:t>30分</w:t>
            </w:r>
            <w:r>
              <w:rPr>
                <w:rFonts w:hint="eastAsia" w:ascii="仿宋" w:hAnsi="仿宋" w:eastAsia="仿宋" w:cs="仿宋"/>
                <w:b/>
                <w:bCs/>
                <w:color w:val="000000"/>
                <w:sz w:val="24"/>
                <w:szCs w:val="24"/>
                <w:shd w:val="clear" w:color="auto" w:fill="FFFFFF"/>
              </w:rPr>
              <w:t>)</w:t>
            </w:r>
          </w:p>
        </w:tc>
        <w:tc>
          <w:tcPr>
            <w:tcW w:w="1363" w:type="dxa"/>
            <w:tcBorders>
              <w:top w:val="single" w:color="000000" w:sz="6" w:space="0"/>
              <w:left w:val="single" w:color="000000" w:sz="6" w:space="0"/>
              <w:bottom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val="0"/>
                <w:color w:val="000000"/>
                <w:sz w:val="24"/>
                <w:szCs w:val="24"/>
                <w:shd w:val="clear" w:color="auto" w:fill="FFFFFF"/>
              </w:rPr>
            </w:pPr>
            <w:r>
              <w:rPr>
                <w:rFonts w:hint="eastAsia" w:ascii="仿宋" w:hAnsi="仿宋" w:eastAsia="仿宋" w:cs="仿宋"/>
                <w:b/>
                <w:bCs w:val="0"/>
                <w:color w:val="000000"/>
                <w:sz w:val="24"/>
                <w:szCs w:val="24"/>
                <w:shd w:val="clear" w:color="auto" w:fill="FFFFFF"/>
              </w:rPr>
              <w:t>投标报价</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Cs/>
                <w:color w:val="000000"/>
                <w:sz w:val="24"/>
                <w:szCs w:val="24"/>
                <w:shd w:val="clear" w:color="auto" w:fill="FFFFFF"/>
              </w:rPr>
            </w:pPr>
            <w:r>
              <w:rPr>
                <w:rFonts w:hint="eastAsia" w:ascii="仿宋" w:hAnsi="仿宋" w:eastAsia="仿宋" w:cs="仿宋"/>
                <w:b/>
                <w:bCs w:val="0"/>
                <w:color w:val="000000"/>
                <w:sz w:val="24"/>
                <w:szCs w:val="24"/>
                <w:shd w:val="clear" w:color="auto" w:fill="FFFFFF"/>
              </w:rPr>
              <w:t>（30分）</w:t>
            </w:r>
          </w:p>
        </w:tc>
        <w:tc>
          <w:tcPr>
            <w:tcW w:w="5673" w:type="dxa"/>
            <w:tcBorders>
              <w:top w:val="single" w:color="000000" w:sz="6" w:space="0"/>
              <w:left w:val="single" w:color="auto" w:sz="4" w:space="0"/>
              <w:bottom w:val="single" w:color="000000" w:sz="6" w:space="0"/>
              <w:right w:val="single" w:color="000000" w:sz="6" w:space="0"/>
            </w:tcBorders>
            <w:noWrap w:val="0"/>
            <w:vAlign w:val="center"/>
          </w:tcPr>
          <w:p>
            <w:pPr>
              <w:pStyle w:val="20"/>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价格分应当采用低价优先法计算，即满足招标文件要求且投标价格最低的投标报价为评标基准价，其价格分为满分。其他投标人的价格分统一按照下列公式计算：投标报价得分=(评标基准价／投标报价)×100×投标报价比重（30%）</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2）因落实政府采购政策进行价格调整的，小型和微型企业产品、残疾人福利性单位或监狱企业的价格给予6％的扣除，用扣除后的价格参与评审，残疾人福利性单位属于小型、微型企业或监狱企业的，不重复享受政策。</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（3）执行国家统一定价标准和采用固定价格采购的项目，其价格不列为评审因素。</w:t>
            </w:r>
          </w:p>
        </w:tc>
      </w:tr>
      <w:tr>
        <w:tblPrEx>
          <w:tblCellMar>
            <w:top w:w="0" w:type="dxa"/>
            <w:left w:w="108" w:type="dxa"/>
            <w:bottom w:w="0" w:type="dxa"/>
            <w:right w:w="108" w:type="dxa"/>
          </w:tblCellMar>
        </w:tblPrEx>
        <w:trPr>
          <w:trHeight w:val="1309" w:hRule="atLeast"/>
          <w:jc w:val="center"/>
        </w:trPr>
        <w:tc>
          <w:tcPr>
            <w:tcW w:w="777" w:type="dxa"/>
            <w:vMerge w:val="restart"/>
            <w:tcBorders>
              <w:top w:val="single" w:color="000000" w:sz="6" w:space="0"/>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w:t>
            </w:r>
          </w:p>
        </w:tc>
        <w:tc>
          <w:tcPr>
            <w:tcW w:w="1139" w:type="dxa"/>
            <w:vMerge w:val="restart"/>
            <w:tcBorders>
              <w:top w:val="single" w:color="000000" w:sz="6" w:space="0"/>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技术水平</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r>
              <w:rPr>
                <w:rFonts w:hint="eastAsia" w:ascii="仿宋" w:hAnsi="仿宋" w:eastAsia="仿宋" w:cs="仿宋"/>
                <w:b/>
                <w:bCs/>
                <w:sz w:val="24"/>
                <w:szCs w:val="24"/>
                <w:lang w:val="zh-CN"/>
              </w:rPr>
              <w:t>（</w:t>
            </w:r>
            <w:r>
              <w:rPr>
                <w:rFonts w:hint="eastAsia" w:ascii="仿宋" w:hAnsi="仿宋" w:eastAsia="仿宋" w:cs="仿宋"/>
                <w:b/>
                <w:bCs/>
                <w:sz w:val="24"/>
                <w:szCs w:val="24"/>
              </w:rPr>
              <w:t>62分</w:t>
            </w:r>
            <w:r>
              <w:rPr>
                <w:rFonts w:hint="eastAsia" w:ascii="仿宋" w:hAnsi="仿宋" w:eastAsia="仿宋" w:cs="仿宋"/>
                <w:b/>
                <w:bCs/>
                <w:sz w:val="24"/>
                <w:szCs w:val="24"/>
                <w:lang w:val="zh-CN"/>
              </w:rPr>
              <w:t>）</w:t>
            </w:r>
          </w:p>
        </w:tc>
        <w:tc>
          <w:tcPr>
            <w:tcW w:w="1363" w:type="dxa"/>
            <w:tcBorders>
              <w:top w:val="single" w:color="000000" w:sz="6" w:space="0"/>
              <w:left w:val="single" w:color="000000" w:sz="6" w:space="0"/>
              <w:bottom w:val="single" w:color="auto" w:sz="4"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技术参数</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（20分）</w:t>
            </w:r>
          </w:p>
        </w:tc>
        <w:tc>
          <w:tcPr>
            <w:tcW w:w="5673" w:type="dxa"/>
            <w:tcBorders>
              <w:top w:val="single" w:color="000000" w:sz="6"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shd w:val="clear" w:color="auto" w:fill="FFFFFF"/>
                <w:lang w:val="zh-CN" w:bidi="ar"/>
              </w:rPr>
              <w:t>投标产品技术参数和配置完全满足或高于招标文件要求的得20分；每有一项负偏离扣2分，超过</w:t>
            </w:r>
            <w:r>
              <w:rPr>
                <w:rFonts w:hint="eastAsia" w:ascii="仿宋" w:hAnsi="仿宋" w:eastAsia="仿宋" w:cs="仿宋"/>
                <w:color w:val="000000"/>
                <w:sz w:val="24"/>
                <w:szCs w:val="24"/>
                <w:shd w:val="clear" w:color="auto" w:fill="FFFFFF"/>
                <w:lang w:val="en-US" w:eastAsia="zh-CN" w:bidi="ar"/>
              </w:rPr>
              <w:t>10</w:t>
            </w:r>
            <w:r>
              <w:rPr>
                <w:rFonts w:hint="eastAsia" w:ascii="仿宋" w:hAnsi="仿宋" w:eastAsia="仿宋" w:cs="仿宋"/>
                <w:color w:val="000000"/>
                <w:sz w:val="24"/>
                <w:szCs w:val="24"/>
                <w:shd w:val="clear" w:color="auto" w:fill="FFFFFF"/>
                <w:lang w:val="zh-CN" w:bidi="ar"/>
              </w:rPr>
              <w:t>项及以上的该项按0分处理。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FFFFFF"/>
                <w:lang w:val="zh-CN"/>
              </w:rPr>
            </w:pPr>
            <w:r>
              <w:rPr>
                <w:rFonts w:hint="eastAsia" w:ascii="仿宋" w:hAnsi="仿宋" w:eastAsia="仿宋" w:cs="仿宋"/>
                <w:b/>
                <w:bCs/>
                <w:color w:val="000000"/>
                <w:sz w:val="24"/>
                <w:szCs w:val="24"/>
                <w:shd w:val="clear" w:color="auto" w:fill="FFFFFF"/>
                <w:lang w:val="zh-CN"/>
              </w:rPr>
              <w:t>节能和环保</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lang w:val="zh-CN"/>
              </w:rPr>
              <w:t>（2分）</w:t>
            </w:r>
          </w:p>
        </w:tc>
        <w:tc>
          <w:tcPr>
            <w:tcW w:w="5673" w:type="dxa"/>
            <w:tcBorders>
              <w:top w:val="single" w:color="auto" w:sz="4"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zh-CN" w:bidi="ar"/>
              </w:rPr>
            </w:pPr>
            <w:r>
              <w:rPr>
                <w:rFonts w:hint="eastAsia" w:ascii="仿宋" w:hAnsi="仿宋" w:eastAsia="仿宋" w:cs="仿宋"/>
                <w:color w:val="000000"/>
                <w:sz w:val="24"/>
                <w:szCs w:val="24"/>
                <w:shd w:val="clear" w:color="auto" w:fill="FFFFFF"/>
                <w:lang w:val="zh-CN" w:bidi="ar"/>
              </w:rPr>
              <w:t>所投产品为节能产品，每提供1份得</w:t>
            </w:r>
            <w:r>
              <w:rPr>
                <w:rFonts w:hint="eastAsia" w:ascii="仿宋" w:hAnsi="仿宋" w:eastAsia="仿宋" w:cs="仿宋"/>
                <w:color w:val="000000"/>
                <w:sz w:val="24"/>
                <w:szCs w:val="24"/>
                <w:shd w:val="clear" w:color="auto" w:fill="FFFFFF"/>
                <w:lang w:bidi="ar"/>
              </w:rPr>
              <w:t>1</w:t>
            </w:r>
            <w:r>
              <w:rPr>
                <w:rFonts w:hint="eastAsia" w:ascii="仿宋" w:hAnsi="仿宋" w:eastAsia="仿宋" w:cs="仿宋"/>
                <w:color w:val="000000"/>
                <w:sz w:val="24"/>
                <w:szCs w:val="24"/>
                <w:shd w:val="clear" w:color="auto" w:fill="FFFFFF"/>
                <w:lang w:val="zh-CN" w:bidi="ar"/>
              </w:rPr>
              <w:t>分，满分</w:t>
            </w:r>
            <w:r>
              <w:rPr>
                <w:rFonts w:hint="eastAsia" w:ascii="仿宋" w:hAnsi="仿宋" w:eastAsia="仿宋" w:cs="仿宋"/>
                <w:color w:val="000000"/>
                <w:sz w:val="24"/>
                <w:szCs w:val="24"/>
                <w:shd w:val="clear" w:color="auto" w:fill="FFFFFF"/>
                <w:lang w:bidi="ar"/>
              </w:rPr>
              <w:t>1分；</w:t>
            </w:r>
            <w:r>
              <w:rPr>
                <w:rFonts w:hint="eastAsia" w:ascii="仿宋" w:hAnsi="仿宋" w:eastAsia="仿宋" w:cs="仿宋"/>
                <w:color w:val="000000"/>
                <w:sz w:val="24"/>
                <w:szCs w:val="24"/>
                <w:shd w:val="clear" w:color="auto" w:fill="FFFFFF"/>
                <w:lang w:val="zh-CN" w:bidi="ar"/>
              </w:rPr>
              <w:t>所投产品为</w:t>
            </w:r>
            <w:r>
              <w:rPr>
                <w:rFonts w:hint="eastAsia" w:ascii="仿宋" w:hAnsi="仿宋" w:eastAsia="仿宋" w:cs="仿宋"/>
                <w:color w:val="000000"/>
                <w:sz w:val="24"/>
                <w:szCs w:val="24"/>
                <w:shd w:val="clear" w:color="auto" w:fill="FFFFFF"/>
                <w:lang w:bidi="ar"/>
              </w:rPr>
              <w:t>环保</w:t>
            </w:r>
            <w:r>
              <w:rPr>
                <w:rFonts w:hint="eastAsia" w:ascii="仿宋" w:hAnsi="仿宋" w:eastAsia="仿宋" w:cs="仿宋"/>
                <w:color w:val="000000"/>
                <w:sz w:val="24"/>
                <w:szCs w:val="24"/>
                <w:shd w:val="clear" w:color="auto" w:fill="FFFFFF"/>
                <w:lang w:val="zh-CN" w:bidi="ar"/>
              </w:rPr>
              <w:t>产品，每提供1份得</w:t>
            </w:r>
            <w:r>
              <w:rPr>
                <w:rFonts w:hint="eastAsia" w:ascii="仿宋" w:hAnsi="仿宋" w:eastAsia="仿宋" w:cs="仿宋"/>
                <w:color w:val="000000"/>
                <w:sz w:val="24"/>
                <w:szCs w:val="24"/>
                <w:shd w:val="clear" w:color="auto" w:fill="FFFFFF"/>
                <w:lang w:bidi="ar"/>
              </w:rPr>
              <w:t>1</w:t>
            </w:r>
            <w:r>
              <w:rPr>
                <w:rFonts w:hint="eastAsia" w:ascii="仿宋" w:hAnsi="仿宋" w:eastAsia="仿宋" w:cs="仿宋"/>
                <w:color w:val="000000"/>
                <w:sz w:val="24"/>
                <w:szCs w:val="24"/>
                <w:shd w:val="clear" w:color="auto" w:fill="FFFFFF"/>
                <w:lang w:val="zh-CN" w:bidi="ar"/>
              </w:rPr>
              <w:t>分，满分</w:t>
            </w:r>
            <w:r>
              <w:rPr>
                <w:rFonts w:hint="eastAsia" w:ascii="仿宋" w:hAnsi="仿宋" w:eastAsia="仿宋" w:cs="仿宋"/>
                <w:color w:val="000000"/>
                <w:sz w:val="24"/>
                <w:szCs w:val="24"/>
                <w:shd w:val="clear" w:color="auto" w:fill="FFFFFF"/>
                <w:lang w:bidi="ar"/>
              </w:rPr>
              <w:t>1</w:t>
            </w:r>
            <w:r>
              <w:rPr>
                <w:rFonts w:hint="eastAsia" w:ascii="仿宋" w:hAnsi="仿宋" w:eastAsia="仿宋" w:cs="仿宋"/>
                <w:color w:val="000000"/>
                <w:sz w:val="24"/>
                <w:szCs w:val="24"/>
                <w:shd w:val="clear" w:color="auto" w:fill="FFFFFF"/>
                <w:lang w:val="zh-CN" w:bidi="ar"/>
              </w:rPr>
              <w:t>分；未提供不得分。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zh-CN"/>
              </w:rPr>
            </w:pPr>
            <w:r>
              <w:rPr>
                <w:rFonts w:hint="eastAsia" w:ascii="仿宋" w:hAnsi="仿宋" w:eastAsia="仿宋" w:cs="仿宋"/>
                <w:color w:val="000000"/>
                <w:sz w:val="24"/>
                <w:szCs w:val="24"/>
                <w:shd w:val="clear" w:color="auto" w:fill="FFFFFF"/>
                <w:lang w:val="zh-CN" w:bidi="ar"/>
              </w:rPr>
              <w:t>该项得分的认定以《国家节能产品认证证书》、《中国环境标志产品认证证书》</w:t>
            </w:r>
            <w:r>
              <w:rPr>
                <w:rFonts w:hint="eastAsia" w:ascii="仿宋" w:hAnsi="仿宋" w:eastAsia="仿宋" w:cs="仿宋"/>
                <w:color w:val="000000"/>
                <w:sz w:val="24"/>
                <w:szCs w:val="24"/>
                <w:shd w:val="clear" w:color="auto" w:fill="FFFFFF"/>
                <w:lang w:bidi="ar"/>
              </w:rPr>
              <w:t>复印件</w:t>
            </w:r>
            <w:r>
              <w:rPr>
                <w:rFonts w:hint="eastAsia" w:ascii="仿宋" w:hAnsi="仿宋" w:eastAsia="仿宋" w:cs="仿宋"/>
                <w:color w:val="000000"/>
                <w:sz w:val="24"/>
                <w:szCs w:val="24"/>
                <w:shd w:val="clear" w:color="auto" w:fill="FFFFFF"/>
                <w:lang w:val="zh-CN" w:bidi="ar"/>
              </w:rPr>
              <w:t>为准。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000000"/>
                <w:sz w:val="24"/>
                <w:szCs w:val="24"/>
                <w:shd w:val="clear" w:color="auto" w:fill="FFFFFF"/>
                <w:lang w:val="zh-CN"/>
              </w:rPr>
            </w:pPr>
            <w:r>
              <w:rPr>
                <w:rFonts w:hint="eastAsia" w:ascii="仿宋" w:hAnsi="仿宋" w:eastAsia="仿宋" w:cs="仿宋"/>
                <w:b/>
                <w:bCs/>
                <w:color w:val="000000"/>
                <w:sz w:val="24"/>
                <w:szCs w:val="24"/>
                <w:shd w:val="clear" w:color="auto" w:fill="FFFFFF"/>
                <w:lang w:val="en-US" w:eastAsia="zh-CN" w:bidi="ar"/>
              </w:rPr>
              <w:t>进度计划及安排</w:t>
            </w:r>
            <w:r>
              <w:rPr>
                <w:rFonts w:hint="eastAsia" w:ascii="仿宋" w:hAnsi="仿宋" w:eastAsia="仿宋" w:cs="仿宋"/>
                <w:b/>
                <w:bCs/>
                <w:color w:val="000000"/>
                <w:sz w:val="24"/>
                <w:szCs w:val="24"/>
                <w:shd w:val="clear" w:color="auto" w:fill="FFFFFF"/>
                <w:lang w:bidi="ar"/>
              </w:rPr>
              <w:t>（</w:t>
            </w:r>
            <w:r>
              <w:rPr>
                <w:rFonts w:hint="eastAsia" w:ascii="仿宋" w:hAnsi="仿宋" w:eastAsia="仿宋" w:cs="仿宋"/>
                <w:b/>
                <w:bCs/>
                <w:color w:val="000000"/>
                <w:sz w:val="24"/>
                <w:szCs w:val="24"/>
                <w:shd w:val="clear" w:color="auto" w:fill="FFFFFF"/>
                <w:lang w:val="en-US" w:eastAsia="zh-CN" w:bidi="ar"/>
              </w:rPr>
              <w:t>6</w:t>
            </w:r>
            <w:r>
              <w:rPr>
                <w:rFonts w:hint="eastAsia" w:ascii="仿宋" w:hAnsi="仿宋" w:eastAsia="仿宋" w:cs="仿宋"/>
                <w:b/>
                <w:bCs/>
                <w:color w:val="000000"/>
                <w:sz w:val="24"/>
                <w:szCs w:val="24"/>
                <w:shd w:val="clear" w:color="auto" w:fill="FFFFFF"/>
                <w:lang w:bidi="ar"/>
              </w:rPr>
              <w:t>分）</w:t>
            </w:r>
          </w:p>
        </w:tc>
        <w:tc>
          <w:tcPr>
            <w:tcW w:w="5673" w:type="dxa"/>
            <w:tcBorders>
              <w:top w:val="single" w:color="auto" w:sz="4" w:space="0"/>
              <w:left w:val="single" w:color="auto" w:sz="4" w:space="0"/>
              <w:bottom w:val="single" w:color="auto" w:sz="4"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color w:val="000000"/>
                <w:kern w:val="0"/>
                <w:sz w:val="24"/>
                <w:szCs w:val="24"/>
                <w:shd w:val="clear" w:color="auto" w:fill="FFFFFF"/>
                <w:lang w:eastAsia="zh-CN" w:bidi="ar"/>
              </w:rPr>
            </w:pPr>
            <w:r>
              <w:rPr>
                <w:rFonts w:hint="eastAsia" w:ascii="仿宋" w:hAnsi="仿宋" w:eastAsia="仿宋" w:cs="仿宋"/>
                <w:b/>
                <w:bCs/>
                <w:sz w:val="24"/>
                <w:szCs w:val="24"/>
                <w:lang w:val="en-US" w:eastAsia="zh-CN"/>
              </w:rPr>
              <w:t>针对项目采购内容及实际情况制定</w:t>
            </w:r>
            <w:r>
              <w:rPr>
                <w:rFonts w:hint="eastAsia" w:ascii="仿宋" w:hAnsi="仿宋" w:eastAsia="仿宋" w:cs="仿宋"/>
                <w:b/>
                <w:bCs/>
                <w:color w:val="000000"/>
                <w:sz w:val="24"/>
                <w:szCs w:val="24"/>
                <w:shd w:val="clear" w:color="auto" w:fill="FFFFFF"/>
                <w:lang w:val="en-US" w:eastAsia="zh-CN" w:bidi="ar"/>
              </w:rPr>
              <w:t>进度计划及安排，</w:t>
            </w:r>
            <w:r>
              <w:rPr>
                <w:rFonts w:hint="eastAsia" w:ascii="仿宋" w:hAnsi="仿宋" w:eastAsia="仿宋" w:cs="仿宋"/>
                <w:b/>
                <w:bCs/>
                <w:sz w:val="24"/>
                <w:szCs w:val="24"/>
              </w:rPr>
              <w:t>内容包括但不限于</w:t>
            </w:r>
            <w:r>
              <w:rPr>
                <w:rFonts w:hint="eastAsia" w:ascii="仿宋" w:hAnsi="仿宋" w:eastAsia="仿宋" w:cs="仿宋"/>
                <w:b/>
                <w:bCs/>
                <w:color w:val="000000"/>
                <w:kern w:val="0"/>
                <w:sz w:val="24"/>
                <w:szCs w:val="24"/>
                <w:shd w:val="clear" w:color="auto" w:fill="FFFFFF"/>
                <w:lang w:bidi="ar"/>
              </w:rPr>
              <w:t>进度</w:t>
            </w:r>
            <w:r>
              <w:rPr>
                <w:rFonts w:hint="eastAsia" w:ascii="仿宋" w:hAnsi="仿宋" w:eastAsia="仿宋" w:cs="仿宋"/>
                <w:b/>
                <w:bCs/>
                <w:color w:val="000000"/>
                <w:kern w:val="0"/>
                <w:sz w:val="24"/>
                <w:szCs w:val="24"/>
                <w:shd w:val="clear" w:color="auto" w:fill="FFFFFF"/>
                <w:lang w:val="en-US" w:eastAsia="zh-CN" w:bidi="ar"/>
              </w:rPr>
              <w:t>计划</w:t>
            </w:r>
            <w:r>
              <w:rPr>
                <w:rFonts w:hint="eastAsia" w:ascii="仿宋" w:hAnsi="仿宋" w:eastAsia="仿宋" w:cs="仿宋"/>
                <w:b/>
                <w:bCs/>
                <w:color w:val="000000"/>
                <w:kern w:val="0"/>
                <w:sz w:val="24"/>
                <w:szCs w:val="24"/>
                <w:shd w:val="clear" w:color="auto" w:fill="FFFFFF"/>
                <w:lang w:bidi="ar"/>
              </w:rPr>
              <w:t>安排、</w:t>
            </w:r>
            <w:r>
              <w:rPr>
                <w:rFonts w:hint="eastAsia" w:ascii="仿宋" w:hAnsi="仿宋" w:eastAsia="仿宋" w:cs="仿宋"/>
                <w:b/>
                <w:bCs/>
                <w:color w:val="000000"/>
                <w:kern w:val="0"/>
                <w:sz w:val="24"/>
                <w:szCs w:val="24"/>
                <w:shd w:val="clear" w:color="auto" w:fill="FFFFFF"/>
                <w:lang w:val="en-US" w:eastAsia="zh-CN" w:bidi="ar"/>
              </w:rPr>
              <w:t>进度保障措施</w:t>
            </w:r>
            <w:r>
              <w:rPr>
                <w:rFonts w:hint="eastAsia" w:ascii="仿宋" w:hAnsi="仿宋" w:eastAsia="仿宋" w:cs="仿宋"/>
                <w:b/>
                <w:bCs/>
                <w:color w:val="000000"/>
                <w:kern w:val="0"/>
                <w:sz w:val="24"/>
                <w:szCs w:val="24"/>
                <w:shd w:val="clear" w:color="auto" w:fill="FFFFFF"/>
                <w:lang w:bidi="ar"/>
              </w:rPr>
              <w:t>等</w:t>
            </w:r>
            <w:r>
              <w:rPr>
                <w:rFonts w:hint="eastAsia" w:ascii="仿宋" w:hAnsi="仿宋" w:eastAsia="仿宋" w:cs="仿宋"/>
                <w:b/>
                <w:bCs/>
                <w:color w:val="000000"/>
                <w:kern w:val="0"/>
                <w:sz w:val="24"/>
                <w:szCs w:val="24"/>
                <w:shd w:val="clear" w:color="auto" w:fill="FFFFFF"/>
                <w:lang w:eastAsia="zh-CN" w:bidi="ar"/>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内容完整、计划科学合理、措施得当、完全满足项目实施要求的得6分；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内容基本完整、基本能保证项目实施的得2分；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内容简单、计划措施单一，不能完全满足项目实施的得1分。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未提供的不得分。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shd w:val="clear" w:color="auto" w:fill="FFFFFF"/>
                <w:lang w:val="en-US" w:eastAsia="zh-CN"/>
              </w:rPr>
              <w:t>供货方案</w:t>
            </w: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bCs/>
                <w:color w:val="000000"/>
                <w:sz w:val="24"/>
                <w:szCs w:val="24"/>
                <w:shd w:val="clear" w:color="auto" w:fill="FFFFFF"/>
                <w:lang w:val="en-US" w:eastAsia="zh-CN" w:bidi="ar"/>
              </w:rPr>
            </w:pPr>
            <w:r>
              <w:rPr>
                <w:rFonts w:hint="eastAsia" w:ascii="仿宋" w:hAnsi="仿宋" w:eastAsia="仿宋" w:cs="仿宋"/>
                <w:b/>
                <w:bCs/>
                <w:color w:val="000000"/>
                <w:sz w:val="24"/>
                <w:szCs w:val="24"/>
                <w:shd w:val="clear" w:color="auto" w:fill="FFFFFF"/>
                <w:lang w:val="en-US" w:eastAsia="zh-CN" w:bidi="ar"/>
              </w:rPr>
              <w:t>供货方案（6分）</w:t>
            </w:r>
          </w:p>
        </w:tc>
        <w:tc>
          <w:tcPr>
            <w:tcW w:w="5673" w:type="dxa"/>
            <w:tcBorders>
              <w:top w:val="single" w:color="auto" w:sz="4"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color w:val="000000"/>
                <w:sz w:val="24"/>
                <w:szCs w:val="24"/>
                <w:shd w:val="clear" w:color="auto" w:fill="FFFFFF"/>
                <w:lang w:val="en-US" w:eastAsia="zh-CN" w:bidi="ar"/>
              </w:rPr>
            </w:pPr>
            <w:r>
              <w:rPr>
                <w:rFonts w:hint="eastAsia" w:ascii="仿宋" w:hAnsi="仿宋" w:eastAsia="仿宋" w:cs="仿宋"/>
                <w:b/>
                <w:bCs/>
                <w:color w:val="000000"/>
                <w:sz w:val="24"/>
                <w:szCs w:val="24"/>
                <w:shd w:val="clear" w:color="auto" w:fill="FFFFFF"/>
                <w:lang w:val="en-US" w:eastAsia="zh-CN" w:bidi="ar"/>
              </w:rPr>
              <w:t>针对该项目制定供货方案，包括但不限于运输车辆配备、数量及质量保证措施等。</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方案完整、计划科学合理、措施得当、完全满足项目实施要求的得6分；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内容较完整、计划科学合理、措施较得当、能保证项目顺利实施的得4分；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内容基本完整、基本能保证项目实施的得2分；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内容简单、计划措施单一，不能完全满足项目实施的得1分。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未提供的不得分。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b/>
                <w:bCs/>
                <w:color w:val="auto"/>
                <w:sz w:val="24"/>
                <w:szCs w:val="24"/>
                <w:lang w:val="en-US" w:eastAsia="zh-CN"/>
              </w:rPr>
              <w:t>安装调试施工方案（6分）</w:t>
            </w:r>
          </w:p>
        </w:tc>
        <w:tc>
          <w:tcPr>
            <w:tcW w:w="5673" w:type="dxa"/>
            <w:tcBorders>
              <w:top w:val="single" w:color="auto" w:sz="4"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color w:val="000000"/>
                <w:sz w:val="24"/>
                <w:szCs w:val="24"/>
                <w:shd w:val="clear" w:color="auto" w:fill="FFFFFF"/>
                <w:lang w:val="en-US" w:eastAsia="zh-CN" w:bidi="ar"/>
              </w:rPr>
            </w:pPr>
            <w:r>
              <w:rPr>
                <w:rFonts w:hint="eastAsia" w:ascii="仿宋" w:hAnsi="仿宋" w:eastAsia="仿宋" w:cs="仿宋"/>
                <w:b/>
                <w:bCs/>
                <w:color w:val="000000"/>
                <w:sz w:val="24"/>
                <w:szCs w:val="24"/>
                <w:shd w:val="clear" w:color="auto" w:fill="FFFFFF"/>
                <w:lang w:val="en-US" w:eastAsia="zh-CN" w:bidi="ar"/>
              </w:rPr>
              <w:t>针对该项目制定安装调试施工方案。</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方案完整、计划科学合理、措施得当、完全满足项目实施要求的得6分；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内容较完整、计划科学合理、措施较得当、能保证项目顺利实施的得4分；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内容基本完整、基本能保证项目实施的得2分；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内容简单、计划措施单一，不能完全满足项目实施的得1分。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en-US" w:eastAsia="zh-CN" w:bidi="ar"/>
              </w:rPr>
            </w:pPr>
            <w:r>
              <w:rPr>
                <w:rFonts w:hint="eastAsia" w:ascii="仿宋" w:hAnsi="仿宋" w:eastAsia="仿宋" w:cs="仿宋"/>
                <w:color w:val="000000"/>
                <w:sz w:val="24"/>
                <w:szCs w:val="24"/>
                <w:shd w:val="clear" w:color="auto" w:fill="FFFFFF"/>
                <w:lang w:val="en-US" w:eastAsia="zh-CN" w:bidi="ar"/>
              </w:rPr>
              <w:t>未提供的不得分。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lang w:val="en-US" w:eastAsia="zh-CN"/>
              </w:rPr>
              <w:t>环境保护措施（4分）</w:t>
            </w:r>
          </w:p>
        </w:tc>
        <w:tc>
          <w:tcPr>
            <w:tcW w:w="5673" w:type="dxa"/>
            <w:tcBorders>
              <w:top w:val="single" w:color="auto" w:sz="4"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针对</w:t>
            </w:r>
            <w:r>
              <w:rPr>
                <w:rFonts w:hint="eastAsia" w:ascii="仿宋" w:hAnsi="仿宋" w:eastAsia="仿宋" w:cs="仿宋"/>
                <w:b/>
                <w:bCs/>
                <w:color w:val="auto"/>
                <w:sz w:val="24"/>
                <w:szCs w:val="24"/>
                <w:lang w:val="en-US" w:eastAsia="zh-CN"/>
              </w:rPr>
              <w:t>该</w:t>
            </w:r>
            <w:r>
              <w:rPr>
                <w:rFonts w:hint="eastAsia" w:ascii="仿宋" w:hAnsi="仿宋" w:eastAsia="仿宋" w:cs="仿宋"/>
                <w:b/>
                <w:bCs/>
                <w:color w:val="auto"/>
                <w:sz w:val="24"/>
                <w:szCs w:val="24"/>
              </w:rPr>
              <w:t>项目</w:t>
            </w:r>
            <w:r>
              <w:rPr>
                <w:rFonts w:hint="eastAsia" w:ascii="仿宋" w:hAnsi="仿宋" w:eastAsia="仿宋" w:cs="仿宋"/>
                <w:b/>
                <w:bCs/>
                <w:color w:val="auto"/>
                <w:sz w:val="24"/>
                <w:szCs w:val="24"/>
                <w:lang w:val="en-US" w:eastAsia="zh-CN"/>
              </w:rPr>
              <w:t>制定</w:t>
            </w:r>
            <w:r>
              <w:rPr>
                <w:rFonts w:hint="eastAsia" w:ascii="仿宋" w:hAnsi="仿宋" w:eastAsia="仿宋" w:cs="仿宋"/>
                <w:b/>
                <w:bCs/>
                <w:color w:val="auto"/>
                <w:sz w:val="24"/>
                <w:szCs w:val="24"/>
              </w:rPr>
              <w:t>施工期间</w:t>
            </w:r>
            <w:r>
              <w:rPr>
                <w:rFonts w:hint="eastAsia" w:ascii="仿宋" w:hAnsi="仿宋" w:eastAsia="仿宋" w:cs="仿宋"/>
                <w:b/>
                <w:bCs/>
                <w:color w:val="auto"/>
                <w:sz w:val="24"/>
                <w:szCs w:val="24"/>
                <w:lang w:val="en-US" w:eastAsia="zh-CN"/>
              </w:rPr>
              <w:t>的</w:t>
            </w:r>
            <w:r>
              <w:rPr>
                <w:rFonts w:hint="eastAsia" w:ascii="仿宋" w:hAnsi="仿宋" w:eastAsia="仿宋" w:cs="仿宋"/>
                <w:b/>
                <w:bCs/>
                <w:color w:val="auto"/>
                <w:sz w:val="24"/>
                <w:szCs w:val="24"/>
              </w:rPr>
              <w:t>环境保护措施</w:t>
            </w:r>
            <w:r>
              <w:rPr>
                <w:rFonts w:hint="eastAsia" w:ascii="仿宋" w:hAnsi="仿宋" w:eastAsia="仿宋" w:cs="仿宋"/>
                <w:b/>
                <w:bCs/>
                <w:color w:val="auto"/>
                <w:sz w:val="24"/>
                <w:szCs w:val="24"/>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内容完善、切合实际、措施得当、针对性强的得4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内容较完整、切合实际、有针对性的得2分；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有部分实质性内容，但不具体的得1分；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zh-CN" w:eastAsia="zh-CN" w:bidi="ar"/>
              </w:rPr>
            </w:pPr>
            <w:r>
              <w:rPr>
                <w:rFonts w:hint="eastAsia" w:ascii="仿宋" w:hAnsi="仿宋" w:eastAsia="仿宋" w:cs="仿宋"/>
                <w:color w:val="000000"/>
                <w:sz w:val="24"/>
                <w:szCs w:val="24"/>
                <w:shd w:val="clear" w:color="auto" w:fill="FFFFFF"/>
                <w:lang w:val="en-US" w:eastAsia="zh-CN" w:bidi="ar"/>
              </w:rPr>
              <w:t>未提供的不得分。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项目管理机构及人员配备（6分）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sz w:val="24"/>
                <w:szCs w:val="24"/>
                <w:highlight w:val="none"/>
                <w:lang w:val="en-US" w:eastAsia="zh-CN"/>
              </w:rPr>
            </w:pPr>
          </w:p>
        </w:tc>
        <w:tc>
          <w:tcPr>
            <w:tcW w:w="5673" w:type="dxa"/>
            <w:tcBorders>
              <w:top w:val="single" w:color="auto" w:sz="4"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投标人须</w:t>
            </w:r>
            <w:r>
              <w:rPr>
                <w:rFonts w:hint="eastAsia" w:ascii="仿宋" w:hAnsi="仿宋" w:eastAsia="仿宋" w:cs="仿宋"/>
                <w:b/>
                <w:bCs/>
                <w:sz w:val="24"/>
                <w:szCs w:val="24"/>
                <w:lang w:val="en-US" w:eastAsia="zh-CN"/>
              </w:rPr>
              <w:t>提供</w:t>
            </w:r>
            <w:r>
              <w:rPr>
                <w:rFonts w:hint="eastAsia" w:ascii="仿宋" w:hAnsi="仿宋" w:eastAsia="仿宋" w:cs="仿宋"/>
                <w:b/>
                <w:bCs/>
                <w:color w:val="auto"/>
                <w:sz w:val="24"/>
                <w:szCs w:val="24"/>
                <w:highlight w:val="none"/>
                <w:lang w:val="en-US" w:eastAsia="zh-CN"/>
              </w:rPr>
              <w:t>项目管理机构及人员配备</w:t>
            </w:r>
            <w:r>
              <w:rPr>
                <w:rFonts w:hint="eastAsia" w:ascii="仿宋" w:hAnsi="仿宋" w:eastAsia="仿宋" w:cs="仿宋"/>
                <w:b/>
                <w:bCs/>
                <w:sz w:val="24"/>
                <w:szCs w:val="24"/>
              </w:rPr>
              <w:t>情况</w:t>
            </w:r>
            <w:r>
              <w:rPr>
                <w:rFonts w:hint="eastAsia" w:ascii="仿宋" w:hAnsi="仿宋" w:eastAsia="仿宋" w:cs="仿宋"/>
                <w:b/>
                <w:bCs/>
                <w:sz w:val="24"/>
                <w:szCs w:val="24"/>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人员配备合理，人员分工明确，人员责任及服务范围清晰</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人员配备较合理，人员分工较明确，人员责任及服务范围较清晰</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人员配备不够合理，人员分工不明确，人员责任及服务范围不够清晰</w:t>
            </w:r>
            <w:r>
              <w:rPr>
                <w:rFonts w:hint="eastAsia" w:ascii="仿宋" w:hAnsi="仿宋" w:eastAsia="仿宋" w:cs="仿宋"/>
                <w:sz w:val="24"/>
                <w:szCs w:val="24"/>
                <w:lang w:val="en-US"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lang w:val="zh-CN"/>
              </w:rPr>
            </w:pPr>
            <w:r>
              <w:rPr>
                <w:rFonts w:hint="eastAsia" w:ascii="仿宋" w:hAnsi="仿宋" w:eastAsia="仿宋" w:cs="仿宋"/>
                <w:sz w:val="24"/>
                <w:szCs w:val="24"/>
              </w:rPr>
              <w:t>未设置项目管理机构及未提供人员分工、人员责任、服务范围不得分。</w:t>
            </w:r>
          </w:p>
        </w:tc>
      </w:tr>
      <w:tr>
        <w:tblPrEx>
          <w:tblCellMar>
            <w:top w:w="0" w:type="dxa"/>
            <w:left w:w="108" w:type="dxa"/>
            <w:bottom w:w="0" w:type="dxa"/>
            <w:right w:w="108" w:type="dxa"/>
          </w:tblCellMar>
        </w:tblPrEx>
        <w:trPr>
          <w:trHeight w:val="90"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FF"/>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机械及设备配备（6分）</w:t>
            </w:r>
          </w:p>
        </w:tc>
        <w:tc>
          <w:tcPr>
            <w:tcW w:w="5673" w:type="dxa"/>
            <w:tcBorders>
              <w:top w:val="single" w:color="auto" w:sz="4" w:space="0"/>
              <w:left w:val="single" w:color="auto" w:sz="4" w:space="0"/>
              <w:bottom w:val="single" w:color="auto" w:sz="4"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投标人</w:t>
            </w:r>
            <w:r>
              <w:rPr>
                <w:rFonts w:hint="eastAsia" w:ascii="仿宋" w:hAnsi="仿宋" w:eastAsia="仿宋" w:cs="仿宋"/>
                <w:b/>
                <w:bCs/>
                <w:sz w:val="24"/>
                <w:szCs w:val="24"/>
                <w:lang w:val="en-US" w:eastAsia="zh-CN"/>
              </w:rPr>
              <w:t>结合项目采购内容配备所需机械设备</w:t>
            </w:r>
            <w:r>
              <w:rPr>
                <w:rFonts w:hint="eastAsia" w:ascii="仿宋" w:hAnsi="仿宋" w:eastAsia="仿宋" w:cs="仿宋"/>
                <w:b/>
                <w:bCs/>
                <w:sz w:val="24"/>
                <w:szCs w:val="24"/>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所需机械配备合理，有详细、具体的机械管理措施，得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所需机械配备较合理，有较详细、较具体的机械管理措施，得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所需机械配备不够合理，有机械管理措施但不够详细、不够具体，得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未配备相关机械及未提供机械管理措施不得分。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z w:val="24"/>
                <w:szCs w:val="24"/>
                <w:lang w:val="zh-CN"/>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需</w:t>
            </w:r>
            <w:r>
              <w:rPr>
                <w:rFonts w:hint="eastAsia" w:ascii="仿宋" w:hAnsi="仿宋" w:eastAsia="仿宋" w:cs="仿宋"/>
                <w:b/>
                <w:bCs/>
                <w:sz w:val="24"/>
                <w:szCs w:val="24"/>
              </w:rPr>
              <w:t>提供相关机械设备的购置发票或租赁合同）</w:t>
            </w:r>
          </w:p>
        </w:tc>
      </w:tr>
      <w:tr>
        <w:tblPrEx>
          <w:tblCellMar>
            <w:top w:w="0" w:type="dxa"/>
            <w:left w:w="108" w:type="dxa"/>
            <w:bottom w:w="0" w:type="dxa"/>
            <w:right w:w="108" w:type="dxa"/>
          </w:tblCellMar>
        </w:tblPrEx>
        <w:trPr>
          <w:trHeight w:val="1349" w:hRule="atLeast"/>
          <w:jc w:val="center"/>
        </w:trPr>
        <w:tc>
          <w:tcPr>
            <w:tcW w:w="777"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p>
        </w:tc>
        <w:tc>
          <w:tcPr>
            <w:tcW w:w="1139" w:type="dxa"/>
            <w:vMerge w:val="continue"/>
            <w:tcBorders>
              <w:left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highlight w:val="yellow"/>
                <w:lang w:val="zh-CN"/>
              </w:rPr>
            </w:pPr>
          </w:p>
        </w:tc>
        <w:tc>
          <w:tcPr>
            <w:tcW w:w="1363" w:type="dxa"/>
            <w:tcBorders>
              <w:top w:val="single" w:color="auto" w:sz="4" w:space="0"/>
              <w:left w:val="single" w:color="000000" w:sz="6"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应急处理</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方案</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分）</w:t>
            </w:r>
          </w:p>
        </w:tc>
        <w:tc>
          <w:tcPr>
            <w:tcW w:w="5673" w:type="dxa"/>
            <w:tcBorders>
              <w:top w:val="single" w:color="auto" w:sz="4"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投标人根据采购需求</w:t>
            </w:r>
            <w:r>
              <w:rPr>
                <w:rFonts w:hint="eastAsia" w:ascii="仿宋" w:hAnsi="仿宋" w:eastAsia="仿宋" w:cs="仿宋"/>
                <w:b/>
                <w:bCs/>
                <w:sz w:val="24"/>
                <w:szCs w:val="24"/>
                <w:lang w:val="en-US" w:eastAsia="zh-CN"/>
              </w:rPr>
              <w:t>及</w:t>
            </w:r>
            <w:r>
              <w:rPr>
                <w:rFonts w:hint="eastAsia" w:ascii="仿宋" w:hAnsi="仿宋" w:eastAsia="仿宋" w:cs="仿宋"/>
                <w:b/>
                <w:bCs/>
                <w:sz w:val="24"/>
                <w:szCs w:val="24"/>
              </w:rPr>
              <w:t>项目实际情况，针对本项目提供应急处理方案，方案内容包括但不限于安全运输措施、安全保障措施、突发事件处理措施</w:t>
            </w:r>
            <w:r>
              <w:rPr>
                <w:rFonts w:hint="eastAsia" w:ascii="仿宋" w:hAnsi="仿宋" w:eastAsia="仿宋" w:cs="仿宋"/>
                <w:b/>
                <w:bCs/>
                <w:sz w:val="24"/>
                <w:szCs w:val="24"/>
                <w:lang w:eastAsia="zh-CN"/>
              </w:rPr>
              <w:t>、</w:t>
            </w:r>
            <w:r>
              <w:rPr>
                <w:rFonts w:hint="eastAsia" w:ascii="仿宋" w:hAnsi="仿宋" w:eastAsia="仿宋" w:cs="仿宋"/>
                <w:b/>
                <w:bCs/>
                <w:sz w:val="24"/>
                <w:szCs w:val="24"/>
              </w:rPr>
              <w:t>新冠肺炎预防措施等</w:t>
            </w:r>
            <w:r>
              <w:rPr>
                <w:rFonts w:hint="eastAsia" w:ascii="仿宋" w:hAnsi="仿宋" w:eastAsia="仿宋" w:cs="仿宋"/>
                <w:b/>
                <w:bCs/>
                <w:sz w:val="24"/>
                <w:szCs w:val="24"/>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方案完整、计划科学合理、措施得当、完全满足项目实施要求的得4分；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内容较完整、计划科学合理、措施较得当、能保证项目顺利实施的得2分；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内容基本完整、基本能保证项目实施的得1分；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内容简单、计划措施单一，不能完全满足项目实施的不得分</w:t>
            </w:r>
          </w:p>
        </w:tc>
      </w:tr>
      <w:tr>
        <w:tblPrEx>
          <w:tblCellMar>
            <w:top w:w="0" w:type="dxa"/>
            <w:left w:w="108" w:type="dxa"/>
            <w:bottom w:w="0" w:type="dxa"/>
            <w:right w:w="108" w:type="dxa"/>
          </w:tblCellMar>
        </w:tblPrEx>
        <w:trPr>
          <w:trHeight w:val="415" w:hRule="atLeast"/>
          <w:jc w:val="center"/>
        </w:trPr>
        <w:tc>
          <w:tcPr>
            <w:tcW w:w="777"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w:t>
            </w:r>
          </w:p>
        </w:tc>
        <w:tc>
          <w:tcPr>
            <w:tcW w:w="1139"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zh-CN"/>
              </w:rPr>
              <w:t>履约能力</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shd w:val="clear" w:color="auto" w:fill="FFFFFF"/>
              </w:rPr>
              <w:t>(</w:t>
            </w:r>
            <w:r>
              <w:rPr>
                <w:rFonts w:hint="eastAsia" w:ascii="仿宋" w:hAnsi="仿宋" w:eastAsia="仿宋" w:cs="仿宋"/>
                <w:b/>
                <w:bCs/>
                <w:color w:val="000000"/>
                <w:sz w:val="24"/>
                <w:szCs w:val="24"/>
                <w:lang w:val="en-US" w:eastAsia="zh-CN"/>
              </w:rPr>
              <w:t>10</w:t>
            </w:r>
            <w:r>
              <w:rPr>
                <w:rFonts w:hint="eastAsia" w:ascii="仿宋" w:hAnsi="仿宋" w:eastAsia="仿宋" w:cs="仿宋"/>
                <w:b/>
                <w:bCs/>
                <w:color w:val="000000"/>
                <w:sz w:val="24"/>
                <w:szCs w:val="24"/>
              </w:rPr>
              <w:t>分</w:t>
            </w:r>
            <w:r>
              <w:rPr>
                <w:rFonts w:hint="eastAsia" w:ascii="仿宋" w:hAnsi="仿宋" w:eastAsia="仿宋" w:cs="仿宋"/>
                <w:b/>
                <w:bCs/>
                <w:color w:val="000000"/>
                <w:sz w:val="24"/>
                <w:szCs w:val="24"/>
                <w:shd w:val="clear" w:color="auto" w:fill="FFFFFF"/>
              </w:rPr>
              <w:t>)</w:t>
            </w:r>
          </w:p>
        </w:tc>
        <w:tc>
          <w:tcPr>
            <w:tcW w:w="1363" w:type="dxa"/>
            <w:tcBorders>
              <w:top w:val="single" w:color="000000" w:sz="6" w:space="0"/>
              <w:left w:val="single" w:color="000000" w:sz="6" w:space="0"/>
              <w:bottom w:val="single" w:color="000000" w:sz="6" w:space="0"/>
              <w:right w:val="single" w:color="auto" w:sz="4"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zh-CN"/>
              </w:rPr>
            </w:pPr>
            <w:r>
              <w:rPr>
                <w:rFonts w:hint="eastAsia" w:ascii="仿宋" w:hAnsi="仿宋" w:eastAsia="仿宋" w:cs="仿宋"/>
                <w:b/>
                <w:bCs/>
                <w:color w:val="000000"/>
                <w:sz w:val="24"/>
                <w:szCs w:val="24"/>
                <w:shd w:val="clear" w:color="auto" w:fill="FFFFFF"/>
                <w:lang w:val="zh-CN"/>
              </w:rPr>
              <w:t>类似业绩情况（</w:t>
            </w:r>
            <w:r>
              <w:rPr>
                <w:rFonts w:hint="eastAsia" w:ascii="仿宋" w:hAnsi="仿宋" w:eastAsia="仿宋" w:cs="仿宋"/>
                <w:b/>
                <w:bCs/>
                <w:color w:val="000000"/>
                <w:sz w:val="24"/>
                <w:szCs w:val="24"/>
                <w:shd w:val="clear" w:color="auto" w:fill="FFFFFF"/>
                <w:lang w:val="en-US" w:eastAsia="zh-CN"/>
              </w:rPr>
              <w:t>10</w:t>
            </w:r>
            <w:r>
              <w:rPr>
                <w:rFonts w:hint="eastAsia" w:ascii="仿宋" w:hAnsi="仿宋" w:eastAsia="仿宋" w:cs="仿宋"/>
                <w:b/>
                <w:bCs/>
                <w:color w:val="000000"/>
                <w:sz w:val="24"/>
                <w:szCs w:val="24"/>
                <w:shd w:val="clear" w:color="auto" w:fill="FFFFFF"/>
                <w:lang w:val="zh-CN"/>
              </w:rPr>
              <w:t>分）</w:t>
            </w:r>
          </w:p>
        </w:tc>
        <w:tc>
          <w:tcPr>
            <w:tcW w:w="5673" w:type="dxa"/>
            <w:tcBorders>
              <w:top w:val="single" w:color="000000" w:sz="6" w:space="0"/>
              <w:left w:val="single" w:color="auto" w:sz="4" w:space="0"/>
              <w:bottom w:val="single" w:color="000000" w:sz="6" w:space="0"/>
              <w:right w:val="single" w:color="000000" w:sz="6" w:space="0"/>
            </w:tcBorders>
            <w:noWrap w:val="0"/>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color w:val="000000"/>
                <w:sz w:val="24"/>
                <w:szCs w:val="24"/>
                <w:shd w:val="clear" w:color="auto" w:fill="FFFFFF"/>
                <w:lang w:val="zh-CN"/>
              </w:rPr>
            </w:pPr>
            <w:r>
              <w:rPr>
                <w:rFonts w:hint="eastAsia" w:ascii="仿宋" w:hAnsi="仿宋" w:eastAsia="仿宋" w:cs="仿宋"/>
                <w:color w:val="000000"/>
                <w:sz w:val="24"/>
                <w:szCs w:val="24"/>
                <w:shd w:val="clear" w:color="auto" w:fill="FFFFFF"/>
              </w:rPr>
              <w:t>201</w:t>
            </w:r>
            <w:r>
              <w:rPr>
                <w:rFonts w:hint="eastAsia" w:ascii="仿宋" w:hAnsi="仿宋" w:eastAsia="仿宋" w:cs="仿宋"/>
                <w:color w:val="000000"/>
                <w:sz w:val="24"/>
                <w:szCs w:val="24"/>
                <w:shd w:val="clear" w:color="auto" w:fill="FFFFFF"/>
                <w:lang w:val="en-US" w:eastAsia="zh-CN"/>
              </w:rPr>
              <w:t>9</w:t>
            </w:r>
            <w:r>
              <w:rPr>
                <w:rFonts w:hint="eastAsia" w:ascii="仿宋" w:hAnsi="仿宋" w:eastAsia="仿宋" w:cs="仿宋"/>
                <w:color w:val="000000"/>
                <w:sz w:val="24"/>
                <w:szCs w:val="24"/>
                <w:shd w:val="clear" w:color="auto" w:fill="FFFFFF"/>
              </w:rPr>
              <w:t>年1月1日至今，</w:t>
            </w:r>
            <w:r>
              <w:rPr>
                <w:rFonts w:hint="eastAsia" w:ascii="仿宋" w:hAnsi="仿宋" w:eastAsia="仿宋" w:cs="仿宋"/>
                <w:color w:val="000000"/>
                <w:sz w:val="24"/>
                <w:szCs w:val="24"/>
                <w:shd w:val="clear" w:color="auto" w:fill="FFFFFF"/>
                <w:lang w:val="en-US" w:eastAsia="zh-CN"/>
              </w:rPr>
              <w:t>投标人</w:t>
            </w:r>
            <w:r>
              <w:rPr>
                <w:rFonts w:hint="eastAsia" w:ascii="仿宋" w:hAnsi="仿宋" w:eastAsia="仿宋" w:cs="仿宋"/>
                <w:color w:val="000000"/>
                <w:sz w:val="24"/>
                <w:szCs w:val="24"/>
                <w:shd w:val="clear" w:color="auto" w:fill="FFFFFF"/>
                <w:lang w:val="zh-CN"/>
              </w:rPr>
              <w:t>每提供1项类似业绩证明材料得</w:t>
            </w:r>
            <w:r>
              <w:rPr>
                <w:rFonts w:hint="eastAsia" w:ascii="仿宋" w:hAnsi="仿宋" w:eastAsia="仿宋" w:cs="仿宋"/>
                <w:color w:val="000000"/>
                <w:sz w:val="24"/>
                <w:szCs w:val="24"/>
                <w:shd w:val="clear" w:color="auto" w:fill="FFFFFF"/>
              </w:rPr>
              <w:t>2</w:t>
            </w:r>
            <w:r>
              <w:rPr>
                <w:rFonts w:hint="eastAsia" w:ascii="仿宋" w:hAnsi="仿宋" w:eastAsia="仿宋" w:cs="仿宋"/>
                <w:color w:val="000000"/>
                <w:sz w:val="24"/>
                <w:szCs w:val="24"/>
                <w:shd w:val="clear" w:color="auto" w:fill="FFFFFF"/>
                <w:lang w:val="en-US" w:eastAsia="zh-CN"/>
              </w:rPr>
              <w:t>.5</w:t>
            </w:r>
            <w:r>
              <w:rPr>
                <w:rFonts w:hint="eastAsia" w:ascii="仿宋" w:hAnsi="仿宋" w:eastAsia="仿宋" w:cs="仿宋"/>
                <w:color w:val="000000"/>
                <w:sz w:val="24"/>
                <w:szCs w:val="24"/>
                <w:shd w:val="clear" w:color="auto" w:fill="FFFFFF"/>
                <w:lang w:val="zh-CN"/>
              </w:rPr>
              <w:t>分,满分</w:t>
            </w:r>
            <w:r>
              <w:rPr>
                <w:rFonts w:hint="eastAsia" w:ascii="仿宋" w:hAnsi="仿宋" w:eastAsia="仿宋" w:cs="仿宋"/>
                <w:color w:val="000000"/>
                <w:sz w:val="24"/>
                <w:szCs w:val="24"/>
                <w:shd w:val="clear" w:color="auto" w:fill="FFFFFF"/>
                <w:lang w:val="en-US" w:eastAsia="zh-CN"/>
              </w:rPr>
              <w:t>10</w:t>
            </w:r>
            <w:r>
              <w:rPr>
                <w:rFonts w:hint="eastAsia" w:ascii="仿宋" w:hAnsi="仿宋" w:eastAsia="仿宋" w:cs="仿宋"/>
                <w:color w:val="000000"/>
                <w:sz w:val="24"/>
                <w:szCs w:val="24"/>
                <w:shd w:val="clear" w:color="auto" w:fill="FFFFFF"/>
                <w:lang w:val="zh-CN"/>
              </w:rPr>
              <w:t>分，不提供不得分。（以合同复印件为准）</w:t>
            </w:r>
          </w:p>
        </w:tc>
      </w:tr>
    </w:tbl>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p>
    <w:p>
      <w:pPr>
        <w:pStyle w:val="5"/>
        <w:jc w:val="center"/>
        <w:rPr>
          <w:rFonts w:hint="eastAsia" w:ascii="仿宋" w:hAnsi="仿宋" w:eastAsia="仿宋" w:cs="仿宋"/>
          <w:color w:val="auto"/>
          <w:highlight w:val="none"/>
          <w:shd w:val="clear" w:color="auto" w:fill="FFFFFF"/>
          <w:lang w:val="en-US" w:eastAsia="zh-CN"/>
        </w:rPr>
      </w:pPr>
      <w:r>
        <w:rPr>
          <w:rFonts w:hint="eastAsia" w:ascii="仿宋" w:hAnsi="仿宋" w:eastAsia="仿宋" w:cs="仿宋"/>
          <w:color w:val="auto"/>
          <w:highlight w:val="none"/>
          <w:shd w:val="clear" w:color="auto" w:fill="FFFFFF"/>
          <w:lang w:val="en-US" w:eastAsia="zh-CN"/>
        </w:rPr>
        <w:t>包十九、包二十、包二十一、包二十二、包二十三评标办法</w:t>
      </w:r>
    </w:p>
    <w:tbl>
      <w:tblPr>
        <w:tblStyle w:val="22"/>
        <w:tblW w:w="9045" w:type="dxa"/>
        <w:jc w:val="center"/>
        <w:tblLayout w:type="fixed"/>
        <w:tblCellMar>
          <w:top w:w="0" w:type="dxa"/>
          <w:left w:w="108" w:type="dxa"/>
          <w:bottom w:w="0" w:type="dxa"/>
          <w:right w:w="108" w:type="dxa"/>
        </w:tblCellMar>
      </w:tblPr>
      <w:tblGrid>
        <w:gridCol w:w="794"/>
        <w:gridCol w:w="1216"/>
        <w:gridCol w:w="1241"/>
        <w:gridCol w:w="5794"/>
      </w:tblGrid>
      <w:tr>
        <w:tblPrEx>
          <w:tblCellMar>
            <w:top w:w="0" w:type="dxa"/>
            <w:left w:w="108" w:type="dxa"/>
            <w:bottom w:w="0" w:type="dxa"/>
            <w:right w:w="108" w:type="dxa"/>
          </w:tblCellMar>
        </w:tblPrEx>
        <w:trPr>
          <w:trHeight w:val="120" w:hRule="atLeast"/>
          <w:jc w:val="center"/>
        </w:trPr>
        <w:tc>
          <w:tcPr>
            <w:tcW w:w="794" w:type="dxa"/>
            <w:tcBorders>
              <w:top w:val="single" w:color="000000" w:sz="6"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序号</w:t>
            </w:r>
          </w:p>
        </w:tc>
        <w:tc>
          <w:tcPr>
            <w:tcW w:w="1216" w:type="dxa"/>
            <w:tcBorders>
              <w:top w:val="single" w:color="000000" w:sz="6"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zh-CN"/>
              </w:rPr>
              <w:t>评审</w:t>
            </w:r>
            <w:r>
              <w:rPr>
                <w:rFonts w:hint="eastAsia" w:ascii="仿宋" w:hAnsi="仿宋" w:eastAsia="仿宋" w:cs="仿宋"/>
                <w:b/>
                <w:color w:val="auto"/>
                <w:sz w:val="24"/>
                <w:szCs w:val="24"/>
              </w:rPr>
              <w:t>类别</w:t>
            </w:r>
          </w:p>
        </w:tc>
        <w:tc>
          <w:tcPr>
            <w:tcW w:w="1241" w:type="dxa"/>
            <w:tcBorders>
              <w:top w:val="single" w:color="000000" w:sz="6" w:space="0"/>
              <w:left w:val="single" w:color="000000" w:sz="6" w:space="0"/>
              <w:bottom w:val="single" w:color="000000" w:sz="6" w:space="0"/>
              <w:right w:val="single" w:color="auto" w:sz="4"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评审因素</w:t>
            </w:r>
          </w:p>
        </w:tc>
        <w:tc>
          <w:tcPr>
            <w:tcW w:w="5794" w:type="dxa"/>
            <w:tcBorders>
              <w:top w:val="single" w:color="000000" w:sz="6" w:space="0"/>
              <w:left w:val="single" w:color="auto" w:sz="4" w:space="0"/>
              <w:bottom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Autospacing="0" w:afterAutospacing="0" w:line="480" w:lineRule="exact"/>
              <w:jc w:val="center"/>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rPr>
              <w:t>评审标准</w:t>
            </w:r>
          </w:p>
        </w:tc>
      </w:tr>
      <w:tr>
        <w:tblPrEx>
          <w:tblCellMar>
            <w:top w:w="0" w:type="dxa"/>
            <w:left w:w="108" w:type="dxa"/>
            <w:bottom w:w="0" w:type="dxa"/>
            <w:right w:w="108" w:type="dxa"/>
          </w:tblCellMar>
        </w:tblPrEx>
        <w:trPr>
          <w:trHeight w:val="90" w:hRule="atLeast"/>
          <w:jc w:val="center"/>
        </w:trPr>
        <w:tc>
          <w:tcPr>
            <w:tcW w:w="794" w:type="dxa"/>
            <w:tcBorders>
              <w:top w:val="single" w:color="000000" w:sz="6"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p>
        </w:tc>
        <w:tc>
          <w:tcPr>
            <w:tcW w:w="1216" w:type="dxa"/>
            <w:tcBorders>
              <w:top w:val="single" w:color="000000" w:sz="6" w:space="0"/>
              <w:left w:val="single" w:color="000000" w:sz="6" w:space="0"/>
              <w:bottom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投标报价</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lang w:val="zh-CN"/>
              </w:rPr>
            </w:pPr>
            <w:r>
              <w:rPr>
                <w:rFonts w:hint="eastAsia" w:ascii="仿宋" w:hAnsi="仿宋" w:eastAsia="仿宋" w:cs="仿宋"/>
                <w:b/>
                <w:bCs/>
                <w:color w:val="auto"/>
                <w:kern w:val="2"/>
                <w:sz w:val="24"/>
                <w:szCs w:val="24"/>
              </w:rPr>
              <w:t>(</w:t>
            </w:r>
            <w:r>
              <w:rPr>
                <w:rFonts w:hint="eastAsia" w:ascii="仿宋" w:hAnsi="仿宋" w:eastAsia="仿宋" w:cs="仿宋"/>
                <w:b/>
                <w:bCs/>
                <w:color w:val="auto"/>
                <w:kern w:val="2"/>
                <w:sz w:val="24"/>
                <w:szCs w:val="24"/>
                <w:lang w:val="en-US" w:eastAsia="zh-CN"/>
              </w:rPr>
              <w:t>30</w:t>
            </w:r>
            <w:r>
              <w:rPr>
                <w:rFonts w:hint="eastAsia" w:ascii="仿宋" w:hAnsi="仿宋" w:eastAsia="仿宋" w:cs="仿宋"/>
                <w:b/>
                <w:bCs/>
                <w:color w:val="auto"/>
                <w:kern w:val="2"/>
                <w:sz w:val="24"/>
                <w:szCs w:val="24"/>
              </w:rPr>
              <w:t>分)</w:t>
            </w:r>
          </w:p>
        </w:tc>
        <w:tc>
          <w:tcPr>
            <w:tcW w:w="1241" w:type="dxa"/>
            <w:tcBorders>
              <w:top w:val="single" w:color="000000" w:sz="6" w:space="0"/>
              <w:left w:val="single" w:color="000000" w:sz="6" w:space="0"/>
              <w:bottom w:val="single" w:color="000000" w:sz="6" w:space="0"/>
              <w:right w:val="single" w:color="auto" w:sz="4"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投标报价</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w:t>
            </w:r>
            <w:r>
              <w:rPr>
                <w:rFonts w:hint="eastAsia" w:ascii="仿宋" w:hAnsi="仿宋" w:eastAsia="仿宋" w:cs="仿宋"/>
                <w:b/>
                <w:bCs/>
                <w:color w:val="auto"/>
                <w:kern w:val="2"/>
                <w:sz w:val="24"/>
                <w:szCs w:val="24"/>
                <w:lang w:val="en-US" w:eastAsia="zh-CN"/>
              </w:rPr>
              <w:t>30</w:t>
            </w:r>
            <w:r>
              <w:rPr>
                <w:rFonts w:hint="eastAsia" w:ascii="仿宋" w:hAnsi="仿宋" w:eastAsia="仿宋" w:cs="仿宋"/>
                <w:b/>
                <w:bCs/>
                <w:color w:val="auto"/>
                <w:kern w:val="2"/>
                <w:sz w:val="24"/>
                <w:szCs w:val="24"/>
              </w:rPr>
              <w:t>分）</w:t>
            </w:r>
          </w:p>
        </w:tc>
        <w:tc>
          <w:tcPr>
            <w:tcW w:w="5794" w:type="dxa"/>
            <w:tcBorders>
              <w:top w:val="single" w:color="000000" w:sz="6" w:space="0"/>
              <w:left w:val="single" w:color="auto" w:sz="4" w:space="0"/>
              <w:bottom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在所有的有效投标报价中，以最低投标报价为基准价，其价格分为满分。其他投标人的报价分统一按下列公式计算：投标报价得分=(评标基准价／投标报价)×价格权值（</w:t>
            </w:r>
            <w:r>
              <w:rPr>
                <w:rFonts w:hint="eastAsia" w:ascii="仿宋" w:hAnsi="仿宋" w:eastAsia="仿宋" w:cs="仿宋"/>
                <w:color w:val="auto"/>
                <w:kern w:val="2"/>
                <w:sz w:val="24"/>
                <w:szCs w:val="24"/>
                <w:lang w:val="en-US" w:eastAsia="zh-CN"/>
              </w:rPr>
              <w:t>30</w:t>
            </w:r>
            <w:r>
              <w:rPr>
                <w:rFonts w:hint="eastAsia" w:ascii="仿宋" w:hAnsi="仿宋" w:eastAsia="仿宋" w:cs="仿宋"/>
                <w:color w:val="auto"/>
                <w:kern w:val="2"/>
                <w:sz w:val="24"/>
                <w:szCs w:val="24"/>
                <w:lang w:val="zh-CN"/>
              </w:rPr>
              <w:t>%）×100（四舍五入后保留小数点后两位）。</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color w:val="auto"/>
                <w:kern w:val="2"/>
                <w:sz w:val="24"/>
                <w:szCs w:val="24"/>
                <w:lang w:val="zh-CN"/>
              </w:rPr>
            </w:pPr>
            <w:r>
              <w:rPr>
                <w:rFonts w:hint="eastAsia" w:ascii="仿宋" w:hAnsi="仿宋" w:eastAsia="仿宋" w:cs="仿宋"/>
                <w:color w:val="auto"/>
                <w:kern w:val="2"/>
                <w:sz w:val="24"/>
                <w:szCs w:val="24"/>
                <w:lang w:val="zh-CN"/>
              </w:rPr>
              <w:t>注：根据《政府采购促进中小企业发展办法》、《关于促进残疾人就业政府采购政策的通知》的相关规定，对残疾人福利性单位、监狱企业、小型和微型企业制造（生产）产品的价格给予6%的扣除，用扣除后的价格参与评标。</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残疾人福利性单位属于小型、微型企业、</w:t>
            </w:r>
            <w:r>
              <w:rPr>
                <w:rFonts w:hint="eastAsia" w:ascii="仿宋" w:hAnsi="仿宋" w:eastAsia="仿宋" w:cs="仿宋"/>
                <w:color w:val="auto"/>
                <w:kern w:val="2"/>
                <w:sz w:val="24"/>
                <w:szCs w:val="24"/>
              </w:rPr>
              <w:t>监狱企业</w:t>
            </w:r>
            <w:r>
              <w:rPr>
                <w:rFonts w:hint="eastAsia" w:ascii="仿宋" w:hAnsi="仿宋" w:eastAsia="仿宋" w:cs="仿宋"/>
                <w:color w:val="auto"/>
                <w:kern w:val="2"/>
                <w:sz w:val="24"/>
                <w:szCs w:val="24"/>
                <w:lang w:val="zh-CN"/>
              </w:rPr>
              <w:t>的，不重复享受政策。</w:t>
            </w:r>
          </w:p>
        </w:tc>
      </w:tr>
      <w:tr>
        <w:tblPrEx>
          <w:tblCellMar>
            <w:top w:w="0" w:type="dxa"/>
            <w:left w:w="108" w:type="dxa"/>
            <w:bottom w:w="0" w:type="dxa"/>
            <w:right w:w="108" w:type="dxa"/>
          </w:tblCellMar>
        </w:tblPrEx>
        <w:trPr>
          <w:trHeight w:val="177" w:hRule="atLeast"/>
          <w:jc w:val="center"/>
        </w:trPr>
        <w:tc>
          <w:tcPr>
            <w:tcW w:w="794" w:type="dxa"/>
            <w:vMerge w:val="restart"/>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restart"/>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项目实施方案</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lang w:val="zh-CN"/>
              </w:rPr>
            </w:pPr>
            <w:r>
              <w:rPr>
                <w:rFonts w:hint="eastAsia" w:ascii="仿宋" w:hAnsi="仿宋" w:eastAsia="仿宋" w:cs="仿宋"/>
                <w:b/>
                <w:bCs/>
                <w:color w:val="auto"/>
                <w:kern w:val="2"/>
                <w:sz w:val="24"/>
                <w:szCs w:val="24"/>
              </w:rPr>
              <w:t>（</w:t>
            </w:r>
            <w:r>
              <w:rPr>
                <w:rFonts w:hint="eastAsia" w:ascii="仿宋" w:hAnsi="仿宋" w:eastAsia="仿宋" w:cs="仿宋"/>
                <w:b/>
                <w:bCs/>
                <w:color w:val="auto"/>
                <w:kern w:val="2"/>
                <w:sz w:val="24"/>
                <w:szCs w:val="24"/>
                <w:lang w:val="en-US" w:eastAsia="zh-CN"/>
              </w:rPr>
              <w:t>50</w:t>
            </w:r>
            <w:r>
              <w:rPr>
                <w:rFonts w:hint="eastAsia" w:ascii="仿宋" w:hAnsi="仿宋" w:eastAsia="仿宋" w:cs="仿宋"/>
                <w:b/>
                <w:bCs/>
                <w:color w:val="auto"/>
                <w:kern w:val="2"/>
                <w:sz w:val="24"/>
                <w:szCs w:val="24"/>
              </w:rPr>
              <w:t>分）</w:t>
            </w:r>
          </w:p>
        </w:tc>
        <w:tc>
          <w:tcPr>
            <w:tcW w:w="1241" w:type="dxa"/>
            <w:vMerge w:val="restart"/>
            <w:tcBorders>
              <w:top w:val="single" w:color="auto" w:sz="4" w:space="0"/>
              <w:left w:val="single" w:color="000000" w:sz="6" w:space="0"/>
              <w:right w:val="single" w:color="auto" w:sz="4"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rPr>
              <w:t>草地改良</w:t>
            </w:r>
            <w:r>
              <w:rPr>
                <w:rFonts w:hint="eastAsia" w:ascii="仿宋" w:hAnsi="仿宋" w:eastAsia="仿宋" w:cs="仿宋"/>
                <w:b/>
                <w:bCs/>
                <w:color w:val="auto"/>
                <w:kern w:val="2"/>
                <w:sz w:val="24"/>
                <w:szCs w:val="24"/>
              </w:rPr>
              <w:t>实施方案</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lang w:val="zh-CN"/>
              </w:rPr>
            </w:pPr>
            <w:r>
              <w:rPr>
                <w:rFonts w:hint="eastAsia" w:ascii="仿宋" w:hAnsi="仿宋" w:eastAsia="仿宋" w:cs="仿宋"/>
                <w:b/>
                <w:bCs/>
                <w:color w:val="auto"/>
                <w:kern w:val="2"/>
                <w:sz w:val="24"/>
                <w:szCs w:val="24"/>
                <w:lang w:val="zh-CN"/>
              </w:rPr>
              <w:t>（</w:t>
            </w:r>
            <w:r>
              <w:rPr>
                <w:rFonts w:hint="eastAsia" w:ascii="仿宋" w:hAnsi="仿宋" w:eastAsia="仿宋" w:cs="仿宋"/>
                <w:b/>
                <w:bCs/>
                <w:color w:val="auto"/>
                <w:kern w:val="2"/>
                <w:sz w:val="24"/>
                <w:szCs w:val="24"/>
                <w:lang w:val="en-US" w:eastAsia="zh-CN"/>
              </w:rPr>
              <w:t>25</w:t>
            </w:r>
            <w:r>
              <w:rPr>
                <w:rFonts w:hint="eastAsia" w:ascii="仿宋" w:hAnsi="仿宋" w:eastAsia="仿宋" w:cs="仿宋"/>
                <w:b/>
                <w:bCs/>
                <w:color w:val="auto"/>
                <w:kern w:val="2"/>
                <w:sz w:val="24"/>
                <w:szCs w:val="24"/>
                <w:lang w:val="zh-CN"/>
              </w:rPr>
              <w:t>分）</w:t>
            </w:r>
          </w:p>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5794" w:type="dxa"/>
            <w:tcBorders>
              <w:top w:val="single" w:color="auto" w:sz="4" w:space="0"/>
              <w:left w:val="single" w:color="auto" w:sz="4" w:space="0"/>
              <w:bottom w:val="single" w:color="auto" w:sz="4" w:space="0"/>
              <w:right w:val="single" w:color="000000" w:sz="6" w:space="0"/>
            </w:tcBorders>
            <w:noWrap/>
            <w:vAlign w:val="top"/>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lang w:eastAsia="zh-CN"/>
              </w:rPr>
            </w:pPr>
            <w:r>
              <w:rPr>
                <w:rFonts w:hint="eastAsia" w:ascii="仿宋" w:hAnsi="仿宋" w:eastAsia="仿宋" w:cs="仿宋"/>
                <w:b/>
                <w:bCs/>
                <w:color w:val="auto"/>
                <w:kern w:val="2"/>
                <w:sz w:val="24"/>
                <w:szCs w:val="24"/>
                <w:lang w:val="en-US" w:eastAsia="zh-CN"/>
              </w:rPr>
              <w:t>草地改良施工</w:t>
            </w:r>
            <w:r>
              <w:rPr>
                <w:rFonts w:hint="eastAsia" w:ascii="仿宋" w:hAnsi="仿宋" w:eastAsia="仿宋" w:cs="仿宋"/>
                <w:b/>
                <w:bCs/>
                <w:color w:val="auto"/>
                <w:kern w:val="2"/>
                <w:sz w:val="24"/>
                <w:szCs w:val="24"/>
              </w:rPr>
              <w:t>实施方案</w:t>
            </w:r>
            <w:r>
              <w:rPr>
                <w:rFonts w:hint="eastAsia" w:ascii="仿宋" w:hAnsi="仿宋" w:eastAsia="仿宋" w:cs="仿宋"/>
                <w:b/>
                <w:bCs/>
                <w:color w:val="auto"/>
                <w:kern w:val="2"/>
                <w:sz w:val="24"/>
                <w:szCs w:val="24"/>
                <w:lang w:eastAsia="zh-CN"/>
              </w:rPr>
              <w:t>（</w:t>
            </w:r>
            <w:r>
              <w:rPr>
                <w:rFonts w:hint="eastAsia" w:ascii="仿宋" w:hAnsi="仿宋" w:eastAsia="仿宋" w:cs="仿宋"/>
                <w:b/>
                <w:bCs/>
                <w:color w:val="auto"/>
                <w:kern w:val="2"/>
                <w:sz w:val="24"/>
                <w:szCs w:val="24"/>
                <w:lang w:val="en-US" w:eastAsia="zh-CN"/>
              </w:rPr>
              <w:t>7分</w:t>
            </w:r>
            <w:r>
              <w:rPr>
                <w:rFonts w:hint="eastAsia" w:ascii="仿宋" w:hAnsi="仿宋" w:eastAsia="仿宋" w:cs="仿宋"/>
                <w:b/>
                <w:bCs/>
                <w:color w:val="auto"/>
                <w:kern w:val="2"/>
                <w:sz w:val="24"/>
                <w:szCs w:val="24"/>
                <w:lang w:eastAsia="zh-CN"/>
              </w:rPr>
              <w:t>）</w:t>
            </w:r>
          </w:p>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rPr>
              <w:t>投标人针对项目情况提供的</w:t>
            </w:r>
            <w:r>
              <w:rPr>
                <w:rFonts w:hint="eastAsia" w:ascii="仿宋" w:hAnsi="仿宋" w:eastAsia="仿宋" w:cs="仿宋"/>
                <w:b/>
                <w:bCs/>
                <w:color w:val="auto"/>
                <w:sz w:val="24"/>
                <w:szCs w:val="24"/>
                <w:lang w:val="en-US" w:eastAsia="zh-CN"/>
              </w:rPr>
              <w:t>草地改良施工</w:t>
            </w:r>
            <w:r>
              <w:rPr>
                <w:rFonts w:hint="eastAsia" w:ascii="仿宋" w:hAnsi="仿宋" w:eastAsia="仿宋" w:cs="仿宋"/>
                <w:b/>
                <w:bCs/>
                <w:color w:val="auto"/>
                <w:sz w:val="24"/>
                <w:szCs w:val="24"/>
              </w:rPr>
              <w:t>实施方案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包括但不限于项目实施重难点的理解和分析、总体实施思路和技术路线</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人员培训方案</w:t>
            </w:r>
            <w:r>
              <w:rPr>
                <w:rFonts w:hint="eastAsia" w:ascii="仿宋" w:hAnsi="仿宋" w:eastAsia="仿宋" w:cs="仿宋"/>
                <w:b/>
                <w:bCs/>
                <w:color w:val="auto"/>
                <w:sz w:val="24"/>
                <w:szCs w:val="24"/>
                <w:lang w:val="en-US" w:eastAsia="zh-CN"/>
              </w:rPr>
              <w:t>等</w:t>
            </w:r>
            <w:r>
              <w:rPr>
                <w:rFonts w:hint="eastAsia" w:ascii="仿宋" w:hAnsi="仿宋" w:eastAsia="仿宋" w:cs="仿宋"/>
                <w:b/>
                <w:bCs/>
                <w:color w:val="auto"/>
                <w:sz w:val="24"/>
                <w:szCs w:val="24"/>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内容完整、计划科学合理、措施得当、完全满足项目实施要求的得7分；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内容较完整、计划科学合理、措施较得当、能保证项目顺利实施的得5分；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内容基本完整、基本能保证项目实施的得3分；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内容简单、计划措施单一，不能完全满足项目实施的得1分。</w:t>
            </w:r>
          </w:p>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highlight w:val="none"/>
                <w:lang w:val="en-US" w:eastAsia="zh-CN"/>
              </w:rPr>
              <w:t>未提供的不得分。</w:t>
            </w:r>
          </w:p>
        </w:tc>
      </w:tr>
      <w:tr>
        <w:tblPrEx>
          <w:tblCellMar>
            <w:top w:w="0" w:type="dxa"/>
            <w:left w:w="108" w:type="dxa"/>
            <w:bottom w:w="0" w:type="dxa"/>
            <w:right w:w="108" w:type="dxa"/>
          </w:tblCellMar>
        </w:tblPrEx>
        <w:trPr>
          <w:trHeight w:val="177"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1241" w:type="dxa"/>
            <w:vMerge w:val="continue"/>
            <w:tcBorders>
              <w:left w:val="single" w:color="000000" w:sz="6" w:space="0"/>
              <w:right w:val="single" w:color="auto" w:sz="4"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5794" w:type="dxa"/>
            <w:tcBorders>
              <w:top w:val="single" w:color="auto" w:sz="4" w:space="0"/>
              <w:left w:val="single" w:color="auto" w:sz="4" w:space="0"/>
              <w:bottom w:val="single" w:color="auto" w:sz="4" w:space="0"/>
              <w:right w:val="single" w:color="000000" w:sz="6" w:space="0"/>
            </w:tcBorders>
            <w:noWrap/>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草地改良施工</w:t>
            </w:r>
            <w:r>
              <w:rPr>
                <w:rFonts w:hint="eastAsia" w:ascii="仿宋" w:hAnsi="仿宋" w:eastAsia="仿宋" w:cs="仿宋"/>
                <w:b/>
                <w:bCs/>
                <w:color w:val="auto"/>
                <w:sz w:val="24"/>
                <w:szCs w:val="24"/>
              </w:rPr>
              <w:t>机械配备情况</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7分</w:t>
            </w:r>
            <w:r>
              <w:rPr>
                <w:rFonts w:hint="eastAsia" w:ascii="仿宋" w:hAnsi="仿宋" w:eastAsia="仿宋" w:cs="仿宋"/>
                <w:b/>
                <w:bCs/>
                <w:color w:val="auto"/>
                <w:sz w:val="24"/>
                <w:szCs w:val="24"/>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投标人</w:t>
            </w:r>
            <w:r>
              <w:rPr>
                <w:rFonts w:hint="eastAsia" w:ascii="仿宋" w:hAnsi="仿宋" w:eastAsia="仿宋" w:cs="仿宋"/>
                <w:b/>
                <w:bCs/>
                <w:color w:val="auto"/>
                <w:sz w:val="24"/>
                <w:szCs w:val="24"/>
                <w:lang w:val="en-US" w:eastAsia="zh-CN"/>
              </w:rPr>
              <w:t>结合项目草地改良施工内容及规模配备所需机械设备</w:t>
            </w:r>
            <w:r>
              <w:rPr>
                <w:rFonts w:hint="eastAsia" w:ascii="仿宋" w:hAnsi="仿宋" w:eastAsia="仿宋" w:cs="仿宋"/>
                <w:b/>
                <w:bCs/>
                <w:color w:val="auto"/>
                <w:sz w:val="24"/>
                <w:szCs w:val="24"/>
                <w:lang w:eastAsia="zh-CN"/>
              </w:rPr>
              <w:t>。</w:t>
            </w:r>
          </w:p>
          <w:p>
            <w:pPr>
              <w:pStyle w:val="20"/>
              <w:keepNext w:val="0"/>
              <w:keepLines w:val="0"/>
              <w:pageBreakBefore w:val="0"/>
              <w:widowControl/>
              <w:kinsoku/>
              <w:wordWrap/>
              <w:overflowPunct/>
              <w:topLinePunct w:val="0"/>
              <w:bidi w:val="0"/>
              <w:snapToGrid/>
              <w:spacing w:before="0" w:beforeAutospacing="0" w:after="0" w:afterAutospacing="0" w:line="4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所需机械配备合理，有详细、具体的机械管理措施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完全满足项目实施要求的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分；</w:t>
            </w:r>
          </w:p>
          <w:p>
            <w:pPr>
              <w:pStyle w:val="20"/>
              <w:keepNext w:val="0"/>
              <w:keepLines w:val="0"/>
              <w:pageBreakBefore w:val="0"/>
              <w:widowControl/>
              <w:kinsoku/>
              <w:wordWrap/>
              <w:overflowPunct/>
              <w:topLinePunct w:val="0"/>
              <w:bidi w:val="0"/>
              <w:snapToGrid/>
              <w:spacing w:before="0" w:beforeAutospacing="0" w:after="0" w:afterAutospacing="0" w:line="4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所需机械配备较合理，有较详细、较具体的机械管理措施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能保证项目顺利实施的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pStyle w:val="20"/>
              <w:keepNext w:val="0"/>
              <w:keepLines w:val="0"/>
              <w:pageBreakBefore w:val="0"/>
              <w:widowControl/>
              <w:kinsoku/>
              <w:wordWrap/>
              <w:overflowPunct/>
              <w:topLinePunct w:val="0"/>
              <w:bidi w:val="0"/>
              <w:snapToGrid/>
              <w:spacing w:before="0" w:beforeAutospacing="0" w:after="0" w:afterAutospacing="0" w:line="4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所需机械配备不够合理，有机械管理措施但不够详细、不够具体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不能满足项目实施的</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未配备相关机械及未提供机械管理措施不得分。</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注：需</w:t>
            </w:r>
            <w:r>
              <w:rPr>
                <w:rFonts w:hint="eastAsia" w:ascii="仿宋" w:hAnsi="仿宋" w:eastAsia="仿宋" w:cs="仿宋"/>
                <w:b/>
                <w:bCs/>
                <w:color w:val="auto"/>
                <w:sz w:val="24"/>
                <w:szCs w:val="24"/>
              </w:rPr>
              <w:t>提供相关机械设备的购置发票或租赁合同</w:t>
            </w:r>
            <w:r>
              <w:rPr>
                <w:rFonts w:hint="eastAsia" w:ascii="仿宋" w:hAnsi="仿宋" w:eastAsia="仿宋" w:cs="仿宋"/>
                <w:color w:val="auto"/>
                <w:sz w:val="24"/>
                <w:szCs w:val="24"/>
              </w:rPr>
              <w:t>。</w:t>
            </w:r>
          </w:p>
        </w:tc>
      </w:tr>
      <w:tr>
        <w:tblPrEx>
          <w:tblCellMar>
            <w:top w:w="0" w:type="dxa"/>
            <w:left w:w="108" w:type="dxa"/>
            <w:bottom w:w="0" w:type="dxa"/>
            <w:right w:w="108" w:type="dxa"/>
          </w:tblCellMar>
        </w:tblPrEx>
        <w:trPr>
          <w:trHeight w:val="2718"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1241" w:type="dxa"/>
            <w:vMerge w:val="continue"/>
            <w:tcBorders>
              <w:left w:val="single" w:color="000000" w:sz="6" w:space="0"/>
              <w:bottom w:val="single" w:color="auto" w:sz="4" w:space="0"/>
              <w:right w:val="single" w:color="auto" w:sz="4"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sz w:val="24"/>
                <w:szCs w:val="24"/>
              </w:rPr>
            </w:pPr>
          </w:p>
        </w:tc>
        <w:tc>
          <w:tcPr>
            <w:tcW w:w="5794" w:type="dxa"/>
            <w:tcBorders>
              <w:top w:val="single" w:color="auto" w:sz="4" w:space="0"/>
              <w:left w:val="single" w:color="auto" w:sz="4" w:space="0"/>
              <w:bottom w:val="single" w:color="auto" w:sz="4" w:space="0"/>
              <w:right w:val="single" w:color="000000" w:sz="6" w:space="0"/>
            </w:tcBorders>
            <w:noWrap/>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安全防护控制措施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6分</w:t>
            </w:r>
            <w:r>
              <w:rPr>
                <w:rFonts w:hint="eastAsia" w:ascii="仿宋" w:hAnsi="仿宋" w:eastAsia="仿宋" w:cs="仿宋"/>
                <w:b/>
                <w:bCs/>
                <w:color w:val="auto"/>
                <w:sz w:val="24"/>
                <w:szCs w:val="24"/>
                <w:lang w:eastAsia="zh-CN"/>
              </w:rPr>
              <w:t>）</w:t>
            </w:r>
          </w:p>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根据投标人针对本项目提供的项目</w:t>
            </w:r>
            <w:r>
              <w:rPr>
                <w:rFonts w:hint="eastAsia" w:ascii="仿宋" w:hAnsi="仿宋" w:eastAsia="仿宋" w:cs="仿宋"/>
                <w:b/>
                <w:bCs/>
                <w:color w:val="auto"/>
                <w:sz w:val="24"/>
                <w:szCs w:val="24"/>
                <w:lang w:val="en-US" w:eastAsia="zh-CN"/>
              </w:rPr>
              <w:t>施工过程中的</w:t>
            </w:r>
            <w:r>
              <w:rPr>
                <w:rFonts w:hint="eastAsia" w:ascii="仿宋" w:hAnsi="仿宋" w:eastAsia="仿宋" w:cs="仿宋"/>
                <w:b/>
                <w:bCs/>
                <w:color w:val="auto"/>
                <w:sz w:val="24"/>
                <w:szCs w:val="24"/>
              </w:rPr>
              <w:t>安全防护控制措施，内容包括但不限于安全目标及安全控制措施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安全管理制度及检查制度</w:t>
            </w:r>
            <w:r>
              <w:rPr>
                <w:rFonts w:hint="eastAsia" w:ascii="仿宋" w:hAnsi="仿宋" w:eastAsia="仿宋" w:cs="仿宋"/>
                <w:b/>
                <w:bCs/>
                <w:color w:val="auto"/>
                <w:sz w:val="24"/>
                <w:szCs w:val="24"/>
                <w:lang w:val="en-US" w:eastAsia="zh-CN"/>
              </w:rPr>
              <w:t>等。</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内容完整、计划科学合理、措施得当、完全满足项目实施要求的得6分；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内容基本完整、基本能保证项目实施的得3分；</w:t>
            </w:r>
          </w:p>
          <w:p>
            <w:pPr>
              <w:pStyle w:val="2"/>
              <w:keepNext w:val="0"/>
              <w:keepLines w:val="0"/>
              <w:pageBreakBefore w:val="0"/>
              <w:kinsoku/>
              <w:wordWrap/>
              <w:overflowPunct/>
              <w:topLinePunct w:val="0"/>
              <w:bidi w:val="0"/>
              <w:snapToGrid/>
              <w:spacing w:beforeAutospacing="0" w:afterAutospacing="0" w:line="480" w:lineRule="exact"/>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内容简单、计划措施单一，不能完全满足项目实施的得1分。</w:t>
            </w:r>
          </w:p>
          <w:p>
            <w:pPr>
              <w:pStyle w:val="2"/>
              <w:ind w:left="0" w:leftChars="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未提供的不得分。</w:t>
            </w:r>
          </w:p>
        </w:tc>
      </w:tr>
      <w:tr>
        <w:tblPrEx>
          <w:tblCellMar>
            <w:top w:w="0" w:type="dxa"/>
            <w:left w:w="108" w:type="dxa"/>
            <w:bottom w:w="0" w:type="dxa"/>
            <w:right w:w="108" w:type="dxa"/>
          </w:tblCellMar>
        </w:tblPrEx>
        <w:trPr>
          <w:trHeight w:val="424"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1241" w:type="dxa"/>
            <w:vMerge w:val="continue"/>
            <w:tcBorders>
              <w:left w:val="single" w:color="000000" w:sz="6" w:space="0"/>
              <w:bottom w:val="single" w:color="auto" w:sz="4" w:space="0"/>
              <w:right w:val="single" w:color="auto" w:sz="4"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sz w:val="24"/>
                <w:szCs w:val="24"/>
              </w:rPr>
            </w:pPr>
          </w:p>
        </w:tc>
        <w:tc>
          <w:tcPr>
            <w:tcW w:w="5794" w:type="dxa"/>
            <w:tcBorders>
              <w:top w:val="single" w:color="auto" w:sz="4" w:space="0"/>
              <w:left w:val="single" w:color="auto" w:sz="4" w:space="0"/>
              <w:bottom w:val="single" w:color="auto" w:sz="4" w:space="0"/>
              <w:right w:val="single" w:color="000000" w:sz="6" w:space="0"/>
            </w:tcBorders>
            <w:noWrap/>
            <w:vAlign w:val="center"/>
          </w:tcPr>
          <w:p>
            <w:pPr>
              <w:pStyle w:val="2"/>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环境保护控制措施（5分）</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根据投标人针对本项目</w:t>
            </w:r>
            <w:r>
              <w:rPr>
                <w:rFonts w:hint="eastAsia" w:ascii="仿宋" w:hAnsi="仿宋" w:eastAsia="仿宋" w:cs="仿宋"/>
                <w:b/>
                <w:bCs/>
                <w:color w:val="auto"/>
                <w:sz w:val="24"/>
                <w:szCs w:val="24"/>
                <w:lang w:val="en-US" w:eastAsia="zh-CN"/>
              </w:rPr>
              <w:t>草地改良施工过程中的</w:t>
            </w:r>
            <w:r>
              <w:rPr>
                <w:rFonts w:hint="eastAsia" w:ascii="仿宋" w:hAnsi="仿宋" w:eastAsia="仿宋" w:cs="仿宋"/>
                <w:b/>
                <w:bCs/>
                <w:color w:val="auto"/>
                <w:sz w:val="24"/>
                <w:szCs w:val="24"/>
              </w:rPr>
              <w:t>环境保护控制措施，内容包括但不限于环境保护措施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生活卫生保护措施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污染物处理及排放措施</w:t>
            </w:r>
            <w:r>
              <w:rPr>
                <w:rFonts w:hint="eastAsia" w:ascii="仿宋" w:hAnsi="仿宋" w:eastAsia="仿宋" w:cs="仿宋"/>
                <w:b/>
                <w:bCs/>
                <w:color w:val="auto"/>
                <w:sz w:val="24"/>
                <w:szCs w:val="24"/>
                <w:lang w:val="en-US" w:eastAsia="zh-CN"/>
              </w:rPr>
              <w:t>等</w:t>
            </w:r>
            <w:r>
              <w:rPr>
                <w:rFonts w:hint="eastAsia" w:ascii="仿宋" w:hAnsi="仿宋" w:eastAsia="仿宋" w:cs="仿宋"/>
                <w:b/>
                <w:bCs/>
                <w:color w:val="auto"/>
                <w:sz w:val="24"/>
                <w:szCs w:val="24"/>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内容完整、计划科学合理、措施得当、完全满足项目实施要求的得5分；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内容基本完整、基本能保证项目实施的得3分；</w:t>
            </w:r>
          </w:p>
          <w:p>
            <w:pPr>
              <w:pStyle w:val="2"/>
              <w:keepNext w:val="0"/>
              <w:keepLines w:val="0"/>
              <w:pageBreakBefore w:val="0"/>
              <w:kinsoku/>
              <w:wordWrap/>
              <w:overflowPunct/>
              <w:topLinePunct w:val="0"/>
              <w:bidi w:val="0"/>
              <w:snapToGrid/>
              <w:spacing w:beforeAutospacing="0" w:afterAutospacing="0" w:line="480" w:lineRule="exact"/>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内容简单、计划措施单一，不能完全满足项目实施的得1分。</w:t>
            </w:r>
          </w:p>
          <w:p>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未提供的不得分。</w:t>
            </w:r>
          </w:p>
        </w:tc>
      </w:tr>
      <w:tr>
        <w:tblPrEx>
          <w:tblCellMar>
            <w:top w:w="0" w:type="dxa"/>
            <w:left w:w="108" w:type="dxa"/>
            <w:bottom w:w="0" w:type="dxa"/>
            <w:right w:w="108" w:type="dxa"/>
          </w:tblCellMar>
        </w:tblPrEx>
        <w:trPr>
          <w:trHeight w:val="3380"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1241" w:type="dxa"/>
            <w:vMerge w:val="restart"/>
            <w:tcBorders>
              <w:top w:val="single" w:color="auto" w:sz="4" w:space="0"/>
              <w:left w:val="single" w:color="000000"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both"/>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有机肥及草种供货方案</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both"/>
              <w:textAlignment w:val="auto"/>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（10分）</w:t>
            </w:r>
          </w:p>
        </w:tc>
        <w:tc>
          <w:tcPr>
            <w:tcW w:w="5794" w:type="dxa"/>
            <w:tcBorders>
              <w:top w:val="single" w:color="auto" w:sz="4" w:space="0"/>
              <w:left w:val="single" w:color="auto" w:sz="4" w:space="0"/>
              <w:bottom w:val="single" w:color="auto" w:sz="4" w:space="0"/>
              <w:right w:val="single" w:color="000000" w:sz="6" w:space="0"/>
            </w:tcBorders>
            <w:noWrap/>
            <w:vAlign w:val="top"/>
          </w:tcPr>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bCs/>
                <w:color w:val="auto"/>
                <w:kern w:val="0"/>
                <w:sz w:val="24"/>
                <w:szCs w:val="24"/>
                <w:shd w:val="clear" w:color="auto" w:fill="FFFFFF"/>
                <w:lang w:eastAsia="zh-CN" w:bidi="ar"/>
              </w:rPr>
            </w:pPr>
            <w:r>
              <w:rPr>
                <w:rFonts w:hint="eastAsia" w:ascii="仿宋" w:hAnsi="仿宋" w:eastAsia="仿宋" w:cs="仿宋"/>
                <w:b/>
                <w:bCs/>
                <w:color w:val="auto"/>
                <w:kern w:val="0"/>
                <w:sz w:val="24"/>
                <w:szCs w:val="24"/>
                <w:shd w:val="clear" w:color="auto" w:fill="FFFFFF"/>
                <w:lang w:bidi="ar"/>
              </w:rPr>
              <w:t>质量</w:t>
            </w:r>
            <w:r>
              <w:rPr>
                <w:rFonts w:hint="eastAsia" w:ascii="仿宋" w:hAnsi="仿宋" w:eastAsia="仿宋" w:cs="仿宋"/>
                <w:b/>
                <w:bCs/>
                <w:color w:val="auto"/>
                <w:kern w:val="0"/>
                <w:sz w:val="24"/>
                <w:szCs w:val="24"/>
                <w:shd w:val="clear" w:color="auto" w:fill="FFFFFF"/>
                <w:lang w:val="en-US" w:eastAsia="zh-CN" w:bidi="ar"/>
              </w:rPr>
              <w:t>及</w:t>
            </w:r>
            <w:r>
              <w:rPr>
                <w:rFonts w:hint="eastAsia" w:ascii="仿宋" w:hAnsi="仿宋" w:eastAsia="仿宋" w:cs="仿宋"/>
                <w:b/>
                <w:bCs/>
                <w:color w:val="auto"/>
                <w:kern w:val="0"/>
                <w:sz w:val="24"/>
                <w:szCs w:val="24"/>
                <w:shd w:val="clear" w:color="auto" w:fill="FFFFFF"/>
                <w:lang w:bidi="ar"/>
              </w:rPr>
              <w:t>数量保证措施</w:t>
            </w:r>
            <w:r>
              <w:rPr>
                <w:rFonts w:hint="eastAsia" w:ascii="仿宋" w:hAnsi="仿宋" w:eastAsia="仿宋" w:cs="仿宋"/>
                <w:b/>
                <w:bCs/>
                <w:color w:val="auto"/>
                <w:kern w:val="0"/>
                <w:sz w:val="24"/>
                <w:szCs w:val="24"/>
                <w:shd w:val="clear" w:color="auto" w:fill="FFFFFF"/>
                <w:lang w:eastAsia="zh-CN" w:bidi="ar"/>
              </w:rPr>
              <w:t>（</w:t>
            </w:r>
            <w:r>
              <w:rPr>
                <w:rFonts w:hint="eastAsia" w:ascii="仿宋" w:hAnsi="仿宋" w:eastAsia="仿宋" w:cs="仿宋"/>
                <w:b/>
                <w:bCs/>
                <w:color w:val="auto"/>
                <w:kern w:val="0"/>
                <w:sz w:val="24"/>
                <w:szCs w:val="24"/>
                <w:shd w:val="clear" w:color="auto" w:fill="FFFFFF"/>
                <w:lang w:val="en-US" w:eastAsia="zh-CN" w:bidi="ar"/>
              </w:rPr>
              <w:t>5分</w:t>
            </w:r>
            <w:r>
              <w:rPr>
                <w:rFonts w:hint="eastAsia" w:ascii="仿宋" w:hAnsi="仿宋" w:eastAsia="仿宋" w:cs="仿宋"/>
                <w:b/>
                <w:bCs/>
                <w:color w:val="auto"/>
                <w:kern w:val="0"/>
                <w:sz w:val="24"/>
                <w:szCs w:val="24"/>
                <w:shd w:val="clear" w:color="auto" w:fill="FFFFFF"/>
                <w:lang w:eastAsia="zh-CN" w:bidi="ar"/>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针对项目采购内容及实际情况制定</w:t>
            </w:r>
            <w:r>
              <w:rPr>
                <w:rFonts w:hint="eastAsia" w:ascii="仿宋" w:hAnsi="仿宋" w:eastAsia="仿宋" w:cs="仿宋"/>
                <w:b/>
                <w:bCs/>
                <w:color w:val="auto"/>
                <w:sz w:val="24"/>
                <w:szCs w:val="24"/>
              </w:rPr>
              <w:t>货物</w:t>
            </w:r>
            <w:r>
              <w:rPr>
                <w:rFonts w:hint="eastAsia" w:ascii="仿宋" w:hAnsi="仿宋" w:eastAsia="仿宋" w:cs="仿宋"/>
                <w:b/>
                <w:bCs/>
                <w:color w:val="auto"/>
                <w:kern w:val="0"/>
                <w:sz w:val="24"/>
                <w:szCs w:val="24"/>
                <w:shd w:val="clear" w:color="auto" w:fill="FFFFFF"/>
                <w:lang w:bidi="ar"/>
              </w:rPr>
              <w:t>质量保证措施、数量保证措施</w:t>
            </w:r>
            <w:r>
              <w:rPr>
                <w:rFonts w:hint="eastAsia" w:ascii="仿宋" w:hAnsi="仿宋" w:eastAsia="仿宋" w:cs="仿宋"/>
                <w:b/>
                <w:bCs/>
                <w:color w:val="auto"/>
                <w:kern w:val="0"/>
                <w:sz w:val="24"/>
                <w:szCs w:val="24"/>
                <w:shd w:val="clear" w:color="auto" w:fill="FFFFFF"/>
                <w:lang w:val="en-US" w:eastAsia="zh-CN" w:bidi="ar"/>
              </w:rPr>
              <w:t>等</w:t>
            </w:r>
            <w:r>
              <w:rPr>
                <w:rFonts w:hint="eastAsia" w:ascii="仿宋" w:hAnsi="仿宋" w:eastAsia="仿宋" w:cs="仿宋"/>
                <w:b/>
                <w:bCs/>
                <w:color w:val="auto"/>
                <w:sz w:val="24"/>
                <w:szCs w:val="24"/>
                <w:lang w:val="en-US"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内容完整、计划科学合理、措施得当、完全满足项目实施要求的得5分；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内容基本完整、基本能保证项目实施的得3分；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内容简单、计划措施单一，不能完全满足项目实施的得1分。</w:t>
            </w:r>
          </w:p>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highlight w:val="none"/>
                <w:lang w:val="en-US" w:eastAsia="zh-CN"/>
              </w:rPr>
              <w:t>未提供的不得分。</w:t>
            </w:r>
          </w:p>
        </w:tc>
      </w:tr>
      <w:tr>
        <w:tblPrEx>
          <w:tblCellMar>
            <w:top w:w="0" w:type="dxa"/>
            <w:left w:w="108" w:type="dxa"/>
            <w:bottom w:w="0" w:type="dxa"/>
            <w:right w:w="108" w:type="dxa"/>
          </w:tblCellMar>
        </w:tblPrEx>
        <w:trPr>
          <w:trHeight w:val="177"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1241" w:type="dxa"/>
            <w:vMerge w:val="continue"/>
            <w:tcBorders>
              <w:left w:val="single" w:color="000000" w:sz="6"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b/>
                <w:bCs/>
                <w:color w:val="auto"/>
                <w:kern w:val="2"/>
                <w:sz w:val="24"/>
                <w:szCs w:val="24"/>
              </w:rPr>
            </w:pPr>
          </w:p>
        </w:tc>
        <w:tc>
          <w:tcPr>
            <w:tcW w:w="5794" w:type="dxa"/>
            <w:tcBorders>
              <w:top w:val="single" w:color="auto" w:sz="4" w:space="0"/>
              <w:left w:val="single" w:color="auto" w:sz="4" w:space="0"/>
              <w:bottom w:val="single" w:color="auto" w:sz="4" w:space="0"/>
              <w:right w:val="single" w:color="000000" w:sz="6" w:space="0"/>
            </w:tcBorders>
            <w:noWrap/>
            <w:vAlign w:val="top"/>
          </w:tcPr>
          <w:p>
            <w:pPr>
              <w:keepNext w:val="0"/>
              <w:keepLines w:val="0"/>
              <w:pageBreakBefore w:val="0"/>
              <w:kinsoku/>
              <w:wordWrap/>
              <w:overflowPunct/>
              <w:topLinePunct w:val="0"/>
              <w:autoSpaceDE/>
              <w:autoSpaceDN/>
              <w:bidi w:val="0"/>
              <w:adjustRightInd/>
              <w:snapToGrid/>
              <w:spacing w:beforeAutospacing="0" w:afterAutospacing="0" w:line="480" w:lineRule="exact"/>
              <w:jc w:val="left"/>
              <w:textAlignment w:val="auto"/>
              <w:rPr>
                <w:rFonts w:hint="eastAsia" w:ascii="仿宋" w:hAnsi="仿宋" w:eastAsia="仿宋" w:cs="仿宋"/>
                <w:b/>
                <w:bCs/>
                <w:color w:val="auto"/>
                <w:kern w:val="0"/>
                <w:sz w:val="24"/>
                <w:szCs w:val="24"/>
                <w:shd w:val="clear" w:color="auto" w:fill="FFFFFF"/>
                <w:lang w:val="en-US" w:eastAsia="zh-CN" w:bidi="ar"/>
              </w:rPr>
            </w:pPr>
            <w:r>
              <w:rPr>
                <w:rFonts w:hint="eastAsia" w:ascii="仿宋" w:hAnsi="仿宋" w:eastAsia="仿宋" w:cs="仿宋"/>
                <w:b/>
                <w:bCs/>
                <w:color w:val="auto"/>
                <w:kern w:val="0"/>
                <w:sz w:val="24"/>
                <w:szCs w:val="24"/>
                <w:shd w:val="clear" w:color="auto" w:fill="FFFFFF"/>
                <w:lang w:bidi="ar"/>
              </w:rPr>
              <w:t>运输车辆配置</w:t>
            </w:r>
            <w:r>
              <w:rPr>
                <w:rFonts w:hint="eastAsia" w:ascii="仿宋" w:hAnsi="仿宋" w:eastAsia="仿宋" w:cs="仿宋"/>
                <w:b/>
                <w:bCs/>
                <w:color w:val="auto"/>
                <w:kern w:val="0"/>
                <w:sz w:val="24"/>
                <w:szCs w:val="24"/>
                <w:shd w:val="clear" w:color="auto" w:fill="FFFFFF"/>
                <w:lang w:val="en-US" w:eastAsia="zh-CN" w:bidi="ar"/>
              </w:rPr>
              <w:t>方案（5分）</w:t>
            </w:r>
          </w:p>
          <w:p>
            <w:pPr>
              <w:keepNext w:val="0"/>
              <w:keepLines w:val="0"/>
              <w:pageBreakBefore w:val="0"/>
              <w:kinsoku/>
              <w:wordWrap/>
              <w:overflowPunct/>
              <w:topLinePunct w:val="0"/>
              <w:autoSpaceDE/>
              <w:autoSpaceDN/>
              <w:bidi w:val="0"/>
              <w:adjustRightInd/>
              <w:snapToGrid/>
              <w:spacing w:beforeAutospacing="0" w:afterAutospacing="0" w:line="480" w:lineRule="exact"/>
              <w:jc w:val="left"/>
              <w:textAlignment w:val="auto"/>
              <w:rPr>
                <w:rFonts w:hint="eastAsia" w:ascii="仿宋" w:hAnsi="仿宋" w:eastAsia="仿宋" w:cs="仿宋"/>
                <w:b/>
                <w:bCs/>
                <w:color w:val="auto"/>
                <w:kern w:val="0"/>
                <w:sz w:val="24"/>
                <w:szCs w:val="24"/>
                <w:shd w:val="clear" w:color="auto" w:fill="FFFFFF"/>
                <w:lang w:val="en-US" w:eastAsia="zh-CN" w:bidi="ar"/>
              </w:rPr>
            </w:pPr>
            <w:r>
              <w:rPr>
                <w:rFonts w:hint="eastAsia" w:ascii="仿宋" w:hAnsi="仿宋" w:eastAsia="仿宋" w:cs="仿宋"/>
                <w:b/>
                <w:bCs/>
                <w:color w:val="auto"/>
                <w:kern w:val="0"/>
                <w:sz w:val="24"/>
                <w:szCs w:val="24"/>
                <w:shd w:val="clear" w:color="auto" w:fill="FFFFFF"/>
                <w:lang w:val="en-US" w:eastAsia="zh-CN" w:bidi="ar"/>
              </w:rPr>
              <w:t>针对项目采购内容及实际情况制定货物运输车辆配置方案。</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方案完整、计划科学合理、措施得当、完全满足项目实施要求的得5分；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内容基本完整、基本能保证项目实施的得3分；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内容简单、计划措施单一，不能完全满足项目实施的得1分。</w:t>
            </w:r>
          </w:p>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shd w:val="clear" w:color="auto" w:fill="FFFFFF"/>
                <w:lang w:val="en-US" w:eastAsia="zh-CN" w:bidi="ar"/>
              </w:rPr>
              <w:t>未提供的不得分。</w:t>
            </w:r>
          </w:p>
        </w:tc>
      </w:tr>
      <w:tr>
        <w:tblPrEx>
          <w:tblCellMar>
            <w:top w:w="0" w:type="dxa"/>
            <w:left w:w="108" w:type="dxa"/>
            <w:bottom w:w="0" w:type="dxa"/>
            <w:right w:w="108" w:type="dxa"/>
          </w:tblCellMar>
        </w:tblPrEx>
        <w:trPr>
          <w:trHeight w:val="177"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kern w:val="2"/>
                <w:sz w:val="24"/>
                <w:szCs w:val="24"/>
              </w:rPr>
            </w:pPr>
          </w:p>
        </w:tc>
        <w:tc>
          <w:tcPr>
            <w:tcW w:w="1241" w:type="dxa"/>
            <w:tcBorders>
              <w:top w:val="single" w:color="auto" w:sz="4" w:space="0"/>
              <w:left w:val="single" w:color="000000" w:sz="6" w:space="0"/>
              <w:bottom w:val="single" w:color="auto" w:sz="4"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进度安排及保障措施</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zh-CN"/>
              </w:rPr>
              <w:t>（</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val="zh-CN"/>
              </w:rPr>
              <w:t>分）</w:t>
            </w:r>
          </w:p>
        </w:tc>
        <w:tc>
          <w:tcPr>
            <w:tcW w:w="5794" w:type="dxa"/>
            <w:tcBorders>
              <w:top w:val="single" w:color="auto" w:sz="4" w:space="0"/>
              <w:left w:val="single" w:color="auto" w:sz="4" w:space="0"/>
              <w:bottom w:val="single" w:color="auto" w:sz="4" w:space="0"/>
              <w:right w:val="single" w:color="000000" w:sz="6" w:space="0"/>
            </w:tcBorders>
            <w:noWrap/>
            <w:vAlign w:val="top"/>
          </w:tcPr>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rPr>
              <w:t>根据投标人针对本项目</w:t>
            </w:r>
            <w:r>
              <w:rPr>
                <w:rFonts w:hint="eastAsia" w:ascii="仿宋" w:hAnsi="仿宋" w:eastAsia="仿宋" w:cs="仿宋"/>
                <w:b/>
                <w:bCs/>
                <w:color w:val="auto"/>
                <w:sz w:val="24"/>
                <w:szCs w:val="24"/>
                <w:lang w:val="en-US" w:eastAsia="zh-CN"/>
              </w:rPr>
              <w:t>的采购内容（草地改良、草籽采购及有机肥供应）</w:t>
            </w:r>
            <w:r>
              <w:rPr>
                <w:rFonts w:hint="eastAsia" w:ascii="仿宋" w:hAnsi="仿宋" w:eastAsia="仿宋" w:cs="仿宋"/>
                <w:b/>
                <w:bCs/>
                <w:color w:val="auto"/>
                <w:sz w:val="24"/>
                <w:szCs w:val="24"/>
              </w:rPr>
              <w:t>提供的项目进度控制措施，内容包括但不限于项目进度</w:t>
            </w:r>
            <w:r>
              <w:rPr>
                <w:rFonts w:hint="eastAsia" w:ascii="仿宋" w:hAnsi="仿宋" w:eastAsia="仿宋" w:cs="仿宋"/>
                <w:b/>
                <w:bCs/>
                <w:color w:val="auto"/>
                <w:sz w:val="24"/>
                <w:szCs w:val="24"/>
                <w:lang w:val="en-US" w:eastAsia="zh-CN"/>
              </w:rPr>
              <w:t>安排</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进度</w:t>
            </w:r>
            <w:r>
              <w:rPr>
                <w:rFonts w:hint="eastAsia" w:ascii="仿宋" w:hAnsi="仿宋" w:eastAsia="仿宋" w:cs="仿宋"/>
                <w:b/>
                <w:bCs/>
                <w:color w:val="auto"/>
                <w:sz w:val="24"/>
                <w:szCs w:val="24"/>
              </w:rPr>
              <w:t>保障措施</w:t>
            </w:r>
            <w:r>
              <w:rPr>
                <w:rFonts w:hint="eastAsia" w:ascii="仿宋" w:hAnsi="仿宋" w:eastAsia="仿宋" w:cs="仿宋"/>
                <w:b/>
                <w:bCs/>
                <w:color w:val="auto"/>
                <w:sz w:val="24"/>
                <w:szCs w:val="24"/>
                <w:lang w:val="en-US" w:eastAsia="zh-CN"/>
              </w:rPr>
              <w:t>等</w:t>
            </w:r>
            <w:r>
              <w:rPr>
                <w:rFonts w:hint="eastAsia" w:ascii="仿宋" w:hAnsi="仿宋" w:eastAsia="仿宋" w:cs="仿宋"/>
                <w:color w:val="auto"/>
                <w:sz w:val="24"/>
                <w:szCs w:val="24"/>
                <w:lang w:val="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内容完整、计划科学合理、措施得当、完全满足项目实施要求的得5分；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内容基本完整、基本能保证项目实施的得3分；</w:t>
            </w:r>
          </w:p>
          <w:p>
            <w:pPr>
              <w:pStyle w:val="2"/>
              <w:keepNext w:val="0"/>
              <w:keepLines w:val="0"/>
              <w:pageBreakBefore w:val="0"/>
              <w:kinsoku/>
              <w:wordWrap/>
              <w:overflowPunct/>
              <w:topLinePunct w:val="0"/>
              <w:bidi w:val="0"/>
              <w:snapToGrid/>
              <w:spacing w:beforeAutospacing="0" w:afterAutospacing="0" w:line="48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内容简单、计划措施单一，不能完全满足项目实施的得1分。</w:t>
            </w:r>
          </w:p>
          <w:p>
            <w:pPr>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未提供的不得分。</w:t>
            </w:r>
          </w:p>
        </w:tc>
      </w:tr>
      <w:tr>
        <w:tblPrEx>
          <w:tblCellMar>
            <w:top w:w="0" w:type="dxa"/>
            <w:left w:w="108" w:type="dxa"/>
            <w:bottom w:w="0" w:type="dxa"/>
            <w:right w:w="108" w:type="dxa"/>
          </w:tblCellMar>
        </w:tblPrEx>
        <w:trPr>
          <w:trHeight w:val="1359"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sz w:val="24"/>
                <w:szCs w:val="24"/>
                <w:lang w:val="zh-CN"/>
              </w:rPr>
            </w:pPr>
          </w:p>
        </w:tc>
        <w:tc>
          <w:tcPr>
            <w:tcW w:w="1241" w:type="dxa"/>
            <w:tcBorders>
              <w:top w:val="single" w:color="auto" w:sz="4" w:space="0"/>
              <w:left w:val="single" w:color="000000"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项目管理机构人员配备</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5分</w:t>
            </w:r>
            <w:r>
              <w:rPr>
                <w:rFonts w:hint="eastAsia" w:ascii="仿宋" w:hAnsi="仿宋" w:eastAsia="仿宋" w:cs="仿宋"/>
                <w:b/>
                <w:bCs/>
                <w:color w:val="auto"/>
                <w:sz w:val="24"/>
                <w:szCs w:val="24"/>
                <w:lang w:eastAsia="zh-CN"/>
              </w:rPr>
              <w:t>）</w:t>
            </w:r>
          </w:p>
        </w:tc>
        <w:tc>
          <w:tcPr>
            <w:tcW w:w="5794" w:type="dxa"/>
            <w:tcBorders>
              <w:top w:val="single" w:color="auto" w:sz="4" w:space="0"/>
              <w:left w:val="single" w:color="auto" w:sz="4" w:space="0"/>
              <w:bottom w:val="single" w:color="auto" w:sz="4" w:space="0"/>
              <w:right w:val="single" w:color="auto" w:sz="4" w:space="0"/>
            </w:tcBorders>
            <w:noWrap/>
            <w:vAlign w:val="top"/>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根据</w:t>
            </w:r>
            <w:r>
              <w:rPr>
                <w:rFonts w:hint="eastAsia" w:ascii="仿宋" w:hAnsi="仿宋" w:eastAsia="仿宋" w:cs="仿宋"/>
                <w:b/>
                <w:bCs/>
                <w:color w:val="auto"/>
                <w:sz w:val="24"/>
                <w:szCs w:val="24"/>
                <w:lang w:val="en-US" w:eastAsia="zh-CN"/>
              </w:rPr>
              <w:t>采购需求及项目实际情况</w:t>
            </w:r>
            <w:r>
              <w:rPr>
                <w:rFonts w:hint="eastAsia" w:ascii="仿宋" w:hAnsi="仿宋" w:eastAsia="仿宋" w:cs="仿宋"/>
                <w:b/>
                <w:bCs/>
                <w:color w:val="auto"/>
                <w:sz w:val="24"/>
                <w:szCs w:val="24"/>
              </w:rPr>
              <w:t>，投标人须设置项目管理机构</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包含草地改良机构、草籽及有机肥供应相关人员的配备</w:t>
            </w:r>
            <w:r>
              <w:rPr>
                <w:rFonts w:hint="eastAsia" w:ascii="仿宋" w:hAnsi="仿宋" w:eastAsia="仿宋" w:cs="仿宋"/>
                <w:b/>
                <w:bCs/>
                <w:color w:val="auto"/>
                <w:sz w:val="24"/>
                <w:szCs w:val="24"/>
                <w:lang w:eastAsia="zh-CN"/>
              </w:rPr>
              <w:t>）。</w:t>
            </w:r>
          </w:p>
          <w:p>
            <w:pPr>
              <w:pStyle w:val="20"/>
              <w:keepNext w:val="0"/>
              <w:keepLines w:val="0"/>
              <w:pageBreakBefore w:val="0"/>
              <w:widowControl/>
              <w:kinsoku/>
              <w:wordWrap/>
              <w:overflowPunct/>
              <w:topLinePunct w:val="0"/>
              <w:bidi w:val="0"/>
              <w:snapToGrid/>
              <w:spacing w:before="0" w:beforeAutospacing="0" w:after="0" w:afterAutospacing="0" w:line="4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人员配备合理，人员分工明确，人员责任及服务范围清晰，得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pStyle w:val="20"/>
              <w:keepNext w:val="0"/>
              <w:keepLines w:val="0"/>
              <w:pageBreakBefore w:val="0"/>
              <w:widowControl/>
              <w:kinsoku/>
              <w:wordWrap/>
              <w:overflowPunct/>
              <w:topLinePunct w:val="0"/>
              <w:bidi w:val="0"/>
              <w:snapToGrid/>
              <w:spacing w:before="0" w:beforeAutospacing="0" w:after="0" w:afterAutospacing="0" w:line="4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人员配备较合理，人员分工较明确，人员责任及服务范围较清晰，得</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p>
            <w:pPr>
              <w:pStyle w:val="20"/>
              <w:keepNext w:val="0"/>
              <w:keepLines w:val="0"/>
              <w:pageBreakBefore w:val="0"/>
              <w:widowControl/>
              <w:kinsoku/>
              <w:wordWrap/>
              <w:overflowPunct/>
              <w:topLinePunct w:val="0"/>
              <w:bidi w:val="0"/>
              <w:snapToGrid/>
              <w:spacing w:before="0" w:beforeAutospacing="0" w:after="0" w:afterAutospacing="0" w:line="48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人员配备不够合理，人员分工不明确，人员责任及服务范围不够清晰，得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pStyle w:val="2"/>
              <w:keepNext w:val="0"/>
              <w:keepLines w:val="0"/>
              <w:pageBreakBefore w:val="0"/>
              <w:kinsoku/>
              <w:wordWrap/>
              <w:overflowPunct/>
              <w:topLinePunct w:val="0"/>
              <w:bidi w:val="0"/>
              <w:snapToGrid/>
              <w:spacing w:beforeAutospacing="0" w:afterAutospacing="0" w:line="480" w:lineRule="exact"/>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未设置项目管理机构及未提供人员分工、人员责任、服务范围不得分。</w:t>
            </w:r>
          </w:p>
        </w:tc>
      </w:tr>
      <w:tr>
        <w:tblPrEx>
          <w:tblCellMar>
            <w:top w:w="0" w:type="dxa"/>
            <w:left w:w="108" w:type="dxa"/>
            <w:bottom w:w="0" w:type="dxa"/>
            <w:right w:w="108" w:type="dxa"/>
          </w:tblCellMar>
        </w:tblPrEx>
        <w:trPr>
          <w:trHeight w:val="606" w:hRule="atLeast"/>
          <w:jc w:val="center"/>
        </w:trPr>
        <w:tc>
          <w:tcPr>
            <w:tcW w:w="794" w:type="dxa"/>
            <w:vMerge w:val="continue"/>
            <w:tcBorders>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color w:val="auto"/>
                <w:sz w:val="24"/>
                <w:szCs w:val="24"/>
              </w:rPr>
            </w:pPr>
          </w:p>
        </w:tc>
        <w:tc>
          <w:tcPr>
            <w:tcW w:w="1216" w:type="dxa"/>
            <w:vMerge w:val="continue"/>
            <w:tcBorders>
              <w:left w:val="single" w:color="000000" w:sz="6" w:space="0"/>
              <w:right w:val="single" w:color="000000" w:sz="6" w:space="0"/>
            </w:tcBorders>
            <w:noWrap/>
            <w:vAlign w:val="center"/>
          </w:tcPr>
          <w:p>
            <w:pPr>
              <w:pStyle w:val="20"/>
              <w:keepNext w:val="0"/>
              <w:keepLines w:val="0"/>
              <w:pageBreakBefore w:val="0"/>
              <w:kinsoku/>
              <w:wordWrap/>
              <w:overflowPunct/>
              <w:topLinePunct w:val="0"/>
              <w:bidi w:val="0"/>
              <w:snapToGrid/>
              <w:spacing w:before="0" w:beforeAutospacing="0" w:after="0" w:afterAutospacing="0" w:line="480" w:lineRule="exact"/>
              <w:textAlignment w:val="auto"/>
              <w:rPr>
                <w:rFonts w:hint="eastAsia" w:ascii="仿宋" w:hAnsi="仿宋" w:eastAsia="仿宋" w:cs="仿宋"/>
                <w:color w:val="auto"/>
                <w:sz w:val="24"/>
                <w:szCs w:val="24"/>
              </w:rPr>
            </w:pPr>
          </w:p>
        </w:tc>
        <w:tc>
          <w:tcPr>
            <w:tcW w:w="1241" w:type="dxa"/>
            <w:tcBorders>
              <w:top w:val="single" w:color="auto" w:sz="4" w:space="0"/>
              <w:left w:val="single" w:color="000000" w:sz="6" w:space="0"/>
              <w:right w:val="single" w:color="auto" w:sz="4" w:space="0"/>
            </w:tcBorders>
            <w:noWrap/>
            <w:vAlign w:val="center"/>
          </w:tcPr>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应急预案</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（5分）</w:t>
            </w:r>
          </w:p>
        </w:tc>
        <w:tc>
          <w:tcPr>
            <w:tcW w:w="5794" w:type="dxa"/>
            <w:tcBorders>
              <w:top w:val="single" w:color="auto" w:sz="4" w:space="0"/>
              <w:left w:val="single" w:color="auto" w:sz="4" w:space="0"/>
              <w:bottom w:val="single" w:color="000000" w:sz="6" w:space="0"/>
              <w:right w:val="single" w:color="auto" w:sz="4" w:space="0"/>
            </w:tcBorders>
            <w:noWrap/>
            <w:vAlign w:val="top"/>
          </w:tcPr>
          <w:p>
            <w:pPr>
              <w:pStyle w:val="3"/>
              <w:keepNext w:val="0"/>
              <w:keepLines w:val="0"/>
              <w:pageBreakBefore w:val="0"/>
              <w:kinsoku/>
              <w:wordWrap/>
              <w:overflowPunct/>
              <w:topLinePunct w:val="0"/>
              <w:bidi w:val="0"/>
              <w:snapToGrid/>
              <w:spacing w:beforeAutospacing="0" w:afterAutospacing="0" w:line="480" w:lineRule="exac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根据投标人针对本项目提供的应急预案，内容包括但不限于应急体系及运行机制</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应急组织机构及职责划分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预防预警制度</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安全运输措施、安全保障措施、突发事件处理措施</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新冠肺炎预防措施</w:t>
            </w:r>
            <w:r>
              <w:rPr>
                <w:rFonts w:hint="eastAsia" w:ascii="仿宋" w:hAnsi="仿宋" w:eastAsia="仿宋" w:cs="仿宋"/>
                <w:b/>
                <w:bCs/>
                <w:color w:val="auto"/>
                <w:sz w:val="24"/>
                <w:szCs w:val="24"/>
                <w:lang w:val="en-US" w:eastAsia="zh-CN"/>
              </w:rPr>
              <w:t>及</w:t>
            </w:r>
            <w:r>
              <w:rPr>
                <w:rFonts w:hint="eastAsia" w:ascii="仿宋" w:hAnsi="仿宋" w:eastAsia="仿宋" w:cs="仿宋"/>
                <w:b/>
                <w:bCs/>
                <w:color w:val="auto"/>
                <w:sz w:val="24"/>
                <w:szCs w:val="24"/>
                <w:lang w:eastAsia="zh-CN"/>
              </w:rPr>
              <w:t>劳动争议处理</w:t>
            </w:r>
            <w:r>
              <w:rPr>
                <w:rFonts w:hint="eastAsia" w:ascii="仿宋" w:hAnsi="仿宋" w:eastAsia="仿宋" w:cs="仿宋"/>
                <w:b/>
                <w:bCs/>
                <w:color w:val="auto"/>
                <w:sz w:val="24"/>
                <w:szCs w:val="24"/>
                <w:lang w:val="en-US" w:eastAsia="zh-CN"/>
              </w:rPr>
              <w:t>方案等</w:t>
            </w:r>
            <w:r>
              <w:rPr>
                <w:rFonts w:hint="eastAsia" w:ascii="仿宋" w:hAnsi="仿宋" w:eastAsia="仿宋" w:cs="仿宋"/>
                <w:b/>
                <w:bCs/>
                <w:color w:val="auto"/>
                <w:sz w:val="24"/>
                <w:szCs w:val="24"/>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内容完整、计划科学合理、措施得当、完全满足项目实施要求的得5分；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内容较完整、计划科学合理、措施较得当、能保证项目顺利实施的得4分；</w:t>
            </w:r>
          </w:p>
          <w:p>
            <w:pPr>
              <w:pStyle w:val="2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内容基本完整、基本能保证项目实施的得3分；</w:t>
            </w:r>
          </w:p>
          <w:p>
            <w:pPr>
              <w:pStyle w:val="2"/>
              <w:keepNext w:val="0"/>
              <w:keepLines w:val="0"/>
              <w:pageBreakBefore w:val="0"/>
              <w:kinsoku/>
              <w:wordWrap/>
              <w:overflowPunct/>
              <w:topLinePunct w:val="0"/>
              <w:bidi w:val="0"/>
              <w:snapToGrid/>
              <w:spacing w:beforeAutospacing="0" w:afterAutospacing="0" w:line="480" w:lineRule="exact"/>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内容简单、计划措施单一，不能完全满足项目实施的得1分。</w:t>
            </w:r>
          </w:p>
          <w:p>
            <w:pPr>
              <w:keepNext w:val="0"/>
              <w:keepLines w:val="0"/>
              <w:pageBreakBefore w:val="0"/>
              <w:kinsoku/>
              <w:wordWrap/>
              <w:overflowPunct/>
              <w:topLinePunct w:val="0"/>
              <w:autoSpaceDE w:val="0"/>
              <w:autoSpaceDN w:val="0"/>
              <w:bidi w:val="0"/>
              <w:adjustRightInd w:val="0"/>
              <w:snapToGrid/>
              <w:spacing w:beforeAutospacing="0" w:afterAutospacing="0" w:line="480" w:lineRule="exact"/>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未提供的不得分。</w:t>
            </w:r>
          </w:p>
        </w:tc>
      </w:tr>
      <w:tr>
        <w:tblPrEx>
          <w:tblCellMar>
            <w:top w:w="0" w:type="dxa"/>
            <w:left w:w="108" w:type="dxa"/>
            <w:bottom w:w="0" w:type="dxa"/>
            <w:right w:w="108" w:type="dxa"/>
          </w:tblCellMar>
        </w:tblPrEx>
        <w:trPr>
          <w:trHeight w:val="637" w:hRule="atLeast"/>
          <w:jc w:val="center"/>
        </w:trPr>
        <w:tc>
          <w:tcPr>
            <w:tcW w:w="794" w:type="dxa"/>
            <w:vMerge w:val="restart"/>
            <w:tcBorders>
              <w:top w:val="single" w:color="000000" w:sz="6" w:space="0"/>
              <w:left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w:t>
            </w:r>
          </w:p>
        </w:tc>
        <w:tc>
          <w:tcPr>
            <w:tcW w:w="1216" w:type="dxa"/>
            <w:vMerge w:val="restart"/>
            <w:tcBorders>
              <w:top w:val="single" w:color="000000" w:sz="6" w:space="0"/>
              <w:left w:val="single" w:color="000000" w:sz="6" w:space="0"/>
              <w:right w:val="single" w:color="000000" w:sz="6" w:space="0"/>
            </w:tcBorders>
            <w:noWrap/>
            <w:vAlign w:val="center"/>
          </w:tcPr>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技术水平（14分）</w:t>
            </w:r>
          </w:p>
        </w:tc>
        <w:tc>
          <w:tcPr>
            <w:tcW w:w="1241" w:type="dxa"/>
            <w:tcBorders>
              <w:top w:val="single" w:color="000000" w:sz="6" w:space="0"/>
              <w:left w:val="single" w:color="000000" w:sz="6" w:space="0"/>
              <w:bottom w:val="single" w:color="auto" w:sz="4" w:space="0"/>
              <w:right w:val="single" w:color="000000" w:sz="6" w:space="0"/>
            </w:tcBorders>
            <w:noWrap/>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bCs/>
                <w:color w:val="auto"/>
                <w:kern w:val="0"/>
                <w:sz w:val="24"/>
                <w:szCs w:val="24"/>
                <w:shd w:val="clear" w:color="auto" w:fill="FFFFFF"/>
                <w:lang w:val="en-US" w:eastAsia="zh-CN" w:bidi="ar"/>
              </w:rPr>
            </w:pPr>
            <w:r>
              <w:rPr>
                <w:rFonts w:hint="eastAsia" w:ascii="仿宋" w:hAnsi="仿宋" w:eastAsia="仿宋" w:cs="仿宋"/>
                <w:b/>
                <w:bCs/>
                <w:color w:val="auto"/>
                <w:sz w:val="24"/>
                <w:szCs w:val="24"/>
                <w:shd w:val="clear" w:color="auto" w:fill="FFFFFF"/>
                <w:lang w:bidi="ar"/>
              </w:rPr>
              <w:t>技术参数（</w:t>
            </w:r>
            <w:r>
              <w:rPr>
                <w:rFonts w:hint="eastAsia" w:ascii="仿宋" w:hAnsi="仿宋" w:eastAsia="仿宋" w:cs="仿宋"/>
                <w:b/>
                <w:bCs/>
                <w:color w:val="auto"/>
                <w:sz w:val="24"/>
                <w:szCs w:val="24"/>
                <w:shd w:val="clear" w:color="auto" w:fill="FFFFFF"/>
                <w:lang w:val="en-US" w:eastAsia="zh-CN" w:bidi="ar"/>
              </w:rPr>
              <w:t>12</w:t>
            </w:r>
            <w:r>
              <w:rPr>
                <w:rFonts w:hint="eastAsia" w:ascii="仿宋" w:hAnsi="仿宋" w:eastAsia="仿宋" w:cs="仿宋"/>
                <w:b/>
                <w:bCs/>
                <w:color w:val="auto"/>
                <w:sz w:val="24"/>
                <w:szCs w:val="24"/>
                <w:shd w:val="clear" w:color="auto" w:fill="FFFFFF"/>
                <w:lang w:bidi="ar"/>
              </w:rPr>
              <w:t>分）</w:t>
            </w:r>
          </w:p>
        </w:tc>
        <w:tc>
          <w:tcPr>
            <w:tcW w:w="5794" w:type="dxa"/>
            <w:tcBorders>
              <w:top w:val="single" w:color="000000" w:sz="6" w:space="0"/>
              <w:left w:val="single" w:color="000000" w:sz="6" w:space="0"/>
              <w:bottom w:val="single" w:color="auto" w:sz="4" w:space="0"/>
              <w:right w:val="single" w:color="000000" w:sz="6" w:space="0"/>
            </w:tcBorders>
            <w:noWrap/>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lang w:val="en-US" w:eastAsia="zh-CN"/>
              </w:rPr>
            </w:pPr>
            <w:r>
              <w:rPr>
                <w:rFonts w:hint="eastAsia" w:ascii="仿宋" w:hAnsi="仿宋" w:eastAsia="仿宋" w:cs="仿宋"/>
                <w:color w:val="auto"/>
              </w:rPr>
              <w:t>投标产品技术参数和配置完全满足或高于招标文件要求的得1</w:t>
            </w:r>
            <w:r>
              <w:rPr>
                <w:rFonts w:hint="eastAsia" w:ascii="仿宋" w:hAnsi="仿宋" w:eastAsia="仿宋" w:cs="仿宋"/>
                <w:color w:val="auto"/>
                <w:lang w:val="en-US" w:eastAsia="zh-CN"/>
              </w:rPr>
              <w:t>2</w:t>
            </w:r>
            <w:r>
              <w:rPr>
                <w:rFonts w:hint="eastAsia" w:ascii="仿宋" w:hAnsi="仿宋" w:eastAsia="仿宋" w:cs="仿宋"/>
                <w:color w:val="auto"/>
              </w:rPr>
              <w:t>分；</w:t>
            </w:r>
            <w:r>
              <w:rPr>
                <w:rFonts w:hint="eastAsia" w:ascii="仿宋" w:hAnsi="仿宋" w:eastAsia="仿宋" w:cs="仿宋"/>
                <w:color w:val="auto"/>
                <w:lang w:val="en-US" w:eastAsia="zh-CN"/>
              </w:rPr>
              <w:t>每有一项扣1分，扣完为止</w:t>
            </w:r>
            <w:r>
              <w:rPr>
                <w:rFonts w:hint="eastAsia" w:ascii="仿宋" w:hAnsi="仿宋" w:eastAsia="仿宋" w:cs="仿宋"/>
                <w:color w:val="auto"/>
              </w:rPr>
              <w:t>。</w:t>
            </w:r>
          </w:p>
        </w:tc>
      </w:tr>
      <w:tr>
        <w:tblPrEx>
          <w:tblCellMar>
            <w:top w:w="0" w:type="dxa"/>
            <w:left w:w="108" w:type="dxa"/>
            <w:bottom w:w="0" w:type="dxa"/>
            <w:right w:w="108" w:type="dxa"/>
          </w:tblCellMar>
        </w:tblPrEx>
        <w:trPr>
          <w:trHeight w:val="561" w:hRule="atLeast"/>
          <w:jc w:val="center"/>
        </w:trPr>
        <w:tc>
          <w:tcPr>
            <w:tcW w:w="794" w:type="dxa"/>
            <w:vMerge w:val="continue"/>
            <w:tcBorders>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sz w:val="24"/>
                <w:szCs w:val="24"/>
                <w:lang w:val="en-US" w:eastAsia="zh-CN"/>
              </w:rPr>
            </w:pPr>
          </w:p>
        </w:tc>
        <w:tc>
          <w:tcPr>
            <w:tcW w:w="1216" w:type="dxa"/>
            <w:vMerge w:val="continue"/>
            <w:tcBorders>
              <w:left w:val="single" w:color="000000" w:sz="6" w:space="0"/>
              <w:bottom w:val="single" w:color="000000" w:sz="6" w:space="0"/>
              <w:right w:val="single" w:color="000000" w:sz="6" w:space="0"/>
            </w:tcBorders>
            <w:noWrap/>
            <w:vAlign w:val="center"/>
          </w:tcPr>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color w:val="auto"/>
                <w:sz w:val="24"/>
                <w:szCs w:val="24"/>
                <w:lang w:val="en-US" w:eastAsia="zh-CN"/>
              </w:rPr>
            </w:pPr>
          </w:p>
        </w:tc>
        <w:tc>
          <w:tcPr>
            <w:tcW w:w="1241" w:type="dxa"/>
            <w:tcBorders>
              <w:top w:val="single" w:color="auto" w:sz="4"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bCs/>
                <w:color w:val="auto"/>
                <w:kern w:val="0"/>
                <w:sz w:val="24"/>
                <w:szCs w:val="24"/>
                <w:shd w:val="clear" w:color="auto" w:fill="FFFFFF"/>
                <w:lang w:val="en-US" w:eastAsia="zh-CN" w:bidi="ar"/>
              </w:rPr>
            </w:pPr>
            <w:r>
              <w:rPr>
                <w:rFonts w:hint="eastAsia" w:ascii="仿宋" w:hAnsi="仿宋" w:eastAsia="仿宋" w:cs="仿宋"/>
                <w:b/>
                <w:bCs/>
                <w:color w:val="auto"/>
                <w:sz w:val="24"/>
                <w:szCs w:val="24"/>
                <w:shd w:val="clear" w:color="auto" w:fill="FFFFFF"/>
                <w:lang w:val="zh-CN" w:bidi="ar"/>
              </w:rPr>
              <w:t>节能和环保（</w:t>
            </w:r>
            <w:r>
              <w:rPr>
                <w:rFonts w:hint="eastAsia" w:ascii="仿宋" w:hAnsi="仿宋" w:eastAsia="仿宋" w:cs="仿宋"/>
                <w:b/>
                <w:bCs/>
                <w:color w:val="auto"/>
                <w:sz w:val="24"/>
                <w:szCs w:val="24"/>
                <w:shd w:val="clear" w:color="auto" w:fill="FFFFFF"/>
                <w:lang w:bidi="ar"/>
              </w:rPr>
              <w:t>2</w:t>
            </w:r>
            <w:r>
              <w:rPr>
                <w:rFonts w:hint="eastAsia" w:ascii="仿宋" w:hAnsi="仿宋" w:eastAsia="仿宋" w:cs="仿宋"/>
                <w:b/>
                <w:bCs/>
                <w:color w:val="auto"/>
                <w:sz w:val="24"/>
                <w:szCs w:val="24"/>
                <w:shd w:val="clear" w:color="auto" w:fill="FFFFFF"/>
                <w:lang w:val="zh-CN" w:bidi="ar"/>
              </w:rPr>
              <w:t>分）</w:t>
            </w:r>
          </w:p>
        </w:tc>
        <w:tc>
          <w:tcPr>
            <w:tcW w:w="5794" w:type="dxa"/>
            <w:tcBorders>
              <w:top w:val="single" w:color="auto" w:sz="4"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sz w:val="24"/>
                <w:szCs w:val="24"/>
                <w:shd w:val="clear" w:color="auto" w:fill="FFFFFF"/>
                <w:lang w:bidi="ar"/>
              </w:rPr>
            </w:pPr>
            <w:r>
              <w:rPr>
                <w:rFonts w:hint="eastAsia" w:ascii="仿宋" w:hAnsi="仿宋" w:eastAsia="仿宋" w:cs="仿宋"/>
                <w:color w:val="auto"/>
                <w:sz w:val="24"/>
                <w:szCs w:val="24"/>
                <w:shd w:val="clear" w:color="auto" w:fill="FFFFFF"/>
                <w:lang w:val="zh-CN" w:bidi="ar"/>
              </w:rPr>
              <w:t>所投产品为节能产品，</w:t>
            </w:r>
            <w:r>
              <w:rPr>
                <w:rFonts w:hint="eastAsia" w:ascii="仿宋" w:hAnsi="仿宋" w:eastAsia="仿宋" w:cs="仿宋"/>
                <w:color w:val="auto"/>
                <w:sz w:val="24"/>
                <w:szCs w:val="24"/>
                <w:shd w:val="clear" w:color="auto" w:fill="FFFFFF"/>
                <w:lang w:val="en-US" w:eastAsia="zh-CN" w:bidi="ar"/>
              </w:rPr>
              <w:t>核心产品</w:t>
            </w:r>
            <w:r>
              <w:rPr>
                <w:rFonts w:hint="eastAsia" w:ascii="仿宋" w:hAnsi="仿宋" w:eastAsia="仿宋" w:cs="仿宋"/>
                <w:color w:val="auto"/>
                <w:sz w:val="24"/>
                <w:szCs w:val="24"/>
                <w:shd w:val="clear" w:color="auto" w:fill="FFFFFF"/>
                <w:lang w:val="zh-CN" w:bidi="ar"/>
              </w:rPr>
              <w:t>每提供1份得</w:t>
            </w:r>
            <w:r>
              <w:rPr>
                <w:rFonts w:hint="eastAsia" w:ascii="仿宋" w:hAnsi="仿宋" w:eastAsia="仿宋" w:cs="仿宋"/>
                <w:color w:val="auto"/>
                <w:sz w:val="24"/>
                <w:szCs w:val="24"/>
                <w:shd w:val="clear" w:color="auto" w:fill="FFFFFF"/>
                <w:lang w:val="en-US" w:eastAsia="zh-CN" w:bidi="ar"/>
              </w:rPr>
              <w:t>1</w:t>
            </w:r>
            <w:r>
              <w:rPr>
                <w:rFonts w:hint="eastAsia" w:ascii="仿宋" w:hAnsi="仿宋" w:eastAsia="仿宋" w:cs="仿宋"/>
                <w:color w:val="auto"/>
                <w:sz w:val="24"/>
                <w:szCs w:val="24"/>
                <w:shd w:val="clear" w:color="auto" w:fill="FFFFFF"/>
                <w:lang w:val="zh-CN" w:bidi="ar"/>
              </w:rPr>
              <w:t>分，</w:t>
            </w:r>
            <w:r>
              <w:rPr>
                <w:rFonts w:hint="eastAsia" w:ascii="仿宋" w:hAnsi="仿宋" w:eastAsia="仿宋" w:cs="仿宋"/>
                <w:color w:val="auto"/>
                <w:sz w:val="24"/>
                <w:szCs w:val="24"/>
                <w:shd w:val="clear" w:color="auto" w:fill="FFFFFF"/>
                <w:lang w:val="en-US" w:eastAsia="zh-CN" w:bidi="ar"/>
              </w:rPr>
              <w:t>非核心产品</w:t>
            </w:r>
            <w:r>
              <w:rPr>
                <w:rFonts w:hint="eastAsia" w:ascii="仿宋" w:hAnsi="仿宋" w:eastAsia="仿宋" w:cs="仿宋"/>
                <w:color w:val="auto"/>
                <w:sz w:val="24"/>
                <w:szCs w:val="24"/>
                <w:shd w:val="clear" w:color="auto" w:fill="FFFFFF"/>
                <w:lang w:val="zh-CN" w:bidi="ar"/>
              </w:rPr>
              <w:t>每提供1份得</w:t>
            </w:r>
            <w:r>
              <w:rPr>
                <w:rFonts w:hint="eastAsia" w:ascii="仿宋" w:hAnsi="仿宋" w:eastAsia="仿宋" w:cs="仿宋"/>
                <w:color w:val="auto"/>
                <w:sz w:val="24"/>
                <w:szCs w:val="24"/>
                <w:shd w:val="clear" w:color="auto" w:fill="FFFFFF"/>
                <w:lang w:val="en-US" w:eastAsia="zh-CN" w:bidi="ar"/>
              </w:rPr>
              <w:t>0.5</w:t>
            </w:r>
            <w:r>
              <w:rPr>
                <w:rFonts w:hint="eastAsia" w:ascii="仿宋" w:hAnsi="仿宋" w:eastAsia="仿宋" w:cs="仿宋"/>
                <w:color w:val="auto"/>
                <w:sz w:val="24"/>
                <w:szCs w:val="24"/>
                <w:shd w:val="clear" w:color="auto" w:fill="FFFFFF"/>
                <w:lang w:val="zh-CN" w:bidi="ar"/>
              </w:rPr>
              <w:t>分，满分</w:t>
            </w:r>
            <w:r>
              <w:rPr>
                <w:rFonts w:hint="eastAsia" w:ascii="仿宋" w:hAnsi="仿宋" w:eastAsia="仿宋" w:cs="仿宋"/>
                <w:color w:val="auto"/>
                <w:sz w:val="24"/>
                <w:szCs w:val="24"/>
                <w:shd w:val="clear" w:color="auto" w:fill="FFFFFF"/>
                <w:lang w:bidi="ar"/>
              </w:rPr>
              <w:t>1分；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sz w:val="24"/>
                <w:szCs w:val="24"/>
                <w:shd w:val="clear" w:color="auto" w:fill="FFFFFF"/>
                <w:lang w:val="zh-CN" w:bidi="ar"/>
              </w:rPr>
            </w:pPr>
            <w:r>
              <w:rPr>
                <w:rFonts w:hint="eastAsia" w:ascii="仿宋" w:hAnsi="仿宋" w:eastAsia="仿宋" w:cs="仿宋"/>
                <w:color w:val="auto"/>
                <w:sz w:val="24"/>
                <w:szCs w:val="24"/>
                <w:shd w:val="clear" w:color="auto" w:fill="FFFFFF"/>
                <w:lang w:val="zh-CN" w:bidi="ar"/>
              </w:rPr>
              <w:t>所投产品为</w:t>
            </w:r>
            <w:r>
              <w:rPr>
                <w:rFonts w:hint="eastAsia" w:ascii="仿宋" w:hAnsi="仿宋" w:eastAsia="仿宋" w:cs="仿宋"/>
                <w:color w:val="auto"/>
                <w:sz w:val="24"/>
                <w:szCs w:val="24"/>
                <w:shd w:val="clear" w:color="auto" w:fill="FFFFFF"/>
                <w:lang w:bidi="ar"/>
              </w:rPr>
              <w:t>环保</w:t>
            </w:r>
            <w:r>
              <w:rPr>
                <w:rFonts w:hint="eastAsia" w:ascii="仿宋" w:hAnsi="仿宋" w:eastAsia="仿宋" w:cs="仿宋"/>
                <w:color w:val="auto"/>
                <w:sz w:val="24"/>
                <w:szCs w:val="24"/>
                <w:shd w:val="clear" w:color="auto" w:fill="FFFFFF"/>
                <w:lang w:val="zh-CN" w:bidi="ar"/>
              </w:rPr>
              <w:t>产品，</w:t>
            </w:r>
            <w:r>
              <w:rPr>
                <w:rFonts w:hint="eastAsia" w:ascii="仿宋" w:hAnsi="仿宋" w:eastAsia="仿宋" w:cs="仿宋"/>
                <w:color w:val="auto"/>
                <w:sz w:val="24"/>
                <w:szCs w:val="24"/>
                <w:shd w:val="clear" w:color="auto" w:fill="FFFFFF"/>
                <w:lang w:val="en-US" w:eastAsia="zh-CN" w:bidi="ar"/>
              </w:rPr>
              <w:t>核心产品</w:t>
            </w:r>
            <w:r>
              <w:rPr>
                <w:rFonts w:hint="eastAsia" w:ascii="仿宋" w:hAnsi="仿宋" w:eastAsia="仿宋" w:cs="仿宋"/>
                <w:color w:val="auto"/>
                <w:sz w:val="24"/>
                <w:szCs w:val="24"/>
                <w:shd w:val="clear" w:color="auto" w:fill="FFFFFF"/>
                <w:lang w:val="zh-CN" w:bidi="ar"/>
              </w:rPr>
              <w:t>每提供1份</w:t>
            </w:r>
            <w:r>
              <w:rPr>
                <w:rFonts w:hint="eastAsia" w:ascii="仿宋" w:hAnsi="仿宋" w:eastAsia="仿宋" w:cs="仿宋"/>
                <w:color w:val="auto"/>
                <w:sz w:val="24"/>
                <w:szCs w:val="24"/>
                <w:shd w:val="clear" w:color="auto" w:fill="FFFFFF"/>
                <w:lang w:val="en-US" w:eastAsia="zh-CN" w:bidi="ar"/>
              </w:rPr>
              <w:t>的</w:t>
            </w:r>
            <w:r>
              <w:rPr>
                <w:rFonts w:hint="eastAsia" w:ascii="仿宋" w:hAnsi="仿宋" w:eastAsia="仿宋" w:cs="仿宋"/>
                <w:color w:val="auto"/>
                <w:sz w:val="24"/>
                <w:szCs w:val="24"/>
                <w:shd w:val="clear" w:color="auto" w:fill="FFFFFF"/>
                <w:lang w:val="zh-CN" w:bidi="ar"/>
              </w:rPr>
              <w:t>得</w:t>
            </w:r>
            <w:r>
              <w:rPr>
                <w:rFonts w:hint="eastAsia" w:ascii="仿宋" w:hAnsi="仿宋" w:eastAsia="仿宋" w:cs="仿宋"/>
                <w:color w:val="auto"/>
                <w:sz w:val="24"/>
                <w:szCs w:val="24"/>
                <w:shd w:val="clear" w:color="auto" w:fill="FFFFFF"/>
                <w:lang w:val="en-US" w:eastAsia="zh-CN" w:bidi="ar"/>
              </w:rPr>
              <w:t>1</w:t>
            </w:r>
            <w:r>
              <w:rPr>
                <w:rFonts w:hint="eastAsia" w:ascii="仿宋" w:hAnsi="仿宋" w:eastAsia="仿宋" w:cs="仿宋"/>
                <w:color w:val="auto"/>
                <w:sz w:val="24"/>
                <w:szCs w:val="24"/>
                <w:shd w:val="clear" w:color="auto" w:fill="FFFFFF"/>
                <w:lang w:val="zh-CN" w:bidi="ar"/>
              </w:rPr>
              <w:t>分，</w:t>
            </w:r>
            <w:r>
              <w:rPr>
                <w:rFonts w:hint="eastAsia" w:ascii="仿宋" w:hAnsi="仿宋" w:eastAsia="仿宋" w:cs="仿宋"/>
                <w:color w:val="auto"/>
                <w:sz w:val="24"/>
                <w:szCs w:val="24"/>
                <w:shd w:val="clear" w:color="auto" w:fill="FFFFFF"/>
                <w:lang w:val="en-US" w:eastAsia="zh-CN" w:bidi="ar"/>
              </w:rPr>
              <w:t>非核心产品</w:t>
            </w:r>
            <w:r>
              <w:rPr>
                <w:rFonts w:hint="eastAsia" w:ascii="仿宋" w:hAnsi="仿宋" w:eastAsia="仿宋" w:cs="仿宋"/>
                <w:color w:val="auto"/>
                <w:sz w:val="24"/>
                <w:szCs w:val="24"/>
                <w:shd w:val="clear" w:color="auto" w:fill="FFFFFF"/>
                <w:lang w:val="zh-CN" w:bidi="ar"/>
              </w:rPr>
              <w:t>每提供1份得</w:t>
            </w:r>
            <w:r>
              <w:rPr>
                <w:rFonts w:hint="eastAsia" w:ascii="仿宋" w:hAnsi="仿宋" w:eastAsia="仿宋" w:cs="仿宋"/>
                <w:color w:val="auto"/>
                <w:sz w:val="24"/>
                <w:szCs w:val="24"/>
                <w:shd w:val="clear" w:color="auto" w:fill="FFFFFF"/>
                <w:lang w:val="en-US" w:eastAsia="zh-CN" w:bidi="ar"/>
              </w:rPr>
              <w:t>0.5</w:t>
            </w:r>
            <w:r>
              <w:rPr>
                <w:rFonts w:hint="eastAsia" w:ascii="仿宋" w:hAnsi="仿宋" w:eastAsia="仿宋" w:cs="仿宋"/>
                <w:color w:val="auto"/>
                <w:sz w:val="24"/>
                <w:szCs w:val="24"/>
                <w:shd w:val="clear" w:color="auto" w:fill="FFFFFF"/>
                <w:lang w:val="zh-CN" w:bidi="ar"/>
              </w:rPr>
              <w:t>分，满分</w:t>
            </w:r>
            <w:r>
              <w:rPr>
                <w:rFonts w:hint="eastAsia" w:ascii="仿宋" w:hAnsi="仿宋" w:eastAsia="仿宋" w:cs="仿宋"/>
                <w:color w:val="auto"/>
                <w:sz w:val="24"/>
                <w:szCs w:val="24"/>
                <w:shd w:val="clear" w:color="auto" w:fill="FFFFFF"/>
                <w:lang w:bidi="ar"/>
              </w:rPr>
              <w:t>1分；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b/>
                <w:bCs/>
                <w:color w:val="auto"/>
                <w:sz w:val="24"/>
                <w:szCs w:val="24"/>
                <w:shd w:val="clear" w:color="auto" w:fill="FFFFFF"/>
                <w:lang w:val="zh-CN" w:bidi="ar"/>
              </w:rPr>
              <w:t>该项得分</w:t>
            </w:r>
            <w:r>
              <w:rPr>
                <w:rFonts w:hint="eastAsia" w:ascii="仿宋" w:hAnsi="仿宋" w:eastAsia="仿宋" w:cs="仿宋"/>
                <w:b/>
                <w:bCs/>
                <w:color w:val="auto"/>
                <w:sz w:val="24"/>
                <w:szCs w:val="24"/>
                <w:shd w:val="clear" w:color="auto" w:fill="FFFFFF"/>
                <w:lang w:val="en-US" w:eastAsia="zh-CN" w:bidi="ar"/>
              </w:rPr>
              <w:t>以国家确定的认证机构出具的、处于有效期内的节能产品、环境标志产品证书和《政府采购节能产品、环境标志产品实施品目清单》截图为准。</w:t>
            </w:r>
          </w:p>
        </w:tc>
      </w:tr>
      <w:tr>
        <w:tblPrEx>
          <w:tblCellMar>
            <w:top w:w="0" w:type="dxa"/>
            <w:left w:w="108" w:type="dxa"/>
            <w:bottom w:w="0" w:type="dxa"/>
            <w:right w:w="108" w:type="dxa"/>
          </w:tblCellMar>
        </w:tblPrEx>
        <w:trPr>
          <w:trHeight w:val="124" w:hRule="atLeast"/>
          <w:jc w:val="center"/>
        </w:trPr>
        <w:tc>
          <w:tcPr>
            <w:tcW w:w="794" w:type="dxa"/>
            <w:tcBorders>
              <w:top w:val="single" w:color="000000" w:sz="6"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bidi w:val="0"/>
              <w:snapToGrid/>
              <w:spacing w:before="0" w:beforeAutospacing="0" w:after="0" w:afterAutospacing="0" w:line="480" w:lineRule="exact"/>
              <w:jc w:val="center"/>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lang w:val="en-US" w:eastAsia="zh-CN"/>
              </w:rPr>
              <w:t>4</w:t>
            </w:r>
          </w:p>
        </w:tc>
        <w:tc>
          <w:tcPr>
            <w:tcW w:w="121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履约能力</w:t>
            </w:r>
          </w:p>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color w:val="auto"/>
                <w:kern w:val="2"/>
                <w:sz w:val="24"/>
                <w:szCs w:val="24"/>
                <w:lang w:val="zh-CN" w:eastAsia="zh-CN" w:bidi="ar-SA"/>
              </w:rPr>
            </w:pPr>
            <w:r>
              <w:rPr>
                <w:rFonts w:hint="eastAsia" w:ascii="仿宋" w:hAnsi="仿宋" w:eastAsia="仿宋" w:cs="仿宋"/>
                <w:b/>
                <w:bCs/>
                <w:color w:val="auto"/>
                <w:sz w:val="24"/>
                <w:szCs w:val="24"/>
                <w:lang w:val="zh-CN"/>
              </w:rPr>
              <w:t>(</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val="zh-CN"/>
              </w:rPr>
              <w:t>分)</w:t>
            </w:r>
          </w:p>
        </w:tc>
        <w:tc>
          <w:tcPr>
            <w:tcW w:w="1241"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类似业绩</w:t>
            </w:r>
          </w:p>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分）</w:t>
            </w:r>
          </w:p>
        </w:tc>
        <w:tc>
          <w:tcPr>
            <w:tcW w:w="5794" w:type="dxa"/>
            <w:tcBorders>
              <w:top w:val="single" w:color="000000" w:sz="6" w:space="0"/>
              <w:left w:val="single" w:color="000000" w:sz="6" w:space="0"/>
              <w:bottom w:val="single" w:color="000000" w:sz="6" w:space="0"/>
              <w:right w:val="single" w:color="000000" w:sz="6" w:space="0"/>
            </w:tcBorders>
            <w:noWrap/>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草地改良类似业绩（2分）：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年1月1日至今，</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val="zh-CN"/>
              </w:rPr>
              <w:t>每提供1项类似业绩证明材料得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分，不提供不得分。（以</w:t>
            </w:r>
            <w:r>
              <w:rPr>
                <w:rFonts w:hint="eastAsia" w:ascii="仿宋" w:hAnsi="仿宋" w:eastAsia="仿宋" w:cs="仿宋"/>
                <w:color w:val="auto"/>
                <w:sz w:val="24"/>
                <w:szCs w:val="24"/>
                <w:lang w:val="en-US" w:eastAsia="zh-CN"/>
              </w:rPr>
              <w:t>生效的</w:t>
            </w:r>
            <w:r>
              <w:rPr>
                <w:rFonts w:hint="eastAsia" w:ascii="仿宋" w:hAnsi="仿宋" w:eastAsia="仿宋" w:cs="仿宋"/>
                <w:color w:val="auto"/>
                <w:sz w:val="24"/>
                <w:szCs w:val="24"/>
                <w:lang w:val="zh-CN"/>
              </w:rPr>
              <w:t>合同复印件为准）；</w:t>
            </w: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草籽供货类似业绩（2分）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年1月1日至今，</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val="zh-CN"/>
              </w:rPr>
              <w:t>每提供1项类似业绩证明材料得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分，不提供不得分。（以</w:t>
            </w:r>
            <w:r>
              <w:rPr>
                <w:rFonts w:hint="eastAsia" w:ascii="仿宋" w:hAnsi="仿宋" w:eastAsia="仿宋" w:cs="仿宋"/>
                <w:color w:val="auto"/>
                <w:sz w:val="24"/>
                <w:szCs w:val="24"/>
                <w:lang w:val="en-US" w:eastAsia="zh-CN"/>
              </w:rPr>
              <w:t>生效的</w:t>
            </w:r>
            <w:r>
              <w:rPr>
                <w:rFonts w:hint="eastAsia" w:ascii="仿宋" w:hAnsi="仿宋" w:eastAsia="仿宋" w:cs="仿宋"/>
                <w:color w:val="auto"/>
                <w:sz w:val="24"/>
                <w:szCs w:val="24"/>
                <w:lang w:val="zh-CN"/>
              </w:rPr>
              <w:t>合同复印件为准）；</w:t>
            </w:r>
          </w:p>
          <w:p>
            <w:pPr>
              <w:keepNext w:val="0"/>
              <w:keepLines w:val="0"/>
              <w:pageBreakBefore w:val="0"/>
              <w:kinsoku/>
              <w:wordWrap/>
              <w:overflowPunct/>
              <w:topLinePunct w:val="0"/>
              <w:autoSpaceDE w:val="0"/>
              <w:autoSpaceDN w:val="0"/>
              <w:bidi w:val="0"/>
              <w:snapToGrid/>
              <w:spacing w:beforeAutospacing="0" w:afterAutospacing="0" w:line="480" w:lineRule="exact"/>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有机肥供货类似业绩（2分）</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rPr>
              <w:t>201</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年1月1日至今，</w:t>
            </w: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lang w:val="zh-CN"/>
              </w:rPr>
              <w:t>每提供1项类似业绩证明材料得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分,满分</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分，不提供不得分。（以</w:t>
            </w:r>
            <w:r>
              <w:rPr>
                <w:rFonts w:hint="eastAsia" w:ascii="仿宋" w:hAnsi="仿宋" w:eastAsia="仿宋" w:cs="仿宋"/>
                <w:color w:val="auto"/>
                <w:sz w:val="24"/>
                <w:szCs w:val="24"/>
                <w:lang w:val="en-US" w:eastAsia="zh-CN"/>
              </w:rPr>
              <w:t>生效的</w:t>
            </w:r>
            <w:r>
              <w:rPr>
                <w:rFonts w:hint="eastAsia" w:ascii="仿宋" w:hAnsi="仿宋" w:eastAsia="仿宋" w:cs="仿宋"/>
                <w:color w:val="auto"/>
                <w:sz w:val="24"/>
                <w:szCs w:val="24"/>
                <w:lang w:val="zh-CN"/>
              </w:rPr>
              <w:t>合同复印件为准）；</w:t>
            </w:r>
          </w:p>
        </w:tc>
      </w:tr>
    </w:tbl>
    <w:p>
      <w:pPr>
        <w:rPr>
          <w:rFonts w:hint="eastAsia"/>
          <w:lang w:val="en-US" w:eastAsia="zh-CN"/>
        </w:rPr>
      </w:pPr>
    </w:p>
    <w:p>
      <w:pPr>
        <w:rPr>
          <w:rFonts w:hint="eastAsia" w:ascii="仿宋" w:hAnsi="仿宋" w:eastAsia="仿宋" w:cs="仿宋"/>
          <w:color w:val="auto"/>
          <w:highlight w:val="none"/>
          <w:shd w:val="clear" w:color="auto" w:fill="FFFFFF"/>
          <w:lang w:val="en-US" w:eastAsia="zh-CN"/>
        </w:rPr>
      </w:pPr>
    </w:p>
    <w:p>
      <w:pPr>
        <w:pStyle w:val="2"/>
        <w:rPr>
          <w:rFonts w:hint="eastAsia" w:ascii="仿宋" w:hAnsi="仿宋" w:eastAsia="仿宋" w:cs="仿宋"/>
          <w:color w:val="auto"/>
          <w:highlight w:val="none"/>
          <w:shd w:val="clear" w:color="auto" w:fill="FFFFFF"/>
          <w:lang w:val="en-US" w:eastAsia="zh-CN"/>
        </w:rPr>
      </w:pPr>
    </w:p>
    <w:p>
      <w:pPr>
        <w:rPr>
          <w:rFonts w:hint="eastAsia"/>
          <w:lang w:val="en-US" w:eastAsia="zh-CN"/>
        </w:rPr>
      </w:pP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 xml:space="preserve">20.3 </w:t>
      </w:r>
      <w:r>
        <w:rPr>
          <w:rFonts w:hint="eastAsia" w:ascii="仿宋" w:hAnsi="仿宋" w:eastAsia="仿宋" w:cs="仿宋"/>
          <w:b/>
          <w:bCs/>
          <w:color w:val="auto"/>
          <w:kern w:val="0"/>
          <w:highlight w:val="none"/>
          <w:u w:val="dashDotHeavy"/>
        </w:rPr>
        <w:t>采用综合评分法的，</w:t>
      </w:r>
      <w:r>
        <w:rPr>
          <w:rFonts w:hint="eastAsia" w:ascii="仿宋" w:hAnsi="仿宋" w:eastAsia="仿宋" w:cs="仿宋"/>
          <w:color w:val="auto"/>
          <w:highlight w:val="none"/>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（1）分值汇总计算错误的；</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（2）分项评分超出评分标准范围的；</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（3）评标委员会成员对客观评审因素评分不一致的；</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（4）经评标委员会认定评分畸高、畸低的。</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shd w:val="clear" w:color="auto" w:fill="FFFFFF"/>
        </w:rPr>
        <w:t>投标人对以上情形提出质疑的，采购人或者采购代理机构可以组织原评标委员会进行重新评审，重新评审改变评标结果的，应当书面报告本级财政部门。</w:t>
      </w:r>
    </w:p>
    <w:p>
      <w:pPr>
        <w:pStyle w:val="21"/>
        <w:spacing w:before="0" w:after="0" w:line="360" w:lineRule="auto"/>
        <w:rPr>
          <w:rFonts w:hint="eastAsia" w:ascii="仿宋" w:hAnsi="仿宋" w:eastAsia="仿宋" w:cs="仿宋"/>
          <w:color w:val="auto"/>
          <w:highlight w:val="none"/>
          <w:lang w:val="zh-CN"/>
        </w:rPr>
      </w:pPr>
      <w:bookmarkStart w:id="70" w:name="_Toc13988"/>
      <w:r>
        <w:rPr>
          <w:rFonts w:hint="eastAsia" w:ascii="仿宋" w:hAnsi="仿宋" w:eastAsia="仿宋" w:cs="仿宋"/>
          <w:color w:val="auto"/>
          <w:highlight w:val="none"/>
          <w:lang w:val="zh-CN"/>
        </w:rPr>
        <w:t>八、中标</w:t>
      </w:r>
      <w:bookmarkEnd w:id="70"/>
    </w:p>
    <w:p>
      <w:pPr>
        <w:pStyle w:val="21"/>
        <w:spacing w:before="0" w:after="0" w:line="360" w:lineRule="auto"/>
        <w:jc w:val="left"/>
        <w:rPr>
          <w:rFonts w:hint="eastAsia" w:ascii="仿宋" w:hAnsi="仿宋" w:eastAsia="仿宋" w:cs="仿宋"/>
          <w:color w:val="auto"/>
          <w:highlight w:val="none"/>
          <w:lang w:val="zh-CN"/>
        </w:rPr>
      </w:pPr>
      <w:bookmarkStart w:id="71" w:name="_Toc3150"/>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zh-CN"/>
        </w:rPr>
        <w:t>.推荐并确定中标人</w:t>
      </w:r>
      <w:bookmarkEnd w:id="71"/>
    </w:p>
    <w:p>
      <w:pPr>
        <w:autoSpaceDE w:val="0"/>
        <w:autoSpaceDN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仿宋" w:hAnsi="仿宋" w:eastAsia="仿宋" w:cs="仿宋"/>
          <w:color w:val="auto"/>
          <w:highlight w:val="none"/>
          <w:u w:val="dashDotHeavy"/>
        </w:rPr>
        <w:t>招标文件规定的方式</w:t>
      </w:r>
      <w:r>
        <w:rPr>
          <w:rFonts w:hint="eastAsia" w:ascii="仿宋" w:hAnsi="仿宋" w:eastAsia="仿宋" w:cs="仿宋"/>
          <w:color w:val="auto"/>
          <w:highlight w:val="none"/>
        </w:rPr>
        <w:t>确定中标人；招标文件未规定的，采取随机抽取的方式确定。</w:t>
      </w:r>
    </w:p>
    <w:p>
      <w:pPr>
        <w:autoSpaceDE w:val="0"/>
        <w:autoSpaceDN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21.2 采购人自行组织招标的，应当在评标结束后5个工作日内确定中标人。</w:t>
      </w:r>
    </w:p>
    <w:p>
      <w:pPr>
        <w:autoSpaceDE w:val="0"/>
        <w:autoSpaceDN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21.3 采购人在收到评标报告5个工作日内未按评标报告推荐的中标候选人顺序确定中标人，又不能说明合法理由的，视同按评标报告推荐的顺序确定排名第一的中标候选人为中标人。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hint="eastAsia" w:ascii="仿宋" w:hAnsi="仿宋" w:eastAsia="仿宋" w:cs="仿宋"/>
          <w:color w:val="auto"/>
          <w:highlight w:val="none"/>
          <w:lang w:val="zh-CN"/>
        </w:rPr>
      </w:pPr>
      <w:bookmarkStart w:id="72" w:name="_Toc19395"/>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zh-CN"/>
        </w:rPr>
        <w:t>.中标通知</w:t>
      </w:r>
      <w:bookmarkEnd w:id="72"/>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22.3 中标公告期限为1个工作日。</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22.4 在公告中标结果的同时，</w:t>
      </w:r>
      <w:r>
        <w:rPr>
          <w:rFonts w:hint="eastAsia" w:ascii="仿宋" w:hAnsi="仿宋" w:eastAsia="仿宋" w:cs="仿宋"/>
          <w:color w:val="auto"/>
          <w:highlight w:val="none"/>
          <w:u w:val="dashDotHeavy"/>
          <w:shd w:val="clear" w:color="auto" w:fill="FFFFFF"/>
        </w:rPr>
        <w:t>采购代理机构</w:t>
      </w:r>
      <w:r>
        <w:rPr>
          <w:rFonts w:hint="eastAsia" w:ascii="仿宋" w:hAnsi="仿宋" w:eastAsia="仿宋" w:cs="仿宋"/>
          <w:color w:val="auto"/>
          <w:kern w:val="0"/>
          <w:highlight w:val="none"/>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22.5 中标通知书发出后，采购人不得违法改变中标结果，中标人无正当理由不得放弃中标。</w:t>
      </w:r>
    </w:p>
    <w:p>
      <w:pPr>
        <w:pStyle w:val="21"/>
        <w:spacing w:before="0" w:after="0" w:line="360" w:lineRule="auto"/>
        <w:rPr>
          <w:rFonts w:hint="eastAsia" w:ascii="仿宋" w:hAnsi="仿宋" w:eastAsia="仿宋" w:cs="仿宋"/>
          <w:color w:val="auto"/>
          <w:highlight w:val="none"/>
          <w:lang w:val="zh-CN"/>
        </w:rPr>
      </w:pPr>
      <w:bookmarkStart w:id="73" w:name="_Toc27898"/>
      <w:r>
        <w:rPr>
          <w:rFonts w:hint="eastAsia" w:ascii="仿宋" w:hAnsi="仿宋" w:eastAsia="仿宋" w:cs="仿宋"/>
          <w:color w:val="auto"/>
          <w:highlight w:val="none"/>
          <w:lang w:val="zh-CN"/>
        </w:rPr>
        <w:t>九、授予合同</w:t>
      </w:r>
      <w:bookmarkEnd w:id="73"/>
    </w:p>
    <w:p>
      <w:pPr>
        <w:pStyle w:val="21"/>
        <w:spacing w:before="0" w:after="0" w:line="360" w:lineRule="auto"/>
        <w:jc w:val="left"/>
        <w:rPr>
          <w:rFonts w:hint="eastAsia" w:ascii="仿宋" w:hAnsi="仿宋" w:eastAsia="仿宋" w:cs="仿宋"/>
          <w:color w:val="auto"/>
          <w:kern w:val="0"/>
          <w:sz w:val="24"/>
          <w:highlight w:val="none"/>
        </w:rPr>
      </w:pPr>
      <w:bookmarkStart w:id="74" w:name="_Toc18373"/>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.签订合同</w:t>
      </w:r>
      <w:bookmarkEnd w:id="74"/>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.1</w:t>
      </w:r>
      <w:r>
        <w:rPr>
          <w:rFonts w:hint="eastAsia" w:ascii="仿宋" w:hAnsi="仿宋" w:eastAsia="仿宋" w:cs="仿宋"/>
          <w:color w:val="auto"/>
          <w:kern w:val="0"/>
          <w:highlight w:val="none"/>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采购人不得向中标人提出任何不合理的要求作为签订合同的条件。</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.3</w:t>
      </w:r>
      <w:r>
        <w:rPr>
          <w:rFonts w:hint="eastAsia" w:ascii="仿宋" w:hAnsi="仿宋" w:eastAsia="仿宋" w:cs="仿宋"/>
          <w:color w:val="auto"/>
          <w:kern w:val="0"/>
          <w:highlight w:val="none"/>
        </w:rPr>
        <w:t xml:space="preserve"> 中标人拒绝与采购人签订合同的</w:t>
      </w:r>
      <w:r>
        <w:rPr>
          <w:rFonts w:hint="eastAsia" w:ascii="仿宋" w:hAnsi="仿宋" w:eastAsia="仿宋" w:cs="仿宋"/>
          <w:color w:val="auto"/>
          <w:kern w:val="0"/>
          <w:highlight w:val="none"/>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22.5 </w:t>
      </w:r>
      <w:r>
        <w:rPr>
          <w:rFonts w:hint="eastAsia" w:ascii="仿宋" w:hAnsi="仿宋" w:eastAsia="仿宋" w:cs="仿宋"/>
          <w:color w:val="auto"/>
          <w:kern w:val="0"/>
          <w:highlight w:val="none"/>
          <w:lang w:val="zh-CN"/>
        </w:rPr>
        <w:t>采购合同签订之日起</w:t>
      </w: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23.6 采购人与中标人应当根据合同的约定依法履行合同义务。政府采购合同的履行、违约责任和解决争议的方法等适用《中华人民共和国民法典》。</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23.7 </w:t>
      </w:r>
      <w:r>
        <w:rPr>
          <w:rFonts w:hint="eastAsia" w:ascii="仿宋" w:hAnsi="仿宋" w:eastAsia="仿宋" w:cs="仿宋"/>
          <w:color w:val="auto"/>
          <w:highlight w:val="none"/>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23.10 采购人、采购代理机构应当建立真实完整的招标采购档案，妥善保存每项采购活动的采购文件。</w:t>
      </w:r>
    </w:p>
    <w:p>
      <w:pPr>
        <w:pStyle w:val="21"/>
        <w:spacing w:before="0" w:after="0" w:line="360" w:lineRule="auto"/>
        <w:rPr>
          <w:rFonts w:hint="eastAsia" w:ascii="仿宋" w:hAnsi="仿宋" w:eastAsia="仿宋" w:cs="仿宋"/>
          <w:color w:val="auto"/>
          <w:highlight w:val="none"/>
          <w:lang w:val="zh-CN"/>
        </w:rPr>
      </w:pPr>
      <w:bookmarkStart w:id="75" w:name="_Toc9349"/>
      <w:r>
        <w:rPr>
          <w:rFonts w:hint="eastAsia" w:ascii="仿宋" w:hAnsi="仿宋" w:eastAsia="仿宋" w:cs="仿宋"/>
          <w:color w:val="auto"/>
          <w:highlight w:val="none"/>
          <w:lang w:val="zh-CN"/>
        </w:rPr>
        <w:t>十、其他</w:t>
      </w:r>
      <w:bookmarkEnd w:id="75"/>
    </w:p>
    <w:p>
      <w:pPr>
        <w:pStyle w:val="21"/>
        <w:spacing w:before="0" w:after="0" w:line="360" w:lineRule="auto"/>
        <w:jc w:val="left"/>
        <w:rPr>
          <w:rFonts w:hint="eastAsia" w:ascii="仿宋" w:hAnsi="仿宋" w:eastAsia="仿宋" w:cs="仿宋"/>
          <w:color w:val="auto"/>
          <w:sz w:val="28"/>
          <w:szCs w:val="28"/>
          <w:highlight w:val="none"/>
        </w:rPr>
      </w:pPr>
      <w:bookmarkStart w:id="76" w:name="_Toc3470"/>
      <w:r>
        <w:rPr>
          <w:rFonts w:hint="eastAsia" w:ascii="仿宋" w:hAnsi="仿宋" w:eastAsia="仿宋" w:cs="仿宋"/>
          <w:color w:val="auto"/>
          <w:sz w:val="28"/>
          <w:szCs w:val="28"/>
          <w:highlight w:val="none"/>
        </w:rPr>
        <w:t>24. 串通投标的情形</w:t>
      </w:r>
      <w:bookmarkEnd w:id="76"/>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24.2 有下列情形之一的，视为投标人串通投标，其投标无效：</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（1）不同投标人的投标文件由同一单位或者个人编制；</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（2）不同投标人委托同一单位或者个人办理投标事宜；</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（3）不同投标人的投标文件载明的项目管理成员或者联系人员为同一人；</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（4）不同投标人的投标文件异常一致或者投标报价呈规律性差异；</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（5）不同投标人的投标文件相互混装；</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（6）不同投标人的投标保证金从同一单位或者个人的账户转出。</w:t>
      </w:r>
    </w:p>
    <w:p>
      <w:pPr>
        <w:pStyle w:val="21"/>
        <w:spacing w:before="0" w:after="0" w:line="360" w:lineRule="auto"/>
        <w:jc w:val="left"/>
        <w:rPr>
          <w:rFonts w:hint="eastAsia" w:ascii="仿宋" w:hAnsi="仿宋" w:eastAsia="仿宋" w:cs="仿宋"/>
          <w:color w:val="auto"/>
          <w:sz w:val="28"/>
          <w:szCs w:val="28"/>
          <w:highlight w:val="none"/>
        </w:rPr>
      </w:pPr>
      <w:bookmarkStart w:id="77" w:name="_Toc16517"/>
      <w:r>
        <w:rPr>
          <w:rFonts w:hint="eastAsia" w:ascii="仿宋" w:hAnsi="仿宋" w:eastAsia="仿宋" w:cs="仿宋"/>
          <w:color w:val="auto"/>
          <w:sz w:val="28"/>
          <w:szCs w:val="28"/>
          <w:highlight w:val="none"/>
        </w:rPr>
        <w:t>25. 废标</w:t>
      </w:r>
      <w:bookmarkEnd w:id="77"/>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25.1 在招标采购中，出现下列情形之一的，应予废标：</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（1）符合专业条件的投标人或者对招标文件作实质性响应的投标人不足三家的。</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（2）出现影响采购公正的违法、违规行为的。</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（3）投标人的报价均超出采购预算，采购人不能支付的。</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（4）因重大变故，采购任务取消的。</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废标后，由采购人或者采购代理机构发布废标公告。</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（1）招标文件存在不合理条款或者招标程序不符合规定的，采购人、采购代理机构改正后依法重新招标；</w:t>
      </w:r>
    </w:p>
    <w:p>
      <w:pPr>
        <w:autoSpaceDE w:val="0"/>
        <w:autoSpaceDN w:val="0"/>
        <w:spacing w:line="360" w:lineRule="auto"/>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rPr>
        <w:t>（2）招标文件没有不合理条款、招标程序符合规定，需要采用其他采购方式采购的，采购人应当依法报财政部门批准。</w:t>
      </w:r>
    </w:p>
    <w:p>
      <w:pPr>
        <w:pStyle w:val="21"/>
        <w:spacing w:before="0" w:after="0" w:line="360" w:lineRule="auto"/>
        <w:jc w:val="left"/>
        <w:rPr>
          <w:rFonts w:hint="eastAsia" w:ascii="仿宋" w:hAnsi="仿宋" w:eastAsia="仿宋" w:cs="仿宋"/>
          <w:color w:val="auto"/>
          <w:sz w:val="28"/>
          <w:szCs w:val="28"/>
          <w:highlight w:val="none"/>
        </w:rPr>
      </w:pPr>
      <w:bookmarkStart w:id="78" w:name="_Toc22941"/>
      <w:r>
        <w:rPr>
          <w:rFonts w:hint="eastAsia" w:ascii="仿宋" w:hAnsi="仿宋" w:eastAsia="仿宋" w:cs="仿宋"/>
          <w:color w:val="auto"/>
          <w:sz w:val="28"/>
          <w:szCs w:val="28"/>
          <w:highlight w:val="none"/>
        </w:rPr>
        <w:t>26. 中标服务费</w:t>
      </w:r>
      <w:bookmarkEnd w:id="78"/>
    </w:p>
    <w:p>
      <w:pPr>
        <w:autoSpaceDE w:val="0"/>
        <w:autoSpaceDN w:val="0"/>
        <w:spacing w:line="360" w:lineRule="auto"/>
        <w:ind w:firstLine="48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26.1 收取对象：</w:t>
      </w:r>
      <w:r>
        <w:rPr>
          <w:rFonts w:hint="eastAsia" w:ascii="仿宋" w:hAnsi="仿宋" w:eastAsia="仿宋" w:cs="仿宋"/>
          <w:color w:val="auto"/>
          <w:kern w:val="0"/>
          <w:highlight w:val="none"/>
          <w:u w:val="dashDotDotHeavy"/>
        </w:rPr>
        <w:t>招</w:t>
      </w:r>
      <w:r>
        <w:rPr>
          <w:rFonts w:hint="eastAsia" w:ascii="仿宋" w:hAnsi="仿宋" w:eastAsia="仿宋" w:cs="仿宋"/>
          <w:color w:val="auto"/>
          <w:kern w:val="0"/>
          <w:highlight w:val="none"/>
          <w:u w:val="dashDotDotHeavy"/>
          <w:lang w:val="zh-CN"/>
        </w:rPr>
        <w:t>标人</w:t>
      </w:r>
      <w:r>
        <w:rPr>
          <w:rFonts w:hint="eastAsia" w:ascii="仿宋" w:hAnsi="仿宋" w:eastAsia="仿宋" w:cs="仿宋"/>
          <w:color w:val="auto"/>
          <w:kern w:val="0"/>
          <w:highlight w:val="none"/>
          <w:u w:val="dashDotDotHeavy"/>
        </w:rPr>
        <w:t>和中标人</w:t>
      </w:r>
      <w:r>
        <w:rPr>
          <w:rFonts w:hint="eastAsia" w:ascii="仿宋" w:hAnsi="仿宋" w:eastAsia="仿宋" w:cs="仿宋"/>
          <w:color w:val="auto"/>
          <w:kern w:val="0"/>
          <w:highlight w:val="none"/>
          <w:lang w:val="zh-CN"/>
        </w:rPr>
        <w:t>。</w:t>
      </w:r>
    </w:p>
    <w:p>
      <w:pPr>
        <w:autoSpaceDE w:val="0"/>
        <w:autoSpaceDN w:val="0"/>
        <w:spacing w:line="360" w:lineRule="auto"/>
        <w:ind w:firstLine="480" w:firstLineChars="200"/>
        <w:jc w:val="left"/>
        <w:rPr>
          <w:rFonts w:hint="eastAsia" w:ascii="仿宋" w:hAnsi="仿宋" w:eastAsia="仿宋" w:cs="仿宋"/>
          <w:color w:val="auto"/>
          <w:kern w:val="0"/>
          <w:highlight w:val="none"/>
          <w:u w:val="dashDotDotHeavy"/>
        </w:rPr>
      </w:pPr>
      <w:r>
        <w:rPr>
          <w:rFonts w:hint="eastAsia" w:ascii="仿宋" w:hAnsi="仿宋" w:eastAsia="仿宋" w:cs="仿宋"/>
          <w:color w:val="auto"/>
          <w:kern w:val="0"/>
          <w:highlight w:val="none"/>
        </w:rPr>
        <w:t xml:space="preserve">26.2 </w:t>
      </w:r>
      <w:r>
        <w:rPr>
          <w:rFonts w:hint="eastAsia" w:ascii="仿宋" w:hAnsi="仿宋" w:eastAsia="仿宋" w:cs="仿宋"/>
          <w:color w:val="auto"/>
          <w:kern w:val="0"/>
          <w:highlight w:val="none"/>
          <w:lang w:val="zh-CN"/>
        </w:rPr>
        <w:t>收费金额：</w:t>
      </w:r>
      <w:r>
        <w:rPr>
          <w:rFonts w:hint="eastAsia" w:ascii="仿宋" w:hAnsi="仿宋" w:eastAsia="仿宋" w:cs="仿宋"/>
          <w:color w:val="auto"/>
          <w:kern w:val="0"/>
          <w:highlight w:val="none"/>
          <w:u w:val="dashDotDotHeavy"/>
        </w:rPr>
        <w:t>本项目招标代理费由招标人按方案所列资金支付，不足部分由各包中标人支付。</w:t>
      </w:r>
    </w:p>
    <w:p>
      <w:pPr>
        <w:autoSpaceDE w:val="0"/>
        <w:autoSpaceDN w:val="0"/>
        <w:spacing w:line="360" w:lineRule="auto"/>
        <w:ind w:firstLine="480" w:firstLineChars="200"/>
        <w:jc w:val="left"/>
        <w:rPr>
          <w:rFonts w:hint="eastAsia" w:ascii="仿宋" w:hAnsi="仿宋" w:eastAsia="仿宋" w:cs="仿宋"/>
          <w:b/>
          <w:bCs/>
          <w:color w:val="auto"/>
          <w:sz w:val="36"/>
          <w:szCs w:val="32"/>
          <w:highlight w:val="none"/>
          <w:lang w:val="zh-CN"/>
        </w:rPr>
      </w:pPr>
      <w:r>
        <w:rPr>
          <w:rFonts w:hint="eastAsia" w:ascii="仿宋" w:hAnsi="仿宋" w:eastAsia="仿宋" w:cs="仿宋"/>
          <w:color w:val="auto"/>
          <w:kern w:val="0"/>
          <w:highlight w:val="none"/>
        </w:rPr>
        <w:t>说明：根据</w:t>
      </w:r>
      <w:r>
        <w:rPr>
          <w:rFonts w:hint="eastAsia" w:ascii="仿宋" w:hAnsi="仿宋" w:eastAsia="仿宋" w:cs="仿宋"/>
          <w:color w:val="auto"/>
          <w:kern w:val="0"/>
          <w:highlight w:val="none"/>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仿宋" w:hAnsi="仿宋" w:eastAsia="仿宋" w:cs="仿宋"/>
          <w:color w:val="auto"/>
          <w:kern w:val="0"/>
          <w:highlight w:val="none"/>
        </w:rPr>
        <w:t>。</w:t>
      </w:r>
    </w:p>
    <w:p>
      <w:pPr>
        <w:autoSpaceDE w:val="0"/>
        <w:autoSpaceDN w:val="0"/>
        <w:spacing w:line="360" w:lineRule="auto"/>
        <w:ind w:firstLine="480" w:firstLineChars="200"/>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其他未尽事宜，按照《中华人民共和国政府采购法》、《中华人民共和国政府采购法实施条例》、《中华人民共和国民法典》等法律法规的有关条款执行。</w:t>
      </w:r>
    </w:p>
    <w:p>
      <w:pPr>
        <w:rPr>
          <w:rFonts w:hint="eastAsia" w:ascii="仿宋" w:hAnsi="仿宋" w:eastAsia="仿宋" w:cs="仿宋"/>
          <w:color w:val="auto"/>
          <w:highlight w:val="none"/>
        </w:rPr>
      </w:pPr>
    </w:p>
    <w:p>
      <w:pPr>
        <w:pStyle w:val="21"/>
        <w:spacing w:before="0" w:after="0" w:line="360" w:lineRule="auto"/>
        <w:rPr>
          <w:rFonts w:hint="eastAsia" w:ascii="仿宋" w:hAnsi="仿宋" w:eastAsia="仿宋" w:cs="仿宋"/>
          <w:color w:val="auto"/>
          <w:sz w:val="24"/>
          <w:highlight w:val="none"/>
        </w:rPr>
      </w:pPr>
      <w:r>
        <w:rPr>
          <w:rFonts w:hint="eastAsia" w:ascii="仿宋" w:hAnsi="仿宋" w:eastAsia="仿宋" w:cs="仿宋"/>
          <w:color w:val="auto"/>
          <w:szCs w:val="36"/>
          <w:highlight w:val="none"/>
          <w:lang w:val="zh-CN"/>
        </w:rPr>
        <w:br w:type="page"/>
      </w:r>
      <w:bookmarkStart w:id="79" w:name="_Toc17361"/>
      <w:r>
        <w:rPr>
          <w:rFonts w:hint="eastAsia" w:ascii="仿宋" w:hAnsi="仿宋" w:eastAsia="仿宋" w:cs="仿宋"/>
          <w:color w:val="auto"/>
          <w:szCs w:val="36"/>
          <w:highlight w:val="none"/>
          <w:lang w:val="zh-CN"/>
        </w:rPr>
        <w:t>第三部分 青海省政府采购项目合同书范本</w:t>
      </w:r>
      <w:bookmarkEnd w:id="79"/>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jc w:val="center"/>
        <w:rPr>
          <w:rFonts w:hint="eastAsia" w:ascii="仿宋" w:hAnsi="仿宋" w:eastAsia="仿宋" w:cs="仿宋"/>
          <w:b/>
          <w:bCs/>
          <w:color w:val="auto"/>
          <w:kern w:val="0"/>
          <w:sz w:val="48"/>
          <w:szCs w:val="48"/>
          <w:highlight w:val="none"/>
        </w:rPr>
      </w:pPr>
      <w:r>
        <w:rPr>
          <w:rFonts w:hint="eastAsia" w:ascii="仿宋" w:hAnsi="仿宋" w:eastAsia="仿宋" w:cs="仿宋"/>
          <w:b/>
          <w:bCs/>
          <w:color w:val="auto"/>
          <w:kern w:val="0"/>
          <w:sz w:val="48"/>
          <w:szCs w:val="48"/>
          <w:highlight w:val="none"/>
          <w:lang w:val="zh-CN"/>
        </w:rPr>
        <w:t>青海省政府采购项目合同书</w:t>
      </w: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rPr>
          <w:rFonts w:hint="eastAsia" w:ascii="仿宋" w:hAnsi="仿宋" w:eastAsia="仿宋" w:cs="仿宋"/>
          <w:b/>
          <w:bCs/>
          <w:color w:val="auto"/>
          <w:kern w:val="0"/>
          <w:sz w:val="30"/>
          <w:szCs w:val="30"/>
          <w:highlight w:val="none"/>
          <w:lang w:eastAsia="zh-CN"/>
        </w:rPr>
      </w:pPr>
      <w:r>
        <w:rPr>
          <w:rFonts w:hint="eastAsia" w:ascii="仿宋" w:hAnsi="仿宋" w:eastAsia="仿宋" w:cs="仿宋"/>
          <w:b/>
          <w:bCs/>
          <w:color w:val="auto"/>
          <w:kern w:val="0"/>
          <w:sz w:val="30"/>
          <w:szCs w:val="30"/>
          <w:highlight w:val="none"/>
          <w:lang w:val="zh-CN"/>
        </w:rPr>
        <w:t>采购项目编号：</w:t>
      </w:r>
      <w:r>
        <w:rPr>
          <w:rFonts w:hint="eastAsia" w:ascii="仿宋" w:hAnsi="仿宋" w:eastAsia="仿宋" w:cs="仿宋"/>
          <w:color w:val="auto"/>
          <w:kern w:val="0"/>
          <w:sz w:val="30"/>
          <w:szCs w:val="30"/>
          <w:highlight w:val="none"/>
          <w:u w:val="single"/>
        </w:rPr>
        <w:t xml:space="preserve"> </w:t>
      </w:r>
      <w:r>
        <w:rPr>
          <w:rFonts w:hint="eastAsia" w:ascii="仿宋" w:hAnsi="仿宋" w:eastAsia="仿宋" w:cs="仿宋"/>
          <w:color w:val="auto"/>
          <w:kern w:val="0"/>
          <w:sz w:val="30"/>
          <w:szCs w:val="30"/>
          <w:highlight w:val="none"/>
          <w:u w:val="single"/>
          <w:lang w:eastAsia="zh-CN"/>
        </w:rPr>
        <w:t xml:space="preserve">德汇青海公招（货物）2022-001  </w:t>
      </w:r>
    </w:p>
    <w:p>
      <w:pPr>
        <w:autoSpaceDE w:val="0"/>
        <w:autoSpaceDN w:val="0"/>
        <w:adjustRightInd w:val="0"/>
        <w:spacing w:line="360" w:lineRule="auto"/>
        <w:rPr>
          <w:rFonts w:hint="eastAsia" w:ascii="仿宋" w:hAnsi="仿宋" w:eastAsia="仿宋" w:cs="仿宋"/>
          <w:color w:val="auto"/>
          <w:kern w:val="0"/>
          <w:sz w:val="30"/>
          <w:szCs w:val="30"/>
          <w:highlight w:val="none"/>
          <w:u w:val="single"/>
          <w:lang w:eastAsia="zh-CN"/>
        </w:rPr>
      </w:pPr>
      <w:r>
        <w:rPr>
          <w:rFonts w:hint="eastAsia" w:ascii="仿宋" w:hAnsi="仿宋" w:eastAsia="仿宋" w:cs="仿宋"/>
          <w:b/>
          <w:bCs/>
          <w:color w:val="auto"/>
          <w:kern w:val="0"/>
          <w:sz w:val="30"/>
          <w:szCs w:val="30"/>
          <w:highlight w:val="none"/>
          <w:lang w:val="zh-CN"/>
        </w:rPr>
        <w:t>采购项目名称：</w:t>
      </w:r>
      <w:r>
        <w:rPr>
          <w:rFonts w:hint="eastAsia" w:ascii="仿宋" w:hAnsi="仿宋" w:eastAsia="仿宋" w:cs="仿宋"/>
          <w:color w:val="auto"/>
          <w:kern w:val="0"/>
          <w:sz w:val="30"/>
          <w:szCs w:val="30"/>
          <w:highlight w:val="none"/>
          <w:u w:val="single"/>
          <w:lang w:eastAsia="zh-CN"/>
        </w:rPr>
        <w:t>大通县2021年祁连山生态保护和修复项目</w:t>
      </w:r>
    </w:p>
    <w:p>
      <w:pPr>
        <w:autoSpaceDE w:val="0"/>
        <w:autoSpaceDN w:val="0"/>
        <w:adjustRightInd w:val="0"/>
        <w:spacing w:line="360" w:lineRule="auto"/>
        <w:rPr>
          <w:rFonts w:hint="eastAsia" w:ascii="仿宋" w:hAnsi="仿宋" w:eastAsia="仿宋" w:cs="仿宋"/>
          <w:color w:val="auto"/>
          <w:kern w:val="0"/>
          <w:sz w:val="30"/>
          <w:szCs w:val="30"/>
          <w:highlight w:val="none"/>
          <w:u w:val="single"/>
        </w:rPr>
      </w:pPr>
      <w:r>
        <w:rPr>
          <w:rFonts w:hint="eastAsia" w:ascii="仿宋" w:hAnsi="仿宋" w:eastAsia="仿宋" w:cs="仿宋"/>
          <w:b/>
          <w:bCs/>
          <w:color w:val="auto"/>
          <w:kern w:val="0"/>
          <w:sz w:val="30"/>
          <w:szCs w:val="30"/>
          <w:highlight w:val="none"/>
          <w:lang w:val="zh-CN"/>
        </w:rPr>
        <w:t>采购合同编号：</w:t>
      </w:r>
      <w:r>
        <w:rPr>
          <w:rFonts w:hint="eastAsia" w:ascii="仿宋" w:hAnsi="仿宋" w:eastAsia="仿宋" w:cs="仿宋"/>
          <w:color w:val="auto"/>
          <w:kern w:val="0"/>
          <w:sz w:val="30"/>
          <w:szCs w:val="30"/>
          <w:highlight w:val="none"/>
          <w:u w:val="single"/>
          <w:lang w:val="en-US" w:eastAsia="zh-CN"/>
        </w:rPr>
        <w:t>DHQH</w:t>
      </w:r>
      <w:r>
        <w:rPr>
          <w:rFonts w:hint="eastAsia" w:ascii="仿宋" w:hAnsi="仿宋" w:eastAsia="仿宋" w:cs="仿宋"/>
          <w:color w:val="auto"/>
          <w:kern w:val="0"/>
          <w:sz w:val="30"/>
          <w:szCs w:val="30"/>
          <w:highlight w:val="none"/>
          <w:u w:val="single"/>
          <w:lang w:val="zh-CN"/>
        </w:rPr>
        <w:t>-202</w:t>
      </w:r>
      <w:r>
        <w:rPr>
          <w:rFonts w:hint="eastAsia" w:ascii="仿宋" w:hAnsi="仿宋" w:eastAsia="仿宋" w:cs="仿宋"/>
          <w:color w:val="auto"/>
          <w:kern w:val="0"/>
          <w:sz w:val="30"/>
          <w:szCs w:val="30"/>
          <w:highlight w:val="none"/>
          <w:u w:val="single"/>
          <w:lang w:val="en-US" w:eastAsia="zh-CN"/>
        </w:rPr>
        <w:t>2</w:t>
      </w:r>
      <w:r>
        <w:rPr>
          <w:rFonts w:hint="eastAsia" w:ascii="仿宋" w:hAnsi="仿宋" w:eastAsia="仿宋" w:cs="仿宋"/>
          <w:color w:val="auto"/>
          <w:kern w:val="0"/>
          <w:sz w:val="30"/>
          <w:szCs w:val="30"/>
          <w:highlight w:val="none"/>
          <w:u w:val="single"/>
          <w:lang w:val="zh-CN"/>
        </w:rPr>
        <w:t>-</w:t>
      </w:r>
      <w:r>
        <w:rPr>
          <w:rFonts w:hint="eastAsia" w:ascii="仿宋" w:hAnsi="仿宋" w:eastAsia="仿宋" w:cs="仿宋"/>
          <w:color w:val="auto"/>
          <w:kern w:val="0"/>
          <w:sz w:val="30"/>
          <w:szCs w:val="30"/>
          <w:highlight w:val="none"/>
          <w:u w:val="single"/>
        </w:rPr>
        <w:t>0</w:t>
      </w:r>
      <w:r>
        <w:rPr>
          <w:rFonts w:hint="eastAsia" w:ascii="仿宋" w:hAnsi="仿宋" w:eastAsia="仿宋" w:cs="仿宋"/>
          <w:color w:val="auto"/>
          <w:kern w:val="0"/>
          <w:sz w:val="30"/>
          <w:szCs w:val="30"/>
          <w:highlight w:val="none"/>
          <w:u w:val="single"/>
          <w:lang w:val="en-US" w:eastAsia="zh-CN"/>
        </w:rPr>
        <w:t>01</w:t>
      </w:r>
      <w:r>
        <w:rPr>
          <w:rFonts w:hint="eastAsia" w:ascii="仿宋" w:hAnsi="仿宋" w:eastAsia="仿宋" w:cs="仿宋"/>
          <w:color w:val="auto"/>
          <w:kern w:val="0"/>
          <w:sz w:val="30"/>
          <w:szCs w:val="30"/>
          <w:highlight w:val="none"/>
          <w:u w:val="single"/>
        </w:rPr>
        <w:t>-</w:t>
      </w:r>
    </w:p>
    <w:p>
      <w:pPr>
        <w:pStyle w:val="13"/>
        <w:ind w:firstLine="0" w:firstLineChars="0"/>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包号：</w:t>
      </w:r>
    </w:p>
    <w:p>
      <w:pPr>
        <w:autoSpaceDE w:val="0"/>
        <w:autoSpaceDN w:val="0"/>
        <w:adjustRightInd w:val="0"/>
        <w:spacing w:line="360" w:lineRule="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lang w:val="zh-CN"/>
        </w:rPr>
        <w:t>合同金额（人民币）：</w:t>
      </w:r>
    </w:p>
    <w:p>
      <w:pPr>
        <w:autoSpaceDE w:val="0"/>
        <w:autoSpaceDN w:val="0"/>
        <w:adjustRightInd w:val="0"/>
        <w:spacing w:line="360" w:lineRule="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lang w:val="zh-CN"/>
        </w:rPr>
        <w:t>采购人（甲方）：</w:t>
      </w:r>
      <w:r>
        <w:rPr>
          <w:rFonts w:hint="eastAsia" w:ascii="仿宋" w:hAnsi="仿宋" w:eastAsia="仿宋" w:cs="仿宋"/>
          <w:b/>
          <w:bCs/>
          <w:color w:val="auto"/>
          <w:kern w:val="0"/>
          <w:sz w:val="30"/>
          <w:szCs w:val="30"/>
          <w:highlight w:val="none"/>
          <w:u w:val="single"/>
          <w:lang w:val="zh-CN"/>
        </w:rPr>
        <w:t>（盖章）</w:t>
      </w:r>
    </w:p>
    <w:p>
      <w:pPr>
        <w:autoSpaceDE w:val="0"/>
        <w:autoSpaceDN w:val="0"/>
        <w:adjustRightInd w:val="0"/>
        <w:spacing w:line="360" w:lineRule="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lang w:val="zh-CN"/>
        </w:rPr>
        <w:t>中标人（乙方）：</w:t>
      </w:r>
      <w:r>
        <w:rPr>
          <w:rFonts w:hint="eastAsia" w:ascii="仿宋" w:hAnsi="仿宋" w:eastAsia="仿宋" w:cs="仿宋"/>
          <w:b/>
          <w:bCs/>
          <w:color w:val="auto"/>
          <w:kern w:val="0"/>
          <w:sz w:val="30"/>
          <w:szCs w:val="30"/>
          <w:highlight w:val="none"/>
          <w:u w:val="single"/>
          <w:lang w:val="zh-CN"/>
        </w:rPr>
        <w:t>（盖章）</w:t>
      </w:r>
    </w:p>
    <w:p>
      <w:pPr>
        <w:autoSpaceDE w:val="0"/>
        <w:autoSpaceDN w:val="0"/>
        <w:adjustRightInd w:val="0"/>
        <w:spacing w:line="360" w:lineRule="auto"/>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lang w:val="zh-CN"/>
        </w:rPr>
        <w:t>采购日期：</w:t>
      </w:r>
    </w:p>
    <w:p>
      <w:pPr>
        <w:autoSpaceDE w:val="0"/>
        <w:autoSpaceDN w:val="0"/>
        <w:adjustRightInd w:val="0"/>
        <w:spacing w:line="360" w:lineRule="auto"/>
        <w:rPr>
          <w:rFonts w:hint="eastAsia" w:ascii="仿宋" w:hAnsi="仿宋" w:eastAsia="仿宋" w:cs="仿宋"/>
          <w:color w:val="auto"/>
          <w:kern w:val="0"/>
          <w:sz w:val="28"/>
          <w:szCs w:val="28"/>
          <w:highlight w:val="none"/>
        </w:rPr>
      </w:pPr>
    </w:p>
    <w:p>
      <w:pPr>
        <w:autoSpaceDE w:val="0"/>
        <w:autoSpaceDN w:val="0"/>
        <w:adjustRightInd w:val="0"/>
        <w:spacing w:line="360" w:lineRule="auto"/>
        <w:jc w:val="center"/>
        <w:rPr>
          <w:rFonts w:hint="eastAsia" w:ascii="仿宋" w:hAnsi="仿宋" w:eastAsia="仿宋" w:cs="仿宋"/>
          <w:b/>
          <w:bCs/>
          <w:color w:val="auto"/>
          <w:kern w:val="0"/>
          <w:sz w:val="48"/>
          <w:szCs w:val="48"/>
          <w:highlight w:val="none"/>
        </w:rPr>
      </w:pPr>
      <w:r>
        <w:rPr>
          <w:rFonts w:hint="eastAsia" w:ascii="仿宋" w:hAnsi="仿宋" w:eastAsia="仿宋" w:cs="仿宋"/>
          <w:color w:val="auto"/>
          <w:kern w:val="0"/>
          <w:sz w:val="28"/>
          <w:szCs w:val="28"/>
          <w:highlight w:val="none"/>
        </w:rPr>
        <w:br w:type="page"/>
      </w:r>
    </w:p>
    <w:p>
      <w:pPr>
        <w:autoSpaceDE w:val="0"/>
        <w:autoSpaceDN w:val="0"/>
        <w:adjustRightInd w:val="0"/>
        <w:spacing w:line="360" w:lineRule="auto"/>
        <w:jc w:val="lef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zh-CN"/>
        </w:rPr>
        <w:t>采</w:t>
      </w:r>
      <w:r>
        <w:rPr>
          <w:rFonts w:hint="eastAsia" w:ascii="仿宋" w:hAnsi="仿宋" w:eastAsia="仿宋" w:cs="仿宋"/>
          <w:b/>
          <w:bCs/>
          <w:color w:val="auto"/>
          <w:kern w:val="0"/>
          <w:sz w:val="28"/>
          <w:szCs w:val="28"/>
          <w:highlight w:val="none"/>
        </w:rPr>
        <w:t xml:space="preserve"> </w:t>
      </w:r>
      <w:r>
        <w:rPr>
          <w:rFonts w:hint="eastAsia" w:ascii="仿宋" w:hAnsi="仿宋" w:eastAsia="仿宋" w:cs="仿宋"/>
          <w:b/>
          <w:bCs/>
          <w:color w:val="auto"/>
          <w:kern w:val="0"/>
          <w:sz w:val="28"/>
          <w:szCs w:val="28"/>
          <w:highlight w:val="none"/>
          <w:lang w:val="zh-CN"/>
        </w:rPr>
        <w:t>购</w:t>
      </w:r>
      <w:r>
        <w:rPr>
          <w:rFonts w:hint="eastAsia" w:ascii="仿宋" w:hAnsi="仿宋" w:eastAsia="仿宋" w:cs="仿宋"/>
          <w:b/>
          <w:bCs/>
          <w:color w:val="auto"/>
          <w:kern w:val="0"/>
          <w:sz w:val="28"/>
          <w:szCs w:val="28"/>
          <w:highlight w:val="none"/>
        </w:rPr>
        <w:t xml:space="preserve"> </w:t>
      </w:r>
      <w:r>
        <w:rPr>
          <w:rFonts w:hint="eastAsia" w:ascii="仿宋" w:hAnsi="仿宋" w:eastAsia="仿宋" w:cs="仿宋"/>
          <w:b/>
          <w:bCs/>
          <w:color w:val="auto"/>
          <w:kern w:val="0"/>
          <w:sz w:val="28"/>
          <w:szCs w:val="28"/>
          <w:highlight w:val="none"/>
          <w:lang w:val="zh-CN"/>
        </w:rPr>
        <w:t>人（以下简称甲方）：</w:t>
      </w:r>
    </w:p>
    <w:p>
      <w:pPr>
        <w:autoSpaceDE w:val="0"/>
        <w:autoSpaceDN w:val="0"/>
        <w:adjustRightInd w:val="0"/>
        <w:spacing w:line="360" w:lineRule="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30"/>
          <w:szCs w:val="30"/>
          <w:highlight w:val="none"/>
          <w:lang w:val="zh-CN"/>
        </w:rPr>
        <w:t>中</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30"/>
          <w:szCs w:val="30"/>
          <w:highlight w:val="none"/>
          <w:lang w:val="zh-CN"/>
        </w:rPr>
        <w:t>标</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30"/>
          <w:szCs w:val="30"/>
          <w:highlight w:val="none"/>
          <w:lang w:val="zh-CN"/>
        </w:rPr>
        <w:t>人</w:t>
      </w:r>
      <w:r>
        <w:rPr>
          <w:rFonts w:hint="eastAsia" w:ascii="仿宋" w:hAnsi="仿宋" w:eastAsia="仿宋" w:cs="仿宋"/>
          <w:b/>
          <w:bCs/>
          <w:color w:val="auto"/>
          <w:kern w:val="0"/>
          <w:sz w:val="28"/>
          <w:szCs w:val="28"/>
          <w:highlight w:val="none"/>
          <w:lang w:val="zh-CN"/>
        </w:rPr>
        <w:t>（以下简称乙方）：</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甲、乙双方根据XXXX年XX月XX日（采购项目名称）采购项目（采购项目编号）的招标文件要求和采购代理机构出具的《中标通知书》，并经双方协商一致，签订本合同协议书。</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一、签订本政府采购合同的依据</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本政府采购合同所附下列文件是构成本政府采购合同不可分割的部分：</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1.招标文件；</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2.招标文件的澄清、变更公告；</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3.中标人提交的投标文件；</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4.招标文件中规定的政府采购合同通用条款；</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5.中标通知书；</w:t>
      </w:r>
    </w:p>
    <w:p>
      <w:pPr>
        <w:spacing w:line="400" w:lineRule="exact"/>
        <w:ind w:firstLine="470" w:firstLineChars="196"/>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6.履约保证金缴费证明。</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二、合同标的：</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分项报价表</w:t>
      </w:r>
      <w:r>
        <w:rPr>
          <w:rFonts w:hint="eastAsia" w:ascii="仿宋" w:hAnsi="仿宋" w:eastAsia="仿宋" w:cs="仿宋"/>
          <w:color w:val="auto"/>
          <w:highlight w:val="none"/>
        </w:rPr>
        <w:t>（见附件，须有甲乙双方盖章）；</w:t>
      </w:r>
    </w:p>
    <w:p>
      <w:pPr>
        <w:autoSpaceDE w:val="0"/>
        <w:autoSpaceDN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3、本合同以人民币进行结算，合同总价包括</w:t>
      </w:r>
      <w:r>
        <w:rPr>
          <w:rFonts w:hint="eastAsia" w:ascii="仿宋" w:hAnsi="仿宋" w:eastAsia="仿宋" w:cs="仿宋"/>
          <w:color w:val="auto"/>
          <w:kern w:val="0"/>
          <w:highlight w:val="none"/>
          <w:u w:val="single"/>
          <w:lang w:val="zh-CN"/>
        </w:rPr>
        <w:t>人工费、机械费、产品费、验收费、手续费、包装费、运输费、</w:t>
      </w:r>
      <w:r>
        <w:rPr>
          <w:rFonts w:hint="eastAsia" w:ascii="仿宋" w:hAnsi="仿宋" w:eastAsia="仿宋" w:cs="仿宋"/>
          <w:color w:val="auto"/>
          <w:kern w:val="0"/>
          <w:highlight w:val="none"/>
          <w:u w:val="single"/>
          <w:lang w:val="en-US" w:eastAsia="zh-CN"/>
        </w:rPr>
        <w:t>安装调试费、</w:t>
      </w:r>
      <w:r>
        <w:rPr>
          <w:rFonts w:hint="eastAsia" w:ascii="仿宋" w:hAnsi="仿宋" w:eastAsia="仿宋" w:cs="仿宋"/>
          <w:color w:val="auto"/>
          <w:kern w:val="0"/>
          <w:highlight w:val="none"/>
          <w:u w:val="single"/>
          <w:lang w:val="zh-CN"/>
        </w:rPr>
        <w:t>差旅费、招标代理服务费。</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三、质量保证</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1、乙方所提供的服务质量、人员配备、技术规格必须与招、投标文件和承诺相一致。</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2、乙方应保证提供服务不会侵犯任何第三方的权利。</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四、交付和验收</w:t>
      </w:r>
    </w:p>
    <w:p>
      <w:pPr>
        <w:spacing w:line="400" w:lineRule="exact"/>
        <w:ind w:firstLine="470" w:firstLineChars="196"/>
        <w:rPr>
          <w:rFonts w:hint="eastAsia" w:ascii="仿宋" w:hAnsi="仿宋" w:eastAsia="仿宋" w:cs="仿宋"/>
          <w:b/>
          <w:bCs/>
          <w:color w:val="auto"/>
          <w:kern w:val="0"/>
          <w:highlight w:val="none"/>
          <w:lang w:eastAsia="zh-CN"/>
        </w:rPr>
      </w:pPr>
      <w:r>
        <w:rPr>
          <w:rFonts w:hint="eastAsia" w:ascii="仿宋" w:hAnsi="仿宋" w:eastAsia="仿宋" w:cs="仿宋"/>
          <w:color w:val="auto"/>
          <w:highlight w:val="none"/>
        </w:rPr>
        <w:t>1、</w:t>
      </w:r>
      <w:r>
        <w:rPr>
          <w:rFonts w:hint="eastAsia" w:ascii="仿宋" w:hAnsi="仿宋" w:eastAsia="仿宋" w:cs="仿宋"/>
          <w:b/>
          <w:bCs/>
          <w:color w:val="auto"/>
          <w:kern w:val="0"/>
          <w:highlight w:val="none"/>
          <w:lang w:val="en-US" w:eastAsia="zh-CN"/>
        </w:rPr>
        <w:t>交货（工）期</w:t>
      </w:r>
      <w:r>
        <w:rPr>
          <w:rFonts w:hint="eastAsia" w:ascii="仿宋" w:hAnsi="仿宋" w:eastAsia="仿宋" w:cs="仿宋"/>
          <w:b/>
          <w:bCs/>
          <w:color w:val="auto"/>
          <w:kern w:val="0"/>
          <w:highlight w:val="none"/>
          <w:lang w:eastAsia="zh-CN"/>
        </w:rPr>
        <w:t>：</w:t>
      </w:r>
      <w:r>
        <w:rPr>
          <w:rFonts w:hint="eastAsia" w:ascii="仿宋" w:hAnsi="仿宋" w:eastAsia="仿宋" w:cs="仿宋"/>
          <w:b/>
          <w:bCs/>
          <w:color w:val="auto"/>
          <w:kern w:val="0"/>
          <w:highlight w:val="none"/>
          <w:lang w:val="en-US" w:eastAsia="zh-CN"/>
        </w:rPr>
        <w:t>按合同约定执行</w:t>
      </w:r>
      <w:r>
        <w:rPr>
          <w:rFonts w:hint="eastAsia" w:ascii="仿宋" w:hAnsi="仿宋" w:eastAsia="仿宋" w:cs="仿宋"/>
          <w:b/>
          <w:bCs/>
          <w:color w:val="auto"/>
          <w:kern w:val="0"/>
          <w:highlight w:val="none"/>
          <w:lang w:eastAsia="zh-CN"/>
        </w:rPr>
        <w:t>。</w:t>
      </w:r>
    </w:p>
    <w:p>
      <w:pPr>
        <w:spacing w:line="400" w:lineRule="exact"/>
        <w:ind w:firstLine="472" w:firstLineChars="196"/>
        <w:rPr>
          <w:rFonts w:hint="eastAsia" w:ascii="仿宋" w:hAnsi="仿宋" w:eastAsia="仿宋" w:cs="仿宋"/>
          <w:b/>
          <w:bCs/>
          <w:color w:val="auto"/>
          <w:kern w:val="0"/>
          <w:highlight w:val="none"/>
          <w:lang w:eastAsia="zh-CN"/>
        </w:rPr>
      </w:pPr>
      <w:r>
        <w:rPr>
          <w:rFonts w:hint="eastAsia" w:ascii="仿宋" w:hAnsi="仿宋" w:eastAsia="仿宋" w:cs="仿宋"/>
          <w:b/>
          <w:bCs/>
          <w:color w:val="auto"/>
          <w:kern w:val="0"/>
          <w:highlight w:val="none"/>
          <w:lang w:eastAsia="zh-CN"/>
        </w:rPr>
        <w:t xml:space="preserve">  </w:t>
      </w:r>
      <w:r>
        <w:rPr>
          <w:rFonts w:hint="eastAsia" w:ascii="仿宋" w:hAnsi="仿宋" w:eastAsia="仿宋" w:cs="仿宋"/>
          <w:b/>
          <w:bCs/>
          <w:color w:val="auto"/>
          <w:kern w:val="0"/>
          <w:highlight w:val="none"/>
          <w:lang w:val="en-US" w:eastAsia="zh-CN"/>
        </w:rPr>
        <w:t>交货（工）地点</w:t>
      </w:r>
      <w:r>
        <w:rPr>
          <w:rFonts w:hint="eastAsia" w:ascii="仿宋" w:hAnsi="仿宋" w:eastAsia="仿宋" w:cs="仿宋"/>
          <w:b/>
          <w:bCs/>
          <w:color w:val="auto"/>
          <w:kern w:val="0"/>
          <w:highlight w:val="none"/>
          <w:lang w:eastAsia="zh-CN"/>
        </w:rPr>
        <w:t>：详见各包采购清单。</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b w:val="0"/>
          <w:bCs w:val="0"/>
          <w:color w:val="auto"/>
          <w:kern w:val="0"/>
          <w:highlight w:val="none"/>
          <w:lang w:eastAsia="zh-CN"/>
        </w:rPr>
        <w:t>2、乙方提供不符合招投标文件和本合同规</w:t>
      </w:r>
      <w:r>
        <w:rPr>
          <w:rFonts w:hint="eastAsia" w:ascii="仿宋" w:hAnsi="仿宋" w:eastAsia="仿宋" w:cs="仿宋"/>
          <w:b w:val="0"/>
          <w:bCs w:val="0"/>
          <w:color w:val="auto"/>
          <w:highlight w:val="none"/>
        </w:rPr>
        <w:t>定的服</w:t>
      </w:r>
      <w:r>
        <w:rPr>
          <w:rFonts w:hint="eastAsia" w:ascii="仿宋" w:hAnsi="仿宋" w:eastAsia="仿宋" w:cs="仿宋"/>
          <w:color w:val="auto"/>
          <w:highlight w:val="none"/>
        </w:rPr>
        <w:t>务，甲方有权拒绝接受。</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3、甲方应提供该项目验收报告交省政府采购中心，在验收过程中发现乙方有违约问题，可暂缓资金结算；待违约问题解决后，方可办理资金结算事宜。</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4、甲方对验收有异议的，在验收后5个工作日内以书面形式向乙方提出，乙方应自收到甲方书面异议后10个工作日内及时予以解决。</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5、乙方向甲方提供产品相关完税销售发票。</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五、付款方式</w:t>
      </w:r>
    </w:p>
    <w:p>
      <w:pPr>
        <w:spacing w:line="400" w:lineRule="exact"/>
        <w:ind w:firstLine="472" w:firstLineChars="196"/>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en-US" w:eastAsia="zh-CN"/>
        </w:rPr>
        <w:t>本项目付款方式，</w:t>
      </w:r>
      <w:r>
        <w:rPr>
          <w:rFonts w:hint="eastAsia" w:ascii="仿宋" w:hAnsi="仿宋" w:eastAsia="仿宋" w:cs="仿宋"/>
          <w:b/>
          <w:bCs/>
          <w:color w:val="auto"/>
          <w:kern w:val="0"/>
          <w:highlight w:val="none"/>
          <w:lang w:val="zh-CN"/>
        </w:rPr>
        <w:t>签订合同时约定。</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六、合同的变更、终止与转让</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1、除《中华人民共和国政府采购法》第50条规定的情形外，本合同一经签订，甲乙双方不得擅自变更、中止或终止。</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2、乙方不得擅自转让其应履行的合同义务。</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七、违约责任</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1、乙方所提供的服务、技术标准等质量不合格的，应及时调整；调整不及时的，按逾期交货处罚；因质量问题甲方不同意接受的或特殊情况甲方不同意接受的，质保金全额扣除，并由乙方赔偿由此引起的甲方的一切经济损失。</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2、乙方提供的服务如侵犯了第三方合同权益而引发纠纷或诉讼的，均由乙方负责交涉并承担全部责任。</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3、甲方无故延期接受服务和乙方逾期服务的，每天应向对方偿付合同总价款3‰的违约金，但违约金累计不得超过违约货款的5%，超过</w:t>
      </w:r>
      <w:r>
        <w:rPr>
          <w:rFonts w:hint="eastAsia" w:ascii="仿宋" w:hAnsi="仿宋" w:eastAsia="仿宋" w:cs="仿宋"/>
          <w:color w:val="auto"/>
          <w:highlight w:val="none"/>
          <w:u w:val="single"/>
        </w:rPr>
        <w:t>30</w:t>
      </w:r>
      <w:r>
        <w:rPr>
          <w:rFonts w:hint="eastAsia" w:ascii="仿宋" w:hAnsi="仿宋" w:eastAsia="仿宋" w:cs="仿宋"/>
          <w:color w:val="auto"/>
          <w:highlight w:val="none"/>
        </w:rPr>
        <w:t>天对方有权解除合同，违约方承担因此给对方造成的经济损失。</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4、乙方未按本合同和投标文件中规定的服务承诺提供服务的，乙方应按本合同合计金额的5%向甲方支付违约金。</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5、乙方提供的服务质量保证期内，因设计、工艺或材料的缺陷和其它质量原因造成的问题，由乙方负责。</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6、其它违约行为按违约货款额5%收取违约金并赔偿经济损失。</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八.不可抗力</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1、不可抗力使合同的某些内容有变更必要的，双方应通过协商在</w:t>
      </w:r>
      <w:r>
        <w:rPr>
          <w:rFonts w:hint="eastAsia" w:ascii="仿宋" w:hAnsi="仿宋" w:eastAsia="仿宋" w:cs="仿宋"/>
          <w:color w:val="auto"/>
          <w:highlight w:val="none"/>
          <w:u w:val="single"/>
        </w:rPr>
        <w:t>20天</w:t>
      </w:r>
      <w:r>
        <w:rPr>
          <w:rFonts w:hint="eastAsia" w:ascii="仿宋" w:hAnsi="仿宋" w:eastAsia="仿宋" w:cs="仿宋"/>
          <w:color w:val="auto"/>
          <w:highlight w:val="none"/>
        </w:rPr>
        <w:t>内达成进一步履行合同的协议，因不可抗力致使合同不能履行的，合同终止。</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2、除法律、法规规定的不可抗力情形外，双方约定出现</w:t>
      </w:r>
      <w:r>
        <w:rPr>
          <w:rFonts w:hint="eastAsia" w:ascii="仿宋" w:hAnsi="仿宋" w:eastAsia="仿宋" w:cs="仿宋"/>
          <w:color w:val="auto"/>
          <w:highlight w:val="none"/>
          <w:u w:val="single"/>
        </w:rPr>
        <w:t xml:space="preserve"> 无 </w:t>
      </w:r>
      <w:r>
        <w:rPr>
          <w:rFonts w:hint="eastAsia" w:ascii="仿宋" w:hAnsi="仿宋" w:eastAsia="仿宋" w:cs="仿宋"/>
          <w:color w:val="auto"/>
          <w:highlight w:val="none"/>
        </w:rPr>
        <w:t>情况亦视为不可抗力。</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九、知识产权：详见合同通用条款</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十、其他约定：</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十一、合同争议解决</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1、因服务质量问题发生争议的，应邀请国家认可的质量检测机构进行鉴定。产品符合标准的，鉴定费由甲方承担；服务不符合标准的，鉴定费由乙方承担。</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2、因履行本合同引起的或与本合同有关的争议，甲乙双方应首先通过友好协商解决，如果协商不能解决，可向甲方所在地仲裁委员会申请仲裁或向甲方所在地人民法院提起诉讼。</w:t>
      </w:r>
    </w:p>
    <w:p>
      <w:pPr>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3、诉讼期间，本合同继续履行。</w:t>
      </w: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十二、合同生效及其它</w:t>
      </w:r>
      <w:r>
        <w:rPr>
          <w:rFonts w:hint="eastAsia" w:ascii="仿宋" w:hAnsi="仿宋" w:eastAsia="仿宋" w:cs="仿宋"/>
          <w:color w:val="auto"/>
          <w:highlight w:val="none"/>
        </w:rPr>
        <w:t>：</w:t>
      </w: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CN"/>
        </w:rPr>
        <w:t>本合同一式八份，经双方签字，并加盖公章即为生效。</w:t>
      </w: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zh-CN"/>
        </w:rPr>
        <w:t>本合同未尽事宜，按经济合同法有关规定处理。</w:t>
      </w:r>
    </w:p>
    <w:p>
      <w:pPr>
        <w:spacing w:line="400" w:lineRule="exact"/>
        <w:ind w:firstLine="470" w:firstLineChars="196"/>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本合同的组成包含《合同通用条款》，可自行在青海政府采购网下载《合同通用条款》。</w:t>
      </w:r>
    </w:p>
    <w:p>
      <w:pPr>
        <w:spacing w:line="400" w:lineRule="exact"/>
        <w:ind w:firstLine="470" w:firstLineChars="196"/>
        <w:rPr>
          <w:rFonts w:hint="eastAsia" w:ascii="仿宋" w:hAnsi="仿宋" w:eastAsia="仿宋" w:cs="仿宋"/>
          <w:color w:val="auto"/>
          <w:highlight w:val="none"/>
        </w:rPr>
      </w:pP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甲方（盖章）：</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乙方（盖章）：</w:t>
      </w:r>
    </w:p>
    <w:p>
      <w:pPr>
        <w:autoSpaceDE w:val="0"/>
        <w:autoSpaceDN w:val="0"/>
        <w:adjustRightInd w:val="0"/>
        <w:spacing w:line="400" w:lineRule="exact"/>
        <w:ind w:firstLine="480"/>
        <w:rPr>
          <w:rFonts w:hint="eastAsia" w:ascii="仿宋" w:hAnsi="仿宋" w:eastAsia="仿宋" w:cs="仿宋"/>
          <w:color w:val="auto"/>
          <w:highlight w:val="none"/>
          <w:lang w:val="zh-CN"/>
        </w:rPr>
      </w:pP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法定代表人或委托代理人</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法定代表人或委托代理人</w:t>
      </w:r>
      <w:r>
        <w:rPr>
          <w:rFonts w:hint="eastAsia" w:ascii="仿宋" w:hAnsi="仿宋" w:eastAsia="仿宋" w:cs="仿宋"/>
          <w:color w:val="auto"/>
          <w:highlight w:val="none"/>
        </w:rPr>
        <w:t>：</w:t>
      </w: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autoSpaceDE w:val="0"/>
        <w:autoSpaceDN w:val="0"/>
        <w:adjustRightInd w:val="0"/>
        <w:spacing w:line="400" w:lineRule="exact"/>
        <w:ind w:firstLine="5160" w:firstLineChars="2150"/>
        <w:rPr>
          <w:rFonts w:hint="eastAsia" w:ascii="仿宋" w:hAnsi="仿宋" w:eastAsia="仿宋" w:cs="仿宋"/>
          <w:color w:val="auto"/>
          <w:highlight w:val="none"/>
        </w:rPr>
      </w:pPr>
      <w:r>
        <w:rPr>
          <w:rFonts w:hint="eastAsia" w:ascii="仿宋" w:hAnsi="仿宋" w:eastAsia="仿宋" w:cs="仿宋"/>
          <w:color w:val="auto"/>
          <w:highlight w:val="none"/>
          <w:lang w:val="zh-CN"/>
        </w:rPr>
        <w:t>开户银行：</w:t>
      </w:r>
      <w:r>
        <w:rPr>
          <w:rFonts w:hint="eastAsia" w:ascii="仿宋" w:hAnsi="仿宋" w:eastAsia="仿宋" w:cs="仿宋"/>
          <w:color w:val="auto"/>
          <w:highlight w:val="none"/>
        </w:rPr>
        <w:t xml:space="preserve">     </w:t>
      </w:r>
    </w:p>
    <w:p>
      <w:pPr>
        <w:autoSpaceDE w:val="0"/>
        <w:autoSpaceDN w:val="0"/>
        <w:adjustRightInd w:val="0"/>
        <w:spacing w:line="400" w:lineRule="exact"/>
        <w:ind w:firstLine="480"/>
        <w:rPr>
          <w:rFonts w:hint="eastAsia" w:ascii="仿宋" w:hAnsi="仿宋" w:eastAsia="仿宋" w:cs="仿宋"/>
          <w:color w:val="auto"/>
          <w:highlight w:val="none"/>
          <w:lang w:val="zh-CN"/>
        </w:rPr>
      </w:pP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联系电话：</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账号：</w:t>
      </w:r>
      <w:r>
        <w:rPr>
          <w:rFonts w:hint="eastAsia" w:ascii="仿宋" w:hAnsi="仿宋" w:eastAsia="仿宋" w:cs="仿宋"/>
          <w:color w:val="auto"/>
          <w:highlight w:val="none"/>
        </w:rPr>
        <w:t xml:space="preserve">                          </w:t>
      </w:r>
    </w:p>
    <w:p>
      <w:pPr>
        <w:autoSpaceDE w:val="0"/>
        <w:autoSpaceDN w:val="0"/>
        <w:adjustRightInd w:val="0"/>
        <w:spacing w:line="400" w:lineRule="exact"/>
        <w:ind w:firstLine="480"/>
        <w:rPr>
          <w:rFonts w:hint="eastAsia" w:ascii="仿宋" w:hAnsi="仿宋" w:eastAsia="仿宋" w:cs="仿宋"/>
          <w:color w:val="auto"/>
          <w:highlight w:val="none"/>
        </w:rPr>
      </w:pPr>
    </w:p>
    <w:p>
      <w:pPr>
        <w:autoSpaceDE w:val="0"/>
        <w:autoSpaceDN w:val="0"/>
        <w:adjustRightInd w:val="0"/>
        <w:spacing w:line="400" w:lineRule="exact"/>
        <w:ind w:firstLine="480"/>
        <w:rPr>
          <w:rFonts w:hint="eastAsia" w:ascii="仿宋" w:hAnsi="仿宋" w:eastAsia="仿宋" w:cs="仿宋"/>
          <w:color w:val="auto"/>
          <w:highlight w:val="none"/>
        </w:rPr>
      </w:pPr>
    </w:p>
    <w:p>
      <w:pPr>
        <w:autoSpaceDE w:val="0"/>
        <w:autoSpaceDN w:val="0"/>
        <w:adjustRightInd w:val="0"/>
        <w:spacing w:line="400" w:lineRule="exact"/>
        <w:ind w:firstLine="5280" w:firstLineChars="220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autoSpaceDE w:val="0"/>
        <w:autoSpaceDN w:val="0"/>
        <w:adjustRightInd w:val="0"/>
        <w:spacing w:line="400" w:lineRule="exact"/>
        <w:ind w:firstLine="1320" w:firstLineChars="550"/>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签约</w:t>
      </w:r>
      <w:r>
        <w:rPr>
          <w:rFonts w:hint="eastAsia" w:ascii="仿宋" w:hAnsi="仿宋" w:eastAsia="仿宋" w:cs="仿宋"/>
          <w:color w:val="auto"/>
          <w:highlight w:val="none"/>
        </w:rPr>
        <w:t>日期</w:t>
      </w:r>
      <w:r>
        <w:rPr>
          <w:rFonts w:hint="eastAsia" w:ascii="仿宋" w:hAnsi="仿宋" w:eastAsia="仿宋" w:cs="仿宋"/>
          <w:color w:val="auto"/>
          <w:highlight w:val="none"/>
          <w:lang w:val="zh-CN"/>
        </w:rPr>
        <w:t>：</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autoSpaceDE w:val="0"/>
        <w:autoSpaceDN w:val="0"/>
        <w:adjustRightInd w:val="0"/>
        <w:spacing w:line="400" w:lineRule="exact"/>
        <w:ind w:firstLine="480"/>
        <w:rPr>
          <w:rFonts w:hint="eastAsia" w:ascii="仿宋" w:hAnsi="仿宋" w:eastAsia="仿宋" w:cs="仿宋"/>
          <w:color w:val="auto"/>
          <w:highlight w:val="none"/>
          <w:lang w:val="zh-CN"/>
        </w:rPr>
      </w:pP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lang w:val="zh-CN"/>
        </w:rPr>
        <w:t>采购代理机构：</w:t>
      </w:r>
      <w:r>
        <w:rPr>
          <w:rFonts w:hint="eastAsia" w:ascii="仿宋" w:hAnsi="仿宋" w:eastAsia="仿宋" w:cs="仿宋"/>
          <w:color w:val="auto"/>
          <w:highlight w:val="none"/>
          <w:lang w:eastAsia="zh-CN"/>
        </w:rPr>
        <w:t>德汇工程管理（北京）有限公司</w:t>
      </w:r>
      <w:r>
        <w:rPr>
          <w:rFonts w:hint="eastAsia" w:ascii="仿宋" w:hAnsi="仿宋" w:eastAsia="仿宋" w:cs="仿宋"/>
          <w:color w:val="auto"/>
          <w:highlight w:val="none"/>
        </w:rPr>
        <w:t xml:space="preserve">    </w:t>
      </w: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autoSpaceDE w:val="0"/>
        <w:autoSpaceDN w:val="0"/>
        <w:adjustRightInd w:val="0"/>
        <w:spacing w:line="400" w:lineRule="exact"/>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负责人或经办人：</w:t>
      </w:r>
    </w:p>
    <w:p>
      <w:pPr>
        <w:autoSpaceDE w:val="0"/>
        <w:autoSpaceDN w:val="0"/>
        <w:adjustRightInd w:val="0"/>
        <w:spacing w:line="400" w:lineRule="exact"/>
        <w:ind w:firstLine="480"/>
        <w:rPr>
          <w:rFonts w:hint="eastAsia" w:ascii="仿宋" w:hAnsi="仿宋" w:eastAsia="仿宋" w:cs="仿宋"/>
          <w:color w:val="auto"/>
          <w:highlight w:val="none"/>
          <w:lang w:val="zh-CN"/>
        </w:rPr>
      </w:pPr>
    </w:p>
    <w:p>
      <w:pPr>
        <w:autoSpaceDE w:val="0"/>
        <w:autoSpaceDN w:val="0"/>
        <w:adjustRightInd w:val="0"/>
        <w:spacing w:line="4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备案日期：  </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月</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日</w:t>
      </w:r>
    </w:p>
    <w:p>
      <w:pPr>
        <w:autoSpaceDE w:val="0"/>
        <w:autoSpaceDN w:val="0"/>
        <w:adjustRightInd w:val="0"/>
        <w:ind w:firstLine="480"/>
        <w:rPr>
          <w:rFonts w:hint="eastAsia" w:ascii="仿宋" w:hAnsi="仿宋" w:eastAsia="仿宋" w:cs="仿宋"/>
          <w:color w:val="auto"/>
          <w:highlight w:val="none"/>
        </w:rPr>
      </w:pPr>
    </w:p>
    <w:p>
      <w:pPr>
        <w:autoSpaceDE w:val="0"/>
        <w:autoSpaceDN w:val="0"/>
        <w:adjustRightInd w:val="0"/>
        <w:spacing w:line="360" w:lineRule="auto"/>
        <w:jc w:val="left"/>
        <w:rPr>
          <w:rFonts w:hint="eastAsia" w:ascii="仿宋" w:hAnsi="仿宋" w:eastAsia="仿宋" w:cs="仿宋"/>
          <w:color w:val="auto"/>
          <w:kern w:val="0"/>
          <w:sz w:val="28"/>
          <w:szCs w:val="28"/>
          <w:highlight w:val="none"/>
        </w:rPr>
      </w:pPr>
    </w:p>
    <w:p>
      <w:pPr>
        <w:widowControl/>
        <w:jc w:val="left"/>
        <w:rPr>
          <w:rFonts w:hint="eastAsia" w:ascii="仿宋" w:hAnsi="仿宋" w:eastAsia="仿宋" w:cs="仿宋"/>
          <w:b/>
          <w:bCs/>
          <w:color w:val="auto"/>
          <w:sz w:val="36"/>
          <w:szCs w:val="36"/>
          <w:highlight w:val="none"/>
          <w:lang w:val="zh-CN"/>
        </w:rPr>
      </w:pPr>
      <w:r>
        <w:rPr>
          <w:rFonts w:hint="eastAsia" w:ascii="仿宋" w:hAnsi="仿宋" w:eastAsia="仿宋" w:cs="仿宋"/>
          <w:color w:val="auto"/>
          <w:szCs w:val="36"/>
          <w:highlight w:val="none"/>
          <w:lang w:val="zh-CN"/>
        </w:rPr>
        <w:br w:type="page"/>
      </w:r>
    </w:p>
    <w:p>
      <w:pPr>
        <w:pStyle w:val="21"/>
        <w:spacing w:before="0" w:after="0" w:line="360" w:lineRule="auto"/>
        <w:rPr>
          <w:rFonts w:hint="eastAsia" w:ascii="仿宋" w:hAnsi="仿宋" w:eastAsia="仿宋" w:cs="仿宋"/>
          <w:color w:val="auto"/>
          <w:highlight w:val="none"/>
          <w:lang w:val="zh-CN"/>
        </w:rPr>
      </w:pPr>
      <w:bookmarkStart w:id="80" w:name="_Toc17010"/>
      <w:r>
        <w:rPr>
          <w:rFonts w:hint="eastAsia" w:ascii="仿宋" w:hAnsi="仿宋" w:eastAsia="仿宋" w:cs="仿宋"/>
          <w:color w:val="auto"/>
          <w:szCs w:val="36"/>
          <w:highlight w:val="none"/>
          <w:lang w:val="zh-CN"/>
        </w:rPr>
        <w:t>第四部分  投标文件格式</w:t>
      </w:r>
      <w:bookmarkEnd w:id="80"/>
    </w:p>
    <w:p>
      <w:pPr>
        <w:pStyle w:val="21"/>
        <w:spacing w:before="0" w:after="0" w:line="360" w:lineRule="auto"/>
        <w:jc w:val="left"/>
        <w:outlineLvl w:val="1"/>
        <w:rPr>
          <w:rFonts w:hint="eastAsia" w:ascii="仿宋" w:hAnsi="仿宋" w:eastAsia="仿宋" w:cs="仿宋"/>
          <w:color w:val="auto"/>
          <w:highlight w:val="none"/>
        </w:rPr>
      </w:pPr>
      <w:bookmarkStart w:id="81" w:name="_Toc11851"/>
      <w:bookmarkStart w:id="82" w:name="_Toc13767"/>
      <w:r>
        <w:rPr>
          <w:rFonts w:hint="eastAsia" w:ascii="仿宋" w:hAnsi="仿宋" w:eastAsia="仿宋" w:cs="仿宋"/>
          <w:color w:val="auto"/>
          <w:sz w:val="30"/>
          <w:szCs w:val="30"/>
          <w:highlight w:val="none"/>
          <w:lang w:val="zh-CN"/>
        </w:rPr>
        <w:t>封面</w:t>
      </w:r>
      <w:bookmarkEnd w:id="81"/>
      <w:r>
        <w:rPr>
          <w:rFonts w:hint="eastAsia" w:ascii="仿宋" w:hAnsi="仿宋" w:eastAsia="仿宋" w:cs="仿宋"/>
          <w:color w:val="auto"/>
          <w:sz w:val="30"/>
          <w:szCs w:val="30"/>
          <w:highlight w:val="none"/>
          <w:lang w:val="zh-CN"/>
        </w:rPr>
        <w:t>（上册）</w:t>
      </w:r>
      <w:bookmarkEnd w:id="82"/>
    </w:p>
    <w:p>
      <w:pPr>
        <w:autoSpaceDE w:val="0"/>
        <w:autoSpaceDN w:val="0"/>
        <w:spacing w:line="360" w:lineRule="auto"/>
        <w:jc w:val="right"/>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正本/副本</w:t>
      </w:r>
    </w:p>
    <w:p>
      <w:pPr>
        <w:autoSpaceDE w:val="0"/>
        <w:autoSpaceDN w:val="0"/>
        <w:spacing w:line="360" w:lineRule="auto"/>
        <w:jc w:val="center"/>
        <w:rPr>
          <w:rFonts w:hint="eastAsia" w:ascii="仿宋" w:hAnsi="仿宋" w:eastAsia="仿宋" w:cs="仿宋"/>
          <w:b/>
          <w:bCs/>
          <w:color w:val="auto"/>
          <w:kern w:val="0"/>
          <w:sz w:val="52"/>
          <w:szCs w:val="52"/>
          <w:highlight w:val="none"/>
          <w:lang w:val="zh-CN"/>
        </w:rPr>
      </w:pPr>
      <w:r>
        <w:rPr>
          <w:rFonts w:hint="eastAsia" w:ascii="仿宋" w:hAnsi="仿宋" w:eastAsia="仿宋" w:cs="仿宋"/>
          <w:b/>
          <w:bCs/>
          <w:color w:val="auto"/>
          <w:kern w:val="0"/>
          <w:sz w:val="52"/>
          <w:szCs w:val="52"/>
          <w:highlight w:val="none"/>
          <w:lang w:val="zh-CN"/>
        </w:rPr>
        <w:t>青海省政府采购项目</w:t>
      </w:r>
    </w:p>
    <w:p>
      <w:pPr>
        <w:autoSpaceDE w:val="0"/>
        <w:autoSpaceDN w:val="0"/>
        <w:spacing w:line="360" w:lineRule="auto"/>
        <w:rPr>
          <w:rFonts w:hint="eastAsia" w:ascii="仿宋" w:hAnsi="仿宋" w:eastAsia="仿宋" w:cs="仿宋"/>
          <w:color w:val="auto"/>
          <w:kern w:val="0"/>
          <w:sz w:val="36"/>
          <w:szCs w:val="36"/>
          <w:highlight w:val="none"/>
        </w:rPr>
      </w:pPr>
    </w:p>
    <w:p>
      <w:pPr>
        <w:autoSpaceDE w:val="0"/>
        <w:autoSpaceDN w:val="0"/>
        <w:spacing w:line="360" w:lineRule="auto"/>
        <w:jc w:val="center"/>
        <w:rPr>
          <w:rFonts w:hint="eastAsia" w:ascii="仿宋" w:hAnsi="仿宋" w:eastAsia="仿宋" w:cs="仿宋"/>
          <w:b/>
          <w:bCs/>
          <w:color w:val="auto"/>
          <w:kern w:val="0"/>
          <w:sz w:val="72"/>
          <w:szCs w:val="72"/>
          <w:highlight w:val="none"/>
          <w:lang w:val="zh-CN"/>
        </w:rPr>
      </w:pPr>
      <w:r>
        <w:rPr>
          <w:rFonts w:hint="eastAsia" w:ascii="仿宋" w:hAnsi="仿宋" w:eastAsia="仿宋" w:cs="仿宋"/>
          <w:b/>
          <w:bCs/>
          <w:color w:val="auto"/>
          <w:kern w:val="0"/>
          <w:sz w:val="72"/>
          <w:szCs w:val="72"/>
          <w:highlight w:val="none"/>
          <w:lang w:val="zh-CN"/>
        </w:rPr>
        <w:t>投</w:t>
      </w:r>
      <w:r>
        <w:rPr>
          <w:rFonts w:hint="eastAsia" w:ascii="仿宋" w:hAnsi="仿宋" w:eastAsia="仿宋" w:cs="仿宋"/>
          <w:b/>
          <w:bCs/>
          <w:color w:val="auto"/>
          <w:kern w:val="0"/>
          <w:sz w:val="72"/>
          <w:szCs w:val="72"/>
          <w:highlight w:val="none"/>
        </w:rPr>
        <w:t xml:space="preserve"> </w:t>
      </w:r>
      <w:r>
        <w:rPr>
          <w:rFonts w:hint="eastAsia" w:ascii="仿宋" w:hAnsi="仿宋" w:eastAsia="仿宋" w:cs="仿宋"/>
          <w:b/>
          <w:bCs/>
          <w:color w:val="auto"/>
          <w:kern w:val="0"/>
          <w:sz w:val="72"/>
          <w:szCs w:val="72"/>
          <w:highlight w:val="none"/>
          <w:lang w:val="zh-CN"/>
        </w:rPr>
        <w:t>标</w:t>
      </w:r>
      <w:r>
        <w:rPr>
          <w:rFonts w:hint="eastAsia" w:ascii="仿宋" w:hAnsi="仿宋" w:eastAsia="仿宋" w:cs="仿宋"/>
          <w:b/>
          <w:bCs/>
          <w:color w:val="auto"/>
          <w:kern w:val="0"/>
          <w:sz w:val="72"/>
          <w:szCs w:val="72"/>
          <w:highlight w:val="none"/>
        </w:rPr>
        <w:t xml:space="preserve"> </w:t>
      </w:r>
      <w:r>
        <w:rPr>
          <w:rFonts w:hint="eastAsia" w:ascii="仿宋" w:hAnsi="仿宋" w:eastAsia="仿宋" w:cs="仿宋"/>
          <w:b/>
          <w:bCs/>
          <w:color w:val="auto"/>
          <w:kern w:val="0"/>
          <w:sz w:val="72"/>
          <w:szCs w:val="72"/>
          <w:highlight w:val="none"/>
          <w:lang w:val="zh-CN"/>
        </w:rPr>
        <w:t>文</w:t>
      </w:r>
      <w:r>
        <w:rPr>
          <w:rFonts w:hint="eastAsia" w:ascii="仿宋" w:hAnsi="仿宋" w:eastAsia="仿宋" w:cs="仿宋"/>
          <w:b/>
          <w:bCs/>
          <w:color w:val="auto"/>
          <w:kern w:val="0"/>
          <w:sz w:val="72"/>
          <w:szCs w:val="72"/>
          <w:highlight w:val="none"/>
        </w:rPr>
        <w:t xml:space="preserve"> </w:t>
      </w:r>
      <w:r>
        <w:rPr>
          <w:rFonts w:hint="eastAsia" w:ascii="仿宋" w:hAnsi="仿宋" w:eastAsia="仿宋" w:cs="仿宋"/>
          <w:b/>
          <w:bCs/>
          <w:color w:val="auto"/>
          <w:kern w:val="0"/>
          <w:sz w:val="72"/>
          <w:szCs w:val="72"/>
          <w:highlight w:val="none"/>
          <w:lang w:val="zh-CN"/>
        </w:rPr>
        <w:t>件</w:t>
      </w: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sz w:val="36"/>
          <w:szCs w:val="36"/>
          <w:highlight w:val="none"/>
          <w:lang w:val="zh-CN"/>
        </w:rPr>
        <w:t>（上册）</w:t>
      </w:r>
    </w:p>
    <w:p>
      <w:pPr>
        <w:autoSpaceDE w:val="0"/>
        <w:autoSpaceDN w:val="0"/>
        <w:spacing w:line="360" w:lineRule="auto"/>
        <w:jc w:val="center"/>
        <w:rPr>
          <w:rFonts w:hint="eastAsia" w:ascii="仿宋" w:hAnsi="仿宋" w:eastAsia="仿宋" w:cs="仿宋"/>
          <w:color w:val="auto"/>
          <w:sz w:val="36"/>
          <w:szCs w:val="36"/>
          <w:highlight w:val="none"/>
          <w:lang w:val="zh-CN"/>
        </w:rPr>
      </w:pPr>
      <w:r>
        <w:rPr>
          <w:rFonts w:hint="eastAsia" w:ascii="仿宋" w:hAnsi="仿宋" w:eastAsia="仿宋" w:cs="仿宋"/>
          <w:b/>
          <w:bCs/>
          <w:color w:val="auto"/>
          <w:sz w:val="36"/>
          <w:szCs w:val="36"/>
          <w:highlight w:val="none"/>
          <w:lang w:val="zh-CN"/>
        </w:rPr>
        <w:t>（资格审查文件）</w:t>
      </w:r>
    </w:p>
    <w:p>
      <w:pPr>
        <w:autoSpaceDE w:val="0"/>
        <w:autoSpaceDN w:val="0"/>
        <w:spacing w:line="360" w:lineRule="auto"/>
        <w:rPr>
          <w:rFonts w:hint="eastAsia" w:ascii="仿宋" w:hAnsi="仿宋" w:eastAsia="仿宋" w:cs="仿宋"/>
          <w:color w:val="auto"/>
          <w:kern w:val="0"/>
          <w:sz w:val="36"/>
          <w:szCs w:val="36"/>
          <w:highlight w:val="none"/>
        </w:rPr>
      </w:pP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zh-CN"/>
        </w:rPr>
        <w:t>采购项目编号：</w:t>
      </w: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zh-CN"/>
        </w:rPr>
        <w:t>采购项目名称</w:t>
      </w:r>
      <w:r>
        <w:rPr>
          <w:rFonts w:hint="eastAsia" w:ascii="仿宋" w:hAnsi="仿宋" w:eastAsia="仿宋" w:cs="仿宋"/>
          <w:b/>
          <w:bCs/>
          <w:color w:val="auto"/>
          <w:kern w:val="0"/>
          <w:sz w:val="36"/>
          <w:szCs w:val="36"/>
          <w:highlight w:val="none"/>
        </w:rPr>
        <w:t>：</w:t>
      </w:r>
    </w:p>
    <w:p>
      <w:pPr>
        <w:autoSpaceDE w:val="0"/>
        <w:autoSpaceDN w:val="0"/>
        <w:spacing w:line="360" w:lineRule="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投</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标</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包</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号：</w:t>
      </w:r>
    </w:p>
    <w:p>
      <w:pPr>
        <w:autoSpaceDE w:val="0"/>
        <w:autoSpaceDN w:val="0"/>
        <w:spacing w:line="360" w:lineRule="auto"/>
        <w:rPr>
          <w:rFonts w:hint="eastAsia" w:ascii="仿宋" w:hAnsi="仿宋" w:eastAsia="仿宋" w:cs="仿宋"/>
          <w:b/>
          <w:bCs/>
          <w:color w:val="auto"/>
          <w:kern w:val="0"/>
          <w:sz w:val="36"/>
          <w:szCs w:val="36"/>
          <w:highlight w:val="none"/>
        </w:rPr>
      </w:pPr>
    </w:p>
    <w:p>
      <w:pPr>
        <w:autoSpaceDE w:val="0"/>
        <w:autoSpaceDN w:val="0"/>
        <w:spacing w:line="360" w:lineRule="auto"/>
        <w:rPr>
          <w:rFonts w:hint="eastAsia" w:ascii="仿宋" w:hAnsi="仿宋" w:eastAsia="仿宋" w:cs="仿宋"/>
          <w:b/>
          <w:bCs/>
          <w:color w:val="auto"/>
          <w:kern w:val="0"/>
          <w:sz w:val="36"/>
          <w:szCs w:val="36"/>
          <w:highlight w:val="none"/>
        </w:rPr>
      </w:pP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投标人：</w:t>
      </w:r>
      <w:r>
        <w:rPr>
          <w:rFonts w:hint="eastAsia" w:ascii="仿宋" w:hAnsi="仿宋" w:eastAsia="仿宋" w:cs="仿宋"/>
          <w:b/>
          <w:bCs/>
          <w:color w:val="auto"/>
          <w:kern w:val="0"/>
          <w:sz w:val="36"/>
          <w:szCs w:val="36"/>
          <w:highlight w:val="none"/>
          <w:u w:val="single"/>
        </w:rPr>
        <w:t xml:space="preserve">                          </w:t>
      </w:r>
      <w:r>
        <w:rPr>
          <w:rFonts w:hint="eastAsia" w:ascii="仿宋" w:hAnsi="仿宋" w:eastAsia="仿宋" w:cs="仿宋"/>
          <w:b/>
          <w:bCs/>
          <w:color w:val="auto"/>
          <w:kern w:val="0"/>
          <w:sz w:val="36"/>
          <w:szCs w:val="36"/>
          <w:highlight w:val="none"/>
        </w:rPr>
        <w:t>（</w:t>
      </w:r>
      <w:r>
        <w:rPr>
          <w:rFonts w:hint="eastAsia" w:ascii="仿宋" w:hAnsi="仿宋" w:eastAsia="仿宋" w:cs="仿宋"/>
          <w:b/>
          <w:bCs/>
          <w:color w:val="auto"/>
          <w:kern w:val="0"/>
          <w:sz w:val="36"/>
          <w:szCs w:val="36"/>
          <w:highlight w:val="none"/>
          <w:lang w:val="zh-CN"/>
        </w:rPr>
        <w:t>公章）</w:t>
      </w: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法定代表人或委托代理人：</w:t>
      </w:r>
      <w:r>
        <w:rPr>
          <w:rFonts w:hint="eastAsia" w:ascii="仿宋" w:hAnsi="仿宋" w:eastAsia="仿宋" w:cs="仿宋"/>
          <w:b/>
          <w:bCs/>
          <w:color w:val="auto"/>
          <w:kern w:val="0"/>
          <w:sz w:val="36"/>
          <w:szCs w:val="36"/>
          <w:highlight w:val="none"/>
          <w:u w:val="single"/>
        </w:rPr>
        <w:t xml:space="preserve">     </w:t>
      </w:r>
      <w:r>
        <w:rPr>
          <w:rFonts w:hint="eastAsia" w:ascii="仿宋" w:hAnsi="仿宋" w:eastAsia="仿宋" w:cs="仿宋"/>
          <w:b/>
          <w:bCs/>
          <w:color w:val="auto"/>
          <w:kern w:val="0"/>
          <w:sz w:val="36"/>
          <w:szCs w:val="36"/>
          <w:highlight w:val="none"/>
          <w:lang w:val="zh-CN"/>
        </w:rPr>
        <w:t>（签字或盖章）</w:t>
      </w:r>
    </w:p>
    <w:p>
      <w:pPr>
        <w:autoSpaceDE w:val="0"/>
        <w:autoSpaceDN w:val="0"/>
        <w:spacing w:line="360" w:lineRule="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年</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月</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日</w:t>
      </w:r>
    </w:p>
    <w:p>
      <w:pPr>
        <w:pStyle w:val="21"/>
        <w:spacing w:before="0" w:after="0" w:line="360" w:lineRule="auto"/>
        <w:jc w:val="left"/>
        <w:outlineLvl w:val="1"/>
        <w:rPr>
          <w:rFonts w:hint="eastAsia" w:ascii="仿宋" w:hAnsi="仿宋" w:eastAsia="仿宋" w:cs="仿宋"/>
          <w:color w:val="auto"/>
          <w:highlight w:val="none"/>
          <w:lang w:val="zh-CN"/>
        </w:rPr>
      </w:pPr>
      <w:r>
        <w:rPr>
          <w:rFonts w:hint="eastAsia" w:ascii="仿宋" w:hAnsi="仿宋" w:eastAsia="仿宋" w:cs="仿宋"/>
          <w:b w:val="0"/>
          <w:bCs w:val="0"/>
          <w:color w:val="auto"/>
          <w:kern w:val="0"/>
          <w:highlight w:val="none"/>
          <w:lang w:val="zh-CN"/>
        </w:rPr>
        <w:br w:type="page"/>
      </w:r>
      <w:bookmarkStart w:id="83" w:name="_Toc22862"/>
      <w:bookmarkStart w:id="84" w:name="_Toc8514"/>
      <w:bookmarkStart w:id="85" w:name="_Toc29902"/>
      <w:r>
        <w:rPr>
          <w:rFonts w:hint="eastAsia" w:ascii="仿宋" w:hAnsi="仿宋" w:eastAsia="仿宋" w:cs="仿宋"/>
          <w:color w:val="auto"/>
          <w:sz w:val="30"/>
          <w:szCs w:val="30"/>
          <w:highlight w:val="none"/>
          <w:lang w:val="zh-CN"/>
        </w:rPr>
        <w:t>目录（上册）</w:t>
      </w:r>
      <w:bookmarkEnd w:id="83"/>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投标函……………………………………………………………所在页码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法定代表人证明书………………………………………………所在页码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法定代表人授权书………………………………………………所在页码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投标人承诺函……………………………………………………所在页码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投标人诚信承诺书………………………………………………所在页码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资格证明材料……………………………………………………所在页码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财务状况报告，依法缴纳税收和社会保障资金的相关材料…所在页码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具备履行合同所必需的设备和专业技术能力的证明材料……所在页码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无重大违法记录声明……………………………………………所在页码</w:t>
      </w:r>
    </w:p>
    <w:p>
      <w:pPr>
        <w:numPr>
          <w:ilvl w:val="0"/>
          <w:numId w:val="6"/>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投标保证金证明………………………………………………所在页码</w:t>
      </w:r>
    </w:p>
    <w:bookmarkEnd w:id="84"/>
    <w:bookmarkEnd w:id="85"/>
    <w:p>
      <w:pPr>
        <w:pStyle w:val="21"/>
        <w:spacing w:before="0" w:after="0" w:line="360" w:lineRule="auto"/>
        <w:jc w:val="left"/>
        <w:outlineLvl w:val="1"/>
        <w:rPr>
          <w:rFonts w:hint="eastAsia" w:ascii="仿宋" w:hAnsi="仿宋" w:eastAsia="仿宋" w:cs="仿宋"/>
          <w:color w:val="auto"/>
          <w:highlight w:val="none"/>
          <w:lang w:val="zh-CN"/>
        </w:rPr>
      </w:pPr>
      <w:bookmarkStart w:id="86" w:name="_Toc19582"/>
      <w:r>
        <w:rPr>
          <w:rFonts w:hint="eastAsia" w:ascii="仿宋" w:hAnsi="仿宋" w:eastAsia="仿宋" w:cs="仿宋"/>
          <w:color w:val="auto"/>
          <w:sz w:val="30"/>
          <w:szCs w:val="30"/>
          <w:highlight w:val="none"/>
          <w:lang w:val="zh-CN"/>
        </w:rPr>
        <w:br w:type="page"/>
      </w:r>
      <w:bookmarkStart w:id="87" w:name="_Toc21657"/>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zh-CN"/>
        </w:rPr>
        <w:t>投标函</w:t>
      </w:r>
      <w:bookmarkEnd w:id="86"/>
      <w:bookmarkEnd w:id="87"/>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投标函</w:t>
      </w:r>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致：</w:t>
      </w:r>
      <w:r>
        <w:rPr>
          <w:rFonts w:hint="eastAsia" w:ascii="仿宋" w:hAnsi="仿宋" w:eastAsia="仿宋" w:cs="仿宋"/>
          <w:b/>
          <w:bCs/>
          <w:color w:val="auto"/>
          <w:kern w:val="0"/>
          <w:highlight w:val="none"/>
          <w:u w:val="dashDotHeavy"/>
          <w:lang w:val="zh-CN"/>
        </w:rPr>
        <w:t>采购人或者采购代理机构</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我们收到</w:t>
      </w:r>
      <w:r>
        <w:rPr>
          <w:rFonts w:hint="eastAsia" w:ascii="仿宋" w:hAnsi="仿宋" w:eastAsia="仿宋" w:cs="仿宋"/>
          <w:color w:val="auto"/>
          <w:kern w:val="0"/>
          <w:highlight w:val="none"/>
          <w:u w:val="single"/>
          <w:lang w:val="zh-CN"/>
        </w:rPr>
        <w:t>采购项目名称（采购项目编号）</w:t>
      </w:r>
      <w:r>
        <w:rPr>
          <w:rFonts w:hint="eastAsia" w:ascii="仿宋" w:hAnsi="仿宋" w:eastAsia="仿宋" w:cs="仿宋"/>
          <w:color w:val="auto"/>
          <w:kern w:val="0"/>
          <w:highlight w:val="none"/>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据此函，签字代表宣布同意如下：</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1.我方已详阅招标文件的全部内容，包括澄清、修改条款等有关附件，承诺对其完全理解并接受。</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2.投标有效期：</w:t>
      </w:r>
      <w:r>
        <w:rPr>
          <w:rFonts w:hint="eastAsia" w:ascii="仿宋" w:hAnsi="仿宋" w:eastAsia="仿宋" w:cs="仿宋"/>
          <w:color w:val="auto"/>
          <w:highlight w:val="none"/>
          <w:shd w:val="clear" w:color="auto" w:fill="FFFFFF"/>
        </w:rPr>
        <w:t>从提交投标文件的截止之日起</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4.与本投标有关的一切正式往来通讯请寄：</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地址：_______________          邮编：______________</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电话：_______________          传真：______________</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法定代表人姓名： ___________   职务：____________</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法定代表人或委托代理人：        （签字或盖章）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pStyle w:val="21"/>
        <w:spacing w:before="0" w:after="0" w:line="360" w:lineRule="auto"/>
        <w:jc w:val="left"/>
        <w:outlineLvl w:val="1"/>
        <w:rPr>
          <w:rFonts w:hint="eastAsia" w:ascii="仿宋" w:hAnsi="仿宋" w:eastAsia="仿宋" w:cs="仿宋"/>
          <w:color w:val="auto"/>
          <w:highlight w:val="none"/>
        </w:rPr>
      </w:pPr>
      <w:r>
        <w:rPr>
          <w:rFonts w:hint="eastAsia" w:ascii="仿宋" w:hAnsi="仿宋" w:eastAsia="仿宋" w:cs="仿宋"/>
          <w:b w:val="0"/>
          <w:bCs w:val="0"/>
          <w:color w:val="auto"/>
          <w:kern w:val="0"/>
          <w:sz w:val="24"/>
          <w:highlight w:val="none"/>
          <w:lang w:val="zh-CN"/>
        </w:rPr>
        <w:br w:type="page"/>
      </w:r>
      <w:bookmarkStart w:id="88" w:name="_Toc21955"/>
      <w:bookmarkStart w:id="89" w:name="_Toc29944"/>
      <w:r>
        <w:rPr>
          <w:rFonts w:hint="eastAsia" w:ascii="仿宋" w:hAnsi="仿宋" w:eastAsia="仿宋" w:cs="仿宋"/>
          <w:color w:val="auto"/>
          <w:kern w:val="0"/>
          <w:sz w:val="30"/>
          <w:szCs w:val="30"/>
          <w:highlight w:val="none"/>
          <w:lang w:val="zh-CN"/>
        </w:rPr>
        <w:t>（</w:t>
      </w:r>
      <w:r>
        <w:rPr>
          <w:rFonts w:hint="eastAsia" w:ascii="仿宋" w:hAnsi="仿宋" w:eastAsia="仿宋" w:cs="仿宋"/>
          <w:color w:val="auto"/>
          <w:kern w:val="0"/>
          <w:sz w:val="30"/>
          <w:szCs w:val="30"/>
          <w:highlight w:val="none"/>
        </w:rPr>
        <w:t>2</w:t>
      </w:r>
      <w:r>
        <w:rPr>
          <w:rFonts w:hint="eastAsia" w:ascii="仿宋" w:hAnsi="仿宋" w:eastAsia="仿宋" w:cs="仿宋"/>
          <w:color w:val="auto"/>
          <w:kern w:val="0"/>
          <w:sz w:val="30"/>
          <w:szCs w:val="30"/>
          <w:highlight w:val="none"/>
          <w:lang w:val="zh-CN"/>
        </w:rPr>
        <w:t>）</w:t>
      </w:r>
      <w:r>
        <w:rPr>
          <w:rFonts w:hint="eastAsia" w:ascii="仿宋" w:hAnsi="仿宋" w:eastAsia="仿宋" w:cs="仿宋"/>
          <w:color w:val="auto"/>
          <w:sz w:val="30"/>
          <w:szCs w:val="30"/>
          <w:highlight w:val="none"/>
        </w:rPr>
        <w:t>法定代表人证明书</w:t>
      </w:r>
      <w:bookmarkEnd w:id="88"/>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法定代表人证明书</w:t>
      </w:r>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致：</w:t>
      </w:r>
      <w:r>
        <w:rPr>
          <w:rFonts w:hint="eastAsia" w:ascii="仿宋" w:hAnsi="仿宋" w:eastAsia="仿宋" w:cs="仿宋"/>
          <w:b/>
          <w:bCs/>
          <w:color w:val="auto"/>
          <w:kern w:val="0"/>
          <w:highlight w:val="none"/>
          <w:u w:val="dashDotHeavy"/>
          <w:lang w:val="zh-CN"/>
        </w:rPr>
        <w:t>采购人或者采购代理机构</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u w:val="single"/>
          <w:lang w:val="zh-CN"/>
        </w:rPr>
        <w:t>（法定代表人姓名）</w:t>
      </w:r>
      <w:r>
        <w:rPr>
          <w:rFonts w:hint="eastAsia" w:ascii="仿宋" w:hAnsi="仿宋" w:eastAsia="仿宋" w:cs="仿宋"/>
          <w:color w:val="auto"/>
          <w:kern w:val="0"/>
          <w:highlight w:val="none"/>
          <w:lang w:val="zh-CN"/>
        </w:rPr>
        <w:t>现任我单位</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职务，为法定代表人，特此证明。</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法定代表人基本情况：</w:t>
      </w:r>
    </w:p>
    <w:p>
      <w:pPr>
        <w:autoSpaceDE w:val="0"/>
        <w:autoSpaceDN w:val="0"/>
        <w:spacing w:line="360" w:lineRule="auto"/>
        <w:rPr>
          <w:rFonts w:hint="eastAsia" w:ascii="仿宋" w:hAnsi="仿宋" w:eastAsia="仿宋" w:cs="仿宋"/>
          <w:color w:val="auto"/>
          <w:kern w:val="0"/>
          <w:highlight w:val="none"/>
          <w:u w:val="single"/>
          <w:lang w:val="zh-CN"/>
        </w:rPr>
      </w:pPr>
      <w:r>
        <w:rPr>
          <w:rFonts w:hint="eastAsia" w:ascii="仿宋" w:hAnsi="仿宋" w:eastAsia="仿宋" w:cs="仿宋"/>
          <w:color w:val="auto"/>
          <w:kern w:val="0"/>
          <w:highlight w:val="none"/>
          <w:lang w:val="zh-CN"/>
        </w:rPr>
        <w:t>性别：</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年龄：</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 xml:space="preserve"> 民族：</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u w:val="single"/>
          <w:lang w:val="zh-CN"/>
        </w:rPr>
      </w:pPr>
      <w:r>
        <w:rPr>
          <w:rFonts w:hint="eastAsia" w:ascii="仿宋" w:hAnsi="仿宋" w:eastAsia="仿宋" w:cs="仿宋"/>
          <w:color w:val="auto"/>
          <w:kern w:val="0"/>
          <w:highlight w:val="none"/>
          <w:lang w:val="zh-CN"/>
        </w:rPr>
        <w:t>地址：</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身份证号码：</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附法定代表人第二代身份证双面扫描（或复印）件</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pStyle w:val="21"/>
        <w:spacing w:before="0" w:after="0" w:line="360" w:lineRule="auto"/>
        <w:jc w:val="left"/>
        <w:outlineLvl w:val="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bookmarkEnd w:id="89"/>
      <w:bookmarkStart w:id="90" w:name="_Toc19219"/>
      <w:bookmarkStart w:id="91" w:name="_Toc17284"/>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zh-CN"/>
        </w:rPr>
        <w:t>法定代表人授权书</w:t>
      </w:r>
      <w:bookmarkEnd w:id="90"/>
    </w:p>
    <w:p>
      <w:pPr>
        <w:spacing w:line="360" w:lineRule="auto"/>
        <w:rPr>
          <w:rFonts w:hint="eastAsia" w:ascii="仿宋" w:hAnsi="仿宋" w:eastAsia="仿宋" w:cs="仿宋"/>
          <w:color w:val="auto"/>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法定代表人授权书</w:t>
      </w:r>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致：</w:t>
      </w:r>
      <w:r>
        <w:rPr>
          <w:rFonts w:hint="eastAsia" w:ascii="仿宋" w:hAnsi="仿宋" w:eastAsia="仿宋" w:cs="仿宋"/>
          <w:b/>
          <w:bCs/>
          <w:color w:val="auto"/>
          <w:kern w:val="0"/>
          <w:highlight w:val="none"/>
          <w:u w:val="dashDotHeavy"/>
          <w:lang w:val="zh-CN"/>
        </w:rPr>
        <w:t>采购人或者采购代理机构</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u w:val="single"/>
          <w:lang w:val="zh-CN"/>
        </w:rPr>
        <w:t>（投标人名称）</w:t>
      </w:r>
      <w:r>
        <w:rPr>
          <w:rFonts w:hint="eastAsia" w:ascii="仿宋" w:hAnsi="仿宋" w:eastAsia="仿宋" w:cs="仿宋"/>
          <w:color w:val="auto"/>
          <w:kern w:val="0"/>
          <w:highlight w:val="none"/>
          <w:lang w:val="zh-CN"/>
        </w:rPr>
        <w:t>系中华人民共和国合法企业，法定地址</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u w:val="single"/>
          <w:lang w:val="zh-CN"/>
        </w:rPr>
        <w:t>（法定代表人姓名）</w:t>
      </w:r>
      <w:r>
        <w:rPr>
          <w:rFonts w:hint="eastAsia" w:ascii="仿宋" w:hAnsi="仿宋" w:eastAsia="仿宋" w:cs="仿宋"/>
          <w:color w:val="auto"/>
          <w:kern w:val="0"/>
          <w:highlight w:val="none"/>
          <w:lang w:val="zh-CN"/>
        </w:rPr>
        <w:t>特授权</w:t>
      </w:r>
      <w:r>
        <w:rPr>
          <w:rFonts w:hint="eastAsia" w:ascii="仿宋" w:hAnsi="仿宋" w:eastAsia="仿宋" w:cs="仿宋"/>
          <w:color w:val="auto"/>
          <w:kern w:val="0"/>
          <w:highlight w:val="none"/>
          <w:u w:val="single"/>
          <w:lang w:val="zh-CN"/>
        </w:rPr>
        <w:t>（委托代理人姓名）</w:t>
      </w:r>
      <w:r>
        <w:rPr>
          <w:rFonts w:hint="eastAsia" w:ascii="仿宋" w:hAnsi="仿宋" w:eastAsia="仿宋" w:cs="仿宋"/>
          <w:color w:val="auto"/>
          <w:kern w:val="0"/>
          <w:highlight w:val="none"/>
          <w:lang w:val="zh-CN"/>
        </w:rPr>
        <w:t>代表我单位全权办理</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项目的投标、答疑等具体工作，并签署全部有关的文件、资料。</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我单位对被授权人的签名负全部责任。</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被授权人联系电话：</w:t>
      </w:r>
    </w:p>
    <w:p>
      <w:pPr>
        <w:autoSpaceDE w:val="0"/>
        <w:autoSpaceDN w:val="0"/>
        <w:spacing w:line="360" w:lineRule="auto"/>
        <w:rPr>
          <w:rFonts w:hint="eastAsia" w:ascii="仿宋" w:hAnsi="仿宋" w:eastAsia="仿宋" w:cs="仿宋"/>
          <w:color w:val="auto"/>
          <w:kern w:val="0"/>
          <w:highlight w:val="none"/>
          <w:u w:val="single"/>
          <w:lang w:val="zh-CN"/>
        </w:rPr>
      </w:pPr>
      <w:r>
        <w:rPr>
          <w:rFonts w:hint="eastAsia" w:ascii="仿宋" w:hAnsi="仿宋" w:eastAsia="仿宋" w:cs="仿宋"/>
          <w:color w:val="auto"/>
          <w:kern w:val="0"/>
          <w:highlight w:val="none"/>
          <w:lang w:val="zh-CN"/>
        </w:rPr>
        <w:t>被授权人（委托代理人）签字：</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 xml:space="preserve">  授权人（法定代表人）签字：</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u w:val="single"/>
          <w:lang w:val="zh-CN"/>
        </w:rPr>
      </w:pPr>
      <w:r>
        <w:rPr>
          <w:rFonts w:hint="eastAsia" w:ascii="仿宋" w:hAnsi="仿宋" w:eastAsia="仿宋" w:cs="仿宋"/>
          <w:color w:val="auto"/>
          <w:kern w:val="0"/>
          <w:highlight w:val="none"/>
          <w:lang w:val="zh-CN"/>
        </w:rPr>
        <w:t>职务：</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 xml:space="preserve">  职务：</w:t>
      </w:r>
      <w:r>
        <w:rPr>
          <w:rFonts w:hint="eastAsia" w:ascii="仿宋" w:hAnsi="仿宋" w:eastAsia="仿宋" w:cs="仿宋"/>
          <w:color w:val="auto"/>
          <w:kern w:val="0"/>
          <w:highlight w:val="none"/>
          <w:u w:val="single"/>
          <w:lang w:val="zh-CN"/>
        </w:rPr>
        <w:t xml:space="preserve">                           </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附被授权人第二代身份证双面扫描（或复印）件</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autoSpaceDE w:val="0"/>
        <w:autoSpaceDN w:val="0"/>
        <w:spacing w:line="360" w:lineRule="auto"/>
        <w:rPr>
          <w:rFonts w:hint="eastAsia" w:ascii="仿宋" w:hAnsi="仿宋" w:eastAsia="仿宋" w:cs="仿宋"/>
          <w:color w:val="auto"/>
          <w:kern w:val="0"/>
          <w:highlight w:val="none"/>
          <w:lang w:val="zh-CN"/>
        </w:rPr>
      </w:pPr>
    </w:p>
    <w:p>
      <w:pPr>
        <w:pStyle w:val="21"/>
        <w:spacing w:before="0" w:after="0" w:line="360" w:lineRule="auto"/>
        <w:jc w:val="left"/>
        <w:outlineLvl w:val="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bookmarkStart w:id="92" w:name="_Toc19179"/>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lang w:val="zh-CN"/>
        </w:rPr>
        <w:t>投标人承诺函</w:t>
      </w:r>
      <w:bookmarkEnd w:id="92"/>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投标人承诺函</w:t>
      </w:r>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致：</w:t>
      </w:r>
      <w:r>
        <w:rPr>
          <w:rFonts w:hint="eastAsia" w:ascii="仿宋" w:hAnsi="仿宋" w:eastAsia="仿宋" w:cs="仿宋"/>
          <w:b/>
          <w:bCs/>
          <w:color w:val="auto"/>
          <w:kern w:val="0"/>
          <w:highlight w:val="none"/>
          <w:u w:val="dashDotHeavy"/>
          <w:lang w:val="zh-CN"/>
        </w:rPr>
        <w:t>采购人或者采购代理机构</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关于贵方20</w:t>
      </w:r>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日</w:t>
      </w:r>
      <w:r>
        <w:rPr>
          <w:rFonts w:hint="eastAsia" w:ascii="仿宋" w:hAnsi="仿宋" w:eastAsia="仿宋" w:cs="仿宋"/>
          <w:color w:val="auto"/>
          <w:kern w:val="0"/>
          <w:highlight w:val="none"/>
          <w:u w:val="single"/>
          <w:lang w:val="zh-CN"/>
        </w:rPr>
        <w:t xml:space="preserve">          (项目名称)</w:t>
      </w:r>
      <w:r>
        <w:rPr>
          <w:rFonts w:hint="eastAsia" w:ascii="仿宋" w:hAnsi="仿宋" w:eastAsia="仿宋" w:cs="仿宋"/>
          <w:color w:val="auto"/>
          <w:kern w:val="0"/>
          <w:highlight w:val="none"/>
          <w:lang w:val="zh-CN"/>
        </w:rPr>
        <w:t>采购项目，本签字人愿意参加投标，提供采购一览表中要求的所有产品，并证实提交的所有资料是准确的和真实的。同时，我代表（</w:t>
      </w:r>
      <w:r>
        <w:rPr>
          <w:rFonts w:hint="eastAsia" w:ascii="仿宋" w:hAnsi="仿宋" w:eastAsia="仿宋" w:cs="仿宋"/>
          <w:color w:val="auto"/>
          <w:kern w:val="0"/>
          <w:highlight w:val="none"/>
          <w:u w:val="single"/>
          <w:lang w:val="zh-CN"/>
        </w:rPr>
        <w:t>投标人名称</w:t>
      </w:r>
      <w:r>
        <w:rPr>
          <w:rFonts w:hint="eastAsia" w:ascii="仿宋" w:hAnsi="仿宋" w:eastAsia="仿宋" w:cs="仿宋"/>
          <w:color w:val="auto"/>
          <w:kern w:val="0"/>
          <w:highlight w:val="none"/>
          <w:lang w:val="zh-CN"/>
        </w:rPr>
        <w:t>），在此作如下承诺：</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1.完全理解和接受招标文件的一切规定和要求；</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3</w:t>
      </w:r>
      <w:r>
        <w:rPr>
          <w:rFonts w:hint="eastAsia" w:ascii="仿宋" w:hAnsi="仿宋" w:eastAsia="仿宋" w:cs="仿宋"/>
          <w:color w:val="auto"/>
          <w:kern w:val="0"/>
          <w:highlight w:val="none"/>
          <w:lang w:val="zh-CN"/>
        </w:rPr>
        <w:t>、在整个招标过程中我方若有违规行为，贵方可按招标文件之规定给予处罚，我方完全接受。</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rPr>
        <w:t>4</w:t>
      </w:r>
      <w:r>
        <w:rPr>
          <w:rFonts w:hint="eastAsia" w:ascii="仿宋" w:hAnsi="仿宋" w:eastAsia="仿宋" w:cs="仿宋"/>
          <w:color w:val="auto"/>
          <w:kern w:val="0"/>
          <w:highlight w:val="none"/>
          <w:lang w:val="zh-CN"/>
        </w:rPr>
        <w:t>、若中标，本承诺将成为合同不可分割的一部分，与合同具有同等的法律效力。</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法定代表人或委托代理人：        （签字或盖章）</w:t>
      </w:r>
    </w:p>
    <w:p>
      <w:pPr>
        <w:autoSpaceDE w:val="0"/>
        <w:autoSpaceDN w:val="0"/>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pStyle w:val="21"/>
        <w:spacing w:before="0" w:after="0" w:line="360" w:lineRule="auto"/>
        <w:jc w:val="left"/>
        <w:outlineLvl w:val="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bookmarkStart w:id="93" w:name="_Toc3448"/>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lang w:val="zh-CN"/>
        </w:rPr>
        <w:t>投标人诚信承诺书</w:t>
      </w:r>
      <w:bookmarkEnd w:id="93"/>
    </w:p>
    <w:p>
      <w:pPr>
        <w:spacing w:line="360" w:lineRule="auto"/>
        <w:rPr>
          <w:rFonts w:hint="eastAsia" w:ascii="仿宋" w:hAnsi="仿宋" w:eastAsia="仿宋" w:cs="仿宋"/>
          <w:color w:val="auto"/>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投标人诚信承诺书</w:t>
      </w:r>
    </w:p>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致：</w:t>
      </w:r>
      <w:r>
        <w:rPr>
          <w:rFonts w:hint="eastAsia" w:ascii="仿宋" w:hAnsi="仿宋" w:eastAsia="仿宋" w:cs="仿宋"/>
          <w:b/>
          <w:bCs/>
          <w:color w:val="auto"/>
          <w:kern w:val="0"/>
          <w:highlight w:val="none"/>
          <w:u w:val="dashDotHeavy"/>
          <w:lang w:val="zh-CN"/>
        </w:rPr>
        <w:t>采购人或者采购代理机构</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为了诚实、客观、有序地参与青海省政府采购活动，愿就以下内容作出承诺：</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三、尊重参与政府采购活动各相关方的合法行为，接受政府采购活动依法形成的意见、结果。</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四、依法参加政府采购活动，不围标、串标，维护市场秩序，不提供“三无”产品、以次充好。</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本承诺是采购项目投标文件的组成部分。</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法定代表人或委托代理人：        （签字或盖章）</w:t>
      </w:r>
    </w:p>
    <w:p>
      <w:pPr>
        <w:autoSpaceDE w:val="0"/>
        <w:autoSpaceDN w:val="0"/>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pStyle w:val="21"/>
        <w:spacing w:before="0" w:after="0" w:line="360" w:lineRule="auto"/>
        <w:jc w:val="left"/>
        <w:outlineLvl w:val="1"/>
        <w:rPr>
          <w:rFonts w:hint="eastAsia" w:ascii="仿宋" w:hAnsi="仿宋" w:eastAsia="仿宋" w:cs="仿宋"/>
          <w:color w:val="auto"/>
          <w:highlight w:val="none"/>
          <w:lang w:val="zh-CN"/>
        </w:rPr>
      </w:pPr>
      <w:r>
        <w:rPr>
          <w:rFonts w:hint="eastAsia" w:ascii="仿宋" w:hAnsi="仿宋" w:eastAsia="仿宋" w:cs="仿宋"/>
          <w:color w:val="auto"/>
          <w:kern w:val="0"/>
          <w:sz w:val="24"/>
          <w:highlight w:val="none"/>
          <w:lang w:val="zh-CN"/>
        </w:rPr>
        <w:br w:type="page"/>
      </w:r>
      <w:bookmarkEnd w:id="91"/>
      <w:bookmarkStart w:id="94" w:name="_Toc6982"/>
      <w:bookmarkStart w:id="95" w:name="_Toc8344"/>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val="zh-CN"/>
        </w:rPr>
        <w:t>资格证明材料</w:t>
      </w:r>
      <w:bookmarkEnd w:id="94"/>
    </w:p>
    <w:p>
      <w:pPr>
        <w:spacing w:line="360" w:lineRule="auto"/>
        <w:rPr>
          <w:rFonts w:hint="eastAsia" w:ascii="仿宋" w:hAnsi="仿宋" w:eastAsia="仿宋" w:cs="仿宋"/>
          <w:color w:val="auto"/>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资格证明材料</w:t>
      </w:r>
    </w:p>
    <w:p>
      <w:pPr>
        <w:autoSpaceDE w:val="0"/>
        <w:autoSpaceDN w:val="0"/>
        <w:spacing w:line="360" w:lineRule="auto"/>
        <w:rPr>
          <w:rFonts w:hint="eastAsia" w:ascii="仿宋" w:hAnsi="仿宋" w:eastAsia="仿宋" w:cs="仿宋"/>
          <w:color w:val="auto"/>
          <w:kern w:val="0"/>
          <w:sz w:val="28"/>
          <w:szCs w:val="28"/>
          <w:highlight w:val="none"/>
          <w:lang w:val="zh-CN"/>
        </w:rPr>
      </w:pP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资格证明材料包括：</w:t>
      </w:r>
    </w:p>
    <w:p>
      <w:pPr>
        <w:numPr>
          <w:ilvl w:val="0"/>
          <w:numId w:val="7"/>
        </w:num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提供有效的营业执照、税务登记证、机构代码证或三证（五证）合一统一社会代码证及其他资格证明文件（扫描或复印件）；</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（2）招标文件规定的有关资格证书、许可证书、认证等；</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（3）投标人认为有必要提供的其他资格证明文件。</w:t>
      </w:r>
    </w:p>
    <w:p>
      <w:pPr>
        <w:pStyle w:val="21"/>
        <w:spacing w:before="0" w:after="0" w:line="360" w:lineRule="auto"/>
        <w:jc w:val="left"/>
        <w:outlineLvl w:val="1"/>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br w:type="page"/>
      </w:r>
      <w:bookmarkStart w:id="96" w:name="_Toc24169"/>
      <w:r>
        <w:rPr>
          <w:rFonts w:hint="eastAsia" w:ascii="仿宋" w:hAnsi="仿宋" w:eastAsia="仿宋" w:cs="仿宋"/>
          <w:color w:val="auto"/>
          <w:sz w:val="30"/>
          <w:szCs w:val="30"/>
          <w:highlight w:val="none"/>
        </w:rPr>
        <w:t>（7）</w:t>
      </w:r>
      <w:r>
        <w:rPr>
          <w:rFonts w:hint="eastAsia" w:ascii="仿宋" w:hAnsi="仿宋" w:eastAsia="仿宋" w:cs="仿宋"/>
          <w:color w:val="auto"/>
          <w:sz w:val="30"/>
          <w:szCs w:val="30"/>
          <w:highlight w:val="none"/>
          <w:lang w:val="zh-CN"/>
        </w:rPr>
        <w:t>财务状况报告，依法缴纳税收和社会保障资金的相关材料</w:t>
      </w:r>
      <w:bookmarkEnd w:id="96"/>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财务状况报告，依法缴纳税收和社会保障资金的相关材料</w:t>
      </w:r>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按照招标文件规定提供以下相关材料。</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1、投标人是法人的，提供基本开户银行近三个月内出具的完整有效的资信证明（同时提供基本存款账户开户许可证或基本存款账户信息证明）或</w:t>
      </w:r>
      <w:r>
        <w:rPr>
          <w:rFonts w:hint="eastAsia" w:ascii="仿宋" w:hAnsi="仿宋" w:eastAsia="仿宋" w:cs="仿宋"/>
          <w:color w:val="auto"/>
          <w:kern w:val="0"/>
          <w:highlight w:val="none"/>
          <w:u w:val="dashDotDotHeavy"/>
          <w:lang w:val="zh-CN"/>
        </w:rPr>
        <w:t>上一年度（</w:t>
      </w:r>
      <w:r>
        <w:rPr>
          <w:rFonts w:hint="eastAsia" w:ascii="仿宋" w:hAnsi="仿宋" w:eastAsia="仿宋" w:cs="仿宋"/>
          <w:color w:val="auto"/>
          <w:kern w:val="0"/>
          <w:highlight w:val="none"/>
          <w:u w:val="dashDotDotHeavy"/>
        </w:rPr>
        <w:t>2020年度</w:t>
      </w:r>
      <w:r>
        <w:rPr>
          <w:rFonts w:hint="eastAsia" w:ascii="仿宋" w:hAnsi="仿宋" w:eastAsia="仿宋" w:cs="仿宋"/>
          <w:color w:val="auto"/>
          <w:kern w:val="0"/>
          <w:highlight w:val="none"/>
          <w:u w:val="dashDotDotHeavy"/>
          <w:lang w:val="en-US" w:eastAsia="zh-CN"/>
        </w:rPr>
        <w:t>或2021年度</w:t>
      </w:r>
      <w:r>
        <w:rPr>
          <w:rFonts w:hint="eastAsia" w:ascii="仿宋" w:hAnsi="仿宋" w:eastAsia="仿宋" w:cs="仿宋"/>
          <w:color w:val="auto"/>
          <w:kern w:val="0"/>
          <w:highlight w:val="none"/>
          <w:u w:val="dashDotDotHeavy"/>
          <w:lang w:val="zh-CN"/>
        </w:rPr>
        <w:t>）</w:t>
      </w:r>
      <w:r>
        <w:rPr>
          <w:rFonts w:hint="eastAsia" w:ascii="仿宋" w:hAnsi="仿宋" w:eastAsia="仿宋" w:cs="仿宋"/>
          <w:color w:val="auto"/>
          <w:highlight w:val="none"/>
        </w:rPr>
        <w:t>经第三方审计的财务状况报告</w:t>
      </w:r>
      <w:r>
        <w:rPr>
          <w:rFonts w:hint="eastAsia" w:ascii="仿宋" w:hAnsi="仿宋" w:eastAsia="仿宋" w:cs="仿宋"/>
          <w:color w:val="auto"/>
          <w:kern w:val="0"/>
          <w:highlight w:val="none"/>
          <w:lang w:val="zh-CN"/>
        </w:rPr>
        <w:t>（扫描或复印件应全面、完整、清晰），包括资产负债表、现金流量表、利润表和财务（会计）报表附注</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并提供第三方机构的营业执照、执业证书。</w:t>
      </w:r>
      <w:r>
        <w:rPr>
          <w:rFonts w:hint="eastAsia" w:ascii="仿宋" w:hAnsi="仿宋" w:eastAsia="仿宋" w:cs="仿宋"/>
          <w:color w:val="auto"/>
          <w:highlight w:val="none"/>
        </w:rPr>
        <w:t>投标人是其他组织和自然人，没有经审计的财务报告，可以提供基本开户银行出具的资信证明（同时提供基本存款账户开户许可证或基本存款账户信息证明）。</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2、近半年内</w:t>
      </w:r>
      <w:r>
        <w:rPr>
          <w:rFonts w:hint="eastAsia" w:ascii="仿宋" w:hAnsi="仿宋" w:eastAsia="仿宋" w:cs="仿宋"/>
          <w:color w:val="auto"/>
          <w:kern w:val="0"/>
          <w:highlight w:val="none"/>
          <w:lang w:val="en-US" w:eastAsia="zh-CN"/>
        </w:rPr>
        <w:t>任意三个月的</w:t>
      </w:r>
      <w:r>
        <w:rPr>
          <w:rFonts w:hint="eastAsia" w:ascii="仿宋" w:hAnsi="仿宋" w:eastAsia="仿宋" w:cs="仿宋"/>
          <w:color w:val="auto"/>
          <w:kern w:val="0"/>
          <w:highlight w:val="none"/>
          <w:lang w:val="zh-CN"/>
        </w:rPr>
        <w:t>依法缴纳税收和社会保障资金记录的证明材料；依法免税或不需要缴纳社会保障资金的投标人须提供相应文件证明其依法免税或不需要缴纳社会保障资金。</w:t>
      </w:r>
    </w:p>
    <w:p>
      <w:pPr>
        <w:pStyle w:val="21"/>
        <w:spacing w:before="0" w:after="0" w:line="360" w:lineRule="auto"/>
        <w:jc w:val="left"/>
        <w:outlineLvl w:val="1"/>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br w:type="page"/>
      </w:r>
      <w:bookmarkEnd w:id="95"/>
      <w:bookmarkStart w:id="97" w:name="_Toc18570"/>
      <w:bookmarkStart w:id="98" w:name="_Toc21530"/>
      <w:r>
        <w:rPr>
          <w:rFonts w:hint="eastAsia" w:ascii="仿宋" w:hAnsi="仿宋" w:eastAsia="仿宋" w:cs="仿宋"/>
          <w:color w:val="auto"/>
          <w:sz w:val="30"/>
          <w:szCs w:val="30"/>
          <w:highlight w:val="none"/>
        </w:rPr>
        <w:t>（8）</w:t>
      </w:r>
      <w:r>
        <w:rPr>
          <w:rFonts w:hint="eastAsia" w:ascii="仿宋" w:hAnsi="仿宋" w:eastAsia="仿宋" w:cs="仿宋"/>
          <w:color w:val="auto"/>
          <w:sz w:val="30"/>
          <w:szCs w:val="30"/>
          <w:highlight w:val="none"/>
          <w:lang w:val="zh-CN"/>
        </w:rPr>
        <w:t>具备履行合同所必需的设备和专业技术能力的证明材料</w:t>
      </w:r>
      <w:bookmarkEnd w:id="97"/>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具备履行合同所必需的设备和专业技术能力的证明材料</w:t>
      </w:r>
    </w:p>
    <w:p>
      <w:pPr>
        <w:autoSpaceDE w:val="0"/>
        <w:autoSpaceDN w:val="0"/>
        <w:spacing w:line="360" w:lineRule="auto"/>
        <w:ind w:firstLine="480"/>
        <w:rPr>
          <w:rFonts w:hint="eastAsia" w:ascii="仿宋" w:hAnsi="仿宋" w:eastAsia="仿宋" w:cs="仿宋"/>
          <w:color w:val="auto"/>
          <w:kern w:val="0"/>
          <w:highlight w:val="none"/>
          <w:lang w:val="zh-CN"/>
        </w:rPr>
      </w:pP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为保证本项目合同的顺利履行，投标人必须具备履行合同的设备和专业技术能力，须提供具备履行合同的设备和专业技术能力的承诺函（格式自拟），并提供相关设备的购置发票或相关人员的职称证书</w:t>
      </w:r>
      <w:r>
        <w:rPr>
          <w:rFonts w:hint="eastAsia" w:ascii="仿宋" w:hAnsi="仿宋" w:eastAsia="仿宋" w:cs="仿宋"/>
          <w:color w:val="auto"/>
          <w:kern w:val="0"/>
          <w:highlight w:val="none"/>
        </w:rPr>
        <w:t>或劳动合同</w:t>
      </w:r>
      <w:r>
        <w:rPr>
          <w:rFonts w:hint="eastAsia" w:ascii="仿宋" w:hAnsi="仿宋" w:eastAsia="仿宋" w:cs="仿宋"/>
          <w:color w:val="auto"/>
          <w:kern w:val="0"/>
          <w:highlight w:val="none"/>
          <w:lang w:val="zh-CN"/>
        </w:rPr>
        <w:t>等证明材料。</w:t>
      </w:r>
    </w:p>
    <w:p>
      <w:pPr>
        <w:pStyle w:val="21"/>
        <w:spacing w:before="0" w:after="0" w:line="360" w:lineRule="auto"/>
        <w:jc w:val="left"/>
        <w:outlineLvl w:val="1"/>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br w:type="page"/>
      </w:r>
      <w:bookmarkStart w:id="99" w:name="_Toc17401"/>
      <w:r>
        <w:rPr>
          <w:rFonts w:hint="eastAsia" w:ascii="仿宋" w:hAnsi="仿宋" w:eastAsia="仿宋" w:cs="仿宋"/>
          <w:color w:val="auto"/>
          <w:sz w:val="30"/>
          <w:szCs w:val="30"/>
          <w:highlight w:val="none"/>
        </w:rPr>
        <w:t>（9）</w:t>
      </w:r>
      <w:r>
        <w:rPr>
          <w:rFonts w:hint="eastAsia" w:ascii="仿宋" w:hAnsi="仿宋" w:eastAsia="仿宋" w:cs="仿宋"/>
          <w:color w:val="auto"/>
          <w:sz w:val="30"/>
          <w:szCs w:val="30"/>
          <w:highlight w:val="none"/>
          <w:lang w:val="zh-CN"/>
        </w:rPr>
        <w:t>无重大违法记录声明</w:t>
      </w:r>
      <w:bookmarkEnd w:id="99"/>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无重大违法记录声明</w:t>
      </w:r>
    </w:p>
    <w:p>
      <w:pPr>
        <w:spacing w:line="360" w:lineRule="auto"/>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致：</w:t>
      </w:r>
      <w:r>
        <w:rPr>
          <w:rFonts w:hint="eastAsia" w:ascii="仿宋" w:hAnsi="仿宋" w:eastAsia="仿宋" w:cs="仿宋"/>
          <w:b/>
          <w:bCs/>
          <w:color w:val="auto"/>
          <w:kern w:val="0"/>
          <w:highlight w:val="none"/>
          <w:u w:val="dashDotHeavy"/>
          <w:lang w:val="zh-CN"/>
        </w:rPr>
        <w:t>采购人或者采购代理机构</w:t>
      </w:r>
    </w:p>
    <w:p>
      <w:pPr>
        <w:spacing w:line="360" w:lineRule="auto"/>
        <w:ind w:firstLine="48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highlight w:val="none"/>
        </w:rPr>
        <w:t>我单位参加本次政府采购项目活动前三年内，在经营活动中无重大违法活动记录，符合《政府采购法》规定的供应商资格条</w:t>
      </w:r>
      <w:r>
        <w:rPr>
          <w:rFonts w:hint="eastAsia" w:ascii="仿宋" w:hAnsi="仿宋" w:eastAsia="仿宋" w:cs="仿宋"/>
          <w:color w:val="auto"/>
          <w:highlight w:val="none"/>
          <w:shd w:val="clear" w:color="auto" w:fill="FFFFFF"/>
        </w:rPr>
        <w:t>件。我方对此声明负全部法律责任。</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特此声明。</w:t>
      </w:r>
    </w:p>
    <w:p>
      <w:pPr>
        <w:autoSpaceDE w:val="0"/>
        <w:autoSpaceDN w:val="0"/>
        <w:spacing w:line="360" w:lineRule="auto"/>
        <w:jc w:val="left"/>
        <w:rPr>
          <w:rFonts w:hint="eastAsia" w:ascii="仿宋" w:hAnsi="仿宋" w:eastAsia="仿宋" w:cs="仿宋"/>
          <w:color w:val="auto"/>
          <w:kern w:val="0"/>
          <w:highlight w:val="none"/>
          <w:lang w:val="zh-CN"/>
        </w:rPr>
      </w:pPr>
    </w:p>
    <w:p>
      <w:pPr>
        <w:autoSpaceDE w:val="0"/>
        <w:autoSpaceDN w:val="0"/>
        <w:spacing w:line="360" w:lineRule="auto"/>
        <w:ind w:firstLine="480" w:firstLineChars="200"/>
        <w:jc w:val="left"/>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附</w:t>
      </w:r>
      <w:r>
        <w:rPr>
          <w:rFonts w:hint="eastAsia" w:ascii="仿宋" w:hAnsi="仿宋" w:eastAsia="仿宋" w:cs="仿宋"/>
          <w:color w:val="auto"/>
          <w:kern w:val="0"/>
          <w:highlight w:val="none"/>
        </w:rPr>
        <w:t>“信用中国”网站下载的完整的信用信息和“中国政府采购网”的查询截图；信息生成时间和截图时间为投标文件递交截止时间前20天内</w:t>
      </w:r>
      <w:r>
        <w:rPr>
          <w:rFonts w:hint="eastAsia" w:ascii="仿宋" w:hAnsi="仿宋" w:eastAsia="仿宋" w:cs="仿宋"/>
          <w:color w:val="auto"/>
          <w:kern w:val="0"/>
          <w:highlight w:val="none"/>
          <w:lang w:val="zh-CN"/>
        </w:rPr>
        <w:t>。</w:t>
      </w:r>
    </w:p>
    <w:p>
      <w:pPr>
        <w:autoSpaceDE w:val="0"/>
        <w:autoSpaceDN w:val="0"/>
        <w:spacing w:line="360" w:lineRule="auto"/>
        <w:jc w:val="left"/>
        <w:rPr>
          <w:rFonts w:hint="eastAsia" w:ascii="仿宋" w:hAnsi="仿宋" w:eastAsia="仿宋" w:cs="仿宋"/>
          <w:color w:val="auto"/>
          <w:kern w:val="0"/>
          <w:highlight w:val="none"/>
          <w:lang w:val="zh-CN"/>
        </w:rPr>
      </w:pPr>
    </w:p>
    <w:p>
      <w:pPr>
        <w:autoSpaceDE w:val="0"/>
        <w:autoSpaceDN w:val="0"/>
        <w:spacing w:line="360" w:lineRule="auto"/>
        <w:jc w:val="left"/>
        <w:rPr>
          <w:rFonts w:hint="eastAsia" w:ascii="仿宋" w:hAnsi="仿宋" w:eastAsia="仿宋" w:cs="仿宋"/>
          <w:color w:val="auto"/>
          <w:kern w:val="0"/>
          <w:highlight w:val="none"/>
          <w:lang w:val="zh-CN"/>
        </w:rPr>
      </w:pPr>
    </w:p>
    <w:p>
      <w:pPr>
        <w:autoSpaceDE w:val="0"/>
        <w:autoSpaceDN w:val="0"/>
        <w:spacing w:line="360" w:lineRule="auto"/>
        <w:jc w:val="left"/>
        <w:rPr>
          <w:rFonts w:hint="eastAsia" w:ascii="仿宋" w:hAnsi="仿宋" w:eastAsia="仿宋" w:cs="仿宋"/>
          <w:color w:val="auto"/>
          <w:kern w:val="0"/>
          <w:highlight w:val="none"/>
          <w:lang w:val="zh-CN"/>
        </w:rPr>
      </w:pPr>
    </w:p>
    <w:p>
      <w:pPr>
        <w:autoSpaceDE w:val="0"/>
        <w:autoSpaceDN w:val="0"/>
        <w:spacing w:line="360" w:lineRule="auto"/>
        <w:jc w:val="left"/>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法定代表人或委托代理人：        （签字或盖章）</w:t>
      </w:r>
    </w:p>
    <w:p>
      <w:pPr>
        <w:autoSpaceDE w:val="0"/>
        <w:autoSpaceDN w:val="0"/>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pStyle w:val="21"/>
        <w:spacing w:before="0" w:after="0" w:line="360" w:lineRule="auto"/>
        <w:jc w:val="left"/>
        <w:outlineLvl w:val="1"/>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br w:type="page"/>
      </w:r>
      <w:bookmarkStart w:id="100" w:name="_Toc26344"/>
      <w:bookmarkStart w:id="101" w:name="_Toc29764"/>
      <w:r>
        <w:rPr>
          <w:rFonts w:hint="eastAsia" w:ascii="仿宋" w:hAnsi="仿宋" w:eastAsia="仿宋" w:cs="仿宋"/>
          <w:color w:val="auto"/>
          <w:sz w:val="30"/>
          <w:szCs w:val="30"/>
          <w:highlight w:val="none"/>
        </w:rPr>
        <w:t>（10）</w:t>
      </w:r>
      <w:r>
        <w:rPr>
          <w:rFonts w:hint="eastAsia" w:ascii="仿宋" w:hAnsi="仿宋" w:eastAsia="仿宋" w:cs="仿宋"/>
          <w:color w:val="auto"/>
          <w:sz w:val="30"/>
          <w:szCs w:val="30"/>
          <w:highlight w:val="none"/>
          <w:lang w:val="zh-CN"/>
        </w:rPr>
        <w:t>投标保证金证明</w:t>
      </w:r>
      <w:bookmarkEnd w:id="100"/>
      <w:bookmarkEnd w:id="101"/>
    </w:p>
    <w:p>
      <w:pPr>
        <w:spacing w:line="360" w:lineRule="auto"/>
        <w:rPr>
          <w:rFonts w:hint="eastAsia" w:ascii="仿宋" w:hAnsi="仿宋" w:eastAsia="仿宋" w:cs="仿宋"/>
          <w:color w:val="auto"/>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投标保证金证明</w:t>
      </w:r>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致：</w:t>
      </w:r>
      <w:r>
        <w:rPr>
          <w:rFonts w:hint="eastAsia" w:ascii="仿宋" w:hAnsi="仿宋" w:eastAsia="仿宋" w:cs="仿宋"/>
          <w:b/>
          <w:bCs/>
          <w:color w:val="auto"/>
          <w:kern w:val="0"/>
          <w:highlight w:val="none"/>
          <w:u w:val="dashDotHeavy"/>
          <w:lang w:val="zh-CN"/>
        </w:rPr>
        <w:t>采购人或者采购代理机构</w:t>
      </w:r>
    </w:p>
    <w:p>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我方为（采购项目名称）项目（采购项目编号为：        ）递交保证金人民币       （大写：人民币        元）已于     年    月    日以企业账户转账方式汇入你方账户。</w:t>
      </w:r>
    </w:p>
    <w:p>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附件：保证金交款证明复印件（加盖公章）</w:t>
      </w:r>
    </w:p>
    <w:p>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户    名：</w:t>
      </w:r>
    </w:p>
    <w:p>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开户银行：</w:t>
      </w:r>
    </w:p>
    <w:p>
      <w:pPr>
        <w:autoSpaceDE w:val="0"/>
        <w:autoSpaceDN w:val="0"/>
        <w:spacing w:line="360" w:lineRule="auto"/>
        <w:ind w:firstLine="36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开户帐号：</w:t>
      </w:r>
    </w:p>
    <w:p>
      <w:pPr>
        <w:autoSpaceDE w:val="0"/>
        <w:autoSpaceDN w:val="0"/>
        <w:spacing w:line="360" w:lineRule="auto"/>
        <w:ind w:firstLine="360"/>
        <w:rPr>
          <w:rFonts w:hint="eastAsia" w:ascii="仿宋" w:hAnsi="仿宋" w:eastAsia="仿宋" w:cs="仿宋"/>
          <w:color w:val="auto"/>
          <w:kern w:val="0"/>
          <w:highlight w:val="none"/>
          <w:lang w:val="zh-CN"/>
        </w:rPr>
      </w:pPr>
    </w:p>
    <w:p>
      <w:pPr>
        <w:autoSpaceDE w:val="0"/>
        <w:autoSpaceDN w:val="0"/>
        <w:spacing w:line="360" w:lineRule="auto"/>
        <w:ind w:firstLine="360"/>
        <w:rPr>
          <w:rFonts w:hint="eastAsia" w:ascii="仿宋" w:hAnsi="仿宋" w:eastAsia="仿宋" w:cs="仿宋"/>
          <w:color w:val="auto"/>
          <w:kern w:val="0"/>
          <w:highlight w:val="none"/>
          <w:lang w:val="zh-CN"/>
        </w:rPr>
      </w:pPr>
    </w:p>
    <w:p>
      <w:pPr>
        <w:autoSpaceDE w:val="0"/>
        <w:autoSpaceDN w:val="0"/>
        <w:spacing w:line="360" w:lineRule="auto"/>
        <w:ind w:firstLine="360"/>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法定代表人或委托代理人：        （签字或盖章）</w:t>
      </w:r>
    </w:p>
    <w:p>
      <w:pPr>
        <w:autoSpaceDE w:val="0"/>
        <w:autoSpaceDN w:val="0"/>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autoSpaceDE w:val="0"/>
        <w:autoSpaceDN w:val="0"/>
        <w:spacing w:line="360" w:lineRule="auto"/>
        <w:rPr>
          <w:rFonts w:hint="eastAsia" w:ascii="仿宋" w:hAnsi="仿宋" w:eastAsia="仿宋" w:cs="仿宋"/>
          <w:b/>
          <w:bCs/>
          <w:color w:val="auto"/>
          <w:kern w:val="0"/>
          <w:highlight w:val="none"/>
          <w:lang w:val="zh-CN"/>
        </w:rPr>
      </w:pPr>
    </w:p>
    <w:bookmarkEnd w:id="98"/>
    <w:p>
      <w:pPr>
        <w:rPr>
          <w:rFonts w:hint="eastAsia" w:ascii="仿宋" w:hAnsi="仿宋" w:eastAsia="仿宋" w:cs="仿宋"/>
          <w:b/>
          <w:color w:val="auto"/>
          <w:sz w:val="36"/>
          <w:szCs w:val="36"/>
          <w:highlight w:val="none"/>
        </w:rPr>
      </w:pPr>
      <w:r>
        <w:rPr>
          <w:rFonts w:hint="eastAsia" w:ascii="仿宋" w:hAnsi="仿宋" w:eastAsia="仿宋" w:cs="仿宋"/>
          <w:color w:val="auto"/>
          <w:kern w:val="0"/>
          <w:highlight w:val="none"/>
          <w:lang w:val="zh-CN"/>
        </w:rPr>
        <w:t>若用保函，格式自拟。</w:t>
      </w:r>
      <w:r>
        <w:rPr>
          <w:rFonts w:hint="eastAsia" w:ascii="仿宋" w:hAnsi="仿宋" w:eastAsia="仿宋" w:cs="仿宋"/>
          <w:color w:val="auto"/>
          <w:kern w:val="0"/>
          <w:highlight w:val="none"/>
          <w:lang w:val="zh-CN"/>
        </w:rPr>
        <w:br w:type="page"/>
      </w:r>
      <w:r>
        <w:rPr>
          <w:rFonts w:hint="eastAsia" w:ascii="仿宋" w:hAnsi="仿宋" w:eastAsia="仿宋" w:cs="仿宋"/>
          <w:b/>
          <w:color w:val="auto"/>
          <w:sz w:val="36"/>
          <w:szCs w:val="36"/>
          <w:highlight w:val="none"/>
          <w:lang w:val="zh-CN"/>
        </w:rPr>
        <w:t>（下册）</w:t>
      </w:r>
    </w:p>
    <w:p>
      <w:pPr>
        <w:autoSpaceDE w:val="0"/>
        <w:autoSpaceDN w:val="0"/>
        <w:spacing w:line="360" w:lineRule="auto"/>
        <w:jc w:val="right"/>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正本/副本</w:t>
      </w:r>
    </w:p>
    <w:p>
      <w:pPr>
        <w:autoSpaceDE w:val="0"/>
        <w:autoSpaceDN w:val="0"/>
        <w:spacing w:line="360" w:lineRule="auto"/>
        <w:jc w:val="center"/>
        <w:rPr>
          <w:rFonts w:hint="eastAsia" w:ascii="仿宋" w:hAnsi="仿宋" w:eastAsia="仿宋" w:cs="仿宋"/>
          <w:b/>
          <w:bCs/>
          <w:color w:val="auto"/>
          <w:kern w:val="0"/>
          <w:sz w:val="52"/>
          <w:szCs w:val="52"/>
          <w:highlight w:val="none"/>
          <w:lang w:val="zh-CN"/>
        </w:rPr>
      </w:pPr>
      <w:r>
        <w:rPr>
          <w:rFonts w:hint="eastAsia" w:ascii="仿宋" w:hAnsi="仿宋" w:eastAsia="仿宋" w:cs="仿宋"/>
          <w:b/>
          <w:bCs/>
          <w:color w:val="auto"/>
          <w:kern w:val="0"/>
          <w:sz w:val="52"/>
          <w:szCs w:val="52"/>
          <w:highlight w:val="none"/>
          <w:lang w:val="zh-CN"/>
        </w:rPr>
        <w:t>青海省政府采购项目</w:t>
      </w:r>
    </w:p>
    <w:p>
      <w:pPr>
        <w:autoSpaceDE w:val="0"/>
        <w:autoSpaceDN w:val="0"/>
        <w:spacing w:line="360" w:lineRule="auto"/>
        <w:rPr>
          <w:rFonts w:hint="eastAsia" w:ascii="仿宋" w:hAnsi="仿宋" w:eastAsia="仿宋" w:cs="仿宋"/>
          <w:color w:val="auto"/>
          <w:kern w:val="0"/>
          <w:sz w:val="36"/>
          <w:szCs w:val="36"/>
          <w:highlight w:val="none"/>
        </w:rPr>
      </w:pPr>
    </w:p>
    <w:p>
      <w:pPr>
        <w:autoSpaceDE w:val="0"/>
        <w:autoSpaceDN w:val="0"/>
        <w:spacing w:line="360" w:lineRule="auto"/>
        <w:jc w:val="center"/>
        <w:rPr>
          <w:rFonts w:hint="eastAsia" w:ascii="仿宋" w:hAnsi="仿宋" w:eastAsia="仿宋" w:cs="仿宋"/>
          <w:b/>
          <w:bCs/>
          <w:color w:val="auto"/>
          <w:kern w:val="0"/>
          <w:sz w:val="72"/>
          <w:szCs w:val="72"/>
          <w:highlight w:val="none"/>
        </w:rPr>
      </w:pPr>
      <w:r>
        <w:rPr>
          <w:rFonts w:hint="eastAsia" w:ascii="仿宋" w:hAnsi="仿宋" w:eastAsia="仿宋" w:cs="仿宋"/>
          <w:b/>
          <w:bCs/>
          <w:color w:val="auto"/>
          <w:kern w:val="0"/>
          <w:sz w:val="72"/>
          <w:szCs w:val="72"/>
          <w:highlight w:val="none"/>
          <w:lang w:val="zh-CN"/>
        </w:rPr>
        <w:t>投</w:t>
      </w:r>
      <w:r>
        <w:rPr>
          <w:rFonts w:hint="eastAsia" w:ascii="仿宋" w:hAnsi="仿宋" w:eastAsia="仿宋" w:cs="仿宋"/>
          <w:b/>
          <w:bCs/>
          <w:color w:val="auto"/>
          <w:kern w:val="0"/>
          <w:sz w:val="72"/>
          <w:szCs w:val="72"/>
          <w:highlight w:val="none"/>
        </w:rPr>
        <w:t xml:space="preserve"> </w:t>
      </w:r>
      <w:r>
        <w:rPr>
          <w:rFonts w:hint="eastAsia" w:ascii="仿宋" w:hAnsi="仿宋" w:eastAsia="仿宋" w:cs="仿宋"/>
          <w:b/>
          <w:bCs/>
          <w:color w:val="auto"/>
          <w:kern w:val="0"/>
          <w:sz w:val="72"/>
          <w:szCs w:val="72"/>
          <w:highlight w:val="none"/>
          <w:lang w:val="zh-CN"/>
        </w:rPr>
        <w:t>标</w:t>
      </w:r>
      <w:r>
        <w:rPr>
          <w:rFonts w:hint="eastAsia" w:ascii="仿宋" w:hAnsi="仿宋" w:eastAsia="仿宋" w:cs="仿宋"/>
          <w:b/>
          <w:bCs/>
          <w:color w:val="auto"/>
          <w:kern w:val="0"/>
          <w:sz w:val="72"/>
          <w:szCs w:val="72"/>
          <w:highlight w:val="none"/>
        </w:rPr>
        <w:t xml:space="preserve"> </w:t>
      </w:r>
      <w:r>
        <w:rPr>
          <w:rFonts w:hint="eastAsia" w:ascii="仿宋" w:hAnsi="仿宋" w:eastAsia="仿宋" w:cs="仿宋"/>
          <w:b/>
          <w:bCs/>
          <w:color w:val="auto"/>
          <w:kern w:val="0"/>
          <w:sz w:val="72"/>
          <w:szCs w:val="72"/>
          <w:highlight w:val="none"/>
          <w:lang w:val="zh-CN"/>
        </w:rPr>
        <w:t>文</w:t>
      </w:r>
      <w:r>
        <w:rPr>
          <w:rFonts w:hint="eastAsia" w:ascii="仿宋" w:hAnsi="仿宋" w:eastAsia="仿宋" w:cs="仿宋"/>
          <w:b/>
          <w:bCs/>
          <w:color w:val="auto"/>
          <w:kern w:val="0"/>
          <w:sz w:val="72"/>
          <w:szCs w:val="72"/>
          <w:highlight w:val="none"/>
        </w:rPr>
        <w:t xml:space="preserve"> </w:t>
      </w:r>
      <w:r>
        <w:rPr>
          <w:rFonts w:hint="eastAsia" w:ascii="仿宋" w:hAnsi="仿宋" w:eastAsia="仿宋" w:cs="仿宋"/>
          <w:b/>
          <w:bCs/>
          <w:color w:val="auto"/>
          <w:kern w:val="0"/>
          <w:sz w:val="72"/>
          <w:szCs w:val="72"/>
          <w:highlight w:val="none"/>
          <w:lang w:val="zh-CN"/>
        </w:rPr>
        <w:t>件</w:t>
      </w:r>
    </w:p>
    <w:p>
      <w:pPr>
        <w:autoSpaceDE w:val="0"/>
        <w:autoSpaceDN w:val="0"/>
        <w:spacing w:line="360" w:lineRule="auto"/>
        <w:jc w:val="center"/>
        <w:rPr>
          <w:rFonts w:hint="eastAsia" w:ascii="仿宋" w:hAnsi="仿宋" w:eastAsia="仿宋" w:cs="仿宋"/>
          <w:color w:val="auto"/>
          <w:kern w:val="0"/>
          <w:sz w:val="44"/>
          <w:szCs w:val="44"/>
          <w:highlight w:val="none"/>
        </w:rPr>
      </w:pPr>
      <w:r>
        <w:rPr>
          <w:rFonts w:hint="eastAsia" w:ascii="仿宋" w:hAnsi="仿宋" w:eastAsia="仿宋" w:cs="仿宋"/>
          <w:b/>
          <w:bCs/>
          <w:color w:val="auto"/>
          <w:sz w:val="44"/>
          <w:szCs w:val="44"/>
          <w:highlight w:val="none"/>
          <w:lang w:val="zh-CN"/>
        </w:rPr>
        <w:t>（下册）</w:t>
      </w:r>
    </w:p>
    <w:p>
      <w:pPr>
        <w:autoSpaceDE w:val="0"/>
        <w:autoSpaceDN w:val="0"/>
        <w:spacing w:line="360" w:lineRule="auto"/>
        <w:rPr>
          <w:rFonts w:hint="eastAsia" w:ascii="仿宋" w:hAnsi="仿宋" w:eastAsia="仿宋" w:cs="仿宋"/>
          <w:color w:val="auto"/>
          <w:kern w:val="0"/>
          <w:sz w:val="36"/>
          <w:szCs w:val="36"/>
          <w:highlight w:val="none"/>
        </w:rPr>
      </w:pPr>
    </w:p>
    <w:p>
      <w:pPr>
        <w:autoSpaceDE w:val="0"/>
        <w:autoSpaceDN w:val="0"/>
        <w:spacing w:line="360" w:lineRule="auto"/>
        <w:rPr>
          <w:rFonts w:hint="eastAsia" w:ascii="仿宋" w:hAnsi="仿宋" w:eastAsia="仿宋" w:cs="仿宋"/>
          <w:color w:val="auto"/>
          <w:kern w:val="0"/>
          <w:sz w:val="36"/>
          <w:szCs w:val="36"/>
          <w:highlight w:val="none"/>
        </w:rPr>
      </w:pP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zh-CN"/>
        </w:rPr>
        <w:t>采购项目编号：</w:t>
      </w: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zh-CN"/>
        </w:rPr>
        <w:t>采购项目名称</w:t>
      </w:r>
      <w:r>
        <w:rPr>
          <w:rFonts w:hint="eastAsia" w:ascii="仿宋" w:hAnsi="仿宋" w:eastAsia="仿宋" w:cs="仿宋"/>
          <w:b/>
          <w:bCs/>
          <w:color w:val="auto"/>
          <w:kern w:val="0"/>
          <w:sz w:val="36"/>
          <w:szCs w:val="36"/>
          <w:highlight w:val="none"/>
        </w:rPr>
        <w:t>：</w:t>
      </w:r>
    </w:p>
    <w:p>
      <w:pPr>
        <w:autoSpaceDE w:val="0"/>
        <w:autoSpaceDN w:val="0"/>
        <w:spacing w:line="360" w:lineRule="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lang w:val="zh-CN"/>
        </w:rPr>
        <w:t>投</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标</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包</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号：</w:t>
      </w:r>
    </w:p>
    <w:p>
      <w:pPr>
        <w:autoSpaceDE w:val="0"/>
        <w:autoSpaceDN w:val="0"/>
        <w:spacing w:line="360" w:lineRule="auto"/>
        <w:rPr>
          <w:rFonts w:hint="eastAsia" w:ascii="仿宋" w:hAnsi="仿宋" w:eastAsia="仿宋" w:cs="仿宋"/>
          <w:b/>
          <w:bCs/>
          <w:color w:val="auto"/>
          <w:kern w:val="0"/>
          <w:sz w:val="36"/>
          <w:szCs w:val="36"/>
          <w:highlight w:val="none"/>
        </w:rPr>
      </w:pPr>
    </w:p>
    <w:p>
      <w:pPr>
        <w:autoSpaceDE w:val="0"/>
        <w:autoSpaceDN w:val="0"/>
        <w:spacing w:line="360" w:lineRule="auto"/>
        <w:rPr>
          <w:rFonts w:hint="eastAsia" w:ascii="仿宋" w:hAnsi="仿宋" w:eastAsia="仿宋" w:cs="仿宋"/>
          <w:b/>
          <w:bCs/>
          <w:color w:val="auto"/>
          <w:kern w:val="0"/>
          <w:sz w:val="36"/>
          <w:szCs w:val="36"/>
          <w:highlight w:val="none"/>
        </w:rPr>
      </w:pP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投标人：</w:t>
      </w:r>
      <w:r>
        <w:rPr>
          <w:rFonts w:hint="eastAsia" w:ascii="仿宋" w:hAnsi="仿宋" w:eastAsia="仿宋" w:cs="仿宋"/>
          <w:b/>
          <w:bCs/>
          <w:color w:val="auto"/>
          <w:kern w:val="0"/>
          <w:sz w:val="36"/>
          <w:szCs w:val="36"/>
          <w:highlight w:val="none"/>
          <w:u w:val="single"/>
        </w:rPr>
        <w:t xml:space="preserve">                          </w:t>
      </w:r>
      <w:r>
        <w:rPr>
          <w:rFonts w:hint="eastAsia" w:ascii="仿宋" w:hAnsi="仿宋" w:eastAsia="仿宋" w:cs="仿宋"/>
          <w:b/>
          <w:bCs/>
          <w:color w:val="auto"/>
          <w:kern w:val="0"/>
          <w:sz w:val="36"/>
          <w:szCs w:val="36"/>
          <w:highlight w:val="none"/>
        </w:rPr>
        <w:t>（</w:t>
      </w:r>
      <w:r>
        <w:rPr>
          <w:rFonts w:hint="eastAsia" w:ascii="仿宋" w:hAnsi="仿宋" w:eastAsia="仿宋" w:cs="仿宋"/>
          <w:b/>
          <w:bCs/>
          <w:color w:val="auto"/>
          <w:kern w:val="0"/>
          <w:sz w:val="36"/>
          <w:szCs w:val="36"/>
          <w:highlight w:val="none"/>
          <w:lang w:val="zh-CN"/>
        </w:rPr>
        <w:t>公章）</w:t>
      </w:r>
    </w:p>
    <w:p>
      <w:pPr>
        <w:autoSpaceDE w:val="0"/>
        <w:autoSpaceDN w:val="0"/>
        <w:spacing w:line="360" w:lineRule="auto"/>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法定代表人或委托代理人：</w:t>
      </w:r>
      <w:r>
        <w:rPr>
          <w:rFonts w:hint="eastAsia" w:ascii="仿宋" w:hAnsi="仿宋" w:eastAsia="仿宋" w:cs="仿宋"/>
          <w:b/>
          <w:bCs/>
          <w:color w:val="auto"/>
          <w:kern w:val="0"/>
          <w:sz w:val="36"/>
          <w:szCs w:val="36"/>
          <w:highlight w:val="none"/>
          <w:u w:val="single"/>
        </w:rPr>
        <w:t xml:space="preserve">     </w:t>
      </w:r>
      <w:r>
        <w:rPr>
          <w:rFonts w:hint="eastAsia" w:ascii="仿宋" w:hAnsi="仿宋" w:eastAsia="仿宋" w:cs="仿宋"/>
          <w:b/>
          <w:bCs/>
          <w:color w:val="auto"/>
          <w:kern w:val="0"/>
          <w:sz w:val="36"/>
          <w:szCs w:val="36"/>
          <w:highlight w:val="none"/>
          <w:lang w:val="zh-CN"/>
        </w:rPr>
        <w:t>（签字或盖章）</w:t>
      </w:r>
    </w:p>
    <w:p>
      <w:pPr>
        <w:autoSpaceDE w:val="0"/>
        <w:autoSpaceDN w:val="0"/>
        <w:spacing w:line="360" w:lineRule="auto"/>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年</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月</w:t>
      </w:r>
      <w:r>
        <w:rPr>
          <w:rFonts w:hint="eastAsia" w:ascii="仿宋" w:hAnsi="仿宋" w:eastAsia="仿宋" w:cs="仿宋"/>
          <w:b/>
          <w:bCs/>
          <w:color w:val="auto"/>
          <w:kern w:val="0"/>
          <w:sz w:val="36"/>
          <w:szCs w:val="36"/>
          <w:highlight w:val="none"/>
        </w:rPr>
        <w:t xml:space="preserve">    </w:t>
      </w:r>
      <w:r>
        <w:rPr>
          <w:rFonts w:hint="eastAsia" w:ascii="仿宋" w:hAnsi="仿宋" w:eastAsia="仿宋" w:cs="仿宋"/>
          <w:b/>
          <w:bCs/>
          <w:color w:val="auto"/>
          <w:kern w:val="0"/>
          <w:sz w:val="36"/>
          <w:szCs w:val="36"/>
          <w:highlight w:val="none"/>
          <w:lang w:val="zh-CN"/>
        </w:rPr>
        <w:t>日</w:t>
      </w:r>
    </w:p>
    <w:p>
      <w:pPr>
        <w:pStyle w:val="21"/>
        <w:spacing w:before="0" w:after="0" w:line="360" w:lineRule="auto"/>
        <w:jc w:val="left"/>
        <w:rPr>
          <w:rFonts w:hint="eastAsia" w:ascii="仿宋" w:hAnsi="仿宋" w:eastAsia="仿宋" w:cs="仿宋"/>
          <w:color w:val="auto"/>
          <w:highlight w:val="none"/>
          <w:lang w:val="zh-CN"/>
        </w:rPr>
      </w:pPr>
      <w:r>
        <w:rPr>
          <w:rFonts w:hint="eastAsia" w:ascii="仿宋" w:hAnsi="仿宋" w:eastAsia="仿宋" w:cs="仿宋"/>
          <w:b w:val="0"/>
          <w:bCs w:val="0"/>
          <w:color w:val="auto"/>
          <w:kern w:val="0"/>
          <w:highlight w:val="none"/>
          <w:lang w:val="zh-CN"/>
        </w:rPr>
        <w:br w:type="page"/>
      </w:r>
      <w:bookmarkStart w:id="102" w:name="_Toc13907"/>
      <w:r>
        <w:rPr>
          <w:rFonts w:hint="eastAsia" w:ascii="仿宋" w:hAnsi="仿宋" w:eastAsia="仿宋" w:cs="仿宋"/>
          <w:color w:val="auto"/>
          <w:sz w:val="30"/>
          <w:szCs w:val="30"/>
          <w:highlight w:val="none"/>
          <w:lang w:val="zh-CN"/>
        </w:rPr>
        <w:t>目录（下册）</w:t>
      </w:r>
      <w:bookmarkEnd w:id="102"/>
    </w:p>
    <w:p>
      <w:pPr>
        <w:numPr>
          <w:ilvl w:val="0"/>
          <w:numId w:val="8"/>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highlight w:val="none"/>
        </w:rPr>
        <w:t>评分对照表</w:t>
      </w:r>
      <w:r>
        <w:rPr>
          <w:rFonts w:hint="eastAsia" w:ascii="仿宋" w:hAnsi="仿宋" w:eastAsia="仿宋" w:cs="仿宋"/>
          <w:color w:val="auto"/>
          <w:kern w:val="0"/>
          <w:highlight w:val="none"/>
          <w:lang w:val="zh-CN"/>
        </w:rPr>
        <w:t>………………………………………………………所在页码</w:t>
      </w:r>
    </w:p>
    <w:p>
      <w:pPr>
        <w:numPr>
          <w:ilvl w:val="0"/>
          <w:numId w:val="8"/>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开标一览表（报价表）…………………………………………所在页码</w:t>
      </w:r>
    </w:p>
    <w:p>
      <w:pPr>
        <w:numPr>
          <w:ilvl w:val="0"/>
          <w:numId w:val="8"/>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分项报价表………………………………………………………所在页码</w:t>
      </w:r>
    </w:p>
    <w:p>
      <w:pPr>
        <w:numPr>
          <w:ilvl w:val="0"/>
          <w:numId w:val="8"/>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服务内容及技术规格响应表……………………………………所在页码</w:t>
      </w:r>
    </w:p>
    <w:p>
      <w:pPr>
        <w:numPr>
          <w:ilvl w:val="0"/>
          <w:numId w:val="8"/>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投标人的类似业绩证明材料……………………………………所在页码</w:t>
      </w:r>
    </w:p>
    <w:p>
      <w:pPr>
        <w:numPr>
          <w:ilvl w:val="0"/>
          <w:numId w:val="8"/>
        </w:numPr>
        <w:autoSpaceDE w:val="0"/>
        <w:autoSpaceDN w:val="0"/>
        <w:spacing w:line="360" w:lineRule="auto"/>
        <w:rPr>
          <w:rFonts w:hint="eastAsia" w:ascii="仿宋" w:hAnsi="仿宋" w:eastAsia="仿宋" w:cs="仿宋"/>
          <w:color w:val="auto"/>
          <w:highlight w:val="none"/>
          <w:lang w:val="zh-CN"/>
        </w:rPr>
      </w:pPr>
      <w:r>
        <w:rPr>
          <w:rFonts w:hint="eastAsia" w:ascii="仿宋" w:hAnsi="仿宋" w:eastAsia="仿宋" w:cs="仿宋"/>
          <w:color w:val="auto"/>
          <w:kern w:val="0"/>
          <w:highlight w:val="none"/>
          <w:lang w:val="zh-CN"/>
        </w:rPr>
        <w:t>制造（生产）企业小型微型企业声明函、从业人员声明函…所在页码</w:t>
      </w:r>
    </w:p>
    <w:p>
      <w:pPr>
        <w:numPr>
          <w:ilvl w:val="0"/>
          <w:numId w:val="8"/>
        </w:num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残疾人福利性单位声明函………………………………………所在页码</w:t>
      </w:r>
    </w:p>
    <w:p>
      <w:pPr>
        <w:numPr>
          <w:ilvl w:val="0"/>
          <w:numId w:val="8"/>
        </w:numPr>
        <w:autoSpaceDE w:val="0"/>
        <w:autoSpaceDN w:val="0"/>
        <w:spacing w:line="360" w:lineRule="auto"/>
        <w:rPr>
          <w:rFonts w:hint="eastAsia" w:ascii="仿宋" w:hAnsi="仿宋" w:eastAsia="仿宋" w:cs="仿宋"/>
          <w:color w:val="auto"/>
          <w:highlight w:val="none"/>
          <w:lang w:val="zh-CN"/>
        </w:rPr>
      </w:pPr>
      <w:r>
        <w:rPr>
          <w:rFonts w:hint="eastAsia" w:ascii="仿宋" w:hAnsi="仿宋" w:eastAsia="仿宋" w:cs="仿宋"/>
          <w:color w:val="auto"/>
          <w:kern w:val="0"/>
          <w:highlight w:val="none"/>
          <w:lang w:val="zh-CN"/>
        </w:rPr>
        <w:t>投标人认为在其他方面有必要说明的事项……………………所在页码</w:t>
      </w:r>
    </w:p>
    <w:p>
      <w:pPr>
        <w:pStyle w:val="21"/>
        <w:spacing w:before="0" w:after="0" w:line="360" w:lineRule="auto"/>
        <w:jc w:val="left"/>
        <w:outlineLvl w:val="1"/>
        <w:rPr>
          <w:rFonts w:hint="eastAsia" w:ascii="仿宋" w:hAnsi="仿宋" w:eastAsia="仿宋" w:cs="仿宋"/>
          <w:color w:val="auto"/>
          <w:sz w:val="30"/>
          <w:szCs w:val="30"/>
          <w:highlight w:val="none"/>
          <w:lang w:val="zh-CN"/>
        </w:rPr>
      </w:pPr>
      <w:r>
        <w:rPr>
          <w:rFonts w:hint="eastAsia" w:ascii="仿宋" w:hAnsi="仿宋" w:eastAsia="仿宋" w:cs="仿宋"/>
          <w:color w:val="auto"/>
          <w:highlight w:val="none"/>
          <w:lang w:val="zh-CN"/>
        </w:rPr>
        <w:br w:type="page"/>
      </w:r>
      <w:bookmarkStart w:id="103" w:name="_Toc30618"/>
      <w:r>
        <w:rPr>
          <w:rFonts w:hint="eastAsia" w:ascii="仿宋" w:hAnsi="仿宋" w:eastAsia="仿宋" w:cs="仿宋"/>
          <w:color w:val="auto"/>
          <w:sz w:val="30"/>
          <w:szCs w:val="30"/>
          <w:highlight w:val="none"/>
        </w:rPr>
        <w:t>（11）</w:t>
      </w:r>
      <w:r>
        <w:rPr>
          <w:rFonts w:hint="eastAsia" w:ascii="仿宋" w:hAnsi="仿宋" w:eastAsia="仿宋" w:cs="仿宋"/>
          <w:color w:val="auto"/>
          <w:sz w:val="30"/>
          <w:szCs w:val="30"/>
          <w:highlight w:val="none"/>
          <w:lang w:val="zh-CN"/>
        </w:rPr>
        <w:t>评分对照表</w:t>
      </w:r>
      <w:bookmarkEnd w:id="103"/>
    </w:p>
    <w:p>
      <w:pPr>
        <w:spacing w:line="360" w:lineRule="auto"/>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t>评分对照表</w:t>
      </w:r>
    </w:p>
    <w:p>
      <w:pPr>
        <w:spacing w:line="360" w:lineRule="auto"/>
        <w:rPr>
          <w:rFonts w:hint="eastAsia" w:ascii="仿宋" w:hAnsi="仿宋" w:eastAsia="仿宋" w:cs="仿宋"/>
          <w:color w:val="auto"/>
          <w:sz w:val="28"/>
          <w:szCs w:val="28"/>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序号</w:t>
            </w: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招标文件评分标准</w:t>
            </w: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投标响应部分</w:t>
            </w: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514"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266" w:type="dxa"/>
            <w:vAlign w:val="center"/>
          </w:tcPr>
          <w:p>
            <w:pPr>
              <w:pStyle w:val="9"/>
              <w:spacing w:line="360" w:lineRule="auto"/>
              <w:ind w:firstLine="0"/>
              <w:jc w:val="center"/>
              <w:rPr>
                <w:rFonts w:hint="eastAsia" w:ascii="仿宋" w:hAnsi="仿宋" w:eastAsia="仿宋" w:cs="仿宋"/>
                <w:color w:val="auto"/>
                <w:szCs w:val="24"/>
                <w:highlight w:val="none"/>
              </w:rPr>
            </w:pPr>
          </w:p>
        </w:tc>
        <w:tc>
          <w:tcPr>
            <w:tcW w:w="2966" w:type="dxa"/>
            <w:vAlign w:val="center"/>
          </w:tcPr>
          <w:p>
            <w:pPr>
              <w:pStyle w:val="9"/>
              <w:spacing w:line="360" w:lineRule="auto"/>
              <w:ind w:firstLine="0"/>
              <w:jc w:val="center"/>
              <w:rPr>
                <w:rFonts w:hint="eastAsia" w:ascii="仿宋" w:hAnsi="仿宋" w:eastAsia="仿宋" w:cs="仿宋"/>
                <w:color w:val="auto"/>
                <w:szCs w:val="24"/>
                <w:highlight w:val="none"/>
              </w:rPr>
            </w:pPr>
          </w:p>
        </w:tc>
      </w:tr>
    </w:tbl>
    <w:p>
      <w:pPr>
        <w:spacing w:line="360" w:lineRule="auto"/>
        <w:rPr>
          <w:rFonts w:hint="eastAsia" w:ascii="仿宋" w:hAnsi="仿宋" w:eastAsia="仿宋" w:cs="仿宋"/>
          <w:color w:val="auto"/>
          <w:highlight w:val="none"/>
          <w:lang w:val="zh-CN"/>
        </w:rPr>
      </w:pPr>
    </w:p>
    <w:p>
      <w:pPr>
        <w:pStyle w:val="21"/>
        <w:spacing w:before="0" w:after="0" w:line="360" w:lineRule="auto"/>
        <w:jc w:val="left"/>
        <w:outlineLvl w:val="1"/>
        <w:rPr>
          <w:rFonts w:hint="eastAsia" w:ascii="仿宋" w:hAnsi="仿宋" w:eastAsia="仿宋" w:cs="仿宋"/>
          <w:color w:val="auto"/>
          <w:highlight w:val="none"/>
          <w:lang w:val="zh-CN"/>
        </w:rPr>
      </w:pPr>
      <w:bookmarkStart w:id="104" w:name="_Toc28963"/>
      <w:r>
        <w:rPr>
          <w:rFonts w:hint="eastAsia" w:ascii="仿宋" w:hAnsi="仿宋" w:eastAsia="仿宋" w:cs="仿宋"/>
          <w:color w:val="auto"/>
          <w:sz w:val="30"/>
          <w:szCs w:val="30"/>
          <w:highlight w:val="none"/>
          <w:lang w:val="zh-CN"/>
        </w:rPr>
        <w:br w:type="page"/>
      </w:r>
      <w:bookmarkStart w:id="105" w:name="_Toc23711"/>
      <w:bookmarkStart w:id="106" w:name="_Toc26451"/>
      <w:r>
        <w:rPr>
          <w:rFonts w:hint="eastAsia" w:ascii="仿宋" w:hAnsi="仿宋" w:eastAsia="仿宋" w:cs="仿宋"/>
          <w:color w:val="auto"/>
          <w:sz w:val="30"/>
          <w:szCs w:val="30"/>
          <w:highlight w:val="none"/>
        </w:rPr>
        <w:t>（12）</w:t>
      </w:r>
      <w:r>
        <w:rPr>
          <w:rFonts w:hint="eastAsia" w:ascii="仿宋" w:hAnsi="仿宋" w:eastAsia="仿宋" w:cs="仿宋"/>
          <w:color w:val="auto"/>
          <w:sz w:val="30"/>
          <w:szCs w:val="30"/>
          <w:highlight w:val="none"/>
          <w:lang w:val="zh-CN"/>
        </w:rPr>
        <w:t>开标一览表（报价表）</w:t>
      </w:r>
      <w:bookmarkEnd w:id="105"/>
      <w:bookmarkEnd w:id="106"/>
    </w:p>
    <w:p>
      <w:pPr>
        <w:autoSpaceDE w:val="0"/>
        <w:autoSpaceDN w:val="0"/>
        <w:spacing w:line="360" w:lineRule="auto"/>
        <w:rPr>
          <w:rFonts w:hint="eastAsia" w:ascii="仿宋" w:hAnsi="仿宋" w:eastAsia="仿宋" w:cs="仿宋"/>
          <w:b/>
          <w:bCs/>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开标一览表（报价表）</w:t>
      </w:r>
    </w:p>
    <w:p>
      <w:pPr>
        <w:autoSpaceDE w:val="0"/>
        <w:autoSpaceDN w:val="0"/>
        <w:spacing w:line="360" w:lineRule="auto"/>
        <w:rPr>
          <w:rFonts w:hint="eastAsia" w:ascii="仿宋" w:hAnsi="仿宋" w:eastAsia="仿宋" w:cs="仿宋"/>
          <w:b/>
          <w:bCs/>
          <w:color w:val="auto"/>
          <w:kern w:val="0"/>
          <w:sz w:val="28"/>
          <w:szCs w:val="28"/>
          <w:highlight w:val="none"/>
          <w:lang w:val="zh-CN"/>
        </w:rPr>
      </w:pPr>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p>
        </w:tc>
        <w:tc>
          <w:tcPr>
            <w:tcW w:w="5985" w:type="dxa"/>
            <w:vAlign w:val="center"/>
          </w:tcPr>
          <w:p>
            <w:pPr>
              <w:pStyle w:val="9"/>
              <w:spacing w:line="360" w:lineRule="auto"/>
              <w:ind w:firstLine="0"/>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投标包号</w:t>
            </w:r>
          </w:p>
        </w:tc>
        <w:tc>
          <w:tcPr>
            <w:tcW w:w="5985" w:type="dxa"/>
            <w:vAlign w:val="center"/>
          </w:tcPr>
          <w:p>
            <w:pPr>
              <w:pStyle w:val="9"/>
              <w:spacing w:line="360" w:lineRule="auto"/>
              <w:ind w:firstLine="0"/>
              <w:rPr>
                <w:rFonts w:hint="eastAsia" w:ascii="仿宋" w:hAnsi="仿宋" w:eastAsia="仿宋" w:cs="仿宋"/>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w:t>
            </w:r>
          </w:p>
        </w:tc>
        <w:tc>
          <w:tcPr>
            <w:tcW w:w="5985" w:type="dxa"/>
            <w:vAlign w:val="center"/>
          </w:tcPr>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大写：</w:t>
            </w:r>
          </w:p>
          <w:p>
            <w:pPr>
              <w:pStyle w:val="9"/>
              <w:spacing w:line="360" w:lineRule="auto"/>
              <w:ind w:firstLine="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交货（工）期</w:t>
            </w:r>
          </w:p>
        </w:tc>
        <w:tc>
          <w:tcPr>
            <w:tcW w:w="5985" w:type="dxa"/>
            <w:vAlign w:val="center"/>
          </w:tcPr>
          <w:p>
            <w:pPr>
              <w:pStyle w:val="9"/>
              <w:spacing w:line="360" w:lineRule="auto"/>
              <w:ind w:firstLine="0"/>
              <w:rPr>
                <w:rFonts w:hint="eastAsia" w:ascii="仿宋" w:hAnsi="仿宋" w:eastAsia="仿宋" w:cs="仿宋"/>
                <w:color w:val="auto"/>
                <w:szCs w:val="24"/>
                <w:highlight w:val="none"/>
              </w:rPr>
            </w:pPr>
          </w:p>
        </w:tc>
      </w:tr>
    </w:tbl>
    <w:p>
      <w:pPr>
        <w:autoSpaceDE w:val="0"/>
        <w:autoSpaceDN w:val="0"/>
        <w:spacing w:line="360" w:lineRule="auto"/>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注：</w:t>
      </w:r>
      <w:r>
        <w:rPr>
          <w:rFonts w:hint="eastAsia" w:ascii="仿宋" w:hAnsi="仿宋" w:eastAsia="仿宋" w:cs="仿宋"/>
          <w:color w:val="auto"/>
          <w:kern w:val="0"/>
          <w:highlight w:val="none"/>
          <w:lang w:val="zh-CN"/>
        </w:rPr>
        <w:t>1.填写此表时不得改变表格形式。</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2.“投标报价”为投标总价。投标报价必须包括：人工费、机械费、产品费、验收费、手续费、包装费、运输费、</w:t>
      </w:r>
      <w:r>
        <w:rPr>
          <w:rFonts w:hint="eastAsia" w:ascii="仿宋" w:hAnsi="仿宋" w:eastAsia="仿宋" w:cs="仿宋"/>
          <w:color w:val="auto"/>
          <w:kern w:val="0"/>
          <w:highlight w:val="none"/>
          <w:lang w:val="en-US" w:eastAsia="zh-CN"/>
        </w:rPr>
        <w:t>安装调试费、</w:t>
      </w:r>
      <w:r>
        <w:rPr>
          <w:rFonts w:hint="eastAsia" w:ascii="仿宋" w:hAnsi="仿宋" w:eastAsia="仿宋" w:cs="仿宋"/>
          <w:color w:val="auto"/>
          <w:kern w:val="0"/>
          <w:highlight w:val="none"/>
          <w:lang w:val="zh-CN"/>
        </w:rPr>
        <w:t>差旅费、招标代理服务费、税金及不可预见费等全部费用。</w:t>
      </w:r>
    </w:p>
    <w:p>
      <w:pPr>
        <w:autoSpaceDE w:val="0"/>
        <w:autoSpaceDN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3.“</w:t>
      </w:r>
      <w:r>
        <w:rPr>
          <w:rFonts w:hint="eastAsia" w:ascii="仿宋" w:hAnsi="仿宋" w:eastAsia="仿宋" w:cs="仿宋"/>
          <w:color w:val="auto"/>
          <w:szCs w:val="24"/>
          <w:highlight w:val="none"/>
          <w:lang w:val="en-US" w:eastAsia="zh-CN"/>
        </w:rPr>
        <w:t>交货（工）期</w:t>
      </w:r>
      <w:r>
        <w:rPr>
          <w:rFonts w:hint="eastAsia" w:ascii="仿宋" w:hAnsi="仿宋" w:eastAsia="仿宋" w:cs="仿宋"/>
          <w:color w:val="auto"/>
          <w:kern w:val="0"/>
          <w:highlight w:val="none"/>
          <w:lang w:val="zh-CN"/>
        </w:rPr>
        <w:t>”是指服务</w:t>
      </w:r>
      <w:r>
        <w:rPr>
          <w:rFonts w:hint="eastAsia" w:ascii="仿宋" w:hAnsi="仿宋" w:eastAsia="仿宋" w:cs="仿宋"/>
          <w:color w:val="auto"/>
          <w:kern w:val="0"/>
          <w:highlight w:val="none"/>
          <w:lang w:val="en-US" w:eastAsia="zh-CN"/>
        </w:rPr>
        <w:t>完成期限和货物的具体交货</w:t>
      </w:r>
      <w:r>
        <w:rPr>
          <w:rFonts w:hint="eastAsia" w:ascii="仿宋" w:hAnsi="仿宋" w:eastAsia="仿宋" w:cs="仿宋"/>
          <w:color w:val="auto"/>
          <w:kern w:val="0"/>
          <w:highlight w:val="none"/>
          <w:lang w:val="zh-CN"/>
        </w:rPr>
        <w:t>的时间。</w:t>
      </w:r>
    </w:p>
    <w:p>
      <w:pPr>
        <w:autoSpaceDE w:val="0"/>
        <w:autoSpaceDN w:val="0"/>
        <w:spacing w:line="360" w:lineRule="auto"/>
        <w:ind w:firstLine="48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4.投标报价不能有两个或两个以上的报价方案，</w:t>
      </w:r>
      <w:r>
        <w:rPr>
          <w:rFonts w:hint="eastAsia" w:ascii="仿宋" w:hAnsi="仿宋" w:eastAsia="仿宋" w:cs="仿宋"/>
          <w:color w:val="auto"/>
          <w:kern w:val="0"/>
          <w:highlight w:val="none"/>
        </w:rPr>
        <w:t>否则投标无效</w:t>
      </w:r>
      <w:r>
        <w:rPr>
          <w:rFonts w:hint="eastAsia" w:ascii="仿宋" w:hAnsi="仿宋" w:eastAsia="仿宋" w:cs="仿宋"/>
          <w:color w:val="auto"/>
          <w:kern w:val="0"/>
          <w:highlight w:val="none"/>
          <w:lang w:val="zh-CN"/>
        </w:rPr>
        <w:t>。</w:t>
      </w:r>
    </w:p>
    <w:p>
      <w:pPr>
        <w:autoSpaceDE w:val="0"/>
        <w:autoSpaceDN w:val="0"/>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pPr>
        <w:autoSpaceDE w:val="0"/>
        <w:autoSpaceDN w:val="0"/>
        <w:spacing w:line="360" w:lineRule="auto"/>
        <w:rPr>
          <w:rFonts w:hint="eastAsia" w:ascii="仿宋" w:hAnsi="仿宋" w:eastAsia="仿宋" w:cs="仿宋"/>
          <w:color w:val="auto"/>
          <w:kern w:val="0"/>
          <w:highlight w:val="none"/>
          <w:lang w:val="zh-CN"/>
        </w:rPr>
      </w:pP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 xml:space="preserve">投标人：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（公章）</w:t>
      </w:r>
    </w:p>
    <w:p>
      <w:pPr>
        <w:autoSpaceDE w:val="0"/>
        <w:autoSpaceDN w:val="0"/>
        <w:spacing w:line="360" w:lineRule="auto"/>
        <w:jc w:val="center"/>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法定代表人或委托代理人：        （签字或盖章）</w:t>
      </w:r>
    </w:p>
    <w:p>
      <w:pPr>
        <w:autoSpaceDE w:val="0"/>
        <w:autoSpaceDN w:val="0"/>
        <w:spacing w:line="360" w:lineRule="auto"/>
        <w:jc w:val="center"/>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 xml:space="preserve">年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月  </w:t>
      </w:r>
      <w:r>
        <w:rPr>
          <w:rFonts w:hint="eastAsia" w:ascii="仿宋" w:hAnsi="仿宋" w:eastAsia="仿宋" w:cs="仿宋"/>
          <w:b/>
          <w:bCs/>
          <w:color w:val="auto"/>
          <w:kern w:val="0"/>
          <w:highlight w:val="none"/>
        </w:rPr>
        <w:t xml:space="preserve"> </w:t>
      </w:r>
      <w:r>
        <w:rPr>
          <w:rFonts w:hint="eastAsia" w:ascii="仿宋" w:hAnsi="仿宋" w:eastAsia="仿宋" w:cs="仿宋"/>
          <w:b/>
          <w:bCs/>
          <w:color w:val="auto"/>
          <w:kern w:val="0"/>
          <w:highlight w:val="none"/>
          <w:lang w:val="zh-CN"/>
        </w:rPr>
        <w:t xml:space="preserve"> 日</w:t>
      </w:r>
    </w:p>
    <w:p>
      <w:pPr>
        <w:autoSpaceDE w:val="0"/>
        <w:autoSpaceDN w:val="0"/>
        <w:spacing w:line="360" w:lineRule="auto"/>
        <w:rPr>
          <w:rFonts w:hint="eastAsia" w:ascii="仿宋" w:hAnsi="仿宋" w:eastAsia="仿宋" w:cs="仿宋"/>
          <w:color w:val="auto"/>
          <w:kern w:val="0"/>
          <w:highlight w:val="none"/>
          <w:lang w:val="zh-CN"/>
        </w:rPr>
      </w:pPr>
    </w:p>
    <w:p>
      <w:pPr>
        <w:pStyle w:val="21"/>
        <w:spacing w:before="0" w:after="0" w:line="360" w:lineRule="auto"/>
        <w:jc w:val="left"/>
        <w:outlineLvl w:val="1"/>
        <w:rPr>
          <w:rFonts w:hint="eastAsia" w:ascii="仿宋" w:hAnsi="仿宋" w:eastAsia="仿宋" w:cs="仿宋"/>
          <w:b/>
          <w:bCs/>
          <w:color w:val="auto"/>
          <w:kern w:val="0"/>
          <w:sz w:val="28"/>
          <w:szCs w:val="28"/>
          <w:highlight w:val="none"/>
          <w:lang w:val="zh-CN"/>
        </w:rPr>
      </w:pPr>
      <w:r>
        <w:rPr>
          <w:rFonts w:hint="eastAsia" w:ascii="仿宋" w:hAnsi="仿宋" w:eastAsia="仿宋" w:cs="仿宋"/>
          <w:color w:val="auto"/>
          <w:sz w:val="30"/>
          <w:szCs w:val="30"/>
          <w:highlight w:val="none"/>
          <w:lang w:val="zh-CN"/>
        </w:rPr>
        <w:br w:type="page"/>
      </w:r>
      <w:bookmarkStart w:id="107" w:name="_Toc19632"/>
      <w:r>
        <w:rPr>
          <w:rFonts w:hint="eastAsia" w:ascii="仿宋" w:hAnsi="仿宋" w:eastAsia="仿宋" w:cs="仿宋"/>
          <w:color w:val="auto"/>
          <w:sz w:val="30"/>
          <w:szCs w:val="30"/>
          <w:highlight w:val="none"/>
        </w:rPr>
        <w:t>（13）</w:t>
      </w:r>
      <w:r>
        <w:rPr>
          <w:rFonts w:hint="eastAsia" w:ascii="仿宋" w:hAnsi="仿宋" w:eastAsia="仿宋" w:cs="仿宋"/>
          <w:color w:val="auto"/>
          <w:sz w:val="30"/>
          <w:szCs w:val="30"/>
          <w:highlight w:val="none"/>
          <w:lang w:val="zh-CN"/>
        </w:rPr>
        <w:t>分项报价表</w:t>
      </w:r>
      <w:bookmarkEnd w:id="104"/>
      <w:bookmarkEnd w:id="107"/>
    </w:p>
    <w:p>
      <w:pPr>
        <w:autoSpaceDE w:val="0"/>
        <w:autoSpaceDN w:val="0"/>
        <w:snapToGrid w:val="0"/>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分项报价表</w:t>
      </w:r>
    </w:p>
    <w:p>
      <w:pPr>
        <w:autoSpaceDE w:val="0"/>
        <w:autoSpaceDN w:val="0"/>
        <w:snapToGrid w:val="0"/>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投标人名称：                                              包号：</w:t>
      </w:r>
    </w:p>
    <w:tbl>
      <w:tblPr>
        <w:tblStyle w:val="2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9"/>
        <w:gridCol w:w="1275"/>
        <w:gridCol w:w="1742"/>
        <w:gridCol w:w="775"/>
        <w:gridCol w:w="1110"/>
        <w:gridCol w:w="1528"/>
        <w:gridCol w:w="15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jc w:val="center"/>
        </w:trPr>
        <w:tc>
          <w:tcPr>
            <w:tcW w:w="579" w:type="dxa"/>
            <w:tcBorders>
              <w:bottom w:val="single" w:color="000000" w:sz="6" w:space="0"/>
              <w:right w:val="single" w:color="000000" w:sz="6" w:space="0"/>
            </w:tcBorders>
            <w:noWrap w:val="0"/>
            <w:vAlign w:val="top"/>
          </w:tcPr>
          <w:p>
            <w:pPr>
              <w:pStyle w:val="37"/>
              <w:spacing w:before="142"/>
              <w:ind w:left="28" w:right="12"/>
              <w:jc w:val="center"/>
              <w:rPr>
                <w:sz w:val="24"/>
              </w:rPr>
            </w:pPr>
            <w:r>
              <w:rPr>
                <w:sz w:val="24"/>
              </w:rPr>
              <w:t>序号</w:t>
            </w:r>
          </w:p>
        </w:tc>
        <w:tc>
          <w:tcPr>
            <w:tcW w:w="1275" w:type="dxa"/>
            <w:tcBorders>
              <w:left w:val="single" w:color="000000" w:sz="6" w:space="0"/>
              <w:bottom w:val="single" w:color="000000" w:sz="6" w:space="0"/>
              <w:right w:val="single" w:color="000000" w:sz="6" w:space="0"/>
            </w:tcBorders>
            <w:noWrap w:val="0"/>
            <w:vAlign w:val="top"/>
          </w:tcPr>
          <w:p>
            <w:pPr>
              <w:pStyle w:val="37"/>
              <w:spacing w:before="142"/>
              <w:ind w:left="158"/>
              <w:rPr>
                <w:sz w:val="24"/>
              </w:rPr>
            </w:pPr>
            <w:r>
              <w:rPr>
                <w:sz w:val="24"/>
              </w:rPr>
              <w:t>产品名称</w:t>
            </w:r>
          </w:p>
        </w:tc>
        <w:tc>
          <w:tcPr>
            <w:tcW w:w="1742" w:type="dxa"/>
            <w:tcBorders>
              <w:left w:val="single" w:color="000000" w:sz="6" w:space="0"/>
              <w:bottom w:val="single" w:color="000000" w:sz="6" w:space="0"/>
              <w:right w:val="single" w:color="000000" w:sz="6" w:space="0"/>
            </w:tcBorders>
            <w:noWrap w:val="0"/>
            <w:vAlign w:val="top"/>
          </w:tcPr>
          <w:p>
            <w:pPr>
              <w:pStyle w:val="37"/>
              <w:spacing w:before="142"/>
              <w:ind w:left="153"/>
              <w:rPr>
                <w:sz w:val="24"/>
              </w:rPr>
            </w:pPr>
            <w:r>
              <w:rPr>
                <w:sz w:val="24"/>
              </w:rPr>
              <w:t>品牌规格型号</w:t>
            </w:r>
          </w:p>
        </w:tc>
        <w:tc>
          <w:tcPr>
            <w:tcW w:w="775" w:type="dxa"/>
            <w:tcBorders>
              <w:left w:val="single" w:color="000000" w:sz="6" w:space="0"/>
              <w:bottom w:val="single" w:color="000000" w:sz="6" w:space="0"/>
              <w:right w:val="single" w:color="000000" w:sz="6" w:space="0"/>
            </w:tcBorders>
            <w:noWrap w:val="0"/>
            <w:vAlign w:val="top"/>
          </w:tcPr>
          <w:p>
            <w:pPr>
              <w:pStyle w:val="37"/>
              <w:spacing w:before="142"/>
              <w:ind w:left="149"/>
              <w:rPr>
                <w:sz w:val="24"/>
              </w:rPr>
            </w:pPr>
            <w:r>
              <w:rPr>
                <w:sz w:val="24"/>
              </w:rPr>
              <w:t>数量</w:t>
            </w:r>
          </w:p>
        </w:tc>
        <w:tc>
          <w:tcPr>
            <w:tcW w:w="1110" w:type="dxa"/>
            <w:tcBorders>
              <w:left w:val="single" w:color="000000" w:sz="6" w:space="0"/>
              <w:bottom w:val="single" w:color="000000" w:sz="6" w:space="0"/>
              <w:right w:val="single" w:color="000000" w:sz="6" w:space="0"/>
            </w:tcBorders>
            <w:noWrap w:val="0"/>
            <w:vAlign w:val="top"/>
          </w:tcPr>
          <w:p>
            <w:pPr>
              <w:pStyle w:val="37"/>
              <w:spacing w:before="142"/>
              <w:ind w:left="29"/>
              <w:rPr>
                <w:sz w:val="24"/>
              </w:rPr>
            </w:pPr>
            <w:r>
              <w:rPr>
                <w:sz w:val="24"/>
              </w:rPr>
              <w:t>生产厂家</w:t>
            </w:r>
          </w:p>
        </w:tc>
        <w:tc>
          <w:tcPr>
            <w:tcW w:w="1528" w:type="dxa"/>
            <w:tcBorders>
              <w:left w:val="single" w:color="000000" w:sz="6" w:space="0"/>
              <w:bottom w:val="single" w:color="000000" w:sz="6" w:space="0"/>
              <w:right w:val="single" w:color="000000" w:sz="6" w:space="0"/>
            </w:tcBorders>
            <w:noWrap w:val="0"/>
            <w:vAlign w:val="top"/>
          </w:tcPr>
          <w:p>
            <w:pPr>
              <w:pStyle w:val="37"/>
              <w:spacing w:before="142"/>
              <w:ind w:left="503" w:right="487"/>
              <w:jc w:val="center"/>
              <w:rPr>
                <w:sz w:val="24"/>
              </w:rPr>
            </w:pPr>
            <w:r>
              <w:rPr>
                <w:sz w:val="24"/>
              </w:rPr>
              <w:t>单价</w:t>
            </w:r>
          </w:p>
        </w:tc>
        <w:tc>
          <w:tcPr>
            <w:tcW w:w="1528" w:type="dxa"/>
            <w:tcBorders>
              <w:left w:val="single" w:color="000000" w:sz="6" w:space="0"/>
              <w:bottom w:val="single" w:color="000000" w:sz="6" w:space="0"/>
              <w:right w:val="single" w:color="000000" w:sz="6" w:space="0"/>
            </w:tcBorders>
            <w:noWrap w:val="0"/>
            <w:vAlign w:val="top"/>
          </w:tcPr>
          <w:p>
            <w:pPr>
              <w:pStyle w:val="37"/>
              <w:spacing w:before="142"/>
              <w:ind w:left="504" w:right="486"/>
              <w:jc w:val="center"/>
              <w:rPr>
                <w:sz w:val="24"/>
              </w:rPr>
            </w:pPr>
            <w:r>
              <w:rPr>
                <w:sz w:val="24"/>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9" w:type="dxa"/>
            <w:tcBorders>
              <w:top w:val="single" w:color="000000" w:sz="6" w:space="0"/>
              <w:bottom w:val="single" w:color="000000" w:sz="6" w:space="0"/>
              <w:right w:val="single" w:color="000000" w:sz="6" w:space="0"/>
            </w:tcBorders>
            <w:noWrap w:val="0"/>
            <w:vAlign w:val="top"/>
          </w:tcPr>
          <w:p>
            <w:pPr>
              <w:pStyle w:val="37"/>
              <w:ind w:left="16"/>
              <w:jc w:val="center"/>
              <w:rPr>
                <w:sz w:val="24"/>
              </w:rPr>
            </w:pPr>
            <w:r>
              <w:rPr>
                <w:sz w:val="24"/>
              </w:rPr>
              <w:t>1</w:t>
            </w:r>
          </w:p>
        </w:tc>
        <w:tc>
          <w:tcPr>
            <w:tcW w:w="12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742"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7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110"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9" w:type="dxa"/>
            <w:tcBorders>
              <w:top w:val="single" w:color="000000" w:sz="6" w:space="0"/>
              <w:bottom w:val="single" w:color="000000" w:sz="6" w:space="0"/>
              <w:right w:val="single" w:color="000000" w:sz="6" w:space="0"/>
            </w:tcBorders>
            <w:noWrap w:val="0"/>
            <w:vAlign w:val="top"/>
          </w:tcPr>
          <w:p>
            <w:pPr>
              <w:pStyle w:val="37"/>
              <w:spacing w:before="1"/>
              <w:ind w:left="16"/>
              <w:jc w:val="center"/>
              <w:rPr>
                <w:sz w:val="24"/>
              </w:rPr>
            </w:pPr>
            <w:r>
              <w:rPr>
                <w:sz w:val="24"/>
              </w:rPr>
              <w:t>2</w:t>
            </w:r>
          </w:p>
        </w:tc>
        <w:tc>
          <w:tcPr>
            <w:tcW w:w="12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742"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7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110"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jc w:val="center"/>
        </w:trPr>
        <w:tc>
          <w:tcPr>
            <w:tcW w:w="579" w:type="dxa"/>
            <w:tcBorders>
              <w:top w:val="single" w:color="000000" w:sz="6" w:space="0"/>
              <w:bottom w:val="single" w:color="000000" w:sz="6" w:space="0"/>
              <w:right w:val="single" w:color="000000" w:sz="6" w:space="0"/>
            </w:tcBorders>
            <w:noWrap w:val="0"/>
            <w:vAlign w:val="top"/>
          </w:tcPr>
          <w:p>
            <w:pPr>
              <w:pStyle w:val="37"/>
              <w:spacing w:before="1"/>
              <w:ind w:left="16"/>
              <w:jc w:val="center"/>
              <w:rPr>
                <w:sz w:val="24"/>
              </w:rPr>
            </w:pPr>
            <w:r>
              <w:rPr>
                <w:sz w:val="24"/>
              </w:rPr>
              <w:t>…</w:t>
            </w:r>
          </w:p>
        </w:tc>
        <w:tc>
          <w:tcPr>
            <w:tcW w:w="12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742"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7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110"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jc w:val="center"/>
        </w:trPr>
        <w:tc>
          <w:tcPr>
            <w:tcW w:w="579" w:type="dxa"/>
            <w:tcBorders>
              <w:top w:val="single" w:color="000000" w:sz="6" w:space="0"/>
              <w:bottom w:val="single" w:color="000000" w:sz="6" w:space="0"/>
              <w:right w:val="single" w:color="000000" w:sz="6" w:space="0"/>
            </w:tcBorders>
            <w:noWrap w:val="0"/>
            <w:vAlign w:val="top"/>
          </w:tcPr>
          <w:p>
            <w:pPr>
              <w:pStyle w:val="37"/>
              <w:spacing w:before="1"/>
              <w:ind w:left="16"/>
              <w:jc w:val="center"/>
              <w:rPr>
                <w:sz w:val="24"/>
              </w:rPr>
            </w:pPr>
            <w:r>
              <w:rPr>
                <w:sz w:val="24"/>
              </w:rPr>
              <w:t>…</w:t>
            </w:r>
          </w:p>
        </w:tc>
        <w:tc>
          <w:tcPr>
            <w:tcW w:w="12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742"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775"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110"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c>
          <w:tcPr>
            <w:tcW w:w="1528" w:type="dxa"/>
            <w:tcBorders>
              <w:top w:val="single" w:color="000000" w:sz="6" w:space="0"/>
              <w:left w:val="single" w:color="000000" w:sz="6" w:space="0"/>
              <w:bottom w:val="single" w:color="000000" w:sz="6" w:space="0"/>
              <w:right w:val="single" w:color="000000" w:sz="6" w:space="0"/>
            </w:tcBorders>
            <w:noWrap w:val="0"/>
            <w:vAlign w:val="top"/>
          </w:tcPr>
          <w:p>
            <w:pPr>
              <w:pStyle w:val="37"/>
              <w:rPr>
                <w:rFonts w:ascii="Times New Roman"/>
                <w:sz w:val="22"/>
              </w:rPr>
            </w:pPr>
          </w:p>
        </w:tc>
      </w:tr>
    </w:tbl>
    <w:p>
      <w:pPr>
        <w:autoSpaceDE w:val="0"/>
        <w:autoSpaceDN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注：1.</w:t>
      </w:r>
      <w:r>
        <w:rPr>
          <w:rFonts w:hint="eastAsia" w:ascii="仿宋" w:hAnsi="仿宋" w:eastAsia="仿宋" w:cs="仿宋"/>
          <w:color w:val="auto"/>
          <w:szCs w:val="22"/>
          <w:highlight w:val="none"/>
        </w:rPr>
        <w:t>本表应依照采购项目要求及技术参数中的服务内容按顺序逐项填写，不得遗漏，否</w:t>
      </w:r>
      <w:r>
        <w:rPr>
          <w:rFonts w:hint="eastAsia" w:ascii="仿宋" w:hAnsi="仿宋" w:eastAsia="仿宋" w:cs="仿宋"/>
          <w:color w:val="auto"/>
          <w:highlight w:val="none"/>
        </w:rPr>
        <w:t>则，按无效投标处理。</w:t>
      </w:r>
    </w:p>
    <w:p>
      <w:pPr>
        <w:autoSpaceDE w:val="0"/>
        <w:autoSpaceDN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2.投标报价不能有两个或两个以上的报价方案。</w:t>
      </w:r>
    </w:p>
    <w:p>
      <w:pPr>
        <w:autoSpaceDE w:val="0"/>
        <w:autoSpaceDN w:val="0"/>
        <w:snapToGrid w:val="0"/>
        <w:spacing w:line="360" w:lineRule="auto"/>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rPr>
      </w:pPr>
    </w:p>
    <w:p>
      <w:pPr>
        <w:autoSpaceDE w:val="0"/>
        <w:autoSpaceDN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投标人：                        （公章）</w:t>
      </w:r>
    </w:p>
    <w:p>
      <w:pPr>
        <w:autoSpaceDE w:val="0"/>
        <w:autoSpaceDN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法定代表人或委托代理人：        （签字或盖章）</w:t>
      </w:r>
    </w:p>
    <w:p>
      <w:pPr>
        <w:snapToGrid w:val="0"/>
        <w:jc w:val="center"/>
        <w:rPr>
          <w:rFonts w:hint="eastAsia" w:ascii="仿宋" w:hAnsi="仿宋" w:eastAsia="仿宋" w:cs="仿宋"/>
          <w:b/>
          <w:color w:val="auto"/>
          <w:highlight w:val="none"/>
        </w:rPr>
      </w:pPr>
      <w:r>
        <w:rPr>
          <w:rFonts w:hint="eastAsia" w:ascii="仿宋" w:hAnsi="仿宋" w:eastAsia="仿宋" w:cs="仿宋"/>
          <w:b/>
          <w:color w:val="auto"/>
          <w:highlight w:val="none"/>
        </w:rPr>
        <w:t>年    月    日</w:t>
      </w:r>
    </w:p>
    <w:p>
      <w:pPr>
        <w:rPr>
          <w:rFonts w:hint="eastAsia" w:ascii="仿宋" w:hAnsi="仿宋" w:eastAsia="仿宋" w:cs="仿宋"/>
          <w:b/>
          <w:bCs/>
          <w:color w:val="auto"/>
          <w:kern w:val="0"/>
          <w:highlight w:val="none"/>
          <w:lang w:val="zh-CN"/>
        </w:rPr>
      </w:pPr>
    </w:p>
    <w:p>
      <w:pPr>
        <w:pStyle w:val="21"/>
        <w:spacing w:before="0" w:after="0" w:line="360" w:lineRule="auto"/>
        <w:jc w:val="both"/>
        <w:outlineLvl w:val="1"/>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30"/>
          <w:szCs w:val="30"/>
          <w:highlight w:val="none"/>
          <w:lang w:val="zh-CN"/>
        </w:rPr>
        <w:br w:type="page"/>
      </w:r>
      <w:bookmarkStart w:id="108" w:name="_Toc4621"/>
      <w:r>
        <w:rPr>
          <w:rFonts w:hint="eastAsia" w:ascii="仿宋" w:hAnsi="仿宋" w:eastAsia="仿宋" w:cs="仿宋"/>
          <w:color w:val="auto"/>
          <w:sz w:val="30"/>
          <w:szCs w:val="30"/>
          <w:highlight w:val="none"/>
        </w:rPr>
        <w:t>（14）</w:t>
      </w:r>
      <w:bookmarkEnd w:id="108"/>
      <w:r>
        <w:rPr>
          <w:rFonts w:hint="eastAsia" w:ascii="仿宋" w:hAnsi="仿宋" w:eastAsia="仿宋" w:cs="仿宋"/>
          <w:color w:val="auto"/>
          <w:sz w:val="30"/>
          <w:szCs w:val="30"/>
          <w:highlight w:val="none"/>
          <w:lang w:val="zh-CN"/>
        </w:rPr>
        <w:t>服务内容及技术规格响应表</w:t>
      </w:r>
    </w:p>
    <w:p>
      <w:pPr>
        <w:autoSpaceDE w:val="0"/>
        <w:autoSpaceDN w:val="0"/>
        <w:spacing w:line="360" w:lineRule="auto"/>
        <w:jc w:val="cente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28"/>
          <w:szCs w:val="28"/>
          <w:highlight w:val="none"/>
        </w:rPr>
        <w:t>服务</w:t>
      </w:r>
      <w:r>
        <w:rPr>
          <w:rFonts w:hint="eastAsia" w:ascii="仿宋" w:hAnsi="仿宋" w:eastAsia="仿宋" w:cs="仿宋"/>
          <w:b/>
          <w:bCs/>
          <w:color w:val="auto"/>
          <w:sz w:val="28"/>
          <w:szCs w:val="28"/>
          <w:highlight w:val="none"/>
          <w:lang w:val="en-US" w:eastAsia="zh-CN"/>
        </w:rPr>
        <w:t>内容及技术规格</w:t>
      </w:r>
      <w:r>
        <w:rPr>
          <w:rFonts w:hint="eastAsia" w:ascii="仿宋" w:hAnsi="仿宋" w:eastAsia="仿宋" w:cs="仿宋"/>
          <w:b/>
          <w:bCs/>
          <w:color w:val="auto"/>
          <w:sz w:val="28"/>
          <w:szCs w:val="28"/>
          <w:highlight w:val="none"/>
          <w:lang w:val="zh-CN"/>
        </w:rPr>
        <w:t>响应表</w:t>
      </w:r>
    </w:p>
    <w:p>
      <w:pPr>
        <w:autoSpaceDE w:val="0"/>
        <w:autoSpaceDN w:val="0"/>
        <w:spacing w:line="360" w:lineRule="auto"/>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投标人名称</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包号：</w:t>
      </w:r>
    </w:p>
    <w:tbl>
      <w:tblPr>
        <w:tblStyle w:val="22"/>
        <w:tblW w:w="86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
        <w:gridCol w:w="442"/>
        <w:gridCol w:w="1635"/>
        <w:gridCol w:w="750"/>
        <w:gridCol w:w="800"/>
        <w:gridCol w:w="1175"/>
        <w:gridCol w:w="1888"/>
        <w:gridCol w:w="750"/>
        <w:gridCol w:w="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634" w:type="dxa"/>
            <w:noWrap w:val="0"/>
            <w:vAlign w:val="top"/>
          </w:tcPr>
          <w:p>
            <w:pPr>
              <w:pStyle w:val="37"/>
              <w:rPr>
                <w:rFonts w:ascii="Times New Roman"/>
                <w:sz w:val="24"/>
              </w:rPr>
            </w:pPr>
          </w:p>
        </w:tc>
        <w:tc>
          <w:tcPr>
            <w:tcW w:w="2827" w:type="dxa"/>
            <w:gridSpan w:val="3"/>
            <w:noWrap w:val="0"/>
            <w:vAlign w:val="top"/>
          </w:tcPr>
          <w:p>
            <w:pPr>
              <w:pStyle w:val="37"/>
              <w:spacing w:before="40"/>
              <w:ind w:left="27"/>
              <w:rPr>
                <w:sz w:val="24"/>
              </w:rPr>
            </w:pPr>
            <w:r>
              <w:rPr>
                <w:sz w:val="24"/>
              </w:rPr>
              <w:t>采购需求技术参数、指标</w:t>
            </w:r>
          </w:p>
        </w:tc>
        <w:tc>
          <w:tcPr>
            <w:tcW w:w="4613" w:type="dxa"/>
            <w:gridSpan w:val="4"/>
            <w:noWrap w:val="0"/>
            <w:vAlign w:val="top"/>
          </w:tcPr>
          <w:p>
            <w:pPr>
              <w:pStyle w:val="37"/>
              <w:spacing w:before="40"/>
              <w:ind w:left="506"/>
              <w:rPr>
                <w:sz w:val="24"/>
              </w:rPr>
            </w:pPr>
            <w:r>
              <w:rPr>
                <w:sz w:val="24"/>
              </w:rPr>
              <w:t>投标产品技术参数、指标</w:t>
            </w:r>
          </w:p>
        </w:tc>
        <w:tc>
          <w:tcPr>
            <w:tcW w:w="543" w:type="dxa"/>
            <w:noWrap w:val="0"/>
            <w:vAlign w:val="top"/>
          </w:tcPr>
          <w:p>
            <w:pPr>
              <w:pStyle w:val="37"/>
              <w:spacing w:before="40"/>
              <w:ind w:left="28"/>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634" w:type="dxa"/>
            <w:noWrap w:val="0"/>
            <w:vAlign w:val="top"/>
          </w:tcPr>
          <w:p>
            <w:pPr>
              <w:pStyle w:val="37"/>
              <w:spacing w:before="42" w:line="242" w:lineRule="auto"/>
              <w:ind w:left="26" w:right="157"/>
              <w:rPr>
                <w:sz w:val="24"/>
              </w:rPr>
            </w:pPr>
            <w:r>
              <w:rPr>
                <w:sz w:val="24"/>
              </w:rPr>
              <w:t>序号</w:t>
            </w:r>
          </w:p>
        </w:tc>
        <w:tc>
          <w:tcPr>
            <w:tcW w:w="442" w:type="dxa"/>
            <w:noWrap w:val="0"/>
            <w:vAlign w:val="top"/>
          </w:tcPr>
          <w:p>
            <w:pPr>
              <w:pStyle w:val="37"/>
              <w:spacing w:before="196"/>
              <w:ind w:left="27"/>
              <w:rPr>
                <w:sz w:val="24"/>
              </w:rPr>
            </w:pPr>
            <w:r>
              <w:rPr>
                <w:sz w:val="24"/>
              </w:rPr>
              <w:t>名称</w:t>
            </w:r>
          </w:p>
        </w:tc>
        <w:tc>
          <w:tcPr>
            <w:tcW w:w="1635" w:type="dxa"/>
            <w:noWrap w:val="0"/>
            <w:vAlign w:val="top"/>
          </w:tcPr>
          <w:p>
            <w:pPr>
              <w:pStyle w:val="37"/>
              <w:spacing w:before="196"/>
              <w:ind w:left="28"/>
              <w:rPr>
                <w:sz w:val="24"/>
              </w:rPr>
            </w:pPr>
            <w:r>
              <w:rPr>
                <w:spacing w:val="-16"/>
                <w:sz w:val="24"/>
              </w:rPr>
              <w:t>技术参数、指标</w:t>
            </w:r>
          </w:p>
        </w:tc>
        <w:tc>
          <w:tcPr>
            <w:tcW w:w="750" w:type="dxa"/>
            <w:noWrap w:val="0"/>
            <w:vAlign w:val="top"/>
          </w:tcPr>
          <w:p>
            <w:pPr>
              <w:pStyle w:val="37"/>
              <w:spacing w:before="196"/>
              <w:ind w:left="27"/>
              <w:rPr>
                <w:sz w:val="24"/>
              </w:rPr>
            </w:pPr>
            <w:r>
              <w:rPr>
                <w:sz w:val="24"/>
              </w:rPr>
              <w:t>数量</w:t>
            </w:r>
          </w:p>
        </w:tc>
        <w:tc>
          <w:tcPr>
            <w:tcW w:w="800" w:type="dxa"/>
            <w:noWrap w:val="0"/>
            <w:vAlign w:val="top"/>
          </w:tcPr>
          <w:p>
            <w:pPr>
              <w:pStyle w:val="37"/>
              <w:spacing w:before="196"/>
              <w:ind w:left="146"/>
              <w:rPr>
                <w:sz w:val="24"/>
              </w:rPr>
            </w:pPr>
            <w:r>
              <w:rPr>
                <w:sz w:val="24"/>
              </w:rPr>
              <w:t>名称</w:t>
            </w:r>
          </w:p>
        </w:tc>
        <w:tc>
          <w:tcPr>
            <w:tcW w:w="1175" w:type="dxa"/>
            <w:noWrap w:val="0"/>
            <w:vAlign w:val="top"/>
          </w:tcPr>
          <w:p>
            <w:pPr>
              <w:pStyle w:val="37"/>
              <w:spacing w:before="196"/>
              <w:ind w:left="28"/>
              <w:rPr>
                <w:sz w:val="24"/>
              </w:rPr>
            </w:pPr>
            <w:r>
              <w:rPr>
                <w:sz w:val="24"/>
              </w:rPr>
              <w:t>规格型号</w:t>
            </w:r>
          </w:p>
        </w:tc>
        <w:tc>
          <w:tcPr>
            <w:tcW w:w="1888" w:type="dxa"/>
            <w:noWrap w:val="0"/>
            <w:vAlign w:val="top"/>
          </w:tcPr>
          <w:p>
            <w:pPr>
              <w:pStyle w:val="37"/>
              <w:spacing w:before="196"/>
              <w:ind w:left="26"/>
              <w:rPr>
                <w:sz w:val="24"/>
              </w:rPr>
            </w:pPr>
            <w:r>
              <w:rPr>
                <w:sz w:val="24"/>
              </w:rPr>
              <w:t>技术参数、指标</w:t>
            </w:r>
          </w:p>
        </w:tc>
        <w:tc>
          <w:tcPr>
            <w:tcW w:w="750" w:type="dxa"/>
            <w:noWrap w:val="0"/>
            <w:vAlign w:val="top"/>
          </w:tcPr>
          <w:p>
            <w:pPr>
              <w:pStyle w:val="37"/>
              <w:spacing w:before="196"/>
              <w:ind w:left="27"/>
              <w:rPr>
                <w:sz w:val="24"/>
              </w:rPr>
            </w:pPr>
            <w:r>
              <w:rPr>
                <w:sz w:val="24"/>
              </w:rPr>
              <w:t>数量</w:t>
            </w:r>
          </w:p>
        </w:tc>
        <w:tc>
          <w:tcPr>
            <w:tcW w:w="543" w:type="dxa"/>
            <w:noWrap w:val="0"/>
            <w:vAlign w:val="top"/>
          </w:tcPr>
          <w:p>
            <w:pPr>
              <w:pStyle w:val="3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634" w:type="dxa"/>
            <w:noWrap w:val="0"/>
            <w:vAlign w:val="top"/>
          </w:tcPr>
          <w:p>
            <w:pPr>
              <w:pStyle w:val="37"/>
              <w:spacing w:before="42"/>
              <w:ind w:right="44"/>
              <w:jc w:val="both"/>
              <w:rPr>
                <w:sz w:val="24"/>
              </w:rPr>
            </w:pPr>
            <w:r>
              <w:rPr>
                <w:sz w:val="24"/>
              </w:rPr>
              <w:t>1</w:t>
            </w:r>
          </w:p>
        </w:tc>
        <w:tc>
          <w:tcPr>
            <w:tcW w:w="442" w:type="dxa"/>
            <w:noWrap w:val="0"/>
            <w:vAlign w:val="top"/>
          </w:tcPr>
          <w:p>
            <w:pPr>
              <w:pStyle w:val="37"/>
              <w:rPr>
                <w:rFonts w:ascii="Times New Roman"/>
                <w:sz w:val="24"/>
              </w:rPr>
            </w:pPr>
          </w:p>
        </w:tc>
        <w:tc>
          <w:tcPr>
            <w:tcW w:w="1635"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800" w:type="dxa"/>
            <w:noWrap w:val="0"/>
            <w:vAlign w:val="top"/>
          </w:tcPr>
          <w:p>
            <w:pPr>
              <w:pStyle w:val="37"/>
              <w:rPr>
                <w:rFonts w:ascii="Times New Roman"/>
                <w:sz w:val="24"/>
              </w:rPr>
            </w:pPr>
          </w:p>
        </w:tc>
        <w:tc>
          <w:tcPr>
            <w:tcW w:w="1175" w:type="dxa"/>
            <w:noWrap w:val="0"/>
            <w:vAlign w:val="top"/>
          </w:tcPr>
          <w:p>
            <w:pPr>
              <w:pStyle w:val="37"/>
              <w:rPr>
                <w:rFonts w:ascii="Times New Roman"/>
                <w:sz w:val="24"/>
              </w:rPr>
            </w:pPr>
          </w:p>
        </w:tc>
        <w:tc>
          <w:tcPr>
            <w:tcW w:w="1888"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543" w:type="dxa"/>
            <w:noWrap w:val="0"/>
            <w:vAlign w:val="top"/>
          </w:tcPr>
          <w:p>
            <w:pPr>
              <w:pStyle w:val="3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634" w:type="dxa"/>
            <w:noWrap w:val="0"/>
            <w:vAlign w:val="top"/>
          </w:tcPr>
          <w:p>
            <w:pPr>
              <w:pStyle w:val="37"/>
              <w:spacing w:before="42"/>
              <w:ind w:right="44"/>
              <w:jc w:val="both"/>
              <w:rPr>
                <w:sz w:val="24"/>
              </w:rPr>
            </w:pPr>
            <w:r>
              <w:rPr>
                <w:sz w:val="24"/>
              </w:rPr>
              <w:t>2</w:t>
            </w:r>
          </w:p>
        </w:tc>
        <w:tc>
          <w:tcPr>
            <w:tcW w:w="442" w:type="dxa"/>
            <w:noWrap w:val="0"/>
            <w:vAlign w:val="top"/>
          </w:tcPr>
          <w:p>
            <w:pPr>
              <w:pStyle w:val="37"/>
              <w:rPr>
                <w:rFonts w:ascii="Times New Roman"/>
                <w:sz w:val="24"/>
              </w:rPr>
            </w:pPr>
          </w:p>
        </w:tc>
        <w:tc>
          <w:tcPr>
            <w:tcW w:w="1635"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800" w:type="dxa"/>
            <w:noWrap w:val="0"/>
            <w:vAlign w:val="top"/>
          </w:tcPr>
          <w:p>
            <w:pPr>
              <w:pStyle w:val="37"/>
              <w:rPr>
                <w:rFonts w:ascii="Times New Roman"/>
                <w:sz w:val="24"/>
              </w:rPr>
            </w:pPr>
          </w:p>
        </w:tc>
        <w:tc>
          <w:tcPr>
            <w:tcW w:w="1175" w:type="dxa"/>
            <w:noWrap w:val="0"/>
            <w:vAlign w:val="top"/>
          </w:tcPr>
          <w:p>
            <w:pPr>
              <w:pStyle w:val="37"/>
              <w:rPr>
                <w:rFonts w:ascii="Times New Roman"/>
                <w:sz w:val="24"/>
              </w:rPr>
            </w:pPr>
          </w:p>
        </w:tc>
        <w:tc>
          <w:tcPr>
            <w:tcW w:w="1888"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543" w:type="dxa"/>
            <w:noWrap w:val="0"/>
            <w:vAlign w:val="top"/>
          </w:tcPr>
          <w:p>
            <w:pPr>
              <w:pStyle w:val="3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634" w:type="dxa"/>
            <w:noWrap w:val="0"/>
            <w:vAlign w:val="top"/>
          </w:tcPr>
          <w:p>
            <w:pPr>
              <w:pStyle w:val="37"/>
              <w:spacing w:before="41"/>
              <w:ind w:right="44"/>
              <w:jc w:val="both"/>
              <w:rPr>
                <w:sz w:val="24"/>
              </w:rPr>
            </w:pPr>
            <w:r>
              <w:rPr>
                <w:sz w:val="24"/>
              </w:rPr>
              <w:t>3</w:t>
            </w:r>
          </w:p>
        </w:tc>
        <w:tc>
          <w:tcPr>
            <w:tcW w:w="442" w:type="dxa"/>
            <w:noWrap w:val="0"/>
            <w:vAlign w:val="top"/>
          </w:tcPr>
          <w:p>
            <w:pPr>
              <w:pStyle w:val="37"/>
              <w:rPr>
                <w:rFonts w:ascii="Times New Roman"/>
                <w:sz w:val="24"/>
              </w:rPr>
            </w:pPr>
          </w:p>
        </w:tc>
        <w:tc>
          <w:tcPr>
            <w:tcW w:w="1635"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800" w:type="dxa"/>
            <w:noWrap w:val="0"/>
            <w:vAlign w:val="top"/>
          </w:tcPr>
          <w:p>
            <w:pPr>
              <w:pStyle w:val="37"/>
              <w:rPr>
                <w:rFonts w:ascii="Times New Roman"/>
                <w:sz w:val="24"/>
              </w:rPr>
            </w:pPr>
          </w:p>
        </w:tc>
        <w:tc>
          <w:tcPr>
            <w:tcW w:w="1175" w:type="dxa"/>
            <w:noWrap w:val="0"/>
            <w:vAlign w:val="top"/>
          </w:tcPr>
          <w:p>
            <w:pPr>
              <w:pStyle w:val="37"/>
              <w:rPr>
                <w:rFonts w:ascii="Times New Roman"/>
                <w:sz w:val="24"/>
              </w:rPr>
            </w:pPr>
          </w:p>
        </w:tc>
        <w:tc>
          <w:tcPr>
            <w:tcW w:w="1888"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543" w:type="dxa"/>
            <w:noWrap w:val="0"/>
            <w:vAlign w:val="top"/>
          </w:tcPr>
          <w:p>
            <w:pPr>
              <w:pStyle w:val="3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jc w:val="center"/>
        </w:trPr>
        <w:tc>
          <w:tcPr>
            <w:tcW w:w="634" w:type="dxa"/>
            <w:noWrap w:val="0"/>
            <w:vAlign w:val="top"/>
          </w:tcPr>
          <w:p>
            <w:pPr>
              <w:pStyle w:val="37"/>
              <w:spacing w:before="41"/>
              <w:ind w:right="44"/>
              <w:jc w:val="both"/>
              <w:rPr>
                <w:sz w:val="24"/>
              </w:rPr>
            </w:pPr>
            <w:r>
              <w:rPr>
                <w:sz w:val="24"/>
              </w:rPr>
              <w:t>4</w:t>
            </w:r>
          </w:p>
        </w:tc>
        <w:tc>
          <w:tcPr>
            <w:tcW w:w="442" w:type="dxa"/>
            <w:noWrap w:val="0"/>
            <w:vAlign w:val="top"/>
          </w:tcPr>
          <w:p>
            <w:pPr>
              <w:pStyle w:val="37"/>
              <w:rPr>
                <w:rFonts w:ascii="Times New Roman"/>
                <w:sz w:val="24"/>
              </w:rPr>
            </w:pPr>
          </w:p>
        </w:tc>
        <w:tc>
          <w:tcPr>
            <w:tcW w:w="1635"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800" w:type="dxa"/>
            <w:noWrap w:val="0"/>
            <w:vAlign w:val="top"/>
          </w:tcPr>
          <w:p>
            <w:pPr>
              <w:pStyle w:val="37"/>
              <w:rPr>
                <w:rFonts w:ascii="Times New Roman"/>
                <w:sz w:val="24"/>
              </w:rPr>
            </w:pPr>
          </w:p>
        </w:tc>
        <w:tc>
          <w:tcPr>
            <w:tcW w:w="1175" w:type="dxa"/>
            <w:noWrap w:val="0"/>
            <w:vAlign w:val="top"/>
          </w:tcPr>
          <w:p>
            <w:pPr>
              <w:pStyle w:val="37"/>
              <w:rPr>
                <w:rFonts w:ascii="Times New Roman"/>
                <w:sz w:val="24"/>
              </w:rPr>
            </w:pPr>
          </w:p>
        </w:tc>
        <w:tc>
          <w:tcPr>
            <w:tcW w:w="1888"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543" w:type="dxa"/>
            <w:noWrap w:val="0"/>
            <w:vAlign w:val="top"/>
          </w:tcPr>
          <w:p>
            <w:pPr>
              <w:pStyle w:val="37"/>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634" w:type="dxa"/>
            <w:noWrap w:val="0"/>
            <w:vAlign w:val="top"/>
          </w:tcPr>
          <w:p>
            <w:pPr>
              <w:pStyle w:val="37"/>
              <w:spacing w:before="42"/>
              <w:ind w:right="37"/>
              <w:jc w:val="right"/>
              <w:rPr>
                <w:sz w:val="24"/>
              </w:rPr>
            </w:pPr>
            <w:r>
              <w:rPr>
                <w:sz w:val="24"/>
              </w:rPr>
              <w:t>...</w:t>
            </w:r>
          </w:p>
        </w:tc>
        <w:tc>
          <w:tcPr>
            <w:tcW w:w="442" w:type="dxa"/>
            <w:noWrap w:val="0"/>
            <w:vAlign w:val="top"/>
          </w:tcPr>
          <w:p>
            <w:pPr>
              <w:pStyle w:val="37"/>
              <w:rPr>
                <w:rFonts w:ascii="Times New Roman"/>
                <w:sz w:val="24"/>
              </w:rPr>
            </w:pPr>
          </w:p>
        </w:tc>
        <w:tc>
          <w:tcPr>
            <w:tcW w:w="1635"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800" w:type="dxa"/>
            <w:noWrap w:val="0"/>
            <w:vAlign w:val="top"/>
          </w:tcPr>
          <w:p>
            <w:pPr>
              <w:pStyle w:val="37"/>
              <w:rPr>
                <w:rFonts w:ascii="Times New Roman"/>
                <w:sz w:val="24"/>
              </w:rPr>
            </w:pPr>
          </w:p>
        </w:tc>
        <w:tc>
          <w:tcPr>
            <w:tcW w:w="1175" w:type="dxa"/>
            <w:noWrap w:val="0"/>
            <w:vAlign w:val="top"/>
          </w:tcPr>
          <w:p>
            <w:pPr>
              <w:pStyle w:val="37"/>
              <w:rPr>
                <w:rFonts w:ascii="Times New Roman"/>
                <w:sz w:val="24"/>
              </w:rPr>
            </w:pPr>
          </w:p>
        </w:tc>
        <w:tc>
          <w:tcPr>
            <w:tcW w:w="1888" w:type="dxa"/>
            <w:noWrap w:val="0"/>
            <w:vAlign w:val="top"/>
          </w:tcPr>
          <w:p>
            <w:pPr>
              <w:pStyle w:val="37"/>
              <w:rPr>
                <w:rFonts w:ascii="Times New Roman"/>
                <w:sz w:val="24"/>
              </w:rPr>
            </w:pPr>
          </w:p>
        </w:tc>
        <w:tc>
          <w:tcPr>
            <w:tcW w:w="750" w:type="dxa"/>
            <w:noWrap w:val="0"/>
            <w:vAlign w:val="top"/>
          </w:tcPr>
          <w:p>
            <w:pPr>
              <w:pStyle w:val="37"/>
              <w:rPr>
                <w:rFonts w:ascii="Times New Roman"/>
                <w:sz w:val="24"/>
              </w:rPr>
            </w:pPr>
          </w:p>
        </w:tc>
        <w:tc>
          <w:tcPr>
            <w:tcW w:w="543" w:type="dxa"/>
            <w:noWrap w:val="0"/>
            <w:vAlign w:val="top"/>
          </w:tcPr>
          <w:p>
            <w:pPr>
              <w:pStyle w:val="37"/>
              <w:rPr>
                <w:rFonts w:ascii="Times New Roman"/>
                <w:sz w:val="24"/>
              </w:rPr>
            </w:pPr>
          </w:p>
        </w:tc>
      </w:tr>
    </w:tbl>
    <w:p>
      <w:pPr>
        <w:autoSpaceDE w:val="0"/>
        <w:autoSpaceDN w:val="0"/>
        <w:spacing w:line="360" w:lineRule="auto"/>
        <w:rPr>
          <w:rFonts w:hint="eastAsia" w:ascii="仿宋" w:hAnsi="仿宋" w:eastAsia="仿宋" w:cs="仿宋"/>
          <w:color w:val="auto"/>
          <w:highlight w:val="none"/>
          <w:lang w:val="zh-CN"/>
        </w:rPr>
      </w:pPr>
    </w:p>
    <w:p>
      <w:pPr>
        <w:autoSpaceDE w:val="0"/>
        <w:autoSpaceDN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注：1、本表应按照“</w:t>
      </w:r>
      <w:r>
        <w:rPr>
          <w:rFonts w:hint="eastAsia" w:ascii="仿宋" w:hAnsi="仿宋" w:eastAsia="仿宋" w:cs="仿宋"/>
          <w:color w:val="auto"/>
          <w:szCs w:val="22"/>
          <w:highlight w:val="none"/>
        </w:rPr>
        <w:t>采购项目要求及技术参数</w:t>
      </w:r>
      <w:r>
        <w:rPr>
          <w:rFonts w:hint="eastAsia" w:ascii="仿宋" w:hAnsi="仿宋" w:eastAsia="仿宋" w:cs="仿宋"/>
          <w:color w:val="auto"/>
          <w:highlight w:val="none"/>
          <w:lang w:val="zh-CN"/>
        </w:rPr>
        <w:t>”中</w:t>
      </w:r>
      <w:r>
        <w:rPr>
          <w:rFonts w:hint="eastAsia" w:ascii="仿宋" w:hAnsi="仿宋" w:eastAsia="仿宋" w:cs="仿宋"/>
          <w:color w:val="auto"/>
          <w:highlight w:val="none"/>
        </w:rPr>
        <w:t>服务内容及</w:t>
      </w:r>
      <w:r>
        <w:rPr>
          <w:rFonts w:hint="eastAsia" w:ascii="仿宋" w:hAnsi="仿宋" w:eastAsia="仿宋" w:cs="仿宋"/>
          <w:color w:val="auto"/>
          <w:highlight w:val="none"/>
          <w:lang w:val="zh-CN"/>
        </w:rPr>
        <w:t>指标逐项填写，不得遗漏。</w:t>
      </w:r>
    </w:p>
    <w:p>
      <w:pPr>
        <w:numPr>
          <w:ilvl w:val="0"/>
          <w:numId w:val="9"/>
        </w:numPr>
        <w:autoSpaceDE w:val="0"/>
        <w:autoSpaceDN w:val="0"/>
        <w:spacing w:line="360" w:lineRule="auto"/>
        <w:ind w:left="366" w:leftChars="0" w:firstLine="48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填写此表时以招标项目参数要求为基本投标要求，满足招标项目参数要求的指标需列出“</w:t>
      </w:r>
      <w:r>
        <w:rPr>
          <w:rFonts w:hint="eastAsia" w:ascii="仿宋" w:hAnsi="仿宋" w:eastAsia="仿宋" w:cs="仿宋"/>
          <w:color w:val="auto"/>
          <w:highlight w:val="none"/>
        </w:rPr>
        <w:t>0</w:t>
      </w:r>
      <w:r>
        <w:rPr>
          <w:rFonts w:hint="eastAsia" w:ascii="仿宋" w:hAnsi="仿宋" w:eastAsia="仿宋" w:cs="仿宋"/>
          <w:color w:val="auto"/>
          <w:highlight w:val="none"/>
          <w:lang w:val="zh-CN"/>
        </w:rPr>
        <w:t>”；超出、不满足招标项目参数要求的指标需列出“+”、“-”偏差，并做出详细说明。</w:t>
      </w:r>
    </w:p>
    <w:p>
      <w:pPr>
        <w:numPr>
          <w:ilvl w:val="0"/>
          <w:numId w:val="0"/>
        </w:numPr>
        <w:autoSpaceDE w:val="0"/>
        <w:autoSpaceDN w:val="0"/>
        <w:spacing w:line="360" w:lineRule="auto"/>
        <w:ind w:firstLine="240" w:firstLineChars="100"/>
        <w:rPr>
          <w:rFonts w:hint="eastAsia" w:ascii="仿宋" w:hAnsi="仿宋" w:eastAsia="仿宋" w:cs="仿宋"/>
          <w:color w:val="auto"/>
          <w:highlight w:val="none"/>
          <w:lang w:val="zh-CN"/>
        </w:rPr>
      </w:pP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rPr>
          <w:rFonts w:hint="eastAsia" w:ascii="仿宋" w:hAnsi="仿宋" w:eastAsia="仿宋" w:cs="仿宋"/>
          <w:color w:val="auto"/>
          <w:highlight w:val="none"/>
        </w:rPr>
      </w:pPr>
    </w:p>
    <w:p>
      <w:pPr>
        <w:autoSpaceDE w:val="0"/>
        <w:autoSpaceDN w:val="0"/>
        <w:snapToGrid w:val="0"/>
        <w:spacing w:line="360" w:lineRule="auto"/>
        <w:ind w:firstLine="480"/>
        <w:rPr>
          <w:rFonts w:hint="eastAsia" w:ascii="仿宋" w:hAnsi="仿宋" w:eastAsia="仿宋" w:cs="仿宋"/>
          <w:color w:val="auto"/>
          <w:highlight w:val="none"/>
        </w:rPr>
      </w:pPr>
    </w:p>
    <w:p>
      <w:pPr>
        <w:autoSpaceDE w:val="0"/>
        <w:autoSpaceDN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投标人：                        （公章）</w:t>
      </w:r>
    </w:p>
    <w:p>
      <w:pPr>
        <w:autoSpaceDE w:val="0"/>
        <w:autoSpaceDN w:val="0"/>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法定代表人或委托代理人：        （签字或盖章）</w:t>
      </w:r>
    </w:p>
    <w:p>
      <w:pPr>
        <w:autoSpaceDE w:val="0"/>
        <w:autoSpaceDN w:val="0"/>
        <w:snapToGrid w:val="0"/>
        <w:spacing w:line="360" w:lineRule="auto"/>
        <w:ind w:firstLine="3253"/>
        <w:rPr>
          <w:rFonts w:hint="eastAsia" w:ascii="仿宋" w:hAnsi="仿宋" w:eastAsia="仿宋" w:cs="仿宋"/>
          <w:b/>
          <w:color w:val="auto"/>
          <w:highlight w:val="none"/>
        </w:rPr>
      </w:pPr>
      <w:r>
        <w:rPr>
          <w:rFonts w:hint="eastAsia" w:ascii="仿宋" w:hAnsi="仿宋" w:eastAsia="仿宋" w:cs="仿宋"/>
          <w:b/>
          <w:color w:val="auto"/>
          <w:highlight w:val="none"/>
        </w:rPr>
        <w:t>年    月    日</w:t>
      </w:r>
    </w:p>
    <w:p>
      <w:pPr>
        <w:autoSpaceDE w:val="0"/>
        <w:autoSpaceDN w:val="0"/>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lang w:val="zh-CN"/>
        </w:rPr>
        <w:br w:type="page"/>
      </w:r>
      <w:bookmarkStart w:id="109" w:name="_Toc14290"/>
      <w:r>
        <w:rPr>
          <w:rFonts w:hint="eastAsia" w:ascii="仿宋" w:hAnsi="仿宋" w:eastAsia="仿宋" w:cs="仿宋"/>
          <w:color w:val="auto"/>
          <w:sz w:val="30"/>
          <w:szCs w:val="30"/>
          <w:highlight w:val="none"/>
        </w:rPr>
        <w:t>（15）</w:t>
      </w:r>
      <w:r>
        <w:rPr>
          <w:rFonts w:hint="eastAsia" w:ascii="仿宋" w:hAnsi="仿宋" w:eastAsia="仿宋" w:cs="仿宋"/>
          <w:color w:val="auto"/>
          <w:sz w:val="30"/>
          <w:szCs w:val="30"/>
          <w:highlight w:val="none"/>
          <w:lang w:val="zh-CN"/>
        </w:rPr>
        <w:t>投标人的类似业绩证明材料</w:t>
      </w:r>
      <w:bookmarkEnd w:id="109"/>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zh-CN"/>
        </w:rPr>
        <w:t>投标人的类似业绩证明材料</w:t>
      </w:r>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投标人的类似业绩证明材料提供自201</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zh-CN"/>
        </w:rPr>
        <w:t>年</w:t>
      </w:r>
      <w:r>
        <w:rPr>
          <w:rFonts w:hint="eastAsia" w:ascii="仿宋" w:hAnsi="仿宋" w:eastAsia="仿宋" w:cs="仿宋"/>
          <w:color w:val="auto"/>
          <w:highlight w:val="none"/>
        </w:rPr>
        <w:t>1月1日至今</w:t>
      </w:r>
      <w:r>
        <w:rPr>
          <w:rFonts w:hint="eastAsia" w:ascii="仿宋" w:hAnsi="仿宋" w:eastAsia="仿宋" w:cs="仿宋"/>
          <w:color w:val="auto"/>
          <w:highlight w:val="none"/>
          <w:lang w:val="zh-CN"/>
        </w:rPr>
        <w:t>的类似业绩证明材料。类似业绩是指与采购项目在产品类型、使用功能、合同规模等方面相同或相近的项目。业绩以</w:t>
      </w:r>
      <w:r>
        <w:rPr>
          <w:rFonts w:hint="eastAsia" w:ascii="仿宋" w:hAnsi="仿宋" w:eastAsia="仿宋" w:cs="仿宋"/>
          <w:color w:val="auto"/>
          <w:highlight w:val="none"/>
        </w:rPr>
        <w:t>生效的合同复印件</w:t>
      </w:r>
      <w:r>
        <w:rPr>
          <w:rFonts w:hint="eastAsia" w:ascii="仿宋" w:hAnsi="仿宋" w:eastAsia="仿宋" w:cs="仿宋"/>
          <w:color w:val="auto"/>
          <w:highlight w:val="none"/>
          <w:lang w:val="zh-CN"/>
        </w:rPr>
        <w:t>为准。</w:t>
      </w:r>
    </w:p>
    <w:p>
      <w:pPr>
        <w:pStyle w:val="21"/>
        <w:spacing w:before="0" w:after="0" w:line="360" w:lineRule="auto"/>
        <w:jc w:val="left"/>
        <w:outlineLvl w:val="1"/>
        <w:rPr>
          <w:rFonts w:hint="eastAsia" w:ascii="仿宋" w:hAnsi="仿宋" w:eastAsia="仿宋" w:cs="仿宋"/>
          <w:color w:val="auto"/>
          <w:kern w:val="0"/>
          <w:sz w:val="28"/>
          <w:szCs w:val="28"/>
          <w:highlight w:val="none"/>
          <w:lang w:val="zh-CN"/>
        </w:rPr>
      </w:pPr>
      <w:r>
        <w:rPr>
          <w:rFonts w:hint="eastAsia" w:ascii="仿宋" w:hAnsi="仿宋" w:eastAsia="仿宋" w:cs="仿宋"/>
          <w:color w:val="auto"/>
          <w:highlight w:val="none"/>
          <w:lang w:val="zh-CN"/>
        </w:rPr>
        <w:br w:type="page"/>
      </w:r>
      <w:bookmarkStart w:id="110" w:name="_Toc10010"/>
      <w:bookmarkStart w:id="111" w:name="_Toc26743"/>
      <w:r>
        <w:rPr>
          <w:rFonts w:hint="eastAsia" w:ascii="仿宋" w:hAnsi="仿宋" w:eastAsia="仿宋" w:cs="仿宋"/>
          <w:color w:val="auto"/>
          <w:sz w:val="30"/>
          <w:szCs w:val="30"/>
          <w:highlight w:val="none"/>
        </w:rPr>
        <w:t>（16）</w:t>
      </w:r>
      <w:bookmarkEnd w:id="110"/>
      <w:r>
        <w:rPr>
          <w:rFonts w:hint="eastAsia" w:ascii="仿宋" w:hAnsi="仿宋" w:eastAsia="仿宋" w:cs="仿宋"/>
          <w:color w:val="auto"/>
          <w:sz w:val="30"/>
          <w:highlight w:val="none"/>
        </w:rPr>
        <w:t>中小企业声明函</w:t>
      </w:r>
      <w:bookmarkEnd w:id="111"/>
    </w:p>
    <w:p>
      <w:pPr>
        <w:adjustRightInd w:val="0"/>
        <w:snapToGrid w:val="0"/>
        <w:spacing w:line="440" w:lineRule="exact"/>
        <w:ind w:left="8152" w:hanging="8152" w:hangingChars="2900"/>
        <w:jc w:val="center"/>
        <w:rPr>
          <w:rFonts w:hint="eastAsia" w:ascii="仿宋" w:hAnsi="仿宋" w:eastAsia="仿宋" w:cs="仿宋"/>
          <w:b/>
          <w:bCs/>
          <w:color w:val="auto"/>
          <w:kern w:val="0"/>
          <w:sz w:val="28"/>
          <w:szCs w:val="28"/>
          <w:highlight w:val="none"/>
        </w:rPr>
      </w:pPr>
      <w:bookmarkStart w:id="112" w:name="_Toc31785"/>
      <w:bookmarkStart w:id="113" w:name="_Toc15227"/>
      <w:bookmarkStart w:id="114" w:name="_Toc743"/>
      <w:r>
        <w:rPr>
          <w:rFonts w:hint="eastAsia" w:ascii="仿宋" w:hAnsi="仿宋" w:eastAsia="仿宋" w:cs="仿宋"/>
          <w:b/>
          <w:bCs/>
          <w:color w:val="auto"/>
          <w:kern w:val="0"/>
          <w:sz w:val="28"/>
          <w:szCs w:val="28"/>
          <w:highlight w:val="none"/>
        </w:rPr>
        <w:t>中小企业声明函（货物）</w:t>
      </w:r>
    </w:p>
    <w:p>
      <w:pPr>
        <w:adjustRightInd w:val="0"/>
        <w:snapToGrid w:val="0"/>
        <w:spacing w:line="440" w:lineRule="exact"/>
        <w:ind w:left="8152" w:hanging="8152" w:hangingChars="2900"/>
        <w:jc w:val="center"/>
        <w:rPr>
          <w:rFonts w:hint="eastAsia" w:ascii="仿宋" w:hAnsi="仿宋" w:eastAsia="仿宋" w:cs="仿宋"/>
          <w:b/>
          <w:bCs/>
          <w:color w:val="auto"/>
          <w:kern w:val="0"/>
          <w:sz w:val="28"/>
          <w:szCs w:val="28"/>
          <w:highlight w:val="none"/>
        </w:rPr>
      </w:pPr>
    </w:p>
    <w:p>
      <w:pPr>
        <w:adjustRightInd w:val="0"/>
        <w:snapToGri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本公司（联合体）郑重声明，根据《政府采购促进中小企业发展管理办法》（财库﹝2020﹞46 号）的规定，本公司（联合体）参加</w:t>
      </w:r>
      <w:r>
        <w:rPr>
          <w:rFonts w:hint="eastAsia" w:ascii="仿宋" w:hAnsi="仿宋" w:eastAsia="仿宋" w:cs="仿宋"/>
          <w:bCs/>
          <w:color w:val="auto"/>
          <w:kern w:val="0"/>
          <w:highlight w:val="none"/>
          <w:u w:val="single"/>
        </w:rPr>
        <w:t>（单位名称）</w:t>
      </w:r>
      <w:r>
        <w:rPr>
          <w:rFonts w:hint="eastAsia" w:ascii="仿宋" w:hAnsi="仿宋" w:eastAsia="仿宋" w:cs="仿宋"/>
          <w:bCs/>
          <w:color w:val="auto"/>
          <w:kern w:val="0"/>
          <w:highlight w:val="none"/>
        </w:rPr>
        <w:t>的</w:t>
      </w:r>
      <w:r>
        <w:rPr>
          <w:rFonts w:hint="eastAsia" w:ascii="仿宋" w:hAnsi="仿宋" w:eastAsia="仿宋" w:cs="仿宋"/>
          <w:bCs/>
          <w:color w:val="auto"/>
          <w:kern w:val="0"/>
          <w:highlight w:val="none"/>
          <w:u w:val="single"/>
        </w:rPr>
        <w:t>（项目名称）</w:t>
      </w:r>
      <w:r>
        <w:rPr>
          <w:rFonts w:hint="eastAsia" w:ascii="仿宋" w:hAnsi="仿宋" w:eastAsia="仿宋" w:cs="仿宋"/>
          <w:bCs/>
          <w:color w:val="auto"/>
          <w:kern w:val="0"/>
          <w:highlight w:val="none"/>
        </w:rPr>
        <w:t>采购活动，提供的货物全部由符合政策要求的中小企业制造。相关企业（含联合体中的中小企业、签订分包意向协议的中小企业）的具体情况如下：</w:t>
      </w:r>
    </w:p>
    <w:p>
      <w:pPr>
        <w:adjustRightInd w:val="0"/>
        <w:snapToGri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1.</w:t>
      </w:r>
      <w:r>
        <w:rPr>
          <w:rFonts w:hint="eastAsia" w:ascii="仿宋" w:hAnsi="仿宋" w:eastAsia="仿宋" w:cs="仿宋"/>
          <w:bCs/>
          <w:color w:val="auto"/>
          <w:kern w:val="0"/>
          <w:highlight w:val="none"/>
          <w:u w:val="single"/>
        </w:rPr>
        <w:t xml:space="preserve"> （标的名称） </w:t>
      </w:r>
      <w:r>
        <w:rPr>
          <w:rFonts w:hint="eastAsia" w:ascii="仿宋" w:hAnsi="仿宋" w:eastAsia="仿宋" w:cs="仿宋"/>
          <w:bCs/>
          <w:color w:val="auto"/>
          <w:kern w:val="0"/>
          <w:highlight w:val="none"/>
        </w:rPr>
        <w:t>，属于</w:t>
      </w:r>
      <w:r>
        <w:rPr>
          <w:rFonts w:hint="eastAsia" w:ascii="仿宋" w:hAnsi="仿宋" w:eastAsia="仿宋" w:cs="仿宋"/>
          <w:bCs/>
          <w:color w:val="auto"/>
          <w:kern w:val="0"/>
          <w:highlight w:val="none"/>
          <w:u w:val="single"/>
        </w:rPr>
        <w:t>（采购文件中明确的所属行业）</w:t>
      </w:r>
      <w:r>
        <w:rPr>
          <w:rFonts w:hint="eastAsia" w:ascii="仿宋" w:hAnsi="仿宋" w:eastAsia="仿宋" w:cs="仿宋"/>
          <w:bCs/>
          <w:color w:val="auto"/>
          <w:kern w:val="0"/>
          <w:highlight w:val="none"/>
        </w:rPr>
        <w:t>行业；制造商为</w:t>
      </w:r>
      <w:r>
        <w:rPr>
          <w:rFonts w:hint="eastAsia" w:ascii="仿宋" w:hAnsi="仿宋" w:eastAsia="仿宋" w:cs="仿宋"/>
          <w:bCs/>
          <w:color w:val="auto"/>
          <w:kern w:val="0"/>
          <w:highlight w:val="none"/>
          <w:u w:val="single"/>
        </w:rPr>
        <w:t>（企业名称）</w:t>
      </w:r>
      <w:r>
        <w:rPr>
          <w:rFonts w:hint="eastAsia" w:ascii="仿宋" w:hAnsi="仿宋" w:eastAsia="仿宋" w:cs="仿宋"/>
          <w:bCs/>
          <w:color w:val="auto"/>
          <w:kern w:val="0"/>
          <w:highlight w:val="none"/>
        </w:rPr>
        <w:t>，从业人员</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人，营业收入为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万元，资产总额为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万元，属于</w:t>
      </w:r>
      <w:r>
        <w:rPr>
          <w:rFonts w:hint="eastAsia" w:ascii="仿宋" w:hAnsi="仿宋" w:eastAsia="仿宋" w:cs="仿宋"/>
          <w:bCs/>
          <w:color w:val="auto"/>
          <w:kern w:val="0"/>
          <w:highlight w:val="none"/>
          <w:u w:val="single"/>
        </w:rPr>
        <w:t>（中型企业、小型企业、微型企业）</w:t>
      </w:r>
      <w:r>
        <w:rPr>
          <w:rFonts w:hint="eastAsia" w:ascii="仿宋" w:hAnsi="仿宋" w:eastAsia="仿宋" w:cs="仿宋"/>
          <w:bCs/>
          <w:color w:val="auto"/>
          <w:kern w:val="0"/>
          <w:highlight w:val="none"/>
        </w:rPr>
        <w:t>；</w:t>
      </w:r>
    </w:p>
    <w:p>
      <w:pPr>
        <w:adjustRightInd w:val="0"/>
        <w:snapToGri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2.</w:t>
      </w:r>
      <w:r>
        <w:rPr>
          <w:rFonts w:hint="eastAsia" w:ascii="仿宋" w:hAnsi="仿宋" w:eastAsia="仿宋" w:cs="仿宋"/>
          <w:bCs/>
          <w:color w:val="auto"/>
          <w:kern w:val="0"/>
          <w:highlight w:val="none"/>
          <w:u w:val="single"/>
        </w:rPr>
        <w:t xml:space="preserve"> （标的名称） </w:t>
      </w:r>
      <w:r>
        <w:rPr>
          <w:rFonts w:hint="eastAsia" w:ascii="仿宋" w:hAnsi="仿宋" w:eastAsia="仿宋" w:cs="仿宋"/>
          <w:bCs/>
          <w:color w:val="auto"/>
          <w:kern w:val="0"/>
          <w:highlight w:val="none"/>
        </w:rPr>
        <w:t>，属于</w:t>
      </w:r>
      <w:r>
        <w:rPr>
          <w:rFonts w:hint="eastAsia" w:ascii="仿宋" w:hAnsi="仿宋" w:eastAsia="仿宋" w:cs="仿宋"/>
          <w:bCs/>
          <w:color w:val="auto"/>
          <w:kern w:val="0"/>
          <w:highlight w:val="none"/>
          <w:u w:val="single"/>
        </w:rPr>
        <w:t>（采购文件中明确的所属行业）</w:t>
      </w:r>
      <w:r>
        <w:rPr>
          <w:rFonts w:hint="eastAsia" w:ascii="仿宋" w:hAnsi="仿宋" w:eastAsia="仿宋" w:cs="仿宋"/>
          <w:bCs/>
          <w:color w:val="auto"/>
          <w:kern w:val="0"/>
          <w:highlight w:val="none"/>
        </w:rPr>
        <w:t>行业；制造商为</w:t>
      </w:r>
      <w:r>
        <w:rPr>
          <w:rFonts w:hint="eastAsia" w:ascii="仿宋" w:hAnsi="仿宋" w:eastAsia="仿宋" w:cs="仿宋"/>
          <w:bCs/>
          <w:color w:val="auto"/>
          <w:kern w:val="0"/>
          <w:highlight w:val="none"/>
          <w:u w:val="single"/>
        </w:rPr>
        <w:t>（企业名称）</w:t>
      </w:r>
      <w:r>
        <w:rPr>
          <w:rFonts w:hint="eastAsia" w:ascii="仿宋" w:hAnsi="仿宋" w:eastAsia="仿宋" w:cs="仿宋"/>
          <w:bCs/>
          <w:color w:val="auto"/>
          <w:kern w:val="0"/>
          <w:highlight w:val="none"/>
        </w:rPr>
        <w:t>，从业人员</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人，营业收入为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万元，资产总额为</w:t>
      </w:r>
      <w:r>
        <w:rPr>
          <w:rFonts w:hint="eastAsia" w:ascii="仿宋" w:hAnsi="仿宋" w:eastAsia="仿宋" w:cs="仿宋"/>
          <w:bCs/>
          <w:color w:val="auto"/>
          <w:kern w:val="0"/>
          <w:highlight w:val="none"/>
          <w:u w:val="single"/>
        </w:rPr>
        <w:t xml:space="preserve">    </w:t>
      </w:r>
      <w:r>
        <w:rPr>
          <w:rFonts w:hint="eastAsia" w:ascii="仿宋" w:hAnsi="仿宋" w:eastAsia="仿宋" w:cs="仿宋"/>
          <w:bCs/>
          <w:color w:val="auto"/>
          <w:kern w:val="0"/>
          <w:highlight w:val="none"/>
        </w:rPr>
        <w:t>万元，属于</w:t>
      </w:r>
      <w:r>
        <w:rPr>
          <w:rFonts w:hint="eastAsia" w:ascii="仿宋" w:hAnsi="仿宋" w:eastAsia="仿宋" w:cs="仿宋"/>
          <w:bCs/>
          <w:color w:val="auto"/>
          <w:kern w:val="0"/>
          <w:highlight w:val="none"/>
          <w:u w:val="single"/>
        </w:rPr>
        <w:t>（中型企业、小型企业、微型企业）</w:t>
      </w:r>
      <w:r>
        <w:rPr>
          <w:rFonts w:hint="eastAsia" w:ascii="仿宋" w:hAnsi="仿宋" w:eastAsia="仿宋" w:cs="仿宋"/>
          <w:bCs/>
          <w:color w:val="auto"/>
          <w:kern w:val="0"/>
          <w:highlight w:val="none"/>
        </w:rPr>
        <w:t>；</w:t>
      </w:r>
    </w:p>
    <w:p>
      <w:pPr>
        <w:adjustRightInd w:val="0"/>
        <w:snapToGri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w:t>
      </w:r>
    </w:p>
    <w:p>
      <w:pPr>
        <w:adjustRightInd w:val="0"/>
        <w:snapToGri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以上企业，不属于大企业的分支机构，不存在控股股东为大企业的情形，也不存在与大企业的负责人为同一人的情形。</w:t>
      </w:r>
    </w:p>
    <w:p>
      <w:pPr>
        <w:adjustRightInd w:val="0"/>
        <w:snapToGrid w:val="0"/>
        <w:spacing w:line="440" w:lineRule="exact"/>
        <w:ind w:firstLine="480" w:firstLineChars="200"/>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本企业对上述声明内容的真实性负责。如有虚假，将依法承担相应责任。</w:t>
      </w:r>
    </w:p>
    <w:p>
      <w:pPr>
        <w:adjustRightInd w:val="0"/>
        <w:snapToGrid w:val="0"/>
        <w:spacing w:line="440" w:lineRule="exact"/>
        <w:ind w:firstLine="360" w:firstLineChars="200"/>
        <w:rPr>
          <w:rFonts w:hint="eastAsia" w:ascii="仿宋" w:hAnsi="仿宋" w:eastAsia="仿宋" w:cs="仿宋"/>
          <w:bCs/>
          <w:color w:val="auto"/>
          <w:kern w:val="0"/>
          <w:sz w:val="18"/>
          <w:szCs w:val="18"/>
          <w:highlight w:val="none"/>
        </w:rPr>
      </w:pPr>
    </w:p>
    <w:p>
      <w:pPr>
        <w:adjustRightInd w:val="0"/>
        <w:snapToGrid w:val="0"/>
        <w:spacing w:line="440" w:lineRule="exact"/>
        <w:ind w:firstLine="360" w:firstLineChars="200"/>
        <w:rPr>
          <w:rFonts w:hint="eastAsia" w:ascii="仿宋" w:hAnsi="仿宋" w:eastAsia="仿宋" w:cs="仿宋"/>
          <w:bCs/>
          <w:color w:val="auto"/>
          <w:kern w:val="0"/>
          <w:sz w:val="18"/>
          <w:szCs w:val="18"/>
          <w:highlight w:val="none"/>
        </w:rPr>
      </w:pPr>
      <w:r>
        <w:rPr>
          <w:rFonts w:hint="eastAsia" w:ascii="仿宋" w:hAnsi="仿宋" w:eastAsia="仿宋" w:cs="仿宋"/>
          <w:bCs/>
          <w:color w:val="auto"/>
          <w:kern w:val="0"/>
          <w:sz w:val="18"/>
          <w:szCs w:val="18"/>
          <w:highlight w:val="none"/>
        </w:rPr>
        <w:t>说明：①从业人员、营业收入、资产总额填报上一年度数据，无上一年度数据的新成立企业可不填报。②如未提供中小企业声明函的，则不享受优惠，但不影响投标人投标文件的有效性。③投标人参加政府采购活动时，提供虚假中小企业声明函的，以提供虚假材料谋取中标处理。④投标人为非企业单位的，如民办非企业、基金会、协会、服务中心、农村承包经营户、学会等非工商(市场监管)登记注册的组织均不适用此声明函，不得提供中小企业声明函。</w:t>
      </w:r>
    </w:p>
    <w:p>
      <w:pPr>
        <w:adjustRightInd w:val="0"/>
        <w:snapToGrid w:val="0"/>
        <w:spacing w:line="440" w:lineRule="exact"/>
        <w:ind w:firstLine="560" w:firstLineChars="200"/>
        <w:rPr>
          <w:rFonts w:hint="eastAsia" w:ascii="仿宋" w:hAnsi="仿宋" w:eastAsia="仿宋" w:cs="仿宋"/>
          <w:bCs/>
          <w:color w:val="auto"/>
          <w:kern w:val="0"/>
          <w:sz w:val="28"/>
          <w:szCs w:val="28"/>
          <w:highlight w:val="none"/>
        </w:rPr>
      </w:pPr>
    </w:p>
    <w:p>
      <w:pPr>
        <w:wordWrap w:val="0"/>
        <w:spacing w:line="360" w:lineRule="auto"/>
        <w:jc w:val="right"/>
        <w:rPr>
          <w:rFonts w:hint="eastAsia" w:ascii="仿宋" w:hAnsi="仿宋" w:eastAsia="仿宋" w:cs="仿宋"/>
          <w:b/>
          <w:color w:val="auto"/>
          <w:highlight w:val="none"/>
        </w:rPr>
      </w:pPr>
      <w:r>
        <w:rPr>
          <w:rFonts w:hint="eastAsia" w:ascii="仿宋" w:hAnsi="仿宋" w:eastAsia="仿宋" w:cs="仿宋"/>
          <w:b/>
          <w:color w:val="auto"/>
          <w:highlight w:val="none"/>
        </w:rPr>
        <w:t>企业名称（盖章）：</w:t>
      </w:r>
      <w:r>
        <w:rPr>
          <w:rFonts w:hint="eastAsia" w:ascii="仿宋" w:hAnsi="仿宋" w:eastAsia="仿宋" w:cs="仿宋"/>
          <w:b/>
          <w:color w:val="auto"/>
          <w:highlight w:val="none"/>
          <w:u w:val="single"/>
        </w:rPr>
        <w:t xml:space="preserve">       </w:t>
      </w:r>
    </w:p>
    <w:p>
      <w:pPr>
        <w:wordWrap w:val="0"/>
        <w:spacing w:line="360" w:lineRule="auto"/>
        <w:jc w:val="right"/>
        <w:rPr>
          <w:rFonts w:hint="eastAsia" w:ascii="仿宋" w:hAnsi="仿宋" w:eastAsia="仿宋" w:cs="仿宋"/>
          <w:b/>
          <w:color w:val="auto"/>
          <w:highlight w:val="none"/>
        </w:rPr>
      </w:pPr>
      <w:r>
        <w:rPr>
          <w:rFonts w:hint="eastAsia" w:ascii="仿宋" w:hAnsi="仿宋" w:eastAsia="仿宋" w:cs="仿宋"/>
          <w:b/>
          <w:color w:val="auto"/>
          <w:highlight w:val="none"/>
        </w:rPr>
        <w:t>日 期：</w:t>
      </w:r>
      <w:r>
        <w:rPr>
          <w:rFonts w:hint="eastAsia" w:ascii="仿宋" w:hAnsi="仿宋" w:eastAsia="仿宋" w:cs="仿宋"/>
          <w:b/>
          <w:color w:val="auto"/>
          <w:highlight w:val="none"/>
          <w:u w:val="single"/>
        </w:rPr>
        <w:t xml:space="preserve">       </w:t>
      </w:r>
    </w:p>
    <w:p>
      <w:pPr>
        <w:adjustRightInd w:val="0"/>
        <w:snapToGrid w:val="0"/>
        <w:spacing w:line="440" w:lineRule="exact"/>
        <w:ind w:firstLine="562" w:firstLineChars="20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w:t>
      </w:r>
    </w:p>
    <w:p>
      <w:pPr>
        <w:autoSpaceDE w:val="0"/>
        <w:autoSpaceDN w:val="0"/>
        <w:spacing w:line="360" w:lineRule="auto"/>
        <w:ind w:firstLine="482" w:firstLineChars="200"/>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注：若无此项内容，可不提供此函。</w:t>
      </w:r>
    </w:p>
    <w:p>
      <w:pPr>
        <w:pStyle w:val="21"/>
        <w:spacing w:before="0" w:after="0" w:line="360" w:lineRule="auto"/>
        <w:jc w:val="left"/>
        <w:outlineLvl w:val="1"/>
        <w:rPr>
          <w:rFonts w:hint="eastAsia" w:ascii="仿宋" w:hAnsi="仿宋" w:eastAsia="仿宋" w:cs="仿宋"/>
          <w:color w:val="auto"/>
          <w:sz w:val="30"/>
          <w:szCs w:val="30"/>
          <w:highlight w:val="none"/>
          <w:lang w:val="zh-CN"/>
        </w:rPr>
      </w:pPr>
    </w:p>
    <w:p>
      <w:pPr>
        <w:pStyle w:val="21"/>
        <w:spacing w:before="0" w:after="0" w:line="360" w:lineRule="auto"/>
        <w:jc w:val="left"/>
        <w:outlineLvl w:val="1"/>
        <w:rPr>
          <w:rFonts w:hint="eastAsia" w:ascii="仿宋" w:hAnsi="仿宋" w:eastAsia="仿宋" w:cs="仿宋"/>
          <w:color w:val="auto"/>
          <w:sz w:val="30"/>
          <w:szCs w:val="30"/>
          <w:highlight w:val="none"/>
          <w:lang w:val="zh-CN"/>
        </w:rPr>
      </w:pPr>
    </w:p>
    <w:p>
      <w:pPr>
        <w:pStyle w:val="21"/>
        <w:spacing w:before="0" w:after="0" w:line="360" w:lineRule="auto"/>
        <w:jc w:val="left"/>
        <w:outlineLvl w:val="1"/>
        <w:rPr>
          <w:rFonts w:hint="eastAsia" w:ascii="仿宋" w:hAnsi="仿宋" w:eastAsia="仿宋" w:cs="仿宋"/>
          <w:color w:val="auto"/>
          <w:sz w:val="30"/>
          <w:szCs w:val="30"/>
          <w:highlight w:val="none"/>
          <w:lang w:val="zh-CN"/>
        </w:rPr>
      </w:pPr>
    </w:p>
    <w:p>
      <w:pPr>
        <w:pStyle w:val="21"/>
        <w:spacing w:before="0" w:after="0" w:line="360" w:lineRule="auto"/>
        <w:jc w:val="left"/>
        <w:outlineLvl w:val="1"/>
        <w:rPr>
          <w:rFonts w:hint="eastAsia" w:ascii="仿宋" w:hAnsi="仿宋" w:eastAsia="仿宋" w:cs="仿宋"/>
          <w:b w:val="0"/>
          <w:bCs w:val="0"/>
          <w:color w:val="auto"/>
          <w:sz w:val="32"/>
          <w:highlight w:val="none"/>
        </w:rPr>
      </w:pPr>
      <w:r>
        <w:rPr>
          <w:rFonts w:hint="eastAsia" w:ascii="仿宋" w:hAnsi="仿宋" w:eastAsia="仿宋" w:cs="仿宋"/>
          <w:color w:val="auto"/>
          <w:sz w:val="30"/>
          <w:szCs w:val="30"/>
          <w:highlight w:val="none"/>
          <w:lang w:val="zh-CN"/>
        </w:rPr>
        <w:t>（</w:t>
      </w:r>
      <w:r>
        <w:rPr>
          <w:rFonts w:hint="eastAsia" w:ascii="仿宋" w:hAnsi="仿宋" w:eastAsia="仿宋" w:cs="仿宋"/>
          <w:color w:val="auto"/>
          <w:sz w:val="30"/>
          <w:szCs w:val="30"/>
          <w:highlight w:val="none"/>
        </w:rPr>
        <w:t>17</w:t>
      </w:r>
      <w:r>
        <w:rPr>
          <w:rFonts w:hint="eastAsia" w:ascii="仿宋" w:hAnsi="仿宋" w:eastAsia="仿宋" w:cs="仿宋"/>
          <w:color w:val="auto"/>
          <w:sz w:val="30"/>
          <w:szCs w:val="30"/>
          <w:highlight w:val="none"/>
          <w:lang w:val="zh-CN"/>
        </w:rPr>
        <w:t>）</w:t>
      </w:r>
      <w:r>
        <w:rPr>
          <w:rFonts w:hint="eastAsia" w:ascii="仿宋" w:hAnsi="仿宋" w:eastAsia="仿宋" w:cs="仿宋"/>
          <w:color w:val="auto"/>
          <w:sz w:val="30"/>
          <w:szCs w:val="30"/>
          <w:highlight w:val="none"/>
        </w:rPr>
        <w:t>监狱企业证明资料</w:t>
      </w:r>
      <w:bookmarkEnd w:id="112"/>
    </w:p>
    <w:p>
      <w:pPr>
        <w:spacing w:line="480" w:lineRule="auto"/>
        <w:ind w:firstLine="480"/>
        <w:rPr>
          <w:rFonts w:hint="eastAsia" w:ascii="仿宋" w:hAnsi="仿宋" w:eastAsia="仿宋" w:cs="仿宋"/>
          <w:color w:val="auto"/>
          <w:highlight w:val="none"/>
        </w:rPr>
      </w:pPr>
    </w:p>
    <w:p>
      <w:pPr>
        <w:spacing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备注：按《财政部 司法部关于政府采购支持监狱企业发展有关问题的通知》(财库〔2014〕68号)文件规定提供证明文件（复印件）。</w:t>
      </w:r>
    </w:p>
    <w:p>
      <w:pPr>
        <w:spacing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15" w:name="_Toc22071_WPSOffice_Level3"/>
    </w:p>
    <w:p>
      <w:pPr>
        <w:spacing w:line="480" w:lineRule="auto"/>
        <w:ind w:firstLine="480"/>
        <w:rPr>
          <w:rFonts w:hint="eastAsia" w:ascii="仿宋" w:hAnsi="仿宋" w:eastAsia="仿宋" w:cs="仿宋"/>
          <w:color w:val="auto"/>
          <w:highlight w:val="none"/>
        </w:rPr>
      </w:pPr>
    </w:p>
    <w:p>
      <w:pPr>
        <w:spacing w:line="480" w:lineRule="auto"/>
        <w:ind w:firstLine="3120" w:firstLineChars="1300"/>
        <w:rPr>
          <w:rFonts w:hint="eastAsia" w:ascii="仿宋" w:hAnsi="仿宋" w:eastAsia="仿宋" w:cs="仿宋"/>
          <w:color w:val="auto"/>
          <w:highlight w:val="none"/>
        </w:rPr>
      </w:pPr>
      <w:r>
        <w:rPr>
          <w:rFonts w:hint="eastAsia" w:ascii="仿宋" w:hAnsi="仿宋" w:eastAsia="仿宋" w:cs="仿宋"/>
          <w:color w:val="auto"/>
          <w:highlight w:val="none"/>
        </w:rPr>
        <w:t>单位名称：       （公章）</w:t>
      </w:r>
      <w:bookmarkEnd w:id="115"/>
    </w:p>
    <w:p>
      <w:pPr>
        <w:spacing w:line="48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16" w:name="_Toc11539_WPSOffice_Level3"/>
      <w:r>
        <w:rPr>
          <w:rFonts w:hint="eastAsia" w:ascii="仿宋" w:hAnsi="仿宋" w:eastAsia="仿宋" w:cs="仿宋"/>
          <w:color w:val="auto"/>
          <w:highlight w:val="none"/>
        </w:rPr>
        <w:t>法定代表人或委托代理人：       （签字或盖章）</w:t>
      </w:r>
      <w:bookmarkEnd w:id="116"/>
    </w:p>
    <w:p>
      <w:pPr>
        <w:spacing w:before="120" w:beforeLines="50" w:line="480" w:lineRule="auto"/>
        <w:ind w:firstLine="640" w:firstLineChars="200"/>
        <w:jc w:val="center"/>
        <w:rPr>
          <w:rFonts w:hint="eastAsia" w:ascii="仿宋" w:hAnsi="仿宋" w:eastAsia="仿宋" w:cs="仿宋"/>
          <w:color w:val="auto"/>
          <w:spacing w:val="6"/>
          <w:sz w:val="21"/>
          <w:highlight w:val="none"/>
        </w:rPr>
      </w:pPr>
      <w:r>
        <w:rPr>
          <w:rFonts w:hint="eastAsia" w:ascii="仿宋" w:hAnsi="仿宋" w:eastAsia="仿宋" w:cs="仿宋"/>
          <w:bCs/>
          <w:color w:val="auto"/>
          <w:sz w:val="32"/>
          <w:szCs w:val="32"/>
          <w:highlight w:val="none"/>
        </w:rPr>
        <w:t xml:space="preserve">                                    </w:t>
      </w:r>
      <w:bookmarkStart w:id="117" w:name="_Toc3285_WPSOffice_Level3"/>
      <w:r>
        <w:rPr>
          <w:rFonts w:hint="eastAsia" w:ascii="仿宋" w:hAnsi="仿宋" w:eastAsia="仿宋" w:cs="仿宋"/>
          <w:bCs/>
          <w:color w:val="auto"/>
          <w:sz w:val="32"/>
          <w:szCs w:val="32"/>
          <w:highlight w:val="none"/>
        </w:rPr>
        <w:t>年   月  日</w:t>
      </w:r>
      <w:bookmarkEnd w:id="117"/>
    </w:p>
    <w:p>
      <w:pPr>
        <w:rPr>
          <w:rFonts w:hint="eastAsia" w:ascii="仿宋" w:hAnsi="仿宋" w:eastAsia="仿宋" w:cs="仿宋"/>
          <w:color w:val="auto"/>
          <w:highlight w:val="none"/>
        </w:rPr>
      </w:pPr>
    </w:p>
    <w:p>
      <w:pPr>
        <w:spacing w:line="480" w:lineRule="auto"/>
        <w:ind w:firstLine="480"/>
        <w:rPr>
          <w:rFonts w:hint="eastAsia" w:ascii="仿宋" w:hAnsi="仿宋" w:eastAsia="仿宋" w:cs="仿宋"/>
          <w:b/>
          <w:bCs/>
          <w:color w:val="auto"/>
          <w:highlight w:val="none"/>
        </w:rPr>
      </w:pPr>
      <w:bookmarkStart w:id="118" w:name="_Toc25903_WPSOffice_Level3"/>
      <w:bookmarkStart w:id="119" w:name="_Toc28022_WPSOffice_Level3"/>
      <w:r>
        <w:rPr>
          <w:rFonts w:hint="eastAsia" w:ascii="仿宋" w:hAnsi="仿宋" w:eastAsia="仿宋" w:cs="仿宋"/>
          <w:b/>
          <w:bCs/>
          <w:color w:val="auto"/>
          <w:highlight w:val="none"/>
        </w:rPr>
        <w:t>(不属于监狱企业的无需提供)</w:t>
      </w:r>
      <w:bookmarkEnd w:id="118"/>
      <w:bookmarkEnd w:id="119"/>
    </w:p>
    <w:p>
      <w:pPr>
        <w:pStyle w:val="21"/>
        <w:spacing w:before="0" w:after="0" w:line="360" w:lineRule="auto"/>
        <w:jc w:val="left"/>
        <w:outlineLvl w:val="1"/>
        <w:rPr>
          <w:rFonts w:hint="eastAsia" w:ascii="仿宋" w:hAnsi="仿宋" w:eastAsia="仿宋" w:cs="仿宋"/>
          <w:bCs w:val="0"/>
          <w:color w:val="auto"/>
          <w:sz w:val="28"/>
          <w:szCs w:val="28"/>
          <w:highlight w:val="none"/>
          <w:lang w:val="zh-CN"/>
        </w:rPr>
        <w:sectPr>
          <w:headerReference r:id="rId5" w:type="default"/>
          <w:footerReference r:id="rId6" w:type="default"/>
          <w:footerReference r:id="rId7" w:type="even"/>
          <w:pgSz w:w="11849" w:h="16781"/>
          <w:pgMar w:top="1440" w:right="1803" w:bottom="1440" w:left="1803" w:header="851" w:footer="992" w:gutter="0"/>
          <w:pgBorders>
            <w:top w:val="none" w:sz="0" w:space="0"/>
            <w:left w:val="none" w:sz="0" w:space="0"/>
            <w:bottom w:val="none" w:sz="0" w:space="0"/>
            <w:right w:val="none" w:sz="0" w:space="0"/>
          </w:pgBorders>
          <w:cols w:space="720" w:num="1"/>
          <w:docGrid w:linePitch="397" w:charSpace="0"/>
        </w:sectPr>
      </w:pPr>
    </w:p>
    <w:p>
      <w:pPr>
        <w:pStyle w:val="21"/>
        <w:spacing w:before="0" w:after="0" w:line="360" w:lineRule="auto"/>
        <w:jc w:val="left"/>
        <w:outlineLvl w:val="1"/>
        <w:rPr>
          <w:rFonts w:hint="eastAsia" w:ascii="仿宋" w:hAnsi="仿宋" w:eastAsia="仿宋" w:cs="仿宋"/>
          <w:b w:val="0"/>
          <w:color w:val="auto"/>
          <w:sz w:val="28"/>
          <w:szCs w:val="28"/>
          <w:highlight w:val="none"/>
        </w:rPr>
      </w:pPr>
      <w:bookmarkStart w:id="120" w:name="_Toc7411"/>
      <w:r>
        <w:rPr>
          <w:rFonts w:hint="eastAsia" w:ascii="仿宋" w:hAnsi="仿宋" w:eastAsia="仿宋" w:cs="仿宋"/>
          <w:bCs w:val="0"/>
          <w:color w:val="auto"/>
          <w:sz w:val="28"/>
          <w:szCs w:val="28"/>
          <w:highlight w:val="none"/>
          <w:lang w:val="zh-CN"/>
        </w:rPr>
        <w:t>（</w:t>
      </w:r>
      <w:r>
        <w:rPr>
          <w:rFonts w:hint="eastAsia" w:ascii="仿宋" w:hAnsi="仿宋" w:eastAsia="仿宋" w:cs="仿宋"/>
          <w:bCs w:val="0"/>
          <w:color w:val="auto"/>
          <w:sz w:val="28"/>
          <w:szCs w:val="28"/>
          <w:highlight w:val="none"/>
        </w:rPr>
        <w:t>18</w:t>
      </w:r>
      <w:r>
        <w:rPr>
          <w:rFonts w:hint="eastAsia" w:ascii="仿宋" w:hAnsi="仿宋" w:eastAsia="仿宋" w:cs="仿宋"/>
          <w:bCs w:val="0"/>
          <w:color w:val="auto"/>
          <w:sz w:val="28"/>
          <w:szCs w:val="28"/>
          <w:highlight w:val="none"/>
          <w:lang w:val="zh-CN"/>
        </w:rPr>
        <w:t>）</w:t>
      </w:r>
      <w:r>
        <w:rPr>
          <w:rFonts w:hint="eastAsia" w:ascii="仿宋" w:hAnsi="仿宋" w:eastAsia="仿宋" w:cs="仿宋"/>
          <w:bCs w:val="0"/>
          <w:color w:val="auto"/>
          <w:sz w:val="30"/>
          <w:szCs w:val="30"/>
          <w:highlight w:val="none"/>
          <w:lang w:val="zh-CN"/>
        </w:rPr>
        <w:t>残疾人</w:t>
      </w:r>
      <w:r>
        <w:rPr>
          <w:rFonts w:hint="eastAsia" w:ascii="仿宋" w:hAnsi="仿宋" w:eastAsia="仿宋" w:cs="仿宋"/>
          <w:bCs w:val="0"/>
          <w:color w:val="auto"/>
          <w:sz w:val="28"/>
          <w:szCs w:val="28"/>
          <w:highlight w:val="none"/>
        </w:rPr>
        <w:t>福利性单位声明函</w:t>
      </w:r>
      <w:bookmarkEnd w:id="113"/>
      <w:bookmarkEnd w:id="120"/>
    </w:p>
    <w:p>
      <w:pPr>
        <w:jc w:val="center"/>
        <w:rPr>
          <w:rFonts w:hint="eastAsia" w:ascii="仿宋" w:hAnsi="仿宋" w:eastAsia="仿宋" w:cs="仿宋"/>
          <w:b/>
          <w:color w:val="auto"/>
          <w:sz w:val="36"/>
          <w:szCs w:val="36"/>
          <w:highlight w:val="none"/>
        </w:rPr>
      </w:pPr>
      <w:bookmarkStart w:id="121" w:name="OLE_LINK13"/>
      <w:bookmarkStart w:id="122" w:name="OLE_LINK14"/>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残疾人福利性单位声明函</w:t>
      </w:r>
    </w:p>
    <w:bookmarkEnd w:id="121"/>
    <w:bookmarkEnd w:id="122"/>
    <w:p>
      <w:pPr>
        <w:spacing w:after="159" w:afterLines="50"/>
        <w:rPr>
          <w:rFonts w:hint="eastAsia" w:ascii="仿宋" w:hAnsi="仿宋" w:eastAsia="仿宋" w:cs="仿宋"/>
          <w:bCs/>
          <w:color w:val="auto"/>
          <w:highlight w:val="none"/>
        </w:rPr>
      </w:pPr>
    </w:p>
    <w:p>
      <w:pPr>
        <w:spacing w:after="159" w:afterLines="50"/>
        <w:rPr>
          <w:rFonts w:hint="eastAsia" w:ascii="仿宋" w:hAnsi="仿宋" w:eastAsia="仿宋" w:cs="仿宋"/>
          <w:b/>
          <w:bCs/>
          <w:color w:val="auto"/>
          <w:highlight w:val="none"/>
        </w:rPr>
      </w:pPr>
      <w:r>
        <w:rPr>
          <w:rFonts w:hint="eastAsia" w:ascii="仿宋" w:hAnsi="仿宋" w:eastAsia="仿宋" w:cs="仿宋"/>
          <w:b/>
          <w:bCs/>
          <w:color w:val="auto"/>
          <w:highlight w:val="none"/>
        </w:rPr>
        <w:t>致：</w:t>
      </w:r>
      <w:r>
        <w:rPr>
          <w:rFonts w:hint="eastAsia" w:ascii="仿宋" w:hAnsi="仿宋" w:eastAsia="仿宋" w:cs="仿宋"/>
          <w:b/>
          <w:bCs/>
          <w:color w:val="auto"/>
          <w:kern w:val="0"/>
          <w:highlight w:val="none"/>
          <w:u w:val="dashDotHeavy"/>
          <w:lang w:val="zh-CN"/>
        </w:rPr>
        <w:t>采购人或者采购代理机构</w:t>
      </w: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人，安置的残疾人人数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本单位对上述声明的真实性负责。如有虚假，将依法承担相应责任。</w:t>
      </w:r>
    </w:p>
    <w:p>
      <w:pPr>
        <w:spacing w:line="360" w:lineRule="auto"/>
        <w:ind w:firstLine="480"/>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注：若无此项内容，可不提供此函。</w:t>
      </w: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p>
    <w:p>
      <w:pPr>
        <w:spacing w:line="360" w:lineRule="auto"/>
        <w:ind w:firstLine="480"/>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 xml:space="preserve">                                企业名称：</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b/>
          <w:color w:val="auto"/>
          <w:highlight w:val="none"/>
        </w:rPr>
        <w:t>（公章）</w:t>
      </w:r>
    </w:p>
    <w:p>
      <w:pPr>
        <w:spacing w:line="360" w:lineRule="auto"/>
        <w:ind w:firstLine="482"/>
        <w:jc w:val="right"/>
        <w:rPr>
          <w:rFonts w:hint="eastAsia" w:ascii="仿宋" w:hAnsi="仿宋" w:eastAsia="仿宋" w:cs="仿宋"/>
          <w:b/>
          <w:color w:val="auto"/>
          <w:highlight w:val="none"/>
        </w:rPr>
      </w:pPr>
      <w:r>
        <w:rPr>
          <w:rFonts w:hint="eastAsia" w:ascii="仿宋" w:hAnsi="仿宋" w:eastAsia="仿宋" w:cs="仿宋"/>
          <w:b/>
          <w:color w:val="auto"/>
          <w:highlight w:val="none"/>
        </w:rPr>
        <w:t xml:space="preserve">       企业法定代表人：</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b/>
          <w:color w:val="auto"/>
          <w:highlight w:val="none"/>
        </w:rPr>
        <w:t>（签字或盖章）</w:t>
      </w:r>
    </w:p>
    <w:p>
      <w:pPr>
        <w:ind w:firstLine="482"/>
        <w:jc w:val="center"/>
        <w:rPr>
          <w:rFonts w:hint="eastAsia" w:ascii="仿宋" w:hAnsi="仿宋" w:eastAsia="仿宋" w:cs="仿宋"/>
          <w:b/>
          <w:color w:val="auto"/>
          <w:highlight w:val="none"/>
        </w:rPr>
      </w:pPr>
      <w:r>
        <w:rPr>
          <w:rFonts w:hint="eastAsia" w:ascii="仿宋" w:hAnsi="仿宋" w:eastAsia="仿宋" w:cs="仿宋"/>
          <w:b/>
          <w:color w:val="auto"/>
          <w:highlight w:val="none"/>
        </w:rPr>
        <w:t xml:space="preserve">              年   月  日</w:t>
      </w:r>
    </w:p>
    <w:p>
      <w:pPr>
        <w:pStyle w:val="21"/>
        <w:spacing w:before="0" w:after="0" w:line="360" w:lineRule="auto"/>
        <w:jc w:val="left"/>
        <w:outlineLvl w:val="1"/>
        <w:rPr>
          <w:rFonts w:hint="eastAsia" w:ascii="仿宋" w:hAnsi="仿宋" w:eastAsia="仿宋" w:cs="仿宋"/>
          <w:color w:val="auto"/>
          <w:highlight w:val="none"/>
        </w:rPr>
      </w:pPr>
      <w:r>
        <w:rPr>
          <w:rFonts w:hint="eastAsia" w:ascii="仿宋" w:hAnsi="仿宋" w:eastAsia="仿宋" w:cs="仿宋"/>
          <w:color w:val="auto"/>
          <w:highlight w:val="none"/>
          <w:lang w:val="zh-CN"/>
        </w:rPr>
        <w:br w:type="page"/>
      </w:r>
      <w:bookmarkStart w:id="123" w:name="_Toc30379"/>
      <w:bookmarkStart w:id="124" w:name="_Toc1256"/>
      <w:r>
        <w:rPr>
          <w:rFonts w:hint="eastAsia" w:ascii="仿宋" w:hAnsi="仿宋" w:eastAsia="仿宋" w:cs="仿宋"/>
          <w:color w:val="auto"/>
          <w:sz w:val="30"/>
          <w:szCs w:val="30"/>
          <w:highlight w:val="none"/>
        </w:rPr>
        <w:t>（19）</w:t>
      </w:r>
      <w:r>
        <w:rPr>
          <w:rFonts w:hint="eastAsia" w:ascii="仿宋" w:hAnsi="仿宋" w:eastAsia="仿宋" w:cs="仿宋"/>
          <w:color w:val="auto"/>
          <w:sz w:val="30"/>
          <w:szCs w:val="30"/>
          <w:highlight w:val="none"/>
          <w:lang w:val="zh-CN"/>
        </w:rPr>
        <w:t>投标人认为在其他方面有必要说明的事项</w:t>
      </w:r>
      <w:bookmarkEnd w:id="114"/>
      <w:bookmarkEnd w:id="123"/>
      <w:bookmarkEnd w:id="124"/>
    </w:p>
    <w:p>
      <w:pPr>
        <w:autoSpaceDE w:val="0"/>
        <w:autoSpaceDN w:val="0"/>
        <w:spacing w:line="360" w:lineRule="auto"/>
        <w:rPr>
          <w:rFonts w:hint="eastAsia" w:ascii="仿宋" w:hAnsi="仿宋" w:eastAsia="仿宋" w:cs="仿宋"/>
          <w:color w:val="auto"/>
          <w:kern w:val="0"/>
          <w:sz w:val="28"/>
          <w:szCs w:val="28"/>
          <w:highlight w:val="none"/>
          <w:lang w:val="zh-CN"/>
        </w:rPr>
      </w:pPr>
    </w:p>
    <w:p>
      <w:pPr>
        <w:autoSpaceDE w:val="0"/>
        <w:autoSpaceDN w:val="0"/>
        <w:spacing w:line="360" w:lineRule="auto"/>
        <w:jc w:val="center"/>
        <w:rPr>
          <w:rFonts w:hint="eastAsia" w:ascii="仿宋" w:hAnsi="仿宋" w:eastAsia="仿宋" w:cs="仿宋"/>
          <w:b/>
          <w:bCs/>
          <w:color w:val="auto"/>
          <w:kern w:val="0"/>
          <w:sz w:val="36"/>
          <w:szCs w:val="36"/>
          <w:highlight w:val="none"/>
          <w:lang w:val="zh-CN"/>
        </w:rPr>
      </w:pP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lang w:val="zh-CN"/>
        </w:rPr>
        <w:t>投标人认为在其他方面有必要说明的事项</w:t>
      </w:r>
    </w:p>
    <w:p>
      <w:pPr>
        <w:autoSpaceDE w:val="0"/>
        <w:autoSpaceDN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（格式自定）</w:t>
      </w:r>
    </w:p>
    <w:p>
      <w:pPr>
        <w:pStyle w:val="2"/>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pStyle w:val="2"/>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pStyle w:val="2"/>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p>
      <w:pPr>
        <w:pStyle w:val="2"/>
        <w:numPr>
          <w:ilvl w:val="0"/>
          <w:numId w:val="0"/>
        </w:numPr>
        <w:ind w:left="846" w:leftChars="0" w:firstLine="562" w:firstLineChars="200"/>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2.成活率承诺</w:t>
      </w:r>
    </w:p>
    <w:p>
      <w:pPr>
        <w:numPr>
          <w:ilvl w:val="0"/>
          <w:numId w:val="0"/>
        </w:numPr>
        <w:ind w:leftChars="200"/>
        <w:rPr>
          <w:rFonts w:hint="eastAsia"/>
          <w:lang w:val="en-US" w:eastAsia="zh-CN"/>
        </w:rPr>
      </w:pPr>
    </w:p>
    <w:p>
      <w:pPr>
        <w:autoSpaceDE w:val="0"/>
        <w:autoSpaceDN w:val="0"/>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（网围栏供应商可对本条忽略）</w:t>
      </w:r>
    </w:p>
    <w:p>
      <w:pPr>
        <w:autoSpaceDE w:val="0"/>
        <w:autoSpaceDN w:val="0"/>
        <w:spacing w:line="360" w:lineRule="auto"/>
        <w:rPr>
          <w:rFonts w:hint="eastAsia" w:ascii="仿宋" w:hAnsi="仿宋" w:eastAsia="仿宋" w:cs="仿宋"/>
          <w:b/>
          <w:bCs/>
          <w:color w:val="auto"/>
          <w:kern w:val="0"/>
          <w:sz w:val="28"/>
          <w:szCs w:val="28"/>
          <w:highlight w:val="none"/>
          <w:lang w:val="zh-CN" w:eastAsia="zh-CN" w:bidi="ar-SA"/>
        </w:rPr>
      </w:pPr>
      <w:r>
        <w:rPr>
          <w:rFonts w:hint="eastAsia" w:ascii="仿宋" w:hAnsi="仿宋" w:eastAsia="仿宋" w:cs="仿宋"/>
          <w:b/>
          <w:bCs/>
          <w:color w:val="auto"/>
          <w:kern w:val="0"/>
          <w:sz w:val="28"/>
          <w:szCs w:val="28"/>
          <w:highlight w:val="none"/>
          <w:lang w:val="zh-CN" w:eastAsia="zh-CN" w:bidi="ar-SA"/>
        </w:rPr>
        <w:br w:type="page"/>
      </w:r>
    </w:p>
    <w:p>
      <w:pPr>
        <w:pStyle w:val="21"/>
        <w:spacing w:before="0" w:after="0" w:line="360" w:lineRule="auto"/>
        <w:rPr>
          <w:rFonts w:hint="eastAsia" w:ascii="仿宋" w:hAnsi="仿宋" w:eastAsia="仿宋" w:cs="仿宋"/>
          <w:color w:val="auto"/>
          <w:highlight w:val="none"/>
        </w:rPr>
      </w:pPr>
      <w:bookmarkStart w:id="125" w:name="_Toc18752"/>
      <w:bookmarkStart w:id="126" w:name="_Toc5180"/>
      <w:r>
        <w:rPr>
          <w:rFonts w:hint="eastAsia" w:ascii="仿宋" w:hAnsi="仿宋" w:eastAsia="仿宋" w:cs="仿宋"/>
          <w:color w:val="auto"/>
          <w:szCs w:val="36"/>
          <w:highlight w:val="none"/>
          <w:lang w:val="zh-CN"/>
        </w:rPr>
        <w:t>第五部分  采购项目要求及技术参数</w:t>
      </w:r>
      <w:bookmarkEnd w:id="125"/>
      <w:bookmarkEnd w:id="126"/>
    </w:p>
    <w:p>
      <w:pPr>
        <w:pStyle w:val="21"/>
        <w:spacing w:before="0" w:after="0" w:line="360" w:lineRule="auto"/>
        <w:outlineLvl w:val="1"/>
        <w:rPr>
          <w:rFonts w:hint="eastAsia" w:ascii="仿宋" w:hAnsi="仿宋" w:eastAsia="仿宋" w:cs="仿宋"/>
          <w:color w:val="auto"/>
          <w:szCs w:val="36"/>
          <w:highlight w:val="none"/>
        </w:rPr>
      </w:pPr>
      <w:bookmarkStart w:id="127" w:name="_Toc24083"/>
      <w:bookmarkStart w:id="128" w:name="_Toc9451"/>
      <w:r>
        <w:rPr>
          <w:rFonts w:hint="eastAsia" w:ascii="仿宋" w:hAnsi="仿宋" w:eastAsia="仿宋" w:cs="仿宋"/>
          <w:color w:val="auto"/>
          <w:highlight w:val="none"/>
          <w:lang w:val="zh-CN"/>
        </w:rPr>
        <w:t>（一）投标要求</w:t>
      </w:r>
      <w:bookmarkEnd w:id="127"/>
      <w:bookmarkEnd w:id="128"/>
    </w:p>
    <w:p>
      <w:pPr>
        <w:pStyle w:val="21"/>
        <w:spacing w:before="0" w:after="0" w:line="360" w:lineRule="auto"/>
        <w:jc w:val="left"/>
        <w:outlineLvl w:val="1"/>
        <w:rPr>
          <w:rFonts w:hint="eastAsia" w:ascii="仿宋" w:hAnsi="仿宋" w:eastAsia="仿宋" w:cs="仿宋"/>
          <w:color w:val="auto"/>
          <w:highlight w:val="none"/>
          <w:lang w:val="zh-CN"/>
        </w:rPr>
      </w:pPr>
      <w:bookmarkStart w:id="129" w:name="_Toc28871"/>
      <w:bookmarkStart w:id="130" w:name="_Toc4601"/>
      <w:bookmarkStart w:id="131" w:name="_Toc15152"/>
      <w:bookmarkStart w:id="132" w:name="_Toc6146"/>
      <w:bookmarkStart w:id="133" w:name="_Toc28576"/>
      <w:r>
        <w:rPr>
          <w:rFonts w:hint="eastAsia" w:ascii="仿宋" w:hAnsi="仿宋" w:eastAsia="仿宋" w:cs="仿宋"/>
          <w:color w:val="auto"/>
          <w:sz w:val="28"/>
          <w:szCs w:val="28"/>
          <w:highlight w:val="none"/>
          <w:lang w:val="zh-CN"/>
        </w:rPr>
        <w:t>1.投标说明</w:t>
      </w:r>
      <w:bookmarkEnd w:id="129"/>
      <w:bookmarkEnd w:id="130"/>
      <w:bookmarkEnd w:id="131"/>
      <w:bookmarkEnd w:id="132"/>
    </w:p>
    <w:p>
      <w:pPr>
        <w:autoSpaceDE w:val="0"/>
        <w:autoSpaceDN w:val="0"/>
        <w:spacing w:line="440" w:lineRule="exact"/>
        <w:ind w:firstLine="48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1.1</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投标人可以按照招标文件规定选择投标，但必须对所投所有内容作为一个整体进行投标，不能拆分或少报。否则，投标无效。</w:t>
      </w:r>
    </w:p>
    <w:p>
      <w:pPr>
        <w:autoSpaceDE w:val="0"/>
        <w:autoSpaceDN w:val="0"/>
        <w:spacing w:line="440" w:lineRule="exact"/>
        <w:ind w:firstLine="480" w:firstLineChars="20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1.2</w:t>
      </w:r>
      <w:r>
        <w:rPr>
          <w:rFonts w:hint="eastAsia" w:ascii="仿宋" w:hAnsi="仿宋" w:eastAsia="仿宋" w:cs="仿宋"/>
          <w:color w:val="auto"/>
          <w:kern w:val="0"/>
          <w:highlight w:val="none"/>
        </w:rPr>
        <w:t xml:space="preserve"> 项目中标后分包情况：</w:t>
      </w:r>
      <w:r>
        <w:rPr>
          <w:rFonts w:hint="eastAsia" w:ascii="仿宋" w:hAnsi="仿宋" w:eastAsia="仿宋" w:cs="仿宋"/>
          <w:color w:val="auto"/>
          <w:kern w:val="0"/>
          <w:highlight w:val="none"/>
          <w:lang w:bidi="ar"/>
        </w:rPr>
        <w:t>不允许</w:t>
      </w:r>
      <w:r>
        <w:rPr>
          <w:rFonts w:hint="eastAsia" w:ascii="仿宋" w:hAnsi="仿宋" w:eastAsia="仿宋" w:cs="仿宋"/>
          <w:color w:val="auto"/>
          <w:kern w:val="0"/>
          <w:highlight w:val="none"/>
        </w:rPr>
        <w:t>。（允许，投标人拟在中标后将中标项目的非主体、非关键性工作分包的，应当在投标文件中载明分包承担主体，分包承担主体应当具备相应资质条件且不得再次分包）</w:t>
      </w:r>
    </w:p>
    <w:p>
      <w:pPr>
        <w:pStyle w:val="21"/>
        <w:spacing w:before="0" w:after="0" w:line="360" w:lineRule="auto"/>
        <w:jc w:val="left"/>
        <w:outlineLvl w:val="1"/>
        <w:rPr>
          <w:rFonts w:hint="eastAsia" w:ascii="仿宋" w:hAnsi="仿宋" w:eastAsia="仿宋" w:cs="仿宋"/>
          <w:color w:val="auto"/>
          <w:highlight w:val="none"/>
          <w:lang w:val="zh-CN"/>
        </w:rPr>
      </w:pPr>
      <w:bookmarkStart w:id="134" w:name="_Toc26125"/>
      <w:bookmarkStart w:id="135" w:name="_Toc8432"/>
      <w:bookmarkStart w:id="136" w:name="_Toc26375"/>
      <w:bookmarkStart w:id="137" w:name="_Toc13436"/>
      <w:r>
        <w:rPr>
          <w:rFonts w:hint="eastAsia" w:ascii="仿宋" w:hAnsi="仿宋" w:eastAsia="仿宋" w:cs="仿宋"/>
          <w:color w:val="auto"/>
          <w:sz w:val="28"/>
          <w:szCs w:val="28"/>
          <w:highlight w:val="none"/>
        </w:rPr>
        <w:t>2.</w:t>
      </w:r>
      <w:bookmarkEnd w:id="134"/>
      <w:bookmarkStart w:id="138" w:name="_Toc1475"/>
      <w:r>
        <w:rPr>
          <w:rFonts w:hint="eastAsia" w:ascii="仿宋" w:hAnsi="仿宋" w:eastAsia="仿宋" w:cs="仿宋"/>
          <w:color w:val="auto"/>
          <w:sz w:val="28"/>
          <w:szCs w:val="28"/>
          <w:highlight w:val="none"/>
          <w:lang w:val="zh-CN"/>
        </w:rPr>
        <w:t>重要指标</w:t>
      </w:r>
      <w:bookmarkEnd w:id="135"/>
      <w:bookmarkEnd w:id="136"/>
      <w:bookmarkEnd w:id="137"/>
      <w:bookmarkEnd w:id="138"/>
    </w:p>
    <w:p>
      <w:pPr>
        <w:autoSpaceDE w:val="0"/>
        <w:autoSpaceDN w:val="0"/>
        <w:spacing w:line="360" w:lineRule="auto"/>
        <w:ind w:firstLine="480" w:firstLineChars="200"/>
        <w:rPr>
          <w:rFonts w:hint="eastAsia" w:ascii="仿宋" w:hAnsi="仿宋" w:eastAsia="仿宋" w:cs="仿宋"/>
          <w:color w:val="auto"/>
          <w:highlight w:val="none"/>
        </w:rPr>
      </w:pPr>
      <w:bookmarkStart w:id="139" w:name="_Toc18880"/>
      <w:r>
        <w:rPr>
          <w:rFonts w:hint="eastAsia" w:ascii="仿宋" w:hAnsi="仿宋" w:eastAsia="仿宋" w:cs="仿宋"/>
          <w:color w:val="auto"/>
          <w:kern w:val="0"/>
          <w:highlight w:val="none"/>
        </w:rPr>
        <w:t>2</w:t>
      </w:r>
      <w:r>
        <w:rPr>
          <w:rFonts w:hint="eastAsia" w:ascii="仿宋" w:hAnsi="仿宋" w:eastAsia="仿宋" w:cs="仿宋"/>
          <w:color w:val="auto"/>
          <w:kern w:val="0"/>
          <w:highlight w:val="none"/>
          <w:lang w:val="zh-CN"/>
        </w:rPr>
        <w:t>.</w:t>
      </w:r>
      <w:r>
        <w:rPr>
          <w:rFonts w:hint="eastAsia" w:ascii="仿宋" w:hAnsi="仿宋" w:eastAsia="仿宋" w:cs="仿宋"/>
          <w:color w:val="auto"/>
          <w:kern w:val="0"/>
          <w:highlight w:val="none"/>
        </w:rPr>
        <w:t xml:space="preserve">1 </w:t>
      </w:r>
      <w:r>
        <w:rPr>
          <w:rFonts w:hint="eastAsia" w:ascii="仿宋" w:hAnsi="仿宋" w:eastAsia="仿宋" w:cs="仿宋"/>
          <w:color w:val="auto"/>
          <w:kern w:val="0"/>
          <w:highlight w:val="none"/>
          <w:lang w:val="zh-CN"/>
        </w:rPr>
        <w:t>技术参数中除注明签订合同时提供</w:t>
      </w:r>
      <w:r>
        <w:rPr>
          <w:rFonts w:hint="eastAsia" w:ascii="仿宋" w:hAnsi="仿宋" w:eastAsia="仿宋" w:cs="仿宋"/>
          <w:color w:val="auto"/>
          <w:highlight w:val="none"/>
        </w:rPr>
        <w:t>的相关授权、服务承诺等资料以外，其余相关资料在投标时必须附在投标文件中。</w:t>
      </w:r>
    </w:p>
    <w:p>
      <w:pPr>
        <w:pStyle w:val="21"/>
        <w:spacing w:before="0" w:after="0" w:line="360" w:lineRule="auto"/>
        <w:jc w:val="left"/>
        <w:outlineLvl w:val="1"/>
        <w:rPr>
          <w:rFonts w:hint="eastAsia" w:ascii="仿宋" w:hAnsi="仿宋" w:eastAsia="仿宋" w:cs="仿宋"/>
          <w:color w:val="auto"/>
          <w:highlight w:val="none"/>
          <w:lang w:val="zh-CN"/>
        </w:rPr>
      </w:pPr>
      <w:bookmarkStart w:id="140" w:name="_Toc23354"/>
      <w:bookmarkStart w:id="141" w:name="_Toc338"/>
      <w:bookmarkStart w:id="142" w:name="_Toc27865"/>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zh-CN"/>
        </w:rPr>
        <w:t>.商务要求</w:t>
      </w:r>
      <w:bookmarkEnd w:id="139"/>
      <w:bookmarkEnd w:id="140"/>
      <w:bookmarkEnd w:id="141"/>
      <w:bookmarkEnd w:id="142"/>
    </w:p>
    <w:p>
      <w:pPr>
        <w:autoSpaceDE w:val="0"/>
        <w:autoSpaceDN w:val="0"/>
        <w:spacing w:line="360" w:lineRule="auto"/>
        <w:ind w:firstLine="360"/>
        <w:jc w:val="left"/>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3</w:t>
      </w:r>
      <w:r>
        <w:rPr>
          <w:rFonts w:hint="eastAsia" w:ascii="仿宋" w:hAnsi="仿宋" w:eastAsia="仿宋" w:cs="仿宋"/>
          <w:b/>
          <w:bCs/>
          <w:color w:val="auto"/>
          <w:kern w:val="0"/>
          <w:highlight w:val="none"/>
          <w:lang w:val="zh-CN"/>
        </w:rPr>
        <w:t>.1.</w:t>
      </w:r>
      <w:r>
        <w:rPr>
          <w:rFonts w:hint="eastAsia" w:ascii="仿宋" w:hAnsi="仿宋" w:eastAsia="仿宋" w:cs="仿宋"/>
          <w:b/>
          <w:bCs/>
          <w:color w:val="auto"/>
          <w:kern w:val="0"/>
          <w:highlight w:val="none"/>
          <w:lang w:val="en-US" w:eastAsia="zh-CN"/>
        </w:rPr>
        <w:t>交货（工）期</w:t>
      </w:r>
      <w:r>
        <w:rPr>
          <w:rFonts w:hint="eastAsia" w:ascii="仿宋" w:hAnsi="仿宋" w:eastAsia="仿宋" w:cs="仿宋"/>
          <w:b/>
          <w:bCs/>
          <w:color w:val="auto"/>
          <w:kern w:val="0"/>
          <w:highlight w:val="none"/>
          <w:lang w:val="zh-CN"/>
        </w:rPr>
        <w:t>：</w:t>
      </w:r>
      <w:r>
        <w:rPr>
          <w:rFonts w:hint="eastAsia" w:ascii="仿宋" w:hAnsi="仿宋" w:eastAsia="仿宋" w:cs="仿宋"/>
          <w:b/>
          <w:bCs/>
          <w:highlight w:val="none"/>
          <w:lang w:val="en-US" w:eastAsia="zh-CN"/>
        </w:rPr>
        <w:t>按合同约定执行</w:t>
      </w:r>
      <w:r>
        <w:rPr>
          <w:rFonts w:hint="eastAsia" w:ascii="仿宋" w:hAnsi="仿宋" w:eastAsia="仿宋" w:cs="仿宋"/>
          <w:b/>
          <w:bCs/>
          <w:color w:val="auto"/>
          <w:kern w:val="0"/>
          <w:highlight w:val="none"/>
          <w:lang w:val="zh-CN"/>
        </w:rPr>
        <w:t>；</w:t>
      </w:r>
      <w:r>
        <w:rPr>
          <w:rFonts w:hint="eastAsia" w:ascii="仿宋" w:hAnsi="仿宋" w:eastAsia="仿宋" w:cs="仿宋"/>
          <w:b/>
          <w:bCs/>
          <w:color w:val="auto"/>
          <w:kern w:val="0"/>
          <w:highlight w:val="none"/>
        </w:rPr>
        <w:t xml:space="preserve">  </w:t>
      </w:r>
    </w:p>
    <w:p>
      <w:pPr>
        <w:autoSpaceDE w:val="0"/>
        <w:autoSpaceDN w:val="0"/>
        <w:spacing w:line="360" w:lineRule="auto"/>
        <w:ind w:firstLine="360"/>
        <w:jc w:val="left"/>
        <w:rPr>
          <w:rFonts w:hint="eastAsia" w:ascii="仿宋" w:hAnsi="仿宋" w:eastAsia="仿宋" w:cs="仿宋"/>
          <w:b/>
          <w:bCs/>
          <w:color w:val="auto"/>
          <w:kern w:val="0"/>
          <w:highlight w:val="none"/>
          <w:lang w:val="zh-CN"/>
        </w:rPr>
      </w:pPr>
      <w:r>
        <w:rPr>
          <w:rFonts w:hint="eastAsia" w:ascii="仿宋" w:hAnsi="仿宋" w:eastAsia="仿宋" w:cs="仿宋"/>
          <w:b/>
          <w:bCs/>
          <w:color w:val="auto"/>
          <w:kern w:val="0"/>
          <w:highlight w:val="none"/>
          <w:lang w:val="zh-CN"/>
        </w:rPr>
        <w:t>3.2.</w:t>
      </w:r>
      <w:r>
        <w:rPr>
          <w:rFonts w:hint="eastAsia" w:ascii="仿宋" w:hAnsi="仿宋" w:eastAsia="仿宋" w:cs="仿宋"/>
          <w:b/>
          <w:bCs/>
          <w:color w:val="auto"/>
          <w:kern w:val="0"/>
          <w:highlight w:val="none"/>
          <w:lang w:val="en-US" w:eastAsia="zh-CN"/>
        </w:rPr>
        <w:t>交货（工）地点</w:t>
      </w:r>
      <w:r>
        <w:rPr>
          <w:rFonts w:hint="eastAsia" w:ascii="仿宋" w:hAnsi="仿宋" w:eastAsia="仿宋" w:cs="仿宋"/>
          <w:b/>
          <w:bCs/>
          <w:color w:val="auto"/>
          <w:kern w:val="0"/>
          <w:highlight w:val="none"/>
          <w:lang w:val="zh-CN"/>
        </w:rPr>
        <w:t>：详见各包采购清单；</w:t>
      </w:r>
    </w:p>
    <w:p>
      <w:pPr>
        <w:pStyle w:val="2"/>
        <w:rPr>
          <w:rFonts w:hint="eastAsia" w:ascii="仿宋" w:hAnsi="仿宋" w:eastAsia="仿宋" w:cs="仿宋"/>
          <w:b/>
          <w:bCs/>
          <w:color w:val="auto"/>
          <w:kern w:val="0"/>
          <w:highlight w:val="none"/>
          <w:lang w:val="en-US" w:eastAsia="zh-CN"/>
        </w:rPr>
      </w:pPr>
      <w:r>
        <w:rPr>
          <w:rFonts w:hint="eastAsia" w:ascii="仿宋" w:hAnsi="仿宋" w:eastAsia="仿宋" w:cs="仿宋"/>
          <w:b/>
          <w:bCs/>
          <w:color w:val="auto"/>
          <w:kern w:val="0"/>
          <w:highlight w:val="none"/>
          <w:lang w:val="en-US" w:eastAsia="zh-CN"/>
        </w:rPr>
        <w:t>3.3.成活率：</w:t>
      </w:r>
    </w:p>
    <w:p>
      <w:pPr>
        <w:pStyle w:val="2"/>
        <w:spacing w:line="360" w:lineRule="auto"/>
        <w:ind w:firstLine="720" w:firstLineChars="300"/>
        <w:rPr>
          <w:rFonts w:hint="eastAsia" w:ascii="仿宋" w:hAnsi="仿宋" w:eastAsia="仿宋" w:cs="仿宋"/>
          <w:b w:val="0"/>
          <w:bCs w:val="0"/>
          <w:color w:val="auto"/>
          <w:kern w:val="0"/>
          <w:highlight w:val="none"/>
          <w:lang w:val="en-US" w:eastAsia="zh-CN"/>
        </w:rPr>
      </w:pPr>
      <w:r>
        <w:rPr>
          <w:rFonts w:hint="default" w:ascii="Calibri" w:hAnsi="Calibri" w:eastAsia="仿宋" w:cs="Calibri"/>
          <w:b w:val="0"/>
          <w:bCs w:val="0"/>
          <w:color w:val="auto"/>
          <w:kern w:val="0"/>
          <w:highlight w:val="none"/>
          <w:lang w:val="en-US" w:eastAsia="zh-CN"/>
        </w:rPr>
        <w:t>①</w:t>
      </w:r>
      <w:r>
        <w:rPr>
          <w:rFonts w:hint="eastAsia" w:ascii="仿宋" w:hAnsi="仿宋" w:eastAsia="仿宋" w:cs="仿宋"/>
          <w:b w:val="0"/>
          <w:bCs w:val="0"/>
          <w:color w:val="auto"/>
          <w:kern w:val="0"/>
          <w:highlight w:val="none"/>
          <w:lang w:val="en-US" w:eastAsia="zh-CN"/>
        </w:rPr>
        <w:t>人工造林：成活率低标准达到75%以上，高标准达到85%以上，三年后保存率低标准达到70%以上、高标准达到80%以上；</w:t>
      </w:r>
    </w:p>
    <w:p>
      <w:pPr>
        <w:pStyle w:val="2"/>
        <w:spacing w:line="360" w:lineRule="auto"/>
        <w:ind w:firstLine="720" w:firstLineChars="300"/>
        <w:rPr>
          <w:rFonts w:hint="eastAsia" w:ascii="仿宋" w:hAnsi="仿宋" w:eastAsia="仿宋" w:cs="仿宋"/>
          <w:b w:val="0"/>
          <w:bCs w:val="0"/>
          <w:color w:val="auto"/>
          <w:kern w:val="0"/>
          <w:highlight w:val="none"/>
          <w:lang w:val="en-US" w:eastAsia="zh-CN"/>
        </w:rPr>
      </w:pPr>
      <w:r>
        <w:rPr>
          <w:rFonts w:hint="default" w:ascii="仿宋" w:hAnsi="仿宋" w:eastAsia="仿宋" w:cs="仿宋"/>
          <w:b w:val="0"/>
          <w:bCs w:val="0"/>
          <w:color w:val="auto"/>
          <w:kern w:val="0"/>
          <w:highlight w:val="none"/>
          <w:lang w:val="en-US" w:eastAsia="zh-CN"/>
        </w:rPr>
        <w:t>②</w:t>
      </w:r>
      <w:r>
        <w:rPr>
          <w:rFonts w:hint="eastAsia" w:ascii="仿宋" w:hAnsi="仿宋" w:eastAsia="仿宋" w:cs="仿宋"/>
          <w:b w:val="0"/>
          <w:bCs w:val="0"/>
          <w:color w:val="auto"/>
          <w:kern w:val="0"/>
          <w:highlight w:val="none"/>
          <w:lang w:val="en-US" w:eastAsia="zh-CN"/>
        </w:rPr>
        <w:t>退化林修复：通过补植补栽等措施，改善林业生长环境，提高林木生长势、林分质量和抗自然灾害能力，协调生态、社会、经济效益，培育健康稳定、优质高效的森林生态系统。补植补栽苗木当年成活率达到70%以上。</w:t>
      </w:r>
    </w:p>
    <w:p>
      <w:pPr>
        <w:pStyle w:val="2"/>
        <w:spacing w:line="360" w:lineRule="auto"/>
        <w:ind w:firstLine="720" w:firstLineChars="300"/>
        <w:rPr>
          <w:rFonts w:hint="eastAsia" w:ascii="仿宋" w:hAnsi="仿宋" w:eastAsia="仿宋" w:cs="仿宋"/>
          <w:b w:val="0"/>
          <w:bCs w:val="0"/>
          <w:color w:val="auto"/>
          <w:kern w:val="0"/>
          <w:highlight w:val="none"/>
          <w:lang w:val="en-US" w:eastAsia="zh-CN"/>
        </w:rPr>
      </w:pPr>
      <w:r>
        <w:rPr>
          <w:rFonts w:hint="default" w:ascii="仿宋" w:hAnsi="仿宋" w:eastAsia="仿宋" w:cs="仿宋"/>
          <w:b w:val="0"/>
          <w:bCs w:val="0"/>
          <w:color w:val="auto"/>
          <w:kern w:val="0"/>
          <w:sz w:val="24"/>
          <w:szCs w:val="24"/>
          <w:highlight w:val="none"/>
          <w:lang w:val="en-US" w:eastAsia="zh-CN" w:bidi="ar-SA"/>
        </w:rPr>
        <w:t>③</w:t>
      </w:r>
      <w:r>
        <w:rPr>
          <w:rFonts w:hint="eastAsia" w:ascii="仿宋" w:hAnsi="仿宋" w:eastAsia="仿宋" w:cs="仿宋"/>
          <w:b w:val="0"/>
          <w:bCs w:val="0"/>
          <w:color w:val="auto"/>
          <w:kern w:val="0"/>
          <w:sz w:val="24"/>
          <w:szCs w:val="24"/>
          <w:highlight w:val="none"/>
          <w:lang w:val="en-US" w:eastAsia="zh-CN" w:bidi="ar-SA"/>
        </w:rPr>
        <w:t>封山育林：封育期限满后，通过封育措施提高到41%-49%，覆盖度增加10%。人工辅助育林当年成活率达到85%以上，三年后保存率达80%以上</w:t>
      </w:r>
      <w:r>
        <w:rPr>
          <w:rFonts w:hint="eastAsia" w:ascii="仿宋" w:hAnsi="仿宋" w:eastAsia="仿宋" w:cs="仿宋"/>
          <w:b w:val="0"/>
          <w:bCs w:val="0"/>
          <w:color w:val="auto"/>
          <w:kern w:val="0"/>
          <w:highlight w:val="none"/>
          <w:lang w:val="en-US" w:eastAsia="zh-CN"/>
        </w:rPr>
        <w:t>。</w:t>
      </w:r>
    </w:p>
    <w:p>
      <w:pPr>
        <w:pStyle w:val="2"/>
        <w:spacing w:line="360" w:lineRule="auto"/>
        <w:ind w:firstLine="720" w:firstLineChars="300"/>
        <w:rPr>
          <w:rFonts w:hint="default" w:ascii="仿宋" w:hAnsi="仿宋" w:eastAsia="仿宋" w:cs="仿宋"/>
          <w:b w:val="0"/>
          <w:bCs w:val="0"/>
          <w:color w:val="auto"/>
          <w:kern w:val="0"/>
          <w:highlight w:val="none"/>
          <w:lang w:val="en-US" w:eastAsia="zh-CN"/>
        </w:rPr>
      </w:pPr>
      <w:r>
        <w:rPr>
          <w:rFonts w:hint="eastAsia" w:ascii="仿宋" w:hAnsi="仿宋" w:eastAsia="仿宋" w:cs="仿宋"/>
          <w:b w:val="0"/>
          <w:bCs w:val="0"/>
          <w:color w:val="auto"/>
          <w:kern w:val="0"/>
          <w:highlight w:val="none"/>
          <w:lang w:val="en-US" w:eastAsia="zh-CN"/>
        </w:rPr>
        <w:t>④退化草地改良：通过退化草原改良，草地植被盖度明显提高;建设第二年的植被平均盖度达到 70%以上，盖度比治理前提高10%以上，鲜草产量增产50kg/亩以上。</w:t>
      </w:r>
    </w:p>
    <w:p>
      <w:pPr>
        <w:pStyle w:val="2"/>
        <w:spacing w:line="360" w:lineRule="auto"/>
        <w:ind w:firstLine="720" w:firstLineChars="300"/>
        <w:rPr>
          <w:rFonts w:hint="eastAsia" w:ascii="仿宋" w:hAnsi="仿宋" w:eastAsia="仿宋" w:cs="仿宋"/>
          <w:b w:val="0"/>
          <w:bCs w:val="0"/>
          <w:color w:val="auto"/>
          <w:kern w:val="0"/>
          <w:highlight w:val="none"/>
          <w:lang w:val="en-US" w:eastAsia="zh-CN"/>
        </w:rPr>
      </w:pPr>
      <w:r>
        <w:rPr>
          <w:rFonts w:hint="eastAsia" w:ascii="仿宋" w:hAnsi="仿宋" w:eastAsia="仿宋" w:cs="仿宋"/>
          <w:b w:val="0"/>
          <w:bCs w:val="0"/>
          <w:color w:val="auto"/>
          <w:kern w:val="0"/>
          <w:highlight w:val="none"/>
          <w:lang w:val="en-US" w:eastAsia="zh-CN"/>
        </w:rPr>
        <w:t>⑤围栏封育：通过合理利用草地,减少鲜草损失30kg/亩以上。通过围栏建设，使天然草地得到合理利用，提高草地的产出率。</w:t>
      </w:r>
    </w:p>
    <w:p>
      <w:pPr>
        <w:autoSpaceDE w:val="0"/>
        <w:autoSpaceDN w:val="0"/>
        <w:spacing w:line="360" w:lineRule="auto"/>
        <w:ind w:firstLine="843" w:firstLineChars="350"/>
        <w:jc w:val="left"/>
        <w:rPr>
          <w:rFonts w:hint="eastAsia" w:ascii="仿宋" w:hAnsi="仿宋" w:eastAsia="仿宋" w:cs="仿宋"/>
          <w:color w:val="auto"/>
          <w:kern w:val="0"/>
          <w:highlight w:val="none"/>
          <w:lang w:val="zh-CN"/>
        </w:rPr>
      </w:pPr>
      <w:r>
        <w:rPr>
          <w:rFonts w:hint="eastAsia" w:ascii="仿宋" w:hAnsi="仿宋" w:eastAsia="仿宋" w:cs="仿宋"/>
          <w:b/>
          <w:bCs/>
          <w:color w:val="auto"/>
          <w:kern w:val="0"/>
          <w:highlight w:val="none"/>
          <w:lang w:val="zh-CN"/>
        </w:rPr>
        <w:t>3.</w:t>
      </w:r>
      <w:r>
        <w:rPr>
          <w:rFonts w:hint="eastAsia" w:ascii="仿宋" w:hAnsi="仿宋" w:eastAsia="仿宋" w:cs="仿宋"/>
          <w:b/>
          <w:bCs/>
          <w:color w:val="auto"/>
          <w:kern w:val="0"/>
          <w:highlight w:val="none"/>
          <w:lang w:val="en-US" w:eastAsia="zh-CN"/>
        </w:rPr>
        <w:t>4</w:t>
      </w:r>
      <w:r>
        <w:rPr>
          <w:rFonts w:hint="eastAsia" w:ascii="仿宋" w:hAnsi="仿宋" w:eastAsia="仿宋" w:cs="仿宋"/>
          <w:b/>
          <w:bCs/>
          <w:color w:val="auto"/>
          <w:kern w:val="0"/>
          <w:highlight w:val="none"/>
          <w:lang w:val="zh-CN"/>
        </w:rPr>
        <w:t>.付款方式：</w:t>
      </w:r>
      <w:r>
        <w:rPr>
          <w:rFonts w:hint="eastAsia" w:ascii="仿宋" w:hAnsi="仿宋" w:eastAsia="仿宋" w:cs="仿宋"/>
          <w:b/>
          <w:bCs/>
          <w:color w:val="auto"/>
          <w:kern w:val="0"/>
          <w:highlight w:val="none"/>
          <w:lang w:val="en-US" w:eastAsia="zh-CN"/>
        </w:rPr>
        <w:t>签订合同时按合同约定执行</w:t>
      </w:r>
    </w:p>
    <w:p>
      <w:pPr>
        <w:pStyle w:val="2"/>
        <w:ind w:firstLine="240"/>
        <w:rPr>
          <w:rFonts w:hint="eastAsia" w:ascii="仿宋" w:hAnsi="仿宋" w:eastAsia="仿宋" w:cs="仿宋"/>
          <w:color w:val="auto"/>
          <w:kern w:val="0"/>
          <w:highlight w:val="none"/>
          <w:lang w:val="zh-CN"/>
        </w:rPr>
        <w:sectPr>
          <w:pgSz w:w="11906" w:h="16838"/>
          <w:pgMar w:top="1440" w:right="1588" w:bottom="1440" w:left="1701" w:header="851" w:footer="992" w:gutter="0"/>
          <w:pgBorders>
            <w:top w:val="none" w:sz="0" w:space="0"/>
            <w:left w:val="none" w:sz="0" w:space="0"/>
            <w:bottom w:val="none" w:sz="0" w:space="0"/>
            <w:right w:val="none" w:sz="0" w:space="0"/>
          </w:pgBorders>
          <w:cols w:space="720" w:num="1"/>
          <w:docGrid w:type="lines" w:linePitch="312" w:charSpace="0"/>
        </w:sectPr>
      </w:pPr>
    </w:p>
    <w:bookmarkEnd w:id="133"/>
    <w:p>
      <w:pPr>
        <w:numPr>
          <w:ilvl w:val="0"/>
          <w:numId w:val="10"/>
        </w:numPr>
        <w:spacing w:line="360" w:lineRule="auto"/>
        <w:jc w:val="center"/>
        <w:rPr>
          <w:rFonts w:hint="default" w:ascii="仿宋" w:hAnsi="仿宋" w:eastAsia="仿宋" w:cs="仿宋"/>
          <w:b/>
          <w:bCs/>
          <w:color w:val="auto"/>
          <w:sz w:val="36"/>
          <w:szCs w:val="32"/>
          <w:highlight w:val="none"/>
          <w:lang w:val="en-US"/>
        </w:rPr>
      </w:pPr>
      <w:r>
        <w:rPr>
          <w:rFonts w:hint="eastAsia" w:ascii="仿宋" w:hAnsi="仿宋" w:eastAsia="仿宋" w:cs="仿宋"/>
          <w:b/>
          <w:bCs/>
          <w:color w:val="auto"/>
          <w:sz w:val="36"/>
          <w:szCs w:val="32"/>
          <w:highlight w:val="none"/>
          <w:lang w:val="en-US" w:eastAsia="zh-CN"/>
        </w:rPr>
        <w:t>采购需求</w:t>
      </w:r>
      <w:r>
        <w:rPr>
          <w:rFonts w:hint="eastAsia" w:ascii="仿宋" w:hAnsi="仿宋" w:eastAsia="仿宋" w:cs="仿宋"/>
          <w:b/>
          <w:bCs/>
          <w:color w:val="auto"/>
          <w:sz w:val="36"/>
          <w:szCs w:val="32"/>
          <w:highlight w:val="none"/>
          <w:lang w:val="zh-CN"/>
        </w:rPr>
        <w:t>及</w:t>
      </w:r>
      <w:r>
        <w:rPr>
          <w:rFonts w:hint="eastAsia" w:ascii="仿宋" w:hAnsi="仿宋" w:eastAsia="仿宋" w:cs="仿宋"/>
          <w:b/>
          <w:bCs/>
          <w:color w:val="auto"/>
          <w:sz w:val="36"/>
          <w:szCs w:val="32"/>
          <w:highlight w:val="none"/>
          <w:lang w:val="en-US" w:eastAsia="zh-CN"/>
        </w:rPr>
        <w:t>服务内容</w:t>
      </w:r>
    </w:p>
    <w:p>
      <w:pPr>
        <w:pStyle w:val="2"/>
        <w:numPr>
          <w:ilvl w:val="0"/>
          <w:numId w:val="0"/>
        </w:numP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一、</w:t>
      </w:r>
      <w:r>
        <w:rPr>
          <w:rFonts w:hint="eastAsia" w:ascii="仿宋" w:hAnsi="仿宋" w:eastAsia="仿宋" w:cs="仿宋"/>
          <w:b/>
          <w:bCs/>
          <w:color w:val="auto"/>
          <w:sz w:val="21"/>
          <w:szCs w:val="21"/>
        </w:rPr>
        <w:t>标段划分情况</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人工造林</w:t>
      </w:r>
    </w:p>
    <w:tbl>
      <w:tblPr>
        <w:tblStyle w:val="22"/>
        <w:tblW w:w="13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973"/>
        <w:gridCol w:w="1539"/>
        <w:gridCol w:w="3696"/>
        <w:gridCol w:w="2181"/>
        <w:gridCol w:w="1378"/>
        <w:gridCol w:w="1036"/>
        <w:gridCol w:w="818"/>
        <w:gridCol w:w="1364"/>
        <w:gridCol w:w="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乡镇（场）</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造林面积（亩）</w:t>
            </w:r>
          </w:p>
        </w:tc>
        <w:tc>
          <w:tcPr>
            <w:tcW w:w="36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造林树种</w:t>
            </w:r>
          </w:p>
        </w:tc>
        <w:tc>
          <w:tcPr>
            <w:tcW w:w="218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种苗量（株）</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整地方式</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整地</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栽植</w:t>
            </w:r>
          </w:p>
        </w:tc>
        <w:tc>
          <w:tcPr>
            <w:tcW w:w="1364" w:type="dxa"/>
            <w:vMerge w:val="restart"/>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网围栏运输及安装（米）</w:t>
            </w:r>
          </w:p>
        </w:tc>
        <w:tc>
          <w:tcPr>
            <w:tcW w:w="5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18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64" w:type="dxa"/>
            <w:vMerge w:val="continue"/>
            <w:tcBorders>
              <w:top w:val="single" w:color="000000" w:sz="4" w:space="0"/>
              <w:left w:val="nil"/>
              <w:bottom w:val="single" w:color="000000" w:sz="4" w:space="0"/>
              <w:right w:val="nil"/>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45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1536.0 </w:t>
            </w:r>
          </w:p>
        </w:tc>
        <w:tc>
          <w:tcPr>
            <w:tcW w:w="36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169625</w:t>
            </w:r>
          </w:p>
        </w:tc>
        <w:tc>
          <w:tcPr>
            <w:tcW w:w="137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7606</w:t>
            </w:r>
          </w:p>
        </w:tc>
        <w:tc>
          <w:tcPr>
            <w:tcW w:w="50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5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3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9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青海云杉≧120cm</w:t>
            </w:r>
          </w:p>
        </w:tc>
        <w:tc>
          <w:tcPr>
            <w:tcW w:w="218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22375</w:t>
            </w:r>
          </w:p>
        </w:tc>
        <w:tc>
          <w:tcPr>
            <w:tcW w:w="137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1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4"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0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1219.0 </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152375</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3260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45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1052.0 </w:t>
            </w:r>
          </w:p>
        </w:tc>
        <w:tc>
          <w:tcPr>
            <w:tcW w:w="36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85000</w:t>
            </w:r>
          </w:p>
        </w:tc>
        <w:tc>
          <w:tcPr>
            <w:tcW w:w="137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4420</w:t>
            </w:r>
          </w:p>
        </w:tc>
        <w:tc>
          <w:tcPr>
            <w:tcW w:w="50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45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3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9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青海云杉≧120cm</w:t>
            </w:r>
          </w:p>
        </w:tc>
        <w:tc>
          <w:tcPr>
            <w:tcW w:w="218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46500</w:t>
            </w:r>
          </w:p>
        </w:tc>
        <w:tc>
          <w:tcPr>
            <w:tcW w:w="137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1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4"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0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45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1257.0 </w:t>
            </w:r>
          </w:p>
        </w:tc>
        <w:tc>
          <w:tcPr>
            <w:tcW w:w="36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104750</w:t>
            </w:r>
          </w:p>
        </w:tc>
        <w:tc>
          <w:tcPr>
            <w:tcW w:w="137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4888</w:t>
            </w:r>
          </w:p>
        </w:tc>
        <w:tc>
          <w:tcPr>
            <w:tcW w:w="50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45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3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9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祁连圆柏≧50cm</w:t>
            </w:r>
          </w:p>
        </w:tc>
        <w:tc>
          <w:tcPr>
            <w:tcW w:w="218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52375</w:t>
            </w:r>
          </w:p>
        </w:tc>
        <w:tc>
          <w:tcPr>
            <w:tcW w:w="1378"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鱼鳞坑</w:t>
            </w:r>
          </w:p>
        </w:tc>
        <w:tc>
          <w:tcPr>
            <w:tcW w:w="1036"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1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4"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0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 w:hRule="atLeast"/>
        </w:trPr>
        <w:tc>
          <w:tcPr>
            <w:tcW w:w="45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1330.0 </w:t>
            </w:r>
          </w:p>
        </w:tc>
        <w:tc>
          <w:tcPr>
            <w:tcW w:w="36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158000</w:t>
            </w:r>
          </w:p>
        </w:tc>
        <w:tc>
          <w:tcPr>
            <w:tcW w:w="1378"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2091</w:t>
            </w:r>
          </w:p>
        </w:tc>
        <w:tc>
          <w:tcPr>
            <w:tcW w:w="50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8"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3"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3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96" w:type="dxa"/>
            <w:tcBorders>
              <w:top w:val="single" w:color="auto" w:sz="4" w:space="0"/>
              <w:left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青海云杉≧150cm</w:t>
            </w:r>
          </w:p>
        </w:tc>
        <w:tc>
          <w:tcPr>
            <w:tcW w:w="2181" w:type="dxa"/>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1924</w:t>
            </w:r>
          </w:p>
        </w:tc>
        <w:tc>
          <w:tcPr>
            <w:tcW w:w="137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18"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0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45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3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9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祁连圆柏≧150cm</w:t>
            </w:r>
          </w:p>
        </w:tc>
        <w:tc>
          <w:tcPr>
            <w:tcW w:w="218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2960</w:t>
            </w:r>
          </w:p>
        </w:tc>
        <w:tc>
          <w:tcPr>
            <w:tcW w:w="1378"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鱼鳞坑</w:t>
            </w:r>
          </w:p>
        </w:tc>
        <w:tc>
          <w:tcPr>
            <w:tcW w:w="1036"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18"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0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589.0 </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青海云杉≧120cm</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73625.0 </w:t>
            </w:r>
          </w:p>
        </w:tc>
        <w:tc>
          <w:tcPr>
            <w:tcW w:w="1378"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2809</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725.0 </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青海云杉≧120cm</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90625.0 </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45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7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733.0 </w:t>
            </w:r>
          </w:p>
        </w:tc>
        <w:tc>
          <w:tcPr>
            <w:tcW w:w="3696"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53250 </w:t>
            </w:r>
          </w:p>
        </w:tc>
        <w:tc>
          <w:tcPr>
            <w:tcW w:w="137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0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58"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73"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39"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696" w:type="dxa"/>
            <w:tcBorders>
              <w:top w:val="single" w:color="auto" w:sz="4" w:space="0"/>
              <w:left w:val="single" w:color="000000" w:sz="4" w:space="0"/>
              <w:bottom w:val="single" w:color="auto"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青海云杉≧120cm</w:t>
            </w:r>
          </w:p>
        </w:tc>
        <w:tc>
          <w:tcPr>
            <w:tcW w:w="2181" w:type="dxa"/>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38375</w:t>
            </w:r>
          </w:p>
        </w:tc>
        <w:tc>
          <w:tcPr>
            <w:tcW w:w="137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18"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4" w:type="dxa"/>
            <w:vMerge w:val="continue"/>
            <w:tcBorders>
              <w:left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50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1847.0 </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青海云杉≧50cm</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230875.0 </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4729</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1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562.0 </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青海云杉≧120cm</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70250.0 </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穴状</w:t>
            </w:r>
          </w:p>
        </w:tc>
        <w:tc>
          <w:tcPr>
            <w:tcW w:w="10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2600</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r>
    </w:tbl>
    <w:p>
      <w:pPr>
        <w:rPr>
          <w:rFonts w:hint="eastAsia"/>
          <w:lang w:val="en-US" w:eastAsia="zh-CN"/>
        </w:rPr>
      </w:pPr>
    </w:p>
    <w:tbl>
      <w:tblPr>
        <w:tblStyle w:val="22"/>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835"/>
        <w:gridCol w:w="1835"/>
        <w:gridCol w:w="6097"/>
        <w:gridCol w:w="1788"/>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乡镇（场）</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60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数量（米）</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60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青林乡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网围栏</w:t>
            </w:r>
          </w:p>
        </w:tc>
        <w:tc>
          <w:tcPr>
            <w:tcW w:w="6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网片34203米，角铁大立柱34个，角铁中立柱85个，角铁小立柱3421个，支撑杆119个，地锚119个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34203米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r>
    </w:tbl>
    <w:p>
      <w:pPr>
        <w:pStyle w:val="2"/>
        <w:numPr>
          <w:ilvl w:val="0"/>
          <w:numId w:val="1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标段划分情况</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退化林修复</w:t>
      </w:r>
    </w:p>
    <w:tbl>
      <w:tblPr>
        <w:tblStyle w:val="22"/>
        <w:tblW w:w="14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1878"/>
        <w:gridCol w:w="1118"/>
        <w:gridCol w:w="2768"/>
        <w:gridCol w:w="1445"/>
        <w:gridCol w:w="1855"/>
        <w:gridCol w:w="723"/>
        <w:gridCol w:w="1203"/>
        <w:gridCol w:w="972"/>
        <w:gridCol w:w="1187"/>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乡镇（场）</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改造面积（亩）</w:t>
            </w:r>
          </w:p>
        </w:tc>
        <w:tc>
          <w:tcPr>
            <w:tcW w:w="27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补造树种规格</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种苗量（株）</w:t>
            </w: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整地方式、规格</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整地</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栽植</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病虫害防治</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标段</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27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宝库乡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1000.0 </w:t>
            </w:r>
          </w:p>
        </w:tc>
        <w:tc>
          <w:tcPr>
            <w:tcW w:w="2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青海云杉≧</w:t>
            </w:r>
            <w:r>
              <w:rPr>
                <w:rStyle w:val="46"/>
                <w:rFonts w:hint="eastAsia" w:ascii="仿宋" w:hAnsi="仿宋" w:eastAsia="仿宋" w:cs="仿宋"/>
                <w:sz w:val="24"/>
                <w:szCs w:val="24"/>
                <w:lang w:val="en-US" w:eastAsia="zh-CN" w:bidi="ar"/>
              </w:rPr>
              <w:t>80cm以上</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64000.0 </w:t>
            </w:r>
          </w:p>
        </w:tc>
        <w:tc>
          <w:tcPr>
            <w:tcW w:w="1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穴状、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w:t>
            </w:r>
            <w:r>
              <w:rPr>
                <w:rStyle w:val="46"/>
                <w:rFonts w:hint="eastAsia" w:ascii="仿宋" w:hAnsi="仿宋" w:eastAsia="仿宋" w:cs="仿宋"/>
                <w:sz w:val="24"/>
                <w:szCs w:val="24"/>
                <w:lang w:val="en-US" w:eastAsia="zh-CN" w:bidi="ar"/>
              </w:rPr>
              <w:t>50cm</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东峡镇</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960.0 </w:t>
            </w:r>
          </w:p>
        </w:tc>
        <w:tc>
          <w:tcPr>
            <w:tcW w:w="2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青海云杉≧</w:t>
            </w:r>
            <w:r>
              <w:rPr>
                <w:rStyle w:val="46"/>
                <w:rFonts w:hint="eastAsia" w:ascii="仿宋" w:hAnsi="仿宋" w:eastAsia="仿宋" w:cs="仿宋"/>
                <w:sz w:val="24"/>
                <w:szCs w:val="24"/>
                <w:lang w:val="en-US" w:eastAsia="zh-CN" w:bidi="ar"/>
              </w:rPr>
              <w:t>80cm以上</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69148.0 </w:t>
            </w:r>
          </w:p>
        </w:tc>
        <w:tc>
          <w:tcPr>
            <w:tcW w:w="1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穴状、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w:t>
            </w:r>
            <w:r>
              <w:rPr>
                <w:rStyle w:val="46"/>
                <w:rFonts w:hint="eastAsia" w:ascii="仿宋" w:hAnsi="仿宋" w:eastAsia="仿宋" w:cs="仿宋"/>
                <w:sz w:val="24"/>
                <w:szCs w:val="24"/>
                <w:lang w:val="en-US" w:eastAsia="zh-CN" w:bidi="ar"/>
              </w:rPr>
              <w:t>50cm</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桦林乡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1000.0 </w:t>
            </w:r>
          </w:p>
        </w:tc>
        <w:tc>
          <w:tcPr>
            <w:tcW w:w="2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青海云杉≧</w:t>
            </w:r>
            <w:r>
              <w:rPr>
                <w:rStyle w:val="46"/>
                <w:rFonts w:hint="eastAsia" w:ascii="仿宋" w:hAnsi="仿宋" w:eastAsia="仿宋" w:cs="仿宋"/>
                <w:sz w:val="24"/>
                <w:szCs w:val="24"/>
                <w:lang w:val="en-US" w:eastAsia="zh-CN" w:bidi="ar"/>
              </w:rPr>
              <w:t>80cm以上</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64538.0 </w:t>
            </w:r>
          </w:p>
        </w:tc>
        <w:tc>
          <w:tcPr>
            <w:tcW w:w="1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穴状、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w:t>
            </w:r>
            <w:r>
              <w:rPr>
                <w:rStyle w:val="46"/>
                <w:rFonts w:hint="eastAsia" w:ascii="仿宋" w:hAnsi="仿宋" w:eastAsia="仿宋" w:cs="仿宋"/>
                <w:sz w:val="24"/>
                <w:szCs w:val="24"/>
                <w:lang w:val="en-US" w:eastAsia="zh-CN" w:bidi="ar"/>
              </w:rPr>
              <w:t>50cm</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景阳镇、良教乡、青林乡、极乐乡</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1040.0 </w:t>
            </w:r>
          </w:p>
        </w:tc>
        <w:tc>
          <w:tcPr>
            <w:tcW w:w="2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青海云杉≧</w:t>
            </w:r>
            <w:r>
              <w:rPr>
                <w:rStyle w:val="46"/>
                <w:rFonts w:hint="eastAsia" w:ascii="仿宋" w:hAnsi="仿宋" w:eastAsia="仿宋" w:cs="仿宋"/>
                <w:sz w:val="24"/>
                <w:szCs w:val="24"/>
                <w:lang w:val="en-US" w:eastAsia="zh-CN" w:bidi="ar"/>
              </w:rPr>
              <w:t>80cm以上</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72102.0 </w:t>
            </w:r>
          </w:p>
        </w:tc>
        <w:tc>
          <w:tcPr>
            <w:tcW w:w="1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穴状、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w:t>
            </w:r>
            <w:r>
              <w:rPr>
                <w:rStyle w:val="46"/>
                <w:rFonts w:hint="eastAsia" w:ascii="仿宋" w:hAnsi="仿宋" w:eastAsia="仿宋" w:cs="仿宋"/>
                <w:sz w:val="24"/>
                <w:szCs w:val="24"/>
                <w:lang w:val="en-US" w:eastAsia="zh-CN" w:bidi="ar"/>
              </w:rPr>
              <w:t>50cm</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2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pPr>
        <w:pStyle w:val="2"/>
        <w:numPr>
          <w:ilvl w:val="0"/>
          <w:numId w:val="1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标段划分情况</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封山育林</w:t>
      </w:r>
    </w:p>
    <w:tbl>
      <w:tblPr>
        <w:tblStyle w:val="22"/>
        <w:tblW w:w="145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1"/>
        <w:gridCol w:w="1245"/>
        <w:gridCol w:w="1486"/>
        <w:gridCol w:w="3873"/>
        <w:gridCol w:w="1310"/>
        <w:gridCol w:w="1577"/>
        <w:gridCol w:w="1245"/>
        <w:gridCol w:w="1525"/>
        <w:gridCol w:w="784"/>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乡镇（场）</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辅助育林面积（亩）</w:t>
            </w:r>
          </w:p>
        </w:tc>
        <w:tc>
          <w:tcPr>
            <w:tcW w:w="3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补造树种规格</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种苗量（株）</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整地方式、规格</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整地</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栽植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标段</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3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宝库乡</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715.0 </w:t>
            </w:r>
          </w:p>
        </w:tc>
        <w:tc>
          <w:tcPr>
            <w:tcW w:w="3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青海云杉苗高≧80cm以上</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119405.0 </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穴状、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50cm×50cm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东峡镇</w:t>
            </w:r>
          </w:p>
        </w:tc>
        <w:tc>
          <w:tcPr>
            <w:tcW w:w="1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785.0 </w:t>
            </w:r>
          </w:p>
        </w:tc>
        <w:tc>
          <w:tcPr>
            <w:tcW w:w="3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青海云杉苗高≧80cm以上</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131095.0 </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穴状、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50cm×50cm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 </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pPr>
        <w:rPr>
          <w:rFonts w:hint="eastAsia"/>
          <w:lang w:val="en-US" w:eastAsia="zh-CN"/>
        </w:rPr>
      </w:pPr>
    </w:p>
    <w:tbl>
      <w:tblPr>
        <w:tblStyle w:val="22"/>
        <w:tblW w:w="1452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0"/>
        <w:gridCol w:w="1484"/>
        <w:gridCol w:w="1129"/>
        <w:gridCol w:w="6082"/>
        <w:gridCol w:w="1432"/>
        <w:gridCol w:w="1513"/>
        <w:gridCol w:w="1118"/>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3" w:hRule="atLeast"/>
        </w:trPr>
        <w:tc>
          <w:tcPr>
            <w:tcW w:w="630"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484"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乡镇（场）</w:t>
            </w:r>
          </w:p>
        </w:tc>
        <w:tc>
          <w:tcPr>
            <w:tcW w:w="1129"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名称</w:t>
            </w:r>
          </w:p>
        </w:tc>
        <w:tc>
          <w:tcPr>
            <w:tcW w:w="608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143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数量（米）</w:t>
            </w:r>
          </w:p>
        </w:tc>
        <w:tc>
          <w:tcPr>
            <w:tcW w:w="1513" w:type="dxa"/>
            <w:vMerge w:val="restar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安装及运输</w:t>
            </w:r>
          </w:p>
        </w:tc>
        <w:tc>
          <w:tcPr>
            <w:tcW w:w="1118"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标段</w:t>
            </w:r>
          </w:p>
        </w:tc>
        <w:tc>
          <w:tcPr>
            <w:tcW w:w="113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630"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84"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29"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08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3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13" w:type="dxa"/>
            <w:vMerge w:val="continue"/>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18"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32" w:type="dxa"/>
            <w:vMerge w:val="continue"/>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630"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484"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青林乡</w:t>
            </w:r>
          </w:p>
        </w:tc>
        <w:tc>
          <w:tcPr>
            <w:tcW w:w="1129"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网围栏</w:t>
            </w:r>
          </w:p>
        </w:tc>
        <w:tc>
          <w:tcPr>
            <w:tcW w:w="608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网片114577米，角铁大立柱114个，角铁中立柱286个，角铁小立柱11458个，支撑杆800个，地锚800个</w:t>
            </w:r>
          </w:p>
        </w:tc>
        <w:tc>
          <w:tcPr>
            <w:tcW w:w="143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114577米</w:t>
            </w:r>
          </w:p>
        </w:tc>
        <w:tc>
          <w:tcPr>
            <w:tcW w:w="1513"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118"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13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rPr>
          <w:rFonts w:hint="eastAsia" w:ascii="仿宋" w:hAnsi="仿宋" w:eastAsia="仿宋" w:cs="仿宋"/>
          <w:b/>
          <w:bCs/>
          <w:color w:val="auto"/>
          <w:sz w:val="21"/>
          <w:szCs w:val="21"/>
          <w:lang w:val="en-US" w:eastAsia="zh-CN"/>
        </w:rPr>
      </w:pPr>
    </w:p>
    <w:p>
      <w:pPr>
        <w:pStyle w:val="2"/>
        <w:numPr>
          <w:ilvl w:val="0"/>
          <w:numId w:val="1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标段划分情况</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退化草地改良及草原围栏封育</w:t>
      </w:r>
    </w:p>
    <w:tbl>
      <w:tblPr>
        <w:tblStyle w:val="22"/>
        <w:tblW w:w="142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020"/>
        <w:gridCol w:w="1241"/>
        <w:gridCol w:w="4126"/>
        <w:gridCol w:w="1428"/>
        <w:gridCol w:w="921"/>
        <w:gridCol w:w="2249"/>
        <w:gridCol w:w="1172"/>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乡镇（场）</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种草面积（亩）</w:t>
            </w:r>
          </w:p>
        </w:tc>
        <w:tc>
          <w:tcPr>
            <w:tcW w:w="41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种子名称</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数量（公斤）</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种植</w:t>
            </w:r>
          </w:p>
        </w:tc>
        <w:tc>
          <w:tcPr>
            <w:tcW w:w="2249" w:type="dxa"/>
            <w:vMerge w:val="restart"/>
            <w:tcBorders>
              <w:top w:val="single" w:color="000000" w:sz="4" w:space="0"/>
              <w:left w:val="nil"/>
              <w:bottom w:val="single" w:color="000000" w:sz="4" w:space="0"/>
              <w:right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有机肥（公斤）</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标段</w:t>
            </w:r>
          </w:p>
        </w:tc>
        <w:tc>
          <w:tcPr>
            <w:tcW w:w="1351"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41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2249" w:type="dxa"/>
            <w:vMerge w:val="continue"/>
            <w:tcBorders>
              <w:top w:val="single" w:color="000000" w:sz="4" w:space="0"/>
              <w:left w:val="nil"/>
              <w:bottom w:val="single" w:color="000000" w:sz="4" w:space="0"/>
              <w:right w:val="nil"/>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c>
          <w:tcPr>
            <w:tcW w:w="1351" w:type="dxa"/>
            <w:vMerge w:val="continue"/>
            <w:tcBorders>
              <w:top w:val="single" w:color="000000" w:sz="4" w:space="0"/>
              <w:left w:val="nil"/>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宝库乡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9622.0 </w:t>
            </w: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垂穗披碱草</w:t>
            </w:r>
          </w:p>
        </w:tc>
        <w:tc>
          <w:tcPr>
            <w:tcW w:w="142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9140.90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336770</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351" w:type="dxa"/>
            <w:vMerge w:val="restart"/>
            <w:tcBorders>
              <w:top w:val="single" w:color="000000" w:sz="4" w:space="0"/>
              <w:left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青海中华羊茅</w:t>
            </w:r>
          </w:p>
        </w:tc>
        <w:tc>
          <w:tcPr>
            <w:tcW w:w="142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2886.60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青海冷地早熟禾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1924.40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2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宝库乡</w:t>
            </w:r>
          </w:p>
        </w:tc>
        <w:tc>
          <w:tcPr>
            <w:tcW w:w="124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6237.0 </w:t>
            </w: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垂穗披碱草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5925.15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218295</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351"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continue"/>
            <w:tcBorders>
              <w:top w:val="nil"/>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青海中华羊茅</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1871.10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continue"/>
            <w:tcBorders>
              <w:top w:val="nil"/>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青海冷地早熟禾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1247.40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restar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2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宝库乡</w:t>
            </w:r>
          </w:p>
        </w:tc>
        <w:tc>
          <w:tcPr>
            <w:tcW w:w="124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9101.0 </w:t>
            </w: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垂穗披碱草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8645.95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318535</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351"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continue"/>
            <w:tcBorders>
              <w:top w:val="nil"/>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青海中华羊茅</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2730.30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40" w:type="dxa"/>
            <w:vMerge w:val="continue"/>
            <w:tcBorders>
              <w:top w:val="nil"/>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青海冷地早熟禾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1820.20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宝库乡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8731.0 </w:t>
            </w: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垂穗披碱草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8294.45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305585</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351"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青海中华羊茅</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2619.30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青海冷地早熟禾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1746.20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宝库乡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6309.0 </w:t>
            </w: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垂穗披碱草</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5993.55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220815</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351"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青海中华羊茅</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1892.70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仿宋" w:hAnsi="仿宋" w:eastAsia="仿宋" w:cs="仿宋"/>
                <w:i w:val="0"/>
                <w:iCs w:val="0"/>
                <w:color w:val="000000"/>
                <w:sz w:val="21"/>
                <w:szCs w:val="21"/>
                <w:u w:val="none"/>
              </w:rPr>
            </w:pPr>
          </w:p>
        </w:tc>
        <w:tc>
          <w:tcPr>
            <w:tcW w:w="4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青海冷地早熟禾</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1261.80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40" w:lineRule="auto"/>
              <w:jc w:val="center"/>
              <w:rPr>
                <w:rFonts w:hint="eastAsia" w:ascii="仿宋" w:hAnsi="仿宋" w:eastAsia="仿宋" w:cs="仿宋"/>
                <w:i w:val="0"/>
                <w:iCs w:val="0"/>
                <w:color w:val="000000"/>
                <w:sz w:val="21"/>
                <w:szCs w:val="21"/>
                <w:u w:val="none"/>
              </w:rPr>
            </w:pPr>
          </w:p>
        </w:tc>
        <w:tc>
          <w:tcPr>
            <w:tcW w:w="1351"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p>
        </w:tc>
      </w:tr>
    </w:tbl>
    <w:p>
      <w:pPr>
        <w:pStyle w:val="2"/>
        <w:rPr>
          <w:rFonts w:hint="eastAsia" w:ascii="仿宋" w:hAnsi="仿宋" w:eastAsia="仿宋" w:cs="仿宋"/>
          <w:b/>
          <w:bCs/>
          <w:color w:val="auto"/>
          <w:sz w:val="21"/>
          <w:szCs w:val="21"/>
          <w:lang w:val="en-US" w:eastAsia="zh-CN"/>
        </w:rPr>
      </w:pPr>
    </w:p>
    <w:tbl>
      <w:tblPr>
        <w:tblStyle w:val="22"/>
        <w:tblW w:w="14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79"/>
        <w:gridCol w:w="1139"/>
        <w:gridCol w:w="1140"/>
        <w:gridCol w:w="6169"/>
        <w:gridCol w:w="1104"/>
        <w:gridCol w:w="1896"/>
        <w:gridCol w:w="1091"/>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8" w:hRule="atLeast"/>
        </w:trPr>
        <w:tc>
          <w:tcPr>
            <w:tcW w:w="479"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1139"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乡镇（场）</w:t>
            </w:r>
          </w:p>
        </w:tc>
        <w:tc>
          <w:tcPr>
            <w:tcW w:w="1140"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名称</w:t>
            </w:r>
          </w:p>
        </w:tc>
        <w:tc>
          <w:tcPr>
            <w:tcW w:w="6169"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w:t>
            </w:r>
          </w:p>
        </w:tc>
        <w:tc>
          <w:tcPr>
            <w:tcW w:w="1104"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数量（米）</w:t>
            </w:r>
          </w:p>
        </w:tc>
        <w:tc>
          <w:tcPr>
            <w:tcW w:w="1896" w:type="dxa"/>
            <w:vMerge w:val="restart"/>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安装及运输</w:t>
            </w:r>
          </w:p>
        </w:tc>
        <w:tc>
          <w:tcPr>
            <w:tcW w:w="1091"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标段</w:t>
            </w:r>
          </w:p>
        </w:tc>
        <w:tc>
          <w:tcPr>
            <w:tcW w:w="1227" w:type="dxa"/>
            <w:vMerge w:val="restart"/>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8" w:hRule="atLeast"/>
        </w:trPr>
        <w:tc>
          <w:tcPr>
            <w:tcW w:w="479"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39"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40"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6169"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04"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896" w:type="dxa"/>
            <w:vMerge w:val="continue"/>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91"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27" w:type="dxa"/>
            <w:vMerge w:val="continue"/>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8" w:hRule="atLeast"/>
        </w:trPr>
        <w:tc>
          <w:tcPr>
            <w:tcW w:w="479"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39"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省牛场</w:t>
            </w:r>
          </w:p>
        </w:tc>
        <w:tc>
          <w:tcPr>
            <w:tcW w:w="1140"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草原围栏</w:t>
            </w:r>
          </w:p>
        </w:tc>
        <w:tc>
          <w:tcPr>
            <w:tcW w:w="6169"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网片25504米，角铁大立柱25个，角铁中立柱64个，角铁小立柱2550个，支撑杆89个，地锚89个</w:t>
            </w:r>
          </w:p>
        </w:tc>
        <w:tc>
          <w:tcPr>
            <w:tcW w:w="1104"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25504米</w:t>
            </w:r>
          </w:p>
        </w:tc>
        <w:tc>
          <w:tcPr>
            <w:tcW w:w="1896"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091"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227"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79"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39"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省牛场</w:t>
            </w:r>
          </w:p>
        </w:tc>
        <w:tc>
          <w:tcPr>
            <w:tcW w:w="1140"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草原围栏</w:t>
            </w:r>
          </w:p>
        </w:tc>
        <w:tc>
          <w:tcPr>
            <w:tcW w:w="6169"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网片30882米，角铁大立柱31个，角铁中立柱77个，角铁小立柱3088个，支撑杆108个，地锚108个</w:t>
            </w:r>
          </w:p>
        </w:tc>
        <w:tc>
          <w:tcPr>
            <w:tcW w:w="1104"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30882米</w:t>
            </w:r>
          </w:p>
        </w:tc>
        <w:tc>
          <w:tcPr>
            <w:tcW w:w="1896"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091"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25 </w:t>
            </w:r>
          </w:p>
        </w:tc>
        <w:tc>
          <w:tcPr>
            <w:tcW w:w="1227" w:type="dxa"/>
            <w:tcBorders>
              <w:tl2br w:val="nil"/>
              <w:tr2bl w:val="nil"/>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79"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39"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省牛场</w:t>
            </w:r>
          </w:p>
        </w:tc>
        <w:tc>
          <w:tcPr>
            <w:tcW w:w="1140"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草原围栏</w:t>
            </w:r>
          </w:p>
        </w:tc>
        <w:tc>
          <w:tcPr>
            <w:tcW w:w="6169"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网片43614米，角铁大立柱44个，角铁中立柱109个，角铁小立柱4362个，支撑杆153个，地锚153个</w:t>
            </w:r>
          </w:p>
        </w:tc>
        <w:tc>
          <w:tcPr>
            <w:tcW w:w="1104"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43614米</w:t>
            </w:r>
          </w:p>
        </w:tc>
        <w:tc>
          <w:tcPr>
            <w:tcW w:w="1896"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091"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227" w:type="dxa"/>
            <w:tcBorders>
              <w:tl2br w:val="nil"/>
              <w:tr2bl w:val="nil"/>
            </w:tcBorders>
            <w:shd w:val="clear" w:color="auto" w:fill="FFFFFF"/>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p>
        </w:tc>
      </w:tr>
    </w:tbl>
    <w:p>
      <w:pPr>
        <w:pStyle w:val="2"/>
        <w:ind w:left="0" w:leftChars="0" w:firstLine="0" w:firstLineChars="0"/>
        <w:rPr>
          <w:rFonts w:hint="eastAsia" w:ascii="仿宋" w:hAnsi="仿宋" w:eastAsia="仿宋" w:cs="仿宋"/>
          <w:b/>
          <w:bCs/>
          <w:color w:val="auto"/>
          <w:sz w:val="21"/>
          <w:szCs w:val="21"/>
          <w:lang w:val="en-US" w:eastAsia="zh-CN"/>
        </w:rPr>
        <w:sectPr>
          <w:headerReference r:id="rId8" w:type="default"/>
          <w:footerReference r:id="rId9" w:type="default"/>
          <w:footerReference r:id="rId10" w:type="even"/>
          <w:pgSz w:w="16838" w:h="11905"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31" w:charSpace="0"/>
        </w:sect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服务内容</w:t>
      </w:r>
    </w:p>
    <w:p>
      <w:pPr>
        <w:pStyle w:val="2"/>
        <w:numPr>
          <w:ilvl w:val="0"/>
          <w:numId w:val="0"/>
        </w:numPr>
        <w:rPr>
          <w:rFonts w:hint="eastAsia" w:ascii="仿宋" w:hAnsi="仿宋" w:eastAsia="仿宋" w:cs="仿宋"/>
          <w:b/>
          <w:bCs/>
          <w:kern w:val="2"/>
          <w:sz w:val="32"/>
          <w:szCs w:val="32"/>
          <w:lang w:val="en-US" w:eastAsia="zh-CN" w:bidi="ar-SA"/>
        </w:rPr>
      </w:pPr>
    </w:p>
    <w:p>
      <w:pPr>
        <w:pStyle w:val="2"/>
        <w:numPr>
          <w:ilvl w:val="0"/>
          <w:numId w:val="0"/>
        </w:numPr>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一、标段划分情况——人工造林</w:t>
      </w:r>
    </w:p>
    <w:p>
      <w:pPr>
        <w:rPr>
          <w:rFonts w:hint="eastAsia" w:ascii="仿宋" w:hAnsi="仿宋" w:eastAsia="仿宋" w:cs="仿宋"/>
          <w:b/>
          <w:bCs/>
          <w:color w:val="auto"/>
          <w:sz w:val="21"/>
          <w:szCs w:val="21"/>
          <w:lang w:val="en-US" w:eastAsia="zh-CN"/>
        </w:rPr>
      </w:pP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人工造林建设任务</w:t>
      </w:r>
    </w:p>
    <w:p>
      <w:pPr>
        <w:pStyle w:val="13"/>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项目建设任务：人工造林面积共10850.0亩。</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人工造林建设布局</w:t>
      </w:r>
    </w:p>
    <w:p>
      <w:pPr>
        <w:pStyle w:val="2"/>
        <w:spacing w:line="480" w:lineRule="auto"/>
        <w:ind w:left="0" w:leftChars="0" w:firstLine="560" w:firstLineChars="200"/>
        <w:rPr>
          <w:rFonts w:hint="default"/>
          <w:lang w:val="en-US" w:eastAsia="zh-CN"/>
        </w:rPr>
      </w:pPr>
      <w:r>
        <w:rPr>
          <w:rFonts w:hint="eastAsia" w:ascii="仿宋" w:hAnsi="仿宋" w:eastAsia="仿宋" w:cs="仿宋"/>
          <w:bCs/>
          <w:sz w:val="28"/>
          <w:szCs w:val="28"/>
          <w:lang w:val="en-US" w:eastAsia="zh-CN"/>
        </w:rPr>
        <w:t>人工造林面积10850.0亩，位于</w:t>
      </w:r>
      <w:r>
        <w:rPr>
          <w:rFonts w:hint="eastAsia" w:ascii="仿宋" w:hAnsi="仿宋" w:eastAsia="仿宋" w:cs="仿宋"/>
          <w:bCs/>
          <w:color w:val="auto"/>
          <w:sz w:val="28"/>
          <w:szCs w:val="28"/>
          <w:lang w:val="en-US" w:eastAsia="zh-CN"/>
        </w:rPr>
        <w:t>青林乡、宝库乡、黄家寨镇、青山乡、桦林乡</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区划48个人工造林作业小班。分别位于3林班7小班；7林班1、6、19、20小班；2林班10小班；10林班1小班；11林班18、19、50小班；4林班20小班；94林班小30班；321林班3、6、9、12、22小班；42林班10、23小班；263林班1、2小班；272林班3、4、9、10、15小班；273林班11、14、22、26、29小班；266林班4、</w:t>
      </w:r>
      <w:r>
        <w:rPr>
          <w:rFonts w:hint="eastAsia" w:ascii="仿宋" w:hAnsi="仿宋" w:eastAsia="仿宋" w:cs="仿宋"/>
          <w:bCs/>
          <w:sz w:val="28"/>
          <w:szCs w:val="28"/>
          <w:lang w:val="en-US" w:eastAsia="zh-CN"/>
        </w:rPr>
        <w:t>7小班；268林班9小班。</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43" w:name="_Toc2909"/>
      <w:bookmarkStart w:id="144" w:name="_Toc36675121"/>
      <w:r>
        <w:rPr>
          <w:rFonts w:hint="eastAsia" w:ascii="仿宋" w:hAnsi="仿宋" w:eastAsia="仿宋" w:cs="仿宋"/>
          <w:b/>
          <w:bCs/>
          <w:lang w:val="en-US" w:eastAsia="zh-CN"/>
        </w:rPr>
        <w:t>人工造林技术方案</w:t>
      </w:r>
      <w:bookmarkEnd w:id="143"/>
      <w:bookmarkEnd w:id="144"/>
    </w:p>
    <w:p>
      <w:pPr>
        <w:pStyle w:val="8"/>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树种选择、苗木规格</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1．树种选择</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以乡土树种为主，做到“适地适树”。所选树种具有抗旱抗寒、耐盐碱、耐瘠薄、苗源充足。根据各树种特性和造林实践经验，人工造林地属于阳坡、半阳坡、</w:t>
      </w:r>
      <w:bookmarkStart w:id="145" w:name="_Hlk68519903"/>
      <w:r>
        <w:rPr>
          <w:rFonts w:hint="eastAsia" w:ascii="仿宋" w:hAnsi="仿宋" w:eastAsia="仿宋" w:cs="仿宋"/>
          <w:bCs/>
          <w:sz w:val="28"/>
          <w:szCs w:val="28"/>
          <w:lang w:val="en-US" w:eastAsia="zh-CN"/>
        </w:rPr>
        <w:t>半阴坡、阴坡</w:t>
      </w:r>
      <w:bookmarkEnd w:id="145"/>
      <w:r>
        <w:rPr>
          <w:rFonts w:hint="eastAsia" w:ascii="仿宋" w:hAnsi="仿宋" w:eastAsia="仿宋" w:cs="仿宋"/>
          <w:bCs/>
          <w:sz w:val="28"/>
          <w:szCs w:val="28"/>
          <w:lang w:val="en-US" w:eastAsia="zh-CN"/>
        </w:rPr>
        <w:t>。阳坡、半阳坡较为干旱区域，选择祁连圆柏为造林树种；阴坡、半阴坡含水量较高区域选择造林树种为青海云杉为造林树种。</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2．造林树种配置模式</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营造针叶乔木、灌木混交林；针叶乔木纯林。混交方式为行间混交。各树种的栽植比例，根据造林地块立地条件加以确定。</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3.苗木规格  </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根据造林模式设计和树种生物学特性以及造林地立地条件确定本实施方案（作业设计）的造林树种苗木规格，确保造林质量。苗木规格以生</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长健壮，顶芽饱满，根系发达，无机械损伤，无病虫害，且达到青海省《主要造林树种苗木质量分级》（DB236-2015）Ⅱ级以上标准的优质壮苗。苗木必须具备“两证一签”。</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为了提高造林成活率，苗木要求随起苗、随运输、随栽植，并且要派专门的人员进行管理。</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36"/>
          <w:szCs w:val="36"/>
          <w:lang w:val="en-US" w:eastAsia="zh-CN"/>
        </w:rPr>
      </w:pPr>
      <w:r>
        <w:rPr>
          <w:rFonts w:hint="eastAsia" w:ascii="仿宋" w:hAnsi="仿宋" w:eastAsia="仿宋" w:cs="仿宋"/>
          <w:bCs/>
          <w:sz w:val="28"/>
          <w:szCs w:val="28"/>
          <w:lang w:val="en-US" w:eastAsia="zh-CN"/>
        </w:rPr>
        <w:t>设计代替树种为：祁连圆柏在海拔2600米以下阳坡可用同规格油松替代。</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造林时间</w:t>
      </w:r>
    </w:p>
    <w:p>
      <w:pPr>
        <w:pStyle w:val="9"/>
        <w:spacing w:line="600" w:lineRule="atLeast"/>
        <w:ind w:left="0" w:firstLine="560" w:firstLineChars="200"/>
        <w:rPr>
          <w:rFonts w:hint="default" w:ascii="宋体" w:hAnsi="宋体" w:eastAsia="宋体" w:cs="宋体"/>
          <w:kern w:val="0"/>
          <w:sz w:val="28"/>
          <w:szCs w:val="28"/>
          <w:lang w:val="en-US" w:eastAsia="zh-CN" w:bidi="ar-SA"/>
        </w:rPr>
      </w:pPr>
      <w:r>
        <w:rPr>
          <w:rFonts w:hint="eastAsia" w:ascii="仿宋" w:hAnsi="仿宋" w:eastAsia="仿宋" w:cs="仿宋"/>
          <w:bCs/>
          <w:kern w:val="2"/>
          <w:sz w:val="28"/>
          <w:szCs w:val="28"/>
          <w:lang w:val="en-US" w:eastAsia="zh-CN" w:bidi="ar-SA"/>
        </w:rPr>
        <w:t>根据当地的气候特点和造林树种的生物学特性要求，造林时间选择在春季。人工造林时间为4月底至6月初完成造林任务。随起苗随栽植，对未栽完的苗木及时进行假植。</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bookmarkStart w:id="146" w:name="_Toc21179"/>
      <w:r>
        <w:rPr>
          <w:rFonts w:hint="eastAsia" w:ascii="仿宋" w:hAnsi="仿宋" w:eastAsia="仿宋" w:cs="仿宋"/>
          <w:b/>
          <w:bCs/>
          <w:sz w:val="30"/>
          <w:szCs w:val="30"/>
          <w:lang w:val="en-US" w:eastAsia="zh-CN"/>
        </w:rPr>
        <w:t>造林整地</w:t>
      </w:r>
      <w:bookmarkEnd w:id="146"/>
    </w:p>
    <w:p>
      <w:pPr>
        <w:pStyle w:val="9"/>
        <w:spacing w:line="600" w:lineRule="atLeas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drawing>
          <wp:anchor distT="0" distB="0" distL="114300" distR="114300" simplePos="0" relativeHeight="251659264" behindDoc="0" locked="0" layoutInCell="1" allowOverlap="1">
            <wp:simplePos x="0" y="0"/>
            <wp:positionH relativeFrom="column">
              <wp:posOffset>4189095</wp:posOffset>
            </wp:positionH>
            <wp:positionV relativeFrom="paragraph">
              <wp:posOffset>347345</wp:posOffset>
            </wp:positionV>
            <wp:extent cx="2073275" cy="2469515"/>
            <wp:effectExtent l="0" t="0" r="3175" b="6985"/>
            <wp:wrapSquare wrapText="bothSides"/>
            <wp:docPr id="6" name="Picture 5" descr="C:\Users\jin\Documents\Tencent Files\416419476\Image\C2C\5IXHFGJN7D%P7F}}6M_C3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jin\Documents\Tencent Files\416419476\Image\C2C\5IXHFGJN7D%P7F}}6M_C3G9.jpg"/>
                    <pic:cNvPicPr>
                      <a:picLocks noChangeAspect="1"/>
                    </pic:cNvPicPr>
                  </pic:nvPicPr>
                  <pic:blipFill>
                    <a:blip r:embed="rId12"/>
                    <a:stretch>
                      <a:fillRect/>
                    </a:stretch>
                  </pic:blipFill>
                  <pic:spPr>
                    <a:xfrm>
                      <a:off x="0" y="0"/>
                      <a:ext cx="2073275" cy="2469515"/>
                    </a:xfrm>
                    <a:prstGeom prst="rect">
                      <a:avLst/>
                    </a:prstGeom>
                    <a:noFill/>
                    <a:ln>
                      <a:noFill/>
                    </a:ln>
                  </pic:spPr>
                </pic:pic>
              </a:graphicData>
            </a:graphic>
          </wp:anchor>
        </w:drawing>
      </w:r>
      <w:r>
        <w:rPr>
          <w:rFonts w:hint="eastAsia" w:ascii="仿宋" w:hAnsi="仿宋" w:eastAsia="仿宋" w:cs="仿宋"/>
          <w:bCs/>
          <w:kern w:val="2"/>
          <w:sz w:val="28"/>
          <w:szCs w:val="28"/>
          <w:lang w:val="en-US" w:eastAsia="zh-CN" w:bidi="ar-SA"/>
        </w:rPr>
        <w:t>造林整地应在栽植前进行。坡度较陡或地形较破碎的地块采用鱼鳞坑整地。立地条件较好的造林地采用穴状整地，由于间距过大达不到设计要求的对部分区域进行修整。</w:t>
      </w:r>
    </w:p>
    <w:p>
      <w:pPr>
        <w:pStyle w:val="9"/>
        <w:spacing w:line="600" w:lineRule="atLeast"/>
        <w:ind w:left="0" w:firstLine="560" w:firstLineChars="200"/>
        <w:rPr>
          <w:rFonts w:hint="eastAsia" w:ascii="宋体" w:hAnsi="宋体" w:eastAsia="宋体" w:cs="宋体"/>
          <w:kern w:val="0"/>
          <w:sz w:val="28"/>
          <w:szCs w:val="28"/>
          <w:lang w:val="en-US" w:eastAsia="zh-CN" w:bidi="ar-SA"/>
        </w:rPr>
      </w:pPr>
      <w:r>
        <w:rPr>
          <w:rFonts w:hint="eastAsia" w:ascii="仿宋" w:hAnsi="仿宋" w:eastAsia="仿宋" w:cs="仿宋"/>
          <w:bCs/>
          <w:kern w:val="2"/>
          <w:sz w:val="28"/>
          <w:szCs w:val="28"/>
          <w:lang w:val="en-US" w:eastAsia="zh-CN" w:bidi="ar-SA"/>
        </w:rPr>
        <w:t>造林整地应在春季前进行整地，以蓄水保墒，促进土壤熟化，提高土壤肥力。整地方式为穴状、鱼鳞坑整地。</w:t>
      </w:r>
    </w:p>
    <w:p>
      <w:pPr>
        <w:pStyle w:val="9"/>
        <w:spacing w:line="600" w:lineRule="atLeas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鱼鳞坑整地：在坡度15°以上的地块采用鱼鳞坑的方式进行整地。开挖时，首先从坡面上部沿等高线方向下开挖，由上到下进行。小苗造林整地规格为长径0.6米，短径0.5米，深0.3米；大苗造林整地规格为长径0.8米，短径0.6米，深0.4米，要求鱼鳞坑分布均匀，按“品”字形排列，鱼鳞坑上坡坑沿呈直线型，下坡坑沿呈半圆形。开挖时先将挖出的表土放置一边，再用里切外垫的方法，将生土培于外沿，并围成半圆形的土埂，外沿土埂要踩实拍光。</w:t>
      </w:r>
    </w:p>
    <w:p>
      <w:pPr>
        <w:pStyle w:val="9"/>
        <w:spacing w:line="600" w:lineRule="atLeast"/>
        <w:ind w:left="0" w:firstLine="480" w:firstLineChars="200"/>
        <w:rPr>
          <w:rFonts w:hint="eastAsia" w:ascii="仿宋" w:hAnsi="仿宋" w:eastAsia="仿宋" w:cs="仿宋"/>
          <w:bCs/>
          <w:kern w:val="2"/>
          <w:sz w:val="28"/>
          <w:szCs w:val="28"/>
          <w:lang w:val="en-US" w:eastAsia="zh-CN" w:bidi="ar-SA"/>
        </w:rPr>
      </w:pPr>
      <w:r>
        <w:rPr>
          <w:rFonts w:hint="eastAsia" w:ascii="仿宋" w:hAnsi="仿宋" w:eastAsia="仿宋" w:cs="Times New Roman"/>
          <w:lang w:val="en-US" w:eastAsia="zh-CN"/>
        </w:rPr>
        <w:drawing>
          <wp:anchor distT="0" distB="0" distL="114300" distR="114300" simplePos="0" relativeHeight="251660288" behindDoc="0" locked="0" layoutInCell="1" allowOverlap="1">
            <wp:simplePos x="0" y="0"/>
            <wp:positionH relativeFrom="column">
              <wp:posOffset>3831590</wp:posOffset>
            </wp:positionH>
            <wp:positionV relativeFrom="paragraph">
              <wp:posOffset>54610</wp:posOffset>
            </wp:positionV>
            <wp:extent cx="2086610" cy="1781810"/>
            <wp:effectExtent l="0" t="0" r="8890" b="8890"/>
            <wp:wrapSquare wrapText="bothSides"/>
            <wp:docPr id="5" name="Picture 2" descr="穴状整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穴状整地"/>
                    <pic:cNvPicPr>
                      <a:picLocks noChangeAspect="1"/>
                    </pic:cNvPicPr>
                  </pic:nvPicPr>
                  <pic:blipFill>
                    <a:blip r:embed="rId13"/>
                    <a:stretch>
                      <a:fillRect/>
                    </a:stretch>
                  </pic:blipFill>
                  <pic:spPr>
                    <a:xfrm>
                      <a:off x="0" y="0"/>
                      <a:ext cx="2086610" cy="1781810"/>
                    </a:xfrm>
                    <a:prstGeom prst="rect">
                      <a:avLst/>
                    </a:prstGeom>
                    <a:noFill/>
                    <a:ln>
                      <a:noFill/>
                    </a:ln>
                  </pic:spPr>
                </pic:pic>
              </a:graphicData>
            </a:graphic>
          </wp:anchor>
        </w:drawing>
      </w:r>
      <w:r>
        <w:rPr>
          <w:rFonts w:hint="eastAsia" w:ascii="仿宋" w:hAnsi="仿宋" w:eastAsia="仿宋" w:cs="仿宋"/>
          <w:bCs/>
          <w:kern w:val="2"/>
          <w:sz w:val="28"/>
          <w:szCs w:val="28"/>
          <w:lang w:val="en-US" w:eastAsia="zh-CN" w:bidi="ar-SA"/>
        </w:rPr>
        <w:t>（2）穴状整地：小苗整地规格为穴径40厘米、穴深40厘米；大苗整地规格为穴径50厘米、穴深60厘米。以定点位置为中心，按规定穴径操作，挖穴时要求上下一样大，不得挖成上大下小的“锅底”形。详见造林整地图示。</w:t>
      </w:r>
    </w:p>
    <w:p>
      <w:pPr>
        <w:pStyle w:val="9"/>
        <w:spacing w:line="600" w:lineRule="atLeast"/>
        <w:ind w:left="0" w:firstLine="560" w:firstLineChars="200"/>
        <w:rPr>
          <w:rFonts w:hint="eastAsia"/>
          <w:lang w:val="en-US" w:eastAsia="zh-CN"/>
        </w:rPr>
      </w:pPr>
      <w:r>
        <w:rPr>
          <w:rFonts w:hint="eastAsia" w:ascii="仿宋" w:hAnsi="仿宋" w:eastAsia="仿宋" w:cs="仿宋"/>
          <w:bCs/>
          <w:kern w:val="2"/>
          <w:sz w:val="28"/>
          <w:szCs w:val="28"/>
          <w:lang w:val="en-US" w:eastAsia="zh-CN" w:bidi="ar-SA"/>
        </w:rPr>
        <w:t>在整地时要将坑内的石块等杂物检除干净，将表层土和生土分开堆放，并在坑内添上适量的表层土，以保证栽植后苗木的正常生长。</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47" w:name="_Toc15878"/>
      <w:r>
        <w:rPr>
          <w:rFonts w:hint="eastAsia" w:ascii="仿宋" w:hAnsi="仿宋" w:eastAsia="仿宋" w:cs="仿宋"/>
          <w:b/>
          <w:bCs/>
          <w:lang w:val="en-US" w:eastAsia="zh-CN"/>
        </w:rPr>
        <w:t>种苗供应方案</w:t>
      </w:r>
      <w:bookmarkEnd w:id="147"/>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苗木供应：</w:t>
      </w:r>
      <w:r>
        <w:rPr>
          <w:rFonts w:hint="eastAsia" w:ascii="仿宋" w:hAnsi="仿宋" w:eastAsia="仿宋" w:cs="仿宋"/>
          <w:bCs/>
          <w:kern w:val="2"/>
          <w:sz w:val="28"/>
          <w:szCs w:val="28"/>
          <w:lang w:val="en-US" w:eastAsia="zh-CN" w:bidi="ar-SA"/>
        </w:rPr>
        <w:t>中标单位就近采购工程造林所需的种苗必须要有检验合格证和检疫合格证及产地标签，没有“两证一签”的种苗不得用于工程造林。</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苗木质量检验：</w:t>
      </w:r>
      <w:r>
        <w:rPr>
          <w:rFonts w:hint="eastAsia" w:ascii="仿宋" w:hAnsi="仿宋" w:eastAsia="仿宋" w:cs="仿宋"/>
          <w:bCs/>
          <w:kern w:val="2"/>
          <w:sz w:val="28"/>
          <w:szCs w:val="28"/>
          <w:lang w:val="en-US" w:eastAsia="zh-CN" w:bidi="ar-SA"/>
        </w:rPr>
        <w:t>苗木出圃前进行病虫害检疫，要求生长健壮、顶芽饱满、根系发达、无机械损伤、无病虫害的优质壮苗。造林苗木优先使用本地苗木，不足部分从气候相近的地区调运，必须具备“两证一签”即“苗木检验证”、“苗木检疫证”、“苗木产地标签”。苗木抽样、检验、检测方法按青海省地方标准《主要造林树种苗木质量分级》DB63/T236-2015执行。</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起苗时间、方法和要求：</w:t>
      </w:r>
      <w:r>
        <w:rPr>
          <w:rFonts w:hint="eastAsia" w:ascii="仿宋" w:hAnsi="仿宋" w:eastAsia="仿宋" w:cs="仿宋"/>
          <w:bCs/>
          <w:kern w:val="2"/>
          <w:sz w:val="28"/>
          <w:szCs w:val="28"/>
          <w:lang w:val="en-US" w:eastAsia="zh-CN" w:bidi="ar-SA"/>
        </w:rPr>
        <w:t>在春级苗木萌动前或秋季苗木停止生长后进行起苗。起苗前一周对苗圃地灌一次起苗水。单株起苗，起苗前拢起树冠，防止碰断侧枝和主稍。做到随起苗、随包装、随运输、随栽植。苗木起苗后立即进行包装和运输，切忌风吹日晒。</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运输要迅速及时，尽量缩短运输距离和运输时间，并采取保湿、降温、防冻、透气等措施。长途运苗要给苗木根部洒水，并进行覆盖处理，尽量减少苗木失水。调运的苗木当天无法栽植完成时，需进行假植，假植地点需选择潮湿、阴暗、避风地方。</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48" w:name="_Toc18735"/>
      <w:r>
        <w:rPr>
          <w:rFonts w:hint="eastAsia" w:ascii="仿宋" w:hAnsi="仿宋" w:eastAsia="仿宋" w:cs="仿宋"/>
          <w:b/>
          <w:bCs/>
          <w:lang w:val="en-US" w:eastAsia="zh-CN"/>
        </w:rPr>
        <w:t>4.6栽植技术</w:t>
      </w:r>
      <w:bookmarkEnd w:id="148"/>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Cs/>
          <w:kern w:val="2"/>
          <w:sz w:val="28"/>
          <w:szCs w:val="28"/>
          <w:lang w:val="en-US" w:eastAsia="zh-CN" w:bidi="ar-SA"/>
        </w:rPr>
        <w:t>（1）苗木规格</w:t>
      </w:r>
    </w:p>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针叶乔木树种：青海云杉苗高50厘米以上，裸根；苗高120厘米以上，冠幅50-70厘米，带土球25厘米；苗高150厘米以上，冠幅70-90厘米，带土球30厘米。</w:t>
      </w:r>
    </w:p>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祁连圆柏苗高50厘米以上，带土球15厘米；苗高150厘米以上，冠幅40-50厘米，带土球30厘米。</w:t>
      </w:r>
    </w:p>
    <w:tbl>
      <w:tblPr>
        <w:tblStyle w:val="22"/>
        <w:tblpPr w:leftFromText="180" w:rightFromText="180" w:vertAnchor="page" w:horzAnchor="page" w:tblpX="1173" w:tblpY="4258"/>
        <w:tblW w:w="9919" w:type="dxa"/>
        <w:jc w:val="center"/>
        <w:tblLayout w:type="fixed"/>
        <w:tblCellMar>
          <w:top w:w="0" w:type="dxa"/>
          <w:left w:w="108" w:type="dxa"/>
          <w:bottom w:w="0" w:type="dxa"/>
          <w:right w:w="108" w:type="dxa"/>
        </w:tblCellMar>
      </w:tblPr>
      <w:tblGrid>
        <w:gridCol w:w="939"/>
        <w:gridCol w:w="1550"/>
        <w:gridCol w:w="1453"/>
        <w:gridCol w:w="1454"/>
        <w:gridCol w:w="844"/>
        <w:gridCol w:w="1254"/>
        <w:gridCol w:w="1178"/>
        <w:gridCol w:w="1247"/>
      </w:tblGrid>
      <w:tr>
        <w:tblPrEx>
          <w:tblCellMar>
            <w:top w:w="0" w:type="dxa"/>
            <w:left w:w="108" w:type="dxa"/>
            <w:bottom w:w="0" w:type="dxa"/>
            <w:right w:w="108" w:type="dxa"/>
          </w:tblCellMar>
        </w:tblPrEx>
        <w:trPr>
          <w:trHeight w:val="583" w:hRule="atLeast"/>
          <w:jc w:val="center"/>
        </w:trPr>
        <w:tc>
          <w:tcPr>
            <w:tcW w:w="9919" w:type="dxa"/>
            <w:gridSpan w:val="8"/>
            <w:tcBorders>
              <w:top w:val="nil"/>
              <w:left w:val="nil"/>
              <w:right w:val="nil"/>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4"/>
                <w:szCs w:val="24"/>
              </w:rPr>
              <w:t>苗木规格标准表</w:t>
            </w:r>
          </w:p>
        </w:tc>
      </w:tr>
      <w:tr>
        <w:tblPrEx>
          <w:tblCellMar>
            <w:top w:w="0" w:type="dxa"/>
            <w:left w:w="108" w:type="dxa"/>
            <w:bottom w:w="0" w:type="dxa"/>
            <w:right w:w="108" w:type="dxa"/>
          </w:tblCellMar>
        </w:tblPrEx>
        <w:trPr>
          <w:trHeight w:val="593" w:hRule="atLeast"/>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种类</w:t>
            </w:r>
          </w:p>
        </w:tc>
        <w:tc>
          <w:tcPr>
            <w:tcW w:w="155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主要树种名称</w:t>
            </w:r>
          </w:p>
        </w:tc>
        <w:tc>
          <w:tcPr>
            <w:tcW w:w="145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苗木高度</w:t>
            </w:r>
          </w:p>
        </w:tc>
        <w:tc>
          <w:tcPr>
            <w:tcW w:w="145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地径</w:t>
            </w:r>
          </w:p>
        </w:tc>
        <w:tc>
          <w:tcPr>
            <w:tcW w:w="84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胸径</w:t>
            </w:r>
          </w:p>
        </w:tc>
        <w:tc>
          <w:tcPr>
            <w:tcW w:w="125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冠幅</w:t>
            </w:r>
          </w:p>
        </w:tc>
        <w:tc>
          <w:tcPr>
            <w:tcW w:w="117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土球直径</w:t>
            </w:r>
          </w:p>
        </w:tc>
        <w:tc>
          <w:tcPr>
            <w:tcW w:w="124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备注</w:t>
            </w:r>
          </w:p>
        </w:tc>
      </w:tr>
      <w:tr>
        <w:tblPrEx>
          <w:tblCellMar>
            <w:top w:w="0" w:type="dxa"/>
            <w:left w:w="108" w:type="dxa"/>
            <w:bottom w:w="0" w:type="dxa"/>
            <w:right w:w="108" w:type="dxa"/>
          </w:tblCellMar>
        </w:tblPrEx>
        <w:trPr>
          <w:trHeight w:val="525" w:hRule="atLeast"/>
          <w:jc w:val="center"/>
        </w:trPr>
        <w:tc>
          <w:tcPr>
            <w:tcW w:w="939"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针叶树种</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青海云杉</w:t>
            </w:r>
          </w:p>
        </w:tc>
        <w:tc>
          <w:tcPr>
            <w:tcW w:w="145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50</w:t>
            </w:r>
            <w:r>
              <w:rPr>
                <w:rFonts w:hint="eastAsia" w:ascii="仿宋" w:hAnsi="仿宋" w:eastAsia="仿宋" w:cs="仿宋"/>
                <w:bCs/>
                <w:kern w:val="0"/>
                <w:sz w:val="21"/>
                <w:szCs w:val="21"/>
              </w:rPr>
              <w:t>厘米以上</w:t>
            </w:r>
          </w:p>
        </w:tc>
        <w:tc>
          <w:tcPr>
            <w:tcW w:w="145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8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25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c>
          <w:tcPr>
            <w:tcW w:w="117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裸根</w:t>
            </w:r>
          </w:p>
        </w:tc>
        <w:tc>
          <w:tcPr>
            <w:tcW w:w="1247"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48" w:hRule="atLeast"/>
          <w:jc w:val="center"/>
        </w:trPr>
        <w:tc>
          <w:tcPr>
            <w:tcW w:w="939"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青海云杉</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120</w:t>
            </w:r>
            <w:r>
              <w:rPr>
                <w:rFonts w:hint="eastAsia" w:ascii="仿宋" w:hAnsi="仿宋" w:eastAsia="仿宋" w:cs="仿宋"/>
                <w:bCs/>
                <w:kern w:val="0"/>
                <w:sz w:val="21"/>
                <w:szCs w:val="21"/>
              </w:rPr>
              <w:t>厘米以上</w:t>
            </w:r>
          </w:p>
        </w:tc>
        <w:tc>
          <w:tcPr>
            <w:tcW w:w="14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bidi="ar-SA"/>
              </w:rPr>
            </w:pPr>
          </w:p>
        </w:tc>
        <w:tc>
          <w:tcPr>
            <w:tcW w:w="84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bidi="ar-SA"/>
              </w:rPr>
            </w:pPr>
          </w:p>
        </w:tc>
        <w:tc>
          <w:tcPr>
            <w:tcW w:w="12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kern w:val="0"/>
                <w:sz w:val="21"/>
                <w:szCs w:val="21"/>
                <w:lang w:val="en-US" w:eastAsia="zh-CN"/>
              </w:rPr>
              <w:t>50-70厘米</w:t>
            </w:r>
          </w:p>
        </w:tc>
        <w:tc>
          <w:tcPr>
            <w:tcW w:w="117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25厘米</w:t>
            </w:r>
          </w:p>
        </w:tc>
        <w:tc>
          <w:tcPr>
            <w:tcW w:w="12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21" w:hRule="atLeast"/>
          <w:jc w:val="center"/>
        </w:trPr>
        <w:tc>
          <w:tcPr>
            <w:tcW w:w="939"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青海云杉</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150</w:t>
            </w:r>
            <w:r>
              <w:rPr>
                <w:rFonts w:hint="eastAsia" w:ascii="仿宋" w:hAnsi="仿宋" w:eastAsia="仿宋" w:cs="仿宋"/>
                <w:bCs/>
                <w:kern w:val="0"/>
                <w:sz w:val="21"/>
                <w:szCs w:val="21"/>
              </w:rPr>
              <w:t>厘米以上</w:t>
            </w:r>
          </w:p>
        </w:tc>
        <w:tc>
          <w:tcPr>
            <w:tcW w:w="14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84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2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kern w:val="0"/>
                <w:sz w:val="21"/>
                <w:szCs w:val="21"/>
                <w:lang w:val="en-US" w:eastAsia="zh-CN"/>
              </w:rPr>
            </w:pPr>
            <w:r>
              <w:rPr>
                <w:rFonts w:hint="eastAsia" w:ascii="仿宋" w:hAnsi="仿宋" w:eastAsia="仿宋" w:cs="仿宋"/>
                <w:kern w:val="0"/>
                <w:sz w:val="21"/>
                <w:szCs w:val="21"/>
                <w:lang w:val="en-US" w:eastAsia="zh-CN"/>
              </w:rPr>
              <w:t>70-90厘米</w:t>
            </w:r>
          </w:p>
        </w:tc>
        <w:tc>
          <w:tcPr>
            <w:tcW w:w="117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30厘米</w:t>
            </w:r>
          </w:p>
        </w:tc>
        <w:tc>
          <w:tcPr>
            <w:tcW w:w="12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481" w:hRule="atLeast"/>
          <w:jc w:val="center"/>
        </w:trPr>
        <w:tc>
          <w:tcPr>
            <w:tcW w:w="939" w:type="dxa"/>
            <w:vMerge w:val="continue"/>
            <w:tcBorders>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祁连圆柏</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50</w:t>
            </w:r>
            <w:r>
              <w:rPr>
                <w:rFonts w:hint="eastAsia" w:ascii="仿宋" w:hAnsi="仿宋" w:eastAsia="仿宋" w:cs="仿宋"/>
                <w:bCs/>
                <w:kern w:val="0"/>
                <w:sz w:val="21"/>
                <w:szCs w:val="21"/>
              </w:rPr>
              <w:t>厘米以上</w:t>
            </w:r>
          </w:p>
        </w:tc>
        <w:tc>
          <w:tcPr>
            <w:tcW w:w="14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84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2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p>
        </w:tc>
        <w:tc>
          <w:tcPr>
            <w:tcW w:w="117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15厘米</w:t>
            </w:r>
          </w:p>
        </w:tc>
        <w:tc>
          <w:tcPr>
            <w:tcW w:w="12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04" w:hRule="atLeast"/>
          <w:jc w:val="center"/>
        </w:trPr>
        <w:tc>
          <w:tcPr>
            <w:tcW w:w="939"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祁连圆柏</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150</w:t>
            </w:r>
            <w:r>
              <w:rPr>
                <w:rFonts w:hint="eastAsia" w:ascii="仿宋" w:hAnsi="仿宋" w:eastAsia="仿宋" w:cs="仿宋"/>
                <w:bCs/>
                <w:kern w:val="0"/>
                <w:sz w:val="21"/>
                <w:szCs w:val="21"/>
              </w:rPr>
              <w:t>厘米以上</w:t>
            </w:r>
          </w:p>
        </w:tc>
        <w:tc>
          <w:tcPr>
            <w:tcW w:w="14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84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254"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40-50厘米</w:t>
            </w:r>
          </w:p>
        </w:tc>
        <w:tc>
          <w:tcPr>
            <w:tcW w:w="1178"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30厘米</w:t>
            </w:r>
          </w:p>
        </w:tc>
        <w:tc>
          <w:tcPr>
            <w:tcW w:w="124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bl>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kern w:val="2"/>
          <w:sz w:val="28"/>
          <w:szCs w:val="28"/>
          <w:vertAlign w:val="baseline"/>
          <w:lang w:val="en-US" w:eastAsia="zh-CN" w:bidi="ar-SA"/>
        </w:rPr>
      </w:pPr>
      <w:r>
        <w:rPr>
          <w:rFonts w:hint="eastAsia" w:ascii="仿宋" w:hAnsi="仿宋" w:eastAsia="仿宋" w:cs="仿宋"/>
          <w:bCs/>
          <w:kern w:val="2"/>
          <w:sz w:val="28"/>
          <w:szCs w:val="28"/>
          <w:lang w:val="en-US" w:eastAsia="zh-CN" w:bidi="ar-SA"/>
        </w:rPr>
        <w:t>要求所有苗木生长健壮、无病虫害、无机械损伤、根系完整、顶芽饱满、冠型良好。</w:t>
      </w:r>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（2）苗木管理</w:t>
      </w:r>
    </w:p>
    <w:p>
      <w:pPr>
        <w:pStyle w:val="13"/>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运输要迅速及时，尽量缩短运输的距离和时间，并采取保湿、降温、防冻、透气等措施。长途运输中要给苗木根部洒水，并进行覆盖处理，尽量减少苗木失水。为了提高造林成活率，苗木要求随起苗随运输随栽植，及时栽植不完的苗木必须进行假植在潮湿、阴暗、避风的地方。长度依苗木多少而定，假植时将苗木解捆，单株倾斜排列在沟内，用湿土覆盖根系并踩实，内苗木露出的根系用土埋严后灌水，避免苗木因水分蒸发而影响成活率。并且要派专门的人员进行管理。带土球苗木禁止假植，要随运输、随栽植。</w:t>
      </w:r>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（3）苗木栽植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严格按《造林技术规范》进行造林。初植密度为167、74株/亩，针叶乔木（青海云杉、祁连圆柏）。栽植时要坚持“三埋二踩”的栽植技术，保证苗木的正常生长。</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“三埋二踩”的技术要点：</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整地坑口径大于土球20厘米--30厘米，扶正栽植。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①</w:t>
      </w:r>
      <w:r>
        <w:rPr>
          <w:rFonts w:hint="eastAsia" w:ascii="仿宋" w:hAnsi="仿宋" w:eastAsia="仿宋" w:cs="仿宋"/>
          <w:bCs/>
          <w:kern w:val="2"/>
          <w:sz w:val="28"/>
          <w:szCs w:val="28"/>
          <w:lang w:val="en-US" w:eastAsia="zh-CN" w:bidi="ar-SA"/>
        </w:rPr>
        <w:t>栽植前要先将坑内的石块、杂物一一捡出，并添上适量的表层土，保证栽植后苗木的正常生长。</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②</w:t>
      </w:r>
      <w:r>
        <w:rPr>
          <w:rFonts w:hint="eastAsia" w:ascii="仿宋" w:hAnsi="仿宋" w:eastAsia="仿宋" w:cs="仿宋"/>
          <w:bCs/>
          <w:kern w:val="2"/>
          <w:sz w:val="28"/>
          <w:szCs w:val="28"/>
          <w:lang w:val="en-US" w:eastAsia="zh-CN" w:bidi="ar-SA"/>
        </w:rPr>
        <w:t>将苗木放入坑中，一人扶正苗木，一人填土，边埋土边将土踩实，填土时先将潮湿而细碎的表土填入坑内，保证根部和土壤充分结合，然后继续边填边踩实，直到与地面持平，并且沿栽植的外缘做好围堰。</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栽植方法：</w:t>
      </w:r>
    </w:p>
    <w:p>
      <w:pPr>
        <w:pStyle w:val="18"/>
        <w:pageBreakBefore w:val="0"/>
        <w:widowControl w:val="0"/>
        <w:numPr>
          <w:ilvl w:val="0"/>
          <w:numId w:val="0"/>
        </w:numPr>
        <w:kinsoku/>
        <w:wordWrap/>
        <w:overflowPunct/>
        <w:topLinePunct w:val="0"/>
        <w:autoSpaceDE/>
        <w:autoSpaceDN/>
        <w:bidi w:val="0"/>
        <w:adjustRightInd/>
        <w:snapToGrid/>
        <w:spacing w:before="100" w:after="100"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栽植方式为植苗造林，一穴一苗。挖穴时将上部熟土和下部生土分开放，栽植回填时先将生土填入底下，最后熟土填在上面，并用脚踩实，栽植时应在开春后降水季节开展。栽植后及时覆土以减少水分蒸发，提高成活率。</w:t>
      </w:r>
    </w:p>
    <w:p>
      <w:pPr>
        <w:pStyle w:val="18"/>
        <w:pageBreakBefore w:val="0"/>
        <w:widowControl w:val="0"/>
        <w:numPr>
          <w:ilvl w:val="0"/>
          <w:numId w:val="0"/>
        </w:numPr>
        <w:kinsoku/>
        <w:wordWrap/>
        <w:overflowPunct/>
        <w:topLinePunct w:val="0"/>
        <w:autoSpaceDE/>
        <w:autoSpaceDN/>
        <w:bidi w:val="0"/>
        <w:adjustRightInd/>
        <w:snapToGrid/>
        <w:spacing w:before="100" w:after="100"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栽植过程中要注意以下几点：（1）不深栽：针叶树栽植时要注意不能栽得太深，太深透气性不好，影响成活率，延长缓苗期。针叶树栽植时比原来的栽植深度深1-2cm即可；（2）不修枝：针叶树栽植时不能修枝，否则会造成松脂流淌不停，最后会因养分流失而死亡。（3）不过夜：苗木栽植尽量做到当天到苗，当天栽植，确实无法当天栽完的，一定要做好假植工作，假植时间不得超过12小时。（4）扶苗、封坑、覆土保墒，苗木栽植后会因风吹等原因出现倾斜，同时植树坑内会出现一些裂缝，要及时对苗木扶正，裂缝用虚土覆盖并踩实，防止水分散失，起到蓄水保墒的作用。因坑土下沉而产生的露根、树木倾斜等现象，要及时进行填土、扶正、夯实。</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49" w:name="_Toc7118"/>
      <w:r>
        <w:rPr>
          <w:rFonts w:hint="eastAsia" w:ascii="仿宋" w:hAnsi="仿宋" w:eastAsia="仿宋" w:cs="仿宋"/>
          <w:b/>
          <w:bCs/>
          <w:lang w:val="en-US" w:eastAsia="zh-CN"/>
        </w:rPr>
        <w:t>设施</w:t>
      </w:r>
      <w:bookmarkEnd w:id="149"/>
    </w:p>
    <w:p>
      <w:pPr>
        <w:pageBreakBefore w:val="0"/>
        <w:widowControl w:val="0"/>
        <w:kinsoku/>
        <w:wordWrap/>
        <w:overflowPunct/>
        <w:topLinePunct w:val="0"/>
        <w:autoSpaceDE/>
        <w:autoSpaceDN/>
        <w:bidi w:val="0"/>
        <w:adjustRightInd/>
        <w:snapToGrid/>
        <w:spacing w:before="100" w:after="100" w:line="560" w:lineRule="exact"/>
        <w:ind w:firstLine="560" w:firstLineChars="200"/>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 w:val="0"/>
          <w:bCs/>
          <w:kern w:val="2"/>
          <w:sz w:val="28"/>
          <w:szCs w:val="28"/>
          <w:lang w:val="en-US" w:eastAsia="zh-CN" w:bidi="ar-SA"/>
        </w:rPr>
        <w:t>（1）网围栏</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拉设围栏，网围栏采用角铁立柱式。</w:t>
      </w:r>
    </w:p>
    <w:p>
      <w:pPr>
        <w:pStyle w:val="9"/>
        <w:spacing w:line="600" w:lineRule="atLeast"/>
        <w:ind w:left="0" w:firstLine="562" w:firstLineChars="200"/>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人工造林：</w:t>
      </w:r>
      <w:r>
        <w:rPr>
          <w:rFonts w:hint="eastAsia" w:ascii="仿宋" w:hAnsi="仿宋" w:eastAsia="仿宋" w:cs="仿宋"/>
          <w:bCs/>
          <w:kern w:val="2"/>
          <w:sz w:val="28"/>
          <w:szCs w:val="28"/>
          <w:lang w:val="en-US" w:eastAsia="zh-CN" w:bidi="ar-SA"/>
        </w:rPr>
        <w:t>共需网围栏网片长34203米，角铁大立柱34个，角铁中立柱85个，角铁小立柱3421个，支撑杆119个，地锚119个。其中：</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（2）规格及标准</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网围栏标准要求采用青Q/TB76-88《缠绕式镀锌钢丝围栏》，采用加密围栏，围栏规格为91L-8/110/30(即维线根数8根，纬宽1.1米，经线间距30厘米)，钢丝伸长率不小于4%，反复弯曲次数规格:顶10×10厘米，底15×15厘米。相邻纬线自上而下间距为20厘米、18厘米、18厘米、15厘米、13厘米、13厘米、13厘米。</w:t>
      </w:r>
    </w:p>
    <w:p>
      <w:pPr>
        <w:rPr>
          <w:rFonts w:hint="eastAsia"/>
          <w:lang w:val="en-US" w:eastAsia="zh-CN"/>
        </w:rPr>
      </w:pPr>
    </w:p>
    <w:tbl>
      <w:tblPr>
        <w:tblStyle w:val="22"/>
        <w:tblW w:w="0" w:type="auto"/>
        <w:jc w:val="center"/>
        <w:tblLayout w:type="fixed"/>
        <w:tblCellMar>
          <w:top w:w="0" w:type="dxa"/>
          <w:left w:w="108" w:type="dxa"/>
          <w:bottom w:w="0" w:type="dxa"/>
          <w:right w:w="108" w:type="dxa"/>
        </w:tblCellMar>
      </w:tblPr>
      <w:tblGrid>
        <w:gridCol w:w="1584"/>
        <w:gridCol w:w="714"/>
        <w:gridCol w:w="900"/>
        <w:gridCol w:w="722"/>
        <w:gridCol w:w="866"/>
        <w:gridCol w:w="1012"/>
        <w:gridCol w:w="722"/>
        <w:gridCol w:w="2460"/>
      </w:tblGrid>
      <w:tr>
        <w:tblPrEx>
          <w:tblCellMar>
            <w:top w:w="0" w:type="dxa"/>
            <w:left w:w="108" w:type="dxa"/>
            <w:bottom w:w="0" w:type="dxa"/>
            <w:right w:w="108" w:type="dxa"/>
          </w:tblCellMar>
        </w:tblPrEx>
        <w:trPr>
          <w:trHeight w:val="602" w:hRule="atLeast"/>
          <w:jc w:val="center"/>
        </w:trPr>
        <w:tc>
          <w:tcPr>
            <w:tcW w:w="8980" w:type="dxa"/>
            <w:gridSpan w:val="8"/>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编织网围栏基本参数</w:t>
            </w:r>
          </w:p>
        </w:tc>
      </w:tr>
      <w:tr>
        <w:tblPrEx>
          <w:tblCellMar>
            <w:top w:w="0" w:type="dxa"/>
            <w:left w:w="108" w:type="dxa"/>
            <w:bottom w:w="0" w:type="dxa"/>
            <w:right w:w="108" w:type="dxa"/>
          </w:tblCellMar>
        </w:tblPrEx>
        <w:trPr>
          <w:trHeight w:val="602" w:hRule="atLeast"/>
          <w:jc w:val="center"/>
        </w:trPr>
        <w:tc>
          <w:tcPr>
            <w:tcW w:w="1584"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714"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900"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722"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866"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1012"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722"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2460"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单位：毫米</w:t>
            </w:r>
          </w:p>
        </w:tc>
      </w:tr>
      <w:tr>
        <w:tblPrEx>
          <w:tblCellMar>
            <w:top w:w="0" w:type="dxa"/>
            <w:left w:w="108" w:type="dxa"/>
            <w:bottom w:w="0" w:type="dxa"/>
            <w:right w:w="108" w:type="dxa"/>
          </w:tblCellMar>
        </w:tblPrEx>
        <w:trPr>
          <w:trHeight w:val="806" w:hRule="atLeast"/>
          <w:jc w:val="center"/>
        </w:trPr>
        <w:tc>
          <w:tcPr>
            <w:tcW w:w="1584"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ind w:left="155" w:hanging="153" w:hangingChars="73"/>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规格</w:t>
            </w: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纬线根数</w:t>
            </w: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网宽公称尺寸</w:t>
            </w:r>
          </w:p>
        </w:tc>
        <w:tc>
          <w:tcPr>
            <w:tcW w:w="722"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经线间距</w:t>
            </w:r>
          </w:p>
        </w:tc>
        <w:tc>
          <w:tcPr>
            <w:tcW w:w="2600" w:type="dxa"/>
            <w:gridSpan w:val="3"/>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钢丝公称直径</w:t>
            </w:r>
          </w:p>
        </w:tc>
        <w:tc>
          <w:tcPr>
            <w:tcW w:w="2460"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自上而下相邻纬线间距</w:t>
            </w:r>
          </w:p>
        </w:tc>
      </w:tr>
      <w:tr>
        <w:tblPrEx>
          <w:tblCellMar>
            <w:top w:w="0" w:type="dxa"/>
            <w:left w:w="108" w:type="dxa"/>
            <w:bottom w:w="0" w:type="dxa"/>
            <w:right w:w="108" w:type="dxa"/>
          </w:tblCellMar>
        </w:tblPrEx>
        <w:trPr>
          <w:trHeight w:val="1068" w:hRule="atLeast"/>
          <w:jc w:val="center"/>
        </w:trPr>
        <w:tc>
          <w:tcPr>
            <w:tcW w:w="158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71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722"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866"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边纬线</w:t>
            </w:r>
          </w:p>
        </w:tc>
        <w:tc>
          <w:tcPr>
            <w:tcW w:w="101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中纬线</w:t>
            </w:r>
          </w:p>
        </w:tc>
        <w:tc>
          <w:tcPr>
            <w:tcW w:w="72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经线</w:t>
            </w:r>
          </w:p>
        </w:tc>
        <w:tc>
          <w:tcPr>
            <w:tcW w:w="246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r>
      <w:tr>
        <w:tblPrEx>
          <w:tblCellMar>
            <w:top w:w="0" w:type="dxa"/>
            <w:left w:w="108" w:type="dxa"/>
            <w:bottom w:w="0" w:type="dxa"/>
            <w:right w:w="108" w:type="dxa"/>
          </w:tblCellMar>
        </w:tblPrEx>
        <w:trPr>
          <w:trHeight w:val="1073" w:hRule="atLeast"/>
          <w:jc w:val="center"/>
        </w:trPr>
        <w:tc>
          <w:tcPr>
            <w:tcW w:w="158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91L8/110/30</w:t>
            </w:r>
          </w:p>
        </w:tc>
        <w:tc>
          <w:tcPr>
            <w:tcW w:w="714"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8</w:t>
            </w:r>
          </w:p>
        </w:tc>
        <w:tc>
          <w:tcPr>
            <w:tcW w:w="90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1100</w:t>
            </w:r>
          </w:p>
        </w:tc>
        <w:tc>
          <w:tcPr>
            <w:tcW w:w="72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300</w:t>
            </w:r>
          </w:p>
        </w:tc>
        <w:tc>
          <w:tcPr>
            <w:tcW w:w="866"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2.8</w:t>
            </w:r>
          </w:p>
        </w:tc>
        <w:tc>
          <w:tcPr>
            <w:tcW w:w="101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2.5</w:t>
            </w:r>
          </w:p>
        </w:tc>
        <w:tc>
          <w:tcPr>
            <w:tcW w:w="72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2.5</w:t>
            </w:r>
          </w:p>
        </w:tc>
        <w:tc>
          <w:tcPr>
            <w:tcW w:w="246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200、180、180、150、130、130、130</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角铁立柱规格:大角铁立柱高2.15米，材料规格为9×9×0.8（厚）厘米，每根大立柱配套两根支撑杆和两个地锚，支撑杆高3.0米，材料规格为5厘米的电焊钢管，地锚高0.6米，材料规格为4×4×0.4厘米；中立柱高2.15米，材料规格为7×7×0.7厘米；小立柱高2.0米，材料规格为4×4×0.4厘米，为了便于与其他工程的区分，网围栏角铁立柱自上而下每隔30厘米喷红漆和黄漆。</w:t>
      </w:r>
    </w:p>
    <w:tbl>
      <w:tblPr>
        <w:tblStyle w:val="22"/>
        <w:tblW w:w="0" w:type="auto"/>
        <w:tblInd w:w="0" w:type="dxa"/>
        <w:tblLayout w:type="fixed"/>
        <w:tblCellMar>
          <w:top w:w="0" w:type="dxa"/>
          <w:left w:w="108" w:type="dxa"/>
          <w:bottom w:w="0" w:type="dxa"/>
          <w:right w:w="108" w:type="dxa"/>
        </w:tblCellMar>
      </w:tblPr>
      <w:tblGrid>
        <w:gridCol w:w="3477"/>
        <w:gridCol w:w="1190"/>
        <w:gridCol w:w="4373"/>
      </w:tblGrid>
      <w:tr>
        <w:tblPrEx>
          <w:tblCellMar>
            <w:top w:w="0" w:type="dxa"/>
            <w:left w:w="108" w:type="dxa"/>
            <w:bottom w:w="0" w:type="dxa"/>
            <w:right w:w="108" w:type="dxa"/>
          </w:tblCellMar>
        </w:tblPrEx>
        <w:trPr>
          <w:trHeight w:val="539" w:hRule="atLeast"/>
        </w:trPr>
        <w:tc>
          <w:tcPr>
            <w:tcW w:w="9040" w:type="dxa"/>
            <w:gridSpan w:val="3"/>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支撑件规格与基本参数</w:t>
            </w:r>
          </w:p>
        </w:tc>
      </w:tr>
      <w:tr>
        <w:tblPrEx>
          <w:tblCellMar>
            <w:top w:w="0" w:type="dxa"/>
            <w:left w:w="108" w:type="dxa"/>
            <w:bottom w:w="0" w:type="dxa"/>
            <w:right w:w="108" w:type="dxa"/>
          </w:tblCellMar>
        </w:tblPrEx>
        <w:trPr>
          <w:trHeight w:val="539" w:hRule="atLeast"/>
        </w:trPr>
        <w:tc>
          <w:tcPr>
            <w:tcW w:w="3477"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1190"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4373"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单位：毫米</w:t>
            </w:r>
          </w:p>
        </w:tc>
      </w:tr>
      <w:tr>
        <w:tblPrEx>
          <w:tblCellMar>
            <w:top w:w="0" w:type="dxa"/>
            <w:left w:w="108" w:type="dxa"/>
            <w:bottom w:w="0" w:type="dxa"/>
            <w:right w:w="108" w:type="dxa"/>
          </w:tblCellMar>
        </w:tblPrEx>
        <w:trPr>
          <w:trHeight w:val="552" w:hRule="atLeast"/>
        </w:trPr>
        <w:tc>
          <w:tcPr>
            <w:tcW w:w="3477"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名称</w:t>
            </w:r>
          </w:p>
        </w:tc>
        <w:tc>
          <w:tcPr>
            <w:tcW w:w="1190"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尺寸</w:t>
            </w:r>
          </w:p>
        </w:tc>
        <w:tc>
          <w:tcPr>
            <w:tcW w:w="437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材料规格</w:t>
            </w:r>
          </w:p>
        </w:tc>
      </w:tr>
      <w:tr>
        <w:tblPrEx>
          <w:tblCellMar>
            <w:top w:w="0" w:type="dxa"/>
            <w:left w:w="108" w:type="dxa"/>
            <w:bottom w:w="0" w:type="dxa"/>
            <w:right w:w="108" w:type="dxa"/>
          </w:tblCellMar>
        </w:tblPrEx>
        <w:trPr>
          <w:trHeight w:val="552" w:hRule="atLeast"/>
        </w:trPr>
        <w:tc>
          <w:tcPr>
            <w:tcW w:w="3477"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角铁大立柱</w:t>
            </w:r>
          </w:p>
        </w:tc>
        <w:tc>
          <w:tcPr>
            <w:tcW w:w="11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2150</w:t>
            </w:r>
          </w:p>
        </w:tc>
        <w:tc>
          <w:tcPr>
            <w:tcW w:w="437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热轧等边角铁90×90×8</w:t>
            </w:r>
          </w:p>
        </w:tc>
      </w:tr>
      <w:tr>
        <w:tblPrEx>
          <w:tblCellMar>
            <w:top w:w="0" w:type="dxa"/>
            <w:left w:w="108" w:type="dxa"/>
            <w:bottom w:w="0" w:type="dxa"/>
            <w:right w:w="108" w:type="dxa"/>
          </w:tblCellMar>
        </w:tblPrEx>
        <w:trPr>
          <w:trHeight w:val="552" w:hRule="atLeast"/>
        </w:trPr>
        <w:tc>
          <w:tcPr>
            <w:tcW w:w="3477"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角铁中立柱</w:t>
            </w:r>
          </w:p>
        </w:tc>
        <w:tc>
          <w:tcPr>
            <w:tcW w:w="11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2150</w:t>
            </w:r>
          </w:p>
        </w:tc>
        <w:tc>
          <w:tcPr>
            <w:tcW w:w="437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热轧等边角铁70×70×7</w:t>
            </w:r>
          </w:p>
        </w:tc>
      </w:tr>
      <w:tr>
        <w:tblPrEx>
          <w:tblCellMar>
            <w:top w:w="0" w:type="dxa"/>
            <w:left w:w="108" w:type="dxa"/>
            <w:bottom w:w="0" w:type="dxa"/>
            <w:right w:w="108" w:type="dxa"/>
          </w:tblCellMar>
        </w:tblPrEx>
        <w:trPr>
          <w:trHeight w:val="552" w:hRule="atLeast"/>
        </w:trPr>
        <w:tc>
          <w:tcPr>
            <w:tcW w:w="3477"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角铁小立柱</w:t>
            </w:r>
          </w:p>
        </w:tc>
        <w:tc>
          <w:tcPr>
            <w:tcW w:w="11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2000</w:t>
            </w:r>
          </w:p>
        </w:tc>
        <w:tc>
          <w:tcPr>
            <w:tcW w:w="437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热轧等边角铁40×40×4</w:t>
            </w:r>
          </w:p>
        </w:tc>
      </w:tr>
      <w:tr>
        <w:tblPrEx>
          <w:tblCellMar>
            <w:top w:w="0" w:type="dxa"/>
            <w:left w:w="108" w:type="dxa"/>
            <w:bottom w:w="0" w:type="dxa"/>
            <w:right w:w="108" w:type="dxa"/>
          </w:tblCellMar>
        </w:tblPrEx>
        <w:trPr>
          <w:trHeight w:val="552" w:hRule="atLeast"/>
        </w:trPr>
        <w:tc>
          <w:tcPr>
            <w:tcW w:w="3477"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地锚</w:t>
            </w:r>
          </w:p>
        </w:tc>
        <w:tc>
          <w:tcPr>
            <w:tcW w:w="11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600</w:t>
            </w:r>
          </w:p>
        </w:tc>
        <w:tc>
          <w:tcPr>
            <w:tcW w:w="437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热轧等边角铁40×40×4</w:t>
            </w:r>
          </w:p>
        </w:tc>
      </w:tr>
      <w:tr>
        <w:tblPrEx>
          <w:tblCellMar>
            <w:top w:w="0" w:type="dxa"/>
            <w:left w:w="108" w:type="dxa"/>
            <w:bottom w:w="0" w:type="dxa"/>
            <w:right w:w="108" w:type="dxa"/>
          </w:tblCellMar>
        </w:tblPrEx>
        <w:trPr>
          <w:trHeight w:val="590" w:hRule="atLeast"/>
        </w:trPr>
        <w:tc>
          <w:tcPr>
            <w:tcW w:w="3477"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支撑杆</w:t>
            </w:r>
          </w:p>
        </w:tc>
        <w:tc>
          <w:tcPr>
            <w:tcW w:w="11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3000</w:t>
            </w:r>
          </w:p>
        </w:tc>
        <w:tc>
          <w:tcPr>
            <w:tcW w:w="437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镀锌钢管50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（3）安装技术</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角铁立柱安装技术: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平均每1000米设置一根大立柱，400米设置一根中立柱，按地形平均每10米设置一根小立柱。立柱埋入地下不得少于60厘米，拐点必须在受力方使用拉线，在大立柱或中立柱上安装支撑杆1个，地锚1个(见下图)。</w:t>
      </w:r>
    </w:p>
    <w:p>
      <w:pPr>
        <w:pStyle w:val="2"/>
        <w:rPr>
          <w:rFonts w:hint="eastAsia" w:ascii="仿宋" w:hAnsi="仿宋" w:eastAsia="仿宋" w:cs="仿宋"/>
          <w:b/>
          <w:bCs/>
          <w:color w:val="auto"/>
          <w:sz w:val="21"/>
          <w:szCs w:val="21"/>
          <w:lang w:val="en-US" w:eastAsia="zh-CN"/>
        </w:rPr>
      </w:pPr>
    </w:p>
    <w:p>
      <w:pPr>
        <w:rPr>
          <w:rFonts w:hint="eastAsia" w:ascii="仿宋" w:hAnsi="仿宋" w:eastAsia="仿宋" w:cs="仿宋"/>
          <w:b/>
          <w:bCs/>
          <w:color w:val="auto"/>
          <w:sz w:val="21"/>
          <w:szCs w:val="21"/>
          <w:lang w:val="en-US" w:eastAsia="zh-CN"/>
        </w:rPr>
      </w:pPr>
    </w:p>
    <w:p>
      <w:pPr>
        <w:pStyle w:val="2"/>
        <w:rPr>
          <w:rFonts w:hint="eastAsia" w:ascii="仿宋" w:hAnsi="仿宋" w:eastAsia="仿宋" w:cs="仿宋"/>
          <w:b/>
          <w:bCs/>
          <w:color w:val="auto"/>
          <w:sz w:val="21"/>
          <w:szCs w:val="21"/>
          <w:lang w:val="en-US" w:eastAsia="zh-CN"/>
        </w:rPr>
      </w:pPr>
      <w:r>
        <w:rPr>
          <w:rFonts w:hint="eastAsia" w:ascii="仿宋" w:hAnsi="仿宋" w:eastAsia="仿宋" w:cs="仿宋"/>
          <w:sz w:val="21"/>
        </w:rPr>
        <w:drawing>
          <wp:anchor distT="0" distB="0" distL="114300" distR="114300" simplePos="0" relativeHeight="251661312" behindDoc="0" locked="0" layoutInCell="1" allowOverlap="1">
            <wp:simplePos x="0" y="0"/>
            <wp:positionH relativeFrom="column">
              <wp:posOffset>-4445</wp:posOffset>
            </wp:positionH>
            <wp:positionV relativeFrom="paragraph">
              <wp:posOffset>6985</wp:posOffset>
            </wp:positionV>
            <wp:extent cx="6061075" cy="3509010"/>
            <wp:effectExtent l="12700" t="12700" r="22225" b="21590"/>
            <wp:wrapNone/>
            <wp:docPr id="3" name="图片 4" descr="角铁立柱式网围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角铁立柱式网围栏"/>
                    <pic:cNvPicPr>
                      <a:picLocks noChangeAspect="1"/>
                    </pic:cNvPicPr>
                  </pic:nvPicPr>
                  <pic:blipFill>
                    <a:blip r:embed="rId14"/>
                    <a:stretch>
                      <a:fillRect/>
                    </a:stretch>
                  </pic:blipFill>
                  <pic:spPr>
                    <a:xfrm>
                      <a:off x="0" y="0"/>
                      <a:ext cx="6061075" cy="3509010"/>
                    </a:xfrm>
                    <a:prstGeom prst="rect">
                      <a:avLst/>
                    </a:prstGeom>
                    <a:noFill/>
                    <a:ln w="12700" cap="flat" cmpd="sng">
                      <a:solidFill>
                        <a:srgbClr val="272727"/>
                      </a:solidFill>
                      <a:prstDash val="solid"/>
                      <a:miter/>
                      <a:headEnd type="none" w="med" len="med"/>
                      <a:tailEnd type="none" w="med" len="med"/>
                    </a:ln>
                  </pic:spPr>
                </pic:pic>
              </a:graphicData>
            </a:graphic>
          </wp:anchor>
        </w:drawing>
      </w:r>
    </w:p>
    <w:p>
      <w:pPr>
        <w:rPr>
          <w:rFonts w:hint="eastAsia" w:ascii="仿宋" w:hAnsi="仿宋" w:eastAsia="仿宋" w:cs="仿宋"/>
          <w:b/>
          <w:bCs/>
          <w:color w:val="auto"/>
          <w:sz w:val="21"/>
          <w:szCs w:val="21"/>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p>
    <w:p>
      <w:pPr>
        <w:pStyle w:val="2"/>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标段划分情况</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退化林修复</w:t>
      </w:r>
    </w:p>
    <w:p>
      <w:pPr>
        <w:rPr>
          <w:rFonts w:hint="eastAsia" w:ascii="仿宋" w:hAnsi="仿宋" w:eastAsia="仿宋" w:cs="仿宋"/>
          <w:b/>
          <w:bCs/>
          <w:color w:val="auto"/>
          <w:sz w:val="22"/>
          <w:highlight w:val="none"/>
        </w:rPr>
      </w:pP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退化林分修复建设任务</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项目建设任务：退化林修复面积4000.0亩。</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退化林分修复建设布局</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退化林修复面积4000.0亩，位于宝库乡、东峡镇、桦林乡、景阳镇、良教乡、青林乡、极乐乡，区划35个退化林修复作业小班。分别位于105林班30、36、38、40小班；258林班4小班；261林班24、29、30、40小班；248林班3、6、24小班；246林班21、23小班；242林班14小班；239林班8小班；236林班9、11小班；240林班4小班；284林班3、2小班；262林班8、9、10小班；350林班30、33小班；353林班29、35、56小班；342林班24、26小班；172林班1小班；14林班14小班；15林班22小班；164林班1小班。</w:t>
      </w:r>
    </w:p>
    <w:p>
      <w:pPr>
        <w:pStyle w:val="8"/>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模式设计 </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为因地制宜地开展项目建设工作，根据项目区立地条件</w:t>
      </w:r>
      <w:r>
        <w:rPr>
          <w:rFonts w:hint="eastAsia" w:ascii="仿宋" w:hAnsi="仿宋" w:eastAsia="仿宋" w:cs="仿宋"/>
          <w:bCs/>
          <w:sz w:val="28"/>
          <w:szCs w:val="28"/>
          <w:lang w:val="en-US" w:eastAsia="zh-CN"/>
        </w:rPr>
        <w:t>和补植密度</w:t>
      </w:r>
      <w:r>
        <w:rPr>
          <w:rFonts w:hint="eastAsia" w:ascii="仿宋" w:hAnsi="仿宋" w:eastAsia="仿宋" w:cs="仿宋"/>
          <w:bCs/>
          <w:sz w:val="28"/>
          <w:szCs w:val="28"/>
        </w:rPr>
        <w:t>的不同，</w:t>
      </w:r>
      <w:r>
        <w:rPr>
          <w:rFonts w:hint="eastAsia" w:ascii="仿宋" w:hAnsi="仿宋" w:eastAsia="仿宋" w:cs="仿宋"/>
          <w:bCs/>
          <w:sz w:val="28"/>
          <w:szCs w:val="28"/>
          <w:lang w:val="en-US" w:eastAsia="zh-CN"/>
        </w:rPr>
        <w:t>苗木栽植</w:t>
      </w:r>
      <w:r>
        <w:rPr>
          <w:rFonts w:hint="eastAsia" w:ascii="仿宋" w:hAnsi="仿宋" w:eastAsia="仿宋" w:cs="仿宋"/>
          <w:bCs/>
          <w:sz w:val="28"/>
          <w:szCs w:val="28"/>
        </w:rPr>
        <w:t>不同地段的区位水分及植物生长条件等因素确定不同</w:t>
      </w:r>
      <w:r>
        <w:rPr>
          <w:rFonts w:hint="eastAsia" w:ascii="仿宋" w:hAnsi="仿宋" w:eastAsia="仿宋" w:cs="仿宋"/>
          <w:bCs/>
          <w:sz w:val="28"/>
          <w:szCs w:val="28"/>
          <w:lang w:val="en-US" w:eastAsia="zh-CN"/>
        </w:rPr>
        <w:t>退化林修复</w:t>
      </w:r>
      <w:r>
        <w:rPr>
          <w:rFonts w:hint="eastAsia" w:ascii="仿宋" w:hAnsi="仿宋" w:eastAsia="仿宋" w:cs="仿宋"/>
          <w:bCs/>
          <w:sz w:val="28"/>
          <w:szCs w:val="28"/>
        </w:rPr>
        <w:t>方式，选择不同树种进行</w:t>
      </w:r>
      <w:r>
        <w:rPr>
          <w:rFonts w:hint="eastAsia" w:ascii="仿宋" w:hAnsi="仿宋" w:eastAsia="仿宋" w:cs="仿宋"/>
          <w:bCs/>
          <w:sz w:val="28"/>
          <w:szCs w:val="28"/>
          <w:lang w:val="en-US" w:eastAsia="zh-CN"/>
        </w:rPr>
        <w:t>补植</w:t>
      </w:r>
      <w:r>
        <w:rPr>
          <w:rFonts w:hint="eastAsia" w:ascii="仿宋" w:hAnsi="仿宋" w:eastAsia="仿宋" w:cs="仿宋"/>
          <w:bCs/>
          <w:sz w:val="28"/>
          <w:szCs w:val="28"/>
        </w:rPr>
        <w:t>。共划分</w:t>
      </w:r>
      <w:r>
        <w:rPr>
          <w:rFonts w:hint="eastAsia" w:ascii="仿宋" w:hAnsi="仿宋" w:eastAsia="仿宋" w:cs="仿宋"/>
          <w:bCs/>
          <w:color w:val="auto"/>
          <w:sz w:val="28"/>
          <w:szCs w:val="28"/>
        </w:rPr>
        <w:t>了</w:t>
      </w:r>
      <w:r>
        <w:rPr>
          <w:rFonts w:hint="eastAsia" w:ascii="仿宋" w:hAnsi="仿宋" w:eastAsia="仿宋" w:cs="仿宋"/>
          <w:bCs/>
          <w:sz w:val="28"/>
          <w:szCs w:val="28"/>
          <w:lang w:val="en-US" w:eastAsia="zh-CN"/>
        </w:rPr>
        <w:t>3种退化林修复模式</w:t>
      </w:r>
      <w:r>
        <w:rPr>
          <w:rFonts w:hint="eastAsia" w:ascii="仿宋" w:hAnsi="仿宋" w:eastAsia="仿宋" w:cs="仿宋"/>
          <w:bCs/>
          <w:sz w:val="28"/>
          <w:szCs w:val="28"/>
        </w:rPr>
        <w:t>。</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退化林修复模式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模式Ⅰ：针叶乔木与灌木混交模式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在郁闭度低或林隙、林窗、林中空地断带断行等处进行补造。每亩补造苗木64、65株，选择青海云杉苗高80厘米以上苗木、带土球20厘米，株行距3米×3.5米，整地方式为穴状整地，整地规格：穴径50厘米、穴深50厘米。在春季土壤解冻后进行提前整地，该模式实施面积为2456.0亩。补植青海云杉157722株。</w:t>
      </w:r>
    </w:p>
    <w:tbl>
      <w:tblPr>
        <w:tblStyle w:val="22"/>
        <w:tblW w:w="8559" w:type="dxa"/>
        <w:jc w:val="center"/>
        <w:tblLayout w:type="fixed"/>
        <w:tblCellMar>
          <w:top w:w="0" w:type="dxa"/>
          <w:left w:w="108" w:type="dxa"/>
          <w:bottom w:w="0" w:type="dxa"/>
          <w:right w:w="108" w:type="dxa"/>
        </w:tblCellMar>
      </w:tblPr>
      <w:tblGrid>
        <w:gridCol w:w="1353"/>
        <w:gridCol w:w="2689"/>
        <w:gridCol w:w="1114"/>
        <w:gridCol w:w="1221"/>
        <w:gridCol w:w="2182"/>
      </w:tblGrid>
      <w:tr>
        <w:tblPrEx>
          <w:tblCellMar>
            <w:top w:w="0" w:type="dxa"/>
            <w:left w:w="108" w:type="dxa"/>
            <w:bottom w:w="0" w:type="dxa"/>
            <w:right w:w="108" w:type="dxa"/>
          </w:tblCellMar>
        </w:tblPrEx>
        <w:trPr>
          <w:cantSplit/>
          <w:trHeight w:val="680" w:hRule="atLeast"/>
          <w:jc w:val="center"/>
        </w:trPr>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66" w:lineRule="atLeas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水土保持林</w:t>
            </w:r>
          </w:p>
        </w:tc>
        <w:tc>
          <w:tcPr>
            <w:tcW w:w="7206" w:type="dxa"/>
            <w:gridSpan w:val="4"/>
            <w:tcBorders>
              <w:top w:val="single" w:color="auto" w:sz="4" w:space="0"/>
              <w:left w:val="nil"/>
              <w:bottom w:val="single" w:color="auto" w:sz="4" w:space="0"/>
              <w:right w:val="single" w:color="auto" w:sz="4" w:space="0"/>
            </w:tcBorders>
            <w:noWrap w:val="0"/>
            <w:vAlign w:val="center"/>
          </w:tcPr>
          <w:p>
            <w:pPr>
              <w:spacing w:line="166" w:lineRule="atLeast"/>
              <w:jc w:val="center"/>
              <w:rPr>
                <w:rFonts w:hint="eastAsia" w:ascii="仿宋" w:hAnsi="仿宋" w:eastAsia="仿宋" w:cs="仿宋"/>
                <w:b/>
                <w:bCs/>
                <w:color w:val="000000"/>
                <w:sz w:val="18"/>
                <w:szCs w:val="18"/>
              </w:rPr>
            </w:pPr>
            <w:r>
              <w:rPr>
                <w:rFonts w:hint="eastAsia" w:ascii="仿宋" w:hAnsi="仿宋" w:eastAsia="仿宋" w:cs="仿宋"/>
                <w:b/>
                <w:bCs/>
                <w:color w:val="000000"/>
                <w:szCs w:val="21"/>
              </w:rPr>
              <w:t>图         式</w:t>
            </w:r>
          </w:p>
        </w:tc>
      </w:tr>
      <w:tr>
        <w:tblPrEx>
          <w:tblCellMar>
            <w:top w:w="0" w:type="dxa"/>
            <w:left w:w="108" w:type="dxa"/>
            <w:bottom w:w="0" w:type="dxa"/>
            <w:right w:w="108" w:type="dxa"/>
          </w:tblCellMar>
        </w:tblPrEx>
        <w:trPr>
          <w:cantSplit/>
          <w:trHeight w:val="3083" w:hRule="atLeast"/>
          <w:jc w:val="center"/>
        </w:trPr>
        <w:tc>
          <w:tcPr>
            <w:tcW w:w="13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18"/>
                <w:szCs w:val="18"/>
              </w:rPr>
            </w:pPr>
          </w:p>
        </w:tc>
        <w:tc>
          <w:tcPr>
            <w:tcW w:w="720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drawing>
                <wp:inline distT="0" distB="0" distL="114300" distR="114300">
                  <wp:extent cx="2828925" cy="1962150"/>
                  <wp:effectExtent l="0" t="0" r="9525" b="0"/>
                  <wp:docPr id="7"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
                          <pic:cNvPicPr>
                            <a:picLocks noChangeAspect="1"/>
                          </pic:cNvPicPr>
                        </pic:nvPicPr>
                        <pic:blipFill>
                          <a:blip r:embed="rId15"/>
                          <a:stretch>
                            <a:fillRect/>
                          </a:stretch>
                        </pic:blipFill>
                        <pic:spPr>
                          <a:xfrm>
                            <a:off x="0" y="0"/>
                            <a:ext cx="2828925" cy="1962150"/>
                          </a:xfrm>
                          <a:prstGeom prst="rect">
                            <a:avLst/>
                          </a:prstGeom>
                          <a:noFill/>
                          <a:ln>
                            <a:noFill/>
                          </a:ln>
                        </pic:spPr>
                      </pic:pic>
                    </a:graphicData>
                  </a:graphic>
                </wp:inline>
              </w:drawing>
            </w:r>
          </w:p>
        </w:tc>
      </w:tr>
      <w:tr>
        <w:tblPrEx>
          <w:tblCellMar>
            <w:top w:w="0" w:type="dxa"/>
            <w:left w:w="108" w:type="dxa"/>
            <w:bottom w:w="0" w:type="dxa"/>
            <w:right w:w="108" w:type="dxa"/>
          </w:tblCellMar>
        </w:tblPrEx>
        <w:trPr>
          <w:cantSplit/>
          <w:trHeight w:val="533" w:hRule="exact"/>
          <w:jc w:val="center"/>
        </w:trPr>
        <w:tc>
          <w:tcPr>
            <w:tcW w:w="855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种   苗  计  划</w:t>
            </w:r>
          </w:p>
        </w:tc>
      </w:tr>
      <w:tr>
        <w:tblPrEx>
          <w:tblCellMar>
            <w:top w:w="0" w:type="dxa"/>
            <w:left w:w="108" w:type="dxa"/>
            <w:bottom w:w="0" w:type="dxa"/>
            <w:right w:w="108" w:type="dxa"/>
          </w:tblCellMar>
        </w:tblPrEx>
        <w:trPr>
          <w:cantSplit/>
          <w:trHeight w:val="533"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主要树种</w:t>
            </w:r>
          </w:p>
        </w:tc>
        <w:tc>
          <w:tcPr>
            <w:tcW w:w="268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种苗规格</w:t>
            </w:r>
          </w:p>
        </w:tc>
        <w:tc>
          <w:tcPr>
            <w:tcW w:w="111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株行距</w:t>
            </w:r>
          </w:p>
        </w:tc>
        <w:tc>
          <w:tcPr>
            <w:tcW w:w="122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单位需苗量</w:t>
            </w:r>
          </w:p>
        </w:tc>
        <w:tc>
          <w:tcPr>
            <w:tcW w:w="21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64、65株/亩</w:t>
            </w:r>
          </w:p>
        </w:tc>
      </w:tr>
      <w:tr>
        <w:tblPrEx>
          <w:tblCellMar>
            <w:top w:w="0" w:type="dxa"/>
            <w:left w:w="108" w:type="dxa"/>
            <w:bottom w:w="0" w:type="dxa"/>
            <w:right w:w="108" w:type="dxa"/>
          </w:tblCellMar>
        </w:tblPrEx>
        <w:trPr>
          <w:cantSplit/>
          <w:trHeight w:val="533"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sz w:val="18"/>
                <w:szCs w:val="18"/>
                <w:lang w:val="en-US" w:eastAsia="zh-CN"/>
              </w:rPr>
              <w:t>青海云杉</w:t>
            </w:r>
          </w:p>
        </w:tc>
        <w:tc>
          <w:tcPr>
            <w:tcW w:w="268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苗</w:t>
            </w:r>
            <w:r>
              <w:rPr>
                <w:rFonts w:hint="eastAsia" w:ascii="仿宋" w:hAnsi="仿宋" w:eastAsia="仿宋" w:cs="仿宋"/>
                <w:color w:val="000000"/>
                <w:sz w:val="18"/>
                <w:szCs w:val="18"/>
              </w:rPr>
              <w:t>高</w:t>
            </w:r>
            <w:r>
              <w:rPr>
                <w:rFonts w:hint="eastAsia" w:ascii="仿宋" w:hAnsi="仿宋" w:eastAsia="仿宋" w:cs="仿宋"/>
                <w:color w:val="000000"/>
                <w:sz w:val="18"/>
                <w:szCs w:val="18"/>
                <w:lang w:val="en-US" w:eastAsia="zh-CN"/>
              </w:rPr>
              <w:t>80</w:t>
            </w:r>
            <w:r>
              <w:rPr>
                <w:rFonts w:hint="eastAsia" w:ascii="仿宋" w:hAnsi="仿宋" w:eastAsia="仿宋" w:cs="仿宋"/>
                <w:color w:val="000000"/>
                <w:sz w:val="18"/>
                <w:szCs w:val="18"/>
              </w:rPr>
              <w:t>厘米以上</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土球20厘米</w:t>
            </w:r>
          </w:p>
        </w:tc>
        <w:tc>
          <w:tcPr>
            <w:tcW w:w="1114" w:type="dxa"/>
            <w:vMerge w:val="restart"/>
            <w:tcBorders>
              <w:top w:val="single" w:color="auto" w:sz="4" w:space="0"/>
              <w:left w:val="nil"/>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m</w:t>
            </w:r>
            <w:r>
              <w:rPr>
                <w:rFonts w:hint="eastAsia" w:ascii="仿宋" w:hAnsi="仿宋" w:eastAsia="仿宋" w:cs="仿宋"/>
                <w:color w:val="000000"/>
                <w:sz w:val="18"/>
                <w:szCs w:val="18"/>
                <w:lang w:val="en-US" w:eastAsia="zh-CN"/>
              </w:rPr>
              <w:t>*3.5</w:t>
            </w:r>
            <w:r>
              <w:rPr>
                <w:rFonts w:hint="eastAsia" w:ascii="仿宋" w:hAnsi="仿宋" w:eastAsia="仿宋" w:cs="仿宋"/>
                <w:color w:val="000000"/>
                <w:sz w:val="18"/>
                <w:szCs w:val="18"/>
              </w:rPr>
              <w:t>m</w:t>
            </w:r>
          </w:p>
        </w:tc>
        <w:tc>
          <w:tcPr>
            <w:tcW w:w="122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64</w:t>
            </w:r>
            <w:r>
              <w:rPr>
                <w:rFonts w:hint="eastAsia" w:ascii="仿宋" w:hAnsi="仿宋" w:eastAsia="仿宋" w:cs="仿宋"/>
                <w:color w:val="000000"/>
                <w:sz w:val="18"/>
                <w:szCs w:val="18"/>
              </w:rPr>
              <w:t>株/ 亩</w:t>
            </w:r>
          </w:p>
        </w:tc>
        <w:tc>
          <w:tcPr>
            <w:tcW w:w="21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健壮无病虫害</w:t>
            </w:r>
          </w:p>
        </w:tc>
      </w:tr>
      <w:tr>
        <w:tblPrEx>
          <w:tblCellMar>
            <w:top w:w="0" w:type="dxa"/>
            <w:left w:w="108" w:type="dxa"/>
            <w:bottom w:w="0" w:type="dxa"/>
            <w:right w:w="108" w:type="dxa"/>
          </w:tblCellMar>
        </w:tblPrEx>
        <w:trPr>
          <w:cantSplit/>
          <w:trHeight w:val="525"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sz w:val="18"/>
                <w:szCs w:val="18"/>
                <w:lang w:val="en-US" w:eastAsia="zh-CN"/>
              </w:rPr>
              <w:t>青海云杉</w:t>
            </w:r>
          </w:p>
        </w:tc>
        <w:tc>
          <w:tcPr>
            <w:tcW w:w="268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苗</w:t>
            </w:r>
            <w:r>
              <w:rPr>
                <w:rFonts w:hint="eastAsia" w:ascii="仿宋" w:hAnsi="仿宋" w:eastAsia="仿宋" w:cs="仿宋"/>
                <w:color w:val="000000"/>
                <w:sz w:val="18"/>
                <w:szCs w:val="18"/>
              </w:rPr>
              <w:t>高</w:t>
            </w:r>
            <w:r>
              <w:rPr>
                <w:rFonts w:hint="eastAsia" w:ascii="仿宋" w:hAnsi="仿宋" w:eastAsia="仿宋" w:cs="仿宋"/>
                <w:color w:val="000000"/>
                <w:sz w:val="18"/>
                <w:szCs w:val="18"/>
                <w:lang w:val="en-US" w:eastAsia="zh-CN"/>
              </w:rPr>
              <w:t>80</w:t>
            </w:r>
            <w:r>
              <w:rPr>
                <w:rFonts w:hint="eastAsia" w:ascii="仿宋" w:hAnsi="仿宋" w:eastAsia="仿宋" w:cs="仿宋"/>
                <w:color w:val="000000"/>
                <w:sz w:val="18"/>
                <w:szCs w:val="18"/>
              </w:rPr>
              <w:t>厘米以上</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土球20厘米</w:t>
            </w:r>
          </w:p>
        </w:tc>
        <w:tc>
          <w:tcPr>
            <w:tcW w:w="1114" w:type="dxa"/>
            <w:vMerge w:val="continue"/>
            <w:tcBorders>
              <w:left w:val="nil"/>
              <w:right w:val="single" w:color="auto" w:sz="4" w:space="0"/>
            </w:tcBorders>
            <w:noWrap w:val="0"/>
            <w:vAlign w:val="center"/>
          </w:tcPr>
          <w:p>
            <w:pPr>
              <w:spacing w:line="240" w:lineRule="exact"/>
              <w:ind w:firstLine="180" w:firstLineChars="100"/>
              <w:jc w:val="center"/>
              <w:rPr>
                <w:rFonts w:hint="eastAsia" w:ascii="仿宋" w:hAnsi="仿宋" w:eastAsia="仿宋" w:cs="仿宋"/>
                <w:color w:val="000000"/>
                <w:sz w:val="18"/>
                <w:szCs w:val="18"/>
              </w:rPr>
            </w:pPr>
          </w:p>
        </w:tc>
        <w:tc>
          <w:tcPr>
            <w:tcW w:w="122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65</w:t>
            </w:r>
            <w:r>
              <w:rPr>
                <w:rFonts w:hint="eastAsia" w:ascii="仿宋" w:hAnsi="仿宋" w:eastAsia="仿宋" w:cs="仿宋"/>
                <w:color w:val="000000"/>
                <w:sz w:val="18"/>
                <w:szCs w:val="18"/>
              </w:rPr>
              <w:t>株/ 亩</w:t>
            </w:r>
          </w:p>
        </w:tc>
        <w:tc>
          <w:tcPr>
            <w:tcW w:w="218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健壮无病虫害</w:t>
            </w:r>
          </w:p>
        </w:tc>
      </w:tr>
      <w:tr>
        <w:tblPrEx>
          <w:tblCellMar>
            <w:top w:w="0" w:type="dxa"/>
            <w:left w:w="108" w:type="dxa"/>
            <w:bottom w:w="0" w:type="dxa"/>
            <w:right w:w="108" w:type="dxa"/>
          </w:tblCellMar>
        </w:tblPrEx>
        <w:trPr>
          <w:cantSplit/>
          <w:trHeight w:val="533" w:hRule="exact"/>
          <w:jc w:val="center"/>
        </w:trPr>
        <w:tc>
          <w:tcPr>
            <w:tcW w:w="855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技术措施</w:t>
            </w:r>
          </w:p>
        </w:tc>
      </w:tr>
      <w:tr>
        <w:tblPrEx>
          <w:tblCellMar>
            <w:top w:w="0" w:type="dxa"/>
            <w:left w:w="108" w:type="dxa"/>
            <w:bottom w:w="0" w:type="dxa"/>
            <w:right w:w="108" w:type="dxa"/>
          </w:tblCellMar>
        </w:tblPrEx>
        <w:trPr>
          <w:cantSplit/>
          <w:trHeight w:val="533"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整地</w:t>
            </w:r>
          </w:p>
        </w:tc>
        <w:tc>
          <w:tcPr>
            <w:tcW w:w="720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先进行</w:t>
            </w:r>
            <w:r>
              <w:rPr>
                <w:rFonts w:hint="eastAsia" w:ascii="仿宋" w:hAnsi="仿宋" w:eastAsia="仿宋" w:cs="仿宋"/>
                <w:color w:val="000000"/>
                <w:sz w:val="18"/>
                <w:szCs w:val="18"/>
                <w:lang w:val="en-US" w:eastAsia="zh-CN"/>
              </w:rPr>
              <w:t>穴状</w:t>
            </w:r>
            <w:r>
              <w:rPr>
                <w:rFonts w:hint="eastAsia" w:ascii="仿宋" w:hAnsi="仿宋" w:eastAsia="仿宋" w:cs="仿宋"/>
                <w:color w:val="000000"/>
                <w:sz w:val="18"/>
                <w:szCs w:val="18"/>
              </w:rPr>
              <w:t>整地。整地规格</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0*</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0。采取提前整地。</w:t>
            </w:r>
          </w:p>
        </w:tc>
      </w:tr>
      <w:tr>
        <w:tblPrEx>
          <w:tblCellMar>
            <w:top w:w="0" w:type="dxa"/>
            <w:left w:w="108" w:type="dxa"/>
            <w:bottom w:w="0" w:type="dxa"/>
            <w:right w:w="108" w:type="dxa"/>
          </w:tblCellMar>
        </w:tblPrEx>
        <w:trPr>
          <w:cantSplit/>
          <w:trHeight w:val="533"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造林</w:t>
            </w:r>
          </w:p>
        </w:tc>
        <w:tc>
          <w:tcPr>
            <w:tcW w:w="720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eastAsia="zh-CN"/>
              </w:rPr>
            </w:pPr>
            <w:r>
              <w:rPr>
                <w:rFonts w:hint="eastAsia" w:ascii="仿宋" w:hAnsi="仿宋" w:eastAsia="仿宋" w:cs="仿宋"/>
                <w:color w:val="000000"/>
                <w:sz w:val="18"/>
                <w:szCs w:val="18"/>
              </w:rPr>
              <w:t>春季植苗造林，</w:t>
            </w:r>
            <w:r>
              <w:rPr>
                <w:rFonts w:hint="eastAsia" w:ascii="仿宋" w:hAnsi="仿宋" w:eastAsia="仿宋" w:cs="仿宋"/>
                <w:color w:val="000000"/>
                <w:sz w:val="18"/>
                <w:szCs w:val="18"/>
                <w:lang w:eastAsia="zh-CN"/>
              </w:rPr>
              <w:t>混交方式：行间、</w:t>
            </w:r>
            <w:r>
              <w:rPr>
                <w:rFonts w:hint="eastAsia" w:ascii="仿宋" w:hAnsi="仿宋" w:eastAsia="仿宋" w:cs="仿宋"/>
                <w:color w:val="000000"/>
                <w:sz w:val="18"/>
                <w:szCs w:val="18"/>
                <w:lang w:val="en-US" w:eastAsia="zh-CN"/>
              </w:rPr>
              <w:t>块状或团状</w:t>
            </w:r>
            <w:r>
              <w:rPr>
                <w:rFonts w:hint="eastAsia" w:ascii="仿宋" w:hAnsi="仿宋" w:eastAsia="仿宋" w:cs="仿宋"/>
                <w:color w:val="000000"/>
                <w:sz w:val="18"/>
                <w:szCs w:val="18"/>
                <w:lang w:eastAsia="zh-CN"/>
              </w:rPr>
              <w:t>混交</w:t>
            </w:r>
          </w:p>
        </w:tc>
      </w:tr>
      <w:tr>
        <w:tblPrEx>
          <w:tblCellMar>
            <w:top w:w="0" w:type="dxa"/>
            <w:left w:w="108" w:type="dxa"/>
            <w:bottom w:w="0" w:type="dxa"/>
            <w:right w:w="108" w:type="dxa"/>
          </w:tblCellMar>
        </w:tblPrEx>
        <w:trPr>
          <w:cantSplit/>
          <w:trHeight w:val="533"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抚育管理</w:t>
            </w:r>
          </w:p>
        </w:tc>
        <w:tc>
          <w:tcPr>
            <w:tcW w:w="720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做好林木管护及病虫鼠害防治工作。</w:t>
            </w:r>
          </w:p>
        </w:tc>
      </w:tr>
      <w:tr>
        <w:tblPrEx>
          <w:tblCellMar>
            <w:top w:w="0" w:type="dxa"/>
            <w:left w:w="108" w:type="dxa"/>
            <w:bottom w:w="0" w:type="dxa"/>
            <w:right w:w="108" w:type="dxa"/>
          </w:tblCellMar>
        </w:tblPrEx>
        <w:trPr>
          <w:cantSplit/>
          <w:trHeight w:val="533" w:hRule="exact"/>
          <w:jc w:val="center"/>
        </w:trPr>
        <w:tc>
          <w:tcPr>
            <w:tcW w:w="855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劳动力及投资</w:t>
            </w:r>
          </w:p>
        </w:tc>
      </w:tr>
      <w:tr>
        <w:tblPrEx>
          <w:tblCellMar>
            <w:top w:w="0" w:type="dxa"/>
            <w:left w:w="108" w:type="dxa"/>
            <w:bottom w:w="0" w:type="dxa"/>
            <w:right w:w="108" w:type="dxa"/>
          </w:tblCellMar>
        </w:tblPrEx>
        <w:trPr>
          <w:trHeight w:val="533"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劳动力及定额</w:t>
            </w:r>
          </w:p>
        </w:tc>
        <w:tc>
          <w:tcPr>
            <w:tcW w:w="720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p>
        </w:tc>
      </w:tr>
      <w:tr>
        <w:tblPrEx>
          <w:tblCellMar>
            <w:top w:w="0" w:type="dxa"/>
            <w:left w:w="108" w:type="dxa"/>
            <w:bottom w:w="0" w:type="dxa"/>
            <w:right w:w="108" w:type="dxa"/>
          </w:tblCellMar>
        </w:tblPrEx>
        <w:trPr>
          <w:trHeight w:val="588" w:hRule="exac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涉及作业小班</w:t>
            </w:r>
          </w:p>
        </w:tc>
        <w:tc>
          <w:tcPr>
            <w:tcW w:w="7206"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模式Ⅱ：针叶乔木与灌木混交模式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在郁闭度低或林隙、林窗、林中空地断带断行等处进行补造。每亩补造苗木72、74株，选择青海云杉苗高80厘米以上苗木、带土球20厘米，株行距3米×3.1米，整地方式为穴状整地，整地规格：穴径50厘米、穴深50厘米。在春季土壤解冻后进行提前整地，该模式实施面积为1468.0亩。补植青海云杉105724株。</w:t>
      </w:r>
    </w:p>
    <w:p>
      <w:pPr>
        <w:pStyle w:val="2"/>
        <w:rPr>
          <w:rFonts w:hint="eastAsia"/>
          <w:lang w:val="en-US" w:eastAsia="zh-CN"/>
        </w:rPr>
      </w:pPr>
    </w:p>
    <w:tbl>
      <w:tblPr>
        <w:tblStyle w:val="22"/>
        <w:tblW w:w="8779" w:type="dxa"/>
        <w:jc w:val="center"/>
        <w:tblLayout w:type="fixed"/>
        <w:tblCellMar>
          <w:top w:w="0" w:type="dxa"/>
          <w:left w:w="108" w:type="dxa"/>
          <w:bottom w:w="0" w:type="dxa"/>
          <w:right w:w="108" w:type="dxa"/>
        </w:tblCellMar>
      </w:tblPr>
      <w:tblGrid>
        <w:gridCol w:w="1388"/>
        <w:gridCol w:w="2758"/>
        <w:gridCol w:w="1142"/>
        <w:gridCol w:w="1251"/>
        <w:gridCol w:w="2240"/>
      </w:tblGrid>
      <w:tr>
        <w:tblPrEx>
          <w:tblCellMar>
            <w:top w:w="0" w:type="dxa"/>
            <w:left w:w="108" w:type="dxa"/>
            <w:bottom w:w="0" w:type="dxa"/>
            <w:right w:w="108" w:type="dxa"/>
          </w:tblCellMar>
        </w:tblPrEx>
        <w:trPr>
          <w:cantSplit/>
          <w:trHeight w:val="772" w:hRule="atLeast"/>
          <w:jc w:val="center"/>
        </w:trPr>
        <w:tc>
          <w:tcPr>
            <w:tcW w:w="13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66" w:lineRule="atLeas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水土保持林</w:t>
            </w:r>
          </w:p>
        </w:tc>
        <w:tc>
          <w:tcPr>
            <w:tcW w:w="7391" w:type="dxa"/>
            <w:gridSpan w:val="4"/>
            <w:tcBorders>
              <w:top w:val="single" w:color="auto" w:sz="4" w:space="0"/>
              <w:left w:val="nil"/>
              <w:bottom w:val="single" w:color="auto" w:sz="4" w:space="0"/>
              <w:right w:val="single" w:color="auto" w:sz="4" w:space="0"/>
            </w:tcBorders>
            <w:noWrap w:val="0"/>
            <w:vAlign w:val="center"/>
          </w:tcPr>
          <w:p>
            <w:pPr>
              <w:spacing w:line="166" w:lineRule="atLeast"/>
              <w:jc w:val="center"/>
              <w:rPr>
                <w:rFonts w:hint="eastAsia" w:ascii="仿宋" w:hAnsi="仿宋" w:eastAsia="仿宋" w:cs="仿宋"/>
                <w:b/>
                <w:bCs/>
                <w:color w:val="000000"/>
                <w:sz w:val="18"/>
                <w:szCs w:val="18"/>
              </w:rPr>
            </w:pPr>
            <w:r>
              <w:rPr>
                <w:rFonts w:hint="eastAsia" w:ascii="仿宋" w:hAnsi="仿宋" w:eastAsia="仿宋" w:cs="仿宋"/>
                <w:b/>
                <w:bCs/>
                <w:color w:val="000000"/>
                <w:szCs w:val="21"/>
              </w:rPr>
              <w:t>图         式</w:t>
            </w:r>
          </w:p>
        </w:tc>
      </w:tr>
      <w:tr>
        <w:tblPrEx>
          <w:tblCellMar>
            <w:top w:w="0" w:type="dxa"/>
            <w:left w:w="108" w:type="dxa"/>
            <w:bottom w:w="0" w:type="dxa"/>
            <w:right w:w="108" w:type="dxa"/>
          </w:tblCellMar>
        </w:tblPrEx>
        <w:trPr>
          <w:cantSplit/>
          <w:trHeight w:val="4675" w:hRule="atLeast"/>
          <w:jc w:val="center"/>
        </w:trPr>
        <w:tc>
          <w:tcPr>
            <w:tcW w:w="13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18"/>
                <w:szCs w:val="18"/>
              </w:rPr>
            </w:pPr>
          </w:p>
        </w:tc>
        <w:tc>
          <w:tcPr>
            <w:tcW w:w="7391"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drawing>
                <wp:inline distT="0" distB="0" distL="114300" distR="114300">
                  <wp:extent cx="3219450" cy="2609850"/>
                  <wp:effectExtent l="0" t="0" r="0" b="0"/>
                  <wp:docPr id="8"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
                          <pic:cNvPicPr>
                            <a:picLocks noChangeAspect="1"/>
                          </pic:cNvPicPr>
                        </pic:nvPicPr>
                        <pic:blipFill>
                          <a:blip r:embed="rId16"/>
                          <a:stretch>
                            <a:fillRect/>
                          </a:stretch>
                        </pic:blipFill>
                        <pic:spPr>
                          <a:xfrm>
                            <a:off x="0" y="0"/>
                            <a:ext cx="3219450" cy="2609850"/>
                          </a:xfrm>
                          <a:prstGeom prst="rect">
                            <a:avLst/>
                          </a:prstGeom>
                          <a:noFill/>
                          <a:ln>
                            <a:noFill/>
                          </a:ln>
                        </pic:spPr>
                      </pic:pic>
                    </a:graphicData>
                  </a:graphic>
                </wp:inline>
              </w:drawing>
            </w:r>
          </w:p>
        </w:tc>
      </w:tr>
      <w:tr>
        <w:tblPrEx>
          <w:tblCellMar>
            <w:top w:w="0" w:type="dxa"/>
            <w:left w:w="108" w:type="dxa"/>
            <w:bottom w:w="0" w:type="dxa"/>
            <w:right w:w="108" w:type="dxa"/>
          </w:tblCellMar>
        </w:tblPrEx>
        <w:trPr>
          <w:cantSplit/>
          <w:trHeight w:val="477" w:hRule="exact"/>
          <w:jc w:val="center"/>
        </w:trPr>
        <w:tc>
          <w:tcPr>
            <w:tcW w:w="877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种   苗  计  划</w:t>
            </w:r>
          </w:p>
        </w:tc>
      </w:tr>
      <w:tr>
        <w:tblPrEx>
          <w:tblCellMar>
            <w:top w:w="0" w:type="dxa"/>
            <w:left w:w="108" w:type="dxa"/>
            <w:bottom w:w="0" w:type="dxa"/>
            <w:right w:w="108" w:type="dxa"/>
          </w:tblCellMar>
        </w:tblPrEx>
        <w:trPr>
          <w:cantSplit/>
          <w:trHeight w:val="477"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主要树种</w:t>
            </w:r>
          </w:p>
        </w:tc>
        <w:tc>
          <w:tcPr>
            <w:tcW w:w="275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种苗规格</w:t>
            </w:r>
          </w:p>
        </w:tc>
        <w:tc>
          <w:tcPr>
            <w:tcW w:w="11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株行距</w:t>
            </w:r>
          </w:p>
        </w:tc>
        <w:tc>
          <w:tcPr>
            <w:tcW w:w="125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单位需苗量</w:t>
            </w:r>
          </w:p>
        </w:tc>
        <w:tc>
          <w:tcPr>
            <w:tcW w:w="22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72、74株/亩</w:t>
            </w:r>
          </w:p>
        </w:tc>
      </w:tr>
      <w:tr>
        <w:tblPrEx>
          <w:tblCellMar>
            <w:top w:w="0" w:type="dxa"/>
            <w:left w:w="108" w:type="dxa"/>
            <w:bottom w:w="0" w:type="dxa"/>
            <w:right w:w="108" w:type="dxa"/>
          </w:tblCellMar>
        </w:tblPrEx>
        <w:trPr>
          <w:cantSplit/>
          <w:trHeight w:val="477"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sz w:val="18"/>
                <w:szCs w:val="18"/>
                <w:lang w:val="en-US" w:eastAsia="zh-CN"/>
              </w:rPr>
              <w:t>青海云杉</w:t>
            </w:r>
          </w:p>
        </w:tc>
        <w:tc>
          <w:tcPr>
            <w:tcW w:w="275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苗</w:t>
            </w:r>
            <w:r>
              <w:rPr>
                <w:rFonts w:hint="eastAsia" w:ascii="仿宋" w:hAnsi="仿宋" w:eastAsia="仿宋" w:cs="仿宋"/>
                <w:color w:val="000000"/>
                <w:sz w:val="18"/>
                <w:szCs w:val="18"/>
              </w:rPr>
              <w:t>高</w:t>
            </w:r>
            <w:r>
              <w:rPr>
                <w:rFonts w:hint="eastAsia" w:ascii="仿宋" w:hAnsi="仿宋" w:eastAsia="仿宋" w:cs="仿宋"/>
                <w:color w:val="000000"/>
                <w:sz w:val="18"/>
                <w:szCs w:val="18"/>
                <w:lang w:val="en-US" w:eastAsia="zh-CN"/>
              </w:rPr>
              <w:t>80</w:t>
            </w:r>
            <w:r>
              <w:rPr>
                <w:rFonts w:hint="eastAsia" w:ascii="仿宋" w:hAnsi="仿宋" w:eastAsia="仿宋" w:cs="仿宋"/>
                <w:color w:val="000000"/>
                <w:sz w:val="18"/>
                <w:szCs w:val="18"/>
              </w:rPr>
              <w:t>厘米以上</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土球20厘米</w:t>
            </w:r>
          </w:p>
        </w:tc>
        <w:tc>
          <w:tcPr>
            <w:tcW w:w="1142" w:type="dxa"/>
            <w:vMerge w:val="restart"/>
            <w:tcBorders>
              <w:top w:val="single" w:color="auto" w:sz="4" w:space="0"/>
              <w:left w:val="nil"/>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m</w:t>
            </w:r>
            <w:r>
              <w:rPr>
                <w:rFonts w:hint="eastAsia" w:ascii="仿宋" w:hAnsi="仿宋" w:eastAsia="仿宋" w:cs="仿宋"/>
                <w:color w:val="000000"/>
                <w:sz w:val="18"/>
                <w:szCs w:val="18"/>
                <w:lang w:val="en-US" w:eastAsia="zh-CN"/>
              </w:rPr>
              <w:t>*3.1</w:t>
            </w:r>
            <w:r>
              <w:rPr>
                <w:rFonts w:hint="eastAsia" w:ascii="仿宋" w:hAnsi="仿宋" w:eastAsia="仿宋" w:cs="仿宋"/>
                <w:color w:val="000000"/>
                <w:sz w:val="18"/>
                <w:szCs w:val="18"/>
              </w:rPr>
              <w:t>m</w:t>
            </w:r>
          </w:p>
        </w:tc>
        <w:tc>
          <w:tcPr>
            <w:tcW w:w="125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72</w:t>
            </w:r>
            <w:r>
              <w:rPr>
                <w:rFonts w:hint="eastAsia" w:ascii="仿宋" w:hAnsi="仿宋" w:eastAsia="仿宋" w:cs="仿宋"/>
                <w:color w:val="000000"/>
                <w:sz w:val="18"/>
                <w:szCs w:val="18"/>
              </w:rPr>
              <w:t>株/ 亩</w:t>
            </w:r>
          </w:p>
        </w:tc>
        <w:tc>
          <w:tcPr>
            <w:tcW w:w="22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健壮无病虫害</w:t>
            </w:r>
          </w:p>
        </w:tc>
      </w:tr>
      <w:tr>
        <w:tblPrEx>
          <w:tblCellMar>
            <w:top w:w="0" w:type="dxa"/>
            <w:left w:w="108" w:type="dxa"/>
            <w:bottom w:w="0" w:type="dxa"/>
            <w:right w:w="108" w:type="dxa"/>
          </w:tblCellMar>
        </w:tblPrEx>
        <w:trPr>
          <w:cantSplit/>
          <w:trHeight w:val="790"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sz w:val="18"/>
                <w:szCs w:val="18"/>
                <w:lang w:val="en-US" w:eastAsia="zh-CN"/>
              </w:rPr>
              <w:t>青海云杉</w:t>
            </w:r>
          </w:p>
        </w:tc>
        <w:tc>
          <w:tcPr>
            <w:tcW w:w="275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苗</w:t>
            </w:r>
            <w:r>
              <w:rPr>
                <w:rFonts w:hint="eastAsia" w:ascii="仿宋" w:hAnsi="仿宋" w:eastAsia="仿宋" w:cs="仿宋"/>
                <w:color w:val="000000"/>
                <w:sz w:val="18"/>
                <w:szCs w:val="18"/>
              </w:rPr>
              <w:t>高</w:t>
            </w:r>
            <w:r>
              <w:rPr>
                <w:rFonts w:hint="eastAsia" w:ascii="仿宋" w:hAnsi="仿宋" w:eastAsia="仿宋" w:cs="仿宋"/>
                <w:color w:val="000000"/>
                <w:sz w:val="18"/>
                <w:szCs w:val="18"/>
                <w:lang w:val="en-US" w:eastAsia="zh-CN"/>
              </w:rPr>
              <w:t>80</w:t>
            </w:r>
            <w:r>
              <w:rPr>
                <w:rFonts w:hint="eastAsia" w:ascii="仿宋" w:hAnsi="仿宋" w:eastAsia="仿宋" w:cs="仿宋"/>
                <w:color w:val="000000"/>
                <w:sz w:val="18"/>
                <w:szCs w:val="18"/>
              </w:rPr>
              <w:t>厘米以上</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土球20厘米</w:t>
            </w:r>
          </w:p>
        </w:tc>
        <w:tc>
          <w:tcPr>
            <w:tcW w:w="1142" w:type="dxa"/>
            <w:vMerge w:val="continue"/>
            <w:tcBorders>
              <w:left w:val="nil"/>
              <w:right w:val="single" w:color="auto" w:sz="4" w:space="0"/>
            </w:tcBorders>
            <w:noWrap w:val="0"/>
            <w:vAlign w:val="center"/>
          </w:tcPr>
          <w:p>
            <w:pPr>
              <w:spacing w:line="240" w:lineRule="exact"/>
              <w:ind w:firstLine="180" w:firstLineChars="100"/>
              <w:jc w:val="center"/>
              <w:rPr>
                <w:rFonts w:hint="eastAsia" w:ascii="仿宋" w:hAnsi="仿宋" w:eastAsia="仿宋" w:cs="仿宋"/>
                <w:color w:val="000000"/>
                <w:sz w:val="18"/>
                <w:szCs w:val="18"/>
              </w:rPr>
            </w:pPr>
          </w:p>
        </w:tc>
        <w:tc>
          <w:tcPr>
            <w:tcW w:w="125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74</w:t>
            </w:r>
            <w:r>
              <w:rPr>
                <w:rFonts w:hint="eastAsia" w:ascii="仿宋" w:hAnsi="仿宋" w:eastAsia="仿宋" w:cs="仿宋"/>
                <w:color w:val="000000"/>
                <w:sz w:val="18"/>
                <w:szCs w:val="18"/>
              </w:rPr>
              <w:t>株/ 亩</w:t>
            </w:r>
          </w:p>
        </w:tc>
        <w:tc>
          <w:tcPr>
            <w:tcW w:w="22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健壮无病虫害</w:t>
            </w:r>
          </w:p>
        </w:tc>
      </w:tr>
      <w:tr>
        <w:tblPrEx>
          <w:tblCellMar>
            <w:top w:w="0" w:type="dxa"/>
            <w:left w:w="108" w:type="dxa"/>
            <w:bottom w:w="0" w:type="dxa"/>
            <w:right w:w="108" w:type="dxa"/>
          </w:tblCellMar>
        </w:tblPrEx>
        <w:trPr>
          <w:cantSplit/>
          <w:trHeight w:val="477" w:hRule="exact"/>
          <w:jc w:val="center"/>
        </w:trPr>
        <w:tc>
          <w:tcPr>
            <w:tcW w:w="877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技术措施</w:t>
            </w:r>
          </w:p>
        </w:tc>
      </w:tr>
      <w:tr>
        <w:tblPrEx>
          <w:tblCellMar>
            <w:top w:w="0" w:type="dxa"/>
            <w:left w:w="108" w:type="dxa"/>
            <w:bottom w:w="0" w:type="dxa"/>
            <w:right w:w="108" w:type="dxa"/>
          </w:tblCellMar>
        </w:tblPrEx>
        <w:trPr>
          <w:cantSplit/>
          <w:trHeight w:val="477"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整地</w:t>
            </w:r>
          </w:p>
        </w:tc>
        <w:tc>
          <w:tcPr>
            <w:tcW w:w="7391"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先进行</w:t>
            </w:r>
            <w:r>
              <w:rPr>
                <w:rFonts w:hint="eastAsia" w:ascii="仿宋" w:hAnsi="仿宋" w:eastAsia="仿宋" w:cs="仿宋"/>
                <w:color w:val="000000"/>
                <w:sz w:val="18"/>
                <w:szCs w:val="18"/>
                <w:lang w:val="en-US" w:eastAsia="zh-CN"/>
              </w:rPr>
              <w:t>穴状</w:t>
            </w:r>
            <w:r>
              <w:rPr>
                <w:rFonts w:hint="eastAsia" w:ascii="仿宋" w:hAnsi="仿宋" w:eastAsia="仿宋" w:cs="仿宋"/>
                <w:color w:val="000000"/>
                <w:sz w:val="18"/>
                <w:szCs w:val="18"/>
              </w:rPr>
              <w:t>整地。整地规格</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0*</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0。采取提前整地。</w:t>
            </w:r>
          </w:p>
        </w:tc>
      </w:tr>
      <w:tr>
        <w:tblPrEx>
          <w:tblCellMar>
            <w:top w:w="0" w:type="dxa"/>
            <w:left w:w="108" w:type="dxa"/>
            <w:bottom w:w="0" w:type="dxa"/>
            <w:right w:w="108" w:type="dxa"/>
          </w:tblCellMar>
        </w:tblPrEx>
        <w:trPr>
          <w:cantSplit/>
          <w:trHeight w:val="477"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造林</w:t>
            </w:r>
          </w:p>
        </w:tc>
        <w:tc>
          <w:tcPr>
            <w:tcW w:w="7391"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eastAsia="zh-CN"/>
              </w:rPr>
            </w:pPr>
            <w:r>
              <w:rPr>
                <w:rFonts w:hint="eastAsia" w:ascii="仿宋" w:hAnsi="仿宋" w:eastAsia="仿宋" w:cs="仿宋"/>
                <w:color w:val="000000"/>
                <w:sz w:val="18"/>
                <w:szCs w:val="18"/>
              </w:rPr>
              <w:t>春季植苗造林，</w:t>
            </w:r>
            <w:r>
              <w:rPr>
                <w:rFonts w:hint="eastAsia" w:ascii="仿宋" w:hAnsi="仿宋" w:eastAsia="仿宋" w:cs="仿宋"/>
                <w:color w:val="000000"/>
                <w:sz w:val="18"/>
                <w:szCs w:val="18"/>
                <w:lang w:val="en-US" w:eastAsia="zh-CN"/>
              </w:rPr>
              <w:t>苗木带土球，</w:t>
            </w:r>
            <w:r>
              <w:rPr>
                <w:rFonts w:hint="eastAsia" w:ascii="仿宋" w:hAnsi="仿宋" w:eastAsia="仿宋" w:cs="仿宋"/>
                <w:color w:val="000000"/>
                <w:sz w:val="18"/>
                <w:szCs w:val="18"/>
                <w:lang w:eastAsia="zh-CN"/>
              </w:rPr>
              <w:t>混交方式：行间、</w:t>
            </w:r>
            <w:r>
              <w:rPr>
                <w:rFonts w:hint="eastAsia" w:ascii="仿宋" w:hAnsi="仿宋" w:eastAsia="仿宋" w:cs="仿宋"/>
                <w:color w:val="000000"/>
                <w:sz w:val="18"/>
                <w:szCs w:val="18"/>
                <w:lang w:val="en-US" w:eastAsia="zh-CN"/>
              </w:rPr>
              <w:t>块状或团状</w:t>
            </w:r>
            <w:r>
              <w:rPr>
                <w:rFonts w:hint="eastAsia" w:ascii="仿宋" w:hAnsi="仿宋" w:eastAsia="仿宋" w:cs="仿宋"/>
                <w:color w:val="000000"/>
                <w:sz w:val="18"/>
                <w:szCs w:val="18"/>
                <w:lang w:eastAsia="zh-CN"/>
              </w:rPr>
              <w:t>混交</w:t>
            </w:r>
          </w:p>
        </w:tc>
      </w:tr>
      <w:tr>
        <w:tblPrEx>
          <w:tblCellMar>
            <w:top w:w="0" w:type="dxa"/>
            <w:left w:w="108" w:type="dxa"/>
            <w:bottom w:w="0" w:type="dxa"/>
            <w:right w:w="108" w:type="dxa"/>
          </w:tblCellMar>
        </w:tblPrEx>
        <w:trPr>
          <w:cantSplit/>
          <w:trHeight w:val="477"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抚育管理</w:t>
            </w:r>
          </w:p>
        </w:tc>
        <w:tc>
          <w:tcPr>
            <w:tcW w:w="7391"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做好林木管护及病虫鼠害防治工作。</w:t>
            </w:r>
          </w:p>
        </w:tc>
      </w:tr>
      <w:tr>
        <w:tblPrEx>
          <w:tblCellMar>
            <w:top w:w="0" w:type="dxa"/>
            <w:left w:w="108" w:type="dxa"/>
            <w:bottom w:w="0" w:type="dxa"/>
            <w:right w:w="108" w:type="dxa"/>
          </w:tblCellMar>
        </w:tblPrEx>
        <w:trPr>
          <w:cantSplit/>
          <w:trHeight w:val="477" w:hRule="exact"/>
          <w:jc w:val="center"/>
        </w:trPr>
        <w:tc>
          <w:tcPr>
            <w:tcW w:w="877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劳动力及投资</w:t>
            </w:r>
          </w:p>
        </w:tc>
      </w:tr>
      <w:tr>
        <w:tblPrEx>
          <w:tblCellMar>
            <w:top w:w="0" w:type="dxa"/>
            <w:left w:w="108" w:type="dxa"/>
            <w:bottom w:w="0" w:type="dxa"/>
            <w:right w:w="108" w:type="dxa"/>
          </w:tblCellMar>
        </w:tblPrEx>
        <w:trPr>
          <w:trHeight w:val="477"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劳动力及定额</w:t>
            </w:r>
          </w:p>
        </w:tc>
        <w:tc>
          <w:tcPr>
            <w:tcW w:w="7391"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p>
        </w:tc>
      </w:tr>
      <w:tr>
        <w:tblPrEx>
          <w:tblCellMar>
            <w:top w:w="0" w:type="dxa"/>
            <w:left w:w="108" w:type="dxa"/>
            <w:bottom w:w="0" w:type="dxa"/>
            <w:right w:w="108" w:type="dxa"/>
          </w:tblCellMar>
        </w:tblPrEx>
        <w:trPr>
          <w:trHeight w:val="565" w:hRule="exact"/>
          <w:jc w:val="center"/>
        </w:trPr>
        <w:tc>
          <w:tcPr>
            <w:tcW w:w="13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涉及作业小班</w:t>
            </w:r>
          </w:p>
        </w:tc>
        <w:tc>
          <w:tcPr>
            <w:tcW w:w="7391"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模式Ⅲ：针叶乔木补植模式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在郁闭度低或林隙、林窗、林中空地断带断行等处进行补造。每亩补造苗木83、84株，选择青海云杉苗高80厘米以上苗木、带土球20厘米，株行距2.5米×3.2米，整地方式为穴状整地，整地规格：穴径50厘米、穴深50厘米。在春季土壤解冻后进行提前整地，该模式实施面积为76.0亩。补植青海云杉6342株。</w:t>
      </w:r>
    </w:p>
    <w:tbl>
      <w:tblPr>
        <w:tblStyle w:val="22"/>
        <w:tblW w:w="8799" w:type="dxa"/>
        <w:jc w:val="center"/>
        <w:tblLayout w:type="fixed"/>
        <w:tblCellMar>
          <w:top w:w="0" w:type="dxa"/>
          <w:left w:w="108" w:type="dxa"/>
          <w:bottom w:w="0" w:type="dxa"/>
          <w:right w:w="108" w:type="dxa"/>
        </w:tblCellMar>
      </w:tblPr>
      <w:tblGrid>
        <w:gridCol w:w="1392"/>
        <w:gridCol w:w="2764"/>
        <w:gridCol w:w="1038"/>
        <w:gridCol w:w="1363"/>
        <w:gridCol w:w="2242"/>
      </w:tblGrid>
      <w:tr>
        <w:tblPrEx>
          <w:tblCellMar>
            <w:top w:w="0" w:type="dxa"/>
            <w:left w:w="108" w:type="dxa"/>
            <w:bottom w:w="0" w:type="dxa"/>
            <w:right w:w="108" w:type="dxa"/>
          </w:tblCellMar>
        </w:tblPrEx>
        <w:trPr>
          <w:cantSplit/>
          <w:trHeight w:val="765" w:hRule="atLeast"/>
          <w:jc w:val="center"/>
        </w:trPr>
        <w:tc>
          <w:tcPr>
            <w:tcW w:w="13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166" w:lineRule="atLeas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水土保持林</w:t>
            </w:r>
          </w:p>
        </w:tc>
        <w:tc>
          <w:tcPr>
            <w:tcW w:w="7407" w:type="dxa"/>
            <w:gridSpan w:val="4"/>
            <w:tcBorders>
              <w:top w:val="single" w:color="auto" w:sz="4" w:space="0"/>
              <w:left w:val="nil"/>
              <w:bottom w:val="single" w:color="auto" w:sz="4" w:space="0"/>
              <w:right w:val="single" w:color="auto" w:sz="4" w:space="0"/>
            </w:tcBorders>
            <w:noWrap w:val="0"/>
            <w:vAlign w:val="center"/>
          </w:tcPr>
          <w:p>
            <w:pPr>
              <w:spacing w:line="166" w:lineRule="atLeast"/>
              <w:jc w:val="center"/>
              <w:rPr>
                <w:rFonts w:hint="eastAsia" w:ascii="仿宋" w:hAnsi="仿宋" w:eastAsia="仿宋" w:cs="仿宋"/>
                <w:b/>
                <w:bCs/>
                <w:color w:val="000000"/>
                <w:sz w:val="18"/>
                <w:szCs w:val="18"/>
              </w:rPr>
            </w:pPr>
            <w:r>
              <w:rPr>
                <w:rFonts w:hint="eastAsia" w:ascii="仿宋" w:hAnsi="仿宋" w:eastAsia="仿宋" w:cs="仿宋"/>
                <w:b/>
                <w:bCs/>
                <w:color w:val="000000"/>
                <w:szCs w:val="21"/>
              </w:rPr>
              <w:t>图         式</w:t>
            </w:r>
          </w:p>
        </w:tc>
      </w:tr>
      <w:tr>
        <w:tblPrEx>
          <w:tblCellMar>
            <w:top w:w="0" w:type="dxa"/>
            <w:left w:w="108" w:type="dxa"/>
            <w:bottom w:w="0" w:type="dxa"/>
            <w:right w:w="108" w:type="dxa"/>
          </w:tblCellMar>
        </w:tblPrEx>
        <w:trPr>
          <w:cantSplit/>
          <w:trHeight w:val="5002" w:hRule="atLeast"/>
          <w:jc w:val="center"/>
        </w:trPr>
        <w:tc>
          <w:tcPr>
            <w:tcW w:w="1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sz w:val="18"/>
                <w:szCs w:val="18"/>
              </w:rPr>
            </w:pPr>
          </w:p>
        </w:tc>
        <w:tc>
          <w:tcPr>
            <w:tcW w:w="7407"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drawing>
                <wp:inline distT="0" distB="0" distL="114300" distR="114300">
                  <wp:extent cx="3219450" cy="2952750"/>
                  <wp:effectExtent l="0" t="0" r="0" b="0"/>
                  <wp:docPr id="9"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1"/>
                          <pic:cNvPicPr>
                            <a:picLocks noChangeAspect="1"/>
                          </pic:cNvPicPr>
                        </pic:nvPicPr>
                        <pic:blipFill>
                          <a:blip r:embed="rId16"/>
                          <a:stretch>
                            <a:fillRect/>
                          </a:stretch>
                        </pic:blipFill>
                        <pic:spPr>
                          <a:xfrm>
                            <a:off x="0" y="0"/>
                            <a:ext cx="3219450" cy="2952750"/>
                          </a:xfrm>
                          <a:prstGeom prst="rect">
                            <a:avLst/>
                          </a:prstGeom>
                          <a:noFill/>
                          <a:ln>
                            <a:noFill/>
                          </a:ln>
                        </pic:spPr>
                      </pic:pic>
                    </a:graphicData>
                  </a:graphic>
                </wp:inline>
              </w:drawing>
            </w:r>
          </w:p>
        </w:tc>
      </w:tr>
      <w:tr>
        <w:tblPrEx>
          <w:tblCellMar>
            <w:top w:w="0" w:type="dxa"/>
            <w:left w:w="108" w:type="dxa"/>
            <w:bottom w:w="0" w:type="dxa"/>
            <w:right w:w="108" w:type="dxa"/>
          </w:tblCellMar>
        </w:tblPrEx>
        <w:trPr>
          <w:cantSplit/>
          <w:trHeight w:val="392" w:hRule="exact"/>
          <w:jc w:val="center"/>
        </w:trPr>
        <w:tc>
          <w:tcPr>
            <w:tcW w:w="879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种   苗  计  划</w:t>
            </w:r>
          </w:p>
        </w:tc>
      </w:tr>
      <w:tr>
        <w:tblPrEx>
          <w:tblCellMar>
            <w:top w:w="0" w:type="dxa"/>
            <w:left w:w="108" w:type="dxa"/>
            <w:bottom w:w="0" w:type="dxa"/>
            <w:right w:w="108" w:type="dxa"/>
          </w:tblCellMar>
        </w:tblPrEx>
        <w:trPr>
          <w:cantSplit/>
          <w:trHeight w:val="39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主要树种</w:t>
            </w:r>
          </w:p>
        </w:tc>
        <w:tc>
          <w:tcPr>
            <w:tcW w:w="27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种苗规格</w:t>
            </w:r>
          </w:p>
        </w:tc>
        <w:tc>
          <w:tcPr>
            <w:tcW w:w="103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株行距</w:t>
            </w:r>
          </w:p>
        </w:tc>
        <w:tc>
          <w:tcPr>
            <w:tcW w:w="136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单位需苗量</w:t>
            </w:r>
          </w:p>
        </w:tc>
        <w:tc>
          <w:tcPr>
            <w:tcW w:w="22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83、84株/亩</w:t>
            </w:r>
          </w:p>
        </w:tc>
      </w:tr>
      <w:tr>
        <w:tblPrEx>
          <w:tblCellMar>
            <w:top w:w="0" w:type="dxa"/>
            <w:left w:w="108" w:type="dxa"/>
            <w:bottom w:w="0" w:type="dxa"/>
            <w:right w:w="108" w:type="dxa"/>
          </w:tblCellMar>
        </w:tblPrEx>
        <w:trPr>
          <w:cantSplit/>
          <w:trHeight w:val="39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sz w:val="18"/>
                <w:szCs w:val="18"/>
                <w:lang w:val="en-US" w:eastAsia="zh-CN"/>
              </w:rPr>
              <w:t>青海云杉</w:t>
            </w:r>
          </w:p>
        </w:tc>
        <w:tc>
          <w:tcPr>
            <w:tcW w:w="27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苗</w:t>
            </w:r>
            <w:r>
              <w:rPr>
                <w:rFonts w:hint="eastAsia" w:ascii="仿宋" w:hAnsi="仿宋" w:eastAsia="仿宋" w:cs="仿宋"/>
                <w:color w:val="000000"/>
                <w:sz w:val="18"/>
                <w:szCs w:val="18"/>
              </w:rPr>
              <w:t>高</w:t>
            </w:r>
            <w:r>
              <w:rPr>
                <w:rFonts w:hint="eastAsia" w:ascii="仿宋" w:hAnsi="仿宋" w:eastAsia="仿宋" w:cs="仿宋"/>
                <w:color w:val="000000"/>
                <w:sz w:val="18"/>
                <w:szCs w:val="18"/>
                <w:lang w:val="en-US" w:eastAsia="zh-CN"/>
              </w:rPr>
              <w:t>80</w:t>
            </w:r>
            <w:r>
              <w:rPr>
                <w:rFonts w:hint="eastAsia" w:ascii="仿宋" w:hAnsi="仿宋" w:eastAsia="仿宋" w:cs="仿宋"/>
                <w:color w:val="000000"/>
                <w:sz w:val="18"/>
                <w:szCs w:val="18"/>
              </w:rPr>
              <w:t>厘米以上</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土球20厘米</w:t>
            </w:r>
          </w:p>
        </w:tc>
        <w:tc>
          <w:tcPr>
            <w:tcW w:w="1038" w:type="dxa"/>
            <w:vMerge w:val="restart"/>
            <w:tcBorders>
              <w:top w:val="single" w:color="auto" w:sz="4" w:space="0"/>
              <w:left w:val="nil"/>
              <w:right w:val="single" w:color="auto" w:sz="4" w:space="0"/>
            </w:tcBorders>
            <w:noWrap w:val="0"/>
            <w:vAlign w:val="center"/>
          </w:tcPr>
          <w:p>
            <w:pPr>
              <w:spacing w:line="240" w:lineRule="exact"/>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2.5*3.2m</w:t>
            </w:r>
          </w:p>
        </w:tc>
        <w:tc>
          <w:tcPr>
            <w:tcW w:w="136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83</w:t>
            </w:r>
            <w:r>
              <w:rPr>
                <w:rFonts w:hint="eastAsia" w:ascii="仿宋" w:hAnsi="仿宋" w:eastAsia="仿宋" w:cs="仿宋"/>
                <w:color w:val="000000"/>
                <w:sz w:val="18"/>
                <w:szCs w:val="18"/>
              </w:rPr>
              <w:t>株/ 亩</w:t>
            </w:r>
          </w:p>
        </w:tc>
        <w:tc>
          <w:tcPr>
            <w:tcW w:w="22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健壮无病虫害</w:t>
            </w:r>
          </w:p>
        </w:tc>
      </w:tr>
      <w:tr>
        <w:tblPrEx>
          <w:tblCellMar>
            <w:top w:w="0" w:type="dxa"/>
            <w:left w:w="108" w:type="dxa"/>
            <w:bottom w:w="0" w:type="dxa"/>
            <w:right w:w="108" w:type="dxa"/>
          </w:tblCellMar>
        </w:tblPrEx>
        <w:trPr>
          <w:cantSplit/>
          <w:trHeight w:val="644"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sz w:val="18"/>
                <w:szCs w:val="18"/>
                <w:lang w:val="en-US" w:eastAsia="zh-CN"/>
              </w:rPr>
              <w:t>青海云杉</w:t>
            </w:r>
          </w:p>
        </w:tc>
        <w:tc>
          <w:tcPr>
            <w:tcW w:w="27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苗</w:t>
            </w:r>
            <w:r>
              <w:rPr>
                <w:rFonts w:hint="eastAsia" w:ascii="仿宋" w:hAnsi="仿宋" w:eastAsia="仿宋" w:cs="仿宋"/>
                <w:color w:val="000000"/>
                <w:sz w:val="18"/>
                <w:szCs w:val="18"/>
              </w:rPr>
              <w:t>高</w:t>
            </w:r>
            <w:r>
              <w:rPr>
                <w:rFonts w:hint="eastAsia" w:ascii="仿宋" w:hAnsi="仿宋" w:eastAsia="仿宋" w:cs="仿宋"/>
                <w:color w:val="000000"/>
                <w:sz w:val="18"/>
                <w:szCs w:val="18"/>
                <w:lang w:val="en-US" w:eastAsia="zh-CN"/>
              </w:rPr>
              <w:t>80</w:t>
            </w:r>
            <w:r>
              <w:rPr>
                <w:rFonts w:hint="eastAsia" w:ascii="仿宋" w:hAnsi="仿宋" w:eastAsia="仿宋" w:cs="仿宋"/>
                <w:color w:val="000000"/>
                <w:sz w:val="18"/>
                <w:szCs w:val="18"/>
              </w:rPr>
              <w:t>厘米以上</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lang w:val="en-US" w:eastAsia="zh-CN"/>
              </w:rPr>
              <w:t>土球20厘米</w:t>
            </w:r>
          </w:p>
        </w:tc>
        <w:tc>
          <w:tcPr>
            <w:tcW w:w="1038" w:type="dxa"/>
            <w:vMerge w:val="continue"/>
            <w:tcBorders>
              <w:left w:val="nil"/>
              <w:right w:val="single" w:color="auto" w:sz="4" w:space="0"/>
            </w:tcBorders>
            <w:noWrap w:val="0"/>
            <w:vAlign w:val="center"/>
          </w:tcPr>
          <w:p>
            <w:pPr>
              <w:spacing w:line="240" w:lineRule="exact"/>
              <w:ind w:firstLine="180" w:firstLineChars="100"/>
              <w:jc w:val="center"/>
              <w:rPr>
                <w:rFonts w:hint="eastAsia" w:ascii="仿宋" w:hAnsi="仿宋" w:eastAsia="仿宋" w:cs="仿宋"/>
                <w:color w:val="000000"/>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84</w:t>
            </w:r>
            <w:r>
              <w:rPr>
                <w:rFonts w:hint="eastAsia" w:ascii="仿宋" w:hAnsi="仿宋" w:eastAsia="仿宋" w:cs="仿宋"/>
                <w:color w:val="000000"/>
                <w:sz w:val="18"/>
                <w:szCs w:val="18"/>
              </w:rPr>
              <w:t>株/ 亩</w:t>
            </w:r>
          </w:p>
        </w:tc>
        <w:tc>
          <w:tcPr>
            <w:tcW w:w="224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健壮无病虫害</w:t>
            </w:r>
          </w:p>
        </w:tc>
      </w:tr>
      <w:tr>
        <w:tblPrEx>
          <w:tblCellMar>
            <w:top w:w="0" w:type="dxa"/>
            <w:left w:w="108" w:type="dxa"/>
            <w:bottom w:w="0" w:type="dxa"/>
            <w:right w:w="108" w:type="dxa"/>
          </w:tblCellMar>
        </w:tblPrEx>
        <w:trPr>
          <w:cantSplit/>
          <w:trHeight w:val="392" w:hRule="exact"/>
          <w:jc w:val="center"/>
        </w:trPr>
        <w:tc>
          <w:tcPr>
            <w:tcW w:w="879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技术措施</w:t>
            </w:r>
          </w:p>
        </w:tc>
      </w:tr>
      <w:tr>
        <w:tblPrEx>
          <w:tblCellMar>
            <w:top w:w="0" w:type="dxa"/>
            <w:left w:w="108" w:type="dxa"/>
            <w:bottom w:w="0" w:type="dxa"/>
            <w:right w:w="108" w:type="dxa"/>
          </w:tblCellMar>
        </w:tblPrEx>
        <w:trPr>
          <w:cantSplit/>
          <w:trHeight w:val="39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整地</w:t>
            </w:r>
          </w:p>
        </w:tc>
        <w:tc>
          <w:tcPr>
            <w:tcW w:w="7407"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先进行</w:t>
            </w:r>
            <w:r>
              <w:rPr>
                <w:rFonts w:hint="eastAsia" w:ascii="仿宋" w:hAnsi="仿宋" w:eastAsia="仿宋" w:cs="仿宋"/>
                <w:color w:val="000000"/>
                <w:sz w:val="18"/>
                <w:szCs w:val="18"/>
                <w:lang w:val="en-US" w:eastAsia="zh-CN"/>
              </w:rPr>
              <w:t>穴状</w:t>
            </w:r>
            <w:r>
              <w:rPr>
                <w:rFonts w:hint="eastAsia" w:ascii="仿宋" w:hAnsi="仿宋" w:eastAsia="仿宋" w:cs="仿宋"/>
                <w:color w:val="000000"/>
                <w:sz w:val="18"/>
                <w:szCs w:val="18"/>
              </w:rPr>
              <w:t>整地。整地规格</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0*</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0。采取提前整地。</w:t>
            </w:r>
          </w:p>
        </w:tc>
      </w:tr>
      <w:tr>
        <w:tblPrEx>
          <w:tblCellMar>
            <w:top w:w="0" w:type="dxa"/>
            <w:left w:w="108" w:type="dxa"/>
            <w:bottom w:w="0" w:type="dxa"/>
            <w:right w:w="108" w:type="dxa"/>
          </w:tblCellMar>
        </w:tblPrEx>
        <w:trPr>
          <w:cantSplit/>
          <w:trHeight w:val="39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造林</w:t>
            </w:r>
          </w:p>
        </w:tc>
        <w:tc>
          <w:tcPr>
            <w:tcW w:w="7407"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eastAsia="zh-CN"/>
              </w:rPr>
            </w:pPr>
            <w:r>
              <w:rPr>
                <w:rFonts w:hint="eastAsia" w:ascii="仿宋" w:hAnsi="仿宋" w:eastAsia="仿宋" w:cs="仿宋"/>
                <w:color w:val="000000"/>
                <w:sz w:val="18"/>
                <w:szCs w:val="18"/>
              </w:rPr>
              <w:t>春季植苗造林，</w:t>
            </w:r>
            <w:r>
              <w:rPr>
                <w:rFonts w:hint="eastAsia" w:ascii="仿宋" w:hAnsi="仿宋" w:eastAsia="仿宋" w:cs="仿宋"/>
                <w:color w:val="000000"/>
                <w:sz w:val="18"/>
                <w:szCs w:val="18"/>
                <w:lang w:val="en-US" w:eastAsia="zh-CN"/>
              </w:rPr>
              <w:t>苗木带土球</w:t>
            </w:r>
          </w:p>
        </w:tc>
      </w:tr>
      <w:tr>
        <w:tblPrEx>
          <w:tblCellMar>
            <w:top w:w="0" w:type="dxa"/>
            <w:left w:w="108" w:type="dxa"/>
            <w:bottom w:w="0" w:type="dxa"/>
            <w:right w:w="108" w:type="dxa"/>
          </w:tblCellMar>
        </w:tblPrEx>
        <w:trPr>
          <w:cantSplit/>
          <w:trHeight w:val="39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color w:val="000000"/>
                <w:sz w:val="18"/>
                <w:szCs w:val="18"/>
              </w:rPr>
              <w:t>抚育管理</w:t>
            </w:r>
          </w:p>
        </w:tc>
        <w:tc>
          <w:tcPr>
            <w:tcW w:w="7407"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color w:val="000000"/>
                <w:sz w:val="18"/>
                <w:szCs w:val="18"/>
              </w:rPr>
              <w:t>做好林木管护及病虫鼠害防治工作。</w:t>
            </w:r>
          </w:p>
        </w:tc>
      </w:tr>
      <w:tr>
        <w:tblPrEx>
          <w:tblCellMar>
            <w:top w:w="0" w:type="dxa"/>
            <w:left w:w="108" w:type="dxa"/>
            <w:bottom w:w="0" w:type="dxa"/>
            <w:right w:w="108" w:type="dxa"/>
          </w:tblCellMar>
        </w:tblPrEx>
        <w:trPr>
          <w:cantSplit/>
          <w:trHeight w:val="392" w:hRule="exact"/>
          <w:jc w:val="center"/>
        </w:trPr>
        <w:tc>
          <w:tcPr>
            <w:tcW w:w="8799"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
                <w:bCs/>
                <w:color w:val="000000"/>
                <w:sz w:val="18"/>
                <w:szCs w:val="18"/>
              </w:rPr>
            </w:pPr>
            <w:r>
              <w:rPr>
                <w:rFonts w:hint="eastAsia" w:ascii="仿宋" w:hAnsi="仿宋" w:eastAsia="仿宋" w:cs="仿宋"/>
                <w:b/>
                <w:bCs/>
                <w:color w:val="000000"/>
                <w:sz w:val="18"/>
                <w:szCs w:val="18"/>
              </w:rPr>
              <w:t>劳动力及投资</w:t>
            </w:r>
          </w:p>
        </w:tc>
      </w:tr>
      <w:tr>
        <w:tblPrEx>
          <w:tblCellMar>
            <w:top w:w="0" w:type="dxa"/>
            <w:left w:w="108" w:type="dxa"/>
            <w:bottom w:w="0" w:type="dxa"/>
            <w:right w:w="108" w:type="dxa"/>
          </w:tblCellMar>
        </w:tblPrEx>
        <w:trPr>
          <w:trHeight w:val="392"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劳动力及定额</w:t>
            </w:r>
          </w:p>
        </w:tc>
        <w:tc>
          <w:tcPr>
            <w:tcW w:w="7407"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color w:val="000000"/>
                <w:sz w:val="18"/>
                <w:szCs w:val="18"/>
                <w:lang w:val="en-US" w:eastAsia="zh-CN"/>
              </w:rPr>
            </w:pPr>
          </w:p>
        </w:tc>
      </w:tr>
      <w:tr>
        <w:tblPrEx>
          <w:tblCellMar>
            <w:top w:w="0" w:type="dxa"/>
            <w:left w:w="108" w:type="dxa"/>
            <w:bottom w:w="0" w:type="dxa"/>
            <w:right w:w="108" w:type="dxa"/>
          </w:tblCellMar>
        </w:tblPrEx>
        <w:trPr>
          <w:trHeight w:val="436" w:hRule="exact"/>
          <w:jc w:val="center"/>
        </w:trPr>
        <w:tc>
          <w:tcPr>
            <w:tcW w:w="13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涉及作业小班</w:t>
            </w:r>
          </w:p>
        </w:tc>
        <w:tc>
          <w:tcPr>
            <w:tcW w:w="7407" w:type="dxa"/>
            <w:gridSpan w:val="4"/>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sz w:val="18"/>
                <w:szCs w:val="18"/>
                <w:lang w:val="en-US" w:eastAsia="zh-CN"/>
              </w:rPr>
            </w:pPr>
          </w:p>
        </w:tc>
      </w:tr>
    </w:tbl>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50" w:name="_Toc28790"/>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退化林分修复技术方案</w:t>
      </w:r>
      <w:bookmarkEnd w:id="150"/>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bookmarkStart w:id="151" w:name="_Toc36675124"/>
      <w:r>
        <w:rPr>
          <w:rFonts w:hint="eastAsia" w:ascii="仿宋" w:hAnsi="仿宋" w:eastAsia="仿宋" w:cs="仿宋"/>
          <w:b/>
          <w:bCs/>
          <w:sz w:val="30"/>
          <w:szCs w:val="30"/>
          <w:lang w:val="en-US" w:eastAsia="zh-CN"/>
        </w:rPr>
        <w:t>树种选择、苗木规格</w:t>
      </w:r>
      <w:bookmarkEnd w:id="151"/>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1.树种选择</w:t>
      </w:r>
    </w:p>
    <w:p>
      <w:pPr>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以乡土树种为主，做到“适地适树”。所选树种具有抗旱抗寒、耐盐碱、耐瘠薄、苗源充足。根据各树种特性、造林实践经验、项目区气候因素及植被分布的规律，结合现有造林技术成果，选择适应当地自然环境和植被分布规律，种间关系协调一致，且适应性较强的青海云杉作为主要补植树种。</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2.苗木规格</w:t>
      </w:r>
    </w:p>
    <w:p>
      <w:pPr>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补植树种生物学特性以及补植地立地条件确定本实施方案（作业设计）的补植树种苗木规格，确保补植质量。苗木规格以生长健壮，顶芽饱满，根系发达，无机械损伤，无病虫害，且达到青海省《主要造林树种苗木质量分级》（DB236-2015）Ⅱ级以上标准的优质壮苗。苗木必须具备“两证一签”。</w:t>
      </w:r>
    </w:p>
    <w:p>
      <w:pPr>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3.树种配置</w:t>
      </w:r>
    </w:p>
    <w:p>
      <w:pPr>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补造针叶乔木纯林；针叶乔木、灌木混交林和阔叶乔木、灌木混交林。混交方式为行间、块状或团状混交。各树种的栽植比例，根据造林地块立地条件加以确定。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模式Ⅰ：针叶乔木与灌木混交模式，每亩补造苗木64、65株，选择青海云杉苗高80厘米以上苗木、带土球20厘米，株行距3米×3.5米，整地方式为穴状整地，整地规格：穴径50厘米、穴深50厘米。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模式Ⅱ：针叶乔木与灌木混交模式，每亩补造苗木72、74株，选择青海云杉苗高80厘米以上苗木、带土球20厘米，株行距3米×3.1米，整地方式为穴状整地，整地规格：穴径50厘米、穴深50厘米。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模式Ⅲ：针叶乔木补植模式，每亩补造苗木83、84株，选择青海云杉苗高80厘米以上苗木、带土球20厘米，株行距2.5米×3.2米，整地方式为穴状整地，整地规格：穴径50厘米、穴深50厘米。</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整地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整地与栽植同时进行。立地条件较好采用穴状整地，部分区域由于间距过大达不到设计要求的，根据补植数量进行局部整地。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整地方式为穴状。</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lang w:val="en-US" w:eastAsia="zh-CN"/>
        </w:rPr>
      </w:pPr>
      <w:r>
        <w:rPr>
          <w:rFonts w:hint="eastAsia" w:ascii="仿宋" w:hAnsi="仿宋" w:eastAsia="仿宋" w:cs="Times New Roman"/>
          <w:lang w:val="en-US" w:eastAsia="zh-CN"/>
        </w:rPr>
        <w:drawing>
          <wp:anchor distT="0" distB="0" distL="114300" distR="114300" simplePos="0" relativeHeight="251662336" behindDoc="0" locked="0" layoutInCell="1" allowOverlap="1">
            <wp:simplePos x="0" y="0"/>
            <wp:positionH relativeFrom="column">
              <wp:posOffset>3688715</wp:posOffset>
            </wp:positionH>
            <wp:positionV relativeFrom="paragraph">
              <wp:posOffset>384810</wp:posOffset>
            </wp:positionV>
            <wp:extent cx="2086610" cy="1781810"/>
            <wp:effectExtent l="0" t="0" r="8890" b="8890"/>
            <wp:wrapSquare wrapText="bothSides"/>
            <wp:docPr id="10" name="Picture 2" descr="穴状整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穴状整地"/>
                    <pic:cNvPicPr>
                      <a:picLocks noChangeAspect="1"/>
                    </pic:cNvPicPr>
                  </pic:nvPicPr>
                  <pic:blipFill>
                    <a:blip r:embed="rId13"/>
                    <a:stretch>
                      <a:fillRect/>
                    </a:stretch>
                  </pic:blipFill>
                  <pic:spPr>
                    <a:xfrm>
                      <a:off x="0" y="0"/>
                      <a:ext cx="2086610" cy="1781810"/>
                    </a:xfrm>
                    <a:prstGeom prst="rect">
                      <a:avLst/>
                    </a:prstGeom>
                    <a:noFill/>
                    <a:ln>
                      <a:noFill/>
                    </a:ln>
                  </pic:spPr>
                </pic:pic>
              </a:graphicData>
            </a:graphic>
          </wp:anchor>
        </w:drawing>
      </w:r>
      <w:r>
        <w:rPr>
          <w:rFonts w:hint="eastAsia" w:ascii="仿宋" w:hAnsi="仿宋" w:eastAsia="仿宋" w:cs="仿宋"/>
          <w:bCs/>
          <w:kern w:val="2"/>
          <w:sz w:val="28"/>
          <w:szCs w:val="28"/>
          <w:lang w:val="en-US" w:eastAsia="zh-CN" w:bidi="ar-SA"/>
        </w:rPr>
        <w:t>穴状整地：整地规格为穴径50厘米、穴深50厘米。以定点位置为中心，按规定穴径操作，挖穴时要求上下一样大，不得挖成上大下小的“锅底”形。详见图示。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在整地时要将坑内的石块等杂物检除干净，将表层土和生土分开堆放，并在坑内添上适量的表层土，以保证栽植后苗木的正常生长。</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52" w:name="_Toc11052"/>
      <w:r>
        <w:rPr>
          <w:rFonts w:hint="eastAsia" w:ascii="仿宋" w:hAnsi="仿宋" w:eastAsia="仿宋" w:cs="仿宋"/>
          <w:b/>
          <w:bCs/>
          <w:lang w:val="en-US" w:eastAsia="zh-CN"/>
        </w:rPr>
        <w:t>退化林修复工程量</w:t>
      </w:r>
      <w:bookmarkEnd w:id="152"/>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补造树种为苗高80厘米以上青海云杉269788株。</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病虫害防治面积4000.0亩。</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53" w:name="_Toc9568"/>
      <w:bookmarkStart w:id="154" w:name="_Toc479775326"/>
      <w:bookmarkStart w:id="155" w:name="_Toc21784"/>
      <w:bookmarkStart w:id="156" w:name="_Toc473099230"/>
      <w:r>
        <w:rPr>
          <w:rFonts w:hint="eastAsia" w:ascii="仿宋" w:hAnsi="仿宋" w:eastAsia="仿宋" w:cs="仿宋"/>
          <w:b/>
          <w:bCs/>
          <w:lang w:val="en-US" w:eastAsia="zh-CN"/>
        </w:rPr>
        <w:t>修复要求</w:t>
      </w:r>
      <w:bookmarkEnd w:id="153"/>
      <w:bookmarkEnd w:id="154"/>
      <w:bookmarkEnd w:id="155"/>
    </w:p>
    <w:p>
      <w:pPr>
        <w:pStyle w:val="9"/>
        <w:spacing w:line="600" w:lineRule="exac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林冠下造林更新：整地方式为穴状，穴深50厘米、穴径50厘米，主要在郁闭度低或林隙、林窗、林中空地断带断行等处进行补造，或在缺少目的树种的林分中进行，灌木林地；补植时优先补植死亡天窗部分，再补植团状死亡部分，最后补植单株死亡。补植补造苗木青海云杉苗高≥80厘米以上，带直径≥20厘米土球；</w:t>
      </w:r>
    </w:p>
    <w:p>
      <w:pPr>
        <w:pStyle w:val="9"/>
        <w:spacing w:line="600" w:lineRule="exac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2.对补植（青海云杉）、保存生长的苗木进行病虫害防治防止进一步退化。</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57" w:name="_Toc16008"/>
      <w:bookmarkStart w:id="158" w:name="_Toc32352"/>
      <w:r>
        <w:rPr>
          <w:rFonts w:hint="eastAsia" w:ascii="仿宋" w:hAnsi="仿宋" w:eastAsia="仿宋" w:cs="仿宋"/>
          <w:b/>
          <w:bCs/>
          <w:lang w:val="en-US" w:eastAsia="zh-CN"/>
        </w:rPr>
        <w:t>5.9技术要求</w:t>
      </w:r>
      <w:bookmarkEnd w:id="156"/>
      <w:bookmarkEnd w:id="157"/>
      <w:bookmarkEnd w:id="158"/>
    </w:p>
    <w:p>
      <w:pPr>
        <w:pStyle w:val="9"/>
        <w:spacing w:line="600" w:lineRule="exac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依据项目区林地立地条件、林木生长不良的原因。影响因素如：海拔高度、坡向、坡形、坡度、地形、植物种类、树种的盖度、多度与</w:t>
      </w:r>
      <w:r>
        <w:rPr>
          <w:rFonts w:hint="eastAsia" w:ascii="仿宋" w:hAnsi="仿宋" w:eastAsia="仿宋" w:cs="仿宋"/>
          <w:bCs/>
          <w:kern w:val="2"/>
          <w:sz w:val="28"/>
          <w:szCs w:val="28"/>
          <w:lang w:val="en-US" w:eastAsia="zh-CN" w:bidi="ar-SA"/>
        </w:rPr>
        <w:fldChar w:fldCharType="begin"/>
      </w:r>
      <w:r>
        <w:rPr>
          <w:rFonts w:hint="eastAsia" w:ascii="仿宋" w:hAnsi="仿宋" w:eastAsia="仿宋" w:cs="仿宋"/>
          <w:bCs/>
          <w:kern w:val="2"/>
          <w:sz w:val="28"/>
          <w:szCs w:val="28"/>
          <w:lang w:val="en-US" w:eastAsia="zh-CN" w:bidi="ar-SA"/>
        </w:rPr>
        <w:instrText xml:space="preserve"> HYPERLINK "http://www.so.com/s?q=%E4%BC%98%E5%8A%BF%E7%A7%8D&amp;ie=utf-8&amp;src=wenda_link" \t "_blank" </w:instrText>
      </w:r>
      <w:r>
        <w:rPr>
          <w:rFonts w:hint="eastAsia" w:ascii="仿宋" w:hAnsi="仿宋" w:eastAsia="仿宋" w:cs="仿宋"/>
          <w:bCs/>
          <w:kern w:val="2"/>
          <w:sz w:val="28"/>
          <w:szCs w:val="28"/>
          <w:lang w:val="en-US" w:eastAsia="zh-CN" w:bidi="ar-SA"/>
        </w:rPr>
        <w:fldChar w:fldCharType="separate"/>
      </w:r>
      <w:r>
        <w:rPr>
          <w:rFonts w:hint="eastAsia" w:ascii="仿宋" w:hAnsi="仿宋" w:eastAsia="仿宋" w:cs="仿宋"/>
          <w:bCs/>
          <w:kern w:val="2"/>
          <w:sz w:val="28"/>
          <w:szCs w:val="28"/>
          <w:lang w:val="en-US" w:eastAsia="zh-CN" w:bidi="ar-SA"/>
        </w:rPr>
        <w:t>优势树种</w:t>
      </w:r>
      <w:r>
        <w:rPr>
          <w:rFonts w:hint="eastAsia" w:ascii="仿宋" w:hAnsi="仿宋" w:eastAsia="仿宋" w:cs="仿宋"/>
          <w:bCs/>
          <w:kern w:val="2"/>
          <w:sz w:val="28"/>
          <w:szCs w:val="28"/>
          <w:lang w:val="en-US" w:eastAsia="zh-CN" w:bidi="ar-SA"/>
        </w:rPr>
        <w:fldChar w:fldCharType="end"/>
      </w:r>
      <w:r>
        <w:rPr>
          <w:rFonts w:hint="eastAsia" w:ascii="仿宋" w:hAnsi="仿宋" w:eastAsia="仿宋" w:cs="仿宋"/>
          <w:bCs/>
          <w:kern w:val="2"/>
          <w:sz w:val="28"/>
          <w:szCs w:val="28"/>
          <w:lang w:val="en-US" w:eastAsia="zh-CN" w:bidi="ar-SA"/>
        </w:rPr>
        <w:t>、群落类型状况等，修复林地的立地条件对树种的选择、修复后的生长发育和质量都起着决定性的作用，不同立地条件的修复地上必须采用不同的修复技术措施，使修复后的林地防护得到全面提升。</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default" w:ascii="仿宋" w:hAnsi="仿宋" w:eastAsia="仿宋" w:cs="仿宋"/>
          <w:b/>
          <w:bCs/>
          <w:lang w:val="en-US" w:eastAsia="zh-CN"/>
        </w:rPr>
      </w:pPr>
      <w:bookmarkStart w:id="159" w:name="_Toc5919"/>
      <w:bookmarkStart w:id="160" w:name="_Toc31836"/>
      <w:r>
        <w:rPr>
          <w:rFonts w:hint="eastAsia" w:ascii="仿宋" w:hAnsi="仿宋" w:eastAsia="仿宋" w:cs="仿宋"/>
          <w:b/>
          <w:bCs/>
          <w:lang w:val="en-US" w:eastAsia="zh-CN"/>
        </w:rPr>
        <w:t>技术措施</w:t>
      </w:r>
      <w:bookmarkEnd w:id="159"/>
      <w:bookmarkEnd w:id="160"/>
    </w:p>
    <w:p>
      <w:pPr>
        <w:pStyle w:val="9"/>
        <w:spacing w:line="600" w:lineRule="exac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采取补植补造的方法，培育复层、异龄、混交林分。选择的补植补造树种应与林分现有树种在生物特性与生态习性方面共生相容，形成结构稳定的林分。树种选择需考虑更替树种对现有林分生境的适宜性，考虑更替树种与主林层树种在林分营养空间层次的协调与互补，合理确定更替树种的成林目标与期望。</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1" w:name="_Toc7709"/>
      <w:r>
        <w:rPr>
          <w:rFonts w:hint="eastAsia" w:ascii="仿宋" w:hAnsi="仿宋" w:eastAsia="仿宋" w:cs="仿宋"/>
          <w:b/>
          <w:bCs/>
          <w:lang w:val="en-US" w:eastAsia="zh-CN"/>
        </w:rPr>
        <w:t>种苗供应方案</w:t>
      </w:r>
      <w:bookmarkEnd w:id="161"/>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苗木供应：</w:t>
      </w:r>
      <w:r>
        <w:rPr>
          <w:rFonts w:hint="eastAsia" w:ascii="仿宋" w:hAnsi="仿宋" w:eastAsia="仿宋" w:cs="仿宋"/>
          <w:bCs/>
          <w:kern w:val="2"/>
          <w:sz w:val="28"/>
          <w:szCs w:val="28"/>
          <w:lang w:val="en-US" w:eastAsia="zh-CN" w:bidi="ar-SA"/>
        </w:rPr>
        <w:t>中标单位就近采购。工程造林所需的种苗必须要有检验合格证和检疫合格证及产地标签，没有“两证一签”的种苗不得用于工程造林。</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苗木质量检验：</w:t>
      </w:r>
      <w:r>
        <w:rPr>
          <w:rFonts w:hint="eastAsia" w:ascii="仿宋" w:hAnsi="仿宋" w:eastAsia="仿宋" w:cs="仿宋"/>
          <w:bCs/>
          <w:kern w:val="2"/>
          <w:sz w:val="28"/>
          <w:szCs w:val="28"/>
          <w:lang w:val="en-US" w:eastAsia="zh-CN" w:bidi="ar-SA"/>
        </w:rPr>
        <w:t>苗木出圃前进行病虫害检疫，要求生长健壮、顶芽饱满、根系发达、无机械损伤、无病虫害的优质壮苗。造林苗木优先使用本地苗木，不足部分从气候相近的地区调运，必须具备“两证一签”即“苗木检验证”、“苗木检疫证”、“苗木产地标签”。苗木抽样、检验、检测方法按青海省地方标准《主要造林树种苗木质量分级》DB63/T236-2015执行。</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起苗时间、方法和要求：</w:t>
      </w:r>
      <w:r>
        <w:rPr>
          <w:rFonts w:hint="eastAsia" w:ascii="仿宋" w:hAnsi="仿宋" w:eastAsia="仿宋" w:cs="仿宋"/>
          <w:bCs/>
          <w:kern w:val="2"/>
          <w:sz w:val="28"/>
          <w:szCs w:val="28"/>
          <w:lang w:val="en-US" w:eastAsia="zh-CN" w:bidi="ar-SA"/>
        </w:rPr>
        <w:t>在春级苗木萌动前或秋季苗木停止生长后进行起苗。起苗前一周对苗圃地灌一次起苗水。单株起苗，起苗前拢起树冠，防止碰断侧枝和主稍。做到随起苗、随包装、随运输、随栽植。苗木起苗后立即进行包装和运输，切忌风吹日晒。</w:t>
      </w:r>
    </w:p>
    <w:tbl>
      <w:tblPr>
        <w:tblStyle w:val="22"/>
        <w:tblpPr w:leftFromText="180" w:rightFromText="180" w:vertAnchor="page" w:horzAnchor="page" w:tblpX="1459" w:tblpY="3488"/>
        <w:tblW w:w="9523" w:type="dxa"/>
        <w:jc w:val="center"/>
        <w:tblLayout w:type="fixed"/>
        <w:tblCellMar>
          <w:top w:w="0" w:type="dxa"/>
          <w:left w:w="108" w:type="dxa"/>
          <w:bottom w:w="0" w:type="dxa"/>
          <w:right w:w="108" w:type="dxa"/>
        </w:tblCellMar>
      </w:tblPr>
      <w:tblGrid>
        <w:gridCol w:w="1562"/>
        <w:gridCol w:w="1524"/>
        <w:gridCol w:w="1476"/>
        <w:gridCol w:w="655"/>
        <w:gridCol w:w="859"/>
        <w:gridCol w:w="1447"/>
        <w:gridCol w:w="1198"/>
        <w:gridCol w:w="802"/>
      </w:tblGrid>
      <w:tr>
        <w:tblPrEx>
          <w:tblCellMar>
            <w:top w:w="0" w:type="dxa"/>
            <w:left w:w="108" w:type="dxa"/>
            <w:bottom w:w="0" w:type="dxa"/>
            <w:right w:w="108" w:type="dxa"/>
          </w:tblCellMar>
        </w:tblPrEx>
        <w:trPr>
          <w:trHeight w:val="751" w:hRule="atLeast"/>
          <w:jc w:val="center"/>
        </w:trPr>
        <w:tc>
          <w:tcPr>
            <w:tcW w:w="9523" w:type="dxa"/>
            <w:gridSpan w:val="8"/>
            <w:tcBorders>
              <w:top w:val="nil"/>
              <w:left w:val="nil"/>
              <w:right w:val="nil"/>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苗木规格标准表</w:t>
            </w:r>
          </w:p>
        </w:tc>
      </w:tr>
      <w:tr>
        <w:tblPrEx>
          <w:tblCellMar>
            <w:top w:w="0" w:type="dxa"/>
            <w:left w:w="108" w:type="dxa"/>
            <w:bottom w:w="0" w:type="dxa"/>
            <w:right w:w="108" w:type="dxa"/>
          </w:tblCellMar>
        </w:tblPrEx>
        <w:trPr>
          <w:trHeight w:val="783"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种类</w:t>
            </w:r>
          </w:p>
        </w:tc>
        <w:tc>
          <w:tcPr>
            <w:tcW w:w="152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主要树种名称</w:t>
            </w:r>
          </w:p>
        </w:tc>
        <w:tc>
          <w:tcPr>
            <w:tcW w:w="147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苗木高度</w:t>
            </w:r>
          </w:p>
        </w:tc>
        <w:tc>
          <w:tcPr>
            <w:tcW w:w="65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地径</w:t>
            </w:r>
          </w:p>
        </w:tc>
        <w:tc>
          <w:tcPr>
            <w:tcW w:w="859"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胸径</w:t>
            </w:r>
          </w:p>
        </w:tc>
        <w:tc>
          <w:tcPr>
            <w:tcW w:w="144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冠幅</w:t>
            </w:r>
          </w:p>
        </w:tc>
        <w:tc>
          <w:tcPr>
            <w:tcW w:w="119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土球直径</w:t>
            </w:r>
          </w:p>
        </w:tc>
        <w:tc>
          <w:tcPr>
            <w:tcW w:w="80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备注</w:t>
            </w:r>
          </w:p>
        </w:tc>
      </w:tr>
      <w:tr>
        <w:tblPrEx>
          <w:tblCellMar>
            <w:top w:w="0" w:type="dxa"/>
            <w:left w:w="108" w:type="dxa"/>
            <w:bottom w:w="0" w:type="dxa"/>
            <w:right w:w="108" w:type="dxa"/>
          </w:tblCellMar>
        </w:tblPrEx>
        <w:trPr>
          <w:trHeight w:val="795" w:hRule="atLeast"/>
          <w:jc w:val="center"/>
        </w:trPr>
        <w:tc>
          <w:tcPr>
            <w:tcW w:w="156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针叶树种</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青海云杉</w:t>
            </w:r>
          </w:p>
        </w:tc>
        <w:tc>
          <w:tcPr>
            <w:tcW w:w="147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80</w:t>
            </w:r>
            <w:r>
              <w:rPr>
                <w:rFonts w:hint="eastAsia" w:ascii="仿宋" w:hAnsi="仿宋" w:eastAsia="仿宋" w:cs="仿宋"/>
                <w:bCs/>
                <w:kern w:val="0"/>
                <w:sz w:val="21"/>
                <w:szCs w:val="21"/>
              </w:rPr>
              <w:t>厘米以上</w:t>
            </w:r>
          </w:p>
        </w:tc>
        <w:tc>
          <w:tcPr>
            <w:tcW w:w="65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859"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44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35-40厘米</w:t>
            </w:r>
          </w:p>
        </w:tc>
        <w:tc>
          <w:tcPr>
            <w:tcW w:w="119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20厘米</w:t>
            </w:r>
          </w:p>
        </w:tc>
        <w:tc>
          <w:tcPr>
            <w:tcW w:w="802"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运输要迅速及时，尽量缩短运输距离和运输时间，并采取保湿、降温、防冻、透气等措施。长途运苗要给苗木根部洒水，并进行覆盖处理，尽量减少苗木失水。调运的苗木当天无法栽植完成时，需进行假植，假植地点需选择潮湿、阴暗、避风地方。</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2" w:name="_Toc25811"/>
      <w:r>
        <w:rPr>
          <w:rFonts w:hint="eastAsia" w:ascii="仿宋" w:hAnsi="仿宋" w:eastAsia="仿宋" w:cs="仿宋"/>
          <w:b/>
          <w:bCs/>
          <w:lang w:val="en-US" w:eastAsia="zh-CN"/>
        </w:rPr>
        <w:t>栽植技术</w:t>
      </w:r>
      <w:bookmarkEnd w:id="162"/>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Cs/>
          <w:kern w:val="2"/>
          <w:sz w:val="28"/>
          <w:szCs w:val="28"/>
          <w:lang w:val="en-US" w:eastAsia="zh-CN" w:bidi="ar-SA"/>
        </w:rPr>
        <w:t>（1）苗木规格</w:t>
      </w:r>
    </w:p>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针叶乔木树种：青海云杉苗高80厘米以上，带土球20厘米。</w:t>
      </w:r>
    </w:p>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kern w:val="2"/>
          <w:sz w:val="28"/>
          <w:szCs w:val="28"/>
          <w:vertAlign w:val="baseline"/>
          <w:lang w:val="en-US" w:eastAsia="zh-CN" w:bidi="ar-SA"/>
        </w:rPr>
      </w:pPr>
      <w:r>
        <w:rPr>
          <w:rFonts w:hint="eastAsia" w:ascii="仿宋" w:hAnsi="仿宋" w:eastAsia="仿宋" w:cs="仿宋"/>
          <w:bCs/>
          <w:kern w:val="2"/>
          <w:sz w:val="28"/>
          <w:szCs w:val="28"/>
          <w:lang w:val="en-US" w:eastAsia="zh-CN" w:bidi="ar-SA"/>
        </w:rPr>
        <w:t>要求所有苗木生长健壮、无病虫害、无机械损伤、根系完整、顶芽饱满、冠型良好。</w:t>
      </w:r>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（2）苗木管理</w:t>
      </w:r>
    </w:p>
    <w:p>
      <w:pPr>
        <w:pStyle w:val="13"/>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运输要迅速及时，尽量缩短运输的距离和时间，并采取保湿、降温、防冻、透气等措施。长途运输中要给苗木根部洒水，并进行覆盖处理，尽量减少苗木失水。为了提高造林成活率，苗木要求随起苗随运输随栽植，及时栽植不完的苗木必须进行假植在潮湿、阴暗、避风的地方。长度依苗木多少而定，假植时将苗木解捆，单株倾斜排列在沟内，用湿土覆盖根系并踩实，内苗木露出的根系用土埋严后灌水，避免苗木因水分蒸发而影响成活率。并且要派专门的人员进行管理。带土球苗木禁止假植，要随运输、随栽植。</w:t>
      </w:r>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（3）苗木栽植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严格按《造林技术规范》、</w:t>
      </w:r>
      <w:r>
        <w:rPr>
          <w:rFonts w:hint="eastAsia" w:ascii="仿宋" w:hAnsi="仿宋" w:eastAsia="仿宋" w:cs="仿宋"/>
          <w:bCs/>
          <w:sz w:val="28"/>
          <w:szCs w:val="28"/>
          <w:lang w:val="en-US" w:eastAsia="zh-CN"/>
        </w:rPr>
        <w:t>《森林抚育规程》（GB/T 15781-2015）</w:t>
      </w:r>
      <w:r>
        <w:rPr>
          <w:rFonts w:hint="eastAsia" w:ascii="仿宋" w:hAnsi="仿宋" w:eastAsia="仿宋" w:cs="仿宋"/>
          <w:bCs/>
          <w:kern w:val="2"/>
          <w:sz w:val="28"/>
          <w:szCs w:val="28"/>
          <w:lang w:val="en-US" w:eastAsia="zh-CN" w:bidi="ar-SA"/>
        </w:rPr>
        <w:t>进行补植补栽。初植密度为64、65、72、74、83、84株/亩，针叶乔木（青海云杉）。栽植时要坚持“三埋二踩”的栽植技术，保证苗木的正常生长。</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“三埋二踩”的技术要点：</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整地坑口径大于土球20厘米--30厘米，扶正栽植。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①</w:t>
      </w:r>
      <w:r>
        <w:rPr>
          <w:rFonts w:hint="eastAsia" w:ascii="仿宋" w:hAnsi="仿宋" w:eastAsia="仿宋" w:cs="仿宋"/>
          <w:bCs/>
          <w:kern w:val="2"/>
          <w:sz w:val="28"/>
          <w:szCs w:val="28"/>
          <w:lang w:val="en-US" w:eastAsia="zh-CN" w:bidi="ar-SA"/>
        </w:rPr>
        <w:t>栽植前要先将坑内的石块、杂物一一捡出，并添上适量的表层土，保证栽植后苗木的正常生长。</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②</w:t>
      </w:r>
      <w:r>
        <w:rPr>
          <w:rFonts w:hint="eastAsia" w:ascii="仿宋" w:hAnsi="仿宋" w:eastAsia="仿宋" w:cs="仿宋"/>
          <w:bCs/>
          <w:kern w:val="2"/>
          <w:sz w:val="28"/>
          <w:szCs w:val="28"/>
          <w:lang w:val="en-US" w:eastAsia="zh-CN" w:bidi="ar-SA"/>
        </w:rPr>
        <w:t>将苗木放入坑中，一人扶正苗木，一人填土，边埋土边将土踩实，填土时先将潮湿而细碎的表土填入坑内，保证根部和土壤充分结合，然后继续边填边踩实，直到与地面持平，并且沿栽植的外缘做好围堰。</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栽植方法：</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栽植方式为植苗造林，一穴一苗。挖穴时将上部熟土和下部生土分开放，栽植回填时先将生土填入底下，最后熟土填在上面，并用脚踩实，栽植时应在开春后降水季节开展。栽植后及时覆土以减少水分蒸发，提高成活率。</w:t>
      </w:r>
    </w:p>
    <w:p>
      <w:pPr>
        <w:pStyle w:val="9"/>
        <w:spacing w:line="600" w:lineRule="exact"/>
        <w:ind w:left="0" w:firstLine="560" w:firstLineChars="200"/>
        <w:rPr>
          <w:rFonts w:hint="eastAsia" w:ascii="仿宋" w:hAnsi="仿宋" w:eastAsia="仿宋" w:cs="Times New Roman"/>
          <w:lang w:val="en-US" w:eastAsia="zh-CN"/>
        </w:rPr>
      </w:pPr>
      <w:r>
        <w:rPr>
          <w:rFonts w:hint="eastAsia" w:ascii="仿宋" w:hAnsi="仿宋" w:eastAsia="仿宋" w:cs="仿宋"/>
          <w:bCs/>
          <w:kern w:val="2"/>
          <w:sz w:val="28"/>
          <w:szCs w:val="28"/>
          <w:lang w:val="en-US" w:eastAsia="zh-CN" w:bidi="ar-SA"/>
        </w:rPr>
        <w:t>苗木补植补栽过程中要注意以下几点：（1）不深栽：针叶树栽植时要注意不能栽得太深，太深透气性不好，影响成活率，延长缓苗期。针叶树栽植时比原来的栽植深度深1-2cm即可；（2）不修枝：针叶树栽植时不能修枝，否则会造成松脂流淌不停，最后会因养分流失而死亡。（3）不过夜：苗木栽植尽量做到当天到苗，当天栽植，确实无法当天栽完的，一定要做好假植工作，假植时间不得超过12小时。（4）扶苗、封坑、覆土保墒，苗木栽植后会因风吹等原因出现倾斜，同时植树坑内会出现一些裂缝，要及时对苗木扶正，裂缝用虚土覆盖并踩实，防止水分散失，起到蓄水保墒的作用。因坑土下沉而产生的露根、树木倾斜等现象，要及时进行填土、扶正、夯实。</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3" w:name="_Toc32401"/>
      <w:bookmarkStart w:id="164" w:name="_Toc20529"/>
      <w:r>
        <w:rPr>
          <w:rFonts w:hint="eastAsia" w:ascii="仿宋" w:hAnsi="仿宋" w:eastAsia="仿宋" w:cs="仿宋"/>
          <w:b/>
          <w:bCs/>
          <w:lang w:val="en-US" w:eastAsia="zh-CN"/>
        </w:rPr>
        <w:t>病虫害防治</w:t>
      </w:r>
      <w:bookmarkEnd w:id="163"/>
      <w:bookmarkEnd w:id="164"/>
    </w:p>
    <w:p>
      <w:pPr>
        <w:pStyle w:val="9"/>
        <w:spacing w:line="600" w:lineRule="exact"/>
        <w:ind w:left="0"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病虫害防治主要针对青杨锈病、青海云杉等病虫害，使用药剂处理。要求在青杨锈病、青海云杉病虫害发生前对退化林分内的青杨林开展青杨锈病、青海云杉病虫害进行喷雾预防性防治工作，利用担架式机动喷雾器喷洒石硫合剂预防。在7月上旬开始第二次喷药，用担架式机动喷雾器采用20%粉锈宁和氧化乐果可湿性粉剂1500倍液进行喷雾防治。10-15天喷一次，共喷两次。</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标段划分情况</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封山育林</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封山育林建设任务</w:t>
      </w:r>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项目建设任务封山育林面积50000.0亩。</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封山育林建设布局</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封山育林50000.0亩，位于宝库乡、桦林乡、向化乡、桥头镇、景阳镇，区划68个封山育林作业小班。分别位于111林班1、2小班；110林班2、3、4、5、6、7、8、9、10、11、12、46小班；107林班11、14、17小班；106林班3小班；105林班5、9、12、14、16、25、33、51小班；272林班3、4、5、6、7、8、9、10、20小班；266林班11、12、13、14、18小班；265林班2、3、4、6、7小班；267林班1小班；214林班2、10、11小班；213林班5小班；199林班4、9、14、15小班；200林班2、5小班；341林班5、11、12、15、31小班；342林班1、6、7、9小班。</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5" w:name="_Toc7257"/>
      <w:r>
        <w:rPr>
          <w:rFonts w:hint="eastAsia" w:ascii="仿宋" w:hAnsi="仿宋" w:eastAsia="仿宋" w:cs="仿宋"/>
          <w:b/>
          <w:bCs/>
          <w:lang w:val="en-US" w:eastAsia="zh-CN"/>
        </w:rPr>
        <w:t>封山育林技术方案</w:t>
      </w:r>
      <w:bookmarkEnd w:id="165"/>
    </w:p>
    <w:p>
      <w:pPr>
        <w:pageBreakBefore w:val="0"/>
        <w:kinsoku/>
        <w:wordWrap/>
        <w:overflowPunct/>
        <w:topLinePunct w:val="0"/>
        <w:autoSpaceDE/>
        <w:autoSpaceDN/>
        <w:bidi w:val="0"/>
        <w:adjustRightInd/>
        <w:snapToGrid/>
        <w:spacing w:line="560" w:lineRule="exact"/>
        <w:ind w:firstLine="573"/>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根据封育区现状和《封山(沙)育林技术规程》，封育类型确定为灌木型。将灌木盖度在31%-39%的地块封育类型确定为灌木型。</w:t>
      </w:r>
    </w:p>
    <w:p>
      <w:pPr>
        <w:pageBreakBefore w:val="0"/>
        <w:kinsoku/>
        <w:wordWrap/>
        <w:overflowPunct/>
        <w:topLinePunct w:val="0"/>
        <w:autoSpaceDE/>
        <w:autoSpaceDN/>
        <w:bidi w:val="0"/>
        <w:adjustRightInd/>
        <w:snapToGrid/>
        <w:spacing w:line="560" w:lineRule="exact"/>
        <w:ind w:firstLine="573"/>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灌木封育条件：</w:t>
      </w:r>
    </w:p>
    <w:p>
      <w:pPr>
        <w:pageBreakBefore w:val="0"/>
        <w:kinsoku/>
        <w:wordWrap/>
        <w:overflowPunct/>
        <w:topLinePunct w:val="0"/>
        <w:autoSpaceDE/>
        <w:autoSpaceDN/>
        <w:bidi w:val="0"/>
        <w:adjustRightInd/>
        <w:snapToGrid/>
        <w:spacing w:line="560" w:lineRule="exact"/>
        <w:ind w:firstLine="573"/>
        <w:textAlignment w:val="auto"/>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1.特殊灌木林，盖度＜50%；且难以封育成乔木林、乔灌林的确定灌木型，将旱区、高寒区等地区内的针叶树幼苗每公顷300株以上。</w:t>
      </w:r>
    </w:p>
    <w:p>
      <w:pPr>
        <w:pageBreakBefore w:val="0"/>
        <w:kinsoku/>
        <w:wordWrap/>
        <w:overflowPunct/>
        <w:topLinePunct w:val="0"/>
        <w:autoSpaceDE/>
        <w:autoSpaceDN/>
        <w:bidi w:val="0"/>
        <w:adjustRightInd/>
        <w:snapToGrid/>
        <w:spacing w:line="560" w:lineRule="exact"/>
        <w:ind w:firstLine="573"/>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2.一般灌木林，经封育有望成林（灌）或增加植被盖度的地块，且封育时具有乔、灌树种的林地确定为乔灌型。</w:t>
      </w:r>
    </w:p>
    <w:p>
      <w:pPr>
        <w:pStyle w:val="2"/>
        <w:ind w:left="0" w:leftChars="0" w:firstLine="560" w:firstLineChars="200"/>
        <w:rPr>
          <w:rFonts w:hint="default"/>
          <w:lang w:val="en-US" w:eastAsia="zh-CN"/>
        </w:rPr>
      </w:pPr>
      <w:r>
        <w:rPr>
          <w:rFonts w:hint="eastAsia" w:ascii="仿宋" w:hAnsi="仿宋" w:eastAsia="仿宋" w:cs="仿宋"/>
          <w:bCs/>
          <w:kern w:val="2"/>
          <w:sz w:val="28"/>
          <w:szCs w:val="28"/>
          <w:lang w:val="en-US" w:eastAsia="zh-CN" w:bidi="ar-SA"/>
        </w:rPr>
        <w:t>人工辅助育林地选择灌木盖度较小，地势较平缓的阴坡区域通过人工栽植青海云杉改善林地质量，达到育林效果。初植密度167株/亩。人工辅助育林面积1500.0亩。</w:t>
      </w:r>
    </w:p>
    <w:p>
      <w:pPr>
        <w:pStyle w:val="8"/>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封育对象</w:t>
      </w:r>
    </w:p>
    <w:p>
      <w:pPr>
        <w:pStyle w:val="2"/>
        <w:rPr>
          <w:rFonts w:hint="default"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本项目主要封育对象为锦鸡儿、金露梅、山生柳、小檗和青海云杉等。</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封育方式</w:t>
      </w:r>
    </w:p>
    <w:p>
      <w:pPr>
        <w:pageBreakBefore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sz w:val="28"/>
          <w:szCs w:val="28"/>
        </w:rPr>
      </w:pPr>
      <w:r>
        <w:rPr>
          <w:rFonts w:hint="eastAsia" w:ascii="仿宋" w:hAnsi="仿宋" w:eastAsia="仿宋" w:cs="仿宋"/>
          <w:bCs/>
          <w:kern w:val="2"/>
          <w:sz w:val="28"/>
          <w:szCs w:val="28"/>
          <w:lang w:val="en-US" w:eastAsia="zh-CN" w:bidi="ar-SA"/>
        </w:rPr>
        <w:t>该地区生态区位非常重要。封山育林区海拔高度较高，植物生长期短，植被恢复较困难。故封育方式确定为全封。在封育期间，在草木萌芽后的生长季节和停止生长的秋、冬季全部封禁，不得滥牧、乱砍滥伐造成植被破坏。</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封育年限</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封山(沙)育林技术规程》，按封育类型确定封育年限，北方地区灌木型封育年限5-6年、乔灌型封育年限为6-8年。由于项目区地区海拔较高，植被生长缓慢，封育年限取上限，综合考量灌木型封育期确定为6年，即2022年6月-2028年6月；乔灌型封育期确定为8年，即2022年6月-2030年6月。</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造林时间</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根据当地的气候特点和造林树种的生物学特性要求，人工造林时间选择在春季。造林时间时间为4月底至6月初完成造林任务。随起苗随栽植，对未栽完的苗木及时进行假植。</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整地</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Times New Roman"/>
          <w:lang w:val="en-US" w:eastAsia="zh-CN"/>
        </w:rPr>
        <w:drawing>
          <wp:anchor distT="0" distB="0" distL="114300" distR="114300" simplePos="0" relativeHeight="251664384" behindDoc="0" locked="0" layoutInCell="1" allowOverlap="1">
            <wp:simplePos x="0" y="0"/>
            <wp:positionH relativeFrom="column">
              <wp:posOffset>3707765</wp:posOffset>
            </wp:positionH>
            <wp:positionV relativeFrom="paragraph">
              <wp:posOffset>663575</wp:posOffset>
            </wp:positionV>
            <wp:extent cx="2086610" cy="1781810"/>
            <wp:effectExtent l="0" t="0" r="8890" b="8890"/>
            <wp:wrapSquare wrapText="bothSides"/>
            <wp:docPr id="12" name="Picture 2" descr="穴状整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穴状整地"/>
                    <pic:cNvPicPr>
                      <a:picLocks noChangeAspect="1"/>
                    </pic:cNvPicPr>
                  </pic:nvPicPr>
                  <pic:blipFill>
                    <a:blip r:embed="rId13"/>
                    <a:stretch>
                      <a:fillRect/>
                    </a:stretch>
                  </pic:blipFill>
                  <pic:spPr>
                    <a:xfrm>
                      <a:off x="0" y="0"/>
                      <a:ext cx="2086610" cy="1781810"/>
                    </a:xfrm>
                    <a:prstGeom prst="rect">
                      <a:avLst/>
                    </a:prstGeom>
                    <a:noFill/>
                    <a:ln>
                      <a:noFill/>
                    </a:ln>
                  </pic:spPr>
                </pic:pic>
              </a:graphicData>
            </a:graphic>
          </wp:anchor>
        </w:drawing>
      </w:r>
      <w:r>
        <w:rPr>
          <w:rFonts w:hint="eastAsia" w:ascii="仿宋" w:hAnsi="仿宋" w:eastAsia="仿宋" w:cs="仿宋"/>
          <w:bCs/>
          <w:kern w:val="2"/>
          <w:sz w:val="28"/>
          <w:szCs w:val="28"/>
          <w:lang w:val="en-US" w:eastAsia="zh-CN" w:bidi="ar-SA"/>
        </w:rPr>
        <w:t>整地与栽植同时进行。立地条件较好采用穴状整地，部分区域由于间距过大达不到设计要求的，根据补植数量进行局部整地。</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整地方式为穴状。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bCs/>
          <w:kern w:val="2"/>
          <w:sz w:val="28"/>
          <w:szCs w:val="28"/>
          <w:lang w:val="en-US" w:eastAsia="zh-CN" w:bidi="ar-SA"/>
        </w:rPr>
        <w:t>穴状整地：整地规格为穴径50厘米、穴深50厘米。以定点位置为中心，按规定穴径操作，挖穴时要求上下一样大，不得挖成上大下小的“锅底”形。详见图示。</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在整地时要将坑内的石块等杂物检除干净，将表层土和生土分开堆放，并在坑内添上适量的表层土，以保证栽植后苗木的正常生长。</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6" w:name="_Toc317083120"/>
      <w:bookmarkStart w:id="167" w:name="_Toc25770"/>
      <w:r>
        <w:rPr>
          <w:rFonts w:hint="eastAsia" w:ascii="仿宋" w:hAnsi="仿宋" w:eastAsia="仿宋" w:cs="仿宋"/>
          <w:b/>
          <w:bCs/>
          <w:lang w:val="en-US" w:eastAsia="zh-CN"/>
        </w:rPr>
        <w:t>种苗供应方案</w:t>
      </w:r>
      <w:bookmarkEnd w:id="166"/>
      <w:bookmarkEnd w:id="167"/>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苗木供应：</w:t>
      </w:r>
      <w:r>
        <w:rPr>
          <w:rFonts w:hint="eastAsia" w:ascii="仿宋" w:hAnsi="仿宋" w:eastAsia="仿宋" w:cs="仿宋"/>
          <w:bCs/>
          <w:kern w:val="2"/>
          <w:sz w:val="28"/>
          <w:szCs w:val="28"/>
          <w:lang w:val="en-US" w:eastAsia="zh-CN" w:bidi="ar-SA"/>
        </w:rPr>
        <w:t>中标单位就近采购工程造林所需的种苗必须要有检验合格证和检疫合格证及产地标签，没有“两证一签”的种苗不得用于工程造林。</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苗木质量检验：</w:t>
      </w:r>
      <w:r>
        <w:rPr>
          <w:rFonts w:hint="eastAsia" w:ascii="仿宋" w:hAnsi="仿宋" w:eastAsia="仿宋" w:cs="仿宋"/>
          <w:bCs/>
          <w:kern w:val="2"/>
          <w:sz w:val="28"/>
          <w:szCs w:val="28"/>
          <w:lang w:val="en-US" w:eastAsia="zh-CN" w:bidi="ar-SA"/>
        </w:rPr>
        <w:t>苗木出圃前进行病虫害检疫，要求生长健壮、顶芽饱满、根系发达、无机械损伤、无病虫害的优质壮苗。造林苗木优先使用本地苗木，不足部分从气候相近的地区调运，必须具备“两证一签”即“苗木检验证”、“苗木检疫证”、“苗木产地标签”。苗木抽样、检验、检测方法按青海省地方标准《主要造林树种苗木质量分级》DB63/T236-2015执行。</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起苗时间、方法和要求：</w:t>
      </w:r>
      <w:r>
        <w:rPr>
          <w:rFonts w:hint="eastAsia" w:ascii="仿宋" w:hAnsi="仿宋" w:eastAsia="仿宋" w:cs="仿宋"/>
          <w:bCs/>
          <w:kern w:val="2"/>
          <w:sz w:val="28"/>
          <w:szCs w:val="28"/>
          <w:lang w:val="en-US" w:eastAsia="zh-CN" w:bidi="ar-SA"/>
        </w:rPr>
        <w:t>在春级苗木萌动前或秋季苗木停止生长后进行起苗。起苗前一周对苗圃地灌一次起苗水。单株起苗，起苗前拢起树冠，防止碰断侧枝和主稍。做到随起苗、随包装、随运输、随栽植。苗木起苗后立即进行包装和运输，切忌风吹日晒。</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运输要迅速及时，尽量缩短运输距离和运输时间，并采取保湿、降温、防冻、透气等措施。长途运苗要给苗木根部洒水，并进行覆盖处理，尽量减少苗木失水。调运的苗木当天无法栽植完成时，需进行假植，假植地点需选择潮湿、阴暗、避风地方。</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8" w:name="_Toc29071"/>
      <w:r>
        <w:rPr>
          <w:rFonts w:hint="eastAsia" w:ascii="仿宋" w:hAnsi="仿宋" w:eastAsia="仿宋" w:cs="仿宋"/>
          <w:b/>
          <w:bCs/>
          <w:lang w:val="en-US" w:eastAsia="zh-CN"/>
        </w:rPr>
        <w:t>栽植技术</w:t>
      </w:r>
      <w:bookmarkEnd w:id="168"/>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Cs/>
          <w:kern w:val="2"/>
          <w:sz w:val="28"/>
          <w:szCs w:val="28"/>
          <w:lang w:val="en-US" w:eastAsia="zh-CN" w:bidi="ar-SA"/>
        </w:rPr>
        <w:t>（1）苗木规格</w:t>
      </w:r>
    </w:p>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针叶乔木树种：青海云杉苗高80厘米以上，带土球20厘米。</w:t>
      </w:r>
    </w:p>
    <w:p>
      <w:pPr>
        <w:pStyle w:val="9"/>
        <w:pageBreakBefore w:val="0"/>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bCs/>
          <w:kern w:val="2"/>
          <w:sz w:val="28"/>
          <w:szCs w:val="28"/>
          <w:vertAlign w:val="baseline"/>
          <w:lang w:val="en-US" w:eastAsia="zh-CN" w:bidi="ar-SA"/>
        </w:rPr>
      </w:pPr>
      <w:r>
        <w:rPr>
          <w:rFonts w:hint="eastAsia" w:ascii="仿宋" w:hAnsi="仿宋" w:eastAsia="仿宋" w:cs="仿宋"/>
          <w:bCs/>
          <w:kern w:val="2"/>
          <w:sz w:val="28"/>
          <w:szCs w:val="28"/>
          <w:lang w:val="en-US" w:eastAsia="zh-CN" w:bidi="ar-SA"/>
        </w:rPr>
        <w:t>要求所有苗木生长健壮、无病虫害、无机械损伤、根系完整、顶芽饱满、冠型良好。</w:t>
      </w:r>
    </w:p>
    <w:tbl>
      <w:tblPr>
        <w:tblStyle w:val="22"/>
        <w:tblpPr w:leftFromText="180" w:rightFromText="180" w:vertAnchor="page" w:horzAnchor="page" w:tblpX="1592" w:tblpY="7442"/>
        <w:tblW w:w="9355" w:type="dxa"/>
        <w:jc w:val="center"/>
        <w:tblLayout w:type="fixed"/>
        <w:tblCellMar>
          <w:top w:w="0" w:type="dxa"/>
          <w:left w:w="108" w:type="dxa"/>
          <w:bottom w:w="0" w:type="dxa"/>
          <w:right w:w="108" w:type="dxa"/>
        </w:tblCellMar>
      </w:tblPr>
      <w:tblGrid>
        <w:gridCol w:w="914"/>
        <w:gridCol w:w="1500"/>
        <w:gridCol w:w="1411"/>
        <w:gridCol w:w="1412"/>
        <w:gridCol w:w="822"/>
        <w:gridCol w:w="1216"/>
        <w:gridCol w:w="1141"/>
        <w:gridCol w:w="939"/>
      </w:tblGrid>
      <w:tr>
        <w:tblPrEx>
          <w:tblCellMar>
            <w:top w:w="0" w:type="dxa"/>
            <w:left w:w="108" w:type="dxa"/>
            <w:bottom w:w="0" w:type="dxa"/>
            <w:right w:w="108" w:type="dxa"/>
          </w:tblCellMar>
        </w:tblPrEx>
        <w:trPr>
          <w:trHeight w:val="547" w:hRule="atLeast"/>
          <w:jc w:val="center"/>
        </w:trPr>
        <w:tc>
          <w:tcPr>
            <w:tcW w:w="9355" w:type="dxa"/>
            <w:gridSpan w:val="8"/>
            <w:tcBorders>
              <w:top w:val="nil"/>
              <w:left w:val="nil"/>
              <w:right w:val="nil"/>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苗木规格标准表</w:t>
            </w:r>
          </w:p>
        </w:tc>
      </w:tr>
      <w:tr>
        <w:tblPrEx>
          <w:tblCellMar>
            <w:top w:w="0" w:type="dxa"/>
            <w:left w:w="108" w:type="dxa"/>
            <w:bottom w:w="0" w:type="dxa"/>
            <w:right w:w="108" w:type="dxa"/>
          </w:tblCellMar>
        </w:tblPrEx>
        <w:trPr>
          <w:trHeight w:val="834"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种类</w:t>
            </w:r>
          </w:p>
        </w:tc>
        <w:tc>
          <w:tcPr>
            <w:tcW w:w="150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主要树种名称</w:t>
            </w:r>
          </w:p>
        </w:tc>
        <w:tc>
          <w:tcPr>
            <w:tcW w:w="141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苗木高度</w:t>
            </w:r>
          </w:p>
        </w:tc>
        <w:tc>
          <w:tcPr>
            <w:tcW w:w="141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地径</w:t>
            </w:r>
          </w:p>
        </w:tc>
        <w:tc>
          <w:tcPr>
            <w:tcW w:w="82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胸径</w:t>
            </w:r>
          </w:p>
        </w:tc>
        <w:tc>
          <w:tcPr>
            <w:tcW w:w="1216"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冠幅</w:t>
            </w:r>
          </w:p>
        </w:tc>
        <w:tc>
          <w:tcPr>
            <w:tcW w:w="114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土球直径</w:t>
            </w:r>
          </w:p>
        </w:tc>
        <w:tc>
          <w:tcPr>
            <w:tcW w:w="939"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备注</w:t>
            </w:r>
          </w:p>
        </w:tc>
      </w:tr>
      <w:tr>
        <w:tblPrEx>
          <w:tblCellMar>
            <w:top w:w="0" w:type="dxa"/>
            <w:left w:w="108" w:type="dxa"/>
            <w:bottom w:w="0" w:type="dxa"/>
            <w:right w:w="108" w:type="dxa"/>
          </w:tblCellMar>
        </w:tblPrEx>
        <w:trPr>
          <w:trHeight w:val="483"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针叶树种</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青海云杉</w:t>
            </w:r>
          </w:p>
        </w:tc>
        <w:tc>
          <w:tcPr>
            <w:tcW w:w="1411"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lang w:val="en-US" w:eastAsia="zh-CN"/>
              </w:rPr>
              <w:t>80</w:t>
            </w:r>
            <w:r>
              <w:rPr>
                <w:rFonts w:hint="eastAsia" w:ascii="仿宋" w:hAnsi="仿宋" w:eastAsia="仿宋" w:cs="仿宋"/>
                <w:bCs/>
                <w:kern w:val="0"/>
                <w:sz w:val="21"/>
                <w:szCs w:val="21"/>
              </w:rPr>
              <w:t>厘米以上</w:t>
            </w:r>
          </w:p>
        </w:tc>
        <w:tc>
          <w:tcPr>
            <w:tcW w:w="141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82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Cs/>
                <w:kern w:val="0"/>
                <w:sz w:val="21"/>
                <w:szCs w:val="21"/>
              </w:rPr>
            </w:pPr>
          </w:p>
        </w:tc>
        <w:tc>
          <w:tcPr>
            <w:tcW w:w="121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35-40厘米</w:t>
            </w:r>
          </w:p>
        </w:tc>
        <w:tc>
          <w:tcPr>
            <w:tcW w:w="114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20厘米</w:t>
            </w:r>
          </w:p>
        </w:tc>
        <w:tc>
          <w:tcPr>
            <w:tcW w:w="939"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1"/>
                <w:szCs w:val="21"/>
              </w:rPr>
            </w:pPr>
          </w:p>
        </w:tc>
      </w:tr>
    </w:tbl>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（2）苗木管理</w:t>
      </w:r>
    </w:p>
    <w:p>
      <w:pPr>
        <w:pStyle w:val="13"/>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运输要迅速及时，尽量缩短运输的距离和时间，并采取保湿、降温、防冻、透气等措施。长途运输中要给苗木根部洒水，并进行覆盖处理，尽量减少苗木失水。为了提高造林成活率，苗木要求随起苗随运输随栽植，及时栽植不完的苗木必须进行假植在潮湿、阴暗、避风的地方。长度依苗木多少而定，假植时将苗木解捆，单株倾斜排列在沟内，用湿土覆盖根系并踩实，内苗木露出的根系用土埋严后灌水，避免苗木因水分蒸发而影响成活率。并且要派专门的人员进行管理。带土球苗木禁止假植，要随运输、随栽植。</w:t>
      </w:r>
    </w:p>
    <w:p>
      <w:pPr>
        <w:pStyle w:val="9"/>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（3）苗木栽植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严格按《造林技术规范》进行造林。初植密度为167株/亩，针叶乔木（青海云杉）。栽植时要坚持“三埋二踩”的栽植技术，保证苗木的正常生长。</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“三埋二踩”的技术要点：</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整地坑口径大于土球20厘米--30厘米，扶正栽植。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①</w:t>
      </w:r>
      <w:r>
        <w:rPr>
          <w:rFonts w:hint="eastAsia" w:ascii="仿宋" w:hAnsi="仿宋" w:eastAsia="仿宋" w:cs="仿宋"/>
          <w:bCs/>
          <w:kern w:val="2"/>
          <w:sz w:val="28"/>
          <w:szCs w:val="28"/>
          <w:lang w:val="en-US" w:eastAsia="zh-CN" w:bidi="ar-SA"/>
        </w:rPr>
        <w:t>栽植前要先将坑内的石块、杂物一一捡出，并添上适量的表层土，保证栽植后苗木的正常生长。</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default" w:ascii="仿宋" w:hAnsi="仿宋" w:eastAsia="仿宋" w:cs="仿宋"/>
          <w:bCs/>
          <w:kern w:val="2"/>
          <w:sz w:val="28"/>
          <w:szCs w:val="28"/>
          <w:lang w:val="en-US" w:eastAsia="zh-CN" w:bidi="ar-SA"/>
        </w:rPr>
        <w:t>②</w:t>
      </w:r>
      <w:r>
        <w:rPr>
          <w:rFonts w:hint="eastAsia" w:ascii="仿宋" w:hAnsi="仿宋" w:eastAsia="仿宋" w:cs="仿宋"/>
          <w:bCs/>
          <w:kern w:val="2"/>
          <w:sz w:val="28"/>
          <w:szCs w:val="28"/>
          <w:lang w:val="en-US" w:eastAsia="zh-CN" w:bidi="ar-SA"/>
        </w:rPr>
        <w:t>将苗木放入坑中，一人扶正苗木，一人填土，边埋土边将土踩实，填土时先将潮湿而细碎的表土填入坑内，保证根部和土壤充分结合，然后继续边填边踩实，直到与地面持平，并且沿栽植的外缘做好围堰。</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栽植方法：</w:t>
      </w:r>
    </w:p>
    <w:p>
      <w:pPr>
        <w:pStyle w:val="2"/>
        <w:spacing w:line="480" w:lineRule="auto"/>
        <w:rPr>
          <w:rFonts w:hint="eastAsia" w:ascii="仿宋" w:hAnsi="仿宋" w:eastAsia="仿宋" w:cs="仿宋"/>
          <w:bCs/>
          <w:sz w:val="28"/>
          <w:szCs w:val="28"/>
          <w:lang w:val="en-US" w:eastAsia="zh-CN"/>
        </w:rPr>
      </w:pPr>
      <w:r>
        <w:rPr>
          <w:rFonts w:hint="eastAsia" w:ascii="仿宋" w:hAnsi="仿宋" w:eastAsia="仿宋" w:cs="仿宋"/>
          <w:bCs/>
          <w:kern w:val="2"/>
          <w:sz w:val="28"/>
          <w:szCs w:val="28"/>
          <w:lang w:val="en-US" w:eastAsia="zh-CN" w:bidi="ar-SA"/>
        </w:rPr>
        <w:t>栽植方式为植苗造林，一穴一苗。挖穴时将上部熟土和下部生土分开放，栽植回填时先将生土填入底下，最后熟土填在上面，并用脚踩实，栽植时应在开春后降水季节开展。栽植后及时覆土以减少水分蒸发，提高成活率。</w:t>
      </w:r>
    </w:p>
    <w:p>
      <w:pPr>
        <w:pStyle w:val="2"/>
        <w:spacing w:line="480" w:lineRule="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苗木补植补栽过程中要注意以下几点：（1）不深栽：针叶树栽植时要注意不能栽得太深，太深透气性不好，影响成活率，延长缓苗期。针叶树栽植时比原来的栽植深度深1-2cm即可；（2）不修枝：针叶树栽植时不能修枝，否则会造成松脂流淌不停，最后会因养分流失而死亡。（3）不过夜：苗木栽植尽量做到当天到苗，当天栽植，确实无法当天栽完的，一定要做好假植工作，假植时间不得超过12小时。（4）扶苗、封坑、覆土保墒，苗木栽植后会因风吹等原因出现倾斜，同时植树坑内会出现一些裂缝，要及时对苗木扶正，裂缝用虚土覆盖并踩实，防止水分散失，起到蓄水保墒的作用。因坑土下沉而产生的露根、树木倾斜等现象，要及时进行填土、扶正、夯实。</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69" w:name="_Toc19717"/>
      <w:r>
        <w:rPr>
          <w:rFonts w:hint="eastAsia" w:ascii="仿宋" w:hAnsi="仿宋" w:eastAsia="仿宋" w:cs="仿宋"/>
          <w:b/>
          <w:bCs/>
          <w:lang w:val="en-US" w:eastAsia="zh-CN"/>
        </w:rPr>
        <w:t>设施</w:t>
      </w:r>
      <w:bookmarkEnd w:id="169"/>
    </w:p>
    <w:p>
      <w:pPr>
        <w:pageBreakBefore w:val="0"/>
        <w:widowControl w:val="0"/>
        <w:kinsoku/>
        <w:wordWrap/>
        <w:overflowPunct/>
        <w:topLinePunct w:val="0"/>
        <w:autoSpaceDE/>
        <w:autoSpaceDN/>
        <w:bidi w:val="0"/>
        <w:adjustRightInd/>
        <w:snapToGrid/>
        <w:spacing w:before="100" w:after="100" w:line="560" w:lineRule="exact"/>
        <w:ind w:firstLine="562" w:firstLineChars="200"/>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1.网围栏</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拉设围栏，网围栏采用角铁立柱式。</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封山育林：</w:t>
      </w:r>
      <w:r>
        <w:rPr>
          <w:rFonts w:hint="eastAsia" w:ascii="仿宋" w:hAnsi="仿宋" w:eastAsia="仿宋" w:cs="仿宋"/>
          <w:bCs/>
          <w:kern w:val="2"/>
          <w:sz w:val="28"/>
          <w:szCs w:val="28"/>
          <w:lang w:val="en-US" w:eastAsia="zh-CN" w:bidi="ar-SA"/>
        </w:rPr>
        <w:t>共需网围栏网片长114706米，角铁大立柱114个，角铁中立柱286个，角铁小立柱11470个，支撑杆800个，地锚800个。中型宣传牌5座。</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（2）规格及标准</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lang w:val="en-US" w:eastAsia="zh-CN"/>
        </w:rPr>
      </w:pPr>
      <w:r>
        <w:rPr>
          <w:rFonts w:hint="eastAsia" w:ascii="仿宋" w:hAnsi="仿宋" w:eastAsia="仿宋" w:cs="仿宋"/>
          <w:bCs/>
          <w:kern w:val="2"/>
          <w:sz w:val="28"/>
          <w:szCs w:val="28"/>
          <w:lang w:val="en-US" w:eastAsia="zh-CN" w:bidi="ar-SA"/>
        </w:rPr>
        <w:t>网围栏标准要求采用青Q/TB76-88《缠绕式镀锌钢丝围栏》，采用加密围栏，围栏规格为91L-8/110/30(即维线根数8根，纬宽1.1米，经线间距30厘米)，钢丝伸长率不小于4%，反复弯曲次数规格:顶10×10厘米，底15×15厘米。相邻纬线自上而下间距为20厘米、18厘米、18厘米、15厘米、13厘米、13厘米、13厘米。</w:t>
      </w:r>
    </w:p>
    <w:tbl>
      <w:tblPr>
        <w:tblStyle w:val="22"/>
        <w:tblW w:w="0" w:type="auto"/>
        <w:jc w:val="center"/>
        <w:tblLayout w:type="fixed"/>
        <w:tblCellMar>
          <w:top w:w="0" w:type="dxa"/>
          <w:left w:w="108" w:type="dxa"/>
          <w:bottom w:w="0" w:type="dxa"/>
          <w:right w:w="108" w:type="dxa"/>
        </w:tblCellMar>
      </w:tblPr>
      <w:tblGrid>
        <w:gridCol w:w="1563"/>
        <w:gridCol w:w="705"/>
        <w:gridCol w:w="888"/>
        <w:gridCol w:w="713"/>
        <w:gridCol w:w="855"/>
        <w:gridCol w:w="999"/>
        <w:gridCol w:w="713"/>
        <w:gridCol w:w="2424"/>
      </w:tblGrid>
      <w:tr>
        <w:tblPrEx>
          <w:tblCellMar>
            <w:top w:w="0" w:type="dxa"/>
            <w:left w:w="108" w:type="dxa"/>
            <w:bottom w:w="0" w:type="dxa"/>
            <w:right w:w="108" w:type="dxa"/>
          </w:tblCellMar>
        </w:tblPrEx>
        <w:trPr>
          <w:trHeight w:val="826" w:hRule="atLeast"/>
          <w:jc w:val="center"/>
        </w:trPr>
        <w:tc>
          <w:tcPr>
            <w:tcW w:w="8860" w:type="dxa"/>
            <w:gridSpan w:val="8"/>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编织网围栏基本参数</w:t>
            </w:r>
          </w:p>
        </w:tc>
      </w:tr>
      <w:tr>
        <w:tblPrEx>
          <w:tblCellMar>
            <w:top w:w="0" w:type="dxa"/>
            <w:left w:w="108" w:type="dxa"/>
            <w:bottom w:w="0" w:type="dxa"/>
            <w:right w:w="108" w:type="dxa"/>
          </w:tblCellMar>
        </w:tblPrEx>
        <w:trPr>
          <w:trHeight w:val="634" w:hRule="atLeast"/>
          <w:jc w:val="center"/>
        </w:trPr>
        <w:tc>
          <w:tcPr>
            <w:tcW w:w="156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70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888"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71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85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999"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71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2424"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单位：毫米</w:t>
            </w:r>
          </w:p>
        </w:tc>
      </w:tr>
      <w:tr>
        <w:tblPrEx>
          <w:tblCellMar>
            <w:top w:w="0" w:type="dxa"/>
            <w:left w:w="108" w:type="dxa"/>
            <w:bottom w:w="0" w:type="dxa"/>
            <w:right w:w="108" w:type="dxa"/>
          </w:tblCellMar>
        </w:tblPrEx>
        <w:trPr>
          <w:trHeight w:val="686" w:hRule="atLeast"/>
          <w:jc w:val="center"/>
        </w:trPr>
        <w:tc>
          <w:tcPr>
            <w:tcW w:w="156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ind w:left="155" w:hanging="153" w:hangingChars="73"/>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规格</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纬线根数</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网宽公称尺寸</w:t>
            </w:r>
          </w:p>
        </w:tc>
        <w:tc>
          <w:tcPr>
            <w:tcW w:w="71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经线间距</w:t>
            </w:r>
          </w:p>
        </w:tc>
        <w:tc>
          <w:tcPr>
            <w:tcW w:w="2567" w:type="dxa"/>
            <w:gridSpan w:val="3"/>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钢丝公称直径</w:t>
            </w:r>
          </w:p>
        </w:tc>
        <w:tc>
          <w:tcPr>
            <w:tcW w:w="2424"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自上而下相邻纬线间距</w:t>
            </w:r>
          </w:p>
        </w:tc>
      </w:tr>
      <w:tr>
        <w:tblPrEx>
          <w:tblCellMar>
            <w:top w:w="0" w:type="dxa"/>
            <w:left w:w="108" w:type="dxa"/>
            <w:bottom w:w="0" w:type="dxa"/>
            <w:right w:w="108" w:type="dxa"/>
          </w:tblCellMar>
        </w:tblPrEx>
        <w:trPr>
          <w:trHeight w:val="1282" w:hRule="atLeast"/>
          <w:jc w:val="center"/>
        </w:trPr>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85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边纬线</w:t>
            </w:r>
          </w:p>
        </w:tc>
        <w:tc>
          <w:tcPr>
            <w:tcW w:w="999"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中纬线</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经线</w:t>
            </w:r>
          </w:p>
        </w:tc>
        <w:tc>
          <w:tcPr>
            <w:tcW w:w="242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r>
      <w:tr>
        <w:tblPrEx>
          <w:tblCellMar>
            <w:top w:w="0" w:type="dxa"/>
            <w:left w:w="108" w:type="dxa"/>
            <w:bottom w:w="0" w:type="dxa"/>
            <w:right w:w="108" w:type="dxa"/>
          </w:tblCellMar>
        </w:tblPrEx>
        <w:trPr>
          <w:trHeight w:val="1294" w:hRule="atLeast"/>
          <w:jc w:val="center"/>
        </w:trPr>
        <w:tc>
          <w:tcPr>
            <w:tcW w:w="1563"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91L8/110/30</w:t>
            </w:r>
          </w:p>
        </w:tc>
        <w:tc>
          <w:tcPr>
            <w:tcW w:w="70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8</w:t>
            </w:r>
          </w:p>
        </w:tc>
        <w:tc>
          <w:tcPr>
            <w:tcW w:w="88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1100</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300</w:t>
            </w:r>
          </w:p>
        </w:tc>
        <w:tc>
          <w:tcPr>
            <w:tcW w:w="85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2.8</w:t>
            </w:r>
          </w:p>
        </w:tc>
        <w:tc>
          <w:tcPr>
            <w:tcW w:w="999"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2.5</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2.5</w:t>
            </w:r>
          </w:p>
        </w:tc>
        <w:tc>
          <w:tcPr>
            <w:tcW w:w="2424"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200、180、180、150、130、130、130</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角铁立柱规格:大角铁立柱高2.15米，材料规格为9×9×0.8（厚）厘米，每根大立柱配套两根支撑杆和两个地锚，支撑杆高3.0米，材料规格为5厘米的电焊钢管，地锚高0.6米，材料规格为4×4×0.4厘米；中立柱高2.15米，材料规格为7×7×0.7厘米；小立柱高2.0米，材料规格为4×4×0.4厘米，为了便于与其他工程的区分，网围栏角铁立柱自上而下每隔30厘米喷红漆和黄漆。</w:t>
      </w:r>
    </w:p>
    <w:tbl>
      <w:tblPr>
        <w:tblStyle w:val="22"/>
        <w:tblW w:w="0" w:type="auto"/>
        <w:tblInd w:w="0" w:type="dxa"/>
        <w:tblLayout w:type="fixed"/>
        <w:tblCellMar>
          <w:top w:w="0" w:type="dxa"/>
          <w:left w:w="108" w:type="dxa"/>
          <w:bottom w:w="0" w:type="dxa"/>
          <w:right w:w="108" w:type="dxa"/>
        </w:tblCellMar>
      </w:tblPr>
      <w:tblGrid>
        <w:gridCol w:w="3454"/>
        <w:gridCol w:w="1183"/>
        <w:gridCol w:w="4343"/>
      </w:tblGrid>
      <w:tr>
        <w:tblPrEx>
          <w:tblCellMar>
            <w:top w:w="0" w:type="dxa"/>
            <w:left w:w="108" w:type="dxa"/>
            <w:bottom w:w="0" w:type="dxa"/>
            <w:right w:w="108" w:type="dxa"/>
          </w:tblCellMar>
        </w:tblPrEx>
        <w:trPr>
          <w:trHeight w:val="602" w:hRule="atLeast"/>
        </w:trPr>
        <w:tc>
          <w:tcPr>
            <w:tcW w:w="8980" w:type="dxa"/>
            <w:gridSpan w:val="3"/>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支撑件规格与基本参数</w:t>
            </w:r>
          </w:p>
        </w:tc>
      </w:tr>
      <w:tr>
        <w:tblPrEx>
          <w:tblCellMar>
            <w:top w:w="0" w:type="dxa"/>
            <w:left w:w="108" w:type="dxa"/>
            <w:bottom w:w="0" w:type="dxa"/>
            <w:right w:w="108" w:type="dxa"/>
          </w:tblCellMar>
        </w:tblPrEx>
        <w:trPr>
          <w:trHeight w:val="430" w:hRule="atLeast"/>
        </w:trPr>
        <w:tc>
          <w:tcPr>
            <w:tcW w:w="3454"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118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4343"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单位：毫米</w:t>
            </w:r>
          </w:p>
        </w:tc>
      </w:tr>
      <w:tr>
        <w:tblPrEx>
          <w:tblCellMar>
            <w:top w:w="0" w:type="dxa"/>
            <w:left w:w="108" w:type="dxa"/>
            <w:bottom w:w="0" w:type="dxa"/>
            <w:right w:w="108" w:type="dxa"/>
          </w:tblCellMar>
        </w:tblPrEx>
        <w:trPr>
          <w:trHeight w:val="589" w:hRule="atLeast"/>
        </w:trPr>
        <w:tc>
          <w:tcPr>
            <w:tcW w:w="345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名称</w:t>
            </w:r>
          </w:p>
        </w:tc>
        <w:tc>
          <w:tcPr>
            <w:tcW w:w="118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尺寸</w:t>
            </w:r>
          </w:p>
        </w:tc>
        <w:tc>
          <w:tcPr>
            <w:tcW w:w="434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材料规格</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角铁大立柱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2150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热轧等边角铁90×90×8</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角铁中立柱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2150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热轧等边角铁70×70×7</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角铁小立柱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热轧等边角铁40×40×4</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地锚</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600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热轧等边角铁40×40×4</w:t>
            </w:r>
          </w:p>
        </w:tc>
      </w:tr>
      <w:tr>
        <w:tblPrEx>
          <w:tblCellMar>
            <w:top w:w="0" w:type="dxa"/>
            <w:left w:w="108" w:type="dxa"/>
            <w:bottom w:w="0" w:type="dxa"/>
            <w:right w:w="108" w:type="dxa"/>
          </w:tblCellMar>
        </w:tblPrEx>
        <w:trPr>
          <w:trHeight w:val="610"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支撑杆</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3000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镀锌钢管50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（3）安装技术</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角铁立柱安装技术: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平均每1000米设置一根大立柱，400米设置一根中立柱，按地形平均每10米设置一根小立柱。立柱埋入地下不得少于60厘米，拐点必须在受力方使用拉线，在大立柱或中立柱上安装支撑杆2个，地锚2个(见下图)。</w:t>
      </w:r>
    </w:p>
    <w:p>
      <w:pPr>
        <w:pStyle w:val="2"/>
        <w:pageBreakBefore w:val="0"/>
        <w:kinsoku/>
        <w:wordWrap/>
        <w:overflowPunct/>
        <w:topLinePunct w:val="0"/>
        <w:autoSpaceDE/>
        <w:autoSpaceDN/>
        <w:bidi w:val="0"/>
        <w:adjustRightInd/>
        <w:snapToGrid/>
        <w:spacing w:line="520" w:lineRule="exact"/>
        <w:rPr>
          <w:rFonts w:hint="eastAsia" w:ascii="仿宋" w:hAnsi="仿宋" w:eastAsia="仿宋" w:cs="仿宋"/>
          <w:lang w:val="en-US" w:eastAsia="zh-CN"/>
        </w:rPr>
      </w:pPr>
      <w:r>
        <w:rPr>
          <w:rFonts w:hint="eastAsia" w:ascii="仿宋" w:hAnsi="仿宋" w:eastAsia="仿宋" w:cs="仿宋"/>
          <w:sz w:val="21"/>
        </w:rPr>
        <w:drawing>
          <wp:anchor distT="0" distB="0" distL="114300" distR="114300" simplePos="0" relativeHeight="251663360" behindDoc="0" locked="0" layoutInCell="1" allowOverlap="1">
            <wp:simplePos x="0" y="0"/>
            <wp:positionH relativeFrom="column">
              <wp:posOffset>-635</wp:posOffset>
            </wp:positionH>
            <wp:positionV relativeFrom="paragraph">
              <wp:posOffset>168275</wp:posOffset>
            </wp:positionV>
            <wp:extent cx="5614670" cy="2460625"/>
            <wp:effectExtent l="12700" t="12700" r="30480" b="22225"/>
            <wp:wrapTopAndBottom/>
            <wp:docPr id="11" name="图片 11" descr="角铁立柱式网围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角铁立柱式网围栏"/>
                    <pic:cNvPicPr>
                      <a:picLocks noChangeAspect="1"/>
                    </pic:cNvPicPr>
                  </pic:nvPicPr>
                  <pic:blipFill>
                    <a:blip r:embed="rId14"/>
                    <a:stretch>
                      <a:fillRect/>
                    </a:stretch>
                  </pic:blipFill>
                  <pic:spPr>
                    <a:xfrm>
                      <a:off x="0" y="0"/>
                      <a:ext cx="5614670" cy="2460625"/>
                    </a:xfrm>
                    <a:prstGeom prst="rect">
                      <a:avLst/>
                    </a:prstGeom>
                    <a:noFill/>
                    <a:ln w="12700" cap="flat" cmpd="sng">
                      <a:solidFill>
                        <a:srgbClr val="272727"/>
                      </a:solidFill>
                      <a:prstDash val="solid"/>
                      <a:miter/>
                      <a:headEnd type="none" w="med" len="med"/>
                      <a:tailEnd type="none" w="med" len="med"/>
                    </a:ln>
                  </pic:spPr>
                </pic:pic>
              </a:graphicData>
            </a:graphic>
          </wp:anchor>
        </w:drawing>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numPr>
          <w:ilvl w:val="0"/>
          <w:numId w:val="0"/>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标段划分情况</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退化草地改良及草原围栏封育</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bookmarkStart w:id="170" w:name="_Toc36675115"/>
      <w:r>
        <w:rPr>
          <w:rFonts w:hint="eastAsia" w:ascii="仿宋" w:hAnsi="仿宋" w:eastAsia="仿宋" w:cs="仿宋"/>
          <w:b/>
          <w:bCs/>
          <w:sz w:val="30"/>
          <w:szCs w:val="30"/>
          <w:lang w:val="en-US" w:eastAsia="zh-CN"/>
        </w:rPr>
        <w:t>退化草地改良及围栏封育建设任务</w:t>
      </w:r>
      <w:bookmarkEnd w:id="170"/>
    </w:p>
    <w:p>
      <w:pPr>
        <w:pStyle w:val="13"/>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项目建设任务：退化草地改良400</w:t>
      </w:r>
      <w:r>
        <w:rPr>
          <w:rFonts w:hint="eastAsia" w:ascii="仿宋" w:hAnsi="仿宋" w:eastAsia="仿宋" w:cs="仿宋"/>
          <w:bCs/>
          <w:sz w:val="28"/>
          <w:szCs w:val="28"/>
        </w:rPr>
        <w:t>00</w:t>
      </w:r>
      <w:r>
        <w:rPr>
          <w:rFonts w:hint="eastAsia" w:ascii="仿宋" w:hAnsi="仿宋" w:eastAsia="仿宋" w:cs="仿宋"/>
          <w:bCs/>
          <w:sz w:val="28"/>
          <w:szCs w:val="28"/>
          <w:lang w:val="en-US" w:eastAsia="zh-CN"/>
        </w:rPr>
        <w:t>.0</w:t>
      </w:r>
      <w:r>
        <w:rPr>
          <w:rFonts w:hint="eastAsia" w:ascii="仿宋" w:hAnsi="仿宋" w:eastAsia="仿宋" w:cs="仿宋"/>
          <w:bCs/>
          <w:sz w:val="28"/>
          <w:szCs w:val="28"/>
        </w:rPr>
        <w:t>亩</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围栏封育100000.0米。</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bookmarkStart w:id="171" w:name="_Toc36675116"/>
      <w:r>
        <w:rPr>
          <w:rFonts w:hint="eastAsia" w:ascii="仿宋" w:hAnsi="仿宋" w:eastAsia="仿宋" w:cs="仿宋"/>
          <w:b/>
          <w:bCs/>
          <w:sz w:val="30"/>
          <w:szCs w:val="30"/>
          <w:lang w:val="en-US" w:eastAsia="zh-CN"/>
        </w:rPr>
        <w:t>退化草地改良及围栏封育建设布局</w:t>
      </w:r>
      <w:bookmarkEnd w:id="171"/>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Cs/>
          <w:sz w:val="28"/>
          <w:szCs w:val="28"/>
          <w:lang w:val="en-US" w:eastAsia="zh-CN"/>
        </w:rPr>
      </w:pPr>
      <w:r>
        <w:rPr>
          <w:rFonts w:hint="eastAsia" w:ascii="仿宋" w:hAnsi="仿宋" w:eastAsia="仿宋" w:cs="仿宋"/>
          <w:bCs/>
          <w:sz w:val="28"/>
          <w:szCs w:val="28"/>
          <w:lang w:val="en-US" w:eastAsia="zh-CN"/>
        </w:rPr>
        <w:t>退化草地改良400</w:t>
      </w:r>
      <w:r>
        <w:rPr>
          <w:rFonts w:hint="eastAsia" w:ascii="仿宋" w:hAnsi="仿宋" w:eastAsia="仿宋" w:cs="仿宋"/>
          <w:bCs/>
          <w:sz w:val="28"/>
          <w:szCs w:val="28"/>
        </w:rPr>
        <w:t>00</w:t>
      </w:r>
      <w:r>
        <w:rPr>
          <w:rFonts w:hint="eastAsia" w:ascii="仿宋" w:hAnsi="仿宋" w:eastAsia="仿宋" w:cs="仿宋"/>
          <w:bCs/>
          <w:sz w:val="28"/>
          <w:szCs w:val="28"/>
          <w:lang w:val="en-US" w:eastAsia="zh-CN"/>
        </w:rPr>
        <w:t>.0</w:t>
      </w:r>
      <w:r>
        <w:rPr>
          <w:rFonts w:hint="eastAsia" w:ascii="仿宋" w:hAnsi="仿宋" w:eastAsia="仿宋" w:cs="仿宋"/>
          <w:bCs/>
          <w:sz w:val="28"/>
          <w:szCs w:val="28"/>
        </w:rPr>
        <w:t>亩</w:t>
      </w:r>
      <w:r>
        <w:rPr>
          <w:rFonts w:hint="eastAsia" w:ascii="仿宋" w:hAnsi="仿宋" w:eastAsia="仿宋" w:cs="仿宋"/>
          <w:bCs/>
          <w:sz w:val="28"/>
          <w:szCs w:val="28"/>
          <w:lang w:eastAsia="zh-CN"/>
        </w:rPr>
        <w:t>，</w:t>
      </w:r>
      <w:r>
        <w:rPr>
          <w:rFonts w:hint="eastAsia" w:ascii="仿宋" w:hAnsi="仿宋" w:eastAsia="仿宋" w:cs="仿宋"/>
          <w:bCs/>
          <w:kern w:val="2"/>
          <w:sz w:val="28"/>
          <w:szCs w:val="28"/>
          <w:lang w:val="en-US" w:eastAsia="zh-CN" w:bidi="ar-SA"/>
        </w:rPr>
        <w:t>位于宝库乡巴音村，区划5个退化草地改良作业小班。分别位于热水掌、哈尔金大山、恰勒林玛、红槽脑、八个疙瘩。</w:t>
      </w:r>
      <w:r>
        <w:rPr>
          <w:rFonts w:hint="eastAsia" w:ascii="Times New Roman" w:hAnsi="Times New Roman" w:eastAsia="仿宋_GB2312" w:cs="Times New Roman"/>
          <w:bCs/>
          <w:sz w:val="28"/>
          <w:szCs w:val="28"/>
          <w:lang w:val="en-US" w:eastAsia="zh-CN"/>
        </w:rPr>
        <w:t>详见表 7</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1</w:t>
      </w:r>
    </w:p>
    <w:p>
      <w:pPr>
        <w:pStyle w:val="2"/>
        <w:rPr>
          <w:rFonts w:hint="eastAsia"/>
          <w:lang w:val="en-US" w:eastAsia="zh-CN"/>
        </w:rPr>
      </w:pPr>
    </w:p>
    <w:tbl>
      <w:tblPr>
        <w:tblStyle w:val="22"/>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3"/>
        <w:gridCol w:w="1996"/>
        <w:gridCol w:w="1346"/>
        <w:gridCol w:w="1346"/>
        <w:gridCol w:w="1660"/>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24"/>
                <w:szCs w:val="24"/>
                <w:u w:val="none"/>
                <w:lang w:val="en-US" w:eastAsia="zh-CN" w:bidi="ar"/>
              </w:rPr>
              <w:t>表7-3-1退化草原改良规模布局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79" w:type="pct"/>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1016" w:type="pct"/>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685" w:type="pct"/>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685" w:type="pct"/>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845" w:type="pct"/>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c>
          <w:tcPr>
            <w:tcW w:w="786" w:type="pct"/>
            <w:tcBorders>
              <w:top w:val="nil"/>
              <w:left w:val="nil"/>
              <w:bottom w:val="nil"/>
              <w:right w:val="nil"/>
            </w:tcBorders>
            <w:noWrap/>
            <w:vAlign w:val="center"/>
          </w:tcPr>
          <w:p>
            <w:pP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7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建设地点</w:t>
            </w:r>
          </w:p>
        </w:tc>
        <w:tc>
          <w:tcPr>
            <w:tcW w:w="1016"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退化草原改良建设面积</w:t>
            </w:r>
            <w:r>
              <w:rPr>
                <w:rStyle w:val="44"/>
                <w:rFonts w:hint="eastAsia" w:ascii="仿宋" w:hAnsi="仿宋" w:eastAsia="仿宋" w:cs="仿宋"/>
                <w:lang w:val="en-US" w:eastAsia="zh-CN" w:bidi="ar"/>
              </w:rPr>
              <w:t>（亩）</w:t>
            </w:r>
          </w:p>
        </w:tc>
        <w:tc>
          <w:tcPr>
            <w:tcW w:w="68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地块编号</w:t>
            </w:r>
          </w:p>
        </w:tc>
        <w:tc>
          <w:tcPr>
            <w:tcW w:w="2318"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拐点编号</w:t>
            </w:r>
          </w:p>
        </w:tc>
        <w:tc>
          <w:tcPr>
            <w:tcW w:w="84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经度</w:t>
            </w:r>
          </w:p>
        </w:tc>
        <w:tc>
          <w:tcPr>
            <w:tcW w:w="786"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巴音村热水掌</w:t>
            </w:r>
          </w:p>
        </w:tc>
        <w:tc>
          <w:tcPr>
            <w:tcW w:w="10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16500</w:t>
            </w:r>
          </w:p>
        </w:tc>
        <w:tc>
          <w:tcPr>
            <w:tcW w:w="68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101°04'16”</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101°03'37"</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101°03'11”</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101°03'06”</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101°03'04"</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101°02'59"</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101°02'50"</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101°02'45"</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101°02'37"</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101°02'30"</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101°02'25"</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101°02'46"</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101°03'03"</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101°03'08”</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101°03'13"</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101°03'20”</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101°03'32"</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01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101°03'41"</w:t>
            </w:r>
          </w:p>
        </w:tc>
        <w:tc>
          <w:tcPr>
            <w:tcW w:w="7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37°15'58”</w:t>
            </w:r>
          </w:p>
        </w:tc>
      </w:tr>
    </w:tbl>
    <w:p>
      <w:pPr>
        <w:keepNext w:val="0"/>
        <w:keepLines w:val="0"/>
        <w:widowControl/>
        <w:suppressLineNumbers w:val="0"/>
        <w:ind w:firstLine="640" w:firstLineChars="200"/>
        <w:jc w:val="left"/>
        <w:rPr>
          <w:rFonts w:hint="eastAsia" w:ascii="仿宋" w:hAnsi="仿宋" w:eastAsia="仿宋" w:cs="仿宋"/>
          <w:b w:val="0"/>
          <w:bCs w:val="0"/>
          <w:color w:val="000000"/>
          <w:spacing w:val="0"/>
          <w:w w:val="100"/>
          <w:kern w:val="2"/>
          <w:position w:val="0"/>
          <w:sz w:val="32"/>
          <w:szCs w:val="32"/>
          <w:u w:val="none"/>
          <w:shd w:val="clear" w:color="auto" w:fill="auto"/>
          <w:lang w:val="zh-TW" w:eastAsia="zh-TW" w:bidi="zh-TW"/>
        </w:rPr>
      </w:pPr>
    </w:p>
    <w:p>
      <w:pPr>
        <w:rPr>
          <w:rFonts w:hint="eastAsia" w:ascii="仿宋" w:hAnsi="仿宋" w:eastAsia="仿宋" w:cs="仿宋"/>
        </w:r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2"/>
        <w:gridCol w:w="1574"/>
        <w:gridCol w:w="1395"/>
        <w:gridCol w:w="1176"/>
        <w:gridCol w:w="219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建设地点</w:t>
            </w:r>
          </w:p>
        </w:tc>
        <w:tc>
          <w:tcPr>
            <w:tcW w:w="932"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退化草原改良建设面积</w:t>
            </w:r>
            <w:r>
              <w:rPr>
                <w:rStyle w:val="44"/>
                <w:rFonts w:hint="eastAsia" w:ascii="仿宋" w:hAnsi="仿宋" w:eastAsia="仿宋" w:cs="仿宋"/>
                <w:lang w:val="en-US" w:eastAsia="zh-CN" w:bidi="ar"/>
              </w:rPr>
              <w:t>（亩）</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地块编号</w:t>
            </w:r>
          </w:p>
        </w:tc>
        <w:tc>
          <w:tcPr>
            <w:tcW w:w="2426"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拐点编号</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经度</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巴音村哈尔金大山</w:t>
            </w:r>
          </w:p>
        </w:tc>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2970</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11.506"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16' 49.087"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47.856"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16' 44.817"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44.491"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16' 9.923"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12.742"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15' 48.062"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3' 50.186"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16' 4.902"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11.506"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16' 49.087" N</w:t>
            </w:r>
          </w:p>
        </w:tc>
      </w:tr>
    </w:tbl>
    <w:p>
      <w:pPr>
        <w:rPr>
          <w:rFonts w:hint="eastAsia" w:ascii="仿宋" w:hAnsi="仿宋" w:eastAsia="仿宋" w:cs="仿宋"/>
        </w:r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2"/>
        <w:gridCol w:w="1574"/>
        <w:gridCol w:w="1395"/>
        <w:gridCol w:w="1176"/>
        <w:gridCol w:w="219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建设地点</w:t>
            </w:r>
          </w:p>
        </w:tc>
        <w:tc>
          <w:tcPr>
            <w:tcW w:w="932"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退化草原改良建设面积（亩）</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地块编号</w:t>
            </w:r>
          </w:p>
        </w:tc>
        <w:tc>
          <w:tcPr>
            <w:tcW w:w="2426"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拐点编号</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经度</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巴音村恰勒林玛</w:t>
            </w:r>
          </w:p>
        </w:tc>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5040</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9.397"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47.305"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41.693"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59.331"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15.295"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4.240"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13.249"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17.528"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53.513"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24.498"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50.594"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18.676"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48.223"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18.403"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42.066"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6.648"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31.954"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2.002"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33.286"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33.650"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44.372"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49.763"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59.164"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52.492"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9.397"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47.305" N</w:t>
            </w:r>
          </w:p>
        </w:tc>
      </w:tr>
    </w:tbl>
    <w:p>
      <w:pPr>
        <w:rPr>
          <w:rFonts w:hint="eastAsia" w:ascii="仿宋" w:hAnsi="仿宋" w:eastAsia="仿宋" w:cs="仿宋"/>
        </w:rPr>
      </w:pPr>
    </w:p>
    <w:p>
      <w:pPr>
        <w:rPr>
          <w:rFonts w:hint="eastAsia" w:ascii="仿宋" w:hAnsi="仿宋" w:eastAsia="仿宋" w:cs="仿宋"/>
        </w:r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2"/>
        <w:gridCol w:w="1574"/>
        <w:gridCol w:w="1395"/>
        <w:gridCol w:w="1176"/>
        <w:gridCol w:w="219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建设地点</w:t>
            </w:r>
          </w:p>
        </w:tc>
        <w:tc>
          <w:tcPr>
            <w:tcW w:w="932"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退化草原改良建设面积（亩）</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地块编号</w:t>
            </w:r>
          </w:p>
        </w:tc>
        <w:tc>
          <w:tcPr>
            <w:tcW w:w="2426"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拐点编号</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经度</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巴音村红槽脑</w:t>
            </w:r>
          </w:p>
        </w:tc>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11790</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40.959"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3.309"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6' 44.225"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4.700"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7' 15.587"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18.218"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8' 23.565"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46.778"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8' 19.085"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19.742"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6' 42.757"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37.663"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6' 26.919"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19' 26.967"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39.866"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19' 25.265"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14.997"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20' 1.603" N</w:t>
            </w:r>
          </w:p>
        </w:tc>
      </w:tr>
    </w:tbl>
    <w:p>
      <w:pPr>
        <w:rPr>
          <w:rFonts w:hint="eastAsia" w:ascii="仿宋" w:hAnsi="仿宋" w:eastAsia="仿宋" w:cs="仿宋"/>
        </w:r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2"/>
        <w:gridCol w:w="1574"/>
        <w:gridCol w:w="1395"/>
        <w:gridCol w:w="1176"/>
        <w:gridCol w:w="219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建设地点</w:t>
            </w:r>
          </w:p>
        </w:tc>
        <w:tc>
          <w:tcPr>
            <w:tcW w:w="932" w:type="pct"/>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退化草原改良建设面积（亩）</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地块编号</w:t>
            </w:r>
          </w:p>
        </w:tc>
        <w:tc>
          <w:tcPr>
            <w:tcW w:w="2426" w:type="pct"/>
            <w:gridSpan w:val="3"/>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拐点编号</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经度</w:t>
            </w:r>
          </w:p>
        </w:tc>
        <w:tc>
          <w:tcPr>
            <w:tcW w:w="95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巴音村八个疙瘩</w:t>
            </w:r>
          </w:p>
        </w:tc>
        <w:tc>
          <w:tcPr>
            <w:tcW w:w="93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3700</w:t>
            </w:r>
          </w:p>
        </w:tc>
        <w:tc>
          <w:tcPr>
            <w:tcW w:w="84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21.162"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58.485"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59.014"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33.457"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37.230"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7.811"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45.650"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59.777"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58.749"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8.465"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1.751"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6.318"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8.585"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8.350"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15.538"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56.303"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5' 7.836"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49.226"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58.996"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53.686"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43.950"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50.353"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32.981"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29.496"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9.652"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21' 23.703"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3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8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 4' 7.047" E</w:t>
            </w:r>
          </w:p>
        </w:tc>
        <w:tc>
          <w:tcPr>
            <w:tcW w:w="9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22' 21.201" N</w:t>
            </w:r>
          </w:p>
        </w:tc>
      </w:tr>
    </w:tbl>
    <w:p>
      <w:pPr>
        <w:pStyle w:val="2"/>
        <w:ind w:left="0" w:leftChars="0" w:firstLine="0" w:firstLineChars="0"/>
        <w:rPr>
          <w:rFonts w:hint="eastAsia"/>
          <w:lang w:val="en-US" w:eastAsia="zh-CN"/>
        </w:rPr>
      </w:pP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Cs/>
          <w:sz w:val="28"/>
          <w:szCs w:val="28"/>
          <w:lang w:val="en-US" w:eastAsia="zh-CN"/>
        </w:rPr>
      </w:pPr>
      <w:r>
        <w:rPr>
          <w:rFonts w:hint="eastAsia" w:ascii="仿宋" w:hAnsi="仿宋" w:eastAsia="仿宋" w:cs="仿宋"/>
          <w:bCs/>
          <w:sz w:val="28"/>
          <w:szCs w:val="28"/>
          <w:lang w:val="en-US" w:eastAsia="zh-CN"/>
        </w:rPr>
        <w:t>围栏封育100000.0米，</w:t>
      </w:r>
      <w:r>
        <w:rPr>
          <w:rFonts w:hint="eastAsia" w:ascii="Times New Roman" w:hAnsi="Times New Roman" w:eastAsia="仿宋_GB2312" w:cs="Times New Roman"/>
          <w:bCs/>
          <w:sz w:val="28"/>
          <w:szCs w:val="28"/>
          <w:lang w:val="en-US" w:eastAsia="zh-CN"/>
        </w:rPr>
        <w:t>结合现有围栏建设以及天然屏障，围栏建设</w:t>
      </w:r>
      <w:r>
        <w:rPr>
          <w:rFonts w:hint="eastAsia" w:ascii="仿宋" w:hAnsi="仿宋" w:eastAsia="仿宋" w:cs="仿宋"/>
          <w:bCs/>
          <w:kern w:val="2"/>
          <w:sz w:val="28"/>
          <w:szCs w:val="28"/>
          <w:lang w:val="en-US" w:eastAsia="zh-CN" w:bidi="ar-SA"/>
        </w:rPr>
        <w:t>位于大通县省牛场，区划5个围栏封育作业小班。分别位于叶赫拉大掌、红垭豁滩、打儿轩其哈、力气儿珂、阴山毛亥图。</w:t>
      </w:r>
      <w:r>
        <w:rPr>
          <w:rFonts w:hint="eastAsia" w:ascii="Times New Roman" w:hAnsi="Times New Roman" w:eastAsia="仿宋_GB2312" w:cs="Times New Roman"/>
          <w:bCs/>
          <w:sz w:val="28"/>
          <w:szCs w:val="28"/>
          <w:lang w:val="en-US" w:eastAsia="zh-CN"/>
        </w:rPr>
        <w:t>详见表7</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val="en-US" w:eastAsia="zh-CN"/>
        </w:rPr>
        <w:t>2</w:t>
      </w:r>
    </w:p>
    <w:p>
      <w:pPr>
        <w:pStyle w:val="2"/>
        <w:rPr>
          <w:rFonts w:hint="eastAsia"/>
          <w:lang w:val="en-US" w:eastAsia="zh-CN"/>
        </w:rPr>
      </w:pPr>
    </w:p>
    <w:p>
      <w:pPr>
        <w:pStyle w:val="2"/>
        <w:jc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表7-3-2围栏封育建设规模布局</w:t>
      </w:r>
    </w:p>
    <w:tbl>
      <w:tblPr>
        <w:tblStyle w:val="22"/>
        <w:tblW w:w="5124" w:type="pct"/>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7"/>
        <w:gridCol w:w="1294"/>
        <w:gridCol w:w="1250"/>
        <w:gridCol w:w="1443"/>
        <w:gridCol w:w="2295"/>
        <w:gridCol w:w="2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建设地点</w:t>
            </w:r>
          </w:p>
        </w:tc>
        <w:tc>
          <w:tcPr>
            <w:tcW w:w="64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建设围栏（米）</w:t>
            </w:r>
          </w:p>
        </w:tc>
        <w:tc>
          <w:tcPr>
            <w:tcW w:w="61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地块编号</w:t>
            </w:r>
          </w:p>
        </w:tc>
        <w:tc>
          <w:tcPr>
            <w:tcW w:w="309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拐点编号</w:t>
            </w:r>
          </w:p>
        </w:tc>
        <w:tc>
          <w:tcPr>
            <w:tcW w:w="1136"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经度</w:t>
            </w:r>
          </w:p>
        </w:tc>
        <w:tc>
          <w:tcPr>
            <w:tcW w:w="1247"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省牛场叶赫拉大掌</w:t>
            </w:r>
          </w:p>
        </w:tc>
        <w:tc>
          <w:tcPr>
            <w:tcW w:w="64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13056</w:t>
            </w:r>
          </w:p>
        </w:tc>
        <w:tc>
          <w:tcPr>
            <w:tcW w:w="61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2.515"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2.515"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13.407"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13.407"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20.128"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20.128"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52.108"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52.108"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40.676"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40.676"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25.535"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25.535"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40.423"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40.423"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39.650"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39.650"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46.139"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 19' 46.139"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54.018"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54.018"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2.438"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2.438"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31.329"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31.329"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4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18"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7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46.216" N</w:t>
            </w:r>
          </w:p>
        </w:tc>
        <w:tc>
          <w:tcPr>
            <w:tcW w:w="12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19' 46.216" N</w:t>
            </w:r>
          </w:p>
        </w:tc>
      </w:tr>
    </w:tbl>
    <w:p>
      <w:pPr>
        <w:keepNext w:val="0"/>
        <w:keepLines w:val="0"/>
        <w:widowControl/>
        <w:suppressLineNumbers w:val="0"/>
        <w:jc w:val="left"/>
        <w:rPr>
          <w:rFonts w:hint="eastAsia" w:ascii="仿宋" w:hAnsi="仿宋" w:eastAsia="仿宋" w:cs="仿宋"/>
          <w:b w:val="0"/>
          <w:bCs w:val="0"/>
          <w:color w:val="000000"/>
          <w:spacing w:val="0"/>
          <w:w w:val="100"/>
          <w:kern w:val="2"/>
          <w:position w:val="0"/>
          <w:sz w:val="32"/>
          <w:szCs w:val="32"/>
          <w:u w:val="none"/>
          <w:shd w:val="clear" w:color="auto" w:fill="auto"/>
          <w:lang w:val="en-US" w:eastAsia="zh-CN" w:bidi="zh-TW"/>
        </w:rPr>
      </w:pPr>
    </w:p>
    <w:tbl>
      <w:tblPr>
        <w:tblStyle w:val="22"/>
        <w:tblW w:w="5137" w:type="pct"/>
        <w:tblInd w:w="-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1"/>
        <w:gridCol w:w="1217"/>
        <w:gridCol w:w="1317"/>
        <w:gridCol w:w="1469"/>
        <w:gridCol w:w="2297"/>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建设地点</w:t>
            </w:r>
          </w:p>
        </w:tc>
        <w:tc>
          <w:tcPr>
            <w:tcW w:w="6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建设围栏（米）</w:t>
            </w:r>
          </w:p>
        </w:tc>
        <w:tc>
          <w:tcPr>
            <w:tcW w:w="65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地块编号</w:t>
            </w:r>
          </w:p>
        </w:tc>
        <w:tc>
          <w:tcPr>
            <w:tcW w:w="3095"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72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拐点编号</w:t>
            </w:r>
          </w:p>
        </w:tc>
        <w:tc>
          <w:tcPr>
            <w:tcW w:w="113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经度</w:t>
            </w:r>
          </w:p>
        </w:tc>
        <w:tc>
          <w:tcPr>
            <w:tcW w:w="12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省牛场红垭豁滩</w:t>
            </w:r>
          </w:p>
        </w:tc>
        <w:tc>
          <w:tcPr>
            <w:tcW w:w="6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36725</w:t>
            </w:r>
          </w:p>
        </w:tc>
        <w:tc>
          <w:tcPr>
            <w:tcW w:w="65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13' 26.621"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13' 26.621"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39.423"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39.423"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46.607"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46.607"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38.882"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38.882"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11' 55.083"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11' 55.083"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11' 47.435"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11' 47.435"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28.917"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28.917"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41.740"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41.740"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11' 40.406"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11' 40.406"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24.283"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12' 24.283"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13' 4.142"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 13' 4.142"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26</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56.306"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56.306"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27</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55.379"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55.379"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28</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19.999"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19.999"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29</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21.776"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21.776"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30</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13.665"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14' 13.665"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31</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13' 17.738"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13' 17.738"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32</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13' 16.811"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13' 16.811"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0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rPr>
            </w:pPr>
            <w:r>
              <w:rPr>
                <w:rFonts w:hint="eastAsia" w:ascii="仿宋" w:hAnsi="仿宋" w:eastAsia="仿宋" w:cs="仿宋"/>
                <w:i w:val="0"/>
                <w:iCs w:val="0"/>
                <w:color w:val="auto"/>
                <w:kern w:val="0"/>
                <w:sz w:val="22"/>
                <w:szCs w:val="22"/>
                <w:u w:val="none"/>
                <w:lang w:val="en-US" w:eastAsia="zh-CN" w:bidi="ar"/>
              </w:rPr>
              <w:t>33</w:t>
            </w:r>
          </w:p>
        </w:tc>
        <w:tc>
          <w:tcPr>
            <w:tcW w:w="11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13' 27.008" N</w:t>
            </w:r>
          </w:p>
        </w:tc>
        <w:tc>
          <w:tcPr>
            <w:tcW w:w="12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37° 13' 27.008" N</w:t>
            </w:r>
          </w:p>
        </w:tc>
      </w:tr>
    </w:tbl>
    <w:p>
      <w:pPr>
        <w:rPr>
          <w:rFonts w:hint="eastAsia"/>
          <w:lang w:val="en-US" w:eastAsia="zh-CN"/>
        </w:rPr>
      </w:pPr>
    </w:p>
    <w:tbl>
      <w:tblPr>
        <w:tblStyle w:val="22"/>
        <w:tblW w:w="5106" w:type="pct"/>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1318"/>
        <w:gridCol w:w="1293"/>
        <w:gridCol w:w="1454"/>
        <w:gridCol w:w="2310"/>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建设地点</w:t>
            </w:r>
          </w:p>
        </w:tc>
        <w:tc>
          <w:tcPr>
            <w:tcW w:w="6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建设围栏（米）</w:t>
            </w:r>
          </w:p>
        </w:tc>
        <w:tc>
          <w:tcPr>
            <w:tcW w:w="64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地块编号</w:t>
            </w:r>
          </w:p>
        </w:tc>
        <w:tc>
          <w:tcPr>
            <w:tcW w:w="3073"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72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拐点编号</w:t>
            </w:r>
          </w:p>
        </w:tc>
        <w:tc>
          <w:tcPr>
            <w:tcW w:w="114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经度</w:t>
            </w:r>
          </w:p>
        </w:tc>
        <w:tc>
          <w:tcPr>
            <w:tcW w:w="120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省牛场打儿轩其哈</w:t>
            </w:r>
          </w:p>
        </w:tc>
        <w:tc>
          <w:tcPr>
            <w:tcW w:w="6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6889</w:t>
            </w:r>
          </w:p>
        </w:tc>
        <w:tc>
          <w:tcPr>
            <w:tcW w:w="64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57.284"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57.284"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21' 6.476"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21' 6.476"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21' 16.519"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21' 16.519"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21' 14.201"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21' 14.201"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38.822"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38.822"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20.205"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20.205"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9.390"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9.390"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5.238"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5.238"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31.638"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31.638"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2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4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11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57.265" N</w:t>
            </w:r>
          </w:p>
        </w:tc>
        <w:tc>
          <w:tcPr>
            <w:tcW w:w="12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20' 57.265" N</w:t>
            </w:r>
          </w:p>
        </w:tc>
      </w:tr>
    </w:tbl>
    <w:p>
      <w:pPr>
        <w:rPr>
          <w:rFonts w:hint="eastAsia" w:ascii="仿宋" w:hAnsi="仿宋" w:eastAsia="仿宋" w:cs="仿宋"/>
        </w:rPr>
      </w:pPr>
    </w:p>
    <w:tbl>
      <w:tblPr>
        <w:tblStyle w:val="22"/>
        <w:tblW w:w="5173" w:type="pct"/>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8"/>
        <w:gridCol w:w="1256"/>
        <w:gridCol w:w="1294"/>
        <w:gridCol w:w="1487"/>
        <w:gridCol w:w="2326"/>
        <w:gridCol w:w="2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建设地点</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建设围栏（米）</w:t>
            </w:r>
          </w:p>
        </w:tc>
        <w:tc>
          <w:tcPr>
            <w:tcW w:w="6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地块编号</w:t>
            </w:r>
          </w:p>
        </w:tc>
        <w:tc>
          <w:tcPr>
            <w:tcW w:w="3058" w:type="pct"/>
            <w:gridSpan w:val="3"/>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72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拐点编号</w:t>
            </w:r>
          </w:p>
        </w:tc>
        <w:tc>
          <w:tcPr>
            <w:tcW w:w="114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经度</w:t>
            </w:r>
          </w:p>
        </w:tc>
        <w:tc>
          <w:tcPr>
            <w:tcW w:w="118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省牛场</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力气儿珂</w:t>
            </w:r>
          </w:p>
        </w:tc>
        <w:tc>
          <w:tcPr>
            <w:tcW w:w="61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12448</w:t>
            </w:r>
          </w:p>
        </w:tc>
        <w:tc>
          <w:tcPr>
            <w:tcW w:w="6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15.171"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15.171"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51.786"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51.786"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24' 59.610"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24' 59.610"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25' 2.854"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25' 2.854"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25' 1.773"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25' 1.773"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24' 34.891"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24' 34.891"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24' 26.084"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24' 26.084"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45.684"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45.684"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23.745"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23' 23.745"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9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1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1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23' 5.824" N</w:t>
            </w:r>
          </w:p>
        </w:tc>
        <w:tc>
          <w:tcPr>
            <w:tcW w:w="11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 23' 5.824" N</w:t>
            </w:r>
          </w:p>
        </w:tc>
      </w:tr>
    </w:tbl>
    <w:p>
      <w:pPr>
        <w:rPr>
          <w:rFonts w:hint="eastAsia" w:ascii="仿宋" w:hAnsi="仿宋" w:eastAsia="仿宋" w:cs="仿宋"/>
        </w:rPr>
      </w:pPr>
    </w:p>
    <w:tbl>
      <w:tblPr>
        <w:tblStyle w:val="22"/>
        <w:tblW w:w="5190" w:type="pct"/>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8"/>
        <w:gridCol w:w="1219"/>
        <w:gridCol w:w="1354"/>
        <w:gridCol w:w="1431"/>
        <w:gridCol w:w="2324"/>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建设地点</w:t>
            </w:r>
          </w:p>
        </w:tc>
        <w:tc>
          <w:tcPr>
            <w:tcW w:w="5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建设围栏（米）</w:t>
            </w:r>
          </w:p>
        </w:tc>
        <w:tc>
          <w:tcPr>
            <w:tcW w:w="6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地块编号</w:t>
            </w:r>
          </w:p>
        </w:tc>
        <w:tc>
          <w:tcPr>
            <w:tcW w:w="302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经纬度坐标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省牛场阴山毛亥图</w:t>
            </w:r>
          </w:p>
        </w:tc>
        <w:tc>
          <w:tcPr>
            <w:tcW w:w="59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30882</w:t>
            </w:r>
          </w:p>
        </w:tc>
        <w:tc>
          <w:tcPr>
            <w:tcW w:w="66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拐点编号</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经度</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13' 40.912"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13' 40.912"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13' 27.008"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13' 27.008"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14' 21.699"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14' 21.699"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56.559"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56.559"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16' 7.760"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16' 7.760"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57.872"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57.872"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16' 13.013"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16' 13.013"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16' 14.558"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16' 14.558"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19.248"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19.248"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11.292"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11.292"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6.348"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6.348"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10.597"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10.597"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3.722"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3.722"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7.198"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7.198"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2.370"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15' 2.370"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59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6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kern w:val="0"/>
                <w:sz w:val="22"/>
                <w:szCs w:val="22"/>
                <w:u w:val="none"/>
                <w:lang w:val="en-US" w:eastAsia="zh-CN" w:bidi="ar"/>
              </w:rPr>
            </w:pPr>
          </w:p>
        </w:tc>
        <w:tc>
          <w:tcPr>
            <w:tcW w:w="6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1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13' 24.536" N</w:t>
            </w:r>
          </w:p>
        </w:tc>
        <w:tc>
          <w:tcPr>
            <w:tcW w:w="11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37° 13' 24.536" N</w:t>
            </w:r>
          </w:p>
        </w:tc>
      </w:tr>
    </w:tbl>
    <w:p>
      <w:pPr>
        <w:pStyle w:val="2"/>
        <w:rPr>
          <w:rFonts w:hint="eastAsia"/>
        </w:rPr>
      </w:pP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default" w:ascii="仿宋" w:hAnsi="仿宋" w:eastAsia="仿宋" w:cs="仿宋"/>
          <w:b/>
          <w:bCs/>
          <w:lang w:val="en-US" w:eastAsia="zh-CN"/>
        </w:rPr>
      </w:pPr>
      <w:bookmarkStart w:id="172" w:name="_Toc11313"/>
      <w:r>
        <w:rPr>
          <w:rFonts w:hint="eastAsia" w:ascii="仿宋" w:hAnsi="仿宋" w:eastAsia="仿宋" w:cs="仿宋"/>
          <w:b/>
          <w:bCs/>
          <w:lang w:val="en-US" w:eastAsia="zh-CN"/>
        </w:rPr>
        <w:t>退化草原改良技术方案</w:t>
      </w:r>
      <w:bookmarkEnd w:id="172"/>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根据退化草地植被盖度确定本项目区域，对原生植被盖度</w:t>
      </w:r>
      <w:r>
        <w:rPr>
          <w:rFonts w:hint="eastAsia" w:ascii="仿宋" w:hAnsi="仿宋" w:eastAsia="仿宋" w:cs="仿宋"/>
          <w:bCs/>
          <w:color w:val="auto"/>
          <w:kern w:val="2"/>
          <w:sz w:val="28"/>
          <w:szCs w:val="28"/>
          <w:lang w:val="en-US" w:eastAsia="zh-CN" w:bidi="ar-SA"/>
        </w:rPr>
        <w:t>55%，</w:t>
      </w:r>
      <w:r>
        <w:rPr>
          <w:rFonts w:hint="eastAsia" w:ascii="仿宋" w:hAnsi="仿宋" w:eastAsia="仿宋" w:cs="仿宋"/>
          <w:bCs/>
          <w:kern w:val="2"/>
          <w:sz w:val="28"/>
          <w:szCs w:val="28"/>
          <w:lang w:val="en-US" w:eastAsia="zh-CN" w:bidi="ar-SA"/>
        </w:rPr>
        <w:t>平均海拔3600米，坡度</w:t>
      </w:r>
      <w:r>
        <w:rPr>
          <w:rFonts w:hint="eastAsia" w:ascii="仿宋" w:hAnsi="仿宋" w:eastAsia="仿宋" w:cs="仿宋"/>
          <w:bCs/>
          <w:kern w:val="2"/>
          <w:sz w:val="28"/>
          <w:szCs w:val="28"/>
          <w:lang w:val="en-US" w:eastAsia="en-US" w:bidi="ar-SA"/>
        </w:rPr>
        <w:t>10-25</w:t>
      </w:r>
      <w:r>
        <w:rPr>
          <w:rFonts w:hint="eastAsia" w:ascii="仿宋" w:hAnsi="仿宋" w:eastAsia="仿宋" w:cs="仿宋"/>
          <w:bCs/>
          <w:kern w:val="2"/>
          <w:sz w:val="28"/>
          <w:szCs w:val="28"/>
          <w:lang w:val="en-US" w:eastAsia="zh-CN" w:bidi="ar-SA"/>
        </w:rPr>
        <w:t>度，土壤为黑钙土，土层厚度</w:t>
      </w:r>
      <w:r>
        <w:rPr>
          <w:rFonts w:hint="eastAsia" w:ascii="仿宋" w:hAnsi="仿宋" w:eastAsia="仿宋" w:cs="仿宋"/>
          <w:bCs/>
          <w:kern w:val="2"/>
          <w:sz w:val="28"/>
          <w:szCs w:val="28"/>
          <w:lang w:val="en-US" w:eastAsia="en-US" w:bidi="ar-SA"/>
        </w:rPr>
        <w:t>25-35cm，</w:t>
      </w:r>
      <w:r>
        <w:rPr>
          <w:rFonts w:hint="eastAsia" w:ascii="仿宋" w:hAnsi="仿宋" w:eastAsia="仿宋" w:cs="仿宋"/>
          <w:bCs/>
          <w:kern w:val="2"/>
          <w:sz w:val="28"/>
          <w:szCs w:val="28"/>
          <w:lang w:val="en-US" w:eastAsia="zh-CN" w:bidi="ar-SA"/>
        </w:rPr>
        <w:t>中度退化草原实施人工撒播改良。</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根据当地气候环境等条件选择人工种植的草种。故选择</w:t>
      </w:r>
      <w:r>
        <w:rPr>
          <w:rFonts w:hint="eastAsia" w:ascii="仿宋" w:hAnsi="仿宋" w:eastAsia="仿宋" w:cs="仿宋"/>
          <w:bCs/>
          <w:kern w:val="2"/>
          <w:sz w:val="28"/>
          <w:szCs w:val="28"/>
          <w:lang w:val="en-US" w:eastAsia="en-US" w:bidi="ar-SA"/>
        </w:rPr>
        <w:t>垂穗披碱草</w:t>
      </w:r>
      <w:r>
        <w:rPr>
          <w:rFonts w:hint="eastAsia" w:ascii="仿宋" w:hAnsi="仿宋" w:eastAsia="仿宋" w:cs="仿宋"/>
          <w:bCs/>
          <w:kern w:val="2"/>
          <w:sz w:val="28"/>
          <w:szCs w:val="28"/>
          <w:lang w:val="en-US" w:eastAsia="zh-CN" w:bidi="ar-SA"/>
        </w:rPr>
        <w:t>、青海</w:t>
      </w:r>
      <w:r>
        <w:rPr>
          <w:rFonts w:hint="eastAsia" w:ascii="仿宋" w:hAnsi="仿宋" w:eastAsia="仿宋" w:cs="仿宋"/>
          <w:bCs/>
          <w:kern w:val="2"/>
          <w:sz w:val="28"/>
          <w:szCs w:val="28"/>
          <w:lang w:val="en-US" w:eastAsia="en-US" w:bidi="ar-SA"/>
        </w:rPr>
        <w:t>中华羊茅、青海冷地早熟禾</w:t>
      </w:r>
      <w:r>
        <w:rPr>
          <w:rFonts w:hint="eastAsia" w:ascii="仿宋" w:hAnsi="仿宋" w:eastAsia="仿宋" w:cs="仿宋"/>
          <w:bCs/>
          <w:kern w:val="2"/>
          <w:sz w:val="28"/>
          <w:szCs w:val="28"/>
          <w:lang w:val="en-US" w:eastAsia="zh-CN" w:bidi="ar-SA"/>
        </w:rPr>
        <w:t>进行种植。</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bookmarkStart w:id="173" w:name="_Toc71657692"/>
      <w:r>
        <w:rPr>
          <w:rFonts w:hint="eastAsia" w:ascii="仿宋" w:hAnsi="仿宋" w:eastAsia="仿宋" w:cs="仿宋"/>
          <w:b/>
          <w:bCs/>
          <w:sz w:val="30"/>
          <w:szCs w:val="30"/>
          <w:lang w:val="en-US" w:eastAsia="zh-CN"/>
        </w:rPr>
        <w:t>技术流程</w:t>
      </w:r>
      <w:bookmarkEnd w:id="173"/>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退化草原改良技术路线：区域地块选择→草种选择+施肥→人工撒播。</w:t>
      </w:r>
    </w:p>
    <w:p>
      <w:pPr>
        <w:pStyle w:val="8"/>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bookmarkStart w:id="174" w:name="_Toc71657693"/>
      <w:r>
        <w:rPr>
          <w:rFonts w:hint="eastAsia" w:ascii="仿宋" w:hAnsi="仿宋" w:eastAsia="仿宋" w:cs="仿宋"/>
          <w:b/>
          <w:bCs/>
          <w:sz w:val="30"/>
          <w:szCs w:val="30"/>
          <w:lang w:val="en-US" w:eastAsia="zh-CN"/>
        </w:rPr>
        <w:t>主要技术措施</w:t>
      </w:r>
      <w:bookmarkEnd w:id="174"/>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（1）草种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en-US" w:bidi="ar-SA"/>
        </w:rPr>
        <w:t>牧草品种：选用青海当地生产的适宜青藏高原生长的多年生禾本科牧草品种，以市场供种相对充足的垂穗披碱草</w:t>
      </w:r>
      <w:r>
        <w:rPr>
          <w:rFonts w:hint="eastAsia" w:ascii="仿宋" w:hAnsi="仿宋" w:eastAsia="仿宋" w:cs="仿宋"/>
          <w:bCs/>
          <w:kern w:val="2"/>
          <w:sz w:val="28"/>
          <w:szCs w:val="28"/>
          <w:lang w:val="en-US" w:eastAsia="zh-CN" w:bidi="ar-SA"/>
        </w:rPr>
        <w:t>（参考披碱草标准）执行、青海</w:t>
      </w:r>
      <w:r>
        <w:rPr>
          <w:rFonts w:hint="eastAsia" w:ascii="仿宋" w:hAnsi="仿宋" w:eastAsia="仿宋" w:cs="仿宋"/>
          <w:bCs/>
          <w:kern w:val="2"/>
          <w:sz w:val="28"/>
          <w:szCs w:val="28"/>
          <w:lang w:val="en-US" w:eastAsia="en-US" w:bidi="ar-SA"/>
        </w:rPr>
        <w:t>中华羊茅、青海冷地早熟禾进行选择搭配混播。</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种子质量：要求达到国家规定的三级标准以上（种子纯净度、发芽率执行标准为《禾本科草种子质量分级》（GB 6142-2008）。全部采用断芒、精选、定量包装的牧草种子（要求具有种子质量检测部门出具的种子质量检验报告），</w:t>
      </w:r>
      <w:r>
        <w:rPr>
          <w:rFonts w:hint="eastAsia" w:ascii="仿宋" w:hAnsi="仿宋" w:eastAsia="仿宋" w:cs="仿宋"/>
          <w:bCs/>
          <w:kern w:val="2"/>
          <w:sz w:val="28"/>
          <w:szCs w:val="28"/>
          <w:lang w:val="en-US" w:eastAsia="en-US" w:bidi="ar-SA"/>
        </w:rPr>
        <w:t>需施工单位、监理单位和建设单位三方实地抽样签字后封存，籽种 质量除质检部门每批次的检验报告外，中标企业供应的籽种每袋须有合格证。若种子委托检验及质量不达标，则按照相关法律法规进行解决。</w:t>
      </w:r>
      <w:r>
        <w:rPr>
          <w:rFonts w:hint="eastAsia" w:ascii="仿宋" w:hAnsi="仿宋" w:eastAsia="仿宋" w:cs="仿宋"/>
          <w:bCs/>
          <w:kern w:val="2"/>
          <w:sz w:val="28"/>
          <w:szCs w:val="28"/>
          <w:lang w:val="en-US" w:eastAsia="zh-CN" w:bidi="ar-SA"/>
        </w:rPr>
        <w:t>种子质量要求标准详见下表。</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种子检验：种子质量控制采取现场抽样封存后统一委检，按检验结果进行结算。</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建设单位与施工单位共同抽样封存，由专人统一保管，统一送检，送检结果与送货、投标检验报告相比较后做结算。如果送货的检验报告与投标的检验报告不符，种子用价（净度*发芽率）等于或高于投标检验报告视为合格，反之种子用价低于投标检验报告将视为不合格，进行相应扣款处罚。按照同比例扣除该批货物，委托检验结果低于三级标准的，除按比例扣除该批次货物的货款以外，另外按该种子播种面积同比例扣除人工费及机耕作业费。</w:t>
      </w:r>
    </w:p>
    <w:p>
      <w:pPr>
        <w:pageBreakBefore w:val="0"/>
        <w:kinsoku/>
        <w:wordWrap/>
        <w:overflowPunct/>
        <w:topLinePunct w:val="0"/>
        <w:autoSpaceDE/>
        <w:autoSpaceDN/>
        <w:bidi w:val="0"/>
        <w:adjustRightInd/>
        <w:snapToGrid/>
        <w:spacing w:line="520" w:lineRule="exact"/>
        <w:ind w:firstLine="482" w:firstLineChars="200"/>
        <w:rPr>
          <w:rFonts w:hint="eastAsia" w:ascii="仿宋" w:hAnsi="仿宋" w:eastAsia="仿宋" w:cs="仿宋"/>
          <w:b/>
          <w:sz w:val="28"/>
          <w:szCs w:val="28"/>
        </w:rPr>
      </w:pPr>
      <w:r>
        <w:rPr>
          <w:rFonts w:hint="eastAsia" w:ascii="仿宋" w:hAnsi="仿宋" w:eastAsia="仿宋" w:cs="仿宋"/>
          <w:b/>
          <w:szCs w:val="21"/>
        </w:rPr>
        <w:t>表</w:t>
      </w:r>
      <w:r>
        <w:rPr>
          <w:rFonts w:hint="eastAsia" w:ascii="仿宋" w:hAnsi="仿宋" w:eastAsia="仿宋" w:cs="仿宋"/>
          <w:b/>
          <w:szCs w:val="21"/>
          <w:lang w:val="en-US" w:eastAsia="zh-CN"/>
        </w:rPr>
        <w:t xml:space="preserve">    </w:t>
      </w:r>
      <w:r>
        <w:rPr>
          <w:rFonts w:hint="eastAsia" w:ascii="仿宋" w:hAnsi="仿宋" w:eastAsia="仿宋" w:cs="仿宋"/>
          <w:b/>
          <w:szCs w:val="21"/>
        </w:rPr>
        <w:t xml:space="preserve"> </w:t>
      </w: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种子质量要求标准</w:t>
      </w:r>
    </w:p>
    <w:tbl>
      <w:tblPr>
        <w:tblStyle w:val="22"/>
        <w:tblW w:w="91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2047"/>
        <w:gridCol w:w="891"/>
        <w:gridCol w:w="1026"/>
        <w:gridCol w:w="979"/>
        <w:gridCol w:w="1169"/>
        <w:gridCol w:w="1222"/>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trPr>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级别</w:t>
            </w:r>
          </w:p>
        </w:tc>
        <w:tc>
          <w:tcPr>
            <w:tcW w:w="10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净度</w:t>
            </w:r>
            <w:r>
              <w:rPr>
                <w:rStyle w:val="40"/>
                <w:rFonts w:hint="eastAsia" w:ascii="仿宋" w:hAnsi="仿宋" w:eastAsia="仿宋" w:cs="仿宋"/>
                <w:lang w:val="en-US" w:eastAsia="zh-CN" w:bidi="ar"/>
              </w:rPr>
              <w:t>/% &gt;</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发芽率</w:t>
            </w:r>
            <w:r>
              <w:rPr>
                <w:rStyle w:val="40"/>
                <w:rFonts w:hint="eastAsia" w:ascii="仿宋" w:hAnsi="仿宋" w:eastAsia="仿宋" w:cs="仿宋"/>
                <w:lang w:val="en-US" w:eastAsia="zh-CN" w:bidi="ar"/>
              </w:rPr>
              <w:t>/% &gt;</w:t>
            </w:r>
          </w:p>
        </w:tc>
        <w:tc>
          <w:tcPr>
            <w:tcW w:w="116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其它植物种子 数</w:t>
            </w:r>
            <w:r>
              <w:rPr>
                <w:rStyle w:val="40"/>
                <w:rFonts w:hint="eastAsia" w:ascii="仿宋" w:hAnsi="仿宋" w:eastAsia="仿宋" w:cs="仿宋"/>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（粒</w:t>
            </w:r>
            <w:r>
              <w:rPr>
                <w:rStyle w:val="40"/>
                <w:rFonts w:hint="eastAsia" w:ascii="仿宋" w:hAnsi="仿宋" w:eastAsia="仿宋" w:cs="仿宋"/>
                <w:lang w:val="en-US" w:eastAsia="zh-CN" w:bidi="ar"/>
              </w:rPr>
              <w:t>/kg</w:t>
            </w:r>
            <w:r>
              <w:rPr>
                <w:rFonts w:hint="eastAsia" w:ascii="仿宋" w:hAnsi="仿宋" w:eastAsia="仿宋" w:cs="仿宋"/>
                <w:b/>
                <w:bCs/>
                <w:i w:val="0"/>
                <w:iCs w:val="0"/>
                <w:color w:val="000000"/>
                <w:kern w:val="0"/>
                <w:sz w:val="24"/>
                <w:szCs w:val="24"/>
                <w:u w:val="none"/>
                <w:lang w:val="en-US" w:eastAsia="zh-CN" w:bidi="ar"/>
              </w:rPr>
              <w:t xml:space="preserve">） </w:t>
            </w:r>
            <w:r>
              <w:rPr>
                <w:rStyle w:val="40"/>
                <w:rFonts w:hint="eastAsia" w:ascii="仿宋" w:hAnsi="仿宋" w:eastAsia="仿宋" w:cs="仿宋"/>
                <w:lang w:val="en-US" w:eastAsia="zh-CN" w:bidi="ar"/>
              </w:rPr>
              <w:t>&lt;</w:t>
            </w:r>
          </w:p>
        </w:tc>
        <w:tc>
          <w:tcPr>
            <w:tcW w:w="12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水分 </w:t>
            </w:r>
            <w:r>
              <w:rPr>
                <w:rStyle w:val="40"/>
                <w:rFonts w:hint="eastAsia" w:ascii="仿宋" w:hAnsi="仿宋" w:eastAsia="仿宋" w:cs="仿宋"/>
                <w:lang w:val="en-US" w:eastAsia="zh-CN" w:bidi="ar"/>
              </w:rPr>
              <w:t>/%&lt;</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垂穗披碱草</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vMerge w:val="restart"/>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青海中华羊茅</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vMerge w:val="restart"/>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4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青海冷地早熟禾</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vMerge w:val="restart"/>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204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vMerge w:val="continue"/>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eastAsia" w:ascii="仿宋" w:hAnsi="仿宋" w:eastAsia="仿宋" w:cs="仿宋"/>
                <w:i w:val="0"/>
                <w:iCs w:val="0"/>
                <w:color w:val="000000"/>
                <w:sz w:val="24"/>
                <w:szCs w:val="24"/>
                <w:u w:val="none"/>
              </w:rPr>
            </w:pPr>
          </w:p>
        </w:tc>
        <w:tc>
          <w:tcPr>
            <w:tcW w:w="204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0" w:type="auto"/>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0" w:type="auto"/>
            <w:tcBorders>
              <w:top w:val="single" w:color="000000" w:sz="8" w:space="0"/>
              <w:left w:val="single" w:color="000000" w:sz="8" w:space="0"/>
              <w:bottom w:val="single" w:color="000000" w:sz="8" w:space="0"/>
              <w:right w:val="single" w:color="000000" w:sz="8" w:space="0"/>
            </w:tcBorders>
            <w:noWrap/>
            <w:vAlign w:val="top"/>
          </w:tcPr>
          <w:p>
            <w:pPr>
              <w:jc w:val="left"/>
              <w:rPr>
                <w:rFonts w:hint="eastAsia" w:ascii="仿宋" w:hAnsi="仿宋" w:eastAsia="仿宋" w:cs="仿宋"/>
                <w:i w:val="0"/>
                <w:iCs w:val="0"/>
                <w:color w:val="000000"/>
                <w:sz w:val="20"/>
                <w:szCs w:val="20"/>
                <w:u w:val="none"/>
              </w:rPr>
            </w:pPr>
          </w:p>
        </w:tc>
      </w:tr>
    </w:tbl>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（2）农艺措施</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en-US" w:bidi="ar-SA"/>
        </w:rPr>
      </w:pPr>
      <w:r>
        <w:rPr>
          <w:rFonts w:hint="eastAsia" w:ascii="仿宋" w:hAnsi="仿宋" w:eastAsia="仿宋" w:cs="仿宋"/>
          <w:bCs/>
          <w:kern w:val="2"/>
          <w:sz w:val="28"/>
          <w:szCs w:val="28"/>
          <w:lang w:val="en-US" w:eastAsia="zh-CN" w:bidi="ar-SA"/>
        </w:rPr>
        <w:t>1.</w:t>
      </w:r>
      <w:r>
        <w:rPr>
          <w:rFonts w:hint="eastAsia" w:ascii="仿宋" w:hAnsi="仿宋" w:eastAsia="仿宋" w:cs="仿宋"/>
          <w:bCs/>
          <w:kern w:val="2"/>
          <w:sz w:val="28"/>
          <w:szCs w:val="28"/>
          <w:lang w:val="en-US" w:eastAsia="en-US" w:bidi="ar-SA"/>
        </w:rPr>
        <w:t>地面处理：清理作业区杂物，便利播种作业；</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en-US" w:bidi="ar-SA"/>
        </w:rPr>
      </w:pPr>
      <w:r>
        <w:rPr>
          <w:rFonts w:hint="eastAsia" w:ascii="仿宋" w:hAnsi="仿宋" w:eastAsia="仿宋" w:cs="仿宋"/>
          <w:bCs/>
          <w:kern w:val="2"/>
          <w:sz w:val="28"/>
          <w:szCs w:val="28"/>
          <w:lang w:val="en-US" w:eastAsia="zh-CN" w:bidi="ar-SA"/>
        </w:rPr>
        <w:t>2.</w:t>
      </w:r>
      <w:r>
        <w:rPr>
          <w:rFonts w:hint="eastAsia" w:ascii="仿宋" w:hAnsi="仿宋" w:eastAsia="仿宋" w:cs="仿宋"/>
          <w:bCs/>
          <w:kern w:val="2"/>
          <w:sz w:val="28"/>
          <w:szCs w:val="28"/>
          <w:lang w:val="en-US" w:eastAsia="en-US" w:bidi="ar-SA"/>
        </w:rPr>
        <w:t>播种量：播种量遵循适量播种，合理密植的原则。总播种量1.4</w:t>
      </w:r>
      <w:r>
        <w:rPr>
          <w:rFonts w:hint="eastAsia" w:ascii="仿宋" w:hAnsi="仿宋" w:eastAsia="仿宋" w:cs="仿宋"/>
          <w:bCs/>
          <w:kern w:val="2"/>
          <w:sz w:val="28"/>
          <w:szCs w:val="28"/>
          <w:lang w:val="en-US" w:eastAsia="zh-CN" w:bidi="ar-SA"/>
        </w:rPr>
        <w:t>5公斤</w:t>
      </w:r>
      <w:r>
        <w:rPr>
          <w:rFonts w:hint="eastAsia" w:ascii="仿宋" w:hAnsi="仿宋" w:eastAsia="仿宋" w:cs="仿宋"/>
          <w:bCs/>
          <w:kern w:val="2"/>
          <w:sz w:val="28"/>
          <w:szCs w:val="28"/>
          <w:lang w:val="en-US" w:eastAsia="en-US" w:bidi="ar-SA"/>
        </w:rPr>
        <w:t>/亩，组合播种量为：垂穗披碱草</w:t>
      </w:r>
      <w:r>
        <w:rPr>
          <w:rFonts w:hint="eastAsia" w:ascii="仿宋" w:hAnsi="仿宋" w:eastAsia="仿宋" w:cs="仿宋"/>
          <w:bCs/>
          <w:kern w:val="2"/>
          <w:sz w:val="28"/>
          <w:szCs w:val="28"/>
          <w:lang w:val="en-US" w:eastAsia="zh-CN" w:bidi="ar-SA"/>
        </w:rPr>
        <w:t>0.95公斤</w:t>
      </w:r>
      <w:r>
        <w:rPr>
          <w:rFonts w:hint="eastAsia" w:ascii="仿宋" w:hAnsi="仿宋" w:eastAsia="仿宋" w:cs="仿宋"/>
          <w:bCs/>
          <w:kern w:val="2"/>
          <w:sz w:val="28"/>
          <w:szCs w:val="28"/>
          <w:lang w:val="en-US" w:eastAsia="en-US" w:bidi="ar-SA"/>
        </w:rPr>
        <w:t>/亩+</w:t>
      </w:r>
      <w:r>
        <w:rPr>
          <w:rFonts w:hint="eastAsia" w:ascii="仿宋" w:hAnsi="仿宋" w:eastAsia="仿宋" w:cs="仿宋"/>
          <w:bCs/>
          <w:kern w:val="2"/>
          <w:sz w:val="28"/>
          <w:szCs w:val="28"/>
          <w:lang w:val="en-US" w:eastAsia="zh-CN" w:bidi="ar-SA"/>
        </w:rPr>
        <w:t>青海</w:t>
      </w:r>
      <w:r>
        <w:rPr>
          <w:rFonts w:hint="eastAsia" w:ascii="仿宋" w:hAnsi="仿宋" w:eastAsia="仿宋" w:cs="仿宋"/>
          <w:bCs/>
          <w:kern w:val="2"/>
          <w:sz w:val="28"/>
          <w:szCs w:val="28"/>
          <w:lang w:val="en-US" w:eastAsia="en-US" w:bidi="ar-SA"/>
        </w:rPr>
        <w:t>中华羊茅0.</w:t>
      </w:r>
      <w:r>
        <w:rPr>
          <w:rFonts w:hint="eastAsia" w:ascii="仿宋" w:hAnsi="仿宋" w:eastAsia="仿宋" w:cs="仿宋"/>
          <w:bCs/>
          <w:kern w:val="2"/>
          <w:sz w:val="28"/>
          <w:szCs w:val="28"/>
          <w:lang w:val="en-US" w:eastAsia="zh-CN" w:bidi="ar-SA"/>
        </w:rPr>
        <w:t>3公斤</w:t>
      </w:r>
      <w:r>
        <w:rPr>
          <w:rFonts w:hint="eastAsia" w:ascii="仿宋" w:hAnsi="仿宋" w:eastAsia="仿宋" w:cs="仿宋"/>
          <w:bCs/>
          <w:kern w:val="2"/>
          <w:sz w:val="28"/>
          <w:szCs w:val="28"/>
          <w:lang w:val="en-US" w:eastAsia="en-US" w:bidi="ar-SA"/>
        </w:rPr>
        <w:t>/亩+青海冷地早熟禾0.</w:t>
      </w:r>
      <w:r>
        <w:rPr>
          <w:rFonts w:hint="eastAsia" w:ascii="仿宋" w:hAnsi="仿宋" w:eastAsia="仿宋" w:cs="仿宋"/>
          <w:bCs/>
          <w:kern w:val="2"/>
          <w:sz w:val="28"/>
          <w:szCs w:val="28"/>
          <w:lang w:val="en-US" w:eastAsia="zh-CN" w:bidi="ar-SA"/>
        </w:rPr>
        <w:t>2公斤</w:t>
      </w:r>
      <w:r>
        <w:rPr>
          <w:rFonts w:hint="eastAsia" w:ascii="仿宋" w:hAnsi="仿宋" w:eastAsia="仿宋" w:cs="仿宋"/>
          <w:bCs/>
          <w:kern w:val="2"/>
          <w:sz w:val="28"/>
          <w:szCs w:val="28"/>
          <w:lang w:val="en-US" w:eastAsia="en-US" w:bidi="ar-SA"/>
        </w:rPr>
        <w:t>/亩。</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en-US" w:bidi="ar-SA"/>
        </w:rPr>
      </w:pPr>
      <w:r>
        <w:rPr>
          <w:rFonts w:hint="eastAsia" w:ascii="仿宋" w:hAnsi="仿宋" w:eastAsia="仿宋" w:cs="仿宋"/>
          <w:bCs/>
          <w:kern w:val="2"/>
          <w:sz w:val="28"/>
          <w:szCs w:val="28"/>
          <w:lang w:val="en-US" w:eastAsia="zh-CN" w:bidi="ar-SA"/>
        </w:rPr>
        <w:t>3.</w:t>
      </w:r>
      <w:r>
        <w:rPr>
          <w:rFonts w:hint="eastAsia" w:ascii="仿宋" w:hAnsi="仿宋" w:eastAsia="仿宋" w:cs="仿宋"/>
          <w:bCs/>
          <w:kern w:val="2"/>
          <w:sz w:val="28"/>
          <w:szCs w:val="28"/>
          <w:lang w:val="en-US" w:eastAsia="en-US" w:bidi="ar-SA"/>
        </w:rPr>
        <w:t>播种方式：将牧草草种</w:t>
      </w:r>
      <w:r>
        <w:rPr>
          <w:rFonts w:hint="eastAsia" w:ascii="仿宋" w:hAnsi="仿宋" w:eastAsia="仿宋" w:cs="仿宋"/>
          <w:bCs/>
          <w:kern w:val="2"/>
          <w:sz w:val="28"/>
          <w:szCs w:val="28"/>
          <w:lang w:val="en-US" w:eastAsia="zh-CN" w:bidi="ar-SA"/>
        </w:rPr>
        <w:t>与有机肥料</w:t>
      </w:r>
      <w:r>
        <w:rPr>
          <w:rFonts w:hint="eastAsia" w:ascii="仿宋" w:hAnsi="仿宋" w:eastAsia="仿宋" w:cs="仿宋"/>
          <w:bCs/>
          <w:kern w:val="2"/>
          <w:sz w:val="28"/>
          <w:szCs w:val="28"/>
          <w:lang w:val="en-US" w:eastAsia="en-US" w:bidi="ar-SA"/>
        </w:rPr>
        <w:t>均匀混合，人工均匀撒播。</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w:t>
      </w:r>
      <w:r>
        <w:rPr>
          <w:rFonts w:hint="eastAsia" w:ascii="仿宋" w:hAnsi="仿宋" w:eastAsia="仿宋" w:cs="仿宋"/>
          <w:bCs/>
          <w:kern w:val="2"/>
          <w:sz w:val="28"/>
          <w:szCs w:val="28"/>
          <w:lang w:val="en-US" w:eastAsia="en-US" w:bidi="ar-SA"/>
        </w:rPr>
        <w:t>播种期：适宜播种期为202</w:t>
      </w:r>
      <w:r>
        <w:rPr>
          <w:rFonts w:hint="eastAsia" w:ascii="仿宋" w:hAnsi="仿宋" w:eastAsia="仿宋" w:cs="仿宋"/>
          <w:bCs/>
          <w:kern w:val="2"/>
          <w:sz w:val="28"/>
          <w:szCs w:val="28"/>
          <w:lang w:val="en-US" w:eastAsia="zh-CN" w:bidi="ar-SA"/>
        </w:rPr>
        <w:t>2</w:t>
      </w:r>
      <w:r>
        <w:rPr>
          <w:rFonts w:hint="eastAsia" w:ascii="仿宋" w:hAnsi="仿宋" w:eastAsia="仿宋" w:cs="仿宋"/>
          <w:bCs/>
          <w:kern w:val="2"/>
          <w:sz w:val="28"/>
          <w:szCs w:val="28"/>
          <w:lang w:val="en-US" w:eastAsia="en-US" w:bidi="ar-SA"/>
        </w:rPr>
        <w:t>年5月</w:t>
      </w:r>
      <w:r>
        <w:rPr>
          <w:rFonts w:hint="eastAsia" w:ascii="仿宋" w:hAnsi="仿宋" w:eastAsia="仿宋" w:cs="仿宋"/>
          <w:bCs/>
          <w:kern w:val="2"/>
          <w:sz w:val="28"/>
          <w:szCs w:val="28"/>
          <w:lang w:val="en-US" w:eastAsia="zh-CN" w:bidi="ar-SA"/>
        </w:rPr>
        <w:t>～6月</w:t>
      </w:r>
      <w:r>
        <w:rPr>
          <w:rFonts w:hint="eastAsia" w:ascii="仿宋" w:hAnsi="仿宋" w:eastAsia="仿宋" w:cs="仿宋"/>
          <w:bCs/>
          <w:kern w:val="2"/>
          <w:sz w:val="28"/>
          <w:szCs w:val="28"/>
          <w:lang w:val="en-US" w:eastAsia="en-US" w:bidi="ar-SA"/>
        </w:rPr>
        <w:t>。</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5.施肥</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选用的底肥为有机肥，施入量为有机肥35公斤/亩。在播种时将肥料与草种进</w:t>
      </w:r>
      <w:r>
        <w:rPr>
          <w:rFonts w:hint="eastAsia" w:ascii="仿宋" w:hAnsi="仿宋" w:eastAsia="仿宋" w:cs="仿宋"/>
          <w:bCs/>
          <w:kern w:val="2"/>
          <w:sz w:val="28"/>
          <w:szCs w:val="28"/>
          <w:lang w:val="en-US" w:eastAsia="en-US" w:bidi="ar-SA"/>
        </w:rPr>
        <w:t>行</w:t>
      </w:r>
      <w:r>
        <w:rPr>
          <w:rFonts w:hint="eastAsia" w:ascii="仿宋" w:hAnsi="仿宋" w:eastAsia="仿宋" w:cs="仿宋"/>
          <w:bCs/>
          <w:kern w:val="2"/>
          <w:sz w:val="28"/>
          <w:szCs w:val="28"/>
          <w:lang w:val="en-US" w:eastAsia="zh-CN" w:bidi="ar-SA"/>
        </w:rPr>
        <w:t>人工</w:t>
      </w:r>
      <w:r>
        <w:rPr>
          <w:rFonts w:hint="eastAsia" w:ascii="仿宋" w:hAnsi="仿宋" w:eastAsia="仿宋" w:cs="仿宋"/>
          <w:bCs/>
          <w:kern w:val="2"/>
          <w:sz w:val="28"/>
          <w:szCs w:val="28"/>
          <w:lang w:val="en-US" w:eastAsia="en-US" w:bidi="ar-SA"/>
        </w:rPr>
        <w:t>混播</w:t>
      </w:r>
      <w:r>
        <w:rPr>
          <w:rFonts w:hint="eastAsia" w:ascii="仿宋" w:hAnsi="仿宋" w:eastAsia="仿宋" w:cs="仿宋"/>
          <w:bCs/>
          <w:kern w:val="2"/>
          <w:sz w:val="28"/>
          <w:szCs w:val="28"/>
          <w:lang w:val="en-US" w:eastAsia="zh-CN" w:bidi="ar-SA"/>
        </w:rPr>
        <w:t>。</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根据《生物有机肥国家标准》NY525-2012规定，有机肥质量标准如下：</w:t>
      </w:r>
    </w:p>
    <w:p>
      <w:pPr>
        <w:keepNext w:val="0"/>
        <w:keepLines w:val="0"/>
        <w:pageBreakBefore w:val="0"/>
        <w:widowControl w:val="0"/>
        <w:kinsoku/>
        <w:wordWrap/>
        <w:overflowPunct/>
        <w:topLinePunct w:val="0"/>
        <w:autoSpaceDE/>
        <w:autoSpaceDN/>
        <w:bidi w:val="0"/>
        <w:adjustRightInd/>
        <w:snapToGrid/>
        <w:spacing w:line="560" w:lineRule="exact"/>
        <w:ind w:firstLine="573"/>
        <w:jc w:val="center"/>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有机肥质量标准一览表</w:t>
      </w:r>
    </w:p>
    <w:p>
      <w:pPr>
        <w:keepNext w:val="0"/>
        <w:keepLines w:val="0"/>
        <w:pageBreakBefore w:val="0"/>
        <w:widowControl w:val="0"/>
        <w:kinsoku/>
        <w:wordWrap/>
        <w:overflowPunct/>
        <w:topLinePunct w:val="0"/>
        <w:autoSpaceDE/>
        <w:autoSpaceDN/>
        <w:bidi w:val="0"/>
        <w:adjustRightInd/>
        <w:snapToGrid/>
        <w:spacing w:line="560" w:lineRule="exact"/>
        <w:ind w:firstLine="573"/>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表</w:t>
      </w:r>
    </w:p>
    <w:tbl>
      <w:tblPr>
        <w:tblStyle w:val="22"/>
        <w:tblW w:w="925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64"/>
        <w:gridCol w:w="2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exact"/>
          <w:tblHeader/>
        </w:trPr>
        <w:tc>
          <w:tcPr>
            <w:tcW w:w="7164"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项目</w:t>
            </w:r>
          </w:p>
        </w:tc>
        <w:tc>
          <w:tcPr>
            <w:tcW w:w="2095"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exact"/>
        </w:trPr>
        <w:tc>
          <w:tcPr>
            <w:tcW w:w="7164"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有机质质量分数（以烘干基计）%</w:t>
            </w:r>
          </w:p>
        </w:tc>
        <w:tc>
          <w:tcPr>
            <w:tcW w:w="2095"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exact"/>
        </w:trPr>
        <w:tc>
          <w:tcPr>
            <w:tcW w:w="7164"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总养分（氮+五氧化二磷+氧化钾）的质量分数（以烘干基计）%</w:t>
            </w:r>
          </w:p>
        </w:tc>
        <w:tc>
          <w:tcPr>
            <w:tcW w:w="2095"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exact"/>
        </w:trPr>
        <w:tc>
          <w:tcPr>
            <w:tcW w:w="7164"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水分（鲜样）的质量分数%</w:t>
            </w:r>
          </w:p>
        </w:tc>
        <w:tc>
          <w:tcPr>
            <w:tcW w:w="2095"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6" w:hRule="exact"/>
        </w:trPr>
        <w:tc>
          <w:tcPr>
            <w:tcW w:w="7164"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酸碱度（pH）</w:t>
            </w:r>
          </w:p>
        </w:tc>
        <w:tc>
          <w:tcPr>
            <w:tcW w:w="2095" w:type="dxa"/>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0"/>
                <w:sz w:val="21"/>
                <w:szCs w:val="21"/>
              </w:rPr>
            </w:pPr>
            <w:r>
              <w:rPr>
                <w:rFonts w:hint="eastAsia" w:ascii="仿宋" w:hAnsi="仿宋" w:eastAsia="仿宋" w:cs="仿宋"/>
                <w:bCs/>
                <w:kern w:val="0"/>
                <w:sz w:val="21"/>
                <w:szCs w:val="21"/>
              </w:rPr>
              <w:t>5.5-5.8</w:t>
            </w:r>
          </w:p>
        </w:tc>
      </w:tr>
    </w:tbl>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（3）劳动力来源</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在工程实施时优先选择项目区草场牧户实施，或选用当农牧民实施，使当地农牧民群众积极参与到近自然的草场恢复项目当中。</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（4）播种</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严格按《天然草地改良技术规程》、《青海省人工草地建设技术规程》等进行人工种草。</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default" w:ascii="仿宋" w:hAnsi="仿宋" w:eastAsia="仿宋" w:cs="仿宋"/>
          <w:b/>
          <w:bCs/>
          <w:lang w:val="en-US" w:eastAsia="zh-CN"/>
        </w:rPr>
      </w:pPr>
      <w:bookmarkStart w:id="175" w:name="_Toc4948"/>
      <w:r>
        <w:rPr>
          <w:rFonts w:hint="eastAsia" w:ascii="仿宋" w:hAnsi="仿宋" w:eastAsia="仿宋" w:cs="仿宋"/>
          <w:b/>
          <w:bCs/>
          <w:lang w:val="en-US" w:eastAsia="zh-CN"/>
        </w:rPr>
        <w:t>围栏封育技术方案</w:t>
      </w:r>
      <w:bookmarkEnd w:id="175"/>
    </w:p>
    <w:p>
      <w:pPr>
        <w:pStyle w:val="8"/>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围栏布局</w:t>
      </w:r>
    </w:p>
    <w:p>
      <w:pPr>
        <w:pStyle w:val="13"/>
        <w:pageBreakBefore w:val="0"/>
        <w:kinsoku/>
        <w:wordWrap/>
        <w:overflowPunct/>
        <w:topLinePunct w:val="0"/>
        <w:autoSpaceDE/>
        <w:autoSpaceDN/>
        <w:bidi w:val="0"/>
        <w:adjustRightInd/>
        <w:snapToGrid/>
        <w:spacing w:line="560" w:lineRule="exact"/>
        <w:ind w:firstLine="700" w:firstLineChars="250"/>
        <w:textAlignment w:val="auto"/>
        <w:rPr>
          <w:rFonts w:hint="eastAsia"/>
          <w:lang w:val="en-US" w:eastAsia="en-US"/>
        </w:rPr>
      </w:pPr>
      <w:r>
        <w:rPr>
          <w:rFonts w:hint="eastAsia" w:ascii="仿宋" w:hAnsi="仿宋" w:eastAsia="仿宋" w:cs="仿宋"/>
          <w:bCs/>
          <w:kern w:val="2"/>
          <w:sz w:val="28"/>
          <w:szCs w:val="28"/>
          <w:lang w:val="en-US" w:eastAsia="zh-CN" w:bidi="ar-SA"/>
        </w:rPr>
        <w:t>围栏封育100000.0米，封育面积150326.0亩。结合现有围栏以及天然屏障，围栏建设位于大通县省牛场，区划5个围栏封育作业小班。分别位于叶赫拉大掌</w:t>
      </w:r>
      <w:r>
        <w:rPr>
          <w:rFonts w:hint="eastAsia" w:ascii="仿宋" w:hAnsi="仿宋" w:eastAsia="仿宋" w:cs="仿宋"/>
          <w:bCs/>
          <w:sz w:val="28"/>
          <w:szCs w:val="28"/>
          <w:lang w:val="en-US" w:eastAsia="zh-CN"/>
        </w:rPr>
        <w:t>围栏封育13056米，封育面积10228亩；</w:t>
      </w:r>
      <w:r>
        <w:rPr>
          <w:rFonts w:hint="eastAsia" w:ascii="仿宋" w:hAnsi="仿宋" w:eastAsia="仿宋" w:cs="仿宋"/>
          <w:bCs/>
          <w:kern w:val="2"/>
          <w:sz w:val="28"/>
          <w:szCs w:val="28"/>
          <w:lang w:val="en-US" w:eastAsia="zh-CN" w:bidi="ar-SA"/>
        </w:rPr>
        <w:t>红垭豁滩</w:t>
      </w:r>
      <w:r>
        <w:rPr>
          <w:rFonts w:hint="eastAsia" w:ascii="仿宋" w:hAnsi="仿宋" w:eastAsia="仿宋" w:cs="仿宋"/>
          <w:bCs/>
          <w:sz w:val="28"/>
          <w:szCs w:val="28"/>
          <w:lang w:val="en-US" w:eastAsia="zh-CN"/>
        </w:rPr>
        <w:t>围栏封育36725米，封育面积63459亩；</w:t>
      </w:r>
      <w:r>
        <w:rPr>
          <w:rFonts w:hint="eastAsia" w:ascii="仿宋" w:hAnsi="仿宋" w:eastAsia="仿宋" w:cs="仿宋"/>
          <w:bCs/>
          <w:kern w:val="2"/>
          <w:sz w:val="28"/>
          <w:szCs w:val="28"/>
          <w:lang w:val="en-US" w:eastAsia="zh-CN" w:bidi="ar-SA"/>
        </w:rPr>
        <w:t>打儿轩其哈</w:t>
      </w:r>
      <w:r>
        <w:rPr>
          <w:rFonts w:hint="eastAsia" w:ascii="仿宋" w:hAnsi="仿宋" w:eastAsia="仿宋" w:cs="仿宋"/>
          <w:bCs/>
          <w:sz w:val="28"/>
          <w:szCs w:val="28"/>
          <w:lang w:val="en-US" w:eastAsia="zh-CN"/>
        </w:rPr>
        <w:t>围栏封育6889米，封育面积2277亩；</w:t>
      </w:r>
      <w:r>
        <w:rPr>
          <w:rFonts w:hint="eastAsia" w:ascii="仿宋" w:hAnsi="仿宋" w:eastAsia="仿宋" w:cs="仿宋"/>
          <w:bCs/>
          <w:kern w:val="2"/>
          <w:sz w:val="28"/>
          <w:szCs w:val="28"/>
          <w:lang w:val="en-US" w:eastAsia="zh-CN" w:bidi="ar-SA"/>
        </w:rPr>
        <w:t>力气儿珂</w:t>
      </w:r>
      <w:r>
        <w:rPr>
          <w:rFonts w:hint="eastAsia" w:ascii="仿宋" w:hAnsi="仿宋" w:eastAsia="仿宋" w:cs="仿宋"/>
          <w:bCs/>
          <w:sz w:val="28"/>
          <w:szCs w:val="28"/>
          <w:lang w:val="en-US" w:eastAsia="zh-CN"/>
        </w:rPr>
        <w:t>围栏封育12448米，封育面积12371亩；</w:t>
      </w:r>
      <w:r>
        <w:rPr>
          <w:rFonts w:hint="eastAsia" w:ascii="仿宋" w:hAnsi="仿宋" w:eastAsia="仿宋" w:cs="仿宋"/>
          <w:bCs/>
          <w:kern w:val="2"/>
          <w:sz w:val="28"/>
          <w:szCs w:val="28"/>
          <w:lang w:val="en-US" w:eastAsia="zh-CN" w:bidi="ar-SA"/>
        </w:rPr>
        <w:t>阴山毛亥图</w:t>
      </w:r>
      <w:r>
        <w:rPr>
          <w:rFonts w:hint="eastAsia" w:ascii="仿宋" w:hAnsi="仿宋" w:eastAsia="仿宋" w:cs="仿宋"/>
          <w:bCs/>
          <w:sz w:val="28"/>
          <w:szCs w:val="28"/>
          <w:lang w:val="en-US" w:eastAsia="zh-CN"/>
        </w:rPr>
        <w:t>围栏封育30882米，封育面积61991亩</w:t>
      </w:r>
      <w:r>
        <w:rPr>
          <w:rFonts w:hint="eastAsia" w:ascii="仿宋" w:hAnsi="仿宋" w:eastAsia="仿宋" w:cs="仿宋"/>
          <w:bCs/>
          <w:kern w:val="2"/>
          <w:sz w:val="28"/>
          <w:szCs w:val="28"/>
          <w:lang w:val="en-US" w:eastAsia="zh-CN" w:bidi="ar-SA"/>
        </w:rPr>
        <w:t>。</w:t>
      </w:r>
    </w:p>
    <w:p>
      <w:pPr>
        <w:pStyle w:val="7"/>
        <w:pageBreakBefore w:val="0"/>
        <w:widowControl w:val="0"/>
        <w:kinsoku/>
        <w:wordWrap/>
        <w:overflowPunct/>
        <w:topLinePunct w:val="0"/>
        <w:autoSpaceDE/>
        <w:autoSpaceDN/>
        <w:bidi w:val="0"/>
        <w:adjustRightInd/>
        <w:snapToGrid/>
        <w:spacing w:before="140" w:after="140" w:line="560" w:lineRule="exact"/>
        <w:textAlignment w:val="auto"/>
        <w:rPr>
          <w:rFonts w:hint="eastAsia" w:ascii="仿宋" w:hAnsi="仿宋" w:eastAsia="仿宋" w:cs="仿宋"/>
          <w:b/>
          <w:bCs/>
          <w:lang w:val="en-US" w:eastAsia="zh-CN"/>
        </w:rPr>
      </w:pPr>
      <w:bookmarkStart w:id="176" w:name="_Toc29125"/>
      <w:r>
        <w:rPr>
          <w:rFonts w:hint="eastAsia" w:ascii="仿宋" w:hAnsi="仿宋" w:eastAsia="仿宋" w:cs="仿宋"/>
          <w:b/>
          <w:bCs/>
          <w:lang w:val="en-US" w:eastAsia="zh-CN"/>
        </w:rPr>
        <w:t>设施</w:t>
      </w:r>
      <w:bookmarkEnd w:id="176"/>
    </w:p>
    <w:p>
      <w:pPr>
        <w:pageBreakBefore w:val="0"/>
        <w:widowControl w:val="0"/>
        <w:kinsoku/>
        <w:wordWrap/>
        <w:overflowPunct/>
        <w:topLinePunct w:val="0"/>
        <w:autoSpaceDE/>
        <w:autoSpaceDN/>
        <w:bidi w:val="0"/>
        <w:adjustRightInd/>
        <w:snapToGrid/>
        <w:spacing w:before="100" w:after="100" w:line="560" w:lineRule="exact"/>
        <w:ind w:firstLine="562" w:firstLineChars="200"/>
        <w:textAlignment w:val="auto"/>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1.网围栏</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拉设围栏，网围栏采用角铁立柱式。</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（1）工程量</w:t>
      </w:r>
    </w:p>
    <w:p>
      <w:pPr>
        <w:pageBreakBefore w:val="0"/>
        <w:widowControl w:val="0"/>
        <w:kinsoku/>
        <w:wordWrap/>
        <w:overflowPunct/>
        <w:topLinePunct w:val="0"/>
        <w:autoSpaceDE/>
        <w:autoSpaceDN/>
        <w:bidi w:val="0"/>
        <w:adjustRightInd/>
        <w:snapToGrid/>
        <w:spacing w:line="560" w:lineRule="exact"/>
        <w:ind w:firstLine="567"/>
        <w:textAlignment w:val="auto"/>
        <w:rPr>
          <w:rFonts w:hint="default"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围栏封育：</w:t>
      </w:r>
      <w:r>
        <w:rPr>
          <w:rFonts w:hint="eastAsia" w:ascii="仿宋" w:hAnsi="仿宋" w:eastAsia="仿宋" w:cs="仿宋"/>
          <w:bCs/>
          <w:kern w:val="2"/>
          <w:sz w:val="28"/>
          <w:szCs w:val="28"/>
          <w:lang w:val="en-US" w:eastAsia="zh-CN" w:bidi="ar-SA"/>
        </w:rPr>
        <w:t>共需网围栏网片长100000米，角铁大立柱100个，角铁中立柱250个，角铁小立柱10000个，支撑杆350个，地锚350个。</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（2）规格及标准</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lang w:val="en-US" w:eastAsia="zh-CN"/>
        </w:rPr>
      </w:pPr>
      <w:r>
        <w:rPr>
          <w:rFonts w:hint="eastAsia" w:ascii="仿宋" w:hAnsi="仿宋" w:eastAsia="仿宋" w:cs="仿宋"/>
          <w:bCs/>
          <w:kern w:val="2"/>
          <w:sz w:val="28"/>
          <w:szCs w:val="28"/>
          <w:lang w:val="en-US" w:eastAsia="zh-CN" w:bidi="ar-SA"/>
        </w:rPr>
        <w:t>网围栏标准要求采用青Q/TB76-88《缠绕式镀锌钢丝围栏》，采用加密围栏，围栏规格为91L-8/110/30(即维线根数8根，纬宽1.1米，经线间距30厘米)，钢丝伸长率不小于4%，反复弯曲次数规格:顶10×10厘米，底15×15厘米。相邻纬线自上而下间距为20厘米、18厘米、18厘米、15厘米、13厘米、13厘米、13厘米。</w:t>
      </w:r>
    </w:p>
    <w:tbl>
      <w:tblPr>
        <w:tblStyle w:val="22"/>
        <w:tblW w:w="0" w:type="auto"/>
        <w:jc w:val="center"/>
        <w:tblLayout w:type="fixed"/>
        <w:tblCellMar>
          <w:top w:w="0" w:type="dxa"/>
          <w:left w:w="108" w:type="dxa"/>
          <w:bottom w:w="0" w:type="dxa"/>
          <w:right w:w="108" w:type="dxa"/>
        </w:tblCellMar>
      </w:tblPr>
      <w:tblGrid>
        <w:gridCol w:w="1563"/>
        <w:gridCol w:w="705"/>
        <w:gridCol w:w="888"/>
        <w:gridCol w:w="713"/>
        <w:gridCol w:w="855"/>
        <w:gridCol w:w="999"/>
        <w:gridCol w:w="713"/>
        <w:gridCol w:w="2424"/>
      </w:tblGrid>
      <w:tr>
        <w:tblPrEx>
          <w:tblCellMar>
            <w:top w:w="0" w:type="dxa"/>
            <w:left w:w="108" w:type="dxa"/>
            <w:bottom w:w="0" w:type="dxa"/>
            <w:right w:w="108" w:type="dxa"/>
          </w:tblCellMar>
        </w:tblPrEx>
        <w:trPr>
          <w:trHeight w:val="826" w:hRule="atLeast"/>
          <w:jc w:val="center"/>
        </w:trPr>
        <w:tc>
          <w:tcPr>
            <w:tcW w:w="8860" w:type="dxa"/>
            <w:gridSpan w:val="8"/>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编织网围栏基本参数</w:t>
            </w:r>
          </w:p>
        </w:tc>
      </w:tr>
      <w:tr>
        <w:tblPrEx>
          <w:tblCellMar>
            <w:top w:w="0" w:type="dxa"/>
            <w:left w:w="108" w:type="dxa"/>
            <w:bottom w:w="0" w:type="dxa"/>
            <w:right w:w="108" w:type="dxa"/>
          </w:tblCellMar>
        </w:tblPrEx>
        <w:trPr>
          <w:trHeight w:val="634" w:hRule="atLeast"/>
          <w:jc w:val="center"/>
        </w:trPr>
        <w:tc>
          <w:tcPr>
            <w:tcW w:w="156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70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888"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71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855"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999"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71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4"/>
                <w:szCs w:val="24"/>
                <w:lang w:val="en-US" w:eastAsia="zh-CN" w:bidi="ar-SA"/>
              </w:rPr>
            </w:pPr>
          </w:p>
        </w:tc>
        <w:tc>
          <w:tcPr>
            <w:tcW w:w="2424"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单位：毫米</w:t>
            </w:r>
          </w:p>
        </w:tc>
      </w:tr>
      <w:tr>
        <w:tblPrEx>
          <w:tblCellMar>
            <w:top w:w="0" w:type="dxa"/>
            <w:left w:w="108" w:type="dxa"/>
            <w:bottom w:w="0" w:type="dxa"/>
            <w:right w:w="108" w:type="dxa"/>
          </w:tblCellMar>
        </w:tblPrEx>
        <w:trPr>
          <w:trHeight w:val="686" w:hRule="atLeast"/>
          <w:jc w:val="center"/>
        </w:trPr>
        <w:tc>
          <w:tcPr>
            <w:tcW w:w="156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ind w:left="155" w:hanging="153" w:hangingChars="73"/>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规格</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纬线根数</w:t>
            </w: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网宽公称尺寸</w:t>
            </w:r>
          </w:p>
        </w:tc>
        <w:tc>
          <w:tcPr>
            <w:tcW w:w="71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经线间距</w:t>
            </w:r>
          </w:p>
        </w:tc>
        <w:tc>
          <w:tcPr>
            <w:tcW w:w="2567" w:type="dxa"/>
            <w:gridSpan w:val="3"/>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钢丝公称直径</w:t>
            </w:r>
          </w:p>
        </w:tc>
        <w:tc>
          <w:tcPr>
            <w:tcW w:w="2424"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自上而下相邻纬线间距</w:t>
            </w:r>
          </w:p>
        </w:tc>
      </w:tr>
      <w:tr>
        <w:tblPrEx>
          <w:tblCellMar>
            <w:top w:w="0" w:type="dxa"/>
            <w:left w:w="108" w:type="dxa"/>
            <w:bottom w:w="0" w:type="dxa"/>
            <w:right w:w="108" w:type="dxa"/>
          </w:tblCellMar>
        </w:tblPrEx>
        <w:trPr>
          <w:trHeight w:val="1282" w:hRule="atLeast"/>
          <w:jc w:val="center"/>
        </w:trPr>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c>
          <w:tcPr>
            <w:tcW w:w="85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边纬线</w:t>
            </w:r>
          </w:p>
        </w:tc>
        <w:tc>
          <w:tcPr>
            <w:tcW w:w="999"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中纬线</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经线</w:t>
            </w:r>
          </w:p>
        </w:tc>
        <w:tc>
          <w:tcPr>
            <w:tcW w:w="242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p>
        </w:tc>
      </w:tr>
      <w:tr>
        <w:tblPrEx>
          <w:tblCellMar>
            <w:top w:w="0" w:type="dxa"/>
            <w:left w:w="108" w:type="dxa"/>
            <w:bottom w:w="0" w:type="dxa"/>
            <w:right w:w="108" w:type="dxa"/>
          </w:tblCellMar>
        </w:tblPrEx>
        <w:trPr>
          <w:trHeight w:val="1294" w:hRule="atLeast"/>
          <w:jc w:val="center"/>
        </w:trPr>
        <w:tc>
          <w:tcPr>
            <w:tcW w:w="1563"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91L8/110/30</w:t>
            </w:r>
          </w:p>
        </w:tc>
        <w:tc>
          <w:tcPr>
            <w:tcW w:w="70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8</w:t>
            </w:r>
          </w:p>
        </w:tc>
        <w:tc>
          <w:tcPr>
            <w:tcW w:w="88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1100</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300</w:t>
            </w:r>
          </w:p>
        </w:tc>
        <w:tc>
          <w:tcPr>
            <w:tcW w:w="85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2.8</w:t>
            </w:r>
          </w:p>
        </w:tc>
        <w:tc>
          <w:tcPr>
            <w:tcW w:w="999"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2.5</w:t>
            </w:r>
          </w:p>
        </w:tc>
        <w:tc>
          <w:tcPr>
            <w:tcW w:w="71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2.5</w:t>
            </w:r>
          </w:p>
        </w:tc>
        <w:tc>
          <w:tcPr>
            <w:tcW w:w="2424"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200、180、180、150、130、130、130</w:t>
            </w:r>
          </w:p>
        </w:tc>
      </w:tr>
    </w:tbl>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角铁立柱规格:大角铁立柱高2.15米，材料规格为9×9×0.8（厚）厘米，每根大立柱配套两根支撑杆和两个地锚，支撑杆高3.0米，材料规格为5厘米的电焊钢管，地锚高0.6米，材料规格为4×4×0.4厘米；中立柱高2.15米，材料规格为7×7×0.7厘米；小立柱高2.0米，材料规格为4×4×0.4厘米，为了便于与其他工程的区分，网围栏角铁立柱自上而下每隔30厘米喷红漆和黄漆。</w:t>
      </w:r>
    </w:p>
    <w:tbl>
      <w:tblPr>
        <w:tblStyle w:val="22"/>
        <w:tblW w:w="0" w:type="auto"/>
        <w:tblInd w:w="0" w:type="dxa"/>
        <w:tblLayout w:type="fixed"/>
        <w:tblCellMar>
          <w:top w:w="0" w:type="dxa"/>
          <w:left w:w="108" w:type="dxa"/>
          <w:bottom w:w="0" w:type="dxa"/>
          <w:right w:w="108" w:type="dxa"/>
        </w:tblCellMar>
      </w:tblPr>
      <w:tblGrid>
        <w:gridCol w:w="3454"/>
        <w:gridCol w:w="1183"/>
        <w:gridCol w:w="4343"/>
      </w:tblGrid>
      <w:tr>
        <w:tblPrEx>
          <w:tblCellMar>
            <w:top w:w="0" w:type="dxa"/>
            <w:left w:w="108" w:type="dxa"/>
            <w:bottom w:w="0" w:type="dxa"/>
            <w:right w:w="108" w:type="dxa"/>
          </w:tblCellMar>
        </w:tblPrEx>
        <w:trPr>
          <w:trHeight w:val="602" w:hRule="atLeast"/>
        </w:trPr>
        <w:tc>
          <w:tcPr>
            <w:tcW w:w="8980" w:type="dxa"/>
            <w:gridSpan w:val="3"/>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支撑件规格与基本参数</w:t>
            </w:r>
          </w:p>
        </w:tc>
      </w:tr>
      <w:tr>
        <w:tblPrEx>
          <w:tblCellMar>
            <w:top w:w="0" w:type="dxa"/>
            <w:left w:w="108" w:type="dxa"/>
            <w:bottom w:w="0" w:type="dxa"/>
            <w:right w:w="108" w:type="dxa"/>
          </w:tblCellMar>
        </w:tblPrEx>
        <w:trPr>
          <w:trHeight w:val="430" w:hRule="atLeast"/>
        </w:trPr>
        <w:tc>
          <w:tcPr>
            <w:tcW w:w="3454"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1183" w:type="dxa"/>
            <w:tcBorders>
              <w:top w:val="nil"/>
              <w:left w:val="nil"/>
              <w:bottom w:val="nil"/>
              <w:right w:val="nil"/>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p>
        </w:tc>
        <w:tc>
          <w:tcPr>
            <w:tcW w:w="4343" w:type="dxa"/>
            <w:tcBorders>
              <w:top w:val="nil"/>
              <w:left w:val="nil"/>
              <w:bottom w:val="nil"/>
              <w:right w:val="nil"/>
            </w:tcBorders>
            <w:noWrap w:val="0"/>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单位：毫米</w:t>
            </w:r>
          </w:p>
        </w:tc>
      </w:tr>
      <w:tr>
        <w:tblPrEx>
          <w:tblCellMar>
            <w:top w:w="0" w:type="dxa"/>
            <w:left w:w="108" w:type="dxa"/>
            <w:bottom w:w="0" w:type="dxa"/>
            <w:right w:w="108" w:type="dxa"/>
          </w:tblCellMar>
        </w:tblPrEx>
        <w:trPr>
          <w:trHeight w:val="589" w:hRule="atLeast"/>
        </w:trPr>
        <w:tc>
          <w:tcPr>
            <w:tcW w:w="3454"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名称</w:t>
            </w:r>
          </w:p>
        </w:tc>
        <w:tc>
          <w:tcPr>
            <w:tcW w:w="118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尺寸</w:t>
            </w:r>
          </w:p>
        </w:tc>
        <w:tc>
          <w:tcPr>
            <w:tcW w:w="434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材料规格</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角铁大立柱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2150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热轧等边角铁90×90×8</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角铁中立柱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2150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热轧等边角铁70×70×7</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角铁小立柱</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2000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热轧等边角铁40×40×4</w:t>
            </w:r>
          </w:p>
        </w:tc>
      </w:tr>
      <w:tr>
        <w:tblPrEx>
          <w:tblCellMar>
            <w:top w:w="0" w:type="dxa"/>
            <w:left w:w="108" w:type="dxa"/>
            <w:bottom w:w="0" w:type="dxa"/>
            <w:right w:w="108" w:type="dxa"/>
          </w:tblCellMar>
        </w:tblPrEx>
        <w:trPr>
          <w:trHeight w:val="589"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地锚</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600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热轧等边角铁40×40×4</w:t>
            </w:r>
          </w:p>
        </w:tc>
      </w:tr>
      <w:tr>
        <w:tblPrEx>
          <w:tblCellMar>
            <w:top w:w="0" w:type="dxa"/>
            <w:left w:w="108" w:type="dxa"/>
            <w:bottom w:w="0" w:type="dxa"/>
            <w:right w:w="108" w:type="dxa"/>
          </w:tblCellMar>
        </w:tblPrEx>
        <w:trPr>
          <w:trHeight w:val="610" w:hRule="atLeast"/>
        </w:trPr>
        <w:tc>
          <w:tcPr>
            <w:tcW w:w="3454" w:type="dxa"/>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支撑杆</w:t>
            </w:r>
          </w:p>
        </w:tc>
        <w:tc>
          <w:tcPr>
            <w:tcW w:w="118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3000</w:t>
            </w:r>
          </w:p>
        </w:tc>
        <w:tc>
          <w:tcPr>
            <w:tcW w:w="4343"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520" w:lineRule="exact"/>
              <w:jc w:val="center"/>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镀锌钢管50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（3）安装技术</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auto"/>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角铁立柱安装技术:首先将网片起点在大立柱或中立柱上安装稳固，其次必须使用张紧器拉紧每根网线，将网线固定在立柱的每个挂钩上，方可将张紧器松出移到下一段使用，再次将网线交接处应接为“∞”型，同时连接网线时应使用钢套筒，以免损坏网片钢丝。平均每1000米设置一根大立柱，400米设置一根中立柱，按地形平均每10米设置一根小立柱。立柱埋入地下不得少于60厘米，拐点必须在受力方使用拉线，在大立柱或中立柱上安装支撑杆1个，地锚1个(见下图)。</w:t>
      </w:r>
    </w:p>
    <w:p>
      <w:pPr>
        <w:pStyle w:val="2"/>
        <w:pageBreakBefore w:val="0"/>
        <w:kinsoku/>
        <w:wordWrap/>
        <w:overflowPunct/>
        <w:topLinePunct w:val="0"/>
        <w:autoSpaceDE/>
        <w:autoSpaceDN/>
        <w:bidi w:val="0"/>
        <w:adjustRightInd/>
        <w:snapToGrid/>
        <w:spacing w:line="520" w:lineRule="exact"/>
        <w:rPr>
          <w:rFonts w:hint="eastAsia" w:ascii="仿宋" w:hAnsi="仿宋" w:eastAsia="仿宋" w:cs="仿宋"/>
          <w:lang w:val="en-US" w:eastAsia="zh-CN"/>
        </w:rPr>
      </w:pPr>
      <w:r>
        <w:rPr>
          <w:rFonts w:hint="eastAsia" w:ascii="仿宋" w:hAnsi="仿宋" w:eastAsia="仿宋" w:cs="仿宋"/>
          <w:sz w:val="21"/>
        </w:rPr>
        <w:drawing>
          <wp:anchor distT="0" distB="0" distL="114300" distR="114300" simplePos="0" relativeHeight="251665408" behindDoc="0" locked="0" layoutInCell="1" allowOverlap="1">
            <wp:simplePos x="0" y="0"/>
            <wp:positionH relativeFrom="column">
              <wp:posOffset>-635</wp:posOffset>
            </wp:positionH>
            <wp:positionV relativeFrom="paragraph">
              <wp:posOffset>168275</wp:posOffset>
            </wp:positionV>
            <wp:extent cx="5614670" cy="2460625"/>
            <wp:effectExtent l="12700" t="12700" r="30480" b="22225"/>
            <wp:wrapTopAndBottom/>
            <wp:docPr id="13" name="图片 12" descr="角铁立柱式网围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角铁立柱式网围栏"/>
                    <pic:cNvPicPr>
                      <a:picLocks noChangeAspect="1"/>
                    </pic:cNvPicPr>
                  </pic:nvPicPr>
                  <pic:blipFill>
                    <a:blip r:embed="rId14"/>
                    <a:stretch>
                      <a:fillRect/>
                    </a:stretch>
                  </pic:blipFill>
                  <pic:spPr>
                    <a:xfrm>
                      <a:off x="0" y="0"/>
                      <a:ext cx="5614670" cy="2460625"/>
                    </a:xfrm>
                    <a:prstGeom prst="rect">
                      <a:avLst/>
                    </a:prstGeom>
                    <a:noFill/>
                    <a:ln w="12700" cap="flat" cmpd="sng">
                      <a:solidFill>
                        <a:srgbClr val="272727"/>
                      </a:solidFill>
                      <a:prstDash val="solid"/>
                      <a:miter/>
                      <a:headEnd type="none" w="med" len="med"/>
                      <a:tailEnd type="none" w="med" len="med"/>
                    </a:ln>
                  </pic:spPr>
                </pic:pic>
              </a:graphicData>
            </a:graphic>
          </wp:anchor>
        </w:drawing>
      </w:r>
    </w:p>
    <w:p>
      <w:pPr>
        <w:rPr>
          <w:rFonts w:hint="eastAsia"/>
        </w:rPr>
      </w:pPr>
    </w:p>
    <w:sectPr>
      <w:pgSz w:w="11905"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13</w:t>
                          </w:r>
                          <w: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13</w:t>
                    </w:r>
                    <w:r>
                      <w:fldChar w:fldCharType="end"/>
                    </w:r>
                    <w:r>
                      <w:rPr>
                        <w:rFonts w:hint="eastAsia"/>
                      </w:rPr>
                      <w:t xml:space="preserve"> 页 共 </w:t>
                    </w:r>
                    <w:r>
                      <w:fldChar w:fldCharType="begin"/>
                    </w:r>
                    <w:r>
                      <w:instrText xml:space="preserve"> NUMPAGES  \* MERGEFORMAT </w:instrText>
                    </w:r>
                    <w:r>
                      <w:fldChar w:fldCharType="separate"/>
                    </w:r>
                    <w:r>
                      <w:t>72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56</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56</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62</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62</w:t>
                    </w:r>
                    <w:r>
                      <w:fldChar w:fldCharType="end"/>
                    </w:r>
                    <w:r>
                      <w:rPr>
                        <w:rFonts w:hint="eastAsia"/>
                      </w:rPr>
                      <w:t xml:space="preserve"> 页 共 </w:t>
                    </w:r>
                    <w:r>
                      <w:fldChar w:fldCharType="begin"/>
                    </w:r>
                    <w:r>
                      <w:instrText xml:space="preserve"> NUMPAGES  \* MERGEFORMAT </w:instrText>
                    </w:r>
                    <w:r>
                      <w:fldChar w:fldCharType="separate"/>
                    </w:r>
                    <w:r>
                      <w:t>63</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abstractNum w:abstractNumId="1">
    <w:nsid w:val="1871114A"/>
    <w:multiLevelType w:val="singleLevel"/>
    <w:tmpl w:val="1871114A"/>
    <w:lvl w:ilvl="0" w:tentative="0">
      <w:start w:val="2"/>
      <w:numFmt w:val="chineseCounting"/>
      <w:suff w:val="nothing"/>
      <w:lvlText w:val="%1、"/>
      <w:lvlJc w:val="left"/>
      <w:rPr>
        <w:rFonts w:hint="eastAsia"/>
      </w:rPr>
    </w:lvl>
  </w:abstractNum>
  <w:abstractNum w:abstractNumId="2">
    <w:nsid w:val="56022B96"/>
    <w:multiLevelType w:val="singleLevel"/>
    <w:tmpl w:val="56022B96"/>
    <w:lvl w:ilvl="0" w:tentative="0">
      <w:start w:val="2"/>
      <w:numFmt w:val="decimal"/>
      <w:suff w:val="nothing"/>
      <w:lvlText w:val="%1、"/>
      <w:lvlJc w:val="left"/>
      <w:pPr>
        <w:ind w:left="366"/>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59FC3CC6"/>
    <w:multiLevelType w:val="singleLevel"/>
    <w:tmpl w:val="59FC3CC6"/>
    <w:lvl w:ilvl="0" w:tentative="0">
      <w:start w:val="1"/>
      <w:numFmt w:val="decimal"/>
      <w:suff w:val="nothing"/>
      <w:lvlText w:val="（%1）"/>
      <w:lvlJc w:val="left"/>
    </w:lvl>
  </w:abstractNum>
  <w:abstractNum w:abstractNumId="5">
    <w:nsid w:val="59FC3E95"/>
    <w:multiLevelType w:val="singleLevel"/>
    <w:tmpl w:val="59FC3E95"/>
    <w:lvl w:ilvl="0" w:tentative="0">
      <w:start w:val="1"/>
      <w:numFmt w:val="decimal"/>
      <w:lvlText w:val="(%1)"/>
      <w:lvlJc w:val="left"/>
      <w:pPr>
        <w:tabs>
          <w:tab w:val="left" w:pos="312"/>
        </w:tabs>
      </w:pPr>
    </w:lvl>
  </w:abstractNum>
  <w:abstractNum w:abstractNumId="6">
    <w:nsid w:val="59FC4271"/>
    <w:multiLevelType w:val="singleLevel"/>
    <w:tmpl w:val="59FC4271"/>
    <w:lvl w:ilvl="0" w:tentative="0">
      <w:start w:val="1"/>
      <w:numFmt w:val="decimal"/>
      <w:suff w:val="nothing"/>
      <w:lvlText w:val="（%1）"/>
      <w:lvlJc w:val="left"/>
    </w:lvl>
  </w:abstractNum>
  <w:abstractNum w:abstractNumId="7">
    <w:nsid w:val="59FC4698"/>
    <w:multiLevelType w:val="singleLevel"/>
    <w:tmpl w:val="59FC4698"/>
    <w:lvl w:ilvl="0" w:tentative="0">
      <w:start w:val="1"/>
      <w:numFmt w:val="decimal"/>
      <w:suff w:val="nothing"/>
      <w:lvlText w:val="（%1）"/>
      <w:lvlJc w:val="left"/>
    </w:lvl>
  </w:abstractNum>
  <w:abstractNum w:abstractNumId="8">
    <w:nsid w:val="59FC4CCC"/>
    <w:multiLevelType w:val="singleLevel"/>
    <w:tmpl w:val="59FC4CCC"/>
    <w:lvl w:ilvl="0" w:tentative="0">
      <w:start w:val="1"/>
      <w:numFmt w:val="decimal"/>
      <w:suff w:val="nothing"/>
      <w:lvlText w:val="（%1）"/>
      <w:lvlJc w:val="left"/>
    </w:lvl>
  </w:abstractNum>
  <w:abstractNum w:abstractNumId="9">
    <w:nsid w:val="59FC4D84"/>
    <w:multiLevelType w:val="singleLevel"/>
    <w:tmpl w:val="59FC4D84"/>
    <w:lvl w:ilvl="0" w:tentative="0">
      <w:start w:val="11"/>
      <w:numFmt w:val="decimal"/>
      <w:suff w:val="nothing"/>
      <w:lvlText w:val="（%1）"/>
      <w:lvlJc w:val="left"/>
    </w:lvl>
  </w:abstractNum>
  <w:abstractNum w:abstractNumId="10">
    <w:nsid w:val="705C29F3"/>
    <w:multiLevelType w:val="singleLevel"/>
    <w:tmpl w:val="705C29F3"/>
    <w:lvl w:ilvl="0" w:tentative="0">
      <w:start w:val="1"/>
      <w:numFmt w:val="decimal"/>
      <w:suff w:val="nothing"/>
      <w:lvlText w:val="（%1）"/>
      <w:lvlJc w:val="left"/>
    </w:lvl>
  </w:abstractNum>
  <w:num w:numId="1">
    <w:abstractNumId w:val="4"/>
  </w:num>
  <w:num w:numId="2">
    <w:abstractNumId w:val="5"/>
  </w:num>
  <w:num w:numId="3">
    <w:abstractNumId w:val="6"/>
  </w:num>
  <w:num w:numId="4">
    <w:abstractNumId w:val="7"/>
  </w:num>
  <w:num w:numId="5">
    <w:abstractNumId w:val="10"/>
  </w:num>
  <w:num w:numId="6">
    <w:abstractNumId w:val="8"/>
  </w:num>
  <w:num w:numId="7">
    <w:abstractNumId w:val="3"/>
  </w:num>
  <w:num w:numId="8">
    <w:abstractNumId w:val="9"/>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9595A"/>
    <w:rsid w:val="00066903"/>
    <w:rsid w:val="000D4589"/>
    <w:rsid w:val="000E48DF"/>
    <w:rsid w:val="00121285"/>
    <w:rsid w:val="00130609"/>
    <w:rsid w:val="00141E3C"/>
    <w:rsid w:val="001E4CD8"/>
    <w:rsid w:val="001F0BF5"/>
    <w:rsid w:val="002E6CCA"/>
    <w:rsid w:val="00336C8B"/>
    <w:rsid w:val="00351F16"/>
    <w:rsid w:val="00354B45"/>
    <w:rsid w:val="00356280"/>
    <w:rsid w:val="003A0E62"/>
    <w:rsid w:val="00471B14"/>
    <w:rsid w:val="00493515"/>
    <w:rsid w:val="004A3953"/>
    <w:rsid w:val="00544110"/>
    <w:rsid w:val="0056452D"/>
    <w:rsid w:val="005862DB"/>
    <w:rsid w:val="005D7F4A"/>
    <w:rsid w:val="00626188"/>
    <w:rsid w:val="006400C5"/>
    <w:rsid w:val="0066399B"/>
    <w:rsid w:val="00674D74"/>
    <w:rsid w:val="00684AE4"/>
    <w:rsid w:val="0070714C"/>
    <w:rsid w:val="007411BD"/>
    <w:rsid w:val="007577CB"/>
    <w:rsid w:val="007A7759"/>
    <w:rsid w:val="00815BDB"/>
    <w:rsid w:val="00866D98"/>
    <w:rsid w:val="00886203"/>
    <w:rsid w:val="0089412E"/>
    <w:rsid w:val="008D31C8"/>
    <w:rsid w:val="008F4321"/>
    <w:rsid w:val="00917D51"/>
    <w:rsid w:val="009210F6"/>
    <w:rsid w:val="00945840"/>
    <w:rsid w:val="00945B3A"/>
    <w:rsid w:val="009D65A7"/>
    <w:rsid w:val="009E33D2"/>
    <w:rsid w:val="00AE064D"/>
    <w:rsid w:val="00B31999"/>
    <w:rsid w:val="00B8718B"/>
    <w:rsid w:val="00B92168"/>
    <w:rsid w:val="00BD6030"/>
    <w:rsid w:val="00BF15A5"/>
    <w:rsid w:val="00BF4F45"/>
    <w:rsid w:val="00CC2239"/>
    <w:rsid w:val="00CC55EB"/>
    <w:rsid w:val="00D95088"/>
    <w:rsid w:val="00D97F09"/>
    <w:rsid w:val="00DB1C66"/>
    <w:rsid w:val="00DE2BC2"/>
    <w:rsid w:val="00DF4B41"/>
    <w:rsid w:val="00DF7B32"/>
    <w:rsid w:val="00E44B88"/>
    <w:rsid w:val="00E64E47"/>
    <w:rsid w:val="00EC638D"/>
    <w:rsid w:val="00F74D08"/>
    <w:rsid w:val="00FC2C48"/>
    <w:rsid w:val="016610FE"/>
    <w:rsid w:val="01AA7D1B"/>
    <w:rsid w:val="01BC668C"/>
    <w:rsid w:val="01E00AED"/>
    <w:rsid w:val="01E42912"/>
    <w:rsid w:val="01E44FDB"/>
    <w:rsid w:val="01F16363"/>
    <w:rsid w:val="021B2E17"/>
    <w:rsid w:val="022641C2"/>
    <w:rsid w:val="034D6BB0"/>
    <w:rsid w:val="039809E6"/>
    <w:rsid w:val="03CF5817"/>
    <w:rsid w:val="03E56DE9"/>
    <w:rsid w:val="03F12D98"/>
    <w:rsid w:val="040B651C"/>
    <w:rsid w:val="04614372"/>
    <w:rsid w:val="049222B9"/>
    <w:rsid w:val="04A551C0"/>
    <w:rsid w:val="04FB5426"/>
    <w:rsid w:val="05014BCB"/>
    <w:rsid w:val="0565361C"/>
    <w:rsid w:val="0567756C"/>
    <w:rsid w:val="06A32475"/>
    <w:rsid w:val="06C21CAB"/>
    <w:rsid w:val="06D04F61"/>
    <w:rsid w:val="06DA30AF"/>
    <w:rsid w:val="06F72280"/>
    <w:rsid w:val="07425688"/>
    <w:rsid w:val="07F4584C"/>
    <w:rsid w:val="081E3AAF"/>
    <w:rsid w:val="08430582"/>
    <w:rsid w:val="08A57E85"/>
    <w:rsid w:val="08BB0B95"/>
    <w:rsid w:val="08BF34FB"/>
    <w:rsid w:val="08C00A67"/>
    <w:rsid w:val="08C61FD7"/>
    <w:rsid w:val="097B546D"/>
    <w:rsid w:val="098E3A7F"/>
    <w:rsid w:val="099A2423"/>
    <w:rsid w:val="09A1340F"/>
    <w:rsid w:val="09D660A0"/>
    <w:rsid w:val="0A466F5C"/>
    <w:rsid w:val="0A950B4A"/>
    <w:rsid w:val="0AA4646F"/>
    <w:rsid w:val="0AC20A39"/>
    <w:rsid w:val="0AD0522F"/>
    <w:rsid w:val="0B30109B"/>
    <w:rsid w:val="0B3548F4"/>
    <w:rsid w:val="0B38262C"/>
    <w:rsid w:val="0B634297"/>
    <w:rsid w:val="0B8540EB"/>
    <w:rsid w:val="0BEB5DFF"/>
    <w:rsid w:val="0BF56037"/>
    <w:rsid w:val="0BF63DC4"/>
    <w:rsid w:val="0CDB78C3"/>
    <w:rsid w:val="0D166265"/>
    <w:rsid w:val="0D1D5B84"/>
    <w:rsid w:val="0D2B328C"/>
    <w:rsid w:val="0D587166"/>
    <w:rsid w:val="0D797DD9"/>
    <w:rsid w:val="0D9A6FA7"/>
    <w:rsid w:val="0DD3278E"/>
    <w:rsid w:val="0DDF1A07"/>
    <w:rsid w:val="0DF468D1"/>
    <w:rsid w:val="0E2A021A"/>
    <w:rsid w:val="0E595C3E"/>
    <w:rsid w:val="0EB651FD"/>
    <w:rsid w:val="0F0C3DC3"/>
    <w:rsid w:val="0F205179"/>
    <w:rsid w:val="0FAE6C29"/>
    <w:rsid w:val="0FE32D76"/>
    <w:rsid w:val="0FE663C2"/>
    <w:rsid w:val="100C14DF"/>
    <w:rsid w:val="105060A5"/>
    <w:rsid w:val="10572E1C"/>
    <w:rsid w:val="10954C7A"/>
    <w:rsid w:val="10A9528C"/>
    <w:rsid w:val="111019ED"/>
    <w:rsid w:val="1113683B"/>
    <w:rsid w:val="11C6620C"/>
    <w:rsid w:val="11D45FB4"/>
    <w:rsid w:val="11DA02A7"/>
    <w:rsid w:val="11E2469A"/>
    <w:rsid w:val="120134A3"/>
    <w:rsid w:val="121B1DF8"/>
    <w:rsid w:val="122E550C"/>
    <w:rsid w:val="125D2401"/>
    <w:rsid w:val="12B3371C"/>
    <w:rsid w:val="12BC2678"/>
    <w:rsid w:val="12CC2466"/>
    <w:rsid w:val="130C48FD"/>
    <w:rsid w:val="13586949"/>
    <w:rsid w:val="13933C21"/>
    <w:rsid w:val="13A256FD"/>
    <w:rsid w:val="13BE1EA3"/>
    <w:rsid w:val="13DC7C68"/>
    <w:rsid w:val="141741BC"/>
    <w:rsid w:val="141C1F43"/>
    <w:rsid w:val="14EB7607"/>
    <w:rsid w:val="154A0419"/>
    <w:rsid w:val="158D64AE"/>
    <w:rsid w:val="159019CD"/>
    <w:rsid w:val="15D1658B"/>
    <w:rsid w:val="15DC1D38"/>
    <w:rsid w:val="16176C85"/>
    <w:rsid w:val="16E36B0F"/>
    <w:rsid w:val="172526D1"/>
    <w:rsid w:val="1753361B"/>
    <w:rsid w:val="175A077B"/>
    <w:rsid w:val="17892B24"/>
    <w:rsid w:val="17AB6D96"/>
    <w:rsid w:val="17D731BB"/>
    <w:rsid w:val="18335F79"/>
    <w:rsid w:val="1839766A"/>
    <w:rsid w:val="18A14EF7"/>
    <w:rsid w:val="18F71ACF"/>
    <w:rsid w:val="19B12FD7"/>
    <w:rsid w:val="19EE616B"/>
    <w:rsid w:val="19F15CBB"/>
    <w:rsid w:val="1A137E2A"/>
    <w:rsid w:val="1A2C49FC"/>
    <w:rsid w:val="1A3D4835"/>
    <w:rsid w:val="1AD75E7B"/>
    <w:rsid w:val="1B285252"/>
    <w:rsid w:val="1B3A6029"/>
    <w:rsid w:val="1B5F1922"/>
    <w:rsid w:val="1B793281"/>
    <w:rsid w:val="1B92110A"/>
    <w:rsid w:val="1BA01B1B"/>
    <w:rsid w:val="1BA20B90"/>
    <w:rsid w:val="1C311844"/>
    <w:rsid w:val="1C4416D3"/>
    <w:rsid w:val="1C6F3CBA"/>
    <w:rsid w:val="1C807883"/>
    <w:rsid w:val="1CD621A8"/>
    <w:rsid w:val="1CDB1039"/>
    <w:rsid w:val="1D060A74"/>
    <w:rsid w:val="1DAD2D38"/>
    <w:rsid w:val="1DB451FA"/>
    <w:rsid w:val="1DF148B0"/>
    <w:rsid w:val="1E355622"/>
    <w:rsid w:val="1E5E5B8F"/>
    <w:rsid w:val="1EEC0BE2"/>
    <w:rsid w:val="1F0849E4"/>
    <w:rsid w:val="1F204A65"/>
    <w:rsid w:val="1F380507"/>
    <w:rsid w:val="1FB728BA"/>
    <w:rsid w:val="1FC738D0"/>
    <w:rsid w:val="200A09CB"/>
    <w:rsid w:val="205729C5"/>
    <w:rsid w:val="20B04A63"/>
    <w:rsid w:val="20CE50D2"/>
    <w:rsid w:val="20F97CC4"/>
    <w:rsid w:val="20FA27F4"/>
    <w:rsid w:val="21254F56"/>
    <w:rsid w:val="21646E8D"/>
    <w:rsid w:val="21D92A77"/>
    <w:rsid w:val="22023D14"/>
    <w:rsid w:val="227A3933"/>
    <w:rsid w:val="22892F59"/>
    <w:rsid w:val="22E82D07"/>
    <w:rsid w:val="23030973"/>
    <w:rsid w:val="23040794"/>
    <w:rsid w:val="231C5EB2"/>
    <w:rsid w:val="231E7A8F"/>
    <w:rsid w:val="23300CFD"/>
    <w:rsid w:val="233E24BC"/>
    <w:rsid w:val="2432352D"/>
    <w:rsid w:val="245A1261"/>
    <w:rsid w:val="24C45EB2"/>
    <w:rsid w:val="24C83A7A"/>
    <w:rsid w:val="24D01865"/>
    <w:rsid w:val="25747247"/>
    <w:rsid w:val="264E7206"/>
    <w:rsid w:val="266A46E7"/>
    <w:rsid w:val="26D72CEE"/>
    <w:rsid w:val="26F60889"/>
    <w:rsid w:val="278A6699"/>
    <w:rsid w:val="278B1658"/>
    <w:rsid w:val="279664C8"/>
    <w:rsid w:val="27983FEE"/>
    <w:rsid w:val="27E25FF9"/>
    <w:rsid w:val="2816686E"/>
    <w:rsid w:val="284823DB"/>
    <w:rsid w:val="28B9421C"/>
    <w:rsid w:val="28E652BE"/>
    <w:rsid w:val="28EA2628"/>
    <w:rsid w:val="28F323AB"/>
    <w:rsid w:val="291122AA"/>
    <w:rsid w:val="291F390D"/>
    <w:rsid w:val="29B510E2"/>
    <w:rsid w:val="29EE1913"/>
    <w:rsid w:val="2A604C3F"/>
    <w:rsid w:val="2A8D3BB3"/>
    <w:rsid w:val="2A964DB9"/>
    <w:rsid w:val="2ACC4EF8"/>
    <w:rsid w:val="2B5025AC"/>
    <w:rsid w:val="2B8A769F"/>
    <w:rsid w:val="2BC93F6F"/>
    <w:rsid w:val="2BFB2D9E"/>
    <w:rsid w:val="2C57761C"/>
    <w:rsid w:val="2CD24827"/>
    <w:rsid w:val="2D202682"/>
    <w:rsid w:val="2D2C76B3"/>
    <w:rsid w:val="2D3A1AD5"/>
    <w:rsid w:val="2D7D5B52"/>
    <w:rsid w:val="2DFD2DFD"/>
    <w:rsid w:val="2EA83010"/>
    <w:rsid w:val="2F0000C6"/>
    <w:rsid w:val="2F097580"/>
    <w:rsid w:val="2F1867C2"/>
    <w:rsid w:val="2F364819"/>
    <w:rsid w:val="2F4F1437"/>
    <w:rsid w:val="2F526AE0"/>
    <w:rsid w:val="2F540EEB"/>
    <w:rsid w:val="2F6A1D22"/>
    <w:rsid w:val="2F846B06"/>
    <w:rsid w:val="30145D90"/>
    <w:rsid w:val="30311103"/>
    <w:rsid w:val="303421B4"/>
    <w:rsid w:val="30972C46"/>
    <w:rsid w:val="30CE0A81"/>
    <w:rsid w:val="310F1EF7"/>
    <w:rsid w:val="31677B7D"/>
    <w:rsid w:val="318821CD"/>
    <w:rsid w:val="32026C34"/>
    <w:rsid w:val="325516F5"/>
    <w:rsid w:val="328A3A87"/>
    <w:rsid w:val="328B417C"/>
    <w:rsid w:val="3296737C"/>
    <w:rsid w:val="32BB4548"/>
    <w:rsid w:val="32FB3DF2"/>
    <w:rsid w:val="333A41AC"/>
    <w:rsid w:val="333C0E83"/>
    <w:rsid w:val="33800F30"/>
    <w:rsid w:val="33BB4078"/>
    <w:rsid w:val="33E3206A"/>
    <w:rsid w:val="34392189"/>
    <w:rsid w:val="34614B14"/>
    <w:rsid w:val="34B41ECD"/>
    <w:rsid w:val="34B52908"/>
    <w:rsid w:val="34BC13B2"/>
    <w:rsid w:val="34CA60FF"/>
    <w:rsid w:val="34FD1935"/>
    <w:rsid w:val="350B1FFF"/>
    <w:rsid w:val="3549473E"/>
    <w:rsid w:val="35633E8E"/>
    <w:rsid w:val="35655CAB"/>
    <w:rsid w:val="35A26038"/>
    <w:rsid w:val="35BB0E87"/>
    <w:rsid w:val="35C45B79"/>
    <w:rsid w:val="35D878D0"/>
    <w:rsid w:val="360137B6"/>
    <w:rsid w:val="363C59D6"/>
    <w:rsid w:val="368A0DE7"/>
    <w:rsid w:val="3698104C"/>
    <w:rsid w:val="369D517D"/>
    <w:rsid w:val="36A06722"/>
    <w:rsid w:val="36DD6B5E"/>
    <w:rsid w:val="373B60FC"/>
    <w:rsid w:val="37741E0D"/>
    <w:rsid w:val="37CB5392"/>
    <w:rsid w:val="37F7777E"/>
    <w:rsid w:val="38084878"/>
    <w:rsid w:val="380C7E9D"/>
    <w:rsid w:val="38281F6F"/>
    <w:rsid w:val="38404012"/>
    <w:rsid w:val="38487C10"/>
    <w:rsid w:val="385932B5"/>
    <w:rsid w:val="38D106EA"/>
    <w:rsid w:val="39051573"/>
    <w:rsid w:val="39310F92"/>
    <w:rsid w:val="39673821"/>
    <w:rsid w:val="397039EA"/>
    <w:rsid w:val="399C68DF"/>
    <w:rsid w:val="39D622F4"/>
    <w:rsid w:val="39F229D3"/>
    <w:rsid w:val="3A4C303A"/>
    <w:rsid w:val="3AAD280F"/>
    <w:rsid w:val="3ABD5F67"/>
    <w:rsid w:val="3AD969A0"/>
    <w:rsid w:val="3ADB24FB"/>
    <w:rsid w:val="3AF13CEA"/>
    <w:rsid w:val="3B063505"/>
    <w:rsid w:val="3B0652DA"/>
    <w:rsid w:val="3B462F44"/>
    <w:rsid w:val="3B5212B9"/>
    <w:rsid w:val="3B5B73B5"/>
    <w:rsid w:val="3B826A16"/>
    <w:rsid w:val="3B84690C"/>
    <w:rsid w:val="3BED686D"/>
    <w:rsid w:val="3C44382D"/>
    <w:rsid w:val="3CB2296D"/>
    <w:rsid w:val="3CC5269E"/>
    <w:rsid w:val="3CC87376"/>
    <w:rsid w:val="3CEA6C43"/>
    <w:rsid w:val="3D0F45CE"/>
    <w:rsid w:val="3D355F79"/>
    <w:rsid w:val="3DAD6457"/>
    <w:rsid w:val="3DAF2AD1"/>
    <w:rsid w:val="3DCF514D"/>
    <w:rsid w:val="3E2959EE"/>
    <w:rsid w:val="3E335094"/>
    <w:rsid w:val="3E380E40"/>
    <w:rsid w:val="3E460A02"/>
    <w:rsid w:val="3E646581"/>
    <w:rsid w:val="3E6C28B3"/>
    <w:rsid w:val="3ED5640E"/>
    <w:rsid w:val="3EDA5532"/>
    <w:rsid w:val="3F0411B0"/>
    <w:rsid w:val="3F60393F"/>
    <w:rsid w:val="401F1E7C"/>
    <w:rsid w:val="40253427"/>
    <w:rsid w:val="405A576E"/>
    <w:rsid w:val="40B82DD4"/>
    <w:rsid w:val="41572E55"/>
    <w:rsid w:val="41590D34"/>
    <w:rsid w:val="415B1EBD"/>
    <w:rsid w:val="41647ED5"/>
    <w:rsid w:val="41A911ED"/>
    <w:rsid w:val="41C2018E"/>
    <w:rsid w:val="41D2109F"/>
    <w:rsid w:val="41FD4D22"/>
    <w:rsid w:val="435C0457"/>
    <w:rsid w:val="437642E5"/>
    <w:rsid w:val="438002DC"/>
    <w:rsid w:val="43B81849"/>
    <w:rsid w:val="43C00597"/>
    <w:rsid w:val="44706E2C"/>
    <w:rsid w:val="447A08AC"/>
    <w:rsid w:val="44BC2C73"/>
    <w:rsid w:val="44C66925"/>
    <w:rsid w:val="44EC76FE"/>
    <w:rsid w:val="453E552E"/>
    <w:rsid w:val="455D44E2"/>
    <w:rsid w:val="45CB2166"/>
    <w:rsid w:val="45F65836"/>
    <w:rsid w:val="4610460D"/>
    <w:rsid w:val="46172561"/>
    <w:rsid w:val="461B77AA"/>
    <w:rsid w:val="467B7686"/>
    <w:rsid w:val="46867702"/>
    <w:rsid w:val="468D5C7F"/>
    <w:rsid w:val="469A3487"/>
    <w:rsid w:val="46A165C4"/>
    <w:rsid w:val="475F57DB"/>
    <w:rsid w:val="478E6F8E"/>
    <w:rsid w:val="47984D9B"/>
    <w:rsid w:val="47EA720B"/>
    <w:rsid w:val="48270D4B"/>
    <w:rsid w:val="482A4417"/>
    <w:rsid w:val="482B2087"/>
    <w:rsid w:val="48517B76"/>
    <w:rsid w:val="48587156"/>
    <w:rsid w:val="48B3258C"/>
    <w:rsid w:val="48F02A8C"/>
    <w:rsid w:val="49493ADF"/>
    <w:rsid w:val="498806D9"/>
    <w:rsid w:val="49CE4C60"/>
    <w:rsid w:val="49E35F4E"/>
    <w:rsid w:val="49EB7DE1"/>
    <w:rsid w:val="4A060EBA"/>
    <w:rsid w:val="4A467E8A"/>
    <w:rsid w:val="4AB4306A"/>
    <w:rsid w:val="4AC663E7"/>
    <w:rsid w:val="4AC726AF"/>
    <w:rsid w:val="4AE61957"/>
    <w:rsid w:val="4AFE4C67"/>
    <w:rsid w:val="4B5431F8"/>
    <w:rsid w:val="4BA44F64"/>
    <w:rsid w:val="4BD31E34"/>
    <w:rsid w:val="4C096DD4"/>
    <w:rsid w:val="4C191300"/>
    <w:rsid w:val="4C2C2DD4"/>
    <w:rsid w:val="4C3E2B07"/>
    <w:rsid w:val="4CA44BCB"/>
    <w:rsid w:val="4CB919EE"/>
    <w:rsid w:val="4CC64F8F"/>
    <w:rsid w:val="4CD60181"/>
    <w:rsid w:val="4CE9158E"/>
    <w:rsid w:val="4D1178C4"/>
    <w:rsid w:val="4D2C2D15"/>
    <w:rsid w:val="4D8A7E44"/>
    <w:rsid w:val="4D9A5134"/>
    <w:rsid w:val="4DD9032C"/>
    <w:rsid w:val="4DF94C42"/>
    <w:rsid w:val="4E4905DD"/>
    <w:rsid w:val="4F1B32D5"/>
    <w:rsid w:val="4F5A37B4"/>
    <w:rsid w:val="4F5F701C"/>
    <w:rsid w:val="4F9C1B29"/>
    <w:rsid w:val="50260C5C"/>
    <w:rsid w:val="507C59AC"/>
    <w:rsid w:val="512F7757"/>
    <w:rsid w:val="51584021"/>
    <w:rsid w:val="517540C9"/>
    <w:rsid w:val="51780CC2"/>
    <w:rsid w:val="51944FC0"/>
    <w:rsid w:val="519C4149"/>
    <w:rsid w:val="51AA02F7"/>
    <w:rsid w:val="51D51818"/>
    <w:rsid w:val="51EC386A"/>
    <w:rsid w:val="51F23C9C"/>
    <w:rsid w:val="520B3E30"/>
    <w:rsid w:val="523620F8"/>
    <w:rsid w:val="52EE1201"/>
    <w:rsid w:val="53536E98"/>
    <w:rsid w:val="53775BA0"/>
    <w:rsid w:val="53797698"/>
    <w:rsid w:val="538A6D04"/>
    <w:rsid w:val="53E2766E"/>
    <w:rsid w:val="5415596E"/>
    <w:rsid w:val="54337823"/>
    <w:rsid w:val="54385FC3"/>
    <w:rsid w:val="545C70ED"/>
    <w:rsid w:val="54BC7B0E"/>
    <w:rsid w:val="558F5276"/>
    <w:rsid w:val="55C53951"/>
    <w:rsid w:val="55DD0AF6"/>
    <w:rsid w:val="55E150D3"/>
    <w:rsid w:val="55E64F56"/>
    <w:rsid w:val="55FD058A"/>
    <w:rsid w:val="563A7E9B"/>
    <w:rsid w:val="56813D1C"/>
    <w:rsid w:val="5690074F"/>
    <w:rsid w:val="56F664B8"/>
    <w:rsid w:val="571E3885"/>
    <w:rsid w:val="57233722"/>
    <w:rsid w:val="572F78BD"/>
    <w:rsid w:val="57384A0A"/>
    <w:rsid w:val="573C4970"/>
    <w:rsid w:val="575C249F"/>
    <w:rsid w:val="577D5546"/>
    <w:rsid w:val="57A149F1"/>
    <w:rsid w:val="57C91F98"/>
    <w:rsid w:val="586A4EC1"/>
    <w:rsid w:val="59722DF1"/>
    <w:rsid w:val="598D705A"/>
    <w:rsid w:val="598F0CB7"/>
    <w:rsid w:val="5998381A"/>
    <w:rsid w:val="59B149F5"/>
    <w:rsid w:val="5A086AFC"/>
    <w:rsid w:val="5A3B3025"/>
    <w:rsid w:val="5AD00DCE"/>
    <w:rsid w:val="5B00118B"/>
    <w:rsid w:val="5B0A02F5"/>
    <w:rsid w:val="5C182A2D"/>
    <w:rsid w:val="5C4630BB"/>
    <w:rsid w:val="5C473A70"/>
    <w:rsid w:val="5C5A1297"/>
    <w:rsid w:val="5C5A21CE"/>
    <w:rsid w:val="5C8344FF"/>
    <w:rsid w:val="5C8630B2"/>
    <w:rsid w:val="5C9C5DC1"/>
    <w:rsid w:val="5CB309A7"/>
    <w:rsid w:val="5CBA16BC"/>
    <w:rsid w:val="5CC74453"/>
    <w:rsid w:val="5CF314F1"/>
    <w:rsid w:val="5D042FB5"/>
    <w:rsid w:val="5D0905C7"/>
    <w:rsid w:val="5D123920"/>
    <w:rsid w:val="5D184DC6"/>
    <w:rsid w:val="5D795F6D"/>
    <w:rsid w:val="5DB37778"/>
    <w:rsid w:val="5DCF40B0"/>
    <w:rsid w:val="5E1A3863"/>
    <w:rsid w:val="5E3A486B"/>
    <w:rsid w:val="5E5B413C"/>
    <w:rsid w:val="5E7C5E10"/>
    <w:rsid w:val="5E940365"/>
    <w:rsid w:val="5ED304B8"/>
    <w:rsid w:val="5EE34B26"/>
    <w:rsid w:val="5EF227E7"/>
    <w:rsid w:val="5F0279C4"/>
    <w:rsid w:val="601C5382"/>
    <w:rsid w:val="608A2EDD"/>
    <w:rsid w:val="60D84E80"/>
    <w:rsid w:val="61333E65"/>
    <w:rsid w:val="61432C95"/>
    <w:rsid w:val="61447B7B"/>
    <w:rsid w:val="61770BFE"/>
    <w:rsid w:val="61B76844"/>
    <w:rsid w:val="62145003"/>
    <w:rsid w:val="62C229BE"/>
    <w:rsid w:val="62C66941"/>
    <w:rsid w:val="64012017"/>
    <w:rsid w:val="64460353"/>
    <w:rsid w:val="644A7100"/>
    <w:rsid w:val="648413C6"/>
    <w:rsid w:val="64A46EAB"/>
    <w:rsid w:val="64B119C8"/>
    <w:rsid w:val="64D21BE7"/>
    <w:rsid w:val="64D3210D"/>
    <w:rsid w:val="650F0C93"/>
    <w:rsid w:val="651F157E"/>
    <w:rsid w:val="656C651C"/>
    <w:rsid w:val="658D7FD9"/>
    <w:rsid w:val="65937D42"/>
    <w:rsid w:val="659D3815"/>
    <w:rsid w:val="65AB216F"/>
    <w:rsid w:val="65DC6756"/>
    <w:rsid w:val="66231320"/>
    <w:rsid w:val="663A5208"/>
    <w:rsid w:val="665B08DF"/>
    <w:rsid w:val="666E1909"/>
    <w:rsid w:val="669632B1"/>
    <w:rsid w:val="671253B6"/>
    <w:rsid w:val="67144A78"/>
    <w:rsid w:val="67465766"/>
    <w:rsid w:val="67566AFF"/>
    <w:rsid w:val="67A81302"/>
    <w:rsid w:val="67DB7C68"/>
    <w:rsid w:val="683D51E7"/>
    <w:rsid w:val="68AB6CFB"/>
    <w:rsid w:val="68F24B9B"/>
    <w:rsid w:val="691721A7"/>
    <w:rsid w:val="692506C5"/>
    <w:rsid w:val="69804884"/>
    <w:rsid w:val="69CF1950"/>
    <w:rsid w:val="69EE2B4F"/>
    <w:rsid w:val="69F35A32"/>
    <w:rsid w:val="6A310727"/>
    <w:rsid w:val="6A423321"/>
    <w:rsid w:val="6A631DB6"/>
    <w:rsid w:val="6A962FC7"/>
    <w:rsid w:val="6BA35B0F"/>
    <w:rsid w:val="6BB40C8A"/>
    <w:rsid w:val="6BB6598B"/>
    <w:rsid w:val="6BC37289"/>
    <w:rsid w:val="6BE51B51"/>
    <w:rsid w:val="6BF30DC0"/>
    <w:rsid w:val="6D0B41DB"/>
    <w:rsid w:val="6D0F189F"/>
    <w:rsid w:val="6D455098"/>
    <w:rsid w:val="6D725D15"/>
    <w:rsid w:val="6D946D06"/>
    <w:rsid w:val="6E4D4BD2"/>
    <w:rsid w:val="6ECC76A7"/>
    <w:rsid w:val="6ED011B3"/>
    <w:rsid w:val="6EFD153E"/>
    <w:rsid w:val="6F5002D8"/>
    <w:rsid w:val="6F5613DF"/>
    <w:rsid w:val="6F656510"/>
    <w:rsid w:val="6FC65111"/>
    <w:rsid w:val="6FC9094A"/>
    <w:rsid w:val="6FD15D0C"/>
    <w:rsid w:val="6FF02A05"/>
    <w:rsid w:val="70160B19"/>
    <w:rsid w:val="70F91D44"/>
    <w:rsid w:val="712100BF"/>
    <w:rsid w:val="715977F8"/>
    <w:rsid w:val="719F0332"/>
    <w:rsid w:val="71CE3A17"/>
    <w:rsid w:val="723B6B7D"/>
    <w:rsid w:val="72916C3D"/>
    <w:rsid w:val="729A5E1A"/>
    <w:rsid w:val="72C97139"/>
    <w:rsid w:val="73426975"/>
    <w:rsid w:val="735C36AA"/>
    <w:rsid w:val="736E534B"/>
    <w:rsid w:val="7386076C"/>
    <w:rsid w:val="73AD30AD"/>
    <w:rsid w:val="73C66FD9"/>
    <w:rsid w:val="73C81E34"/>
    <w:rsid w:val="73CC7691"/>
    <w:rsid w:val="7423420D"/>
    <w:rsid w:val="74AA677B"/>
    <w:rsid w:val="75213D0E"/>
    <w:rsid w:val="7539407A"/>
    <w:rsid w:val="755328D0"/>
    <w:rsid w:val="75A37228"/>
    <w:rsid w:val="75C02276"/>
    <w:rsid w:val="760B4CC6"/>
    <w:rsid w:val="76131B51"/>
    <w:rsid w:val="7693567A"/>
    <w:rsid w:val="76A948BF"/>
    <w:rsid w:val="76B74A3D"/>
    <w:rsid w:val="76C70BB8"/>
    <w:rsid w:val="76CB16FC"/>
    <w:rsid w:val="777728A5"/>
    <w:rsid w:val="778C06AA"/>
    <w:rsid w:val="77941597"/>
    <w:rsid w:val="77953D0A"/>
    <w:rsid w:val="77BA55C2"/>
    <w:rsid w:val="77BF249E"/>
    <w:rsid w:val="77D815C2"/>
    <w:rsid w:val="77F263D0"/>
    <w:rsid w:val="787116F8"/>
    <w:rsid w:val="78FA019D"/>
    <w:rsid w:val="790736AA"/>
    <w:rsid w:val="7926112F"/>
    <w:rsid w:val="793E3D20"/>
    <w:rsid w:val="79461F23"/>
    <w:rsid w:val="7969595A"/>
    <w:rsid w:val="79EA129F"/>
    <w:rsid w:val="7A0F16AA"/>
    <w:rsid w:val="7A555B59"/>
    <w:rsid w:val="7A5B0A2E"/>
    <w:rsid w:val="7AB57EDD"/>
    <w:rsid w:val="7B024048"/>
    <w:rsid w:val="7B1810A1"/>
    <w:rsid w:val="7B1F1B19"/>
    <w:rsid w:val="7B6969A9"/>
    <w:rsid w:val="7B92266A"/>
    <w:rsid w:val="7B9B6C83"/>
    <w:rsid w:val="7BB5288F"/>
    <w:rsid w:val="7BDB3838"/>
    <w:rsid w:val="7BEC2388"/>
    <w:rsid w:val="7C54739E"/>
    <w:rsid w:val="7C992F2E"/>
    <w:rsid w:val="7CB016DA"/>
    <w:rsid w:val="7CBA4FE2"/>
    <w:rsid w:val="7CDD3B69"/>
    <w:rsid w:val="7CF21EC8"/>
    <w:rsid w:val="7D31568F"/>
    <w:rsid w:val="7D344D95"/>
    <w:rsid w:val="7D6F2271"/>
    <w:rsid w:val="7D763E31"/>
    <w:rsid w:val="7D926341"/>
    <w:rsid w:val="7DBA6D74"/>
    <w:rsid w:val="7E8D4D79"/>
    <w:rsid w:val="7EA77234"/>
    <w:rsid w:val="7EAD68C8"/>
    <w:rsid w:val="7EB03F89"/>
    <w:rsid w:val="7EFD3AEA"/>
    <w:rsid w:val="7F397D22"/>
    <w:rsid w:val="7F5104D2"/>
    <w:rsid w:val="7F63337A"/>
    <w:rsid w:val="7F640A13"/>
    <w:rsid w:val="7F7919E7"/>
    <w:rsid w:val="7F837573"/>
    <w:rsid w:val="7F8B683D"/>
    <w:rsid w:val="7FD25794"/>
    <w:rsid w:val="7FD7466E"/>
    <w:rsid w:val="7FE231CE"/>
    <w:rsid w:val="7FE95CC3"/>
    <w:rsid w:val="7FF6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3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spacing w:before="100" w:beforeAutospacing="1" w:after="100" w:afterAutospacing="1"/>
      <w:jc w:val="left"/>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line="360" w:lineRule="exact"/>
    </w:pPr>
  </w:style>
  <w:style w:type="paragraph" w:styleId="4">
    <w:name w:val="Body Text Indent"/>
    <w:basedOn w:val="1"/>
    <w:next w:val="5"/>
    <w:qFormat/>
    <w:uiPriority w:val="0"/>
    <w:pPr>
      <w:spacing w:after="120"/>
      <w:ind w:left="420" w:leftChars="200"/>
    </w:pPr>
    <w:rPr>
      <w:sz w:val="21"/>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Plain Text"/>
    <w:basedOn w:val="1"/>
    <w:qFormat/>
    <w:uiPriority w:val="99"/>
    <w:rPr>
      <w:rFonts w:ascii="宋体" w:hAnsi="Courier New"/>
      <w:sz w:val="21"/>
      <w:szCs w:val="21"/>
    </w:rPr>
  </w:style>
  <w:style w:type="paragraph" w:styleId="13">
    <w:name w:val="Body Text Indent 2"/>
    <w:basedOn w:val="1"/>
    <w:qFormat/>
    <w:uiPriority w:val="0"/>
    <w:pPr>
      <w:spacing w:line="360" w:lineRule="auto"/>
      <w:ind w:firstLine="507" w:firstLineChars="200"/>
    </w:pPr>
    <w:rPr>
      <w:rFonts w:ascii="Arial" w:hAnsi="Arial"/>
      <w:color w:val="000000"/>
    </w:rPr>
  </w:style>
  <w:style w:type="paragraph" w:styleId="14">
    <w:name w:val="Balloon Text"/>
    <w:basedOn w:val="1"/>
    <w:link w:val="35"/>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8">
    <w:name w:val="List"/>
    <w:basedOn w:val="1"/>
    <w:qFormat/>
    <w:uiPriority w:val="99"/>
    <w:pPr>
      <w:ind w:left="420" w:hanging="420"/>
    </w:pPr>
  </w:style>
  <w:style w:type="paragraph" w:styleId="19">
    <w:name w:val="toc 2"/>
    <w:basedOn w:val="1"/>
    <w:next w:val="1"/>
    <w:qFormat/>
    <w:uiPriority w:val="39"/>
    <w:pPr>
      <w:ind w:left="420" w:leftChars="200"/>
    </w:pPr>
  </w:style>
  <w:style w:type="paragraph" w:styleId="20">
    <w:name w:val="Normal (Web)"/>
    <w:basedOn w:val="1"/>
    <w:next w:val="1"/>
    <w:qFormat/>
    <w:uiPriority w:val="99"/>
    <w:pPr>
      <w:spacing w:before="100" w:beforeAutospacing="1" w:after="100" w:afterAutospacing="1"/>
      <w:jc w:val="left"/>
    </w:pPr>
    <w:rPr>
      <w:kern w:val="0"/>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uiPriority w:val="0"/>
    <w:rPr>
      <w:color w:val="771CAA"/>
      <w:u w:val="none"/>
    </w:rPr>
  </w:style>
  <w:style w:type="character" w:styleId="27">
    <w:name w:val="Emphasis"/>
    <w:basedOn w:val="24"/>
    <w:qFormat/>
    <w:uiPriority w:val="0"/>
    <w:rPr>
      <w:color w:val="F73131"/>
    </w:rPr>
  </w:style>
  <w:style w:type="character" w:styleId="28">
    <w:name w:val="Hyperlink"/>
    <w:qFormat/>
    <w:uiPriority w:val="99"/>
    <w:rPr>
      <w:color w:val="000000"/>
      <w:u w:val="none"/>
    </w:rPr>
  </w:style>
  <w:style w:type="character" w:styleId="29">
    <w:name w:val="HTML Cite"/>
    <w:basedOn w:val="24"/>
    <w:uiPriority w:val="0"/>
    <w:rPr>
      <w:color w:val="008000"/>
    </w:rPr>
  </w:style>
  <w:style w:type="paragraph" w:customStyle="1" w:styleId="30">
    <w:name w:val="一级条标题"/>
    <w:basedOn w:val="31"/>
    <w:next w:val="32"/>
    <w:qFormat/>
    <w:uiPriority w:val="0"/>
    <w:pPr>
      <w:spacing w:line="240" w:lineRule="auto"/>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3">
    <w:name w:val="标题 1 字符"/>
    <w:basedOn w:val="24"/>
    <w:link w:val="6"/>
    <w:qFormat/>
    <w:uiPriority w:val="0"/>
    <w:rPr>
      <w:b/>
      <w:bCs/>
      <w:kern w:val="44"/>
      <w:sz w:val="44"/>
      <w:szCs w:val="44"/>
    </w:rPr>
  </w:style>
  <w:style w:type="character" w:customStyle="1" w:styleId="34">
    <w:name w:val="标题 2 字符"/>
    <w:basedOn w:val="24"/>
    <w:link w:val="7"/>
    <w:semiHidden/>
    <w:qFormat/>
    <w:uiPriority w:val="0"/>
    <w:rPr>
      <w:rFonts w:asciiTheme="majorHAnsi" w:hAnsiTheme="majorHAnsi" w:eastAsiaTheme="majorEastAsia" w:cstheme="majorBidi"/>
      <w:b/>
      <w:bCs/>
      <w:kern w:val="2"/>
      <w:sz w:val="32"/>
      <w:szCs w:val="32"/>
    </w:rPr>
  </w:style>
  <w:style w:type="character" w:customStyle="1" w:styleId="35">
    <w:name w:val="批注框文本 字符"/>
    <w:basedOn w:val="24"/>
    <w:link w:val="14"/>
    <w:qFormat/>
    <w:uiPriority w:val="0"/>
    <w:rPr>
      <w:kern w:val="2"/>
      <w:sz w:val="18"/>
      <w:szCs w:val="18"/>
    </w:rPr>
  </w:style>
  <w:style w:type="character" w:customStyle="1" w:styleId="36">
    <w:name w:val="bookmark-item"/>
    <w:basedOn w:val="24"/>
    <w:qFormat/>
    <w:uiPriority w:val="0"/>
  </w:style>
  <w:style w:type="paragraph" w:customStyle="1" w:styleId="37">
    <w:name w:val="Table Paragraph"/>
    <w:basedOn w:val="1"/>
    <w:qFormat/>
    <w:uiPriority w:val="1"/>
    <w:rPr>
      <w:rFonts w:ascii="仿宋" w:hAnsi="仿宋" w:eastAsia="仿宋" w:cs="仿宋"/>
      <w:lang w:val="zh-CN" w:bidi="zh-CN"/>
    </w:rPr>
  </w:style>
  <w:style w:type="character" w:customStyle="1" w:styleId="38">
    <w:name w:val="font101"/>
    <w:basedOn w:val="24"/>
    <w:qFormat/>
    <w:uiPriority w:val="0"/>
    <w:rPr>
      <w:rFonts w:hint="default" w:ascii="Times New Roman" w:hAnsi="Times New Roman" w:cs="Times New Roman"/>
      <w:color w:val="000000"/>
      <w:sz w:val="22"/>
      <w:szCs w:val="22"/>
      <w:u w:val="none"/>
    </w:rPr>
  </w:style>
  <w:style w:type="character" w:customStyle="1" w:styleId="39">
    <w:name w:val="font51"/>
    <w:basedOn w:val="24"/>
    <w:qFormat/>
    <w:uiPriority w:val="0"/>
    <w:rPr>
      <w:rFonts w:hint="eastAsia" w:ascii="宋体" w:hAnsi="宋体" w:eastAsia="宋体" w:cs="宋体"/>
      <w:color w:val="000000"/>
      <w:sz w:val="22"/>
      <w:szCs w:val="22"/>
      <w:u w:val="none"/>
    </w:rPr>
  </w:style>
  <w:style w:type="character" w:customStyle="1" w:styleId="40">
    <w:name w:val="font81"/>
    <w:basedOn w:val="24"/>
    <w:qFormat/>
    <w:uiPriority w:val="0"/>
    <w:rPr>
      <w:rFonts w:hint="default" w:ascii="Times New Roman" w:hAnsi="Times New Roman" w:cs="Times New Roman"/>
      <w:color w:val="000000"/>
      <w:sz w:val="22"/>
      <w:szCs w:val="22"/>
      <w:u w:val="none"/>
    </w:rPr>
  </w:style>
  <w:style w:type="character" w:customStyle="1" w:styleId="41">
    <w:name w:val="font61"/>
    <w:basedOn w:val="24"/>
    <w:qFormat/>
    <w:uiPriority w:val="0"/>
    <w:rPr>
      <w:rFonts w:hint="eastAsia" w:ascii="宋体" w:hAnsi="宋体" w:eastAsia="宋体" w:cs="宋体"/>
      <w:color w:val="000000"/>
      <w:sz w:val="22"/>
      <w:szCs w:val="22"/>
      <w:u w:val="none"/>
    </w:rPr>
  </w:style>
  <w:style w:type="character" w:customStyle="1" w:styleId="42">
    <w:name w:val="font171"/>
    <w:basedOn w:val="24"/>
    <w:qFormat/>
    <w:uiPriority w:val="0"/>
    <w:rPr>
      <w:rFonts w:hint="eastAsia" w:ascii="宋体" w:hAnsi="宋体" w:eastAsia="宋体" w:cs="宋体"/>
      <w:color w:val="000000"/>
      <w:sz w:val="24"/>
      <w:szCs w:val="24"/>
      <w:u w:val="none"/>
    </w:rPr>
  </w:style>
  <w:style w:type="character" w:customStyle="1" w:styleId="43">
    <w:name w:val="font41"/>
    <w:basedOn w:val="24"/>
    <w:qFormat/>
    <w:uiPriority w:val="0"/>
    <w:rPr>
      <w:rFonts w:ascii="宋体" w:hAnsi="宋体" w:eastAsia="宋体" w:cs="宋体"/>
      <w:color w:val="000000"/>
      <w:sz w:val="16"/>
      <w:szCs w:val="16"/>
      <w:u w:val="none"/>
    </w:rPr>
  </w:style>
  <w:style w:type="character" w:customStyle="1" w:styleId="44">
    <w:name w:val="font21"/>
    <w:basedOn w:val="24"/>
    <w:qFormat/>
    <w:uiPriority w:val="0"/>
    <w:rPr>
      <w:rFonts w:hint="eastAsia" w:ascii="宋体" w:hAnsi="宋体" w:eastAsia="宋体" w:cs="宋体"/>
      <w:color w:val="000000"/>
      <w:sz w:val="16"/>
      <w:szCs w:val="16"/>
      <w:u w:val="none"/>
    </w:rPr>
  </w:style>
  <w:style w:type="character" w:customStyle="1" w:styleId="45">
    <w:name w:val="font01"/>
    <w:basedOn w:val="24"/>
    <w:qFormat/>
    <w:uiPriority w:val="0"/>
    <w:rPr>
      <w:rFonts w:ascii="Arial" w:hAnsi="Arial" w:cs="Arial"/>
      <w:color w:val="000000"/>
      <w:sz w:val="16"/>
      <w:szCs w:val="16"/>
      <w:u w:val="none"/>
    </w:rPr>
  </w:style>
  <w:style w:type="character" w:customStyle="1" w:styleId="46">
    <w:name w:val="font31"/>
    <w:basedOn w:val="24"/>
    <w:qFormat/>
    <w:uiPriority w:val="0"/>
    <w:rPr>
      <w:rFonts w:hint="eastAsia" w:ascii="宋体" w:hAnsi="宋体" w:eastAsia="宋体" w:cs="宋体"/>
      <w:color w:val="000000"/>
      <w:sz w:val="16"/>
      <w:szCs w:val="16"/>
      <w:u w:val="none"/>
    </w:rPr>
  </w:style>
  <w:style w:type="character" w:customStyle="1" w:styleId="47">
    <w:name w:val="hover"/>
    <w:basedOn w:val="24"/>
    <w:uiPriority w:val="0"/>
    <w:rPr>
      <w:color w:val="315EFB"/>
      <w:shd w:val="clear" w:fill="F0F3FD"/>
    </w:rPr>
  </w:style>
  <w:style w:type="character" w:customStyle="1" w:styleId="48">
    <w:name w:val="hover1"/>
    <w:basedOn w:val="24"/>
    <w:uiPriority w:val="0"/>
  </w:style>
  <w:style w:type="character" w:customStyle="1" w:styleId="49">
    <w:name w:val="hover2"/>
    <w:basedOn w:val="24"/>
    <w:uiPriority w:val="0"/>
    <w:rPr>
      <w:color w:val="315EFB"/>
    </w:rPr>
  </w:style>
  <w:style w:type="character" w:customStyle="1" w:styleId="50">
    <w:name w:val="c-icon30"/>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B5B13-ECCC-4EAC-881F-DA87FAB7CB7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108</Pages>
  <Words>46917</Words>
  <Characters>52675</Characters>
  <Lines>55</Lines>
  <Paragraphs>65</Paragraphs>
  <TotalTime>36</TotalTime>
  <ScaleCrop>false</ScaleCrop>
  <LinksUpToDate>false</LinksUpToDate>
  <CharactersWithSpaces>55513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2020-05-08T03:20:00Z</dcterms:created>
  <dc:creator>Administrator</dc:creator>
  <cp:lastModifiedBy>WPS_1502461188</cp:lastModifiedBy>
  <cp:lastPrinted>2022-02-28T15:43:00Z</cp:lastPrinted>
  <dcterms:modified xsi:type="dcterms:W3CDTF">2022-03-01T11:59:31Z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48F21092731B4DF28B39CB343CA18367</vt:lpwstr>
  </property>
</Properties>
</file>