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4" w:leftChars="-202" w:firstLine="1019" w:firstLineChars="141"/>
        <w:jc w:val="center"/>
        <w:rPr>
          <w:rFonts w:ascii="宋体" w:hAnsi="宋体"/>
          <w:b/>
          <w:sz w:val="72"/>
          <w:szCs w:val="72"/>
        </w:rPr>
      </w:pPr>
    </w:p>
    <w:p>
      <w:pPr>
        <w:ind w:left="-424" w:leftChars="-202" w:firstLine="1019" w:firstLineChars="141"/>
        <w:jc w:val="center"/>
        <w:rPr>
          <w:rFonts w:ascii="宋体" w:hAnsi="宋体"/>
          <w:b/>
          <w:sz w:val="72"/>
          <w:szCs w:val="72"/>
        </w:rPr>
      </w:pPr>
    </w:p>
    <w:p>
      <w:pPr>
        <w:ind w:left="-424" w:leftChars="-202" w:firstLine="1019" w:firstLineChars="141"/>
        <w:jc w:val="center"/>
        <w:rPr>
          <w:rFonts w:ascii="宋体" w:hAnsi="宋体"/>
          <w:b/>
          <w:sz w:val="72"/>
          <w:szCs w:val="72"/>
        </w:rPr>
      </w:pPr>
    </w:p>
    <w:p>
      <w:pPr>
        <w:ind w:left="-424" w:leftChars="-202" w:firstLine="1019" w:firstLineChars="141"/>
        <w:jc w:val="center"/>
        <w:rPr>
          <w:rFonts w:ascii="宋体" w:hAnsi="宋体"/>
          <w:b/>
          <w:sz w:val="72"/>
          <w:szCs w:val="72"/>
        </w:rPr>
      </w:pPr>
      <w:r>
        <w:rPr>
          <w:rFonts w:hint="eastAsia" w:ascii="宋体" w:hAnsi="宋体"/>
          <w:b/>
          <w:sz w:val="72"/>
          <w:szCs w:val="72"/>
        </w:rPr>
        <w:t>竞争性磋商文件</w:t>
      </w:r>
    </w:p>
    <w:p/>
    <w:p/>
    <w:p>
      <w:pPr>
        <w:ind w:left="-424" w:leftChars="-202" w:firstLine="1019" w:firstLineChars="141"/>
        <w:jc w:val="center"/>
        <w:rPr>
          <w:rFonts w:ascii="宋体" w:hAnsi="宋体"/>
          <w:b/>
          <w:sz w:val="72"/>
          <w:szCs w:val="72"/>
        </w:rPr>
      </w:pPr>
    </w:p>
    <w:p>
      <w:pPr>
        <w:ind w:left="2108" w:hanging="2108" w:hangingChars="700"/>
        <w:rPr>
          <w:rFonts w:asciiTheme="minorEastAsia" w:hAnsiTheme="minorEastAsia" w:eastAsiaTheme="minorEastAsia" w:cstheme="minorEastAsia"/>
          <w:b/>
          <w:bCs/>
          <w:color w:val="000000"/>
          <w:kern w:val="0"/>
          <w:sz w:val="30"/>
          <w:szCs w:val="30"/>
        </w:rPr>
      </w:pPr>
      <w:r>
        <w:rPr>
          <w:rFonts w:hint="eastAsia" w:asciiTheme="minorEastAsia" w:hAnsiTheme="minorEastAsia" w:eastAsiaTheme="minorEastAsia" w:cstheme="minorEastAsia"/>
          <w:b/>
          <w:bCs/>
          <w:color w:val="000000"/>
          <w:kern w:val="0"/>
          <w:sz w:val="30"/>
          <w:szCs w:val="30"/>
          <w:lang w:val="zh-CN"/>
        </w:rPr>
        <w:t>采购项目名称：</w:t>
      </w:r>
      <w:r>
        <w:rPr>
          <w:rFonts w:hint="eastAsia" w:asciiTheme="minorEastAsia" w:hAnsiTheme="minorEastAsia" w:eastAsiaTheme="minorEastAsia" w:cstheme="minorEastAsia"/>
          <w:b/>
          <w:bCs/>
          <w:color w:val="000000"/>
          <w:kern w:val="0"/>
          <w:sz w:val="30"/>
          <w:szCs w:val="30"/>
        </w:rPr>
        <w:t>青海大学万联楼改造项目</w:t>
      </w:r>
    </w:p>
    <w:p>
      <w:pPr>
        <w:autoSpaceDE w:val="0"/>
        <w:autoSpaceDN w:val="0"/>
        <w:adjustRightInd w:val="0"/>
        <w:spacing w:line="700" w:lineRule="exact"/>
        <w:jc w:val="left"/>
        <w:rPr>
          <w:rFonts w:asciiTheme="minorEastAsia" w:hAnsiTheme="minorEastAsia" w:eastAsiaTheme="minorEastAsia" w:cstheme="minorEastAsia"/>
          <w:b/>
          <w:bCs/>
          <w:color w:val="000000"/>
          <w:kern w:val="0"/>
          <w:sz w:val="30"/>
          <w:szCs w:val="30"/>
          <w:lang w:val="zh-CN"/>
        </w:rPr>
      </w:pPr>
      <w:r>
        <w:rPr>
          <w:rFonts w:hint="eastAsia" w:asciiTheme="minorEastAsia" w:hAnsiTheme="minorEastAsia" w:eastAsiaTheme="minorEastAsia" w:cstheme="minorEastAsia"/>
          <w:b/>
          <w:bCs/>
          <w:color w:val="000000"/>
          <w:kern w:val="0"/>
          <w:sz w:val="30"/>
          <w:szCs w:val="30"/>
          <w:lang w:val="zh-CN"/>
        </w:rPr>
        <w:t>采购项目编号：青海鑫融磋商（工程）2020-39</w:t>
      </w:r>
    </w:p>
    <w:p>
      <w:pPr>
        <w:autoSpaceDE w:val="0"/>
        <w:autoSpaceDN w:val="0"/>
        <w:adjustRightInd w:val="0"/>
        <w:ind w:left="2108" w:hanging="2108" w:hangingChars="700"/>
        <w:jc w:val="left"/>
        <w:rPr>
          <w:rFonts w:asciiTheme="minorEastAsia" w:hAnsiTheme="minorEastAsia" w:eastAsiaTheme="minorEastAsia" w:cstheme="minorEastAsia"/>
          <w:b/>
          <w:bCs/>
          <w:color w:val="000000"/>
          <w:kern w:val="0"/>
          <w:sz w:val="30"/>
          <w:szCs w:val="30"/>
          <w:lang w:val="zh-CN"/>
        </w:rPr>
      </w:pPr>
      <w:r>
        <w:rPr>
          <w:rFonts w:hint="eastAsia" w:asciiTheme="minorEastAsia" w:hAnsiTheme="minorEastAsia" w:eastAsiaTheme="minorEastAsia" w:cstheme="minorEastAsia"/>
          <w:b/>
          <w:bCs/>
          <w:color w:val="000000"/>
          <w:kern w:val="0"/>
          <w:sz w:val="30"/>
          <w:szCs w:val="30"/>
          <w:lang w:val="zh-CN"/>
        </w:rPr>
        <w:t>采</w:t>
      </w:r>
      <w:r>
        <w:rPr>
          <w:rFonts w:hint="eastAsia" w:asciiTheme="minorEastAsia" w:hAnsiTheme="minorEastAsia" w:eastAsiaTheme="minorEastAsia" w:cstheme="minorEastAsia"/>
          <w:b/>
          <w:bCs/>
          <w:color w:val="000000"/>
          <w:kern w:val="0"/>
          <w:sz w:val="30"/>
          <w:szCs w:val="30"/>
        </w:rPr>
        <w:t xml:space="preserve">   </w:t>
      </w:r>
      <w:r>
        <w:rPr>
          <w:rFonts w:hint="eastAsia" w:asciiTheme="minorEastAsia" w:hAnsiTheme="minorEastAsia" w:eastAsiaTheme="minorEastAsia" w:cstheme="minorEastAsia"/>
          <w:b/>
          <w:bCs/>
          <w:color w:val="000000"/>
          <w:kern w:val="0"/>
          <w:sz w:val="30"/>
          <w:szCs w:val="30"/>
          <w:lang w:val="zh-CN"/>
        </w:rPr>
        <w:t>购</w:t>
      </w:r>
      <w:r>
        <w:rPr>
          <w:rFonts w:hint="eastAsia" w:asciiTheme="minorEastAsia" w:hAnsiTheme="minorEastAsia" w:eastAsiaTheme="minorEastAsia" w:cstheme="minorEastAsia"/>
          <w:b/>
          <w:bCs/>
          <w:color w:val="000000"/>
          <w:kern w:val="0"/>
          <w:sz w:val="30"/>
          <w:szCs w:val="30"/>
        </w:rPr>
        <w:t xml:space="preserve">   </w:t>
      </w:r>
      <w:r>
        <w:rPr>
          <w:rFonts w:hint="eastAsia" w:asciiTheme="minorEastAsia" w:hAnsiTheme="minorEastAsia" w:eastAsiaTheme="minorEastAsia" w:cstheme="minorEastAsia"/>
          <w:b/>
          <w:bCs/>
          <w:color w:val="000000"/>
          <w:kern w:val="0"/>
          <w:sz w:val="30"/>
          <w:szCs w:val="30"/>
          <w:lang w:val="zh-CN"/>
        </w:rPr>
        <w:t>人：青海大学</w:t>
      </w:r>
    </w:p>
    <w:p>
      <w:pPr>
        <w:rPr>
          <w:lang w:val="zh-CN"/>
        </w:rPr>
      </w:pPr>
    </w:p>
    <w:p>
      <w:pPr>
        <w:autoSpaceDE w:val="0"/>
        <w:autoSpaceDN w:val="0"/>
        <w:adjustRightInd w:val="0"/>
        <w:spacing w:line="360" w:lineRule="auto"/>
        <w:jc w:val="center"/>
        <w:rPr>
          <w:rFonts w:asciiTheme="minorEastAsia" w:hAnsiTheme="minorEastAsia" w:eastAsiaTheme="minorEastAsia" w:cstheme="minorEastAsia"/>
          <w:b/>
          <w:bCs/>
          <w:color w:val="000000"/>
          <w:kern w:val="0"/>
          <w:sz w:val="30"/>
          <w:szCs w:val="30"/>
          <w:lang w:val="zh-CN"/>
        </w:rPr>
      </w:pPr>
      <w:r>
        <w:rPr>
          <w:rFonts w:hint="eastAsia" w:asciiTheme="minorEastAsia" w:hAnsiTheme="minorEastAsia" w:eastAsiaTheme="minorEastAsia" w:cstheme="minorEastAsia"/>
          <w:b/>
          <w:bCs/>
          <w:color w:val="000000"/>
          <w:kern w:val="0"/>
          <w:sz w:val="30"/>
          <w:szCs w:val="30"/>
          <w:lang w:val="zh-CN"/>
        </w:rPr>
        <w:t>青海鑫融工程项目管理咨询有限公司</w:t>
      </w:r>
    </w:p>
    <w:p>
      <w:pPr>
        <w:autoSpaceDE w:val="0"/>
        <w:autoSpaceDN w:val="0"/>
        <w:adjustRightInd w:val="0"/>
        <w:spacing w:line="360" w:lineRule="auto"/>
        <w:jc w:val="center"/>
        <w:rPr>
          <w:rFonts w:asciiTheme="minorEastAsia" w:hAnsiTheme="minorEastAsia" w:eastAsiaTheme="minorEastAsia" w:cstheme="minorEastAsia"/>
          <w:b/>
          <w:bCs/>
          <w:color w:val="000000"/>
          <w:kern w:val="0"/>
          <w:sz w:val="30"/>
          <w:szCs w:val="30"/>
          <w:lang w:val="zh-CN"/>
        </w:rPr>
      </w:pPr>
      <w:r>
        <w:rPr>
          <w:rFonts w:hint="eastAsia" w:asciiTheme="minorEastAsia" w:hAnsiTheme="minorEastAsia" w:eastAsiaTheme="minorEastAsia" w:cstheme="minorEastAsia"/>
          <w:b/>
          <w:bCs/>
          <w:color w:val="000000"/>
          <w:kern w:val="0"/>
          <w:sz w:val="30"/>
          <w:szCs w:val="30"/>
          <w:lang w:val="zh-CN"/>
        </w:rPr>
        <w:t>20</w:t>
      </w:r>
      <w:r>
        <w:rPr>
          <w:rFonts w:hint="eastAsia" w:asciiTheme="minorEastAsia" w:hAnsiTheme="minorEastAsia" w:eastAsiaTheme="minorEastAsia" w:cstheme="minorEastAsia"/>
          <w:b/>
          <w:bCs/>
          <w:color w:val="000000"/>
          <w:kern w:val="0"/>
          <w:sz w:val="30"/>
          <w:szCs w:val="30"/>
        </w:rPr>
        <w:t>20</w:t>
      </w:r>
      <w:r>
        <w:rPr>
          <w:rFonts w:hint="eastAsia" w:asciiTheme="minorEastAsia" w:hAnsiTheme="minorEastAsia" w:eastAsiaTheme="minorEastAsia" w:cstheme="minorEastAsia"/>
          <w:b/>
          <w:bCs/>
          <w:color w:val="000000"/>
          <w:kern w:val="0"/>
          <w:sz w:val="30"/>
          <w:szCs w:val="30"/>
          <w:lang w:val="zh-CN"/>
        </w:rPr>
        <w:t>年</w:t>
      </w:r>
      <w:r>
        <w:rPr>
          <w:rFonts w:hint="eastAsia" w:asciiTheme="minorEastAsia" w:hAnsiTheme="minorEastAsia" w:eastAsiaTheme="minorEastAsia" w:cstheme="minorEastAsia"/>
          <w:b/>
          <w:bCs/>
          <w:color w:val="000000"/>
          <w:kern w:val="0"/>
          <w:sz w:val="30"/>
          <w:szCs w:val="30"/>
        </w:rPr>
        <w:t>9</w:t>
      </w:r>
      <w:r>
        <w:rPr>
          <w:rFonts w:hint="eastAsia" w:asciiTheme="minorEastAsia" w:hAnsiTheme="minorEastAsia" w:eastAsiaTheme="minorEastAsia" w:cstheme="minorEastAsia"/>
          <w:b/>
          <w:bCs/>
          <w:color w:val="000000"/>
          <w:kern w:val="0"/>
          <w:sz w:val="30"/>
          <w:szCs w:val="30"/>
          <w:lang w:val="zh-CN"/>
        </w:rPr>
        <w:t>月</w:t>
      </w:r>
    </w:p>
    <w:p>
      <w:pPr>
        <w:rPr>
          <w:rFonts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sz w:val="44"/>
          <w:szCs w:val="44"/>
        </w:rPr>
        <w:sectPr>
          <w:headerReference r:id="rId3" w:type="default"/>
          <w:pgSz w:w="11906" w:h="16838"/>
          <w:pgMar w:top="1440" w:right="1800" w:bottom="1440" w:left="1800" w:header="851" w:footer="992" w:gutter="0"/>
          <w:pgBorders w:offsetFrom="page">
            <w:top w:val="single" w:color="auto" w:sz="18" w:space="24"/>
            <w:left w:val="single" w:color="auto" w:sz="18" w:space="24"/>
            <w:bottom w:val="single" w:color="auto" w:sz="18" w:space="24"/>
            <w:right w:val="single" w:color="auto" w:sz="18" w:space="24"/>
          </w:pgBorders>
          <w:cols w:space="425" w:num="1"/>
          <w:docGrid w:type="lines" w:linePitch="312" w:charSpace="0"/>
        </w:sectPr>
      </w:pPr>
    </w:p>
    <w:sdt>
      <w:sdtPr>
        <w:rPr>
          <w:rFonts w:ascii="宋体" w:hAnsi="宋体"/>
          <w:b/>
          <w:bCs/>
          <w:caps/>
          <w:sz w:val="36"/>
          <w:szCs w:val="36"/>
        </w:rPr>
        <w:id w:val="147478041"/>
        <w:docPartObj>
          <w:docPartGallery w:val="Table of Contents"/>
          <w:docPartUnique/>
        </w:docPartObj>
      </w:sdtPr>
      <w:sdtEndPr>
        <w:rPr>
          <w:rFonts w:hint="eastAsia" w:ascii="宋体" w:hAnsi="宋体" w:cs="宋体"/>
          <w:b/>
          <w:bCs/>
          <w:caps/>
          <w:sz w:val="36"/>
          <w:szCs w:val="24"/>
        </w:rPr>
      </w:sdtEndPr>
      <w:sdtContent>
        <w:p>
          <w:pPr>
            <w:jc w:val="center"/>
            <w:rPr>
              <w:b/>
              <w:bCs/>
              <w:sz w:val="36"/>
              <w:szCs w:val="36"/>
            </w:rPr>
          </w:pPr>
          <w:bookmarkStart w:id="0" w:name="_Toc19659_WPSOffice_Level1"/>
          <w:r>
            <w:rPr>
              <w:rFonts w:ascii="宋体" w:hAnsi="宋体"/>
              <w:b/>
              <w:bCs/>
              <w:sz w:val="36"/>
              <w:szCs w:val="36"/>
            </w:rPr>
            <w:t>目录</w:t>
          </w:r>
        </w:p>
        <w:p>
          <w:pPr>
            <w:pStyle w:val="18"/>
            <w:tabs>
              <w:tab w:val="right" w:leader="dot" w:pos="8306"/>
            </w:tabs>
            <w:ind w:firstLine="482"/>
            <w:rPr>
              <w:rFonts w:ascii="宋体" w:hAnsi="宋体" w:cs="宋体"/>
              <w:szCs w:val="24"/>
              <w:lang w:val="zh-CN"/>
            </w:rPr>
          </w:pPr>
          <w:r>
            <w:rPr>
              <w:rFonts w:hint="eastAsia" w:ascii="宋体" w:hAnsi="宋体" w:cs="宋体"/>
              <w:szCs w:val="24"/>
              <w:lang w:val="zh-CN"/>
            </w:rPr>
            <w:fldChar w:fldCharType="begin"/>
          </w:r>
          <w:r>
            <w:rPr>
              <w:rFonts w:hint="eastAsia" w:ascii="宋体" w:hAnsi="宋体" w:cs="宋体"/>
              <w:szCs w:val="24"/>
              <w:lang w:val="zh-CN"/>
            </w:rPr>
            <w:instrText xml:space="preserve">TOC \o "1-2" \h \u </w:instrText>
          </w:r>
          <w:r>
            <w:rPr>
              <w:rFonts w:hint="eastAsia" w:ascii="宋体" w:hAnsi="宋体" w:cs="宋体"/>
              <w:szCs w:val="24"/>
              <w:lang w:val="zh-CN"/>
            </w:rPr>
            <w:fldChar w:fldCharType="separate"/>
          </w:r>
          <w:r>
            <w:fldChar w:fldCharType="begin"/>
          </w:r>
          <w:r>
            <w:instrText xml:space="preserve"> HYPERLINK \l "_Toc32174" </w:instrText>
          </w:r>
          <w:r>
            <w:fldChar w:fldCharType="separate"/>
          </w:r>
          <w:r>
            <w:rPr>
              <w:rFonts w:hint="eastAsia" w:ascii="宋体" w:hAnsi="宋体" w:cs="宋体"/>
              <w:szCs w:val="24"/>
              <w:lang w:val="zh-CN"/>
            </w:rPr>
            <w:t>第一部分  磋商公告</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_Toc32174 </w:instrText>
          </w:r>
          <w:r>
            <w:rPr>
              <w:rFonts w:hint="eastAsia" w:ascii="宋体" w:hAnsi="宋体" w:cs="宋体"/>
              <w:szCs w:val="24"/>
              <w:lang w:val="zh-CN"/>
            </w:rPr>
            <w:fldChar w:fldCharType="separate"/>
          </w:r>
          <w:r>
            <w:rPr>
              <w:rFonts w:hint="eastAsia" w:ascii="宋体" w:hAnsi="宋体" w:cs="宋体"/>
              <w:szCs w:val="24"/>
              <w:lang w:val="zh-CN"/>
            </w:rPr>
            <w:t>1</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"_Toc16300" </w:instrText>
          </w:r>
          <w:r>
            <w:fldChar w:fldCharType="separate"/>
          </w:r>
          <w:r>
            <w:rPr>
              <w:rFonts w:hint="eastAsia" w:ascii="宋体" w:hAnsi="宋体" w:cs="宋体"/>
              <w:szCs w:val="24"/>
              <w:lang w:val="zh-CN"/>
            </w:rPr>
            <w:t>第二部分 供应商须知前附表</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_Toc16300 </w:instrText>
          </w:r>
          <w:r>
            <w:rPr>
              <w:rFonts w:hint="eastAsia" w:ascii="宋体" w:hAnsi="宋体" w:cs="宋体"/>
              <w:szCs w:val="24"/>
              <w:lang w:val="zh-CN"/>
            </w:rPr>
            <w:fldChar w:fldCharType="separate"/>
          </w:r>
          <w:r>
            <w:rPr>
              <w:rFonts w:hint="eastAsia" w:ascii="宋体" w:hAnsi="宋体" w:cs="宋体"/>
              <w:szCs w:val="24"/>
              <w:lang w:val="zh-CN"/>
            </w:rPr>
            <w:t>3</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"_Toc28839" </w:instrText>
          </w:r>
          <w:r>
            <w:fldChar w:fldCharType="separate"/>
          </w:r>
          <w:r>
            <w:rPr>
              <w:rFonts w:hint="eastAsia" w:ascii="宋体" w:hAnsi="宋体" w:cs="宋体"/>
              <w:szCs w:val="24"/>
              <w:lang w:val="zh-CN"/>
            </w:rPr>
            <w:t>第三部分  供应商须知</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_Toc28839 </w:instrText>
          </w:r>
          <w:r>
            <w:rPr>
              <w:rFonts w:hint="eastAsia" w:ascii="宋体" w:hAnsi="宋体" w:cs="宋体"/>
              <w:szCs w:val="24"/>
              <w:lang w:val="zh-CN"/>
            </w:rPr>
            <w:fldChar w:fldCharType="separate"/>
          </w:r>
          <w:r>
            <w:rPr>
              <w:rFonts w:hint="eastAsia" w:ascii="宋体" w:hAnsi="宋体" w:cs="宋体"/>
              <w:szCs w:val="24"/>
              <w:lang w:val="zh-CN"/>
            </w:rPr>
            <w:t>9</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rPr>
          </w:pPr>
          <w:r>
            <w:fldChar w:fldCharType="begin"/>
          </w:r>
          <w:r>
            <w:instrText xml:space="preserve"> HYPERLINK \l "_Toc30723" </w:instrText>
          </w:r>
          <w:r>
            <w:fldChar w:fldCharType="separate"/>
          </w:r>
          <w:r>
            <w:rPr>
              <w:rFonts w:hint="eastAsia" w:ascii="宋体" w:hAnsi="宋体" w:cs="宋体"/>
              <w:szCs w:val="24"/>
            </w:rPr>
            <w:t>一、说  明</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_Toc30723 </w:instrText>
          </w:r>
          <w:r>
            <w:rPr>
              <w:rFonts w:hint="eastAsia" w:ascii="宋体" w:hAnsi="宋体" w:cs="宋体"/>
              <w:szCs w:val="24"/>
            </w:rPr>
            <w:fldChar w:fldCharType="separate"/>
          </w:r>
          <w:r>
            <w:rPr>
              <w:rFonts w:hint="eastAsia" w:ascii="宋体" w:hAnsi="宋体" w:cs="宋体"/>
              <w:szCs w:val="24"/>
            </w:rPr>
            <w:t>9</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8306"/>
            </w:tabs>
            <w:ind w:firstLine="482"/>
            <w:rPr>
              <w:rFonts w:ascii="宋体" w:hAnsi="宋体" w:cs="宋体"/>
              <w:szCs w:val="24"/>
            </w:rPr>
          </w:pPr>
          <w:r>
            <w:fldChar w:fldCharType="begin"/>
          </w:r>
          <w:r>
            <w:instrText xml:space="preserve"> HYPERLINK \l "_Toc21876" </w:instrText>
          </w:r>
          <w:r>
            <w:fldChar w:fldCharType="separate"/>
          </w:r>
          <w:r>
            <w:rPr>
              <w:rFonts w:hint="eastAsia" w:ascii="宋体" w:hAnsi="宋体" w:cs="宋体"/>
              <w:szCs w:val="24"/>
            </w:rPr>
            <w:t>1.适用范围</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_Toc21876 </w:instrText>
          </w:r>
          <w:r>
            <w:rPr>
              <w:rFonts w:hint="eastAsia" w:ascii="宋体" w:hAnsi="宋体" w:cs="宋体"/>
              <w:szCs w:val="24"/>
            </w:rPr>
            <w:fldChar w:fldCharType="separate"/>
          </w:r>
          <w:r>
            <w:rPr>
              <w:rFonts w:hint="eastAsia" w:ascii="宋体" w:hAnsi="宋体" w:cs="宋体"/>
              <w:szCs w:val="24"/>
            </w:rPr>
            <w:t>9</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"_Toc23358" </w:instrText>
          </w:r>
          <w:r>
            <w:fldChar w:fldCharType="separate"/>
          </w:r>
          <w:r>
            <w:rPr>
              <w:rFonts w:hint="eastAsia" w:ascii="宋体" w:hAnsi="宋体" w:cs="宋体"/>
              <w:szCs w:val="24"/>
              <w:lang w:val="zh-CN"/>
            </w:rPr>
            <w:t>2.采购方式、合格的供应商</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_Toc23358 </w:instrText>
          </w:r>
          <w:r>
            <w:rPr>
              <w:rFonts w:hint="eastAsia" w:ascii="宋体" w:hAnsi="宋体" w:cs="宋体"/>
              <w:szCs w:val="24"/>
              <w:lang w:val="zh-CN"/>
            </w:rPr>
            <w:fldChar w:fldCharType="separate"/>
          </w:r>
          <w:r>
            <w:rPr>
              <w:rFonts w:hint="eastAsia" w:ascii="宋体" w:hAnsi="宋体" w:cs="宋体"/>
              <w:szCs w:val="24"/>
              <w:lang w:val="zh-CN"/>
            </w:rPr>
            <w:t>9</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"_Toc17787" </w:instrText>
          </w:r>
          <w:r>
            <w:fldChar w:fldCharType="separate"/>
          </w:r>
          <w:r>
            <w:rPr>
              <w:rFonts w:hint="eastAsia" w:ascii="宋体" w:hAnsi="宋体" w:cs="宋体"/>
              <w:szCs w:val="24"/>
              <w:lang w:val="zh-CN"/>
            </w:rPr>
            <w:t>3.磋商费用</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_Toc17787 </w:instrText>
          </w:r>
          <w:r>
            <w:rPr>
              <w:rFonts w:hint="eastAsia" w:ascii="宋体" w:hAnsi="宋体" w:cs="宋体"/>
              <w:szCs w:val="24"/>
              <w:lang w:val="zh-CN"/>
            </w:rPr>
            <w:fldChar w:fldCharType="separate"/>
          </w:r>
          <w:r>
            <w:rPr>
              <w:rFonts w:hint="eastAsia" w:ascii="宋体" w:hAnsi="宋体" w:cs="宋体"/>
              <w:szCs w:val="24"/>
              <w:lang w:val="zh-CN"/>
            </w:rPr>
            <w:t>9</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"_Toc21031" </w:instrText>
          </w:r>
          <w:r>
            <w:fldChar w:fldCharType="separate"/>
          </w:r>
          <w:r>
            <w:rPr>
              <w:rFonts w:hint="eastAsia" w:ascii="宋体" w:hAnsi="宋体" w:cs="宋体"/>
              <w:szCs w:val="24"/>
              <w:lang w:val="zh-CN"/>
            </w:rPr>
            <w:t>二、磋商文件说明</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_Toc21031 </w:instrText>
          </w:r>
          <w:r>
            <w:rPr>
              <w:rFonts w:hint="eastAsia" w:ascii="宋体" w:hAnsi="宋体" w:cs="宋体"/>
              <w:szCs w:val="24"/>
              <w:lang w:val="zh-CN"/>
            </w:rPr>
            <w:fldChar w:fldCharType="separate"/>
          </w:r>
          <w:r>
            <w:rPr>
              <w:rFonts w:hint="eastAsia" w:ascii="宋体" w:hAnsi="宋体" w:cs="宋体"/>
              <w:szCs w:val="24"/>
              <w:lang w:val="zh-CN"/>
            </w:rPr>
            <w:t>9</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"_Toc20331" </w:instrText>
          </w:r>
          <w:r>
            <w:fldChar w:fldCharType="separate"/>
          </w:r>
          <w:r>
            <w:rPr>
              <w:rFonts w:hint="eastAsia" w:ascii="宋体" w:hAnsi="宋体" w:cs="宋体"/>
              <w:szCs w:val="24"/>
              <w:lang w:val="zh-CN"/>
            </w:rPr>
            <w:t>4.磋商文件的构成</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_Toc20331 </w:instrText>
          </w:r>
          <w:r>
            <w:rPr>
              <w:rFonts w:hint="eastAsia" w:ascii="宋体" w:hAnsi="宋体" w:cs="宋体"/>
              <w:szCs w:val="24"/>
              <w:lang w:val="zh-CN"/>
            </w:rPr>
            <w:fldChar w:fldCharType="separate"/>
          </w:r>
          <w:r>
            <w:rPr>
              <w:rFonts w:hint="eastAsia" w:ascii="宋体" w:hAnsi="宋体" w:cs="宋体"/>
              <w:szCs w:val="24"/>
              <w:lang w:val="zh-CN"/>
            </w:rPr>
            <w:t>9</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"_Toc7542" </w:instrText>
          </w:r>
          <w:r>
            <w:fldChar w:fldCharType="separate"/>
          </w:r>
          <w:r>
            <w:rPr>
              <w:rFonts w:hint="eastAsia" w:ascii="宋体" w:hAnsi="宋体" w:cs="宋体"/>
              <w:szCs w:val="24"/>
              <w:lang w:val="zh-CN"/>
            </w:rPr>
            <w:t>5.磋商文件的质疑</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_Toc7542 </w:instrText>
          </w:r>
          <w:r>
            <w:rPr>
              <w:rFonts w:hint="eastAsia" w:ascii="宋体" w:hAnsi="宋体" w:cs="宋体"/>
              <w:szCs w:val="24"/>
              <w:lang w:val="zh-CN"/>
            </w:rPr>
            <w:fldChar w:fldCharType="separate"/>
          </w:r>
          <w:r>
            <w:rPr>
              <w:rFonts w:hint="eastAsia" w:ascii="宋体" w:hAnsi="宋体" w:cs="宋体"/>
              <w:szCs w:val="24"/>
              <w:lang w:val="zh-CN"/>
            </w:rPr>
            <w:t>10</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"_Toc4799" </w:instrText>
          </w:r>
          <w:r>
            <w:fldChar w:fldCharType="separate"/>
          </w:r>
          <w:r>
            <w:rPr>
              <w:rFonts w:hint="eastAsia" w:ascii="宋体" w:hAnsi="宋体" w:cs="宋体"/>
              <w:szCs w:val="24"/>
              <w:lang w:val="zh-CN"/>
            </w:rPr>
            <w:t>6.磋商文件的澄清、修改</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_Toc4799 </w:instrText>
          </w:r>
          <w:r>
            <w:rPr>
              <w:rFonts w:hint="eastAsia" w:ascii="宋体" w:hAnsi="宋体" w:cs="宋体"/>
              <w:szCs w:val="24"/>
              <w:lang w:val="zh-CN"/>
            </w:rPr>
            <w:fldChar w:fldCharType="separate"/>
          </w:r>
          <w:r>
            <w:rPr>
              <w:rFonts w:hint="eastAsia" w:ascii="宋体" w:hAnsi="宋体" w:cs="宋体"/>
              <w:szCs w:val="24"/>
              <w:lang w:val="zh-CN"/>
            </w:rPr>
            <w:t>10</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"_Toc16855" </w:instrText>
          </w:r>
          <w:r>
            <w:fldChar w:fldCharType="separate"/>
          </w:r>
          <w:r>
            <w:rPr>
              <w:rFonts w:hint="eastAsia" w:ascii="宋体" w:hAnsi="宋体" w:cs="宋体"/>
              <w:szCs w:val="24"/>
              <w:lang w:val="zh-CN"/>
            </w:rPr>
            <w:t>三、磋商响应文件的编制</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_Toc16855 </w:instrText>
          </w:r>
          <w:r>
            <w:rPr>
              <w:rFonts w:hint="eastAsia" w:ascii="宋体" w:hAnsi="宋体" w:cs="宋体"/>
              <w:szCs w:val="24"/>
              <w:lang w:val="zh-CN"/>
            </w:rPr>
            <w:fldChar w:fldCharType="separate"/>
          </w:r>
          <w:r>
            <w:rPr>
              <w:rFonts w:hint="eastAsia" w:ascii="宋体" w:hAnsi="宋体" w:cs="宋体"/>
              <w:szCs w:val="24"/>
              <w:lang w:val="zh-CN"/>
            </w:rPr>
            <w:t>10</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"_Toc16421" </w:instrText>
          </w:r>
          <w:r>
            <w:fldChar w:fldCharType="separate"/>
          </w:r>
          <w:r>
            <w:rPr>
              <w:rFonts w:hint="eastAsia" w:ascii="宋体" w:hAnsi="宋体" w:cs="宋体"/>
              <w:szCs w:val="24"/>
              <w:lang w:val="zh-CN"/>
            </w:rPr>
            <w:t>7.响应文件的语言及度量衡单位</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_Toc16421 </w:instrText>
          </w:r>
          <w:r>
            <w:rPr>
              <w:rFonts w:hint="eastAsia" w:ascii="宋体" w:hAnsi="宋体" w:cs="宋体"/>
              <w:szCs w:val="24"/>
              <w:lang w:val="zh-CN"/>
            </w:rPr>
            <w:fldChar w:fldCharType="separate"/>
          </w:r>
          <w:r>
            <w:rPr>
              <w:rFonts w:hint="eastAsia" w:ascii="宋体" w:hAnsi="宋体" w:cs="宋体"/>
              <w:szCs w:val="24"/>
              <w:lang w:val="zh-CN"/>
            </w:rPr>
            <w:t>10</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"_Toc14635" </w:instrText>
          </w:r>
          <w:r>
            <w:fldChar w:fldCharType="separate"/>
          </w:r>
          <w:r>
            <w:rPr>
              <w:rFonts w:hint="eastAsia" w:ascii="宋体" w:hAnsi="宋体" w:cs="宋体"/>
              <w:szCs w:val="24"/>
              <w:lang w:val="zh-CN"/>
            </w:rPr>
            <w:t>8.投标报价及币种</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_Toc14635 </w:instrText>
          </w:r>
          <w:r>
            <w:rPr>
              <w:rFonts w:hint="eastAsia" w:ascii="宋体" w:hAnsi="宋体" w:cs="宋体"/>
              <w:szCs w:val="24"/>
              <w:lang w:val="zh-CN"/>
            </w:rPr>
            <w:fldChar w:fldCharType="separate"/>
          </w:r>
          <w:r>
            <w:rPr>
              <w:rFonts w:hint="eastAsia" w:ascii="宋体" w:hAnsi="宋体" w:cs="宋体"/>
              <w:szCs w:val="24"/>
              <w:lang w:val="zh-CN"/>
            </w:rPr>
            <w:t>11</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"_Toc28221" </w:instrText>
          </w:r>
          <w:r>
            <w:fldChar w:fldCharType="separate"/>
          </w:r>
          <w:r>
            <w:rPr>
              <w:rFonts w:hint="eastAsia" w:ascii="宋体" w:hAnsi="宋体" w:cs="宋体"/>
              <w:szCs w:val="24"/>
              <w:lang w:val="zh-CN"/>
            </w:rPr>
            <w:t>9.磋商保证金</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_Toc28221 </w:instrText>
          </w:r>
          <w:r>
            <w:rPr>
              <w:rFonts w:hint="eastAsia" w:ascii="宋体" w:hAnsi="宋体" w:cs="宋体"/>
              <w:szCs w:val="24"/>
              <w:lang w:val="zh-CN"/>
            </w:rPr>
            <w:fldChar w:fldCharType="separate"/>
          </w:r>
          <w:r>
            <w:rPr>
              <w:rFonts w:hint="eastAsia" w:ascii="宋体" w:hAnsi="宋体" w:cs="宋体"/>
              <w:szCs w:val="24"/>
              <w:lang w:val="zh-CN"/>
            </w:rPr>
            <w:t>11</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"_Toc15046" </w:instrText>
          </w:r>
          <w:r>
            <w:fldChar w:fldCharType="separate"/>
          </w:r>
          <w:r>
            <w:rPr>
              <w:rFonts w:hint="eastAsia" w:ascii="宋体" w:hAnsi="宋体" w:cs="宋体"/>
              <w:szCs w:val="24"/>
              <w:lang w:val="zh-CN"/>
            </w:rPr>
            <w:t>10.有效期</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_Toc15046 </w:instrText>
          </w:r>
          <w:r>
            <w:rPr>
              <w:rFonts w:hint="eastAsia" w:ascii="宋体" w:hAnsi="宋体" w:cs="宋体"/>
              <w:szCs w:val="24"/>
              <w:lang w:val="zh-CN"/>
            </w:rPr>
            <w:fldChar w:fldCharType="separate"/>
          </w:r>
          <w:r>
            <w:rPr>
              <w:rFonts w:hint="eastAsia" w:ascii="宋体" w:hAnsi="宋体" w:cs="宋体"/>
              <w:szCs w:val="24"/>
              <w:lang w:val="zh-CN"/>
            </w:rPr>
            <w:t>11</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"_Toc15038" </w:instrText>
          </w:r>
          <w:r>
            <w:fldChar w:fldCharType="separate"/>
          </w:r>
          <w:r>
            <w:rPr>
              <w:rFonts w:hint="eastAsia" w:ascii="宋体" w:hAnsi="宋体" w:cs="宋体"/>
              <w:szCs w:val="24"/>
              <w:lang w:val="zh-CN"/>
            </w:rPr>
            <w:t>11.文件构成</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_Toc15038 </w:instrText>
          </w:r>
          <w:r>
            <w:rPr>
              <w:rFonts w:hint="eastAsia" w:ascii="宋体" w:hAnsi="宋体" w:cs="宋体"/>
              <w:szCs w:val="24"/>
              <w:lang w:val="zh-CN"/>
            </w:rPr>
            <w:fldChar w:fldCharType="separate"/>
          </w:r>
          <w:r>
            <w:rPr>
              <w:rFonts w:hint="eastAsia" w:ascii="宋体" w:hAnsi="宋体" w:cs="宋体"/>
              <w:szCs w:val="24"/>
              <w:lang w:val="zh-CN"/>
            </w:rPr>
            <w:t>11</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"_Toc23073" </w:instrText>
          </w:r>
          <w:r>
            <w:fldChar w:fldCharType="separate"/>
          </w:r>
          <w:r>
            <w:rPr>
              <w:rFonts w:hint="eastAsia" w:ascii="宋体" w:hAnsi="宋体" w:cs="宋体"/>
              <w:szCs w:val="24"/>
              <w:lang w:val="zh-CN"/>
            </w:rPr>
            <w:t>（1） 响应文件封面</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_Toc23073 </w:instrText>
          </w:r>
          <w:r>
            <w:rPr>
              <w:rFonts w:hint="eastAsia" w:ascii="宋体" w:hAnsi="宋体" w:cs="宋体"/>
              <w:szCs w:val="24"/>
              <w:lang w:val="zh-CN"/>
            </w:rPr>
            <w:fldChar w:fldCharType="separate"/>
          </w:r>
          <w:r>
            <w:rPr>
              <w:rFonts w:hint="eastAsia" w:ascii="宋体" w:hAnsi="宋体" w:cs="宋体"/>
              <w:szCs w:val="24"/>
              <w:lang w:val="zh-CN"/>
            </w:rPr>
            <w:t>11</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"_Toc130" </w:instrText>
          </w:r>
          <w:r>
            <w:fldChar w:fldCharType="separate"/>
          </w:r>
          <w:r>
            <w:rPr>
              <w:rFonts w:hint="eastAsia" w:ascii="宋体" w:hAnsi="宋体" w:cs="宋体"/>
              <w:szCs w:val="24"/>
              <w:lang w:val="zh-CN"/>
            </w:rPr>
            <w:t>12.响应文件编印和签署</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_Toc130 </w:instrText>
          </w:r>
          <w:r>
            <w:rPr>
              <w:rFonts w:hint="eastAsia" w:ascii="宋体" w:hAnsi="宋体" w:cs="宋体"/>
              <w:szCs w:val="24"/>
              <w:lang w:val="zh-CN"/>
            </w:rPr>
            <w:fldChar w:fldCharType="separate"/>
          </w:r>
          <w:r>
            <w:rPr>
              <w:rFonts w:hint="eastAsia" w:ascii="宋体" w:hAnsi="宋体" w:cs="宋体"/>
              <w:szCs w:val="24"/>
              <w:lang w:val="zh-CN"/>
            </w:rPr>
            <w:t>12</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"_Toc28211" </w:instrText>
          </w:r>
          <w:r>
            <w:fldChar w:fldCharType="separate"/>
          </w:r>
          <w:r>
            <w:rPr>
              <w:rFonts w:hint="eastAsia" w:ascii="宋体" w:hAnsi="宋体" w:cs="宋体"/>
              <w:szCs w:val="24"/>
              <w:lang w:val="zh-CN"/>
            </w:rPr>
            <w:t>四、响应文件的递交</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_Toc28211 </w:instrText>
          </w:r>
          <w:r>
            <w:rPr>
              <w:rFonts w:hint="eastAsia" w:ascii="宋体" w:hAnsi="宋体" w:cs="宋体"/>
              <w:szCs w:val="24"/>
              <w:lang w:val="zh-CN"/>
            </w:rPr>
            <w:fldChar w:fldCharType="separate"/>
          </w:r>
          <w:r>
            <w:rPr>
              <w:rFonts w:hint="eastAsia" w:ascii="宋体" w:hAnsi="宋体" w:cs="宋体"/>
              <w:szCs w:val="24"/>
              <w:lang w:val="zh-CN"/>
            </w:rPr>
            <w:t>12</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"_Toc30544" </w:instrText>
          </w:r>
          <w:r>
            <w:fldChar w:fldCharType="separate"/>
          </w:r>
          <w:r>
            <w:rPr>
              <w:rFonts w:hint="eastAsia" w:ascii="宋体" w:hAnsi="宋体" w:cs="宋体"/>
              <w:szCs w:val="24"/>
              <w:lang w:val="zh-CN"/>
            </w:rPr>
            <w:t>13响应文件的密封和标记</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_Toc30544 </w:instrText>
          </w:r>
          <w:r>
            <w:rPr>
              <w:rFonts w:hint="eastAsia" w:ascii="宋体" w:hAnsi="宋体" w:cs="宋体"/>
              <w:szCs w:val="24"/>
              <w:lang w:val="zh-CN"/>
            </w:rPr>
            <w:fldChar w:fldCharType="separate"/>
          </w:r>
          <w:r>
            <w:rPr>
              <w:rFonts w:hint="eastAsia" w:ascii="宋体" w:hAnsi="宋体" w:cs="宋体"/>
              <w:szCs w:val="24"/>
              <w:lang w:val="zh-CN"/>
            </w:rPr>
            <w:t>12</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"_Toc18266" </w:instrText>
          </w:r>
          <w:r>
            <w:fldChar w:fldCharType="separate"/>
          </w:r>
          <w:r>
            <w:rPr>
              <w:rFonts w:hint="eastAsia" w:ascii="宋体" w:hAnsi="宋体" w:cs="宋体"/>
              <w:szCs w:val="24"/>
              <w:lang w:val="zh-CN"/>
            </w:rPr>
            <w:t>14.提交响应文件截止时间、地点</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_Toc18266 </w:instrText>
          </w:r>
          <w:r>
            <w:rPr>
              <w:rFonts w:hint="eastAsia" w:ascii="宋体" w:hAnsi="宋体" w:cs="宋体"/>
              <w:szCs w:val="24"/>
              <w:lang w:val="zh-CN"/>
            </w:rPr>
            <w:fldChar w:fldCharType="separate"/>
          </w:r>
          <w:r>
            <w:rPr>
              <w:rFonts w:hint="eastAsia" w:ascii="宋体" w:hAnsi="宋体" w:cs="宋体"/>
              <w:szCs w:val="24"/>
              <w:lang w:val="zh-CN"/>
            </w:rPr>
            <w:t>13</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"_Toc12106" </w:instrText>
          </w:r>
          <w:r>
            <w:fldChar w:fldCharType="separate"/>
          </w:r>
          <w:r>
            <w:rPr>
              <w:rFonts w:hint="eastAsia" w:ascii="宋体" w:hAnsi="宋体" w:cs="宋体"/>
              <w:szCs w:val="24"/>
              <w:lang w:val="zh-CN"/>
            </w:rPr>
            <w:t>五、磋商过程</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_Toc12106 </w:instrText>
          </w:r>
          <w:r>
            <w:rPr>
              <w:rFonts w:hint="eastAsia" w:ascii="宋体" w:hAnsi="宋体" w:cs="宋体"/>
              <w:szCs w:val="24"/>
              <w:lang w:val="zh-CN"/>
            </w:rPr>
            <w:fldChar w:fldCharType="separate"/>
          </w:r>
          <w:r>
            <w:rPr>
              <w:rFonts w:hint="eastAsia" w:ascii="宋体" w:hAnsi="宋体" w:cs="宋体"/>
              <w:szCs w:val="24"/>
              <w:lang w:val="zh-CN"/>
            </w:rPr>
            <w:t>13</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"_Toc24770" </w:instrText>
          </w:r>
          <w:r>
            <w:fldChar w:fldCharType="separate"/>
          </w:r>
          <w:r>
            <w:rPr>
              <w:rFonts w:hint="eastAsia" w:ascii="宋体" w:hAnsi="宋体" w:cs="宋体"/>
              <w:szCs w:val="24"/>
              <w:lang w:val="zh-CN"/>
            </w:rPr>
            <w:t>15.磋商过程</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_Toc24770 </w:instrText>
          </w:r>
          <w:r>
            <w:rPr>
              <w:rFonts w:hint="eastAsia" w:ascii="宋体" w:hAnsi="宋体" w:cs="宋体"/>
              <w:szCs w:val="24"/>
              <w:lang w:val="zh-CN"/>
            </w:rPr>
            <w:fldChar w:fldCharType="separate"/>
          </w:r>
          <w:r>
            <w:rPr>
              <w:rFonts w:hint="eastAsia" w:ascii="宋体" w:hAnsi="宋体" w:cs="宋体"/>
              <w:szCs w:val="24"/>
              <w:lang w:val="zh-CN"/>
            </w:rPr>
            <w:t>13</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"_Toc31794" </w:instrText>
          </w:r>
          <w:r>
            <w:fldChar w:fldCharType="separate"/>
          </w:r>
          <w:r>
            <w:rPr>
              <w:rFonts w:hint="eastAsia" w:ascii="宋体" w:hAnsi="宋体" w:cs="宋体"/>
              <w:szCs w:val="24"/>
              <w:lang w:val="zh-CN"/>
            </w:rPr>
            <w:t>六、磋商程序及方法</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_Toc31794 </w:instrText>
          </w:r>
          <w:r>
            <w:rPr>
              <w:rFonts w:hint="eastAsia" w:ascii="宋体" w:hAnsi="宋体" w:cs="宋体"/>
              <w:szCs w:val="24"/>
              <w:lang w:val="zh-CN"/>
            </w:rPr>
            <w:fldChar w:fldCharType="separate"/>
          </w:r>
          <w:r>
            <w:rPr>
              <w:rFonts w:hint="eastAsia" w:ascii="宋体" w:hAnsi="宋体" w:cs="宋体"/>
              <w:szCs w:val="24"/>
              <w:lang w:val="zh-CN"/>
            </w:rPr>
            <w:t>13</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"_Toc5955" </w:instrText>
          </w:r>
          <w:r>
            <w:fldChar w:fldCharType="separate"/>
          </w:r>
          <w:r>
            <w:rPr>
              <w:rFonts w:hint="eastAsia" w:ascii="宋体" w:hAnsi="宋体" w:cs="宋体"/>
              <w:szCs w:val="24"/>
              <w:lang w:val="zh-CN"/>
            </w:rPr>
            <w:t>16.磋商小组</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_Toc5955 </w:instrText>
          </w:r>
          <w:r>
            <w:rPr>
              <w:rFonts w:hint="eastAsia" w:ascii="宋体" w:hAnsi="宋体" w:cs="宋体"/>
              <w:szCs w:val="24"/>
              <w:lang w:val="zh-CN"/>
            </w:rPr>
            <w:fldChar w:fldCharType="separate"/>
          </w:r>
          <w:r>
            <w:rPr>
              <w:rFonts w:hint="eastAsia" w:ascii="宋体" w:hAnsi="宋体" w:cs="宋体"/>
              <w:szCs w:val="24"/>
              <w:lang w:val="zh-CN"/>
            </w:rPr>
            <w:t>13</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"_Toc18207" </w:instrText>
          </w:r>
          <w:r>
            <w:fldChar w:fldCharType="separate"/>
          </w:r>
          <w:r>
            <w:rPr>
              <w:rFonts w:hint="eastAsia" w:ascii="宋体" w:hAnsi="宋体" w:cs="宋体"/>
              <w:szCs w:val="24"/>
              <w:lang w:val="zh-CN"/>
            </w:rPr>
            <w:t>17.磋商程序</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_Toc18207 </w:instrText>
          </w:r>
          <w:r>
            <w:rPr>
              <w:rFonts w:hint="eastAsia" w:ascii="宋体" w:hAnsi="宋体" w:cs="宋体"/>
              <w:szCs w:val="24"/>
              <w:lang w:val="zh-CN"/>
            </w:rPr>
            <w:fldChar w:fldCharType="separate"/>
          </w:r>
          <w:r>
            <w:rPr>
              <w:rFonts w:hint="eastAsia" w:ascii="宋体" w:hAnsi="宋体" w:cs="宋体"/>
              <w:szCs w:val="24"/>
              <w:lang w:val="zh-CN"/>
            </w:rPr>
            <w:t>14</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"_Toc6352" </w:instrText>
          </w:r>
          <w:r>
            <w:fldChar w:fldCharType="separate"/>
          </w:r>
          <w:r>
            <w:rPr>
              <w:rFonts w:hint="eastAsia" w:ascii="宋体" w:hAnsi="宋体" w:cs="宋体"/>
              <w:szCs w:val="24"/>
              <w:lang w:val="zh-CN"/>
            </w:rPr>
            <w:t>18.评审办法</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_Toc6352 </w:instrText>
          </w:r>
          <w:r>
            <w:rPr>
              <w:rFonts w:hint="eastAsia" w:ascii="宋体" w:hAnsi="宋体" w:cs="宋体"/>
              <w:szCs w:val="24"/>
              <w:lang w:val="zh-CN"/>
            </w:rPr>
            <w:fldChar w:fldCharType="separate"/>
          </w:r>
          <w:r>
            <w:rPr>
              <w:rFonts w:hint="eastAsia" w:ascii="宋体" w:hAnsi="宋体" w:cs="宋体"/>
              <w:szCs w:val="24"/>
              <w:lang w:val="zh-CN"/>
            </w:rPr>
            <w:t>15</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"_Toc4765" </w:instrText>
          </w:r>
          <w:r>
            <w:fldChar w:fldCharType="separate"/>
          </w:r>
          <w:r>
            <w:rPr>
              <w:rFonts w:hint="eastAsia" w:ascii="宋体" w:hAnsi="宋体" w:cs="宋体"/>
              <w:szCs w:val="24"/>
              <w:lang w:val="zh-CN"/>
            </w:rPr>
            <w:t>七、确定成交供应商</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_Toc4765 </w:instrText>
          </w:r>
          <w:r>
            <w:rPr>
              <w:rFonts w:hint="eastAsia" w:ascii="宋体" w:hAnsi="宋体" w:cs="宋体"/>
              <w:szCs w:val="24"/>
              <w:lang w:val="zh-CN"/>
            </w:rPr>
            <w:fldChar w:fldCharType="separate"/>
          </w:r>
          <w:r>
            <w:rPr>
              <w:rFonts w:hint="eastAsia" w:ascii="宋体" w:hAnsi="宋体" w:cs="宋体"/>
              <w:szCs w:val="24"/>
              <w:lang w:val="zh-CN"/>
            </w:rPr>
            <w:t>17</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"_Toc24707" </w:instrText>
          </w:r>
          <w:r>
            <w:fldChar w:fldCharType="separate"/>
          </w:r>
          <w:r>
            <w:rPr>
              <w:rFonts w:hint="eastAsia" w:ascii="宋体" w:hAnsi="宋体" w:cs="宋体"/>
              <w:szCs w:val="24"/>
              <w:lang w:val="zh-CN"/>
            </w:rPr>
            <w:t>19.推荐并确定成交供应商</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_Toc24707 </w:instrText>
          </w:r>
          <w:r>
            <w:rPr>
              <w:rFonts w:hint="eastAsia" w:ascii="宋体" w:hAnsi="宋体" w:cs="宋体"/>
              <w:szCs w:val="24"/>
              <w:lang w:val="zh-CN"/>
            </w:rPr>
            <w:fldChar w:fldCharType="separate"/>
          </w:r>
          <w:r>
            <w:rPr>
              <w:rFonts w:hint="eastAsia" w:ascii="宋体" w:hAnsi="宋体" w:cs="宋体"/>
              <w:szCs w:val="24"/>
              <w:lang w:val="zh-CN"/>
            </w:rPr>
            <w:t>17</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"_Toc27933" </w:instrText>
          </w:r>
          <w:r>
            <w:fldChar w:fldCharType="separate"/>
          </w:r>
          <w:r>
            <w:rPr>
              <w:rFonts w:hint="eastAsia" w:ascii="宋体" w:hAnsi="宋体" w:cs="宋体"/>
              <w:szCs w:val="24"/>
              <w:lang w:val="zh-CN"/>
            </w:rPr>
            <w:t>20.成交通知</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_Toc27933 </w:instrText>
          </w:r>
          <w:r>
            <w:rPr>
              <w:rFonts w:hint="eastAsia" w:ascii="宋体" w:hAnsi="宋体" w:cs="宋体"/>
              <w:szCs w:val="24"/>
              <w:lang w:val="zh-CN"/>
            </w:rPr>
            <w:fldChar w:fldCharType="separate"/>
          </w:r>
          <w:r>
            <w:rPr>
              <w:rFonts w:hint="eastAsia" w:ascii="宋体" w:hAnsi="宋体" w:cs="宋体"/>
              <w:szCs w:val="24"/>
              <w:lang w:val="zh-CN"/>
            </w:rPr>
            <w:t>17</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"_Toc11228" </w:instrText>
          </w:r>
          <w:r>
            <w:fldChar w:fldCharType="separate"/>
          </w:r>
          <w:r>
            <w:rPr>
              <w:rFonts w:hint="eastAsia" w:ascii="宋体" w:hAnsi="宋体" w:cs="宋体"/>
              <w:szCs w:val="24"/>
              <w:lang w:val="zh-CN"/>
            </w:rPr>
            <w:t>八、授予合同</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_Toc11228 </w:instrText>
          </w:r>
          <w:r>
            <w:rPr>
              <w:rFonts w:hint="eastAsia" w:ascii="宋体" w:hAnsi="宋体" w:cs="宋体"/>
              <w:szCs w:val="24"/>
              <w:lang w:val="zh-CN"/>
            </w:rPr>
            <w:fldChar w:fldCharType="separate"/>
          </w:r>
          <w:r>
            <w:rPr>
              <w:rFonts w:hint="eastAsia" w:ascii="宋体" w:hAnsi="宋体" w:cs="宋体"/>
              <w:szCs w:val="24"/>
              <w:lang w:val="zh-CN"/>
            </w:rPr>
            <w:t>18</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"_Toc11172" </w:instrText>
          </w:r>
          <w:r>
            <w:fldChar w:fldCharType="separate"/>
          </w:r>
          <w:r>
            <w:rPr>
              <w:rFonts w:hint="eastAsia" w:ascii="宋体" w:hAnsi="宋体" w:cs="宋体"/>
              <w:szCs w:val="24"/>
              <w:lang w:val="zh-CN"/>
            </w:rPr>
            <w:t>21.签订合同</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_Toc11172 </w:instrText>
          </w:r>
          <w:r>
            <w:rPr>
              <w:rFonts w:hint="eastAsia" w:ascii="宋体" w:hAnsi="宋体" w:cs="宋体"/>
              <w:szCs w:val="24"/>
              <w:lang w:val="zh-CN"/>
            </w:rPr>
            <w:fldChar w:fldCharType="separate"/>
          </w:r>
          <w:r>
            <w:rPr>
              <w:rFonts w:hint="eastAsia" w:ascii="宋体" w:hAnsi="宋体" w:cs="宋体"/>
              <w:szCs w:val="24"/>
              <w:lang w:val="zh-CN"/>
            </w:rPr>
            <w:t>18</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"_Toc31538" </w:instrText>
          </w:r>
          <w:r>
            <w:fldChar w:fldCharType="separate"/>
          </w:r>
          <w:r>
            <w:rPr>
              <w:rFonts w:hint="eastAsia" w:ascii="宋体" w:hAnsi="宋体" w:cs="宋体"/>
              <w:szCs w:val="24"/>
              <w:lang w:val="zh-CN"/>
            </w:rPr>
            <w:t>九、磋商活动终止</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_Toc31538 </w:instrText>
          </w:r>
          <w:r>
            <w:rPr>
              <w:rFonts w:hint="eastAsia" w:ascii="宋体" w:hAnsi="宋体" w:cs="宋体"/>
              <w:szCs w:val="24"/>
              <w:lang w:val="zh-CN"/>
            </w:rPr>
            <w:fldChar w:fldCharType="separate"/>
          </w:r>
          <w:r>
            <w:rPr>
              <w:rFonts w:hint="eastAsia" w:ascii="宋体" w:hAnsi="宋体" w:cs="宋体"/>
              <w:szCs w:val="24"/>
              <w:lang w:val="zh-CN"/>
            </w:rPr>
            <w:t>18</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"_Toc22284" </w:instrText>
          </w:r>
          <w:r>
            <w:fldChar w:fldCharType="separate"/>
          </w:r>
          <w:r>
            <w:rPr>
              <w:rFonts w:hint="eastAsia" w:ascii="宋体" w:hAnsi="宋体" w:cs="宋体"/>
              <w:szCs w:val="24"/>
              <w:lang w:val="zh-CN"/>
            </w:rPr>
            <w:t>22.终止情形</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_Toc22284 </w:instrText>
          </w:r>
          <w:r>
            <w:rPr>
              <w:rFonts w:hint="eastAsia" w:ascii="宋体" w:hAnsi="宋体" w:cs="宋体"/>
              <w:szCs w:val="24"/>
              <w:lang w:val="zh-CN"/>
            </w:rPr>
            <w:fldChar w:fldCharType="separate"/>
          </w:r>
          <w:r>
            <w:rPr>
              <w:rFonts w:hint="eastAsia" w:ascii="宋体" w:hAnsi="宋体" w:cs="宋体"/>
              <w:szCs w:val="24"/>
              <w:lang w:val="zh-CN"/>
            </w:rPr>
            <w:t>18</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"_Toc32352" </w:instrText>
          </w:r>
          <w:r>
            <w:fldChar w:fldCharType="separate"/>
          </w:r>
          <w:r>
            <w:rPr>
              <w:rFonts w:hint="eastAsia" w:ascii="宋体" w:hAnsi="宋体" w:cs="宋体"/>
              <w:szCs w:val="24"/>
              <w:lang w:val="zh-CN"/>
            </w:rPr>
            <w:t>十、处罚</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_Toc32352 </w:instrText>
          </w:r>
          <w:r>
            <w:rPr>
              <w:rFonts w:hint="eastAsia" w:ascii="宋体" w:hAnsi="宋体" w:cs="宋体"/>
              <w:szCs w:val="24"/>
              <w:lang w:val="zh-CN"/>
            </w:rPr>
            <w:fldChar w:fldCharType="separate"/>
          </w:r>
          <w:r>
            <w:rPr>
              <w:rFonts w:hint="eastAsia" w:ascii="宋体" w:hAnsi="宋体" w:cs="宋体"/>
              <w:szCs w:val="24"/>
              <w:lang w:val="zh-CN"/>
            </w:rPr>
            <w:t>18</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"_Toc18534" </w:instrText>
          </w:r>
          <w:r>
            <w:fldChar w:fldCharType="separate"/>
          </w:r>
          <w:r>
            <w:rPr>
              <w:rFonts w:hint="eastAsia" w:ascii="宋体" w:hAnsi="宋体" w:cs="宋体"/>
              <w:szCs w:val="24"/>
              <w:lang w:val="zh-CN"/>
            </w:rPr>
            <w:t>23.处罚情形</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_Toc18534 </w:instrText>
          </w:r>
          <w:r>
            <w:rPr>
              <w:rFonts w:hint="eastAsia" w:ascii="宋体" w:hAnsi="宋体" w:cs="宋体"/>
              <w:szCs w:val="24"/>
              <w:lang w:val="zh-CN"/>
            </w:rPr>
            <w:fldChar w:fldCharType="separate"/>
          </w:r>
          <w:r>
            <w:rPr>
              <w:rFonts w:hint="eastAsia" w:ascii="宋体" w:hAnsi="宋体" w:cs="宋体"/>
              <w:szCs w:val="24"/>
              <w:lang w:val="zh-CN"/>
            </w:rPr>
            <w:t>18</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"_Toc6205" </w:instrText>
          </w:r>
          <w:r>
            <w:fldChar w:fldCharType="separate"/>
          </w:r>
          <w:r>
            <w:rPr>
              <w:rFonts w:hint="eastAsia" w:ascii="宋体" w:hAnsi="宋体" w:cs="宋体"/>
              <w:szCs w:val="24"/>
              <w:lang w:val="zh-CN"/>
            </w:rPr>
            <w:t>十一、招标代理服务收费标准</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_Toc6205 </w:instrText>
          </w:r>
          <w:r>
            <w:rPr>
              <w:rFonts w:hint="eastAsia" w:ascii="宋体" w:hAnsi="宋体" w:cs="宋体"/>
              <w:szCs w:val="24"/>
              <w:lang w:val="zh-CN"/>
            </w:rPr>
            <w:fldChar w:fldCharType="separate"/>
          </w:r>
          <w:r>
            <w:rPr>
              <w:rFonts w:hint="eastAsia" w:ascii="宋体" w:hAnsi="宋体" w:cs="宋体"/>
              <w:szCs w:val="24"/>
              <w:lang w:val="zh-CN"/>
            </w:rPr>
            <w:t>19</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"_Toc5427" </w:instrText>
          </w:r>
          <w:r>
            <w:fldChar w:fldCharType="separate"/>
          </w:r>
          <w:r>
            <w:rPr>
              <w:rFonts w:hint="eastAsia" w:ascii="宋体" w:hAnsi="宋体" w:cs="宋体"/>
              <w:szCs w:val="24"/>
              <w:lang w:val="zh-CN"/>
            </w:rPr>
            <w:t>十二、其他</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_Toc5427 </w:instrText>
          </w:r>
          <w:r>
            <w:rPr>
              <w:rFonts w:hint="eastAsia" w:ascii="宋体" w:hAnsi="宋体" w:cs="宋体"/>
              <w:szCs w:val="24"/>
              <w:lang w:val="zh-CN"/>
            </w:rPr>
            <w:fldChar w:fldCharType="separate"/>
          </w:r>
          <w:r>
            <w:rPr>
              <w:rFonts w:hint="eastAsia" w:ascii="宋体" w:hAnsi="宋体" w:cs="宋体"/>
              <w:szCs w:val="24"/>
              <w:lang w:val="zh-CN"/>
            </w:rPr>
            <w:t>19</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"_Toc13911" </w:instrText>
          </w:r>
          <w:r>
            <w:fldChar w:fldCharType="separate"/>
          </w:r>
          <w:r>
            <w:rPr>
              <w:rFonts w:hint="eastAsia" w:ascii="宋体" w:hAnsi="宋体" w:cs="宋体"/>
              <w:szCs w:val="24"/>
              <w:lang w:val="zh-CN"/>
            </w:rPr>
            <w:t>第四部分  采购项目合同书范本</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_Toc13911 </w:instrText>
          </w:r>
          <w:r>
            <w:rPr>
              <w:rFonts w:hint="eastAsia" w:ascii="宋体" w:hAnsi="宋体" w:cs="宋体"/>
              <w:szCs w:val="24"/>
              <w:lang w:val="zh-CN"/>
            </w:rPr>
            <w:fldChar w:fldCharType="separate"/>
          </w:r>
          <w:r>
            <w:rPr>
              <w:rFonts w:hint="eastAsia" w:ascii="宋体" w:hAnsi="宋体" w:cs="宋体"/>
              <w:szCs w:val="24"/>
              <w:lang w:val="zh-CN"/>
            </w:rPr>
            <w:t>20</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"_Toc12936" </w:instrText>
          </w:r>
          <w:r>
            <w:fldChar w:fldCharType="separate"/>
          </w:r>
          <w:r>
            <w:rPr>
              <w:rFonts w:hint="eastAsia" w:ascii="宋体" w:hAnsi="宋体" w:cs="宋体"/>
              <w:szCs w:val="24"/>
              <w:lang w:val="zh-CN"/>
            </w:rPr>
            <w:t>附件二：质量保修书格式</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_Toc12936 </w:instrText>
          </w:r>
          <w:r>
            <w:rPr>
              <w:rFonts w:hint="eastAsia" w:ascii="宋体" w:hAnsi="宋体" w:cs="宋体"/>
              <w:szCs w:val="24"/>
              <w:lang w:val="zh-CN"/>
            </w:rPr>
            <w:fldChar w:fldCharType="separate"/>
          </w:r>
          <w:r>
            <w:rPr>
              <w:rFonts w:hint="eastAsia" w:ascii="宋体" w:hAnsi="宋体" w:cs="宋体"/>
              <w:szCs w:val="24"/>
              <w:lang w:val="zh-CN"/>
            </w:rPr>
            <w:t>25</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"_Toc26635" </w:instrText>
          </w:r>
          <w:r>
            <w:fldChar w:fldCharType="separate"/>
          </w:r>
          <w:r>
            <w:rPr>
              <w:rFonts w:hint="eastAsia" w:ascii="宋体" w:hAnsi="宋体" w:cs="宋体"/>
              <w:szCs w:val="24"/>
              <w:lang w:val="zh-CN"/>
            </w:rPr>
            <w:t>第五部分 技术标准和要求</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_Toc26635 </w:instrText>
          </w:r>
          <w:r>
            <w:rPr>
              <w:rFonts w:hint="eastAsia" w:ascii="宋体" w:hAnsi="宋体" w:cs="宋体"/>
              <w:szCs w:val="24"/>
              <w:lang w:val="zh-CN"/>
            </w:rPr>
            <w:fldChar w:fldCharType="separate"/>
          </w:r>
          <w:r>
            <w:rPr>
              <w:rFonts w:hint="eastAsia" w:ascii="宋体" w:hAnsi="宋体" w:cs="宋体"/>
              <w:szCs w:val="24"/>
              <w:lang w:val="zh-CN"/>
            </w:rPr>
            <w:t>27</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"_Toc11884" </w:instrText>
          </w:r>
          <w:r>
            <w:fldChar w:fldCharType="separate"/>
          </w:r>
          <w:r>
            <w:rPr>
              <w:rFonts w:hint="eastAsia" w:ascii="宋体" w:hAnsi="宋体" w:cs="宋体"/>
              <w:szCs w:val="24"/>
              <w:lang w:val="zh-CN"/>
            </w:rPr>
            <w:t>1.工程建设条件</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_Toc11884 </w:instrText>
          </w:r>
          <w:r>
            <w:rPr>
              <w:rFonts w:hint="eastAsia" w:ascii="宋体" w:hAnsi="宋体" w:cs="宋体"/>
              <w:szCs w:val="24"/>
              <w:lang w:val="zh-CN"/>
            </w:rPr>
            <w:fldChar w:fldCharType="separate"/>
          </w:r>
          <w:r>
            <w:rPr>
              <w:rFonts w:hint="eastAsia" w:ascii="宋体" w:hAnsi="宋体" w:cs="宋体"/>
              <w:szCs w:val="24"/>
              <w:lang w:val="zh-CN"/>
            </w:rPr>
            <w:t>27</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"_Toc14075" </w:instrText>
          </w:r>
          <w:r>
            <w:fldChar w:fldCharType="separate"/>
          </w:r>
          <w:r>
            <w:rPr>
              <w:rFonts w:hint="eastAsia" w:ascii="宋体" w:hAnsi="宋体" w:cs="宋体"/>
              <w:szCs w:val="24"/>
              <w:lang w:val="zh-CN"/>
            </w:rPr>
            <w:t>2.工程建设要求</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_Toc14075 </w:instrText>
          </w:r>
          <w:r>
            <w:rPr>
              <w:rFonts w:hint="eastAsia" w:ascii="宋体" w:hAnsi="宋体" w:cs="宋体"/>
              <w:szCs w:val="24"/>
              <w:lang w:val="zh-CN"/>
            </w:rPr>
            <w:fldChar w:fldCharType="separate"/>
          </w:r>
          <w:r>
            <w:rPr>
              <w:rFonts w:hint="eastAsia" w:ascii="宋体" w:hAnsi="宋体" w:cs="宋体"/>
              <w:szCs w:val="24"/>
              <w:lang w:val="zh-CN"/>
            </w:rPr>
            <w:t>27</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"_Toc6371" </w:instrText>
          </w:r>
          <w:r>
            <w:fldChar w:fldCharType="separate"/>
          </w:r>
          <w:r>
            <w:rPr>
              <w:rFonts w:hint="eastAsia" w:ascii="宋体" w:hAnsi="宋体" w:cs="宋体"/>
              <w:szCs w:val="24"/>
            </w:rPr>
            <w:t>2.1.4质量保证期：一年</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_Toc6371 </w:instrText>
          </w:r>
          <w:r>
            <w:rPr>
              <w:rFonts w:hint="eastAsia" w:ascii="宋体" w:hAnsi="宋体" w:cs="宋体"/>
              <w:szCs w:val="24"/>
              <w:lang w:val="zh-CN"/>
            </w:rPr>
            <w:fldChar w:fldCharType="separate"/>
          </w:r>
          <w:r>
            <w:rPr>
              <w:rFonts w:hint="eastAsia" w:ascii="宋体" w:hAnsi="宋体" w:cs="宋体"/>
              <w:szCs w:val="24"/>
              <w:lang w:val="zh-CN"/>
            </w:rPr>
            <w:t>27</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"_Toc5216" </w:instrText>
          </w:r>
          <w:r>
            <w:fldChar w:fldCharType="separate"/>
          </w:r>
          <w:r>
            <w:rPr>
              <w:rFonts w:hint="eastAsia" w:ascii="宋体" w:hAnsi="宋体" w:cs="宋体"/>
              <w:szCs w:val="24"/>
              <w:lang w:val="zh-CN"/>
            </w:rPr>
            <w:t>3.工程建设应执行的技术规范</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_Toc5216 </w:instrText>
          </w:r>
          <w:r>
            <w:rPr>
              <w:rFonts w:hint="eastAsia" w:ascii="宋体" w:hAnsi="宋体" w:cs="宋体"/>
              <w:szCs w:val="24"/>
              <w:lang w:val="zh-CN"/>
            </w:rPr>
            <w:fldChar w:fldCharType="separate"/>
          </w:r>
          <w:r>
            <w:rPr>
              <w:rFonts w:hint="eastAsia" w:ascii="宋体" w:hAnsi="宋体" w:cs="宋体"/>
              <w:szCs w:val="24"/>
              <w:lang w:val="zh-CN"/>
            </w:rPr>
            <w:t>28</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"_Toc17022" </w:instrText>
          </w:r>
          <w:r>
            <w:fldChar w:fldCharType="separate"/>
          </w:r>
          <w:r>
            <w:rPr>
              <w:rFonts w:hint="eastAsia" w:ascii="宋体" w:hAnsi="宋体" w:cs="宋体"/>
              <w:szCs w:val="24"/>
              <w:lang w:val="zh-CN"/>
            </w:rPr>
            <w:t>第六部分 投标文件格式</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_Toc17022 </w:instrText>
          </w:r>
          <w:r>
            <w:rPr>
              <w:rFonts w:hint="eastAsia" w:ascii="宋体" w:hAnsi="宋体" w:cs="宋体"/>
              <w:szCs w:val="24"/>
              <w:lang w:val="zh-CN"/>
            </w:rPr>
            <w:fldChar w:fldCharType="separate"/>
          </w:r>
          <w:r>
            <w:rPr>
              <w:rFonts w:hint="eastAsia" w:ascii="宋体" w:hAnsi="宋体" w:cs="宋体"/>
              <w:szCs w:val="24"/>
              <w:lang w:val="zh-CN"/>
            </w:rPr>
            <w:t>29</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"_Toc2515" </w:instrText>
          </w:r>
          <w:r>
            <w:fldChar w:fldCharType="separate"/>
          </w:r>
          <w:r>
            <w:rPr>
              <w:rFonts w:hint="eastAsia" w:ascii="宋体" w:hAnsi="宋体" w:cs="宋体"/>
              <w:szCs w:val="24"/>
              <w:lang w:val="zh-CN"/>
            </w:rPr>
            <w:t>附件</w:t>
          </w:r>
          <w:r>
            <w:rPr>
              <w:rFonts w:hint="eastAsia" w:ascii="宋体" w:hAnsi="宋体" w:cs="宋体"/>
              <w:szCs w:val="24"/>
            </w:rPr>
            <w:t>1</w:t>
          </w:r>
          <w:r>
            <w:rPr>
              <w:rFonts w:hint="eastAsia" w:ascii="宋体" w:hAnsi="宋体" w:cs="宋体"/>
              <w:szCs w:val="24"/>
              <w:lang w:val="zh-CN"/>
            </w:rPr>
            <w:t>：响应文件封面</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_Toc2515 </w:instrText>
          </w:r>
          <w:r>
            <w:rPr>
              <w:rFonts w:hint="eastAsia" w:ascii="宋体" w:hAnsi="宋体" w:cs="宋体"/>
              <w:szCs w:val="24"/>
              <w:lang w:val="zh-CN"/>
            </w:rPr>
            <w:fldChar w:fldCharType="separate"/>
          </w:r>
          <w:r>
            <w:rPr>
              <w:rFonts w:hint="eastAsia" w:ascii="宋体" w:hAnsi="宋体" w:cs="宋体"/>
              <w:szCs w:val="24"/>
              <w:lang w:val="zh-CN"/>
            </w:rPr>
            <w:t>30</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"_Toc25721" </w:instrText>
          </w:r>
          <w:r>
            <w:fldChar w:fldCharType="separate"/>
          </w:r>
          <w:r>
            <w:rPr>
              <w:rFonts w:hint="eastAsia" w:ascii="宋体" w:hAnsi="宋体" w:cs="宋体"/>
              <w:szCs w:val="24"/>
              <w:lang w:val="zh-CN"/>
            </w:rPr>
            <w:t>附件2：响应文件目录</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_Toc25721 </w:instrText>
          </w:r>
          <w:r>
            <w:rPr>
              <w:rFonts w:hint="eastAsia" w:ascii="宋体" w:hAnsi="宋体" w:cs="宋体"/>
              <w:szCs w:val="24"/>
              <w:lang w:val="zh-CN"/>
            </w:rPr>
            <w:fldChar w:fldCharType="separate"/>
          </w:r>
          <w:r>
            <w:rPr>
              <w:rFonts w:hint="eastAsia" w:ascii="宋体" w:hAnsi="宋体" w:cs="宋体"/>
              <w:szCs w:val="24"/>
              <w:lang w:val="zh-CN"/>
            </w:rPr>
            <w:t>31</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"_Toc4482" </w:instrText>
          </w:r>
          <w:r>
            <w:fldChar w:fldCharType="separate"/>
          </w:r>
          <w:r>
            <w:rPr>
              <w:rFonts w:hint="eastAsia" w:ascii="宋体" w:hAnsi="宋体" w:cs="宋体"/>
              <w:szCs w:val="24"/>
              <w:lang w:val="zh-CN"/>
            </w:rPr>
            <w:t>附件3：响应函及磋商报价表</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_Toc4482 </w:instrText>
          </w:r>
          <w:r>
            <w:rPr>
              <w:rFonts w:hint="eastAsia" w:ascii="宋体" w:hAnsi="宋体" w:cs="宋体"/>
              <w:szCs w:val="24"/>
              <w:lang w:val="zh-CN"/>
            </w:rPr>
            <w:fldChar w:fldCharType="separate"/>
          </w:r>
          <w:r>
            <w:rPr>
              <w:rFonts w:hint="eastAsia" w:ascii="宋体" w:hAnsi="宋体" w:cs="宋体"/>
              <w:szCs w:val="24"/>
              <w:lang w:val="zh-CN"/>
            </w:rPr>
            <w:t>32</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"_Toc9894" </w:instrText>
          </w:r>
          <w:r>
            <w:fldChar w:fldCharType="separate"/>
          </w:r>
          <w:r>
            <w:rPr>
              <w:rFonts w:hint="eastAsia" w:ascii="宋体" w:hAnsi="宋体" w:cs="宋体"/>
              <w:szCs w:val="24"/>
              <w:lang w:val="zh-CN"/>
            </w:rPr>
            <w:t>附件4：法定代表人证明书</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_Toc9894 </w:instrText>
          </w:r>
          <w:r>
            <w:rPr>
              <w:rFonts w:hint="eastAsia" w:ascii="宋体" w:hAnsi="宋体" w:cs="宋体"/>
              <w:szCs w:val="24"/>
              <w:lang w:val="zh-CN"/>
            </w:rPr>
            <w:fldChar w:fldCharType="separate"/>
          </w:r>
          <w:r>
            <w:rPr>
              <w:rFonts w:hint="eastAsia" w:ascii="宋体" w:hAnsi="宋体" w:cs="宋体"/>
              <w:szCs w:val="24"/>
              <w:lang w:val="zh-CN"/>
            </w:rPr>
            <w:t>34</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"_Toc22765" </w:instrText>
          </w:r>
          <w:r>
            <w:fldChar w:fldCharType="separate"/>
          </w:r>
          <w:r>
            <w:rPr>
              <w:rFonts w:hint="eastAsia" w:ascii="宋体" w:hAnsi="宋体" w:cs="宋体"/>
              <w:szCs w:val="24"/>
              <w:lang w:val="zh-CN"/>
            </w:rPr>
            <w:t>附件5：法定代表人授权书</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_Toc22765 </w:instrText>
          </w:r>
          <w:r>
            <w:rPr>
              <w:rFonts w:hint="eastAsia" w:ascii="宋体" w:hAnsi="宋体" w:cs="宋体"/>
              <w:szCs w:val="24"/>
              <w:lang w:val="zh-CN"/>
            </w:rPr>
            <w:fldChar w:fldCharType="separate"/>
          </w:r>
          <w:r>
            <w:rPr>
              <w:rFonts w:hint="eastAsia" w:ascii="宋体" w:hAnsi="宋体" w:cs="宋体"/>
              <w:szCs w:val="24"/>
              <w:lang w:val="zh-CN"/>
            </w:rPr>
            <w:t>35</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"_Toc22958" </w:instrText>
          </w:r>
          <w:r>
            <w:fldChar w:fldCharType="separate"/>
          </w:r>
          <w:r>
            <w:rPr>
              <w:rFonts w:hint="eastAsia" w:ascii="宋体" w:hAnsi="宋体" w:cs="宋体"/>
              <w:szCs w:val="24"/>
              <w:lang w:val="zh-CN"/>
            </w:rPr>
            <w:t>附件6：供应商诚信承诺书</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_Toc22958 </w:instrText>
          </w:r>
          <w:r>
            <w:rPr>
              <w:rFonts w:hint="eastAsia" w:ascii="宋体" w:hAnsi="宋体" w:cs="宋体"/>
              <w:szCs w:val="24"/>
              <w:lang w:val="zh-CN"/>
            </w:rPr>
            <w:fldChar w:fldCharType="separate"/>
          </w:r>
          <w:r>
            <w:rPr>
              <w:rFonts w:hint="eastAsia" w:ascii="宋体" w:hAnsi="宋体" w:cs="宋体"/>
              <w:szCs w:val="24"/>
              <w:lang w:val="zh-CN"/>
            </w:rPr>
            <w:t>36</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"_Toc2715" </w:instrText>
          </w:r>
          <w:r>
            <w:fldChar w:fldCharType="separate"/>
          </w:r>
          <w:r>
            <w:rPr>
              <w:rFonts w:hint="eastAsia" w:ascii="宋体" w:hAnsi="宋体" w:cs="宋体"/>
              <w:szCs w:val="24"/>
              <w:lang w:val="zh-CN"/>
            </w:rPr>
            <w:t>附件7：已标价工程量清单部分格式</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_Toc2715 </w:instrText>
          </w:r>
          <w:r>
            <w:rPr>
              <w:rFonts w:hint="eastAsia" w:ascii="宋体" w:hAnsi="宋体" w:cs="宋体"/>
              <w:szCs w:val="24"/>
              <w:lang w:val="zh-CN"/>
            </w:rPr>
            <w:fldChar w:fldCharType="separate"/>
          </w:r>
          <w:r>
            <w:rPr>
              <w:rFonts w:hint="eastAsia" w:ascii="宋体" w:hAnsi="宋体" w:cs="宋体"/>
              <w:szCs w:val="24"/>
              <w:lang w:val="zh-CN"/>
            </w:rPr>
            <w:t>37</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"_Toc12407" </w:instrText>
          </w:r>
          <w:r>
            <w:fldChar w:fldCharType="separate"/>
          </w:r>
          <w:r>
            <w:rPr>
              <w:rFonts w:hint="eastAsia" w:ascii="宋体" w:hAnsi="宋体" w:cs="宋体"/>
              <w:szCs w:val="24"/>
              <w:lang w:val="zh-CN"/>
            </w:rPr>
            <w:t>附件8：施工组织设计</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_Toc12407 </w:instrText>
          </w:r>
          <w:r>
            <w:rPr>
              <w:rFonts w:hint="eastAsia" w:ascii="宋体" w:hAnsi="宋体" w:cs="宋体"/>
              <w:szCs w:val="24"/>
              <w:lang w:val="zh-CN"/>
            </w:rPr>
            <w:fldChar w:fldCharType="separate"/>
          </w:r>
          <w:r>
            <w:rPr>
              <w:rFonts w:hint="eastAsia" w:ascii="宋体" w:hAnsi="宋体" w:cs="宋体"/>
              <w:szCs w:val="24"/>
              <w:lang w:val="zh-CN"/>
            </w:rPr>
            <w:t>38</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"_Toc24169" </w:instrText>
          </w:r>
          <w:r>
            <w:fldChar w:fldCharType="separate"/>
          </w:r>
          <w:r>
            <w:rPr>
              <w:rFonts w:hint="eastAsia" w:ascii="宋体" w:hAnsi="宋体" w:cs="宋体"/>
              <w:szCs w:val="24"/>
              <w:lang w:val="zh-CN"/>
            </w:rPr>
            <w:t>（一）拟投入本项目的主要施工设备表</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_Toc24169 </w:instrText>
          </w:r>
          <w:r>
            <w:rPr>
              <w:rFonts w:hint="eastAsia" w:ascii="宋体" w:hAnsi="宋体" w:cs="宋体"/>
              <w:szCs w:val="24"/>
              <w:lang w:val="zh-CN"/>
            </w:rPr>
            <w:fldChar w:fldCharType="separate"/>
          </w:r>
          <w:r>
            <w:rPr>
              <w:rFonts w:hint="eastAsia" w:ascii="宋体" w:hAnsi="宋体" w:cs="宋体"/>
              <w:szCs w:val="24"/>
              <w:lang w:val="zh-CN"/>
            </w:rPr>
            <w:t>39</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"_Toc22965" </w:instrText>
          </w:r>
          <w:r>
            <w:fldChar w:fldCharType="separate"/>
          </w:r>
          <w:r>
            <w:rPr>
              <w:rFonts w:hint="eastAsia" w:ascii="宋体" w:hAnsi="宋体" w:cs="宋体"/>
              <w:szCs w:val="24"/>
              <w:lang w:val="zh-CN"/>
            </w:rPr>
            <w:t>（二）劳动力计划表</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_Toc22965 </w:instrText>
          </w:r>
          <w:r>
            <w:rPr>
              <w:rFonts w:hint="eastAsia" w:ascii="宋体" w:hAnsi="宋体" w:cs="宋体"/>
              <w:szCs w:val="24"/>
              <w:lang w:val="zh-CN"/>
            </w:rPr>
            <w:fldChar w:fldCharType="separate"/>
          </w:r>
          <w:r>
            <w:rPr>
              <w:rFonts w:hint="eastAsia" w:ascii="宋体" w:hAnsi="宋体" w:cs="宋体"/>
              <w:szCs w:val="24"/>
              <w:lang w:val="zh-CN"/>
            </w:rPr>
            <w:t>40</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"_Toc27999" </w:instrText>
          </w:r>
          <w:r>
            <w:fldChar w:fldCharType="separate"/>
          </w:r>
          <w:r>
            <w:rPr>
              <w:rFonts w:hint="eastAsia" w:ascii="宋体" w:hAnsi="宋体" w:cs="宋体"/>
              <w:szCs w:val="24"/>
              <w:lang w:val="zh-CN"/>
            </w:rPr>
            <w:t>（三）进度计划</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_Toc27999 </w:instrText>
          </w:r>
          <w:r>
            <w:rPr>
              <w:rFonts w:hint="eastAsia" w:ascii="宋体" w:hAnsi="宋体" w:cs="宋体"/>
              <w:szCs w:val="24"/>
              <w:lang w:val="zh-CN"/>
            </w:rPr>
            <w:fldChar w:fldCharType="separate"/>
          </w:r>
          <w:r>
            <w:rPr>
              <w:rFonts w:hint="eastAsia" w:ascii="宋体" w:hAnsi="宋体" w:cs="宋体"/>
              <w:szCs w:val="24"/>
              <w:lang w:val="zh-CN"/>
            </w:rPr>
            <w:t>41</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"_Toc8933" </w:instrText>
          </w:r>
          <w:r>
            <w:fldChar w:fldCharType="separate"/>
          </w:r>
          <w:r>
            <w:rPr>
              <w:rFonts w:hint="eastAsia" w:ascii="宋体" w:hAnsi="宋体" w:cs="宋体"/>
              <w:szCs w:val="24"/>
              <w:lang w:val="zh-CN"/>
            </w:rPr>
            <w:t>附件9：项目管理机构</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_Toc8933 </w:instrText>
          </w:r>
          <w:r>
            <w:rPr>
              <w:rFonts w:hint="eastAsia" w:ascii="宋体" w:hAnsi="宋体" w:cs="宋体"/>
              <w:szCs w:val="24"/>
              <w:lang w:val="zh-CN"/>
            </w:rPr>
            <w:fldChar w:fldCharType="separate"/>
          </w:r>
          <w:r>
            <w:rPr>
              <w:rFonts w:hint="eastAsia" w:ascii="宋体" w:hAnsi="宋体" w:cs="宋体"/>
              <w:szCs w:val="24"/>
              <w:lang w:val="zh-CN"/>
            </w:rPr>
            <w:t>42</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"_Toc27959" </w:instrText>
          </w:r>
          <w:r>
            <w:fldChar w:fldCharType="separate"/>
          </w:r>
          <w:r>
            <w:rPr>
              <w:rFonts w:hint="eastAsia" w:ascii="宋体" w:hAnsi="宋体" w:cs="宋体"/>
              <w:szCs w:val="24"/>
              <w:lang w:val="zh-CN"/>
            </w:rPr>
            <w:t>附件10：资格审查资料</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_Toc27959 </w:instrText>
          </w:r>
          <w:r>
            <w:rPr>
              <w:rFonts w:hint="eastAsia" w:ascii="宋体" w:hAnsi="宋体" w:cs="宋体"/>
              <w:szCs w:val="24"/>
              <w:lang w:val="zh-CN"/>
            </w:rPr>
            <w:fldChar w:fldCharType="separate"/>
          </w:r>
          <w:r>
            <w:rPr>
              <w:rFonts w:hint="eastAsia" w:ascii="宋体" w:hAnsi="宋体" w:cs="宋体"/>
              <w:szCs w:val="24"/>
              <w:lang w:val="zh-CN"/>
            </w:rPr>
            <w:t>44</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"_Toc22600" </w:instrText>
          </w:r>
          <w:r>
            <w:fldChar w:fldCharType="separate"/>
          </w:r>
          <w:r>
            <w:rPr>
              <w:rFonts w:hint="eastAsia" w:ascii="宋体" w:hAnsi="宋体" w:cs="宋体"/>
              <w:szCs w:val="24"/>
              <w:lang w:val="zh-CN"/>
            </w:rPr>
            <w:t>（一）供应商基本情况表</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_Toc22600 </w:instrText>
          </w:r>
          <w:r>
            <w:rPr>
              <w:rFonts w:hint="eastAsia" w:ascii="宋体" w:hAnsi="宋体" w:cs="宋体"/>
              <w:szCs w:val="24"/>
              <w:lang w:val="zh-CN"/>
            </w:rPr>
            <w:fldChar w:fldCharType="separate"/>
          </w:r>
          <w:r>
            <w:rPr>
              <w:rFonts w:hint="eastAsia" w:ascii="宋体" w:hAnsi="宋体" w:cs="宋体"/>
              <w:szCs w:val="24"/>
              <w:lang w:val="zh-CN"/>
            </w:rPr>
            <w:t>44</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"_Toc22766" </w:instrText>
          </w:r>
          <w:r>
            <w:fldChar w:fldCharType="separate"/>
          </w:r>
          <w:r>
            <w:rPr>
              <w:rFonts w:hint="eastAsia" w:ascii="宋体" w:hAnsi="宋体" w:cs="宋体"/>
              <w:szCs w:val="24"/>
              <w:lang w:val="zh-CN"/>
            </w:rPr>
            <w:t>（二） 财务状况报告及依法缴纳税收和社会保障资金的相关材料</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_Toc22766 </w:instrText>
          </w:r>
          <w:r>
            <w:rPr>
              <w:rFonts w:hint="eastAsia" w:ascii="宋体" w:hAnsi="宋体" w:cs="宋体"/>
              <w:szCs w:val="24"/>
              <w:lang w:val="zh-CN"/>
            </w:rPr>
            <w:fldChar w:fldCharType="separate"/>
          </w:r>
          <w:r>
            <w:rPr>
              <w:rFonts w:hint="eastAsia" w:ascii="宋体" w:hAnsi="宋体" w:cs="宋体"/>
              <w:szCs w:val="24"/>
              <w:lang w:val="zh-CN"/>
            </w:rPr>
            <w:t>45</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"_Toc29084" </w:instrText>
          </w:r>
          <w:r>
            <w:fldChar w:fldCharType="separate"/>
          </w:r>
          <w:r>
            <w:rPr>
              <w:rFonts w:hint="eastAsia" w:ascii="宋体" w:hAnsi="宋体" w:cs="宋体"/>
              <w:szCs w:val="24"/>
              <w:lang w:val="zh-CN"/>
            </w:rPr>
            <w:t>（三）完成的类似项目情况表</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_Toc29084 </w:instrText>
          </w:r>
          <w:r>
            <w:rPr>
              <w:rFonts w:hint="eastAsia" w:ascii="宋体" w:hAnsi="宋体" w:cs="宋体"/>
              <w:szCs w:val="24"/>
              <w:lang w:val="zh-CN"/>
            </w:rPr>
            <w:fldChar w:fldCharType="separate"/>
          </w:r>
          <w:r>
            <w:rPr>
              <w:rFonts w:hint="eastAsia" w:ascii="宋体" w:hAnsi="宋体" w:cs="宋体"/>
              <w:szCs w:val="24"/>
              <w:lang w:val="zh-CN"/>
            </w:rPr>
            <w:t>46</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"_Toc30496" </w:instrText>
          </w:r>
          <w:r>
            <w:fldChar w:fldCharType="separate"/>
          </w:r>
          <w:r>
            <w:rPr>
              <w:rFonts w:hint="eastAsia" w:ascii="宋体" w:hAnsi="宋体" w:cs="宋体"/>
              <w:szCs w:val="24"/>
              <w:lang w:val="zh-CN"/>
            </w:rPr>
            <w:t>（四）正在施工的和新承接的项目情况表</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_Toc30496 </w:instrText>
          </w:r>
          <w:r>
            <w:rPr>
              <w:rFonts w:hint="eastAsia" w:ascii="宋体" w:hAnsi="宋体" w:cs="宋体"/>
              <w:szCs w:val="24"/>
              <w:lang w:val="zh-CN"/>
            </w:rPr>
            <w:fldChar w:fldCharType="separate"/>
          </w:r>
          <w:r>
            <w:rPr>
              <w:rFonts w:hint="eastAsia" w:ascii="宋体" w:hAnsi="宋体" w:cs="宋体"/>
              <w:szCs w:val="24"/>
              <w:lang w:val="zh-CN"/>
            </w:rPr>
            <w:t>47</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"_Toc22940" </w:instrText>
          </w:r>
          <w:r>
            <w:fldChar w:fldCharType="separate"/>
          </w:r>
          <w:r>
            <w:rPr>
              <w:rFonts w:hint="eastAsia" w:ascii="宋体" w:hAnsi="宋体" w:cs="宋体"/>
              <w:szCs w:val="24"/>
              <w:lang w:val="zh-CN"/>
            </w:rPr>
            <w:t>（五）其他资格审查资料</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_Toc22940 </w:instrText>
          </w:r>
          <w:r>
            <w:rPr>
              <w:rFonts w:hint="eastAsia" w:ascii="宋体" w:hAnsi="宋体" w:cs="宋体"/>
              <w:szCs w:val="24"/>
              <w:lang w:val="zh-CN"/>
            </w:rPr>
            <w:fldChar w:fldCharType="separate"/>
          </w:r>
          <w:r>
            <w:rPr>
              <w:rFonts w:hint="eastAsia" w:ascii="宋体" w:hAnsi="宋体" w:cs="宋体"/>
              <w:szCs w:val="24"/>
              <w:lang w:val="zh-CN"/>
            </w:rPr>
            <w:t>48</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"_Toc29692" </w:instrText>
          </w:r>
          <w:r>
            <w:fldChar w:fldCharType="separate"/>
          </w:r>
          <w:r>
            <w:rPr>
              <w:rFonts w:hint="eastAsia" w:ascii="宋体" w:hAnsi="宋体" w:cs="宋体"/>
              <w:szCs w:val="24"/>
              <w:lang w:val="zh-CN"/>
            </w:rPr>
            <w:t>附件11：磋商保证金</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_Toc29692 </w:instrText>
          </w:r>
          <w:r>
            <w:rPr>
              <w:rFonts w:hint="eastAsia" w:ascii="宋体" w:hAnsi="宋体" w:cs="宋体"/>
              <w:szCs w:val="24"/>
              <w:lang w:val="zh-CN"/>
            </w:rPr>
            <w:fldChar w:fldCharType="separate"/>
          </w:r>
          <w:r>
            <w:rPr>
              <w:rFonts w:hint="eastAsia" w:ascii="宋体" w:hAnsi="宋体" w:cs="宋体"/>
              <w:szCs w:val="24"/>
              <w:lang w:val="zh-CN"/>
            </w:rPr>
            <w:t>49</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"_Toc20118" </w:instrText>
          </w:r>
          <w:r>
            <w:fldChar w:fldCharType="separate"/>
          </w:r>
          <w:r>
            <w:rPr>
              <w:rFonts w:hint="eastAsia" w:ascii="宋体" w:hAnsi="宋体" w:cs="宋体"/>
              <w:szCs w:val="24"/>
              <w:lang w:val="zh-CN"/>
            </w:rPr>
            <w:t>附件12：磋商最终报价表</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_Toc20118 </w:instrText>
          </w:r>
          <w:r>
            <w:rPr>
              <w:rFonts w:hint="eastAsia" w:ascii="宋体" w:hAnsi="宋体" w:cs="宋体"/>
              <w:szCs w:val="24"/>
              <w:lang w:val="zh-CN"/>
            </w:rPr>
            <w:fldChar w:fldCharType="separate"/>
          </w:r>
          <w:r>
            <w:rPr>
              <w:rFonts w:hint="eastAsia" w:ascii="宋体" w:hAnsi="宋体" w:cs="宋体"/>
              <w:szCs w:val="24"/>
              <w:lang w:val="zh-CN"/>
            </w:rPr>
            <w:t>50</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"_Toc13323" </w:instrText>
          </w:r>
          <w:r>
            <w:fldChar w:fldCharType="separate"/>
          </w:r>
          <w:r>
            <w:rPr>
              <w:rFonts w:hint="eastAsia" w:ascii="宋体" w:hAnsi="宋体" w:cs="宋体"/>
              <w:szCs w:val="24"/>
              <w:lang w:val="zh-CN"/>
            </w:rPr>
            <w:t>附件13：无重大违法记录声明</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_Toc13323 </w:instrText>
          </w:r>
          <w:r>
            <w:rPr>
              <w:rFonts w:hint="eastAsia" w:ascii="宋体" w:hAnsi="宋体" w:cs="宋体"/>
              <w:szCs w:val="24"/>
              <w:lang w:val="zh-CN"/>
            </w:rPr>
            <w:fldChar w:fldCharType="separate"/>
          </w:r>
          <w:r>
            <w:rPr>
              <w:rFonts w:hint="eastAsia" w:ascii="宋体" w:hAnsi="宋体" w:cs="宋体"/>
              <w:szCs w:val="24"/>
              <w:lang w:val="zh-CN"/>
            </w:rPr>
            <w:t>51</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"_Toc3220" </w:instrText>
          </w:r>
          <w:r>
            <w:fldChar w:fldCharType="separate"/>
          </w:r>
          <w:r>
            <w:rPr>
              <w:rFonts w:hint="eastAsia" w:ascii="宋体" w:hAnsi="宋体" w:cs="宋体"/>
              <w:szCs w:val="24"/>
              <w:lang w:val="zh-CN"/>
            </w:rPr>
            <w:t>附件14：供应商认为在其他方面有必要说明的事项</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_Toc3220 </w:instrText>
          </w:r>
          <w:r>
            <w:rPr>
              <w:rFonts w:hint="eastAsia" w:ascii="宋体" w:hAnsi="宋体" w:cs="宋体"/>
              <w:szCs w:val="24"/>
              <w:lang w:val="zh-CN"/>
            </w:rPr>
            <w:fldChar w:fldCharType="separate"/>
          </w:r>
          <w:r>
            <w:rPr>
              <w:rFonts w:hint="eastAsia" w:ascii="宋体" w:hAnsi="宋体" w:cs="宋体"/>
              <w:szCs w:val="24"/>
              <w:lang w:val="zh-CN"/>
            </w:rPr>
            <w:t>54</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pPr>
          <w:r>
            <w:fldChar w:fldCharType="begin"/>
          </w:r>
          <w:r>
            <w:instrText xml:space="preserve"> HYPERLINK \l "_Toc20089" </w:instrText>
          </w:r>
          <w:r>
            <w:fldChar w:fldCharType="separate"/>
          </w:r>
          <w:r>
            <w:rPr>
              <w:rFonts w:hint="eastAsia" w:ascii="宋体" w:hAnsi="宋体" w:cs="宋体"/>
              <w:szCs w:val="24"/>
            </w:rPr>
            <w:t>第七部分 工程量清单</w:t>
          </w:r>
          <w:r>
            <w:rPr>
              <w:rFonts w:hint="eastAsia" w:ascii="宋体" w:hAnsi="宋体" w:cs="宋体"/>
              <w:szCs w:val="24"/>
              <w:lang w:val="zh-CN"/>
            </w:rPr>
            <w:tab/>
          </w:r>
          <w:r>
            <w:rPr>
              <w:rFonts w:hint="eastAsia" w:ascii="宋体" w:hAnsi="宋体" w:cs="宋体"/>
              <w:szCs w:val="24"/>
              <w:lang w:val="zh-CN"/>
            </w:rPr>
            <w:fldChar w:fldCharType="begin"/>
          </w:r>
          <w:r>
            <w:rPr>
              <w:rFonts w:hint="eastAsia" w:ascii="宋体" w:hAnsi="宋体" w:cs="宋体"/>
              <w:szCs w:val="24"/>
              <w:lang w:val="zh-CN"/>
            </w:rPr>
            <w:instrText xml:space="preserve"> PAGEREF _Toc20089 </w:instrText>
          </w:r>
          <w:r>
            <w:rPr>
              <w:rFonts w:hint="eastAsia" w:ascii="宋体" w:hAnsi="宋体" w:cs="宋体"/>
              <w:szCs w:val="24"/>
              <w:lang w:val="zh-CN"/>
            </w:rPr>
            <w:fldChar w:fldCharType="separate"/>
          </w:r>
          <w:r>
            <w:rPr>
              <w:rFonts w:hint="eastAsia" w:ascii="宋体" w:hAnsi="宋体" w:cs="宋体"/>
              <w:szCs w:val="24"/>
              <w:lang w:val="zh-CN"/>
            </w:rPr>
            <w:t>55</w:t>
          </w:r>
          <w:r>
            <w:rPr>
              <w:rFonts w:hint="eastAsia" w:ascii="宋体" w:hAnsi="宋体" w:cs="宋体"/>
              <w:szCs w:val="24"/>
              <w:lang w:val="zh-CN"/>
            </w:rPr>
            <w:fldChar w:fldCharType="end"/>
          </w:r>
          <w:r>
            <w:rPr>
              <w:rFonts w:hint="eastAsia" w:ascii="宋体" w:hAnsi="宋体" w:cs="宋体"/>
              <w:szCs w:val="24"/>
              <w:lang w:val="zh-CN"/>
            </w:rPr>
            <w:fldChar w:fldCharType="end"/>
          </w:r>
        </w:p>
        <w:p>
          <w:pPr>
            <w:pStyle w:val="18"/>
            <w:tabs>
              <w:tab w:val="right" w:leader="dot" w:pos="8306"/>
            </w:tabs>
            <w:ind w:firstLine="482"/>
            <w:rPr>
              <w:rFonts w:ascii="宋体" w:hAnsi="宋体" w:cs="宋体"/>
              <w:szCs w:val="24"/>
              <w:lang w:val="zh-CN"/>
            </w:rPr>
            <w:sectPr>
              <w:footerReference r:id="rId4" w:type="default"/>
              <w:pgSz w:w="11906" w:h="16838"/>
              <w:pgMar w:top="1440" w:right="1800" w:bottom="1440" w:left="1800" w:header="851" w:footer="992" w:gutter="0"/>
              <w:pgBorders w:offsetFrom="page">
                <w:top w:val="single" w:color="auto" w:sz="18" w:space="24"/>
                <w:left w:val="single" w:color="auto" w:sz="18" w:space="24"/>
                <w:bottom w:val="single" w:color="auto" w:sz="18" w:space="24"/>
                <w:right w:val="single" w:color="auto" w:sz="18" w:space="24"/>
              </w:pgBorders>
              <w:pgNumType w:start="1"/>
              <w:cols w:space="425" w:num="1"/>
              <w:docGrid w:type="lines" w:linePitch="312" w:charSpace="0"/>
            </w:sectPr>
          </w:pPr>
          <w:r>
            <w:rPr>
              <w:rFonts w:hint="eastAsia" w:ascii="宋体" w:hAnsi="宋体" w:cs="宋体"/>
              <w:szCs w:val="24"/>
              <w:lang w:val="zh-CN"/>
            </w:rPr>
            <w:fldChar w:fldCharType="end"/>
          </w:r>
        </w:p>
      </w:sdtContent>
    </w:sdt>
    <w:p>
      <w:pPr>
        <w:pStyle w:val="3"/>
      </w:pPr>
      <w:bookmarkStart w:id="1" w:name="_Toc32174"/>
      <w:r>
        <w:rPr>
          <w:rFonts w:hint="eastAsia"/>
        </w:rPr>
        <w:t>第一部分  磋商公告</w:t>
      </w:r>
      <w:bookmarkEnd w:id="0"/>
      <w:bookmarkEnd w:id="1"/>
    </w:p>
    <w:p>
      <w:pPr>
        <w:autoSpaceDE w:val="0"/>
        <w:autoSpaceDN w:val="0"/>
        <w:ind w:firstLine="630" w:firstLineChars="30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u w:val="single"/>
          <w:lang w:val="zh-CN"/>
        </w:rPr>
        <w:t>青海鑫融工程项目管理咨询有限公司</w:t>
      </w:r>
      <w:r>
        <w:rPr>
          <w:rFonts w:hint="eastAsia" w:asciiTheme="minorEastAsia" w:hAnsiTheme="minorEastAsia" w:eastAsiaTheme="minorEastAsia" w:cstheme="minorEastAsia"/>
          <w:kern w:val="0"/>
          <w:szCs w:val="21"/>
          <w:lang w:val="zh-CN"/>
        </w:rPr>
        <w:t>受</w:t>
      </w:r>
      <w:r>
        <w:rPr>
          <w:rFonts w:hint="eastAsia" w:asciiTheme="minorEastAsia" w:hAnsiTheme="minorEastAsia" w:eastAsiaTheme="minorEastAsia" w:cstheme="minorEastAsia"/>
          <w:kern w:val="0"/>
          <w:szCs w:val="21"/>
          <w:u w:val="single"/>
          <w:lang w:val="zh-CN"/>
        </w:rPr>
        <w:t>青海大学</w:t>
      </w:r>
      <w:r>
        <w:rPr>
          <w:rFonts w:hint="eastAsia" w:asciiTheme="minorEastAsia" w:hAnsiTheme="minorEastAsia" w:eastAsiaTheme="minorEastAsia" w:cstheme="minorEastAsia"/>
          <w:kern w:val="0"/>
          <w:szCs w:val="21"/>
          <w:lang w:val="zh-CN"/>
        </w:rPr>
        <w:t>委托，拟对</w:t>
      </w:r>
      <w:r>
        <w:rPr>
          <w:rFonts w:hint="eastAsia" w:asciiTheme="minorEastAsia" w:hAnsiTheme="minorEastAsia" w:eastAsiaTheme="minorEastAsia" w:cstheme="minorEastAsia"/>
          <w:kern w:val="0"/>
          <w:szCs w:val="21"/>
          <w:u w:val="single"/>
          <w:lang w:val="zh-CN"/>
        </w:rPr>
        <w:t>青海大学万联楼改造项目（青海鑫融磋商（工程）2020-39）</w:t>
      </w:r>
      <w:r>
        <w:rPr>
          <w:rFonts w:hint="eastAsia" w:asciiTheme="minorEastAsia" w:hAnsiTheme="minorEastAsia" w:eastAsiaTheme="minorEastAsia" w:cstheme="minorEastAsia"/>
          <w:kern w:val="0"/>
          <w:szCs w:val="21"/>
          <w:lang w:val="zh-CN"/>
        </w:rPr>
        <w:t>进行国内竞争性磋商，现予以公告，欢迎符合条件的供应商前来参加投标。</w:t>
      </w:r>
    </w:p>
    <w:tbl>
      <w:tblPr>
        <w:tblStyle w:val="25"/>
        <w:tblW w:w="8472" w:type="dxa"/>
        <w:jc w:val="center"/>
        <w:tblLayout w:type="fixed"/>
        <w:tblCellMar>
          <w:top w:w="0" w:type="dxa"/>
          <w:left w:w="57" w:type="dxa"/>
          <w:bottom w:w="0" w:type="dxa"/>
          <w:right w:w="57" w:type="dxa"/>
        </w:tblCellMar>
      </w:tblPr>
      <w:tblGrid>
        <w:gridCol w:w="2015"/>
        <w:gridCol w:w="6457"/>
      </w:tblGrid>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采购项目编号</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rPr>
              <w:t>青海鑫融磋商（工程）2020-39</w:t>
            </w:r>
          </w:p>
        </w:tc>
      </w:tr>
      <w:tr>
        <w:tblPrEx>
          <w:tblCellMar>
            <w:top w:w="0" w:type="dxa"/>
            <w:left w:w="57" w:type="dxa"/>
            <w:bottom w:w="0" w:type="dxa"/>
            <w:right w:w="57" w:type="dxa"/>
          </w:tblCellMar>
        </w:tblPrEx>
        <w:trPr>
          <w:trHeight w:val="378"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采购项目名称</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青海大学万联楼改造项目</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采购方式</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竞争性磋商</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采购预算控制额度</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pPr>
            <w:r>
              <w:rPr>
                <w:rFonts w:hint="eastAsia" w:asciiTheme="minorEastAsia" w:hAnsiTheme="minorEastAsia" w:eastAsiaTheme="minorEastAsia" w:cstheme="minorEastAsia"/>
                <w:kern w:val="0"/>
                <w:szCs w:val="21"/>
              </w:rPr>
              <w:t>836275.71元</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最高投标限价</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836275.71元</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项目分包个数</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无</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各标段要求</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具体内容详见《磋商文件》</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供应商资格条件</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jc w:val="left"/>
              <w:rPr>
                <w:lang w:val="zh-CN"/>
              </w:rPr>
            </w:pPr>
            <w:r>
              <w:rPr>
                <w:rFonts w:hint="eastAsia"/>
                <w:lang w:val="zh-CN"/>
              </w:rPr>
              <w:t>1、符合《中华人民共和国政府采购法》第22条的条件：</w:t>
            </w:r>
          </w:p>
          <w:p>
            <w:pPr>
              <w:autoSpaceDE w:val="0"/>
              <w:autoSpaceDN w:val="0"/>
              <w:adjustRightInd w:val="0"/>
              <w:spacing w:line="320" w:lineRule="exact"/>
              <w:jc w:val="left"/>
              <w:rPr>
                <w:lang w:val="zh-CN"/>
              </w:rPr>
            </w:pPr>
            <w:r>
              <w:rPr>
                <w:rFonts w:hint="eastAsia"/>
                <w:lang w:val="zh-CN"/>
              </w:rPr>
              <w:t>（1）具有独立承担民事责任能力；</w:t>
            </w:r>
          </w:p>
          <w:p>
            <w:pPr>
              <w:autoSpaceDE w:val="0"/>
              <w:autoSpaceDN w:val="0"/>
              <w:adjustRightInd w:val="0"/>
              <w:spacing w:line="320" w:lineRule="exact"/>
              <w:jc w:val="left"/>
              <w:rPr>
                <w:lang w:val="zh-CN"/>
              </w:rPr>
            </w:pPr>
            <w:r>
              <w:rPr>
                <w:rFonts w:hint="eastAsia"/>
                <w:lang w:val="zh-CN"/>
              </w:rPr>
              <w:t>（2）具有良好的商业信誉和健全的财务会计制度；</w:t>
            </w:r>
          </w:p>
          <w:p>
            <w:pPr>
              <w:autoSpaceDE w:val="0"/>
              <w:autoSpaceDN w:val="0"/>
              <w:adjustRightInd w:val="0"/>
              <w:spacing w:line="320" w:lineRule="exact"/>
              <w:jc w:val="left"/>
              <w:rPr>
                <w:lang w:val="zh-CN"/>
              </w:rPr>
            </w:pPr>
            <w:r>
              <w:rPr>
                <w:rFonts w:hint="eastAsia"/>
                <w:lang w:val="zh-CN"/>
              </w:rPr>
              <w:t>（3）具有履行合同所必需的设备和专业技术能力；</w:t>
            </w:r>
          </w:p>
          <w:p>
            <w:pPr>
              <w:autoSpaceDE w:val="0"/>
              <w:autoSpaceDN w:val="0"/>
              <w:adjustRightInd w:val="0"/>
              <w:spacing w:line="320" w:lineRule="exact"/>
              <w:jc w:val="left"/>
              <w:rPr>
                <w:lang w:val="zh-CN"/>
              </w:rPr>
            </w:pPr>
            <w:r>
              <w:rPr>
                <w:rFonts w:hint="eastAsia"/>
                <w:lang w:val="zh-CN"/>
              </w:rPr>
              <w:t>（4）有依法缴纳税收和社会保障资金的良好记录；</w:t>
            </w:r>
          </w:p>
          <w:p>
            <w:pPr>
              <w:autoSpaceDE w:val="0"/>
              <w:autoSpaceDN w:val="0"/>
              <w:adjustRightInd w:val="0"/>
              <w:spacing w:line="320" w:lineRule="exact"/>
              <w:jc w:val="left"/>
              <w:rPr>
                <w:lang w:val="zh-CN"/>
              </w:rPr>
            </w:pPr>
            <w:r>
              <w:rPr>
                <w:rFonts w:hint="eastAsia"/>
                <w:lang w:val="zh-CN"/>
              </w:rPr>
              <w:t>（5）参加政府采购活动前三年内，在经营活动中没有重大违法记录；</w:t>
            </w:r>
          </w:p>
          <w:p>
            <w:pPr>
              <w:autoSpaceDE w:val="0"/>
              <w:autoSpaceDN w:val="0"/>
              <w:adjustRightInd w:val="0"/>
              <w:spacing w:line="320" w:lineRule="exact"/>
              <w:jc w:val="left"/>
              <w:rPr>
                <w:lang w:val="zh-CN"/>
              </w:rPr>
            </w:pPr>
            <w:r>
              <w:rPr>
                <w:rFonts w:hint="eastAsia"/>
                <w:lang w:val="zh-CN"/>
              </w:rPr>
              <w:t>（6）法律、行政法规规定的其他条件。</w:t>
            </w:r>
          </w:p>
          <w:p>
            <w:pPr>
              <w:autoSpaceDE w:val="0"/>
              <w:autoSpaceDN w:val="0"/>
              <w:adjustRightInd w:val="0"/>
              <w:spacing w:line="320" w:lineRule="exact"/>
              <w:jc w:val="left"/>
              <w:rPr>
                <w:lang w:val="zh-CN"/>
              </w:rPr>
            </w:pPr>
            <w:r>
              <w:rPr>
                <w:rFonts w:hint="eastAsia"/>
                <w:lang w:val="zh-CN"/>
              </w:rPr>
              <w:t>2、磋商文件规定的其他资质条件：</w:t>
            </w:r>
          </w:p>
          <w:p>
            <w:pPr>
              <w:autoSpaceDE w:val="0"/>
              <w:autoSpaceDN w:val="0"/>
              <w:adjustRightInd w:val="0"/>
              <w:spacing w:line="320" w:lineRule="exact"/>
              <w:jc w:val="left"/>
              <w:rPr>
                <w:highlight w:val="yellow"/>
                <w:lang w:val="zh-CN"/>
              </w:rPr>
            </w:pPr>
            <w:r>
              <w:rPr>
                <w:rFonts w:hint="eastAsia"/>
                <w:lang w:val="zh-CN"/>
              </w:rPr>
              <w:t>（1）投标人须具</w:t>
            </w:r>
            <w:r>
              <w:rPr>
                <w:rFonts w:hint="eastAsia"/>
                <w:highlight w:val="none"/>
                <w:lang w:val="zh-CN"/>
              </w:rPr>
              <w:t>备房屋建筑工程施工总承包三级</w:t>
            </w:r>
            <w:r>
              <w:rPr>
                <w:rFonts w:hint="eastAsia"/>
                <w:lang w:val="zh-CN"/>
              </w:rPr>
              <w:t>和建筑装修装饰工程专业承包二级（含）及以上资质；具有安全生产许可证；并在人员、设备资金等方面具有相应的施工能力；</w:t>
            </w:r>
          </w:p>
          <w:p>
            <w:pPr>
              <w:autoSpaceDE w:val="0"/>
              <w:autoSpaceDN w:val="0"/>
              <w:adjustRightInd w:val="0"/>
              <w:spacing w:line="320" w:lineRule="exact"/>
              <w:jc w:val="left"/>
              <w:rPr>
                <w:lang w:val="zh-CN"/>
              </w:rPr>
            </w:pPr>
            <w:r>
              <w:rPr>
                <w:rFonts w:hint="eastAsia"/>
                <w:lang w:val="zh-CN"/>
              </w:rPr>
              <w:t>（2）拟派项目经理须具备建筑工程专业二级及以上注册建造师执业资格，且有效的安全生产考核合格证书；拟</w:t>
            </w:r>
            <w:r>
              <w:rPr>
                <w:rFonts w:hint="eastAsia"/>
                <w:highlight w:val="none"/>
                <w:lang w:val="zh-CN"/>
              </w:rPr>
              <w:t>派技术负责人</w:t>
            </w:r>
            <w:r>
              <w:rPr>
                <w:rFonts w:hint="eastAsia"/>
                <w:lang w:val="zh-CN"/>
              </w:rPr>
              <w:t>须具备</w:t>
            </w:r>
            <w:bookmarkStart w:id="801" w:name="_GoBack"/>
            <w:r>
              <w:rPr>
                <w:rFonts w:hint="eastAsia"/>
                <w:lang w:val="zh-CN"/>
              </w:rPr>
              <w:t>高级职称</w:t>
            </w:r>
            <w:bookmarkEnd w:id="801"/>
            <w:r>
              <w:rPr>
                <w:rFonts w:hint="eastAsia"/>
                <w:lang w:val="zh-CN"/>
              </w:rPr>
              <w:t>；投标人在本项目中拟定的技术人员中需包含一名安全员且持有效证件；</w:t>
            </w:r>
          </w:p>
          <w:p>
            <w:pPr>
              <w:autoSpaceDE w:val="0"/>
              <w:autoSpaceDN w:val="0"/>
              <w:adjustRightInd w:val="0"/>
              <w:spacing w:line="320" w:lineRule="exact"/>
              <w:jc w:val="left"/>
              <w:rPr>
                <w:lang w:val="zh-CN"/>
              </w:rPr>
            </w:pPr>
            <w:r>
              <w:rPr>
                <w:rFonts w:hint="eastAsia"/>
                <w:lang w:val="zh-CN"/>
              </w:rPr>
              <w:t>（</w:t>
            </w:r>
            <w:r>
              <w:rPr>
                <w:rFonts w:hint="eastAsia"/>
              </w:rPr>
              <w:t>3</w:t>
            </w:r>
            <w:r>
              <w:rPr>
                <w:rFonts w:hint="eastAsia"/>
                <w:lang w:val="zh-CN"/>
              </w:rPr>
              <w:t>）信誉要求：有良好的信誉，自201</w:t>
            </w:r>
            <w:r>
              <w:rPr>
                <w:rFonts w:hint="eastAsia"/>
              </w:rPr>
              <w:t>7</w:t>
            </w:r>
            <w:r>
              <w:rPr>
                <w:rFonts w:hint="eastAsia"/>
                <w:lang w:val="zh-CN"/>
              </w:rPr>
              <w:t>年</w:t>
            </w:r>
            <w:r>
              <w:rPr>
                <w:rFonts w:hint="eastAsia"/>
              </w:rPr>
              <w:t>1</w:t>
            </w:r>
            <w:r>
              <w:rPr>
                <w:rFonts w:hint="eastAsia"/>
                <w:lang w:val="zh-CN"/>
              </w:rPr>
              <w:t>月1日至本项目发布磋商公告之日止，未因安全、质量、违法违纪问题被国家和青海省建设行政主管部门禁止、限制投标活动的情形；</w:t>
            </w:r>
          </w:p>
          <w:p>
            <w:pPr>
              <w:autoSpaceDE w:val="0"/>
              <w:autoSpaceDN w:val="0"/>
              <w:adjustRightInd w:val="0"/>
              <w:spacing w:line="320" w:lineRule="exact"/>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adjustRightInd w:val="0"/>
              <w:spacing w:line="320" w:lineRule="exact"/>
              <w:jc w:val="left"/>
              <w:rPr>
                <w:lang w:val="zh-CN"/>
              </w:rPr>
            </w:pPr>
            <w:r>
              <w:rPr>
                <w:rFonts w:hint="eastAsia"/>
                <w:lang w:val="zh-CN"/>
              </w:rPr>
              <w:t xml:space="preserve">4、省外投标人须提供有效的进青备案登记证明；          </w:t>
            </w:r>
          </w:p>
          <w:p>
            <w:pPr>
              <w:autoSpaceDE w:val="0"/>
              <w:autoSpaceDN w:val="0"/>
              <w:adjustRightInd w:val="0"/>
              <w:spacing w:line="320" w:lineRule="exact"/>
              <w:jc w:val="left"/>
              <w:rPr>
                <w:lang w:val="zh-CN"/>
              </w:rPr>
            </w:pPr>
            <w:r>
              <w:rPr>
                <w:rFonts w:hint="eastAsia"/>
                <w:lang w:val="zh-CN"/>
              </w:rPr>
              <w:t xml:space="preserve">5、本次招标不接受联合体投标；                     </w:t>
            </w:r>
          </w:p>
          <w:p>
            <w:pPr>
              <w:autoSpaceDE w:val="0"/>
              <w:autoSpaceDN w:val="0"/>
              <w:adjustRightInd w:val="0"/>
              <w:spacing w:line="320" w:lineRule="exact"/>
              <w:jc w:val="left"/>
              <w:rPr>
                <w:lang w:val="zh-CN"/>
              </w:rPr>
            </w:pPr>
            <w:r>
              <w:rPr>
                <w:rFonts w:hint="eastAsia"/>
                <w:lang w:val="zh-CN"/>
              </w:rPr>
              <w:t>6、磋商文件规定的其他要求。</w:t>
            </w:r>
          </w:p>
          <w:p>
            <w:pPr>
              <w:autoSpaceDE w:val="0"/>
              <w:autoSpaceDN w:val="0"/>
              <w:adjustRightInd w:val="0"/>
              <w:spacing w:line="320" w:lineRule="exact"/>
              <w:jc w:val="left"/>
            </w:pPr>
            <w:r>
              <w:rPr>
                <w:rFonts w:hint="eastAsia"/>
              </w:rPr>
              <w:t>7、投标人须提供现场勘查证明回执。</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磋商公告发布时间</w:t>
            </w:r>
          </w:p>
        </w:tc>
        <w:tc>
          <w:tcPr>
            <w:tcW w:w="6457" w:type="dxa"/>
            <w:tcBorders>
              <w:top w:val="single" w:color="000000" w:sz="6" w:space="0"/>
              <w:left w:val="single" w:color="000000" w:sz="6" w:space="0"/>
              <w:bottom w:val="single" w:color="000000" w:sz="6" w:space="0"/>
              <w:right w:val="single" w:color="000000" w:sz="6" w:space="0"/>
            </w:tcBorders>
            <w:vAlign w:val="center"/>
          </w:tcPr>
          <w:p>
            <w:pPr>
              <w:pStyle w:val="45"/>
              <w:autoSpaceDE w:val="0"/>
              <w:autoSpaceDN w:val="0"/>
              <w:spacing w:line="340" w:lineRule="exact"/>
              <w:ind w:firstLine="0" w:firstLineChars="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color w:val="000000" w:themeColor="text1"/>
                <w:kern w:val="0"/>
                <w:szCs w:val="21"/>
                <w:lang w:val="zh-CN"/>
              </w:rPr>
              <w:t>20</w:t>
            </w:r>
            <w:r>
              <w:rPr>
                <w:rFonts w:hint="eastAsia" w:asciiTheme="minorEastAsia" w:hAnsiTheme="minorEastAsia" w:eastAsiaTheme="minorEastAsia" w:cstheme="minorEastAsia"/>
                <w:color w:val="000000" w:themeColor="text1"/>
                <w:kern w:val="0"/>
                <w:szCs w:val="21"/>
              </w:rPr>
              <w:t>20</w:t>
            </w:r>
            <w:r>
              <w:rPr>
                <w:rFonts w:hint="eastAsia" w:asciiTheme="minorEastAsia" w:hAnsiTheme="minorEastAsia" w:eastAsiaTheme="minorEastAsia" w:cstheme="minorEastAsia"/>
                <w:color w:val="000000" w:themeColor="text1"/>
                <w:kern w:val="0"/>
                <w:szCs w:val="21"/>
                <w:lang w:val="zh-CN"/>
              </w:rPr>
              <w:t>年</w:t>
            </w:r>
            <w:r>
              <w:rPr>
                <w:rFonts w:hint="eastAsia" w:asciiTheme="minorEastAsia" w:hAnsiTheme="minorEastAsia" w:eastAsiaTheme="minorEastAsia" w:cstheme="minorEastAsia"/>
                <w:color w:val="000000" w:themeColor="text1"/>
                <w:kern w:val="0"/>
                <w:szCs w:val="21"/>
              </w:rPr>
              <w:t>9</w:t>
            </w:r>
            <w:r>
              <w:rPr>
                <w:rFonts w:hint="eastAsia" w:asciiTheme="minorEastAsia" w:hAnsiTheme="minorEastAsia" w:eastAsiaTheme="minorEastAsia" w:cstheme="minorEastAsia"/>
                <w:color w:val="000000" w:themeColor="text1"/>
                <w:kern w:val="0"/>
                <w:szCs w:val="21"/>
                <w:lang w:val="zh-CN"/>
              </w:rPr>
              <w:t>月</w:t>
            </w:r>
            <w:r>
              <w:rPr>
                <w:rFonts w:hint="eastAsia" w:asciiTheme="minorEastAsia" w:hAnsiTheme="minorEastAsia" w:eastAsiaTheme="minorEastAsia" w:cstheme="minorEastAsia"/>
                <w:color w:val="000000" w:themeColor="text1"/>
                <w:kern w:val="0"/>
                <w:szCs w:val="21"/>
              </w:rPr>
              <w:t>23</w:t>
            </w:r>
            <w:r>
              <w:rPr>
                <w:rFonts w:hint="eastAsia" w:asciiTheme="minorEastAsia" w:hAnsiTheme="minorEastAsia" w:eastAsiaTheme="minorEastAsia" w:cstheme="minorEastAsia"/>
                <w:color w:val="000000" w:themeColor="text1"/>
                <w:kern w:val="0"/>
                <w:szCs w:val="21"/>
                <w:lang w:val="zh-CN"/>
              </w:rPr>
              <w:t>日</w:t>
            </w:r>
          </w:p>
        </w:tc>
      </w:tr>
      <w:tr>
        <w:tblPrEx>
          <w:tblCellMar>
            <w:top w:w="0" w:type="dxa"/>
            <w:left w:w="57" w:type="dxa"/>
            <w:bottom w:w="0" w:type="dxa"/>
            <w:right w:w="57" w:type="dxa"/>
          </w:tblCellMar>
        </w:tblPrEx>
        <w:trPr>
          <w:trHeight w:val="90"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磋商文件发售起止时间</w:t>
            </w:r>
          </w:p>
        </w:tc>
        <w:tc>
          <w:tcPr>
            <w:tcW w:w="6457" w:type="dxa"/>
            <w:tcBorders>
              <w:top w:val="single" w:color="000000" w:sz="6" w:space="0"/>
              <w:left w:val="single" w:color="000000" w:sz="6" w:space="0"/>
              <w:bottom w:val="single" w:color="000000" w:sz="6" w:space="0"/>
              <w:right w:val="single" w:color="000000" w:sz="6" w:space="0"/>
            </w:tcBorders>
            <w:vAlign w:val="center"/>
          </w:tcPr>
          <w:p>
            <w:pPr>
              <w:pStyle w:val="45"/>
              <w:autoSpaceDE w:val="0"/>
              <w:autoSpaceDN w:val="0"/>
              <w:spacing w:line="340" w:lineRule="exact"/>
              <w:ind w:firstLine="0" w:firstLineChars="0"/>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20</w:t>
            </w:r>
            <w:r>
              <w:rPr>
                <w:rFonts w:hint="eastAsia" w:asciiTheme="minorEastAsia" w:hAnsiTheme="minorEastAsia" w:eastAsiaTheme="minorEastAsia" w:cstheme="minorEastAsia"/>
                <w:kern w:val="0"/>
                <w:szCs w:val="21"/>
              </w:rPr>
              <w:t>20</w:t>
            </w:r>
            <w:r>
              <w:rPr>
                <w:rFonts w:hint="eastAsia" w:asciiTheme="minorEastAsia" w:hAnsiTheme="minorEastAsia" w:eastAsiaTheme="minorEastAsia" w:cstheme="minorEastAsia"/>
                <w:kern w:val="0"/>
                <w:szCs w:val="21"/>
                <w:lang w:val="zh-CN"/>
              </w:rPr>
              <w:t>年</w:t>
            </w:r>
            <w:r>
              <w:rPr>
                <w:rFonts w:hint="eastAsia" w:asciiTheme="minorEastAsia" w:hAnsiTheme="minorEastAsia" w:eastAsiaTheme="minorEastAsia" w:cstheme="minorEastAsia"/>
                <w:kern w:val="0"/>
                <w:szCs w:val="21"/>
              </w:rPr>
              <w:t>9</w:t>
            </w:r>
            <w:r>
              <w:rPr>
                <w:rFonts w:hint="eastAsia" w:asciiTheme="minorEastAsia" w:hAnsiTheme="minorEastAsia" w:eastAsiaTheme="minorEastAsia" w:cstheme="minorEastAsia"/>
                <w:kern w:val="0"/>
                <w:szCs w:val="21"/>
                <w:lang w:val="zh-CN"/>
              </w:rPr>
              <w:t>月</w:t>
            </w:r>
            <w:r>
              <w:rPr>
                <w:rFonts w:hint="eastAsia" w:asciiTheme="minorEastAsia" w:hAnsiTheme="minorEastAsia" w:eastAsiaTheme="minorEastAsia" w:cstheme="minorEastAsia"/>
                <w:kern w:val="0"/>
                <w:szCs w:val="21"/>
              </w:rPr>
              <w:t>24</w:t>
            </w:r>
            <w:r>
              <w:rPr>
                <w:rFonts w:hint="eastAsia" w:asciiTheme="minorEastAsia" w:hAnsiTheme="minorEastAsia" w:eastAsiaTheme="minorEastAsia" w:cstheme="minorEastAsia"/>
                <w:kern w:val="0"/>
                <w:szCs w:val="21"/>
                <w:lang w:val="zh-CN"/>
              </w:rPr>
              <w:t>日至20</w:t>
            </w:r>
            <w:r>
              <w:rPr>
                <w:rFonts w:hint="eastAsia" w:asciiTheme="minorEastAsia" w:hAnsiTheme="minorEastAsia" w:eastAsiaTheme="minorEastAsia" w:cstheme="minorEastAsia"/>
                <w:kern w:val="0"/>
                <w:szCs w:val="21"/>
              </w:rPr>
              <w:t>20</w:t>
            </w:r>
            <w:r>
              <w:rPr>
                <w:rFonts w:hint="eastAsia" w:asciiTheme="minorEastAsia" w:hAnsiTheme="minorEastAsia" w:eastAsiaTheme="minorEastAsia" w:cstheme="minorEastAsia"/>
                <w:kern w:val="0"/>
                <w:szCs w:val="21"/>
                <w:lang w:val="zh-CN"/>
              </w:rPr>
              <w:t>年</w:t>
            </w:r>
            <w:r>
              <w:rPr>
                <w:rFonts w:hint="eastAsia" w:asciiTheme="minorEastAsia" w:hAnsiTheme="minorEastAsia" w:eastAsiaTheme="minorEastAsia" w:cstheme="minorEastAsia"/>
                <w:kern w:val="0"/>
                <w:szCs w:val="21"/>
              </w:rPr>
              <w:t>9</w:t>
            </w:r>
            <w:r>
              <w:rPr>
                <w:rFonts w:hint="eastAsia" w:asciiTheme="minorEastAsia" w:hAnsiTheme="minorEastAsia" w:eastAsiaTheme="minorEastAsia" w:cstheme="minorEastAsia"/>
                <w:kern w:val="0"/>
                <w:szCs w:val="21"/>
                <w:lang w:val="zh-CN"/>
              </w:rPr>
              <w:t>月</w:t>
            </w:r>
            <w:r>
              <w:rPr>
                <w:rFonts w:hint="eastAsia" w:asciiTheme="minorEastAsia" w:hAnsiTheme="minorEastAsia" w:eastAsiaTheme="minorEastAsia" w:cstheme="minorEastAsia"/>
                <w:kern w:val="0"/>
                <w:szCs w:val="21"/>
              </w:rPr>
              <w:t>29</w:t>
            </w:r>
            <w:r>
              <w:rPr>
                <w:rFonts w:hint="eastAsia" w:asciiTheme="minorEastAsia" w:hAnsiTheme="minorEastAsia" w:eastAsiaTheme="minorEastAsia" w:cstheme="minorEastAsia"/>
                <w:kern w:val="0"/>
                <w:szCs w:val="21"/>
                <w:lang w:val="zh-CN"/>
              </w:rPr>
              <w:t>日每日上午</w:t>
            </w:r>
            <w:r>
              <w:rPr>
                <w:rFonts w:hint="eastAsia" w:asciiTheme="minorEastAsia" w:hAnsiTheme="minorEastAsia" w:eastAsiaTheme="minorEastAsia" w:cstheme="minorEastAsia"/>
                <w:kern w:val="0"/>
                <w:szCs w:val="21"/>
              </w:rPr>
              <w:t>09</w:t>
            </w: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rPr>
              <w:t>00</w:t>
            </w:r>
            <w:r>
              <w:rPr>
                <w:rFonts w:hint="eastAsia" w:asciiTheme="minorEastAsia" w:hAnsiTheme="minorEastAsia" w:eastAsiaTheme="minorEastAsia" w:cstheme="minorEastAsia"/>
                <w:kern w:val="0"/>
                <w:szCs w:val="21"/>
                <w:lang w:val="zh-CN"/>
              </w:rPr>
              <w:t>时至12:00时，下午14：30时至</w:t>
            </w:r>
            <w:r>
              <w:rPr>
                <w:rFonts w:hint="eastAsia" w:asciiTheme="minorEastAsia" w:hAnsiTheme="minorEastAsia" w:eastAsiaTheme="minorEastAsia" w:cstheme="minorEastAsia"/>
                <w:kern w:val="0"/>
                <w:szCs w:val="21"/>
              </w:rPr>
              <w:t>17</w:t>
            </w: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rPr>
              <w:t>00</w:t>
            </w:r>
            <w:r>
              <w:rPr>
                <w:rFonts w:hint="eastAsia" w:asciiTheme="minorEastAsia" w:hAnsiTheme="minorEastAsia" w:eastAsiaTheme="minorEastAsia" w:cstheme="minorEastAsia"/>
                <w:kern w:val="0"/>
                <w:szCs w:val="21"/>
                <w:lang w:val="zh-CN"/>
              </w:rPr>
              <w:t>时（午休、节假日除外）</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磋商文件发售方式</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网上购买。</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（注：提供报名资料后缴款（缴款方式为转账），如有转款错误不予退还。）</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磋商文件售价</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rPr>
              <w:t>磋商文件：500.00</w:t>
            </w:r>
            <w:r>
              <w:rPr>
                <w:rFonts w:hint="eastAsia" w:asciiTheme="minorEastAsia" w:hAnsiTheme="minorEastAsia" w:eastAsiaTheme="minorEastAsia" w:cstheme="minorEastAsia"/>
                <w:kern w:val="0"/>
                <w:szCs w:val="21"/>
                <w:lang w:val="zh-CN"/>
              </w:rPr>
              <w:t>元（磋商文件售后不退, 投标资格不能转让）</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收款单位：青海鑫融工程项目管理咨询有限公司</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开 户 行：青海银行股份有限公司交通巷支行</w:t>
            </w:r>
          </w:p>
          <w:p>
            <w:pPr>
              <w:autoSpaceDE w:val="0"/>
              <w:autoSpaceDN w:val="0"/>
              <w:spacing w:line="3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银行账号：0801201000063177（标书款及代理费专用账户）</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磋商文件发售地点</w:t>
            </w:r>
          </w:p>
        </w:tc>
        <w:tc>
          <w:tcPr>
            <w:tcW w:w="6457" w:type="dxa"/>
            <w:tcBorders>
              <w:top w:val="single" w:color="000000" w:sz="6" w:space="0"/>
              <w:left w:val="single" w:color="000000" w:sz="6" w:space="0"/>
              <w:bottom w:val="single" w:color="000000" w:sz="6" w:space="0"/>
              <w:right w:val="single" w:color="000000" w:sz="6" w:space="0"/>
            </w:tcBorders>
            <w:vAlign w:val="center"/>
          </w:tcPr>
          <w:p>
            <w:pPr>
              <w:widowControl/>
              <w:spacing w:line="280" w:lineRule="atLeas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采购代理机构名称：青海鑫融工程项目管理咨询有限公司</w:t>
            </w:r>
          </w:p>
          <w:p>
            <w:pPr>
              <w:widowControl/>
              <w:spacing w:line="280" w:lineRule="atLeas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(地址：西宁市五四西路61号A座11楼1113室（新华联国际中心A栋））</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标书购买联系人：沈先生</w:t>
            </w:r>
          </w:p>
          <w:p>
            <w:pPr>
              <w:autoSpaceDE w:val="0"/>
              <w:autoSpaceDN w:val="0"/>
              <w:adjustRightInd w:val="0"/>
              <w:spacing w:line="32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 xml:space="preserve">联系电话：0971-8166685  </w:t>
            </w:r>
            <w:r>
              <w:rPr>
                <w:rFonts w:hint="eastAsia" w:asciiTheme="minorEastAsia" w:hAnsiTheme="minorEastAsia" w:eastAsiaTheme="minorEastAsia" w:cstheme="minorEastAsia"/>
                <w:kern w:val="0"/>
                <w:szCs w:val="21"/>
              </w:rPr>
              <w:t xml:space="preserve">    </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电子邮箱：QHXR2014@163.com</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购买磋商文件时应提供材料</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投标人的营业执照、组织机构代码证、税务登记证（或三证合一）、公司开户许可证、公司介绍信或法人授权委托书（原件）及法人身份证和代理人身份证。（以上资料均为彩色复印件，且须加盖公章。）</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（采购代理机构对以上资料留存备案。）</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提交响应文件截止时间</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2020年10月9日上午10时00分（北京时间）</w:t>
            </w:r>
          </w:p>
        </w:tc>
      </w:tr>
      <w:tr>
        <w:tblPrEx>
          <w:tblCellMar>
            <w:top w:w="0" w:type="dxa"/>
            <w:left w:w="57" w:type="dxa"/>
            <w:bottom w:w="0" w:type="dxa"/>
            <w:right w:w="57" w:type="dxa"/>
          </w:tblCellMar>
        </w:tblPrEx>
        <w:trPr>
          <w:trHeight w:val="262"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响应文件开启</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2020年10月9日上午10时00分（北京时间）</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b/>
                <w:bCs/>
                <w:szCs w:val="21"/>
              </w:rPr>
              <w:t>提交响应文件地点</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青海鑫融工程项目管理咨询有限公司开标室</w:t>
            </w:r>
            <w:r>
              <w:rPr>
                <w:rFonts w:hint="eastAsia" w:asciiTheme="minorEastAsia" w:hAnsiTheme="minorEastAsia" w:eastAsiaTheme="minorEastAsia" w:cstheme="minorEastAsia"/>
                <w:kern w:val="0"/>
                <w:szCs w:val="21"/>
              </w:rPr>
              <w:t xml:space="preserve">   </w:t>
            </w:r>
          </w:p>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（西宁市五四西路61号A座11楼1113室（新华联国际中心A栋））</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采购单位及联系人电话</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采购单位：青海大学</w:t>
            </w:r>
          </w:p>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联系人：梁老师</w:t>
            </w:r>
          </w:p>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联系电话： 13519754741</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采购代理机构机联系人电话</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采购代理机构：青海鑫融工程项目管理咨询有限公司</w:t>
            </w:r>
          </w:p>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联系人：肖女士</w:t>
            </w:r>
          </w:p>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 xml:space="preserve">联系电话：0971-8166685      </w:t>
            </w:r>
          </w:p>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邮箱地址：QHXR2014@163.com</w:t>
            </w:r>
          </w:p>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联系地址：西宁市五四西路61号A座11楼1113室（新华联国际中心A栋）</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采购代理机构开户银行</w:t>
            </w:r>
          </w:p>
        </w:tc>
        <w:tc>
          <w:tcPr>
            <w:tcW w:w="645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中国建设银行股份有限公司青海省分行营业部</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收款人</w:t>
            </w:r>
          </w:p>
        </w:tc>
        <w:tc>
          <w:tcPr>
            <w:tcW w:w="645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青海鑫融工程项目管理咨询有限公司</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银行账号</w:t>
            </w:r>
          </w:p>
        </w:tc>
        <w:tc>
          <w:tcPr>
            <w:tcW w:w="6457" w:type="dxa"/>
            <w:tcBorders>
              <w:top w:val="single" w:color="000000" w:sz="6" w:space="0"/>
              <w:left w:val="single" w:color="000000" w:sz="6" w:space="0"/>
              <w:bottom w:val="single" w:color="000000" w:sz="6" w:space="0"/>
              <w:right w:val="single" w:color="000000" w:sz="6" w:space="0"/>
            </w:tcBorders>
            <w:shd w:val="clear" w:color="auto" w:fill="FFFFFF"/>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6305 0136 3700 0950 0392</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其他事项</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本公告在以下网站予以公布：</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《青海政府采购网》</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w:t>
            </w:r>
            <w:r>
              <w:fldChar w:fldCharType="begin"/>
            </w:r>
            <w:r>
              <w:instrText xml:space="preserve"> HYPERLINK "http://www.ccgp-qinghai.gov.cn/home.html" </w:instrText>
            </w:r>
            <w:r>
              <w:fldChar w:fldCharType="separate"/>
            </w:r>
            <w:r>
              <w:rPr>
                <w:rFonts w:hint="eastAsia" w:asciiTheme="minorEastAsia" w:hAnsiTheme="minorEastAsia" w:eastAsiaTheme="minorEastAsia" w:cstheme="minorEastAsia"/>
                <w:kern w:val="0"/>
                <w:szCs w:val="21"/>
                <w:lang w:val="zh-CN"/>
              </w:rPr>
              <w:t>http://www.ccgp-qinghai.gov.cn/home.html</w:t>
            </w:r>
            <w:r>
              <w:rPr>
                <w:rFonts w:hint="eastAsia" w:asciiTheme="minorEastAsia" w:hAnsiTheme="minorEastAsia" w:eastAsiaTheme="minorEastAsia" w:cstheme="minorEastAsia"/>
                <w:kern w:val="0"/>
                <w:szCs w:val="21"/>
                <w:lang w:val="zh-CN"/>
              </w:rPr>
              <w:fldChar w:fldCharType="end"/>
            </w:r>
            <w:r>
              <w:rPr>
                <w:rFonts w:hint="eastAsia" w:asciiTheme="minorEastAsia" w:hAnsiTheme="minorEastAsia" w:eastAsiaTheme="minorEastAsia" w:cstheme="minorEastAsia"/>
                <w:kern w:val="0"/>
                <w:szCs w:val="21"/>
                <w:lang w:val="zh-CN"/>
              </w:rPr>
              <w:t>）</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《青海省公共资源交易网》</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（http://111.44.251.34）；</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《青海项目信息网》</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（http://www.qhei.</w:t>
            </w:r>
            <w:r>
              <w:rPr>
                <w:rFonts w:hint="eastAsia" w:asciiTheme="minorEastAsia" w:hAnsiTheme="minorEastAsia" w:eastAsiaTheme="minorEastAsia" w:cstheme="minorEastAsia"/>
                <w:kern w:val="0"/>
                <w:szCs w:val="21"/>
              </w:rPr>
              <w:t>net</w:t>
            </w:r>
            <w:r>
              <w:rPr>
                <w:rFonts w:hint="eastAsia" w:asciiTheme="minorEastAsia" w:hAnsiTheme="minorEastAsia" w:eastAsiaTheme="minorEastAsia" w:cstheme="minorEastAsia"/>
                <w:kern w:val="0"/>
                <w:szCs w:val="21"/>
                <w:lang w:val="zh-CN"/>
              </w:rPr>
              <w:t>.cn）；</w:t>
            </w:r>
          </w:p>
          <w:p>
            <w:pPr>
              <w:autoSpaceDE w:val="0"/>
              <w:autoSpaceDN w:val="0"/>
              <w:adjustRightInd w:val="0"/>
              <w:snapToGrid w:val="0"/>
              <w:jc w:val="left"/>
              <w:rPr>
                <w:szCs w:val="21"/>
                <w:lang w:val="zh-CN"/>
              </w:rPr>
            </w:pPr>
            <w:r>
              <w:rPr>
                <w:rFonts w:hint="eastAsia" w:asciiTheme="minorEastAsia" w:hAnsiTheme="minorEastAsia" w:eastAsiaTheme="minorEastAsia" w:cstheme="minorEastAsia"/>
                <w:kern w:val="0"/>
                <w:szCs w:val="21"/>
                <w:lang w:val="zh-CN"/>
              </w:rPr>
              <w:t>公告内容以青海政府采购网发布的为准。</w:t>
            </w:r>
          </w:p>
        </w:tc>
      </w:tr>
      <w:tr>
        <w:tblPrEx>
          <w:tblCellMar>
            <w:top w:w="0" w:type="dxa"/>
            <w:left w:w="57" w:type="dxa"/>
            <w:bottom w:w="0" w:type="dxa"/>
            <w:right w:w="57" w:type="dxa"/>
          </w:tblCellMar>
        </w:tblPrEx>
        <w:trPr>
          <w:trHeight w:val="23" w:hRule="atLeast"/>
          <w:jc w:val="center"/>
        </w:trPr>
        <w:tc>
          <w:tcPr>
            <w:tcW w:w="20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财政部门监督电话</w:t>
            </w:r>
          </w:p>
        </w:tc>
        <w:tc>
          <w:tcPr>
            <w:tcW w:w="6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20" w:lineRule="exact"/>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zh-CN"/>
              </w:rPr>
              <w:t>监督单位：青海省财政厅</w:t>
            </w:r>
          </w:p>
          <w:p>
            <w:pPr>
              <w:autoSpaceDE w:val="0"/>
              <w:autoSpaceDN w:val="0"/>
              <w:adjustRightInd w:val="0"/>
              <w:spacing w:line="32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color w:val="000000"/>
                <w:kern w:val="0"/>
                <w:szCs w:val="21"/>
                <w:lang w:val="zh-CN"/>
              </w:rPr>
              <w:t>联系电话：</w:t>
            </w:r>
            <w:r>
              <w:rPr>
                <w:rFonts w:hint="eastAsia" w:asciiTheme="minorEastAsia" w:hAnsiTheme="minorEastAsia" w:eastAsiaTheme="minorEastAsia" w:cstheme="minorEastAsia"/>
                <w:color w:val="000000"/>
                <w:kern w:val="0"/>
                <w:szCs w:val="21"/>
              </w:rPr>
              <w:t>0971-6159677</w:t>
            </w:r>
          </w:p>
        </w:tc>
      </w:tr>
    </w:tbl>
    <w:p>
      <w:pPr>
        <w:spacing w:line="340" w:lineRule="exact"/>
        <w:jc w:val="righ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青海鑫融工程项目管理咨询有限公司</w:t>
      </w:r>
    </w:p>
    <w:p>
      <w:pPr>
        <w:wordWrap w:val="0"/>
        <w:spacing w:line="340" w:lineRule="exact"/>
        <w:ind w:firstLine="480"/>
        <w:jc w:val="right"/>
        <w:rPr>
          <w:rFonts w:ascii="宋体" w:hAnsi="宋体" w:cs="宋体"/>
          <w:kern w:val="0"/>
          <w:lang w:val="zh-CN"/>
        </w:rPr>
      </w:pPr>
      <w:r>
        <w:rPr>
          <w:rFonts w:hint="eastAsia" w:asciiTheme="minorEastAsia" w:hAnsiTheme="minorEastAsia" w:eastAsiaTheme="minorEastAsia" w:cstheme="minorEastAsia"/>
          <w:kern w:val="0"/>
          <w:szCs w:val="21"/>
          <w:lang w:val="zh-CN"/>
        </w:rPr>
        <w:t>20</w:t>
      </w:r>
      <w:r>
        <w:rPr>
          <w:rFonts w:hint="eastAsia" w:asciiTheme="minorEastAsia" w:hAnsiTheme="minorEastAsia" w:eastAsiaTheme="minorEastAsia" w:cstheme="minorEastAsia"/>
          <w:kern w:val="0"/>
          <w:szCs w:val="21"/>
        </w:rPr>
        <w:t>20</w:t>
      </w:r>
      <w:r>
        <w:rPr>
          <w:rFonts w:hint="eastAsia" w:asciiTheme="minorEastAsia" w:hAnsiTheme="minorEastAsia" w:eastAsiaTheme="minorEastAsia" w:cstheme="minorEastAsia"/>
          <w:kern w:val="0"/>
          <w:szCs w:val="21"/>
          <w:lang w:val="zh-CN"/>
        </w:rPr>
        <w:t>年</w:t>
      </w:r>
      <w:r>
        <w:rPr>
          <w:rFonts w:hint="eastAsia" w:asciiTheme="minorEastAsia" w:hAnsiTheme="minorEastAsia" w:eastAsiaTheme="minorEastAsia" w:cstheme="minorEastAsia"/>
          <w:kern w:val="0"/>
          <w:szCs w:val="21"/>
        </w:rPr>
        <w:t>9</w:t>
      </w:r>
      <w:r>
        <w:rPr>
          <w:rFonts w:hint="eastAsia" w:asciiTheme="minorEastAsia" w:hAnsiTheme="minorEastAsia" w:eastAsiaTheme="minorEastAsia" w:cstheme="minorEastAsia"/>
          <w:kern w:val="0"/>
          <w:szCs w:val="21"/>
          <w:lang w:val="zh-CN"/>
        </w:rPr>
        <w:t>月</w:t>
      </w:r>
      <w:r>
        <w:rPr>
          <w:rFonts w:hint="eastAsia" w:asciiTheme="minorEastAsia" w:hAnsiTheme="minorEastAsia" w:eastAsiaTheme="minorEastAsia" w:cstheme="minorEastAsia"/>
          <w:kern w:val="0"/>
          <w:szCs w:val="21"/>
        </w:rPr>
        <w:t>23</w:t>
      </w:r>
      <w:r>
        <w:rPr>
          <w:rFonts w:hint="eastAsia" w:asciiTheme="minorEastAsia" w:hAnsiTheme="minorEastAsia" w:eastAsiaTheme="minorEastAsia" w:cstheme="minorEastAsia"/>
          <w:kern w:val="0"/>
          <w:szCs w:val="21"/>
          <w:lang w:val="zh-CN"/>
        </w:rPr>
        <w:t xml:space="preserve">日  </w:t>
      </w:r>
      <w:r>
        <w:rPr>
          <w:rFonts w:hint="eastAsia" w:ascii="宋体" w:hAnsi="宋体" w:cs="宋体"/>
          <w:kern w:val="0"/>
          <w:lang w:val="zh-CN"/>
        </w:rPr>
        <w:t xml:space="preserve"> </w:t>
      </w:r>
    </w:p>
    <w:p>
      <w:bookmarkStart w:id="2" w:name="_Toc367266322"/>
      <w:bookmarkStart w:id="3" w:name="_Toc26007"/>
      <w:bookmarkStart w:id="4" w:name="_Toc368987472"/>
      <w:bookmarkStart w:id="5" w:name="_Toc365994214"/>
    </w:p>
    <w:p>
      <w:pPr>
        <w:pStyle w:val="3"/>
        <w:sectPr>
          <w:footerReference r:id="rId5" w:type="default"/>
          <w:pgSz w:w="11906" w:h="16838"/>
          <w:pgMar w:top="1440" w:right="1800" w:bottom="1440" w:left="1800" w:header="851" w:footer="992" w:gutter="0"/>
          <w:pgBorders w:offsetFrom="page">
            <w:top w:val="single" w:color="auto" w:sz="18" w:space="24"/>
            <w:left w:val="single" w:color="auto" w:sz="18" w:space="24"/>
            <w:bottom w:val="single" w:color="auto" w:sz="18" w:space="24"/>
            <w:right w:val="single" w:color="auto" w:sz="18" w:space="24"/>
          </w:pgBorders>
          <w:pgNumType w:start="1"/>
          <w:cols w:space="425" w:num="1"/>
          <w:docGrid w:type="lines" w:linePitch="312" w:charSpace="0"/>
        </w:sectPr>
      </w:pPr>
      <w:bookmarkStart w:id="6" w:name="_Toc16300"/>
      <w:bookmarkStart w:id="7" w:name="_Toc2415_WPSOffice_Level1"/>
    </w:p>
    <w:p>
      <w:pPr>
        <w:pStyle w:val="3"/>
      </w:pPr>
      <w:r>
        <w:rPr>
          <w:rFonts w:hint="eastAsia"/>
        </w:rPr>
        <w:t>第二部分</w:t>
      </w:r>
      <w:r>
        <w:t xml:space="preserve"> </w:t>
      </w:r>
      <w:r>
        <w:rPr>
          <w:rFonts w:hint="eastAsia"/>
        </w:rPr>
        <w:t>供应商须知</w:t>
      </w:r>
      <w:bookmarkEnd w:id="2"/>
      <w:bookmarkEnd w:id="3"/>
      <w:bookmarkEnd w:id="4"/>
      <w:bookmarkEnd w:id="5"/>
      <w:r>
        <w:rPr>
          <w:rFonts w:hint="eastAsia"/>
        </w:rPr>
        <w:t>前附表</w:t>
      </w:r>
      <w:bookmarkEnd w:id="6"/>
      <w:bookmarkEnd w:id="7"/>
    </w:p>
    <w:p>
      <w:pPr>
        <w:spacing w:line="460" w:lineRule="exact"/>
        <w:jc w:val="center"/>
        <w:rPr>
          <w:rFonts w:asciiTheme="minorEastAsia" w:hAnsiTheme="minorEastAsia" w:eastAsiaTheme="minorEastAsia" w:cstheme="minorEastAsia"/>
          <w:b/>
          <w:szCs w:val="21"/>
        </w:rPr>
      </w:pPr>
      <w:bookmarkStart w:id="8" w:name="_Toc2991_WPSOffice_Level2"/>
      <w:bookmarkStart w:id="9" w:name="_Toc365994215"/>
      <w:bookmarkStart w:id="10" w:name="_Toc2415_WPSOffice_Level2"/>
      <w:bookmarkStart w:id="11" w:name="_Toc367266323"/>
      <w:bookmarkStart w:id="12" w:name="_Toc7998_WPSOffice_Level2"/>
      <w:bookmarkStart w:id="13" w:name="_Toc14983_WPSOffice_Level2"/>
      <w:r>
        <w:rPr>
          <w:rFonts w:hint="eastAsia" w:asciiTheme="minorEastAsia" w:hAnsiTheme="minorEastAsia" w:eastAsiaTheme="minorEastAsia" w:cstheme="minorEastAsia"/>
          <w:b/>
          <w:szCs w:val="21"/>
        </w:rPr>
        <w:t>供应商须知前附表</w:t>
      </w:r>
      <w:bookmarkEnd w:id="8"/>
      <w:bookmarkEnd w:id="9"/>
      <w:bookmarkEnd w:id="10"/>
      <w:bookmarkEnd w:id="11"/>
      <w:bookmarkEnd w:id="12"/>
      <w:bookmarkEnd w:id="13"/>
    </w:p>
    <w:tbl>
      <w:tblPr>
        <w:tblStyle w:val="25"/>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436"/>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06" w:type="dxa"/>
          </w:tcPr>
          <w:p>
            <w:pPr>
              <w:autoSpaceDE w:val="0"/>
              <w:autoSpaceDN w:val="0"/>
              <w:adjustRightInd w:val="0"/>
              <w:spacing w:line="46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2436" w:type="dxa"/>
          </w:tcPr>
          <w:p>
            <w:pPr>
              <w:autoSpaceDE w:val="0"/>
              <w:autoSpaceDN w:val="0"/>
              <w:adjustRightInd w:val="0"/>
              <w:spacing w:line="46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 款 名 称</w:t>
            </w:r>
          </w:p>
        </w:tc>
        <w:tc>
          <w:tcPr>
            <w:tcW w:w="6131" w:type="dxa"/>
            <w:vAlign w:val="center"/>
          </w:tcPr>
          <w:p>
            <w:pPr>
              <w:autoSpaceDE w:val="0"/>
              <w:autoSpaceDN w:val="0"/>
              <w:adjustRightInd w:val="0"/>
              <w:spacing w:line="46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采购单位</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称：青海大学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w:t>
            </w:r>
          </w:p>
        </w:tc>
        <w:tc>
          <w:tcPr>
            <w:tcW w:w="2436" w:type="dxa"/>
          </w:tcPr>
          <w:p>
            <w:pPr>
              <w:autoSpaceDE w:val="0"/>
              <w:autoSpaceDN w:val="0"/>
              <w:spacing w:line="480" w:lineRule="auto"/>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采购代理机构</w:t>
            </w:r>
          </w:p>
        </w:tc>
        <w:tc>
          <w:tcPr>
            <w:tcW w:w="6131"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  称：青海鑫融工程项目管理咨询有限公司</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kern w:val="0"/>
                <w:szCs w:val="21"/>
                <w:lang w:val="zh-CN"/>
              </w:rPr>
              <w:t>西宁市五四西路61号A座11楼1113室（新华联国际中心A栋）</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联系人：肖女士</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话：0971-8166685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项目名称</w:t>
            </w:r>
          </w:p>
        </w:tc>
        <w:tc>
          <w:tcPr>
            <w:tcW w:w="6131"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青海大学万联楼改造项目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建设地点</w:t>
            </w:r>
          </w:p>
        </w:tc>
        <w:tc>
          <w:tcPr>
            <w:tcW w:w="6131" w:type="dxa"/>
            <w:vAlign w:val="center"/>
          </w:tcPr>
          <w:p>
            <w:pPr>
              <w:spacing w:line="460" w:lineRule="exac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青海大学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1.2.1</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资金来源</w:t>
            </w:r>
          </w:p>
        </w:tc>
        <w:tc>
          <w:tcPr>
            <w:tcW w:w="6131" w:type="dxa"/>
            <w:vAlign w:val="center"/>
          </w:tcPr>
          <w:p>
            <w:pPr>
              <w:spacing w:line="460" w:lineRule="exac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1.2.2</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出资比例</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1.2.3</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资金落实情况</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采购范围</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工程量清单及磋商文件所含内容。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计划工期</w:t>
            </w:r>
          </w:p>
        </w:tc>
        <w:tc>
          <w:tcPr>
            <w:tcW w:w="6131" w:type="dxa"/>
            <w:vAlign w:val="center"/>
          </w:tcPr>
          <w:p>
            <w:pPr>
              <w:spacing w:line="460" w:lineRule="exact"/>
              <w:rPr>
                <w:rFonts w:asciiTheme="minorEastAsia" w:hAnsiTheme="minorEastAsia" w:cstheme="minorEastAsia"/>
                <w:strike/>
                <w:szCs w:val="21"/>
                <w:bdr w:val="single" w:color="auto" w:sz="4" w:space="0"/>
              </w:rPr>
            </w:pPr>
            <w:r>
              <w:rPr>
                <w:rFonts w:hint="eastAsia"/>
                <w:color w:val="000000" w:themeColor="text1"/>
              </w:rPr>
              <w:t>45日历天（2020年10月15日-2020年11月28日）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质量要求</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确保全部达到国家现行工程质量验收标准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供应商资质、能力和信誉</w:t>
            </w:r>
          </w:p>
        </w:tc>
        <w:tc>
          <w:tcPr>
            <w:tcW w:w="6131" w:type="dxa"/>
            <w:vAlign w:val="center"/>
          </w:tcPr>
          <w:p>
            <w:pPr>
              <w:autoSpaceDE w:val="0"/>
              <w:autoSpaceDN w:val="0"/>
              <w:adjustRightInd w:val="0"/>
              <w:spacing w:line="320" w:lineRule="exact"/>
              <w:jc w:val="left"/>
              <w:rPr>
                <w:lang w:val="zh-CN"/>
              </w:rPr>
            </w:pPr>
            <w:r>
              <w:rPr>
                <w:rFonts w:hint="eastAsia"/>
                <w:lang w:val="zh-CN"/>
              </w:rPr>
              <w:t>1、符合《中华人民共和国政府采购法》第22条的条件：</w:t>
            </w:r>
          </w:p>
          <w:p>
            <w:pPr>
              <w:autoSpaceDE w:val="0"/>
              <w:autoSpaceDN w:val="0"/>
              <w:adjustRightInd w:val="0"/>
              <w:spacing w:line="320" w:lineRule="exact"/>
              <w:jc w:val="left"/>
              <w:rPr>
                <w:lang w:val="zh-CN"/>
              </w:rPr>
            </w:pPr>
            <w:r>
              <w:rPr>
                <w:rFonts w:hint="eastAsia"/>
                <w:lang w:val="zh-CN"/>
              </w:rPr>
              <w:t>（1）具有独立承担民事责任能力；</w:t>
            </w:r>
          </w:p>
          <w:p>
            <w:pPr>
              <w:autoSpaceDE w:val="0"/>
              <w:autoSpaceDN w:val="0"/>
              <w:adjustRightInd w:val="0"/>
              <w:spacing w:line="320" w:lineRule="exact"/>
              <w:jc w:val="left"/>
              <w:rPr>
                <w:lang w:val="zh-CN"/>
              </w:rPr>
            </w:pPr>
            <w:r>
              <w:rPr>
                <w:rFonts w:hint="eastAsia"/>
                <w:lang w:val="zh-CN"/>
              </w:rPr>
              <w:t>（2）具有良好的商业信誉和健全的财务会计制度；</w:t>
            </w:r>
          </w:p>
          <w:p>
            <w:pPr>
              <w:autoSpaceDE w:val="0"/>
              <w:autoSpaceDN w:val="0"/>
              <w:adjustRightInd w:val="0"/>
              <w:spacing w:line="320" w:lineRule="exact"/>
              <w:jc w:val="left"/>
              <w:rPr>
                <w:lang w:val="zh-CN"/>
              </w:rPr>
            </w:pPr>
            <w:r>
              <w:rPr>
                <w:rFonts w:hint="eastAsia"/>
                <w:lang w:val="zh-CN"/>
              </w:rPr>
              <w:t>（3）具有履行合同所必需的设备和专业技术能力；</w:t>
            </w:r>
          </w:p>
          <w:p>
            <w:pPr>
              <w:autoSpaceDE w:val="0"/>
              <w:autoSpaceDN w:val="0"/>
              <w:adjustRightInd w:val="0"/>
              <w:spacing w:line="320" w:lineRule="exact"/>
              <w:jc w:val="left"/>
              <w:rPr>
                <w:lang w:val="zh-CN"/>
              </w:rPr>
            </w:pPr>
            <w:r>
              <w:rPr>
                <w:rFonts w:hint="eastAsia"/>
                <w:lang w:val="zh-CN"/>
              </w:rPr>
              <w:t>（4）有依法缴纳税收和社会保障资金的良好记录；</w:t>
            </w:r>
          </w:p>
          <w:p>
            <w:pPr>
              <w:autoSpaceDE w:val="0"/>
              <w:autoSpaceDN w:val="0"/>
              <w:adjustRightInd w:val="0"/>
              <w:spacing w:line="320" w:lineRule="exact"/>
              <w:jc w:val="left"/>
              <w:rPr>
                <w:lang w:val="zh-CN"/>
              </w:rPr>
            </w:pPr>
            <w:r>
              <w:rPr>
                <w:rFonts w:hint="eastAsia"/>
                <w:lang w:val="zh-CN"/>
              </w:rPr>
              <w:t>（5）参加政府采购活动前三年内，在经营活动中没有重大违法记录；</w:t>
            </w:r>
          </w:p>
          <w:p>
            <w:pPr>
              <w:autoSpaceDE w:val="0"/>
              <w:autoSpaceDN w:val="0"/>
              <w:adjustRightInd w:val="0"/>
              <w:spacing w:line="320" w:lineRule="exact"/>
              <w:jc w:val="left"/>
              <w:rPr>
                <w:lang w:val="zh-CN"/>
              </w:rPr>
            </w:pPr>
            <w:r>
              <w:rPr>
                <w:rFonts w:hint="eastAsia"/>
                <w:lang w:val="zh-CN"/>
              </w:rPr>
              <w:t>（6）法律、行政法规规定的其他条件。</w:t>
            </w:r>
          </w:p>
          <w:p>
            <w:pPr>
              <w:autoSpaceDE w:val="0"/>
              <w:autoSpaceDN w:val="0"/>
              <w:adjustRightInd w:val="0"/>
              <w:spacing w:line="320" w:lineRule="exact"/>
              <w:jc w:val="left"/>
              <w:rPr>
                <w:lang w:val="zh-CN"/>
              </w:rPr>
            </w:pPr>
            <w:r>
              <w:rPr>
                <w:rFonts w:hint="eastAsia"/>
                <w:lang w:val="zh-CN"/>
              </w:rPr>
              <w:t>2、磋商文件规定的其他资质条件：</w:t>
            </w:r>
          </w:p>
          <w:p>
            <w:pPr>
              <w:autoSpaceDE w:val="0"/>
              <w:autoSpaceDN w:val="0"/>
              <w:adjustRightInd w:val="0"/>
              <w:spacing w:line="320" w:lineRule="exact"/>
              <w:jc w:val="left"/>
              <w:rPr>
                <w:highlight w:val="yellow"/>
                <w:lang w:val="zh-CN"/>
              </w:rPr>
            </w:pPr>
            <w:r>
              <w:rPr>
                <w:rFonts w:hint="eastAsia"/>
                <w:lang w:val="zh-CN"/>
              </w:rPr>
              <w:t>（1）投标人须具</w:t>
            </w:r>
            <w:r>
              <w:rPr>
                <w:rFonts w:hint="eastAsia"/>
                <w:highlight w:val="none"/>
                <w:lang w:val="zh-CN"/>
              </w:rPr>
              <w:t>备房屋建筑工程施工总承包三级</w:t>
            </w:r>
            <w:r>
              <w:rPr>
                <w:rFonts w:hint="eastAsia"/>
                <w:lang w:val="zh-CN"/>
              </w:rPr>
              <w:t>和建筑装修装饰工程专业承包二级（含）及以上资质；具有安全生产许可证；并在人员、设备资金等方面具有相应的施工能力；</w:t>
            </w:r>
          </w:p>
          <w:p>
            <w:pPr>
              <w:autoSpaceDE w:val="0"/>
              <w:autoSpaceDN w:val="0"/>
              <w:adjustRightInd w:val="0"/>
              <w:spacing w:line="320" w:lineRule="exact"/>
              <w:jc w:val="left"/>
              <w:rPr>
                <w:lang w:val="zh-CN"/>
              </w:rPr>
            </w:pPr>
            <w:r>
              <w:rPr>
                <w:rFonts w:hint="eastAsia"/>
                <w:lang w:val="zh-CN"/>
              </w:rPr>
              <w:t>（2）拟派项目经理须具备建筑工程专业二级及以上注册建造师执业资格，且有效的安全生产考核合格证书；拟</w:t>
            </w:r>
            <w:r>
              <w:rPr>
                <w:rFonts w:hint="eastAsia"/>
                <w:highlight w:val="none"/>
                <w:lang w:val="zh-CN"/>
              </w:rPr>
              <w:t>派技术负责人</w:t>
            </w:r>
            <w:r>
              <w:rPr>
                <w:rFonts w:hint="eastAsia"/>
                <w:lang w:val="zh-CN"/>
              </w:rPr>
              <w:t>须具备高级职称；投标人在本项目中拟定的技术人员中需包含一名安全员且持有效证件；</w:t>
            </w:r>
          </w:p>
          <w:p>
            <w:pPr>
              <w:autoSpaceDE w:val="0"/>
              <w:autoSpaceDN w:val="0"/>
              <w:adjustRightInd w:val="0"/>
              <w:spacing w:line="320" w:lineRule="exact"/>
              <w:jc w:val="left"/>
              <w:rPr>
                <w:lang w:val="zh-CN"/>
              </w:rPr>
            </w:pPr>
            <w:r>
              <w:rPr>
                <w:rFonts w:hint="eastAsia"/>
                <w:lang w:val="zh-CN"/>
              </w:rPr>
              <w:t>（</w:t>
            </w:r>
            <w:r>
              <w:rPr>
                <w:rFonts w:hint="eastAsia"/>
              </w:rPr>
              <w:t>3</w:t>
            </w:r>
            <w:r>
              <w:rPr>
                <w:rFonts w:hint="eastAsia"/>
                <w:lang w:val="zh-CN"/>
              </w:rPr>
              <w:t>）信誉要求：有良好的信誉，自201</w:t>
            </w:r>
            <w:r>
              <w:rPr>
                <w:rFonts w:hint="eastAsia"/>
              </w:rPr>
              <w:t>7</w:t>
            </w:r>
            <w:r>
              <w:rPr>
                <w:rFonts w:hint="eastAsia"/>
                <w:lang w:val="zh-CN"/>
              </w:rPr>
              <w:t>年</w:t>
            </w:r>
            <w:r>
              <w:rPr>
                <w:rFonts w:hint="eastAsia"/>
              </w:rPr>
              <w:t>1</w:t>
            </w:r>
            <w:r>
              <w:rPr>
                <w:rFonts w:hint="eastAsia"/>
                <w:lang w:val="zh-CN"/>
              </w:rPr>
              <w:t>月1日至本项目发布磋商公告之日止，未因安全、质量、违法违纪问题被国家和青海省建设行政主管部门禁止、限制投标活动的情形；</w:t>
            </w:r>
          </w:p>
          <w:p>
            <w:pPr>
              <w:autoSpaceDE w:val="0"/>
              <w:autoSpaceDN w:val="0"/>
              <w:adjustRightInd w:val="0"/>
              <w:spacing w:line="320" w:lineRule="exact"/>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adjustRightInd w:val="0"/>
              <w:spacing w:line="320" w:lineRule="exact"/>
              <w:jc w:val="left"/>
              <w:rPr>
                <w:lang w:val="zh-CN"/>
              </w:rPr>
            </w:pPr>
            <w:r>
              <w:rPr>
                <w:rFonts w:hint="eastAsia"/>
                <w:lang w:val="zh-CN"/>
              </w:rPr>
              <w:t xml:space="preserve">4、省外投标人须提供有效的进青备案登记证明；          </w:t>
            </w:r>
          </w:p>
          <w:p>
            <w:pPr>
              <w:autoSpaceDE w:val="0"/>
              <w:autoSpaceDN w:val="0"/>
              <w:adjustRightInd w:val="0"/>
              <w:spacing w:line="320" w:lineRule="exact"/>
              <w:jc w:val="left"/>
              <w:rPr>
                <w:lang w:val="zh-CN"/>
              </w:rPr>
            </w:pPr>
            <w:r>
              <w:rPr>
                <w:rFonts w:hint="eastAsia"/>
                <w:lang w:val="zh-CN"/>
              </w:rPr>
              <w:t xml:space="preserve">5、本次招标不接受联合体投标；                     </w:t>
            </w:r>
          </w:p>
          <w:p>
            <w:pPr>
              <w:autoSpaceDE w:val="0"/>
              <w:autoSpaceDN w:val="0"/>
              <w:adjustRightInd w:val="0"/>
              <w:spacing w:line="320" w:lineRule="exact"/>
              <w:jc w:val="left"/>
            </w:pPr>
            <w:r>
              <w:rPr>
                <w:rFonts w:hint="eastAsia"/>
                <w:lang w:val="zh-CN"/>
              </w:rPr>
              <w:t>6、磋商文件规定的其他要求。</w:t>
            </w:r>
          </w:p>
          <w:p>
            <w:pPr>
              <w:autoSpaceDE w:val="0"/>
              <w:autoSpaceDN w:val="0"/>
              <w:adjustRightInd w:val="0"/>
              <w:spacing w:line="320" w:lineRule="exact"/>
              <w:jc w:val="left"/>
              <w:rPr>
                <w:rFonts w:asciiTheme="minorEastAsia" w:hAnsiTheme="minorEastAsia" w:eastAsiaTheme="minorEastAsia" w:cstheme="minorEastAsia"/>
                <w:szCs w:val="21"/>
              </w:rPr>
            </w:pPr>
            <w:r>
              <w:rPr>
                <w:rFonts w:hint="eastAsia"/>
              </w:rPr>
              <w:t>7、投标人须提供现场勘查证明回执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是否接受联合体投标</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szCs w:val="21"/>
              </w:rPr>
              <w:instrText xml:space="preserve">,∨)</w:instrTex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不接受</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接受。应满足以下要求：</w:t>
            </w:r>
          </w:p>
          <w:p>
            <w:pPr>
              <w:spacing w:line="46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牵头单位：     </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出具联合体协议。牵头单位参与投标，并与招标人签署相关法律文件。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1.9.1</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踏勘现场</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不组织</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szCs w:val="21"/>
              </w:rPr>
              <w:instrText xml:space="preserve">,∨)</w:instrTex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组织，踏勘时间：2020年9月29日下午14点至16点</w:t>
            </w:r>
          </w:p>
          <w:p>
            <w:pPr>
              <w:spacing w:line="460" w:lineRule="exact"/>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 xml:space="preserve">    踏勘集中地点：青海大学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1.10.1</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投标预备会</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szCs w:val="21"/>
              </w:rPr>
              <w:instrText xml:space="preserve">,∨)</w:instrTex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不召开</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召开   召开时间：</w:t>
            </w:r>
          </w:p>
          <w:p>
            <w:pPr>
              <w:spacing w:line="460" w:lineRule="exact"/>
              <w:ind w:firstLine="945" w:firstLineChars="4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1.10.2</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供应商提出问题的截止时间</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投标截止时间5日前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1.10.3</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采购单位书面澄清的时间</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自收到需澄清的问题之日起3日内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分包</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szCs w:val="21"/>
              </w:rPr>
              <w:instrText xml:space="preserve">,∨)</w:instrTex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不允许</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偏离</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szCs w:val="21"/>
              </w:rPr>
              <w:instrText xml:space="preserve">,∨)</w:instrTex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不允许</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lang w:val="zh-CN"/>
              </w:rPr>
              <w:t>构成磋商文件的其他材料</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采购单位（采购代理机构）对投标人发出的书面通知及答疑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2.2.1</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供应商要求澄清磋商文件的截止时间</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themeColor="text1"/>
                <w:szCs w:val="21"/>
              </w:rPr>
              <w:t>投标截止时间前5日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2.2.2</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提交响应文件截止时间</w:t>
            </w:r>
          </w:p>
        </w:tc>
        <w:tc>
          <w:tcPr>
            <w:tcW w:w="6131" w:type="dxa"/>
            <w:vAlign w:val="center"/>
          </w:tcPr>
          <w:p>
            <w:pPr>
              <w:spacing w:line="4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2020年10月9日上午10时00分（北京时间）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供应商确认收到磋商文件澄清的时间</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收到澄清的当日内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投标人确认收到磋商文件修改的时间</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收到修改的磋商文件当日内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 xml:space="preserve">构成投标文件的其他材料 </w:t>
            </w:r>
          </w:p>
        </w:tc>
        <w:tc>
          <w:tcPr>
            <w:tcW w:w="6131" w:type="dxa"/>
            <w:vAlign w:val="center"/>
          </w:tcPr>
          <w:p>
            <w:pPr>
              <w:autoSpaceDE w:val="0"/>
              <w:autoSpaceDN w:val="0"/>
              <w:adjustRightInd w:val="0"/>
              <w:spacing w:line="32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1、有效的法人证明书或法人授权委托书原件；法人身份证或被授权人身份证、企业资质证书副本、营业执照副本、安全生产许可证、省外企业须提供有效的</w:t>
            </w:r>
            <w:r>
              <w:rPr>
                <w:rFonts w:hint="eastAsia"/>
                <w:lang w:val="zh-CN"/>
              </w:rPr>
              <w:t>进青备案登记证明</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0"/>
                <w:szCs w:val="21"/>
                <w:lang w:val="zh-CN"/>
              </w:rPr>
              <w:t>拟派项目经理须具备建筑工程专业二级及以上注册建造师执业资格，且有效的安全生产考核合格证书；投标人在本项目中拟定的技术人员中需包含一名安全员且持有效证件；</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2、依法对响应文件所作的书面修改、补充的内容；</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3、按评委会书面通知要求，对响应文件所作出的书面澄清、说明的内容。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最高投标限价</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szCs w:val="21"/>
              </w:rPr>
              <w:instrText xml:space="preserve">,∨)</w:instrTex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设定。</w:t>
            </w:r>
          </w:p>
          <w:p>
            <w:pPr>
              <w:autoSpaceDE w:val="0"/>
              <w:autoSpaceDN w:val="0"/>
              <w:adjustRightInd w:val="0"/>
              <w:snapToGrid w:val="0"/>
              <w:spacing w:line="460" w:lineRule="exact"/>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最高投标限价人民币：</w:t>
            </w:r>
          </w:p>
          <w:p>
            <w:pPr>
              <w:autoSpaceDE w:val="0"/>
              <w:autoSpaceDN w:val="0"/>
              <w:adjustRightInd w:val="0"/>
              <w:snapToGrid w:val="0"/>
              <w:spacing w:line="460" w:lineRule="exact"/>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836275.71元</w:t>
            </w:r>
          </w:p>
          <w:p>
            <w:pPr>
              <w:spacing w:line="460" w:lineRule="exac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（大写：捌拾叁万陆仟贰佰柒拾伍元柒角壹分）</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投标报价不得超过最高投标限价。</w:t>
            </w:r>
          </w:p>
          <w:p>
            <w:pPr>
              <w:spacing w:line="46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□不设定。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3.3.1</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投标有效期</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自投标截止之日起 90日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3.4.1</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投标保证金</w:t>
            </w:r>
          </w:p>
        </w:tc>
        <w:tc>
          <w:tcPr>
            <w:tcW w:w="6131" w:type="dxa"/>
            <w:vAlign w:val="center"/>
          </w:tcPr>
          <w:p>
            <w:pPr>
              <w:autoSpaceDE w:val="0"/>
              <w:autoSpaceDN w:val="0"/>
              <w:adjustRightInd w:val="0"/>
              <w:spacing w:line="320" w:lineRule="exact"/>
              <w:jc w:val="left"/>
              <w:rPr>
                <w:rFonts w:asciiTheme="minorEastAsia" w:hAnsiTheme="minorEastAsia" w:eastAsiaTheme="minorEastAsia" w:cstheme="minorEastAsia"/>
                <w:color w:val="000000"/>
                <w:kern w:val="0"/>
                <w:szCs w:val="21"/>
                <w:lang w:val="zh-CN"/>
              </w:rPr>
            </w:pPr>
            <w:r>
              <w:rPr>
                <w:rFonts w:hint="eastAsia" w:asciiTheme="minorEastAsia" w:hAnsiTheme="minorEastAsia" w:eastAsiaTheme="minorEastAsia" w:cstheme="minorEastAsia"/>
                <w:color w:val="000000"/>
                <w:kern w:val="0"/>
                <w:szCs w:val="21"/>
                <w:lang w:val="zh-CN"/>
              </w:rPr>
              <w:t>投标保证金：</w:t>
            </w:r>
          </w:p>
          <w:p>
            <w:pPr>
              <w:autoSpaceDE w:val="0"/>
              <w:autoSpaceDN w:val="0"/>
              <w:adjustRightInd w:val="0"/>
              <w:spacing w:line="320" w:lineRule="exact"/>
              <w:jc w:val="lef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15000.00元</w:t>
            </w:r>
          </w:p>
          <w:p>
            <w:pPr>
              <w:spacing w:line="460" w:lineRule="exact"/>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（大写：壹万伍仟元整）</w:t>
            </w:r>
          </w:p>
          <w:p>
            <w:pPr>
              <w:autoSpaceDE w:val="0"/>
              <w:autoSpaceDN w:val="0"/>
              <w:adjustRightInd w:val="0"/>
              <w:spacing w:line="320" w:lineRule="exact"/>
              <w:jc w:val="left"/>
              <w:rPr>
                <w:rFonts w:asciiTheme="minorEastAsia" w:hAnsiTheme="minorEastAsia" w:eastAsiaTheme="minorEastAsia" w:cstheme="minorEastAsia"/>
                <w:color w:val="000000"/>
                <w:kern w:val="0"/>
                <w:szCs w:val="21"/>
                <w:lang w:val="zh-CN"/>
              </w:rPr>
            </w:pPr>
            <w:r>
              <w:rPr>
                <w:rFonts w:hint="eastAsia" w:asciiTheme="minorEastAsia" w:hAnsiTheme="minorEastAsia" w:eastAsiaTheme="minorEastAsia" w:cstheme="minorEastAsia"/>
                <w:color w:val="000000"/>
                <w:kern w:val="0"/>
                <w:szCs w:val="21"/>
                <w:lang w:val="zh-CN"/>
              </w:rPr>
              <w:t>收款单位：青海鑫融工程项目管理咨询有限公司</w:t>
            </w:r>
          </w:p>
          <w:p>
            <w:pPr>
              <w:autoSpaceDE w:val="0"/>
              <w:autoSpaceDN w:val="0"/>
              <w:adjustRightInd w:val="0"/>
              <w:spacing w:line="320" w:lineRule="exact"/>
              <w:jc w:val="lef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color w:val="000000"/>
                <w:kern w:val="0"/>
                <w:szCs w:val="21"/>
                <w:lang w:val="zh-CN"/>
              </w:rPr>
              <w:t>开 户 行：</w:t>
            </w:r>
            <w:r>
              <w:rPr>
                <w:rFonts w:hint="eastAsia" w:asciiTheme="minorEastAsia" w:hAnsiTheme="minorEastAsia" w:eastAsiaTheme="minorEastAsia" w:cstheme="minorEastAsia"/>
                <w:kern w:val="0"/>
                <w:szCs w:val="21"/>
                <w:lang w:val="zh-CN"/>
              </w:rPr>
              <w:t>中国建设银行股份有限公司青海省分行营业部</w:t>
            </w:r>
          </w:p>
          <w:p>
            <w:pPr>
              <w:autoSpaceDE w:val="0"/>
              <w:autoSpaceDN w:val="0"/>
              <w:adjustRightInd w:val="0"/>
              <w:spacing w:line="320" w:lineRule="exact"/>
              <w:jc w:val="left"/>
              <w:rPr>
                <w:rFonts w:asciiTheme="minorEastAsia" w:hAnsiTheme="minorEastAsia" w:eastAsiaTheme="minorEastAsia" w:cstheme="minorEastAsia"/>
                <w:color w:val="000000"/>
                <w:kern w:val="0"/>
                <w:szCs w:val="21"/>
                <w:lang w:val="zh-CN"/>
              </w:rPr>
            </w:pPr>
            <w:r>
              <w:rPr>
                <w:rFonts w:hint="eastAsia" w:asciiTheme="minorEastAsia" w:hAnsiTheme="minorEastAsia" w:eastAsiaTheme="minorEastAsia" w:cstheme="minorEastAsia"/>
                <w:color w:val="000000"/>
                <w:kern w:val="0"/>
                <w:szCs w:val="21"/>
                <w:lang w:val="zh-CN"/>
              </w:rPr>
              <w:t>银行账号：</w:t>
            </w:r>
            <w:r>
              <w:rPr>
                <w:rFonts w:hint="eastAsia" w:asciiTheme="minorEastAsia" w:hAnsiTheme="minorEastAsia" w:eastAsiaTheme="minorEastAsia" w:cstheme="minorEastAsia"/>
                <w:kern w:val="0"/>
                <w:szCs w:val="21"/>
                <w:lang w:val="zh-CN"/>
              </w:rPr>
              <w:t>6305 0136 3700 0950 0392</w:t>
            </w:r>
          </w:p>
          <w:p>
            <w:pPr>
              <w:autoSpaceDE w:val="0"/>
              <w:autoSpaceDN w:val="0"/>
              <w:adjustRightIn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kern w:val="0"/>
                <w:szCs w:val="21"/>
                <w:lang w:val="zh-CN"/>
              </w:rPr>
              <w:t>缴费时间：供应商在投标截止期前一工作日（20</w:t>
            </w:r>
            <w:r>
              <w:rPr>
                <w:rFonts w:hint="eastAsia" w:asciiTheme="minorEastAsia" w:hAnsiTheme="minorEastAsia" w:eastAsiaTheme="minorEastAsia" w:cstheme="minorEastAsia"/>
                <w:color w:val="000000"/>
                <w:kern w:val="0"/>
                <w:szCs w:val="21"/>
              </w:rPr>
              <w:t>20</w:t>
            </w:r>
            <w:r>
              <w:rPr>
                <w:rFonts w:hint="eastAsia" w:asciiTheme="minorEastAsia" w:hAnsiTheme="minorEastAsia" w:eastAsiaTheme="minorEastAsia" w:cstheme="minorEastAsia"/>
                <w:color w:val="000000"/>
                <w:kern w:val="0"/>
                <w:szCs w:val="21"/>
                <w:lang w:val="zh-CN"/>
              </w:rPr>
              <w:t>年</w:t>
            </w:r>
            <w:r>
              <w:rPr>
                <w:rFonts w:hint="eastAsia" w:asciiTheme="minorEastAsia" w:hAnsiTheme="minorEastAsia" w:eastAsiaTheme="minorEastAsia" w:cstheme="minorEastAsia"/>
                <w:color w:val="000000"/>
                <w:kern w:val="0"/>
                <w:szCs w:val="21"/>
              </w:rPr>
              <w:t>09</w:t>
            </w:r>
            <w:r>
              <w:rPr>
                <w:rFonts w:hint="eastAsia" w:asciiTheme="minorEastAsia" w:hAnsiTheme="minorEastAsia" w:eastAsiaTheme="minorEastAsia" w:cstheme="minorEastAsia"/>
                <w:color w:val="000000"/>
                <w:kern w:val="0"/>
                <w:szCs w:val="21"/>
                <w:lang w:val="zh-CN"/>
              </w:rPr>
              <w:t>月</w:t>
            </w:r>
            <w:r>
              <w:rPr>
                <w:rFonts w:hint="eastAsia" w:asciiTheme="minorEastAsia" w:hAnsiTheme="minorEastAsia" w:eastAsiaTheme="minorEastAsia" w:cstheme="minorEastAsia"/>
                <w:color w:val="000000"/>
                <w:kern w:val="0"/>
                <w:szCs w:val="21"/>
              </w:rPr>
              <w:t>30</w:t>
            </w:r>
            <w:r>
              <w:rPr>
                <w:rFonts w:hint="eastAsia" w:asciiTheme="minorEastAsia" w:hAnsiTheme="minorEastAsia" w:eastAsiaTheme="minorEastAsia" w:cstheme="minorEastAsia"/>
                <w:color w:val="000000"/>
                <w:kern w:val="0"/>
                <w:szCs w:val="21"/>
                <w:lang w:val="zh-CN"/>
              </w:rPr>
              <w:t>日</w:t>
            </w:r>
            <w:r>
              <w:rPr>
                <w:rFonts w:hint="eastAsia" w:asciiTheme="minorEastAsia" w:hAnsiTheme="minorEastAsia" w:eastAsiaTheme="minorEastAsia" w:cstheme="minorEastAsia"/>
                <w:color w:val="000000"/>
                <w:kern w:val="0"/>
                <w:szCs w:val="21"/>
              </w:rPr>
              <w:t>17</w:t>
            </w:r>
            <w:r>
              <w:rPr>
                <w:rFonts w:hint="eastAsia" w:asciiTheme="minorEastAsia" w:hAnsiTheme="minorEastAsia" w:eastAsiaTheme="minorEastAsia" w:cstheme="minorEastAsia"/>
                <w:color w:val="000000"/>
                <w:kern w:val="0"/>
                <w:szCs w:val="21"/>
                <w:lang w:val="zh-CN"/>
              </w:rPr>
              <w:t>点以前），以银行到账时间为准。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3.5.2</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财务状况的年份要求</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2019年度完整审计报告或提供近三个月</w:t>
            </w:r>
            <w:r>
              <w:rPr>
                <w:rFonts w:hint="eastAsia" w:asciiTheme="minorEastAsia" w:hAnsiTheme="minorEastAsia" w:eastAsiaTheme="minorEastAsia" w:cstheme="minorEastAsia"/>
                <w:szCs w:val="21"/>
                <w:lang w:val="zh-CN"/>
              </w:rPr>
              <w:t>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3.5.3</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完成的类似项目的年份要求</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2017年01月01日至今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是否允许递交备选投标方案</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szCs w:val="21"/>
              </w:rPr>
              <w:instrText xml:space="preserve">,∨)</w:instrTex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不允许</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签字和（或）盖章要求</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1、响应文件必须按照磋商文件的格式要求签字或盖章；</w:t>
            </w:r>
          </w:p>
          <w:p>
            <w:pPr>
              <w:spacing w:line="460" w:lineRule="exact"/>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2、响应文件改动的，应在改动处的右下方由法定代表人或委托代理人盖章或签字。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3.7.4</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投标文件份数</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正本壹份，副本贰份，电子文档壹份。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3.7.5</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装订要求</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投标文件用A4纸打印或复印，正、副本分别胶装订成册，编制目录、页码。如有彩页须装订在文件内，不得单独成册。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4.1.2</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封套上写明</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供应商名称：</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(项目名称含标段、项目编号)响应文件</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w:t>
            </w:r>
            <w:r>
              <w:rPr>
                <w:rFonts w:hint="eastAsia" w:asciiTheme="minorEastAsia" w:hAnsiTheme="minorEastAsia" w:eastAsiaTheme="minorEastAsia" w:cstheme="minorEastAsia"/>
                <w:b/>
                <w:szCs w:val="21"/>
              </w:rPr>
              <w:t>2020年10月9日上午10时00分</w:t>
            </w:r>
            <w:r>
              <w:rPr>
                <w:rFonts w:hint="eastAsia" w:asciiTheme="minorEastAsia" w:hAnsiTheme="minorEastAsia" w:eastAsiaTheme="minorEastAsia" w:cstheme="minorEastAsia"/>
                <w:szCs w:val="21"/>
              </w:rPr>
              <w:t>前不得开启</w:t>
            </w:r>
          </w:p>
          <w:p>
            <w:pPr>
              <w:spacing w:line="460" w:lineRule="exac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响应文件封套严重破损的，不予接收。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4.2.2</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递交响应文件地点</w:t>
            </w:r>
          </w:p>
        </w:tc>
        <w:tc>
          <w:tcPr>
            <w:tcW w:w="6131" w:type="dxa"/>
            <w:vAlign w:val="center"/>
          </w:tcPr>
          <w:p>
            <w:pPr>
              <w:autoSpaceDE w:val="0"/>
              <w:autoSpaceDN w:val="0"/>
              <w:spacing w:line="340" w:lineRule="exact"/>
              <w:rPr>
                <w:rFonts w:asciiTheme="minorEastAsia" w:hAnsiTheme="minorEastAsia" w:eastAsiaTheme="minorEastAsia" w:cstheme="minorEastAsia"/>
                <w:kern w:val="0"/>
                <w:szCs w:val="21"/>
                <w:lang w:val="zh-CN"/>
              </w:rPr>
            </w:pPr>
            <w:r>
              <w:rPr>
                <w:rFonts w:hint="eastAsia" w:asciiTheme="minorEastAsia" w:hAnsiTheme="minorEastAsia" w:eastAsiaTheme="minorEastAsia" w:cstheme="minorEastAsia"/>
                <w:kern w:val="0"/>
                <w:szCs w:val="21"/>
                <w:lang w:val="zh-CN"/>
              </w:rPr>
              <w:t>青海鑫融工程项目管理咨询有限公司开标室</w:t>
            </w:r>
            <w:r>
              <w:rPr>
                <w:rFonts w:hint="eastAsia" w:asciiTheme="minorEastAsia" w:hAnsiTheme="minorEastAsia" w:eastAsiaTheme="minorEastAsia" w:cstheme="minorEastAsia"/>
                <w:kern w:val="0"/>
                <w:szCs w:val="21"/>
              </w:rPr>
              <w:t xml:space="preserve">   </w:t>
            </w:r>
          </w:p>
          <w:p>
            <w:pPr>
              <w:spacing w:line="46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kern w:val="0"/>
                <w:szCs w:val="21"/>
                <w:lang w:val="zh-CN"/>
              </w:rPr>
              <w:t>（西宁市五四西路61号A座11楼1113室（新华联国际中心A栋））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4.2.3</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是否退还投标文件</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w:t>
            </w:r>
          </w:p>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szCs w:val="21"/>
              </w:rPr>
              <w:instrText xml:space="preserve">,∨)</w:instrTex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递交响应文件截止时间</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val="zh-CN"/>
              </w:rPr>
              <w:t>2020年10月9日上午10时00分（北京时间）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开标程序</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密封情况检查：监督部门或投标人代表现场检查密封情况，当众开封并记录；</w:t>
            </w:r>
          </w:p>
          <w:p>
            <w:pPr>
              <w:spacing w:line="460" w:lineRule="exact"/>
              <w:ind w:left="525" w:hanging="525" w:hanging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开标顺序：按响应文件递交的</w:t>
            </w:r>
            <w:r>
              <w:rPr>
                <w:rFonts w:hint="eastAsia" w:asciiTheme="minorEastAsia" w:hAnsiTheme="minorEastAsia" w:eastAsiaTheme="minorEastAsia" w:cstheme="minorEastAsia"/>
                <w:color w:val="000000" w:themeColor="text1"/>
                <w:szCs w:val="21"/>
              </w:rPr>
              <w:t>逆顺序</w:t>
            </w: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评标委员会的组建</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评标委员会构成:3人及以上单数，经济技术专家占三分之二以上；</w:t>
            </w:r>
          </w:p>
          <w:p>
            <w:pPr>
              <w:spacing w:line="460" w:lineRule="exact"/>
              <w:ind w:left="525" w:hanging="525" w:hanging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评标专家确定方式：专家库随机抽取。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是否授权评标委员会确定成交供应商</w:t>
            </w:r>
          </w:p>
        </w:tc>
        <w:tc>
          <w:tcPr>
            <w:tcW w:w="6131" w:type="dxa"/>
            <w:vAlign w:val="center"/>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szCs w:val="21"/>
              </w:rPr>
              <w:instrText xml:space="preserve">,∨)</w:instrTex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是。但中标人放弃中标或者不符合中标条件等情形的，招标人按照《</w:t>
            </w:r>
            <w:r>
              <w:rPr>
                <w:rStyle w:val="28"/>
                <w:rFonts w:hint="eastAsia" w:asciiTheme="minorEastAsia" w:hAnsiTheme="minorEastAsia" w:eastAsiaTheme="minorEastAsia" w:cstheme="minorEastAsia"/>
                <w:b w:val="0"/>
                <w:szCs w:val="21"/>
              </w:rPr>
              <w:t>中华人民共和国招标投标法实施条例</w:t>
            </w:r>
            <w:r>
              <w:rPr>
                <w:rFonts w:hint="eastAsia" w:asciiTheme="minorEastAsia" w:hAnsiTheme="minorEastAsia" w:eastAsiaTheme="minorEastAsia" w:cstheme="minorEastAsia"/>
                <w:szCs w:val="21"/>
              </w:rPr>
              <w:t>》第55条的规定执行。</w:t>
            </w:r>
          </w:p>
          <w:p>
            <w:pPr>
              <w:spacing w:line="460" w:lineRule="exact"/>
              <w:rPr>
                <w:rFonts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□否，推</w:t>
            </w:r>
            <w:r>
              <w:rPr>
                <w:rStyle w:val="28"/>
                <w:rFonts w:hint="eastAsia" w:asciiTheme="minorEastAsia" w:hAnsiTheme="minorEastAsia" w:eastAsiaTheme="minorEastAsia" w:cstheme="minorEastAsia"/>
                <w:b w:val="0"/>
                <w:szCs w:val="21"/>
              </w:rPr>
              <w:t>荐中标候选人数：不超过3个，并标明排序。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w:t>
            </w:r>
          </w:p>
        </w:tc>
        <w:tc>
          <w:tcPr>
            <w:tcW w:w="2436" w:type="dxa"/>
            <w:vAlign w:val="center"/>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履约担保</w:t>
            </w:r>
          </w:p>
        </w:tc>
        <w:tc>
          <w:tcPr>
            <w:tcW w:w="6131" w:type="dxa"/>
            <w:vAlign w:val="center"/>
          </w:tcPr>
          <w:p>
            <w:pPr>
              <w:spacing w:line="460" w:lineRule="exact"/>
              <w:ind w:left="525" w:hanging="525" w:hanging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履约担保的形式</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szCs w:val="21"/>
              </w:rPr>
              <w:instrText xml:space="preserve">,∨)</w:instrTex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保证金</w:t>
            </w:r>
          </w:p>
          <w:p>
            <w:pPr>
              <w:spacing w:line="460" w:lineRule="exact"/>
              <w:ind w:firstLine="1680" w:firstLineChars="8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□银行保函</w:t>
            </w:r>
          </w:p>
          <w:p>
            <w:pPr>
              <w:spacing w:line="460" w:lineRule="exact"/>
              <w:ind w:firstLine="1680" w:firstLineChars="8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□担保书</w:t>
            </w:r>
          </w:p>
          <w:p>
            <w:pPr>
              <w:spacing w:line="460" w:lineRule="exact"/>
              <w:ind w:left="525" w:hanging="525" w:hangingChars="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履约担保的金额：签订合同时约定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8567" w:type="dxa"/>
            <w:gridSpan w:val="2"/>
            <w:vAlign w:val="center"/>
          </w:tcPr>
          <w:p>
            <w:pPr>
              <w:spacing w:line="4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autoSpaceDE w:val="0"/>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10.1</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响应文件的发售时间</w:t>
            </w:r>
          </w:p>
        </w:tc>
        <w:tc>
          <w:tcPr>
            <w:tcW w:w="6131" w:type="dxa"/>
            <w:vAlign w:val="center"/>
          </w:tcPr>
          <w:p>
            <w:pPr>
              <w:topLinePunct/>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20</w:t>
            </w:r>
            <w:r>
              <w:rPr>
                <w:rFonts w:hint="eastAsia" w:asciiTheme="minorEastAsia" w:hAnsiTheme="minorEastAsia" w:eastAsiaTheme="minorEastAsia" w:cstheme="minorEastAsia"/>
                <w:kern w:val="0"/>
                <w:szCs w:val="21"/>
              </w:rPr>
              <w:t>20</w:t>
            </w:r>
            <w:r>
              <w:rPr>
                <w:rFonts w:hint="eastAsia" w:asciiTheme="minorEastAsia" w:hAnsiTheme="minorEastAsia" w:eastAsiaTheme="minorEastAsia" w:cstheme="minorEastAsia"/>
                <w:kern w:val="0"/>
                <w:szCs w:val="21"/>
                <w:lang w:val="zh-CN"/>
              </w:rPr>
              <w:t>年</w:t>
            </w:r>
            <w:r>
              <w:rPr>
                <w:rFonts w:hint="eastAsia" w:asciiTheme="minorEastAsia" w:hAnsiTheme="minorEastAsia" w:eastAsiaTheme="minorEastAsia" w:cstheme="minorEastAsia"/>
                <w:kern w:val="0"/>
                <w:szCs w:val="21"/>
              </w:rPr>
              <w:t>9</w:t>
            </w:r>
            <w:r>
              <w:rPr>
                <w:rFonts w:hint="eastAsia" w:asciiTheme="minorEastAsia" w:hAnsiTheme="minorEastAsia" w:eastAsiaTheme="minorEastAsia" w:cstheme="minorEastAsia"/>
                <w:kern w:val="0"/>
                <w:szCs w:val="21"/>
                <w:lang w:val="zh-CN"/>
              </w:rPr>
              <w:t>月</w:t>
            </w:r>
            <w:r>
              <w:rPr>
                <w:rFonts w:hint="eastAsia" w:asciiTheme="minorEastAsia" w:hAnsiTheme="minorEastAsia" w:eastAsiaTheme="minorEastAsia" w:cstheme="minorEastAsia"/>
                <w:kern w:val="0"/>
                <w:szCs w:val="21"/>
              </w:rPr>
              <w:t>24</w:t>
            </w:r>
            <w:r>
              <w:rPr>
                <w:rFonts w:hint="eastAsia" w:asciiTheme="minorEastAsia" w:hAnsiTheme="minorEastAsia" w:eastAsiaTheme="minorEastAsia" w:cstheme="minorEastAsia"/>
                <w:kern w:val="0"/>
                <w:szCs w:val="21"/>
                <w:lang w:val="zh-CN"/>
              </w:rPr>
              <w:t>日至20</w:t>
            </w:r>
            <w:r>
              <w:rPr>
                <w:rFonts w:hint="eastAsia" w:asciiTheme="minorEastAsia" w:hAnsiTheme="minorEastAsia" w:eastAsiaTheme="minorEastAsia" w:cstheme="minorEastAsia"/>
                <w:kern w:val="0"/>
                <w:szCs w:val="21"/>
              </w:rPr>
              <w:t>20</w:t>
            </w:r>
            <w:r>
              <w:rPr>
                <w:rFonts w:hint="eastAsia" w:asciiTheme="minorEastAsia" w:hAnsiTheme="minorEastAsia" w:eastAsiaTheme="minorEastAsia" w:cstheme="minorEastAsia"/>
                <w:kern w:val="0"/>
                <w:szCs w:val="21"/>
                <w:lang w:val="zh-CN"/>
              </w:rPr>
              <w:t>年</w:t>
            </w:r>
            <w:r>
              <w:rPr>
                <w:rFonts w:hint="eastAsia" w:asciiTheme="minorEastAsia" w:hAnsiTheme="minorEastAsia" w:eastAsiaTheme="minorEastAsia" w:cstheme="minorEastAsia"/>
                <w:kern w:val="0"/>
                <w:szCs w:val="21"/>
              </w:rPr>
              <w:t>9</w:t>
            </w:r>
            <w:r>
              <w:rPr>
                <w:rFonts w:hint="eastAsia" w:asciiTheme="minorEastAsia" w:hAnsiTheme="minorEastAsia" w:eastAsiaTheme="minorEastAsia" w:cstheme="minorEastAsia"/>
                <w:kern w:val="0"/>
                <w:szCs w:val="21"/>
                <w:lang w:val="zh-CN"/>
              </w:rPr>
              <w:t>月</w:t>
            </w:r>
            <w:r>
              <w:rPr>
                <w:rFonts w:hint="eastAsia" w:asciiTheme="minorEastAsia" w:hAnsiTheme="minorEastAsia" w:eastAsiaTheme="minorEastAsia" w:cstheme="minorEastAsia"/>
                <w:kern w:val="0"/>
                <w:szCs w:val="21"/>
              </w:rPr>
              <w:t>29</w:t>
            </w:r>
            <w:r>
              <w:rPr>
                <w:rFonts w:hint="eastAsia" w:asciiTheme="minorEastAsia" w:hAnsiTheme="minorEastAsia" w:eastAsiaTheme="minorEastAsia" w:cstheme="minorEastAsia"/>
                <w:kern w:val="0"/>
                <w:szCs w:val="21"/>
                <w:lang w:val="zh-CN"/>
              </w:rPr>
              <w:t>日每日上午</w:t>
            </w:r>
            <w:r>
              <w:rPr>
                <w:rFonts w:hint="eastAsia" w:asciiTheme="minorEastAsia" w:hAnsiTheme="minorEastAsia" w:eastAsiaTheme="minorEastAsia" w:cstheme="minorEastAsia"/>
                <w:kern w:val="0"/>
                <w:szCs w:val="21"/>
              </w:rPr>
              <w:t>09</w:t>
            </w: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rPr>
              <w:t>00</w:t>
            </w:r>
            <w:r>
              <w:rPr>
                <w:rFonts w:hint="eastAsia" w:asciiTheme="minorEastAsia" w:hAnsiTheme="minorEastAsia" w:eastAsiaTheme="minorEastAsia" w:cstheme="minorEastAsia"/>
                <w:kern w:val="0"/>
                <w:szCs w:val="21"/>
                <w:lang w:val="zh-CN"/>
              </w:rPr>
              <w:t>时至12:00时，下午14：30时至</w:t>
            </w:r>
            <w:r>
              <w:rPr>
                <w:rFonts w:hint="eastAsia" w:asciiTheme="minorEastAsia" w:hAnsiTheme="minorEastAsia" w:eastAsiaTheme="minorEastAsia" w:cstheme="minorEastAsia"/>
                <w:kern w:val="0"/>
                <w:szCs w:val="21"/>
              </w:rPr>
              <w:t>17</w:t>
            </w:r>
            <w:r>
              <w:rPr>
                <w:rFonts w:hint="eastAsia" w:asciiTheme="minorEastAsia" w:hAnsiTheme="minorEastAsia" w:eastAsiaTheme="minorEastAsia" w:cstheme="minorEastAsia"/>
                <w:kern w:val="0"/>
                <w:szCs w:val="21"/>
                <w:lang w:val="zh-CN"/>
              </w:rPr>
              <w:t>:</w:t>
            </w:r>
            <w:r>
              <w:rPr>
                <w:rFonts w:hint="eastAsia" w:asciiTheme="minorEastAsia" w:hAnsiTheme="minorEastAsia" w:eastAsiaTheme="minorEastAsia" w:cstheme="minorEastAsia"/>
                <w:kern w:val="0"/>
                <w:szCs w:val="21"/>
              </w:rPr>
              <w:t>00</w:t>
            </w:r>
            <w:r>
              <w:rPr>
                <w:rFonts w:hint="eastAsia" w:asciiTheme="minorEastAsia" w:hAnsiTheme="minorEastAsia" w:eastAsiaTheme="minorEastAsia" w:cstheme="minorEastAsia"/>
                <w:kern w:val="0"/>
                <w:szCs w:val="21"/>
                <w:lang w:val="zh-CN"/>
              </w:rPr>
              <w:t>时（午休、节假日除外）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autoSpaceDE w:val="0"/>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10.2</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标底</w:t>
            </w:r>
          </w:p>
        </w:tc>
        <w:tc>
          <w:tcPr>
            <w:tcW w:w="6131" w:type="dxa"/>
            <w:vAlign w:val="center"/>
          </w:tcPr>
          <w:p>
            <w:pPr>
              <w:topLinePunct/>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autoSpaceDE w:val="0"/>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10.3</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开标会议</w:t>
            </w:r>
          </w:p>
        </w:tc>
        <w:tc>
          <w:tcPr>
            <w:tcW w:w="6131" w:type="dxa"/>
            <w:vAlign w:val="center"/>
          </w:tcPr>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采购单位邀请所有报名供应商的法定代表人或其委托代理人参加开标会，法定代表人或其委托代理人应当届时参加，并按开标程序向招标人提交本人身份证，以证明其投标文件中有关身份资料的真实性。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topLinePunct/>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10.4</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成交公示</w:t>
            </w:r>
          </w:p>
        </w:tc>
        <w:tc>
          <w:tcPr>
            <w:tcW w:w="6131" w:type="dxa"/>
            <w:vAlign w:val="center"/>
          </w:tcPr>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采购单位在本招标项目磋商公告发布的同一媒介将成交候选人予以公示，</w:t>
            </w:r>
            <w:r>
              <w:rPr>
                <w:rFonts w:hint="eastAsia" w:asciiTheme="minorEastAsia" w:hAnsiTheme="minorEastAsia" w:eastAsiaTheme="minorEastAsia" w:cstheme="minorEastAsia"/>
                <w:color w:val="000000" w:themeColor="text1"/>
                <w:szCs w:val="21"/>
              </w:rPr>
              <w:t>公示期不少于5个工作日</w:t>
            </w:r>
            <w:r>
              <w:rPr>
                <w:rFonts w:hint="eastAsia" w:asciiTheme="minorEastAsia" w:hAnsiTheme="minorEastAsia" w:eastAsiaTheme="minorEastAsia" w:cs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topLinePunct/>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10.5</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知识产权</w:t>
            </w:r>
          </w:p>
        </w:tc>
        <w:tc>
          <w:tcPr>
            <w:tcW w:w="6131" w:type="dxa"/>
            <w:vAlign w:val="center"/>
          </w:tcPr>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构成本磋商文件各个组成部分的文件，未经采购单位书面同意，采购单位不得擅自复印和用于非本招标工程所需的其他目的。采购单位全部或者部分使用非成交供应商磋商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topLinePunct/>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10.6</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词语含义</w:t>
            </w:r>
          </w:p>
        </w:tc>
        <w:tc>
          <w:tcPr>
            <w:tcW w:w="6131" w:type="dxa"/>
            <w:vAlign w:val="center"/>
          </w:tcPr>
          <w:p>
            <w:pPr>
              <w:topLinePunct/>
              <w:autoSpaceDN w:val="0"/>
              <w:adjustRightInd w:val="0"/>
              <w:snapToGrid w:val="0"/>
              <w:spacing w:line="46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1、本磋商文件中的“通用合同条款”、“专用合同条款”、“技术标准和要求”和“工程量清单”等章节中的 “发包人”和“承包人”，在招标投标各阶段应当分别以“采购单位”和“供应商”、“成交供应商”理解。</w:t>
            </w:r>
          </w:p>
          <w:p>
            <w:pPr>
              <w:topLinePunct/>
              <w:autoSpaceDN w:val="0"/>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w:t>
            </w:r>
            <w:r>
              <w:rPr>
                <w:rFonts w:hint="eastAsia" w:asciiTheme="minorEastAsia" w:hAnsiTheme="minorEastAsia" w:eastAsiaTheme="minorEastAsia" w:cstheme="minorEastAsia"/>
                <w:kern w:val="0"/>
                <w:szCs w:val="21"/>
              </w:rPr>
              <w:t>类似项目（工程）是指与招标项目（工程）在结构形式、使用功能、建设规模相同或相近似的项目（工程）。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topLinePunct/>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10.7</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监督执法</w:t>
            </w:r>
          </w:p>
        </w:tc>
        <w:tc>
          <w:tcPr>
            <w:tcW w:w="6131" w:type="dxa"/>
            <w:vAlign w:val="center"/>
          </w:tcPr>
          <w:p>
            <w:pPr>
              <w:topLinePunct/>
              <w:adjustRightInd w:val="0"/>
              <w:snapToGrid w:val="0"/>
              <w:spacing w:line="46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采购单位及其他参与本项目招标投标活动的相关人员应当支持、服从有关行政监督部门对招标投标活动依法实施的监督执法。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topLinePunct/>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10.8</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磋商文件解释</w:t>
            </w:r>
          </w:p>
        </w:tc>
        <w:tc>
          <w:tcPr>
            <w:tcW w:w="6131" w:type="dxa"/>
            <w:vAlign w:val="center"/>
          </w:tcPr>
          <w:p>
            <w:pPr>
              <w:topLinePunct/>
              <w:adjustRightInd w:val="0"/>
              <w:snapToGrid w:val="0"/>
              <w:spacing w:line="46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按构成本磋商文件的各个组成文件应互为解释，互为说明；</w:t>
            </w:r>
          </w:p>
          <w:p>
            <w:pPr>
              <w:topLinePunct/>
              <w:adjustRightInd w:val="0"/>
              <w:snapToGrid w:val="0"/>
              <w:spacing w:line="46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如有不明确或理解不一致的，构成合同文件组成内容的，以合同文件约定内容为准，且以合同条款约定的优先解释顺序；仅适用于招标投标阶段的约定，按磋商公告（投标邀请书）、投标人须知、评标办法、磋商文件格式的优先次序解释；同一文件就同一事项或者不同版本之间有不一致的，以文件形成的时间顺序，后者为准。评标委员会对磋商文件理解不一致时，应当邀请招标人和编制磋商文件的代理机构予以解释。但不得超出磋商文件的范围和实质性要求。</w:t>
            </w:r>
          </w:p>
          <w:p>
            <w:pPr>
              <w:topLinePunct/>
              <w:adjustRightInd w:val="0"/>
              <w:snapToGrid w:val="0"/>
              <w:spacing w:line="46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响应文件电子版仅为采购单位的存档资料，其内容</w:t>
            </w:r>
            <w:r>
              <w:rPr>
                <w:rFonts w:hint="eastAsia" w:asciiTheme="minorEastAsia" w:hAnsiTheme="minorEastAsia" w:eastAsiaTheme="minorEastAsia" w:cstheme="minorEastAsia"/>
                <w:szCs w:val="21"/>
              </w:rPr>
              <w:t>电子版内容与纸质版内容不一致时，以纸质版内容为准。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6" w:type="dxa"/>
          </w:tcPr>
          <w:p>
            <w:pPr>
              <w:topLinePunct/>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10.9</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p>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招标代理</w:t>
            </w:r>
            <w:r>
              <w:rPr>
                <w:rFonts w:hint="eastAsia" w:asciiTheme="minorEastAsia" w:hAnsiTheme="minorEastAsia" w:eastAsiaTheme="minorEastAsia" w:cstheme="minorEastAsia"/>
                <w:b/>
                <w:bCs/>
                <w:szCs w:val="21"/>
              </w:rPr>
              <w:t>服务</w:t>
            </w:r>
            <w:r>
              <w:rPr>
                <w:rFonts w:hint="eastAsia" w:asciiTheme="minorEastAsia" w:hAnsiTheme="minorEastAsia" w:eastAsiaTheme="minorEastAsia" w:cstheme="minorEastAsia"/>
                <w:b/>
                <w:bCs/>
                <w:szCs w:val="21"/>
                <w:lang w:val="zh-CN"/>
              </w:rPr>
              <w:t>费</w:t>
            </w:r>
          </w:p>
        </w:tc>
        <w:tc>
          <w:tcPr>
            <w:tcW w:w="6131" w:type="dxa"/>
            <w:vAlign w:val="center"/>
          </w:tcPr>
          <w:p>
            <w:pPr>
              <w:topLinePunct/>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在发放中标通知书时，由中标人支付。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topLinePunct/>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10.10</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p>
          <w:p>
            <w:pPr>
              <w:autoSpaceDE w:val="0"/>
              <w:autoSpaceDN w:val="0"/>
              <w:spacing w:line="340" w:lineRule="exact"/>
              <w:rPr>
                <w:rFonts w:asciiTheme="minorEastAsia" w:hAnsiTheme="minorEastAsia" w:eastAsiaTheme="minorEastAsia" w:cstheme="minorEastAsia"/>
                <w:b/>
                <w:bCs/>
                <w:szCs w:val="21"/>
                <w:lang w:val="zh-CN"/>
              </w:rPr>
            </w:pPr>
          </w:p>
          <w:p>
            <w:pPr>
              <w:autoSpaceDE w:val="0"/>
              <w:autoSpaceDN w:val="0"/>
              <w:spacing w:line="340" w:lineRule="exact"/>
              <w:rPr>
                <w:rFonts w:asciiTheme="minorEastAsia" w:hAnsiTheme="minorEastAsia" w:eastAsiaTheme="minorEastAsia" w:cstheme="minorEastAsia"/>
                <w:b/>
                <w:bCs/>
                <w:szCs w:val="21"/>
                <w:lang w:val="zh-CN"/>
              </w:rPr>
            </w:pPr>
          </w:p>
          <w:p>
            <w:pPr>
              <w:autoSpaceDE w:val="0"/>
              <w:autoSpaceDN w:val="0"/>
              <w:spacing w:line="340" w:lineRule="exact"/>
              <w:rPr>
                <w:rFonts w:asciiTheme="minorEastAsia" w:hAnsiTheme="minorEastAsia" w:eastAsiaTheme="minorEastAsia" w:cstheme="minorEastAsia"/>
                <w:b/>
                <w:bCs/>
                <w:szCs w:val="21"/>
                <w:lang w:val="zh-CN"/>
              </w:rPr>
            </w:pPr>
          </w:p>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期  间</w:t>
            </w:r>
          </w:p>
        </w:tc>
        <w:tc>
          <w:tcPr>
            <w:tcW w:w="6131" w:type="dxa"/>
            <w:vAlign w:val="center"/>
          </w:tcPr>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文件期间：按年、月、日（包括日历天）计算的，以公历年为准；按小时、分计算的，以北京时间为准；按天计算的，从开始之日计算，但磋商文件明确规定不包括开始之日的，从其规定；时间的最后一天是法定公休日的，以公休日最后一日的次日为期间的最后一天。最后一天的截止时间为当日的24时。有工作时间的至工作时间结束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topLinePunct/>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10.11</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采购代理机构的传真号码及电子邮箱</w:t>
            </w:r>
          </w:p>
        </w:tc>
        <w:tc>
          <w:tcPr>
            <w:tcW w:w="6131" w:type="dxa"/>
            <w:vAlign w:val="center"/>
          </w:tcPr>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传真号码：0971-8166685 </w:t>
            </w:r>
          </w:p>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w:t>
            </w:r>
            <w:r>
              <w:rPr>
                <w:rFonts w:hint="eastAsia" w:asciiTheme="minorEastAsia" w:hAnsiTheme="minorEastAsia" w:eastAsiaTheme="minorEastAsia" w:cstheme="minorEastAsia"/>
                <w:color w:val="000000"/>
                <w:kern w:val="0"/>
                <w:szCs w:val="21"/>
              </w:rPr>
              <w:t>QHXR2014@163.com</w:t>
            </w: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topLinePunct/>
              <w:autoSpaceDN w:val="0"/>
              <w:adjustRightInd w:val="0"/>
              <w:snapToGrid w:val="0"/>
              <w:spacing w:line="4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10.12</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投标文件电子版要求</w:t>
            </w:r>
          </w:p>
        </w:tc>
        <w:tc>
          <w:tcPr>
            <w:tcW w:w="6131" w:type="dxa"/>
            <w:vAlign w:val="center"/>
          </w:tcPr>
          <w:p>
            <w:pPr>
              <w:tabs>
                <w:tab w:val="right" w:pos="5808"/>
              </w:tabs>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口不要求</w:t>
            </w:r>
          </w:p>
          <w:p>
            <w:pPr>
              <w:tabs>
                <w:tab w:val="right" w:pos="5808"/>
              </w:tabs>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eq \o\ac(</w:instrText>
            </w:r>
            <w:r>
              <w:rPr>
                <w:rFonts w:hint="eastAsia" w:asciiTheme="minorEastAsia" w:hAnsiTheme="minorEastAsia" w:eastAsiaTheme="minorEastAsia" w:cstheme="minorEastAsia"/>
                <w:position w:val="-4"/>
                <w:sz w:val="31"/>
                <w:szCs w:val="21"/>
              </w:rPr>
              <w:instrText xml:space="preserve">□</w:instrText>
            </w:r>
            <w:r>
              <w:rPr>
                <w:rFonts w:hint="eastAsia" w:asciiTheme="minorEastAsia" w:hAnsiTheme="minorEastAsia" w:eastAsiaTheme="minorEastAsia" w:cstheme="minorEastAsia"/>
                <w:szCs w:val="21"/>
              </w:rPr>
              <w:instrText xml:space="preserve">,∨)</w:instrTex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要求，投标文件电子版份数：1份。</w:t>
            </w:r>
            <w:r>
              <w:rPr>
                <w:rFonts w:hint="eastAsia" w:asciiTheme="minorEastAsia" w:hAnsiTheme="minorEastAsia" w:eastAsiaTheme="minorEastAsia" w:cstheme="minorEastAsia"/>
                <w:szCs w:val="21"/>
              </w:rPr>
              <w:tab/>
            </w:r>
          </w:p>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投标文件电子版形式：U盘（PDF格式）。</w:t>
            </w:r>
          </w:p>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密封要求：单独密封，封口处加贴封条，并加盖投标人单位章，应在封套上载明：招标人名称：</w:t>
            </w:r>
          </w:p>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rPr>
              <w:t xml:space="preserve">  (项目名称含标段)  </w:t>
            </w:r>
            <w:r>
              <w:rPr>
                <w:rFonts w:hint="eastAsia" w:asciiTheme="minorEastAsia" w:hAnsiTheme="minorEastAsia" w:eastAsiaTheme="minorEastAsia" w:cstheme="minorEastAsia"/>
                <w:szCs w:val="21"/>
              </w:rPr>
              <w:t>投标文件</w:t>
            </w:r>
          </w:p>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10.13</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文明安全施工</w:t>
            </w:r>
          </w:p>
        </w:tc>
        <w:tc>
          <w:tcPr>
            <w:tcW w:w="6131" w:type="dxa"/>
            <w:vAlign w:val="center"/>
          </w:tcPr>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执行国家和青海省有关标准和规定。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 w:type="dxa"/>
          </w:tcPr>
          <w:p>
            <w:pPr>
              <w:topLinePunct/>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10.14</w:t>
            </w:r>
          </w:p>
        </w:tc>
        <w:tc>
          <w:tcPr>
            <w:tcW w:w="2436" w:type="dxa"/>
          </w:tcPr>
          <w:p>
            <w:pPr>
              <w:autoSpaceDE w:val="0"/>
              <w:autoSpaceDN w:val="0"/>
              <w:spacing w:line="340" w:lineRule="exact"/>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其他要求</w:t>
            </w:r>
          </w:p>
        </w:tc>
        <w:tc>
          <w:tcPr>
            <w:tcW w:w="6131" w:type="dxa"/>
            <w:vAlign w:val="center"/>
          </w:tcPr>
          <w:p>
            <w:pPr>
              <w:topLinePunct/>
              <w:autoSpaceDN w:val="0"/>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zCs w:val="21"/>
              </w:rPr>
              <w:t>招标项目进入招投标交易场所的，应执行招投标交易场所的相关规定。</w:t>
            </w:r>
          </w:p>
          <w:p>
            <w:pPr>
              <w:topLinePunct/>
              <w:autoSpaceDN w:val="0"/>
              <w:adjustRightInd w:val="0"/>
              <w:snapToGrid w:val="0"/>
              <w:spacing w:line="4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2、投标人必须对所提交材料的合法性、真实性、完整性负责。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3" w:type="dxa"/>
            <w:gridSpan w:val="3"/>
          </w:tcPr>
          <w:p>
            <w:pPr>
              <w:topLinePunct/>
              <w:autoSpaceDN w:val="0"/>
              <w:adjustRightInd w:val="0"/>
              <w:snapToGrid w:val="0"/>
              <w:spacing w:line="460" w:lineRule="exact"/>
              <w:jc w:val="center"/>
              <w:rPr>
                <w:rFonts w:asciiTheme="minorEastAsia" w:hAnsiTheme="minorEastAsia" w:eastAsiaTheme="minorEastAsia" w:cstheme="minorEastAsia"/>
                <w:szCs w:val="21"/>
              </w:rPr>
            </w:pPr>
            <w:bookmarkStart w:id="14" w:name="_Toc365994216"/>
            <w:bookmarkStart w:id="15" w:name="_Toc320714313"/>
            <w:bookmarkStart w:id="16" w:name="_Toc320713175"/>
            <w:bookmarkStart w:id="17" w:name="_Toc367266324"/>
            <w:r>
              <w:rPr>
                <w:rFonts w:hint="eastAsia" w:asciiTheme="minorEastAsia" w:hAnsiTheme="minorEastAsia" w:eastAsiaTheme="minorEastAsia" w:cstheme="minorEastAsia"/>
                <w:b/>
                <w:bCs/>
                <w:szCs w:val="21"/>
              </w:rPr>
              <w:t>本项目磋商文件其他地方的内容与本前附表不一致时，以前附表为准。</w:t>
            </w:r>
          </w:p>
        </w:tc>
      </w:tr>
    </w:tbl>
    <w:p/>
    <w:bookmarkEnd w:id="14"/>
    <w:bookmarkEnd w:id="15"/>
    <w:bookmarkEnd w:id="16"/>
    <w:bookmarkEnd w:id="17"/>
    <w:p>
      <w:bookmarkStart w:id="18" w:name="_Toc10937_WPSOffice_Level1"/>
      <w:bookmarkStart w:id="19" w:name="_Toc18488"/>
      <w:bookmarkStart w:id="20" w:name="_Toc1320"/>
      <w:bookmarkStart w:id="21" w:name="_Toc464136613"/>
      <w:bookmarkStart w:id="22" w:name="_Toc325725997"/>
    </w:p>
    <w:p>
      <w:pPr>
        <w:rPr>
          <w:rStyle w:val="47"/>
        </w:rPr>
      </w:pPr>
      <w:r>
        <w:rPr>
          <w:rStyle w:val="47"/>
          <w:rFonts w:hint="eastAsia"/>
        </w:rPr>
        <w:br w:type="page"/>
      </w:r>
    </w:p>
    <w:p>
      <w:pPr>
        <w:pStyle w:val="24"/>
        <w:rPr>
          <w:rStyle w:val="47"/>
          <w:b/>
          <w:bCs/>
        </w:rPr>
      </w:pPr>
      <w:bookmarkStart w:id="23" w:name="_Toc28839"/>
      <w:r>
        <w:rPr>
          <w:rStyle w:val="47"/>
          <w:rFonts w:hint="eastAsia"/>
          <w:b/>
          <w:bCs/>
        </w:rPr>
        <w:t>第三部分</w:t>
      </w:r>
      <w:r>
        <w:rPr>
          <w:rStyle w:val="47"/>
          <w:b/>
          <w:bCs/>
        </w:rPr>
        <w:t xml:space="preserve">  </w:t>
      </w:r>
      <w:r>
        <w:rPr>
          <w:rStyle w:val="47"/>
          <w:rFonts w:hint="eastAsia"/>
          <w:b/>
          <w:bCs/>
        </w:rPr>
        <w:t>供应商须知</w:t>
      </w:r>
      <w:bookmarkEnd w:id="18"/>
      <w:bookmarkEnd w:id="19"/>
      <w:bookmarkEnd w:id="20"/>
      <w:bookmarkEnd w:id="21"/>
      <w:bookmarkEnd w:id="23"/>
    </w:p>
    <w:p>
      <w:pPr>
        <w:pStyle w:val="2"/>
      </w:pPr>
      <w:bookmarkStart w:id="24" w:name="_Toc30723"/>
      <w:bookmarkStart w:id="25" w:name="_Toc376936728"/>
      <w:bookmarkStart w:id="26" w:name="_Toc10937_WPSOffice_Level2"/>
      <w:bookmarkStart w:id="27" w:name="_Toc24622"/>
      <w:bookmarkStart w:id="28" w:name="_Toc3636"/>
      <w:bookmarkStart w:id="29" w:name="_Toc464136614"/>
      <w:bookmarkStart w:id="30" w:name="_Toc14943"/>
      <w:bookmarkStart w:id="31" w:name="_Toc15602"/>
      <w:r>
        <w:rPr>
          <w:rFonts w:hint="eastAsia"/>
        </w:rPr>
        <w:t>一、说</w:t>
      </w:r>
      <w:r>
        <w:t xml:space="preserve">  </w:t>
      </w:r>
      <w:r>
        <w:rPr>
          <w:rFonts w:hint="eastAsia"/>
        </w:rPr>
        <w:t>明</w:t>
      </w:r>
      <w:bookmarkEnd w:id="22"/>
      <w:bookmarkEnd w:id="24"/>
      <w:bookmarkEnd w:id="25"/>
      <w:bookmarkEnd w:id="26"/>
      <w:bookmarkEnd w:id="27"/>
      <w:bookmarkEnd w:id="28"/>
      <w:bookmarkEnd w:id="29"/>
      <w:bookmarkEnd w:id="30"/>
      <w:bookmarkEnd w:id="31"/>
    </w:p>
    <w:p>
      <w:pPr>
        <w:pStyle w:val="24"/>
        <w:jc w:val="left"/>
        <w:rPr>
          <w:rFonts w:ascii="宋体" w:hAnsi="宋体" w:cs="宋体"/>
          <w:sz w:val="24"/>
          <w:szCs w:val="24"/>
        </w:rPr>
      </w:pPr>
      <w:bookmarkStart w:id="32" w:name="_Toc21876"/>
      <w:bookmarkStart w:id="33" w:name="_Toc376936729"/>
      <w:bookmarkStart w:id="34" w:name="_Toc9770"/>
      <w:bookmarkStart w:id="35" w:name="_Toc325725998"/>
      <w:bookmarkStart w:id="36" w:name="_Toc464136615"/>
      <w:bookmarkStart w:id="37" w:name="_Toc11453"/>
      <w:bookmarkStart w:id="38" w:name="_Toc16270"/>
      <w:bookmarkStart w:id="39" w:name="_Toc26944"/>
      <w:r>
        <w:rPr>
          <w:rFonts w:ascii="宋体" w:hAnsi="宋体" w:cs="宋体"/>
          <w:sz w:val="24"/>
          <w:szCs w:val="24"/>
        </w:rPr>
        <w:t>1.</w:t>
      </w:r>
      <w:r>
        <w:rPr>
          <w:rFonts w:hint="eastAsia" w:ascii="宋体" w:hAnsi="宋体" w:cs="宋体"/>
          <w:sz w:val="24"/>
          <w:szCs w:val="24"/>
        </w:rPr>
        <w:t>适用范围</w:t>
      </w:r>
      <w:bookmarkEnd w:id="32"/>
      <w:bookmarkEnd w:id="33"/>
      <w:bookmarkEnd w:id="34"/>
      <w:bookmarkEnd w:id="35"/>
      <w:bookmarkEnd w:id="36"/>
      <w:bookmarkEnd w:id="37"/>
      <w:bookmarkEnd w:id="38"/>
      <w:bookmarkEnd w:id="39"/>
    </w:p>
    <w:p/>
    <w:p>
      <w:pPr>
        <w:tabs>
          <w:tab w:val="left" w:pos="840"/>
        </w:tabs>
        <w:ind w:firstLine="480"/>
        <w:rPr>
          <w:rFonts w:ascii="宋体"/>
          <w:sz w:val="24"/>
        </w:rPr>
      </w:pPr>
      <w:r>
        <w:rPr>
          <w:rFonts w:hint="eastAsia" w:ascii="宋体" w:hAnsi="宋体" w:cs="宋体"/>
          <w:sz w:val="24"/>
        </w:rPr>
        <w:t>本次采购依据采购人的采购计划，仅适用于本磋商文件中所叙述的项目。</w:t>
      </w:r>
    </w:p>
    <w:p>
      <w:pPr>
        <w:pStyle w:val="24"/>
        <w:jc w:val="left"/>
        <w:rPr>
          <w:rFonts w:ascii="宋体" w:hAnsi="宋体" w:cs="宋体"/>
          <w:sz w:val="24"/>
          <w:szCs w:val="24"/>
        </w:rPr>
      </w:pPr>
      <w:bookmarkStart w:id="40" w:name="_Toc376936730"/>
      <w:bookmarkStart w:id="41" w:name="_Toc21998"/>
      <w:bookmarkStart w:id="42" w:name="_Toc325725999"/>
      <w:bookmarkStart w:id="43" w:name="_Toc23358"/>
      <w:bookmarkStart w:id="44" w:name="_Toc464136616"/>
      <w:bookmarkStart w:id="45" w:name="_Toc12667"/>
      <w:bookmarkStart w:id="46" w:name="_Toc31556"/>
      <w:bookmarkStart w:id="47" w:name="_Toc13912"/>
      <w:r>
        <w:rPr>
          <w:rFonts w:ascii="宋体" w:hAnsi="宋体" w:cs="宋体"/>
          <w:sz w:val="24"/>
          <w:szCs w:val="24"/>
        </w:rPr>
        <w:t>2.</w:t>
      </w:r>
      <w:r>
        <w:rPr>
          <w:rFonts w:hint="eastAsia" w:ascii="宋体" w:hAnsi="宋体" w:cs="宋体"/>
          <w:sz w:val="24"/>
          <w:szCs w:val="24"/>
        </w:rPr>
        <w:t>采购方式、合格的</w:t>
      </w:r>
      <w:bookmarkEnd w:id="40"/>
      <w:bookmarkEnd w:id="41"/>
      <w:bookmarkEnd w:id="42"/>
      <w:r>
        <w:rPr>
          <w:rFonts w:hint="eastAsia" w:ascii="宋体" w:hAnsi="宋体" w:cs="宋体"/>
          <w:sz w:val="24"/>
          <w:szCs w:val="24"/>
        </w:rPr>
        <w:t>供应商</w:t>
      </w:r>
      <w:bookmarkEnd w:id="43"/>
      <w:bookmarkEnd w:id="44"/>
      <w:bookmarkEnd w:id="45"/>
      <w:bookmarkEnd w:id="46"/>
      <w:bookmarkEnd w:id="47"/>
    </w:p>
    <w:p>
      <w:pPr>
        <w:autoSpaceDE w:val="0"/>
        <w:autoSpaceDN w:val="0"/>
        <w:adjustRightInd w:val="0"/>
        <w:spacing w:line="320" w:lineRule="exact"/>
        <w:ind w:firstLine="420" w:firstLineChars="200"/>
        <w:jc w:val="left"/>
        <w:rPr>
          <w:rFonts w:ascii="宋体" w:hAnsi="宋体" w:cs="宋体"/>
          <w:kern w:val="0"/>
          <w:lang w:val="zh-CN"/>
        </w:rPr>
      </w:pPr>
      <w:r>
        <w:rPr>
          <w:rFonts w:hint="eastAsia" w:ascii="宋体" w:hAnsi="宋体" w:cs="宋体"/>
          <w:kern w:val="0"/>
          <w:lang w:val="zh-CN"/>
        </w:rPr>
        <w:t>2.1本次采购采取竞争性磋商方式。</w:t>
      </w:r>
    </w:p>
    <w:p>
      <w:pPr>
        <w:autoSpaceDE w:val="0"/>
        <w:autoSpaceDN w:val="0"/>
        <w:adjustRightInd w:val="0"/>
        <w:spacing w:line="320" w:lineRule="exact"/>
        <w:ind w:firstLine="420" w:firstLineChars="200"/>
        <w:jc w:val="left"/>
        <w:rPr>
          <w:rFonts w:ascii="宋体" w:hAnsi="宋体" w:cs="宋体"/>
          <w:kern w:val="0"/>
          <w:lang w:val="zh-CN"/>
        </w:rPr>
      </w:pPr>
      <w:r>
        <w:rPr>
          <w:rFonts w:hint="eastAsia" w:ascii="宋体" w:hAnsi="宋体" w:cs="宋体"/>
          <w:kern w:val="0"/>
          <w:lang w:val="zh-CN"/>
        </w:rPr>
        <w:t>2.2合格的供应商：</w:t>
      </w:r>
    </w:p>
    <w:p>
      <w:pPr>
        <w:autoSpaceDE w:val="0"/>
        <w:autoSpaceDN w:val="0"/>
        <w:adjustRightInd w:val="0"/>
        <w:spacing w:line="320" w:lineRule="exact"/>
        <w:jc w:val="left"/>
        <w:rPr>
          <w:lang w:val="zh-CN"/>
        </w:rPr>
      </w:pPr>
      <w:bookmarkStart w:id="48" w:name="_Toc1492"/>
      <w:bookmarkStart w:id="49" w:name="_Toc8820"/>
      <w:bookmarkStart w:id="50" w:name="_Toc8805"/>
      <w:bookmarkStart w:id="51" w:name="_Toc18272"/>
      <w:bookmarkStart w:id="52" w:name="_Toc325726000"/>
      <w:bookmarkStart w:id="53" w:name="_Toc464136617"/>
      <w:bookmarkStart w:id="54" w:name="_Toc376936731"/>
      <w:bookmarkStart w:id="55" w:name="_Toc17787"/>
      <w:r>
        <w:rPr>
          <w:rFonts w:hint="eastAsia"/>
          <w:lang w:val="zh-CN"/>
        </w:rPr>
        <w:t>1、符合《中华人民共和国政府采购法》第22条的条件：</w:t>
      </w:r>
    </w:p>
    <w:p>
      <w:pPr>
        <w:autoSpaceDE w:val="0"/>
        <w:autoSpaceDN w:val="0"/>
        <w:adjustRightInd w:val="0"/>
        <w:spacing w:line="320" w:lineRule="exact"/>
        <w:jc w:val="left"/>
        <w:rPr>
          <w:lang w:val="zh-CN"/>
        </w:rPr>
      </w:pPr>
      <w:r>
        <w:rPr>
          <w:rFonts w:hint="eastAsia"/>
          <w:lang w:val="zh-CN"/>
        </w:rPr>
        <w:t>（1）具有独立承担民事责任能力；</w:t>
      </w:r>
    </w:p>
    <w:p>
      <w:pPr>
        <w:autoSpaceDE w:val="0"/>
        <w:autoSpaceDN w:val="0"/>
        <w:adjustRightInd w:val="0"/>
        <w:spacing w:line="320" w:lineRule="exact"/>
        <w:jc w:val="left"/>
        <w:rPr>
          <w:lang w:val="zh-CN"/>
        </w:rPr>
      </w:pPr>
      <w:r>
        <w:rPr>
          <w:rFonts w:hint="eastAsia"/>
          <w:lang w:val="zh-CN"/>
        </w:rPr>
        <w:t>（2）具有良好的商业信誉和健全的财务会计制度；</w:t>
      </w:r>
    </w:p>
    <w:p>
      <w:pPr>
        <w:autoSpaceDE w:val="0"/>
        <w:autoSpaceDN w:val="0"/>
        <w:adjustRightInd w:val="0"/>
        <w:spacing w:line="320" w:lineRule="exact"/>
        <w:jc w:val="left"/>
        <w:rPr>
          <w:lang w:val="zh-CN"/>
        </w:rPr>
      </w:pPr>
      <w:r>
        <w:rPr>
          <w:rFonts w:hint="eastAsia"/>
          <w:lang w:val="zh-CN"/>
        </w:rPr>
        <w:t>（3）具有履行合同所必需的设备和专业技术能力；</w:t>
      </w:r>
    </w:p>
    <w:p>
      <w:pPr>
        <w:autoSpaceDE w:val="0"/>
        <w:autoSpaceDN w:val="0"/>
        <w:adjustRightInd w:val="0"/>
        <w:spacing w:line="320" w:lineRule="exact"/>
        <w:jc w:val="left"/>
        <w:rPr>
          <w:lang w:val="zh-CN"/>
        </w:rPr>
      </w:pPr>
      <w:r>
        <w:rPr>
          <w:rFonts w:hint="eastAsia"/>
          <w:lang w:val="zh-CN"/>
        </w:rPr>
        <w:t>（4）有依法缴纳税收和社会保障资金的良好记录；</w:t>
      </w:r>
    </w:p>
    <w:p>
      <w:pPr>
        <w:autoSpaceDE w:val="0"/>
        <w:autoSpaceDN w:val="0"/>
        <w:adjustRightInd w:val="0"/>
        <w:spacing w:line="320" w:lineRule="exact"/>
        <w:jc w:val="left"/>
        <w:rPr>
          <w:lang w:val="zh-CN"/>
        </w:rPr>
      </w:pPr>
      <w:r>
        <w:rPr>
          <w:rFonts w:hint="eastAsia"/>
          <w:lang w:val="zh-CN"/>
        </w:rPr>
        <w:t>（5）参加政府采购活动前三年内，在经营活动中没有重大违法记录；</w:t>
      </w:r>
    </w:p>
    <w:p>
      <w:pPr>
        <w:autoSpaceDE w:val="0"/>
        <w:autoSpaceDN w:val="0"/>
        <w:adjustRightInd w:val="0"/>
        <w:spacing w:line="320" w:lineRule="exact"/>
        <w:jc w:val="left"/>
        <w:rPr>
          <w:lang w:val="zh-CN"/>
        </w:rPr>
      </w:pPr>
      <w:r>
        <w:rPr>
          <w:rFonts w:hint="eastAsia"/>
          <w:lang w:val="zh-CN"/>
        </w:rPr>
        <w:t>（6）法律、行政法规规定的其他条件。</w:t>
      </w:r>
    </w:p>
    <w:p>
      <w:pPr>
        <w:autoSpaceDE w:val="0"/>
        <w:autoSpaceDN w:val="0"/>
        <w:adjustRightInd w:val="0"/>
        <w:spacing w:line="320" w:lineRule="exact"/>
        <w:jc w:val="left"/>
        <w:rPr>
          <w:lang w:val="zh-CN"/>
        </w:rPr>
      </w:pPr>
      <w:r>
        <w:rPr>
          <w:rFonts w:hint="eastAsia"/>
          <w:lang w:val="zh-CN"/>
        </w:rPr>
        <w:t>2、磋商文件规定的其他资质条件：</w:t>
      </w:r>
    </w:p>
    <w:p>
      <w:pPr>
        <w:autoSpaceDE w:val="0"/>
        <w:autoSpaceDN w:val="0"/>
        <w:adjustRightInd w:val="0"/>
        <w:spacing w:line="320" w:lineRule="exact"/>
        <w:jc w:val="left"/>
        <w:rPr>
          <w:highlight w:val="yellow"/>
          <w:lang w:val="zh-CN"/>
        </w:rPr>
      </w:pPr>
      <w:r>
        <w:rPr>
          <w:rFonts w:hint="eastAsia"/>
          <w:lang w:val="zh-CN"/>
        </w:rPr>
        <w:t>（1）投标人须具</w:t>
      </w:r>
      <w:r>
        <w:rPr>
          <w:rFonts w:hint="eastAsia"/>
          <w:highlight w:val="none"/>
          <w:lang w:val="zh-CN"/>
        </w:rPr>
        <w:t>备房屋建筑工程施工总承包三级</w:t>
      </w:r>
      <w:r>
        <w:rPr>
          <w:rFonts w:hint="eastAsia"/>
          <w:lang w:val="zh-CN"/>
        </w:rPr>
        <w:t>和建筑装修装饰工程专业承包二级（含）及以上资质；具有安全生产许可证；并在人员、设备资金等方面具有相应的施工能力；</w:t>
      </w:r>
    </w:p>
    <w:p>
      <w:pPr>
        <w:autoSpaceDE w:val="0"/>
        <w:autoSpaceDN w:val="0"/>
        <w:adjustRightInd w:val="0"/>
        <w:spacing w:line="320" w:lineRule="exact"/>
        <w:jc w:val="left"/>
        <w:rPr>
          <w:lang w:val="zh-CN"/>
        </w:rPr>
      </w:pPr>
      <w:r>
        <w:rPr>
          <w:rFonts w:hint="eastAsia"/>
          <w:lang w:val="zh-CN"/>
        </w:rPr>
        <w:t>（2）拟派项目经理须具备建筑工程专业二级及以上注册建造师执业资格，且有效的安全生产考核合格证书；拟</w:t>
      </w:r>
      <w:r>
        <w:rPr>
          <w:rFonts w:hint="eastAsia"/>
          <w:highlight w:val="none"/>
          <w:lang w:val="zh-CN"/>
        </w:rPr>
        <w:t>派技术负责人</w:t>
      </w:r>
      <w:r>
        <w:rPr>
          <w:rFonts w:hint="eastAsia"/>
          <w:lang w:val="zh-CN"/>
        </w:rPr>
        <w:t>须具备高级职称；投标人在本项目中拟定的技术人员中需包含一名安全员且持有效证件；；</w:t>
      </w:r>
    </w:p>
    <w:p>
      <w:pPr>
        <w:autoSpaceDE w:val="0"/>
        <w:autoSpaceDN w:val="0"/>
        <w:adjustRightInd w:val="0"/>
        <w:spacing w:line="320" w:lineRule="exact"/>
        <w:jc w:val="left"/>
        <w:rPr>
          <w:lang w:val="zh-CN"/>
        </w:rPr>
      </w:pPr>
      <w:r>
        <w:rPr>
          <w:rFonts w:hint="eastAsia"/>
          <w:lang w:val="zh-CN"/>
        </w:rPr>
        <w:t>（</w:t>
      </w:r>
      <w:r>
        <w:rPr>
          <w:rFonts w:hint="eastAsia"/>
        </w:rPr>
        <w:t>3</w:t>
      </w:r>
      <w:r>
        <w:rPr>
          <w:rFonts w:hint="eastAsia"/>
          <w:lang w:val="zh-CN"/>
        </w:rPr>
        <w:t>）信誉要求：有良好的信誉，自201</w:t>
      </w:r>
      <w:r>
        <w:rPr>
          <w:rFonts w:hint="eastAsia"/>
        </w:rPr>
        <w:t>7</w:t>
      </w:r>
      <w:r>
        <w:rPr>
          <w:rFonts w:hint="eastAsia"/>
          <w:lang w:val="zh-CN"/>
        </w:rPr>
        <w:t>年</w:t>
      </w:r>
      <w:r>
        <w:rPr>
          <w:rFonts w:hint="eastAsia"/>
        </w:rPr>
        <w:t>1</w:t>
      </w:r>
      <w:r>
        <w:rPr>
          <w:rFonts w:hint="eastAsia"/>
          <w:lang w:val="zh-CN"/>
        </w:rPr>
        <w:t>月1日至本项目发布磋商公告之日止，未因安全、质量、违法违纪问题被国家和青海省建设行政主管部门禁止、限制投标活动的情形；</w:t>
      </w:r>
    </w:p>
    <w:p>
      <w:pPr>
        <w:autoSpaceDE w:val="0"/>
        <w:autoSpaceDN w:val="0"/>
        <w:adjustRightInd w:val="0"/>
        <w:spacing w:line="320" w:lineRule="exact"/>
        <w:jc w:val="left"/>
        <w:rPr>
          <w:lang w:val="zh-CN"/>
        </w:rPr>
      </w:pPr>
      <w:r>
        <w:rPr>
          <w:rFonts w:hint="eastAsia"/>
          <w:lang w:val="zh-CN"/>
        </w:rPr>
        <w:t>3、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autoSpaceDE w:val="0"/>
        <w:autoSpaceDN w:val="0"/>
        <w:adjustRightInd w:val="0"/>
        <w:spacing w:line="320" w:lineRule="exact"/>
        <w:jc w:val="left"/>
        <w:rPr>
          <w:lang w:val="zh-CN"/>
        </w:rPr>
      </w:pPr>
      <w:r>
        <w:rPr>
          <w:rFonts w:hint="eastAsia"/>
          <w:lang w:val="zh-CN"/>
        </w:rPr>
        <w:t xml:space="preserve">4、省外投标人须提供有效的进青备案登记证明；          </w:t>
      </w:r>
    </w:p>
    <w:p>
      <w:pPr>
        <w:autoSpaceDE w:val="0"/>
        <w:autoSpaceDN w:val="0"/>
        <w:adjustRightInd w:val="0"/>
        <w:spacing w:line="320" w:lineRule="exact"/>
        <w:jc w:val="left"/>
        <w:rPr>
          <w:lang w:val="zh-CN"/>
        </w:rPr>
      </w:pPr>
      <w:r>
        <w:rPr>
          <w:rFonts w:hint="eastAsia"/>
          <w:lang w:val="zh-CN"/>
        </w:rPr>
        <w:t xml:space="preserve">5、本次招标不接受联合体投标；                     </w:t>
      </w:r>
    </w:p>
    <w:p>
      <w:pPr>
        <w:autoSpaceDE w:val="0"/>
        <w:autoSpaceDN w:val="0"/>
        <w:adjustRightInd w:val="0"/>
        <w:spacing w:line="320" w:lineRule="exact"/>
        <w:jc w:val="left"/>
        <w:rPr>
          <w:lang w:val="zh-CN"/>
        </w:rPr>
      </w:pPr>
      <w:r>
        <w:rPr>
          <w:rFonts w:hint="eastAsia"/>
          <w:lang w:val="zh-CN"/>
        </w:rPr>
        <w:t>6、磋商文件规定的其他要求。</w:t>
      </w:r>
    </w:p>
    <w:p>
      <w:pPr>
        <w:autoSpaceDE w:val="0"/>
        <w:autoSpaceDN w:val="0"/>
        <w:adjustRightInd w:val="0"/>
        <w:spacing w:line="320" w:lineRule="exact"/>
        <w:jc w:val="left"/>
      </w:pPr>
      <w:r>
        <w:rPr>
          <w:rFonts w:hint="eastAsia"/>
        </w:rPr>
        <w:t>7、投标人须提供现场勘查证明回执</w:t>
      </w:r>
    </w:p>
    <w:p>
      <w:pPr>
        <w:autoSpaceDE w:val="0"/>
        <w:autoSpaceDN w:val="0"/>
        <w:adjustRightInd w:val="0"/>
        <w:spacing w:line="320" w:lineRule="exact"/>
        <w:jc w:val="left"/>
        <w:rPr>
          <w:rFonts w:ascii="宋体" w:hAnsi="宋体" w:cs="宋体"/>
          <w:b/>
          <w:bCs/>
          <w:sz w:val="24"/>
          <w:lang w:val="zh-CN"/>
        </w:rPr>
      </w:pPr>
      <w:r>
        <w:rPr>
          <w:rFonts w:hint="eastAsia" w:ascii="宋体" w:hAnsi="宋体" w:cs="宋体"/>
          <w:b/>
          <w:bCs/>
          <w:sz w:val="24"/>
          <w:lang w:val="zh-CN"/>
        </w:rPr>
        <w:t>3.磋商费用</w:t>
      </w:r>
      <w:bookmarkEnd w:id="48"/>
      <w:bookmarkEnd w:id="49"/>
      <w:bookmarkEnd w:id="50"/>
      <w:bookmarkEnd w:id="51"/>
      <w:bookmarkEnd w:id="52"/>
      <w:bookmarkEnd w:id="53"/>
      <w:bookmarkEnd w:id="54"/>
      <w:bookmarkEnd w:id="55"/>
    </w:p>
    <w:p>
      <w:pPr>
        <w:autoSpaceDE w:val="0"/>
        <w:autoSpaceDN w:val="0"/>
        <w:adjustRightInd w:val="0"/>
        <w:spacing w:line="320" w:lineRule="exact"/>
        <w:ind w:firstLine="420" w:firstLineChars="200"/>
        <w:jc w:val="left"/>
        <w:rPr>
          <w:rFonts w:ascii="宋体" w:hAnsi="宋体" w:cs="宋体"/>
          <w:kern w:val="0"/>
          <w:sz w:val="24"/>
          <w:lang w:val="zh-CN"/>
        </w:rPr>
      </w:pPr>
      <w:r>
        <w:rPr>
          <w:rFonts w:hint="eastAsia" w:ascii="宋体" w:hAnsi="宋体" w:cs="宋体"/>
          <w:kern w:val="0"/>
          <w:lang w:val="zh-CN"/>
        </w:rPr>
        <w:t>供应商应自愿承担与参加本次投标有关的费用。采购代理机构对供应商发生的费用不承担任何责任。</w:t>
      </w:r>
      <w:bookmarkStart w:id="56" w:name="_Toc18155"/>
      <w:bookmarkStart w:id="57" w:name="_Toc325726001"/>
      <w:bookmarkStart w:id="58" w:name="_Toc376936732"/>
    </w:p>
    <w:p>
      <w:pPr>
        <w:pStyle w:val="2"/>
      </w:pPr>
      <w:bookmarkStart w:id="59" w:name="_Toc21031"/>
      <w:bookmarkStart w:id="60" w:name="_Toc2875_WPSOffice_Level2"/>
      <w:bookmarkStart w:id="61" w:name="_Toc30688"/>
      <w:bookmarkStart w:id="62" w:name="_Toc16041"/>
      <w:r>
        <w:rPr>
          <w:rFonts w:hint="eastAsia"/>
        </w:rPr>
        <w:t>二、磋商文件说明</w:t>
      </w:r>
      <w:bookmarkEnd w:id="56"/>
      <w:bookmarkEnd w:id="57"/>
      <w:bookmarkEnd w:id="58"/>
      <w:bookmarkEnd w:id="59"/>
      <w:bookmarkEnd w:id="60"/>
      <w:bookmarkEnd w:id="61"/>
      <w:bookmarkEnd w:id="62"/>
    </w:p>
    <w:p>
      <w:pPr>
        <w:pStyle w:val="24"/>
        <w:jc w:val="left"/>
        <w:rPr>
          <w:rFonts w:ascii="宋体" w:hAnsi="宋体" w:cs="宋体"/>
          <w:sz w:val="24"/>
          <w:szCs w:val="24"/>
        </w:rPr>
      </w:pPr>
      <w:bookmarkStart w:id="63" w:name="_Toc20331"/>
      <w:bookmarkStart w:id="64" w:name="_Toc14153"/>
      <w:bookmarkStart w:id="65" w:name="_Toc12361"/>
      <w:bookmarkStart w:id="66" w:name="_Toc464136618"/>
      <w:bookmarkStart w:id="67" w:name="_Toc376936733"/>
      <w:bookmarkStart w:id="68" w:name="_Toc325726002"/>
      <w:bookmarkStart w:id="69" w:name="_Toc6593"/>
      <w:bookmarkStart w:id="70" w:name="_Toc10649"/>
      <w:r>
        <w:rPr>
          <w:rFonts w:ascii="宋体" w:hAnsi="宋体" w:cs="宋体"/>
          <w:sz w:val="24"/>
          <w:szCs w:val="24"/>
        </w:rPr>
        <w:t>4.</w:t>
      </w:r>
      <w:r>
        <w:rPr>
          <w:rFonts w:hint="eastAsia" w:ascii="宋体" w:hAnsi="宋体" w:cs="宋体"/>
          <w:sz w:val="24"/>
          <w:szCs w:val="24"/>
        </w:rPr>
        <w:t>磋商文件的构成</w:t>
      </w:r>
      <w:bookmarkEnd w:id="63"/>
      <w:bookmarkEnd w:id="64"/>
      <w:bookmarkEnd w:id="65"/>
      <w:bookmarkEnd w:id="66"/>
      <w:bookmarkEnd w:id="67"/>
      <w:bookmarkEnd w:id="68"/>
      <w:bookmarkEnd w:id="69"/>
      <w:bookmarkEnd w:id="70"/>
    </w:p>
    <w:p>
      <w:pPr>
        <w:spacing w:line="360" w:lineRule="auto"/>
        <w:ind w:firstLine="420" w:firstLineChars="200"/>
        <w:rPr>
          <w:rFonts w:ascii="宋体" w:hAnsi="宋体" w:cs="宋体"/>
          <w:kern w:val="0"/>
          <w:lang w:val="zh-CN"/>
        </w:rPr>
      </w:pPr>
      <w:r>
        <w:rPr>
          <w:rFonts w:hint="eastAsia" w:ascii="宋体" w:hAnsi="宋体" w:cs="宋体"/>
          <w:kern w:val="0"/>
          <w:lang w:val="zh-CN"/>
        </w:rPr>
        <w:t>4.1磋商文件包括：</w:t>
      </w:r>
    </w:p>
    <w:p>
      <w:pPr>
        <w:spacing w:line="360" w:lineRule="auto"/>
        <w:rPr>
          <w:rFonts w:ascii="宋体" w:hAnsi="宋体" w:cs="宋体"/>
          <w:kern w:val="0"/>
          <w:lang w:val="zh-CN"/>
        </w:rPr>
      </w:pPr>
      <w:r>
        <w:rPr>
          <w:rFonts w:hint="eastAsia" w:ascii="宋体" w:hAnsi="宋体" w:cs="宋体"/>
          <w:kern w:val="0"/>
          <w:lang w:val="zh-CN"/>
        </w:rPr>
        <w:t>（1）投标邀请</w:t>
      </w:r>
    </w:p>
    <w:p>
      <w:pPr>
        <w:spacing w:line="360" w:lineRule="auto"/>
        <w:rPr>
          <w:rFonts w:ascii="宋体" w:hAnsi="宋体" w:cs="宋体"/>
          <w:kern w:val="0"/>
          <w:lang w:val="zh-CN"/>
        </w:rPr>
      </w:pPr>
      <w:r>
        <w:rPr>
          <w:rFonts w:hint="eastAsia" w:ascii="宋体" w:hAnsi="宋体" w:cs="宋体"/>
          <w:kern w:val="0"/>
          <w:lang w:val="zh-CN"/>
        </w:rPr>
        <w:t>（2）供应商须知前附表</w:t>
      </w:r>
    </w:p>
    <w:p>
      <w:pPr>
        <w:spacing w:line="360" w:lineRule="auto"/>
        <w:rPr>
          <w:rFonts w:ascii="宋体" w:hAnsi="宋体" w:cs="宋体"/>
          <w:kern w:val="0"/>
          <w:lang w:val="zh-CN"/>
        </w:rPr>
      </w:pPr>
      <w:r>
        <w:rPr>
          <w:rFonts w:hint="eastAsia" w:ascii="宋体" w:hAnsi="宋体" w:cs="宋体"/>
          <w:kern w:val="0"/>
          <w:lang w:val="zh-CN"/>
        </w:rPr>
        <w:t>（3）供应商须知</w:t>
      </w:r>
    </w:p>
    <w:p>
      <w:pPr>
        <w:spacing w:line="360" w:lineRule="auto"/>
        <w:rPr>
          <w:rFonts w:ascii="宋体" w:hAnsi="宋体" w:cs="宋体"/>
          <w:kern w:val="0"/>
          <w:lang w:val="zh-CN"/>
        </w:rPr>
      </w:pPr>
      <w:r>
        <w:rPr>
          <w:rFonts w:hint="eastAsia" w:ascii="宋体" w:hAnsi="宋体" w:cs="宋体"/>
          <w:kern w:val="0"/>
          <w:lang w:val="zh-CN"/>
        </w:rPr>
        <w:t>（4）采购项目合同书</w:t>
      </w:r>
    </w:p>
    <w:p>
      <w:pPr>
        <w:spacing w:line="360" w:lineRule="auto"/>
        <w:rPr>
          <w:rFonts w:ascii="宋体" w:hAnsi="宋体" w:cs="宋体"/>
          <w:kern w:val="0"/>
          <w:lang w:val="zh-CN"/>
        </w:rPr>
      </w:pPr>
      <w:r>
        <w:rPr>
          <w:rFonts w:hint="eastAsia" w:ascii="宋体" w:hAnsi="宋体" w:cs="宋体"/>
          <w:kern w:val="0"/>
          <w:lang w:val="zh-CN"/>
        </w:rPr>
        <w:t>（5）响应文件格式（相关附件）</w:t>
      </w:r>
    </w:p>
    <w:p>
      <w:pPr>
        <w:spacing w:line="360" w:lineRule="auto"/>
        <w:rPr>
          <w:rFonts w:ascii="宋体" w:hAnsi="宋体" w:cs="宋体"/>
          <w:kern w:val="0"/>
          <w:lang w:val="zh-CN"/>
        </w:rPr>
      </w:pPr>
      <w:r>
        <w:rPr>
          <w:rFonts w:hint="eastAsia" w:ascii="宋体" w:hAnsi="宋体" w:cs="宋体"/>
          <w:kern w:val="0"/>
          <w:lang w:val="zh-CN"/>
        </w:rPr>
        <w:t>（6）采购项目要求及技术参数</w:t>
      </w:r>
    </w:p>
    <w:p>
      <w:pPr>
        <w:spacing w:line="360" w:lineRule="auto"/>
        <w:rPr>
          <w:rFonts w:ascii="宋体" w:hAnsi="宋体" w:cs="宋体"/>
          <w:kern w:val="0"/>
          <w:lang w:val="zh-CN"/>
        </w:rPr>
      </w:pPr>
      <w:r>
        <w:rPr>
          <w:rFonts w:hint="eastAsia" w:ascii="宋体" w:hAnsi="宋体" w:cs="宋体"/>
          <w:kern w:val="0"/>
          <w:lang w:val="zh-CN"/>
        </w:rPr>
        <w:t>（7）磋商过程中发生的澄清、变更和补充文件</w:t>
      </w:r>
    </w:p>
    <w:p>
      <w:pPr>
        <w:spacing w:line="360" w:lineRule="auto"/>
        <w:ind w:firstLine="420" w:firstLineChars="200"/>
        <w:rPr>
          <w:rFonts w:ascii="宋体" w:hAnsi="宋体" w:cs="宋体"/>
          <w:kern w:val="0"/>
          <w:lang w:val="zh-CN"/>
        </w:rPr>
      </w:pPr>
      <w:r>
        <w:rPr>
          <w:rFonts w:hint="eastAsia" w:ascii="宋体" w:hAnsi="宋体" w:cs="宋体"/>
          <w:kern w:val="0"/>
          <w:lang w:val="zh-CN"/>
        </w:rPr>
        <w:t>4.2 供应商应认真阅读磋商文件中列出的事项、格式、条款和要求等内容。如果供应商未按磋商文件要求提交全部资料，或者对磋商文件未作出实质性响应的，将视为无效响应。</w:t>
      </w:r>
    </w:p>
    <w:p>
      <w:pPr>
        <w:pStyle w:val="24"/>
        <w:jc w:val="left"/>
        <w:rPr>
          <w:rFonts w:ascii="宋体" w:hAnsi="宋体" w:cs="宋体"/>
          <w:sz w:val="24"/>
          <w:szCs w:val="24"/>
        </w:rPr>
      </w:pPr>
      <w:bookmarkStart w:id="71" w:name="_Toc325726003"/>
      <w:bookmarkStart w:id="72" w:name="_Toc376936734"/>
      <w:bookmarkStart w:id="73" w:name="_Toc2054"/>
      <w:bookmarkStart w:id="74" w:name="_Toc3451"/>
      <w:bookmarkStart w:id="75" w:name="_Toc464136619"/>
      <w:bookmarkStart w:id="76" w:name="_Toc6482"/>
      <w:bookmarkStart w:id="77" w:name="_Toc7542"/>
      <w:bookmarkStart w:id="78" w:name="_Toc17762"/>
      <w:r>
        <w:rPr>
          <w:rFonts w:ascii="宋体" w:hAnsi="宋体" w:cs="宋体"/>
          <w:sz w:val="24"/>
          <w:szCs w:val="24"/>
        </w:rPr>
        <w:t>5.</w:t>
      </w:r>
      <w:r>
        <w:rPr>
          <w:rFonts w:hint="eastAsia" w:ascii="宋体" w:hAnsi="宋体" w:cs="宋体"/>
          <w:sz w:val="24"/>
          <w:szCs w:val="24"/>
        </w:rPr>
        <w:t>磋商文件的</w:t>
      </w:r>
      <w:bookmarkEnd w:id="71"/>
      <w:bookmarkEnd w:id="72"/>
      <w:r>
        <w:rPr>
          <w:rFonts w:hint="eastAsia" w:ascii="宋体" w:hAnsi="宋体" w:cs="宋体"/>
          <w:sz w:val="24"/>
          <w:szCs w:val="24"/>
        </w:rPr>
        <w:t>质疑</w:t>
      </w:r>
      <w:bookmarkEnd w:id="73"/>
      <w:bookmarkEnd w:id="74"/>
      <w:bookmarkEnd w:id="75"/>
      <w:bookmarkEnd w:id="76"/>
      <w:bookmarkEnd w:id="77"/>
      <w:bookmarkEnd w:id="78"/>
    </w:p>
    <w:p>
      <w:pPr>
        <w:spacing w:line="360" w:lineRule="auto"/>
        <w:ind w:firstLine="420" w:firstLineChars="200"/>
        <w:rPr>
          <w:rFonts w:ascii="宋体" w:hAnsi="宋体" w:cs="宋体"/>
          <w:kern w:val="0"/>
          <w:lang w:val="zh-CN"/>
        </w:rPr>
      </w:pPr>
      <w:r>
        <w:rPr>
          <w:rFonts w:hint="eastAsia" w:ascii="宋体" w:hAnsi="宋体" w:cs="宋体"/>
          <w:kern w:val="0"/>
          <w:lang w:val="zh-CN"/>
        </w:rPr>
        <w:t>供应商对磋商文件有异议的，应在提交首次响应文件截止时间至少1日前以书面形式提出（不接受匿名质疑），采购代理机构在收到供应商的书面质疑后视情况予以答复，如有变更在青海政府采购网上发布公告，告知本项目的所有潜在供应商。</w:t>
      </w:r>
    </w:p>
    <w:p>
      <w:pPr>
        <w:pStyle w:val="24"/>
        <w:jc w:val="left"/>
        <w:rPr>
          <w:rFonts w:ascii="宋体" w:hAnsi="宋体" w:cs="宋体"/>
          <w:sz w:val="24"/>
          <w:szCs w:val="24"/>
        </w:rPr>
      </w:pPr>
      <w:bookmarkStart w:id="79" w:name="_Toc4799"/>
      <w:bookmarkStart w:id="80" w:name="_Toc376936735"/>
      <w:bookmarkStart w:id="81" w:name="_Toc8662"/>
      <w:bookmarkStart w:id="82" w:name="_Toc26515"/>
      <w:bookmarkStart w:id="83" w:name="_Toc325726004"/>
      <w:bookmarkStart w:id="84" w:name="_Toc13050"/>
      <w:bookmarkStart w:id="85" w:name="_Toc25267"/>
      <w:bookmarkStart w:id="86" w:name="_Toc464136620"/>
      <w:r>
        <w:rPr>
          <w:rFonts w:ascii="宋体" w:hAnsi="宋体" w:cs="宋体"/>
          <w:sz w:val="24"/>
          <w:szCs w:val="24"/>
        </w:rPr>
        <w:t>6.</w:t>
      </w:r>
      <w:r>
        <w:rPr>
          <w:rFonts w:hint="eastAsia" w:ascii="宋体" w:hAnsi="宋体" w:cs="宋体"/>
          <w:sz w:val="24"/>
          <w:szCs w:val="24"/>
        </w:rPr>
        <w:t>磋商文件的澄清、修改</w:t>
      </w:r>
      <w:bookmarkEnd w:id="79"/>
      <w:bookmarkEnd w:id="80"/>
      <w:bookmarkEnd w:id="81"/>
      <w:bookmarkEnd w:id="82"/>
      <w:bookmarkEnd w:id="83"/>
      <w:bookmarkEnd w:id="84"/>
      <w:bookmarkEnd w:id="85"/>
      <w:bookmarkEnd w:id="86"/>
    </w:p>
    <w:p>
      <w:pPr>
        <w:spacing w:line="360" w:lineRule="auto"/>
        <w:ind w:firstLine="420" w:firstLineChars="200"/>
        <w:rPr>
          <w:rFonts w:ascii="宋体" w:hAnsi="宋体" w:cs="宋体"/>
          <w:kern w:val="0"/>
          <w:lang w:val="zh-CN"/>
        </w:rPr>
      </w:pPr>
      <w:r>
        <w:rPr>
          <w:rFonts w:hint="eastAsia" w:ascii="宋体" w:hAnsi="宋体" w:cs="宋体"/>
          <w:kern w:val="0"/>
          <w:lang w:val="zh-CN"/>
        </w:rPr>
        <w:t>6.1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420" w:firstLineChars="200"/>
        <w:rPr>
          <w:rFonts w:ascii="宋体" w:hAnsi="宋体" w:cs="宋体"/>
          <w:kern w:val="0"/>
          <w:lang w:val="zh-CN"/>
        </w:rPr>
      </w:pPr>
      <w:r>
        <w:rPr>
          <w:rFonts w:hint="eastAsia" w:ascii="宋体" w:hAnsi="宋体" w:cs="宋体"/>
          <w:kern w:val="0"/>
          <w:lang w:val="zh-CN"/>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87" w:name="_Toc325726005"/>
      <w:bookmarkStart w:id="88" w:name="_Toc376936736"/>
      <w:bookmarkStart w:id="89" w:name="_Toc23340"/>
    </w:p>
    <w:p>
      <w:pPr>
        <w:pStyle w:val="2"/>
      </w:pPr>
      <w:bookmarkStart w:id="90" w:name="_Toc17792"/>
      <w:bookmarkStart w:id="91" w:name="_Toc16855"/>
      <w:bookmarkStart w:id="92" w:name="_Toc16649_WPSOffice_Level2"/>
      <w:bookmarkStart w:id="93" w:name="_Toc25939"/>
      <w:r>
        <w:rPr>
          <w:rFonts w:hint="eastAsia"/>
        </w:rPr>
        <w:t>三、磋商响应文件的编制</w:t>
      </w:r>
      <w:bookmarkEnd w:id="87"/>
      <w:bookmarkEnd w:id="88"/>
      <w:bookmarkEnd w:id="89"/>
      <w:bookmarkEnd w:id="90"/>
      <w:bookmarkEnd w:id="91"/>
      <w:bookmarkEnd w:id="92"/>
      <w:bookmarkEnd w:id="93"/>
    </w:p>
    <w:p>
      <w:pPr>
        <w:pStyle w:val="24"/>
        <w:jc w:val="left"/>
        <w:rPr>
          <w:rFonts w:ascii="宋体" w:hAnsi="宋体" w:cs="宋体"/>
          <w:sz w:val="24"/>
          <w:szCs w:val="24"/>
        </w:rPr>
      </w:pPr>
      <w:bookmarkStart w:id="94" w:name="_Toc16421"/>
      <w:bookmarkStart w:id="95" w:name="_Toc376936737"/>
      <w:bookmarkStart w:id="96" w:name="_Toc464136621"/>
      <w:bookmarkStart w:id="97" w:name="_Toc325726006"/>
      <w:bookmarkStart w:id="98" w:name="_Toc9674"/>
      <w:bookmarkStart w:id="99" w:name="_Toc23600"/>
      <w:bookmarkStart w:id="100" w:name="_Toc13057"/>
      <w:bookmarkStart w:id="101" w:name="_Toc19107"/>
      <w:r>
        <w:rPr>
          <w:rFonts w:ascii="宋体" w:hAnsi="宋体" w:cs="宋体"/>
          <w:sz w:val="24"/>
          <w:szCs w:val="24"/>
        </w:rPr>
        <w:t>7.</w:t>
      </w:r>
      <w:r>
        <w:rPr>
          <w:rFonts w:hint="eastAsia" w:ascii="宋体" w:hAnsi="宋体" w:cs="宋体"/>
          <w:sz w:val="24"/>
          <w:szCs w:val="24"/>
        </w:rPr>
        <w:t>响应文件的语言及度量衡单位</w:t>
      </w:r>
      <w:bookmarkEnd w:id="94"/>
      <w:bookmarkEnd w:id="95"/>
      <w:bookmarkEnd w:id="96"/>
      <w:bookmarkEnd w:id="97"/>
      <w:bookmarkEnd w:id="98"/>
      <w:bookmarkEnd w:id="99"/>
      <w:bookmarkEnd w:id="100"/>
      <w:bookmarkEnd w:id="101"/>
    </w:p>
    <w:p>
      <w:pPr>
        <w:spacing w:line="360" w:lineRule="auto"/>
        <w:ind w:firstLine="420" w:firstLineChars="200"/>
        <w:rPr>
          <w:rFonts w:ascii="宋体" w:hAnsi="宋体" w:cs="宋体"/>
          <w:kern w:val="0"/>
          <w:lang w:val="zh-CN"/>
        </w:rPr>
      </w:pPr>
      <w:r>
        <w:rPr>
          <w:rFonts w:hint="eastAsia" w:ascii="宋体" w:hAnsi="宋体" w:cs="宋体"/>
          <w:kern w:val="0"/>
          <w:lang w:val="zh-CN"/>
        </w:rPr>
        <w:t>7.1供应商提交的响应文件以及供应商与采购代理机构就此磋商发生的所有来往函电均应使用简体中文。</w:t>
      </w:r>
    </w:p>
    <w:p>
      <w:pPr>
        <w:spacing w:line="360" w:lineRule="auto"/>
        <w:ind w:firstLine="420" w:firstLineChars="200"/>
        <w:rPr>
          <w:rFonts w:ascii="宋体" w:hAnsi="宋体" w:cs="宋体"/>
          <w:kern w:val="0"/>
          <w:lang w:val="zh-CN"/>
        </w:rPr>
      </w:pPr>
      <w:r>
        <w:rPr>
          <w:rFonts w:hint="eastAsia" w:ascii="宋体" w:hAnsi="宋体" w:cs="宋体"/>
          <w:kern w:val="0"/>
          <w:lang w:val="zh-CN"/>
        </w:rPr>
        <w:t>7.2 除磋商文件中另有规定外，响应文件所使用的度量衡单位，均须采用国家法定计量单位。</w:t>
      </w:r>
    </w:p>
    <w:p>
      <w:pPr>
        <w:spacing w:line="360" w:lineRule="auto"/>
        <w:ind w:firstLine="420" w:firstLineChars="200"/>
        <w:rPr>
          <w:rFonts w:ascii="宋体"/>
          <w:sz w:val="24"/>
        </w:rPr>
      </w:pPr>
      <w:r>
        <w:rPr>
          <w:rFonts w:hint="eastAsia" w:ascii="宋体" w:hAnsi="宋体" w:cs="宋体"/>
          <w:kern w:val="0"/>
          <w:lang w:val="zh-CN"/>
        </w:rPr>
        <w:t>7.3附有外文资料的，须翻译成中文并加盖供应商公章，如果翻译的中文资料与外文资料存在差异和矛盾时，以中文资料为准。其准确性由供应商负责。</w:t>
      </w:r>
    </w:p>
    <w:p>
      <w:pPr>
        <w:pStyle w:val="24"/>
        <w:jc w:val="left"/>
        <w:rPr>
          <w:rFonts w:ascii="宋体"/>
          <w:sz w:val="24"/>
          <w:szCs w:val="24"/>
        </w:rPr>
      </w:pPr>
      <w:bookmarkStart w:id="102" w:name="_Toc430937642"/>
      <w:bookmarkStart w:id="103" w:name="_Toc4110"/>
      <w:bookmarkStart w:id="104" w:name="_Toc24710"/>
      <w:bookmarkStart w:id="105" w:name="_Toc464136622"/>
      <w:bookmarkStart w:id="106" w:name="_Toc14635"/>
      <w:r>
        <w:rPr>
          <w:rFonts w:ascii="宋体" w:hAnsi="宋体" w:cs="宋体"/>
          <w:sz w:val="24"/>
          <w:szCs w:val="24"/>
        </w:rPr>
        <w:t>8.</w:t>
      </w:r>
      <w:r>
        <w:rPr>
          <w:rFonts w:hint="eastAsia" w:ascii="宋体" w:hAnsi="宋体" w:cs="宋体"/>
          <w:sz w:val="24"/>
          <w:szCs w:val="24"/>
        </w:rPr>
        <w:t>投标报价及币种</w:t>
      </w:r>
      <w:bookmarkEnd w:id="102"/>
      <w:bookmarkEnd w:id="103"/>
      <w:bookmarkEnd w:id="104"/>
      <w:bookmarkEnd w:id="105"/>
      <w:bookmarkEnd w:id="106"/>
    </w:p>
    <w:p>
      <w:pPr>
        <w:autoSpaceDE w:val="0"/>
        <w:autoSpaceDN w:val="0"/>
        <w:adjustRightInd w:val="0"/>
        <w:ind w:firstLine="480"/>
        <w:rPr>
          <w:rFonts w:ascii="宋体" w:hAnsi="宋体" w:cs="宋体"/>
          <w:kern w:val="0"/>
          <w:lang w:val="zh-CN"/>
        </w:rPr>
      </w:pPr>
      <w:r>
        <w:rPr>
          <w:rFonts w:hint="eastAsia" w:ascii="宋体" w:hAnsi="宋体" w:cs="宋体"/>
          <w:kern w:val="0"/>
          <w:lang w:val="zh-CN"/>
        </w:rPr>
        <w:t>8.1报价为磋商总价。报价必须包括全部费用。</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8.2报价应注明有效期，有效期应与投标有效期一致。</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8.3供应商应根据磋商文件规定的格式完整填写所有内容，并保证所提供的全部资料真实可信，自愿承担相应责任。</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8.4最终磋商报价为成交价，即成交后在合同有效期内价格不变。</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8.5投标币种是人民币。</w:t>
      </w:r>
    </w:p>
    <w:p>
      <w:pPr>
        <w:pStyle w:val="2"/>
      </w:pPr>
      <w:bookmarkStart w:id="107" w:name="_Toc27727_WPSOffice_Level2"/>
      <w:bookmarkStart w:id="108" w:name="_Toc26267"/>
      <w:bookmarkStart w:id="109" w:name="_Toc28211"/>
      <w:bookmarkStart w:id="110" w:name="_Toc17605"/>
      <w:bookmarkStart w:id="111" w:name="_Toc28221"/>
      <w:bookmarkStart w:id="112" w:name="_Toc11517"/>
      <w:bookmarkStart w:id="113" w:name="_Toc464136623"/>
      <w:bookmarkStart w:id="114" w:name="_Toc376936743"/>
      <w:bookmarkStart w:id="115" w:name="_Toc3563"/>
      <w:bookmarkStart w:id="116" w:name="_Toc17093"/>
      <w:bookmarkStart w:id="117" w:name="_Toc325726012"/>
      <w:bookmarkStart w:id="118" w:name="_Toc21569"/>
      <w:r>
        <w:rPr>
          <w:rFonts w:hint="eastAsia"/>
        </w:rPr>
        <w:t>四、响应文件的递交</w:t>
      </w:r>
      <w:bookmarkEnd w:id="107"/>
      <w:bookmarkEnd w:id="108"/>
      <w:bookmarkEnd w:id="109"/>
      <w:bookmarkEnd w:id="110"/>
    </w:p>
    <w:p>
      <w:pPr>
        <w:pStyle w:val="24"/>
        <w:jc w:val="left"/>
        <w:rPr>
          <w:rFonts w:ascii="宋体" w:hAnsi="宋体" w:cs="宋体"/>
          <w:sz w:val="24"/>
          <w:szCs w:val="24"/>
        </w:rPr>
      </w:pPr>
      <w:r>
        <w:rPr>
          <w:rFonts w:ascii="宋体" w:hAnsi="宋体" w:cs="宋体"/>
          <w:sz w:val="24"/>
          <w:szCs w:val="24"/>
        </w:rPr>
        <w:t>9.</w:t>
      </w:r>
      <w:r>
        <w:rPr>
          <w:rFonts w:hint="eastAsia" w:ascii="宋体" w:hAnsi="宋体" w:cs="宋体"/>
          <w:sz w:val="24"/>
          <w:szCs w:val="24"/>
        </w:rPr>
        <w:t>磋商保证金</w:t>
      </w:r>
      <w:bookmarkEnd w:id="111"/>
      <w:bookmarkEnd w:id="112"/>
      <w:bookmarkEnd w:id="113"/>
      <w:bookmarkEnd w:id="114"/>
      <w:bookmarkEnd w:id="115"/>
      <w:bookmarkEnd w:id="116"/>
      <w:bookmarkEnd w:id="117"/>
      <w:bookmarkEnd w:id="118"/>
    </w:p>
    <w:p>
      <w:pPr>
        <w:autoSpaceDE w:val="0"/>
        <w:autoSpaceDN w:val="0"/>
        <w:adjustRightInd w:val="0"/>
        <w:ind w:firstLine="480"/>
        <w:rPr>
          <w:rFonts w:ascii="宋体" w:hAnsi="宋体" w:cs="宋体"/>
          <w:kern w:val="0"/>
          <w:lang w:val="zh-CN"/>
        </w:rPr>
      </w:pPr>
      <w:bookmarkStart w:id="119" w:name="_Toc376936744"/>
      <w:bookmarkStart w:id="120" w:name="_Toc325726013"/>
      <w:bookmarkStart w:id="121" w:name="_Toc32704"/>
      <w:bookmarkStart w:id="122" w:name="_Toc22044"/>
      <w:r>
        <w:rPr>
          <w:rFonts w:hint="eastAsia" w:ascii="宋体" w:hAnsi="宋体" w:cs="宋体"/>
          <w:kern w:val="0"/>
          <w:lang w:val="zh-CN"/>
        </w:rPr>
        <w:t>9.1供应商应将磋商保证金缴款证明做为磋商文件的内容一并提供。交纳的磋商保证金用于“青海大学万联楼改造项目”项目保证金，因供应商的行为使本次采购活动受到损失的抵项。在本次采购活动中未成交且供应商未发生过失行为的，采购代理机构将在成交通知书发出五个工作日内退还。</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9.2供应商应在响应截止期前一工作日将磋商保证金缴纳到采购代理机构账户，以银行到账时间为准。</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9.3磋商保证金应当以支票、汇票、本票或者金融机构、担保机构出具的保函等非现金形式提交，通过银行转账的，必须从供应商</w:t>
      </w:r>
      <w:r>
        <w:rPr>
          <w:rFonts w:hint="eastAsia" w:ascii="宋体" w:hAnsi="宋体" w:cs="宋体"/>
          <w:b/>
          <w:bCs/>
          <w:kern w:val="0"/>
          <w:lang w:val="zh-CN"/>
        </w:rPr>
        <w:t>基本账户</w:t>
      </w:r>
      <w:r>
        <w:rPr>
          <w:rFonts w:hint="eastAsia" w:ascii="宋体" w:hAnsi="宋体" w:cs="宋体"/>
          <w:kern w:val="0"/>
          <w:lang w:val="zh-CN"/>
        </w:rPr>
        <w:t>直接汇（转）入采购代理机构指定账户。</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9.4未按磋商文件要求在规定时间前交纳规定数额磋商保证金的投标将被拒绝。</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9.5未成交供应商的磋商保证金自成交通知书发出之日起5个工作日内全额无息退还（不退现金）；成交供应商的磋商保证金，自政府采购合同签订之日起5个工作日内全额无息退还（不退现金）。</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9.6下列任何情况发生时，磋商保证金将不予退还：</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（1）成交供应商在规定期限内未能按规定签订合同或未按规定缴纳成交服务费；</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（2）提供虚假材料谋取成交的；</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（3）将成交项目转让给他人，或者在响应文件中未说明，将成交项目分包给他人的；</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（4）拒绝履行合同义务的；</w:t>
      </w:r>
    </w:p>
    <w:p>
      <w:pPr>
        <w:autoSpaceDE w:val="0"/>
        <w:autoSpaceDN w:val="0"/>
        <w:adjustRightInd w:val="0"/>
        <w:ind w:firstLine="480"/>
        <w:rPr>
          <w:rFonts w:ascii="宋体" w:hAnsi="宋体" w:cs="宋体"/>
          <w:kern w:val="0"/>
          <w:lang w:val="zh-CN"/>
        </w:rPr>
      </w:pPr>
      <w:r>
        <w:rPr>
          <w:rFonts w:hint="eastAsia" w:ascii="宋体" w:hAnsi="宋体" w:cs="宋体"/>
          <w:kern w:val="0"/>
          <w:lang w:val="zh-CN"/>
        </w:rPr>
        <w:t>（5）法律、法规规定的其他情形。</w:t>
      </w:r>
    </w:p>
    <w:p>
      <w:pPr>
        <w:pStyle w:val="24"/>
        <w:jc w:val="left"/>
        <w:rPr>
          <w:rFonts w:ascii="宋体" w:hAnsi="宋体" w:cs="宋体"/>
          <w:sz w:val="24"/>
          <w:szCs w:val="24"/>
        </w:rPr>
      </w:pPr>
      <w:bookmarkStart w:id="123" w:name="_Toc15046"/>
      <w:bookmarkStart w:id="124" w:name="_Toc23488"/>
      <w:bookmarkStart w:id="125" w:name="_Toc464136624"/>
      <w:bookmarkStart w:id="126" w:name="_Toc26311"/>
      <w:r>
        <w:rPr>
          <w:rFonts w:ascii="宋体" w:hAnsi="宋体" w:cs="宋体"/>
          <w:sz w:val="24"/>
          <w:szCs w:val="24"/>
        </w:rPr>
        <w:t>10.</w:t>
      </w:r>
      <w:r>
        <w:rPr>
          <w:rFonts w:hint="eastAsia" w:ascii="宋体" w:hAnsi="宋体" w:cs="宋体"/>
          <w:sz w:val="24"/>
          <w:szCs w:val="24"/>
        </w:rPr>
        <w:t>有效期</w:t>
      </w:r>
      <w:bookmarkEnd w:id="119"/>
      <w:bookmarkEnd w:id="120"/>
      <w:bookmarkEnd w:id="121"/>
      <w:bookmarkEnd w:id="122"/>
      <w:bookmarkEnd w:id="123"/>
      <w:bookmarkEnd w:id="124"/>
      <w:bookmarkEnd w:id="125"/>
      <w:bookmarkEnd w:id="126"/>
    </w:p>
    <w:p>
      <w:pPr>
        <w:autoSpaceDE w:val="0"/>
        <w:autoSpaceDN w:val="0"/>
        <w:adjustRightInd w:val="0"/>
        <w:ind w:firstLine="480"/>
        <w:rPr>
          <w:rFonts w:ascii="宋体" w:hAnsi="宋体" w:cs="宋体"/>
          <w:kern w:val="0"/>
          <w:lang w:val="zh-CN"/>
        </w:rPr>
      </w:pPr>
      <w:r>
        <w:rPr>
          <w:rFonts w:hint="eastAsia" w:ascii="宋体" w:hAnsi="宋体" w:cs="宋体"/>
          <w:kern w:val="0"/>
          <w:lang w:val="zh-CN"/>
        </w:rPr>
        <w:t>磋商有效期为自磋商开始之日起</w:t>
      </w:r>
      <w:r>
        <w:rPr>
          <w:rFonts w:hint="eastAsia" w:ascii="宋体" w:hAnsi="宋体" w:cs="宋体"/>
          <w:kern w:val="0"/>
        </w:rPr>
        <w:t>90</w:t>
      </w:r>
      <w:r>
        <w:rPr>
          <w:rFonts w:hint="eastAsia" w:ascii="宋体" w:hAnsi="宋体" w:cs="宋体"/>
          <w:kern w:val="0"/>
          <w:lang w:val="zh-CN"/>
        </w:rPr>
        <w:t>个日历日</w:t>
      </w:r>
    </w:p>
    <w:p>
      <w:pPr>
        <w:pStyle w:val="24"/>
        <w:jc w:val="left"/>
        <w:rPr>
          <w:rFonts w:ascii="宋体" w:hAnsi="宋体" w:cs="宋体"/>
          <w:sz w:val="24"/>
          <w:szCs w:val="24"/>
        </w:rPr>
      </w:pPr>
      <w:bookmarkStart w:id="127" w:name="_Toc15038"/>
      <w:bookmarkStart w:id="128" w:name="_Toc464136625"/>
      <w:bookmarkStart w:id="129" w:name="_Toc31915"/>
      <w:bookmarkStart w:id="130" w:name="_Toc325726008"/>
      <w:bookmarkStart w:id="131" w:name="_Toc16445"/>
      <w:bookmarkStart w:id="132" w:name="_Toc376936739"/>
      <w:bookmarkStart w:id="133" w:name="_Toc18088"/>
      <w:bookmarkStart w:id="134" w:name="_Toc6424"/>
      <w:r>
        <w:rPr>
          <w:rFonts w:ascii="宋体" w:hAnsi="宋体" w:cs="宋体"/>
          <w:sz w:val="24"/>
          <w:szCs w:val="24"/>
        </w:rPr>
        <w:t>11.</w:t>
      </w:r>
      <w:r>
        <w:rPr>
          <w:rFonts w:hint="eastAsia" w:ascii="宋体" w:hAnsi="宋体" w:cs="宋体"/>
          <w:sz w:val="24"/>
          <w:szCs w:val="24"/>
        </w:rPr>
        <w:t>文件构成</w:t>
      </w:r>
      <w:bookmarkEnd w:id="127"/>
      <w:bookmarkEnd w:id="128"/>
      <w:bookmarkEnd w:id="129"/>
      <w:bookmarkEnd w:id="130"/>
      <w:bookmarkEnd w:id="131"/>
      <w:bookmarkEnd w:id="132"/>
      <w:bookmarkEnd w:id="133"/>
      <w:bookmarkEnd w:id="134"/>
    </w:p>
    <w:p>
      <w:pPr>
        <w:spacing w:line="360" w:lineRule="auto"/>
        <w:rPr>
          <w:rFonts w:ascii="宋体" w:hAnsi="宋体" w:cs="宋体"/>
          <w:kern w:val="0"/>
          <w:lang w:val="zh-CN"/>
        </w:rPr>
      </w:pPr>
      <w:r>
        <w:rPr>
          <w:rFonts w:hint="eastAsia" w:ascii="宋体" w:hAnsi="宋体" w:cs="宋体"/>
          <w:sz w:val="24"/>
        </w:rPr>
        <w:t xml:space="preserve">  </w:t>
      </w:r>
      <w:r>
        <w:rPr>
          <w:rFonts w:hint="eastAsia" w:ascii="宋体" w:hAnsi="宋体" w:cs="宋体"/>
          <w:kern w:val="0"/>
          <w:lang w:val="zh-CN"/>
        </w:rPr>
        <w:t>供应商应提交相关证明材料，作为其参加磋商谈判和成交后有能力履行合同的证明。编写的响应文件须包括以下内容（格式详见磋商文件第五部分内容）：</w:t>
      </w:r>
    </w:p>
    <w:p>
      <w:pPr>
        <w:widowControl/>
        <w:snapToGrid w:val="0"/>
        <w:spacing w:line="360" w:lineRule="auto"/>
        <w:jc w:val="left"/>
        <w:outlineLvl w:val="1"/>
        <w:rPr>
          <w:rFonts w:ascii="宋体" w:hAnsi="宋体" w:cs="宋体"/>
          <w:kern w:val="0"/>
          <w:lang w:val="zh-CN"/>
        </w:rPr>
      </w:pPr>
      <w:bookmarkStart w:id="135" w:name="_Toc23073"/>
      <w:bookmarkStart w:id="136" w:name="_Toc17770"/>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响应文件封面</w:t>
      </w:r>
      <w:bookmarkEnd w:id="135"/>
      <w:bookmarkEnd w:id="136"/>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响应文件目录</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（3）</w:t>
      </w:r>
      <w:r>
        <w:rPr>
          <w:rFonts w:hint="eastAsia" w:ascii="宋体" w:hAnsi="宋体" w:cs="宋体"/>
          <w:kern w:val="0"/>
        </w:rPr>
        <w:t xml:space="preserve"> </w:t>
      </w:r>
      <w:r>
        <w:rPr>
          <w:rFonts w:hint="eastAsia" w:ascii="宋体" w:hAnsi="宋体" w:cs="宋体"/>
          <w:kern w:val="0"/>
          <w:lang w:val="zh-CN"/>
        </w:rPr>
        <w:t>磋商函及磋商报价表</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kern w:val="0"/>
          <w:lang w:val="zh-CN"/>
        </w:rPr>
        <w:t>法定代表人证明书</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kern w:val="0"/>
          <w:lang w:val="zh-CN"/>
        </w:rPr>
        <w:t>法定代表人授权书</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kern w:val="0"/>
          <w:lang w:val="zh-CN"/>
        </w:rPr>
        <w:t>供应商诚信承诺书</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kern w:val="0"/>
          <w:lang w:val="zh-CN"/>
        </w:rPr>
        <w:t>已标价工程量清单</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kern w:val="0"/>
          <w:lang w:val="zh-CN"/>
        </w:rPr>
        <w:t>施工组织设计</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rPr>
        <w:t>项目管理机构</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w:t>
      </w:r>
      <w:r>
        <w:rPr>
          <w:rFonts w:hint="eastAsia" w:ascii="宋体" w:hAnsi="宋体" w:cs="宋体"/>
        </w:rPr>
        <w:t>资格审查资料</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1</w:t>
      </w:r>
      <w:r>
        <w:rPr>
          <w:rFonts w:hint="eastAsia" w:ascii="宋体" w:hAnsi="宋体" w:cs="宋体"/>
          <w:kern w:val="0"/>
          <w:lang w:val="zh-CN"/>
        </w:rPr>
        <w:t>）磋商保证金证明</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2</w:t>
      </w:r>
      <w:r>
        <w:rPr>
          <w:rFonts w:hint="eastAsia" w:ascii="宋体" w:hAnsi="宋体" w:cs="宋体"/>
          <w:kern w:val="0"/>
          <w:lang w:val="zh-CN"/>
        </w:rPr>
        <w:t>）磋商最后报价表</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2</w:t>
      </w:r>
      <w:r>
        <w:rPr>
          <w:rFonts w:hint="eastAsia" w:ascii="宋体" w:hAnsi="宋体" w:cs="宋体"/>
          <w:kern w:val="0"/>
          <w:lang w:val="zh-CN"/>
        </w:rPr>
        <w:t>）今年完成的类似项目情况表</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zh-CN"/>
        </w:rPr>
        <w:t>）无重大违法记录声明</w:t>
      </w:r>
    </w:p>
    <w:p>
      <w:pPr>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4</w:t>
      </w:r>
      <w:r>
        <w:rPr>
          <w:rFonts w:hint="eastAsia" w:ascii="宋体" w:hAnsi="宋体" w:cs="宋体"/>
          <w:kern w:val="0"/>
          <w:lang w:val="zh-CN"/>
        </w:rPr>
        <w:t>）供应商认为在其他方面有必要说明的事项</w:t>
      </w:r>
    </w:p>
    <w:p>
      <w:pPr>
        <w:spacing w:line="360" w:lineRule="auto"/>
        <w:rPr>
          <w:rFonts w:ascii="宋体" w:hAnsi="宋体" w:cs="宋体"/>
          <w:kern w:val="0"/>
          <w:lang w:val="zh-CN"/>
        </w:rPr>
      </w:pPr>
      <w:r>
        <w:rPr>
          <w:rFonts w:hint="eastAsia" w:ascii="宋体" w:hAnsi="宋体" w:cs="宋体"/>
          <w:kern w:val="0"/>
          <w:lang w:val="zh-CN"/>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24"/>
        <w:jc w:val="left"/>
        <w:rPr>
          <w:rFonts w:ascii="宋体" w:hAnsi="宋体" w:cs="宋体"/>
          <w:sz w:val="24"/>
          <w:szCs w:val="24"/>
        </w:rPr>
      </w:pPr>
      <w:bookmarkStart w:id="137" w:name="_Toc130"/>
      <w:bookmarkStart w:id="138" w:name="_Toc11377"/>
      <w:bookmarkStart w:id="139" w:name="_Toc16453"/>
      <w:bookmarkStart w:id="140" w:name="_Toc464136626"/>
      <w:bookmarkStart w:id="141" w:name="_Toc373392580"/>
      <w:bookmarkStart w:id="142" w:name="_Toc5285"/>
      <w:bookmarkStart w:id="143" w:name="_Toc28359"/>
      <w:bookmarkStart w:id="144" w:name="_Toc412617729"/>
      <w:r>
        <w:rPr>
          <w:rFonts w:ascii="宋体" w:hAnsi="宋体" w:cs="宋体"/>
          <w:sz w:val="24"/>
          <w:szCs w:val="24"/>
        </w:rPr>
        <w:t>12.</w:t>
      </w:r>
      <w:r>
        <w:rPr>
          <w:rFonts w:hint="eastAsia" w:ascii="宋体" w:hAnsi="宋体" w:cs="宋体"/>
          <w:sz w:val="24"/>
          <w:szCs w:val="24"/>
        </w:rPr>
        <w:t>响应文件编印和签署</w:t>
      </w:r>
      <w:bookmarkEnd w:id="137"/>
      <w:bookmarkEnd w:id="138"/>
      <w:bookmarkEnd w:id="139"/>
      <w:bookmarkEnd w:id="140"/>
      <w:bookmarkEnd w:id="141"/>
      <w:bookmarkEnd w:id="142"/>
      <w:bookmarkEnd w:id="143"/>
      <w:bookmarkEnd w:id="144"/>
    </w:p>
    <w:p>
      <w:pPr>
        <w:pStyle w:val="12"/>
        <w:spacing w:line="360" w:lineRule="auto"/>
        <w:ind w:firstLine="420" w:firstLineChars="200"/>
        <w:rPr>
          <w:rFonts w:hAnsi="宋体" w:cs="宋体"/>
          <w:kern w:val="0"/>
          <w:szCs w:val="24"/>
        </w:rPr>
      </w:pPr>
      <w:r>
        <w:rPr>
          <w:rFonts w:hint="eastAsia" w:hAnsi="宋体" w:cs="宋体"/>
          <w:kern w:val="0"/>
          <w:szCs w:val="24"/>
          <w:lang w:val="zh-CN"/>
        </w:rPr>
        <w:t>12.1供应商须提交一份正本、两份副本，以及电子文件（</w:t>
      </w:r>
      <w:r>
        <w:rPr>
          <w:rFonts w:hint="eastAsia" w:hAnsi="宋体" w:cs="宋体"/>
          <w:kern w:val="0"/>
          <w:szCs w:val="24"/>
        </w:rPr>
        <w:t>U盘、PDF格式</w:t>
      </w:r>
      <w:r>
        <w:rPr>
          <w:rFonts w:hint="eastAsia" w:hAnsi="宋体" w:cs="宋体"/>
          <w:kern w:val="0"/>
          <w:szCs w:val="24"/>
          <w:lang w:val="zh-CN"/>
        </w:rPr>
        <w:t>），每份响应文件须清楚地标明“正本”或“副本”字样。若发生正本和副本不符，以正本为准。响应文件统一使用A4幅面的纸张印制，左侧胶装，</w:t>
      </w:r>
      <w:r>
        <w:rPr>
          <w:rFonts w:hint="eastAsia" w:hAnsi="宋体" w:cs="宋体"/>
          <w:kern w:val="0"/>
          <w:szCs w:val="24"/>
        </w:rPr>
        <w:t>并书脊处写明“项目名称”及“供应商名称”，</w:t>
      </w:r>
      <w:r>
        <w:rPr>
          <w:rFonts w:hint="eastAsia" w:hAnsi="宋体" w:cs="宋体"/>
          <w:kern w:val="0"/>
          <w:szCs w:val="24"/>
          <w:lang w:val="zh-CN"/>
        </w:rPr>
        <w:t>其他方式装订的响应文件一概不予</w:t>
      </w:r>
      <w:r>
        <w:rPr>
          <w:rFonts w:hint="eastAsia" w:hAnsi="宋体" w:cs="宋体"/>
          <w:kern w:val="0"/>
          <w:szCs w:val="24"/>
        </w:rPr>
        <w:t>接受。</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12.2响应应文件的正、副本均需打印，并由供应商的法定代表人或委托代理人按要求签字、盖章。</w:t>
      </w:r>
    </w:p>
    <w:p>
      <w:pPr>
        <w:pStyle w:val="12"/>
        <w:spacing w:line="360" w:lineRule="auto"/>
        <w:ind w:firstLine="420" w:firstLineChars="200"/>
        <w:rPr>
          <w:rFonts w:hAnsi="宋体"/>
          <w:sz w:val="24"/>
          <w:szCs w:val="24"/>
        </w:rPr>
      </w:pPr>
      <w:r>
        <w:rPr>
          <w:rFonts w:hint="eastAsia" w:hAnsi="宋体" w:cs="宋体"/>
          <w:kern w:val="0"/>
          <w:szCs w:val="24"/>
          <w:lang w:val="zh-CN"/>
        </w:rPr>
        <w:t>12.3响应文件中不得行间插字、涂改或增删，如有修改错漏处，须由供应商法定代表人或其委托代理人签字和盖章。</w:t>
      </w:r>
      <w:bookmarkStart w:id="145" w:name="_Toc15102"/>
      <w:bookmarkStart w:id="146" w:name="_Toc412617730"/>
      <w:bookmarkStart w:id="147" w:name="_Toc371090029"/>
      <w:bookmarkStart w:id="148" w:name="_Toc376936748"/>
    </w:p>
    <w:bookmarkEnd w:id="145"/>
    <w:bookmarkEnd w:id="146"/>
    <w:p>
      <w:pPr>
        <w:pStyle w:val="24"/>
        <w:jc w:val="left"/>
        <w:rPr>
          <w:rFonts w:ascii="宋体" w:hAnsi="宋体" w:cs="宋体"/>
          <w:sz w:val="24"/>
          <w:szCs w:val="24"/>
        </w:rPr>
      </w:pPr>
      <w:bookmarkStart w:id="149" w:name="_Toc373392582"/>
      <w:bookmarkStart w:id="150" w:name="_Toc23823"/>
      <w:bookmarkStart w:id="151" w:name="_Toc412617731"/>
      <w:bookmarkStart w:id="152" w:name="_Toc9953"/>
      <w:bookmarkStart w:id="153" w:name="_Toc1176"/>
      <w:bookmarkStart w:id="154" w:name="_Toc2866"/>
      <w:bookmarkStart w:id="155" w:name="_Toc464136627"/>
      <w:bookmarkStart w:id="156" w:name="_Toc325726016"/>
      <w:bookmarkStart w:id="157" w:name="_Toc30544"/>
      <w:r>
        <w:rPr>
          <w:rFonts w:ascii="宋体" w:hAnsi="宋体" w:cs="宋体"/>
          <w:sz w:val="24"/>
          <w:szCs w:val="24"/>
        </w:rPr>
        <w:t>13</w:t>
      </w:r>
      <w:r>
        <w:rPr>
          <w:rFonts w:hint="eastAsia" w:ascii="宋体" w:hAnsi="宋体" w:cs="宋体"/>
          <w:sz w:val="24"/>
          <w:szCs w:val="24"/>
        </w:rPr>
        <w:t>响应文件的密封和标记</w:t>
      </w:r>
      <w:bookmarkEnd w:id="149"/>
      <w:bookmarkEnd w:id="150"/>
      <w:bookmarkEnd w:id="151"/>
      <w:bookmarkEnd w:id="152"/>
      <w:bookmarkEnd w:id="153"/>
      <w:bookmarkEnd w:id="154"/>
      <w:bookmarkEnd w:id="155"/>
      <w:bookmarkEnd w:id="156"/>
      <w:bookmarkEnd w:id="157"/>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13.1响应文件正、副本应分别封装封装于不同的密封袋内，密封袋上应分别标上“正本”“副本”字样，并按标明采购项目编号、采购项目名称、供应商的名称、包号等。</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13.2响应文件均应：</w:t>
      </w:r>
    </w:p>
    <w:p>
      <w:pPr>
        <w:pStyle w:val="12"/>
        <w:spacing w:line="360" w:lineRule="auto"/>
        <w:rPr>
          <w:rFonts w:hAnsi="宋体" w:cs="宋体"/>
          <w:kern w:val="0"/>
          <w:szCs w:val="24"/>
          <w:lang w:val="zh-CN"/>
        </w:rPr>
      </w:pPr>
      <w:r>
        <w:rPr>
          <w:rFonts w:hint="eastAsia" w:hAnsi="宋体" w:cs="宋体"/>
          <w:kern w:val="0"/>
          <w:szCs w:val="24"/>
          <w:lang w:val="zh-CN"/>
        </w:rPr>
        <w:t>（1）按“供应商须知前附表”中注明的时间、地址送达；</w:t>
      </w:r>
    </w:p>
    <w:p>
      <w:pPr>
        <w:pStyle w:val="12"/>
        <w:spacing w:line="360" w:lineRule="auto"/>
        <w:rPr>
          <w:rFonts w:hAnsi="宋体" w:cs="宋体"/>
          <w:kern w:val="0"/>
          <w:szCs w:val="24"/>
          <w:lang w:val="zh-CN"/>
        </w:rPr>
      </w:pPr>
      <w:r>
        <w:rPr>
          <w:rFonts w:hint="eastAsia" w:hAnsi="宋体" w:cs="宋体"/>
          <w:kern w:val="0"/>
          <w:szCs w:val="24"/>
          <w:lang w:val="zh-CN"/>
        </w:rPr>
        <w:t>（2）响应文件密封袋用“于20</w:t>
      </w:r>
      <w:r>
        <w:rPr>
          <w:rFonts w:hint="eastAsia" w:hAnsi="宋体" w:cs="宋体"/>
          <w:kern w:val="0"/>
          <w:szCs w:val="24"/>
        </w:rPr>
        <w:t>20</w:t>
      </w:r>
      <w:r>
        <w:rPr>
          <w:rFonts w:hint="eastAsia" w:hAnsi="宋体" w:cs="宋体"/>
          <w:kern w:val="0"/>
          <w:szCs w:val="24"/>
          <w:lang w:val="zh-CN"/>
        </w:rPr>
        <w:t>年</w:t>
      </w:r>
      <w:r>
        <w:rPr>
          <w:rFonts w:hint="eastAsia" w:hAnsi="宋体" w:cs="宋体"/>
          <w:kern w:val="0"/>
          <w:szCs w:val="24"/>
        </w:rPr>
        <w:t>10</w:t>
      </w:r>
      <w:r>
        <w:rPr>
          <w:rFonts w:hint="eastAsia" w:hAnsi="宋体" w:cs="宋体"/>
          <w:kern w:val="0"/>
          <w:szCs w:val="24"/>
          <w:lang w:val="zh-CN"/>
        </w:rPr>
        <w:t>月</w:t>
      </w:r>
      <w:r>
        <w:rPr>
          <w:rFonts w:hint="eastAsia" w:hAnsi="宋体" w:cs="宋体"/>
          <w:kern w:val="0"/>
          <w:szCs w:val="24"/>
        </w:rPr>
        <w:t>9</w:t>
      </w:r>
      <w:r>
        <w:rPr>
          <w:rFonts w:hint="eastAsia" w:hAnsi="宋体" w:cs="宋体"/>
          <w:kern w:val="0"/>
          <w:szCs w:val="24"/>
          <w:lang w:val="zh-CN"/>
        </w:rPr>
        <w:t>日上午</w:t>
      </w:r>
      <w:r>
        <w:rPr>
          <w:rFonts w:hint="eastAsia" w:hAnsi="宋体" w:cs="宋体"/>
          <w:kern w:val="0"/>
          <w:szCs w:val="24"/>
        </w:rPr>
        <w:t>10：00</w:t>
      </w:r>
      <w:r>
        <w:rPr>
          <w:rFonts w:hint="eastAsia" w:hAnsi="宋体" w:cs="宋体"/>
          <w:kern w:val="0"/>
          <w:szCs w:val="24"/>
          <w:lang w:val="zh-CN"/>
        </w:rPr>
        <w:t>不准启封”标签密封。</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13.3如果供应商未按第13．1－13．2条要求将响应文件密封或在密封袋上加写标记的，采购代理机构将不予受理。</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13.4电报、电话、传真形式投标的，采购代理机构概不接受。</w:t>
      </w:r>
    </w:p>
    <w:bookmarkEnd w:id="147"/>
    <w:bookmarkEnd w:id="148"/>
    <w:p>
      <w:pPr>
        <w:pStyle w:val="24"/>
        <w:jc w:val="left"/>
        <w:rPr>
          <w:rFonts w:ascii="宋体" w:hAnsi="宋体" w:cs="宋体"/>
          <w:sz w:val="24"/>
          <w:szCs w:val="24"/>
        </w:rPr>
      </w:pPr>
      <w:bookmarkStart w:id="158" w:name="_Toc22713"/>
      <w:bookmarkStart w:id="159" w:name="_Toc434"/>
      <w:bookmarkStart w:id="160" w:name="_Toc18266"/>
      <w:bookmarkStart w:id="161" w:name="_Toc464136628"/>
      <w:bookmarkStart w:id="162" w:name="_Toc376936749"/>
      <w:bookmarkStart w:id="163" w:name="_Toc371090030"/>
      <w:r>
        <w:rPr>
          <w:rFonts w:ascii="宋体" w:hAnsi="宋体" w:cs="宋体"/>
          <w:sz w:val="24"/>
          <w:szCs w:val="24"/>
        </w:rPr>
        <w:t>14.</w:t>
      </w:r>
      <w:r>
        <w:rPr>
          <w:rFonts w:hint="eastAsia" w:ascii="宋体" w:hAnsi="宋体" w:cs="宋体"/>
          <w:sz w:val="24"/>
          <w:szCs w:val="24"/>
        </w:rPr>
        <w:t>提交响应文件截止时间、地点</w:t>
      </w:r>
      <w:bookmarkEnd w:id="158"/>
      <w:bookmarkEnd w:id="159"/>
      <w:bookmarkEnd w:id="160"/>
      <w:bookmarkEnd w:id="161"/>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14.1文件提交的截止时间及地点详见“供应商须知前附表”。</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14.2采购代理机构将拒绝接受在提交响应文件截止时间之后送达的响应文件。</w:t>
      </w:r>
      <w:bookmarkEnd w:id="162"/>
      <w:bookmarkEnd w:id="163"/>
      <w:bookmarkStart w:id="164" w:name="_Toc325726019"/>
      <w:bookmarkStart w:id="165" w:name="_Toc376936750"/>
      <w:bookmarkStart w:id="166" w:name="_Toc9147"/>
    </w:p>
    <w:p>
      <w:pPr>
        <w:pStyle w:val="2"/>
      </w:pPr>
      <w:bookmarkStart w:id="167" w:name="_Toc27995"/>
      <w:bookmarkStart w:id="168" w:name="_Toc19547_WPSOffice_Level2"/>
      <w:bookmarkStart w:id="169" w:name="_Toc464136629"/>
      <w:bookmarkStart w:id="170" w:name="_Toc5644"/>
      <w:bookmarkStart w:id="171" w:name="_Toc12106"/>
      <w:bookmarkStart w:id="172" w:name="_Toc5718"/>
      <w:r>
        <w:rPr>
          <w:rFonts w:hint="eastAsia"/>
        </w:rPr>
        <w:t>五、</w:t>
      </w:r>
      <w:bookmarkEnd w:id="164"/>
      <w:bookmarkEnd w:id="165"/>
      <w:r>
        <w:rPr>
          <w:rFonts w:hint="eastAsia"/>
        </w:rPr>
        <w:t>磋商过程</w:t>
      </w:r>
      <w:bookmarkEnd w:id="166"/>
      <w:bookmarkEnd w:id="167"/>
      <w:bookmarkEnd w:id="168"/>
      <w:bookmarkEnd w:id="169"/>
      <w:bookmarkEnd w:id="170"/>
      <w:bookmarkEnd w:id="171"/>
      <w:bookmarkEnd w:id="172"/>
    </w:p>
    <w:p>
      <w:pPr>
        <w:pStyle w:val="24"/>
        <w:jc w:val="left"/>
        <w:rPr>
          <w:rFonts w:ascii="宋体" w:hAnsi="宋体" w:cs="宋体"/>
          <w:sz w:val="24"/>
          <w:szCs w:val="24"/>
        </w:rPr>
      </w:pPr>
      <w:bookmarkStart w:id="173" w:name="_Toc464136630"/>
      <w:bookmarkStart w:id="174" w:name="_Toc15630"/>
      <w:bookmarkStart w:id="175" w:name="_Toc26723"/>
      <w:bookmarkStart w:id="176" w:name="_Toc16691"/>
      <w:bookmarkStart w:id="177" w:name="_Toc22760"/>
      <w:bookmarkStart w:id="178" w:name="_Toc24770"/>
      <w:r>
        <w:rPr>
          <w:rFonts w:ascii="宋体" w:hAnsi="宋体" w:cs="宋体"/>
          <w:sz w:val="24"/>
          <w:szCs w:val="24"/>
        </w:rPr>
        <w:t>15.</w:t>
      </w:r>
      <w:r>
        <w:rPr>
          <w:rFonts w:hint="eastAsia" w:ascii="宋体" w:hAnsi="宋体" w:cs="宋体"/>
          <w:sz w:val="24"/>
          <w:szCs w:val="24"/>
        </w:rPr>
        <w:t>磋商过程</w:t>
      </w:r>
      <w:bookmarkEnd w:id="173"/>
      <w:bookmarkEnd w:id="174"/>
      <w:bookmarkEnd w:id="175"/>
      <w:bookmarkEnd w:id="176"/>
      <w:bookmarkEnd w:id="177"/>
      <w:bookmarkEnd w:id="178"/>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15.1采购代理机构按磋商文件中确定的时间和地点组织本项目的磋商活动。供应商应由其法定代表人或委托代理人参加。</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15.2对不同文字文本响应文件的解释发生异议的，以中文文本为准。</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15.3由采购代理机构组织，采购人、采购监管、纪检监察等有关方面代表可根据采购项目的具体情况列席。</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15.4有专人记录，并存档备查。</w:t>
      </w:r>
    </w:p>
    <w:p>
      <w:pPr>
        <w:pStyle w:val="2"/>
      </w:pPr>
      <w:bookmarkStart w:id="179" w:name="_Toc376936752"/>
      <w:bookmarkStart w:id="180" w:name="_Toc19030"/>
      <w:bookmarkStart w:id="181" w:name="_Toc21169"/>
      <w:bookmarkStart w:id="182" w:name="_Toc464136631"/>
      <w:bookmarkStart w:id="183" w:name="_Toc18107"/>
      <w:bookmarkStart w:id="184" w:name="_Toc28369_WPSOffice_Level2"/>
      <w:bookmarkStart w:id="185" w:name="_Toc325726021"/>
      <w:bookmarkStart w:id="186" w:name="_Toc25108"/>
      <w:bookmarkStart w:id="187" w:name="_Toc31794"/>
      <w:r>
        <w:rPr>
          <w:rFonts w:hint="eastAsia"/>
        </w:rPr>
        <w:t>六、磋商程序及方法</w:t>
      </w:r>
      <w:bookmarkEnd w:id="179"/>
      <w:bookmarkEnd w:id="180"/>
      <w:bookmarkEnd w:id="181"/>
      <w:bookmarkEnd w:id="182"/>
      <w:bookmarkEnd w:id="183"/>
      <w:bookmarkEnd w:id="184"/>
      <w:bookmarkEnd w:id="185"/>
      <w:bookmarkEnd w:id="186"/>
      <w:bookmarkEnd w:id="187"/>
    </w:p>
    <w:p>
      <w:pPr>
        <w:pStyle w:val="24"/>
        <w:jc w:val="left"/>
        <w:rPr>
          <w:rFonts w:ascii="宋体" w:hAnsi="宋体" w:cs="宋体"/>
          <w:sz w:val="24"/>
          <w:szCs w:val="24"/>
        </w:rPr>
      </w:pPr>
      <w:bookmarkStart w:id="188" w:name="_Toc325726022"/>
      <w:bookmarkStart w:id="189" w:name="_Toc26121"/>
      <w:bookmarkStart w:id="190" w:name="_Toc19080"/>
      <w:bookmarkStart w:id="191" w:name="_Toc17060"/>
      <w:bookmarkStart w:id="192" w:name="_Toc376936753"/>
      <w:bookmarkStart w:id="193" w:name="_Toc16935"/>
      <w:bookmarkStart w:id="194" w:name="_Toc464136632"/>
      <w:bookmarkStart w:id="195" w:name="_Toc5955"/>
      <w:r>
        <w:rPr>
          <w:rFonts w:ascii="宋体" w:hAnsi="宋体" w:cs="宋体"/>
          <w:sz w:val="24"/>
          <w:szCs w:val="24"/>
        </w:rPr>
        <w:t>16.</w:t>
      </w:r>
      <w:r>
        <w:rPr>
          <w:rFonts w:hint="eastAsia" w:ascii="宋体" w:hAnsi="宋体" w:cs="宋体"/>
          <w:sz w:val="24"/>
          <w:szCs w:val="24"/>
        </w:rPr>
        <w:t>磋商小组</w:t>
      </w:r>
      <w:bookmarkEnd w:id="188"/>
      <w:bookmarkEnd w:id="189"/>
      <w:bookmarkEnd w:id="190"/>
      <w:bookmarkEnd w:id="191"/>
      <w:bookmarkEnd w:id="192"/>
      <w:bookmarkEnd w:id="193"/>
      <w:bookmarkEnd w:id="194"/>
      <w:bookmarkEnd w:id="195"/>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16.1采购代理机构将根据采购项目的特点依法组建磋商小组，其成员由具有一定专业水平的技术、经济等方面的专家和采购人代表等三人以上单数组成。其中技术、经济等方面的专家不少于成员总数的三分之二。</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16.2采购代理机构负责组织，具体磋商事务由依法组建的磋商小组负责，并独立履行下列职责：</w:t>
      </w:r>
    </w:p>
    <w:p>
      <w:pPr>
        <w:pStyle w:val="12"/>
        <w:spacing w:line="360" w:lineRule="auto"/>
        <w:rPr>
          <w:rFonts w:hAnsi="宋体" w:cs="宋体"/>
          <w:kern w:val="0"/>
          <w:szCs w:val="24"/>
          <w:lang w:val="zh-CN"/>
        </w:rPr>
      </w:pPr>
      <w:r>
        <w:rPr>
          <w:rFonts w:hint="eastAsia" w:hAnsi="宋体" w:cs="宋体"/>
          <w:kern w:val="0"/>
          <w:szCs w:val="24"/>
          <w:lang w:val="zh-CN"/>
        </w:rPr>
        <w:t>（1）审查响应文件是否符合磋商文件要求，并作出评价；</w:t>
      </w:r>
    </w:p>
    <w:p>
      <w:pPr>
        <w:pStyle w:val="12"/>
        <w:spacing w:line="360" w:lineRule="auto"/>
        <w:rPr>
          <w:rFonts w:hAnsi="宋体" w:cs="宋体"/>
          <w:kern w:val="0"/>
          <w:szCs w:val="24"/>
          <w:lang w:val="zh-CN"/>
        </w:rPr>
      </w:pPr>
      <w:r>
        <w:rPr>
          <w:rFonts w:hint="eastAsia" w:hAnsi="宋体" w:cs="宋体"/>
          <w:kern w:val="0"/>
          <w:szCs w:val="24"/>
          <w:lang w:val="zh-CN"/>
        </w:rPr>
        <w:t>（2）要求供应商对响应文件有关事项作出解释或澄清；</w:t>
      </w:r>
    </w:p>
    <w:p>
      <w:pPr>
        <w:pStyle w:val="12"/>
        <w:spacing w:line="360" w:lineRule="auto"/>
        <w:rPr>
          <w:rFonts w:hAnsi="宋体" w:cs="宋体"/>
          <w:kern w:val="0"/>
          <w:szCs w:val="24"/>
          <w:lang w:val="zh-CN"/>
        </w:rPr>
      </w:pPr>
      <w:r>
        <w:rPr>
          <w:rFonts w:hint="eastAsia" w:hAnsi="宋体" w:cs="宋体"/>
          <w:kern w:val="0"/>
          <w:szCs w:val="24"/>
          <w:lang w:val="zh-CN"/>
        </w:rPr>
        <w:t>（3）推荐预成交候选供应商；</w:t>
      </w:r>
    </w:p>
    <w:p>
      <w:pPr>
        <w:pStyle w:val="12"/>
        <w:spacing w:line="360" w:lineRule="auto"/>
        <w:rPr>
          <w:rFonts w:hAnsi="宋体" w:cs="宋体"/>
          <w:kern w:val="0"/>
          <w:szCs w:val="24"/>
          <w:lang w:val="zh-CN"/>
        </w:rPr>
      </w:pPr>
      <w:r>
        <w:rPr>
          <w:rFonts w:hint="eastAsia" w:hAnsi="宋体" w:cs="宋体"/>
          <w:kern w:val="0"/>
          <w:szCs w:val="24"/>
          <w:lang w:val="zh-CN"/>
        </w:rPr>
        <w:t>（4）对非法干预评标工作的人员和机构进行举报或投诉。</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16.3应遵守并履行下列义务：</w:t>
      </w:r>
    </w:p>
    <w:p>
      <w:pPr>
        <w:pStyle w:val="12"/>
        <w:spacing w:line="360" w:lineRule="auto"/>
        <w:rPr>
          <w:rFonts w:hAnsi="宋体" w:cs="宋体"/>
          <w:kern w:val="0"/>
          <w:szCs w:val="24"/>
          <w:lang w:val="zh-CN"/>
        </w:rPr>
      </w:pPr>
      <w:r>
        <w:rPr>
          <w:rFonts w:hint="eastAsia" w:hAnsi="宋体" w:cs="宋体"/>
          <w:kern w:val="0"/>
          <w:szCs w:val="24"/>
          <w:lang w:val="zh-CN"/>
        </w:rPr>
        <w:t>（1）遵纪守法，客观、公正、廉洁地履行职责；</w:t>
      </w:r>
    </w:p>
    <w:p>
      <w:pPr>
        <w:pStyle w:val="12"/>
        <w:spacing w:line="360" w:lineRule="auto"/>
        <w:rPr>
          <w:rFonts w:hAnsi="宋体" w:cs="宋体"/>
          <w:kern w:val="0"/>
          <w:szCs w:val="24"/>
          <w:lang w:val="zh-CN"/>
        </w:rPr>
      </w:pPr>
      <w:r>
        <w:rPr>
          <w:rFonts w:hint="eastAsia" w:hAnsi="宋体" w:cs="宋体"/>
          <w:kern w:val="0"/>
          <w:szCs w:val="24"/>
          <w:lang w:val="zh-CN"/>
        </w:rPr>
        <w:t>（2）按照磋商文件规定的评审方法和评审标准进行评审，磋商小组成员并对</w:t>
      </w:r>
      <w:r>
        <w:rPr>
          <w:rFonts w:hint="eastAsia" w:hAnsi="宋体" w:cs="宋体"/>
          <w:sz w:val="24"/>
          <w:szCs w:val="24"/>
        </w:rPr>
        <w:t>评审意见</w:t>
      </w:r>
      <w:r>
        <w:rPr>
          <w:rFonts w:hint="eastAsia" w:hAnsi="宋体" w:cs="宋体"/>
          <w:kern w:val="0"/>
          <w:szCs w:val="24"/>
          <w:lang w:val="zh-CN"/>
        </w:rPr>
        <w:t>承责任；</w:t>
      </w:r>
    </w:p>
    <w:p>
      <w:pPr>
        <w:pStyle w:val="12"/>
        <w:spacing w:line="360" w:lineRule="auto"/>
        <w:rPr>
          <w:rFonts w:hAnsi="宋体" w:cs="宋体"/>
          <w:kern w:val="0"/>
          <w:szCs w:val="24"/>
          <w:lang w:val="zh-CN"/>
        </w:rPr>
      </w:pPr>
      <w:r>
        <w:rPr>
          <w:rFonts w:hint="eastAsia" w:hAnsi="宋体" w:cs="宋体"/>
          <w:kern w:val="0"/>
          <w:szCs w:val="24"/>
          <w:lang w:val="zh-CN"/>
        </w:rPr>
        <w:t>（3）对响应文件、磋商情况和磋商中获悉的商业秘密保密；</w:t>
      </w:r>
    </w:p>
    <w:p>
      <w:pPr>
        <w:pStyle w:val="12"/>
        <w:spacing w:line="360" w:lineRule="auto"/>
        <w:rPr>
          <w:rFonts w:hAnsi="宋体" w:cs="宋体"/>
          <w:kern w:val="0"/>
          <w:szCs w:val="24"/>
          <w:lang w:val="zh-CN"/>
        </w:rPr>
      </w:pPr>
      <w:r>
        <w:rPr>
          <w:rFonts w:hint="eastAsia" w:hAnsi="宋体" w:cs="宋体"/>
          <w:kern w:val="0"/>
          <w:szCs w:val="24"/>
          <w:lang w:val="zh-CN"/>
        </w:rPr>
        <w:t>（4）参与磋商报告的起草；</w:t>
      </w:r>
    </w:p>
    <w:p>
      <w:pPr>
        <w:pStyle w:val="12"/>
        <w:spacing w:line="360" w:lineRule="auto"/>
        <w:rPr>
          <w:rFonts w:hAnsi="宋体" w:cs="宋体"/>
          <w:kern w:val="0"/>
          <w:szCs w:val="24"/>
          <w:lang w:val="zh-CN"/>
        </w:rPr>
      </w:pPr>
      <w:r>
        <w:rPr>
          <w:rFonts w:hint="eastAsia" w:hAnsi="宋体" w:cs="宋体"/>
          <w:kern w:val="0"/>
          <w:szCs w:val="24"/>
          <w:lang w:val="zh-CN"/>
        </w:rPr>
        <w:t>（5）解答供应商及有关方面的质疑；</w:t>
      </w:r>
    </w:p>
    <w:p>
      <w:pPr>
        <w:pStyle w:val="12"/>
        <w:spacing w:line="360" w:lineRule="auto"/>
        <w:rPr>
          <w:rFonts w:hAnsi="宋体" w:cs="宋体"/>
          <w:kern w:val="0"/>
          <w:szCs w:val="24"/>
          <w:lang w:val="zh-CN"/>
        </w:rPr>
      </w:pPr>
      <w:r>
        <w:rPr>
          <w:rFonts w:hint="eastAsia" w:hAnsi="宋体" w:cs="宋体"/>
          <w:kern w:val="0"/>
          <w:szCs w:val="24"/>
          <w:lang w:val="zh-CN"/>
        </w:rPr>
        <w:t>（6）配合纪检部门进行投诉处理工作。</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16.4所有成员应当集中与单一供应商分别进行磋商，并给予所有参加磋商的供应商平等的磋商机会。</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16.5在有关部门的监督和严格保密的情况下依法开展，任何单位和个人不得非法干预、影响磋商工作和磋商结果。</w:t>
      </w:r>
    </w:p>
    <w:p>
      <w:pPr>
        <w:pStyle w:val="24"/>
        <w:jc w:val="left"/>
        <w:rPr>
          <w:rFonts w:ascii="宋体" w:hAnsi="宋体" w:cs="宋体"/>
          <w:sz w:val="24"/>
          <w:szCs w:val="24"/>
        </w:rPr>
      </w:pPr>
      <w:bookmarkStart w:id="196" w:name="_Toc3830"/>
      <w:bookmarkStart w:id="197" w:name="_Toc464136633"/>
      <w:bookmarkStart w:id="198" w:name="_Toc325726023"/>
      <w:bookmarkStart w:id="199" w:name="_Toc376936754"/>
      <w:bookmarkStart w:id="200" w:name="_Toc14694"/>
      <w:bookmarkStart w:id="201" w:name="_Toc13688"/>
      <w:bookmarkStart w:id="202" w:name="_Toc27086"/>
      <w:bookmarkStart w:id="203" w:name="_Toc18207"/>
      <w:r>
        <w:rPr>
          <w:rFonts w:ascii="宋体" w:hAnsi="宋体" w:cs="宋体"/>
          <w:sz w:val="24"/>
          <w:szCs w:val="24"/>
        </w:rPr>
        <w:t>17.</w:t>
      </w:r>
      <w:r>
        <w:rPr>
          <w:rFonts w:hint="eastAsia" w:ascii="宋体" w:hAnsi="宋体" w:cs="宋体"/>
          <w:sz w:val="24"/>
          <w:szCs w:val="24"/>
        </w:rPr>
        <w:t>磋商程序</w:t>
      </w:r>
      <w:bookmarkEnd w:id="196"/>
      <w:bookmarkEnd w:id="197"/>
      <w:bookmarkEnd w:id="198"/>
      <w:bookmarkEnd w:id="199"/>
      <w:bookmarkEnd w:id="200"/>
      <w:bookmarkEnd w:id="201"/>
      <w:bookmarkEnd w:id="202"/>
      <w:bookmarkEnd w:id="203"/>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17.1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17.2初审阶段分为资格性审查和符合性审查。响应文件在响应磋商文件要求方面出现的偏离，分为实质性偏离和非实质性偏离。</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17.2.1实质性偏离是指响应文件未能实质性响应磋商文件的要求。以下情况属于实质性偏离，响应文件有下列情况之一的，按无效文件处理。</w:t>
      </w:r>
    </w:p>
    <w:p>
      <w:pPr>
        <w:pStyle w:val="12"/>
        <w:spacing w:line="360" w:lineRule="auto"/>
        <w:ind w:firstLine="482" w:firstLineChars="200"/>
        <w:rPr>
          <w:rFonts w:hAnsi="宋体" w:cs="宋体"/>
          <w:kern w:val="0"/>
          <w:szCs w:val="24"/>
          <w:lang w:val="zh-CN"/>
        </w:rPr>
      </w:pPr>
      <w:r>
        <w:rPr>
          <w:rFonts w:hint="eastAsia" w:hAnsi="宋体" w:cs="宋体"/>
          <w:b/>
          <w:bCs/>
          <w:sz w:val="24"/>
        </w:rPr>
        <w:t>（</w:t>
      </w:r>
      <w:r>
        <w:rPr>
          <w:rFonts w:hint="eastAsia" w:hAnsi="宋体" w:cs="宋体"/>
          <w:kern w:val="0"/>
          <w:szCs w:val="24"/>
          <w:lang w:val="zh-CN"/>
        </w:rPr>
        <w:t>1）不符合第三部分供应商须知一、说  明第2.2款“合格的供应商”之规定的；</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（2）未按磋商文件要求交纳或未足额交纳磋商保证金的；</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（3）未按第三部分供应商须知二、磋商文件说明，第11款（1）-（14）要求提供相关资料的；</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（4）响应文件内容没有按磋商文件规定和要求签字、盖章的；</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（5）响应文件编排混乱，且擅自修改磋商文件规定的格式内容的；</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（6）工期、磋商有效期、法定代表人授权期限不能满足磋商文件要求的；</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（7）机构资质、人员配备标准明显不符合采购项目要求的；</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（8）响应文件中附有采购人不能接受的条件的；</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（9）磋商小组认为应按无效响应处理的其他情况；</w:t>
      </w:r>
    </w:p>
    <w:p>
      <w:pPr>
        <w:pStyle w:val="12"/>
        <w:spacing w:line="360" w:lineRule="auto"/>
        <w:ind w:firstLine="420" w:firstLineChars="200"/>
        <w:rPr>
          <w:rFonts w:hAnsi="宋体" w:cs="宋体"/>
          <w:kern w:val="0"/>
          <w:szCs w:val="24"/>
          <w:lang w:val="zh-CN"/>
        </w:rPr>
      </w:pPr>
      <w:r>
        <w:rPr>
          <w:rFonts w:hint="eastAsia" w:hAnsi="宋体" w:cs="宋体"/>
          <w:kern w:val="0"/>
          <w:szCs w:val="24"/>
          <w:lang w:val="zh-CN"/>
        </w:rPr>
        <w:t>（10）法律、法规规定的其他情形。</w:t>
      </w:r>
    </w:p>
    <w:p>
      <w:pPr>
        <w:tabs>
          <w:tab w:val="left" w:pos="8787"/>
        </w:tabs>
        <w:spacing w:line="360" w:lineRule="auto"/>
        <w:ind w:firstLine="420" w:firstLineChars="200"/>
        <w:jc w:val="left"/>
        <w:rPr>
          <w:rFonts w:ascii="宋体" w:hAnsi="宋体" w:cs="宋体"/>
          <w:kern w:val="0"/>
          <w:lang w:val="zh-CN"/>
        </w:rPr>
      </w:pPr>
      <w:r>
        <w:rPr>
          <w:rFonts w:hint="eastAsia" w:ascii="宋体" w:hAnsi="宋体" w:cs="宋体"/>
          <w:kern w:val="0"/>
          <w:lang w:val="zh-CN"/>
        </w:rPr>
        <w:t>17.2.2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cs="宋体"/>
          <w:kern w:val="0"/>
          <w:lang w:val="zh-CN"/>
        </w:rPr>
      </w:pPr>
      <w:r>
        <w:rPr>
          <w:rFonts w:hint="eastAsia" w:ascii="宋体" w:hAnsi="宋体" w:cs="宋体"/>
          <w:kern w:val="0"/>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420" w:firstLineChars="200"/>
        <w:jc w:val="left"/>
        <w:rPr>
          <w:rFonts w:ascii="宋体" w:hAnsi="宋体" w:cs="宋体"/>
          <w:kern w:val="0"/>
          <w:lang w:val="zh-CN"/>
        </w:rPr>
      </w:pPr>
      <w:r>
        <w:rPr>
          <w:rFonts w:hint="eastAsia" w:ascii="宋体" w:hAnsi="宋体" w:cs="宋体"/>
          <w:kern w:val="0"/>
          <w:lang w:val="zh-CN"/>
        </w:rPr>
        <w:t>17.2.3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420" w:firstLineChars="200"/>
        <w:jc w:val="left"/>
        <w:rPr>
          <w:rFonts w:ascii="宋体" w:hAnsi="宋体" w:cs="宋体"/>
          <w:kern w:val="0"/>
          <w:lang w:val="zh-CN"/>
        </w:rPr>
      </w:pPr>
      <w:r>
        <w:rPr>
          <w:rFonts w:hint="eastAsia" w:ascii="宋体" w:hAnsi="宋体" w:cs="宋体"/>
          <w:kern w:val="0"/>
          <w:lang w:val="zh-CN"/>
        </w:rPr>
        <w:t>17.2.4，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420" w:firstLineChars="200"/>
        <w:jc w:val="left"/>
        <w:rPr>
          <w:rFonts w:ascii="宋体" w:hAnsi="宋体" w:cs="宋体"/>
          <w:kern w:val="0"/>
          <w:lang w:val="zh-CN"/>
        </w:rPr>
      </w:pPr>
      <w:r>
        <w:rPr>
          <w:rFonts w:hint="eastAsia" w:ascii="宋体" w:hAnsi="宋体" w:cs="宋体"/>
          <w:kern w:val="0"/>
          <w:lang w:val="zh-CN"/>
        </w:rPr>
        <w:t>17.2.5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24"/>
        <w:jc w:val="left"/>
        <w:rPr>
          <w:rFonts w:ascii="宋体" w:hAnsi="宋体" w:cs="宋体"/>
          <w:sz w:val="24"/>
          <w:szCs w:val="24"/>
        </w:rPr>
      </w:pPr>
      <w:bookmarkStart w:id="204" w:name="_Toc6352"/>
      <w:bookmarkStart w:id="205" w:name="_Toc17697"/>
      <w:bookmarkStart w:id="206" w:name="_Toc27448"/>
      <w:bookmarkStart w:id="207" w:name="_Toc464136634"/>
      <w:bookmarkStart w:id="208" w:name="_Toc325726024"/>
      <w:bookmarkStart w:id="209" w:name="_Toc20611"/>
      <w:bookmarkStart w:id="210" w:name="_Toc376936755"/>
      <w:bookmarkStart w:id="211" w:name="_Toc13668"/>
      <w:r>
        <w:rPr>
          <w:rFonts w:ascii="宋体" w:hAnsi="宋体" w:cs="宋体"/>
          <w:sz w:val="24"/>
          <w:szCs w:val="24"/>
        </w:rPr>
        <w:t>18.</w:t>
      </w:r>
      <w:r>
        <w:rPr>
          <w:rFonts w:hint="eastAsia" w:ascii="宋体" w:hAnsi="宋体" w:cs="宋体"/>
          <w:sz w:val="24"/>
          <w:szCs w:val="24"/>
        </w:rPr>
        <w:t>评审办法</w:t>
      </w:r>
      <w:bookmarkEnd w:id="204"/>
      <w:bookmarkEnd w:id="205"/>
      <w:bookmarkEnd w:id="206"/>
      <w:bookmarkEnd w:id="207"/>
      <w:bookmarkEnd w:id="208"/>
      <w:bookmarkEnd w:id="209"/>
      <w:bookmarkEnd w:id="210"/>
      <w:bookmarkEnd w:id="211"/>
    </w:p>
    <w:p>
      <w:pPr>
        <w:tabs>
          <w:tab w:val="left" w:pos="8787"/>
        </w:tabs>
        <w:spacing w:line="360" w:lineRule="auto"/>
        <w:ind w:firstLine="420" w:firstLineChars="200"/>
        <w:jc w:val="left"/>
        <w:rPr>
          <w:rFonts w:ascii="宋体" w:hAnsi="宋体" w:cs="宋体"/>
          <w:kern w:val="0"/>
          <w:lang w:val="zh-CN"/>
        </w:rPr>
      </w:pPr>
      <w:r>
        <w:rPr>
          <w:rFonts w:hint="eastAsia" w:ascii="宋体" w:hAnsi="宋体" w:cs="宋体"/>
          <w:kern w:val="0"/>
          <w:lang w:val="zh-CN"/>
        </w:rPr>
        <w:t>18.1依照《中华人民共和国政府采购法》、《中华人民共和国政府采购法实施条例》、《政府采购竞争性磋商采购方式管理暂行办法》的规定，结合该项目的特点制定本评审办法。本次评审采用综合评分法。</w:t>
      </w:r>
    </w:p>
    <w:p>
      <w:pPr>
        <w:tabs>
          <w:tab w:val="left" w:pos="8787"/>
        </w:tabs>
        <w:spacing w:line="360" w:lineRule="auto"/>
        <w:ind w:firstLine="420" w:firstLineChars="200"/>
        <w:jc w:val="left"/>
        <w:rPr>
          <w:rFonts w:ascii="宋体" w:hAnsi="宋体" w:cs="宋体"/>
          <w:kern w:val="0"/>
          <w:lang w:val="zh-CN"/>
        </w:rPr>
      </w:pPr>
      <w:r>
        <w:rPr>
          <w:rFonts w:hint="eastAsia" w:ascii="宋体" w:hAnsi="宋体" w:cs="宋体"/>
          <w:kern w:val="0"/>
        </w:rPr>
        <w:t>18.2</w:t>
      </w:r>
      <w:r>
        <w:rPr>
          <w:rFonts w:hint="eastAsia" w:ascii="宋体" w:hAnsi="宋体" w:cs="宋体"/>
          <w:kern w:val="0"/>
          <w:lang w:val="zh-CN"/>
        </w:rPr>
        <w:t>评审标准和分值分配：</w:t>
      </w:r>
      <w:bookmarkStart w:id="212" w:name="_Toc368987541"/>
      <w:bookmarkStart w:id="213" w:name="_Toc365373142"/>
      <w:bookmarkStart w:id="214" w:name="_Toc201287394"/>
    </w:p>
    <w:p>
      <w:pPr>
        <w:ind w:firstLine="480"/>
        <w:jc w:val="left"/>
        <w:rPr>
          <w:rFonts w:ascii="宋体" w:hAnsi="宋体"/>
        </w:rPr>
      </w:pPr>
    </w:p>
    <w:p>
      <w:pPr>
        <w:pStyle w:val="2"/>
      </w:pPr>
    </w:p>
    <w:tbl>
      <w:tblPr>
        <w:tblStyle w:val="25"/>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84"/>
        <w:gridCol w:w="1736"/>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1" w:type="dxa"/>
            <w:gridSpan w:val="2"/>
            <w:vAlign w:val="center"/>
          </w:tcPr>
          <w:p>
            <w:pPr>
              <w:spacing w:line="400" w:lineRule="exact"/>
              <w:rPr>
                <w:color w:val="000000" w:themeColor="text1"/>
                <w:kern w:val="0"/>
              </w:rPr>
            </w:pPr>
            <w:r>
              <w:rPr>
                <w:rFonts w:hint="eastAsia"/>
                <w:color w:val="000000" w:themeColor="text1"/>
                <w:kern w:val="0"/>
              </w:rPr>
              <w:t>条款号</w:t>
            </w:r>
          </w:p>
        </w:tc>
        <w:tc>
          <w:tcPr>
            <w:tcW w:w="1736" w:type="dxa"/>
            <w:vAlign w:val="center"/>
          </w:tcPr>
          <w:p>
            <w:pPr>
              <w:spacing w:line="400" w:lineRule="exact"/>
              <w:rPr>
                <w:rFonts w:ascii="TimesNewRomanPSMT" w:hAnsi="TimesNewRomanPSMT" w:cs="TimesNewRomanPSMT"/>
                <w:color w:val="000000" w:themeColor="text1"/>
                <w:kern w:val="0"/>
              </w:rPr>
            </w:pPr>
            <w:r>
              <w:rPr>
                <w:rFonts w:hint="eastAsia"/>
                <w:color w:val="000000" w:themeColor="text1"/>
                <w:kern w:val="0"/>
              </w:rPr>
              <w:t>条款内容</w:t>
            </w:r>
          </w:p>
        </w:tc>
        <w:tc>
          <w:tcPr>
            <w:tcW w:w="6202" w:type="dxa"/>
            <w:vAlign w:val="center"/>
          </w:tcPr>
          <w:p>
            <w:pPr>
              <w:spacing w:line="400" w:lineRule="exact"/>
              <w:rPr>
                <w:rFonts w:ascii="TimesNewRomanPSMT" w:hAnsi="TimesNewRomanPSMT" w:cs="TimesNewRomanPSMT"/>
                <w:color w:val="000000" w:themeColor="text1"/>
                <w:kern w:val="0"/>
              </w:rPr>
            </w:pPr>
            <w:r>
              <w:rPr>
                <w:rFonts w:hint="eastAsia"/>
                <w:color w:val="000000" w:themeColor="text1"/>
                <w:kern w:val="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751" w:type="dxa"/>
            <w:gridSpan w:val="2"/>
            <w:vAlign w:val="center"/>
          </w:tcPr>
          <w:p>
            <w:pPr>
              <w:spacing w:line="400" w:lineRule="exact"/>
              <w:rPr>
                <w:rFonts w:cs="宋体"/>
                <w:color w:val="000000" w:themeColor="text1"/>
                <w:kern w:val="0"/>
              </w:rPr>
            </w:pPr>
            <w:r>
              <w:rPr>
                <w:color w:val="000000" w:themeColor="text1"/>
                <w:kern w:val="0"/>
              </w:rPr>
              <w:t>2.2.1</w:t>
            </w:r>
          </w:p>
        </w:tc>
        <w:tc>
          <w:tcPr>
            <w:tcW w:w="1736" w:type="dxa"/>
            <w:vAlign w:val="center"/>
          </w:tcPr>
          <w:p>
            <w:pPr>
              <w:spacing w:line="400" w:lineRule="exact"/>
              <w:rPr>
                <w:color w:val="000000" w:themeColor="text1"/>
                <w:kern w:val="0"/>
              </w:rPr>
            </w:pPr>
            <w:r>
              <w:rPr>
                <w:rFonts w:hint="eastAsia"/>
                <w:color w:val="000000" w:themeColor="text1"/>
                <w:kern w:val="0"/>
              </w:rPr>
              <w:t>分值构成</w:t>
            </w:r>
          </w:p>
          <w:p>
            <w:pPr>
              <w:spacing w:line="400" w:lineRule="exact"/>
              <w:rPr>
                <w:color w:val="000000" w:themeColor="text1"/>
                <w:kern w:val="0"/>
              </w:rPr>
            </w:pPr>
            <w:r>
              <w:rPr>
                <w:color w:val="000000" w:themeColor="text1"/>
                <w:kern w:val="0"/>
              </w:rPr>
              <w:t>(</w:t>
            </w:r>
            <w:r>
              <w:rPr>
                <w:rFonts w:hint="eastAsia" w:cs="宋体"/>
                <w:color w:val="000000" w:themeColor="text1"/>
                <w:kern w:val="0"/>
              </w:rPr>
              <w:t>总分</w:t>
            </w:r>
            <w:r>
              <w:rPr>
                <w:color w:val="000000" w:themeColor="text1"/>
                <w:kern w:val="0"/>
              </w:rPr>
              <w:t xml:space="preserve">100 </w:t>
            </w:r>
            <w:r>
              <w:rPr>
                <w:rFonts w:hint="eastAsia" w:cs="宋体"/>
                <w:color w:val="000000" w:themeColor="text1"/>
                <w:kern w:val="0"/>
              </w:rPr>
              <w:t>分</w:t>
            </w:r>
            <w:r>
              <w:rPr>
                <w:color w:val="000000" w:themeColor="text1"/>
                <w:kern w:val="0"/>
              </w:rPr>
              <w:t>)</w:t>
            </w:r>
          </w:p>
        </w:tc>
        <w:tc>
          <w:tcPr>
            <w:tcW w:w="6202" w:type="dxa"/>
            <w:vAlign w:val="center"/>
          </w:tcPr>
          <w:p>
            <w:pPr>
              <w:spacing w:line="400" w:lineRule="exact"/>
              <w:rPr>
                <w:color w:val="000000" w:themeColor="text1"/>
                <w:kern w:val="0"/>
              </w:rPr>
            </w:pPr>
            <w:r>
              <w:rPr>
                <w:rFonts w:hint="eastAsia"/>
                <w:color w:val="000000" w:themeColor="text1"/>
                <w:kern w:val="0"/>
              </w:rPr>
              <w:t>一、施工组织设计：36分</w:t>
            </w:r>
          </w:p>
          <w:p>
            <w:pPr>
              <w:spacing w:line="400" w:lineRule="exact"/>
              <w:rPr>
                <w:color w:val="000000" w:themeColor="text1"/>
                <w:kern w:val="0"/>
              </w:rPr>
            </w:pPr>
            <w:r>
              <w:rPr>
                <w:rFonts w:hint="eastAsia"/>
                <w:color w:val="000000" w:themeColor="text1"/>
                <w:kern w:val="0"/>
              </w:rPr>
              <w:t>二、项目管理机构：22分；企业业绩 12分</w:t>
            </w:r>
          </w:p>
          <w:p>
            <w:pPr>
              <w:spacing w:line="400" w:lineRule="exact"/>
              <w:rPr>
                <w:color w:val="000000" w:themeColor="text1"/>
                <w:kern w:val="0"/>
              </w:rPr>
            </w:pPr>
            <w:r>
              <w:rPr>
                <w:rFonts w:hint="eastAsia"/>
                <w:color w:val="000000" w:themeColor="text1"/>
                <w:kern w:val="0"/>
              </w:rPr>
              <w:t>三、磋商报价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51" w:type="dxa"/>
            <w:gridSpan w:val="2"/>
            <w:vAlign w:val="center"/>
          </w:tcPr>
          <w:p>
            <w:pPr>
              <w:spacing w:line="400" w:lineRule="exact"/>
              <w:jc w:val="center"/>
              <w:rPr>
                <w:color w:val="000000" w:themeColor="text1"/>
                <w:kern w:val="0"/>
              </w:rPr>
            </w:pPr>
            <w:r>
              <w:rPr>
                <w:rFonts w:hint="eastAsia"/>
                <w:color w:val="000000" w:themeColor="text1"/>
                <w:kern w:val="0"/>
              </w:rPr>
              <w:t>条款号</w:t>
            </w:r>
          </w:p>
        </w:tc>
        <w:tc>
          <w:tcPr>
            <w:tcW w:w="1736" w:type="dxa"/>
            <w:vAlign w:val="center"/>
          </w:tcPr>
          <w:p>
            <w:pPr>
              <w:spacing w:line="400" w:lineRule="exact"/>
              <w:jc w:val="center"/>
              <w:rPr>
                <w:rFonts w:cs="TimesNewRomanPSMT"/>
                <w:color w:val="000000" w:themeColor="text1"/>
                <w:kern w:val="0"/>
              </w:rPr>
            </w:pPr>
            <w:r>
              <w:rPr>
                <w:rFonts w:hint="eastAsia"/>
                <w:color w:val="000000" w:themeColor="text1"/>
                <w:kern w:val="0"/>
              </w:rPr>
              <w:t>评分因素</w:t>
            </w:r>
          </w:p>
        </w:tc>
        <w:tc>
          <w:tcPr>
            <w:tcW w:w="6202" w:type="dxa"/>
            <w:vAlign w:val="center"/>
          </w:tcPr>
          <w:p>
            <w:pPr>
              <w:spacing w:line="400" w:lineRule="exact"/>
              <w:jc w:val="center"/>
              <w:rPr>
                <w:rFonts w:cs="TimesNewRomanPSMT"/>
                <w:color w:val="000000" w:themeColor="text1"/>
                <w:kern w:val="0"/>
              </w:rPr>
            </w:pPr>
            <w:r>
              <w:rPr>
                <w:rFonts w:hint="eastAsia"/>
                <w:color w:val="000000" w:themeColor="text1"/>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67" w:type="dxa"/>
            <w:vMerge w:val="restart"/>
            <w:vAlign w:val="center"/>
          </w:tcPr>
          <w:p>
            <w:pPr>
              <w:spacing w:line="400" w:lineRule="exact"/>
              <w:rPr>
                <w:color w:val="000000" w:themeColor="text1"/>
                <w:kern w:val="0"/>
              </w:rPr>
            </w:pPr>
            <w:r>
              <w:rPr>
                <w:rFonts w:hint="eastAsia"/>
                <w:color w:val="000000" w:themeColor="text1"/>
                <w:kern w:val="0"/>
              </w:rPr>
              <w:t>2.2.2</w:t>
            </w:r>
          </w:p>
          <w:p>
            <w:pPr>
              <w:spacing w:line="400" w:lineRule="exact"/>
              <w:rPr>
                <w:color w:val="000000" w:themeColor="text1"/>
                <w:kern w:val="0"/>
              </w:rPr>
            </w:pPr>
            <w:r>
              <w:rPr>
                <w:rFonts w:hint="eastAsia"/>
                <w:color w:val="000000" w:themeColor="text1"/>
                <w:kern w:val="0"/>
              </w:rPr>
              <w:t>(1)</w:t>
            </w:r>
          </w:p>
          <w:p>
            <w:pPr>
              <w:spacing w:line="400" w:lineRule="exact"/>
              <w:rPr>
                <w:color w:val="000000" w:themeColor="text1"/>
                <w:kern w:val="0"/>
              </w:rPr>
            </w:pPr>
          </w:p>
        </w:tc>
        <w:tc>
          <w:tcPr>
            <w:tcW w:w="984" w:type="dxa"/>
            <w:vMerge w:val="restart"/>
            <w:vAlign w:val="center"/>
          </w:tcPr>
          <w:p>
            <w:pPr>
              <w:spacing w:line="400" w:lineRule="exact"/>
              <w:rPr>
                <w:color w:val="000000" w:themeColor="text1"/>
                <w:kern w:val="0"/>
              </w:rPr>
            </w:pPr>
            <w:r>
              <w:rPr>
                <w:rFonts w:hint="eastAsia"/>
                <w:color w:val="000000" w:themeColor="text1"/>
                <w:kern w:val="0"/>
              </w:rPr>
              <w:t>施工组织设计评分标准  （36分）</w:t>
            </w:r>
          </w:p>
        </w:tc>
        <w:tc>
          <w:tcPr>
            <w:tcW w:w="1736" w:type="dxa"/>
            <w:vAlign w:val="center"/>
          </w:tcPr>
          <w:p>
            <w:pPr>
              <w:spacing w:line="400" w:lineRule="exact"/>
              <w:rPr>
                <w:color w:val="000000" w:themeColor="text1"/>
                <w:kern w:val="0"/>
              </w:rPr>
            </w:pPr>
            <w:r>
              <w:rPr>
                <w:rFonts w:hint="eastAsia"/>
                <w:color w:val="000000" w:themeColor="text1"/>
                <w:kern w:val="0"/>
              </w:rPr>
              <w:t>施工方案与</w:t>
            </w:r>
          </w:p>
          <w:p>
            <w:pPr>
              <w:spacing w:line="400" w:lineRule="exact"/>
              <w:rPr>
                <w:color w:val="000000" w:themeColor="text1"/>
                <w:kern w:val="0"/>
              </w:rPr>
            </w:pPr>
            <w:r>
              <w:rPr>
                <w:rFonts w:hint="eastAsia"/>
                <w:color w:val="000000" w:themeColor="text1"/>
                <w:kern w:val="0"/>
              </w:rPr>
              <w:t>技术措施10分</w:t>
            </w:r>
          </w:p>
        </w:tc>
        <w:tc>
          <w:tcPr>
            <w:tcW w:w="6202" w:type="dxa"/>
            <w:vAlign w:val="center"/>
          </w:tcPr>
          <w:p>
            <w:pPr>
              <w:spacing w:line="400" w:lineRule="exact"/>
              <w:rPr>
                <w:color w:val="000000" w:themeColor="text1"/>
                <w:kern w:val="0"/>
              </w:rPr>
            </w:pPr>
            <w:r>
              <w:rPr>
                <w:rFonts w:hint="eastAsia"/>
                <w:color w:val="000000" w:themeColor="text1"/>
                <w:kern w:val="0"/>
              </w:rPr>
              <w:t>施工部署合理，施工顺序及方案切实可行、针对性强；各项管理目标明确，技术措施满足工期、质量、安全生产及文明施工要求。较好者10分，一般者5分，没有不得分。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67" w:type="dxa"/>
            <w:vMerge w:val="continue"/>
            <w:vAlign w:val="center"/>
          </w:tcPr>
          <w:p>
            <w:pPr>
              <w:spacing w:line="400" w:lineRule="exact"/>
              <w:rPr>
                <w:color w:val="000000" w:themeColor="text1"/>
                <w:kern w:val="0"/>
              </w:rPr>
            </w:pPr>
          </w:p>
        </w:tc>
        <w:tc>
          <w:tcPr>
            <w:tcW w:w="984" w:type="dxa"/>
            <w:vMerge w:val="continue"/>
            <w:vAlign w:val="center"/>
          </w:tcPr>
          <w:p>
            <w:pPr>
              <w:spacing w:line="400" w:lineRule="exact"/>
              <w:rPr>
                <w:color w:val="000000" w:themeColor="text1"/>
                <w:kern w:val="0"/>
              </w:rPr>
            </w:pPr>
          </w:p>
        </w:tc>
        <w:tc>
          <w:tcPr>
            <w:tcW w:w="1736" w:type="dxa"/>
            <w:vAlign w:val="center"/>
          </w:tcPr>
          <w:p>
            <w:pPr>
              <w:spacing w:line="400" w:lineRule="exact"/>
              <w:rPr>
                <w:color w:val="000000" w:themeColor="text1"/>
                <w:kern w:val="0"/>
              </w:rPr>
            </w:pPr>
            <w:r>
              <w:rPr>
                <w:rFonts w:hint="eastAsia"/>
                <w:color w:val="000000" w:themeColor="text1"/>
                <w:kern w:val="0"/>
              </w:rPr>
              <w:t>质量管理体系</w:t>
            </w:r>
          </w:p>
          <w:p>
            <w:pPr>
              <w:spacing w:line="400" w:lineRule="exact"/>
              <w:rPr>
                <w:color w:val="000000" w:themeColor="text1"/>
                <w:kern w:val="0"/>
              </w:rPr>
            </w:pPr>
            <w:r>
              <w:rPr>
                <w:rFonts w:hint="eastAsia"/>
                <w:color w:val="000000" w:themeColor="text1"/>
                <w:kern w:val="0"/>
              </w:rPr>
              <w:t>与措施4分</w:t>
            </w:r>
          </w:p>
        </w:tc>
        <w:tc>
          <w:tcPr>
            <w:tcW w:w="6202" w:type="dxa"/>
            <w:vAlign w:val="center"/>
          </w:tcPr>
          <w:p>
            <w:pPr>
              <w:spacing w:line="400" w:lineRule="exact"/>
              <w:rPr>
                <w:color w:val="000000" w:themeColor="text1"/>
                <w:kern w:val="0"/>
              </w:rPr>
            </w:pPr>
            <w:r>
              <w:rPr>
                <w:rFonts w:hint="eastAsia"/>
                <w:color w:val="000000" w:themeColor="text1"/>
                <w:kern w:val="0"/>
              </w:rPr>
              <w:t>质量管理体系健全、管理人员责任明确、管理制度健全有效，各项技术措施、主要分项工程、作业指导书符合现行国家质量验收标准要求。较好者4分，一般者2分，没有不得分。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67" w:type="dxa"/>
            <w:vMerge w:val="continue"/>
            <w:vAlign w:val="center"/>
          </w:tcPr>
          <w:p>
            <w:pPr>
              <w:spacing w:line="400" w:lineRule="exact"/>
              <w:rPr>
                <w:color w:val="000000" w:themeColor="text1"/>
                <w:kern w:val="0"/>
              </w:rPr>
            </w:pPr>
          </w:p>
        </w:tc>
        <w:tc>
          <w:tcPr>
            <w:tcW w:w="984" w:type="dxa"/>
            <w:vMerge w:val="continue"/>
            <w:vAlign w:val="center"/>
          </w:tcPr>
          <w:p>
            <w:pPr>
              <w:spacing w:line="400" w:lineRule="exact"/>
              <w:rPr>
                <w:color w:val="000000" w:themeColor="text1"/>
                <w:kern w:val="0"/>
              </w:rPr>
            </w:pPr>
          </w:p>
        </w:tc>
        <w:tc>
          <w:tcPr>
            <w:tcW w:w="1736" w:type="dxa"/>
            <w:vAlign w:val="center"/>
          </w:tcPr>
          <w:p>
            <w:pPr>
              <w:spacing w:line="400" w:lineRule="exact"/>
              <w:rPr>
                <w:color w:val="000000" w:themeColor="text1"/>
                <w:kern w:val="0"/>
              </w:rPr>
            </w:pPr>
            <w:r>
              <w:rPr>
                <w:rFonts w:hint="eastAsia"/>
                <w:color w:val="000000" w:themeColor="text1"/>
                <w:kern w:val="0"/>
              </w:rPr>
              <w:t>安全管理体系</w:t>
            </w:r>
          </w:p>
          <w:p>
            <w:pPr>
              <w:spacing w:line="400" w:lineRule="exact"/>
              <w:rPr>
                <w:color w:val="000000" w:themeColor="text1"/>
                <w:kern w:val="0"/>
              </w:rPr>
            </w:pPr>
            <w:r>
              <w:rPr>
                <w:rFonts w:hint="eastAsia"/>
                <w:color w:val="000000" w:themeColor="text1"/>
                <w:kern w:val="0"/>
              </w:rPr>
              <w:t>与措施4分</w:t>
            </w:r>
          </w:p>
        </w:tc>
        <w:tc>
          <w:tcPr>
            <w:tcW w:w="6202" w:type="dxa"/>
            <w:vAlign w:val="center"/>
          </w:tcPr>
          <w:p>
            <w:pPr>
              <w:spacing w:line="400" w:lineRule="exact"/>
              <w:rPr>
                <w:color w:val="000000" w:themeColor="text1"/>
                <w:kern w:val="0"/>
              </w:rPr>
            </w:pPr>
            <w:r>
              <w:rPr>
                <w:rFonts w:hint="eastAsia"/>
                <w:color w:val="000000" w:themeColor="text1"/>
                <w:kern w:val="0"/>
              </w:rPr>
              <w:t>安全管理体系健全、管理人员岗位责任明确、各种安全教育制度健全有效、施工现场安全技术管理及防护、防范措施得力，符合国家安全生产管理规定。较好者4分，一般者2分，没有不得分。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67" w:type="dxa"/>
            <w:vMerge w:val="continue"/>
            <w:vAlign w:val="center"/>
          </w:tcPr>
          <w:p>
            <w:pPr>
              <w:spacing w:line="400" w:lineRule="exact"/>
              <w:rPr>
                <w:color w:val="000000" w:themeColor="text1"/>
                <w:kern w:val="0"/>
              </w:rPr>
            </w:pPr>
          </w:p>
        </w:tc>
        <w:tc>
          <w:tcPr>
            <w:tcW w:w="984" w:type="dxa"/>
            <w:vMerge w:val="continue"/>
            <w:vAlign w:val="center"/>
          </w:tcPr>
          <w:p>
            <w:pPr>
              <w:spacing w:line="400" w:lineRule="exact"/>
              <w:rPr>
                <w:color w:val="000000" w:themeColor="text1"/>
                <w:kern w:val="0"/>
              </w:rPr>
            </w:pPr>
          </w:p>
        </w:tc>
        <w:tc>
          <w:tcPr>
            <w:tcW w:w="1736" w:type="dxa"/>
            <w:vAlign w:val="center"/>
          </w:tcPr>
          <w:p>
            <w:pPr>
              <w:spacing w:line="400" w:lineRule="exact"/>
              <w:rPr>
                <w:color w:val="000000" w:themeColor="text1"/>
                <w:kern w:val="0"/>
              </w:rPr>
            </w:pPr>
            <w:r>
              <w:rPr>
                <w:rFonts w:hint="eastAsia"/>
                <w:color w:val="000000" w:themeColor="text1"/>
                <w:kern w:val="0"/>
              </w:rPr>
              <w:t>环境保护管理体系与措施4分</w:t>
            </w:r>
          </w:p>
        </w:tc>
        <w:tc>
          <w:tcPr>
            <w:tcW w:w="6202" w:type="dxa"/>
            <w:vAlign w:val="center"/>
          </w:tcPr>
          <w:p>
            <w:pPr>
              <w:spacing w:line="400" w:lineRule="exact"/>
              <w:rPr>
                <w:color w:val="000000" w:themeColor="text1"/>
                <w:kern w:val="0"/>
              </w:rPr>
            </w:pPr>
            <w:r>
              <w:rPr>
                <w:rFonts w:hint="eastAsia"/>
                <w:color w:val="000000" w:themeColor="text1"/>
                <w:kern w:val="0"/>
              </w:rPr>
              <w:t>环境保护管理体系健全，管理人员岗位责任明确，环境管理方案切实可行、能有效运行。污物处理与排放符合国家及地方有关环境保护标准。较好者4分，一般者2分，没有不得分。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67" w:type="dxa"/>
            <w:vMerge w:val="continue"/>
            <w:vAlign w:val="center"/>
          </w:tcPr>
          <w:p>
            <w:pPr>
              <w:spacing w:line="400" w:lineRule="exact"/>
              <w:rPr>
                <w:color w:val="000000" w:themeColor="text1"/>
                <w:kern w:val="0"/>
              </w:rPr>
            </w:pPr>
          </w:p>
        </w:tc>
        <w:tc>
          <w:tcPr>
            <w:tcW w:w="984" w:type="dxa"/>
            <w:vMerge w:val="continue"/>
            <w:vAlign w:val="center"/>
          </w:tcPr>
          <w:p>
            <w:pPr>
              <w:spacing w:line="400" w:lineRule="exact"/>
              <w:rPr>
                <w:color w:val="000000" w:themeColor="text1"/>
                <w:kern w:val="0"/>
              </w:rPr>
            </w:pPr>
          </w:p>
        </w:tc>
        <w:tc>
          <w:tcPr>
            <w:tcW w:w="1736" w:type="dxa"/>
            <w:vAlign w:val="center"/>
          </w:tcPr>
          <w:p>
            <w:pPr>
              <w:spacing w:line="400" w:lineRule="exact"/>
              <w:rPr>
                <w:color w:val="000000" w:themeColor="text1"/>
                <w:kern w:val="0"/>
              </w:rPr>
            </w:pPr>
            <w:r>
              <w:rPr>
                <w:rFonts w:hint="eastAsia"/>
                <w:color w:val="000000" w:themeColor="text1"/>
                <w:kern w:val="0"/>
              </w:rPr>
              <w:t>工程进度计划</w:t>
            </w:r>
          </w:p>
          <w:p>
            <w:pPr>
              <w:spacing w:line="400" w:lineRule="exact"/>
              <w:rPr>
                <w:color w:val="000000" w:themeColor="text1"/>
                <w:kern w:val="0"/>
              </w:rPr>
            </w:pPr>
            <w:r>
              <w:rPr>
                <w:rFonts w:hint="eastAsia"/>
                <w:color w:val="000000" w:themeColor="text1"/>
                <w:kern w:val="0"/>
              </w:rPr>
              <w:t>与措施7分</w:t>
            </w:r>
          </w:p>
        </w:tc>
        <w:tc>
          <w:tcPr>
            <w:tcW w:w="6202" w:type="dxa"/>
            <w:vAlign w:val="center"/>
          </w:tcPr>
          <w:p>
            <w:pPr>
              <w:spacing w:line="400" w:lineRule="exact"/>
              <w:rPr>
                <w:color w:val="000000" w:themeColor="text1"/>
                <w:kern w:val="0"/>
              </w:rPr>
            </w:pPr>
            <w:r>
              <w:rPr>
                <w:rFonts w:hint="eastAsia"/>
                <w:color w:val="000000" w:themeColor="text1"/>
                <w:kern w:val="0"/>
              </w:rPr>
              <w:t>施工流程能满足施工进度计划和保证工程质量要求，流水作业能保证施工连续、均衡、有节奏地进行。管理措施能有效保证磋商工期计划的顺利完成。较好者7分，一般者4分，没有不得分。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67" w:type="dxa"/>
            <w:vMerge w:val="continue"/>
            <w:vAlign w:val="center"/>
          </w:tcPr>
          <w:p>
            <w:pPr>
              <w:spacing w:line="400" w:lineRule="exact"/>
              <w:rPr>
                <w:color w:val="000000" w:themeColor="text1"/>
                <w:kern w:val="0"/>
              </w:rPr>
            </w:pPr>
          </w:p>
        </w:tc>
        <w:tc>
          <w:tcPr>
            <w:tcW w:w="984" w:type="dxa"/>
            <w:vMerge w:val="continue"/>
            <w:vAlign w:val="center"/>
          </w:tcPr>
          <w:p>
            <w:pPr>
              <w:spacing w:line="400" w:lineRule="exact"/>
              <w:rPr>
                <w:color w:val="000000" w:themeColor="text1"/>
                <w:kern w:val="0"/>
              </w:rPr>
            </w:pPr>
          </w:p>
        </w:tc>
        <w:tc>
          <w:tcPr>
            <w:tcW w:w="1736" w:type="dxa"/>
            <w:vAlign w:val="center"/>
          </w:tcPr>
          <w:p>
            <w:pPr>
              <w:spacing w:line="400" w:lineRule="exact"/>
              <w:rPr>
                <w:color w:val="000000" w:themeColor="text1"/>
                <w:kern w:val="0"/>
              </w:rPr>
            </w:pPr>
            <w:r>
              <w:rPr>
                <w:rFonts w:hint="eastAsia"/>
                <w:color w:val="000000" w:themeColor="text1"/>
                <w:kern w:val="0"/>
              </w:rPr>
              <w:t>资源配备计划7分</w:t>
            </w:r>
          </w:p>
        </w:tc>
        <w:tc>
          <w:tcPr>
            <w:tcW w:w="6202" w:type="dxa"/>
            <w:vAlign w:val="center"/>
          </w:tcPr>
          <w:p>
            <w:pPr>
              <w:spacing w:line="400" w:lineRule="exact"/>
              <w:rPr>
                <w:color w:val="000000" w:themeColor="text1"/>
                <w:kern w:val="0"/>
              </w:rPr>
            </w:pPr>
            <w:r>
              <w:rPr>
                <w:rFonts w:hint="eastAsia"/>
                <w:color w:val="000000" w:themeColor="text1"/>
                <w:kern w:val="0"/>
              </w:rPr>
              <w:t>施工设备、机具配置齐全、合理，能满足施工进度和工程质量要求。较好者7分，一般者4分，没有不得分。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67" w:type="dxa"/>
            <w:vMerge w:val="restart"/>
            <w:vAlign w:val="center"/>
          </w:tcPr>
          <w:p>
            <w:pPr>
              <w:spacing w:line="400" w:lineRule="exact"/>
              <w:rPr>
                <w:color w:val="000000" w:themeColor="text1"/>
                <w:kern w:val="0"/>
              </w:rPr>
            </w:pPr>
            <w:r>
              <w:rPr>
                <w:rFonts w:hint="eastAsia"/>
                <w:color w:val="000000" w:themeColor="text1"/>
                <w:kern w:val="0"/>
              </w:rPr>
              <w:t>2.2.3</w:t>
            </w:r>
          </w:p>
          <w:p>
            <w:pPr>
              <w:spacing w:line="400" w:lineRule="exact"/>
              <w:rPr>
                <w:color w:val="000000" w:themeColor="text1"/>
                <w:kern w:val="0"/>
              </w:rPr>
            </w:pPr>
            <w:r>
              <w:rPr>
                <w:rFonts w:hint="eastAsia"/>
                <w:color w:val="000000" w:themeColor="text1"/>
                <w:kern w:val="0"/>
              </w:rPr>
              <w:t>(2)</w:t>
            </w:r>
          </w:p>
        </w:tc>
        <w:tc>
          <w:tcPr>
            <w:tcW w:w="984" w:type="dxa"/>
            <w:vMerge w:val="restart"/>
            <w:vAlign w:val="center"/>
          </w:tcPr>
          <w:p>
            <w:pPr>
              <w:spacing w:line="400" w:lineRule="exact"/>
              <w:rPr>
                <w:color w:val="000000" w:themeColor="text1"/>
                <w:kern w:val="0"/>
              </w:rPr>
            </w:pPr>
            <w:r>
              <w:rPr>
                <w:rFonts w:hint="eastAsia"/>
                <w:color w:val="000000" w:themeColor="text1"/>
                <w:kern w:val="0"/>
              </w:rPr>
              <w:t>项目管理机构（22分）</w:t>
            </w:r>
          </w:p>
        </w:tc>
        <w:tc>
          <w:tcPr>
            <w:tcW w:w="1736" w:type="dxa"/>
            <w:vAlign w:val="center"/>
          </w:tcPr>
          <w:p>
            <w:pPr>
              <w:spacing w:line="400" w:lineRule="exact"/>
              <w:rPr>
                <w:color w:val="000000" w:themeColor="text1"/>
                <w:kern w:val="0"/>
              </w:rPr>
            </w:pPr>
            <w:r>
              <w:rPr>
                <w:rFonts w:hint="eastAsia"/>
                <w:color w:val="000000" w:themeColor="text1"/>
                <w:kern w:val="0"/>
              </w:rPr>
              <w:t>项目经理业绩12分</w:t>
            </w:r>
          </w:p>
        </w:tc>
        <w:tc>
          <w:tcPr>
            <w:tcW w:w="6202" w:type="dxa"/>
          </w:tcPr>
          <w:p>
            <w:pPr>
              <w:spacing w:line="400" w:lineRule="exact"/>
              <w:rPr>
                <w:color w:val="000000" w:themeColor="text1"/>
                <w:kern w:val="0"/>
              </w:rPr>
            </w:pPr>
            <w:r>
              <w:rPr>
                <w:rFonts w:hint="eastAsia"/>
                <w:color w:val="000000" w:themeColor="text1"/>
                <w:kern w:val="0"/>
              </w:rPr>
              <w:t>提供（2017年1月1日-至今）承建过的类似工程，每承建一个得3分，以项目的中标通知书和合同签字盖章页、项目经理所在页（附扫描件），满分12分；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67" w:type="dxa"/>
            <w:vMerge w:val="continue"/>
            <w:vAlign w:val="center"/>
          </w:tcPr>
          <w:p>
            <w:pPr>
              <w:spacing w:line="400" w:lineRule="exact"/>
              <w:rPr>
                <w:color w:val="000000" w:themeColor="text1"/>
                <w:kern w:val="0"/>
              </w:rPr>
            </w:pPr>
          </w:p>
        </w:tc>
        <w:tc>
          <w:tcPr>
            <w:tcW w:w="984" w:type="dxa"/>
            <w:vMerge w:val="continue"/>
            <w:vAlign w:val="center"/>
          </w:tcPr>
          <w:p>
            <w:pPr>
              <w:spacing w:line="400" w:lineRule="exact"/>
              <w:rPr>
                <w:color w:val="000000" w:themeColor="text1"/>
                <w:kern w:val="0"/>
              </w:rPr>
            </w:pPr>
          </w:p>
        </w:tc>
        <w:tc>
          <w:tcPr>
            <w:tcW w:w="1736" w:type="dxa"/>
            <w:vAlign w:val="center"/>
          </w:tcPr>
          <w:p>
            <w:pPr>
              <w:spacing w:line="400" w:lineRule="exact"/>
              <w:rPr>
                <w:color w:val="000000" w:themeColor="text1"/>
                <w:kern w:val="0"/>
              </w:rPr>
            </w:pPr>
            <w:r>
              <w:rPr>
                <w:rFonts w:hint="eastAsia"/>
                <w:color w:val="000000" w:themeColor="text1"/>
                <w:kern w:val="0"/>
              </w:rPr>
              <w:t>项目班子的组成10分</w:t>
            </w:r>
          </w:p>
        </w:tc>
        <w:tc>
          <w:tcPr>
            <w:tcW w:w="6202" w:type="dxa"/>
            <w:vAlign w:val="center"/>
          </w:tcPr>
          <w:p>
            <w:pPr>
              <w:spacing w:line="400" w:lineRule="exact"/>
              <w:rPr>
                <w:color w:val="000000" w:themeColor="text1"/>
                <w:kern w:val="0"/>
              </w:rPr>
            </w:pPr>
            <w:r>
              <w:rPr>
                <w:rFonts w:hint="eastAsia"/>
                <w:color w:val="000000" w:themeColor="text1"/>
                <w:kern w:val="0"/>
              </w:rPr>
              <w:t>技术负责人（需附中级职称证扫描件）1名，满足要求得4分。质检员1名，施工员2名，（各岗持证得2分，无证不得分）本项满分6分。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67" w:type="dxa"/>
            <w:vMerge w:val="continue"/>
            <w:vAlign w:val="center"/>
          </w:tcPr>
          <w:p>
            <w:pPr>
              <w:spacing w:line="400" w:lineRule="exact"/>
              <w:rPr>
                <w:color w:val="000000" w:themeColor="text1"/>
                <w:kern w:val="0"/>
              </w:rPr>
            </w:pPr>
          </w:p>
        </w:tc>
        <w:tc>
          <w:tcPr>
            <w:tcW w:w="984" w:type="dxa"/>
            <w:vAlign w:val="center"/>
          </w:tcPr>
          <w:p>
            <w:pPr>
              <w:spacing w:line="400" w:lineRule="exact"/>
              <w:rPr>
                <w:color w:val="000000" w:themeColor="text1"/>
                <w:kern w:val="0"/>
              </w:rPr>
            </w:pPr>
            <w:r>
              <w:rPr>
                <w:rFonts w:hint="eastAsia"/>
                <w:color w:val="000000" w:themeColor="text1"/>
                <w:kern w:val="0"/>
              </w:rPr>
              <w:t>企业业绩</w:t>
            </w:r>
          </w:p>
          <w:p>
            <w:pPr>
              <w:spacing w:line="400" w:lineRule="exact"/>
              <w:rPr>
                <w:color w:val="000000" w:themeColor="text1"/>
                <w:kern w:val="0"/>
              </w:rPr>
            </w:pPr>
            <w:r>
              <w:rPr>
                <w:rFonts w:hint="eastAsia"/>
                <w:color w:val="000000" w:themeColor="text1"/>
                <w:kern w:val="0"/>
              </w:rPr>
              <w:t>（12分）</w:t>
            </w:r>
          </w:p>
        </w:tc>
        <w:tc>
          <w:tcPr>
            <w:tcW w:w="7938" w:type="dxa"/>
            <w:gridSpan w:val="2"/>
            <w:vAlign w:val="center"/>
          </w:tcPr>
          <w:p>
            <w:pPr>
              <w:spacing w:line="400" w:lineRule="exact"/>
              <w:rPr>
                <w:color w:val="000000" w:themeColor="text1"/>
                <w:kern w:val="0"/>
              </w:rPr>
            </w:pPr>
            <w:r>
              <w:rPr>
                <w:rFonts w:hint="eastAsia"/>
                <w:color w:val="000000" w:themeColor="text1"/>
                <w:kern w:val="0"/>
              </w:rPr>
              <w:t>提供（2017年1月1日-至今）承建的类似工程每承建一个得2分，以项目的中标通知书或合同签字盖章页为准（附扫描件）,最高12分。企业业绩与项目经理业绩相同的，不重复加分。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67" w:type="dxa"/>
            <w:vAlign w:val="center"/>
          </w:tcPr>
          <w:p>
            <w:pPr>
              <w:spacing w:line="400" w:lineRule="exact"/>
              <w:rPr>
                <w:color w:val="000000" w:themeColor="text1"/>
                <w:kern w:val="0"/>
              </w:rPr>
            </w:pPr>
            <w:r>
              <w:rPr>
                <w:rFonts w:hint="eastAsia"/>
                <w:color w:val="000000" w:themeColor="text1"/>
                <w:kern w:val="0"/>
              </w:rPr>
              <w:t>2.2.4</w:t>
            </w:r>
          </w:p>
          <w:p>
            <w:pPr>
              <w:spacing w:line="400" w:lineRule="exact"/>
              <w:rPr>
                <w:color w:val="000000" w:themeColor="text1"/>
                <w:kern w:val="0"/>
              </w:rPr>
            </w:pPr>
            <w:r>
              <w:rPr>
                <w:rFonts w:hint="eastAsia"/>
                <w:color w:val="000000" w:themeColor="text1"/>
                <w:kern w:val="0"/>
              </w:rPr>
              <w:t>(3)</w:t>
            </w:r>
          </w:p>
        </w:tc>
        <w:tc>
          <w:tcPr>
            <w:tcW w:w="984" w:type="dxa"/>
            <w:tcBorders>
              <w:right w:val="single" w:color="auto" w:sz="4" w:space="0"/>
            </w:tcBorders>
            <w:vAlign w:val="center"/>
          </w:tcPr>
          <w:p>
            <w:pPr>
              <w:spacing w:line="400" w:lineRule="exact"/>
              <w:rPr>
                <w:color w:val="000000" w:themeColor="text1"/>
                <w:kern w:val="0"/>
              </w:rPr>
            </w:pPr>
            <w:r>
              <w:rPr>
                <w:rFonts w:hint="eastAsia"/>
                <w:color w:val="000000" w:themeColor="text1"/>
                <w:kern w:val="0"/>
              </w:rPr>
              <w:t>磋商报价  （30分）</w:t>
            </w:r>
          </w:p>
        </w:tc>
        <w:tc>
          <w:tcPr>
            <w:tcW w:w="1736" w:type="dxa"/>
            <w:tcBorders>
              <w:left w:val="single" w:color="auto" w:sz="4" w:space="0"/>
            </w:tcBorders>
            <w:vAlign w:val="center"/>
          </w:tcPr>
          <w:p>
            <w:pPr>
              <w:spacing w:line="400" w:lineRule="exact"/>
              <w:rPr>
                <w:color w:val="000000" w:themeColor="text1"/>
                <w:kern w:val="0"/>
                <w:lang w:val="zh-CN"/>
              </w:rPr>
            </w:pPr>
            <w:r>
              <w:rPr>
                <w:rFonts w:hint="eastAsia"/>
                <w:color w:val="000000" w:themeColor="text1"/>
                <w:kern w:val="0"/>
              </w:rPr>
              <w:t>报价分30分</w:t>
            </w:r>
          </w:p>
        </w:tc>
        <w:tc>
          <w:tcPr>
            <w:tcW w:w="6202" w:type="dxa"/>
            <w:tcBorders>
              <w:left w:val="single" w:color="auto" w:sz="4" w:space="0"/>
            </w:tcBorders>
            <w:vAlign w:val="center"/>
          </w:tcPr>
          <w:p>
            <w:pPr>
              <w:spacing w:line="400" w:lineRule="exact"/>
              <w:rPr>
                <w:color w:val="000000" w:themeColor="text1"/>
                <w:kern w:val="0"/>
              </w:rPr>
            </w:pPr>
            <w:r>
              <w:rPr>
                <w:rFonts w:hint="eastAsia"/>
                <w:color w:val="000000" w:themeColor="text1"/>
                <w:kern w:val="0"/>
              </w:rPr>
              <w:t>满足磋商文件要求且最后报价最低的供应商的价格为磋商基准价，其价格分为满分。其他供应商的价格分统一按照下列公式计算：磋商报价得分=（磋商基准价/最后磋商报价）×30</w:t>
            </w:r>
          </w:p>
        </w:tc>
      </w:tr>
      <w:bookmarkEnd w:id="212"/>
      <w:bookmarkEnd w:id="213"/>
      <w:bookmarkEnd w:id="214"/>
    </w:tbl>
    <w:p>
      <w:pPr>
        <w:pStyle w:val="2"/>
      </w:pPr>
      <w:bookmarkStart w:id="215" w:name="_Toc18189_WPSOffice_Level2"/>
      <w:bookmarkStart w:id="216" w:name="_Toc3368"/>
      <w:bookmarkStart w:id="217" w:name="_Toc12542"/>
      <w:bookmarkStart w:id="218" w:name="_Toc4765"/>
      <w:bookmarkStart w:id="219" w:name="_Toc368987551"/>
      <w:bookmarkStart w:id="220" w:name="_Toc365373146"/>
      <w:r>
        <w:rPr>
          <w:rFonts w:hint="eastAsia"/>
        </w:rPr>
        <w:t>七、确定成交供应商</w:t>
      </w:r>
      <w:bookmarkEnd w:id="215"/>
      <w:bookmarkEnd w:id="216"/>
      <w:bookmarkEnd w:id="217"/>
      <w:bookmarkEnd w:id="218"/>
    </w:p>
    <w:p>
      <w:pPr>
        <w:pStyle w:val="24"/>
        <w:jc w:val="left"/>
        <w:rPr>
          <w:rFonts w:ascii="宋体" w:hAnsi="宋体" w:cs="宋体"/>
          <w:sz w:val="24"/>
          <w:szCs w:val="24"/>
        </w:rPr>
      </w:pPr>
      <w:bookmarkStart w:id="221" w:name="_Toc325726026"/>
      <w:bookmarkStart w:id="222" w:name="_Toc376936757"/>
      <w:bookmarkStart w:id="223" w:name="_Toc464136636"/>
      <w:bookmarkStart w:id="224" w:name="_Toc17038"/>
      <w:bookmarkStart w:id="225" w:name="_Toc24707"/>
      <w:bookmarkStart w:id="226" w:name="_Toc28889"/>
      <w:bookmarkStart w:id="227" w:name="_Toc449"/>
      <w:bookmarkStart w:id="228" w:name="_Toc2682"/>
      <w:r>
        <w:rPr>
          <w:rFonts w:ascii="宋体" w:hAnsi="宋体" w:cs="宋体"/>
          <w:sz w:val="24"/>
          <w:szCs w:val="24"/>
        </w:rPr>
        <w:t>19.</w:t>
      </w:r>
      <w:r>
        <w:rPr>
          <w:rFonts w:hint="eastAsia" w:ascii="宋体" w:hAnsi="宋体" w:cs="宋体"/>
          <w:sz w:val="24"/>
          <w:szCs w:val="24"/>
        </w:rPr>
        <w:t>推荐并确定成交</w:t>
      </w:r>
      <w:bookmarkEnd w:id="221"/>
      <w:bookmarkEnd w:id="222"/>
      <w:r>
        <w:rPr>
          <w:rFonts w:hint="eastAsia" w:ascii="宋体" w:hAnsi="宋体" w:cs="宋体"/>
          <w:sz w:val="24"/>
          <w:szCs w:val="24"/>
        </w:rPr>
        <w:t>供应商</w:t>
      </w:r>
      <w:bookmarkEnd w:id="223"/>
      <w:bookmarkEnd w:id="224"/>
      <w:bookmarkEnd w:id="225"/>
      <w:bookmarkEnd w:id="226"/>
      <w:bookmarkEnd w:id="227"/>
      <w:bookmarkEnd w:id="228"/>
    </w:p>
    <w:p>
      <w:pPr>
        <w:spacing w:line="360" w:lineRule="auto"/>
        <w:ind w:firstLine="480"/>
        <w:jc w:val="left"/>
        <w:rPr>
          <w:rFonts w:ascii="宋体"/>
          <w:sz w:val="24"/>
        </w:rPr>
      </w:pPr>
      <w:r>
        <w:rPr>
          <w:rFonts w:hint="eastAsia" w:ascii="宋体" w:hAnsi="宋体" w:cs="宋体"/>
          <w:sz w:val="24"/>
        </w:rPr>
        <w:t>采购代理机构应当在评审结束后</w:t>
      </w:r>
      <w:r>
        <w:rPr>
          <w:rFonts w:ascii="宋体" w:hAnsi="宋体" w:cs="宋体"/>
          <w:sz w:val="24"/>
        </w:rPr>
        <w:t>2</w:t>
      </w:r>
      <w:r>
        <w:rPr>
          <w:rFonts w:hint="eastAsia" w:ascii="宋体" w:hAnsi="宋体" w:cs="宋体"/>
          <w:sz w:val="24"/>
        </w:rPr>
        <w:t>个工作日内将评审报告送采购人确认。采购人应当在收到评审报告后</w:t>
      </w:r>
      <w:r>
        <w:rPr>
          <w:rFonts w:ascii="宋体" w:hAnsi="宋体" w:cs="宋体"/>
          <w:sz w:val="24"/>
        </w:rPr>
        <w:t>5</w:t>
      </w:r>
      <w:r>
        <w:rPr>
          <w:rFonts w:hint="eastAsia" w:ascii="宋体" w:hAnsi="宋体" w:cs="宋体"/>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24"/>
        <w:jc w:val="left"/>
        <w:rPr>
          <w:rFonts w:ascii="宋体" w:hAnsi="宋体" w:cs="宋体"/>
          <w:sz w:val="24"/>
          <w:szCs w:val="24"/>
        </w:rPr>
      </w:pPr>
      <w:bookmarkStart w:id="229" w:name="_Toc27933"/>
      <w:bookmarkStart w:id="230" w:name="_Toc3665"/>
      <w:bookmarkStart w:id="231" w:name="_Toc26844"/>
      <w:bookmarkStart w:id="232" w:name="_Toc376936759"/>
      <w:bookmarkStart w:id="233" w:name="_Toc2963"/>
      <w:bookmarkStart w:id="234" w:name="_Toc2346"/>
      <w:bookmarkStart w:id="235" w:name="_Toc325726028"/>
      <w:bookmarkStart w:id="236" w:name="_Toc464136637"/>
      <w:bookmarkStart w:id="237" w:name="_Toc325726027"/>
      <w:r>
        <w:rPr>
          <w:rFonts w:ascii="宋体" w:hAnsi="宋体" w:cs="宋体"/>
          <w:sz w:val="24"/>
          <w:szCs w:val="24"/>
        </w:rPr>
        <w:t>20.</w:t>
      </w:r>
      <w:r>
        <w:rPr>
          <w:rFonts w:hint="eastAsia" w:ascii="宋体" w:hAnsi="宋体" w:cs="宋体"/>
          <w:sz w:val="24"/>
          <w:szCs w:val="24"/>
        </w:rPr>
        <w:t>成交通知</w:t>
      </w:r>
      <w:bookmarkEnd w:id="229"/>
      <w:bookmarkEnd w:id="230"/>
      <w:bookmarkEnd w:id="231"/>
      <w:bookmarkEnd w:id="232"/>
      <w:bookmarkEnd w:id="233"/>
      <w:bookmarkEnd w:id="234"/>
      <w:bookmarkEnd w:id="235"/>
      <w:bookmarkEnd w:id="236"/>
    </w:p>
    <w:p>
      <w:pPr>
        <w:spacing w:line="360" w:lineRule="auto"/>
        <w:ind w:firstLine="480" w:firstLineChars="200"/>
        <w:jc w:val="left"/>
        <w:rPr>
          <w:rFonts w:ascii="宋体"/>
          <w:sz w:val="24"/>
        </w:rPr>
      </w:pPr>
      <w:r>
        <w:rPr>
          <w:rFonts w:ascii="宋体" w:hAnsi="宋体" w:cs="宋体"/>
          <w:sz w:val="24"/>
        </w:rPr>
        <w:t>20.1</w:t>
      </w:r>
      <w:r>
        <w:rPr>
          <w:rFonts w:hint="eastAsia" w:ascii="宋体" w:hAnsi="宋体" w:cs="宋体"/>
          <w:sz w:val="24"/>
        </w:rPr>
        <w:t>采购人或者采购代理机构应当在成交供应商确定后</w:t>
      </w:r>
      <w:r>
        <w:rPr>
          <w:rFonts w:ascii="宋体" w:hAnsi="宋体" w:cs="宋体"/>
          <w:sz w:val="24"/>
        </w:rPr>
        <w:t>2</w:t>
      </w:r>
      <w:r>
        <w:rPr>
          <w:rFonts w:hint="eastAsia" w:ascii="宋体" w:hAnsi="宋体" w:cs="宋体"/>
          <w:sz w:val="24"/>
        </w:rPr>
        <w:t>个工作日内，在青海政府采购网上公告成交结果，同时向成交供应商发出成交通知书。</w:t>
      </w:r>
    </w:p>
    <w:p>
      <w:pPr>
        <w:spacing w:line="360" w:lineRule="auto"/>
        <w:ind w:firstLine="480" w:firstLineChars="200"/>
        <w:jc w:val="left"/>
        <w:rPr>
          <w:rFonts w:ascii="宋体"/>
          <w:sz w:val="24"/>
        </w:rPr>
      </w:pPr>
      <w:r>
        <w:rPr>
          <w:rFonts w:ascii="宋体" w:hAnsi="宋体" w:cs="宋体"/>
          <w:sz w:val="24"/>
        </w:rPr>
        <w:t>20.2</w:t>
      </w:r>
      <w:r>
        <w:rPr>
          <w:rFonts w:hint="eastAsia" w:ascii="宋体" w:hAnsi="宋体" w:cs="宋体"/>
          <w:sz w:val="24"/>
        </w:rPr>
        <w:t>《成交通知书》发出后，采购人改变成交结果的，或者成交供应商无正当理由放弃成交项目的，依法承担法律责任。</w:t>
      </w:r>
    </w:p>
    <w:p>
      <w:pPr>
        <w:pStyle w:val="2"/>
      </w:pPr>
      <w:bookmarkStart w:id="238" w:name="_Toc9225"/>
      <w:bookmarkStart w:id="239" w:name="_Toc376936758"/>
      <w:bookmarkStart w:id="240" w:name="_Toc464136638"/>
      <w:bookmarkStart w:id="241" w:name="_Toc10541_WPSOffice_Level2"/>
      <w:bookmarkStart w:id="242" w:name="_Toc5556"/>
      <w:bookmarkStart w:id="243" w:name="_Toc24538"/>
      <w:bookmarkStart w:id="244" w:name="_Toc11228"/>
      <w:bookmarkStart w:id="245" w:name="_Toc18063"/>
      <w:r>
        <w:rPr>
          <w:rFonts w:hint="eastAsia"/>
        </w:rPr>
        <w:t>八、授予合同</w:t>
      </w:r>
      <w:bookmarkEnd w:id="237"/>
      <w:bookmarkEnd w:id="238"/>
      <w:bookmarkEnd w:id="239"/>
      <w:bookmarkEnd w:id="240"/>
      <w:bookmarkEnd w:id="241"/>
      <w:bookmarkEnd w:id="242"/>
      <w:bookmarkEnd w:id="243"/>
      <w:bookmarkEnd w:id="244"/>
      <w:bookmarkEnd w:id="245"/>
    </w:p>
    <w:p>
      <w:pPr>
        <w:pStyle w:val="24"/>
        <w:jc w:val="left"/>
        <w:rPr>
          <w:rFonts w:ascii="宋体" w:hAnsi="宋体" w:cs="宋体"/>
          <w:sz w:val="24"/>
          <w:szCs w:val="24"/>
        </w:rPr>
      </w:pPr>
      <w:bookmarkStart w:id="246" w:name="_Toc376936760"/>
      <w:bookmarkStart w:id="247" w:name="_Toc325726029"/>
      <w:bookmarkStart w:id="248" w:name="_Toc11172"/>
      <w:bookmarkStart w:id="249" w:name="_Toc9080"/>
      <w:bookmarkStart w:id="250" w:name="_Toc464136639"/>
      <w:bookmarkStart w:id="251" w:name="_Toc28394"/>
      <w:bookmarkStart w:id="252" w:name="_Toc27199"/>
      <w:bookmarkStart w:id="253" w:name="_Toc921"/>
      <w:r>
        <w:rPr>
          <w:rFonts w:ascii="宋体" w:hAnsi="宋体" w:cs="宋体"/>
          <w:sz w:val="24"/>
          <w:szCs w:val="24"/>
        </w:rPr>
        <w:t>21.</w:t>
      </w:r>
      <w:r>
        <w:rPr>
          <w:rFonts w:hint="eastAsia" w:ascii="宋体" w:hAnsi="宋体" w:cs="宋体"/>
          <w:sz w:val="24"/>
          <w:szCs w:val="24"/>
        </w:rPr>
        <w:t>签订合同</w:t>
      </w:r>
      <w:bookmarkEnd w:id="246"/>
      <w:bookmarkEnd w:id="247"/>
      <w:bookmarkEnd w:id="248"/>
      <w:bookmarkEnd w:id="249"/>
      <w:bookmarkEnd w:id="250"/>
      <w:bookmarkEnd w:id="251"/>
      <w:bookmarkEnd w:id="252"/>
      <w:bookmarkEnd w:id="253"/>
    </w:p>
    <w:p>
      <w:pPr>
        <w:spacing w:line="360" w:lineRule="auto"/>
        <w:ind w:firstLine="480" w:firstLineChars="200"/>
        <w:jc w:val="left"/>
        <w:rPr>
          <w:rFonts w:ascii="宋体"/>
          <w:sz w:val="24"/>
        </w:rPr>
      </w:pPr>
      <w:bookmarkStart w:id="254" w:name="_Toc325726030"/>
      <w:bookmarkStart w:id="255" w:name="_Toc376936761"/>
      <w:r>
        <w:rPr>
          <w:rFonts w:ascii="宋体" w:hAnsi="宋体" w:cs="宋体"/>
          <w:sz w:val="24"/>
        </w:rPr>
        <w:t>21.1</w:t>
      </w:r>
      <w:r>
        <w:rPr>
          <w:rFonts w:hint="eastAsia" w:ascii="宋体" w:hAnsi="宋体" w:cs="宋体"/>
          <w:sz w:val="24"/>
        </w:rPr>
        <w:t>采购人与成交供应商应当在成交通知书发出之日起</w:t>
      </w:r>
      <w:r>
        <w:rPr>
          <w:rFonts w:ascii="宋体" w:hAnsi="宋体" w:cs="宋体"/>
          <w:sz w:val="24"/>
        </w:rPr>
        <w:t>30</w:t>
      </w:r>
      <w:r>
        <w:rPr>
          <w:rFonts w:hint="eastAsia" w:ascii="宋体" w:hAnsi="宋体" w:cs="宋体"/>
          <w:sz w:val="24"/>
        </w:rPr>
        <w:t>日内，按照磋商文件确定的合同文本以及项目技术和服务要求等事项签订政府采购合同。</w:t>
      </w:r>
    </w:p>
    <w:p>
      <w:pPr>
        <w:spacing w:line="360" w:lineRule="auto"/>
        <w:ind w:firstLine="480" w:firstLineChars="200"/>
        <w:jc w:val="left"/>
        <w:rPr>
          <w:rFonts w:ascii="宋体"/>
          <w:sz w:val="24"/>
        </w:rPr>
      </w:pPr>
      <w:r>
        <w:rPr>
          <w:rFonts w:ascii="宋体" w:hAnsi="宋体" w:cs="宋体"/>
          <w:sz w:val="24"/>
        </w:rPr>
        <w:t>21.2</w:t>
      </w:r>
      <w:r>
        <w:rPr>
          <w:rFonts w:hint="eastAsia" w:ascii="宋体" w:hAnsi="宋体" w:cs="宋体"/>
          <w:sz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80" w:firstLineChars="200"/>
        <w:jc w:val="left"/>
        <w:rPr>
          <w:rFonts w:ascii="宋体"/>
          <w:sz w:val="24"/>
        </w:rPr>
      </w:pPr>
      <w:r>
        <w:rPr>
          <w:rFonts w:ascii="宋体" w:hAnsi="宋体" w:cs="宋体"/>
          <w:sz w:val="24"/>
        </w:rPr>
        <w:t>21.3</w:t>
      </w:r>
      <w:r>
        <w:rPr>
          <w:rFonts w:hint="eastAsia" w:ascii="宋体" w:hAnsi="宋体" w:cs="宋体"/>
          <w:sz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pStyle w:val="2"/>
      </w:pPr>
      <w:bookmarkStart w:id="256" w:name="_Toc896"/>
      <w:bookmarkStart w:id="257" w:name="_Toc1347_WPSOffice_Level2"/>
      <w:bookmarkStart w:id="258" w:name="_Toc19326"/>
      <w:bookmarkStart w:id="259" w:name="_Toc464136640"/>
      <w:bookmarkStart w:id="260" w:name="_Toc19191"/>
      <w:bookmarkStart w:id="261" w:name="_Toc22442"/>
      <w:bookmarkStart w:id="262" w:name="_Toc31538"/>
      <w:r>
        <w:rPr>
          <w:rFonts w:hint="eastAsia"/>
        </w:rPr>
        <w:t>九、</w:t>
      </w:r>
      <w:bookmarkEnd w:id="254"/>
      <w:bookmarkEnd w:id="255"/>
      <w:r>
        <w:rPr>
          <w:rFonts w:hint="eastAsia"/>
        </w:rPr>
        <w:t>磋商活动终止</w:t>
      </w:r>
      <w:bookmarkEnd w:id="256"/>
      <w:bookmarkEnd w:id="257"/>
      <w:bookmarkEnd w:id="258"/>
      <w:bookmarkEnd w:id="259"/>
      <w:bookmarkEnd w:id="260"/>
      <w:bookmarkEnd w:id="261"/>
      <w:bookmarkEnd w:id="262"/>
    </w:p>
    <w:p>
      <w:pPr>
        <w:pStyle w:val="24"/>
        <w:jc w:val="left"/>
        <w:rPr>
          <w:rFonts w:ascii="宋体" w:hAnsi="宋体" w:cs="宋体"/>
          <w:sz w:val="24"/>
          <w:szCs w:val="24"/>
        </w:rPr>
      </w:pPr>
      <w:bookmarkStart w:id="263" w:name="_Toc11684"/>
      <w:bookmarkStart w:id="264" w:name="_Toc28199"/>
      <w:bookmarkStart w:id="265" w:name="_Toc464136641"/>
      <w:bookmarkStart w:id="266" w:name="_Toc7098"/>
      <w:bookmarkStart w:id="267" w:name="_Toc30980"/>
      <w:bookmarkStart w:id="268" w:name="_Toc22284"/>
      <w:bookmarkStart w:id="269" w:name="_Toc325726031"/>
      <w:bookmarkStart w:id="270" w:name="_Toc376936762"/>
      <w:r>
        <w:rPr>
          <w:rFonts w:ascii="宋体" w:hAnsi="宋体" w:cs="宋体"/>
          <w:sz w:val="24"/>
          <w:szCs w:val="24"/>
        </w:rPr>
        <w:t>22.</w:t>
      </w:r>
      <w:r>
        <w:rPr>
          <w:rFonts w:hint="eastAsia" w:ascii="宋体" w:hAnsi="宋体" w:cs="宋体"/>
          <w:sz w:val="24"/>
          <w:szCs w:val="24"/>
        </w:rPr>
        <w:t>终止情形</w:t>
      </w:r>
      <w:bookmarkEnd w:id="263"/>
      <w:bookmarkEnd w:id="264"/>
      <w:bookmarkEnd w:id="265"/>
      <w:bookmarkEnd w:id="266"/>
      <w:bookmarkEnd w:id="267"/>
      <w:bookmarkEnd w:id="268"/>
    </w:p>
    <w:p>
      <w:pPr>
        <w:spacing w:line="360" w:lineRule="auto"/>
        <w:ind w:firstLine="480" w:firstLineChars="200"/>
        <w:jc w:val="left"/>
        <w:rPr>
          <w:rFonts w:ascii="宋体"/>
          <w:sz w:val="24"/>
        </w:rPr>
      </w:pPr>
      <w:r>
        <w:rPr>
          <w:rFonts w:ascii="宋体" w:hAnsi="宋体" w:cs="宋体"/>
          <w:sz w:val="24"/>
        </w:rPr>
        <w:t>22.1</w:t>
      </w:r>
      <w:bookmarkEnd w:id="269"/>
      <w:bookmarkEnd w:id="270"/>
      <w:r>
        <w:rPr>
          <w:rFonts w:hint="eastAsia" w:ascii="宋体" w:hAnsi="宋体" w:cs="宋体"/>
          <w:sz w:val="24"/>
        </w:rPr>
        <w:t>出现下列情形之一的，采购代理机构应当终止竞争性磋商采购活动，发布项目终止公告并说明原因，重新开展采购活动：</w:t>
      </w:r>
    </w:p>
    <w:p>
      <w:pPr>
        <w:spacing w:line="360" w:lineRule="auto"/>
        <w:jc w:val="left"/>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pPr>
        <w:spacing w:line="360" w:lineRule="auto"/>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pPr>
        <w:spacing w:line="360" w:lineRule="auto"/>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）除《政府采购竞争性磋商采购方式管理暂行办法》第二十一条第三款规定的情形外，在采购过程中符合要求的供应商或者作出实质性响应的供应商不足</w:t>
      </w:r>
      <w:r>
        <w:rPr>
          <w:rFonts w:ascii="宋体" w:hAnsi="宋体" w:cs="宋体"/>
          <w:sz w:val="24"/>
        </w:rPr>
        <w:t>3</w:t>
      </w:r>
      <w:r>
        <w:rPr>
          <w:rFonts w:hint="eastAsia" w:ascii="宋体" w:hAnsi="宋体" w:cs="宋体"/>
          <w:sz w:val="24"/>
        </w:rPr>
        <w:t>家的。</w:t>
      </w:r>
    </w:p>
    <w:p>
      <w:pPr>
        <w:spacing w:line="360" w:lineRule="auto"/>
        <w:ind w:firstLine="480" w:firstLineChars="200"/>
        <w:rPr>
          <w:rFonts w:ascii="宋体"/>
          <w:sz w:val="24"/>
        </w:rPr>
      </w:pPr>
      <w:r>
        <w:rPr>
          <w:rFonts w:ascii="宋体" w:hAnsi="宋体" w:cs="宋体"/>
          <w:sz w:val="24"/>
        </w:rPr>
        <w:t>22.2</w:t>
      </w:r>
      <w:r>
        <w:rPr>
          <w:rFonts w:hint="eastAsia" w:ascii="宋体" w:hAnsi="宋体" w:cs="宋体"/>
          <w:sz w:val="24"/>
        </w:rPr>
        <w:t>终止磋商活动后，由采购代理机构发布终止公告并说明原因。</w:t>
      </w:r>
      <w:bookmarkStart w:id="271" w:name="_Toc325726032"/>
    </w:p>
    <w:p>
      <w:pPr>
        <w:pStyle w:val="2"/>
      </w:pPr>
      <w:bookmarkStart w:id="272" w:name="_Toc376936763"/>
      <w:bookmarkStart w:id="273" w:name="_Toc27950"/>
      <w:bookmarkStart w:id="274" w:name="_Toc7149"/>
      <w:bookmarkStart w:id="275" w:name="_Toc24787_WPSOffice_Level2"/>
      <w:bookmarkStart w:id="276" w:name="_Toc464136642"/>
      <w:bookmarkStart w:id="277" w:name="_Toc6646"/>
      <w:bookmarkStart w:id="278" w:name="_Toc32625"/>
      <w:bookmarkStart w:id="279" w:name="_Toc32352"/>
      <w:r>
        <w:rPr>
          <w:rFonts w:hint="eastAsia"/>
        </w:rPr>
        <w:t>十、处罚</w:t>
      </w:r>
      <w:bookmarkEnd w:id="271"/>
      <w:bookmarkEnd w:id="272"/>
      <w:bookmarkEnd w:id="273"/>
      <w:bookmarkEnd w:id="274"/>
      <w:bookmarkEnd w:id="275"/>
      <w:bookmarkEnd w:id="276"/>
      <w:bookmarkEnd w:id="277"/>
      <w:bookmarkEnd w:id="278"/>
      <w:bookmarkEnd w:id="279"/>
    </w:p>
    <w:p>
      <w:pPr>
        <w:pStyle w:val="24"/>
        <w:jc w:val="left"/>
        <w:rPr>
          <w:rFonts w:ascii="宋体" w:hAnsi="宋体" w:cs="宋体"/>
          <w:sz w:val="24"/>
          <w:szCs w:val="24"/>
        </w:rPr>
      </w:pPr>
      <w:bookmarkStart w:id="280" w:name="_Toc376936764"/>
      <w:bookmarkStart w:id="281" w:name="_Toc32737"/>
      <w:bookmarkStart w:id="282" w:name="_Toc325726033"/>
      <w:bookmarkStart w:id="283" w:name="_Toc28018"/>
      <w:bookmarkStart w:id="284" w:name="_Toc464136643"/>
      <w:bookmarkStart w:id="285" w:name="_Toc22156"/>
      <w:bookmarkStart w:id="286" w:name="_Toc17567"/>
      <w:bookmarkStart w:id="287" w:name="_Toc18534"/>
      <w:r>
        <w:rPr>
          <w:rFonts w:ascii="宋体" w:hAnsi="宋体" w:cs="宋体"/>
          <w:sz w:val="24"/>
          <w:szCs w:val="24"/>
        </w:rPr>
        <w:t>23.</w:t>
      </w:r>
      <w:r>
        <w:rPr>
          <w:rFonts w:hint="eastAsia" w:ascii="宋体" w:hAnsi="宋体" w:cs="宋体"/>
          <w:sz w:val="24"/>
          <w:szCs w:val="24"/>
        </w:rPr>
        <w:t>处罚情形</w:t>
      </w:r>
      <w:bookmarkEnd w:id="280"/>
      <w:bookmarkEnd w:id="281"/>
      <w:bookmarkEnd w:id="282"/>
      <w:bookmarkEnd w:id="283"/>
      <w:bookmarkEnd w:id="284"/>
      <w:bookmarkEnd w:id="285"/>
      <w:bookmarkEnd w:id="286"/>
      <w:bookmarkEnd w:id="287"/>
    </w:p>
    <w:p>
      <w:pPr>
        <w:autoSpaceDE w:val="0"/>
        <w:autoSpaceDN w:val="0"/>
        <w:spacing w:line="360" w:lineRule="auto"/>
        <w:ind w:firstLine="480"/>
        <w:rPr>
          <w:rFonts w:ascii="宋体"/>
          <w:sz w:val="24"/>
          <w:lang w:val="zh-CN"/>
        </w:rPr>
      </w:pPr>
      <w:r>
        <w:rPr>
          <w:rFonts w:hint="eastAsia" w:ascii="宋体" w:hAnsi="宋体" w:cs="宋体"/>
          <w:sz w:val="24"/>
          <w:lang w:val="zh-CN"/>
        </w:rPr>
        <w:t>成交供应商有下列情形之一的，成交结果无效，磋商保证金不予退还。情节严重的，报同级财政部门依法进行处理：</w:t>
      </w:r>
    </w:p>
    <w:p>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1</w:t>
      </w:r>
      <w:r>
        <w:rPr>
          <w:rFonts w:hint="eastAsia" w:ascii="宋体" w:hAnsi="宋体" w:cs="宋体"/>
          <w:sz w:val="24"/>
          <w:lang w:val="zh-CN"/>
        </w:rPr>
        <w:t>）提供虚假材料谋取中标、成交的；</w:t>
      </w:r>
    </w:p>
    <w:p>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2</w:t>
      </w:r>
      <w:r>
        <w:rPr>
          <w:rFonts w:hint="eastAsia" w:ascii="宋体" w:hAnsi="宋体" w:cs="宋体"/>
          <w:sz w:val="24"/>
          <w:lang w:val="zh-CN"/>
        </w:rPr>
        <w:t>）采取不正当手段诋毁、排挤其他供应商的；</w:t>
      </w:r>
    </w:p>
    <w:p>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3</w:t>
      </w:r>
      <w:r>
        <w:rPr>
          <w:rFonts w:hint="eastAsia" w:ascii="宋体" w:hAnsi="宋体" w:cs="宋体"/>
          <w:sz w:val="24"/>
          <w:lang w:val="zh-CN"/>
        </w:rPr>
        <w:t>）与采购人、其他供应商或者采购代理机构恶意串通的；</w:t>
      </w:r>
    </w:p>
    <w:p>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4</w:t>
      </w:r>
      <w:r>
        <w:rPr>
          <w:rFonts w:hint="eastAsia" w:ascii="宋体" w:hAnsi="宋体" w:cs="宋体"/>
          <w:sz w:val="24"/>
          <w:lang w:val="zh-CN"/>
        </w:rPr>
        <w:t>）向采购人、采购代理机构行贿或者提供其他不正当利益的；</w:t>
      </w:r>
    </w:p>
    <w:p>
      <w:pPr>
        <w:autoSpaceDE w:val="0"/>
        <w:autoSpaceDN w:val="0"/>
        <w:spacing w:line="360" w:lineRule="auto"/>
        <w:rPr>
          <w:rFonts w:ascii="宋体"/>
          <w:sz w:val="24"/>
        </w:rPr>
      </w:pPr>
      <w:r>
        <w:rPr>
          <w:rFonts w:hint="eastAsia" w:ascii="宋体" w:hAnsi="宋体" w:cs="宋体"/>
          <w:sz w:val="24"/>
          <w:lang w:val="zh-CN"/>
        </w:rPr>
        <w:t>（</w:t>
      </w:r>
      <w:r>
        <w:rPr>
          <w:rFonts w:hint="eastAsia" w:ascii="宋体" w:hAnsi="宋体" w:cs="宋体"/>
          <w:sz w:val="24"/>
        </w:rPr>
        <w:t>5</w:t>
      </w:r>
      <w:r>
        <w:rPr>
          <w:rFonts w:hint="eastAsia" w:ascii="宋体" w:hAnsi="宋体" w:cs="宋体"/>
          <w:sz w:val="24"/>
          <w:lang w:val="zh-CN"/>
        </w:rPr>
        <w:t>）向磋商小组行贿或者提供其他不正当利益。</w:t>
      </w:r>
    </w:p>
    <w:p>
      <w:pPr>
        <w:pStyle w:val="2"/>
        <w:rPr>
          <w:rFonts w:ascii="宋体" w:hAnsi="Calibri" w:cs="宋体"/>
          <w:color w:val="000000"/>
          <w:kern w:val="0"/>
          <w:sz w:val="24"/>
          <w:lang w:val="zh-CN"/>
        </w:rPr>
      </w:pPr>
      <w:bookmarkStart w:id="288" w:name="_Toc6205"/>
      <w:bookmarkStart w:id="289" w:name="_Toc13080"/>
      <w:bookmarkStart w:id="290" w:name="_Toc6573"/>
      <w:bookmarkStart w:id="291" w:name="_Toc22809_WPSOffice_Level2"/>
      <w:r>
        <w:rPr>
          <w:rFonts w:hint="eastAsia"/>
          <w:lang w:val="zh-CN"/>
        </w:rPr>
        <w:t>十一、招标代理服务收费标准</w:t>
      </w:r>
      <w:bookmarkEnd w:id="288"/>
      <w:bookmarkEnd w:id="289"/>
      <w:bookmarkEnd w:id="290"/>
      <w:bookmarkEnd w:id="291"/>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1、</w:t>
      </w:r>
      <w:r>
        <w:rPr>
          <w:rFonts w:hint="eastAsia" w:ascii="宋体" w:hAnsi="宋体" w:cs="宋体"/>
          <w:kern w:val="0"/>
          <w:sz w:val="24"/>
          <w:lang w:val="zh-CN"/>
        </w:rPr>
        <w:t>收取对象：成交供应商。</w:t>
      </w:r>
    </w:p>
    <w:p>
      <w:pPr>
        <w:autoSpaceDE w:val="0"/>
        <w:autoSpaceDN w:val="0"/>
        <w:spacing w:line="360" w:lineRule="auto"/>
        <w:ind w:firstLine="480" w:firstLineChars="200"/>
        <w:rPr>
          <w:rFonts w:ascii="宋体" w:hAnsi="宋体" w:cs="宋体" w:eastAsiaTheme="minorEastAsia"/>
          <w:kern w:val="0"/>
          <w:sz w:val="24"/>
        </w:rPr>
      </w:pPr>
      <w:r>
        <w:rPr>
          <w:rFonts w:hint="eastAsia" w:ascii="宋体" w:hAnsi="宋体" w:cs="宋体"/>
          <w:kern w:val="0"/>
          <w:sz w:val="24"/>
        </w:rPr>
        <w:t>2、收取方式：转账</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收费金额：发放中标通知书时向招标代理机构递交。</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4、公司银行信息：</w:t>
      </w:r>
    </w:p>
    <w:p>
      <w:pPr>
        <w:autoSpaceDE w:val="0"/>
        <w:autoSpaceDN w:val="0"/>
        <w:adjustRightInd w:val="0"/>
        <w:spacing w:line="360" w:lineRule="auto"/>
        <w:ind w:firstLine="480" w:firstLineChars="200"/>
        <w:rPr>
          <w:rFonts w:ascii="宋体" w:cs="宋体"/>
          <w:kern w:val="0"/>
          <w:sz w:val="24"/>
          <w:lang w:val="zh-CN"/>
        </w:rPr>
      </w:pPr>
      <w:r>
        <w:rPr>
          <w:rFonts w:hint="eastAsia" w:ascii="宋体" w:hAnsi="宋体" w:cs="宋体"/>
          <w:kern w:val="0"/>
          <w:sz w:val="24"/>
          <w:lang w:val="zh-CN"/>
        </w:rPr>
        <w:t>收款单位：青海鑫融工程项目管理咨询有限公司</w:t>
      </w:r>
    </w:p>
    <w:p>
      <w:pPr>
        <w:autoSpaceDE w:val="0"/>
        <w:autoSpaceDN w:val="0"/>
        <w:adjustRightInd w:val="0"/>
        <w:spacing w:line="360" w:lineRule="auto"/>
        <w:ind w:firstLine="480" w:firstLineChars="200"/>
        <w:rPr>
          <w:rFonts w:ascii="宋体" w:cs="宋体"/>
          <w:kern w:val="0"/>
          <w:sz w:val="24"/>
          <w:lang w:val="zh-CN"/>
        </w:rPr>
      </w:pPr>
      <w:r>
        <w:rPr>
          <w:rFonts w:hint="eastAsia" w:ascii="宋体" w:hAnsi="宋体" w:cs="宋体"/>
          <w:kern w:val="0"/>
          <w:sz w:val="24"/>
          <w:lang w:val="zh-CN"/>
        </w:rPr>
        <w:t>开户行：青海银行股份有限公司交通巷支行</w:t>
      </w:r>
    </w:p>
    <w:p>
      <w:pPr>
        <w:autoSpaceDE w:val="0"/>
        <w:autoSpaceDN w:val="0"/>
        <w:spacing w:line="360" w:lineRule="auto"/>
        <w:ind w:firstLine="480" w:firstLineChars="200"/>
        <w:rPr>
          <w:lang w:val="zh-CN"/>
        </w:rPr>
      </w:pPr>
      <w:r>
        <w:rPr>
          <w:rFonts w:hint="eastAsia" w:ascii="宋体" w:hAnsi="宋体" w:cs="宋体"/>
          <w:kern w:val="0"/>
          <w:sz w:val="24"/>
          <w:lang w:val="zh-CN"/>
        </w:rPr>
        <w:t>银行账号：</w:t>
      </w:r>
      <w:r>
        <w:rPr>
          <w:rFonts w:ascii="宋体" w:hAnsi="宋体" w:cs="宋体"/>
          <w:kern w:val="0"/>
          <w:sz w:val="24"/>
          <w:lang w:val="zh-CN"/>
        </w:rPr>
        <w:t>0801201000063177</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rPr>
        <w:t>说明：根据</w:t>
      </w:r>
      <w:r>
        <w:rPr>
          <w:rFonts w:hint="eastAsia" w:ascii="宋体" w:hAnsi="宋体" w:cs="宋体"/>
          <w:kern w:val="0"/>
          <w:sz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由采购人自行招标的，中标人无需缴纳招标代理费。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招标代理服务费不足伍仟元的，则按伍仟元收取。</w:t>
      </w:r>
    </w:p>
    <w:p>
      <w:pPr>
        <w:autoSpaceDE w:val="0"/>
        <w:autoSpaceDN w:val="0"/>
        <w:spacing w:line="360" w:lineRule="auto"/>
        <w:ind w:firstLine="480" w:firstLineChars="200"/>
        <w:rPr>
          <w:rFonts w:ascii="宋体" w:hAnsi="宋体" w:cs="宋体"/>
          <w:kern w:val="0"/>
          <w:sz w:val="24"/>
        </w:rPr>
      </w:pPr>
      <w:r>
        <w:rPr>
          <w:rFonts w:hint="eastAsia" w:ascii="宋体" w:hAnsi="宋体" w:cs="宋体"/>
          <w:color w:val="000000"/>
          <w:kern w:val="0"/>
          <w:sz w:val="24"/>
          <w:szCs w:val="32"/>
        </w:rPr>
        <w:drawing>
          <wp:anchor distT="0" distB="0" distL="114300" distR="114300" simplePos="0" relativeHeight="251658240" behindDoc="0" locked="0" layoutInCell="1" allowOverlap="1">
            <wp:simplePos x="0" y="0"/>
            <wp:positionH relativeFrom="column">
              <wp:posOffset>387350</wp:posOffset>
            </wp:positionH>
            <wp:positionV relativeFrom="paragraph">
              <wp:posOffset>233680</wp:posOffset>
            </wp:positionV>
            <wp:extent cx="3394710" cy="3190240"/>
            <wp:effectExtent l="0" t="0" r="15240" b="1016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cstate="print"/>
                    <a:stretch>
                      <a:fillRect/>
                    </a:stretch>
                  </pic:blipFill>
                  <pic:spPr>
                    <a:xfrm>
                      <a:off x="0" y="0"/>
                      <a:ext cx="3394710" cy="3190240"/>
                    </a:xfrm>
                    <a:prstGeom prst="rect">
                      <a:avLst/>
                    </a:prstGeom>
                    <a:noFill/>
                    <a:ln>
                      <a:noFill/>
                    </a:ln>
                  </pic:spPr>
                </pic:pic>
              </a:graphicData>
            </a:graphic>
          </wp:anchor>
        </w:drawing>
      </w:r>
    </w:p>
    <w:p>
      <w:pPr>
        <w:pStyle w:val="2"/>
        <w:rPr>
          <w:lang w:val="zh-CN"/>
        </w:rPr>
      </w:pPr>
      <w:bookmarkStart w:id="292" w:name="_Toc26_WPSOffice_Level2"/>
      <w:bookmarkStart w:id="293" w:name="_Toc27853"/>
      <w:bookmarkStart w:id="294" w:name="_Toc27928"/>
      <w:bookmarkStart w:id="295" w:name="_Toc5427"/>
    </w:p>
    <w:p>
      <w:pPr>
        <w:pStyle w:val="2"/>
        <w:rPr>
          <w:lang w:val="zh-CN"/>
        </w:rPr>
      </w:pPr>
    </w:p>
    <w:p>
      <w:pPr>
        <w:pStyle w:val="2"/>
        <w:rPr>
          <w:lang w:val="zh-CN"/>
        </w:rPr>
      </w:pPr>
    </w:p>
    <w:p>
      <w:pPr>
        <w:pStyle w:val="2"/>
        <w:rPr>
          <w:lang w:val="zh-CN"/>
        </w:rPr>
      </w:pPr>
    </w:p>
    <w:p>
      <w:pPr>
        <w:pStyle w:val="2"/>
        <w:jc w:val="both"/>
        <w:rPr>
          <w:lang w:val="zh-CN"/>
        </w:rPr>
      </w:pPr>
    </w:p>
    <w:p>
      <w:pPr>
        <w:rPr>
          <w:lang w:val="zh-CN"/>
        </w:rPr>
      </w:pPr>
    </w:p>
    <w:p>
      <w:pPr>
        <w:pStyle w:val="2"/>
        <w:rPr>
          <w:lang w:val="zh-CN"/>
        </w:rPr>
      </w:pPr>
    </w:p>
    <w:p>
      <w:pPr>
        <w:rPr>
          <w:lang w:val="zh-CN"/>
        </w:rPr>
      </w:pPr>
    </w:p>
    <w:p>
      <w:pPr>
        <w:pStyle w:val="2"/>
        <w:rPr>
          <w:lang w:val="zh-CN"/>
        </w:rPr>
      </w:pPr>
      <w:r>
        <w:rPr>
          <w:rFonts w:hint="eastAsia"/>
          <w:lang w:val="zh-CN"/>
        </w:rPr>
        <w:t>十二、其他</w:t>
      </w:r>
      <w:bookmarkEnd w:id="292"/>
      <w:bookmarkEnd w:id="293"/>
      <w:bookmarkEnd w:id="294"/>
      <w:bookmarkEnd w:id="295"/>
    </w:p>
    <w:p>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其他未尽事宜，按照《中华人民共和国政府采购法》、《中华人民共和国合同法》、《中华人民共和国政府采购法实施条例》及</w:t>
      </w:r>
      <w:r>
        <w:rPr>
          <w:rFonts w:hint="eastAsia" w:ascii="宋体" w:hAnsi="宋体" w:cs="宋体"/>
          <w:sz w:val="24"/>
        </w:rPr>
        <w:t>《政府采购竞争性磋商采购方式管理暂行办法》</w:t>
      </w:r>
      <w:r>
        <w:rPr>
          <w:rFonts w:hint="eastAsia" w:ascii="宋体" w:hAnsi="宋体" w:cs="宋体"/>
          <w:kern w:val="0"/>
          <w:sz w:val="24"/>
          <w:lang w:val="zh-CN"/>
        </w:rPr>
        <w:t>等法律法规的有关条款执行。</w:t>
      </w:r>
      <w:bookmarkEnd w:id="219"/>
      <w:bookmarkEnd w:id="220"/>
      <w:bookmarkStart w:id="296" w:name="_Toc464136645"/>
      <w:bookmarkStart w:id="297" w:name="_Toc28137"/>
      <w:bookmarkStart w:id="298" w:name="_Toc144974831"/>
    </w:p>
    <w:p>
      <w:pPr>
        <w:autoSpaceDE w:val="0"/>
        <w:autoSpaceDN w:val="0"/>
        <w:adjustRightInd w:val="0"/>
        <w:spacing w:line="400" w:lineRule="exact"/>
        <w:ind w:firstLine="480"/>
        <w:rPr>
          <w:rFonts w:ascii="宋体" w:hAnsi="宋体" w:cs="宋体"/>
          <w:kern w:val="0"/>
          <w:sz w:val="24"/>
          <w:lang w:val="zh-CN"/>
        </w:rPr>
      </w:pPr>
    </w:p>
    <w:p>
      <w:pPr>
        <w:pStyle w:val="3"/>
        <w:sectPr>
          <w:pgSz w:w="11906" w:h="16838"/>
          <w:pgMar w:top="1440" w:right="1800" w:bottom="1440" w:left="1800" w:header="851" w:footer="992" w:gutter="0"/>
          <w:pgBorders w:offsetFrom="page">
            <w:top w:val="single" w:color="auto" w:sz="18" w:space="24"/>
            <w:left w:val="single" w:color="auto" w:sz="18" w:space="24"/>
            <w:bottom w:val="single" w:color="auto" w:sz="18" w:space="24"/>
            <w:right w:val="single" w:color="auto" w:sz="18" w:space="24"/>
          </w:pgBorders>
          <w:pgNumType w:start="1"/>
          <w:cols w:space="425" w:num="1"/>
          <w:docGrid w:type="lines" w:linePitch="312" w:charSpace="0"/>
        </w:sectPr>
      </w:pPr>
      <w:bookmarkStart w:id="299" w:name="_Toc13011"/>
      <w:bookmarkStart w:id="300" w:name="_Toc2875_WPSOffice_Level1"/>
      <w:bookmarkStart w:id="301" w:name="_Toc13911"/>
    </w:p>
    <w:p>
      <w:pPr>
        <w:pStyle w:val="3"/>
      </w:pPr>
      <w:r>
        <w:rPr>
          <w:rFonts w:hint="eastAsia"/>
        </w:rPr>
        <w:t>第四部分</w:t>
      </w:r>
      <w:r>
        <w:t xml:space="preserve">  </w:t>
      </w:r>
      <w:r>
        <w:rPr>
          <w:rFonts w:hint="eastAsia"/>
        </w:rPr>
        <w:t>采购项目合同书</w:t>
      </w:r>
      <w:bookmarkEnd w:id="296"/>
      <w:bookmarkEnd w:id="297"/>
      <w:bookmarkEnd w:id="299"/>
      <w:r>
        <w:rPr>
          <w:rFonts w:hint="eastAsia"/>
        </w:rPr>
        <w:t>范本</w:t>
      </w:r>
      <w:bookmarkEnd w:id="300"/>
      <w:bookmarkEnd w:id="301"/>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autoSpaceDE w:val="0"/>
        <w:autoSpaceDN w:val="0"/>
        <w:spacing w:line="360" w:lineRule="auto"/>
        <w:jc w:val="center"/>
        <w:rPr>
          <w:rFonts w:ascii="宋体"/>
          <w:b/>
          <w:bCs/>
          <w:sz w:val="48"/>
          <w:szCs w:val="48"/>
        </w:rPr>
      </w:pPr>
      <w:bookmarkStart w:id="302" w:name="_Toc22196_WPSOffice_Level2"/>
      <w:bookmarkStart w:id="303" w:name="_Toc29255_WPSOffice_Level2"/>
      <w:bookmarkStart w:id="304" w:name="_Toc9247_WPSOffice_Level2"/>
      <w:bookmarkStart w:id="305" w:name="_Toc32095_WPSOffice_Level2"/>
      <w:bookmarkStart w:id="306" w:name="_Toc2447_WPSOffice_Level2"/>
      <w:bookmarkStart w:id="307" w:name="_Toc23500_WPSOffice_Level2"/>
      <w:r>
        <w:rPr>
          <w:rFonts w:hint="eastAsia" w:ascii="宋体" w:hAnsi="宋体" w:cs="宋体"/>
          <w:b/>
          <w:bCs/>
          <w:sz w:val="48"/>
          <w:szCs w:val="48"/>
          <w:lang w:val="zh-CN"/>
        </w:rPr>
        <w:t>青海省政府采购项目合同书</w:t>
      </w:r>
      <w:bookmarkEnd w:id="302"/>
      <w:r>
        <w:rPr>
          <w:rFonts w:hint="eastAsia" w:ascii="宋体" w:hAnsi="宋体" w:cs="宋体"/>
          <w:b/>
          <w:bCs/>
          <w:sz w:val="48"/>
          <w:szCs w:val="48"/>
          <w:lang w:val="zh-CN"/>
        </w:rPr>
        <w:t>范本</w:t>
      </w:r>
      <w:bookmarkEnd w:id="303"/>
      <w:bookmarkEnd w:id="304"/>
      <w:bookmarkEnd w:id="305"/>
      <w:bookmarkEnd w:id="306"/>
      <w:bookmarkEnd w:id="307"/>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autoSpaceDE w:val="0"/>
        <w:autoSpaceDN w:val="0"/>
        <w:spacing w:line="360" w:lineRule="auto"/>
        <w:rPr>
          <w:rFonts w:ascii="宋体"/>
          <w:b/>
          <w:bCs/>
          <w:sz w:val="30"/>
          <w:szCs w:val="30"/>
          <w:lang w:val="zh-CN"/>
        </w:rPr>
      </w:pPr>
      <w:r>
        <w:rPr>
          <w:rFonts w:hint="eastAsia" w:ascii="宋体" w:hAnsi="宋体" w:cs="宋体"/>
          <w:b/>
          <w:bCs/>
          <w:sz w:val="30"/>
          <w:szCs w:val="30"/>
        </w:rPr>
        <w:t xml:space="preserve">     </w:t>
      </w:r>
      <w:bookmarkStart w:id="308" w:name="_Toc32257_WPSOffice_Level2"/>
      <w:bookmarkStart w:id="309" w:name="_Toc32180_WPSOffice_Level2"/>
      <w:bookmarkStart w:id="310" w:name="_Toc26973_WPSOffice_Level2"/>
      <w:bookmarkStart w:id="311" w:name="_Toc26933_WPSOffice_Level2"/>
      <w:bookmarkStart w:id="312" w:name="_Toc10231_WPSOffice_Level2"/>
      <w:bookmarkStart w:id="313" w:name="_Toc20892_WPSOffice_Level2"/>
      <w:r>
        <w:rPr>
          <w:rFonts w:hint="eastAsia" w:ascii="宋体" w:hAnsi="宋体" w:cs="宋体"/>
          <w:b/>
          <w:bCs/>
          <w:sz w:val="30"/>
          <w:szCs w:val="30"/>
          <w:lang w:val="zh-CN"/>
        </w:rPr>
        <w:t>采购项目编号：</w:t>
      </w:r>
      <w:bookmarkEnd w:id="308"/>
      <w:bookmarkEnd w:id="309"/>
      <w:bookmarkEnd w:id="310"/>
      <w:bookmarkEnd w:id="311"/>
      <w:bookmarkEnd w:id="312"/>
      <w:bookmarkEnd w:id="313"/>
      <w:r>
        <w:rPr>
          <w:rFonts w:hint="eastAsia" w:ascii="宋体" w:hAnsi="宋体" w:cs="宋体"/>
          <w:b/>
          <w:bCs/>
          <w:sz w:val="30"/>
          <w:szCs w:val="30"/>
          <w:u w:val="single"/>
          <w:lang w:val="zh-CN"/>
        </w:rPr>
        <w:t>青海鑫融磋商（工程）2020-39</w:t>
      </w:r>
      <w:r>
        <w:rPr>
          <w:rFonts w:hint="eastAsia" w:ascii="宋体" w:hAnsi="宋体" w:cs="宋体"/>
          <w:b/>
          <w:bCs/>
          <w:sz w:val="30"/>
          <w:szCs w:val="30"/>
          <w:u w:val="single"/>
        </w:rPr>
        <w:t xml:space="preserve">          </w:t>
      </w:r>
      <w:r>
        <w:rPr>
          <w:rFonts w:ascii="宋体" w:hAnsi="宋体" w:cs="宋体"/>
          <w:b/>
          <w:bCs/>
          <w:sz w:val="30"/>
          <w:szCs w:val="30"/>
          <w:u w:val="single"/>
        </w:rPr>
        <w:t xml:space="preserve">  </w:t>
      </w:r>
      <w:r>
        <w:rPr>
          <w:rFonts w:hint="eastAsia" w:ascii="宋体" w:hAnsi="宋体" w:cs="宋体"/>
          <w:b/>
          <w:bCs/>
          <w:sz w:val="30"/>
          <w:szCs w:val="30"/>
          <w:u w:val="single"/>
        </w:rPr>
        <w:t xml:space="preserve"> </w:t>
      </w:r>
    </w:p>
    <w:p>
      <w:pPr>
        <w:autoSpaceDE w:val="0"/>
        <w:autoSpaceDN w:val="0"/>
        <w:spacing w:line="360" w:lineRule="auto"/>
        <w:ind w:left="3012" w:hanging="3012" w:hangingChars="1000"/>
        <w:rPr>
          <w:rFonts w:ascii="宋体"/>
          <w:b/>
          <w:bCs/>
          <w:sz w:val="30"/>
          <w:szCs w:val="30"/>
        </w:rPr>
      </w:pPr>
      <w:r>
        <w:rPr>
          <w:rFonts w:hint="eastAsia" w:ascii="宋体" w:hAnsi="宋体" w:cs="宋体"/>
          <w:b/>
          <w:bCs/>
          <w:sz w:val="30"/>
          <w:szCs w:val="30"/>
        </w:rPr>
        <w:t xml:space="preserve">     </w:t>
      </w:r>
      <w:bookmarkStart w:id="314" w:name="_Toc13695_WPSOffice_Level2"/>
      <w:bookmarkStart w:id="315" w:name="_Toc27131_WPSOffice_Level2"/>
      <w:bookmarkStart w:id="316" w:name="_Toc3754_WPSOffice_Level2"/>
      <w:bookmarkStart w:id="317" w:name="_Toc19729_WPSOffice_Level2"/>
      <w:bookmarkStart w:id="318" w:name="_Toc14805_WPSOffice_Level2"/>
      <w:bookmarkStart w:id="319" w:name="_Toc2454_WPSOffice_Level2"/>
      <w:r>
        <w:rPr>
          <w:rFonts w:hint="eastAsia" w:ascii="宋体" w:hAnsi="宋体" w:cs="宋体"/>
          <w:b/>
          <w:bCs/>
          <w:sz w:val="30"/>
          <w:szCs w:val="30"/>
          <w:lang w:val="zh-CN"/>
        </w:rPr>
        <w:t>采购项目名称：</w:t>
      </w:r>
      <w:bookmarkEnd w:id="314"/>
      <w:bookmarkEnd w:id="315"/>
      <w:bookmarkEnd w:id="316"/>
      <w:bookmarkEnd w:id="317"/>
      <w:bookmarkEnd w:id="318"/>
      <w:bookmarkEnd w:id="319"/>
      <w:r>
        <w:rPr>
          <w:rFonts w:hint="eastAsia" w:ascii="宋体" w:hAnsi="宋体" w:cs="宋体"/>
          <w:b/>
          <w:bCs/>
          <w:sz w:val="30"/>
          <w:szCs w:val="30"/>
          <w:u w:val="single"/>
        </w:rPr>
        <w:t>青海大学万联楼改造项目</w:t>
      </w:r>
    </w:p>
    <w:p>
      <w:pPr>
        <w:autoSpaceDE w:val="0"/>
        <w:autoSpaceDN w:val="0"/>
        <w:spacing w:line="360" w:lineRule="auto"/>
        <w:rPr>
          <w:rFonts w:ascii="宋体" w:hAnsi="宋体" w:cs="宋体"/>
          <w:b/>
          <w:bCs/>
          <w:sz w:val="30"/>
          <w:szCs w:val="30"/>
          <w:u w:val="single"/>
          <w:lang w:val="zh-CN"/>
        </w:rPr>
      </w:pPr>
      <w:r>
        <w:rPr>
          <w:rFonts w:hint="eastAsia" w:ascii="宋体" w:hAnsi="宋体" w:cs="宋体"/>
          <w:b/>
          <w:bCs/>
          <w:sz w:val="30"/>
          <w:szCs w:val="30"/>
        </w:rPr>
        <w:t xml:space="preserve">     </w:t>
      </w:r>
      <w:bookmarkStart w:id="320" w:name="_Toc9385_WPSOffice_Level2"/>
      <w:bookmarkStart w:id="321" w:name="_Toc15988_WPSOffice_Level2"/>
      <w:bookmarkStart w:id="322" w:name="_Toc21953_WPSOffice_Level2"/>
      <w:bookmarkStart w:id="323" w:name="_Toc563_WPSOffice_Level2"/>
      <w:bookmarkStart w:id="324" w:name="_Toc30627_WPSOffice_Level2"/>
      <w:bookmarkStart w:id="325" w:name="_Toc43_WPSOffice_Level2"/>
      <w:r>
        <w:rPr>
          <w:rFonts w:hint="eastAsia" w:ascii="宋体" w:hAnsi="宋体" w:cs="宋体"/>
          <w:b/>
          <w:bCs/>
          <w:sz w:val="30"/>
          <w:szCs w:val="30"/>
          <w:lang w:val="zh-CN"/>
        </w:rPr>
        <w:t>采购合同编号：</w:t>
      </w:r>
      <w:bookmarkEnd w:id="320"/>
      <w:bookmarkEnd w:id="321"/>
      <w:bookmarkEnd w:id="322"/>
      <w:bookmarkEnd w:id="323"/>
      <w:bookmarkEnd w:id="324"/>
      <w:bookmarkEnd w:id="325"/>
      <w:r>
        <w:rPr>
          <w:rFonts w:hint="eastAsia" w:ascii="宋体" w:hAnsi="宋体" w:cs="宋体"/>
          <w:b/>
          <w:bCs/>
          <w:sz w:val="30"/>
          <w:szCs w:val="30"/>
          <w:u w:val="single"/>
        </w:rPr>
        <w:t xml:space="preserve">QHXR-2020-39 </w:t>
      </w:r>
      <w:r>
        <w:rPr>
          <w:rFonts w:hint="eastAsia" w:ascii="宋体" w:hAnsi="宋体" w:cs="宋体"/>
          <w:b/>
          <w:bCs/>
          <w:sz w:val="30"/>
          <w:szCs w:val="30"/>
        </w:rPr>
        <w:t xml:space="preserve">      </w:t>
      </w:r>
      <w:r>
        <w:rPr>
          <w:rFonts w:hint="eastAsia" w:ascii="宋体" w:hAnsi="宋体" w:cs="宋体"/>
          <w:b/>
          <w:bCs/>
          <w:sz w:val="30"/>
          <w:szCs w:val="30"/>
          <w:u w:val="single"/>
        </w:rPr>
        <w:t xml:space="preserve">   </w:t>
      </w:r>
      <w:r>
        <w:rPr>
          <w:rFonts w:ascii="宋体" w:hAnsi="宋体" w:cs="宋体"/>
          <w:b/>
          <w:bCs/>
          <w:sz w:val="30"/>
          <w:szCs w:val="30"/>
        </w:rPr>
        <w:t xml:space="preserve">               </w:t>
      </w:r>
    </w:p>
    <w:p>
      <w:pPr>
        <w:autoSpaceDE w:val="0"/>
        <w:autoSpaceDN w:val="0"/>
        <w:spacing w:line="360" w:lineRule="auto"/>
        <w:rPr>
          <w:rFonts w:ascii="宋体" w:hAnsi="宋体" w:cs="宋体"/>
          <w:b/>
          <w:bCs/>
          <w:sz w:val="30"/>
          <w:szCs w:val="30"/>
          <w:lang w:val="zh-CN"/>
        </w:rPr>
      </w:pPr>
      <w:r>
        <w:rPr>
          <w:rFonts w:hint="eastAsia" w:ascii="宋体" w:hAnsi="宋体" w:cs="宋体"/>
          <w:b/>
          <w:bCs/>
          <w:sz w:val="30"/>
          <w:szCs w:val="30"/>
        </w:rPr>
        <w:t xml:space="preserve">    </w:t>
      </w:r>
      <w:r>
        <w:rPr>
          <w:rFonts w:hint="eastAsia" w:ascii="宋体" w:hAnsi="宋体" w:cs="宋体"/>
          <w:b/>
          <w:bCs/>
          <w:sz w:val="30"/>
          <w:szCs w:val="30"/>
          <w:lang w:val="zh-CN"/>
        </w:rPr>
        <w:t xml:space="preserve"> </w:t>
      </w:r>
      <w:bookmarkStart w:id="326" w:name="_Toc18499_WPSOffice_Level2"/>
      <w:bookmarkStart w:id="327" w:name="_Toc22724_WPSOffice_Level2"/>
      <w:bookmarkStart w:id="328" w:name="_Toc3029_WPSOffice_Level2"/>
      <w:bookmarkStart w:id="329" w:name="_Toc510_WPSOffice_Level2"/>
      <w:bookmarkStart w:id="330" w:name="_Toc19007_WPSOffice_Level2"/>
      <w:bookmarkStart w:id="331" w:name="_Toc29689_WPSOffice_Level2"/>
      <w:r>
        <w:rPr>
          <w:rFonts w:hint="eastAsia" w:ascii="宋体" w:hAnsi="宋体" w:cs="宋体"/>
          <w:b/>
          <w:bCs/>
          <w:sz w:val="30"/>
          <w:szCs w:val="30"/>
          <w:lang w:val="zh-CN"/>
        </w:rPr>
        <w:t>合同金额（人民币）：</w:t>
      </w:r>
      <w:bookmarkEnd w:id="326"/>
      <w:bookmarkEnd w:id="327"/>
      <w:bookmarkEnd w:id="328"/>
      <w:bookmarkEnd w:id="329"/>
      <w:bookmarkEnd w:id="330"/>
      <w:bookmarkEnd w:id="331"/>
      <w:r>
        <w:rPr>
          <w:rFonts w:hint="eastAsia" w:ascii="宋体" w:hAnsi="宋体" w:cs="宋体"/>
          <w:b/>
          <w:bCs/>
          <w:sz w:val="30"/>
          <w:szCs w:val="30"/>
          <w:lang w:val="zh-CN"/>
        </w:rPr>
        <w:t xml:space="preserve">                           </w:t>
      </w:r>
    </w:p>
    <w:p>
      <w:pPr>
        <w:autoSpaceDE w:val="0"/>
        <w:autoSpaceDN w:val="0"/>
        <w:spacing w:line="360" w:lineRule="auto"/>
        <w:rPr>
          <w:rFonts w:ascii="宋体" w:hAnsi="宋体" w:cs="宋体"/>
          <w:b/>
          <w:bCs/>
          <w:sz w:val="30"/>
          <w:szCs w:val="30"/>
          <w:lang w:val="zh-CN"/>
        </w:rPr>
      </w:pPr>
      <w:r>
        <w:rPr>
          <w:rFonts w:hint="eastAsia" w:ascii="宋体" w:hAnsi="宋体" w:cs="宋体"/>
          <w:b/>
          <w:bCs/>
          <w:sz w:val="30"/>
          <w:szCs w:val="30"/>
          <w:lang w:val="zh-CN"/>
        </w:rPr>
        <w:t xml:space="preserve">     </w:t>
      </w:r>
      <w:bookmarkStart w:id="332" w:name="_Toc28434_WPSOffice_Level2"/>
      <w:bookmarkStart w:id="333" w:name="_Toc29467_WPSOffice_Level2"/>
      <w:bookmarkStart w:id="334" w:name="_Toc25287_WPSOffice_Level2"/>
      <w:bookmarkStart w:id="335" w:name="_Toc1162_WPSOffice_Level2"/>
      <w:bookmarkStart w:id="336" w:name="_Toc11848_WPSOffice_Level2"/>
      <w:bookmarkStart w:id="337" w:name="_Toc8196_WPSOffice_Level2"/>
      <w:r>
        <w:rPr>
          <w:rFonts w:hint="eastAsia" w:ascii="宋体" w:hAnsi="宋体" w:cs="宋体"/>
          <w:b/>
          <w:bCs/>
          <w:sz w:val="30"/>
          <w:szCs w:val="30"/>
          <w:lang w:val="zh-CN"/>
        </w:rPr>
        <w:t>采 购 人（甲方）：</w:t>
      </w:r>
      <w:r>
        <w:rPr>
          <w:rFonts w:hint="eastAsia" w:ascii="宋体" w:hAnsi="宋体" w:cs="宋体"/>
          <w:b/>
          <w:bCs/>
          <w:sz w:val="30"/>
          <w:szCs w:val="30"/>
          <w:u w:val="single"/>
          <w:lang w:val="zh-CN"/>
        </w:rPr>
        <w:t xml:space="preserve">                         </w:t>
      </w:r>
      <w:r>
        <w:rPr>
          <w:rFonts w:hint="eastAsia" w:ascii="宋体" w:hAnsi="宋体" w:cs="宋体"/>
          <w:b/>
          <w:bCs/>
          <w:sz w:val="30"/>
          <w:szCs w:val="30"/>
          <w:lang w:val="zh-CN"/>
        </w:rPr>
        <w:t>（盖章）</w:t>
      </w:r>
      <w:bookmarkEnd w:id="332"/>
      <w:bookmarkEnd w:id="333"/>
      <w:bookmarkEnd w:id="334"/>
      <w:bookmarkEnd w:id="335"/>
      <w:bookmarkEnd w:id="336"/>
      <w:bookmarkEnd w:id="337"/>
    </w:p>
    <w:p>
      <w:pPr>
        <w:autoSpaceDE w:val="0"/>
        <w:autoSpaceDN w:val="0"/>
        <w:spacing w:line="360" w:lineRule="auto"/>
        <w:rPr>
          <w:rFonts w:ascii="宋体" w:hAnsi="宋体" w:cs="宋体"/>
          <w:b/>
          <w:bCs/>
          <w:sz w:val="30"/>
          <w:szCs w:val="30"/>
          <w:lang w:val="zh-CN"/>
        </w:rPr>
      </w:pPr>
      <w:r>
        <w:rPr>
          <w:rFonts w:hint="eastAsia" w:ascii="宋体" w:hAnsi="宋体" w:cs="宋体"/>
          <w:b/>
          <w:bCs/>
          <w:sz w:val="30"/>
          <w:szCs w:val="30"/>
          <w:lang w:val="zh-CN"/>
        </w:rPr>
        <w:t xml:space="preserve">     </w:t>
      </w:r>
      <w:bookmarkStart w:id="338" w:name="_Toc9906_WPSOffice_Level2"/>
      <w:bookmarkStart w:id="339" w:name="_Toc17497_WPSOffice_Level2"/>
      <w:bookmarkStart w:id="340" w:name="_Toc4956_WPSOffice_Level2"/>
      <w:bookmarkStart w:id="341" w:name="_Toc16368_WPSOffice_Level2"/>
      <w:bookmarkStart w:id="342" w:name="_Toc24623_WPSOffice_Level2"/>
      <w:bookmarkStart w:id="343" w:name="_Toc4823_WPSOffice_Level2"/>
      <w:r>
        <w:rPr>
          <w:rFonts w:hint="eastAsia" w:ascii="宋体" w:hAnsi="宋体" w:cs="宋体"/>
          <w:b/>
          <w:bCs/>
          <w:sz w:val="30"/>
          <w:szCs w:val="30"/>
          <w:lang w:val="zh-CN"/>
        </w:rPr>
        <w:t>供 应 商（乙方）：</w:t>
      </w:r>
      <w:r>
        <w:rPr>
          <w:rFonts w:hint="eastAsia" w:ascii="宋体" w:hAnsi="宋体" w:cs="宋体"/>
          <w:b/>
          <w:bCs/>
          <w:sz w:val="30"/>
          <w:szCs w:val="30"/>
          <w:u w:val="single"/>
          <w:lang w:val="zh-CN"/>
        </w:rPr>
        <w:t xml:space="preserve">                         </w:t>
      </w:r>
      <w:r>
        <w:rPr>
          <w:rFonts w:hint="eastAsia" w:ascii="宋体" w:hAnsi="宋体" w:cs="宋体"/>
          <w:b/>
          <w:bCs/>
          <w:sz w:val="30"/>
          <w:szCs w:val="30"/>
          <w:lang w:val="zh-CN"/>
        </w:rPr>
        <w:t>（盖章）</w:t>
      </w:r>
      <w:bookmarkEnd w:id="338"/>
      <w:bookmarkEnd w:id="339"/>
      <w:bookmarkEnd w:id="340"/>
      <w:bookmarkEnd w:id="341"/>
      <w:bookmarkEnd w:id="342"/>
      <w:bookmarkEnd w:id="343"/>
    </w:p>
    <w:p>
      <w:pPr>
        <w:autoSpaceDE w:val="0"/>
        <w:autoSpaceDN w:val="0"/>
        <w:spacing w:line="360" w:lineRule="auto"/>
        <w:rPr>
          <w:rFonts w:ascii="宋体"/>
          <w:b/>
          <w:bCs/>
          <w:sz w:val="30"/>
          <w:szCs w:val="30"/>
        </w:rPr>
      </w:pPr>
      <w:r>
        <w:rPr>
          <w:rFonts w:hint="eastAsia" w:ascii="宋体" w:hAnsi="宋体" w:cs="宋体"/>
          <w:b/>
          <w:bCs/>
          <w:sz w:val="30"/>
          <w:szCs w:val="30"/>
          <w:lang w:val="zh-CN"/>
        </w:rPr>
        <w:t xml:space="preserve">     </w:t>
      </w:r>
      <w:bookmarkStart w:id="344" w:name="_Toc21101_WPSOffice_Level2"/>
      <w:bookmarkStart w:id="345" w:name="_Toc25610_WPSOffice_Level2"/>
      <w:bookmarkStart w:id="346" w:name="_Toc9184_WPSOffice_Level2"/>
      <w:bookmarkStart w:id="347" w:name="_Toc785_WPSOffice_Level2"/>
      <w:bookmarkStart w:id="348" w:name="_Toc32394_WPSOffice_Level2"/>
      <w:bookmarkStart w:id="349" w:name="_Toc19108_WPSOffice_Level2"/>
      <w:r>
        <w:rPr>
          <w:rFonts w:hint="eastAsia" w:ascii="宋体" w:hAnsi="宋体" w:cs="宋体"/>
          <w:b/>
          <w:bCs/>
          <w:sz w:val="30"/>
          <w:szCs w:val="30"/>
          <w:lang w:val="zh-CN"/>
        </w:rPr>
        <w:t>采购日期：</w:t>
      </w:r>
      <w:bookmarkEnd w:id="344"/>
      <w:bookmarkEnd w:id="345"/>
      <w:bookmarkEnd w:id="346"/>
      <w:bookmarkEnd w:id="347"/>
      <w:bookmarkEnd w:id="348"/>
      <w:bookmarkEnd w:id="349"/>
      <w:r>
        <w:rPr>
          <w:rFonts w:hint="eastAsia" w:ascii="宋体" w:hAnsi="宋体" w:cs="宋体"/>
          <w:b/>
          <w:bCs/>
          <w:sz w:val="30"/>
          <w:szCs w:val="30"/>
          <w:lang w:val="zh-CN"/>
        </w:rPr>
        <w:t xml:space="preserve">                                   </w:t>
      </w:r>
      <w:r>
        <w:rPr>
          <w:rFonts w:ascii="宋体" w:hAnsi="宋体" w:cs="宋体"/>
          <w:b/>
          <w:bCs/>
          <w:sz w:val="30"/>
          <w:szCs w:val="30"/>
          <w:u w:val="single"/>
        </w:rPr>
        <w:t xml:space="preserve">  </w:t>
      </w:r>
    </w:p>
    <w:p>
      <w:pPr>
        <w:rPr>
          <w:rFonts w:ascii="宋体" w:hAnsi="宋体" w:cs="宋体"/>
          <w:b/>
          <w:bCs/>
          <w:sz w:val="36"/>
          <w:szCs w:val="36"/>
          <w:lang w:val="zh-CN"/>
        </w:rPr>
      </w:pPr>
      <w:bookmarkStart w:id="350" w:name="_Toc9146_WPSOffice_Level2"/>
      <w:bookmarkStart w:id="351" w:name="_Toc26377_WPSOffice_Level2"/>
      <w:bookmarkStart w:id="352" w:name="_Toc8104_WPSOffice_Level2"/>
      <w:bookmarkStart w:id="353" w:name="_Toc21821_WPSOffice_Level2"/>
      <w:bookmarkStart w:id="354" w:name="_Toc16351_WPSOffice_Level2"/>
      <w:bookmarkStart w:id="355" w:name="_Toc5156_WPSOffice_Level2"/>
    </w:p>
    <w:p>
      <w:pPr>
        <w:rPr>
          <w:rFonts w:ascii="宋体" w:hAnsi="宋体" w:cs="宋体"/>
          <w:b/>
          <w:bCs/>
          <w:sz w:val="36"/>
          <w:szCs w:val="36"/>
          <w:lang w:val="zh-CN"/>
        </w:rPr>
      </w:pPr>
      <w:r>
        <w:rPr>
          <w:rFonts w:hint="eastAsia" w:ascii="宋体" w:hAnsi="宋体" w:cs="宋体"/>
          <w:b/>
          <w:bCs/>
          <w:sz w:val="36"/>
          <w:szCs w:val="36"/>
          <w:lang w:val="zh-CN"/>
        </w:rPr>
        <w:br w:type="page"/>
      </w:r>
    </w:p>
    <w:p>
      <w:pPr>
        <w:jc w:val="center"/>
        <w:rPr>
          <w:rFonts w:ascii="宋体" w:hAnsi="宋体" w:cs="宋体"/>
          <w:b/>
          <w:bCs/>
          <w:sz w:val="36"/>
          <w:szCs w:val="36"/>
          <w:lang w:val="zh-CN"/>
        </w:rPr>
      </w:pPr>
      <w:r>
        <w:rPr>
          <w:rFonts w:hint="eastAsia" w:ascii="宋体" w:hAnsi="宋体" w:cs="宋体"/>
          <w:b/>
          <w:bCs/>
          <w:sz w:val="36"/>
          <w:szCs w:val="36"/>
          <w:lang w:val="zh-CN"/>
        </w:rPr>
        <w:t>合同书</w:t>
      </w:r>
    </w:p>
    <w:p>
      <w:pPr>
        <w:autoSpaceDE w:val="0"/>
        <w:autoSpaceDN w:val="0"/>
        <w:spacing w:line="560" w:lineRule="exact"/>
        <w:jc w:val="left"/>
        <w:rPr>
          <w:rFonts w:ascii="宋体"/>
          <w:b/>
          <w:bCs/>
          <w:szCs w:val="21"/>
        </w:rPr>
      </w:pPr>
      <w:r>
        <w:rPr>
          <w:rFonts w:hint="eastAsia" w:ascii="宋体" w:hAnsi="宋体" w:cs="宋体"/>
          <w:b/>
          <w:bCs/>
          <w:szCs w:val="21"/>
          <w:lang w:val="zh-CN"/>
        </w:rPr>
        <w:t>采</w:t>
      </w:r>
      <w:r>
        <w:rPr>
          <w:rFonts w:ascii="宋体" w:hAnsi="宋体" w:cs="宋体"/>
          <w:b/>
          <w:bCs/>
          <w:szCs w:val="21"/>
        </w:rPr>
        <w:t xml:space="preserve"> </w:t>
      </w:r>
      <w:r>
        <w:rPr>
          <w:rFonts w:hint="eastAsia" w:ascii="宋体" w:hAnsi="宋体" w:cs="宋体"/>
          <w:b/>
          <w:bCs/>
          <w:szCs w:val="21"/>
          <w:lang w:val="zh-CN"/>
        </w:rPr>
        <w:t>购</w:t>
      </w:r>
      <w:r>
        <w:rPr>
          <w:rFonts w:ascii="宋体" w:hAnsi="宋体" w:cs="宋体"/>
          <w:b/>
          <w:bCs/>
          <w:szCs w:val="21"/>
        </w:rPr>
        <w:t xml:space="preserve"> </w:t>
      </w:r>
      <w:r>
        <w:rPr>
          <w:rFonts w:hint="eastAsia" w:ascii="宋体" w:hAnsi="宋体" w:cs="宋体"/>
          <w:b/>
          <w:bCs/>
          <w:szCs w:val="21"/>
          <w:lang w:val="zh-CN"/>
        </w:rPr>
        <w:t>人（以下简称甲方）：</w:t>
      </w:r>
      <w:bookmarkEnd w:id="350"/>
      <w:bookmarkEnd w:id="351"/>
      <w:bookmarkEnd w:id="352"/>
      <w:bookmarkEnd w:id="353"/>
      <w:bookmarkEnd w:id="354"/>
      <w:bookmarkEnd w:id="355"/>
    </w:p>
    <w:p>
      <w:pPr>
        <w:autoSpaceDE w:val="0"/>
        <w:autoSpaceDN w:val="0"/>
        <w:spacing w:line="560" w:lineRule="exact"/>
        <w:rPr>
          <w:rFonts w:ascii="宋体"/>
          <w:szCs w:val="21"/>
        </w:rPr>
      </w:pPr>
      <w:bookmarkStart w:id="356" w:name="_Toc4587_WPSOffice_Level2"/>
      <w:bookmarkStart w:id="357" w:name="_Toc1905_WPSOffice_Level2"/>
      <w:bookmarkStart w:id="358" w:name="_Toc2583_WPSOffice_Level2"/>
      <w:bookmarkStart w:id="359" w:name="_Toc27629_WPSOffice_Level2"/>
      <w:bookmarkStart w:id="360" w:name="_Toc17087_WPSOffice_Level2"/>
      <w:bookmarkStart w:id="361" w:name="_Toc23586_WPSOffice_Level2"/>
      <w:r>
        <w:rPr>
          <w:rFonts w:hint="eastAsia" w:ascii="宋体" w:hAnsi="宋体" w:cs="宋体"/>
          <w:b/>
          <w:bCs/>
          <w:szCs w:val="21"/>
          <w:lang w:val="zh-CN"/>
        </w:rPr>
        <w:t>供</w:t>
      </w:r>
      <w:r>
        <w:rPr>
          <w:rFonts w:ascii="宋体" w:hAnsi="宋体" w:cs="宋体"/>
          <w:b/>
          <w:bCs/>
          <w:szCs w:val="21"/>
        </w:rPr>
        <w:t xml:space="preserve"> </w:t>
      </w:r>
      <w:r>
        <w:rPr>
          <w:rFonts w:hint="eastAsia" w:ascii="宋体" w:hAnsi="宋体" w:cs="宋体"/>
          <w:b/>
          <w:bCs/>
          <w:szCs w:val="21"/>
          <w:lang w:val="zh-CN"/>
        </w:rPr>
        <w:t>应</w:t>
      </w:r>
      <w:r>
        <w:rPr>
          <w:rFonts w:ascii="宋体" w:hAnsi="宋体" w:cs="宋体"/>
          <w:b/>
          <w:bCs/>
          <w:szCs w:val="21"/>
        </w:rPr>
        <w:t xml:space="preserve"> </w:t>
      </w:r>
      <w:r>
        <w:rPr>
          <w:rFonts w:hint="eastAsia" w:ascii="宋体" w:hAnsi="宋体" w:cs="宋体"/>
          <w:b/>
          <w:bCs/>
          <w:szCs w:val="21"/>
          <w:lang w:val="zh-CN"/>
        </w:rPr>
        <w:t>商（以下简称乙方）：</w:t>
      </w:r>
      <w:bookmarkEnd w:id="356"/>
      <w:bookmarkEnd w:id="357"/>
      <w:bookmarkEnd w:id="358"/>
      <w:bookmarkEnd w:id="359"/>
      <w:bookmarkEnd w:id="360"/>
      <w:bookmarkEnd w:id="361"/>
    </w:p>
    <w:p>
      <w:pPr>
        <w:spacing w:line="560" w:lineRule="exact"/>
        <w:ind w:firstLine="630" w:firstLineChars="3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甲、乙双方根据   年   月   日</w:t>
      </w:r>
      <w:r>
        <w:rPr>
          <w:rFonts w:hint="eastAsia" w:asciiTheme="minorEastAsia" w:hAnsiTheme="minorEastAsia" w:eastAsiaTheme="minorEastAsia" w:cstheme="minorEastAsia"/>
          <w:szCs w:val="21"/>
          <w:u w:val="single"/>
        </w:rPr>
        <w:t>青海大学万联楼改造项目（分包项目填写清楚包号）</w:t>
      </w:r>
      <w:r>
        <w:rPr>
          <w:rFonts w:hint="eastAsia" w:asciiTheme="minorEastAsia" w:hAnsiTheme="minorEastAsia" w:eastAsiaTheme="minorEastAsia" w:cstheme="minorEastAsia"/>
          <w:szCs w:val="21"/>
          <w:u w:val="single"/>
          <w:lang w:val="zh-CN"/>
        </w:rPr>
        <w:t>（青海鑫融磋商（工程）2020-39）</w:t>
      </w:r>
      <w:r>
        <w:rPr>
          <w:rFonts w:hint="eastAsia" w:asciiTheme="minorEastAsia" w:hAnsiTheme="minorEastAsia" w:eastAsiaTheme="minorEastAsia" w:cstheme="minorEastAsia"/>
          <w:szCs w:val="21"/>
          <w:lang w:val="zh-CN"/>
        </w:rPr>
        <w:t>的磋商文件要求和青海鑫融工程项目管理咨询有限</w:t>
      </w:r>
      <w:r>
        <w:rPr>
          <w:rFonts w:hint="eastAsia" w:asciiTheme="minorEastAsia" w:hAnsiTheme="minorEastAsia" w:eastAsiaTheme="minorEastAsia" w:cstheme="minorEastAsia"/>
          <w:szCs w:val="21"/>
        </w:rPr>
        <w:t>公司</w:t>
      </w:r>
      <w:r>
        <w:rPr>
          <w:rFonts w:hint="eastAsia" w:asciiTheme="minorEastAsia" w:hAnsiTheme="minorEastAsia" w:eastAsiaTheme="minorEastAsia" w:cstheme="minorEastAsia"/>
          <w:szCs w:val="21"/>
          <w:lang w:val="zh-CN"/>
        </w:rPr>
        <w:t>出具的《成交通知书》，并经双方协商一致，签订本合同协议书。</w:t>
      </w:r>
    </w:p>
    <w:p>
      <w:pPr>
        <w:autoSpaceDE w:val="0"/>
        <w:autoSpaceDN w:val="0"/>
        <w:adjustRightInd w:val="0"/>
        <w:spacing w:line="560" w:lineRule="exact"/>
        <w:ind w:firstLine="48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一、签订本政府采购合同的依据</w:t>
      </w:r>
    </w:p>
    <w:p>
      <w:pPr>
        <w:autoSpaceDE w:val="0"/>
        <w:autoSpaceDN w:val="0"/>
        <w:adjustRightInd w:val="0"/>
        <w:spacing w:line="560" w:lineRule="exact"/>
        <w:ind w:firstLine="48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本政府采购合同所附下列文件是构成本政府采购合同不可分割的部分：</w:t>
      </w:r>
    </w:p>
    <w:p>
      <w:pPr>
        <w:autoSpaceDE w:val="0"/>
        <w:autoSpaceDN w:val="0"/>
        <w:adjustRightInd w:val="0"/>
        <w:spacing w:line="560" w:lineRule="exact"/>
        <w:ind w:firstLine="480"/>
        <w:rPr>
          <w:rFonts w:asciiTheme="minorEastAsia" w:hAnsiTheme="minorEastAsia" w:eastAsiaTheme="minorEastAsia" w:cstheme="minorEastAsia"/>
          <w:szCs w:val="21"/>
          <w:lang w:val="zh-CN"/>
        </w:rPr>
      </w:pPr>
      <w:bookmarkStart w:id="362" w:name="_Toc5675_WPSOffice_Level2"/>
      <w:bookmarkStart w:id="363" w:name="_Toc14890_WPSOffice_Level2"/>
      <w:bookmarkStart w:id="364" w:name="_Toc8065_WPSOffice_Level2"/>
      <w:bookmarkStart w:id="365" w:name="_Toc12658_WPSOffice_Level2"/>
      <w:bookmarkStart w:id="366" w:name="_Toc12030_WPSOffice_Level2"/>
      <w:bookmarkStart w:id="367" w:name="_Toc4187_WPSOffice_Level2"/>
      <w:r>
        <w:rPr>
          <w:rFonts w:hint="eastAsia" w:asciiTheme="minorEastAsia" w:hAnsiTheme="minorEastAsia" w:eastAsiaTheme="minorEastAsia" w:cstheme="minorEastAsia"/>
          <w:szCs w:val="21"/>
          <w:lang w:val="zh-CN"/>
        </w:rPr>
        <w:t>1.招标文件；</w:t>
      </w:r>
      <w:bookmarkEnd w:id="362"/>
      <w:bookmarkEnd w:id="363"/>
      <w:bookmarkEnd w:id="364"/>
      <w:bookmarkEnd w:id="365"/>
      <w:bookmarkEnd w:id="366"/>
      <w:bookmarkEnd w:id="367"/>
    </w:p>
    <w:p>
      <w:pPr>
        <w:autoSpaceDE w:val="0"/>
        <w:autoSpaceDN w:val="0"/>
        <w:adjustRightInd w:val="0"/>
        <w:spacing w:line="560" w:lineRule="exact"/>
        <w:ind w:firstLine="480"/>
        <w:rPr>
          <w:rFonts w:asciiTheme="minorEastAsia" w:hAnsiTheme="minorEastAsia" w:eastAsiaTheme="minorEastAsia" w:cstheme="minorEastAsia"/>
          <w:szCs w:val="21"/>
          <w:lang w:val="zh-CN"/>
        </w:rPr>
      </w:pPr>
      <w:bookmarkStart w:id="368" w:name="_Toc24098_WPSOffice_Level2"/>
      <w:bookmarkStart w:id="369" w:name="_Toc22176_WPSOffice_Level2"/>
      <w:bookmarkStart w:id="370" w:name="_Toc28822_WPSOffice_Level2"/>
      <w:bookmarkStart w:id="371" w:name="_Toc20813_WPSOffice_Level2"/>
      <w:bookmarkStart w:id="372" w:name="_Toc27390_WPSOffice_Level2"/>
      <w:bookmarkStart w:id="373" w:name="_Toc27295_WPSOffice_Level2"/>
      <w:r>
        <w:rPr>
          <w:rFonts w:hint="eastAsia" w:asciiTheme="minorEastAsia" w:hAnsiTheme="minorEastAsia" w:eastAsiaTheme="minorEastAsia" w:cstheme="minorEastAsia"/>
          <w:szCs w:val="21"/>
          <w:lang w:val="zh-CN"/>
        </w:rPr>
        <w:t>2.招标文件的更正、变更公告；</w:t>
      </w:r>
      <w:bookmarkEnd w:id="368"/>
      <w:bookmarkEnd w:id="369"/>
      <w:bookmarkEnd w:id="370"/>
      <w:bookmarkEnd w:id="371"/>
      <w:bookmarkEnd w:id="372"/>
      <w:bookmarkEnd w:id="373"/>
    </w:p>
    <w:p>
      <w:pPr>
        <w:autoSpaceDE w:val="0"/>
        <w:autoSpaceDN w:val="0"/>
        <w:adjustRightInd w:val="0"/>
        <w:spacing w:line="560" w:lineRule="exact"/>
        <w:ind w:firstLine="480"/>
        <w:rPr>
          <w:rFonts w:asciiTheme="minorEastAsia" w:hAnsiTheme="minorEastAsia" w:eastAsiaTheme="minorEastAsia" w:cstheme="minorEastAsia"/>
          <w:szCs w:val="21"/>
          <w:lang w:val="zh-CN"/>
        </w:rPr>
      </w:pPr>
      <w:bookmarkStart w:id="374" w:name="_Toc4222_WPSOffice_Level2"/>
      <w:bookmarkStart w:id="375" w:name="_Toc6142_WPSOffice_Level2"/>
      <w:bookmarkStart w:id="376" w:name="_Toc27435_WPSOffice_Level2"/>
      <w:bookmarkStart w:id="377" w:name="_Toc29667_WPSOffice_Level2"/>
      <w:bookmarkStart w:id="378" w:name="_Toc8097_WPSOffice_Level2"/>
      <w:bookmarkStart w:id="379" w:name="_Toc32403_WPSOffice_Level2"/>
      <w:r>
        <w:rPr>
          <w:rFonts w:hint="eastAsia" w:asciiTheme="minorEastAsia" w:hAnsiTheme="minorEastAsia" w:eastAsiaTheme="minorEastAsia" w:cstheme="minorEastAsia"/>
          <w:szCs w:val="21"/>
          <w:lang w:val="zh-CN"/>
        </w:rPr>
        <w:t>3.中标人提交的相应文件；</w:t>
      </w:r>
      <w:bookmarkEnd w:id="374"/>
      <w:bookmarkEnd w:id="375"/>
      <w:bookmarkEnd w:id="376"/>
      <w:bookmarkEnd w:id="377"/>
      <w:bookmarkEnd w:id="378"/>
      <w:bookmarkEnd w:id="379"/>
    </w:p>
    <w:p>
      <w:pPr>
        <w:autoSpaceDE w:val="0"/>
        <w:autoSpaceDN w:val="0"/>
        <w:adjustRightInd w:val="0"/>
        <w:spacing w:line="560" w:lineRule="exact"/>
        <w:ind w:firstLine="480"/>
        <w:rPr>
          <w:rFonts w:asciiTheme="minorEastAsia" w:hAnsiTheme="minorEastAsia" w:eastAsiaTheme="minorEastAsia" w:cstheme="minorEastAsia"/>
          <w:szCs w:val="21"/>
          <w:lang w:val="zh-CN"/>
        </w:rPr>
      </w:pPr>
      <w:bookmarkStart w:id="380" w:name="_Toc30587_WPSOffice_Level2"/>
      <w:bookmarkStart w:id="381" w:name="_Toc23650_WPSOffice_Level2"/>
      <w:bookmarkStart w:id="382" w:name="_Toc12832_WPSOffice_Level2"/>
      <w:bookmarkStart w:id="383" w:name="_Toc18247_WPSOffice_Level2"/>
      <w:bookmarkStart w:id="384" w:name="_Toc4309_WPSOffice_Level2"/>
      <w:bookmarkStart w:id="385" w:name="_Toc30770_WPSOffice_Level2"/>
      <w:r>
        <w:rPr>
          <w:rFonts w:hint="eastAsia" w:asciiTheme="minorEastAsia" w:hAnsiTheme="minorEastAsia" w:eastAsiaTheme="minorEastAsia" w:cstheme="minorEastAsia"/>
          <w:szCs w:val="21"/>
          <w:lang w:val="zh-CN"/>
        </w:rPr>
        <w:t>4.招标文件中规定的政府采购合同通用条款；</w:t>
      </w:r>
      <w:bookmarkEnd w:id="380"/>
      <w:bookmarkEnd w:id="381"/>
      <w:bookmarkEnd w:id="382"/>
      <w:bookmarkEnd w:id="383"/>
      <w:bookmarkEnd w:id="384"/>
      <w:bookmarkEnd w:id="385"/>
    </w:p>
    <w:p>
      <w:pPr>
        <w:autoSpaceDE w:val="0"/>
        <w:autoSpaceDN w:val="0"/>
        <w:adjustRightInd w:val="0"/>
        <w:spacing w:line="560" w:lineRule="exact"/>
        <w:ind w:firstLine="480"/>
        <w:rPr>
          <w:rFonts w:asciiTheme="minorEastAsia" w:hAnsiTheme="minorEastAsia" w:eastAsiaTheme="minorEastAsia" w:cstheme="minorEastAsia"/>
          <w:szCs w:val="21"/>
          <w:lang w:val="zh-CN"/>
        </w:rPr>
      </w:pPr>
      <w:bookmarkStart w:id="386" w:name="_Toc19428_WPSOffice_Level2"/>
      <w:bookmarkStart w:id="387" w:name="_Toc1713_WPSOffice_Level2"/>
      <w:bookmarkStart w:id="388" w:name="_Toc2898_WPSOffice_Level2"/>
      <w:bookmarkStart w:id="389" w:name="_Toc18362_WPSOffice_Level2"/>
      <w:bookmarkStart w:id="390" w:name="_Toc11128_WPSOffice_Level2"/>
      <w:bookmarkStart w:id="391" w:name="_Toc1560_WPSOffice_Level2"/>
      <w:r>
        <w:rPr>
          <w:rFonts w:hint="eastAsia" w:asciiTheme="minorEastAsia" w:hAnsiTheme="minorEastAsia" w:eastAsiaTheme="minorEastAsia" w:cstheme="minorEastAsia"/>
          <w:szCs w:val="21"/>
          <w:lang w:val="zh-CN"/>
        </w:rPr>
        <w:t>5.中标通知书；</w:t>
      </w:r>
      <w:bookmarkEnd w:id="386"/>
      <w:bookmarkEnd w:id="387"/>
      <w:bookmarkEnd w:id="388"/>
      <w:bookmarkEnd w:id="389"/>
      <w:bookmarkEnd w:id="390"/>
      <w:bookmarkEnd w:id="391"/>
    </w:p>
    <w:p>
      <w:pPr>
        <w:autoSpaceDE w:val="0"/>
        <w:autoSpaceDN w:val="0"/>
        <w:adjustRightInd w:val="0"/>
        <w:spacing w:line="560" w:lineRule="exact"/>
        <w:ind w:firstLine="480"/>
        <w:rPr>
          <w:rFonts w:asciiTheme="minorEastAsia" w:hAnsiTheme="minorEastAsia" w:eastAsiaTheme="minorEastAsia" w:cstheme="minorEastAsia"/>
          <w:szCs w:val="21"/>
          <w:lang w:val="zh-CN"/>
        </w:rPr>
      </w:pPr>
      <w:bookmarkStart w:id="392" w:name="_Toc16573_WPSOffice_Level2"/>
      <w:bookmarkStart w:id="393" w:name="_Toc21769_WPSOffice_Level2"/>
      <w:bookmarkStart w:id="394" w:name="_Toc24213_WPSOffice_Level2"/>
      <w:bookmarkStart w:id="395" w:name="_Toc105_WPSOffice_Level2"/>
      <w:bookmarkStart w:id="396" w:name="_Toc11904_WPSOffice_Level2"/>
      <w:bookmarkStart w:id="397" w:name="_Toc7345_WPSOffice_Level2"/>
      <w:r>
        <w:rPr>
          <w:rFonts w:hint="eastAsia" w:asciiTheme="minorEastAsia" w:hAnsiTheme="minorEastAsia" w:eastAsiaTheme="minorEastAsia" w:cstheme="minorEastAsia"/>
          <w:szCs w:val="21"/>
          <w:lang w:val="zh-CN"/>
        </w:rPr>
        <w:t>6.履约保证金缴费证明。</w:t>
      </w:r>
      <w:bookmarkEnd w:id="392"/>
      <w:bookmarkEnd w:id="393"/>
      <w:bookmarkEnd w:id="394"/>
      <w:bookmarkEnd w:id="395"/>
      <w:bookmarkEnd w:id="396"/>
      <w:bookmarkEnd w:id="397"/>
    </w:p>
    <w:p>
      <w:pPr>
        <w:autoSpaceDE w:val="0"/>
        <w:autoSpaceDN w:val="0"/>
        <w:adjustRightInd w:val="0"/>
        <w:spacing w:line="560" w:lineRule="exact"/>
        <w:ind w:firstLine="48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 xml:space="preserve">二、合同标的及金额                                       </w:t>
      </w:r>
    </w:p>
    <w:p>
      <w:pPr>
        <w:autoSpaceDE w:val="0"/>
        <w:autoSpaceDN w:val="0"/>
        <w:adjustRightInd w:val="0"/>
        <w:spacing w:line="560" w:lineRule="exact"/>
        <w:ind w:firstLine="480"/>
        <w:rPr>
          <w:rFonts w:ascii="宋体" w:cs="宋体"/>
          <w:szCs w:val="21"/>
          <w:lang w:val="zh-CN"/>
        </w:rPr>
      </w:pPr>
      <w:r>
        <w:rPr>
          <w:rFonts w:hint="eastAsia" w:asciiTheme="minorEastAsia" w:hAnsiTheme="minorEastAsia" w:eastAsiaTheme="minorEastAsia" w:cstheme="minorEastAsia"/>
          <w:szCs w:val="21"/>
          <w:lang w:val="zh-CN"/>
        </w:rPr>
        <w:t>根据《中华人民共和国合同法》有关规定，确保项目的质量，甲乙双方在平等、自愿、协商一致的基础上，就政府购买心理健康教育服务有关事</w:t>
      </w:r>
      <w:r>
        <w:rPr>
          <w:rFonts w:hint="eastAsia" w:ascii="宋体" w:cs="宋体"/>
          <w:szCs w:val="21"/>
          <w:lang w:val="zh-CN"/>
        </w:rPr>
        <w:t>宜达成如下协议：</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本政府采购合同的总金额为人民币</w:t>
      </w:r>
      <w:r>
        <w:rPr>
          <w:rFonts w:hint="eastAsia" w:ascii="宋体" w:cs="宋体"/>
          <w:szCs w:val="21"/>
          <w:u w:val="single"/>
          <w:lang w:val="zh-CN"/>
        </w:rPr>
        <w:t xml:space="preserve">             </w:t>
      </w:r>
      <w:r>
        <w:rPr>
          <w:rFonts w:hint="eastAsia" w:ascii="宋体" w:cs="宋体"/>
          <w:szCs w:val="21"/>
          <w:lang w:val="zh-CN"/>
        </w:rPr>
        <w:t>（大写）</w:t>
      </w:r>
      <w:r>
        <w:rPr>
          <w:rFonts w:hint="eastAsia" w:ascii="宋体" w:cs="宋体"/>
          <w:szCs w:val="21"/>
          <w:u w:val="single"/>
          <w:lang w:val="zh-CN"/>
        </w:rPr>
        <w:t xml:space="preserve">               </w:t>
      </w:r>
      <w:r>
        <w:rPr>
          <w:rFonts w:hint="eastAsia" w:ascii="宋体" w:cs="宋体"/>
          <w:szCs w:val="21"/>
          <w:lang w:val="zh-CN"/>
        </w:rPr>
        <w:t>（小写）元。</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本合同以人民币进行结算，合同总价包括：</w:t>
      </w:r>
      <w:r>
        <w:rPr>
          <w:rFonts w:hint="eastAsia" w:ascii="宋体" w:hAnsi="Cambria" w:cs="宋体"/>
          <w:szCs w:val="21"/>
          <w:u w:val="single"/>
          <w:lang w:val="zh-CN"/>
        </w:rPr>
        <w:t>工程施工及</w:t>
      </w:r>
      <w:r>
        <w:rPr>
          <w:rFonts w:hint="eastAsia" w:ascii="宋体" w:cs="宋体"/>
          <w:szCs w:val="21"/>
          <w:u w:val="single"/>
          <w:lang w:val="zh-CN"/>
        </w:rPr>
        <w:t>不可预见费等全部费用</w:t>
      </w:r>
      <w:r>
        <w:rPr>
          <w:rFonts w:hint="eastAsia" w:ascii="宋体" w:cs="宋体"/>
          <w:szCs w:val="21"/>
          <w:lang w:val="zh-CN"/>
        </w:rPr>
        <w:t>。</w:t>
      </w:r>
    </w:p>
    <w:p>
      <w:pPr>
        <w:autoSpaceDE w:val="0"/>
        <w:autoSpaceDN w:val="0"/>
        <w:adjustRightInd w:val="0"/>
        <w:spacing w:line="560" w:lineRule="exact"/>
        <w:ind w:firstLine="480"/>
        <w:rPr>
          <w:rFonts w:ascii="宋体" w:cs="宋体"/>
          <w:color w:val="000000" w:themeColor="text1"/>
          <w:szCs w:val="21"/>
          <w:lang w:val="zh-CN"/>
        </w:rPr>
      </w:pPr>
      <w:r>
        <w:rPr>
          <w:rFonts w:hint="eastAsia" w:ascii="宋体" w:cs="宋体"/>
          <w:color w:val="000000" w:themeColor="text1"/>
          <w:szCs w:val="21"/>
          <w:lang w:val="zh-CN"/>
        </w:rPr>
        <w:t>三、</w:t>
      </w:r>
      <w:r>
        <w:rPr>
          <w:rFonts w:hint="eastAsia" w:ascii="宋体" w:cs="宋体"/>
          <w:color w:val="000000" w:themeColor="text1"/>
          <w:szCs w:val="21"/>
        </w:rPr>
        <w:t>建设</w:t>
      </w:r>
      <w:r>
        <w:rPr>
          <w:rFonts w:hint="eastAsia" w:ascii="宋体" w:cs="宋体"/>
          <w:color w:val="000000" w:themeColor="text1"/>
          <w:szCs w:val="21"/>
          <w:lang w:val="zh-CN"/>
        </w:rPr>
        <w:t>时间、地点和要求</w:t>
      </w:r>
    </w:p>
    <w:p>
      <w:pPr>
        <w:autoSpaceDE w:val="0"/>
        <w:autoSpaceDN w:val="0"/>
        <w:adjustRightInd w:val="0"/>
        <w:spacing w:line="560" w:lineRule="exact"/>
        <w:ind w:firstLine="480"/>
        <w:rPr>
          <w:rFonts w:ascii="宋体" w:cs="宋体"/>
          <w:color w:val="FF0000"/>
          <w:szCs w:val="21"/>
          <w:u w:val="single"/>
        </w:rPr>
      </w:pPr>
      <w:r>
        <w:rPr>
          <w:rFonts w:hint="eastAsia" w:ascii="宋体" w:cs="宋体"/>
          <w:color w:val="000000" w:themeColor="text1"/>
          <w:szCs w:val="21"/>
          <w:lang w:val="zh-CN"/>
        </w:rPr>
        <w:t>1.</w:t>
      </w:r>
      <w:r>
        <w:rPr>
          <w:rFonts w:hint="eastAsia" w:ascii="宋体" w:cs="宋体"/>
          <w:color w:val="000000" w:themeColor="text1"/>
          <w:szCs w:val="21"/>
        </w:rPr>
        <w:t>工</w:t>
      </w:r>
      <w:r>
        <w:rPr>
          <w:rFonts w:hint="eastAsia" w:ascii="宋体" w:cs="宋体"/>
          <w:color w:val="000000" w:themeColor="text1"/>
          <w:szCs w:val="21"/>
          <w:lang w:val="zh-CN"/>
        </w:rPr>
        <w:t>期:</w:t>
      </w:r>
      <w:r>
        <w:rPr>
          <w:rFonts w:hint="eastAsia" w:ascii="宋体" w:cs="宋体"/>
          <w:color w:val="000000" w:themeColor="text1"/>
          <w:szCs w:val="21"/>
          <w:u w:val="single"/>
        </w:rPr>
        <w:t xml:space="preserve"> 45日历天（2020年10月15日至2020年11月28日）      </w:t>
      </w:r>
    </w:p>
    <w:p>
      <w:pPr>
        <w:autoSpaceDE w:val="0"/>
        <w:autoSpaceDN w:val="0"/>
        <w:adjustRightInd w:val="0"/>
        <w:spacing w:line="560" w:lineRule="exact"/>
        <w:ind w:firstLine="480"/>
        <w:rPr>
          <w:rFonts w:ascii="宋体" w:cs="宋体"/>
          <w:color w:val="000000" w:themeColor="text1"/>
          <w:szCs w:val="21"/>
          <w:u w:val="single"/>
          <w:lang w:val="zh-CN"/>
        </w:rPr>
      </w:pPr>
      <w:r>
        <w:rPr>
          <w:rFonts w:hint="eastAsia" w:ascii="宋体" w:cs="宋体"/>
          <w:color w:val="000000" w:themeColor="text1"/>
          <w:szCs w:val="21"/>
          <w:lang w:val="zh-CN"/>
        </w:rPr>
        <w:t>2.</w:t>
      </w:r>
      <w:r>
        <w:rPr>
          <w:rFonts w:hint="eastAsia" w:ascii="宋体" w:cs="宋体"/>
          <w:color w:val="000000" w:themeColor="text1"/>
          <w:szCs w:val="21"/>
        </w:rPr>
        <w:t>建设</w:t>
      </w:r>
      <w:r>
        <w:rPr>
          <w:rFonts w:hint="eastAsia" w:ascii="宋体" w:cs="宋体"/>
          <w:color w:val="000000" w:themeColor="text1"/>
          <w:szCs w:val="21"/>
          <w:lang w:val="zh-CN"/>
        </w:rPr>
        <w:t>地点：</w:t>
      </w:r>
      <w:r>
        <w:rPr>
          <w:rFonts w:hint="eastAsia" w:ascii="宋体" w:cs="宋体"/>
          <w:color w:val="000000" w:themeColor="text1"/>
          <w:szCs w:val="21"/>
          <w:u w:val="single"/>
          <w:lang w:val="zh-CN"/>
        </w:rPr>
        <w:t>青海大学；</w:t>
      </w:r>
    </w:p>
    <w:p>
      <w:pPr>
        <w:autoSpaceDE w:val="0"/>
        <w:autoSpaceDN w:val="0"/>
        <w:adjustRightInd w:val="0"/>
        <w:spacing w:line="560" w:lineRule="exact"/>
        <w:ind w:firstLine="480"/>
        <w:rPr>
          <w:rFonts w:ascii="宋体" w:cs="宋体"/>
          <w:szCs w:val="21"/>
          <w:u w:val="single"/>
        </w:rPr>
      </w:pPr>
      <w:r>
        <w:rPr>
          <w:rFonts w:hint="eastAsia" w:ascii="宋体" w:cs="宋体"/>
          <w:szCs w:val="21"/>
        </w:rPr>
        <w:t>3</w:t>
      </w:r>
      <w:r>
        <w:rPr>
          <w:rFonts w:hint="eastAsia" w:ascii="宋体" w:cs="宋体"/>
          <w:szCs w:val="21"/>
          <w:lang w:val="zh-CN"/>
        </w:rPr>
        <w:t>.乙方在服务的实施过程中应主动配合接受各级财政、审计、管理行政执法局的检查，积极提供相关的资料。同时自觉接受媒体、居民和社会的监督。</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四、付款方式</w:t>
      </w:r>
    </w:p>
    <w:p>
      <w:pPr>
        <w:autoSpaceDE w:val="0"/>
        <w:autoSpaceDN w:val="0"/>
        <w:adjustRightInd w:val="0"/>
        <w:spacing w:line="560" w:lineRule="exact"/>
        <w:ind w:firstLine="480"/>
        <w:rPr>
          <w:rFonts w:ascii="宋体" w:cs="宋体"/>
          <w:szCs w:val="21"/>
          <w:lang w:val="zh-CN"/>
        </w:rPr>
      </w:pPr>
      <w:bookmarkStart w:id="398" w:name="_Toc4307_WPSOffice_Level2"/>
      <w:bookmarkStart w:id="399" w:name="_Toc32758_WPSOffice_Level2"/>
      <w:bookmarkStart w:id="400" w:name="_Toc13371_WPSOffice_Level2"/>
      <w:bookmarkStart w:id="401" w:name="_Toc1895_WPSOffice_Level2"/>
      <w:bookmarkStart w:id="402" w:name="_Toc2188_WPSOffice_Level2"/>
      <w:bookmarkStart w:id="403" w:name="_Toc1268_WPSOffice_Level2"/>
      <w:r>
        <w:rPr>
          <w:rFonts w:hint="eastAsia" w:ascii="宋体" w:cs="宋体"/>
          <w:szCs w:val="21"/>
          <w:lang w:val="zh-CN"/>
        </w:rPr>
        <w:t>（一）拨付方式</w:t>
      </w:r>
      <w:bookmarkEnd w:id="398"/>
      <w:bookmarkEnd w:id="399"/>
      <w:bookmarkEnd w:id="400"/>
      <w:bookmarkEnd w:id="401"/>
      <w:bookmarkEnd w:id="402"/>
      <w:bookmarkEnd w:id="403"/>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可采用以下支付方式向乙方拨付服务价款：</w:t>
      </w:r>
    </w:p>
    <w:p>
      <w:pPr>
        <w:autoSpaceDE w:val="0"/>
        <w:autoSpaceDN w:val="0"/>
        <w:adjustRightInd w:val="0"/>
        <w:spacing w:line="560" w:lineRule="exact"/>
        <w:ind w:firstLine="480"/>
        <w:rPr>
          <w:rFonts w:ascii="宋体" w:cs="宋体"/>
          <w:szCs w:val="21"/>
          <w:lang w:val="zh-CN"/>
        </w:rPr>
      </w:pPr>
      <w:bookmarkStart w:id="404" w:name="_Toc30799_WPSOffice_Level2"/>
      <w:bookmarkStart w:id="405" w:name="_Toc23895_WPSOffice_Level2"/>
      <w:bookmarkStart w:id="406" w:name="_Toc18977_WPSOffice_Level2"/>
      <w:bookmarkStart w:id="407" w:name="_Toc17428_WPSOffice_Level2"/>
      <w:bookmarkStart w:id="408" w:name="_Toc13508_WPSOffice_Level2"/>
      <w:bookmarkStart w:id="409" w:name="_Toc13002_WPSOffice_Level2"/>
      <w:r>
        <w:rPr>
          <w:rFonts w:hint="eastAsia" w:ascii="宋体" w:cs="宋体"/>
          <w:szCs w:val="21"/>
          <w:lang w:val="zh-CN"/>
        </w:rPr>
        <w:t>按工程进度结款；（具体签订合同时与甲方商议）</w:t>
      </w:r>
    </w:p>
    <w:bookmarkEnd w:id="404"/>
    <w:bookmarkEnd w:id="405"/>
    <w:bookmarkEnd w:id="406"/>
    <w:bookmarkEnd w:id="407"/>
    <w:bookmarkEnd w:id="408"/>
    <w:bookmarkEnd w:id="409"/>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五、合同的变更与终止</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1.合同期满，双方未续签的；</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2.因乙方服务能力丧失，致使服务无法正常进行的；</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3.在履行合同过程中，发现乙方有违约违规行为的；</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4.因政策调整等其他因素，致使合同无法履行的。</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六、双方权利和义务</w:t>
      </w:r>
    </w:p>
    <w:p>
      <w:pPr>
        <w:autoSpaceDE w:val="0"/>
        <w:autoSpaceDN w:val="0"/>
        <w:adjustRightInd w:val="0"/>
        <w:spacing w:line="560" w:lineRule="exact"/>
        <w:ind w:firstLine="480"/>
        <w:rPr>
          <w:rFonts w:ascii="宋体" w:cs="宋体"/>
          <w:szCs w:val="21"/>
          <w:lang w:val="zh-CN"/>
        </w:rPr>
      </w:pPr>
      <w:bookmarkStart w:id="410" w:name="_Toc4573_WPSOffice_Level2"/>
      <w:bookmarkStart w:id="411" w:name="_Toc12161_WPSOffice_Level2"/>
      <w:bookmarkStart w:id="412" w:name="_Toc29778_WPSOffice_Level2"/>
      <w:bookmarkStart w:id="413" w:name="_Toc4258_WPSOffice_Level2"/>
      <w:bookmarkStart w:id="414" w:name="_Toc10730_WPSOffice_Level2"/>
      <w:bookmarkStart w:id="415" w:name="_Toc5174_WPSOffice_Level2"/>
      <w:r>
        <w:rPr>
          <w:rFonts w:hint="eastAsia" w:ascii="宋体" w:cs="宋体"/>
          <w:szCs w:val="21"/>
          <w:lang w:val="zh-CN"/>
        </w:rPr>
        <w:t>（一）甲方的权利义务</w:t>
      </w:r>
      <w:bookmarkEnd w:id="410"/>
      <w:bookmarkEnd w:id="411"/>
      <w:bookmarkEnd w:id="412"/>
      <w:bookmarkEnd w:id="413"/>
      <w:bookmarkEnd w:id="414"/>
      <w:bookmarkEnd w:id="415"/>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1.按合同约定及时向乙方支付服务费用；</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2.对乙方提供的服务进行跟踪检查，并及时组织开展绩效考评工作；</w:t>
      </w:r>
    </w:p>
    <w:p>
      <w:pPr>
        <w:autoSpaceDE w:val="0"/>
        <w:autoSpaceDN w:val="0"/>
        <w:adjustRightInd w:val="0"/>
        <w:spacing w:line="560" w:lineRule="exact"/>
        <w:ind w:firstLine="480"/>
        <w:rPr>
          <w:rFonts w:ascii="宋体" w:cs="宋体"/>
          <w:szCs w:val="21"/>
        </w:rPr>
      </w:pPr>
      <w:r>
        <w:rPr>
          <w:rFonts w:hint="eastAsia" w:ascii="宋体" w:cs="宋体"/>
          <w:szCs w:val="21"/>
        </w:rPr>
        <w:t>3、工程竣工完成后一年返还质保金；</w:t>
      </w:r>
    </w:p>
    <w:p>
      <w:pPr>
        <w:autoSpaceDE w:val="0"/>
        <w:autoSpaceDN w:val="0"/>
        <w:adjustRightInd w:val="0"/>
        <w:spacing w:line="560" w:lineRule="exact"/>
        <w:ind w:firstLine="480"/>
        <w:rPr>
          <w:rFonts w:ascii="宋体" w:cs="宋体"/>
          <w:szCs w:val="21"/>
          <w:lang w:val="zh-CN"/>
        </w:rPr>
      </w:pPr>
      <w:bookmarkStart w:id="416" w:name="_Toc29904_WPSOffice_Level2"/>
      <w:bookmarkStart w:id="417" w:name="_Toc6451_WPSOffice_Level2"/>
      <w:bookmarkStart w:id="418" w:name="_Toc24553_WPSOffice_Level2"/>
      <w:bookmarkStart w:id="419" w:name="_Toc22828_WPSOffice_Level2"/>
      <w:bookmarkStart w:id="420" w:name="_Toc10155_WPSOffice_Level2"/>
      <w:bookmarkStart w:id="421" w:name="_Toc24360_WPSOffice_Level2"/>
      <w:r>
        <w:rPr>
          <w:rFonts w:hint="eastAsia" w:ascii="宋体" w:cs="宋体"/>
          <w:szCs w:val="21"/>
          <w:lang w:val="zh-CN"/>
        </w:rPr>
        <w:t>（二）乙方的权利义务</w:t>
      </w:r>
      <w:bookmarkEnd w:id="416"/>
      <w:bookmarkEnd w:id="417"/>
      <w:bookmarkEnd w:id="418"/>
      <w:bookmarkEnd w:id="419"/>
      <w:bookmarkEnd w:id="420"/>
      <w:bookmarkEnd w:id="421"/>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1.按合同约定要求甲方按时足额拨付服务费用；</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2.按合同、项目图纸、规范、标准、工艺等约定进行项目施工及维修养护等；</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3.自觉接受甲方的监督检查。</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七、违约责任</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（一）除国家政策调整、自然灾害等不可抗力因素外，甲方无故终止项目或不按约定期限支付服务费用的，乙方有权要求甲方全额赔偿合同约定的服务费用；</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（二）乙方有以下违约行为，甲方有权终止合同，取消承接主体资格，并向乙方追回已支付的服务费用；情节严重的，可依法追究法律责任：</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1.乙方无故终止服务或不按合同规定提供服务的;</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2.通过虚假文件骗取服务费用的;</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3.未经甲方同意擅自外包、分包服务项目的；</w:t>
      </w:r>
    </w:p>
    <w:p>
      <w:pPr>
        <w:autoSpaceDE w:val="0"/>
        <w:autoSpaceDN w:val="0"/>
        <w:adjustRightInd w:val="0"/>
        <w:spacing w:line="560" w:lineRule="exact"/>
        <w:ind w:firstLine="480"/>
        <w:rPr>
          <w:rFonts w:ascii="宋体" w:cs="宋体"/>
          <w:szCs w:val="21"/>
          <w:lang w:val="zh-CN"/>
        </w:rPr>
      </w:pPr>
      <w:r>
        <w:rPr>
          <w:rFonts w:hint="eastAsia" w:ascii="宋体" w:cs="宋体"/>
          <w:szCs w:val="21"/>
        </w:rPr>
        <w:t>4</w:t>
      </w:r>
      <w:r>
        <w:rPr>
          <w:rFonts w:hint="eastAsia" w:ascii="宋体" w:cs="宋体"/>
          <w:szCs w:val="21"/>
          <w:lang w:val="zh-CN"/>
        </w:rPr>
        <w:t>.不接受或不配合甲方监督检查的。</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八、不可抗力</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1.不可抗力使合同的某些内容有变更必要的，双方应通过协商在</w:t>
      </w:r>
      <w:r>
        <w:rPr>
          <w:rFonts w:hint="eastAsia" w:ascii="宋体" w:cs="宋体"/>
          <w:szCs w:val="21"/>
          <w:u w:val="single"/>
          <w:lang w:val="zh-CN"/>
        </w:rPr>
        <w:t xml:space="preserve">   </w:t>
      </w:r>
      <w:r>
        <w:rPr>
          <w:rFonts w:hint="eastAsia" w:ascii="宋体" w:cs="宋体"/>
          <w:szCs w:val="21"/>
          <w:lang w:val="zh-CN"/>
        </w:rPr>
        <w:t>天内达成进一步履行合同的协议，因不可抗力致使合同不能履行的，合同终止。</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2.除法律、法规规定的不可抗力情形外，双方约定出现</w:t>
      </w:r>
      <w:r>
        <w:rPr>
          <w:rFonts w:hint="eastAsia" w:ascii="宋体" w:cs="宋体"/>
          <w:szCs w:val="21"/>
          <w:u w:val="single"/>
          <w:lang w:val="zh-CN"/>
        </w:rPr>
        <w:t xml:space="preserve">         </w:t>
      </w:r>
      <w:r>
        <w:rPr>
          <w:rFonts w:hint="eastAsia" w:ascii="宋体" w:cs="宋体"/>
          <w:szCs w:val="21"/>
          <w:lang w:val="zh-CN"/>
        </w:rPr>
        <w:t>情况亦视为不可抗力。</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九、知识产权：</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十、其他约定：</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十一、在合同履行过程中发生争议，由双方协商解决，协商不成的，可向仲裁部门申请仲裁或人民法院提起诉讼。</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十二、合同生效及其它：</w:t>
      </w:r>
    </w:p>
    <w:p>
      <w:pPr>
        <w:autoSpaceDE w:val="0"/>
        <w:autoSpaceDN w:val="0"/>
        <w:adjustRightInd w:val="0"/>
        <w:spacing w:line="560" w:lineRule="exact"/>
        <w:ind w:firstLine="480"/>
        <w:rPr>
          <w:rFonts w:ascii="宋体" w:cs="宋体"/>
          <w:szCs w:val="21"/>
        </w:rPr>
      </w:pPr>
      <w:r>
        <w:rPr>
          <w:rFonts w:hint="eastAsia" w:ascii="宋体" w:cs="宋体"/>
          <w:szCs w:val="21"/>
          <w:lang w:val="zh-CN"/>
        </w:rPr>
        <w:t>1.本合同一式</w:t>
      </w:r>
      <w:r>
        <w:rPr>
          <w:rFonts w:hint="eastAsia" w:ascii="宋体" w:cs="宋体"/>
          <w:szCs w:val="21"/>
          <w:u w:val="single"/>
        </w:rPr>
        <w:t>八</w:t>
      </w:r>
      <w:r>
        <w:rPr>
          <w:rFonts w:hint="eastAsia" w:ascii="宋体" w:cs="宋体"/>
          <w:szCs w:val="21"/>
          <w:lang w:val="zh-CN"/>
        </w:rPr>
        <w:t>份，经双方签字，并加盖公章（或合同专用章）两页及两页以上须加盖骑缝章。即为生效。甲方执</w:t>
      </w:r>
      <w:r>
        <w:rPr>
          <w:rFonts w:hint="eastAsia" w:ascii="宋体" w:cs="宋体"/>
          <w:szCs w:val="21"/>
        </w:rPr>
        <w:t>3份，乙方执2份，采购代理机构执3份。</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2.本合同未尽事宜，按经济合同法有关规定处理。</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3.本合同的组成包含《合同通用条款》。</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甲方（盖章）：                         乙方（盖章）：</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法定代表人或委托代理人：               法定代表人或委托代理人：</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 xml:space="preserve">                                       开户银行：     </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联系电话：                             账号：</w:t>
      </w:r>
    </w:p>
    <w:p>
      <w:pPr>
        <w:autoSpaceDE w:val="0"/>
        <w:autoSpaceDN w:val="0"/>
        <w:adjustRightInd w:val="0"/>
        <w:spacing w:line="560" w:lineRule="exact"/>
        <w:ind w:firstLine="480"/>
        <w:rPr>
          <w:lang w:val="zh-CN"/>
        </w:rPr>
      </w:pPr>
      <w:r>
        <w:rPr>
          <w:rFonts w:hint="eastAsia" w:ascii="宋体" w:cs="宋体"/>
          <w:szCs w:val="21"/>
          <w:lang w:val="zh-CN"/>
        </w:rPr>
        <w:t xml:space="preserve">                                       联系电话：</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签约时间：  年  月  日</w:t>
      </w:r>
    </w:p>
    <w:p>
      <w:pPr>
        <w:autoSpaceDE w:val="0"/>
        <w:autoSpaceDN w:val="0"/>
        <w:adjustRightInd w:val="0"/>
        <w:spacing w:line="560" w:lineRule="exact"/>
        <w:rPr>
          <w:rFonts w:ascii="宋体" w:cs="宋体"/>
          <w:szCs w:val="21"/>
          <w:lang w:val="zh-CN"/>
        </w:rPr>
      </w:pP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 xml:space="preserve">采购代理机构：青海鑫融工程项目管理咨询有限公司                        </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负责人或经办人：</w:t>
      </w:r>
    </w:p>
    <w:p>
      <w:pPr>
        <w:autoSpaceDE w:val="0"/>
        <w:autoSpaceDN w:val="0"/>
        <w:adjustRightInd w:val="0"/>
        <w:spacing w:line="560" w:lineRule="exact"/>
        <w:ind w:firstLine="480"/>
        <w:rPr>
          <w:rFonts w:ascii="宋体" w:cs="宋体"/>
          <w:szCs w:val="21"/>
          <w:lang w:val="zh-CN"/>
        </w:rPr>
      </w:pPr>
      <w:r>
        <w:rPr>
          <w:rFonts w:hint="eastAsia" w:ascii="宋体" w:cs="宋体"/>
          <w:szCs w:val="21"/>
          <w:lang w:val="zh-CN"/>
        </w:rPr>
        <w:t>合同备案时间：   年  月  日</w:t>
      </w:r>
    </w:p>
    <w:p>
      <w:pPr>
        <w:spacing w:line="560" w:lineRule="exact"/>
        <w:rPr>
          <w:rFonts w:ascii="宋体" w:hAnsi="宋体"/>
          <w:szCs w:val="21"/>
        </w:rPr>
      </w:pPr>
    </w:p>
    <w:p>
      <w:pPr>
        <w:spacing w:line="560" w:lineRule="exact"/>
        <w:rPr>
          <w:rFonts w:ascii="宋体" w:hAnsi="宋体"/>
          <w:szCs w:val="21"/>
        </w:rPr>
      </w:pPr>
    </w:p>
    <w:p>
      <w:pPr>
        <w:spacing w:line="560" w:lineRule="exact"/>
        <w:rPr>
          <w:rFonts w:ascii="宋体" w:hAnsi="宋体"/>
          <w:szCs w:val="21"/>
        </w:rPr>
      </w:pPr>
    </w:p>
    <w:p>
      <w:bookmarkStart w:id="422" w:name="_Toc201287613"/>
    </w:p>
    <w:p/>
    <w:p/>
    <w:p/>
    <w:p/>
    <w:p/>
    <w:p/>
    <w:p>
      <w:pPr>
        <w:spacing w:line="400" w:lineRule="exact"/>
        <w:rPr>
          <w:rStyle w:val="46"/>
          <w:rFonts w:asciiTheme="minorEastAsia" w:hAnsiTheme="minorEastAsia" w:eastAsiaTheme="minorEastAsia" w:cstheme="minorEastAsia"/>
          <w:kern w:val="0"/>
          <w:sz w:val="21"/>
          <w:szCs w:val="21"/>
        </w:rPr>
      </w:pPr>
      <w:r>
        <w:rPr>
          <w:rFonts w:ascii="宋体" w:hAnsi="宋体" w:cs="TimesNewRomanPSMT"/>
          <w:kern w:val="0"/>
          <w:sz w:val="24"/>
        </w:rPr>
        <w:br w:type="page"/>
      </w:r>
      <w:bookmarkEnd w:id="298"/>
      <w:bookmarkEnd w:id="422"/>
      <w:bookmarkStart w:id="423" w:name="_Toc12936"/>
      <w:bookmarkStart w:id="424" w:name="_Toc18132_WPSOffice_Level2"/>
      <w:bookmarkStart w:id="425" w:name="_Toc21486_WPSOffice_Level2"/>
      <w:bookmarkStart w:id="426" w:name="_Toc12816_WPSOffice_Level2"/>
      <w:bookmarkStart w:id="427" w:name="_Toc28397_WPSOffice_Level2"/>
      <w:bookmarkStart w:id="428" w:name="_Toc25997_WPSOffice_Level2"/>
      <w:bookmarkStart w:id="429" w:name="_Toc201287618"/>
      <w:bookmarkStart w:id="430" w:name="_Toc111445497"/>
      <w:r>
        <w:rPr>
          <w:rStyle w:val="41"/>
          <w:rFonts w:hint="eastAsia" w:asciiTheme="minorEastAsia" w:hAnsiTheme="minorEastAsia" w:eastAsiaTheme="minorEastAsia" w:cstheme="minorEastAsia"/>
          <w:sz w:val="21"/>
          <w:szCs w:val="21"/>
        </w:rPr>
        <w:t>附件二：质量保修书格式</w:t>
      </w:r>
      <w:bookmarkEnd w:id="423"/>
      <w:bookmarkEnd w:id="424"/>
      <w:bookmarkEnd w:id="425"/>
      <w:bookmarkEnd w:id="426"/>
      <w:bookmarkEnd w:id="427"/>
      <w:bookmarkEnd w:id="428"/>
      <w:bookmarkEnd w:id="429"/>
    </w:p>
    <w:bookmarkEnd w:id="430"/>
    <w:p>
      <w:pPr>
        <w:tabs>
          <w:tab w:val="left" w:pos="3855"/>
        </w:tabs>
        <w:spacing w:line="400" w:lineRule="exact"/>
        <w:jc w:val="center"/>
        <w:rPr>
          <w:rFonts w:asciiTheme="minorEastAsia" w:hAnsiTheme="minorEastAsia" w:eastAsiaTheme="minorEastAsia" w:cstheme="minorEastAsia"/>
          <w:b/>
          <w:szCs w:val="21"/>
        </w:rPr>
      </w:pPr>
      <w:bookmarkStart w:id="431" w:name="_Toc6032_WPSOffice_Level2"/>
      <w:bookmarkStart w:id="432" w:name="_Toc28392_WPSOffice_Level2"/>
      <w:bookmarkStart w:id="433" w:name="_Toc10591_WPSOffice_Level2"/>
      <w:bookmarkStart w:id="434" w:name="_Toc31505_WPSOffice_Level2"/>
      <w:bookmarkStart w:id="435" w:name="_Toc16472_WPSOffice_Level2"/>
      <w:bookmarkStart w:id="436" w:name="_Toc12637_WPSOffice_Level2"/>
      <w:bookmarkStart w:id="437" w:name="_Toc25657_WPSOffice_Level2"/>
      <w:bookmarkStart w:id="438" w:name="_Toc16986_WPSOffice_Level2"/>
      <w:bookmarkStart w:id="439" w:name="_Toc13236_WPSOffice_Level2"/>
      <w:r>
        <w:rPr>
          <w:rFonts w:hint="eastAsia" w:asciiTheme="minorEastAsia" w:hAnsiTheme="minorEastAsia" w:eastAsiaTheme="minorEastAsia" w:cstheme="minorEastAsia"/>
          <w:b/>
          <w:szCs w:val="21"/>
        </w:rPr>
        <w:t>建筑工程质量保修书</w:t>
      </w:r>
      <w:bookmarkEnd w:id="431"/>
      <w:bookmarkEnd w:id="432"/>
      <w:bookmarkEnd w:id="433"/>
      <w:bookmarkEnd w:id="434"/>
      <w:bookmarkEnd w:id="435"/>
      <w:bookmarkEnd w:id="436"/>
      <w:bookmarkEnd w:id="437"/>
      <w:bookmarkEnd w:id="438"/>
      <w:bookmarkEnd w:id="439"/>
    </w:p>
    <w:p>
      <w:pPr>
        <w:spacing w:line="400" w:lineRule="exact"/>
        <w:rPr>
          <w:rFonts w:asciiTheme="minorEastAsia" w:hAnsiTheme="minorEastAsia" w:eastAsiaTheme="minorEastAsia" w:cstheme="minorEastAsia"/>
          <w:szCs w:val="21"/>
        </w:rPr>
      </w:pPr>
    </w:p>
    <w:p>
      <w:pPr>
        <w:spacing w:line="400" w:lineRule="exact"/>
        <w:ind w:firstLine="488"/>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发包人：____________________________________</w:t>
      </w:r>
    </w:p>
    <w:p>
      <w:pPr>
        <w:spacing w:line="400" w:lineRule="exact"/>
        <w:ind w:firstLine="488"/>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承包人：____________________________________</w:t>
      </w:r>
    </w:p>
    <w:p>
      <w:pPr>
        <w:spacing w:line="400" w:lineRule="exact"/>
        <w:ind w:firstLine="49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发包人、承包人根据《中华人民共和国建筑法》、《建设工程质量管理条例》和《房屋建筑工程质量保修办法》，经协商一致，对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（工程名称）签订保修书。</w:t>
      </w:r>
    </w:p>
    <w:p>
      <w:pPr>
        <w:spacing w:line="400" w:lineRule="exact"/>
        <w:rPr>
          <w:rFonts w:asciiTheme="minorEastAsia" w:hAnsiTheme="minorEastAsia" w:eastAsiaTheme="minorEastAsia" w:cstheme="minorEastAsia"/>
          <w:b/>
          <w:szCs w:val="21"/>
        </w:rPr>
      </w:pPr>
      <w:bookmarkStart w:id="440" w:name="_Toc23893_WPSOffice_Level2"/>
      <w:bookmarkStart w:id="441" w:name="_Toc23239_WPSOffice_Level2"/>
      <w:bookmarkStart w:id="442" w:name="_Toc25732_WPSOffice_Level2"/>
      <w:bookmarkStart w:id="443" w:name="_Toc27368_WPSOffice_Level2"/>
      <w:bookmarkStart w:id="444" w:name="_Toc9079_WPSOffice_Level2"/>
      <w:bookmarkStart w:id="445" w:name="_Toc2181_WPSOffice_Level2"/>
      <w:bookmarkStart w:id="446" w:name="_Toc21431_WPSOffice_Level2"/>
      <w:bookmarkStart w:id="447" w:name="_Toc19513_WPSOffice_Level2"/>
      <w:bookmarkStart w:id="448" w:name="_Toc111445498"/>
      <w:bookmarkStart w:id="449" w:name="_Toc31385_WPSOffice_Level2"/>
      <w:r>
        <w:rPr>
          <w:rFonts w:hint="eastAsia" w:asciiTheme="minorEastAsia" w:hAnsiTheme="minorEastAsia" w:eastAsiaTheme="minorEastAsia" w:cstheme="minorEastAsia"/>
          <w:b/>
          <w:szCs w:val="21"/>
        </w:rPr>
        <w:t>一、工程保修范围和内容</w:t>
      </w:r>
      <w:bookmarkEnd w:id="440"/>
      <w:bookmarkEnd w:id="441"/>
      <w:bookmarkEnd w:id="442"/>
      <w:bookmarkEnd w:id="443"/>
      <w:bookmarkEnd w:id="444"/>
      <w:bookmarkEnd w:id="445"/>
      <w:bookmarkEnd w:id="446"/>
      <w:bookmarkEnd w:id="447"/>
      <w:bookmarkEnd w:id="448"/>
      <w:bookmarkEnd w:id="449"/>
    </w:p>
    <w:p>
      <w:pPr>
        <w:spacing w:line="400" w:lineRule="exact"/>
        <w:ind w:firstLine="49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承包人在保修期内，按照有关法律、法规、规章的管理规定和双方约定，承担本工程保修责任。</w:t>
      </w:r>
    </w:p>
    <w:p>
      <w:pPr>
        <w:spacing w:line="400" w:lineRule="exact"/>
        <w:ind w:firstLine="49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保修责任范围包括但不限于：墙面粉饰工程、管道铺设、楼梯面层硬化、装修工程，天棚抹灰、卫生间改造以及双方约定的其他项目。具体保修的内容，双方约定如下：</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400" w:lineRule="exact"/>
        <w:rPr>
          <w:rFonts w:asciiTheme="minorEastAsia" w:hAnsiTheme="minorEastAsia" w:eastAsiaTheme="minorEastAsia" w:cstheme="minorEastAsia"/>
          <w:b/>
          <w:szCs w:val="21"/>
        </w:rPr>
      </w:pPr>
      <w:bookmarkStart w:id="450" w:name="_Toc28585_WPSOffice_Level2"/>
      <w:bookmarkStart w:id="451" w:name="_Toc20709_WPSOffice_Level2"/>
      <w:bookmarkStart w:id="452" w:name="_Toc27799_WPSOffice_Level2"/>
      <w:bookmarkStart w:id="453" w:name="_Toc25083_WPSOffice_Level2"/>
      <w:bookmarkStart w:id="454" w:name="_Toc1499_WPSOffice_Level2"/>
      <w:bookmarkStart w:id="455" w:name="_Toc25784_WPSOffice_Level2"/>
      <w:bookmarkStart w:id="456" w:name="_Toc20553_WPSOffice_Level2"/>
      <w:bookmarkStart w:id="457" w:name="_Toc111445499"/>
      <w:bookmarkStart w:id="458" w:name="_Toc15417_WPSOffice_Level2"/>
      <w:bookmarkStart w:id="459" w:name="_Toc26736_WPSOffice_Level2"/>
      <w:r>
        <w:rPr>
          <w:rFonts w:hint="eastAsia" w:asciiTheme="minorEastAsia" w:hAnsiTheme="minorEastAsia" w:eastAsiaTheme="minorEastAsia" w:cstheme="minorEastAsia"/>
          <w:b/>
          <w:szCs w:val="21"/>
        </w:rPr>
        <w:t>二、保修期</w:t>
      </w:r>
      <w:bookmarkEnd w:id="450"/>
      <w:bookmarkEnd w:id="451"/>
      <w:bookmarkEnd w:id="452"/>
      <w:bookmarkEnd w:id="453"/>
      <w:bookmarkEnd w:id="454"/>
      <w:bookmarkEnd w:id="455"/>
      <w:bookmarkEnd w:id="456"/>
      <w:bookmarkEnd w:id="457"/>
      <w:bookmarkEnd w:id="458"/>
      <w:bookmarkEnd w:id="459"/>
    </w:p>
    <w:p>
      <w:pPr>
        <w:numPr>
          <w:ilvl w:val="1"/>
          <w:numId w:val="2"/>
        </w:numPr>
        <w:tabs>
          <w:tab w:val="left" w:pos="800"/>
          <w:tab w:val="left" w:pos="1740"/>
        </w:tabs>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双方根据《建设工程质量管理条例》及有关规定，约定本工程的保修期如下：</w:t>
      </w:r>
    </w:p>
    <w:p>
      <w:pPr>
        <w:numPr>
          <w:ilvl w:val="1"/>
          <w:numId w:val="2"/>
        </w:numPr>
        <w:tabs>
          <w:tab w:val="left" w:pos="800"/>
          <w:tab w:val="left" w:pos="1740"/>
        </w:tabs>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墙面粉饰工程、管道铺设、楼梯面层硬化、装修工程，天棚抹灰、卫生间改造</w:t>
      </w:r>
      <w:r>
        <w:rPr>
          <w:rFonts w:hint="eastAsia" w:asciiTheme="minorEastAsia" w:hAnsiTheme="minorEastAsia" w:eastAsiaTheme="minorEastAsia" w:cstheme="minorEastAsia"/>
          <w:szCs w:val="21"/>
        </w:rPr>
        <w:t>以及双方约定的其他项目。</w:t>
      </w:r>
    </w:p>
    <w:p>
      <w:pPr>
        <w:tabs>
          <w:tab w:val="left" w:pos="800"/>
          <w:tab w:val="left" w:pos="1740"/>
        </w:tabs>
        <w:spacing w:line="400" w:lineRule="exact"/>
        <w:ind w:left="84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u w:val="single"/>
        </w:rPr>
        <w:t>墙面粉饰工程、管道铺设、楼梯面层硬化、装修工程，天棚抹灰、卫生间改造</w:t>
      </w:r>
      <w:r>
        <w:rPr>
          <w:rFonts w:hint="eastAsia" w:asciiTheme="minorEastAsia" w:hAnsiTheme="minorEastAsia" w:eastAsiaTheme="minorEastAsia" w:cstheme="minorEastAsia"/>
          <w:szCs w:val="21"/>
        </w:rPr>
        <w:t xml:space="preserve">以及双方约定的其他项目为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w:t>
      </w:r>
    </w:p>
    <w:p>
      <w:pPr>
        <w:numPr>
          <w:ilvl w:val="1"/>
          <w:numId w:val="2"/>
        </w:numPr>
        <w:tabs>
          <w:tab w:val="left" w:pos="800"/>
          <w:tab w:val="left" w:pos="1740"/>
        </w:tabs>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其他项目保修期限约定如下：</w:t>
      </w:r>
    </w:p>
    <w:p>
      <w:pPr>
        <w:spacing w:line="40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pPr>
        <w:spacing w:line="400" w:lineRule="exact"/>
        <w:rPr>
          <w:rFonts w:asciiTheme="minorEastAsia" w:hAnsiTheme="minorEastAsia" w:eastAsiaTheme="minorEastAsia" w:cstheme="minorEastAsia"/>
          <w:b/>
          <w:szCs w:val="21"/>
        </w:rPr>
      </w:pPr>
      <w:bookmarkStart w:id="460" w:name="_Toc737_WPSOffice_Level2"/>
      <w:bookmarkStart w:id="461" w:name="_Toc12749_WPSOffice_Level2"/>
      <w:bookmarkStart w:id="462" w:name="_Toc29549_WPSOffice_Level2"/>
      <w:bookmarkStart w:id="463" w:name="_Toc26660_WPSOffice_Level2"/>
      <w:bookmarkStart w:id="464" w:name="_Toc25481_WPSOffice_Level2"/>
      <w:bookmarkStart w:id="465" w:name="_Toc111445500"/>
      <w:bookmarkStart w:id="466" w:name="_Toc14903_WPSOffice_Level2"/>
      <w:bookmarkStart w:id="467" w:name="_Toc2008_WPSOffice_Level2"/>
      <w:bookmarkStart w:id="468" w:name="_Toc14012_WPSOffice_Level2"/>
      <w:bookmarkStart w:id="469" w:name="_Toc826_WPSOffice_Level2"/>
      <w:r>
        <w:rPr>
          <w:rFonts w:hint="eastAsia" w:asciiTheme="minorEastAsia" w:hAnsiTheme="minorEastAsia" w:eastAsiaTheme="minorEastAsia" w:cstheme="minorEastAsia"/>
          <w:b/>
          <w:szCs w:val="21"/>
        </w:rPr>
        <w:t>三、保修责任</w:t>
      </w:r>
      <w:bookmarkEnd w:id="460"/>
      <w:bookmarkEnd w:id="461"/>
      <w:bookmarkEnd w:id="462"/>
      <w:bookmarkEnd w:id="463"/>
      <w:bookmarkEnd w:id="464"/>
      <w:bookmarkEnd w:id="465"/>
      <w:bookmarkEnd w:id="466"/>
      <w:bookmarkEnd w:id="467"/>
      <w:bookmarkEnd w:id="468"/>
      <w:bookmarkEnd w:id="469"/>
    </w:p>
    <w:p>
      <w:pPr>
        <w:tabs>
          <w:tab w:val="left" w:pos="1740"/>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1、属于责任范围、内容的项目，承包人应当在接到保修通知之日起7天内派人保修。承包人不在约定期限内派人保修的，发包人可以委托他人修理。</w:t>
      </w:r>
    </w:p>
    <w:p>
      <w:pPr>
        <w:tabs>
          <w:tab w:val="left" w:pos="1740"/>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2、发生紧急抢修事故的，承包人在接到事故通知后，应当立即到达事故现场抢修。</w:t>
      </w:r>
    </w:p>
    <w:p>
      <w:pPr>
        <w:tabs>
          <w:tab w:val="left" w:pos="1740"/>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tabs>
          <w:tab w:val="left" w:pos="1740"/>
        </w:tabs>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4、质量保修完成后，由发包人组织验收。</w:t>
      </w:r>
    </w:p>
    <w:p>
      <w:pPr>
        <w:spacing w:line="400" w:lineRule="exact"/>
        <w:rPr>
          <w:rFonts w:asciiTheme="minorEastAsia" w:hAnsiTheme="minorEastAsia" w:eastAsiaTheme="minorEastAsia" w:cstheme="minorEastAsia"/>
          <w:b/>
          <w:szCs w:val="21"/>
        </w:rPr>
      </w:pPr>
      <w:bookmarkStart w:id="470" w:name="_Toc20507_WPSOffice_Level2"/>
      <w:bookmarkStart w:id="471" w:name="_Toc11377_WPSOffice_Level2"/>
      <w:bookmarkStart w:id="472" w:name="_Toc5358_WPSOffice_Level2"/>
      <w:bookmarkStart w:id="473" w:name="_Toc10571_WPSOffice_Level2"/>
      <w:bookmarkStart w:id="474" w:name="_Toc111445501"/>
      <w:bookmarkStart w:id="475" w:name="_Toc22600_WPSOffice_Level2"/>
      <w:bookmarkStart w:id="476" w:name="_Toc10343_WPSOffice_Level2"/>
      <w:bookmarkStart w:id="477" w:name="_Toc8075_WPSOffice_Level2"/>
      <w:bookmarkStart w:id="478" w:name="_Toc8033_WPSOffice_Level2"/>
      <w:bookmarkStart w:id="479" w:name="_Toc2439_WPSOffice_Level2"/>
      <w:r>
        <w:rPr>
          <w:rFonts w:hint="eastAsia" w:asciiTheme="minorEastAsia" w:hAnsiTheme="minorEastAsia" w:eastAsiaTheme="minorEastAsia" w:cstheme="minorEastAsia"/>
          <w:b/>
          <w:szCs w:val="21"/>
        </w:rPr>
        <w:t>四、保修费用</w:t>
      </w:r>
      <w:bookmarkEnd w:id="470"/>
      <w:bookmarkEnd w:id="471"/>
      <w:bookmarkEnd w:id="472"/>
      <w:bookmarkEnd w:id="473"/>
      <w:bookmarkEnd w:id="474"/>
      <w:bookmarkEnd w:id="475"/>
      <w:bookmarkEnd w:id="476"/>
      <w:bookmarkEnd w:id="477"/>
      <w:bookmarkEnd w:id="478"/>
      <w:bookmarkEnd w:id="479"/>
    </w:p>
    <w:p>
      <w:pPr>
        <w:spacing w:line="400" w:lineRule="exact"/>
        <w:ind w:left="42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保修费用由造成质量缺陷的责任方承担。</w:t>
      </w:r>
    </w:p>
    <w:p>
      <w:pPr>
        <w:spacing w:line="400" w:lineRule="exact"/>
        <w:rPr>
          <w:rFonts w:asciiTheme="minorEastAsia" w:hAnsiTheme="minorEastAsia" w:eastAsiaTheme="minorEastAsia" w:cstheme="minorEastAsia"/>
          <w:b/>
          <w:szCs w:val="21"/>
        </w:rPr>
      </w:pPr>
      <w:bookmarkStart w:id="480" w:name="_Toc15875_WPSOffice_Level2"/>
      <w:bookmarkStart w:id="481" w:name="_Toc9258_WPSOffice_Level2"/>
      <w:bookmarkStart w:id="482" w:name="_Toc111445502"/>
      <w:bookmarkStart w:id="483" w:name="_Toc2543_WPSOffice_Level2"/>
      <w:bookmarkStart w:id="484" w:name="_Toc21244_WPSOffice_Level2"/>
      <w:bookmarkStart w:id="485" w:name="_Toc5935_WPSOffice_Level2"/>
      <w:bookmarkStart w:id="486" w:name="_Toc18871_WPSOffice_Level2"/>
      <w:bookmarkStart w:id="487" w:name="_Toc20497_WPSOffice_Level2"/>
      <w:bookmarkStart w:id="488" w:name="_Toc24030_WPSOffice_Level2"/>
      <w:bookmarkStart w:id="489" w:name="_Toc12713_WPSOffice_Level2"/>
      <w:r>
        <w:rPr>
          <w:rFonts w:hint="eastAsia" w:asciiTheme="minorEastAsia" w:hAnsiTheme="minorEastAsia" w:eastAsiaTheme="minorEastAsia" w:cstheme="minorEastAsia"/>
          <w:b/>
          <w:szCs w:val="21"/>
        </w:rPr>
        <w:t>五、其他</w:t>
      </w:r>
      <w:bookmarkEnd w:id="480"/>
      <w:bookmarkEnd w:id="481"/>
      <w:bookmarkEnd w:id="482"/>
      <w:bookmarkEnd w:id="483"/>
      <w:bookmarkEnd w:id="484"/>
      <w:bookmarkEnd w:id="485"/>
      <w:bookmarkEnd w:id="486"/>
      <w:bookmarkEnd w:id="487"/>
      <w:bookmarkEnd w:id="488"/>
      <w:bookmarkEnd w:id="489"/>
    </w:p>
    <w:p>
      <w:pPr>
        <w:spacing w:line="400" w:lineRule="exact"/>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双方约定的其他工程保修责任事项：</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本工程保修书，由施工合同发包人、承包人双方在竣工验收前共同签署，作为施工合同附件，其有效期限至保修期满。</w:t>
      </w:r>
    </w:p>
    <w:p>
      <w:pPr>
        <w:tabs>
          <w:tab w:val="left" w:pos="4860"/>
        </w:tabs>
        <w:spacing w:line="40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（公章）       承包人：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（公章）</w:t>
      </w:r>
    </w:p>
    <w:p>
      <w:pPr>
        <w:spacing w:line="400" w:lineRule="exact"/>
        <w:ind w:firstLine="210" w:firstLineChars="1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法定地址：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法定地址：</w:t>
      </w:r>
      <w:r>
        <w:rPr>
          <w:rFonts w:hint="eastAsia" w:asciiTheme="minorEastAsia" w:hAnsiTheme="minorEastAsia" w:eastAsiaTheme="minorEastAsia" w:cstheme="minorEastAsia"/>
          <w:szCs w:val="21"/>
          <w:u w:val="single"/>
        </w:rPr>
        <w:t xml:space="preserve">                </w:t>
      </w:r>
    </w:p>
    <w:p>
      <w:pPr>
        <w:tabs>
          <w:tab w:val="left" w:pos="4680"/>
        </w:tabs>
        <w:spacing w:line="400" w:lineRule="exact"/>
        <w:ind w:left="5250" w:leftChars="100" w:hanging="5040" w:hangingChars="2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（签字） 法定代表人或其 委托代理人：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（签字</w:t>
      </w:r>
    </w:p>
    <w:p>
      <w:pPr>
        <w:spacing w:line="400" w:lineRule="exact"/>
        <w:ind w:firstLine="210" w:firstLineChars="100"/>
        <w:rPr>
          <w:u w:val="single"/>
        </w:rPr>
      </w:pPr>
      <w:r>
        <w:rPr>
          <w:rFonts w:hint="eastAsia" w:asciiTheme="minorEastAsia" w:hAnsiTheme="minorEastAsia" w:eastAsiaTheme="minorEastAsia" w:cstheme="minorEastAsia"/>
          <w:szCs w:val="21"/>
        </w:rPr>
        <w:t>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xml:space="preserve">            电话：</w:t>
      </w:r>
      <w:r>
        <w:rPr>
          <w:rFonts w:hint="eastAsia"/>
          <w:u w:val="single"/>
        </w:rPr>
        <w:t xml:space="preserve">  </w:t>
      </w:r>
      <w:r>
        <w:rPr>
          <w:rFonts w:hint="eastAsia" w:asciiTheme="minorEastAsia" w:hAnsiTheme="minorEastAsia" w:eastAsiaTheme="minorEastAsia" w:cstheme="minorEastAsia"/>
          <w:szCs w:val="21"/>
          <w:u w:val="single"/>
        </w:rPr>
        <w:t xml:space="preserve">                     </w:t>
      </w:r>
      <w:r>
        <w:rPr>
          <w:rFonts w:hint="eastAsia"/>
          <w:u w:val="single"/>
        </w:rPr>
        <w:t xml:space="preserve">                  </w:t>
      </w:r>
    </w:p>
    <w:p>
      <w:pPr>
        <w:tabs>
          <w:tab w:val="left" w:pos="4635"/>
        </w:tabs>
        <w:spacing w:line="400" w:lineRule="exact"/>
        <w:ind w:firstLine="210" w:firstLineChars="1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传真：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传真：</w:t>
      </w:r>
      <w:r>
        <w:rPr>
          <w:rFonts w:hint="eastAsia" w:asciiTheme="minorEastAsia" w:hAnsiTheme="minorEastAsia" w:eastAsiaTheme="minorEastAsia" w:cstheme="minorEastAsia"/>
          <w:szCs w:val="21"/>
          <w:u w:val="single"/>
        </w:rPr>
        <w:t xml:space="preserve">                                         </w:t>
      </w:r>
    </w:p>
    <w:p>
      <w:pPr>
        <w:tabs>
          <w:tab w:val="left" w:pos="4635"/>
        </w:tabs>
        <w:spacing w:line="400" w:lineRule="exact"/>
        <w:ind w:firstLine="210" w:firstLineChars="1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电子邮箱：</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电子邮箱：</w:t>
      </w:r>
      <w:r>
        <w:rPr>
          <w:rFonts w:hint="eastAsia" w:asciiTheme="minorEastAsia" w:hAnsiTheme="minorEastAsia" w:eastAsiaTheme="minorEastAsia" w:cstheme="minorEastAsia"/>
          <w:szCs w:val="21"/>
          <w:u w:val="single"/>
        </w:rPr>
        <w:t xml:space="preserve">                </w:t>
      </w:r>
    </w:p>
    <w:p>
      <w:pPr>
        <w:tabs>
          <w:tab w:val="left" w:pos="4635"/>
        </w:tabs>
        <w:spacing w:line="40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u w:val="single"/>
        </w:rPr>
        <w:t xml:space="preserve">                </w:t>
      </w:r>
    </w:p>
    <w:p>
      <w:pPr>
        <w:tabs>
          <w:tab w:val="left" w:pos="4635"/>
        </w:tabs>
        <w:spacing w:line="40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帐号：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帐号：</w:t>
      </w:r>
      <w:r>
        <w:rPr>
          <w:rFonts w:hint="eastAsia" w:asciiTheme="minorEastAsia" w:hAnsiTheme="minorEastAsia" w:eastAsiaTheme="minorEastAsia" w:cstheme="minorEastAsia"/>
          <w:szCs w:val="21"/>
          <w:u w:val="single"/>
        </w:rPr>
        <w:t xml:space="preserve">                    </w:t>
      </w:r>
    </w:p>
    <w:p>
      <w:pPr>
        <w:pStyle w:val="10"/>
        <w:tabs>
          <w:tab w:val="left" w:pos="4680"/>
        </w:tabs>
        <w:spacing w:line="400" w:lineRule="exact"/>
        <w:ind w:left="0" w:leftChars="0"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邮政编码：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pStyle w:val="10"/>
        <w:spacing w:line="400" w:lineRule="exact"/>
        <w:ind w:firstLine="420" w:firstLineChars="200"/>
        <w:rPr>
          <w:rFonts w:asciiTheme="minorEastAsia" w:hAnsiTheme="minorEastAsia" w:eastAsiaTheme="minorEastAsia" w:cstheme="minorEastAsia"/>
          <w:szCs w:val="21"/>
        </w:rPr>
      </w:pPr>
    </w:p>
    <w:p>
      <w:pPr>
        <w:pStyle w:val="10"/>
        <w:tabs>
          <w:tab w:val="left" w:pos="4680"/>
        </w:tabs>
        <w:spacing w:line="400" w:lineRule="exact"/>
        <w:ind w:left="0" w:left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pStyle w:val="10"/>
        <w:spacing w:line="400" w:lineRule="exact"/>
        <w:ind w:firstLine="420" w:firstLineChars="200"/>
        <w:rPr>
          <w:rFonts w:asciiTheme="minorEastAsia" w:hAnsiTheme="minorEastAsia" w:eastAsiaTheme="minorEastAsia" w:cstheme="minorEastAsia"/>
          <w:szCs w:val="21"/>
        </w:rPr>
      </w:pPr>
    </w:p>
    <w:p>
      <w:pPr>
        <w:pStyle w:val="3"/>
        <w:spacing w:line="440" w:lineRule="exact"/>
      </w:pPr>
      <w:bookmarkStart w:id="490" w:name="_Toc32710"/>
      <w:r>
        <w:rPr>
          <w:rFonts w:hint="eastAsia" w:asciiTheme="minorEastAsia" w:hAnsiTheme="minorEastAsia" w:eastAsiaTheme="minorEastAsia" w:cstheme="minorEastAsia"/>
          <w:kern w:val="0"/>
          <w:sz w:val="21"/>
          <w:szCs w:val="21"/>
        </w:rPr>
        <w:br w:type="page"/>
      </w:r>
      <w:bookmarkStart w:id="491" w:name="_Toc26635"/>
      <w:bookmarkStart w:id="492" w:name="_Toc201287629"/>
      <w:bookmarkStart w:id="493" w:name="_Toc16649_WPSOffice_Level1"/>
      <w:bookmarkStart w:id="494" w:name="_Toc368987799"/>
      <w:bookmarkStart w:id="495" w:name="_Toc365373202"/>
      <w:r>
        <w:rPr>
          <w:rFonts w:hint="eastAsia"/>
        </w:rPr>
        <w:t>第五部分</w:t>
      </w:r>
      <w:r>
        <w:t xml:space="preserve"> </w:t>
      </w:r>
      <w:r>
        <w:rPr>
          <w:rFonts w:hint="eastAsia"/>
        </w:rPr>
        <w:t>技术标准和要求</w:t>
      </w:r>
      <w:bookmarkEnd w:id="490"/>
      <w:bookmarkEnd w:id="491"/>
      <w:bookmarkEnd w:id="492"/>
      <w:bookmarkEnd w:id="493"/>
      <w:bookmarkEnd w:id="494"/>
      <w:bookmarkEnd w:id="495"/>
    </w:p>
    <w:p>
      <w:pPr>
        <w:pStyle w:val="2"/>
      </w:pPr>
      <w:bookmarkStart w:id="496" w:name="_Toc11884"/>
      <w:bookmarkStart w:id="497" w:name="_Toc4747"/>
      <w:bookmarkStart w:id="498" w:name="_Toc365373203"/>
      <w:bookmarkStart w:id="499" w:name="_Toc368987800"/>
      <w:bookmarkStart w:id="500" w:name="_Toc194999248"/>
      <w:bookmarkStart w:id="501" w:name="_Toc201287630"/>
      <w:bookmarkStart w:id="502" w:name="_Toc17996_WPSOffice_Level2"/>
      <w:r>
        <w:rPr>
          <w:rFonts w:hint="eastAsia"/>
        </w:rPr>
        <w:t>1.工程建设条件</w:t>
      </w:r>
      <w:bookmarkEnd w:id="496"/>
      <w:bookmarkEnd w:id="497"/>
      <w:bookmarkEnd w:id="498"/>
      <w:bookmarkEnd w:id="499"/>
      <w:bookmarkEnd w:id="500"/>
      <w:bookmarkEnd w:id="501"/>
      <w:bookmarkEnd w:id="502"/>
    </w:p>
    <w:p>
      <w:pPr>
        <w:pStyle w:val="14"/>
        <w:spacing w:line="400" w:lineRule="exact"/>
        <w:ind w:firstLine="480" w:firstLineChars="200"/>
        <w:rPr>
          <w:iCs w:val="0"/>
          <w:color w:val="000000" w:themeColor="text1"/>
          <w:sz w:val="24"/>
          <w:szCs w:val="24"/>
        </w:rPr>
      </w:pPr>
      <w:bookmarkStart w:id="503" w:name="_Toc11927_WPSOffice_Level2"/>
      <w:bookmarkStart w:id="504" w:name="_Toc3216_WPSOffice_Level2"/>
      <w:bookmarkStart w:id="505" w:name="_Toc29708_WPSOffice_Level2"/>
      <w:bookmarkStart w:id="506" w:name="_Toc1893_WPSOffice_Level2"/>
      <w:bookmarkStart w:id="507" w:name="_Toc3539_WPSOffice_Level2"/>
      <w:bookmarkStart w:id="508" w:name="_Toc26636_WPSOffice_Level2"/>
      <w:r>
        <w:rPr>
          <w:rFonts w:hint="eastAsia"/>
          <w:iCs w:val="0"/>
          <w:color w:val="000000" w:themeColor="text1"/>
          <w:sz w:val="24"/>
          <w:szCs w:val="24"/>
        </w:rPr>
        <w:t>1、现场施工条件：现场已具备施工条件。</w:t>
      </w:r>
      <w:bookmarkEnd w:id="503"/>
      <w:bookmarkEnd w:id="504"/>
      <w:bookmarkEnd w:id="505"/>
      <w:bookmarkEnd w:id="506"/>
      <w:bookmarkEnd w:id="507"/>
      <w:bookmarkEnd w:id="508"/>
      <w:bookmarkStart w:id="509" w:name="_Toc49912620"/>
      <w:bookmarkStart w:id="510" w:name="_Toc30386154"/>
    </w:p>
    <w:p>
      <w:pPr>
        <w:pStyle w:val="2"/>
      </w:pPr>
      <w:bookmarkStart w:id="511" w:name="_Toc14075"/>
      <w:bookmarkStart w:id="512" w:name="_Toc194999249"/>
      <w:bookmarkStart w:id="513" w:name="_Toc10576"/>
      <w:bookmarkStart w:id="514" w:name="_Toc201287631"/>
      <w:bookmarkStart w:id="515" w:name="_Toc19648_WPSOffice_Level2"/>
      <w:bookmarkStart w:id="516" w:name="_Toc365373204"/>
      <w:bookmarkStart w:id="517" w:name="_Toc368987801"/>
      <w:r>
        <w:rPr>
          <w:rFonts w:hint="eastAsia"/>
        </w:rPr>
        <w:t>2.工程建设要求</w:t>
      </w:r>
      <w:bookmarkEnd w:id="509"/>
      <w:bookmarkEnd w:id="510"/>
      <w:bookmarkEnd w:id="511"/>
      <w:bookmarkEnd w:id="512"/>
      <w:bookmarkEnd w:id="513"/>
      <w:bookmarkEnd w:id="514"/>
      <w:bookmarkEnd w:id="515"/>
      <w:bookmarkEnd w:id="516"/>
      <w:bookmarkEnd w:id="517"/>
    </w:p>
    <w:p>
      <w:pPr>
        <w:spacing w:line="560" w:lineRule="exact"/>
        <w:ind w:firstLine="420" w:firstLineChars="200"/>
        <w:rPr>
          <w:rFonts w:ascii="宋体" w:hAnsi="宋体"/>
          <w:color w:val="000000" w:themeColor="text1"/>
          <w:szCs w:val="21"/>
        </w:rPr>
      </w:pPr>
      <w:bookmarkStart w:id="518" w:name="_Toc8089_WPSOffice_Level2"/>
      <w:bookmarkStart w:id="519" w:name="_Toc9928_WPSOffice_Level2"/>
      <w:bookmarkStart w:id="520" w:name="_Toc11150_WPSOffice_Level2"/>
      <w:bookmarkStart w:id="521" w:name="_Toc18839_WPSOffice_Level2"/>
      <w:bookmarkStart w:id="522" w:name="_Toc28445_WPSOffice_Level2"/>
      <w:bookmarkStart w:id="523" w:name="_Toc6171_WPSOffice_Level2"/>
      <w:r>
        <w:rPr>
          <w:rFonts w:hint="eastAsia" w:ascii="宋体" w:hAnsi="宋体"/>
          <w:color w:val="000000" w:themeColor="text1"/>
          <w:szCs w:val="21"/>
        </w:rPr>
        <w:t>2、基本要求</w:t>
      </w:r>
      <w:bookmarkEnd w:id="518"/>
      <w:bookmarkEnd w:id="519"/>
      <w:bookmarkEnd w:id="520"/>
      <w:bookmarkEnd w:id="521"/>
      <w:bookmarkEnd w:id="522"/>
      <w:bookmarkEnd w:id="523"/>
    </w:p>
    <w:p>
      <w:pPr>
        <w:spacing w:line="560" w:lineRule="exact"/>
        <w:ind w:firstLine="420" w:firstLineChars="200"/>
        <w:rPr>
          <w:rFonts w:ascii="宋体" w:hAnsi="宋体"/>
          <w:color w:val="000000" w:themeColor="text1"/>
          <w:szCs w:val="21"/>
        </w:rPr>
      </w:pPr>
      <w:r>
        <w:rPr>
          <w:rFonts w:hint="eastAsia" w:ascii="宋体" w:hAnsi="宋体"/>
          <w:color w:val="000000" w:themeColor="text1"/>
          <w:szCs w:val="21"/>
        </w:rPr>
        <w:t>2.1本工程项目管理目标：</w:t>
      </w:r>
    </w:p>
    <w:p>
      <w:pPr>
        <w:spacing w:line="560" w:lineRule="exact"/>
        <w:ind w:firstLine="420" w:firstLineChars="200"/>
        <w:rPr>
          <w:rFonts w:ascii="宋体" w:hAnsi="宋体"/>
          <w:color w:val="000000" w:themeColor="text1"/>
          <w:szCs w:val="21"/>
        </w:rPr>
      </w:pPr>
      <w:r>
        <w:rPr>
          <w:rFonts w:hint="eastAsia" w:ascii="宋体" w:hAnsi="宋体"/>
          <w:color w:val="000000" w:themeColor="text1"/>
          <w:szCs w:val="21"/>
        </w:rPr>
        <w:t>2.1.1质量：合格；</w:t>
      </w:r>
    </w:p>
    <w:p>
      <w:pPr>
        <w:spacing w:line="560" w:lineRule="exact"/>
        <w:ind w:firstLine="420" w:firstLineChars="200"/>
        <w:rPr>
          <w:rFonts w:ascii="宋体" w:hAnsi="宋体"/>
          <w:color w:val="FF0000"/>
          <w:szCs w:val="21"/>
        </w:rPr>
      </w:pPr>
      <w:r>
        <w:rPr>
          <w:rFonts w:hint="eastAsia" w:ascii="宋体" w:hAnsi="宋体"/>
          <w:color w:val="000000" w:themeColor="text1"/>
          <w:szCs w:val="21"/>
        </w:rPr>
        <w:t>2.1.2施工工期： 45</w:t>
      </w:r>
      <w:r>
        <w:rPr>
          <w:rFonts w:hint="eastAsia"/>
          <w:color w:val="000000" w:themeColor="text1"/>
        </w:rPr>
        <w:t>日历天（2020年10月15日至2020年11月28日）</w:t>
      </w:r>
    </w:p>
    <w:p>
      <w:pPr>
        <w:spacing w:line="560" w:lineRule="exact"/>
        <w:ind w:firstLine="420" w:firstLineChars="200"/>
        <w:rPr>
          <w:rFonts w:ascii="宋体" w:hAnsi="宋体"/>
          <w:color w:val="000000" w:themeColor="text1"/>
          <w:szCs w:val="21"/>
        </w:rPr>
      </w:pPr>
      <w:r>
        <w:rPr>
          <w:rFonts w:hint="eastAsia" w:ascii="宋体" w:hAnsi="宋体"/>
          <w:color w:val="000000" w:themeColor="text1"/>
          <w:szCs w:val="21"/>
        </w:rPr>
        <w:t>2.1.3施工现场应做好安全生产及文明施工。</w:t>
      </w:r>
    </w:p>
    <w:p>
      <w:pPr>
        <w:spacing w:line="560" w:lineRule="exact"/>
        <w:ind w:firstLine="420" w:firstLineChars="200"/>
        <w:rPr>
          <w:rFonts w:ascii="宋体" w:hAnsi="宋体"/>
          <w:color w:val="000000" w:themeColor="text1"/>
          <w:szCs w:val="21"/>
        </w:rPr>
      </w:pPr>
      <w:r>
        <w:rPr>
          <w:rFonts w:hint="eastAsia" w:ascii="宋体" w:hAnsi="宋体"/>
          <w:color w:val="000000" w:themeColor="text1"/>
          <w:szCs w:val="21"/>
        </w:rPr>
        <w:t>2.2承包人必须按照国家现行施工验收规范、质量检验评定标准组织施工。建立和健全质量保证体系，以承包人主体行为规范和施工人员的工作质量确保施工质量。</w:t>
      </w:r>
    </w:p>
    <w:p>
      <w:pPr>
        <w:spacing w:line="560" w:lineRule="exact"/>
        <w:ind w:firstLine="420" w:firstLineChars="200"/>
        <w:rPr>
          <w:rFonts w:ascii="宋体" w:hAnsi="宋体"/>
          <w:color w:val="000000" w:themeColor="text1"/>
          <w:szCs w:val="21"/>
        </w:rPr>
      </w:pPr>
      <w:r>
        <w:rPr>
          <w:rFonts w:hint="eastAsia" w:ascii="宋体" w:hAnsi="宋体"/>
          <w:color w:val="000000" w:themeColor="text1"/>
          <w:szCs w:val="21"/>
        </w:rPr>
        <w:t>2.3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pPr>
        <w:spacing w:line="560" w:lineRule="exact"/>
        <w:ind w:firstLine="420" w:firstLineChars="200"/>
        <w:rPr>
          <w:rFonts w:ascii="宋体" w:hAnsi="宋体"/>
          <w:color w:val="000000" w:themeColor="text1"/>
          <w:szCs w:val="21"/>
        </w:rPr>
      </w:pPr>
      <w:r>
        <w:rPr>
          <w:rFonts w:hint="eastAsia" w:ascii="宋体" w:hAnsi="宋体"/>
          <w:color w:val="000000" w:themeColor="text1"/>
          <w:szCs w:val="21"/>
        </w:rPr>
        <w:t>2.4建筑工程采用的主要材料、半成品、成品、建筑构配件、器具和设备应进行现场验收，应按各分部工程质量验收规范规定进行复验和抽验，并经监理工程师（建设单位技术负责人）、甲方签字认可，项目经理需在投标文件中做出相对应的承诺，建筑工程所需的原材料都需提供供货渠道、购货发票、检验报告等，所产生的费用都需包含在投标报价中。</w:t>
      </w:r>
    </w:p>
    <w:p>
      <w:pPr>
        <w:spacing w:line="560" w:lineRule="exact"/>
        <w:ind w:firstLine="420" w:firstLineChars="200"/>
        <w:rPr>
          <w:rFonts w:ascii="宋体" w:hAnsi="宋体"/>
          <w:color w:val="000000" w:themeColor="text1"/>
          <w:szCs w:val="21"/>
        </w:rPr>
      </w:pPr>
      <w:r>
        <w:rPr>
          <w:rFonts w:hint="eastAsia" w:ascii="宋体" w:hAnsi="宋体"/>
          <w:color w:val="000000" w:themeColor="text1"/>
          <w:szCs w:val="21"/>
        </w:rPr>
        <w:t>2.5突出抓好施工过程控制，加强全过程质量管理。在施工过程中要认真做好施工节奏控制、工序质量控制、现场管理控制；加强每道工序的质量管理，对各工序间的交接检验及专业工种之间交接环节的工程质量应采取有效措施，加强自检和复检，并形成记录。未经监理工程师（建设单位技术负责人）检查认可，不得进行下一道工序施工。应健全满足施工图设计和建筑物功能要求的抽验检查和检测制度。</w:t>
      </w:r>
    </w:p>
    <w:p>
      <w:pPr>
        <w:spacing w:line="560" w:lineRule="exact"/>
        <w:ind w:firstLine="420" w:firstLineChars="200"/>
        <w:rPr>
          <w:rFonts w:ascii="宋体" w:hAnsi="宋体"/>
          <w:color w:val="000000" w:themeColor="text1"/>
          <w:szCs w:val="21"/>
        </w:rPr>
      </w:pPr>
      <w:r>
        <w:rPr>
          <w:rFonts w:hint="eastAsia" w:ascii="宋体" w:hAnsi="宋体"/>
          <w:color w:val="000000" w:themeColor="text1"/>
          <w:szCs w:val="21"/>
        </w:rPr>
        <w:t>2.6承包人必须编制切实可行的施工进度计划，以保证施工连续均衡、有节奏地进行，合理使用人力、物力和财力，确保工程按期完成。</w:t>
      </w:r>
    </w:p>
    <w:p>
      <w:pPr>
        <w:spacing w:line="560" w:lineRule="exact"/>
        <w:ind w:firstLine="420" w:firstLineChars="200"/>
        <w:rPr>
          <w:rFonts w:ascii="宋体" w:hAnsi="宋体"/>
          <w:color w:val="000000" w:themeColor="text1"/>
          <w:szCs w:val="21"/>
        </w:rPr>
      </w:pPr>
      <w:r>
        <w:rPr>
          <w:rFonts w:hint="eastAsia" w:ascii="宋体" w:hAnsi="宋体"/>
          <w:color w:val="000000" w:themeColor="text1"/>
          <w:szCs w:val="21"/>
        </w:rPr>
        <w:t>2.7承包人应建立和健全安全生产保障体系和安全生产责任制，认真执行《建筑施工安全检查标准（JGJ59－99）》，提高安全生产工作和文明施工的管理水平。减少施工噪音和对周围环境的污染，争创“施工现场文明工地”。</w:t>
      </w:r>
    </w:p>
    <w:p>
      <w:pPr>
        <w:spacing w:line="560" w:lineRule="exact"/>
        <w:ind w:firstLine="490"/>
        <w:rPr>
          <w:rFonts w:ascii="宋体" w:hAnsi="宋体"/>
          <w:color w:val="000000" w:themeColor="text1"/>
          <w:szCs w:val="21"/>
        </w:rPr>
      </w:pPr>
      <w:r>
        <w:rPr>
          <w:rFonts w:hint="eastAsia" w:ascii="宋体" w:hAnsi="宋体"/>
          <w:color w:val="000000" w:themeColor="text1"/>
          <w:szCs w:val="21"/>
        </w:rPr>
        <w:t>2.8承包人在质量保修期内，应按照有关法律、法规的管理规定和双方在合同中的约定，承担本工程质量保修责任。</w:t>
      </w:r>
      <w:bookmarkStart w:id="524" w:name="_Toc30386155"/>
      <w:bookmarkStart w:id="525" w:name="_Toc49912621"/>
    </w:p>
    <w:p>
      <w:pPr>
        <w:pStyle w:val="2"/>
      </w:pPr>
      <w:bookmarkStart w:id="526" w:name="_Toc1008"/>
      <w:bookmarkStart w:id="527" w:name="_Toc5216"/>
      <w:bookmarkStart w:id="528" w:name="_Toc18374_WPSOffice_Level2"/>
      <w:bookmarkStart w:id="529" w:name="_Toc368987802"/>
      <w:bookmarkStart w:id="530" w:name="_Toc201287632"/>
      <w:bookmarkStart w:id="531" w:name="_Toc365373205"/>
      <w:bookmarkStart w:id="532" w:name="_Toc194999250"/>
      <w:r>
        <w:rPr>
          <w:rFonts w:hint="eastAsia"/>
        </w:rPr>
        <w:t>3.工程建设应执行的技术规范</w:t>
      </w:r>
      <w:bookmarkEnd w:id="524"/>
      <w:bookmarkEnd w:id="525"/>
      <w:bookmarkEnd w:id="526"/>
      <w:bookmarkEnd w:id="527"/>
      <w:bookmarkEnd w:id="528"/>
      <w:bookmarkEnd w:id="529"/>
      <w:bookmarkEnd w:id="530"/>
      <w:bookmarkEnd w:id="531"/>
      <w:bookmarkEnd w:id="532"/>
    </w:p>
    <w:p>
      <w:pPr>
        <w:spacing w:line="560" w:lineRule="exact"/>
        <w:ind w:firstLine="420" w:firstLineChars="200"/>
        <w:rPr>
          <w:rFonts w:ascii="宋体" w:hAnsi="宋体"/>
          <w:color w:val="000000" w:themeColor="text1"/>
          <w:szCs w:val="21"/>
        </w:rPr>
      </w:pPr>
      <w:r>
        <w:rPr>
          <w:rFonts w:hint="eastAsia" w:ascii="宋体" w:hAnsi="宋体"/>
          <w:color w:val="000000" w:themeColor="text1"/>
          <w:szCs w:val="21"/>
        </w:rPr>
        <w:t>本工程在施工过程中必须严格执行国家、行业的现行有关各专业工程施工质量验收规范及验收统一标准。</w:t>
      </w:r>
    </w:p>
    <w:p>
      <w:pPr>
        <w:pStyle w:val="2"/>
        <w:numPr>
          <w:ilvl w:val="0"/>
          <w:numId w:val="3"/>
        </w:numPr>
        <w:ind w:firstLine="3213" w:firstLineChars="1000"/>
        <w:jc w:val="both"/>
        <w:rPr>
          <w:rFonts w:ascii="宋体" w:hAnsi="宋体"/>
          <w:color w:val="000000" w:themeColor="text1"/>
          <w:szCs w:val="21"/>
        </w:rPr>
      </w:pPr>
      <w:r>
        <w:rPr>
          <w:rFonts w:hint="eastAsia" w:ascii="宋体" w:hAnsi="宋体"/>
          <w:color w:val="000000" w:themeColor="text1"/>
          <w:szCs w:val="21"/>
        </w:rPr>
        <w:t>现场勘查</w:t>
      </w:r>
    </w:p>
    <w:p>
      <w:pPr>
        <w:pStyle w:val="2"/>
        <w:ind w:firstLine="420" w:firstLineChars="200"/>
        <w:jc w:val="left"/>
        <w:rPr>
          <w:rFonts w:ascii="宋体" w:hAnsi="宋体"/>
          <w:b w:val="0"/>
          <w:bCs w:val="0"/>
          <w:color w:val="000000" w:themeColor="text1"/>
          <w:sz w:val="21"/>
          <w:szCs w:val="21"/>
        </w:rPr>
      </w:pPr>
      <w:r>
        <w:rPr>
          <w:rFonts w:hint="eastAsia" w:ascii="宋体" w:hAnsi="宋体"/>
          <w:b w:val="0"/>
          <w:bCs w:val="0"/>
          <w:color w:val="000000" w:themeColor="text1"/>
          <w:sz w:val="21"/>
          <w:szCs w:val="21"/>
        </w:rPr>
        <w:t>供应商须自行组织现场勘查并制定详细的勘查报告与勘查证明。以上材料同投标文件一同递交；（勘查证明须由采购人确认盖章）。勘查过程中产生的费用及造成的一切事故由供应商自行承担；（勘查证明详见附件一）。</w:t>
      </w:r>
    </w:p>
    <w:p>
      <w:pPr>
        <w:autoSpaceDE w:val="0"/>
        <w:autoSpaceDN w:val="0"/>
        <w:adjustRightInd w:val="0"/>
        <w:spacing w:line="400" w:lineRule="exact"/>
        <w:jc w:val="left"/>
        <w:rPr>
          <w:rFonts w:ascii="宋体" w:hAnsi="宋体" w:cs="TimesNewRomanPSMT"/>
          <w:kern w:val="0"/>
          <w:sz w:val="18"/>
          <w:szCs w:val="18"/>
        </w:rPr>
      </w:pPr>
    </w:p>
    <w:p>
      <w:pPr>
        <w:autoSpaceDE w:val="0"/>
        <w:autoSpaceDN w:val="0"/>
        <w:adjustRightInd w:val="0"/>
        <w:spacing w:line="400" w:lineRule="exact"/>
        <w:jc w:val="left"/>
        <w:rPr>
          <w:rFonts w:ascii="宋体" w:hAnsi="宋体"/>
          <w:sz w:val="40"/>
          <w:szCs w:val="28"/>
        </w:rPr>
      </w:pPr>
      <w:r>
        <w:rPr>
          <w:rFonts w:ascii="宋体" w:hAnsi="宋体" w:cs="宋体"/>
          <w:kern w:val="0"/>
          <w:sz w:val="32"/>
          <w:szCs w:val="32"/>
        </w:rPr>
        <w:br w:type="page"/>
      </w:r>
    </w:p>
    <w:p>
      <w:pPr>
        <w:jc w:val="left"/>
        <w:rPr>
          <w:rFonts w:ascii="楷体" w:hAnsi="楷体" w:eastAsia="楷体" w:cs="楷体"/>
          <w:sz w:val="28"/>
          <w:szCs w:val="28"/>
        </w:rPr>
      </w:pPr>
      <w:bookmarkStart w:id="533" w:name="_Toc17022"/>
      <w:bookmarkStart w:id="534" w:name="_Toc27727_WPSOffice_Level1"/>
      <w:bookmarkStart w:id="535" w:name="_Toc12976"/>
      <w:bookmarkStart w:id="536" w:name="_Toc368987804"/>
      <w:bookmarkStart w:id="537" w:name="_Toc365373207"/>
      <w:bookmarkStart w:id="538" w:name="_Toc201287634"/>
      <w:r>
        <w:rPr>
          <w:rFonts w:hint="eastAsia" w:ascii="楷体" w:hAnsi="楷体" w:eastAsia="楷体" w:cs="楷体"/>
          <w:sz w:val="28"/>
          <w:szCs w:val="28"/>
        </w:rPr>
        <w:t>附件一：</w:t>
      </w:r>
    </w:p>
    <w:p>
      <w:pPr>
        <w:spacing w:line="480" w:lineRule="auto"/>
        <w:jc w:val="center"/>
        <w:rPr>
          <w:rFonts w:ascii="楷体" w:hAnsi="楷体" w:eastAsia="楷体" w:cs="楷体"/>
          <w:b/>
          <w:bCs/>
          <w:sz w:val="32"/>
          <w:szCs w:val="32"/>
        </w:rPr>
      </w:pPr>
      <w:r>
        <w:rPr>
          <w:rFonts w:hint="eastAsia" w:ascii="楷体" w:hAnsi="楷体" w:eastAsia="楷体" w:cs="楷体"/>
          <w:b/>
          <w:bCs/>
          <w:sz w:val="36"/>
          <w:szCs w:val="36"/>
        </w:rPr>
        <w:t>现场勘查确认函回执</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2930"/>
        <w:gridCol w:w="3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874" w:type="dxa"/>
          </w:tcPr>
          <w:p>
            <w:pPr>
              <w:jc w:val="center"/>
              <w:rPr>
                <w:rFonts w:ascii="楷体" w:hAnsi="楷体" w:eastAsia="楷体" w:cs="楷体"/>
                <w:sz w:val="28"/>
                <w:szCs w:val="28"/>
              </w:rPr>
            </w:pPr>
            <w:r>
              <w:rPr>
                <w:rFonts w:hint="eastAsia" w:ascii="楷体" w:hAnsi="楷体" w:eastAsia="楷体" w:cs="楷体"/>
                <w:sz w:val="28"/>
                <w:szCs w:val="28"/>
              </w:rPr>
              <w:t>项目名称及编号</w:t>
            </w:r>
          </w:p>
        </w:tc>
        <w:tc>
          <w:tcPr>
            <w:tcW w:w="6648" w:type="dxa"/>
            <w:gridSpan w:val="2"/>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74" w:type="dxa"/>
          </w:tcPr>
          <w:p>
            <w:pPr>
              <w:jc w:val="center"/>
              <w:rPr>
                <w:rFonts w:ascii="楷体" w:hAnsi="楷体" w:eastAsia="楷体" w:cs="楷体"/>
                <w:sz w:val="28"/>
                <w:szCs w:val="28"/>
              </w:rPr>
            </w:pPr>
            <w:r>
              <w:rPr>
                <w:rFonts w:hint="eastAsia" w:ascii="楷体" w:hAnsi="楷体" w:eastAsia="楷体" w:cs="楷体"/>
                <w:sz w:val="28"/>
                <w:szCs w:val="28"/>
              </w:rPr>
              <w:t>投标单位</w:t>
            </w:r>
          </w:p>
        </w:tc>
        <w:tc>
          <w:tcPr>
            <w:tcW w:w="6648" w:type="dxa"/>
            <w:gridSpan w:val="2"/>
          </w:tcPr>
          <w:p>
            <w:pPr>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874" w:type="dxa"/>
          </w:tcPr>
          <w:p>
            <w:pPr>
              <w:jc w:val="center"/>
              <w:rPr>
                <w:rFonts w:ascii="楷体" w:hAnsi="楷体" w:eastAsia="楷体" w:cs="楷体"/>
                <w:sz w:val="28"/>
                <w:szCs w:val="28"/>
              </w:rPr>
            </w:pPr>
            <w:r>
              <w:rPr>
                <w:rFonts w:hint="eastAsia" w:ascii="楷体" w:hAnsi="楷体" w:eastAsia="楷体" w:cs="楷体"/>
                <w:sz w:val="28"/>
                <w:szCs w:val="28"/>
              </w:rPr>
              <w:t>勘查日期</w:t>
            </w:r>
          </w:p>
        </w:tc>
        <w:tc>
          <w:tcPr>
            <w:tcW w:w="6648" w:type="dxa"/>
            <w:gridSpan w:val="2"/>
          </w:tcPr>
          <w:p>
            <w:pPr>
              <w:ind w:firstLine="1120" w:firstLineChars="400"/>
              <w:jc w:val="left"/>
              <w:rPr>
                <w:rFonts w:ascii="楷体" w:hAnsi="楷体" w:eastAsia="楷体" w:cs="楷体"/>
                <w:sz w:val="28"/>
                <w:szCs w:val="28"/>
              </w:rPr>
            </w:pPr>
            <w:r>
              <w:rPr>
                <w:rFonts w:hint="eastAsia" w:ascii="楷体" w:hAnsi="楷体" w:eastAsia="楷体" w:cs="楷体"/>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jc w:val="center"/>
              <w:rPr>
                <w:rFonts w:ascii="楷体" w:hAnsi="楷体" w:eastAsia="楷体" w:cs="楷体"/>
                <w:sz w:val="28"/>
                <w:szCs w:val="28"/>
              </w:rPr>
            </w:pPr>
            <w:r>
              <w:rPr>
                <w:rFonts w:hint="eastAsia" w:ascii="楷体" w:hAnsi="楷体" w:eastAsia="楷体" w:cs="楷体"/>
                <w:sz w:val="28"/>
                <w:szCs w:val="28"/>
              </w:rPr>
              <w:t>勘查地点</w:t>
            </w:r>
          </w:p>
        </w:tc>
        <w:tc>
          <w:tcPr>
            <w:tcW w:w="6648" w:type="dxa"/>
            <w:gridSpan w:val="2"/>
          </w:tcPr>
          <w:p>
            <w:pPr>
              <w:ind w:firstLine="1120" w:firstLineChars="400"/>
              <w:jc w:val="left"/>
              <w:rPr>
                <w:rFonts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874" w:type="dxa"/>
          </w:tcPr>
          <w:p>
            <w:pPr>
              <w:jc w:val="center"/>
              <w:rPr>
                <w:rFonts w:ascii="楷体" w:hAnsi="楷体" w:eastAsia="楷体" w:cs="楷体"/>
                <w:sz w:val="28"/>
                <w:szCs w:val="28"/>
              </w:rPr>
            </w:pPr>
            <w:r>
              <w:rPr>
                <w:rFonts w:hint="eastAsia" w:ascii="楷体" w:hAnsi="楷体" w:eastAsia="楷体" w:cs="楷体"/>
                <w:sz w:val="28"/>
                <w:szCs w:val="28"/>
              </w:rPr>
              <w:t>勘查内容及范围</w:t>
            </w:r>
          </w:p>
        </w:tc>
        <w:tc>
          <w:tcPr>
            <w:tcW w:w="6648" w:type="dxa"/>
            <w:gridSpan w:val="2"/>
          </w:tcPr>
          <w:p>
            <w:pPr>
              <w:jc w:val="center"/>
              <w:rPr>
                <w:rFonts w:ascii="楷体" w:hAnsi="楷体" w:eastAsia="楷体" w:cs="楷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874" w:type="dxa"/>
          </w:tcPr>
          <w:p>
            <w:pPr>
              <w:jc w:val="center"/>
              <w:rPr>
                <w:rFonts w:ascii="楷体" w:hAnsi="楷体" w:eastAsia="楷体" w:cs="楷体"/>
                <w:sz w:val="28"/>
                <w:szCs w:val="28"/>
              </w:rPr>
            </w:pPr>
            <w:r>
              <w:rPr>
                <w:rFonts w:hint="eastAsia" w:ascii="楷体" w:hAnsi="楷体" w:eastAsia="楷体" w:cs="楷体"/>
                <w:sz w:val="28"/>
                <w:szCs w:val="28"/>
              </w:rPr>
              <w:t>项目需求单位现场勘测负责人签字</w:t>
            </w:r>
          </w:p>
        </w:tc>
        <w:tc>
          <w:tcPr>
            <w:tcW w:w="2930" w:type="dxa"/>
          </w:tcPr>
          <w:p>
            <w:pPr>
              <w:jc w:val="center"/>
              <w:rPr>
                <w:rFonts w:ascii="楷体" w:hAnsi="楷体" w:eastAsia="楷体" w:cs="楷体"/>
                <w:sz w:val="28"/>
                <w:szCs w:val="28"/>
              </w:rPr>
            </w:pPr>
          </w:p>
        </w:tc>
        <w:tc>
          <w:tcPr>
            <w:tcW w:w="3718" w:type="dxa"/>
          </w:tcPr>
          <w:p>
            <w:pPr>
              <w:jc w:val="center"/>
              <w:rPr>
                <w:rFonts w:ascii="楷体" w:hAnsi="楷体" w:eastAsia="楷体" w:cs="楷体"/>
                <w:sz w:val="28"/>
                <w:szCs w:val="28"/>
              </w:rPr>
            </w:pPr>
          </w:p>
          <w:p>
            <w:pPr>
              <w:jc w:val="center"/>
              <w:rPr>
                <w:rFonts w:ascii="楷体" w:hAnsi="楷体" w:eastAsia="楷体" w:cs="楷体"/>
                <w:sz w:val="28"/>
                <w:szCs w:val="28"/>
              </w:rPr>
            </w:pPr>
            <w:r>
              <w:rPr>
                <w:rFonts w:hint="eastAsia" w:ascii="楷体" w:hAnsi="楷体" w:eastAsia="楷体" w:cs="楷体"/>
                <w:b/>
                <w:bCs/>
                <w:sz w:val="30"/>
                <w:szCs w:val="30"/>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tcPr>
          <w:p>
            <w:pPr>
              <w:jc w:val="center"/>
              <w:rPr>
                <w:rFonts w:ascii="楷体" w:hAnsi="楷体" w:eastAsia="楷体" w:cs="楷体"/>
                <w:sz w:val="28"/>
                <w:szCs w:val="28"/>
              </w:rPr>
            </w:pPr>
            <w:r>
              <w:rPr>
                <w:rFonts w:hint="eastAsia" w:ascii="楷体" w:hAnsi="楷体" w:eastAsia="楷体" w:cs="楷体"/>
                <w:sz w:val="28"/>
                <w:szCs w:val="28"/>
              </w:rPr>
              <w:t>投标单位勘测负责人</w:t>
            </w:r>
          </w:p>
          <w:p>
            <w:pPr>
              <w:jc w:val="center"/>
              <w:rPr>
                <w:rFonts w:ascii="楷体" w:hAnsi="楷体" w:eastAsia="楷体" w:cs="楷体"/>
                <w:sz w:val="28"/>
                <w:szCs w:val="28"/>
              </w:rPr>
            </w:pPr>
            <w:r>
              <w:rPr>
                <w:rFonts w:hint="eastAsia" w:ascii="楷体" w:hAnsi="楷体" w:eastAsia="楷体" w:cs="楷体"/>
                <w:sz w:val="28"/>
                <w:szCs w:val="28"/>
              </w:rPr>
              <w:t>签字</w:t>
            </w:r>
          </w:p>
        </w:tc>
        <w:tc>
          <w:tcPr>
            <w:tcW w:w="2930" w:type="dxa"/>
          </w:tcPr>
          <w:p>
            <w:pPr>
              <w:jc w:val="center"/>
              <w:rPr>
                <w:rFonts w:ascii="楷体" w:hAnsi="楷体" w:eastAsia="楷体" w:cs="楷体"/>
                <w:sz w:val="28"/>
                <w:szCs w:val="28"/>
              </w:rPr>
            </w:pPr>
          </w:p>
        </w:tc>
        <w:tc>
          <w:tcPr>
            <w:tcW w:w="3718" w:type="dxa"/>
          </w:tcPr>
          <w:p>
            <w:pPr>
              <w:jc w:val="center"/>
              <w:rPr>
                <w:rFonts w:ascii="楷体" w:hAnsi="楷体" w:eastAsia="楷体" w:cs="楷体"/>
                <w:sz w:val="28"/>
                <w:szCs w:val="28"/>
              </w:rPr>
            </w:pPr>
          </w:p>
          <w:p>
            <w:pPr>
              <w:jc w:val="center"/>
              <w:rPr>
                <w:rFonts w:ascii="楷体" w:hAnsi="楷体" w:eastAsia="楷体" w:cs="楷体"/>
                <w:sz w:val="28"/>
                <w:szCs w:val="28"/>
              </w:rPr>
            </w:pPr>
            <w:r>
              <w:rPr>
                <w:rFonts w:hint="eastAsia" w:ascii="楷体" w:hAnsi="楷体" w:eastAsia="楷体" w:cs="楷体"/>
                <w:b/>
                <w:bCs/>
                <w:sz w:val="30"/>
                <w:szCs w:val="30"/>
              </w:rPr>
              <w:t>加盖公章</w:t>
            </w:r>
          </w:p>
        </w:tc>
      </w:tr>
    </w:tbl>
    <w:p>
      <w:pPr>
        <w:jc w:val="left"/>
        <w:rPr>
          <w:rFonts w:ascii="楷体" w:hAnsi="楷体" w:eastAsia="楷体" w:cs="楷体"/>
          <w:sz w:val="24"/>
        </w:rPr>
      </w:pPr>
    </w:p>
    <w:p>
      <w:pPr>
        <w:jc w:val="left"/>
        <w:rPr>
          <w:rFonts w:ascii="楷体" w:hAnsi="楷体" w:eastAsia="楷体" w:cs="楷体"/>
          <w:b/>
          <w:bCs/>
          <w:sz w:val="22"/>
          <w:szCs w:val="22"/>
        </w:rPr>
      </w:pPr>
      <w:r>
        <w:rPr>
          <w:rFonts w:hint="eastAsia" w:ascii="楷体" w:hAnsi="楷体" w:eastAsia="楷体" w:cs="楷体"/>
          <w:b/>
          <w:bCs/>
          <w:sz w:val="22"/>
          <w:szCs w:val="22"/>
        </w:rPr>
        <w:t>注：1、参与现场勘查的投标人请认真踏勘实际施工场地并填写此表格并加盖公章。此回执一式三份，投标人执一份，采购人执一份，响应文件中胶装一份；</w:t>
      </w:r>
    </w:p>
    <w:p>
      <w:pPr>
        <w:numPr>
          <w:ilvl w:val="0"/>
          <w:numId w:val="4"/>
        </w:numPr>
        <w:jc w:val="left"/>
        <w:rPr>
          <w:rFonts w:ascii="楷体" w:hAnsi="楷体" w:eastAsia="楷体" w:cs="楷体"/>
          <w:b/>
          <w:bCs/>
          <w:sz w:val="22"/>
          <w:szCs w:val="22"/>
        </w:rPr>
      </w:pPr>
      <w:r>
        <w:rPr>
          <w:rFonts w:hint="eastAsia" w:ascii="楷体" w:hAnsi="楷体" w:eastAsia="楷体" w:cs="楷体"/>
          <w:b/>
          <w:bCs/>
          <w:sz w:val="22"/>
          <w:szCs w:val="22"/>
        </w:rPr>
        <w:t>前往项目所在地进行现场勘查的投标人于2020年9月29日下午14:00-16:00联系采购人到项目所在地进行现场勘查</w:t>
      </w:r>
    </w:p>
    <w:p>
      <w:pPr>
        <w:numPr>
          <w:ilvl w:val="0"/>
          <w:numId w:val="4"/>
        </w:numPr>
        <w:jc w:val="left"/>
        <w:rPr>
          <w:rFonts w:ascii="楷体" w:hAnsi="楷体" w:eastAsia="楷体" w:cs="楷体"/>
          <w:b/>
          <w:bCs/>
          <w:sz w:val="22"/>
          <w:szCs w:val="22"/>
        </w:rPr>
      </w:pPr>
      <w:r>
        <w:rPr>
          <w:rFonts w:hint="eastAsia" w:ascii="楷体" w:hAnsi="楷体" w:eastAsia="楷体" w:cs="楷体"/>
          <w:b/>
          <w:bCs/>
          <w:sz w:val="22"/>
          <w:szCs w:val="22"/>
        </w:rPr>
        <w:t>请各投标人务必在规定时间内进行现场勘查，超过规定时间视为放弃现场勘查</w:t>
      </w:r>
    </w:p>
    <w:p>
      <w:pPr>
        <w:rPr>
          <w:rFonts w:ascii="楷体" w:hAnsi="楷体" w:eastAsia="楷体" w:cs="楷体"/>
          <w:b/>
          <w:bCs/>
          <w:sz w:val="22"/>
          <w:szCs w:val="22"/>
          <w:lang w:val="zh-CN"/>
        </w:rPr>
      </w:pPr>
      <w:r>
        <w:rPr>
          <w:rFonts w:hint="eastAsia" w:ascii="楷体" w:hAnsi="楷体" w:eastAsia="楷体" w:cs="楷体"/>
          <w:b/>
          <w:bCs/>
          <w:sz w:val="22"/>
          <w:szCs w:val="22"/>
          <w:lang w:val="zh-CN"/>
        </w:rPr>
        <w:t>采购单位：青海大学</w:t>
      </w:r>
      <w:r>
        <w:rPr>
          <w:rFonts w:hint="eastAsia" w:ascii="楷体" w:hAnsi="楷体" w:eastAsia="楷体" w:cs="楷体"/>
          <w:b/>
          <w:bCs/>
          <w:sz w:val="22"/>
          <w:szCs w:val="22"/>
        </w:rPr>
        <w:t xml:space="preserve">   </w:t>
      </w:r>
      <w:r>
        <w:rPr>
          <w:rFonts w:hint="eastAsia" w:ascii="楷体" w:hAnsi="楷体" w:eastAsia="楷体" w:cs="楷体"/>
          <w:b/>
          <w:bCs/>
          <w:sz w:val="22"/>
          <w:szCs w:val="22"/>
          <w:lang w:val="zh-CN"/>
        </w:rPr>
        <w:t>联系人：梁老师    联系电话：13519754741</w:t>
      </w:r>
    </w:p>
    <w:p>
      <w:pPr>
        <w:rPr>
          <w:rFonts w:ascii="楷体" w:hAnsi="楷体" w:eastAsia="楷体" w:cs="楷体"/>
          <w:b/>
          <w:bCs/>
          <w:sz w:val="22"/>
          <w:szCs w:val="22"/>
        </w:rPr>
      </w:pPr>
      <w:r>
        <w:rPr>
          <w:rFonts w:hint="eastAsia" w:ascii="楷体" w:hAnsi="楷体" w:eastAsia="楷体" w:cs="楷体"/>
          <w:b/>
          <w:bCs/>
          <w:sz w:val="22"/>
          <w:szCs w:val="22"/>
        </w:rPr>
        <w:t>4、采购代理机构：青海鑫融工程项目管理咨询有限公司   联系人：肖女士   联系电话：0971-8166685</w:t>
      </w:r>
    </w:p>
    <w:p>
      <w:pPr>
        <w:pStyle w:val="3"/>
      </w:pPr>
    </w:p>
    <w:p>
      <w:pPr>
        <w:pStyle w:val="3"/>
      </w:pPr>
      <w:r>
        <w:rPr>
          <w:rFonts w:hint="eastAsia"/>
        </w:rPr>
        <w:t>第六部分</w:t>
      </w:r>
      <w:r>
        <w:t xml:space="preserve"> </w:t>
      </w:r>
      <w:r>
        <w:rPr>
          <w:rFonts w:hint="eastAsia"/>
        </w:rPr>
        <w:t>投标文件格式</w:t>
      </w:r>
      <w:bookmarkEnd w:id="533"/>
      <w:bookmarkEnd w:id="534"/>
      <w:bookmarkEnd w:id="535"/>
      <w:bookmarkEnd w:id="536"/>
      <w:bookmarkEnd w:id="537"/>
      <w:bookmarkEnd w:id="538"/>
    </w:p>
    <w:p>
      <w:pPr>
        <w:autoSpaceDE w:val="0"/>
        <w:autoSpaceDN w:val="0"/>
        <w:adjustRightInd w:val="0"/>
        <w:spacing w:line="400" w:lineRule="exact"/>
        <w:jc w:val="left"/>
        <w:rPr>
          <w:rFonts w:ascii="宋体" w:hAnsi="宋体" w:cs="宋体"/>
          <w:kern w:val="0"/>
          <w:szCs w:val="28"/>
        </w:rPr>
      </w:pPr>
    </w:p>
    <w:p>
      <w:pPr>
        <w:autoSpaceDE w:val="0"/>
        <w:autoSpaceDN w:val="0"/>
        <w:adjustRightInd w:val="0"/>
        <w:spacing w:line="400" w:lineRule="exact"/>
        <w:jc w:val="left"/>
        <w:rPr>
          <w:rFonts w:ascii="宋体" w:hAnsi="宋体" w:cs="宋体"/>
          <w:kern w:val="0"/>
          <w:szCs w:val="28"/>
        </w:rPr>
      </w:pPr>
    </w:p>
    <w:p>
      <w:pPr>
        <w:autoSpaceDE w:val="0"/>
        <w:autoSpaceDN w:val="0"/>
        <w:adjustRightInd w:val="0"/>
        <w:jc w:val="center"/>
        <w:rPr>
          <w:rFonts w:ascii="宋体" w:hAnsi="宋体" w:cs="宋体"/>
          <w:kern w:val="0"/>
          <w:sz w:val="36"/>
          <w:szCs w:val="36"/>
        </w:rPr>
      </w:pPr>
      <w:r>
        <w:rPr>
          <w:rFonts w:ascii="宋体" w:hAnsi="宋体" w:cs="宋体"/>
          <w:kern w:val="0"/>
          <w:sz w:val="36"/>
          <w:szCs w:val="36"/>
        </w:rPr>
        <w:br w:type="page"/>
      </w:r>
    </w:p>
    <w:p>
      <w:pPr>
        <w:pStyle w:val="2"/>
        <w:jc w:val="left"/>
      </w:pPr>
      <w:bookmarkStart w:id="539" w:name="_Toc2515"/>
      <w:bookmarkStart w:id="540" w:name="_Toc13059_WPSOffice_Level2"/>
      <w:r>
        <w:rPr>
          <w:rFonts w:hint="eastAsia"/>
        </w:rPr>
        <w:t>附件1：响应文件封面</w:t>
      </w:r>
      <w:bookmarkEnd w:id="539"/>
      <w:bookmarkEnd w:id="540"/>
    </w:p>
    <w:p>
      <w:pPr>
        <w:autoSpaceDE w:val="0"/>
        <w:autoSpaceDN w:val="0"/>
        <w:adjustRightInd w:val="0"/>
        <w:rPr>
          <w:rFonts w:ascii="宋体" w:hAnsi="宋体" w:cs="宋体"/>
          <w:kern w:val="0"/>
          <w:sz w:val="36"/>
          <w:szCs w:val="36"/>
        </w:rPr>
      </w:pPr>
    </w:p>
    <w:p>
      <w:pPr>
        <w:autoSpaceDE w:val="0"/>
        <w:autoSpaceDN w:val="0"/>
        <w:adjustRightInd w:val="0"/>
        <w:ind w:firstLine="1566" w:firstLineChars="300"/>
        <w:rPr>
          <w:rFonts w:ascii="宋体" w:hAnsi="宋体" w:cs="宋体"/>
          <w:b/>
          <w:bCs/>
          <w:kern w:val="0"/>
          <w:sz w:val="52"/>
          <w:szCs w:val="52"/>
          <w:lang w:val="zh-CN"/>
        </w:rPr>
      </w:pPr>
      <w:bookmarkStart w:id="541" w:name="_Toc7092_WPSOffice_Level2"/>
      <w:r>
        <w:rPr>
          <w:rFonts w:hint="eastAsia" w:ascii="宋体" w:hAnsi="宋体" w:cs="宋体"/>
          <w:b/>
          <w:bCs/>
          <w:kern w:val="0"/>
          <w:sz w:val="52"/>
          <w:szCs w:val="52"/>
          <w:lang w:val="zh-CN"/>
        </w:rPr>
        <w:t>青海省政府采购项目</w:t>
      </w:r>
      <w:bookmarkEnd w:id="541"/>
    </w:p>
    <w:p>
      <w:pPr>
        <w:autoSpaceDE w:val="0"/>
        <w:autoSpaceDN w:val="0"/>
        <w:adjustRightInd w:val="0"/>
        <w:rPr>
          <w:rFonts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rPr>
          <w:rFonts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jc w:val="center"/>
        <w:rPr>
          <w:rFonts w:ascii="宋体" w:hAnsi="宋体" w:cs="宋体"/>
          <w:b/>
          <w:bCs/>
          <w:kern w:val="0"/>
          <w:sz w:val="72"/>
          <w:szCs w:val="72"/>
        </w:rPr>
      </w:pPr>
      <w:bookmarkStart w:id="542" w:name="_Toc7389_WPSOffice_Level2"/>
      <w:r>
        <w:rPr>
          <w:rFonts w:hint="eastAsia" w:ascii="宋体" w:hAnsi="宋体" w:cs="宋体"/>
          <w:b/>
          <w:bCs/>
          <w:kern w:val="0"/>
          <w:sz w:val="72"/>
          <w:szCs w:val="72"/>
          <w:lang w:val="zh-CN"/>
        </w:rPr>
        <w:t>响 应</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bookmarkEnd w:id="542"/>
    </w:p>
    <w:p>
      <w:pPr>
        <w:autoSpaceDE w:val="0"/>
        <w:autoSpaceDN w:val="0"/>
        <w:adjustRightInd w:val="0"/>
        <w:rPr>
          <w:rFonts w:ascii="宋体" w:hAnsi="宋体" w:cs="宋体"/>
          <w:kern w:val="0"/>
          <w:sz w:val="28"/>
          <w:szCs w:val="28"/>
        </w:rPr>
      </w:pPr>
      <w:r>
        <w:rPr>
          <w:rFonts w:hint="eastAsia" w:ascii="宋体" w:hAnsi="宋体" w:cs="宋体"/>
          <w:kern w:val="0"/>
          <w:sz w:val="28"/>
          <w:szCs w:val="28"/>
        </w:rPr>
        <w:t xml:space="preserve"> </w:t>
      </w:r>
    </w:p>
    <w:p>
      <w:pPr>
        <w:autoSpaceDE w:val="0"/>
        <w:autoSpaceDN w:val="0"/>
        <w:adjustRightInd w:val="0"/>
        <w:rPr>
          <w:rFonts w:ascii="宋体" w:hAnsi="宋体" w:cs="宋体"/>
          <w:kern w:val="0"/>
          <w:sz w:val="28"/>
          <w:szCs w:val="28"/>
        </w:rPr>
      </w:pPr>
    </w:p>
    <w:p>
      <w:pPr>
        <w:autoSpaceDE w:val="0"/>
        <w:autoSpaceDN w:val="0"/>
        <w:adjustRightInd w:val="0"/>
        <w:rPr>
          <w:rFonts w:ascii="宋体" w:hAnsi="宋体" w:cs="宋体"/>
          <w:kern w:val="0"/>
          <w:sz w:val="28"/>
          <w:szCs w:val="28"/>
        </w:rPr>
      </w:pPr>
    </w:p>
    <w:p>
      <w:pPr>
        <w:autoSpaceDE w:val="0"/>
        <w:autoSpaceDN w:val="0"/>
        <w:adjustRightInd w:val="0"/>
        <w:rPr>
          <w:rFonts w:ascii="宋体" w:hAnsi="宋体" w:cs="宋体"/>
          <w:kern w:val="0"/>
          <w:sz w:val="28"/>
          <w:szCs w:val="28"/>
        </w:rPr>
      </w:pPr>
    </w:p>
    <w:p>
      <w:pPr>
        <w:autoSpaceDE w:val="0"/>
        <w:autoSpaceDN w:val="0"/>
        <w:adjustRightInd w:val="0"/>
        <w:rPr>
          <w:rFonts w:ascii="宋体" w:hAnsi="宋体" w:cs="宋体"/>
          <w:kern w:val="0"/>
          <w:sz w:val="28"/>
          <w:szCs w:val="28"/>
        </w:rPr>
      </w:pPr>
    </w:p>
    <w:p>
      <w:pPr>
        <w:autoSpaceDE w:val="0"/>
        <w:autoSpaceDN w:val="0"/>
        <w:adjustRightInd w:val="0"/>
        <w:spacing w:line="360" w:lineRule="auto"/>
        <w:ind w:left="2249" w:hanging="2249" w:hangingChars="700"/>
        <w:rPr>
          <w:rFonts w:ascii="宋体" w:hAnsi="宋体" w:cs="宋体"/>
          <w:b/>
          <w:bCs/>
          <w:kern w:val="0"/>
          <w:sz w:val="32"/>
          <w:szCs w:val="32"/>
          <w:u w:val="single"/>
        </w:rPr>
      </w:pPr>
      <w:bookmarkStart w:id="543" w:name="_Toc10576_WPSOffice_Level2"/>
      <w:r>
        <w:rPr>
          <w:rFonts w:hint="eastAsia" w:ascii="宋体" w:hAnsi="宋体" w:cs="宋体"/>
          <w:b/>
          <w:bCs/>
          <w:kern w:val="0"/>
          <w:sz w:val="32"/>
          <w:szCs w:val="32"/>
          <w:lang w:val="zh-CN"/>
        </w:rPr>
        <w:t>采购项目名称：</w:t>
      </w:r>
      <w:bookmarkEnd w:id="543"/>
      <w:r>
        <w:rPr>
          <w:rFonts w:hint="eastAsia" w:ascii="宋体" w:hAnsi="宋体" w:cs="宋体"/>
          <w:b/>
          <w:bCs/>
          <w:kern w:val="0"/>
          <w:sz w:val="32"/>
          <w:szCs w:val="32"/>
          <w:u w:val="single"/>
        </w:rPr>
        <w:t>青海大学万联楼改造项目</w:t>
      </w:r>
    </w:p>
    <w:p>
      <w:pPr>
        <w:autoSpaceDE w:val="0"/>
        <w:autoSpaceDN w:val="0"/>
        <w:adjustRightInd w:val="0"/>
        <w:spacing w:line="360" w:lineRule="auto"/>
        <w:rPr>
          <w:rFonts w:ascii="宋体" w:hAnsi="宋体" w:cs="宋体"/>
          <w:b/>
          <w:bCs/>
          <w:kern w:val="0"/>
          <w:sz w:val="32"/>
          <w:szCs w:val="32"/>
        </w:rPr>
      </w:pPr>
      <w:bookmarkStart w:id="544" w:name="_Toc15137_WPSOffice_Level2"/>
      <w:r>
        <w:rPr>
          <w:rFonts w:hint="eastAsia" w:ascii="宋体" w:hAnsi="宋体" w:cs="宋体"/>
          <w:b/>
          <w:bCs/>
          <w:kern w:val="0"/>
          <w:sz w:val="32"/>
          <w:szCs w:val="32"/>
          <w:lang w:val="zh-CN"/>
        </w:rPr>
        <w:t>采购项目编号：</w:t>
      </w:r>
      <w:bookmarkEnd w:id="544"/>
      <w:r>
        <w:rPr>
          <w:rFonts w:hint="eastAsia" w:ascii="宋体" w:hAnsi="宋体" w:cs="宋体"/>
          <w:b/>
          <w:bCs/>
          <w:kern w:val="0"/>
          <w:sz w:val="32"/>
          <w:szCs w:val="32"/>
          <w:u w:val="single"/>
          <w:lang w:val="zh-CN"/>
        </w:rPr>
        <w:t>青海鑫融磋商（工程）2020-39</w:t>
      </w:r>
      <w:r>
        <w:rPr>
          <w:rFonts w:hint="eastAsia" w:ascii="宋体" w:hAnsi="宋体" w:cs="宋体"/>
          <w:b/>
          <w:bCs/>
          <w:kern w:val="0"/>
          <w:sz w:val="32"/>
          <w:szCs w:val="32"/>
        </w:rPr>
        <w:t xml:space="preserve">              </w:t>
      </w:r>
    </w:p>
    <w:p>
      <w:pPr>
        <w:autoSpaceDE w:val="0"/>
        <w:autoSpaceDN w:val="0"/>
        <w:adjustRightInd w:val="0"/>
        <w:spacing w:line="360" w:lineRule="auto"/>
        <w:rPr>
          <w:rFonts w:ascii="宋体" w:hAnsi="宋体" w:cs="宋体"/>
          <w:b/>
          <w:bCs/>
          <w:kern w:val="0"/>
          <w:sz w:val="32"/>
          <w:szCs w:val="32"/>
          <w:lang w:val="zh-CN"/>
        </w:rPr>
      </w:pPr>
      <w:bookmarkStart w:id="545" w:name="_Toc27491_WPSOffice_Level2"/>
      <w:r>
        <w:rPr>
          <w:rFonts w:hint="eastAsia" w:ascii="宋体" w:hAnsi="宋体" w:cs="宋体"/>
          <w:b/>
          <w:bCs/>
          <w:kern w:val="0"/>
          <w:sz w:val="32"/>
          <w:szCs w:val="32"/>
          <w:lang w:val="zh-CN"/>
        </w:rPr>
        <w:t>供应商：</w:t>
      </w:r>
      <w:r>
        <w:rPr>
          <w:rFonts w:hint="eastAsia" w:ascii="宋体" w:hAnsi="宋体" w:cs="宋体"/>
          <w:b/>
          <w:bCs/>
          <w:kern w:val="0"/>
          <w:sz w:val="32"/>
          <w:szCs w:val="32"/>
          <w:u w:val="single"/>
          <w:lang w:val="zh-CN"/>
        </w:rPr>
        <w:t xml:space="preserve">                   </w:t>
      </w:r>
      <w:r>
        <w:rPr>
          <w:rFonts w:hint="eastAsia" w:ascii="宋体" w:hAnsi="宋体" w:cs="宋体"/>
          <w:b/>
          <w:bCs/>
          <w:kern w:val="0"/>
          <w:sz w:val="32"/>
          <w:szCs w:val="32"/>
          <w:u w:val="single"/>
        </w:rPr>
        <w:t xml:space="preserve">       </w:t>
      </w:r>
      <w:r>
        <w:rPr>
          <w:rFonts w:hint="eastAsia" w:ascii="宋体" w:hAnsi="宋体" w:cs="宋体"/>
          <w:b/>
          <w:bCs/>
          <w:kern w:val="0"/>
          <w:sz w:val="32"/>
          <w:szCs w:val="32"/>
          <w:u w:val="single"/>
          <w:lang w:val="zh-CN"/>
        </w:rPr>
        <w:t xml:space="preserve">       </w:t>
      </w:r>
      <w:r>
        <w:rPr>
          <w:rFonts w:hint="eastAsia" w:ascii="宋体" w:hAnsi="宋体" w:cs="宋体"/>
          <w:b/>
          <w:bCs/>
          <w:kern w:val="0"/>
          <w:sz w:val="32"/>
          <w:szCs w:val="32"/>
          <w:lang w:val="zh-CN"/>
        </w:rPr>
        <w:t>（公章）</w:t>
      </w:r>
      <w:bookmarkEnd w:id="545"/>
    </w:p>
    <w:p>
      <w:pPr>
        <w:autoSpaceDE w:val="0"/>
        <w:autoSpaceDN w:val="0"/>
        <w:adjustRightInd w:val="0"/>
        <w:spacing w:line="360" w:lineRule="auto"/>
        <w:rPr>
          <w:rFonts w:ascii="宋体" w:hAnsi="宋体" w:cs="宋体"/>
          <w:b/>
          <w:bCs/>
          <w:kern w:val="0"/>
          <w:sz w:val="32"/>
          <w:szCs w:val="32"/>
        </w:rPr>
      </w:pPr>
      <w:bookmarkStart w:id="546" w:name="_Toc18413_WPSOffice_Level2"/>
      <w:r>
        <w:rPr>
          <w:rFonts w:hint="eastAsia" w:ascii="宋体" w:hAnsi="宋体" w:cs="宋体"/>
          <w:b/>
          <w:bCs/>
          <w:kern w:val="0"/>
          <w:sz w:val="32"/>
          <w:szCs w:val="32"/>
          <w:lang w:val="zh-CN"/>
        </w:rPr>
        <w:t>法定代表人或委托代理人：</w:t>
      </w:r>
      <w:r>
        <w:rPr>
          <w:rFonts w:hint="eastAsia" w:ascii="宋体" w:hAnsi="宋体" w:cs="宋体"/>
          <w:b/>
          <w:bCs/>
          <w:kern w:val="0"/>
          <w:sz w:val="32"/>
          <w:szCs w:val="32"/>
          <w:u w:val="single"/>
          <w:lang w:val="zh-CN"/>
        </w:rPr>
        <w:t xml:space="preserve">     </w:t>
      </w:r>
      <w:r>
        <w:rPr>
          <w:rFonts w:hint="eastAsia" w:ascii="宋体" w:hAnsi="宋体" w:cs="宋体"/>
          <w:b/>
          <w:bCs/>
          <w:kern w:val="0"/>
          <w:sz w:val="32"/>
          <w:szCs w:val="32"/>
          <w:u w:val="single"/>
        </w:rPr>
        <w:t xml:space="preserve">       </w:t>
      </w:r>
      <w:r>
        <w:rPr>
          <w:rFonts w:hint="eastAsia" w:ascii="宋体" w:hAnsi="宋体" w:cs="宋体"/>
          <w:b/>
          <w:bCs/>
          <w:kern w:val="0"/>
          <w:sz w:val="32"/>
          <w:szCs w:val="32"/>
          <w:u w:val="single"/>
          <w:lang w:val="zh-CN"/>
        </w:rPr>
        <w:t xml:space="preserve">     </w:t>
      </w:r>
      <w:r>
        <w:rPr>
          <w:rFonts w:hint="eastAsia" w:ascii="宋体" w:hAnsi="宋体" w:cs="宋体"/>
          <w:b/>
          <w:bCs/>
          <w:kern w:val="0"/>
          <w:sz w:val="32"/>
          <w:szCs w:val="32"/>
          <w:lang w:val="zh-CN"/>
        </w:rPr>
        <w:t>（签字）</w:t>
      </w:r>
      <w:bookmarkEnd w:id="546"/>
    </w:p>
    <w:p>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rPr>
        <w:t xml:space="preserve">  </w:t>
      </w:r>
    </w:p>
    <w:p>
      <w:pPr>
        <w:autoSpaceDE w:val="0"/>
        <w:autoSpaceDN w:val="0"/>
        <w:adjustRightInd w:val="0"/>
        <w:spacing w:line="360" w:lineRule="auto"/>
        <w:rPr>
          <w:rFonts w:ascii="宋体" w:hAnsi="宋体" w:cs="宋体"/>
          <w:b/>
          <w:bCs/>
          <w:kern w:val="0"/>
          <w:sz w:val="32"/>
          <w:szCs w:val="32"/>
        </w:rPr>
      </w:pPr>
    </w:p>
    <w:p>
      <w:pPr>
        <w:autoSpaceDE w:val="0"/>
        <w:autoSpaceDN w:val="0"/>
        <w:adjustRightInd w:val="0"/>
        <w:spacing w:line="360" w:lineRule="auto"/>
        <w:jc w:val="center"/>
        <w:rPr>
          <w:rFonts w:ascii="宋体" w:hAnsi="宋体" w:cs="宋体"/>
          <w:b/>
          <w:bCs/>
          <w:kern w:val="0"/>
          <w:sz w:val="32"/>
          <w:szCs w:val="32"/>
          <w:lang w:val="zh-CN"/>
        </w:rPr>
      </w:pPr>
      <w:bookmarkStart w:id="547" w:name="_Toc20235_WPSOffice_Level2"/>
      <w:r>
        <w:rPr>
          <w:rFonts w:hint="eastAsia" w:ascii="宋体" w:hAnsi="宋体" w:cs="宋体"/>
          <w:b/>
          <w:bCs/>
          <w:kern w:val="0"/>
          <w:sz w:val="32"/>
          <w:szCs w:val="32"/>
          <w:lang w:val="zh-CN"/>
        </w:rPr>
        <w:t>年</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月</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日</w:t>
      </w:r>
      <w:bookmarkEnd w:id="547"/>
    </w:p>
    <w:p>
      <w:pPr>
        <w:autoSpaceDE w:val="0"/>
        <w:autoSpaceDN w:val="0"/>
        <w:adjustRightInd w:val="0"/>
        <w:spacing w:line="400" w:lineRule="exact"/>
        <w:ind w:firstLine="3120" w:firstLineChars="1300"/>
        <w:jc w:val="left"/>
        <w:rPr>
          <w:rFonts w:ascii="宋体" w:hAnsi="宋体" w:cs="宋体"/>
          <w:kern w:val="0"/>
          <w:sz w:val="24"/>
        </w:rPr>
      </w:pPr>
    </w:p>
    <w:p>
      <w:pPr>
        <w:autoSpaceDE w:val="0"/>
        <w:autoSpaceDN w:val="0"/>
        <w:adjustRightInd w:val="0"/>
        <w:spacing w:line="400" w:lineRule="exact"/>
        <w:jc w:val="left"/>
        <w:rPr>
          <w:rFonts w:ascii="宋体" w:hAnsi="宋体" w:cs="TimesNewRomanPSMT"/>
          <w:kern w:val="0"/>
          <w:sz w:val="18"/>
          <w:szCs w:val="18"/>
        </w:rPr>
      </w:pPr>
    </w:p>
    <w:p>
      <w:pPr>
        <w:autoSpaceDE w:val="0"/>
        <w:autoSpaceDN w:val="0"/>
        <w:adjustRightInd w:val="0"/>
        <w:spacing w:line="400" w:lineRule="exact"/>
        <w:jc w:val="left"/>
      </w:pPr>
      <w:bookmarkStart w:id="548" w:name="_Toc13356_WPSOffice_Level2"/>
      <w:bookmarkStart w:id="549" w:name="_Toc22594"/>
      <w:bookmarkStart w:id="550" w:name="_Toc13149"/>
    </w:p>
    <w:p>
      <w:pPr>
        <w:autoSpaceDE w:val="0"/>
        <w:autoSpaceDN w:val="0"/>
        <w:adjustRightInd w:val="0"/>
        <w:spacing w:line="360" w:lineRule="auto"/>
        <w:outlineLvl w:val="1"/>
        <w:rPr>
          <w:rFonts w:ascii="宋体" w:hAnsi="宋体" w:cs="宋体"/>
          <w:kern w:val="0"/>
          <w:lang w:val="zh-CN"/>
        </w:rPr>
      </w:pPr>
      <w:bookmarkStart w:id="551" w:name="_Toc25721"/>
    </w:p>
    <w:p>
      <w:pPr>
        <w:autoSpaceDE w:val="0"/>
        <w:autoSpaceDN w:val="0"/>
        <w:adjustRightInd w:val="0"/>
        <w:spacing w:line="360" w:lineRule="auto"/>
        <w:outlineLvl w:val="1"/>
        <w:rPr>
          <w:rFonts w:ascii="宋体" w:hAnsi="宋体" w:cs="宋体"/>
          <w:kern w:val="0"/>
          <w:lang w:val="zh-CN"/>
        </w:rPr>
      </w:pPr>
      <w:r>
        <w:rPr>
          <w:rFonts w:hint="eastAsia" w:ascii="宋体" w:hAnsi="宋体" w:cs="宋体"/>
          <w:kern w:val="0"/>
          <w:lang w:val="zh-CN"/>
        </w:rPr>
        <w:t>附件2：响应文件目录</w:t>
      </w:r>
      <w:bookmarkEnd w:id="548"/>
      <w:bookmarkEnd w:id="549"/>
      <w:bookmarkEnd w:id="550"/>
      <w:bookmarkEnd w:id="551"/>
      <w:bookmarkStart w:id="552" w:name="_Toc18699"/>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（1） 响应文件封面……………………………………</w:t>
      </w:r>
      <w:r>
        <w:rPr>
          <w:rFonts w:hint="eastAsia" w:ascii="宋体" w:hAnsi="宋体" w:cs="宋体"/>
          <w:kern w:val="0"/>
        </w:rPr>
        <w:t xml:space="preserve">  </w:t>
      </w:r>
      <w:r>
        <w:rPr>
          <w:rFonts w:hint="eastAsia" w:ascii="宋体" w:hAnsi="宋体" w:cs="宋体"/>
          <w:kern w:val="0"/>
          <w:lang w:val="zh-CN"/>
        </w:rPr>
        <w:t>……………所在页码</w:t>
      </w:r>
      <w:bookmarkEnd w:id="552"/>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（2） 响应文件目录……………………………………………………所在页码</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（3） 磋商函及磋商报价表……………………………………………所在页码</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（4） 法定代表人证明书………………………………………………所在页码</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（5） 法定代表人授权书………………………………………………所在页码</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kern w:val="0"/>
          <w:lang w:val="zh-CN"/>
        </w:rPr>
        <w:t>供应商诚信承诺书………………………………………………所在页码</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kern w:val="0"/>
          <w:lang w:val="zh-CN"/>
        </w:rPr>
        <w:t>已标价工程量清单………………………………………………所在页码</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kern w:val="0"/>
          <w:lang w:val="zh-CN"/>
        </w:rPr>
        <w:t>施工组织设计……………………………………………………所在页码</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rPr>
        <w:t>项目管理机构</w:t>
      </w:r>
      <w:r>
        <w:rPr>
          <w:rFonts w:hint="eastAsia" w:ascii="宋体" w:hAnsi="宋体" w:cs="宋体"/>
          <w:kern w:val="0"/>
          <w:lang w:val="zh-CN"/>
        </w:rPr>
        <w:t>……………………………………………………所在页码</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w:t>
      </w:r>
      <w:r>
        <w:rPr>
          <w:rFonts w:hint="eastAsia" w:ascii="宋体" w:hAnsi="宋体" w:cs="宋体"/>
        </w:rPr>
        <w:t>资格审查资料</w:t>
      </w:r>
      <w:r>
        <w:rPr>
          <w:rFonts w:hint="eastAsia" w:ascii="宋体" w:hAnsi="宋体" w:cs="宋体"/>
          <w:kern w:val="0"/>
          <w:lang w:val="zh-CN"/>
        </w:rPr>
        <w:t>……………………………………………………所在页码</w:t>
      </w:r>
    </w:p>
    <w:p>
      <w:pPr>
        <w:wordWrap w:val="0"/>
        <w:autoSpaceDE w:val="0"/>
        <w:autoSpaceDN w:val="0"/>
        <w:adjustRightInd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1</w:t>
      </w:r>
      <w:r>
        <w:rPr>
          <w:rFonts w:hint="eastAsia" w:ascii="宋体" w:hAnsi="宋体" w:cs="宋体"/>
          <w:kern w:val="0"/>
          <w:lang w:val="zh-CN"/>
        </w:rPr>
        <w:t>）磋商保证金证明…………………………………………………所在页码</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2</w:t>
      </w:r>
      <w:r>
        <w:rPr>
          <w:rFonts w:hint="eastAsia" w:ascii="宋体" w:hAnsi="宋体" w:cs="宋体"/>
          <w:kern w:val="0"/>
          <w:lang w:val="zh-CN"/>
        </w:rPr>
        <w:t>）磋商最后报价表</w:t>
      </w:r>
      <w:r>
        <w:rPr>
          <w:rFonts w:hint="eastAsia" w:ascii="宋体" w:hAnsi="宋体" w:cs="宋体"/>
          <w:kern w:val="0"/>
        </w:rPr>
        <w:t xml:space="preserve">    </w:t>
      </w:r>
      <w:r>
        <w:rPr>
          <w:rFonts w:hint="eastAsia" w:ascii="宋体" w:hAnsi="宋体" w:cs="宋体"/>
          <w:kern w:val="0"/>
          <w:lang w:val="zh-CN"/>
        </w:rPr>
        <w:t>……………………………………………所在页码</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2</w:t>
      </w:r>
      <w:r>
        <w:rPr>
          <w:rFonts w:hint="eastAsia" w:ascii="宋体" w:hAnsi="宋体" w:cs="宋体"/>
          <w:kern w:val="0"/>
          <w:lang w:val="zh-CN"/>
        </w:rPr>
        <w:t>）完成的类似项目情况表</w:t>
      </w:r>
      <w:r>
        <w:rPr>
          <w:rFonts w:hint="eastAsia" w:ascii="宋体" w:hAnsi="宋体" w:cs="宋体"/>
          <w:kern w:val="0"/>
        </w:rPr>
        <w:t xml:space="preserve">   </w:t>
      </w:r>
      <w:r>
        <w:rPr>
          <w:rFonts w:hint="eastAsia" w:ascii="宋体" w:hAnsi="宋体" w:cs="宋体"/>
          <w:kern w:val="0"/>
          <w:lang w:val="zh-CN"/>
        </w:rPr>
        <w:t>…</w:t>
      </w:r>
      <w:r>
        <w:rPr>
          <w:rFonts w:hint="eastAsia" w:ascii="宋体" w:hAnsi="宋体" w:cs="宋体"/>
          <w:kern w:val="0"/>
        </w:rPr>
        <w:t xml:space="preserve"> </w:t>
      </w:r>
      <w:r>
        <w:rPr>
          <w:rFonts w:hint="eastAsia" w:ascii="宋体" w:hAnsi="宋体" w:cs="宋体"/>
          <w:kern w:val="0"/>
          <w:lang w:val="zh-CN"/>
        </w:rPr>
        <w:t>……………………………所在页码</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3</w:t>
      </w:r>
      <w:r>
        <w:rPr>
          <w:rFonts w:hint="eastAsia" w:ascii="宋体" w:hAnsi="宋体" w:cs="宋体"/>
          <w:kern w:val="0"/>
          <w:lang w:val="zh-CN"/>
        </w:rPr>
        <w:t>）无重大违法记录声明……………………………………………所在页码</w:t>
      </w: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（1</w:t>
      </w:r>
      <w:r>
        <w:rPr>
          <w:rFonts w:hint="eastAsia" w:ascii="宋体" w:hAnsi="宋体" w:cs="宋体"/>
          <w:kern w:val="0"/>
        </w:rPr>
        <w:t>4</w:t>
      </w:r>
      <w:r>
        <w:rPr>
          <w:rFonts w:hint="eastAsia" w:ascii="宋体" w:hAnsi="宋体" w:cs="宋体"/>
          <w:kern w:val="0"/>
          <w:lang w:val="zh-CN"/>
        </w:rPr>
        <w:t>）供应商认为在其他方面有必要说明的事项……………………所在页码</w:t>
      </w:r>
    </w:p>
    <w:p>
      <w:pPr>
        <w:autoSpaceDE w:val="0"/>
        <w:autoSpaceDN w:val="0"/>
        <w:adjustRightInd w:val="0"/>
        <w:spacing w:line="400" w:lineRule="exact"/>
        <w:ind w:firstLine="960" w:firstLineChars="400"/>
        <w:jc w:val="left"/>
        <w:rPr>
          <w:rFonts w:ascii="宋体" w:hAnsi="宋体" w:cs="宋体"/>
          <w:kern w:val="0"/>
          <w:sz w:val="24"/>
        </w:rPr>
      </w:pPr>
    </w:p>
    <w:p>
      <w:pPr>
        <w:autoSpaceDE w:val="0"/>
        <w:autoSpaceDN w:val="0"/>
        <w:adjustRightInd w:val="0"/>
        <w:spacing w:line="400" w:lineRule="exact"/>
        <w:jc w:val="left"/>
        <w:rPr>
          <w:rFonts w:ascii="宋体" w:hAnsi="宋体" w:cs="TimesNewRomanPSMT"/>
          <w:kern w:val="0"/>
          <w:sz w:val="18"/>
          <w:szCs w:val="18"/>
        </w:rPr>
      </w:pPr>
    </w:p>
    <w:p>
      <w:pPr>
        <w:autoSpaceDE w:val="0"/>
        <w:autoSpaceDN w:val="0"/>
        <w:adjustRightInd w:val="0"/>
        <w:spacing w:line="400" w:lineRule="exact"/>
        <w:jc w:val="left"/>
        <w:rPr>
          <w:rFonts w:ascii="宋体" w:hAnsi="宋体" w:cs="TimesNewRomanPSMT"/>
          <w:kern w:val="0"/>
          <w:sz w:val="18"/>
          <w:szCs w:val="18"/>
        </w:rPr>
      </w:pPr>
    </w:p>
    <w:p>
      <w:pPr>
        <w:widowControl/>
        <w:snapToGrid w:val="0"/>
        <w:spacing w:line="360" w:lineRule="auto"/>
        <w:jc w:val="left"/>
        <w:outlineLvl w:val="1"/>
        <w:rPr>
          <w:rStyle w:val="41"/>
          <w:rFonts w:asciiTheme="minorEastAsia" w:hAnsiTheme="minorEastAsia" w:eastAsiaTheme="minorEastAsia" w:cstheme="minorEastAsia"/>
        </w:rPr>
      </w:pPr>
      <w:r>
        <w:rPr>
          <w:rFonts w:ascii="宋体" w:hAnsi="宋体" w:cs="宋体"/>
          <w:kern w:val="0"/>
          <w:szCs w:val="28"/>
        </w:rPr>
        <w:br w:type="page"/>
      </w:r>
      <w:bookmarkStart w:id="553" w:name="_Toc4482"/>
      <w:bookmarkStart w:id="554" w:name="_Toc1622"/>
      <w:bookmarkStart w:id="555" w:name="_Toc23941_WPSOffice_Level2"/>
      <w:bookmarkStart w:id="556" w:name="_Toc22843_WPSOffice_Level2"/>
      <w:bookmarkStart w:id="557" w:name="_Toc11624"/>
      <w:bookmarkStart w:id="558" w:name="_Toc23378"/>
      <w:r>
        <w:rPr>
          <w:rStyle w:val="41"/>
          <w:rFonts w:hint="eastAsia" w:asciiTheme="minorEastAsia" w:hAnsiTheme="minorEastAsia" w:eastAsiaTheme="minorEastAsia" w:cstheme="minorEastAsia"/>
        </w:rPr>
        <w:t>附件</w:t>
      </w:r>
      <w:bookmarkStart w:id="559" w:name="_Toc325726037"/>
      <w:bookmarkStart w:id="560" w:name="_Toc376936768"/>
      <w:r>
        <w:rPr>
          <w:rStyle w:val="41"/>
          <w:rFonts w:hint="eastAsia" w:asciiTheme="minorEastAsia" w:hAnsiTheme="minorEastAsia" w:eastAsiaTheme="minorEastAsia" w:cstheme="minorEastAsia"/>
        </w:rPr>
        <w:t>3：响应函</w:t>
      </w:r>
      <w:bookmarkEnd w:id="559"/>
      <w:bookmarkEnd w:id="560"/>
      <w:r>
        <w:rPr>
          <w:rStyle w:val="41"/>
          <w:rFonts w:hint="eastAsia" w:asciiTheme="minorEastAsia" w:hAnsiTheme="minorEastAsia" w:eastAsiaTheme="minorEastAsia" w:cstheme="minorEastAsia"/>
        </w:rPr>
        <w:t>及磋商报价表</w:t>
      </w:r>
      <w:bookmarkEnd w:id="553"/>
      <w:bookmarkEnd w:id="554"/>
      <w:bookmarkEnd w:id="555"/>
      <w:bookmarkEnd w:id="556"/>
      <w:bookmarkEnd w:id="557"/>
      <w:bookmarkEnd w:id="558"/>
    </w:p>
    <w:p>
      <w:pPr>
        <w:ind w:firstLine="3813" w:firstLineChars="1055"/>
        <w:rPr>
          <w:rFonts w:ascii="宋体" w:hAnsi="宋体" w:cs="宋体"/>
          <w:b/>
          <w:sz w:val="36"/>
          <w:szCs w:val="36"/>
        </w:rPr>
      </w:pPr>
    </w:p>
    <w:p>
      <w:pPr>
        <w:autoSpaceDE w:val="0"/>
        <w:autoSpaceDN w:val="0"/>
        <w:adjustRightInd w:val="0"/>
        <w:spacing w:line="400" w:lineRule="exact"/>
        <w:jc w:val="center"/>
        <w:rPr>
          <w:rFonts w:ascii="宋体" w:hAnsi="Cambria" w:cs="宋体"/>
          <w:b/>
          <w:bCs/>
          <w:color w:val="000000" w:themeColor="text1"/>
          <w:kern w:val="0"/>
          <w:sz w:val="36"/>
          <w:szCs w:val="36"/>
          <w:lang w:val="zh-CN"/>
        </w:rPr>
      </w:pPr>
      <w:r>
        <w:rPr>
          <w:rFonts w:hint="eastAsia" w:ascii="宋体" w:hAnsi="Cambria" w:cs="宋体"/>
          <w:b/>
          <w:bCs/>
          <w:color w:val="000000" w:themeColor="text1"/>
          <w:kern w:val="0"/>
          <w:sz w:val="36"/>
          <w:szCs w:val="36"/>
        </w:rPr>
        <w:t>（1）响应</w:t>
      </w:r>
      <w:r>
        <w:rPr>
          <w:rFonts w:hint="eastAsia" w:ascii="宋体" w:hAnsi="Cambria" w:cs="宋体"/>
          <w:b/>
          <w:bCs/>
          <w:color w:val="000000" w:themeColor="text1"/>
          <w:kern w:val="0"/>
          <w:sz w:val="36"/>
          <w:szCs w:val="36"/>
          <w:lang w:val="zh-CN"/>
        </w:rPr>
        <w:t>函</w:t>
      </w:r>
    </w:p>
    <w:p>
      <w:pPr>
        <w:autoSpaceDE w:val="0"/>
        <w:autoSpaceDN w:val="0"/>
        <w:adjustRightInd w:val="0"/>
        <w:spacing w:line="560" w:lineRule="exact"/>
        <w:rPr>
          <w:rFonts w:ascii="宋体" w:hAnsi="Cambria" w:cs="宋体"/>
          <w:color w:val="000000"/>
          <w:kern w:val="0"/>
          <w:szCs w:val="21"/>
          <w:lang w:val="zh-CN"/>
        </w:rPr>
      </w:pPr>
      <w:r>
        <w:rPr>
          <w:rFonts w:hint="eastAsia" w:ascii="宋体" w:hAnsi="Cambria" w:cs="宋体"/>
          <w:color w:val="000000"/>
          <w:kern w:val="0"/>
          <w:szCs w:val="21"/>
          <w:lang w:val="zh-CN"/>
        </w:rPr>
        <w:t>致</w:t>
      </w:r>
      <w:r>
        <w:rPr>
          <w:rFonts w:hint="eastAsia" w:ascii="宋体" w:hAnsi="Cambria" w:cs="宋体"/>
          <w:color w:val="000000"/>
          <w:kern w:val="0"/>
          <w:szCs w:val="21"/>
          <w:u w:val="single"/>
          <w:lang w:val="zh-CN"/>
        </w:rPr>
        <w:t>：青海鑫融工程项目管理咨询有限公司</w:t>
      </w:r>
      <w:r>
        <w:rPr>
          <w:rFonts w:hint="eastAsia" w:ascii="宋体" w:hAnsi="Cambria" w:cs="宋体"/>
          <w:color w:val="000000"/>
          <w:kern w:val="0"/>
          <w:szCs w:val="21"/>
          <w:lang w:val="zh-CN"/>
        </w:rPr>
        <w:t>：</w:t>
      </w:r>
    </w:p>
    <w:p>
      <w:pPr>
        <w:autoSpaceDE w:val="0"/>
        <w:autoSpaceDN w:val="0"/>
        <w:adjustRightInd w:val="0"/>
        <w:spacing w:line="560" w:lineRule="exact"/>
        <w:ind w:firstLine="420" w:firstLineChars="200"/>
        <w:rPr>
          <w:rFonts w:ascii="宋体" w:hAnsi="Cambria" w:cs="宋体"/>
          <w:color w:val="000000"/>
          <w:kern w:val="0"/>
          <w:szCs w:val="21"/>
          <w:u w:val="single"/>
          <w:lang w:val="zh-CN"/>
        </w:rPr>
      </w:pPr>
      <w:r>
        <w:rPr>
          <w:rFonts w:hint="eastAsia" w:ascii="宋体" w:hAnsi="Cambria" w:cs="宋体"/>
          <w:color w:val="000000"/>
          <w:kern w:val="0"/>
          <w:szCs w:val="21"/>
          <w:lang w:val="zh-CN"/>
        </w:rPr>
        <w:t>我们收到</w:t>
      </w:r>
      <w:r>
        <w:rPr>
          <w:rFonts w:hint="eastAsia" w:ascii="宋体" w:hAnsi="Cambria" w:cs="宋体"/>
          <w:color w:val="000000"/>
          <w:kern w:val="0"/>
          <w:szCs w:val="21"/>
          <w:u w:val="single"/>
          <w:lang w:val="zh-CN"/>
        </w:rPr>
        <w:t>青海大学万联楼改造项目（青海鑫融磋商（工程）2020-39）</w:t>
      </w:r>
      <w:r>
        <w:rPr>
          <w:rFonts w:hint="eastAsia" w:ascii="宋体" w:hAnsi="Cambria" w:cs="宋体"/>
          <w:color w:val="000000" w:themeColor="text1"/>
          <w:kern w:val="0"/>
          <w:szCs w:val="21"/>
          <w:u w:val="single"/>
        </w:rPr>
        <w:t>竞争性磋商文件</w:t>
      </w:r>
      <w:r>
        <w:rPr>
          <w:rFonts w:hint="eastAsia" w:ascii="宋体" w:hAnsi="Cambria" w:cs="宋体"/>
          <w:color w:val="000000"/>
          <w:kern w:val="0"/>
          <w:szCs w:val="21"/>
          <w:lang w:val="zh-CN"/>
        </w:rPr>
        <w:t>，经研究，法定代表人（姓名、职务）正式授权（委托代理人姓名、职务）代表投标人（投标人名称、地址）提交响应文件。</w:t>
      </w:r>
      <w:r>
        <w:rPr>
          <w:rFonts w:ascii="宋体" w:hAnsi="Cambria" w:cs="宋体"/>
          <w:color w:val="000000"/>
          <w:kern w:val="0"/>
          <w:szCs w:val="21"/>
          <w:lang w:val="zh-CN"/>
        </w:rPr>
        <w:t xml:space="preserve">   </w:t>
      </w:r>
    </w:p>
    <w:p>
      <w:pPr>
        <w:autoSpaceDE w:val="0"/>
        <w:autoSpaceDN w:val="0"/>
        <w:adjustRightInd w:val="0"/>
        <w:spacing w:line="560" w:lineRule="exact"/>
        <w:ind w:firstLine="480"/>
        <w:rPr>
          <w:rFonts w:ascii="宋体" w:hAnsi="Cambria" w:cs="宋体"/>
          <w:color w:val="000000"/>
          <w:kern w:val="0"/>
          <w:szCs w:val="21"/>
          <w:lang w:val="zh-CN"/>
        </w:rPr>
      </w:pPr>
      <w:r>
        <w:rPr>
          <w:rFonts w:hint="eastAsia" w:ascii="宋体" w:hAnsi="Cambria" w:cs="宋体"/>
          <w:color w:val="000000"/>
          <w:kern w:val="0"/>
          <w:szCs w:val="21"/>
          <w:lang w:val="zh-CN"/>
        </w:rPr>
        <w:t>据此函，签字代表宣布同意如下：</w:t>
      </w:r>
    </w:p>
    <w:p>
      <w:pPr>
        <w:autoSpaceDE w:val="0"/>
        <w:autoSpaceDN w:val="0"/>
        <w:adjustRightInd w:val="0"/>
        <w:spacing w:line="560" w:lineRule="exact"/>
        <w:ind w:firstLine="480"/>
        <w:rPr>
          <w:rFonts w:ascii="宋体" w:hAnsi="Cambria" w:cs="宋体"/>
          <w:color w:val="000000"/>
          <w:kern w:val="0"/>
          <w:szCs w:val="21"/>
          <w:lang w:val="zh-CN"/>
        </w:rPr>
      </w:pPr>
      <w:r>
        <w:rPr>
          <w:rFonts w:ascii="宋体" w:hAnsi="Cambria" w:cs="宋体"/>
          <w:color w:val="000000"/>
          <w:kern w:val="0"/>
          <w:szCs w:val="21"/>
          <w:lang w:val="zh-CN"/>
        </w:rPr>
        <w:t>1.</w:t>
      </w:r>
      <w:r>
        <w:rPr>
          <w:rFonts w:hint="eastAsia" w:ascii="宋体" w:hAnsi="Cambria" w:cs="宋体"/>
          <w:color w:val="000000"/>
          <w:kern w:val="0"/>
          <w:szCs w:val="21"/>
          <w:lang w:val="zh-CN"/>
        </w:rPr>
        <w:t>我方已详阅</w:t>
      </w:r>
      <w:r>
        <w:rPr>
          <w:rFonts w:hint="eastAsia" w:ascii="宋体" w:hAnsi="Cambria" w:cs="宋体"/>
          <w:color w:val="000000"/>
          <w:kern w:val="0"/>
          <w:szCs w:val="21"/>
          <w:u w:val="single"/>
        </w:rPr>
        <w:t>竞争性磋商文件</w:t>
      </w:r>
      <w:r>
        <w:rPr>
          <w:rFonts w:hint="eastAsia" w:ascii="宋体" w:hAnsi="Cambria" w:cs="宋体"/>
          <w:color w:val="000000"/>
          <w:kern w:val="0"/>
          <w:szCs w:val="21"/>
          <w:lang w:val="zh-CN"/>
        </w:rPr>
        <w:t>的全部内容，包括澄清、修改条款等有关附件，承诺对其完全理解并接受。</w:t>
      </w:r>
    </w:p>
    <w:p>
      <w:pPr>
        <w:autoSpaceDE w:val="0"/>
        <w:autoSpaceDN w:val="0"/>
        <w:adjustRightInd w:val="0"/>
        <w:spacing w:line="560" w:lineRule="exact"/>
        <w:ind w:firstLine="480"/>
        <w:rPr>
          <w:rFonts w:ascii="宋体" w:hAnsi="Cambria" w:cs="宋体"/>
          <w:color w:val="000000"/>
          <w:kern w:val="0"/>
          <w:szCs w:val="21"/>
          <w:lang w:val="zh-CN"/>
        </w:rPr>
      </w:pPr>
      <w:r>
        <w:rPr>
          <w:rFonts w:ascii="宋体" w:hAnsi="Cambria" w:cs="宋体"/>
          <w:color w:val="000000"/>
          <w:kern w:val="0"/>
          <w:szCs w:val="21"/>
          <w:lang w:val="zh-CN"/>
        </w:rPr>
        <w:t>2.</w:t>
      </w:r>
      <w:r>
        <w:rPr>
          <w:rFonts w:hint="eastAsia" w:ascii="宋体" w:hAnsi="Cambria" w:cs="宋体"/>
          <w:color w:val="000000"/>
          <w:kern w:val="0"/>
          <w:szCs w:val="21"/>
          <w:lang w:val="zh-CN"/>
        </w:rPr>
        <w:t>投标有效期自开标</w:t>
      </w:r>
      <w:r>
        <w:rPr>
          <w:rFonts w:hint="eastAsia" w:ascii="宋体" w:hAnsi="Cambria" w:cs="宋体"/>
          <w:color w:val="000000" w:themeColor="text1"/>
          <w:kern w:val="0"/>
          <w:szCs w:val="21"/>
          <w:lang w:val="zh-CN"/>
        </w:rPr>
        <w:t>之日起</w:t>
      </w:r>
      <w:r>
        <w:rPr>
          <w:rFonts w:hint="eastAsia" w:ascii="宋体" w:hAnsi="Cambria" w:cs="宋体"/>
          <w:color w:val="000000" w:themeColor="text1"/>
          <w:kern w:val="0"/>
          <w:szCs w:val="21"/>
          <w:u w:val="single"/>
        </w:rPr>
        <w:t xml:space="preserve"> 90 </w:t>
      </w:r>
      <w:r>
        <w:rPr>
          <w:rFonts w:hint="eastAsia" w:ascii="宋体" w:hAnsi="Cambria" w:cs="宋体"/>
          <w:color w:val="000000" w:themeColor="text1"/>
          <w:kern w:val="0"/>
          <w:szCs w:val="21"/>
          <w:lang w:val="zh-CN"/>
        </w:rPr>
        <w:t>天内有效。如果在规定的开标时间后，我方在投标有效期内撤回投标</w:t>
      </w:r>
      <w:r>
        <w:rPr>
          <w:rFonts w:hint="eastAsia" w:ascii="宋体" w:hAnsi="Cambria" w:cs="宋体"/>
          <w:color w:val="000000"/>
          <w:kern w:val="0"/>
          <w:szCs w:val="21"/>
          <w:lang w:val="zh-CN"/>
        </w:rPr>
        <w:t>或成交后不签约的，投标保证金将被贵方没收。</w:t>
      </w:r>
    </w:p>
    <w:p>
      <w:pPr>
        <w:autoSpaceDE w:val="0"/>
        <w:autoSpaceDN w:val="0"/>
        <w:adjustRightInd w:val="0"/>
        <w:spacing w:line="560" w:lineRule="exact"/>
        <w:ind w:firstLine="480"/>
        <w:rPr>
          <w:rFonts w:ascii="宋体" w:hAnsi="Cambria" w:cs="宋体"/>
          <w:color w:val="000000"/>
          <w:kern w:val="0"/>
          <w:szCs w:val="21"/>
          <w:lang w:val="zh-CN"/>
        </w:rPr>
      </w:pPr>
      <w:r>
        <w:rPr>
          <w:rFonts w:ascii="宋体" w:hAnsi="Cambria" w:cs="宋体"/>
          <w:color w:val="000000"/>
          <w:kern w:val="0"/>
          <w:szCs w:val="21"/>
          <w:lang w:val="zh-CN"/>
        </w:rPr>
        <w:t>3.</w:t>
      </w:r>
      <w:r>
        <w:rPr>
          <w:rFonts w:hint="eastAsia" w:ascii="宋体" w:hAnsi="Cambria" w:cs="宋体"/>
          <w:color w:val="000000"/>
          <w:kern w:val="0"/>
          <w:szCs w:val="21"/>
          <w:lang w:val="zh-CN"/>
        </w:rPr>
        <w:t>我方同意按照贵方要求提供与投标有关的一切数据或资料，理解并接受贵方制定的评标办法。</w:t>
      </w:r>
    </w:p>
    <w:p>
      <w:pPr>
        <w:autoSpaceDE w:val="0"/>
        <w:autoSpaceDN w:val="0"/>
        <w:adjustRightInd w:val="0"/>
        <w:spacing w:line="560" w:lineRule="exact"/>
        <w:ind w:firstLine="480"/>
        <w:rPr>
          <w:rFonts w:ascii="宋体" w:hAnsi="Cambria" w:cs="宋体"/>
          <w:color w:val="000000"/>
          <w:kern w:val="0"/>
          <w:szCs w:val="21"/>
          <w:lang w:val="zh-CN"/>
        </w:rPr>
      </w:pPr>
      <w:r>
        <w:rPr>
          <w:rFonts w:ascii="宋体" w:hAnsi="Cambria" w:cs="宋体"/>
          <w:color w:val="000000"/>
          <w:kern w:val="0"/>
          <w:szCs w:val="21"/>
          <w:lang w:val="zh-CN"/>
        </w:rPr>
        <w:t>4.</w:t>
      </w:r>
      <w:r>
        <w:rPr>
          <w:rFonts w:hint="eastAsia" w:ascii="宋体" w:hAnsi="Cambria" w:cs="宋体"/>
          <w:color w:val="000000"/>
          <w:kern w:val="0"/>
          <w:szCs w:val="21"/>
          <w:lang w:val="zh-CN"/>
        </w:rPr>
        <w:t>与本投标有关的一切正式往来通讯请寄：</w:t>
      </w:r>
    </w:p>
    <w:p>
      <w:pPr>
        <w:autoSpaceDE w:val="0"/>
        <w:autoSpaceDN w:val="0"/>
        <w:adjustRightInd w:val="0"/>
        <w:spacing w:line="560" w:lineRule="exact"/>
        <w:rPr>
          <w:rFonts w:ascii="宋体" w:hAnsi="Cambria" w:cs="宋体"/>
          <w:color w:val="000000"/>
          <w:kern w:val="0"/>
          <w:szCs w:val="21"/>
        </w:rPr>
      </w:pPr>
      <w:r>
        <w:rPr>
          <w:rFonts w:hint="eastAsia" w:ascii="宋体" w:hAnsi="Cambria" w:cs="宋体"/>
          <w:color w:val="000000"/>
          <w:kern w:val="0"/>
          <w:szCs w:val="21"/>
          <w:lang w:val="zh-CN"/>
        </w:rPr>
        <w:t>地址：</w:t>
      </w:r>
      <w:r>
        <w:rPr>
          <w:rFonts w:ascii="宋体" w:hAnsi="Cambria" w:cs="宋体"/>
          <w:color w:val="000000"/>
          <w:kern w:val="0"/>
          <w:szCs w:val="21"/>
          <w:lang w:val="zh-CN"/>
        </w:rPr>
        <w:t xml:space="preserve">_______________          </w:t>
      </w:r>
      <w:r>
        <w:rPr>
          <w:rFonts w:hint="eastAsia" w:ascii="宋体" w:hAnsi="Cambria" w:cs="宋体"/>
          <w:color w:val="000000"/>
          <w:kern w:val="0"/>
          <w:szCs w:val="21"/>
          <w:lang w:val="zh-CN"/>
        </w:rPr>
        <w:t>邮编：</w:t>
      </w:r>
      <w:r>
        <w:rPr>
          <w:rFonts w:ascii="宋体" w:hAnsi="Cambria" w:cs="宋体"/>
          <w:color w:val="000000"/>
          <w:kern w:val="0"/>
          <w:szCs w:val="21"/>
          <w:lang w:val="zh-CN"/>
        </w:rPr>
        <w:t>___________</w:t>
      </w:r>
      <w:r>
        <w:rPr>
          <w:rFonts w:hint="eastAsia" w:ascii="宋体" w:hAnsi="Cambria" w:cs="宋体"/>
          <w:color w:val="000000"/>
          <w:kern w:val="0"/>
          <w:szCs w:val="21"/>
        </w:rPr>
        <w:t xml:space="preserve"> </w:t>
      </w:r>
      <w:r>
        <w:rPr>
          <w:rFonts w:ascii="宋体" w:hAnsi="Cambria" w:cs="宋体"/>
          <w:color w:val="000000"/>
          <w:kern w:val="0"/>
          <w:szCs w:val="21"/>
          <w:lang w:val="zh-CN"/>
        </w:rPr>
        <w:t>__</w:t>
      </w:r>
      <w:r>
        <w:rPr>
          <w:rFonts w:hint="eastAsia" w:ascii="宋体" w:hAnsi="Cambria" w:cs="宋体"/>
          <w:color w:val="000000"/>
          <w:kern w:val="0"/>
          <w:szCs w:val="21"/>
        </w:rPr>
        <w:t xml:space="preserve"> </w:t>
      </w:r>
    </w:p>
    <w:p>
      <w:pPr>
        <w:autoSpaceDE w:val="0"/>
        <w:autoSpaceDN w:val="0"/>
        <w:adjustRightInd w:val="0"/>
        <w:spacing w:line="560" w:lineRule="exact"/>
        <w:rPr>
          <w:rFonts w:ascii="宋体" w:hAnsi="Cambria" w:cs="宋体"/>
          <w:color w:val="000000"/>
          <w:kern w:val="0"/>
          <w:szCs w:val="21"/>
          <w:lang w:val="zh-CN"/>
        </w:rPr>
      </w:pPr>
      <w:r>
        <w:rPr>
          <w:rFonts w:hint="eastAsia" w:ascii="宋体" w:hAnsi="Cambria" w:cs="宋体"/>
          <w:color w:val="000000"/>
          <w:kern w:val="0"/>
          <w:szCs w:val="21"/>
          <w:lang w:val="zh-CN"/>
        </w:rPr>
        <w:t>电话：</w:t>
      </w:r>
      <w:r>
        <w:rPr>
          <w:rFonts w:ascii="宋体" w:hAnsi="Cambria" w:cs="宋体"/>
          <w:color w:val="000000"/>
          <w:kern w:val="0"/>
          <w:szCs w:val="21"/>
          <w:lang w:val="zh-CN"/>
        </w:rPr>
        <w:t xml:space="preserve">_______________          </w:t>
      </w:r>
      <w:r>
        <w:rPr>
          <w:rFonts w:hint="eastAsia" w:ascii="宋体" w:hAnsi="Cambria" w:cs="宋体"/>
          <w:color w:val="000000"/>
          <w:kern w:val="0"/>
          <w:szCs w:val="21"/>
          <w:lang w:val="zh-CN"/>
        </w:rPr>
        <w:t>传真：</w:t>
      </w:r>
      <w:r>
        <w:rPr>
          <w:rFonts w:ascii="宋体" w:hAnsi="Cambria" w:cs="宋体"/>
          <w:color w:val="000000"/>
          <w:kern w:val="0"/>
          <w:szCs w:val="21"/>
          <w:lang w:val="zh-CN"/>
        </w:rPr>
        <w:t>______________</w:t>
      </w:r>
    </w:p>
    <w:p>
      <w:pPr>
        <w:autoSpaceDE w:val="0"/>
        <w:autoSpaceDN w:val="0"/>
        <w:adjustRightInd w:val="0"/>
        <w:spacing w:line="560" w:lineRule="exact"/>
        <w:rPr>
          <w:rFonts w:ascii="宋体" w:hAnsi="Cambria" w:cs="宋体"/>
          <w:color w:val="000000"/>
          <w:kern w:val="0"/>
          <w:szCs w:val="21"/>
          <w:lang w:val="zh-CN"/>
        </w:rPr>
      </w:pPr>
      <w:r>
        <w:rPr>
          <w:rFonts w:hint="eastAsia" w:ascii="宋体" w:hAnsi="Cambria" w:cs="宋体"/>
          <w:color w:val="000000"/>
          <w:kern w:val="0"/>
          <w:szCs w:val="21"/>
          <w:lang w:val="zh-CN"/>
        </w:rPr>
        <w:t>法定代表人姓名：</w:t>
      </w:r>
      <w:r>
        <w:rPr>
          <w:rFonts w:ascii="宋体" w:hAnsi="Cambria" w:cs="宋体"/>
          <w:color w:val="000000"/>
          <w:kern w:val="0"/>
          <w:szCs w:val="21"/>
          <w:lang w:val="zh-CN"/>
        </w:rPr>
        <w:t xml:space="preserve"> ___________   </w:t>
      </w:r>
      <w:r>
        <w:rPr>
          <w:rFonts w:hint="eastAsia" w:ascii="宋体" w:hAnsi="Cambria" w:cs="宋体"/>
          <w:color w:val="000000"/>
          <w:kern w:val="0"/>
          <w:szCs w:val="21"/>
          <w:lang w:val="zh-CN"/>
        </w:rPr>
        <w:t>职务：</w:t>
      </w:r>
      <w:r>
        <w:rPr>
          <w:rFonts w:ascii="宋体" w:hAnsi="Cambria" w:cs="宋体"/>
          <w:color w:val="000000"/>
          <w:kern w:val="0"/>
          <w:szCs w:val="21"/>
          <w:lang w:val="zh-CN"/>
        </w:rPr>
        <w:t>____________</w:t>
      </w:r>
    </w:p>
    <w:p>
      <w:pPr>
        <w:autoSpaceDE w:val="0"/>
        <w:autoSpaceDN w:val="0"/>
        <w:adjustRightInd w:val="0"/>
        <w:spacing w:line="560" w:lineRule="exact"/>
        <w:rPr>
          <w:rFonts w:ascii="宋体" w:hAnsi="Cambria" w:cs="宋体"/>
          <w:color w:val="000000"/>
          <w:kern w:val="0"/>
          <w:szCs w:val="21"/>
          <w:lang w:val="zh-CN"/>
        </w:rPr>
      </w:pPr>
    </w:p>
    <w:p>
      <w:pPr>
        <w:autoSpaceDE w:val="0"/>
        <w:autoSpaceDN w:val="0"/>
        <w:adjustRightInd w:val="0"/>
        <w:spacing w:line="560" w:lineRule="exact"/>
        <w:rPr>
          <w:rFonts w:ascii="宋体" w:hAnsi="Cambria" w:cs="宋体"/>
          <w:b/>
          <w:bCs/>
          <w:color w:val="000000"/>
          <w:kern w:val="0"/>
          <w:szCs w:val="21"/>
          <w:lang w:val="zh-CN"/>
        </w:rPr>
      </w:pPr>
      <w:r>
        <w:rPr>
          <w:rFonts w:ascii="宋体" w:hAnsi="Cambria" w:cs="宋体"/>
          <w:color w:val="000000"/>
          <w:kern w:val="0"/>
          <w:szCs w:val="21"/>
          <w:lang w:val="zh-CN"/>
        </w:rPr>
        <w:t xml:space="preserve">                          </w:t>
      </w:r>
      <w:r>
        <w:rPr>
          <w:rFonts w:hint="eastAsia" w:ascii="宋体" w:hAnsi="Cambria" w:cs="宋体"/>
          <w:color w:val="000000"/>
          <w:kern w:val="0"/>
          <w:szCs w:val="21"/>
        </w:rPr>
        <w:t xml:space="preserve">                </w:t>
      </w:r>
      <w:r>
        <w:rPr>
          <w:rFonts w:hint="eastAsia" w:ascii="宋体" w:hAnsi="Cambria" w:cs="宋体"/>
          <w:b/>
          <w:bCs/>
          <w:color w:val="000000"/>
          <w:kern w:val="0"/>
          <w:szCs w:val="21"/>
          <w:lang w:val="zh-CN"/>
        </w:rPr>
        <w:t xml:space="preserve"> </w:t>
      </w:r>
      <w:bookmarkStart w:id="561" w:name="_Toc11131_WPSOffice_Level2"/>
      <w:bookmarkStart w:id="562" w:name="_Toc15021_WPSOffice_Level2"/>
      <w:bookmarkStart w:id="563" w:name="_Toc32434_WPSOffice_Level2"/>
      <w:bookmarkStart w:id="564" w:name="_Toc18641_WPSOffice_Level2"/>
      <w:r>
        <w:rPr>
          <w:rFonts w:hint="eastAsia" w:ascii="宋体" w:hAnsi="Cambria" w:cs="宋体"/>
          <w:b/>
          <w:bCs/>
          <w:color w:val="000000"/>
          <w:kern w:val="0"/>
          <w:szCs w:val="21"/>
          <w:lang w:val="zh-CN"/>
        </w:rPr>
        <w:t>供应商：</w:t>
      </w:r>
      <w:r>
        <w:rPr>
          <w:rFonts w:ascii="宋体" w:hAnsi="Cambria" w:cs="宋体"/>
          <w:b/>
          <w:bCs/>
          <w:color w:val="000000"/>
          <w:kern w:val="0"/>
          <w:szCs w:val="21"/>
          <w:u w:val="single"/>
          <w:lang w:val="zh-CN"/>
        </w:rPr>
        <w:t xml:space="preserve">     </w:t>
      </w:r>
      <w:r>
        <w:rPr>
          <w:rFonts w:hint="eastAsia" w:ascii="宋体" w:hAnsi="Cambria" w:cs="宋体"/>
          <w:b/>
          <w:bCs/>
          <w:color w:val="000000"/>
          <w:kern w:val="0"/>
          <w:szCs w:val="21"/>
          <w:u w:val="single"/>
        </w:rPr>
        <w:t xml:space="preserve">      </w:t>
      </w:r>
      <w:r>
        <w:rPr>
          <w:rFonts w:ascii="宋体" w:hAnsi="Cambria" w:cs="宋体"/>
          <w:b/>
          <w:bCs/>
          <w:color w:val="000000"/>
          <w:kern w:val="0"/>
          <w:szCs w:val="21"/>
          <w:u w:val="single"/>
          <w:lang w:val="zh-CN"/>
        </w:rPr>
        <w:t xml:space="preserve">      </w:t>
      </w:r>
      <w:r>
        <w:rPr>
          <w:rFonts w:hint="eastAsia" w:ascii="宋体" w:hAnsi="Cambria" w:cs="宋体"/>
          <w:b/>
          <w:bCs/>
          <w:color w:val="000000"/>
          <w:kern w:val="0"/>
          <w:szCs w:val="21"/>
          <w:lang w:val="zh-CN"/>
        </w:rPr>
        <w:t>（公章）</w:t>
      </w:r>
      <w:bookmarkEnd w:id="561"/>
      <w:bookmarkEnd w:id="562"/>
      <w:bookmarkEnd w:id="563"/>
      <w:bookmarkEnd w:id="564"/>
    </w:p>
    <w:p>
      <w:pPr>
        <w:autoSpaceDE w:val="0"/>
        <w:autoSpaceDN w:val="0"/>
        <w:adjustRightInd w:val="0"/>
        <w:spacing w:line="560" w:lineRule="exact"/>
        <w:rPr>
          <w:rFonts w:ascii="宋体" w:hAnsi="Cambria" w:cs="宋体"/>
          <w:b/>
          <w:bCs/>
          <w:color w:val="000000"/>
          <w:kern w:val="0"/>
          <w:szCs w:val="21"/>
          <w:lang w:val="zh-CN"/>
        </w:rPr>
      </w:pPr>
      <w:r>
        <w:rPr>
          <w:rFonts w:ascii="宋体" w:hAnsi="Cambria" w:cs="宋体"/>
          <w:b/>
          <w:bCs/>
          <w:color w:val="000000"/>
          <w:kern w:val="0"/>
          <w:szCs w:val="21"/>
          <w:lang w:val="zh-CN"/>
        </w:rPr>
        <w:t xml:space="preserve">                 </w:t>
      </w:r>
      <w:r>
        <w:rPr>
          <w:rFonts w:hint="eastAsia" w:ascii="宋体" w:hAnsi="Cambria" w:cs="宋体"/>
          <w:b/>
          <w:bCs/>
          <w:color w:val="000000"/>
          <w:kern w:val="0"/>
          <w:szCs w:val="21"/>
        </w:rPr>
        <w:t xml:space="preserve">        </w:t>
      </w:r>
      <w:r>
        <w:rPr>
          <w:rFonts w:ascii="宋体" w:hAnsi="Cambria" w:cs="宋体"/>
          <w:b/>
          <w:bCs/>
          <w:color w:val="000000"/>
          <w:kern w:val="0"/>
          <w:szCs w:val="21"/>
          <w:lang w:val="zh-CN"/>
        </w:rPr>
        <w:t xml:space="preserve">  </w:t>
      </w:r>
      <w:bookmarkStart w:id="565" w:name="_Toc29694_WPSOffice_Level2"/>
      <w:bookmarkStart w:id="566" w:name="_Toc15664_WPSOffice_Level2"/>
      <w:bookmarkStart w:id="567" w:name="_Toc14476_WPSOffice_Level2"/>
      <w:bookmarkStart w:id="568" w:name="_Toc24589_WPSOffice_Level2"/>
      <w:r>
        <w:rPr>
          <w:rFonts w:hint="eastAsia" w:ascii="宋体" w:hAnsi="Cambria" w:cs="宋体"/>
          <w:b/>
          <w:bCs/>
          <w:color w:val="000000"/>
          <w:kern w:val="0"/>
          <w:szCs w:val="21"/>
          <w:lang w:val="zh-CN"/>
        </w:rPr>
        <w:t>法定代表人或委托代理人：</w:t>
      </w:r>
      <w:r>
        <w:rPr>
          <w:rFonts w:ascii="宋体" w:hAnsi="Cambria" w:cs="宋体"/>
          <w:b/>
          <w:bCs/>
          <w:color w:val="000000"/>
          <w:kern w:val="0"/>
          <w:szCs w:val="21"/>
          <w:u w:val="single"/>
          <w:lang w:val="zh-CN"/>
        </w:rPr>
        <w:t xml:space="preserve">       </w:t>
      </w:r>
      <w:r>
        <w:rPr>
          <w:rFonts w:hint="eastAsia" w:ascii="宋体" w:hAnsi="Cambria" w:cs="宋体"/>
          <w:b/>
          <w:bCs/>
          <w:color w:val="000000"/>
          <w:kern w:val="0"/>
          <w:szCs w:val="21"/>
          <w:u w:val="single"/>
          <w:lang w:val="zh-CN"/>
        </w:rPr>
        <w:t xml:space="preserve">      </w:t>
      </w:r>
      <w:r>
        <w:rPr>
          <w:rFonts w:hint="eastAsia" w:ascii="宋体" w:hAnsi="Cambria" w:cs="宋体"/>
          <w:b/>
          <w:bCs/>
          <w:color w:val="000000"/>
          <w:kern w:val="0"/>
          <w:szCs w:val="21"/>
          <w:lang w:val="zh-CN"/>
        </w:rPr>
        <w:t>（签字或盖章）</w:t>
      </w:r>
      <w:bookmarkEnd w:id="565"/>
      <w:bookmarkEnd w:id="566"/>
      <w:bookmarkEnd w:id="567"/>
      <w:bookmarkEnd w:id="568"/>
    </w:p>
    <w:p>
      <w:pPr>
        <w:autoSpaceDE w:val="0"/>
        <w:autoSpaceDN w:val="0"/>
        <w:adjustRightInd w:val="0"/>
        <w:spacing w:line="560" w:lineRule="exact"/>
        <w:rPr>
          <w:rFonts w:ascii="宋体" w:hAnsi="Cambria" w:cs="宋体"/>
          <w:b/>
          <w:bCs/>
          <w:color w:val="000000"/>
          <w:kern w:val="0"/>
          <w:szCs w:val="21"/>
          <w:lang w:val="zh-CN"/>
        </w:rPr>
      </w:pPr>
      <w:r>
        <w:rPr>
          <w:rFonts w:ascii="宋体" w:hAnsi="Cambria" w:cs="宋体"/>
          <w:b/>
          <w:bCs/>
          <w:color w:val="000000"/>
          <w:kern w:val="0"/>
          <w:szCs w:val="21"/>
          <w:lang w:val="zh-CN"/>
        </w:rPr>
        <w:t xml:space="preserve">                                       </w:t>
      </w:r>
      <w:r>
        <w:rPr>
          <w:rFonts w:hint="eastAsia" w:ascii="宋体" w:hAnsi="Cambria" w:cs="宋体"/>
          <w:b/>
          <w:bCs/>
          <w:color w:val="000000"/>
          <w:kern w:val="0"/>
          <w:szCs w:val="21"/>
        </w:rPr>
        <w:t xml:space="preserve">             </w:t>
      </w:r>
      <w:r>
        <w:rPr>
          <w:rFonts w:ascii="宋体" w:hAnsi="Cambria" w:cs="宋体"/>
          <w:b/>
          <w:bCs/>
          <w:color w:val="000000"/>
          <w:kern w:val="0"/>
          <w:szCs w:val="21"/>
          <w:lang w:val="zh-CN"/>
        </w:rPr>
        <w:t xml:space="preserve">  </w:t>
      </w:r>
      <w:bookmarkStart w:id="569" w:name="_Toc12993_WPSOffice_Level2"/>
      <w:bookmarkStart w:id="570" w:name="_Toc23581_WPSOffice_Level2"/>
      <w:bookmarkStart w:id="571" w:name="_Toc9664_WPSOffice_Level2"/>
      <w:bookmarkStart w:id="572" w:name="_Toc4821_WPSOffice_Level2"/>
      <w:r>
        <w:rPr>
          <w:rFonts w:hint="eastAsia" w:ascii="宋体" w:hAnsi="Cambria" w:cs="宋体"/>
          <w:b/>
          <w:bCs/>
          <w:color w:val="000000"/>
          <w:kern w:val="0"/>
          <w:szCs w:val="21"/>
          <w:lang w:val="zh-CN"/>
        </w:rPr>
        <w:t>年</w:t>
      </w:r>
      <w:r>
        <w:rPr>
          <w:rFonts w:ascii="宋体" w:hAnsi="Cambria" w:cs="宋体"/>
          <w:b/>
          <w:bCs/>
          <w:color w:val="000000"/>
          <w:kern w:val="0"/>
          <w:szCs w:val="21"/>
          <w:lang w:val="zh-CN"/>
        </w:rPr>
        <w:t xml:space="preserve">   </w:t>
      </w:r>
      <w:r>
        <w:rPr>
          <w:rFonts w:hint="eastAsia" w:ascii="宋体" w:hAnsi="Cambria" w:cs="宋体"/>
          <w:b/>
          <w:bCs/>
          <w:color w:val="000000"/>
          <w:kern w:val="0"/>
          <w:szCs w:val="21"/>
          <w:lang w:val="zh-CN"/>
        </w:rPr>
        <w:t>月</w:t>
      </w:r>
      <w:r>
        <w:rPr>
          <w:rFonts w:ascii="宋体" w:hAnsi="Cambria" w:cs="宋体"/>
          <w:b/>
          <w:bCs/>
          <w:color w:val="000000"/>
          <w:kern w:val="0"/>
          <w:szCs w:val="21"/>
          <w:lang w:val="zh-CN"/>
        </w:rPr>
        <w:t xml:space="preserve">   </w:t>
      </w:r>
      <w:r>
        <w:rPr>
          <w:rFonts w:hint="eastAsia" w:ascii="宋体" w:hAnsi="Cambria" w:cs="宋体"/>
          <w:b/>
          <w:bCs/>
          <w:color w:val="000000"/>
          <w:kern w:val="0"/>
          <w:szCs w:val="21"/>
          <w:lang w:val="zh-CN"/>
        </w:rPr>
        <w:t>日</w:t>
      </w:r>
      <w:bookmarkEnd w:id="569"/>
      <w:bookmarkEnd w:id="570"/>
      <w:bookmarkEnd w:id="571"/>
      <w:bookmarkEnd w:id="572"/>
    </w:p>
    <w:p>
      <w:pPr>
        <w:autoSpaceDE w:val="0"/>
        <w:autoSpaceDN w:val="0"/>
        <w:adjustRightInd w:val="0"/>
        <w:spacing w:line="400" w:lineRule="exact"/>
        <w:jc w:val="center"/>
        <w:rPr>
          <w:rFonts w:ascii="宋体" w:hAnsi="Cambria" w:cs="宋体"/>
          <w:b/>
          <w:bCs/>
          <w:color w:val="000000" w:themeColor="text1"/>
          <w:kern w:val="0"/>
          <w:sz w:val="36"/>
          <w:szCs w:val="36"/>
        </w:rPr>
      </w:pPr>
      <w:r>
        <w:rPr>
          <w:rFonts w:ascii="宋体" w:hAnsi="宋体" w:cs="宋体"/>
          <w:kern w:val="0"/>
          <w:sz w:val="24"/>
        </w:rPr>
        <w:br w:type="page"/>
      </w:r>
      <w:bookmarkStart w:id="573" w:name="_Toc32029_WPSOffice_Level2"/>
      <w:bookmarkStart w:id="574" w:name="_Toc16972_WPSOffice_Level2"/>
      <w:bookmarkStart w:id="575" w:name="_Toc11638_WPSOffice_Level2"/>
      <w:bookmarkStart w:id="576" w:name="_Toc18549_WPSOffice_Level2"/>
      <w:bookmarkStart w:id="577" w:name="_Toc17650_WPSOffice_Level2"/>
      <w:r>
        <w:rPr>
          <w:rFonts w:hint="eastAsia" w:ascii="宋体" w:hAnsi="Cambria" w:cs="宋体"/>
          <w:b/>
          <w:bCs/>
          <w:color w:val="000000" w:themeColor="text1"/>
          <w:kern w:val="0"/>
          <w:sz w:val="36"/>
          <w:szCs w:val="36"/>
        </w:rPr>
        <w:t>（二）竞争性磋商首次报价表</w:t>
      </w:r>
      <w:bookmarkEnd w:id="573"/>
      <w:bookmarkEnd w:id="574"/>
      <w:bookmarkEnd w:id="575"/>
      <w:bookmarkEnd w:id="576"/>
      <w:bookmarkEnd w:id="577"/>
    </w:p>
    <w:p>
      <w:pPr>
        <w:ind w:firstLine="2711" w:firstLineChars="750"/>
        <w:rPr>
          <w:rFonts w:ascii="宋体" w:hAnsi="宋体" w:cs="宋体"/>
          <w:b/>
          <w:sz w:val="36"/>
          <w:szCs w:val="36"/>
        </w:rPr>
      </w:pPr>
    </w:p>
    <w:p>
      <w:pPr>
        <w:spacing w:line="560" w:lineRule="exact"/>
        <w:rPr>
          <w:rFonts w:ascii="宋体" w:hAnsi="宋体" w:cs="宋体"/>
          <w:b/>
          <w:szCs w:val="21"/>
        </w:rPr>
      </w:pPr>
      <w:bookmarkStart w:id="578" w:name="_Toc12115_WPSOffice_Level2"/>
      <w:bookmarkStart w:id="579" w:name="_Toc32600_WPSOffice_Level2"/>
      <w:bookmarkStart w:id="580" w:name="_Toc27352_WPSOffice_Level2"/>
      <w:bookmarkStart w:id="581" w:name="_Toc25546_WPSOffice_Level2"/>
      <w:bookmarkStart w:id="582" w:name="_Toc25510_WPSOffice_Level2"/>
      <w:r>
        <w:rPr>
          <w:rFonts w:hint="eastAsia" w:ascii="宋体" w:hAnsi="宋体" w:cs="宋体"/>
          <w:b/>
          <w:szCs w:val="21"/>
        </w:rPr>
        <w:t>供应商名称（盖章）：</w:t>
      </w:r>
      <w:bookmarkEnd w:id="578"/>
      <w:bookmarkEnd w:id="579"/>
      <w:bookmarkEnd w:id="580"/>
      <w:bookmarkEnd w:id="581"/>
      <w:bookmarkEnd w:id="582"/>
      <w:r>
        <w:rPr>
          <w:rFonts w:hint="eastAsia" w:ascii="宋体" w:hAnsi="宋体" w:cs="宋体"/>
          <w:b/>
          <w:szCs w:val="21"/>
        </w:rPr>
        <w:t xml:space="preserve">                                       </w:t>
      </w:r>
    </w:p>
    <w:p>
      <w:pPr>
        <w:spacing w:line="560" w:lineRule="exact"/>
        <w:jc w:val="right"/>
        <w:rPr>
          <w:rFonts w:ascii="宋体" w:hAnsi="宋体" w:cs="宋体"/>
          <w:b/>
          <w:szCs w:val="21"/>
        </w:rPr>
      </w:pPr>
      <w:r>
        <w:rPr>
          <w:rFonts w:hint="eastAsia" w:ascii="宋体" w:hAnsi="宋体" w:cs="宋体"/>
          <w:szCs w:val="21"/>
        </w:rPr>
        <w:t>投标日期：  年　月　日</w:t>
      </w:r>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252"/>
        <w:gridCol w:w="1360"/>
        <w:gridCol w:w="1510"/>
        <w:gridCol w:w="105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76" w:type="dxa"/>
            <w:vAlign w:val="center"/>
          </w:tcPr>
          <w:p>
            <w:pPr>
              <w:spacing w:line="560" w:lineRule="exact"/>
              <w:jc w:val="center"/>
              <w:rPr>
                <w:rFonts w:ascii="宋体" w:hAnsi="宋体" w:cs="宋体"/>
                <w:bCs/>
                <w:szCs w:val="21"/>
              </w:rPr>
            </w:pPr>
            <w:r>
              <w:rPr>
                <w:rFonts w:hint="eastAsia" w:ascii="宋体" w:hAnsi="宋体" w:cs="宋体"/>
                <w:bCs/>
                <w:szCs w:val="21"/>
              </w:rPr>
              <w:t>序号</w:t>
            </w:r>
          </w:p>
        </w:tc>
        <w:tc>
          <w:tcPr>
            <w:tcW w:w="3252" w:type="dxa"/>
            <w:vAlign w:val="center"/>
          </w:tcPr>
          <w:p>
            <w:pPr>
              <w:spacing w:line="560" w:lineRule="exact"/>
              <w:jc w:val="center"/>
              <w:rPr>
                <w:rFonts w:ascii="宋体" w:hAnsi="宋体" w:cs="宋体"/>
                <w:bCs/>
                <w:szCs w:val="21"/>
              </w:rPr>
            </w:pPr>
            <w:r>
              <w:rPr>
                <w:rFonts w:hint="eastAsia" w:ascii="宋体" w:hAnsi="宋体" w:cs="宋体"/>
                <w:bCs/>
                <w:szCs w:val="21"/>
              </w:rPr>
              <w:t>项目名称</w:t>
            </w:r>
          </w:p>
        </w:tc>
        <w:tc>
          <w:tcPr>
            <w:tcW w:w="1360" w:type="dxa"/>
            <w:vAlign w:val="center"/>
          </w:tcPr>
          <w:p>
            <w:pPr>
              <w:spacing w:line="560" w:lineRule="exact"/>
              <w:jc w:val="center"/>
              <w:rPr>
                <w:rFonts w:ascii="宋体" w:hAnsi="宋体" w:cs="宋体"/>
                <w:bCs/>
                <w:szCs w:val="21"/>
              </w:rPr>
            </w:pPr>
            <w:r>
              <w:rPr>
                <w:rFonts w:hint="eastAsia" w:ascii="宋体" w:hAnsi="宋体" w:cs="宋体"/>
                <w:bCs/>
                <w:szCs w:val="21"/>
              </w:rPr>
              <w:t>建设规模</w:t>
            </w:r>
          </w:p>
          <w:p>
            <w:pPr>
              <w:spacing w:line="560" w:lineRule="exact"/>
              <w:jc w:val="center"/>
              <w:rPr>
                <w:rFonts w:ascii="宋体" w:hAnsi="宋体" w:cs="宋体"/>
                <w:bCs/>
                <w:szCs w:val="21"/>
              </w:rPr>
            </w:pPr>
            <w:r>
              <w:rPr>
                <w:rFonts w:hint="eastAsia" w:ascii="宋体" w:hAnsi="宋体" w:cs="宋体"/>
                <w:bCs/>
                <w:szCs w:val="21"/>
              </w:rPr>
              <w:t>（㎡）</w:t>
            </w:r>
          </w:p>
        </w:tc>
        <w:tc>
          <w:tcPr>
            <w:tcW w:w="1510" w:type="dxa"/>
            <w:vAlign w:val="center"/>
          </w:tcPr>
          <w:p>
            <w:pPr>
              <w:spacing w:line="560" w:lineRule="exact"/>
              <w:jc w:val="center"/>
              <w:rPr>
                <w:rFonts w:ascii="宋体" w:hAnsi="宋体" w:cs="宋体"/>
                <w:bCs/>
                <w:szCs w:val="21"/>
              </w:rPr>
            </w:pPr>
            <w:r>
              <w:rPr>
                <w:rFonts w:hint="eastAsia" w:ascii="宋体" w:hAnsi="宋体" w:cs="宋体"/>
                <w:bCs/>
                <w:szCs w:val="21"/>
              </w:rPr>
              <w:t>投标总价</w:t>
            </w:r>
          </w:p>
          <w:p>
            <w:pPr>
              <w:spacing w:line="560" w:lineRule="exact"/>
              <w:jc w:val="center"/>
              <w:rPr>
                <w:rFonts w:ascii="宋体" w:hAnsi="宋体" w:cs="宋体"/>
                <w:bCs/>
                <w:szCs w:val="21"/>
              </w:rPr>
            </w:pPr>
            <w:r>
              <w:rPr>
                <w:rFonts w:hint="eastAsia" w:ascii="宋体" w:hAnsi="宋体" w:cs="宋体"/>
                <w:bCs/>
                <w:szCs w:val="21"/>
              </w:rPr>
              <w:t>（元）</w:t>
            </w:r>
          </w:p>
        </w:tc>
        <w:tc>
          <w:tcPr>
            <w:tcW w:w="1057" w:type="dxa"/>
            <w:vAlign w:val="center"/>
          </w:tcPr>
          <w:p>
            <w:pPr>
              <w:spacing w:line="560" w:lineRule="exact"/>
              <w:jc w:val="center"/>
              <w:rPr>
                <w:rFonts w:ascii="宋体" w:hAnsi="宋体" w:cs="宋体"/>
                <w:bCs/>
                <w:szCs w:val="21"/>
              </w:rPr>
            </w:pPr>
            <w:r>
              <w:rPr>
                <w:rFonts w:hint="eastAsia" w:ascii="宋体" w:hAnsi="宋体" w:cs="宋体"/>
                <w:bCs/>
                <w:szCs w:val="21"/>
              </w:rPr>
              <w:t>工程</w:t>
            </w:r>
          </w:p>
          <w:p>
            <w:pPr>
              <w:spacing w:line="560" w:lineRule="exact"/>
              <w:jc w:val="center"/>
              <w:rPr>
                <w:rFonts w:ascii="宋体" w:hAnsi="宋体" w:cs="宋体"/>
                <w:bCs/>
                <w:szCs w:val="21"/>
              </w:rPr>
            </w:pPr>
            <w:r>
              <w:rPr>
                <w:rFonts w:hint="eastAsia" w:ascii="宋体" w:hAnsi="宋体" w:cs="宋体"/>
                <w:bCs/>
                <w:szCs w:val="21"/>
              </w:rPr>
              <w:t>质量</w:t>
            </w:r>
          </w:p>
        </w:tc>
        <w:tc>
          <w:tcPr>
            <w:tcW w:w="1807" w:type="dxa"/>
            <w:vAlign w:val="center"/>
          </w:tcPr>
          <w:p>
            <w:pPr>
              <w:spacing w:line="560" w:lineRule="exact"/>
              <w:jc w:val="center"/>
              <w:rPr>
                <w:rFonts w:ascii="宋体" w:hAnsi="宋体" w:cs="宋体"/>
                <w:szCs w:val="21"/>
              </w:rPr>
            </w:pPr>
            <w:r>
              <w:rPr>
                <w:rFonts w:hint="eastAsia" w:ascii="宋体" w:hAnsi="宋体" w:cs="宋体"/>
                <w:bCs/>
                <w:szCs w:val="21"/>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76" w:type="dxa"/>
            <w:vAlign w:val="center"/>
          </w:tcPr>
          <w:p>
            <w:pPr>
              <w:spacing w:line="560" w:lineRule="exact"/>
              <w:jc w:val="center"/>
              <w:rPr>
                <w:rFonts w:ascii="宋体" w:hAnsi="宋体" w:cs="宋体"/>
                <w:szCs w:val="21"/>
              </w:rPr>
            </w:pPr>
          </w:p>
        </w:tc>
        <w:tc>
          <w:tcPr>
            <w:tcW w:w="3252" w:type="dxa"/>
            <w:vAlign w:val="center"/>
          </w:tcPr>
          <w:p>
            <w:pPr>
              <w:spacing w:line="560" w:lineRule="exact"/>
              <w:rPr>
                <w:rFonts w:ascii="宋体" w:hAnsi="宋体" w:cs="宋体"/>
                <w:szCs w:val="21"/>
              </w:rPr>
            </w:pPr>
          </w:p>
        </w:tc>
        <w:tc>
          <w:tcPr>
            <w:tcW w:w="1360" w:type="dxa"/>
            <w:vAlign w:val="center"/>
          </w:tcPr>
          <w:p>
            <w:pPr>
              <w:spacing w:line="560" w:lineRule="exact"/>
              <w:rPr>
                <w:rFonts w:ascii="宋体" w:hAnsi="宋体" w:cs="宋体"/>
                <w:szCs w:val="21"/>
              </w:rPr>
            </w:pPr>
          </w:p>
        </w:tc>
        <w:tc>
          <w:tcPr>
            <w:tcW w:w="1510" w:type="dxa"/>
            <w:vAlign w:val="center"/>
          </w:tcPr>
          <w:p>
            <w:pPr>
              <w:spacing w:line="560" w:lineRule="exact"/>
              <w:rPr>
                <w:rFonts w:ascii="宋体" w:hAnsi="宋体" w:cs="宋体"/>
                <w:szCs w:val="21"/>
              </w:rPr>
            </w:pPr>
          </w:p>
        </w:tc>
        <w:tc>
          <w:tcPr>
            <w:tcW w:w="1057" w:type="dxa"/>
            <w:vAlign w:val="center"/>
          </w:tcPr>
          <w:p>
            <w:pPr>
              <w:spacing w:line="560" w:lineRule="exact"/>
              <w:rPr>
                <w:rFonts w:ascii="宋体" w:hAnsi="宋体" w:cs="宋体"/>
                <w:szCs w:val="21"/>
              </w:rPr>
            </w:pPr>
          </w:p>
        </w:tc>
        <w:tc>
          <w:tcPr>
            <w:tcW w:w="1807" w:type="dxa"/>
            <w:vAlign w:val="center"/>
          </w:tcPr>
          <w:p>
            <w:pPr>
              <w:spacing w:line="5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4228" w:type="dxa"/>
            <w:gridSpan w:val="2"/>
            <w:vAlign w:val="center"/>
          </w:tcPr>
          <w:p>
            <w:pPr>
              <w:spacing w:line="560" w:lineRule="exact"/>
              <w:ind w:firstLine="1260" w:firstLineChars="600"/>
              <w:rPr>
                <w:rFonts w:ascii="宋体" w:hAnsi="宋体" w:cs="宋体"/>
                <w:szCs w:val="21"/>
              </w:rPr>
            </w:pPr>
            <w:r>
              <w:rPr>
                <w:rFonts w:hint="eastAsia" w:ascii="宋体" w:hAnsi="宋体" w:cs="宋体"/>
                <w:szCs w:val="21"/>
              </w:rPr>
              <w:t>投标报价（大写）</w:t>
            </w:r>
          </w:p>
        </w:tc>
        <w:tc>
          <w:tcPr>
            <w:tcW w:w="5734" w:type="dxa"/>
            <w:gridSpan w:val="4"/>
            <w:vAlign w:val="center"/>
          </w:tcPr>
          <w:p>
            <w:pPr>
              <w:spacing w:line="5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4228" w:type="dxa"/>
            <w:gridSpan w:val="2"/>
            <w:vAlign w:val="center"/>
          </w:tcPr>
          <w:p>
            <w:pPr>
              <w:spacing w:line="560" w:lineRule="exact"/>
              <w:ind w:firstLine="2100" w:firstLineChars="1000"/>
              <w:rPr>
                <w:rFonts w:ascii="宋体" w:hAnsi="宋体" w:cs="宋体"/>
                <w:szCs w:val="21"/>
              </w:rPr>
            </w:pPr>
            <w:r>
              <w:rPr>
                <w:rFonts w:hint="eastAsia" w:ascii="宋体" w:hAnsi="宋体" w:cs="宋体"/>
                <w:szCs w:val="21"/>
              </w:rPr>
              <w:t>（小写）</w:t>
            </w:r>
          </w:p>
        </w:tc>
        <w:tc>
          <w:tcPr>
            <w:tcW w:w="5734" w:type="dxa"/>
            <w:gridSpan w:val="4"/>
            <w:vAlign w:val="center"/>
          </w:tcPr>
          <w:p>
            <w:pPr>
              <w:spacing w:line="560" w:lineRule="exact"/>
              <w:rPr>
                <w:rFonts w:ascii="宋体" w:hAnsi="宋体" w:cs="宋体"/>
                <w:szCs w:val="21"/>
              </w:rPr>
            </w:pPr>
          </w:p>
        </w:tc>
      </w:tr>
    </w:tbl>
    <w:p>
      <w:pPr>
        <w:autoSpaceDE w:val="0"/>
        <w:autoSpaceDN w:val="0"/>
        <w:adjustRightInd w:val="0"/>
        <w:spacing w:line="560" w:lineRule="exact"/>
        <w:ind w:firstLine="480"/>
        <w:rPr>
          <w:rFonts w:ascii="宋体" w:hAnsi="宋体" w:cs="宋体"/>
          <w:kern w:val="0"/>
          <w:szCs w:val="21"/>
          <w:lang w:val="zh-CN"/>
        </w:rPr>
      </w:pPr>
      <w:r>
        <w:rPr>
          <w:rFonts w:hint="eastAsia" w:ascii="宋体" w:hAnsi="宋体" w:cs="宋体"/>
          <w:kern w:val="0"/>
          <w:szCs w:val="21"/>
          <w:lang w:val="zh-CN"/>
        </w:rPr>
        <w:t>注：1.填写此表时不得改变表格形式。</w:t>
      </w:r>
    </w:p>
    <w:p>
      <w:pPr>
        <w:autoSpaceDE w:val="0"/>
        <w:autoSpaceDN w:val="0"/>
        <w:adjustRightInd w:val="0"/>
        <w:spacing w:line="560" w:lineRule="exact"/>
        <w:ind w:firstLine="480"/>
        <w:rPr>
          <w:rFonts w:ascii="宋体" w:hAnsi="宋体" w:cs="宋体"/>
          <w:szCs w:val="21"/>
        </w:rPr>
      </w:pPr>
      <w:r>
        <w:rPr>
          <w:rFonts w:hint="eastAsia" w:ascii="宋体" w:hAnsi="宋体" w:cs="宋体"/>
          <w:kern w:val="0"/>
          <w:szCs w:val="21"/>
        </w:rPr>
        <w:t xml:space="preserve">    2.</w:t>
      </w:r>
      <w:r>
        <w:rPr>
          <w:rFonts w:hint="eastAsia" w:ascii="宋体" w:hAnsi="宋体" w:cs="宋体"/>
          <w:kern w:val="0"/>
          <w:szCs w:val="21"/>
          <w:lang w:val="zh-CN"/>
        </w:rPr>
        <w:t>竞争性磋商响应报价必须包括：施工总价（安全防护、文明施工措施费等费用）、保险费、成交服务费、税金及不可</w:t>
      </w:r>
      <w:r>
        <w:rPr>
          <w:rFonts w:hint="eastAsia" w:ascii="宋体" w:hAnsi="宋体" w:cs="宋体"/>
          <w:szCs w:val="21"/>
        </w:rPr>
        <w:t xml:space="preserve">预见费等全部费用。 </w:t>
      </w:r>
    </w:p>
    <w:p>
      <w:pPr>
        <w:autoSpaceDE w:val="0"/>
        <w:autoSpaceDN w:val="0"/>
        <w:adjustRightInd w:val="0"/>
        <w:spacing w:line="560" w:lineRule="exact"/>
        <w:ind w:firstLine="840" w:firstLineChars="400"/>
        <w:rPr>
          <w:rFonts w:ascii="宋体" w:hAnsi="宋体" w:cs="宋体"/>
          <w:kern w:val="0"/>
          <w:szCs w:val="21"/>
          <w:lang w:val="zh-CN"/>
        </w:rPr>
      </w:pPr>
      <w:r>
        <w:rPr>
          <w:rFonts w:hint="eastAsia" w:ascii="宋体" w:hAnsi="宋体" w:cs="宋体"/>
          <w:kern w:val="0"/>
          <w:szCs w:val="21"/>
          <w:lang w:val="zh-CN"/>
        </w:rPr>
        <w:t>3.“工期”是指供应商能够完成工程施工总日历天。</w:t>
      </w:r>
    </w:p>
    <w:p>
      <w:pPr>
        <w:autoSpaceDE w:val="0"/>
        <w:autoSpaceDN w:val="0"/>
        <w:adjustRightInd w:val="0"/>
        <w:spacing w:line="560" w:lineRule="exact"/>
        <w:ind w:firstLine="840" w:firstLineChars="400"/>
        <w:rPr>
          <w:rFonts w:ascii="宋体" w:hAnsi="宋体" w:cs="宋体"/>
          <w:kern w:val="0"/>
          <w:szCs w:val="21"/>
          <w:lang w:val="zh-CN"/>
        </w:rPr>
      </w:pPr>
      <w:r>
        <w:rPr>
          <w:rFonts w:hint="eastAsia" w:ascii="宋体" w:hAnsi="宋体" w:cs="宋体"/>
          <w:kern w:val="0"/>
          <w:szCs w:val="21"/>
        </w:rPr>
        <w:t>4.</w:t>
      </w:r>
      <w:r>
        <w:rPr>
          <w:rFonts w:hint="eastAsia" w:ascii="宋体" w:hAnsi="宋体" w:cs="宋体"/>
          <w:kern w:val="0"/>
          <w:szCs w:val="21"/>
          <w:lang w:val="zh-CN"/>
        </w:rPr>
        <w:t>竞争性磋商响应最初报价不能有两个或两个以上的报价方案。</w:t>
      </w:r>
    </w:p>
    <w:p>
      <w:pPr>
        <w:adjustRightInd w:val="0"/>
        <w:spacing w:line="560" w:lineRule="exact"/>
        <w:textAlignment w:val="baseline"/>
        <w:rPr>
          <w:rFonts w:ascii="宋体" w:hAnsi="宋体" w:cs="宋体"/>
          <w:b/>
          <w:szCs w:val="21"/>
        </w:rPr>
      </w:pPr>
    </w:p>
    <w:p>
      <w:pPr>
        <w:adjustRightInd w:val="0"/>
        <w:spacing w:line="560" w:lineRule="exact"/>
        <w:textAlignment w:val="baseline"/>
        <w:rPr>
          <w:rFonts w:ascii="宋体" w:hAnsi="宋体" w:cs="宋体"/>
          <w:szCs w:val="21"/>
        </w:rPr>
      </w:pPr>
    </w:p>
    <w:p>
      <w:pPr>
        <w:adjustRightInd w:val="0"/>
        <w:spacing w:line="560" w:lineRule="exact"/>
        <w:textAlignment w:val="baseline"/>
        <w:rPr>
          <w:rFonts w:ascii="宋体" w:hAnsi="宋体" w:cs="宋体"/>
          <w:szCs w:val="21"/>
        </w:rPr>
      </w:pPr>
    </w:p>
    <w:p>
      <w:pPr>
        <w:spacing w:line="560" w:lineRule="exact"/>
        <w:ind w:firstLine="480"/>
        <w:jc w:val="center"/>
        <w:rPr>
          <w:rFonts w:ascii="宋体" w:hAnsi="宋体" w:cs="宋体"/>
          <w:szCs w:val="21"/>
        </w:rPr>
      </w:pPr>
    </w:p>
    <w:p>
      <w:pPr>
        <w:spacing w:line="560" w:lineRule="exact"/>
        <w:rPr>
          <w:rFonts w:ascii="宋体" w:hAnsi="宋体" w:cs="宋体"/>
          <w:szCs w:val="21"/>
        </w:rPr>
      </w:pPr>
    </w:p>
    <w:p>
      <w:pPr>
        <w:spacing w:line="560" w:lineRule="exact"/>
        <w:ind w:firstLine="2215" w:firstLineChars="1055"/>
        <w:rPr>
          <w:rFonts w:ascii="宋体" w:hAnsi="宋体" w:cs="宋体"/>
          <w:szCs w:val="21"/>
        </w:rPr>
      </w:pPr>
    </w:p>
    <w:p>
      <w:pPr>
        <w:spacing w:line="560" w:lineRule="exact"/>
        <w:ind w:firstLine="482"/>
        <w:jc w:val="center"/>
        <w:rPr>
          <w:rFonts w:ascii="宋体" w:hAnsi="宋体" w:cs="宋体"/>
          <w:b/>
          <w:szCs w:val="21"/>
        </w:rPr>
      </w:pPr>
      <w:r>
        <w:rPr>
          <w:rFonts w:hint="eastAsia" w:ascii="宋体" w:hAnsi="宋体" w:cs="宋体"/>
          <w:b/>
          <w:szCs w:val="21"/>
        </w:rPr>
        <w:t xml:space="preserve">                      </w:t>
      </w:r>
      <w:bookmarkStart w:id="583" w:name="_Toc28449_WPSOffice_Level2"/>
      <w:bookmarkStart w:id="584" w:name="_Toc13421_WPSOffice_Level2"/>
      <w:bookmarkStart w:id="585" w:name="_Toc17685_WPSOffice_Level2"/>
      <w:bookmarkStart w:id="586" w:name="_Toc1445_WPSOffice_Level2"/>
      <w:r>
        <w:rPr>
          <w:rFonts w:hint="eastAsia" w:ascii="宋体" w:hAnsi="宋体" w:cs="宋体"/>
          <w:b/>
          <w:szCs w:val="21"/>
        </w:rPr>
        <w:t>供应商：</w:t>
      </w:r>
      <w:r>
        <w:rPr>
          <w:rFonts w:hint="eastAsia" w:ascii="宋体" w:hAnsi="宋体" w:cs="宋体"/>
          <w:kern w:val="0"/>
          <w:szCs w:val="21"/>
          <w:u w:val="single"/>
        </w:rPr>
        <w:t xml:space="preserve">       </w:t>
      </w:r>
      <w:r>
        <w:rPr>
          <w:rFonts w:hint="eastAsia" w:ascii="宋体" w:hAnsi="宋体" w:cs="宋体"/>
          <w:b/>
          <w:szCs w:val="21"/>
        </w:rPr>
        <w:t>（公章）</w:t>
      </w:r>
      <w:bookmarkEnd w:id="583"/>
      <w:bookmarkEnd w:id="584"/>
      <w:bookmarkEnd w:id="585"/>
      <w:bookmarkEnd w:id="586"/>
    </w:p>
    <w:p>
      <w:pPr>
        <w:spacing w:line="560" w:lineRule="exact"/>
        <w:ind w:firstLine="482"/>
        <w:jc w:val="center"/>
        <w:rPr>
          <w:rFonts w:ascii="宋体" w:hAnsi="宋体" w:cs="宋体"/>
          <w:b/>
          <w:szCs w:val="21"/>
        </w:rPr>
      </w:pPr>
      <w:r>
        <w:rPr>
          <w:rFonts w:hint="eastAsia" w:ascii="宋体" w:hAnsi="宋体" w:cs="宋体"/>
          <w:b/>
          <w:szCs w:val="21"/>
        </w:rPr>
        <w:t xml:space="preserve">                  </w:t>
      </w:r>
      <w:bookmarkStart w:id="587" w:name="_Toc3936_WPSOffice_Level2"/>
      <w:bookmarkStart w:id="588" w:name="_Toc27525_WPSOffice_Level2"/>
      <w:bookmarkStart w:id="589" w:name="_Toc31193_WPSOffice_Level2"/>
      <w:bookmarkStart w:id="590" w:name="_Toc17721_WPSOffice_Level2"/>
      <w:r>
        <w:rPr>
          <w:rFonts w:hint="eastAsia" w:ascii="宋体" w:hAnsi="宋体" w:cs="宋体"/>
          <w:b/>
          <w:szCs w:val="21"/>
        </w:rPr>
        <w:t>法定代表人或委托代理人：</w:t>
      </w:r>
      <w:r>
        <w:rPr>
          <w:rFonts w:hint="eastAsia" w:ascii="宋体" w:hAnsi="宋体" w:cs="宋体"/>
          <w:kern w:val="0"/>
          <w:szCs w:val="21"/>
          <w:u w:val="single"/>
        </w:rPr>
        <w:t xml:space="preserve">       </w:t>
      </w:r>
      <w:r>
        <w:rPr>
          <w:rFonts w:hint="eastAsia" w:ascii="宋体" w:hAnsi="宋体" w:cs="宋体"/>
          <w:b/>
          <w:szCs w:val="21"/>
        </w:rPr>
        <w:t>（签字或盖章）</w:t>
      </w:r>
      <w:bookmarkEnd w:id="587"/>
      <w:bookmarkEnd w:id="588"/>
      <w:bookmarkEnd w:id="589"/>
      <w:bookmarkEnd w:id="590"/>
    </w:p>
    <w:p>
      <w:pPr>
        <w:spacing w:line="560" w:lineRule="exact"/>
        <w:ind w:firstLine="482"/>
        <w:jc w:val="center"/>
        <w:rPr>
          <w:rFonts w:ascii="宋体" w:hAnsi="宋体" w:cs="宋体"/>
          <w:b/>
          <w:szCs w:val="21"/>
        </w:rPr>
      </w:pPr>
      <w:r>
        <w:rPr>
          <w:rFonts w:hint="eastAsia" w:ascii="宋体" w:hAnsi="宋体" w:cs="宋体"/>
          <w:b/>
          <w:szCs w:val="21"/>
        </w:rPr>
        <w:t xml:space="preserve">             </w:t>
      </w:r>
      <w:bookmarkStart w:id="591" w:name="_Toc12793_WPSOffice_Level2"/>
      <w:bookmarkStart w:id="592" w:name="_Toc3569_WPSOffice_Level2"/>
      <w:bookmarkStart w:id="593" w:name="_Toc17342_WPSOffice_Level2"/>
      <w:bookmarkStart w:id="594" w:name="_Toc7914_WPSOffice_Level2"/>
      <w:r>
        <w:rPr>
          <w:rFonts w:hint="eastAsia" w:ascii="宋体" w:hAnsi="宋体" w:cs="宋体"/>
          <w:b/>
          <w:szCs w:val="21"/>
        </w:rPr>
        <w:t>年   月  日</w:t>
      </w:r>
      <w:bookmarkEnd w:id="591"/>
      <w:bookmarkEnd w:id="592"/>
      <w:bookmarkEnd w:id="593"/>
      <w:bookmarkEnd w:id="594"/>
    </w:p>
    <w:p>
      <w:pPr>
        <w:spacing w:line="400" w:lineRule="exact"/>
        <w:rPr>
          <w:rFonts w:ascii="宋体" w:hAnsi="宋体"/>
          <w:szCs w:val="21"/>
        </w:rPr>
      </w:pPr>
    </w:p>
    <w:p>
      <w:pPr>
        <w:widowControl/>
        <w:snapToGrid w:val="0"/>
        <w:spacing w:line="360" w:lineRule="auto"/>
        <w:outlineLvl w:val="1"/>
        <w:rPr>
          <w:rFonts w:ascii="宋体" w:hAnsi="宋体" w:cs="宋体"/>
          <w:b/>
          <w:sz w:val="28"/>
          <w:szCs w:val="28"/>
        </w:rPr>
      </w:pPr>
      <w:bookmarkStart w:id="595" w:name="_Toc9894"/>
      <w:bookmarkStart w:id="596" w:name="_Toc2710"/>
      <w:bookmarkStart w:id="597" w:name="_Toc15796_WPSOffice_Level2"/>
      <w:bookmarkStart w:id="598" w:name="_Toc32177"/>
      <w:bookmarkStart w:id="599" w:name="_Toc12468"/>
      <w:r>
        <w:rPr>
          <w:rStyle w:val="41"/>
          <w:rFonts w:hint="eastAsia"/>
        </w:rPr>
        <w:t>附件</w:t>
      </w:r>
      <w:bookmarkStart w:id="600" w:name="_Toc325726043"/>
      <w:bookmarkStart w:id="601" w:name="_Toc376936774"/>
      <w:bookmarkStart w:id="602" w:name="_Toc376936773"/>
      <w:bookmarkStart w:id="603" w:name="_Toc325726042"/>
      <w:r>
        <w:rPr>
          <w:rStyle w:val="41"/>
          <w:rFonts w:hint="eastAsia"/>
        </w:rPr>
        <w:t>4：法定代表人证明书</w:t>
      </w:r>
      <w:bookmarkEnd w:id="595"/>
      <w:bookmarkEnd w:id="596"/>
      <w:bookmarkEnd w:id="597"/>
      <w:bookmarkEnd w:id="598"/>
      <w:bookmarkEnd w:id="599"/>
      <w:bookmarkEnd w:id="600"/>
      <w:bookmarkEnd w:id="601"/>
    </w:p>
    <w:p>
      <w:pPr>
        <w:jc w:val="center"/>
        <w:rPr>
          <w:rFonts w:ascii="宋体" w:hAnsi="宋体" w:cs="宋体"/>
          <w:b/>
          <w:bCs/>
          <w:sz w:val="36"/>
          <w:szCs w:val="36"/>
        </w:rPr>
      </w:pPr>
      <w:r>
        <w:rPr>
          <w:rFonts w:hint="eastAsia" w:ascii="宋体" w:hAnsi="宋体" w:cs="宋体"/>
          <w:b/>
          <w:bCs/>
          <w:sz w:val="36"/>
          <w:szCs w:val="36"/>
        </w:rPr>
        <w:t>法定代表人证明书</w:t>
      </w:r>
    </w:p>
    <w:p>
      <w:pPr>
        <w:rPr>
          <w:rFonts w:ascii="宋体" w:hAnsi="宋体" w:cs="宋体"/>
          <w:b/>
          <w:bCs/>
        </w:rPr>
      </w:pPr>
    </w:p>
    <w:p>
      <w:pPr>
        <w:adjustRightInd w:val="0"/>
        <w:spacing w:line="560" w:lineRule="exact"/>
        <w:textAlignment w:val="baseline"/>
        <w:rPr>
          <w:rFonts w:ascii="宋体" w:hAnsi="宋体" w:cs="宋体"/>
          <w:kern w:val="0"/>
        </w:rPr>
      </w:pPr>
      <w:bookmarkStart w:id="604" w:name="_Toc24144_WPSOffice_Level2"/>
      <w:bookmarkStart w:id="605" w:name="_Toc2435_WPSOffice_Level2"/>
      <w:bookmarkStart w:id="606" w:name="_Toc4231_WPSOffice_Level2"/>
      <w:bookmarkStart w:id="607" w:name="_Toc17438_WPSOffice_Level2"/>
      <w:bookmarkStart w:id="608" w:name="_Toc27483_WPSOffice_Level2"/>
      <w:r>
        <w:rPr>
          <w:rFonts w:hint="eastAsia" w:ascii="宋体" w:hAnsi="宋体" w:cs="宋体"/>
          <w:b/>
          <w:bCs/>
        </w:rPr>
        <w:t>致：</w:t>
      </w:r>
      <w:r>
        <w:rPr>
          <w:rFonts w:hint="eastAsia" w:ascii="宋体" w:hAnsi="宋体" w:cs="宋体"/>
          <w:b/>
        </w:rPr>
        <w:t>青海鑫融工程项目管理咨询有限公司</w:t>
      </w:r>
      <w:bookmarkEnd w:id="604"/>
      <w:bookmarkEnd w:id="605"/>
      <w:bookmarkEnd w:id="606"/>
      <w:bookmarkEnd w:id="607"/>
      <w:bookmarkEnd w:id="608"/>
      <w:r>
        <w:rPr>
          <w:rFonts w:hint="eastAsia" w:ascii="宋体" w:hAnsi="宋体" w:cs="宋体"/>
          <w:b/>
        </w:rPr>
        <w:t xml:space="preserve">                 </w:t>
      </w:r>
    </w:p>
    <w:p>
      <w:pPr>
        <w:autoSpaceDE w:val="0"/>
        <w:autoSpaceDN w:val="0"/>
        <w:adjustRightInd w:val="0"/>
        <w:spacing w:line="560" w:lineRule="exact"/>
        <w:ind w:firstLine="480"/>
        <w:jc w:val="left"/>
        <w:rPr>
          <w:rFonts w:ascii="宋体" w:hAnsi="宋体" w:cs="宋体"/>
        </w:rPr>
      </w:pPr>
      <w:r>
        <w:rPr>
          <w:rFonts w:hint="eastAsia" w:ascii="宋体" w:hAnsi="宋体" w:cs="宋体"/>
          <w:u w:val="single"/>
        </w:rPr>
        <w:t xml:space="preserve">  （法定代表人姓名）  </w:t>
      </w:r>
      <w:r>
        <w:rPr>
          <w:rFonts w:hint="eastAsia" w:ascii="宋体" w:hAnsi="宋体" w:cs="宋体"/>
          <w:kern w:val="0"/>
        </w:rPr>
        <w:t>现任我单位</w:t>
      </w:r>
      <w:r>
        <w:rPr>
          <w:rFonts w:hint="eastAsia" w:ascii="宋体" w:hAnsi="宋体" w:cs="宋体"/>
          <w:u w:val="single"/>
        </w:rPr>
        <w:t xml:space="preserve">              </w:t>
      </w:r>
      <w:r>
        <w:rPr>
          <w:rFonts w:hint="eastAsia" w:ascii="宋体" w:hAnsi="宋体" w:cs="宋体"/>
        </w:rPr>
        <w:t>职务，为法定代表人，特此证明。</w:t>
      </w:r>
    </w:p>
    <w:p>
      <w:pPr>
        <w:autoSpaceDE w:val="0"/>
        <w:autoSpaceDN w:val="0"/>
        <w:adjustRightInd w:val="0"/>
        <w:spacing w:line="560" w:lineRule="exact"/>
        <w:ind w:firstLine="480"/>
        <w:jc w:val="left"/>
        <w:rPr>
          <w:rFonts w:ascii="宋体" w:hAnsi="宋体" w:cs="宋体"/>
          <w:kern w:val="0"/>
        </w:rPr>
      </w:pPr>
      <w:r>
        <w:rPr>
          <w:rFonts w:hint="eastAsia" w:ascii="宋体" w:hAnsi="宋体" w:cs="宋体"/>
        </w:rPr>
        <w:t>法定代表人基本情况：</w:t>
      </w:r>
    </w:p>
    <w:p>
      <w:pPr>
        <w:autoSpaceDE w:val="0"/>
        <w:autoSpaceDN w:val="0"/>
        <w:adjustRightInd w:val="0"/>
        <w:spacing w:line="560" w:lineRule="exact"/>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pPr>
        <w:autoSpaceDE w:val="0"/>
        <w:autoSpaceDN w:val="0"/>
        <w:adjustRightInd w:val="0"/>
        <w:spacing w:line="560" w:lineRule="exact"/>
        <w:ind w:firstLine="480"/>
        <w:jc w:val="left"/>
        <w:rPr>
          <w:rFonts w:ascii="宋体" w:hAnsi="宋体" w:cs="宋体"/>
          <w:kern w:val="0"/>
        </w:rPr>
      </w:pPr>
      <w:r>
        <w:rPr>
          <w:rFonts w:hint="eastAsia" w:ascii="宋体" w:hAnsi="宋体" w:cs="宋体"/>
          <w:kern w:val="0"/>
        </w:rPr>
        <w:t>地址：</w:t>
      </w:r>
      <w:r>
        <w:rPr>
          <w:rFonts w:hint="eastAsia" w:ascii="宋体" w:hAnsi="宋体" w:cs="宋体"/>
          <w:u w:val="single"/>
        </w:rPr>
        <w:t xml:space="preserve">                 </w:t>
      </w:r>
    </w:p>
    <w:p>
      <w:pPr>
        <w:autoSpaceDE w:val="0"/>
        <w:autoSpaceDN w:val="0"/>
        <w:adjustRightInd w:val="0"/>
        <w:spacing w:line="560" w:lineRule="exact"/>
        <w:ind w:firstLine="480"/>
        <w:jc w:val="left"/>
        <w:rPr>
          <w:rFonts w:ascii="宋体" w:hAnsi="宋体" w:cs="宋体"/>
          <w:u w:val="single"/>
        </w:rPr>
      </w:pPr>
      <w:r>
        <w:rPr>
          <w:rFonts w:hint="eastAsia" w:ascii="宋体" w:hAnsi="宋体" w:cs="宋体"/>
          <w:kern w:val="0"/>
        </w:rPr>
        <w:t>身份证号码：</w:t>
      </w:r>
      <w:r>
        <w:rPr>
          <w:rFonts w:hint="eastAsia" w:ascii="宋体" w:hAnsi="宋体" w:cs="宋体"/>
          <w:u w:val="single"/>
        </w:rPr>
        <w:t xml:space="preserve">                 </w:t>
      </w:r>
    </w:p>
    <w:p>
      <w:pPr>
        <w:autoSpaceDE w:val="0"/>
        <w:autoSpaceDN w:val="0"/>
        <w:adjustRightInd w:val="0"/>
        <w:spacing w:line="560" w:lineRule="exact"/>
        <w:ind w:firstLine="480"/>
        <w:jc w:val="left"/>
        <w:rPr>
          <w:rFonts w:ascii="宋体" w:hAnsi="宋体" w:cs="宋体"/>
          <w:kern w:val="0"/>
        </w:rPr>
      </w:pPr>
      <w:r>
        <w:rPr>
          <w:rFonts w:hint="eastAsia" w:ascii="宋体" w:hAnsi="宋体" w:cs="宋体"/>
          <w:kern w:val="0"/>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jc w:val="left"/>
        <w:rPr>
          <w:rFonts w:ascii="宋体" w:hAnsi="宋体" w:cs="宋体"/>
          <w:kern w:val="0"/>
        </w:rPr>
      </w:pPr>
    </w:p>
    <w:p>
      <w:pPr>
        <w:spacing w:line="560" w:lineRule="exact"/>
        <w:jc w:val="right"/>
        <w:rPr>
          <w:rFonts w:ascii="宋体" w:hAnsi="宋体" w:cs="宋体"/>
          <w:b/>
        </w:rPr>
      </w:pPr>
      <w:bookmarkStart w:id="609" w:name="_Toc20675_WPSOffice_Level2"/>
      <w:bookmarkStart w:id="610" w:name="_Toc2125_WPSOffice_Level2"/>
      <w:bookmarkStart w:id="611" w:name="_Toc771_WPSOffice_Level2"/>
      <w:bookmarkStart w:id="612" w:name="_Toc15991_WPSOffice_Level2"/>
      <w:bookmarkStart w:id="613" w:name="_Toc19561_WPSOffice_Level2"/>
      <w:r>
        <w:rPr>
          <w:rFonts w:hint="eastAsia" w:ascii="宋体" w:hAnsi="宋体" w:cs="宋体"/>
          <w:b/>
        </w:rPr>
        <w:t>供应商：</w:t>
      </w:r>
      <w:r>
        <w:rPr>
          <w:rFonts w:hint="eastAsia" w:ascii="宋体" w:hAnsi="宋体" w:cs="宋体"/>
          <w:kern w:val="0"/>
          <w:u w:val="single"/>
        </w:rPr>
        <w:t xml:space="preserve">           </w:t>
      </w:r>
      <w:r>
        <w:rPr>
          <w:rFonts w:hint="eastAsia" w:ascii="宋体" w:hAnsi="宋体" w:cs="宋体"/>
          <w:b/>
        </w:rPr>
        <w:t>（公章）</w:t>
      </w:r>
      <w:bookmarkEnd w:id="609"/>
      <w:bookmarkEnd w:id="610"/>
      <w:bookmarkEnd w:id="611"/>
      <w:bookmarkEnd w:id="612"/>
      <w:bookmarkEnd w:id="613"/>
    </w:p>
    <w:p>
      <w:pPr>
        <w:spacing w:line="560" w:lineRule="exact"/>
        <w:jc w:val="right"/>
        <w:rPr>
          <w:rFonts w:ascii="宋体" w:hAnsi="宋体" w:cs="宋体"/>
          <w:b/>
        </w:rPr>
      </w:pPr>
      <w:bookmarkStart w:id="614" w:name="_Toc19131_WPSOffice_Level2"/>
      <w:bookmarkStart w:id="615" w:name="_Toc27830_WPSOffice_Level2"/>
      <w:bookmarkStart w:id="616" w:name="_Toc22499_WPSOffice_Level2"/>
      <w:bookmarkStart w:id="617" w:name="_Toc25836_WPSOffice_Level2"/>
      <w:bookmarkStart w:id="618" w:name="_Toc23306_WPSOffice_Level2"/>
      <w:r>
        <w:rPr>
          <w:rFonts w:hint="eastAsia" w:ascii="宋体" w:hAnsi="宋体" w:cs="宋体"/>
          <w:b/>
        </w:rPr>
        <w:t>法定代表人：</w:t>
      </w:r>
      <w:r>
        <w:rPr>
          <w:rFonts w:hint="eastAsia" w:ascii="宋体" w:hAnsi="宋体" w:cs="宋体"/>
          <w:kern w:val="0"/>
          <w:u w:val="single"/>
        </w:rPr>
        <w:t xml:space="preserve">           </w:t>
      </w:r>
      <w:r>
        <w:rPr>
          <w:rFonts w:hint="eastAsia" w:ascii="宋体" w:hAnsi="宋体" w:cs="宋体"/>
          <w:b/>
        </w:rPr>
        <w:t>（签字）</w:t>
      </w:r>
      <w:bookmarkEnd w:id="614"/>
      <w:bookmarkEnd w:id="615"/>
      <w:bookmarkEnd w:id="616"/>
      <w:bookmarkEnd w:id="617"/>
      <w:bookmarkEnd w:id="618"/>
    </w:p>
    <w:p>
      <w:pPr>
        <w:spacing w:line="560" w:lineRule="exact"/>
        <w:ind w:firstLine="482"/>
        <w:jc w:val="center"/>
        <w:rPr>
          <w:rFonts w:ascii="宋体" w:hAnsi="宋体" w:cs="宋体"/>
          <w:b/>
        </w:rPr>
      </w:pPr>
      <w:r>
        <w:rPr>
          <w:rFonts w:hint="eastAsia" w:ascii="宋体" w:hAnsi="宋体" w:cs="宋体"/>
          <w:b/>
        </w:rPr>
        <w:t xml:space="preserve">                                                 </w:t>
      </w:r>
      <w:bookmarkStart w:id="619" w:name="_Toc4372_WPSOffice_Level2"/>
      <w:bookmarkStart w:id="620" w:name="_Toc15359_WPSOffice_Level2"/>
      <w:bookmarkStart w:id="621" w:name="_Toc28901_WPSOffice_Level2"/>
      <w:bookmarkStart w:id="622" w:name="_Toc25791_WPSOffice_Level2"/>
      <w:r>
        <w:rPr>
          <w:rFonts w:hint="eastAsia" w:ascii="宋体" w:hAnsi="宋体" w:cs="宋体"/>
          <w:b/>
        </w:rPr>
        <w:t>年   月   日</w:t>
      </w:r>
      <w:bookmarkEnd w:id="619"/>
      <w:bookmarkEnd w:id="620"/>
      <w:bookmarkEnd w:id="621"/>
      <w:bookmarkEnd w:id="622"/>
    </w:p>
    <w:bookmarkEnd w:id="602"/>
    <w:bookmarkEnd w:id="603"/>
    <w:p>
      <w:pPr>
        <w:rPr>
          <w:rFonts w:ascii="宋体" w:hAnsi="宋体" w:cs="宋体"/>
          <w:b/>
          <w:bCs/>
        </w:rPr>
      </w:pPr>
    </w:p>
    <w:p>
      <w:pPr>
        <w:rPr>
          <w:rFonts w:ascii="宋体" w:hAnsi="宋体" w:cs="宋体"/>
          <w:b/>
          <w:bCs/>
        </w:rPr>
      </w:pPr>
    </w:p>
    <w:p>
      <w:pPr>
        <w:widowControl/>
        <w:snapToGrid w:val="0"/>
        <w:spacing w:line="360" w:lineRule="auto"/>
        <w:outlineLvl w:val="1"/>
        <w:rPr>
          <w:rFonts w:ascii="宋体" w:hAnsi="宋体" w:cs="宋体"/>
          <w:b/>
          <w:sz w:val="36"/>
          <w:szCs w:val="36"/>
        </w:rPr>
      </w:pPr>
      <w:bookmarkStart w:id="623" w:name="_Toc324756736"/>
      <w:bookmarkStart w:id="624" w:name="_Toc201287639"/>
      <w:bookmarkStart w:id="625" w:name="_Toc15744"/>
      <w:r>
        <w:rPr>
          <w:rFonts w:hint="eastAsia" w:ascii="宋体" w:hAnsi="宋体" w:cs="宋体"/>
          <w:b/>
          <w:sz w:val="28"/>
          <w:szCs w:val="28"/>
        </w:rPr>
        <w:br w:type="page"/>
      </w:r>
      <w:bookmarkStart w:id="626" w:name="_Toc19258"/>
      <w:bookmarkStart w:id="627" w:name="_Toc1110_WPSOffice_Level2"/>
      <w:bookmarkStart w:id="628" w:name="_Toc27566_WPSOffice_Level2"/>
      <w:bookmarkStart w:id="629" w:name="_Toc2283"/>
      <w:bookmarkStart w:id="630" w:name="_Toc22765"/>
      <w:r>
        <w:rPr>
          <w:rStyle w:val="41"/>
          <w:rFonts w:hint="eastAsia"/>
        </w:rPr>
        <w:t>附件</w:t>
      </w:r>
      <w:bookmarkEnd w:id="623"/>
      <w:bookmarkEnd w:id="624"/>
      <w:r>
        <w:rPr>
          <w:rStyle w:val="41"/>
          <w:rFonts w:hint="eastAsia"/>
        </w:rPr>
        <w:t>5：法定代表人授权书</w:t>
      </w:r>
      <w:bookmarkEnd w:id="625"/>
      <w:bookmarkEnd w:id="626"/>
      <w:bookmarkEnd w:id="627"/>
      <w:bookmarkEnd w:id="628"/>
      <w:bookmarkEnd w:id="629"/>
      <w:bookmarkEnd w:id="630"/>
    </w:p>
    <w:p>
      <w:pPr>
        <w:jc w:val="center"/>
        <w:rPr>
          <w:rFonts w:ascii="宋体" w:hAnsi="宋体" w:cs="宋体"/>
          <w:b/>
          <w:bCs/>
        </w:rPr>
      </w:pPr>
      <w:r>
        <w:rPr>
          <w:rFonts w:hint="eastAsia" w:ascii="宋体" w:hAnsi="宋体" w:cs="宋体"/>
          <w:b/>
          <w:sz w:val="36"/>
          <w:szCs w:val="36"/>
        </w:rPr>
        <w:t>法定代表人授权书</w:t>
      </w:r>
    </w:p>
    <w:p>
      <w:pPr>
        <w:adjustRightInd w:val="0"/>
        <w:spacing w:line="560" w:lineRule="exact"/>
        <w:textAlignment w:val="baseline"/>
        <w:rPr>
          <w:rFonts w:asciiTheme="minorEastAsia" w:hAnsiTheme="minorEastAsia" w:eastAsiaTheme="minorEastAsia" w:cstheme="minorEastAsia"/>
          <w:szCs w:val="21"/>
          <w:u w:val="single"/>
        </w:rPr>
      </w:pPr>
      <w:bookmarkStart w:id="631" w:name="_Toc3413_WPSOffice_Level2"/>
      <w:bookmarkStart w:id="632" w:name="_Toc12076_WPSOffice_Level2"/>
      <w:bookmarkStart w:id="633" w:name="_Toc22309_WPSOffice_Level2"/>
      <w:bookmarkStart w:id="634" w:name="_Toc20325_WPSOffice_Level2"/>
      <w:bookmarkStart w:id="635" w:name="_Toc15579_WPSOffice_Level2"/>
      <w:r>
        <w:rPr>
          <w:rFonts w:hint="eastAsia" w:asciiTheme="minorEastAsia" w:hAnsiTheme="minorEastAsia" w:eastAsiaTheme="minorEastAsia" w:cstheme="minorEastAsia"/>
          <w:b/>
          <w:bCs/>
          <w:szCs w:val="21"/>
        </w:rPr>
        <w:t>致：</w:t>
      </w:r>
      <w:r>
        <w:rPr>
          <w:rFonts w:hint="eastAsia" w:asciiTheme="minorEastAsia" w:hAnsiTheme="minorEastAsia" w:eastAsiaTheme="minorEastAsia" w:cstheme="minorEastAsia"/>
          <w:b/>
          <w:szCs w:val="21"/>
        </w:rPr>
        <w:t>青海鑫融工程项目管理咨询有限公司</w:t>
      </w:r>
      <w:bookmarkEnd w:id="631"/>
      <w:bookmarkEnd w:id="632"/>
      <w:bookmarkEnd w:id="633"/>
      <w:bookmarkEnd w:id="634"/>
      <w:bookmarkEnd w:id="635"/>
      <w:r>
        <w:rPr>
          <w:rFonts w:hint="eastAsia" w:asciiTheme="minorEastAsia" w:hAnsiTheme="minorEastAsia" w:eastAsiaTheme="minorEastAsia" w:cstheme="minorEastAsia"/>
          <w:b/>
          <w:szCs w:val="21"/>
        </w:rPr>
        <w:t xml:space="preserve">                 </w:t>
      </w:r>
    </w:p>
    <w:p>
      <w:pPr>
        <w:spacing w:line="56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（供应商名称）</w:t>
      </w:r>
      <w:r>
        <w:rPr>
          <w:rFonts w:hint="eastAsia" w:asciiTheme="minorEastAsia" w:hAnsiTheme="minorEastAsia" w:eastAsiaTheme="minorEastAsia" w:cstheme="minorEastAsia"/>
          <w:szCs w:val="21"/>
        </w:rPr>
        <w:t>系中华人民共和国合法企业，法定地址</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56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（法定代表人姓名）   </w:t>
      </w:r>
      <w:r>
        <w:rPr>
          <w:rFonts w:hint="eastAsia" w:asciiTheme="minorEastAsia" w:hAnsiTheme="minorEastAsia" w:eastAsiaTheme="minorEastAsia" w:cstheme="minorEastAsia"/>
          <w:szCs w:val="21"/>
        </w:rPr>
        <w:t>特授权</w:t>
      </w:r>
      <w:r>
        <w:rPr>
          <w:rFonts w:hint="eastAsia" w:asciiTheme="minorEastAsia" w:hAnsiTheme="minorEastAsia" w:eastAsiaTheme="minorEastAsia" w:cstheme="minorEastAsia"/>
          <w:szCs w:val="21"/>
          <w:u w:val="single"/>
        </w:rPr>
        <w:t xml:space="preserve"> （委托代理人姓名）    </w:t>
      </w:r>
      <w:r>
        <w:rPr>
          <w:rFonts w:hint="eastAsia" w:asciiTheme="minorEastAsia" w:hAnsiTheme="minorEastAsia" w:eastAsiaTheme="minorEastAsia" w:cstheme="minorEastAsia"/>
          <w:szCs w:val="21"/>
        </w:rPr>
        <w:t>代表我单位全权办理针对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项目的磋商、答疑等具体工作，并签署全部有关的文件、资料。</w:t>
      </w:r>
    </w:p>
    <w:p>
      <w:pPr>
        <w:spacing w:line="56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我单位对被授权人的签名负全部责任。</w:t>
      </w:r>
    </w:p>
    <w:p>
      <w:pPr>
        <w:spacing w:line="56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在撤销授权的书面通知以前，本授权书一直有效，被授权人签署的所有文件（在授权书有效期内签署的）不因授权的撤销而失效。</w:t>
      </w:r>
    </w:p>
    <w:p>
      <w:pPr>
        <w:spacing w:line="56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授权期限：自</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日起至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w:t>
      </w:r>
    </w:p>
    <w:p>
      <w:pPr>
        <w:spacing w:line="56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（注：授权期限必须满足投标有效期的要求）</w:t>
      </w:r>
    </w:p>
    <w:p>
      <w:pPr>
        <w:spacing w:line="56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被授权人联系电话：</w:t>
      </w:r>
      <w:r>
        <w:rPr>
          <w:rFonts w:hint="eastAsia" w:asciiTheme="minorEastAsia" w:hAnsiTheme="minorEastAsia" w:eastAsiaTheme="minorEastAsia" w:cstheme="minorEastAsia"/>
          <w:szCs w:val="21"/>
          <w:u w:val="single"/>
        </w:rPr>
        <w:t xml:space="preserve">           </w:t>
      </w:r>
    </w:p>
    <w:p>
      <w:pPr>
        <w:spacing w:line="560" w:lineRule="exact"/>
        <w:ind w:firstLine="48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被授权人（委托代理人）签字：</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授权人（法定代表人）签字：</w:t>
      </w:r>
      <w:r>
        <w:rPr>
          <w:rFonts w:hint="eastAsia" w:asciiTheme="minorEastAsia" w:hAnsiTheme="minorEastAsia" w:eastAsiaTheme="minorEastAsia" w:cstheme="minorEastAsia"/>
          <w:szCs w:val="21"/>
          <w:u w:val="single"/>
        </w:rPr>
        <w:t xml:space="preserve">          </w:t>
      </w:r>
    </w:p>
    <w:p>
      <w:pPr>
        <w:spacing w:line="56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职务：         </w:t>
      </w:r>
    </w:p>
    <w:p>
      <w:pPr>
        <w:autoSpaceDE w:val="0"/>
        <w:autoSpaceDN w:val="0"/>
        <w:adjustRightInd w:val="0"/>
        <w:spacing w:line="560" w:lineRule="exact"/>
        <w:ind w:firstLine="48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附被授权人第二代身份证双面扫描（或复印）件</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p>
    <w:p>
      <w:pPr>
        <w:spacing w:line="560" w:lineRule="exact"/>
        <w:ind w:firstLine="3647" w:firstLineChars="1737"/>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bookmarkStart w:id="636" w:name="_Toc29460_WPSOffice_Level2"/>
      <w:bookmarkStart w:id="637" w:name="_Toc20928_WPSOffice_Level2"/>
      <w:bookmarkStart w:id="638" w:name="_Toc15186_WPSOffice_Level2"/>
      <w:bookmarkStart w:id="639" w:name="_Toc20101_WPSOffice_Level2"/>
      <w:bookmarkStart w:id="640" w:name="_Toc21979_WPSOffice_Level2"/>
      <w:r>
        <w:rPr>
          <w:rFonts w:hint="eastAsia" w:asciiTheme="minorEastAsia" w:hAnsiTheme="minorEastAsia" w:eastAsiaTheme="minorEastAsia" w:cstheme="minorEastAsia"/>
          <w:b/>
          <w:szCs w:val="21"/>
        </w:rPr>
        <w:t>供应商：</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b/>
          <w:szCs w:val="21"/>
        </w:rPr>
        <w:t>（公章）</w:t>
      </w:r>
      <w:bookmarkEnd w:id="636"/>
      <w:bookmarkEnd w:id="637"/>
      <w:bookmarkEnd w:id="638"/>
      <w:bookmarkEnd w:id="639"/>
      <w:bookmarkEnd w:id="640"/>
    </w:p>
    <w:p>
      <w:pPr>
        <w:spacing w:line="560" w:lineRule="exact"/>
        <w:jc w:val="right"/>
        <w:rPr>
          <w:rFonts w:asciiTheme="minorEastAsia" w:hAnsiTheme="minorEastAsia" w:eastAsiaTheme="minorEastAsia" w:cstheme="minorEastAsia"/>
          <w:b/>
          <w:szCs w:val="21"/>
        </w:rPr>
      </w:pPr>
      <w:bookmarkStart w:id="641" w:name="_Toc24202_WPSOffice_Level2"/>
      <w:bookmarkStart w:id="642" w:name="_Toc11397_WPSOffice_Level2"/>
      <w:bookmarkStart w:id="643" w:name="_Toc18946_WPSOffice_Level2"/>
      <w:bookmarkStart w:id="644" w:name="_Toc25636_WPSOffice_Level2"/>
      <w:bookmarkStart w:id="645" w:name="_Toc13164_WPSOffice_Level2"/>
      <w:r>
        <w:rPr>
          <w:rFonts w:hint="eastAsia" w:asciiTheme="minorEastAsia" w:hAnsiTheme="minorEastAsia" w:eastAsiaTheme="minorEastAsia" w:cstheme="minorEastAsia"/>
          <w:b/>
          <w:szCs w:val="21"/>
        </w:rPr>
        <w:t>法定代表人：</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b/>
          <w:szCs w:val="21"/>
        </w:rPr>
        <w:t>（签字）</w:t>
      </w:r>
      <w:bookmarkEnd w:id="641"/>
      <w:bookmarkEnd w:id="642"/>
      <w:bookmarkEnd w:id="643"/>
      <w:bookmarkEnd w:id="644"/>
      <w:bookmarkEnd w:id="645"/>
    </w:p>
    <w:p>
      <w:pPr>
        <w:spacing w:line="560" w:lineRule="exact"/>
        <w:ind w:firstLine="482"/>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w:t>
      </w:r>
      <w:bookmarkStart w:id="646" w:name="_Toc28801_WPSOffice_Level2"/>
      <w:bookmarkStart w:id="647" w:name="_Toc13113_WPSOffice_Level2"/>
      <w:bookmarkStart w:id="648" w:name="_Toc12108_WPSOffice_Level2"/>
      <w:bookmarkStart w:id="649" w:name="_Toc841_WPSOffice_Level2"/>
      <w:r>
        <w:rPr>
          <w:rFonts w:hint="eastAsia" w:asciiTheme="minorEastAsia" w:hAnsiTheme="minorEastAsia" w:eastAsiaTheme="minorEastAsia" w:cstheme="minorEastAsia"/>
          <w:b/>
          <w:szCs w:val="21"/>
        </w:rPr>
        <w:t>年   月   日</w:t>
      </w:r>
      <w:bookmarkEnd w:id="646"/>
      <w:bookmarkEnd w:id="647"/>
      <w:bookmarkEnd w:id="648"/>
      <w:bookmarkEnd w:id="649"/>
    </w:p>
    <w:p>
      <w:pPr>
        <w:rPr>
          <w:rFonts w:ascii="宋体" w:hAnsi="宋体" w:cs="宋体"/>
          <w:b/>
          <w:bCs/>
          <w:sz w:val="28"/>
          <w:szCs w:val="28"/>
        </w:rPr>
      </w:pPr>
    </w:p>
    <w:p>
      <w:pPr>
        <w:rPr>
          <w:rFonts w:ascii="宋体" w:hAnsi="宋体" w:cs="宋体"/>
          <w:b/>
          <w:bCs/>
          <w:sz w:val="28"/>
          <w:szCs w:val="28"/>
        </w:rPr>
      </w:pPr>
    </w:p>
    <w:p>
      <w:pPr>
        <w:widowControl/>
        <w:snapToGrid w:val="0"/>
        <w:spacing w:line="360" w:lineRule="auto"/>
        <w:outlineLvl w:val="1"/>
      </w:pPr>
      <w:bookmarkStart w:id="650" w:name="_Toc14392"/>
      <w:r>
        <w:rPr>
          <w:rFonts w:hint="eastAsia" w:ascii="宋体" w:hAnsi="宋体" w:cs="宋体"/>
          <w:b/>
          <w:sz w:val="28"/>
          <w:szCs w:val="28"/>
        </w:rPr>
        <w:br w:type="page"/>
      </w:r>
      <w:bookmarkStart w:id="651" w:name="_Toc22958"/>
      <w:bookmarkStart w:id="652" w:name="_Toc26938_WPSOffice_Level2"/>
      <w:bookmarkStart w:id="653" w:name="_Toc21629"/>
      <w:bookmarkStart w:id="654" w:name="_Toc28220"/>
      <w:r>
        <w:rPr>
          <w:rStyle w:val="41"/>
          <w:rFonts w:hint="eastAsia"/>
        </w:rPr>
        <w:t>附件</w:t>
      </w:r>
      <w:bookmarkStart w:id="655" w:name="_Toc365019584"/>
      <w:bookmarkStart w:id="656" w:name="_Toc351475542"/>
      <w:bookmarkStart w:id="657" w:name="_Toc376936779"/>
      <w:r>
        <w:rPr>
          <w:rStyle w:val="41"/>
          <w:rFonts w:hint="eastAsia"/>
        </w:rPr>
        <w:t>6：供应商诚信承诺书</w:t>
      </w:r>
      <w:bookmarkEnd w:id="650"/>
      <w:bookmarkEnd w:id="651"/>
      <w:bookmarkEnd w:id="652"/>
      <w:bookmarkEnd w:id="653"/>
      <w:bookmarkEnd w:id="654"/>
      <w:bookmarkEnd w:id="655"/>
      <w:bookmarkEnd w:id="656"/>
      <w:bookmarkEnd w:id="657"/>
    </w:p>
    <w:p>
      <w:pPr>
        <w:jc w:val="center"/>
        <w:rPr>
          <w:rFonts w:ascii="宋体" w:hAnsi="宋体" w:cs="宋体"/>
          <w:b/>
          <w:sz w:val="36"/>
          <w:szCs w:val="36"/>
        </w:rPr>
      </w:pPr>
      <w:r>
        <w:rPr>
          <w:rFonts w:hint="eastAsia" w:ascii="宋体" w:hAnsi="宋体" w:cs="宋体"/>
          <w:b/>
          <w:sz w:val="36"/>
          <w:szCs w:val="36"/>
        </w:rPr>
        <w:t>供应商诚信承诺书</w:t>
      </w:r>
    </w:p>
    <w:p>
      <w:pPr>
        <w:adjustRightInd w:val="0"/>
        <w:spacing w:line="400" w:lineRule="exact"/>
        <w:textAlignment w:val="baseline"/>
        <w:rPr>
          <w:rFonts w:ascii="宋体" w:hAnsi="宋体" w:cs="宋体"/>
          <w:b/>
          <w:szCs w:val="21"/>
        </w:rPr>
      </w:pPr>
      <w:bookmarkStart w:id="658" w:name="_Toc7422_WPSOffice_Level2"/>
      <w:bookmarkStart w:id="659" w:name="_Toc22840_WPSOffice_Level2"/>
      <w:bookmarkStart w:id="660" w:name="_Toc10564_WPSOffice_Level2"/>
      <w:bookmarkStart w:id="661" w:name="_Toc26964_WPSOffice_Level2"/>
      <w:bookmarkStart w:id="662" w:name="_Toc12789_WPSOffice_Level2"/>
      <w:r>
        <w:rPr>
          <w:rFonts w:hint="eastAsia" w:ascii="宋体" w:hAnsi="宋体" w:cs="宋体"/>
          <w:b/>
          <w:bCs/>
          <w:szCs w:val="21"/>
        </w:rPr>
        <w:t>致：</w:t>
      </w:r>
      <w:r>
        <w:rPr>
          <w:rFonts w:hint="eastAsia" w:ascii="宋体" w:hAnsi="宋体" w:cs="宋体"/>
          <w:b/>
          <w:szCs w:val="21"/>
        </w:rPr>
        <w:t>青海鑫融工程项目管理咨询有限公司</w:t>
      </w:r>
      <w:bookmarkEnd w:id="658"/>
      <w:bookmarkEnd w:id="659"/>
      <w:bookmarkEnd w:id="660"/>
      <w:bookmarkEnd w:id="661"/>
      <w:bookmarkEnd w:id="662"/>
      <w:r>
        <w:rPr>
          <w:rFonts w:hint="eastAsia" w:ascii="宋体" w:hAnsi="宋体" w:cs="宋体"/>
          <w:b/>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为了诚实、客观、有序地参与青海省政府采购活动，愿就以下内容作出承诺：</w:t>
      </w:r>
    </w:p>
    <w:p>
      <w:pPr>
        <w:spacing w:line="400" w:lineRule="exact"/>
        <w:ind w:firstLine="420" w:firstLineChars="200"/>
        <w:rPr>
          <w:rFonts w:ascii="宋体" w:hAnsi="宋体" w:cs="宋体"/>
          <w:szCs w:val="21"/>
        </w:rPr>
      </w:pPr>
      <w:r>
        <w:rPr>
          <w:rFonts w:hint="eastAsia" w:ascii="宋体" w:hAnsi="宋体" w:cs="宋体"/>
          <w:szCs w:val="21"/>
        </w:rPr>
        <w:t>一、自觉遵守各项法律、法规、规章、制度以及社会公德，维护廉洁环境，与同场竞争的供应商平等参加政府采购活动。</w:t>
      </w:r>
    </w:p>
    <w:p>
      <w:pPr>
        <w:spacing w:line="400" w:lineRule="exact"/>
        <w:ind w:firstLine="420" w:firstLineChars="200"/>
        <w:rPr>
          <w:rFonts w:ascii="宋体" w:hAnsi="宋体" w:cs="宋体"/>
          <w:szCs w:val="21"/>
        </w:rPr>
      </w:pPr>
      <w:r>
        <w:rPr>
          <w:rFonts w:hint="eastAsia" w:ascii="宋体" w:hAnsi="宋体" w:cs="宋体"/>
          <w:szCs w:val="21"/>
        </w:rPr>
        <w:t>二、参加青海鑫融工程项目管理咨询有限公司组织的政府采购活动时，严格按照磋商文件的规定和要求提供所需的相关材料，并对所提供的各类资料的真实性负责，不虚假应标，不虚列业绩。</w:t>
      </w:r>
    </w:p>
    <w:p>
      <w:pPr>
        <w:spacing w:line="400" w:lineRule="exact"/>
        <w:ind w:firstLine="420" w:firstLineChars="200"/>
        <w:rPr>
          <w:rFonts w:ascii="宋体" w:hAnsi="宋体" w:cs="宋体"/>
          <w:szCs w:val="21"/>
        </w:rPr>
      </w:pPr>
      <w:r>
        <w:rPr>
          <w:rFonts w:hint="eastAsia" w:ascii="宋体" w:hAnsi="宋体" w:cs="宋体"/>
          <w:szCs w:val="21"/>
        </w:rPr>
        <w:t>三、尊重参与政府采购活动各相关方的合法行为，接受政府采购活动依法形成的意见、结果。</w:t>
      </w:r>
    </w:p>
    <w:p>
      <w:pPr>
        <w:spacing w:line="400" w:lineRule="exact"/>
        <w:ind w:firstLine="420" w:firstLineChars="200"/>
        <w:rPr>
          <w:rFonts w:ascii="宋体" w:hAnsi="宋体" w:cs="宋体"/>
          <w:szCs w:val="21"/>
        </w:rPr>
      </w:pPr>
      <w:r>
        <w:rPr>
          <w:rFonts w:hint="eastAsia" w:ascii="宋体" w:hAnsi="宋体" w:cs="宋体"/>
          <w:szCs w:val="21"/>
        </w:rPr>
        <w:t>四、依法参加政府采购活动，不围标、串标，维护市场秩序，不提供“三无”产品、以次充好。</w:t>
      </w:r>
    </w:p>
    <w:p>
      <w:pPr>
        <w:spacing w:line="400" w:lineRule="exact"/>
        <w:ind w:firstLine="420" w:firstLineChars="200"/>
        <w:rPr>
          <w:rFonts w:ascii="宋体" w:hAnsi="宋体" w:cs="宋体"/>
          <w:szCs w:val="21"/>
        </w:rPr>
      </w:pPr>
      <w:r>
        <w:rPr>
          <w:rFonts w:hint="eastAsia" w:ascii="宋体" w:hAnsi="宋体" w:cs="宋体"/>
          <w:szCs w:val="21"/>
        </w:rPr>
        <w:t>五、积极推动政府采购活动健康开展，对采购活动有疑问、异议时，按法律规定的程序实名（加盖单位公章和法定代表人签名）反映情况，不恶意中伤、无事生非，以和谐、平等的心态参加政府采购活动。</w:t>
      </w:r>
    </w:p>
    <w:p>
      <w:pPr>
        <w:spacing w:line="400" w:lineRule="exact"/>
        <w:ind w:firstLine="420" w:firstLineChars="200"/>
        <w:rPr>
          <w:rFonts w:ascii="宋体" w:hAnsi="宋体" w:cs="宋体"/>
          <w:szCs w:val="21"/>
        </w:rPr>
      </w:pPr>
      <w:r>
        <w:rPr>
          <w:rFonts w:hint="eastAsia" w:ascii="宋体" w:hAnsi="宋体" w:cs="宋体"/>
          <w:szCs w:val="21"/>
        </w:rPr>
        <w:t>六、认真履行中标人应承担的责任和义务，全面执行合同规定的各项内容，保质保量地按时完成工作任务。</w:t>
      </w:r>
    </w:p>
    <w:p>
      <w:pPr>
        <w:spacing w:line="400" w:lineRule="exact"/>
        <w:rPr>
          <w:rFonts w:ascii="宋体" w:hAnsi="宋体" w:cs="宋体"/>
          <w:szCs w:val="21"/>
        </w:rPr>
      </w:pPr>
      <w:r>
        <w:rPr>
          <w:rFonts w:hint="eastAsia" w:ascii="宋体" w:hAnsi="宋体" w:cs="宋体"/>
          <w:szCs w:val="21"/>
        </w:rPr>
        <w:t>若本企业（单位）发生有悖于上述承诺的行为，愿意接受《中华人民共和国政府采购法》和《政府采购法实施条例》中对供应商的相关处理。</w:t>
      </w:r>
    </w:p>
    <w:p>
      <w:pPr>
        <w:spacing w:line="400" w:lineRule="exact"/>
        <w:ind w:firstLine="420" w:firstLineChars="200"/>
        <w:rPr>
          <w:rFonts w:ascii="宋体" w:hAnsi="宋体" w:cs="宋体"/>
          <w:szCs w:val="21"/>
        </w:rPr>
      </w:pPr>
      <w:r>
        <w:rPr>
          <w:rFonts w:hint="eastAsia" w:ascii="宋体" w:hAnsi="宋体" w:cs="宋体"/>
          <w:szCs w:val="21"/>
        </w:rPr>
        <w:t>本承诺是采购项目响应文件的组成部分。</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p>
    <w:p>
      <w:pPr>
        <w:spacing w:line="400" w:lineRule="exact"/>
        <w:rPr>
          <w:rFonts w:ascii="宋体" w:hAnsi="宋体" w:cs="宋体"/>
          <w:b/>
          <w:szCs w:val="21"/>
        </w:rPr>
      </w:pPr>
      <w:r>
        <w:rPr>
          <w:rFonts w:hint="eastAsia" w:ascii="宋体" w:hAnsi="宋体" w:cs="宋体"/>
          <w:b/>
          <w:szCs w:val="21"/>
        </w:rPr>
        <w:t xml:space="preserve"> </w:t>
      </w:r>
    </w:p>
    <w:p>
      <w:pPr>
        <w:spacing w:line="400" w:lineRule="exact"/>
        <w:ind w:firstLine="4594" w:firstLineChars="2179"/>
        <w:rPr>
          <w:rFonts w:ascii="宋体" w:hAnsi="宋体" w:cs="宋体"/>
          <w:b/>
          <w:szCs w:val="21"/>
        </w:rPr>
      </w:pPr>
      <w:bookmarkStart w:id="663" w:name="_Toc24737_WPSOffice_Level2"/>
      <w:bookmarkStart w:id="664" w:name="_Toc5398_WPSOffice_Level2"/>
      <w:bookmarkStart w:id="665" w:name="_Toc26341_WPSOffice_Level2"/>
      <w:bookmarkStart w:id="666" w:name="_Toc22913_WPSOffice_Level2"/>
      <w:bookmarkStart w:id="667" w:name="_Toc31653_WPSOffice_Level2"/>
      <w:r>
        <w:rPr>
          <w:rFonts w:hint="eastAsia" w:ascii="宋体" w:hAnsi="宋体" w:cs="宋体"/>
          <w:b/>
          <w:szCs w:val="21"/>
        </w:rPr>
        <w:t>供应商：</w:t>
      </w:r>
      <w:r>
        <w:rPr>
          <w:rFonts w:hint="eastAsia" w:ascii="宋体" w:hAnsi="宋体" w:cs="宋体"/>
          <w:kern w:val="0"/>
          <w:szCs w:val="21"/>
          <w:u w:val="single"/>
        </w:rPr>
        <w:t xml:space="preserve">       </w:t>
      </w:r>
      <w:r>
        <w:rPr>
          <w:rFonts w:hint="eastAsia" w:ascii="宋体" w:hAnsi="宋体" w:cs="宋体"/>
          <w:b/>
          <w:szCs w:val="21"/>
        </w:rPr>
        <w:t>（公章）</w:t>
      </w:r>
      <w:bookmarkEnd w:id="663"/>
      <w:bookmarkEnd w:id="664"/>
      <w:bookmarkEnd w:id="665"/>
      <w:bookmarkEnd w:id="666"/>
      <w:bookmarkEnd w:id="667"/>
    </w:p>
    <w:p>
      <w:pPr>
        <w:spacing w:line="400" w:lineRule="exact"/>
        <w:ind w:firstLine="482"/>
        <w:jc w:val="center"/>
        <w:rPr>
          <w:rFonts w:ascii="宋体" w:hAnsi="宋体" w:cs="宋体"/>
          <w:b/>
          <w:szCs w:val="21"/>
        </w:rPr>
      </w:pPr>
      <w:r>
        <w:rPr>
          <w:rFonts w:hint="eastAsia" w:ascii="宋体" w:hAnsi="宋体" w:cs="宋体"/>
          <w:b/>
          <w:szCs w:val="21"/>
        </w:rPr>
        <w:t xml:space="preserve">                  </w:t>
      </w:r>
      <w:bookmarkStart w:id="668" w:name="_Toc5384_WPSOffice_Level2"/>
      <w:bookmarkStart w:id="669" w:name="_Toc22659_WPSOffice_Level2"/>
      <w:bookmarkStart w:id="670" w:name="_Toc7202_WPSOffice_Level2"/>
      <w:bookmarkStart w:id="671" w:name="_Toc2514_WPSOffice_Level2"/>
      <w:r>
        <w:rPr>
          <w:rFonts w:hint="eastAsia" w:ascii="宋体" w:hAnsi="宋体" w:cs="宋体"/>
          <w:b/>
          <w:szCs w:val="21"/>
        </w:rPr>
        <w:t>法定代表人或委托代理人：</w:t>
      </w:r>
      <w:r>
        <w:rPr>
          <w:rFonts w:hint="eastAsia" w:ascii="宋体" w:hAnsi="宋体" w:cs="宋体"/>
          <w:kern w:val="0"/>
          <w:szCs w:val="21"/>
          <w:u w:val="single"/>
        </w:rPr>
        <w:t xml:space="preserve">       </w:t>
      </w:r>
      <w:r>
        <w:rPr>
          <w:rFonts w:hint="eastAsia" w:ascii="宋体" w:hAnsi="宋体" w:cs="宋体"/>
          <w:b/>
          <w:szCs w:val="21"/>
        </w:rPr>
        <w:t>（签字或盖章）</w:t>
      </w:r>
      <w:bookmarkEnd w:id="668"/>
      <w:bookmarkEnd w:id="669"/>
      <w:bookmarkEnd w:id="670"/>
      <w:bookmarkEnd w:id="671"/>
    </w:p>
    <w:p>
      <w:pPr>
        <w:spacing w:line="400" w:lineRule="exact"/>
        <w:ind w:firstLine="482"/>
        <w:jc w:val="center"/>
        <w:rPr>
          <w:rFonts w:ascii="宋体" w:hAnsi="宋体" w:cs="宋体"/>
          <w:b/>
          <w:bCs/>
          <w:szCs w:val="21"/>
        </w:rPr>
      </w:pPr>
      <w:r>
        <w:rPr>
          <w:rFonts w:hint="eastAsia" w:ascii="宋体" w:hAnsi="宋体" w:cs="宋体"/>
          <w:b/>
          <w:szCs w:val="21"/>
        </w:rPr>
        <w:t xml:space="preserve">              </w:t>
      </w:r>
      <w:bookmarkStart w:id="672" w:name="_Toc25442_WPSOffice_Level2"/>
      <w:bookmarkStart w:id="673" w:name="_Toc20347_WPSOffice_Level2"/>
      <w:bookmarkStart w:id="674" w:name="_Toc13497_WPSOffice_Level2"/>
      <w:bookmarkStart w:id="675" w:name="_Toc20003_WPSOffice_Level2"/>
      <w:r>
        <w:rPr>
          <w:rFonts w:hint="eastAsia" w:ascii="宋体" w:hAnsi="宋体" w:cs="宋体"/>
          <w:b/>
          <w:szCs w:val="21"/>
        </w:rPr>
        <w:t>年   月  日</w:t>
      </w:r>
      <w:bookmarkEnd w:id="672"/>
      <w:bookmarkEnd w:id="673"/>
      <w:bookmarkEnd w:id="674"/>
      <w:bookmarkEnd w:id="675"/>
    </w:p>
    <w:p>
      <w:pPr>
        <w:widowControl/>
        <w:snapToGrid w:val="0"/>
        <w:spacing w:line="360" w:lineRule="auto"/>
        <w:outlineLvl w:val="1"/>
        <w:rPr>
          <w:rStyle w:val="41"/>
        </w:rPr>
      </w:pPr>
      <w:bookmarkStart w:id="676" w:name="_Toc458079933"/>
      <w:r>
        <w:rPr>
          <w:rFonts w:hint="eastAsia" w:ascii="宋体" w:hAnsi="宋体" w:cs="宋体"/>
          <w:b/>
          <w:bCs/>
          <w:sz w:val="28"/>
          <w:szCs w:val="28"/>
        </w:rPr>
        <w:br w:type="page"/>
      </w:r>
      <w:bookmarkStart w:id="677" w:name="_Toc19691"/>
      <w:bookmarkStart w:id="678" w:name="_Toc2715"/>
      <w:bookmarkStart w:id="679" w:name="_Toc1933_WPSOffice_Level2"/>
      <w:bookmarkStart w:id="680" w:name="_Toc32012"/>
      <w:bookmarkStart w:id="681" w:name="_Toc30600"/>
      <w:r>
        <w:rPr>
          <w:rStyle w:val="41"/>
          <w:rFonts w:hint="eastAsia"/>
        </w:rPr>
        <w:t>附件7</w:t>
      </w:r>
      <w:bookmarkEnd w:id="676"/>
      <w:bookmarkEnd w:id="677"/>
      <w:r>
        <w:rPr>
          <w:rStyle w:val="41"/>
          <w:rFonts w:hint="eastAsia"/>
        </w:rPr>
        <w:t>：</w:t>
      </w:r>
      <w:bookmarkStart w:id="682" w:name="_Toc449612645"/>
      <w:bookmarkStart w:id="683" w:name="_Toc1967"/>
      <w:bookmarkStart w:id="684" w:name="_Toc458079934"/>
      <w:bookmarkStart w:id="685" w:name="_Toc194999279"/>
      <w:bookmarkStart w:id="686" w:name="_Toc454914676"/>
      <w:bookmarkStart w:id="687" w:name="_Toc199152123"/>
      <w:r>
        <w:rPr>
          <w:rStyle w:val="41"/>
          <w:rFonts w:hint="eastAsia"/>
        </w:rPr>
        <w:t>已标价工程量清单部分格式</w:t>
      </w:r>
      <w:bookmarkEnd w:id="678"/>
      <w:bookmarkEnd w:id="679"/>
      <w:bookmarkEnd w:id="680"/>
      <w:bookmarkEnd w:id="681"/>
      <w:bookmarkEnd w:id="682"/>
    </w:p>
    <w:p>
      <w:pPr>
        <w:spacing w:line="560" w:lineRule="exact"/>
        <w:ind w:firstLine="316" w:firstLineChars="150"/>
        <w:rPr>
          <w:rFonts w:ascii="宋体" w:hAnsi="宋体"/>
          <w:b/>
          <w:bCs/>
          <w:szCs w:val="21"/>
        </w:rPr>
      </w:pPr>
      <w:bookmarkStart w:id="688" w:name="_Toc5448_WPSOffice_Level2"/>
      <w:bookmarkStart w:id="689" w:name="_Toc2790_WPSOffice_Level2"/>
      <w:bookmarkStart w:id="690" w:name="_Toc17944_WPSOffice_Level2"/>
      <w:bookmarkStart w:id="691" w:name="_Toc4392_WPSOffice_Level2"/>
      <w:bookmarkStart w:id="692" w:name="_Toc1564_WPSOffice_Level2"/>
      <w:r>
        <w:rPr>
          <w:rFonts w:hint="eastAsia" w:ascii="宋体" w:hAnsi="宋体"/>
          <w:b/>
          <w:bCs/>
          <w:szCs w:val="21"/>
        </w:rPr>
        <w:t>工程量清单后附。</w:t>
      </w:r>
      <w:bookmarkEnd w:id="688"/>
      <w:bookmarkEnd w:id="689"/>
      <w:bookmarkEnd w:id="690"/>
      <w:bookmarkEnd w:id="691"/>
      <w:bookmarkEnd w:id="692"/>
    </w:p>
    <w:p>
      <w:pPr>
        <w:spacing w:line="560" w:lineRule="exact"/>
        <w:ind w:firstLine="316" w:firstLineChars="150"/>
        <w:rPr>
          <w:rFonts w:ascii="宋体" w:hAnsi="宋体"/>
          <w:b/>
          <w:bCs/>
          <w:szCs w:val="21"/>
        </w:rPr>
      </w:pPr>
    </w:p>
    <w:p>
      <w:pPr>
        <w:spacing w:line="560" w:lineRule="exact"/>
        <w:ind w:firstLine="315" w:firstLineChars="150"/>
        <w:rPr>
          <w:rFonts w:ascii="宋体" w:hAnsi="宋体"/>
          <w:szCs w:val="21"/>
        </w:rPr>
      </w:pPr>
      <w:r>
        <w:rPr>
          <w:rFonts w:hint="eastAsia" w:ascii="宋体" w:hAnsi="宋体"/>
          <w:szCs w:val="21"/>
        </w:rPr>
        <w:t>说明：已标价工程量清单按“工程量清单”中的相关清单表格式填写。构成合同文件的已标价工程量清单包括“工程量清单”有关内容以及其他说明的内容。</w:t>
      </w:r>
    </w:p>
    <w:p>
      <w:pPr>
        <w:ind w:firstLine="480"/>
      </w:pPr>
    </w:p>
    <w:bookmarkEnd w:id="683"/>
    <w:bookmarkEnd w:id="684"/>
    <w:p>
      <w:pPr>
        <w:ind w:firstLine="480"/>
      </w:pPr>
    </w:p>
    <w:p>
      <w:pPr>
        <w:ind w:firstLine="480"/>
      </w:pPr>
    </w:p>
    <w:p>
      <w:pPr>
        <w:outlineLvl w:val="1"/>
        <w:rPr>
          <w:rFonts w:ascii="宋体" w:hAnsi="宋体" w:cs="宋体"/>
          <w:b/>
          <w:sz w:val="28"/>
          <w:szCs w:val="28"/>
        </w:rPr>
      </w:pPr>
      <w:bookmarkStart w:id="693" w:name="_Toc458079955"/>
      <w:bookmarkStart w:id="694" w:name="_Toc8695"/>
      <w:bookmarkStart w:id="695" w:name="_Toc459133903"/>
      <w:r>
        <w:rPr>
          <w:rFonts w:hint="eastAsia" w:hAnsi="宋体" w:cs="宋体"/>
        </w:rPr>
        <w:br w:type="page"/>
      </w:r>
      <w:bookmarkEnd w:id="685"/>
      <w:bookmarkEnd w:id="686"/>
      <w:bookmarkEnd w:id="687"/>
      <w:bookmarkEnd w:id="693"/>
      <w:bookmarkEnd w:id="694"/>
      <w:bookmarkEnd w:id="695"/>
      <w:bookmarkStart w:id="696" w:name="_Toc1199_WPSOffice_Level2"/>
      <w:bookmarkStart w:id="697" w:name="_Toc12407"/>
      <w:r>
        <w:rPr>
          <w:rStyle w:val="41"/>
          <w:rFonts w:hint="eastAsia"/>
        </w:rPr>
        <w:t>附件8：施工组织设计</w:t>
      </w:r>
      <w:bookmarkEnd w:id="696"/>
      <w:bookmarkEnd w:id="697"/>
    </w:p>
    <w:p>
      <w:pPr>
        <w:autoSpaceDE w:val="0"/>
        <w:autoSpaceDN w:val="0"/>
        <w:adjustRightInd w:val="0"/>
        <w:ind w:firstLine="904" w:firstLineChars="250"/>
        <w:jc w:val="center"/>
        <w:rPr>
          <w:rFonts w:ascii="宋体" w:hAnsi="宋体" w:cs="宋体"/>
          <w:b/>
          <w:sz w:val="36"/>
          <w:szCs w:val="36"/>
        </w:rPr>
      </w:pPr>
    </w:p>
    <w:p>
      <w:pPr>
        <w:autoSpaceDE w:val="0"/>
        <w:autoSpaceDN w:val="0"/>
        <w:adjustRightInd w:val="0"/>
        <w:jc w:val="center"/>
        <w:rPr>
          <w:rFonts w:ascii="宋体" w:hAnsi="宋体" w:cs="宋体"/>
          <w:b/>
          <w:sz w:val="36"/>
          <w:szCs w:val="36"/>
        </w:rPr>
      </w:pPr>
      <w:r>
        <w:rPr>
          <w:rFonts w:hint="eastAsia" w:ascii="宋体" w:hAnsi="宋体" w:cs="宋体"/>
          <w:b/>
          <w:sz w:val="36"/>
          <w:szCs w:val="36"/>
        </w:rPr>
        <w:t>施工组织设计</w:t>
      </w:r>
    </w:p>
    <w:p>
      <w:pPr>
        <w:autoSpaceDE w:val="0"/>
        <w:autoSpaceDN w:val="0"/>
        <w:adjustRightInd w:val="0"/>
        <w:ind w:firstLine="904" w:firstLineChars="250"/>
        <w:jc w:val="center"/>
        <w:rPr>
          <w:rFonts w:ascii="宋体" w:hAnsi="宋体" w:cs="宋体"/>
          <w:b/>
          <w:sz w:val="36"/>
          <w:szCs w:val="36"/>
        </w:rPr>
      </w:pPr>
    </w:p>
    <w:p>
      <w:pPr>
        <w:autoSpaceDE w:val="0"/>
        <w:autoSpaceDN w:val="0"/>
        <w:adjustRightInd w:val="0"/>
        <w:spacing w:line="560" w:lineRule="exact"/>
        <w:ind w:firstLine="480"/>
        <w:jc w:val="left"/>
        <w:rPr>
          <w:rFonts w:asciiTheme="minorEastAsia" w:hAnsiTheme="minorEastAsia" w:eastAsiaTheme="minorEastAsia" w:cstheme="minorEastAsia"/>
          <w:kern w:val="0"/>
        </w:rPr>
      </w:pPr>
      <w:bookmarkStart w:id="698" w:name="_Toc29145"/>
      <w:r>
        <w:rPr>
          <w:rFonts w:hint="eastAsia" w:asciiTheme="minorEastAsia" w:hAnsiTheme="minorEastAsia" w:eastAsiaTheme="minorEastAsia" w:cstheme="minorEastAsia"/>
          <w:kern w:val="0"/>
        </w:rPr>
        <w:t>1. 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autoSpaceDE w:val="0"/>
        <w:autoSpaceDN w:val="0"/>
        <w:adjustRightInd w:val="0"/>
        <w:spacing w:line="560" w:lineRule="exact"/>
        <w:ind w:firstLine="630" w:firstLineChars="300"/>
        <w:jc w:val="left"/>
        <w:rPr>
          <w:rFonts w:asciiTheme="minorEastAsia" w:hAnsiTheme="minorEastAsia" w:eastAsiaTheme="minorEastAsia" w:cstheme="minorEastAsia"/>
          <w:kern w:val="0"/>
        </w:rPr>
      </w:pPr>
    </w:p>
    <w:p>
      <w:pPr>
        <w:autoSpaceDE w:val="0"/>
        <w:autoSpaceDN w:val="0"/>
        <w:adjustRightInd w:val="0"/>
        <w:spacing w:line="560" w:lineRule="exact"/>
        <w:ind w:firstLine="630" w:firstLineChars="300"/>
        <w:jc w:val="left"/>
        <w:rPr>
          <w:rFonts w:asciiTheme="minorEastAsia" w:hAnsiTheme="minorEastAsia" w:eastAsiaTheme="minorEastAsia" w:cstheme="minorEastAsia"/>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autoSpaceDE w:val="0"/>
        <w:autoSpaceDN w:val="0"/>
        <w:adjustRightInd w:val="0"/>
        <w:ind w:firstLine="630" w:firstLineChars="300"/>
        <w:jc w:val="left"/>
        <w:rPr>
          <w:rFonts w:ascii="宋体" w:hAnsi="宋体" w:cs="宋体"/>
          <w:kern w:val="0"/>
        </w:rPr>
      </w:pPr>
    </w:p>
    <w:p>
      <w:pPr>
        <w:ind w:firstLine="480"/>
      </w:pPr>
      <w:bookmarkStart w:id="699" w:name="_Toc201287657"/>
      <w:bookmarkStart w:id="700" w:name="_Toc357004108"/>
    </w:p>
    <w:p>
      <w:pPr>
        <w:ind w:firstLine="480"/>
      </w:pPr>
    </w:p>
    <w:p>
      <w:pPr>
        <w:pStyle w:val="2"/>
        <w:rPr>
          <w:sz w:val="21"/>
          <w:szCs w:val="21"/>
        </w:rPr>
      </w:pPr>
      <w:bookmarkStart w:id="701" w:name="_Toc24169"/>
      <w:r>
        <w:rPr>
          <w:rFonts w:hint="eastAsia"/>
          <w:sz w:val="21"/>
          <w:szCs w:val="21"/>
        </w:rPr>
        <w:t>（一）拟投入本项目的主要施工设备表</w:t>
      </w:r>
      <w:bookmarkEnd w:id="699"/>
      <w:bookmarkEnd w:id="700"/>
      <w:bookmarkEnd w:id="701"/>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049"/>
        <w:gridCol w:w="975"/>
        <w:gridCol w:w="912"/>
        <w:gridCol w:w="767"/>
        <w:gridCol w:w="767"/>
        <w:gridCol w:w="1228"/>
        <w:gridCol w:w="767"/>
        <w:gridCol w:w="107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32" w:type="dxa"/>
            <w:vAlign w:val="center"/>
          </w:tcPr>
          <w:p>
            <w:pPr>
              <w:jc w:val="center"/>
              <w:rPr>
                <w:rFonts w:ascii="宋体" w:hAnsi="宋体" w:cs="宋体"/>
                <w:b/>
                <w:szCs w:val="21"/>
              </w:rPr>
            </w:pPr>
            <w:r>
              <w:rPr>
                <w:rFonts w:hint="eastAsia" w:ascii="宋体" w:hAnsi="宋体" w:cs="宋体"/>
                <w:b/>
                <w:szCs w:val="21"/>
              </w:rPr>
              <w:t>序号</w:t>
            </w:r>
          </w:p>
        </w:tc>
        <w:tc>
          <w:tcPr>
            <w:tcW w:w="2049" w:type="dxa"/>
            <w:vAlign w:val="center"/>
          </w:tcPr>
          <w:p>
            <w:pPr>
              <w:jc w:val="center"/>
              <w:rPr>
                <w:rFonts w:ascii="宋体" w:hAnsi="宋体" w:cs="宋体"/>
                <w:b/>
                <w:szCs w:val="21"/>
              </w:rPr>
            </w:pPr>
            <w:r>
              <w:rPr>
                <w:rFonts w:hint="eastAsia" w:ascii="宋体" w:hAnsi="宋体" w:cs="宋体"/>
                <w:b/>
                <w:szCs w:val="21"/>
              </w:rPr>
              <w:t>设　备　名　称</w:t>
            </w:r>
          </w:p>
        </w:tc>
        <w:tc>
          <w:tcPr>
            <w:tcW w:w="975" w:type="dxa"/>
            <w:vAlign w:val="center"/>
          </w:tcPr>
          <w:p>
            <w:pPr>
              <w:jc w:val="center"/>
              <w:rPr>
                <w:rFonts w:ascii="宋体" w:hAnsi="宋体" w:cs="宋体"/>
                <w:b/>
                <w:szCs w:val="21"/>
              </w:rPr>
            </w:pPr>
            <w:r>
              <w:rPr>
                <w:rFonts w:hint="eastAsia" w:ascii="宋体" w:hAnsi="宋体" w:cs="宋体"/>
                <w:b/>
                <w:szCs w:val="21"/>
              </w:rPr>
              <w:t>型号</w:t>
            </w:r>
          </w:p>
          <w:p>
            <w:pPr>
              <w:jc w:val="center"/>
              <w:rPr>
                <w:rFonts w:ascii="宋体" w:hAnsi="宋体" w:cs="宋体"/>
                <w:b/>
                <w:szCs w:val="21"/>
              </w:rPr>
            </w:pPr>
            <w:r>
              <w:rPr>
                <w:rFonts w:hint="eastAsia" w:ascii="宋体" w:hAnsi="宋体" w:cs="宋体"/>
                <w:b/>
                <w:szCs w:val="21"/>
              </w:rPr>
              <w:t>规格</w:t>
            </w:r>
          </w:p>
        </w:tc>
        <w:tc>
          <w:tcPr>
            <w:tcW w:w="912" w:type="dxa"/>
            <w:vAlign w:val="center"/>
          </w:tcPr>
          <w:p>
            <w:pPr>
              <w:jc w:val="center"/>
              <w:rPr>
                <w:rFonts w:ascii="宋体" w:hAnsi="宋体" w:cs="宋体"/>
                <w:b/>
                <w:szCs w:val="21"/>
              </w:rPr>
            </w:pPr>
            <w:r>
              <w:rPr>
                <w:rFonts w:hint="eastAsia" w:ascii="宋体" w:hAnsi="宋体" w:cs="宋体"/>
                <w:b/>
                <w:szCs w:val="21"/>
              </w:rPr>
              <w:t>数</w:t>
            </w:r>
          </w:p>
          <w:p>
            <w:pPr>
              <w:jc w:val="center"/>
              <w:rPr>
                <w:rFonts w:ascii="宋体" w:hAnsi="宋体" w:cs="宋体"/>
                <w:b/>
                <w:szCs w:val="21"/>
              </w:rPr>
            </w:pPr>
            <w:r>
              <w:rPr>
                <w:rFonts w:hint="eastAsia" w:ascii="宋体" w:hAnsi="宋体" w:cs="宋体"/>
                <w:b/>
                <w:szCs w:val="21"/>
              </w:rPr>
              <w:t>量</w:t>
            </w:r>
          </w:p>
        </w:tc>
        <w:tc>
          <w:tcPr>
            <w:tcW w:w="767" w:type="dxa"/>
            <w:vAlign w:val="center"/>
          </w:tcPr>
          <w:p>
            <w:pPr>
              <w:jc w:val="center"/>
              <w:rPr>
                <w:rFonts w:ascii="宋体" w:hAnsi="宋体" w:cs="宋体"/>
                <w:b/>
                <w:szCs w:val="21"/>
              </w:rPr>
            </w:pPr>
            <w:r>
              <w:rPr>
                <w:rFonts w:hint="eastAsia" w:ascii="宋体" w:hAnsi="宋体" w:cs="宋体"/>
                <w:b/>
                <w:szCs w:val="21"/>
              </w:rPr>
              <w:t>国别</w:t>
            </w:r>
          </w:p>
          <w:p>
            <w:pPr>
              <w:jc w:val="center"/>
              <w:rPr>
                <w:rFonts w:ascii="宋体" w:hAnsi="宋体" w:cs="宋体"/>
                <w:b/>
                <w:szCs w:val="21"/>
              </w:rPr>
            </w:pPr>
            <w:r>
              <w:rPr>
                <w:rFonts w:hint="eastAsia" w:ascii="宋体" w:hAnsi="宋体" w:cs="宋体"/>
                <w:b/>
                <w:szCs w:val="21"/>
              </w:rPr>
              <w:t>产地</w:t>
            </w:r>
          </w:p>
        </w:tc>
        <w:tc>
          <w:tcPr>
            <w:tcW w:w="767" w:type="dxa"/>
            <w:vAlign w:val="center"/>
          </w:tcPr>
          <w:p>
            <w:pPr>
              <w:jc w:val="center"/>
              <w:rPr>
                <w:rFonts w:ascii="宋体" w:hAnsi="宋体" w:cs="宋体"/>
                <w:b/>
                <w:szCs w:val="21"/>
              </w:rPr>
            </w:pPr>
            <w:r>
              <w:rPr>
                <w:rFonts w:hint="eastAsia" w:ascii="宋体" w:hAnsi="宋体" w:cs="宋体"/>
                <w:b/>
                <w:szCs w:val="21"/>
              </w:rPr>
              <w:t>制造</w:t>
            </w:r>
          </w:p>
          <w:p>
            <w:pPr>
              <w:jc w:val="center"/>
              <w:rPr>
                <w:rFonts w:ascii="宋体" w:hAnsi="宋体" w:cs="宋体"/>
                <w:b/>
                <w:szCs w:val="21"/>
              </w:rPr>
            </w:pPr>
            <w:r>
              <w:rPr>
                <w:rFonts w:hint="eastAsia" w:ascii="宋体" w:hAnsi="宋体" w:cs="宋体"/>
                <w:b/>
                <w:szCs w:val="21"/>
              </w:rPr>
              <w:t>年份</w:t>
            </w:r>
          </w:p>
        </w:tc>
        <w:tc>
          <w:tcPr>
            <w:tcW w:w="1228" w:type="dxa"/>
            <w:vAlign w:val="center"/>
          </w:tcPr>
          <w:p>
            <w:pPr>
              <w:ind w:left="-113" w:right="-113"/>
              <w:jc w:val="center"/>
              <w:rPr>
                <w:rFonts w:ascii="宋体" w:hAnsi="宋体" w:cs="宋体"/>
                <w:b/>
                <w:szCs w:val="21"/>
              </w:rPr>
            </w:pPr>
            <w:r>
              <w:rPr>
                <w:rFonts w:hint="eastAsia" w:ascii="宋体" w:hAnsi="宋体" w:cs="宋体"/>
                <w:b/>
                <w:szCs w:val="21"/>
              </w:rPr>
              <w:t>定额功率</w:t>
            </w:r>
          </w:p>
          <w:p>
            <w:pPr>
              <w:ind w:left="-113" w:right="-113"/>
              <w:jc w:val="center"/>
              <w:rPr>
                <w:rFonts w:ascii="宋体" w:hAnsi="宋体" w:cs="宋体"/>
                <w:b/>
                <w:szCs w:val="21"/>
              </w:rPr>
            </w:pPr>
            <w:r>
              <w:rPr>
                <w:rFonts w:hint="eastAsia" w:ascii="宋体" w:hAnsi="宋体" w:cs="宋体"/>
                <w:b/>
                <w:szCs w:val="21"/>
              </w:rPr>
              <w:t>（KW）</w:t>
            </w:r>
          </w:p>
        </w:tc>
        <w:tc>
          <w:tcPr>
            <w:tcW w:w="767" w:type="dxa"/>
            <w:vAlign w:val="center"/>
          </w:tcPr>
          <w:p>
            <w:pPr>
              <w:jc w:val="center"/>
              <w:rPr>
                <w:rFonts w:ascii="宋体" w:hAnsi="宋体" w:cs="宋体"/>
                <w:b/>
                <w:szCs w:val="21"/>
              </w:rPr>
            </w:pPr>
            <w:r>
              <w:rPr>
                <w:rFonts w:hint="eastAsia" w:ascii="宋体" w:hAnsi="宋体" w:cs="宋体"/>
                <w:b/>
                <w:szCs w:val="21"/>
              </w:rPr>
              <w:t>生产</w:t>
            </w:r>
          </w:p>
          <w:p>
            <w:pPr>
              <w:jc w:val="center"/>
              <w:rPr>
                <w:rFonts w:ascii="宋体" w:hAnsi="宋体" w:cs="宋体"/>
                <w:b/>
                <w:szCs w:val="21"/>
              </w:rPr>
            </w:pPr>
            <w:r>
              <w:rPr>
                <w:rFonts w:hint="eastAsia" w:ascii="宋体" w:hAnsi="宋体" w:cs="宋体"/>
                <w:b/>
                <w:szCs w:val="21"/>
              </w:rPr>
              <w:t>能力</w:t>
            </w:r>
          </w:p>
        </w:tc>
        <w:tc>
          <w:tcPr>
            <w:tcW w:w="1074" w:type="dxa"/>
            <w:vAlign w:val="center"/>
          </w:tcPr>
          <w:p>
            <w:pPr>
              <w:jc w:val="center"/>
              <w:rPr>
                <w:rFonts w:ascii="宋体" w:hAnsi="宋体" w:cs="宋体"/>
                <w:b/>
                <w:szCs w:val="21"/>
              </w:rPr>
            </w:pPr>
            <w:r>
              <w:rPr>
                <w:rFonts w:hint="eastAsia" w:ascii="宋体" w:hAnsi="宋体" w:cs="宋体"/>
                <w:b/>
                <w:szCs w:val="21"/>
              </w:rPr>
              <w:t>用于施工部位</w:t>
            </w:r>
          </w:p>
        </w:tc>
        <w:tc>
          <w:tcPr>
            <w:tcW w:w="791"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32" w:type="dxa"/>
            <w:vAlign w:val="center"/>
          </w:tcPr>
          <w:p>
            <w:pPr>
              <w:spacing w:line="360" w:lineRule="auto"/>
              <w:rPr>
                <w:rFonts w:ascii="宋体" w:hAnsi="宋体" w:cs="宋体"/>
                <w:szCs w:val="21"/>
              </w:rPr>
            </w:pPr>
          </w:p>
        </w:tc>
        <w:tc>
          <w:tcPr>
            <w:tcW w:w="2049" w:type="dxa"/>
            <w:vAlign w:val="center"/>
          </w:tcPr>
          <w:p>
            <w:pPr>
              <w:spacing w:line="360" w:lineRule="auto"/>
              <w:rPr>
                <w:rFonts w:ascii="宋体" w:hAnsi="宋体" w:cs="宋体"/>
                <w:szCs w:val="21"/>
              </w:rPr>
            </w:pPr>
          </w:p>
        </w:tc>
        <w:tc>
          <w:tcPr>
            <w:tcW w:w="975" w:type="dxa"/>
            <w:vAlign w:val="center"/>
          </w:tcPr>
          <w:p>
            <w:pPr>
              <w:spacing w:line="360" w:lineRule="auto"/>
              <w:rPr>
                <w:rFonts w:ascii="宋体" w:hAnsi="宋体" w:cs="宋体"/>
                <w:szCs w:val="21"/>
              </w:rPr>
            </w:pPr>
          </w:p>
        </w:tc>
        <w:tc>
          <w:tcPr>
            <w:tcW w:w="912"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228" w:type="dxa"/>
            <w:vAlign w:val="center"/>
          </w:tcPr>
          <w:p>
            <w:pPr>
              <w:spacing w:line="360" w:lineRule="auto"/>
              <w:rPr>
                <w:rFonts w:ascii="宋体" w:hAnsi="宋体" w:cs="宋体"/>
                <w:szCs w:val="21"/>
              </w:rPr>
            </w:pPr>
          </w:p>
        </w:tc>
        <w:tc>
          <w:tcPr>
            <w:tcW w:w="767" w:type="dxa"/>
            <w:vAlign w:val="center"/>
          </w:tcPr>
          <w:p>
            <w:pPr>
              <w:spacing w:line="360" w:lineRule="auto"/>
              <w:rPr>
                <w:rFonts w:ascii="宋体" w:hAnsi="宋体" w:cs="宋体"/>
                <w:szCs w:val="21"/>
              </w:rPr>
            </w:pPr>
          </w:p>
        </w:tc>
        <w:tc>
          <w:tcPr>
            <w:tcW w:w="1074" w:type="dxa"/>
            <w:vAlign w:val="center"/>
          </w:tcPr>
          <w:p>
            <w:pPr>
              <w:spacing w:line="360" w:lineRule="auto"/>
              <w:rPr>
                <w:rFonts w:ascii="宋体" w:hAnsi="宋体" w:cs="宋体"/>
                <w:szCs w:val="21"/>
              </w:rPr>
            </w:pPr>
          </w:p>
        </w:tc>
        <w:tc>
          <w:tcPr>
            <w:tcW w:w="791" w:type="dxa"/>
            <w:vAlign w:val="center"/>
          </w:tcPr>
          <w:p>
            <w:pPr>
              <w:spacing w:line="360" w:lineRule="auto"/>
              <w:rPr>
                <w:rFonts w:ascii="宋体" w:hAnsi="宋体" w:cs="宋体"/>
                <w:szCs w:val="21"/>
              </w:rPr>
            </w:pPr>
          </w:p>
        </w:tc>
      </w:tr>
    </w:tbl>
    <w:p>
      <w:pPr>
        <w:autoSpaceDE w:val="0"/>
        <w:autoSpaceDN w:val="0"/>
        <w:adjustRightInd w:val="0"/>
        <w:ind w:firstLine="360"/>
        <w:jc w:val="left"/>
        <w:rPr>
          <w:rFonts w:ascii="宋体" w:hAnsi="宋体" w:cs="宋体"/>
          <w:kern w:val="0"/>
          <w:sz w:val="18"/>
          <w:szCs w:val="18"/>
        </w:rPr>
      </w:pPr>
    </w:p>
    <w:p>
      <w:pPr>
        <w:autoSpaceDE w:val="0"/>
        <w:autoSpaceDN w:val="0"/>
        <w:adjustRightInd w:val="0"/>
        <w:ind w:firstLine="360"/>
        <w:jc w:val="left"/>
        <w:rPr>
          <w:rFonts w:ascii="宋体" w:hAnsi="宋体" w:cs="宋体"/>
          <w:kern w:val="0"/>
          <w:sz w:val="18"/>
          <w:szCs w:val="18"/>
        </w:rPr>
      </w:pPr>
    </w:p>
    <w:p>
      <w:pPr>
        <w:spacing w:line="360" w:lineRule="auto"/>
        <w:ind w:firstLine="2891" w:firstLineChars="900"/>
        <w:jc w:val="left"/>
        <w:rPr>
          <w:rFonts w:ascii="宋体" w:hAnsi="宋体" w:cs="宋体"/>
          <w:b/>
          <w:bCs/>
          <w:sz w:val="32"/>
          <w:szCs w:val="32"/>
        </w:rPr>
      </w:pPr>
      <w:bookmarkStart w:id="702" w:name="_Toc201287658"/>
      <w:bookmarkStart w:id="703" w:name="_Toc357004109"/>
    </w:p>
    <w:p>
      <w:pPr>
        <w:spacing w:line="360" w:lineRule="auto"/>
        <w:jc w:val="left"/>
        <w:rPr>
          <w:rFonts w:ascii="宋体" w:hAnsi="宋体" w:cs="宋体"/>
          <w:b/>
          <w:bCs/>
          <w:sz w:val="32"/>
          <w:szCs w:val="32"/>
        </w:rPr>
      </w:pPr>
    </w:p>
    <w:p>
      <w:pPr>
        <w:pStyle w:val="2"/>
        <w:rPr>
          <w:sz w:val="21"/>
          <w:szCs w:val="21"/>
        </w:rPr>
      </w:pPr>
      <w:bookmarkStart w:id="704" w:name="_Toc22965"/>
      <w:r>
        <w:rPr>
          <w:rFonts w:hint="eastAsia"/>
          <w:sz w:val="21"/>
          <w:szCs w:val="21"/>
        </w:rPr>
        <w:t>（二</w:t>
      </w:r>
      <w:bookmarkEnd w:id="702"/>
      <w:bookmarkStart w:id="705" w:name="_Toc201287659"/>
      <w:r>
        <w:rPr>
          <w:rFonts w:hint="eastAsia"/>
          <w:sz w:val="21"/>
          <w:szCs w:val="21"/>
        </w:rPr>
        <w:t>）劳动力计划表</w:t>
      </w:r>
      <w:bookmarkEnd w:id="703"/>
      <w:bookmarkEnd w:id="704"/>
      <w:bookmarkEnd w:id="705"/>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150"/>
        <w:gridCol w:w="1266"/>
        <w:gridCol w:w="1267"/>
        <w:gridCol w:w="1150"/>
        <w:gridCol w:w="1037"/>
        <w:gridCol w:w="1037"/>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612" w:type="dxa"/>
            <w:vMerge w:val="restart"/>
            <w:vAlign w:val="center"/>
          </w:tcPr>
          <w:p>
            <w:pPr>
              <w:spacing w:line="360" w:lineRule="auto"/>
              <w:ind w:firstLine="422"/>
              <w:jc w:val="center"/>
              <w:rPr>
                <w:rFonts w:ascii="宋体" w:hAnsi="宋体" w:cs="宋体"/>
                <w:b/>
                <w:szCs w:val="21"/>
              </w:rPr>
            </w:pPr>
            <w:r>
              <w:rPr>
                <w:rFonts w:hint="eastAsia" w:ascii="宋体" w:hAnsi="宋体" w:cs="宋体"/>
                <w:b/>
                <w:szCs w:val="21"/>
              </w:rPr>
              <w:t>工种</w:t>
            </w:r>
          </w:p>
        </w:tc>
        <w:tc>
          <w:tcPr>
            <w:tcW w:w="8350" w:type="dxa"/>
            <w:gridSpan w:val="7"/>
            <w:vAlign w:val="center"/>
          </w:tcPr>
          <w:p>
            <w:pPr>
              <w:spacing w:line="360" w:lineRule="auto"/>
              <w:ind w:firstLine="422"/>
              <w:jc w:val="center"/>
              <w:rPr>
                <w:rFonts w:ascii="宋体" w:hAnsi="宋体" w:cs="宋体"/>
                <w:b/>
                <w:szCs w:val="21"/>
              </w:rPr>
            </w:pPr>
            <w:r>
              <w:rPr>
                <w:rFonts w:hint="eastAsia" w:ascii="宋体" w:hAnsi="宋体" w:cs="宋体"/>
                <w:b/>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612" w:type="dxa"/>
            <w:vMerge w:val="continue"/>
          </w:tcPr>
          <w:p>
            <w:pPr>
              <w:spacing w:line="360" w:lineRule="auto"/>
              <w:ind w:firstLine="420"/>
              <w:jc w:val="center"/>
              <w:rPr>
                <w:rFonts w:ascii="宋体" w:hAnsi="宋体" w:cs="宋体"/>
                <w:szCs w:val="21"/>
              </w:rPr>
            </w:pPr>
          </w:p>
        </w:tc>
        <w:tc>
          <w:tcPr>
            <w:tcW w:w="1150" w:type="dxa"/>
          </w:tcPr>
          <w:p>
            <w:pPr>
              <w:spacing w:line="360" w:lineRule="auto"/>
              <w:ind w:firstLine="420"/>
              <w:jc w:val="center"/>
              <w:rPr>
                <w:rFonts w:ascii="宋体" w:hAnsi="宋体" w:cs="宋体"/>
                <w:szCs w:val="21"/>
              </w:rPr>
            </w:pPr>
          </w:p>
        </w:tc>
        <w:tc>
          <w:tcPr>
            <w:tcW w:w="1266" w:type="dxa"/>
          </w:tcPr>
          <w:p>
            <w:pPr>
              <w:spacing w:line="360" w:lineRule="auto"/>
              <w:ind w:firstLine="420"/>
              <w:jc w:val="center"/>
              <w:rPr>
                <w:rFonts w:ascii="宋体" w:hAnsi="宋体" w:cs="宋体"/>
                <w:szCs w:val="21"/>
              </w:rPr>
            </w:pPr>
          </w:p>
        </w:tc>
        <w:tc>
          <w:tcPr>
            <w:tcW w:w="1267" w:type="dxa"/>
          </w:tcPr>
          <w:p>
            <w:pPr>
              <w:spacing w:line="360" w:lineRule="auto"/>
              <w:ind w:firstLine="420"/>
              <w:jc w:val="center"/>
              <w:rPr>
                <w:rFonts w:ascii="宋体" w:hAnsi="宋体" w:cs="宋体"/>
                <w:szCs w:val="21"/>
              </w:rPr>
            </w:pPr>
          </w:p>
        </w:tc>
        <w:tc>
          <w:tcPr>
            <w:tcW w:w="1150" w:type="dxa"/>
          </w:tcPr>
          <w:p>
            <w:pPr>
              <w:spacing w:line="360" w:lineRule="auto"/>
              <w:ind w:firstLine="420"/>
              <w:jc w:val="center"/>
              <w:rPr>
                <w:rFonts w:ascii="宋体" w:hAnsi="宋体" w:cs="宋体"/>
                <w:szCs w:val="21"/>
              </w:rPr>
            </w:pPr>
          </w:p>
        </w:tc>
        <w:tc>
          <w:tcPr>
            <w:tcW w:w="1037" w:type="dxa"/>
          </w:tcPr>
          <w:p>
            <w:pPr>
              <w:spacing w:line="360" w:lineRule="auto"/>
              <w:ind w:left="-113" w:right="-113" w:firstLine="420"/>
              <w:jc w:val="center"/>
              <w:rPr>
                <w:rFonts w:ascii="宋体" w:hAnsi="宋体" w:cs="宋体"/>
                <w:szCs w:val="21"/>
              </w:rPr>
            </w:pPr>
          </w:p>
        </w:tc>
        <w:tc>
          <w:tcPr>
            <w:tcW w:w="1037" w:type="dxa"/>
          </w:tcPr>
          <w:p>
            <w:pPr>
              <w:spacing w:line="360" w:lineRule="auto"/>
              <w:ind w:firstLine="420"/>
              <w:jc w:val="center"/>
              <w:rPr>
                <w:rFonts w:ascii="宋体" w:hAnsi="宋体" w:cs="宋体"/>
                <w:szCs w:val="21"/>
              </w:rPr>
            </w:pPr>
          </w:p>
        </w:tc>
        <w:tc>
          <w:tcPr>
            <w:tcW w:w="1443" w:type="dxa"/>
          </w:tcPr>
          <w:p>
            <w:pPr>
              <w:spacing w:line="360" w:lineRule="auto"/>
              <w:ind w:firstLine="4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612"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266" w:type="dxa"/>
            <w:vAlign w:val="center"/>
          </w:tcPr>
          <w:p>
            <w:pPr>
              <w:spacing w:line="360" w:lineRule="auto"/>
              <w:ind w:firstLine="420"/>
              <w:rPr>
                <w:rFonts w:ascii="宋体" w:hAnsi="宋体" w:cs="宋体"/>
                <w:szCs w:val="21"/>
              </w:rPr>
            </w:pPr>
          </w:p>
        </w:tc>
        <w:tc>
          <w:tcPr>
            <w:tcW w:w="1267"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443" w:type="dxa"/>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612"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266" w:type="dxa"/>
            <w:vAlign w:val="center"/>
          </w:tcPr>
          <w:p>
            <w:pPr>
              <w:spacing w:line="360" w:lineRule="auto"/>
              <w:ind w:firstLine="420"/>
              <w:rPr>
                <w:rFonts w:ascii="宋体" w:hAnsi="宋体" w:cs="宋体"/>
                <w:szCs w:val="21"/>
              </w:rPr>
            </w:pPr>
          </w:p>
        </w:tc>
        <w:tc>
          <w:tcPr>
            <w:tcW w:w="1267"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443" w:type="dxa"/>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612"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266" w:type="dxa"/>
            <w:vAlign w:val="center"/>
          </w:tcPr>
          <w:p>
            <w:pPr>
              <w:spacing w:line="360" w:lineRule="auto"/>
              <w:ind w:firstLine="420"/>
              <w:rPr>
                <w:rFonts w:ascii="宋体" w:hAnsi="宋体" w:cs="宋体"/>
                <w:szCs w:val="21"/>
              </w:rPr>
            </w:pPr>
          </w:p>
        </w:tc>
        <w:tc>
          <w:tcPr>
            <w:tcW w:w="1267"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443" w:type="dxa"/>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612"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266" w:type="dxa"/>
            <w:vAlign w:val="center"/>
          </w:tcPr>
          <w:p>
            <w:pPr>
              <w:spacing w:line="360" w:lineRule="auto"/>
              <w:ind w:firstLine="420"/>
              <w:rPr>
                <w:rFonts w:ascii="宋体" w:hAnsi="宋体" w:cs="宋体"/>
                <w:szCs w:val="21"/>
              </w:rPr>
            </w:pPr>
          </w:p>
        </w:tc>
        <w:tc>
          <w:tcPr>
            <w:tcW w:w="1267"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443" w:type="dxa"/>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612"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266" w:type="dxa"/>
            <w:vAlign w:val="center"/>
          </w:tcPr>
          <w:p>
            <w:pPr>
              <w:spacing w:line="360" w:lineRule="auto"/>
              <w:ind w:firstLine="420"/>
              <w:rPr>
                <w:rFonts w:ascii="宋体" w:hAnsi="宋体" w:cs="宋体"/>
                <w:szCs w:val="21"/>
              </w:rPr>
            </w:pPr>
          </w:p>
        </w:tc>
        <w:tc>
          <w:tcPr>
            <w:tcW w:w="1267"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443" w:type="dxa"/>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612"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266" w:type="dxa"/>
            <w:vAlign w:val="center"/>
          </w:tcPr>
          <w:p>
            <w:pPr>
              <w:spacing w:line="360" w:lineRule="auto"/>
              <w:ind w:firstLine="420"/>
              <w:rPr>
                <w:rFonts w:ascii="宋体" w:hAnsi="宋体" w:cs="宋体"/>
                <w:szCs w:val="21"/>
              </w:rPr>
            </w:pPr>
          </w:p>
        </w:tc>
        <w:tc>
          <w:tcPr>
            <w:tcW w:w="1267"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443" w:type="dxa"/>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612"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266" w:type="dxa"/>
            <w:vAlign w:val="center"/>
          </w:tcPr>
          <w:p>
            <w:pPr>
              <w:spacing w:line="360" w:lineRule="auto"/>
              <w:ind w:firstLine="420"/>
              <w:rPr>
                <w:rFonts w:ascii="宋体" w:hAnsi="宋体" w:cs="宋体"/>
                <w:szCs w:val="21"/>
              </w:rPr>
            </w:pPr>
          </w:p>
        </w:tc>
        <w:tc>
          <w:tcPr>
            <w:tcW w:w="1267"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443" w:type="dxa"/>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612"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266" w:type="dxa"/>
            <w:vAlign w:val="center"/>
          </w:tcPr>
          <w:p>
            <w:pPr>
              <w:spacing w:line="360" w:lineRule="auto"/>
              <w:ind w:firstLine="420"/>
              <w:rPr>
                <w:rFonts w:ascii="宋体" w:hAnsi="宋体" w:cs="宋体"/>
                <w:szCs w:val="21"/>
              </w:rPr>
            </w:pPr>
          </w:p>
        </w:tc>
        <w:tc>
          <w:tcPr>
            <w:tcW w:w="1267"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443" w:type="dxa"/>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612"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266" w:type="dxa"/>
            <w:vAlign w:val="center"/>
          </w:tcPr>
          <w:p>
            <w:pPr>
              <w:spacing w:line="360" w:lineRule="auto"/>
              <w:ind w:firstLine="420"/>
              <w:rPr>
                <w:rFonts w:ascii="宋体" w:hAnsi="宋体" w:cs="宋体"/>
                <w:szCs w:val="21"/>
              </w:rPr>
            </w:pPr>
          </w:p>
        </w:tc>
        <w:tc>
          <w:tcPr>
            <w:tcW w:w="1267"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443" w:type="dxa"/>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612"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266" w:type="dxa"/>
            <w:vAlign w:val="center"/>
          </w:tcPr>
          <w:p>
            <w:pPr>
              <w:spacing w:line="360" w:lineRule="auto"/>
              <w:ind w:firstLine="420"/>
              <w:rPr>
                <w:rFonts w:ascii="宋体" w:hAnsi="宋体" w:cs="宋体"/>
                <w:szCs w:val="21"/>
              </w:rPr>
            </w:pPr>
          </w:p>
        </w:tc>
        <w:tc>
          <w:tcPr>
            <w:tcW w:w="1267"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443" w:type="dxa"/>
            <w:vAlign w:val="center"/>
          </w:tcPr>
          <w:p>
            <w:pPr>
              <w:spacing w:line="360" w:lineRule="auto"/>
              <w:ind w:firstLine="42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612"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266" w:type="dxa"/>
            <w:vAlign w:val="center"/>
          </w:tcPr>
          <w:p>
            <w:pPr>
              <w:spacing w:line="360" w:lineRule="auto"/>
              <w:ind w:firstLine="420"/>
              <w:rPr>
                <w:rFonts w:ascii="宋体" w:hAnsi="宋体" w:cs="宋体"/>
                <w:szCs w:val="21"/>
              </w:rPr>
            </w:pPr>
          </w:p>
        </w:tc>
        <w:tc>
          <w:tcPr>
            <w:tcW w:w="1267" w:type="dxa"/>
            <w:vAlign w:val="center"/>
          </w:tcPr>
          <w:p>
            <w:pPr>
              <w:spacing w:line="360" w:lineRule="auto"/>
              <w:ind w:firstLine="420"/>
              <w:rPr>
                <w:rFonts w:ascii="宋体" w:hAnsi="宋体" w:cs="宋体"/>
                <w:szCs w:val="21"/>
              </w:rPr>
            </w:pPr>
          </w:p>
        </w:tc>
        <w:tc>
          <w:tcPr>
            <w:tcW w:w="1150"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037" w:type="dxa"/>
            <w:vAlign w:val="center"/>
          </w:tcPr>
          <w:p>
            <w:pPr>
              <w:spacing w:line="360" w:lineRule="auto"/>
              <w:ind w:firstLine="420"/>
              <w:rPr>
                <w:rFonts w:ascii="宋体" w:hAnsi="宋体" w:cs="宋体"/>
                <w:szCs w:val="21"/>
              </w:rPr>
            </w:pPr>
          </w:p>
        </w:tc>
        <w:tc>
          <w:tcPr>
            <w:tcW w:w="1443" w:type="dxa"/>
            <w:vAlign w:val="center"/>
          </w:tcPr>
          <w:p>
            <w:pPr>
              <w:spacing w:line="360" w:lineRule="auto"/>
              <w:ind w:firstLine="420"/>
              <w:rPr>
                <w:rFonts w:ascii="宋体" w:hAnsi="宋体" w:cs="宋体"/>
                <w:szCs w:val="21"/>
              </w:rPr>
            </w:pPr>
          </w:p>
        </w:tc>
      </w:tr>
    </w:tbl>
    <w:p>
      <w:pPr>
        <w:autoSpaceDE w:val="0"/>
        <w:autoSpaceDN w:val="0"/>
        <w:adjustRightInd w:val="0"/>
        <w:ind w:firstLine="360"/>
        <w:jc w:val="left"/>
        <w:rPr>
          <w:rFonts w:ascii="宋体" w:hAnsi="宋体" w:cs="宋体"/>
          <w:kern w:val="0"/>
          <w:sz w:val="18"/>
          <w:szCs w:val="18"/>
        </w:rPr>
      </w:pPr>
    </w:p>
    <w:p>
      <w:pPr>
        <w:autoSpaceDE w:val="0"/>
        <w:autoSpaceDN w:val="0"/>
        <w:adjustRightInd w:val="0"/>
        <w:ind w:firstLine="360"/>
        <w:jc w:val="left"/>
        <w:rPr>
          <w:rFonts w:ascii="宋体" w:hAnsi="宋体" w:cs="宋体"/>
          <w:kern w:val="0"/>
          <w:sz w:val="18"/>
          <w:szCs w:val="18"/>
        </w:rPr>
      </w:pPr>
    </w:p>
    <w:p>
      <w:pPr>
        <w:autoSpaceDE w:val="0"/>
        <w:autoSpaceDN w:val="0"/>
        <w:adjustRightInd w:val="0"/>
        <w:ind w:firstLine="360"/>
        <w:jc w:val="left"/>
        <w:rPr>
          <w:rFonts w:ascii="宋体" w:hAnsi="宋体" w:cs="宋体"/>
          <w:kern w:val="0"/>
          <w:sz w:val="18"/>
          <w:szCs w:val="18"/>
        </w:rPr>
      </w:pPr>
    </w:p>
    <w:p>
      <w:pPr>
        <w:autoSpaceDE w:val="0"/>
        <w:autoSpaceDN w:val="0"/>
        <w:adjustRightInd w:val="0"/>
        <w:ind w:firstLine="360"/>
        <w:jc w:val="left"/>
        <w:rPr>
          <w:rFonts w:ascii="宋体" w:hAnsi="宋体" w:cs="宋体"/>
          <w:kern w:val="0"/>
          <w:sz w:val="18"/>
          <w:szCs w:val="18"/>
        </w:rPr>
      </w:pPr>
    </w:p>
    <w:p>
      <w:pPr>
        <w:spacing w:line="360" w:lineRule="auto"/>
        <w:jc w:val="left"/>
        <w:rPr>
          <w:rFonts w:ascii="宋体" w:hAnsi="宋体" w:cs="宋体"/>
          <w:b/>
          <w:bCs/>
          <w:sz w:val="32"/>
          <w:szCs w:val="32"/>
        </w:rPr>
      </w:pPr>
      <w:bookmarkStart w:id="706" w:name="_Toc357004110"/>
    </w:p>
    <w:p>
      <w:pPr>
        <w:spacing w:line="360" w:lineRule="auto"/>
        <w:jc w:val="center"/>
        <w:rPr>
          <w:rFonts w:ascii="宋体" w:hAnsi="宋体" w:cs="宋体"/>
          <w:b/>
          <w:bCs/>
          <w:sz w:val="32"/>
          <w:szCs w:val="32"/>
        </w:rPr>
      </w:pPr>
    </w:p>
    <w:p>
      <w:pPr>
        <w:pStyle w:val="2"/>
      </w:pPr>
      <w:bookmarkStart w:id="707" w:name="_Toc27999"/>
      <w:r>
        <w:rPr>
          <w:rFonts w:hint="eastAsia"/>
        </w:rPr>
        <w:t>（三）进度计划</w:t>
      </w:r>
      <w:bookmarkEnd w:id="706"/>
      <w:bookmarkEnd w:id="707"/>
    </w:p>
    <w:p>
      <w:pPr>
        <w:autoSpaceDE w:val="0"/>
        <w:autoSpaceDN w:val="0"/>
        <w:adjustRightInd w:val="0"/>
        <w:ind w:firstLine="480"/>
        <w:jc w:val="left"/>
        <w:rPr>
          <w:rFonts w:ascii="宋体" w:hAnsi="宋体" w:cs="宋体"/>
          <w:kern w:val="0"/>
        </w:rPr>
      </w:pPr>
    </w:p>
    <w:p>
      <w:pPr>
        <w:autoSpaceDE w:val="0"/>
        <w:autoSpaceDN w:val="0"/>
        <w:adjustRightInd w:val="0"/>
        <w:spacing w:line="560" w:lineRule="exact"/>
        <w:ind w:firstLine="482"/>
        <w:jc w:val="left"/>
        <w:rPr>
          <w:rFonts w:ascii="宋体" w:hAnsi="宋体" w:cs="宋体"/>
          <w:kern w:val="0"/>
        </w:rPr>
      </w:pPr>
      <w:r>
        <w:rPr>
          <w:rFonts w:hint="eastAsia" w:ascii="宋体" w:hAnsi="宋体" w:cs="宋体"/>
          <w:kern w:val="0"/>
        </w:rPr>
        <w:t>1. 供应商应递交施工进度网络图或施工进度表，说明按磋商文件要求的计划工期进行施工的各个关键日期。</w:t>
      </w:r>
    </w:p>
    <w:p>
      <w:pPr>
        <w:autoSpaceDE w:val="0"/>
        <w:autoSpaceDN w:val="0"/>
        <w:adjustRightInd w:val="0"/>
        <w:spacing w:line="560" w:lineRule="exact"/>
        <w:ind w:firstLine="482"/>
        <w:jc w:val="left"/>
        <w:rPr>
          <w:rFonts w:ascii="宋体" w:hAnsi="宋体" w:cs="宋体"/>
          <w:kern w:val="0"/>
        </w:rPr>
      </w:pPr>
      <w:r>
        <w:rPr>
          <w:rFonts w:hint="eastAsia" w:ascii="宋体" w:hAnsi="宋体" w:cs="宋体"/>
          <w:kern w:val="0"/>
        </w:rPr>
        <w:t>2. 施工进度表可采用网络图（或横道图）表示。</w:t>
      </w:r>
      <w:bookmarkStart w:id="708" w:name="_Toc2260"/>
      <w:bookmarkStart w:id="709" w:name="_Toc458079956"/>
      <w:bookmarkStart w:id="710" w:name="_Toc4640"/>
    </w:p>
    <w:p>
      <w:pPr>
        <w:autoSpaceDE w:val="0"/>
        <w:autoSpaceDN w:val="0"/>
        <w:adjustRightInd w:val="0"/>
        <w:spacing w:line="560" w:lineRule="exact"/>
        <w:ind w:firstLine="482"/>
        <w:jc w:val="left"/>
        <w:rPr>
          <w:rFonts w:ascii="宋体" w:hAnsi="宋体" w:cs="宋体"/>
          <w:kern w:val="0"/>
        </w:rPr>
      </w:pPr>
      <w:r>
        <w:rPr>
          <w:rFonts w:hint="eastAsia" w:ascii="宋体" w:hAnsi="宋体" w:cs="宋体"/>
          <w:kern w:val="0"/>
        </w:rPr>
        <w:br w:type="page"/>
      </w:r>
    </w:p>
    <w:p>
      <w:pPr>
        <w:pStyle w:val="2"/>
      </w:pPr>
      <w:bookmarkStart w:id="711" w:name="_Toc24831_WPSOffice_Level2"/>
      <w:bookmarkStart w:id="712" w:name="_Toc24924"/>
      <w:bookmarkStart w:id="713" w:name="_Toc8933"/>
      <w:r>
        <w:rPr>
          <w:rFonts w:hint="eastAsia"/>
        </w:rPr>
        <w:t>附件9：</w:t>
      </w:r>
      <w:bookmarkEnd w:id="698"/>
      <w:r>
        <w:rPr>
          <w:rFonts w:hint="eastAsia"/>
        </w:rPr>
        <w:t>项目管理机构</w:t>
      </w:r>
      <w:bookmarkEnd w:id="708"/>
      <w:bookmarkEnd w:id="709"/>
      <w:bookmarkEnd w:id="710"/>
      <w:bookmarkEnd w:id="711"/>
      <w:bookmarkEnd w:id="712"/>
      <w:bookmarkEnd w:id="713"/>
    </w:p>
    <w:p>
      <w:pPr>
        <w:pStyle w:val="4"/>
        <w:spacing w:before="120" w:after="120" w:line="400" w:lineRule="exact"/>
        <w:jc w:val="center"/>
        <w:rPr>
          <w:rFonts w:hAnsi="宋体" w:cs="宋体"/>
          <w:kern w:val="0"/>
          <w:szCs w:val="24"/>
        </w:rPr>
      </w:pPr>
      <w:bookmarkStart w:id="714" w:name="_Toc16192"/>
      <w:bookmarkStart w:id="715" w:name="_Toc18163"/>
      <w:bookmarkStart w:id="716" w:name="_Toc201287664"/>
      <w:r>
        <w:rPr>
          <w:rFonts w:hint="eastAsia" w:hAnsi="宋体" w:cs="宋体"/>
          <w:kern w:val="0"/>
          <w:szCs w:val="24"/>
        </w:rPr>
        <w:t>（一）项目管理机构组成表</w:t>
      </w:r>
      <w:bookmarkEnd w:id="714"/>
      <w:bookmarkEnd w:id="715"/>
      <w:bookmarkEnd w:id="716"/>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6"/>
        <w:gridCol w:w="1080"/>
        <w:gridCol w:w="1040"/>
        <w:gridCol w:w="1188"/>
        <w:gridCol w:w="1036"/>
        <w:gridCol w:w="1036"/>
        <w:gridCol w:w="1408"/>
        <w:gridCol w:w="1036"/>
        <w:gridCol w:w="11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36" w:type="dxa"/>
            <w:vMerge w:val="restart"/>
            <w:vAlign w:val="center"/>
          </w:tcPr>
          <w:p>
            <w:pPr>
              <w:autoSpaceDE w:val="0"/>
              <w:autoSpaceDN w:val="0"/>
              <w:adjustRightInd w:val="0"/>
              <w:jc w:val="center"/>
              <w:rPr>
                <w:rFonts w:ascii="宋体" w:hAnsi="宋体" w:cs="宋体"/>
                <w:b/>
                <w:bCs/>
                <w:kern w:val="0"/>
                <w:szCs w:val="21"/>
              </w:rPr>
            </w:pPr>
            <w:r>
              <w:rPr>
                <w:rFonts w:hint="eastAsia" w:ascii="宋体" w:hAnsi="宋体" w:cs="宋体"/>
                <w:b/>
                <w:bCs/>
                <w:kern w:val="0"/>
                <w:szCs w:val="21"/>
              </w:rPr>
              <w:t>职务</w:t>
            </w:r>
          </w:p>
        </w:tc>
        <w:tc>
          <w:tcPr>
            <w:tcW w:w="1080" w:type="dxa"/>
            <w:vMerge w:val="restart"/>
            <w:vAlign w:val="center"/>
          </w:tcPr>
          <w:p>
            <w:pPr>
              <w:autoSpaceDE w:val="0"/>
              <w:autoSpaceDN w:val="0"/>
              <w:adjustRightInd w:val="0"/>
              <w:jc w:val="center"/>
              <w:rPr>
                <w:rFonts w:ascii="宋体" w:hAnsi="宋体" w:cs="宋体"/>
                <w:b/>
                <w:bCs/>
                <w:kern w:val="0"/>
                <w:szCs w:val="21"/>
              </w:rPr>
            </w:pPr>
            <w:r>
              <w:rPr>
                <w:rFonts w:hint="eastAsia" w:ascii="宋体" w:hAnsi="宋体" w:cs="宋体"/>
                <w:b/>
                <w:bCs/>
                <w:kern w:val="0"/>
                <w:szCs w:val="21"/>
              </w:rPr>
              <w:t>姓名</w:t>
            </w:r>
          </w:p>
        </w:tc>
        <w:tc>
          <w:tcPr>
            <w:tcW w:w="1040" w:type="dxa"/>
            <w:vMerge w:val="restart"/>
            <w:vAlign w:val="center"/>
          </w:tcPr>
          <w:p>
            <w:pPr>
              <w:autoSpaceDE w:val="0"/>
              <w:autoSpaceDN w:val="0"/>
              <w:adjustRightInd w:val="0"/>
              <w:jc w:val="center"/>
              <w:rPr>
                <w:rFonts w:ascii="宋体" w:hAnsi="宋体" w:cs="宋体"/>
                <w:b/>
                <w:bCs/>
                <w:kern w:val="0"/>
                <w:szCs w:val="21"/>
              </w:rPr>
            </w:pPr>
            <w:r>
              <w:rPr>
                <w:rFonts w:hint="eastAsia" w:ascii="宋体" w:hAnsi="宋体" w:cs="宋体"/>
                <w:b/>
                <w:bCs/>
                <w:kern w:val="0"/>
                <w:szCs w:val="21"/>
              </w:rPr>
              <w:t>职称</w:t>
            </w:r>
          </w:p>
        </w:tc>
        <w:tc>
          <w:tcPr>
            <w:tcW w:w="5704" w:type="dxa"/>
            <w:gridSpan w:val="5"/>
            <w:vAlign w:val="center"/>
          </w:tcPr>
          <w:p>
            <w:pPr>
              <w:autoSpaceDE w:val="0"/>
              <w:autoSpaceDN w:val="0"/>
              <w:adjustRightInd w:val="0"/>
              <w:jc w:val="center"/>
              <w:rPr>
                <w:rFonts w:ascii="宋体" w:hAnsi="宋体" w:cs="宋体"/>
                <w:b/>
                <w:bCs/>
                <w:kern w:val="0"/>
                <w:szCs w:val="21"/>
              </w:rPr>
            </w:pPr>
            <w:r>
              <w:rPr>
                <w:rFonts w:hint="eastAsia" w:ascii="宋体" w:hAnsi="宋体" w:cs="宋体"/>
                <w:b/>
                <w:bCs/>
                <w:kern w:val="0"/>
                <w:szCs w:val="21"/>
              </w:rPr>
              <w:t>执业或职业资格证明</w:t>
            </w:r>
          </w:p>
        </w:tc>
        <w:tc>
          <w:tcPr>
            <w:tcW w:w="1102" w:type="dxa"/>
            <w:vMerge w:val="restart"/>
            <w:vAlign w:val="center"/>
          </w:tcPr>
          <w:p>
            <w:pPr>
              <w:autoSpaceDE w:val="0"/>
              <w:autoSpaceDN w:val="0"/>
              <w:adjustRightInd w:val="0"/>
              <w:jc w:val="center"/>
              <w:rPr>
                <w:rFonts w:ascii="宋体" w:hAnsi="宋体" w:cs="宋体"/>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1036" w:type="dxa"/>
            <w:vMerge w:val="continue"/>
            <w:vAlign w:val="center"/>
          </w:tcPr>
          <w:p>
            <w:pPr>
              <w:autoSpaceDE w:val="0"/>
              <w:autoSpaceDN w:val="0"/>
              <w:adjustRightInd w:val="0"/>
              <w:jc w:val="center"/>
              <w:rPr>
                <w:rFonts w:ascii="宋体" w:hAnsi="宋体" w:cs="宋体"/>
                <w:b/>
                <w:bCs/>
                <w:kern w:val="0"/>
                <w:szCs w:val="21"/>
              </w:rPr>
            </w:pPr>
          </w:p>
        </w:tc>
        <w:tc>
          <w:tcPr>
            <w:tcW w:w="1080" w:type="dxa"/>
            <w:vMerge w:val="continue"/>
            <w:vAlign w:val="center"/>
          </w:tcPr>
          <w:p>
            <w:pPr>
              <w:autoSpaceDE w:val="0"/>
              <w:autoSpaceDN w:val="0"/>
              <w:adjustRightInd w:val="0"/>
              <w:jc w:val="center"/>
              <w:rPr>
                <w:rFonts w:ascii="宋体" w:hAnsi="宋体" w:cs="宋体"/>
                <w:b/>
                <w:bCs/>
                <w:kern w:val="0"/>
                <w:szCs w:val="21"/>
              </w:rPr>
            </w:pPr>
          </w:p>
        </w:tc>
        <w:tc>
          <w:tcPr>
            <w:tcW w:w="1040" w:type="dxa"/>
            <w:vMerge w:val="continue"/>
            <w:vAlign w:val="center"/>
          </w:tcPr>
          <w:p>
            <w:pPr>
              <w:autoSpaceDE w:val="0"/>
              <w:autoSpaceDN w:val="0"/>
              <w:adjustRightInd w:val="0"/>
              <w:jc w:val="center"/>
              <w:rPr>
                <w:rFonts w:ascii="宋体" w:hAnsi="宋体" w:cs="宋体"/>
                <w:b/>
                <w:bCs/>
                <w:kern w:val="0"/>
                <w:szCs w:val="21"/>
              </w:rPr>
            </w:pPr>
          </w:p>
        </w:tc>
        <w:tc>
          <w:tcPr>
            <w:tcW w:w="1188" w:type="dxa"/>
            <w:vAlign w:val="center"/>
          </w:tcPr>
          <w:p>
            <w:pPr>
              <w:autoSpaceDE w:val="0"/>
              <w:autoSpaceDN w:val="0"/>
              <w:adjustRightInd w:val="0"/>
              <w:jc w:val="center"/>
              <w:rPr>
                <w:rFonts w:ascii="宋体" w:hAnsi="宋体" w:cs="宋体"/>
                <w:b/>
                <w:bCs/>
                <w:kern w:val="0"/>
                <w:szCs w:val="21"/>
              </w:rPr>
            </w:pPr>
            <w:r>
              <w:rPr>
                <w:rFonts w:hint="eastAsia" w:ascii="宋体" w:hAnsi="宋体" w:cs="宋体"/>
                <w:b/>
                <w:bCs/>
                <w:kern w:val="0"/>
                <w:szCs w:val="21"/>
              </w:rPr>
              <w:t>证书名称</w:t>
            </w:r>
          </w:p>
        </w:tc>
        <w:tc>
          <w:tcPr>
            <w:tcW w:w="1036" w:type="dxa"/>
            <w:vAlign w:val="center"/>
          </w:tcPr>
          <w:p>
            <w:pPr>
              <w:autoSpaceDE w:val="0"/>
              <w:autoSpaceDN w:val="0"/>
              <w:adjustRightInd w:val="0"/>
              <w:jc w:val="center"/>
              <w:rPr>
                <w:rFonts w:ascii="宋体" w:hAnsi="宋体" w:cs="宋体"/>
                <w:b/>
                <w:bCs/>
                <w:kern w:val="0"/>
                <w:szCs w:val="21"/>
              </w:rPr>
            </w:pPr>
            <w:r>
              <w:rPr>
                <w:rFonts w:hint="eastAsia" w:ascii="宋体" w:hAnsi="宋体" w:cs="宋体"/>
                <w:b/>
                <w:bCs/>
                <w:kern w:val="0"/>
                <w:szCs w:val="21"/>
              </w:rPr>
              <w:t>级别</w:t>
            </w:r>
          </w:p>
        </w:tc>
        <w:tc>
          <w:tcPr>
            <w:tcW w:w="1036" w:type="dxa"/>
            <w:vAlign w:val="center"/>
          </w:tcPr>
          <w:p>
            <w:pPr>
              <w:autoSpaceDE w:val="0"/>
              <w:autoSpaceDN w:val="0"/>
              <w:adjustRightInd w:val="0"/>
              <w:jc w:val="center"/>
              <w:rPr>
                <w:rFonts w:ascii="宋体" w:hAnsi="宋体" w:cs="宋体"/>
                <w:b/>
                <w:bCs/>
                <w:kern w:val="0"/>
                <w:szCs w:val="21"/>
              </w:rPr>
            </w:pPr>
            <w:r>
              <w:rPr>
                <w:rFonts w:hint="eastAsia" w:ascii="宋体" w:hAnsi="宋体" w:cs="宋体"/>
                <w:b/>
                <w:bCs/>
                <w:kern w:val="0"/>
                <w:szCs w:val="21"/>
              </w:rPr>
              <w:t>证号</w:t>
            </w:r>
          </w:p>
        </w:tc>
        <w:tc>
          <w:tcPr>
            <w:tcW w:w="1408" w:type="dxa"/>
            <w:vAlign w:val="center"/>
          </w:tcPr>
          <w:p>
            <w:pPr>
              <w:autoSpaceDE w:val="0"/>
              <w:autoSpaceDN w:val="0"/>
              <w:adjustRightInd w:val="0"/>
              <w:jc w:val="center"/>
              <w:rPr>
                <w:rFonts w:ascii="宋体" w:hAnsi="宋体" w:cs="宋体"/>
                <w:b/>
                <w:bCs/>
                <w:kern w:val="0"/>
                <w:szCs w:val="21"/>
              </w:rPr>
            </w:pPr>
            <w:r>
              <w:rPr>
                <w:rFonts w:hint="eastAsia" w:ascii="宋体" w:hAnsi="宋体" w:cs="宋体"/>
                <w:b/>
                <w:bCs/>
                <w:kern w:val="0"/>
                <w:szCs w:val="21"/>
              </w:rPr>
              <w:t>专业</w:t>
            </w:r>
          </w:p>
        </w:tc>
        <w:tc>
          <w:tcPr>
            <w:tcW w:w="1036" w:type="dxa"/>
            <w:vAlign w:val="center"/>
          </w:tcPr>
          <w:p>
            <w:pPr>
              <w:autoSpaceDE w:val="0"/>
              <w:autoSpaceDN w:val="0"/>
              <w:adjustRightInd w:val="0"/>
              <w:jc w:val="center"/>
              <w:rPr>
                <w:rFonts w:ascii="宋体" w:hAnsi="宋体" w:cs="宋体"/>
                <w:b/>
                <w:bCs/>
                <w:kern w:val="0"/>
                <w:szCs w:val="21"/>
              </w:rPr>
            </w:pPr>
            <w:r>
              <w:rPr>
                <w:rFonts w:hint="eastAsia" w:ascii="宋体" w:hAnsi="宋体" w:cs="宋体"/>
                <w:b/>
                <w:bCs/>
                <w:kern w:val="0"/>
                <w:szCs w:val="21"/>
              </w:rPr>
              <w:t>养老保险</w:t>
            </w:r>
          </w:p>
        </w:tc>
        <w:tc>
          <w:tcPr>
            <w:tcW w:w="1102" w:type="dxa"/>
            <w:vMerge w:val="continue"/>
            <w:vAlign w:val="center"/>
          </w:tcPr>
          <w:p>
            <w:pPr>
              <w:autoSpaceDE w:val="0"/>
              <w:autoSpaceDN w:val="0"/>
              <w:adjustRightIn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2" w:hRule="atLeast"/>
          <w:jc w:val="center"/>
        </w:trPr>
        <w:tc>
          <w:tcPr>
            <w:tcW w:w="1036" w:type="dxa"/>
            <w:vAlign w:val="center"/>
          </w:tcPr>
          <w:p>
            <w:pPr>
              <w:autoSpaceDE w:val="0"/>
              <w:autoSpaceDN w:val="0"/>
              <w:adjustRightInd w:val="0"/>
              <w:jc w:val="center"/>
              <w:rPr>
                <w:rFonts w:ascii="宋体" w:hAnsi="宋体" w:cs="宋体"/>
                <w:kern w:val="0"/>
                <w:szCs w:val="21"/>
              </w:rPr>
            </w:pPr>
          </w:p>
        </w:tc>
        <w:tc>
          <w:tcPr>
            <w:tcW w:w="1080" w:type="dxa"/>
            <w:vAlign w:val="center"/>
          </w:tcPr>
          <w:p>
            <w:pPr>
              <w:autoSpaceDE w:val="0"/>
              <w:autoSpaceDN w:val="0"/>
              <w:adjustRightInd w:val="0"/>
              <w:jc w:val="center"/>
              <w:rPr>
                <w:rFonts w:ascii="宋体" w:hAnsi="宋体" w:cs="宋体"/>
                <w:kern w:val="0"/>
                <w:szCs w:val="21"/>
              </w:rPr>
            </w:pPr>
          </w:p>
        </w:tc>
        <w:tc>
          <w:tcPr>
            <w:tcW w:w="1040" w:type="dxa"/>
            <w:vAlign w:val="center"/>
          </w:tcPr>
          <w:p>
            <w:pPr>
              <w:autoSpaceDE w:val="0"/>
              <w:autoSpaceDN w:val="0"/>
              <w:adjustRightInd w:val="0"/>
              <w:jc w:val="center"/>
              <w:rPr>
                <w:rFonts w:ascii="宋体" w:hAnsi="宋体" w:cs="宋体"/>
                <w:kern w:val="0"/>
                <w:szCs w:val="21"/>
              </w:rPr>
            </w:pPr>
          </w:p>
        </w:tc>
        <w:tc>
          <w:tcPr>
            <w:tcW w:w="1188" w:type="dxa"/>
            <w:vAlign w:val="center"/>
          </w:tcPr>
          <w:p>
            <w:pPr>
              <w:autoSpaceDE w:val="0"/>
              <w:autoSpaceDN w:val="0"/>
              <w:adjustRightInd w:val="0"/>
              <w:jc w:val="center"/>
              <w:rPr>
                <w:rFonts w:ascii="宋体" w:hAnsi="宋体" w:cs="宋体"/>
                <w:kern w:val="0"/>
                <w:szCs w:val="21"/>
              </w:rPr>
            </w:pPr>
          </w:p>
        </w:tc>
        <w:tc>
          <w:tcPr>
            <w:tcW w:w="1036" w:type="dxa"/>
            <w:vAlign w:val="center"/>
          </w:tcPr>
          <w:p>
            <w:pPr>
              <w:autoSpaceDE w:val="0"/>
              <w:autoSpaceDN w:val="0"/>
              <w:adjustRightInd w:val="0"/>
              <w:jc w:val="center"/>
              <w:rPr>
                <w:rFonts w:ascii="宋体" w:hAnsi="宋体" w:cs="宋体"/>
                <w:kern w:val="0"/>
                <w:szCs w:val="21"/>
              </w:rPr>
            </w:pPr>
          </w:p>
        </w:tc>
        <w:tc>
          <w:tcPr>
            <w:tcW w:w="1036" w:type="dxa"/>
            <w:vAlign w:val="center"/>
          </w:tcPr>
          <w:p>
            <w:pPr>
              <w:autoSpaceDE w:val="0"/>
              <w:autoSpaceDN w:val="0"/>
              <w:adjustRightInd w:val="0"/>
              <w:jc w:val="center"/>
              <w:rPr>
                <w:rFonts w:ascii="宋体" w:hAnsi="宋体" w:cs="宋体"/>
                <w:kern w:val="0"/>
                <w:szCs w:val="21"/>
              </w:rPr>
            </w:pPr>
          </w:p>
        </w:tc>
        <w:tc>
          <w:tcPr>
            <w:tcW w:w="1408" w:type="dxa"/>
            <w:vAlign w:val="center"/>
          </w:tcPr>
          <w:p>
            <w:pPr>
              <w:autoSpaceDE w:val="0"/>
              <w:autoSpaceDN w:val="0"/>
              <w:adjustRightInd w:val="0"/>
              <w:jc w:val="center"/>
              <w:rPr>
                <w:rFonts w:ascii="宋体" w:hAnsi="宋体" w:cs="宋体"/>
                <w:kern w:val="0"/>
                <w:szCs w:val="21"/>
              </w:rPr>
            </w:pPr>
          </w:p>
        </w:tc>
        <w:tc>
          <w:tcPr>
            <w:tcW w:w="1036" w:type="dxa"/>
            <w:vAlign w:val="center"/>
          </w:tcPr>
          <w:p>
            <w:pPr>
              <w:autoSpaceDE w:val="0"/>
              <w:autoSpaceDN w:val="0"/>
              <w:adjustRightInd w:val="0"/>
              <w:jc w:val="center"/>
              <w:rPr>
                <w:rFonts w:ascii="宋体" w:hAnsi="宋体" w:cs="宋体"/>
                <w:kern w:val="0"/>
                <w:szCs w:val="21"/>
              </w:rPr>
            </w:pPr>
          </w:p>
        </w:tc>
        <w:tc>
          <w:tcPr>
            <w:tcW w:w="1102" w:type="dxa"/>
            <w:vAlign w:val="center"/>
          </w:tcPr>
          <w:p>
            <w:pPr>
              <w:autoSpaceDE w:val="0"/>
              <w:autoSpaceDN w:val="0"/>
              <w:adjustRightIn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036" w:type="dxa"/>
          </w:tcPr>
          <w:p>
            <w:pPr>
              <w:autoSpaceDE w:val="0"/>
              <w:autoSpaceDN w:val="0"/>
              <w:adjustRightInd w:val="0"/>
              <w:jc w:val="left"/>
              <w:rPr>
                <w:rFonts w:ascii="宋体" w:hAnsi="宋体" w:cs="宋体"/>
                <w:kern w:val="0"/>
                <w:szCs w:val="21"/>
              </w:rPr>
            </w:pPr>
          </w:p>
        </w:tc>
        <w:tc>
          <w:tcPr>
            <w:tcW w:w="1080" w:type="dxa"/>
          </w:tcPr>
          <w:p>
            <w:pPr>
              <w:autoSpaceDE w:val="0"/>
              <w:autoSpaceDN w:val="0"/>
              <w:adjustRightInd w:val="0"/>
              <w:jc w:val="left"/>
              <w:rPr>
                <w:rFonts w:ascii="宋体" w:hAnsi="宋体" w:cs="宋体"/>
                <w:kern w:val="0"/>
                <w:szCs w:val="21"/>
              </w:rPr>
            </w:pPr>
          </w:p>
        </w:tc>
        <w:tc>
          <w:tcPr>
            <w:tcW w:w="1040" w:type="dxa"/>
          </w:tcPr>
          <w:p>
            <w:pPr>
              <w:autoSpaceDE w:val="0"/>
              <w:autoSpaceDN w:val="0"/>
              <w:adjustRightInd w:val="0"/>
              <w:jc w:val="left"/>
              <w:rPr>
                <w:rFonts w:ascii="宋体" w:hAnsi="宋体" w:cs="宋体"/>
                <w:kern w:val="0"/>
                <w:szCs w:val="21"/>
              </w:rPr>
            </w:pPr>
          </w:p>
        </w:tc>
        <w:tc>
          <w:tcPr>
            <w:tcW w:w="118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40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102" w:type="dxa"/>
          </w:tcPr>
          <w:p>
            <w:pPr>
              <w:autoSpaceDE w:val="0"/>
              <w:autoSpaceDN w:val="0"/>
              <w:adjustRightIn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2" w:hRule="atLeast"/>
          <w:jc w:val="center"/>
        </w:trPr>
        <w:tc>
          <w:tcPr>
            <w:tcW w:w="1036" w:type="dxa"/>
          </w:tcPr>
          <w:p>
            <w:pPr>
              <w:autoSpaceDE w:val="0"/>
              <w:autoSpaceDN w:val="0"/>
              <w:adjustRightInd w:val="0"/>
              <w:jc w:val="left"/>
              <w:rPr>
                <w:rFonts w:ascii="宋体" w:hAnsi="宋体" w:cs="宋体"/>
                <w:kern w:val="0"/>
                <w:szCs w:val="21"/>
              </w:rPr>
            </w:pPr>
          </w:p>
        </w:tc>
        <w:tc>
          <w:tcPr>
            <w:tcW w:w="1080" w:type="dxa"/>
          </w:tcPr>
          <w:p>
            <w:pPr>
              <w:autoSpaceDE w:val="0"/>
              <w:autoSpaceDN w:val="0"/>
              <w:adjustRightInd w:val="0"/>
              <w:jc w:val="left"/>
              <w:rPr>
                <w:rFonts w:ascii="宋体" w:hAnsi="宋体" w:cs="宋体"/>
                <w:kern w:val="0"/>
                <w:szCs w:val="21"/>
              </w:rPr>
            </w:pPr>
          </w:p>
        </w:tc>
        <w:tc>
          <w:tcPr>
            <w:tcW w:w="1040" w:type="dxa"/>
          </w:tcPr>
          <w:p>
            <w:pPr>
              <w:autoSpaceDE w:val="0"/>
              <w:autoSpaceDN w:val="0"/>
              <w:adjustRightInd w:val="0"/>
              <w:jc w:val="left"/>
              <w:rPr>
                <w:rFonts w:ascii="宋体" w:hAnsi="宋体" w:cs="宋体"/>
                <w:kern w:val="0"/>
                <w:szCs w:val="21"/>
              </w:rPr>
            </w:pPr>
          </w:p>
        </w:tc>
        <w:tc>
          <w:tcPr>
            <w:tcW w:w="118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40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102" w:type="dxa"/>
          </w:tcPr>
          <w:p>
            <w:pPr>
              <w:autoSpaceDE w:val="0"/>
              <w:autoSpaceDN w:val="0"/>
              <w:adjustRightIn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036" w:type="dxa"/>
          </w:tcPr>
          <w:p>
            <w:pPr>
              <w:autoSpaceDE w:val="0"/>
              <w:autoSpaceDN w:val="0"/>
              <w:adjustRightInd w:val="0"/>
              <w:jc w:val="left"/>
              <w:rPr>
                <w:rFonts w:ascii="宋体" w:hAnsi="宋体" w:cs="宋体"/>
                <w:kern w:val="0"/>
                <w:szCs w:val="21"/>
              </w:rPr>
            </w:pPr>
          </w:p>
        </w:tc>
        <w:tc>
          <w:tcPr>
            <w:tcW w:w="1080" w:type="dxa"/>
          </w:tcPr>
          <w:p>
            <w:pPr>
              <w:autoSpaceDE w:val="0"/>
              <w:autoSpaceDN w:val="0"/>
              <w:adjustRightInd w:val="0"/>
              <w:jc w:val="left"/>
              <w:rPr>
                <w:rFonts w:ascii="宋体" w:hAnsi="宋体" w:cs="宋体"/>
                <w:kern w:val="0"/>
                <w:szCs w:val="21"/>
              </w:rPr>
            </w:pPr>
          </w:p>
        </w:tc>
        <w:tc>
          <w:tcPr>
            <w:tcW w:w="1040" w:type="dxa"/>
          </w:tcPr>
          <w:p>
            <w:pPr>
              <w:autoSpaceDE w:val="0"/>
              <w:autoSpaceDN w:val="0"/>
              <w:adjustRightInd w:val="0"/>
              <w:jc w:val="left"/>
              <w:rPr>
                <w:rFonts w:ascii="宋体" w:hAnsi="宋体" w:cs="宋体"/>
                <w:kern w:val="0"/>
                <w:szCs w:val="21"/>
              </w:rPr>
            </w:pPr>
          </w:p>
        </w:tc>
        <w:tc>
          <w:tcPr>
            <w:tcW w:w="118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40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102" w:type="dxa"/>
          </w:tcPr>
          <w:p>
            <w:pPr>
              <w:autoSpaceDE w:val="0"/>
              <w:autoSpaceDN w:val="0"/>
              <w:adjustRightIn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2" w:hRule="atLeast"/>
          <w:jc w:val="center"/>
        </w:trPr>
        <w:tc>
          <w:tcPr>
            <w:tcW w:w="1036" w:type="dxa"/>
          </w:tcPr>
          <w:p>
            <w:pPr>
              <w:autoSpaceDE w:val="0"/>
              <w:autoSpaceDN w:val="0"/>
              <w:adjustRightInd w:val="0"/>
              <w:jc w:val="left"/>
              <w:rPr>
                <w:rFonts w:ascii="宋体" w:hAnsi="宋体" w:cs="宋体"/>
                <w:kern w:val="0"/>
                <w:szCs w:val="21"/>
              </w:rPr>
            </w:pPr>
          </w:p>
        </w:tc>
        <w:tc>
          <w:tcPr>
            <w:tcW w:w="1080" w:type="dxa"/>
          </w:tcPr>
          <w:p>
            <w:pPr>
              <w:autoSpaceDE w:val="0"/>
              <w:autoSpaceDN w:val="0"/>
              <w:adjustRightInd w:val="0"/>
              <w:jc w:val="left"/>
              <w:rPr>
                <w:rFonts w:ascii="宋体" w:hAnsi="宋体" w:cs="宋体"/>
                <w:kern w:val="0"/>
                <w:szCs w:val="21"/>
              </w:rPr>
            </w:pPr>
          </w:p>
        </w:tc>
        <w:tc>
          <w:tcPr>
            <w:tcW w:w="1040" w:type="dxa"/>
          </w:tcPr>
          <w:p>
            <w:pPr>
              <w:autoSpaceDE w:val="0"/>
              <w:autoSpaceDN w:val="0"/>
              <w:adjustRightInd w:val="0"/>
              <w:jc w:val="left"/>
              <w:rPr>
                <w:rFonts w:ascii="宋体" w:hAnsi="宋体" w:cs="宋体"/>
                <w:kern w:val="0"/>
                <w:szCs w:val="21"/>
              </w:rPr>
            </w:pPr>
          </w:p>
        </w:tc>
        <w:tc>
          <w:tcPr>
            <w:tcW w:w="118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40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102" w:type="dxa"/>
          </w:tcPr>
          <w:p>
            <w:pPr>
              <w:autoSpaceDE w:val="0"/>
              <w:autoSpaceDN w:val="0"/>
              <w:adjustRightIn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036" w:type="dxa"/>
          </w:tcPr>
          <w:p>
            <w:pPr>
              <w:autoSpaceDE w:val="0"/>
              <w:autoSpaceDN w:val="0"/>
              <w:adjustRightInd w:val="0"/>
              <w:jc w:val="left"/>
              <w:rPr>
                <w:rFonts w:ascii="宋体" w:hAnsi="宋体" w:cs="宋体"/>
                <w:kern w:val="0"/>
                <w:szCs w:val="21"/>
              </w:rPr>
            </w:pPr>
          </w:p>
        </w:tc>
        <w:tc>
          <w:tcPr>
            <w:tcW w:w="1080" w:type="dxa"/>
          </w:tcPr>
          <w:p>
            <w:pPr>
              <w:autoSpaceDE w:val="0"/>
              <w:autoSpaceDN w:val="0"/>
              <w:adjustRightInd w:val="0"/>
              <w:jc w:val="left"/>
              <w:rPr>
                <w:rFonts w:ascii="宋体" w:hAnsi="宋体" w:cs="宋体"/>
                <w:kern w:val="0"/>
                <w:szCs w:val="21"/>
              </w:rPr>
            </w:pPr>
          </w:p>
        </w:tc>
        <w:tc>
          <w:tcPr>
            <w:tcW w:w="1040" w:type="dxa"/>
          </w:tcPr>
          <w:p>
            <w:pPr>
              <w:autoSpaceDE w:val="0"/>
              <w:autoSpaceDN w:val="0"/>
              <w:adjustRightInd w:val="0"/>
              <w:jc w:val="left"/>
              <w:rPr>
                <w:rFonts w:ascii="宋体" w:hAnsi="宋体" w:cs="宋体"/>
                <w:kern w:val="0"/>
                <w:szCs w:val="21"/>
              </w:rPr>
            </w:pPr>
          </w:p>
        </w:tc>
        <w:tc>
          <w:tcPr>
            <w:tcW w:w="118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40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102" w:type="dxa"/>
          </w:tcPr>
          <w:p>
            <w:pPr>
              <w:autoSpaceDE w:val="0"/>
              <w:autoSpaceDN w:val="0"/>
              <w:adjustRightIn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1036" w:type="dxa"/>
          </w:tcPr>
          <w:p>
            <w:pPr>
              <w:autoSpaceDE w:val="0"/>
              <w:autoSpaceDN w:val="0"/>
              <w:adjustRightInd w:val="0"/>
              <w:jc w:val="left"/>
              <w:rPr>
                <w:rFonts w:ascii="宋体" w:hAnsi="宋体" w:cs="宋体"/>
                <w:kern w:val="0"/>
                <w:szCs w:val="21"/>
              </w:rPr>
            </w:pPr>
          </w:p>
        </w:tc>
        <w:tc>
          <w:tcPr>
            <w:tcW w:w="1080" w:type="dxa"/>
          </w:tcPr>
          <w:p>
            <w:pPr>
              <w:autoSpaceDE w:val="0"/>
              <w:autoSpaceDN w:val="0"/>
              <w:adjustRightInd w:val="0"/>
              <w:jc w:val="left"/>
              <w:rPr>
                <w:rFonts w:ascii="宋体" w:hAnsi="宋体" w:cs="宋体"/>
                <w:kern w:val="0"/>
                <w:szCs w:val="21"/>
              </w:rPr>
            </w:pPr>
          </w:p>
        </w:tc>
        <w:tc>
          <w:tcPr>
            <w:tcW w:w="1040" w:type="dxa"/>
          </w:tcPr>
          <w:p>
            <w:pPr>
              <w:autoSpaceDE w:val="0"/>
              <w:autoSpaceDN w:val="0"/>
              <w:adjustRightInd w:val="0"/>
              <w:jc w:val="left"/>
              <w:rPr>
                <w:rFonts w:ascii="宋体" w:hAnsi="宋体" w:cs="宋体"/>
                <w:kern w:val="0"/>
                <w:szCs w:val="21"/>
              </w:rPr>
            </w:pPr>
          </w:p>
        </w:tc>
        <w:tc>
          <w:tcPr>
            <w:tcW w:w="118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40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102" w:type="dxa"/>
          </w:tcPr>
          <w:p>
            <w:pPr>
              <w:autoSpaceDE w:val="0"/>
              <w:autoSpaceDN w:val="0"/>
              <w:adjustRightIn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1036" w:type="dxa"/>
          </w:tcPr>
          <w:p>
            <w:pPr>
              <w:autoSpaceDE w:val="0"/>
              <w:autoSpaceDN w:val="0"/>
              <w:adjustRightInd w:val="0"/>
              <w:jc w:val="left"/>
              <w:rPr>
                <w:rFonts w:ascii="宋体" w:hAnsi="宋体" w:cs="宋体"/>
                <w:kern w:val="0"/>
                <w:szCs w:val="21"/>
              </w:rPr>
            </w:pPr>
          </w:p>
        </w:tc>
        <w:tc>
          <w:tcPr>
            <w:tcW w:w="1080" w:type="dxa"/>
          </w:tcPr>
          <w:p>
            <w:pPr>
              <w:autoSpaceDE w:val="0"/>
              <w:autoSpaceDN w:val="0"/>
              <w:adjustRightInd w:val="0"/>
              <w:jc w:val="left"/>
              <w:rPr>
                <w:rFonts w:ascii="宋体" w:hAnsi="宋体" w:cs="宋体"/>
                <w:kern w:val="0"/>
                <w:szCs w:val="21"/>
              </w:rPr>
            </w:pPr>
          </w:p>
        </w:tc>
        <w:tc>
          <w:tcPr>
            <w:tcW w:w="1040" w:type="dxa"/>
          </w:tcPr>
          <w:p>
            <w:pPr>
              <w:autoSpaceDE w:val="0"/>
              <w:autoSpaceDN w:val="0"/>
              <w:adjustRightInd w:val="0"/>
              <w:jc w:val="left"/>
              <w:rPr>
                <w:rFonts w:ascii="宋体" w:hAnsi="宋体" w:cs="宋体"/>
                <w:kern w:val="0"/>
                <w:szCs w:val="21"/>
              </w:rPr>
            </w:pPr>
          </w:p>
        </w:tc>
        <w:tc>
          <w:tcPr>
            <w:tcW w:w="118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40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102" w:type="dxa"/>
          </w:tcPr>
          <w:p>
            <w:pPr>
              <w:autoSpaceDE w:val="0"/>
              <w:autoSpaceDN w:val="0"/>
              <w:adjustRightIn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036" w:type="dxa"/>
          </w:tcPr>
          <w:p>
            <w:pPr>
              <w:autoSpaceDE w:val="0"/>
              <w:autoSpaceDN w:val="0"/>
              <w:adjustRightInd w:val="0"/>
              <w:jc w:val="left"/>
              <w:rPr>
                <w:rFonts w:ascii="宋体" w:hAnsi="宋体" w:cs="宋体"/>
                <w:kern w:val="0"/>
                <w:szCs w:val="21"/>
              </w:rPr>
            </w:pPr>
          </w:p>
        </w:tc>
        <w:tc>
          <w:tcPr>
            <w:tcW w:w="1080" w:type="dxa"/>
          </w:tcPr>
          <w:p>
            <w:pPr>
              <w:autoSpaceDE w:val="0"/>
              <w:autoSpaceDN w:val="0"/>
              <w:adjustRightInd w:val="0"/>
              <w:jc w:val="left"/>
              <w:rPr>
                <w:rFonts w:ascii="宋体" w:hAnsi="宋体" w:cs="宋体"/>
                <w:kern w:val="0"/>
                <w:szCs w:val="21"/>
              </w:rPr>
            </w:pPr>
          </w:p>
        </w:tc>
        <w:tc>
          <w:tcPr>
            <w:tcW w:w="1040" w:type="dxa"/>
          </w:tcPr>
          <w:p>
            <w:pPr>
              <w:autoSpaceDE w:val="0"/>
              <w:autoSpaceDN w:val="0"/>
              <w:adjustRightInd w:val="0"/>
              <w:jc w:val="left"/>
              <w:rPr>
                <w:rFonts w:ascii="宋体" w:hAnsi="宋体" w:cs="宋体"/>
                <w:kern w:val="0"/>
                <w:szCs w:val="21"/>
              </w:rPr>
            </w:pPr>
          </w:p>
        </w:tc>
        <w:tc>
          <w:tcPr>
            <w:tcW w:w="118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40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102" w:type="dxa"/>
          </w:tcPr>
          <w:p>
            <w:pPr>
              <w:autoSpaceDE w:val="0"/>
              <w:autoSpaceDN w:val="0"/>
              <w:adjustRightInd w:val="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1036" w:type="dxa"/>
          </w:tcPr>
          <w:p>
            <w:pPr>
              <w:autoSpaceDE w:val="0"/>
              <w:autoSpaceDN w:val="0"/>
              <w:adjustRightInd w:val="0"/>
              <w:jc w:val="left"/>
              <w:rPr>
                <w:rFonts w:ascii="宋体" w:hAnsi="宋体" w:cs="宋体"/>
                <w:kern w:val="0"/>
                <w:szCs w:val="21"/>
              </w:rPr>
            </w:pPr>
          </w:p>
        </w:tc>
        <w:tc>
          <w:tcPr>
            <w:tcW w:w="1080" w:type="dxa"/>
          </w:tcPr>
          <w:p>
            <w:pPr>
              <w:autoSpaceDE w:val="0"/>
              <w:autoSpaceDN w:val="0"/>
              <w:adjustRightInd w:val="0"/>
              <w:jc w:val="left"/>
              <w:rPr>
                <w:rFonts w:ascii="宋体" w:hAnsi="宋体" w:cs="宋体"/>
                <w:kern w:val="0"/>
                <w:szCs w:val="21"/>
              </w:rPr>
            </w:pPr>
          </w:p>
        </w:tc>
        <w:tc>
          <w:tcPr>
            <w:tcW w:w="1040" w:type="dxa"/>
          </w:tcPr>
          <w:p>
            <w:pPr>
              <w:autoSpaceDE w:val="0"/>
              <w:autoSpaceDN w:val="0"/>
              <w:adjustRightInd w:val="0"/>
              <w:jc w:val="left"/>
              <w:rPr>
                <w:rFonts w:ascii="宋体" w:hAnsi="宋体" w:cs="宋体"/>
                <w:kern w:val="0"/>
                <w:szCs w:val="21"/>
              </w:rPr>
            </w:pPr>
          </w:p>
        </w:tc>
        <w:tc>
          <w:tcPr>
            <w:tcW w:w="118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408" w:type="dxa"/>
          </w:tcPr>
          <w:p>
            <w:pPr>
              <w:autoSpaceDE w:val="0"/>
              <w:autoSpaceDN w:val="0"/>
              <w:adjustRightInd w:val="0"/>
              <w:jc w:val="left"/>
              <w:rPr>
                <w:rFonts w:ascii="宋体" w:hAnsi="宋体" w:cs="宋体"/>
                <w:kern w:val="0"/>
                <w:szCs w:val="21"/>
              </w:rPr>
            </w:pPr>
          </w:p>
        </w:tc>
        <w:tc>
          <w:tcPr>
            <w:tcW w:w="1036" w:type="dxa"/>
          </w:tcPr>
          <w:p>
            <w:pPr>
              <w:autoSpaceDE w:val="0"/>
              <w:autoSpaceDN w:val="0"/>
              <w:adjustRightInd w:val="0"/>
              <w:jc w:val="left"/>
              <w:rPr>
                <w:rFonts w:ascii="宋体" w:hAnsi="宋体" w:cs="宋体"/>
                <w:kern w:val="0"/>
                <w:szCs w:val="21"/>
              </w:rPr>
            </w:pPr>
          </w:p>
        </w:tc>
        <w:tc>
          <w:tcPr>
            <w:tcW w:w="1102" w:type="dxa"/>
          </w:tcPr>
          <w:p>
            <w:pPr>
              <w:autoSpaceDE w:val="0"/>
              <w:autoSpaceDN w:val="0"/>
              <w:adjustRightInd w:val="0"/>
              <w:jc w:val="left"/>
              <w:rPr>
                <w:rFonts w:ascii="宋体" w:hAnsi="宋体" w:cs="宋体"/>
                <w:kern w:val="0"/>
                <w:szCs w:val="21"/>
              </w:rPr>
            </w:pPr>
          </w:p>
        </w:tc>
      </w:tr>
    </w:tbl>
    <w:p>
      <w:pPr>
        <w:pStyle w:val="4"/>
        <w:numPr>
          <w:ilvl w:val="0"/>
          <w:numId w:val="5"/>
        </w:numPr>
        <w:spacing w:before="120" w:after="120" w:line="400" w:lineRule="exact"/>
        <w:jc w:val="center"/>
      </w:pPr>
      <w:bookmarkStart w:id="717" w:name="_Toc201287665"/>
      <w:bookmarkStart w:id="718" w:name="_Toc10656"/>
      <w:bookmarkStart w:id="719" w:name="_Toc18676"/>
      <w:r>
        <w:rPr>
          <w:rFonts w:hint="eastAsia" w:hAnsi="宋体" w:cs="宋体"/>
          <w:kern w:val="0"/>
          <w:szCs w:val="24"/>
        </w:rPr>
        <w:t>主要人员简历表</w:t>
      </w:r>
      <w:bookmarkEnd w:id="717"/>
      <w:bookmarkEnd w:id="718"/>
      <w:bookmarkEnd w:id="719"/>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2"/>
        <w:gridCol w:w="1692"/>
        <w:gridCol w:w="1193"/>
        <w:gridCol w:w="1748"/>
        <w:gridCol w:w="200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84" w:type="dxa"/>
            <w:vAlign w:val="center"/>
          </w:tcPr>
          <w:p>
            <w:pPr>
              <w:jc w:val="center"/>
              <w:rPr>
                <w:rFonts w:ascii="宋体" w:hAnsi="宋体" w:cs="宋体"/>
                <w:szCs w:val="21"/>
              </w:rPr>
            </w:pPr>
            <w:r>
              <w:rPr>
                <w:rFonts w:hint="eastAsia" w:ascii="宋体" w:hAnsi="宋体" w:cs="宋体"/>
                <w:szCs w:val="21"/>
              </w:rPr>
              <w:t>姓名</w:t>
            </w:r>
          </w:p>
        </w:tc>
        <w:tc>
          <w:tcPr>
            <w:tcW w:w="1944" w:type="dxa"/>
            <w:gridSpan w:val="2"/>
            <w:vAlign w:val="center"/>
          </w:tcPr>
          <w:p>
            <w:pPr>
              <w:jc w:val="center"/>
              <w:rPr>
                <w:rFonts w:ascii="宋体" w:hAnsi="宋体" w:cs="宋体"/>
                <w:szCs w:val="21"/>
              </w:rPr>
            </w:pPr>
          </w:p>
        </w:tc>
        <w:tc>
          <w:tcPr>
            <w:tcW w:w="1193" w:type="dxa"/>
            <w:vAlign w:val="center"/>
          </w:tcPr>
          <w:p>
            <w:pPr>
              <w:jc w:val="center"/>
              <w:rPr>
                <w:rFonts w:ascii="宋体" w:hAnsi="宋体" w:cs="宋体"/>
                <w:szCs w:val="21"/>
              </w:rPr>
            </w:pPr>
            <w:r>
              <w:rPr>
                <w:rFonts w:hint="eastAsia" w:ascii="宋体" w:hAnsi="宋体" w:cs="宋体"/>
                <w:szCs w:val="21"/>
              </w:rPr>
              <w:t>年龄</w:t>
            </w:r>
          </w:p>
        </w:tc>
        <w:tc>
          <w:tcPr>
            <w:tcW w:w="1748" w:type="dxa"/>
            <w:vAlign w:val="center"/>
          </w:tcPr>
          <w:p>
            <w:pPr>
              <w:jc w:val="center"/>
              <w:rPr>
                <w:rFonts w:ascii="宋体" w:hAnsi="宋体" w:cs="宋体"/>
                <w:szCs w:val="21"/>
              </w:rPr>
            </w:pPr>
          </w:p>
        </w:tc>
        <w:tc>
          <w:tcPr>
            <w:tcW w:w="2009" w:type="dxa"/>
            <w:vAlign w:val="center"/>
          </w:tcPr>
          <w:p>
            <w:pPr>
              <w:jc w:val="center"/>
              <w:rPr>
                <w:rFonts w:ascii="宋体" w:hAnsi="宋体" w:cs="宋体"/>
                <w:szCs w:val="21"/>
              </w:rPr>
            </w:pPr>
            <w:r>
              <w:rPr>
                <w:rFonts w:hint="eastAsia" w:ascii="宋体" w:hAnsi="宋体" w:cs="宋体"/>
                <w:szCs w:val="21"/>
              </w:rPr>
              <w:t>学历</w:t>
            </w:r>
          </w:p>
        </w:tc>
        <w:tc>
          <w:tcPr>
            <w:tcW w:w="168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84" w:type="dxa"/>
            <w:vAlign w:val="center"/>
          </w:tcPr>
          <w:p>
            <w:pPr>
              <w:jc w:val="center"/>
              <w:rPr>
                <w:rFonts w:ascii="宋体" w:hAnsi="宋体" w:cs="宋体"/>
                <w:szCs w:val="21"/>
              </w:rPr>
            </w:pPr>
            <w:r>
              <w:rPr>
                <w:rFonts w:hint="eastAsia" w:ascii="宋体" w:hAnsi="宋体" w:cs="宋体"/>
                <w:szCs w:val="21"/>
              </w:rPr>
              <w:t>职称</w:t>
            </w:r>
          </w:p>
        </w:tc>
        <w:tc>
          <w:tcPr>
            <w:tcW w:w="1944" w:type="dxa"/>
            <w:gridSpan w:val="2"/>
            <w:vAlign w:val="center"/>
          </w:tcPr>
          <w:p>
            <w:pPr>
              <w:jc w:val="center"/>
              <w:rPr>
                <w:rFonts w:ascii="宋体" w:hAnsi="宋体" w:cs="宋体"/>
                <w:szCs w:val="21"/>
              </w:rPr>
            </w:pPr>
          </w:p>
        </w:tc>
        <w:tc>
          <w:tcPr>
            <w:tcW w:w="1193" w:type="dxa"/>
            <w:vAlign w:val="center"/>
          </w:tcPr>
          <w:p>
            <w:pPr>
              <w:jc w:val="center"/>
              <w:rPr>
                <w:rFonts w:ascii="宋体" w:hAnsi="宋体" w:cs="宋体"/>
                <w:szCs w:val="21"/>
              </w:rPr>
            </w:pPr>
            <w:r>
              <w:rPr>
                <w:rFonts w:hint="eastAsia" w:ascii="宋体" w:hAnsi="宋体" w:cs="宋体"/>
                <w:szCs w:val="21"/>
              </w:rPr>
              <w:t>职务</w:t>
            </w:r>
          </w:p>
        </w:tc>
        <w:tc>
          <w:tcPr>
            <w:tcW w:w="1748" w:type="dxa"/>
            <w:vAlign w:val="center"/>
          </w:tcPr>
          <w:p>
            <w:pPr>
              <w:jc w:val="center"/>
              <w:rPr>
                <w:rFonts w:ascii="宋体" w:hAnsi="宋体" w:cs="宋体"/>
                <w:szCs w:val="21"/>
              </w:rPr>
            </w:pPr>
          </w:p>
        </w:tc>
        <w:tc>
          <w:tcPr>
            <w:tcW w:w="2009" w:type="dxa"/>
            <w:vAlign w:val="center"/>
          </w:tcPr>
          <w:p>
            <w:pPr>
              <w:jc w:val="center"/>
              <w:rPr>
                <w:rFonts w:ascii="宋体" w:hAnsi="宋体" w:cs="宋体"/>
                <w:szCs w:val="21"/>
              </w:rPr>
            </w:pPr>
            <w:r>
              <w:rPr>
                <w:rFonts w:hint="eastAsia" w:ascii="宋体" w:hAnsi="宋体" w:cs="宋体"/>
                <w:szCs w:val="21"/>
              </w:rPr>
              <w:t>拟在本合同任职</w:t>
            </w:r>
          </w:p>
        </w:tc>
        <w:tc>
          <w:tcPr>
            <w:tcW w:w="1684"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328" w:type="dxa"/>
            <w:gridSpan w:val="3"/>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毕业学校</w:t>
            </w:r>
          </w:p>
        </w:tc>
        <w:tc>
          <w:tcPr>
            <w:tcW w:w="6634" w:type="dxa"/>
            <w:gridSpan w:val="4"/>
          </w:tcPr>
          <w:p>
            <w:pPr>
              <w:pStyle w:val="19"/>
              <w:spacing w:line="400" w:lineRule="exact"/>
              <w:jc w:val="center"/>
              <w:rPr>
                <w:rFonts w:ascii="宋体" w:hAnsi="宋体" w:cs="宋体"/>
                <w:kern w:val="0"/>
                <w:szCs w:val="21"/>
              </w:rPr>
            </w:pPr>
          </w:p>
          <w:p>
            <w:pPr>
              <w:pStyle w:val="19"/>
              <w:spacing w:line="400" w:lineRule="exact"/>
              <w:jc w:val="center"/>
              <w:rPr>
                <w:rFonts w:ascii="宋体" w:hAnsi="宋体" w:cs="宋体"/>
                <w:szCs w:val="21"/>
              </w:rPr>
            </w:pPr>
            <w:r>
              <w:rPr>
                <w:rFonts w:hint="eastAsia" w:ascii="宋体" w:hAnsi="宋体" w:cs="宋体"/>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62" w:type="dxa"/>
            <w:gridSpan w:val="7"/>
          </w:tcPr>
          <w:p>
            <w:pPr>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636" w:type="dxa"/>
            <w:gridSpan w:val="2"/>
            <w:vAlign w:val="center"/>
          </w:tcPr>
          <w:p>
            <w:pPr>
              <w:jc w:val="center"/>
              <w:rPr>
                <w:rFonts w:ascii="宋体" w:hAnsi="宋体" w:cs="宋体"/>
                <w:szCs w:val="21"/>
              </w:rPr>
            </w:pPr>
            <w:r>
              <w:rPr>
                <w:rFonts w:hint="eastAsia" w:ascii="宋体" w:hAnsi="宋体" w:cs="宋体"/>
                <w:kern w:val="0"/>
                <w:szCs w:val="21"/>
              </w:rPr>
              <w:t>时 间</w:t>
            </w:r>
          </w:p>
        </w:tc>
        <w:tc>
          <w:tcPr>
            <w:tcW w:w="4633" w:type="dxa"/>
            <w:gridSpan w:val="3"/>
            <w:vAlign w:val="center"/>
          </w:tcPr>
          <w:p>
            <w:pPr>
              <w:jc w:val="center"/>
              <w:rPr>
                <w:rFonts w:ascii="宋体" w:hAnsi="宋体" w:cs="宋体"/>
                <w:szCs w:val="21"/>
              </w:rPr>
            </w:pPr>
            <w:r>
              <w:rPr>
                <w:rFonts w:hint="eastAsia" w:ascii="宋体" w:hAnsi="宋体" w:cs="宋体"/>
                <w:kern w:val="0"/>
                <w:szCs w:val="21"/>
              </w:rPr>
              <w:t>参加过的类似项目</w:t>
            </w:r>
          </w:p>
        </w:tc>
        <w:tc>
          <w:tcPr>
            <w:tcW w:w="2009" w:type="dxa"/>
            <w:vAlign w:val="center"/>
          </w:tcPr>
          <w:p>
            <w:pPr>
              <w:jc w:val="center"/>
              <w:rPr>
                <w:rFonts w:ascii="宋体" w:hAnsi="宋体" w:cs="宋体"/>
                <w:szCs w:val="21"/>
              </w:rPr>
            </w:pPr>
            <w:r>
              <w:rPr>
                <w:rFonts w:hint="eastAsia" w:ascii="宋体" w:hAnsi="宋体" w:cs="宋体"/>
                <w:kern w:val="0"/>
                <w:szCs w:val="21"/>
              </w:rPr>
              <w:t>担任职务</w:t>
            </w:r>
          </w:p>
        </w:tc>
        <w:tc>
          <w:tcPr>
            <w:tcW w:w="1684" w:type="dxa"/>
            <w:vAlign w:val="center"/>
          </w:tcPr>
          <w:p>
            <w:pPr>
              <w:jc w:val="center"/>
              <w:rPr>
                <w:rFonts w:ascii="宋体" w:hAnsi="宋体" w:cs="宋体"/>
                <w:szCs w:val="21"/>
              </w:rPr>
            </w:pPr>
            <w:r>
              <w:rPr>
                <w:rFonts w:hint="eastAsia" w:ascii="宋体" w:hAnsi="宋体" w:cs="宋体"/>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636" w:type="dxa"/>
            <w:gridSpan w:val="2"/>
          </w:tcPr>
          <w:p>
            <w:pPr>
              <w:rPr>
                <w:rFonts w:ascii="宋体" w:hAnsi="宋体" w:cs="宋体"/>
                <w:szCs w:val="21"/>
              </w:rPr>
            </w:pPr>
          </w:p>
        </w:tc>
        <w:tc>
          <w:tcPr>
            <w:tcW w:w="4633" w:type="dxa"/>
            <w:gridSpan w:val="3"/>
          </w:tcPr>
          <w:p>
            <w:pPr>
              <w:rPr>
                <w:rFonts w:ascii="宋体" w:hAnsi="宋体" w:cs="宋体"/>
                <w:szCs w:val="21"/>
              </w:rPr>
            </w:pPr>
          </w:p>
        </w:tc>
        <w:tc>
          <w:tcPr>
            <w:tcW w:w="2009" w:type="dxa"/>
          </w:tcPr>
          <w:p>
            <w:pPr>
              <w:rPr>
                <w:rFonts w:ascii="宋体" w:hAnsi="宋体" w:cs="宋体"/>
                <w:szCs w:val="21"/>
              </w:rPr>
            </w:pPr>
          </w:p>
        </w:tc>
        <w:tc>
          <w:tcPr>
            <w:tcW w:w="168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636" w:type="dxa"/>
            <w:gridSpan w:val="2"/>
          </w:tcPr>
          <w:p>
            <w:pPr>
              <w:rPr>
                <w:rFonts w:ascii="宋体" w:hAnsi="宋体" w:cs="宋体"/>
                <w:szCs w:val="21"/>
              </w:rPr>
            </w:pPr>
          </w:p>
        </w:tc>
        <w:tc>
          <w:tcPr>
            <w:tcW w:w="4633" w:type="dxa"/>
            <w:gridSpan w:val="3"/>
          </w:tcPr>
          <w:p>
            <w:pPr>
              <w:rPr>
                <w:rFonts w:ascii="宋体" w:hAnsi="宋体" w:cs="宋体"/>
                <w:szCs w:val="21"/>
              </w:rPr>
            </w:pPr>
          </w:p>
        </w:tc>
        <w:tc>
          <w:tcPr>
            <w:tcW w:w="2009" w:type="dxa"/>
          </w:tcPr>
          <w:p>
            <w:pPr>
              <w:rPr>
                <w:rFonts w:ascii="宋体" w:hAnsi="宋体" w:cs="宋体"/>
                <w:szCs w:val="21"/>
              </w:rPr>
            </w:pPr>
          </w:p>
        </w:tc>
        <w:tc>
          <w:tcPr>
            <w:tcW w:w="168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636" w:type="dxa"/>
            <w:gridSpan w:val="2"/>
          </w:tcPr>
          <w:p>
            <w:pPr>
              <w:rPr>
                <w:rFonts w:ascii="宋体" w:hAnsi="宋体" w:cs="宋体"/>
                <w:szCs w:val="21"/>
              </w:rPr>
            </w:pPr>
          </w:p>
        </w:tc>
        <w:tc>
          <w:tcPr>
            <w:tcW w:w="4633" w:type="dxa"/>
            <w:gridSpan w:val="3"/>
          </w:tcPr>
          <w:p>
            <w:pPr>
              <w:rPr>
                <w:rFonts w:ascii="宋体" w:hAnsi="宋体" w:cs="宋体"/>
                <w:szCs w:val="21"/>
              </w:rPr>
            </w:pPr>
          </w:p>
        </w:tc>
        <w:tc>
          <w:tcPr>
            <w:tcW w:w="2009" w:type="dxa"/>
          </w:tcPr>
          <w:p>
            <w:pPr>
              <w:rPr>
                <w:rFonts w:ascii="宋体" w:hAnsi="宋体" w:cs="宋体"/>
                <w:szCs w:val="21"/>
              </w:rPr>
            </w:pPr>
          </w:p>
        </w:tc>
        <w:tc>
          <w:tcPr>
            <w:tcW w:w="168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636" w:type="dxa"/>
            <w:gridSpan w:val="2"/>
          </w:tcPr>
          <w:p>
            <w:pPr>
              <w:rPr>
                <w:rFonts w:ascii="宋体" w:hAnsi="宋体" w:cs="宋体"/>
                <w:szCs w:val="21"/>
              </w:rPr>
            </w:pPr>
          </w:p>
        </w:tc>
        <w:tc>
          <w:tcPr>
            <w:tcW w:w="4633" w:type="dxa"/>
            <w:gridSpan w:val="3"/>
          </w:tcPr>
          <w:p>
            <w:pPr>
              <w:rPr>
                <w:rFonts w:ascii="宋体" w:hAnsi="宋体" w:cs="宋体"/>
                <w:szCs w:val="21"/>
              </w:rPr>
            </w:pPr>
          </w:p>
        </w:tc>
        <w:tc>
          <w:tcPr>
            <w:tcW w:w="2009" w:type="dxa"/>
          </w:tcPr>
          <w:p>
            <w:pPr>
              <w:rPr>
                <w:rFonts w:ascii="宋体" w:hAnsi="宋体" w:cs="宋体"/>
                <w:szCs w:val="21"/>
              </w:rPr>
            </w:pPr>
          </w:p>
        </w:tc>
        <w:tc>
          <w:tcPr>
            <w:tcW w:w="168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636" w:type="dxa"/>
            <w:gridSpan w:val="2"/>
          </w:tcPr>
          <w:p>
            <w:pPr>
              <w:rPr>
                <w:rFonts w:ascii="宋体" w:hAnsi="宋体" w:cs="宋体"/>
                <w:szCs w:val="21"/>
              </w:rPr>
            </w:pPr>
          </w:p>
        </w:tc>
        <w:tc>
          <w:tcPr>
            <w:tcW w:w="4633" w:type="dxa"/>
            <w:gridSpan w:val="3"/>
          </w:tcPr>
          <w:p>
            <w:pPr>
              <w:rPr>
                <w:rFonts w:ascii="宋体" w:hAnsi="宋体" w:cs="宋体"/>
                <w:szCs w:val="21"/>
              </w:rPr>
            </w:pPr>
          </w:p>
        </w:tc>
        <w:tc>
          <w:tcPr>
            <w:tcW w:w="2009" w:type="dxa"/>
          </w:tcPr>
          <w:p>
            <w:pPr>
              <w:rPr>
                <w:rFonts w:ascii="宋体" w:hAnsi="宋体" w:cs="宋体"/>
                <w:szCs w:val="21"/>
              </w:rPr>
            </w:pPr>
          </w:p>
        </w:tc>
        <w:tc>
          <w:tcPr>
            <w:tcW w:w="168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636" w:type="dxa"/>
            <w:gridSpan w:val="2"/>
          </w:tcPr>
          <w:p>
            <w:pPr>
              <w:rPr>
                <w:rFonts w:ascii="宋体" w:hAnsi="宋体" w:cs="宋体"/>
                <w:szCs w:val="21"/>
              </w:rPr>
            </w:pPr>
          </w:p>
        </w:tc>
        <w:tc>
          <w:tcPr>
            <w:tcW w:w="4633" w:type="dxa"/>
            <w:gridSpan w:val="3"/>
          </w:tcPr>
          <w:p>
            <w:pPr>
              <w:rPr>
                <w:rFonts w:ascii="宋体" w:hAnsi="宋体" w:cs="宋体"/>
                <w:szCs w:val="21"/>
              </w:rPr>
            </w:pPr>
          </w:p>
        </w:tc>
        <w:tc>
          <w:tcPr>
            <w:tcW w:w="2009" w:type="dxa"/>
          </w:tcPr>
          <w:p>
            <w:pPr>
              <w:rPr>
                <w:rFonts w:ascii="宋体" w:hAnsi="宋体" w:cs="宋体"/>
                <w:szCs w:val="21"/>
              </w:rPr>
            </w:pPr>
          </w:p>
        </w:tc>
        <w:tc>
          <w:tcPr>
            <w:tcW w:w="1684" w:type="dxa"/>
          </w:tcPr>
          <w:p>
            <w:pPr>
              <w:rPr>
                <w:rFonts w:ascii="宋体" w:hAnsi="宋体" w:cs="宋体"/>
                <w:szCs w:val="21"/>
              </w:rPr>
            </w:pPr>
          </w:p>
        </w:tc>
      </w:tr>
    </w:tbl>
    <w:p>
      <w:bookmarkStart w:id="720" w:name="_Toc458079957"/>
      <w:bookmarkStart w:id="721" w:name="_Toc5509"/>
      <w:bookmarkStart w:id="722" w:name="_Toc28850"/>
      <w:bookmarkStart w:id="723" w:name="_Toc12180_WPSOffice_Level2"/>
      <w:bookmarkStart w:id="724" w:name="_Toc27318_WPSOffice_Level2"/>
      <w:bookmarkStart w:id="725" w:name="_Toc15979"/>
      <w:r>
        <w:rPr>
          <w:rFonts w:hint="eastAsia"/>
        </w:rPr>
        <w:t>附：相关人员证书及相应证明资料（附原件彩色扫描件、原件备查随投标文件一同递交）。</w:t>
      </w:r>
    </w:p>
    <w:p>
      <w:pPr>
        <w:widowControl/>
        <w:snapToGrid w:val="0"/>
        <w:spacing w:line="360" w:lineRule="auto"/>
        <w:jc w:val="center"/>
        <w:outlineLvl w:val="1"/>
        <w:rPr>
          <w:rStyle w:val="47"/>
        </w:rPr>
      </w:pPr>
      <w:r>
        <w:rPr>
          <w:rFonts w:hint="eastAsia"/>
        </w:rPr>
        <w:br w:type="page"/>
      </w:r>
      <w:bookmarkStart w:id="726" w:name="_Toc27959"/>
      <w:r>
        <w:rPr>
          <w:rStyle w:val="47"/>
          <w:rFonts w:hint="eastAsia"/>
        </w:rPr>
        <w:t>附件10：资格审查资料</w:t>
      </w:r>
      <w:bookmarkEnd w:id="720"/>
      <w:bookmarkEnd w:id="721"/>
      <w:bookmarkEnd w:id="722"/>
      <w:bookmarkEnd w:id="723"/>
      <w:bookmarkEnd w:id="724"/>
      <w:bookmarkEnd w:id="725"/>
      <w:bookmarkEnd w:id="726"/>
    </w:p>
    <w:p>
      <w:pPr>
        <w:pStyle w:val="2"/>
      </w:pPr>
      <w:bookmarkStart w:id="727" w:name="_Toc357004116"/>
      <w:bookmarkStart w:id="728" w:name="_Toc16572_WPSOffice_Level2"/>
      <w:bookmarkStart w:id="729" w:name="_Toc22600"/>
      <w:r>
        <w:rPr>
          <w:rFonts w:hint="eastAsia"/>
        </w:rPr>
        <w:t>（一）供应商基本情况表</w:t>
      </w:r>
      <w:bookmarkEnd w:id="727"/>
      <w:bookmarkEnd w:id="728"/>
      <w:bookmarkEnd w:id="729"/>
    </w:p>
    <w:tbl>
      <w:tblPr>
        <w:tblStyle w:val="25"/>
        <w:tblW w:w="9962" w:type="dxa"/>
        <w:jc w:val="center"/>
        <w:tblLayout w:type="fixed"/>
        <w:tblCellMar>
          <w:top w:w="0" w:type="dxa"/>
          <w:left w:w="108" w:type="dxa"/>
          <w:bottom w:w="0" w:type="dxa"/>
          <w:right w:w="108" w:type="dxa"/>
        </w:tblCellMar>
      </w:tblPr>
      <w:tblGrid>
        <w:gridCol w:w="1991"/>
        <w:gridCol w:w="1028"/>
        <w:gridCol w:w="1384"/>
        <w:gridCol w:w="1394"/>
        <w:gridCol w:w="183"/>
        <w:gridCol w:w="1203"/>
        <w:gridCol w:w="699"/>
        <w:gridCol w:w="93"/>
        <w:gridCol w:w="602"/>
        <w:gridCol w:w="1385"/>
      </w:tblGrid>
      <w:tr>
        <w:tblPrEx>
          <w:tblCellMar>
            <w:top w:w="0" w:type="dxa"/>
            <w:left w:w="108" w:type="dxa"/>
            <w:bottom w:w="0" w:type="dxa"/>
            <w:right w:w="108" w:type="dxa"/>
          </w:tblCellMar>
        </w:tblPrEx>
        <w:trPr>
          <w:trHeight w:val="499"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供应商名称</w:t>
            </w:r>
          </w:p>
        </w:tc>
        <w:tc>
          <w:tcPr>
            <w:tcW w:w="7971"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549"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注册地址</w:t>
            </w:r>
          </w:p>
        </w:tc>
        <w:tc>
          <w:tcPr>
            <w:tcW w:w="398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99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邮政编码</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571"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联系方式</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联系人</w:t>
            </w:r>
          </w:p>
        </w:tc>
        <w:tc>
          <w:tcPr>
            <w:tcW w:w="296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99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电 话</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551"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传 真</w:t>
            </w:r>
          </w:p>
        </w:tc>
        <w:tc>
          <w:tcPr>
            <w:tcW w:w="296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99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网 址</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559"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组织结构</w:t>
            </w:r>
          </w:p>
        </w:tc>
        <w:tc>
          <w:tcPr>
            <w:tcW w:w="7971"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553"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法定代表人</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姓名</w:t>
            </w:r>
          </w:p>
        </w:tc>
        <w:tc>
          <w:tcPr>
            <w:tcW w:w="1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技术职称</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39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电话</w:t>
            </w:r>
          </w:p>
        </w:tc>
        <w:tc>
          <w:tcPr>
            <w:tcW w:w="13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561"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技术负责人</w:t>
            </w:r>
          </w:p>
        </w:tc>
        <w:tc>
          <w:tcPr>
            <w:tcW w:w="10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姓名</w:t>
            </w:r>
          </w:p>
        </w:tc>
        <w:tc>
          <w:tcPr>
            <w:tcW w:w="13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技术职称</w:t>
            </w:r>
          </w:p>
        </w:tc>
        <w:tc>
          <w:tcPr>
            <w:tcW w:w="138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39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电话</w:t>
            </w:r>
          </w:p>
        </w:tc>
        <w:tc>
          <w:tcPr>
            <w:tcW w:w="13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569"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成立时间</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555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员工总人数：</w:t>
            </w:r>
          </w:p>
        </w:tc>
      </w:tr>
      <w:tr>
        <w:tblPrEx>
          <w:tblCellMar>
            <w:top w:w="0" w:type="dxa"/>
            <w:left w:w="108" w:type="dxa"/>
            <w:bottom w:w="0" w:type="dxa"/>
            <w:right w:w="108" w:type="dxa"/>
          </w:tblCellMar>
        </w:tblPrEx>
        <w:trPr>
          <w:cantSplit/>
          <w:trHeight w:val="549"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企业资质等级</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39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其中</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项目经理</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cantSplit/>
          <w:trHeight w:val="557"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营业执照号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高级职称人员</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cantSplit/>
          <w:trHeight w:val="551"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注册资金</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中级职称人员</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cantSplit/>
          <w:trHeight w:val="559"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开户银行</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初级职称人员</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cantSplit/>
          <w:trHeight w:val="562"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账号</w:t>
            </w:r>
          </w:p>
        </w:tc>
        <w:tc>
          <w:tcPr>
            <w:tcW w:w="241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技 工</w:t>
            </w:r>
          </w:p>
        </w:tc>
        <w:tc>
          <w:tcPr>
            <w:tcW w:w="20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1466"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经营范围</w:t>
            </w:r>
          </w:p>
        </w:tc>
        <w:tc>
          <w:tcPr>
            <w:tcW w:w="7971"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p>
            <w:pPr>
              <w:autoSpaceDE w:val="0"/>
              <w:autoSpaceDN w:val="0"/>
              <w:adjustRightInd w:val="0"/>
              <w:jc w:val="center"/>
              <w:rPr>
                <w:rFonts w:ascii="宋体" w:hAnsi="宋体" w:cs="宋体"/>
                <w:kern w:val="0"/>
                <w:szCs w:val="21"/>
              </w:rPr>
            </w:pPr>
          </w:p>
          <w:p>
            <w:pPr>
              <w:autoSpaceDE w:val="0"/>
              <w:autoSpaceDN w:val="0"/>
              <w:adjustRightInd w:val="0"/>
              <w:jc w:val="center"/>
              <w:rPr>
                <w:rFonts w:ascii="宋体" w:hAnsi="宋体" w:cs="宋体"/>
                <w:kern w:val="0"/>
                <w:szCs w:val="21"/>
              </w:rPr>
            </w:pPr>
          </w:p>
        </w:tc>
      </w:tr>
      <w:tr>
        <w:tblPrEx>
          <w:tblCellMar>
            <w:top w:w="0" w:type="dxa"/>
            <w:left w:w="108" w:type="dxa"/>
            <w:bottom w:w="0" w:type="dxa"/>
            <w:right w:w="108" w:type="dxa"/>
          </w:tblCellMar>
        </w:tblPrEx>
        <w:trPr>
          <w:trHeight w:val="896" w:hRule="atLeast"/>
          <w:jc w:val="center"/>
        </w:trPr>
        <w:tc>
          <w:tcPr>
            <w:tcW w:w="19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备注</w:t>
            </w:r>
          </w:p>
        </w:tc>
        <w:tc>
          <w:tcPr>
            <w:tcW w:w="7971"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kern w:val="0"/>
                <w:szCs w:val="21"/>
              </w:rPr>
            </w:pPr>
          </w:p>
        </w:tc>
      </w:tr>
    </w:tbl>
    <w:p>
      <w:pPr>
        <w:ind w:firstLine="1080" w:firstLineChars="450"/>
        <w:jc w:val="left"/>
        <w:rPr>
          <w:rFonts w:ascii="宋体" w:hAnsi="宋体" w:cs="宋体"/>
          <w:sz w:val="24"/>
        </w:rPr>
      </w:pPr>
      <w:r>
        <w:rPr>
          <w:rFonts w:hint="eastAsia" w:ascii="宋体" w:hAnsi="宋体" w:cs="宋体"/>
          <w:sz w:val="24"/>
        </w:rPr>
        <w:t>附：相关相应资料，（附原件彩色扫描件、原件备查随投标文件一同递交）。</w:t>
      </w:r>
    </w:p>
    <w:p>
      <w:pPr>
        <w:ind w:firstLine="1446" w:firstLineChars="450"/>
        <w:jc w:val="left"/>
        <w:rPr>
          <w:rFonts w:ascii="宋体" w:hAnsi="宋体" w:cs="宋体"/>
          <w:b/>
          <w:bCs/>
          <w:sz w:val="32"/>
          <w:szCs w:val="32"/>
        </w:rPr>
      </w:pPr>
    </w:p>
    <w:p>
      <w:pPr>
        <w:ind w:firstLine="1446" w:firstLineChars="450"/>
        <w:jc w:val="left"/>
        <w:rPr>
          <w:rFonts w:ascii="宋体" w:hAnsi="宋体" w:cs="宋体"/>
          <w:b/>
          <w:bCs/>
          <w:sz w:val="32"/>
          <w:szCs w:val="32"/>
        </w:rPr>
      </w:pPr>
    </w:p>
    <w:p>
      <w:pPr>
        <w:pStyle w:val="2"/>
        <w:numPr>
          <w:ilvl w:val="0"/>
          <w:numId w:val="6"/>
        </w:numPr>
      </w:pPr>
      <w:bookmarkStart w:id="730" w:name="_Toc22766"/>
      <w:bookmarkStart w:id="731" w:name="_Toc24639_WPSOffice_Level2"/>
      <w:r>
        <w:rPr>
          <w:rFonts w:hint="eastAsia"/>
        </w:rPr>
        <w:t>财务状况报告及依法缴纳税收和社会保障资金的相关材料</w:t>
      </w:r>
      <w:bookmarkEnd w:id="730"/>
      <w:bookmarkEnd w:id="731"/>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1、经第三方机构出具</w:t>
      </w:r>
      <w:r>
        <w:rPr>
          <w:rFonts w:hint="eastAsia" w:ascii="宋体" w:hAnsi="宋体"/>
          <w:color w:val="000000" w:themeColor="text1"/>
          <w:sz w:val="24"/>
        </w:rPr>
        <w:t>的2019年度完整财务状况审计报告，</w:t>
      </w:r>
      <w:r>
        <w:rPr>
          <w:rFonts w:hint="eastAsia" w:ascii="宋体" w:hAnsi="宋体"/>
          <w:sz w:val="24"/>
        </w:rPr>
        <w:t>包括资产负债表、现金流量表、利润表和财务情况说明书。扫描（或复印）件应全面、完整、清晰；或提供近三个月</w:t>
      </w:r>
      <w:r>
        <w:rPr>
          <w:rFonts w:hint="eastAsia" w:ascii="宋体" w:hAnsi="宋体" w:cs="宋体"/>
          <w:kern w:val="0"/>
          <w:sz w:val="24"/>
          <w:lang w:val="zh-CN"/>
        </w:rPr>
        <w:t>基本开户银行出具的资信证明（同时提供基本存款账户开户许可证）</w:t>
      </w:r>
      <w:r>
        <w:rPr>
          <w:rFonts w:hint="eastAsia" w:ascii="宋体" w:hAnsi="宋体"/>
          <w:sz w:val="24"/>
        </w:rPr>
        <w:t>。</w:t>
      </w:r>
    </w:p>
    <w:p>
      <w:pPr>
        <w:autoSpaceDE w:val="0"/>
        <w:autoSpaceDN w:val="0"/>
        <w:adjustRightInd w:val="0"/>
        <w:spacing w:line="360" w:lineRule="auto"/>
        <w:ind w:firstLine="480" w:firstLineChars="200"/>
        <w:jc w:val="left"/>
        <w:rPr>
          <w:sz w:val="24"/>
        </w:rPr>
      </w:pPr>
      <w:r>
        <w:rPr>
          <w:rFonts w:hint="eastAsia" w:ascii="宋体" w:hAnsi="宋体"/>
          <w:sz w:val="24"/>
        </w:rPr>
        <w:t>2、近半年内连续3个月</w:t>
      </w:r>
      <w:r>
        <w:rPr>
          <w:rFonts w:hint="eastAsia"/>
          <w:sz w:val="24"/>
        </w:rPr>
        <w:t>依法缴纳税收和社会保障资金记录的证明材料。</w:t>
      </w:r>
    </w:p>
    <w:p>
      <w:pPr>
        <w:autoSpaceDE w:val="0"/>
        <w:autoSpaceDN w:val="0"/>
        <w:adjustRightInd w:val="0"/>
        <w:spacing w:line="360" w:lineRule="auto"/>
        <w:ind w:firstLine="480" w:firstLineChars="200"/>
        <w:jc w:val="left"/>
        <w:rPr>
          <w:rFonts w:ascii="TimesNewRomanPSMT" w:hAnsi="TimesNewRomanPSMT" w:cs="TimesNewRomanPSMT"/>
          <w:kern w:val="0"/>
          <w:sz w:val="18"/>
          <w:szCs w:val="18"/>
        </w:rPr>
      </w:pPr>
      <w:r>
        <w:rPr>
          <w:rFonts w:hint="eastAsia" w:ascii="宋体" w:hAnsi="Cambria" w:cs="宋体"/>
          <w:kern w:val="0"/>
          <w:sz w:val="24"/>
          <w:lang w:val="zh-CN"/>
        </w:rPr>
        <w:t>3、新注册企业未满一年的提供第三方出具的验资报告；</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pPr>
      <w:bookmarkStart w:id="732" w:name="_Toc27569_WPSOffice_Level2"/>
      <w:bookmarkStart w:id="733" w:name="_Toc357004118"/>
      <w:bookmarkStart w:id="734" w:name="_Toc29084"/>
      <w:r>
        <w:rPr>
          <w:rFonts w:hint="eastAsia"/>
        </w:rPr>
        <w:t>（三）完成的类似项目情况表</w:t>
      </w:r>
      <w:bookmarkEnd w:id="732"/>
      <w:bookmarkEnd w:id="733"/>
      <w:bookmarkEnd w:id="734"/>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6"/>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项目所在地</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发包人名称</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发包人地址</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发包人电话</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合同价格</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开工日期</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竣工日期</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承担的工作</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工程质量</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项目经理</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技术负责人</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总监理工程师及电话</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项目描述</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p>
            <w:pPr>
              <w:autoSpaceDE w:val="0"/>
              <w:autoSpaceDN w:val="0"/>
              <w:adjustRightInd w:val="0"/>
              <w:rPr>
                <w:rFonts w:asciiTheme="minorEastAsia" w:hAnsiTheme="minorEastAsia" w:eastAsiaTheme="minorEastAsia" w:cstheme="minorEastAsia"/>
                <w:kern w:val="0"/>
                <w:szCs w:val="21"/>
              </w:rPr>
            </w:pPr>
          </w:p>
          <w:p>
            <w:pPr>
              <w:autoSpaceDE w:val="0"/>
              <w:autoSpaceDN w:val="0"/>
              <w:adjustRightInd w:val="0"/>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3406" w:type="dxa"/>
            <w:vAlign w:val="center"/>
          </w:tcPr>
          <w:p>
            <w:pPr>
              <w:autoSpaceDE w:val="0"/>
              <w:autoSpaceDN w:val="0"/>
              <w:adjustRightIn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c>
          <w:tcPr>
            <w:tcW w:w="6556" w:type="dxa"/>
            <w:vAlign w:val="center"/>
          </w:tcPr>
          <w:p>
            <w:pPr>
              <w:autoSpaceDE w:val="0"/>
              <w:autoSpaceDN w:val="0"/>
              <w:adjustRightInd w:val="0"/>
              <w:jc w:val="center"/>
              <w:rPr>
                <w:rFonts w:asciiTheme="minorEastAsia" w:hAnsiTheme="minorEastAsia" w:eastAsiaTheme="minorEastAsia" w:cstheme="minorEastAsia"/>
                <w:kern w:val="0"/>
                <w:szCs w:val="21"/>
              </w:rPr>
            </w:pPr>
          </w:p>
        </w:tc>
      </w:tr>
    </w:tbl>
    <w:p>
      <w:pPr>
        <w:ind w:firstLine="480"/>
      </w:pPr>
    </w:p>
    <w:p>
      <w:pPr>
        <w:ind w:firstLine="480"/>
      </w:pPr>
    </w:p>
    <w:p>
      <w:pPr>
        <w:ind w:firstLine="480"/>
      </w:pPr>
    </w:p>
    <w:p>
      <w:pPr>
        <w:ind w:firstLine="480"/>
      </w:pPr>
    </w:p>
    <w:p>
      <w:pPr>
        <w:ind w:firstLine="480"/>
      </w:pPr>
    </w:p>
    <w:p>
      <w:pPr>
        <w:pStyle w:val="2"/>
      </w:pPr>
      <w:bookmarkStart w:id="735" w:name="_Toc357004119"/>
      <w:bookmarkStart w:id="736" w:name="_Toc30496"/>
      <w:bookmarkStart w:id="737" w:name="_Toc8855_WPSOffice_Level2"/>
      <w:r>
        <w:rPr>
          <w:rFonts w:hint="eastAsia"/>
        </w:rPr>
        <w:t>（四）正在施工的和新承接的项目情况表</w:t>
      </w:r>
      <w:bookmarkEnd w:id="735"/>
      <w:bookmarkEnd w:id="736"/>
      <w:bookmarkEnd w:id="737"/>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3"/>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项目名称</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项目所在地</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发包人名称</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发包人地址</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发包人电话</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签约合同价</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开工日期</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计划竣工日期</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承担的工作</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工程质量</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项目经理</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技术负责人</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总监理工程师及电话</w:t>
            </w:r>
          </w:p>
        </w:tc>
        <w:tc>
          <w:tcPr>
            <w:tcW w:w="6549" w:type="dxa"/>
            <w:vAlign w:val="center"/>
          </w:tcPr>
          <w:p>
            <w:pPr>
              <w:autoSpaceDE w:val="0"/>
              <w:autoSpaceDN w:val="0"/>
              <w:adjustRightInd w:val="0"/>
              <w:ind w:left="105" w:lef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项目描述</w:t>
            </w:r>
          </w:p>
        </w:tc>
        <w:tc>
          <w:tcPr>
            <w:tcW w:w="6549" w:type="dxa"/>
            <w:vAlign w:val="center"/>
          </w:tcPr>
          <w:p>
            <w:pPr>
              <w:autoSpaceDE w:val="0"/>
              <w:autoSpaceDN w:val="0"/>
              <w:adjustRightInd w:val="0"/>
              <w:rPr>
                <w:rFonts w:ascii="宋体" w:hAnsi="宋体" w:cs="宋体"/>
                <w:kern w:val="0"/>
                <w:szCs w:val="21"/>
              </w:rPr>
            </w:pPr>
          </w:p>
          <w:p>
            <w:pPr>
              <w:autoSpaceDE w:val="0"/>
              <w:autoSpaceDN w:val="0"/>
              <w:adjustRightInd w:val="0"/>
              <w:ind w:left="105" w:leftChars="50"/>
              <w:jc w:val="center"/>
              <w:rPr>
                <w:rFonts w:ascii="宋体" w:hAnsi="宋体" w:cs="宋体"/>
                <w:kern w:val="0"/>
                <w:szCs w:val="21"/>
              </w:rPr>
            </w:pPr>
          </w:p>
          <w:p>
            <w:pPr>
              <w:autoSpaceDE w:val="0"/>
              <w:autoSpaceDN w:val="0"/>
              <w:adjustRightIn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413" w:type="dxa"/>
            <w:vAlign w:val="center"/>
          </w:tcPr>
          <w:p>
            <w:pPr>
              <w:autoSpaceDE w:val="0"/>
              <w:autoSpaceDN w:val="0"/>
              <w:adjustRightInd w:val="0"/>
              <w:ind w:left="105" w:leftChars="50"/>
              <w:jc w:val="center"/>
              <w:rPr>
                <w:rFonts w:ascii="宋体" w:hAnsi="宋体" w:cs="宋体"/>
                <w:kern w:val="0"/>
                <w:szCs w:val="21"/>
              </w:rPr>
            </w:pPr>
            <w:r>
              <w:rPr>
                <w:rFonts w:hint="eastAsia" w:ascii="宋体" w:hAnsi="宋体" w:cs="宋体"/>
                <w:kern w:val="0"/>
                <w:szCs w:val="21"/>
              </w:rPr>
              <w:t>备注</w:t>
            </w:r>
          </w:p>
        </w:tc>
        <w:tc>
          <w:tcPr>
            <w:tcW w:w="6549" w:type="dxa"/>
            <w:vAlign w:val="center"/>
          </w:tcPr>
          <w:p>
            <w:pPr>
              <w:autoSpaceDE w:val="0"/>
              <w:autoSpaceDN w:val="0"/>
              <w:adjustRightInd w:val="0"/>
              <w:ind w:left="105" w:leftChars="50"/>
              <w:jc w:val="center"/>
              <w:rPr>
                <w:rFonts w:ascii="宋体" w:hAnsi="宋体" w:cs="宋体"/>
                <w:kern w:val="0"/>
                <w:szCs w:val="21"/>
              </w:rPr>
            </w:pPr>
          </w:p>
        </w:tc>
      </w:tr>
    </w:tbl>
    <w:p>
      <w:pPr>
        <w:ind w:firstLine="480"/>
      </w:pPr>
    </w:p>
    <w:p>
      <w:pPr>
        <w:ind w:firstLine="480"/>
      </w:pPr>
    </w:p>
    <w:p>
      <w:pPr>
        <w:ind w:firstLine="480"/>
      </w:pPr>
    </w:p>
    <w:p>
      <w:pPr>
        <w:ind w:firstLine="480"/>
      </w:pPr>
    </w:p>
    <w:p>
      <w:pPr>
        <w:pStyle w:val="2"/>
      </w:pPr>
      <w:bookmarkStart w:id="738" w:name="_Toc201287672"/>
      <w:bookmarkStart w:id="739" w:name="_Toc27810_WPSOffice_Level2"/>
      <w:bookmarkStart w:id="740" w:name="_Toc357004120"/>
      <w:bookmarkStart w:id="741" w:name="_Toc22940"/>
      <w:r>
        <w:rPr>
          <w:rFonts w:hint="eastAsia"/>
        </w:rPr>
        <w:t>（五）</w:t>
      </w:r>
      <w:bookmarkEnd w:id="738"/>
      <w:r>
        <w:rPr>
          <w:rFonts w:hint="eastAsia"/>
        </w:rPr>
        <w:t>其他资格审查资料</w:t>
      </w:r>
      <w:bookmarkEnd w:id="739"/>
      <w:bookmarkEnd w:id="740"/>
      <w:bookmarkEnd w:id="741"/>
    </w:p>
    <w:p>
      <w:pPr>
        <w:autoSpaceDE w:val="0"/>
        <w:autoSpaceDN w:val="0"/>
        <w:adjustRightInd w:val="0"/>
        <w:ind w:firstLine="480"/>
        <w:jc w:val="left"/>
        <w:rPr>
          <w:rFonts w:ascii="宋体" w:hAnsi="宋体" w:cs="宋体"/>
          <w:kern w:val="0"/>
        </w:rPr>
      </w:pPr>
      <w:r>
        <w:rPr>
          <w:rFonts w:hint="eastAsia" w:ascii="宋体" w:hAnsi="宋体" w:cs="宋体"/>
          <w:kern w:val="0"/>
        </w:rPr>
        <w:t xml:space="preserve">  1、进青备案登记证明（指外地进青企业）等方面的相关资料彩色复印（或彩色扫描）件；</w:t>
      </w:r>
    </w:p>
    <w:p>
      <w:pPr>
        <w:ind w:firstLine="480"/>
      </w:pPr>
    </w:p>
    <w:p>
      <w:pPr>
        <w:widowControl/>
        <w:snapToGrid w:val="0"/>
        <w:spacing w:line="360" w:lineRule="auto"/>
        <w:outlineLvl w:val="1"/>
        <w:rPr>
          <w:rFonts w:ascii="宋体" w:hAnsi="宋体" w:cs="宋体"/>
          <w:b/>
          <w:sz w:val="28"/>
          <w:szCs w:val="28"/>
        </w:rPr>
      </w:pPr>
      <w:bookmarkStart w:id="742" w:name="_Toc458079958"/>
      <w:r>
        <w:rPr>
          <w:rFonts w:hint="eastAsia" w:ascii="宋体" w:hAnsi="宋体" w:cs="宋体"/>
          <w:b/>
          <w:sz w:val="28"/>
          <w:szCs w:val="28"/>
        </w:rPr>
        <w:br w:type="page"/>
      </w:r>
      <w:bookmarkStart w:id="743" w:name="_Toc5372"/>
      <w:bookmarkStart w:id="744" w:name="_Toc29692"/>
      <w:bookmarkStart w:id="745" w:name="_Toc5262"/>
      <w:bookmarkStart w:id="746" w:name="_Toc4860_WPSOffice_Level2"/>
      <w:bookmarkStart w:id="747" w:name="_Toc676"/>
      <w:r>
        <w:rPr>
          <w:rStyle w:val="41"/>
          <w:rFonts w:hint="eastAsia"/>
        </w:rPr>
        <w:t>附件11：磋商保证金</w:t>
      </w:r>
      <w:bookmarkEnd w:id="742"/>
      <w:bookmarkEnd w:id="743"/>
      <w:bookmarkEnd w:id="744"/>
      <w:bookmarkEnd w:id="745"/>
      <w:bookmarkEnd w:id="746"/>
      <w:bookmarkEnd w:id="747"/>
    </w:p>
    <w:p>
      <w:pPr>
        <w:ind w:firstLine="480"/>
      </w:pPr>
    </w:p>
    <w:p>
      <w:pPr>
        <w:jc w:val="center"/>
        <w:rPr>
          <w:rFonts w:ascii="宋体" w:hAnsi="宋体" w:cs="宋体"/>
          <w:b/>
          <w:sz w:val="36"/>
          <w:szCs w:val="36"/>
        </w:rPr>
      </w:pPr>
      <w:r>
        <w:rPr>
          <w:rFonts w:hint="eastAsia" w:ascii="宋体" w:hAnsi="宋体" w:cs="宋体"/>
          <w:b/>
          <w:sz w:val="36"/>
          <w:szCs w:val="36"/>
        </w:rPr>
        <w:t>磋商保证金</w:t>
      </w:r>
    </w:p>
    <w:p>
      <w:pPr>
        <w:ind w:firstLine="2367" w:firstLineChars="655"/>
        <w:rPr>
          <w:rFonts w:ascii="宋体" w:hAnsi="宋体" w:cs="宋体"/>
          <w:b/>
          <w:sz w:val="36"/>
          <w:szCs w:val="36"/>
        </w:rPr>
      </w:pPr>
    </w:p>
    <w:p>
      <w:pPr>
        <w:tabs>
          <w:tab w:val="left" w:pos="168"/>
        </w:tabs>
        <w:adjustRightInd w:val="0"/>
        <w:spacing w:line="560" w:lineRule="exact"/>
        <w:ind w:firstLine="516" w:firstLineChars="246"/>
        <w:textAlignment w:val="baseline"/>
        <w:rPr>
          <w:rFonts w:ascii="宋体" w:hAnsi="宋体" w:cs="宋体"/>
          <w:bCs/>
        </w:rPr>
      </w:pPr>
      <w:r>
        <w:rPr>
          <w:rFonts w:hint="eastAsia" w:ascii="宋体" w:hAnsi="宋体" w:cs="宋体"/>
          <w:bCs/>
        </w:rPr>
        <w:t>将银行开具的针对本项目投标的磋商保证金交款证明扫描（或复印）件粘贴后加盖公章。并附投标单位基本开户行复印件（加盖公章）。</w:t>
      </w:r>
    </w:p>
    <w:p>
      <w:pPr>
        <w:spacing w:line="560" w:lineRule="exact"/>
        <w:rPr>
          <w:rFonts w:ascii="宋体" w:hAnsi="宋体" w:cs="宋体"/>
        </w:rPr>
      </w:pPr>
    </w:p>
    <w:p>
      <w:pPr>
        <w:rPr>
          <w:rFonts w:ascii="宋体" w:hAnsi="宋体" w:cs="宋体"/>
        </w:rPr>
      </w:pPr>
    </w:p>
    <w:p>
      <w:pPr>
        <w:tabs>
          <w:tab w:val="left" w:pos="168"/>
        </w:tabs>
        <w:adjustRightInd w:val="0"/>
        <w:textAlignment w:val="baseline"/>
        <w:rPr>
          <w:rFonts w:ascii="宋体" w:hAnsi="宋体" w:cs="宋体"/>
        </w:rPr>
      </w:pPr>
    </w:p>
    <w:p>
      <w:pPr>
        <w:widowControl/>
        <w:snapToGrid w:val="0"/>
        <w:spacing w:line="360" w:lineRule="auto"/>
        <w:outlineLvl w:val="1"/>
        <w:rPr>
          <w:rFonts w:ascii="宋体" w:hAnsi="宋体" w:cs="宋体"/>
          <w:b/>
          <w:sz w:val="28"/>
          <w:szCs w:val="28"/>
        </w:rPr>
      </w:pPr>
      <w:bookmarkStart w:id="748" w:name="_Toc416363470"/>
      <w:bookmarkStart w:id="749" w:name="_Toc458079959"/>
      <w:r>
        <w:rPr>
          <w:rFonts w:hint="eastAsia" w:ascii="宋体" w:hAnsi="宋体" w:cs="宋体"/>
          <w:b/>
          <w:sz w:val="28"/>
          <w:szCs w:val="28"/>
        </w:rPr>
        <w:br w:type="page"/>
      </w:r>
      <w:bookmarkStart w:id="750" w:name="_Toc14847"/>
      <w:bookmarkStart w:id="751" w:name="_Toc24687_WPSOffice_Level2"/>
      <w:bookmarkStart w:id="752" w:name="_Toc16532"/>
      <w:bookmarkStart w:id="753" w:name="_Toc20118"/>
      <w:bookmarkStart w:id="754" w:name="_Toc21347"/>
      <w:r>
        <w:rPr>
          <w:rStyle w:val="41"/>
          <w:rFonts w:hint="eastAsia"/>
        </w:rPr>
        <w:t>附件12：</w:t>
      </w:r>
      <w:bookmarkEnd w:id="748"/>
      <w:r>
        <w:rPr>
          <w:rStyle w:val="41"/>
          <w:rFonts w:hint="eastAsia"/>
        </w:rPr>
        <w:t>磋商最终报价表</w:t>
      </w:r>
      <w:bookmarkEnd w:id="749"/>
      <w:bookmarkEnd w:id="750"/>
      <w:bookmarkEnd w:id="751"/>
      <w:bookmarkEnd w:id="752"/>
      <w:bookmarkEnd w:id="753"/>
      <w:bookmarkEnd w:id="754"/>
    </w:p>
    <w:p>
      <w:pPr>
        <w:ind w:firstLine="2367" w:firstLineChars="655"/>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磋商最终报价</w:t>
      </w:r>
    </w:p>
    <w:p>
      <w:pPr>
        <w:spacing w:line="240" w:lineRule="atLeast"/>
        <w:jc w:val="left"/>
        <w:rPr>
          <w:rFonts w:ascii="宋体" w:hAnsi="宋体" w:cs="宋体"/>
          <w:b/>
          <w:sz w:val="28"/>
          <w:szCs w:val="28"/>
        </w:rPr>
      </w:pPr>
      <w:bookmarkStart w:id="755" w:name="_Toc16092_WPSOffice_Level2"/>
      <w:r>
        <w:rPr>
          <w:rFonts w:hint="eastAsia" w:ascii="宋体" w:hAnsi="宋体" w:cs="宋体"/>
          <w:b/>
          <w:sz w:val="28"/>
          <w:szCs w:val="28"/>
        </w:rPr>
        <w:t>供应商名称：</w:t>
      </w:r>
      <w:bookmarkEnd w:id="755"/>
      <w:r>
        <w:rPr>
          <w:rFonts w:hint="eastAsia" w:ascii="宋体" w:hAnsi="宋体" w:cs="宋体"/>
          <w:b/>
          <w:sz w:val="28"/>
          <w:szCs w:val="28"/>
        </w:rPr>
        <w:t xml:space="preserve">                                         </w:t>
      </w:r>
    </w:p>
    <w:p>
      <w:pPr>
        <w:spacing w:line="240" w:lineRule="atLeast"/>
        <w:jc w:val="left"/>
        <w:rPr>
          <w:rFonts w:ascii="宋体" w:hAnsi="宋体" w:cs="宋体"/>
          <w:b/>
          <w:sz w:val="28"/>
          <w:szCs w:val="28"/>
        </w:rPr>
      </w:pPr>
      <w:r>
        <w:rPr>
          <w:rFonts w:hint="eastAsia" w:ascii="宋体" w:hAnsi="宋体" w:cs="宋体"/>
        </w:rPr>
        <w:t>单位：元</w:t>
      </w:r>
    </w:p>
    <w:tbl>
      <w:tblPr>
        <w:tblStyle w:val="25"/>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804"/>
        <w:gridCol w:w="1804"/>
        <w:gridCol w:w="1804"/>
        <w:gridCol w:w="1804"/>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940" w:type="dxa"/>
            <w:vAlign w:val="center"/>
          </w:tcPr>
          <w:p>
            <w:pPr>
              <w:jc w:val="center"/>
              <w:rPr>
                <w:rFonts w:ascii="宋体" w:hAnsi="宋体" w:cs="宋体"/>
                <w:bCs/>
              </w:rPr>
            </w:pPr>
            <w:r>
              <w:rPr>
                <w:rFonts w:hint="eastAsia" w:ascii="宋体" w:hAnsi="宋体" w:cs="宋体"/>
                <w:bCs/>
              </w:rPr>
              <w:t>序号</w:t>
            </w:r>
          </w:p>
        </w:tc>
        <w:tc>
          <w:tcPr>
            <w:tcW w:w="1804" w:type="dxa"/>
            <w:vAlign w:val="center"/>
          </w:tcPr>
          <w:p>
            <w:pPr>
              <w:jc w:val="center"/>
              <w:rPr>
                <w:rFonts w:ascii="宋体" w:hAnsi="宋体" w:cs="宋体"/>
                <w:bCs/>
              </w:rPr>
            </w:pPr>
            <w:r>
              <w:rPr>
                <w:rFonts w:hint="eastAsia" w:ascii="宋体" w:hAnsi="宋体" w:cs="宋体"/>
                <w:bCs/>
              </w:rPr>
              <w:t>最初报价</w:t>
            </w:r>
          </w:p>
        </w:tc>
        <w:tc>
          <w:tcPr>
            <w:tcW w:w="1804" w:type="dxa"/>
            <w:vAlign w:val="center"/>
          </w:tcPr>
          <w:p>
            <w:pPr>
              <w:jc w:val="center"/>
              <w:rPr>
                <w:rFonts w:ascii="宋体" w:hAnsi="宋体" w:cs="宋体"/>
                <w:bCs/>
              </w:rPr>
            </w:pPr>
            <w:r>
              <w:rPr>
                <w:rFonts w:hint="eastAsia" w:ascii="宋体" w:hAnsi="宋体" w:cs="宋体"/>
                <w:bCs/>
              </w:rPr>
              <w:t>调整因素</w:t>
            </w:r>
          </w:p>
        </w:tc>
        <w:tc>
          <w:tcPr>
            <w:tcW w:w="1804" w:type="dxa"/>
            <w:vAlign w:val="center"/>
          </w:tcPr>
          <w:p>
            <w:pPr>
              <w:jc w:val="center"/>
              <w:rPr>
                <w:rFonts w:ascii="宋体" w:hAnsi="宋体" w:cs="宋体"/>
                <w:bCs/>
              </w:rPr>
            </w:pPr>
            <w:r>
              <w:rPr>
                <w:rFonts w:hint="eastAsia" w:ascii="宋体" w:hAnsi="宋体" w:cs="宋体"/>
                <w:bCs/>
              </w:rPr>
              <w:t>最终报价</w:t>
            </w:r>
          </w:p>
        </w:tc>
        <w:tc>
          <w:tcPr>
            <w:tcW w:w="1804" w:type="dxa"/>
            <w:vAlign w:val="center"/>
          </w:tcPr>
          <w:p>
            <w:pPr>
              <w:jc w:val="center"/>
              <w:rPr>
                <w:rFonts w:ascii="宋体" w:hAnsi="宋体" w:cs="宋体"/>
                <w:bCs/>
              </w:rPr>
            </w:pPr>
            <w:r>
              <w:rPr>
                <w:rFonts w:hint="eastAsia" w:ascii="宋体" w:hAnsi="宋体" w:cs="宋体"/>
                <w:bCs/>
              </w:rPr>
              <w:t>工程质量</w:t>
            </w:r>
          </w:p>
        </w:tc>
        <w:tc>
          <w:tcPr>
            <w:tcW w:w="1806" w:type="dxa"/>
            <w:vAlign w:val="center"/>
          </w:tcPr>
          <w:p>
            <w:pPr>
              <w:jc w:val="center"/>
              <w:rPr>
                <w:rFonts w:ascii="宋体" w:hAnsi="宋体" w:cs="宋体"/>
                <w:bCs/>
              </w:rPr>
            </w:pPr>
            <w:r>
              <w:rPr>
                <w:rFonts w:hint="eastAsia" w:ascii="宋体" w:hAnsi="宋体" w:cs="宋体"/>
                <w:bCs/>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940" w:type="dxa"/>
          </w:tcPr>
          <w:p>
            <w:pPr>
              <w:rPr>
                <w:rFonts w:ascii="宋体" w:hAnsi="宋体" w:cs="宋体"/>
              </w:rPr>
            </w:pPr>
          </w:p>
        </w:tc>
        <w:tc>
          <w:tcPr>
            <w:tcW w:w="1804" w:type="dxa"/>
          </w:tcPr>
          <w:p>
            <w:pPr>
              <w:rPr>
                <w:rFonts w:ascii="宋体" w:hAnsi="宋体" w:cs="宋体"/>
              </w:rPr>
            </w:pPr>
          </w:p>
        </w:tc>
        <w:tc>
          <w:tcPr>
            <w:tcW w:w="1804" w:type="dxa"/>
          </w:tcPr>
          <w:p>
            <w:pPr>
              <w:rPr>
                <w:rFonts w:ascii="宋体" w:hAnsi="宋体" w:cs="宋体"/>
              </w:rPr>
            </w:pPr>
          </w:p>
        </w:tc>
        <w:tc>
          <w:tcPr>
            <w:tcW w:w="1804" w:type="dxa"/>
          </w:tcPr>
          <w:p>
            <w:pPr>
              <w:rPr>
                <w:rFonts w:ascii="宋体" w:hAnsi="宋体" w:cs="宋体"/>
              </w:rPr>
            </w:pPr>
          </w:p>
        </w:tc>
        <w:tc>
          <w:tcPr>
            <w:tcW w:w="1804" w:type="dxa"/>
          </w:tcPr>
          <w:p>
            <w:pPr>
              <w:rPr>
                <w:rFonts w:ascii="宋体" w:hAnsi="宋体" w:cs="宋体"/>
              </w:rPr>
            </w:pPr>
          </w:p>
        </w:tc>
        <w:tc>
          <w:tcPr>
            <w:tcW w:w="1806"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962" w:type="dxa"/>
            <w:gridSpan w:val="6"/>
            <w:vAlign w:val="center"/>
          </w:tcPr>
          <w:p>
            <w:pPr>
              <w:rPr>
                <w:rFonts w:ascii="宋体" w:hAnsi="宋体" w:cs="宋体"/>
              </w:rPr>
            </w:pPr>
            <w:r>
              <w:rPr>
                <w:rFonts w:hint="eastAsia" w:ascii="宋体" w:hAnsi="宋体" w:cs="宋体"/>
              </w:rPr>
              <w:t>最终报价（大写）：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jc w:val="center"/>
        </w:trPr>
        <w:tc>
          <w:tcPr>
            <w:tcW w:w="9962" w:type="dxa"/>
            <w:gridSpan w:val="6"/>
          </w:tcPr>
          <w:p>
            <w:pPr>
              <w:rPr>
                <w:rFonts w:ascii="宋体" w:hAnsi="宋体" w:cs="宋体"/>
              </w:rPr>
            </w:pPr>
            <w:r>
              <w:rPr>
                <w:rFonts w:hint="eastAsia" w:ascii="宋体" w:hAnsi="宋体" w:cs="宋体"/>
              </w:rPr>
              <w:t>最终确定的质量保证及服务承诺（优惠条件）：</w:t>
            </w:r>
          </w:p>
        </w:tc>
      </w:tr>
    </w:tbl>
    <w:p>
      <w:pPr>
        <w:spacing w:line="240" w:lineRule="atLeast"/>
        <w:rPr>
          <w:rFonts w:ascii="宋体" w:hAnsi="宋体" w:cs="宋体"/>
        </w:rPr>
      </w:pPr>
      <w:r>
        <w:rPr>
          <w:rFonts w:hint="eastAsia" w:ascii="宋体" w:hAnsi="宋体" w:cs="宋体"/>
          <w:b/>
        </w:rPr>
        <w:t xml:space="preserve">                                              </w:t>
      </w:r>
    </w:p>
    <w:p>
      <w:pPr>
        <w:ind w:firstLine="308" w:firstLineChars="147"/>
        <w:jc w:val="left"/>
        <w:rPr>
          <w:rFonts w:ascii="宋体" w:hAnsi="宋体" w:cs="宋体"/>
        </w:rPr>
      </w:pPr>
      <w:r>
        <w:rPr>
          <w:rFonts w:hint="eastAsia" w:ascii="宋体" w:hAnsi="宋体" w:cs="宋体"/>
        </w:rPr>
        <w:t>注：1、在磋商过程中，磋商最后报价与首次报价的价格发生的浮动比例，在项目签订合同时对首次报价单价的基础上进行同比例浮动，作为签订合同的最终单价。</w:t>
      </w:r>
    </w:p>
    <w:p>
      <w:pPr>
        <w:ind w:firstLine="728" w:firstLineChars="347"/>
        <w:jc w:val="left"/>
        <w:rPr>
          <w:rFonts w:ascii="宋体" w:hAnsi="宋体" w:cs="宋体"/>
        </w:rPr>
      </w:pPr>
      <w:r>
        <w:rPr>
          <w:rFonts w:hint="eastAsia" w:ascii="宋体" w:hAnsi="宋体" w:cs="宋体"/>
        </w:rPr>
        <w:t>2、此表不需装订在响应文件中，供应商事先须盖章、签字（未签字盖章为无效报价），在磋商期间，由磋商小组确定合格的供应商现场填写。</w:t>
      </w:r>
    </w:p>
    <w:p>
      <w:pPr>
        <w:ind w:firstLine="308" w:firstLineChars="147"/>
        <w:jc w:val="left"/>
        <w:rPr>
          <w:rFonts w:ascii="宋体" w:hAnsi="宋体" w:cs="宋体"/>
        </w:rPr>
      </w:pPr>
    </w:p>
    <w:p>
      <w:pPr>
        <w:tabs>
          <w:tab w:val="left" w:pos="168"/>
        </w:tabs>
        <w:adjustRightInd w:val="0"/>
        <w:textAlignment w:val="baseline"/>
        <w:rPr>
          <w:rFonts w:ascii="宋体" w:hAnsi="宋体" w:cs="宋体"/>
          <w:b/>
          <w:bCs/>
          <w:sz w:val="28"/>
        </w:rPr>
      </w:pPr>
    </w:p>
    <w:p>
      <w:pPr>
        <w:tabs>
          <w:tab w:val="left" w:pos="168"/>
        </w:tabs>
        <w:adjustRightInd w:val="0"/>
        <w:textAlignment w:val="baseline"/>
        <w:rPr>
          <w:rFonts w:ascii="宋体" w:hAnsi="宋体" w:cs="宋体"/>
          <w:b/>
          <w:bCs/>
          <w:sz w:val="28"/>
        </w:rPr>
      </w:pPr>
    </w:p>
    <w:p>
      <w:pPr>
        <w:tabs>
          <w:tab w:val="left" w:pos="168"/>
        </w:tabs>
        <w:adjustRightInd w:val="0"/>
        <w:textAlignment w:val="baseline"/>
        <w:rPr>
          <w:rFonts w:ascii="宋体" w:hAnsi="宋体" w:cs="宋体"/>
          <w:b/>
          <w:bCs/>
          <w:sz w:val="28"/>
        </w:rPr>
      </w:pPr>
    </w:p>
    <w:p>
      <w:pPr>
        <w:tabs>
          <w:tab w:val="left" w:pos="168"/>
        </w:tabs>
        <w:adjustRightInd w:val="0"/>
        <w:textAlignment w:val="baseline"/>
        <w:rPr>
          <w:rFonts w:ascii="宋体" w:hAnsi="宋体" w:cs="宋体"/>
          <w:b/>
          <w:bCs/>
          <w:sz w:val="28"/>
        </w:rPr>
      </w:pPr>
      <w:r>
        <w:rPr>
          <w:rFonts w:hint="eastAsia" w:ascii="宋体" w:hAnsi="宋体" w:cs="宋体"/>
          <w:b/>
          <w:bCs/>
          <w:sz w:val="28"/>
        </w:rPr>
        <w:t xml:space="preserve"> </w:t>
      </w:r>
    </w:p>
    <w:p>
      <w:pPr>
        <w:jc w:val="right"/>
        <w:rPr>
          <w:rFonts w:ascii="宋体" w:hAnsi="宋体" w:cs="宋体"/>
          <w:b/>
        </w:rPr>
      </w:pPr>
      <w:bookmarkStart w:id="756" w:name="_Toc15973_WPSOffice_Level2"/>
      <w:bookmarkStart w:id="757" w:name="_Toc3271_WPSOffice_Level2"/>
      <w:bookmarkStart w:id="758" w:name="_Toc29883_WPSOffice_Level2"/>
      <w:bookmarkStart w:id="759" w:name="_Toc25979_WPSOffice_Level2"/>
      <w:bookmarkStart w:id="760" w:name="_Toc14913_WPSOffice_Level2"/>
      <w:r>
        <w:rPr>
          <w:rFonts w:hint="eastAsia" w:ascii="宋体" w:hAnsi="宋体" w:cs="宋体"/>
          <w:b/>
        </w:rPr>
        <w:t>供应商：</w:t>
      </w:r>
      <w:r>
        <w:rPr>
          <w:rFonts w:hint="eastAsia" w:ascii="宋体" w:hAnsi="宋体" w:cs="宋体"/>
          <w:kern w:val="0"/>
          <w:sz w:val="28"/>
          <w:szCs w:val="28"/>
          <w:u w:val="single"/>
        </w:rPr>
        <w:t xml:space="preserve">           </w:t>
      </w:r>
      <w:r>
        <w:rPr>
          <w:rFonts w:hint="eastAsia" w:ascii="宋体" w:hAnsi="宋体" w:cs="宋体"/>
          <w:b/>
        </w:rPr>
        <w:t>（公章）</w:t>
      </w:r>
      <w:bookmarkEnd w:id="756"/>
      <w:bookmarkEnd w:id="757"/>
      <w:bookmarkEnd w:id="758"/>
      <w:bookmarkEnd w:id="759"/>
      <w:bookmarkEnd w:id="760"/>
    </w:p>
    <w:p>
      <w:pPr>
        <w:ind w:firstLine="482"/>
        <w:jc w:val="right"/>
        <w:rPr>
          <w:rFonts w:ascii="宋体" w:hAnsi="宋体" w:cs="宋体"/>
          <w:b/>
        </w:rPr>
      </w:pPr>
      <w:r>
        <w:rPr>
          <w:rFonts w:hint="eastAsia" w:ascii="宋体" w:hAnsi="宋体" w:cs="宋体"/>
          <w:b/>
        </w:rPr>
        <w:t xml:space="preserve">                           </w:t>
      </w:r>
      <w:bookmarkStart w:id="761" w:name="_Toc1821_WPSOffice_Level2"/>
      <w:bookmarkStart w:id="762" w:name="_Toc15031_WPSOffice_Level2"/>
      <w:bookmarkStart w:id="763" w:name="_Toc16924_WPSOffice_Level2"/>
      <w:bookmarkStart w:id="764" w:name="_Toc18331_WPSOffice_Level2"/>
      <w:bookmarkStart w:id="765" w:name="_Toc14475_WPSOffice_Level2"/>
      <w:r>
        <w:rPr>
          <w:rFonts w:hint="eastAsia" w:ascii="宋体" w:hAnsi="宋体" w:cs="宋体"/>
          <w:b/>
        </w:rPr>
        <w:t>法定代表人或委托代理人：</w:t>
      </w:r>
      <w:r>
        <w:rPr>
          <w:rFonts w:hint="eastAsia" w:ascii="宋体" w:hAnsi="宋体" w:cs="宋体"/>
          <w:kern w:val="0"/>
          <w:sz w:val="28"/>
          <w:szCs w:val="28"/>
          <w:u w:val="single"/>
        </w:rPr>
        <w:t xml:space="preserve">         </w:t>
      </w:r>
      <w:r>
        <w:rPr>
          <w:rFonts w:hint="eastAsia" w:ascii="宋体" w:hAnsi="宋体" w:cs="宋体"/>
          <w:b/>
        </w:rPr>
        <w:t>（签字或盖章）</w:t>
      </w:r>
      <w:bookmarkEnd w:id="761"/>
      <w:bookmarkEnd w:id="762"/>
      <w:bookmarkEnd w:id="763"/>
      <w:bookmarkEnd w:id="764"/>
      <w:bookmarkEnd w:id="765"/>
    </w:p>
    <w:p>
      <w:pPr>
        <w:ind w:firstLine="482"/>
        <w:jc w:val="right"/>
        <w:rPr>
          <w:rFonts w:ascii="宋体" w:hAnsi="宋体" w:cs="宋体"/>
          <w:b/>
        </w:rPr>
      </w:pPr>
      <w:r>
        <w:rPr>
          <w:rFonts w:hint="eastAsia" w:ascii="宋体" w:hAnsi="宋体" w:cs="宋体"/>
          <w:b/>
        </w:rPr>
        <w:t xml:space="preserve">                                       </w:t>
      </w:r>
      <w:bookmarkStart w:id="766" w:name="_Toc13189_WPSOffice_Level2"/>
      <w:bookmarkStart w:id="767" w:name="_Toc19468_WPSOffice_Level2"/>
      <w:bookmarkStart w:id="768" w:name="_Toc27730_WPSOffice_Level2"/>
      <w:bookmarkStart w:id="769" w:name="_Toc10349_WPSOffice_Level2"/>
      <w:bookmarkStart w:id="770" w:name="_Toc8624_WPSOffice_Level2"/>
      <w:r>
        <w:rPr>
          <w:rFonts w:hint="eastAsia" w:ascii="宋体" w:hAnsi="宋体" w:cs="宋体"/>
          <w:b/>
        </w:rPr>
        <w:t>年   月  日</w:t>
      </w:r>
      <w:bookmarkEnd w:id="766"/>
      <w:bookmarkEnd w:id="767"/>
      <w:bookmarkEnd w:id="768"/>
      <w:bookmarkEnd w:id="769"/>
      <w:bookmarkEnd w:id="770"/>
    </w:p>
    <w:p>
      <w:pPr>
        <w:ind w:firstLine="482"/>
        <w:jc w:val="center"/>
        <w:rPr>
          <w:rFonts w:ascii="宋体" w:hAnsi="宋体" w:cs="宋体"/>
          <w:b/>
        </w:rPr>
      </w:pPr>
    </w:p>
    <w:p>
      <w:pPr>
        <w:rPr>
          <w:rFonts w:ascii="宋体" w:hAnsi="宋体" w:cs="宋体"/>
          <w:b/>
          <w:sz w:val="28"/>
          <w:szCs w:val="28"/>
        </w:rPr>
      </w:pPr>
    </w:p>
    <w:p>
      <w:pPr>
        <w:pStyle w:val="2"/>
        <w:jc w:val="both"/>
        <w:rPr>
          <w:rFonts w:ascii="宋体" w:hAnsi="宋体" w:cs="宋体"/>
          <w:sz w:val="28"/>
          <w:szCs w:val="28"/>
          <w:lang w:val="zh-CN"/>
        </w:rPr>
      </w:pPr>
      <w:bookmarkStart w:id="771" w:name="_Toc24102_WPSOffice_Level2"/>
      <w:bookmarkStart w:id="772" w:name="_Toc13323"/>
      <w:r>
        <w:rPr>
          <w:rFonts w:hint="eastAsia"/>
        </w:rPr>
        <w:t>附件13：</w:t>
      </w:r>
      <w:r>
        <w:rPr>
          <w:rFonts w:hint="eastAsia"/>
          <w:lang w:val="zh-CN"/>
        </w:rPr>
        <w:t>无重大违法记录声明</w:t>
      </w:r>
      <w:bookmarkEnd w:id="771"/>
      <w:bookmarkEnd w:id="772"/>
    </w:p>
    <w:p>
      <w:pPr>
        <w:autoSpaceDE w:val="0"/>
        <w:autoSpaceDN w:val="0"/>
        <w:spacing w:line="360" w:lineRule="auto"/>
        <w:ind w:firstLine="602"/>
        <w:jc w:val="center"/>
        <w:rPr>
          <w:rFonts w:ascii="宋体" w:hAnsi="宋体" w:cs="宋体"/>
          <w:b/>
          <w:bCs/>
          <w:kern w:val="0"/>
          <w:sz w:val="30"/>
          <w:szCs w:val="30"/>
          <w:lang w:val="zh-CN"/>
        </w:rPr>
      </w:pPr>
      <w:r>
        <w:rPr>
          <w:rFonts w:hint="eastAsia" w:ascii="宋体" w:hAnsi="宋体" w:cs="宋体"/>
          <w:b/>
          <w:bCs/>
          <w:kern w:val="0"/>
          <w:sz w:val="30"/>
          <w:szCs w:val="30"/>
          <w:lang w:val="zh-CN"/>
        </w:rPr>
        <w:t>无重大违法记录声明</w:t>
      </w:r>
    </w:p>
    <w:p>
      <w:pPr>
        <w:autoSpaceDE w:val="0"/>
        <w:autoSpaceDN w:val="0"/>
        <w:spacing w:line="560" w:lineRule="exact"/>
        <w:ind w:firstLine="602"/>
        <w:jc w:val="center"/>
        <w:rPr>
          <w:rFonts w:ascii="宋体" w:hAnsi="宋体" w:cs="宋体"/>
          <w:b/>
          <w:bCs/>
          <w:kern w:val="0"/>
          <w:sz w:val="30"/>
          <w:szCs w:val="30"/>
          <w:lang w:val="zh-CN"/>
        </w:rPr>
      </w:pPr>
    </w:p>
    <w:p>
      <w:pPr>
        <w:spacing w:line="560" w:lineRule="exact"/>
        <w:rPr>
          <w:rFonts w:ascii="宋体" w:hAnsi="宋体" w:cs="宋体"/>
          <w:b/>
          <w:bCs/>
        </w:rPr>
      </w:pPr>
      <w:bookmarkStart w:id="773" w:name="_Toc19265_WPSOffice_Level2"/>
      <w:bookmarkStart w:id="774" w:name="_Toc18790_WPSOffice_Level2"/>
      <w:bookmarkStart w:id="775" w:name="_Toc29286_WPSOffice_Level2"/>
      <w:bookmarkStart w:id="776" w:name="_Toc7330_WPSOffice_Level2"/>
      <w:bookmarkStart w:id="777" w:name="_Toc11617_WPSOffice_Level2"/>
      <w:r>
        <w:rPr>
          <w:rFonts w:hint="eastAsia" w:ascii="宋体" w:hAnsi="宋体" w:cs="宋体"/>
          <w:b/>
          <w:bCs/>
        </w:rPr>
        <w:t>致：青海鑫融工程项目管理咨询有限公司</w:t>
      </w:r>
      <w:bookmarkEnd w:id="773"/>
      <w:bookmarkEnd w:id="774"/>
      <w:bookmarkEnd w:id="775"/>
      <w:bookmarkEnd w:id="776"/>
      <w:bookmarkEnd w:id="777"/>
      <w:r>
        <w:rPr>
          <w:rFonts w:hint="eastAsia" w:ascii="宋体" w:hAnsi="宋体" w:cs="宋体"/>
          <w:b/>
          <w:bCs/>
        </w:rPr>
        <w:t xml:space="preserve">                 </w:t>
      </w:r>
    </w:p>
    <w:p>
      <w:pPr>
        <w:spacing w:line="560" w:lineRule="exact"/>
        <w:ind w:firstLine="482"/>
        <w:rPr>
          <w:rFonts w:ascii="宋体" w:hAnsi="宋体" w:cs="宋体"/>
          <w:b/>
          <w:bCs/>
        </w:rPr>
      </w:pPr>
    </w:p>
    <w:p>
      <w:pPr>
        <w:spacing w:line="560" w:lineRule="exact"/>
        <w:ind w:firstLine="480"/>
        <w:rPr>
          <w:rFonts w:ascii="宋体" w:hAnsi="宋体" w:cs="宋体"/>
        </w:rPr>
      </w:pPr>
      <w:r>
        <w:rPr>
          <w:rFonts w:hint="eastAsia" w:ascii="宋体" w:hAnsi="宋体" w:cs="宋体"/>
        </w:rPr>
        <w:t>我单位近三年内在经营活动中没有重大违法记，特此声明。</w:t>
      </w:r>
    </w:p>
    <w:p>
      <w:pPr>
        <w:spacing w:line="560" w:lineRule="exact"/>
        <w:ind w:firstLine="480"/>
        <w:rPr>
          <w:rFonts w:ascii="宋体" w:hAnsi="宋体" w:cs="宋体"/>
        </w:rPr>
      </w:pPr>
      <w:r>
        <w:rPr>
          <w:rFonts w:hint="eastAsia" w:ascii="宋体" w:hAnsi="宋体" w:cs="宋体"/>
        </w:rPr>
        <w:t>若招标采购单位在本项目采购过程中发现我单位近三年内在经营活动中有重大违法记录，我单位将无条件地退出本项目的投标，并承担因此引起的一切后果。</w:t>
      </w:r>
    </w:p>
    <w:p>
      <w:pPr>
        <w:spacing w:line="560" w:lineRule="exact"/>
        <w:ind w:firstLine="480"/>
        <w:rPr>
          <w:rFonts w:ascii="宋体" w:hAnsi="宋体" w:cs="宋体"/>
        </w:rPr>
      </w:pPr>
    </w:p>
    <w:p>
      <w:pPr>
        <w:spacing w:line="360" w:lineRule="auto"/>
        <w:ind w:firstLine="480"/>
        <w:rPr>
          <w:rFonts w:ascii="宋体" w:hAnsi="宋体" w:cs="宋体"/>
        </w:rPr>
      </w:pPr>
      <w:r>
        <w:rPr>
          <w:rFonts w:hint="eastAsia" w:ascii="宋体" w:hAnsi="宋体" w:cs="宋体"/>
        </w:rPr>
        <w:t>附：信用中国查询截图、中国政府采购网查询截图</w:t>
      </w:r>
    </w:p>
    <w:p/>
    <w:p/>
    <w:p/>
    <w:p/>
    <w:p/>
    <w:p/>
    <w:p/>
    <w:p>
      <w:pPr>
        <w:rPr>
          <w:lang w:val="zh-CN"/>
        </w:rPr>
      </w:pPr>
    </w:p>
    <w:p>
      <w:pPr>
        <w:jc w:val="right"/>
        <w:rPr>
          <w:rFonts w:ascii="宋体" w:hAnsi="宋体" w:cs="宋体"/>
          <w:b/>
        </w:rPr>
      </w:pPr>
      <w:bookmarkStart w:id="778" w:name="_Toc18619_WPSOffice_Level2"/>
      <w:bookmarkStart w:id="779" w:name="_Toc22704_WPSOffice_Level2"/>
      <w:bookmarkStart w:id="780" w:name="_Toc23358_WPSOffice_Level2"/>
      <w:bookmarkStart w:id="781" w:name="_Toc5681_WPSOffice_Level2"/>
      <w:bookmarkStart w:id="782" w:name="_Toc24531_WPSOffice_Level2"/>
      <w:r>
        <w:rPr>
          <w:rFonts w:hint="eastAsia" w:ascii="宋体" w:hAnsi="宋体" w:cs="宋体"/>
          <w:b/>
        </w:rPr>
        <w:t>供应商：</w:t>
      </w:r>
      <w:r>
        <w:rPr>
          <w:rFonts w:hint="eastAsia" w:ascii="宋体" w:hAnsi="宋体" w:cs="宋体"/>
          <w:kern w:val="0"/>
          <w:sz w:val="28"/>
          <w:szCs w:val="28"/>
          <w:u w:val="single"/>
        </w:rPr>
        <w:t xml:space="preserve">       </w:t>
      </w:r>
      <w:r>
        <w:rPr>
          <w:rFonts w:hint="eastAsia" w:ascii="宋体" w:hAnsi="宋体" w:cs="宋体"/>
          <w:b/>
        </w:rPr>
        <w:t>（公章）</w:t>
      </w:r>
      <w:bookmarkEnd w:id="778"/>
      <w:bookmarkEnd w:id="779"/>
      <w:bookmarkEnd w:id="780"/>
      <w:bookmarkEnd w:id="781"/>
      <w:bookmarkEnd w:id="782"/>
    </w:p>
    <w:p>
      <w:pPr>
        <w:ind w:firstLine="482"/>
        <w:jc w:val="center"/>
        <w:rPr>
          <w:rFonts w:ascii="宋体" w:hAnsi="宋体" w:cs="宋体"/>
          <w:b/>
        </w:rPr>
      </w:pPr>
      <w:r>
        <w:rPr>
          <w:rFonts w:hint="eastAsia" w:ascii="宋体" w:hAnsi="宋体" w:cs="宋体"/>
          <w:b/>
        </w:rPr>
        <w:t xml:space="preserve">                           </w:t>
      </w:r>
      <w:bookmarkStart w:id="783" w:name="_Toc29405_WPSOffice_Level2"/>
      <w:bookmarkStart w:id="784" w:name="_Toc25445_WPSOffice_Level2"/>
      <w:bookmarkStart w:id="785" w:name="_Toc31173_WPSOffice_Level2"/>
      <w:bookmarkStart w:id="786" w:name="_Toc20226_WPSOffice_Level2"/>
      <w:r>
        <w:rPr>
          <w:rFonts w:hint="eastAsia" w:ascii="宋体" w:hAnsi="宋体" w:cs="宋体"/>
          <w:b/>
        </w:rPr>
        <w:t>法定代表人或委托代理人：</w:t>
      </w:r>
      <w:r>
        <w:rPr>
          <w:rFonts w:hint="eastAsia" w:ascii="宋体" w:hAnsi="宋体" w:cs="宋体"/>
          <w:kern w:val="0"/>
          <w:sz w:val="28"/>
          <w:szCs w:val="28"/>
          <w:u w:val="single"/>
        </w:rPr>
        <w:t xml:space="preserve">       </w:t>
      </w:r>
      <w:r>
        <w:rPr>
          <w:rFonts w:hint="eastAsia" w:ascii="宋体" w:hAnsi="宋体" w:cs="宋体"/>
          <w:b/>
        </w:rPr>
        <w:t>（签字或盖章）</w:t>
      </w:r>
      <w:bookmarkEnd w:id="783"/>
      <w:bookmarkEnd w:id="784"/>
      <w:bookmarkEnd w:id="785"/>
      <w:bookmarkEnd w:id="786"/>
    </w:p>
    <w:p>
      <w:pPr>
        <w:jc w:val="center"/>
        <w:rPr>
          <w:rFonts w:ascii="宋体" w:hAnsi="宋体" w:cs="宋体"/>
          <w:b/>
          <w:sz w:val="28"/>
          <w:szCs w:val="28"/>
          <w:lang w:val="zh-CN"/>
        </w:rPr>
      </w:pPr>
      <w:r>
        <w:rPr>
          <w:rFonts w:hint="eastAsia" w:ascii="宋体" w:hAnsi="宋体" w:cs="宋体"/>
          <w:b/>
        </w:rPr>
        <w:t xml:space="preserve">                                           </w:t>
      </w:r>
      <w:bookmarkStart w:id="787" w:name="_Toc30455_WPSOffice_Level2"/>
      <w:bookmarkStart w:id="788" w:name="_Toc29299_WPSOffice_Level2"/>
      <w:bookmarkStart w:id="789" w:name="_Toc31612_WPSOffice_Level2"/>
      <w:bookmarkStart w:id="790" w:name="_Toc1954_WPSOffice_Level2"/>
      <w:r>
        <w:rPr>
          <w:rFonts w:hint="eastAsia" w:ascii="宋体" w:hAnsi="宋体" w:cs="宋体"/>
          <w:b/>
        </w:rPr>
        <w:t>年   月   日</w:t>
      </w:r>
      <w:bookmarkEnd w:id="787"/>
      <w:bookmarkEnd w:id="788"/>
      <w:bookmarkEnd w:id="789"/>
      <w:bookmarkEnd w:id="790"/>
    </w:p>
    <w:p>
      <w:pPr>
        <w:rPr>
          <w:rFonts w:ascii="宋体" w:hAnsi="宋体" w:cs="宋体"/>
          <w:b/>
          <w:sz w:val="28"/>
          <w:szCs w:val="28"/>
          <w:lang w:val="zh-CN"/>
        </w:rPr>
      </w:pPr>
    </w:p>
    <w:p>
      <w:pPr>
        <w:autoSpaceDE w:val="0"/>
        <w:autoSpaceDN w:val="0"/>
        <w:adjustRightInd w:val="0"/>
        <w:spacing w:line="360" w:lineRule="auto"/>
        <w:ind w:firstLine="480"/>
        <w:rPr>
          <w:rFonts w:ascii="宋体" w:cs="宋体"/>
          <w:sz w:val="24"/>
        </w:rPr>
      </w:pPr>
    </w:p>
    <w:p>
      <w:pPr>
        <w:autoSpaceDE w:val="0"/>
        <w:autoSpaceDN w:val="0"/>
        <w:adjustRightInd w:val="0"/>
        <w:spacing w:line="360" w:lineRule="auto"/>
        <w:ind w:firstLine="480"/>
        <w:rPr>
          <w:rFonts w:ascii="宋体" w:cs="宋体"/>
          <w:sz w:val="24"/>
        </w:rPr>
      </w:pPr>
    </w:p>
    <w:p>
      <w:pPr>
        <w:pStyle w:val="2"/>
        <w:sectPr>
          <w:pgSz w:w="11906" w:h="16838"/>
          <w:pgMar w:top="1440" w:right="1800" w:bottom="1440" w:left="1800" w:header="851" w:footer="992" w:gutter="0"/>
          <w:pgBorders w:offsetFrom="page">
            <w:top w:val="single" w:color="auto" w:sz="18" w:space="24"/>
            <w:left w:val="single" w:color="auto" w:sz="18" w:space="24"/>
            <w:bottom w:val="single" w:color="auto" w:sz="18" w:space="24"/>
            <w:right w:val="single" w:color="auto" w:sz="18" w:space="24"/>
          </w:pgBorders>
          <w:pgNumType w:start="1"/>
          <w:cols w:space="425" w:num="1"/>
          <w:docGrid w:type="lines" w:linePitch="312" w:charSpace="0"/>
        </w:sectPr>
      </w:pPr>
      <w:bookmarkStart w:id="791" w:name="_Toc11553_WPSOffice_Level2"/>
    </w:p>
    <w:p>
      <w:pPr>
        <w:pStyle w:val="2"/>
      </w:pPr>
      <w:bookmarkStart w:id="792" w:name="_Toc3220"/>
      <w:r>
        <w:rPr>
          <w:rFonts w:hint="eastAsia"/>
        </w:rPr>
        <w:t>附件14：供应商认为在其他方面有必要说明的事项</w:t>
      </w:r>
      <w:bookmarkEnd w:id="791"/>
      <w:bookmarkEnd w:id="792"/>
    </w:p>
    <w:p>
      <w:pPr>
        <w:autoSpaceDE w:val="0"/>
        <w:autoSpaceDN w:val="0"/>
        <w:adjustRightInd w:val="0"/>
        <w:spacing w:line="360" w:lineRule="auto"/>
        <w:ind w:firstLine="480"/>
        <w:rPr>
          <w:rFonts w:ascii="宋体" w:cs="宋体"/>
          <w:sz w:val="24"/>
        </w:rPr>
      </w:pPr>
    </w:p>
    <w:p>
      <w:pPr>
        <w:autoSpaceDE w:val="0"/>
        <w:autoSpaceDN w:val="0"/>
        <w:spacing w:line="360" w:lineRule="auto"/>
        <w:ind w:firstLine="602"/>
        <w:jc w:val="center"/>
        <w:rPr>
          <w:rFonts w:ascii="宋体" w:hAnsi="宋体" w:cs="宋体"/>
          <w:b/>
          <w:bCs/>
          <w:kern w:val="0"/>
          <w:sz w:val="30"/>
          <w:szCs w:val="30"/>
          <w:lang w:val="zh-CN"/>
        </w:rPr>
      </w:pPr>
      <w:r>
        <w:rPr>
          <w:rFonts w:hint="eastAsia" w:ascii="宋体" w:hAnsi="宋体" w:cs="宋体"/>
          <w:b/>
          <w:bCs/>
          <w:kern w:val="0"/>
          <w:sz w:val="30"/>
          <w:szCs w:val="30"/>
          <w:lang w:val="zh-CN"/>
        </w:rPr>
        <w:t>供应商认为在其他方面有必要说明的事项</w:t>
      </w:r>
    </w:p>
    <w:p>
      <w:pPr>
        <w:autoSpaceDE w:val="0"/>
        <w:autoSpaceDN w:val="0"/>
        <w:adjustRightInd w:val="0"/>
        <w:spacing w:line="360" w:lineRule="auto"/>
        <w:ind w:firstLine="480"/>
        <w:jc w:val="center"/>
        <w:rPr>
          <w:rFonts w:ascii="宋体" w:cs="宋体"/>
          <w:sz w:val="24"/>
        </w:rPr>
      </w:pPr>
    </w:p>
    <w:p>
      <w:bookmarkStart w:id="793" w:name="_Toc29279_WPSOffice_Level2"/>
      <w:bookmarkStart w:id="794" w:name="_Toc3155_WPSOffice_Level2"/>
      <w:bookmarkStart w:id="795" w:name="_Toc4647_WPSOffice_Level2"/>
      <w:bookmarkStart w:id="796" w:name="_Toc9386_WPSOffice_Level2"/>
      <w:bookmarkStart w:id="797" w:name="_Toc28207"/>
      <w:r>
        <w:rPr>
          <w:rFonts w:hint="eastAsia"/>
        </w:rPr>
        <w:t>格式自拟</w:t>
      </w:r>
      <w:bookmarkEnd w:id="793"/>
      <w:bookmarkEnd w:id="794"/>
      <w:bookmarkEnd w:id="795"/>
      <w:bookmarkEnd w:id="796"/>
      <w:bookmarkEnd w:id="797"/>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
      <w:r>
        <w:rPr>
          <w:rFonts w:hint="eastAsia"/>
        </w:rPr>
        <w:t xml:space="preserve"> </w:t>
      </w:r>
    </w:p>
    <w:p/>
    <w:p/>
    <w:p/>
    <w:p/>
    <w:p/>
    <w:p/>
    <w:p/>
    <w:p/>
    <w:p/>
    <w:p/>
    <w:p/>
    <w:p/>
    <w:p/>
    <w:p/>
    <w:p>
      <w:pPr>
        <w:numPr>
          <w:ilvl w:val="0"/>
          <w:numId w:val="7"/>
        </w:numPr>
        <w:jc w:val="center"/>
        <w:rPr>
          <w:rStyle w:val="47"/>
        </w:rPr>
      </w:pPr>
      <w:r>
        <w:rPr>
          <w:rFonts w:hint="eastAsia"/>
        </w:rPr>
        <w:br w:type="page"/>
      </w:r>
      <w:bookmarkStart w:id="798" w:name="_Toc13804"/>
    </w:p>
    <w:bookmarkEnd w:id="798"/>
    <w:p>
      <w:pPr>
        <w:pStyle w:val="3"/>
      </w:pPr>
      <w:bookmarkStart w:id="799" w:name="_Toc13164_WPSOffice_Level1"/>
      <w:bookmarkStart w:id="800" w:name="_Toc20089"/>
      <w:r>
        <w:rPr>
          <w:rFonts w:hint="eastAsia"/>
        </w:rPr>
        <w:t>第七部分 工程量清单</w:t>
      </w:r>
      <w:bookmarkEnd w:id="799"/>
      <w:bookmarkEnd w:id="800"/>
    </w:p>
    <w:p/>
    <w:p>
      <w:pPr>
        <w:rPr>
          <w:b/>
          <w:bCs/>
          <w:sz w:val="36"/>
          <w:szCs w:val="44"/>
        </w:rPr>
      </w:pPr>
      <w:r>
        <w:rPr>
          <w:rFonts w:hint="eastAsia"/>
          <w:b/>
          <w:bCs/>
          <w:sz w:val="36"/>
          <w:szCs w:val="44"/>
        </w:rPr>
        <w:t>工程量清单另册</w:t>
      </w:r>
    </w:p>
    <w:sectPr>
      <w:footerReference r:id="rId6" w:type="default"/>
      <w:pgSz w:w="11906" w:h="16838"/>
      <w:pgMar w:top="1440" w:right="1800" w:bottom="1440" w:left="1800" w:header="851" w:footer="992" w:gutter="0"/>
      <w:pgBorders w:offsetFrom="page">
        <w:top w:val="single" w:color="auto" w:sz="18" w:space="24"/>
        <w:left w:val="single" w:color="auto" w:sz="18" w:space="24"/>
        <w:bottom w:val="single" w:color="auto" w:sz="18" w:space="24"/>
        <w:right w:val="single" w:color="auto" w:sz="18" w:space="24"/>
      </w:pgBorders>
      <w:pgNumType w:start="5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900" w:firstLineChars="500"/>
    </w:pPr>
    <w:r>
      <w:drawing>
        <wp:anchor distT="0" distB="0" distL="114300" distR="114300" simplePos="0" relativeHeight="251662336" behindDoc="0" locked="0" layoutInCell="1" allowOverlap="1">
          <wp:simplePos x="0" y="0"/>
          <wp:positionH relativeFrom="column">
            <wp:posOffset>45085</wp:posOffset>
          </wp:positionH>
          <wp:positionV relativeFrom="paragraph">
            <wp:posOffset>-86360</wp:posOffset>
          </wp:positionV>
          <wp:extent cx="441325" cy="473710"/>
          <wp:effectExtent l="0" t="0" r="15875" b="2540"/>
          <wp:wrapNone/>
          <wp:docPr id="2" name="图片 1" descr="E:\桌面文件\2018桌面\新建文件夹\QQ截图20180506164029.jpgQQ截图2018050616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桌面文件\2018桌面\新建文件夹\QQ截图20180506164029.jpgQQ截图20180506164029"/>
                  <pic:cNvPicPr>
                    <a:picLocks noChangeAspect="1"/>
                  </pic:cNvPicPr>
                </pic:nvPicPr>
                <pic:blipFill>
                  <a:blip r:embed="rId1"/>
                  <a:srcRect/>
                  <a:stretch>
                    <a:fillRect/>
                  </a:stretch>
                </pic:blipFill>
                <pic:spPr>
                  <a:xfrm>
                    <a:off x="0" y="0"/>
                    <a:ext cx="441325" cy="473710"/>
                  </a:xfrm>
                  <a:prstGeom prst="rect">
                    <a:avLst/>
                  </a:prstGeom>
                  <a:noFill/>
                  <a:ln w="9525">
                    <a:noFill/>
                  </a:ln>
                </pic:spPr>
              </pic:pic>
            </a:graphicData>
          </a:graphic>
        </wp:anchor>
      </w:drawing>
    </w:r>
    <w:r>
      <w:pict>
        <v:shape id="PowerPlusWaterMarkObject31028" o:spid="_x0000_s3073" o:spt="136" type="#_x0000_t136" style="position:absolute;left:0pt;height:60.1pt;width:527.15pt;mso-position-horizontal:center;mso-position-horizontal-relative:margin;mso-position-vertical:center;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青海鑫融磋商（工程）" style="font-family:宋体;font-size:36pt;v-text-align:center;"/>
        </v:shape>
      </w:pict>
    </w:r>
    <w:r>
      <w:rPr>
        <w:rFonts w:hint="eastAsia"/>
      </w:rPr>
      <w:t xml:space="preserve">                                                   </w:t>
    </w:r>
  </w:p>
  <w:p>
    <w:pPr>
      <w:pStyle w:val="17"/>
      <w:tabs>
        <w:tab w:val="left" w:pos="4592"/>
      </w:tabs>
      <w:ind w:firstLine="4800" w:firstLineChars="2000"/>
    </w:pPr>
    <w:r>
      <w:rPr>
        <w:rFonts w:hint="eastAsia"/>
        <w:sz w:val="24"/>
      </w:rPr>
      <w:tab/>
    </w:r>
    <w:r>
      <w:rPr>
        <w:rFonts w:hint="eastAsia"/>
        <w:sz w:val="24"/>
      </w:rPr>
      <w:t>青海鑫融磋商（工程）2020-39</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281B"/>
    <w:multiLevelType w:val="multilevel"/>
    <w:tmpl w:val="135E281B"/>
    <w:lvl w:ilvl="0" w:tentative="0">
      <w:start w:val="1"/>
      <w:numFmt w:val="japaneseCounting"/>
      <w:lvlText w:val="%1、"/>
      <w:lvlJc w:val="left"/>
      <w:pPr>
        <w:tabs>
          <w:tab w:val="left" w:pos="900"/>
        </w:tabs>
        <w:ind w:left="900" w:hanging="480"/>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50D105D"/>
    <w:multiLevelType w:val="singleLevel"/>
    <w:tmpl w:val="150D105D"/>
    <w:lvl w:ilvl="0" w:tentative="0">
      <w:start w:val="2"/>
      <w:numFmt w:val="decimal"/>
      <w:suff w:val="nothing"/>
      <w:lvlText w:val="%1、"/>
      <w:lvlJc w:val="left"/>
    </w:lvl>
  </w:abstractNum>
  <w:abstractNum w:abstractNumId="2">
    <w:nsid w:val="34C746E1"/>
    <w:multiLevelType w:val="singleLevel"/>
    <w:tmpl w:val="34C746E1"/>
    <w:lvl w:ilvl="0" w:tentative="0">
      <w:start w:val="7"/>
      <w:numFmt w:val="chineseCounting"/>
      <w:suff w:val="space"/>
      <w:lvlText w:val="第%1部分"/>
      <w:lvlJc w:val="left"/>
      <w:pPr>
        <w:ind w:left="2168" w:firstLine="0"/>
      </w:pPr>
      <w:rPr>
        <w:rFonts w:hint="eastAsia"/>
      </w:rPr>
    </w:lvl>
  </w:abstractNum>
  <w:abstractNum w:abstractNumId="3">
    <w:nsid w:val="48C87259"/>
    <w:multiLevelType w:val="multilevel"/>
    <w:tmpl w:val="48C87259"/>
    <w:lvl w:ilvl="0" w:tentative="0">
      <w:start w:val="1"/>
      <w:numFmt w:val="chineseCountingThousand"/>
      <w:lvlText w:val="第%1章"/>
      <w:lvlJc w:val="left"/>
      <w:pPr>
        <w:tabs>
          <w:tab w:val="left" w:pos="567"/>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59882B96"/>
    <w:multiLevelType w:val="singleLevel"/>
    <w:tmpl w:val="59882B96"/>
    <w:lvl w:ilvl="0" w:tentative="0">
      <w:start w:val="2"/>
      <w:numFmt w:val="chineseCounting"/>
      <w:suff w:val="nothing"/>
      <w:lvlText w:val="（%1）"/>
      <w:lvlJc w:val="left"/>
    </w:lvl>
  </w:abstractNum>
  <w:abstractNum w:abstractNumId="5">
    <w:nsid w:val="5A178887"/>
    <w:multiLevelType w:val="singleLevel"/>
    <w:tmpl w:val="5A178887"/>
    <w:lvl w:ilvl="0" w:tentative="0">
      <w:start w:val="2"/>
      <w:numFmt w:val="chineseCounting"/>
      <w:suff w:val="nothing"/>
      <w:lvlText w:val="（%1）"/>
      <w:lvlJc w:val="left"/>
    </w:lvl>
  </w:abstractNum>
  <w:abstractNum w:abstractNumId="6">
    <w:nsid w:val="637D4F9E"/>
    <w:multiLevelType w:val="singleLevel"/>
    <w:tmpl w:val="637D4F9E"/>
    <w:lvl w:ilvl="0" w:tentative="0">
      <w:start w:val="4"/>
      <w:numFmt w:val="decimal"/>
      <w:lvlText w:val="%1."/>
      <w:lvlJc w:val="left"/>
      <w:pPr>
        <w:tabs>
          <w:tab w:val="left" w:pos="312"/>
        </w:tabs>
      </w:pPr>
    </w:lvl>
  </w:abstractNum>
  <w:num w:numId="1">
    <w:abstractNumId w:val="3"/>
  </w:num>
  <w:num w:numId="2">
    <w:abstractNumId w:val="0"/>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06D28"/>
    <w:rsid w:val="0003011D"/>
    <w:rsid w:val="000B522A"/>
    <w:rsid w:val="00152C4A"/>
    <w:rsid w:val="001E10C2"/>
    <w:rsid w:val="002B07EE"/>
    <w:rsid w:val="003D317C"/>
    <w:rsid w:val="004D4C61"/>
    <w:rsid w:val="004F5D5B"/>
    <w:rsid w:val="00506C7E"/>
    <w:rsid w:val="00511FBB"/>
    <w:rsid w:val="00602157"/>
    <w:rsid w:val="00693864"/>
    <w:rsid w:val="00776E98"/>
    <w:rsid w:val="00887E27"/>
    <w:rsid w:val="008B3D52"/>
    <w:rsid w:val="008D45E2"/>
    <w:rsid w:val="0098380A"/>
    <w:rsid w:val="00A038E9"/>
    <w:rsid w:val="00A36E4E"/>
    <w:rsid w:val="00A42CBE"/>
    <w:rsid w:val="00AB4446"/>
    <w:rsid w:val="00C40176"/>
    <w:rsid w:val="00D01459"/>
    <w:rsid w:val="00D27AF9"/>
    <w:rsid w:val="00D35B04"/>
    <w:rsid w:val="00D400DE"/>
    <w:rsid w:val="00D9757E"/>
    <w:rsid w:val="00E2237B"/>
    <w:rsid w:val="00E74BB8"/>
    <w:rsid w:val="00EB6DAA"/>
    <w:rsid w:val="00ED6986"/>
    <w:rsid w:val="00F37F89"/>
    <w:rsid w:val="00F66844"/>
    <w:rsid w:val="00FB2FA2"/>
    <w:rsid w:val="01156CFC"/>
    <w:rsid w:val="01564FBD"/>
    <w:rsid w:val="01574A88"/>
    <w:rsid w:val="015D2D89"/>
    <w:rsid w:val="015E66E2"/>
    <w:rsid w:val="015F38A6"/>
    <w:rsid w:val="01822EC0"/>
    <w:rsid w:val="01B40220"/>
    <w:rsid w:val="01C52776"/>
    <w:rsid w:val="01DE4F52"/>
    <w:rsid w:val="01FD20D6"/>
    <w:rsid w:val="020104C6"/>
    <w:rsid w:val="020F1E06"/>
    <w:rsid w:val="020F28EC"/>
    <w:rsid w:val="02105647"/>
    <w:rsid w:val="02341C48"/>
    <w:rsid w:val="0244073F"/>
    <w:rsid w:val="025C0E03"/>
    <w:rsid w:val="028054B3"/>
    <w:rsid w:val="02953B8E"/>
    <w:rsid w:val="029636A0"/>
    <w:rsid w:val="029E1AB1"/>
    <w:rsid w:val="02A47CA4"/>
    <w:rsid w:val="02AC1765"/>
    <w:rsid w:val="02AD1B9A"/>
    <w:rsid w:val="02AE1E1A"/>
    <w:rsid w:val="02B64526"/>
    <w:rsid w:val="02DC6735"/>
    <w:rsid w:val="02ED2883"/>
    <w:rsid w:val="030269E8"/>
    <w:rsid w:val="030F04B4"/>
    <w:rsid w:val="03313850"/>
    <w:rsid w:val="03382C87"/>
    <w:rsid w:val="033C013C"/>
    <w:rsid w:val="03790D15"/>
    <w:rsid w:val="037962E4"/>
    <w:rsid w:val="038107BB"/>
    <w:rsid w:val="03880D65"/>
    <w:rsid w:val="038D1153"/>
    <w:rsid w:val="03972C50"/>
    <w:rsid w:val="03A971A9"/>
    <w:rsid w:val="03AA4635"/>
    <w:rsid w:val="03AC6C4D"/>
    <w:rsid w:val="03B17DFF"/>
    <w:rsid w:val="03B72B78"/>
    <w:rsid w:val="03BB51A6"/>
    <w:rsid w:val="03BE58EC"/>
    <w:rsid w:val="03C14679"/>
    <w:rsid w:val="03C95CB6"/>
    <w:rsid w:val="03D51A72"/>
    <w:rsid w:val="03EE38AC"/>
    <w:rsid w:val="03F26787"/>
    <w:rsid w:val="040A4FA2"/>
    <w:rsid w:val="041C5C0E"/>
    <w:rsid w:val="042564A4"/>
    <w:rsid w:val="043010C2"/>
    <w:rsid w:val="04494DC2"/>
    <w:rsid w:val="045171F0"/>
    <w:rsid w:val="046849D7"/>
    <w:rsid w:val="047C42E4"/>
    <w:rsid w:val="049B63B9"/>
    <w:rsid w:val="04A34AA1"/>
    <w:rsid w:val="04C61AF0"/>
    <w:rsid w:val="04D32A58"/>
    <w:rsid w:val="04D72796"/>
    <w:rsid w:val="04E32EE6"/>
    <w:rsid w:val="04FE0E9E"/>
    <w:rsid w:val="05061848"/>
    <w:rsid w:val="0523260E"/>
    <w:rsid w:val="0529160A"/>
    <w:rsid w:val="053E4F84"/>
    <w:rsid w:val="054C67D1"/>
    <w:rsid w:val="054F45E4"/>
    <w:rsid w:val="05504076"/>
    <w:rsid w:val="05745D3D"/>
    <w:rsid w:val="058872FC"/>
    <w:rsid w:val="059F1AE3"/>
    <w:rsid w:val="05B07CBB"/>
    <w:rsid w:val="05BF6A8A"/>
    <w:rsid w:val="05C35947"/>
    <w:rsid w:val="05CD7A18"/>
    <w:rsid w:val="05D17B4A"/>
    <w:rsid w:val="05D551AD"/>
    <w:rsid w:val="05DC3DBB"/>
    <w:rsid w:val="05E1721F"/>
    <w:rsid w:val="05E479AA"/>
    <w:rsid w:val="05F32433"/>
    <w:rsid w:val="06052191"/>
    <w:rsid w:val="0612121B"/>
    <w:rsid w:val="061E7656"/>
    <w:rsid w:val="064538CF"/>
    <w:rsid w:val="06745AF1"/>
    <w:rsid w:val="0676638C"/>
    <w:rsid w:val="0679598E"/>
    <w:rsid w:val="067B64E0"/>
    <w:rsid w:val="067E29DC"/>
    <w:rsid w:val="06851652"/>
    <w:rsid w:val="06880DC0"/>
    <w:rsid w:val="06A74B5A"/>
    <w:rsid w:val="06CF2E4C"/>
    <w:rsid w:val="06D81104"/>
    <w:rsid w:val="06F438A5"/>
    <w:rsid w:val="070C02D8"/>
    <w:rsid w:val="071F727E"/>
    <w:rsid w:val="07225713"/>
    <w:rsid w:val="074E33D6"/>
    <w:rsid w:val="0777644C"/>
    <w:rsid w:val="07A70DE7"/>
    <w:rsid w:val="07C27296"/>
    <w:rsid w:val="07DC03CE"/>
    <w:rsid w:val="07E06EC7"/>
    <w:rsid w:val="08176D93"/>
    <w:rsid w:val="082A186B"/>
    <w:rsid w:val="08300E2B"/>
    <w:rsid w:val="08323FA4"/>
    <w:rsid w:val="083C2CE4"/>
    <w:rsid w:val="085520B6"/>
    <w:rsid w:val="085A0A76"/>
    <w:rsid w:val="085B04E0"/>
    <w:rsid w:val="086D1178"/>
    <w:rsid w:val="086D733F"/>
    <w:rsid w:val="08733F51"/>
    <w:rsid w:val="087751E7"/>
    <w:rsid w:val="087C4464"/>
    <w:rsid w:val="089F01F7"/>
    <w:rsid w:val="08CE2D10"/>
    <w:rsid w:val="08F61EC8"/>
    <w:rsid w:val="090A782D"/>
    <w:rsid w:val="090D7669"/>
    <w:rsid w:val="091F2C9A"/>
    <w:rsid w:val="09291273"/>
    <w:rsid w:val="093D362F"/>
    <w:rsid w:val="093E6BC3"/>
    <w:rsid w:val="093F2014"/>
    <w:rsid w:val="095D3071"/>
    <w:rsid w:val="095F4043"/>
    <w:rsid w:val="097420DE"/>
    <w:rsid w:val="09791109"/>
    <w:rsid w:val="0984308B"/>
    <w:rsid w:val="098C2AF4"/>
    <w:rsid w:val="09966BAC"/>
    <w:rsid w:val="099F2205"/>
    <w:rsid w:val="09B75652"/>
    <w:rsid w:val="09E87C03"/>
    <w:rsid w:val="09ED672A"/>
    <w:rsid w:val="0A2953F2"/>
    <w:rsid w:val="0A2B1040"/>
    <w:rsid w:val="0A2B6684"/>
    <w:rsid w:val="0A322BE3"/>
    <w:rsid w:val="0A4A7589"/>
    <w:rsid w:val="0A552C97"/>
    <w:rsid w:val="0A5B3CB6"/>
    <w:rsid w:val="0A5C2A3D"/>
    <w:rsid w:val="0A6B5CAA"/>
    <w:rsid w:val="0A737BD3"/>
    <w:rsid w:val="0A7602B1"/>
    <w:rsid w:val="0A7B152D"/>
    <w:rsid w:val="0A990577"/>
    <w:rsid w:val="0A9E03AA"/>
    <w:rsid w:val="0AEE58D8"/>
    <w:rsid w:val="0AF16B24"/>
    <w:rsid w:val="0AFF11DD"/>
    <w:rsid w:val="0B0273B9"/>
    <w:rsid w:val="0B1C4EE3"/>
    <w:rsid w:val="0B1D1047"/>
    <w:rsid w:val="0B312931"/>
    <w:rsid w:val="0B39365A"/>
    <w:rsid w:val="0B423870"/>
    <w:rsid w:val="0B43717C"/>
    <w:rsid w:val="0B5A302F"/>
    <w:rsid w:val="0B5B185F"/>
    <w:rsid w:val="0B6243BD"/>
    <w:rsid w:val="0B63531C"/>
    <w:rsid w:val="0B76468F"/>
    <w:rsid w:val="0B8F623C"/>
    <w:rsid w:val="0B9828FE"/>
    <w:rsid w:val="0BC4782D"/>
    <w:rsid w:val="0BE04BA4"/>
    <w:rsid w:val="0BEA5515"/>
    <w:rsid w:val="0BEB0FBC"/>
    <w:rsid w:val="0BFF2A4F"/>
    <w:rsid w:val="0C0A277A"/>
    <w:rsid w:val="0C0C466F"/>
    <w:rsid w:val="0C1213B0"/>
    <w:rsid w:val="0C1F415D"/>
    <w:rsid w:val="0C295D1D"/>
    <w:rsid w:val="0C3A6EB0"/>
    <w:rsid w:val="0C405E95"/>
    <w:rsid w:val="0C4338FE"/>
    <w:rsid w:val="0C6B41B3"/>
    <w:rsid w:val="0C7E19E1"/>
    <w:rsid w:val="0C8B44F1"/>
    <w:rsid w:val="0C996A95"/>
    <w:rsid w:val="0CA7532F"/>
    <w:rsid w:val="0CB95819"/>
    <w:rsid w:val="0CDF7982"/>
    <w:rsid w:val="0CE34BF0"/>
    <w:rsid w:val="0CF449CB"/>
    <w:rsid w:val="0D242D8D"/>
    <w:rsid w:val="0D361EB6"/>
    <w:rsid w:val="0D436FBA"/>
    <w:rsid w:val="0D456437"/>
    <w:rsid w:val="0D512EA2"/>
    <w:rsid w:val="0D5860F0"/>
    <w:rsid w:val="0D616D59"/>
    <w:rsid w:val="0D6B07D3"/>
    <w:rsid w:val="0D6D1501"/>
    <w:rsid w:val="0D6D6BC8"/>
    <w:rsid w:val="0D763900"/>
    <w:rsid w:val="0D7C70FB"/>
    <w:rsid w:val="0D7F74C3"/>
    <w:rsid w:val="0D993253"/>
    <w:rsid w:val="0DA97CFA"/>
    <w:rsid w:val="0DEE5982"/>
    <w:rsid w:val="0DF87930"/>
    <w:rsid w:val="0E1E041D"/>
    <w:rsid w:val="0E255020"/>
    <w:rsid w:val="0E43755D"/>
    <w:rsid w:val="0E4572F8"/>
    <w:rsid w:val="0E505949"/>
    <w:rsid w:val="0E507F18"/>
    <w:rsid w:val="0E68342C"/>
    <w:rsid w:val="0E6A04F1"/>
    <w:rsid w:val="0E6E3D88"/>
    <w:rsid w:val="0E7C3574"/>
    <w:rsid w:val="0E905A88"/>
    <w:rsid w:val="0E975A3E"/>
    <w:rsid w:val="0E986741"/>
    <w:rsid w:val="0EA21B41"/>
    <w:rsid w:val="0EA838AC"/>
    <w:rsid w:val="0EAD0D4D"/>
    <w:rsid w:val="0EC813F4"/>
    <w:rsid w:val="0ECC1522"/>
    <w:rsid w:val="0EDA41F2"/>
    <w:rsid w:val="0EDD577C"/>
    <w:rsid w:val="0EF24F02"/>
    <w:rsid w:val="0EF52E13"/>
    <w:rsid w:val="0EF944E1"/>
    <w:rsid w:val="0F0433D8"/>
    <w:rsid w:val="0F044F0A"/>
    <w:rsid w:val="0F1C1C45"/>
    <w:rsid w:val="0F347E9C"/>
    <w:rsid w:val="0F3C2EB1"/>
    <w:rsid w:val="0F414FD8"/>
    <w:rsid w:val="0F5323E6"/>
    <w:rsid w:val="0F621796"/>
    <w:rsid w:val="0F752371"/>
    <w:rsid w:val="0F7B7CED"/>
    <w:rsid w:val="0F7C079E"/>
    <w:rsid w:val="0F9B042D"/>
    <w:rsid w:val="0F9E7221"/>
    <w:rsid w:val="0FA55F40"/>
    <w:rsid w:val="0FB01DC7"/>
    <w:rsid w:val="0FB853DE"/>
    <w:rsid w:val="0FBF44A5"/>
    <w:rsid w:val="0FD22DC6"/>
    <w:rsid w:val="0FD61165"/>
    <w:rsid w:val="0FD9386F"/>
    <w:rsid w:val="0FEB3F02"/>
    <w:rsid w:val="0FEC12AC"/>
    <w:rsid w:val="0FF35FA2"/>
    <w:rsid w:val="0FFE79D8"/>
    <w:rsid w:val="101545B0"/>
    <w:rsid w:val="10190127"/>
    <w:rsid w:val="101A15FA"/>
    <w:rsid w:val="10334008"/>
    <w:rsid w:val="103D65EA"/>
    <w:rsid w:val="104622EE"/>
    <w:rsid w:val="106375F3"/>
    <w:rsid w:val="10863CD1"/>
    <w:rsid w:val="108A2F1D"/>
    <w:rsid w:val="108B6078"/>
    <w:rsid w:val="10940819"/>
    <w:rsid w:val="10A01E6D"/>
    <w:rsid w:val="10B17F12"/>
    <w:rsid w:val="10E179E5"/>
    <w:rsid w:val="10E34C3E"/>
    <w:rsid w:val="10E81850"/>
    <w:rsid w:val="10F240D7"/>
    <w:rsid w:val="10F94655"/>
    <w:rsid w:val="112C7EAA"/>
    <w:rsid w:val="113A328C"/>
    <w:rsid w:val="113C5CF8"/>
    <w:rsid w:val="1147570A"/>
    <w:rsid w:val="114B40ED"/>
    <w:rsid w:val="1164165D"/>
    <w:rsid w:val="119A0211"/>
    <w:rsid w:val="11A36111"/>
    <w:rsid w:val="11D14215"/>
    <w:rsid w:val="11DD1D42"/>
    <w:rsid w:val="11E60B61"/>
    <w:rsid w:val="120F1D6A"/>
    <w:rsid w:val="120F7BAA"/>
    <w:rsid w:val="121662E2"/>
    <w:rsid w:val="12253637"/>
    <w:rsid w:val="123238F5"/>
    <w:rsid w:val="123A5493"/>
    <w:rsid w:val="123F4E2C"/>
    <w:rsid w:val="12464170"/>
    <w:rsid w:val="126F2532"/>
    <w:rsid w:val="127C4586"/>
    <w:rsid w:val="128C6EDC"/>
    <w:rsid w:val="12A37114"/>
    <w:rsid w:val="12AF0D54"/>
    <w:rsid w:val="12BD48DE"/>
    <w:rsid w:val="12D1514D"/>
    <w:rsid w:val="12F12A0A"/>
    <w:rsid w:val="12F82528"/>
    <w:rsid w:val="130D214D"/>
    <w:rsid w:val="13116F97"/>
    <w:rsid w:val="1320296C"/>
    <w:rsid w:val="13434018"/>
    <w:rsid w:val="136E0EA6"/>
    <w:rsid w:val="13806E0E"/>
    <w:rsid w:val="13A94786"/>
    <w:rsid w:val="13BA2DA9"/>
    <w:rsid w:val="13C62A96"/>
    <w:rsid w:val="13CF5F42"/>
    <w:rsid w:val="13D24392"/>
    <w:rsid w:val="13D95301"/>
    <w:rsid w:val="13F555AC"/>
    <w:rsid w:val="13F969BB"/>
    <w:rsid w:val="13FE5D71"/>
    <w:rsid w:val="14007173"/>
    <w:rsid w:val="14104DBE"/>
    <w:rsid w:val="14165F86"/>
    <w:rsid w:val="141B1E70"/>
    <w:rsid w:val="142514EF"/>
    <w:rsid w:val="14616724"/>
    <w:rsid w:val="1464695D"/>
    <w:rsid w:val="146A2BC6"/>
    <w:rsid w:val="147E4FDC"/>
    <w:rsid w:val="14860D86"/>
    <w:rsid w:val="14896364"/>
    <w:rsid w:val="14B94599"/>
    <w:rsid w:val="14C0030C"/>
    <w:rsid w:val="14CA2DDE"/>
    <w:rsid w:val="14CA6811"/>
    <w:rsid w:val="14CD4FB8"/>
    <w:rsid w:val="14DE6544"/>
    <w:rsid w:val="14EE27FC"/>
    <w:rsid w:val="1502005F"/>
    <w:rsid w:val="15157230"/>
    <w:rsid w:val="151B5FCB"/>
    <w:rsid w:val="151D2FF9"/>
    <w:rsid w:val="15226EA5"/>
    <w:rsid w:val="153E0C5A"/>
    <w:rsid w:val="15555D8C"/>
    <w:rsid w:val="15583AB9"/>
    <w:rsid w:val="156C155C"/>
    <w:rsid w:val="156D2B6B"/>
    <w:rsid w:val="156F5007"/>
    <w:rsid w:val="15737141"/>
    <w:rsid w:val="157E0D9F"/>
    <w:rsid w:val="157E4FCB"/>
    <w:rsid w:val="159558EB"/>
    <w:rsid w:val="15976130"/>
    <w:rsid w:val="159F4777"/>
    <w:rsid w:val="15AB5525"/>
    <w:rsid w:val="15D177E8"/>
    <w:rsid w:val="15D33CBB"/>
    <w:rsid w:val="15D67C70"/>
    <w:rsid w:val="15E90F62"/>
    <w:rsid w:val="15EE7CB0"/>
    <w:rsid w:val="15F12243"/>
    <w:rsid w:val="15F338F3"/>
    <w:rsid w:val="15F656C6"/>
    <w:rsid w:val="15FC247A"/>
    <w:rsid w:val="16197F63"/>
    <w:rsid w:val="1633073C"/>
    <w:rsid w:val="163C1D60"/>
    <w:rsid w:val="165F5638"/>
    <w:rsid w:val="166B5898"/>
    <w:rsid w:val="16B20BBD"/>
    <w:rsid w:val="16B673D7"/>
    <w:rsid w:val="16CD0CE6"/>
    <w:rsid w:val="16D3600B"/>
    <w:rsid w:val="16D93308"/>
    <w:rsid w:val="16E06EB2"/>
    <w:rsid w:val="16EC5953"/>
    <w:rsid w:val="16EC6F1F"/>
    <w:rsid w:val="16FE69FE"/>
    <w:rsid w:val="170033C5"/>
    <w:rsid w:val="170C31B5"/>
    <w:rsid w:val="170F0286"/>
    <w:rsid w:val="1725132F"/>
    <w:rsid w:val="1726785C"/>
    <w:rsid w:val="172F69FD"/>
    <w:rsid w:val="17486AC1"/>
    <w:rsid w:val="175E0FBA"/>
    <w:rsid w:val="178A1A2B"/>
    <w:rsid w:val="178E3560"/>
    <w:rsid w:val="17917A61"/>
    <w:rsid w:val="17964850"/>
    <w:rsid w:val="17A92705"/>
    <w:rsid w:val="17B30063"/>
    <w:rsid w:val="17B63F62"/>
    <w:rsid w:val="17D82365"/>
    <w:rsid w:val="17DB711A"/>
    <w:rsid w:val="181349A7"/>
    <w:rsid w:val="18167DC2"/>
    <w:rsid w:val="1820020C"/>
    <w:rsid w:val="18243A99"/>
    <w:rsid w:val="18265647"/>
    <w:rsid w:val="184B7C66"/>
    <w:rsid w:val="18552179"/>
    <w:rsid w:val="185C14EF"/>
    <w:rsid w:val="186D3DF5"/>
    <w:rsid w:val="18750730"/>
    <w:rsid w:val="18816FB4"/>
    <w:rsid w:val="188F0149"/>
    <w:rsid w:val="18973C66"/>
    <w:rsid w:val="189A6F7B"/>
    <w:rsid w:val="189B7181"/>
    <w:rsid w:val="189E2090"/>
    <w:rsid w:val="18AC4E65"/>
    <w:rsid w:val="18B23C5A"/>
    <w:rsid w:val="18CE7A9A"/>
    <w:rsid w:val="18D23336"/>
    <w:rsid w:val="18D51F79"/>
    <w:rsid w:val="18E72AE9"/>
    <w:rsid w:val="18EB16F4"/>
    <w:rsid w:val="18FF1694"/>
    <w:rsid w:val="190206AC"/>
    <w:rsid w:val="192F4485"/>
    <w:rsid w:val="19395E9D"/>
    <w:rsid w:val="19652D2D"/>
    <w:rsid w:val="19677A76"/>
    <w:rsid w:val="1987729B"/>
    <w:rsid w:val="19976937"/>
    <w:rsid w:val="199F7B76"/>
    <w:rsid w:val="19A970E3"/>
    <w:rsid w:val="19B005AF"/>
    <w:rsid w:val="19B6506F"/>
    <w:rsid w:val="19B71EDE"/>
    <w:rsid w:val="19E12396"/>
    <w:rsid w:val="19EC59E6"/>
    <w:rsid w:val="1A107829"/>
    <w:rsid w:val="1A1A126D"/>
    <w:rsid w:val="1A301DC6"/>
    <w:rsid w:val="1A3064BC"/>
    <w:rsid w:val="1A342936"/>
    <w:rsid w:val="1A483867"/>
    <w:rsid w:val="1A5818B2"/>
    <w:rsid w:val="1A5B013F"/>
    <w:rsid w:val="1A6F5276"/>
    <w:rsid w:val="1A75219B"/>
    <w:rsid w:val="1A892F95"/>
    <w:rsid w:val="1A9064A0"/>
    <w:rsid w:val="1A913BF4"/>
    <w:rsid w:val="1A915783"/>
    <w:rsid w:val="1AAD43E0"/>
    <w:rsid w:val="1AD2549F"/>
    <w:rsid w:val="1AD737EC"/>
    <w:rsid w:val="1AF17DE8"/>
    <w:rsid w:val="1AF45ACB"/>
    <w:rsid w:val="1AFB301B"/>
    <w:rsid w:val="1AFE38C3"/>
    <w:rsid w:val="1B0E7F10"/>
    <w:rsid w:val="1B160CAE"/>
    <w:rsid w:val="1B427D6A"/>
    <w:rsid w:val="1B58584C"/>
    <w:rsid w:val="1B6D2C4A"/>
    <w:rsid w:val="1B845B2A"/>
    <w:rsid w:val="1B873F2C"/>
    <w:rsid w:val="1BD15CE9"/>
    <w:rsid w:val="1BD23AA2"/>
    <w:rsid w:val="1BD41683"/>
    <w:rsid w:val="1BE2043B"/>
    <w:rsid w:val="1BEE0229"/>
    <w:rsid w:val="1C0337A1"/>
    <w:rsid w:val="1C302B9F"/>
    <w:rsid w:val="1C7079E2"/>
    <w:rsid w:val="1CB61679"/>
    <w:rsid w:val="1CB91C0F"/>
    <w:rsid w:val="1CCA4831"/>
    <w:rsid w:val="1CDA7922"/>
    <w:rsid w:val="1CE75FB9"/>
    <w:rsid w:val="1CF06ACB"/>
    <w:rsid w:val="1CF5493E"/>
    <w:rsid w:val="1CF7240D"/>
    <w:rsid w:val="1CF869F3"/>
    <w:rsid w:val="1D007B91"/>
    <w:rsid w:val="1D0A3433"/>
    <w:rsid w:val="1D1F35A3"/>
    <w:rsid w:val="1D217469"/>
    <w:rsid w:val="1D393A43"/>
    <w:rsid w:val="1D5536C1"/>
    <w:rsid w:val="1D586C33"/>
    <w:rsid w:val="1D5B7ED6"/>
    <w:rsid w:val="1D6E686E"/>
    <w:rsid w:val="1D71456B"/>
    <w:rsid w:val="1D7755F6"/>
    <w:rsid w:val="1D8413B7"/>
    <w:rsid w:val="1D8C1EEC"/>
    <w:rsid w:val="1DA81762"/>
    <w:rsid w:val="1DCC02DB"/>
    <w:rsid w:val="1DD161D5"/>
    <w:rsid w:val="1DDA6EAF"/>
    <w:rsid w:val="1DE358F6"/>
    <w:rsid w:val="1DF21509"/>
    <w:rsid w:val="1DFA0FDD"/>
    <w:rsid w:val="1E105542"/>
    <w:rsid w:val="1E205FE8"/>
    <w:rsid w:val="1E3704ED"/>
    <w:rsid w:val="1E4F0524"/>
    <w:rsid w:val="1E7C1601"/>
    <w:rsid w:val="1E803D19"/>
    <w:rsid w:val="1E8D6B15"/>
    <w:rsid w:val="1EA14418"/>
    <w:rsid w:val="1EA47BA1"/>
    <w:rsid w:val="1ECF1F1F"/>
    <w:rsid w:val="1EDA4DCF"/>
    <w:rsid w:val="1EF14E9F"/>
    <w:rsid w:val="1F0D2CA3"/>
    <w:rsid w:val="1F13449F"/>
    <w:rsid w:val="1F171608"/>
    <w:rsid w:val="1F26371F"/>
    <w:rsid w:val="1F444456"/>
    <w:rsid w:val="1F6664E3"/>
    <w:rsid w:val="1F7E36E2"/>
    <w:rsid w:val="1F8244FD"/>
    <w:rsid w:val="1F975BB4"/>
    <w:rsid w:val="1F9834CD"/>
    <w:rsid w:val="1FB410A7"/>
    <w:rsid w:val="1FB444D1"/>
    <w:rsid w:val="1FB67AC8"/>
    <w:rsid w:val="1FCD3493"/>
    <w:rsid w:val="1FD25BC1"/>
    <w:rsid w:val="1FDA6CF9"/>
    <w:rsid w:val="1FE8022F"/>
    <w:rsid w:val="1FE85569"/>
    <w:rsid w:val="1FF55405"/>
    <w:rsid w:val="2016755E"/>
    <w:rsid w:val="203C3566"/>
    <w:rsid w:val="20774A8E"/>
    <w:rsid w:val="207F7013"/>
    <w:rsid w:val="208E187A"/>
    <w:rsid w:val="208E633F"/>
    <w:rsid w:val="20936080"/>
    <w:rsid w:val="2099353A"/>
    <w:rsid w:val="209E0B48"/>
    <w:rsid w:val="20C06496"/>
    <w:rsid w:val="20D45640"/>
    <w:rsid w:val="20D5591F"/>
    <w:rsid w:val="20DC4BF8"/>
    <w:rsid w:val="21017627"/>
    <w:rsid w:val="21034D8F"/>
    <w:rsid w:val="211577AD"/>
    <w:rsid w:val="21230E93"/>
    <w:rsid w:val="2141469F"/>
    <w:rsid w:val="214D79DB"/>
    <w:rsid w:val="2153109E"/>
    <w:rsid w:val="21691B7A"/>
    <w:rsid w:val="21810C6E"/>
    <w:rsid w:val="219977DE"/>
    <w:rsid w:val="21C52C81"/>
    <w:rsid w:val="21CA3AEE"/>
    <w:rsid w:val="21EB1638"/>
    <w:rsid w:val="21ED35E4"/>
    <w:rsid w:val="21F8237E"/>
    <w:rsid w:val="220E348F"/>
    <w:rsid w:val="222222E3"/>
    <w:rsid w:val="222959B2"/>
    <w:rsid w:val="22344EA2"/>
    <w:rsid w:val="223470F0"/>
    <w:rsid w:val="22347F6F"/>
    <w:rsid w:val="22417296"/>
    <w:rsid w:val="22553EDF"/>
    <w:rsid w:val="22565666"/>
    <w:rsid w:val="225D613E"/>
    <w:rsid w:val="227A66C9"/>
    <w:rsid w:val="228C17CE"/>
    <w:rsid w:val="229A4B51"/>
    <w:rsid w:val="22C61442"/>
    <w:rsid w:val="22D958F1"/>
    <w:rsid w:val="22E07CDC"/>
    <w:rsid w:val="22E1551E"/>
    <w:rsid w:val="22E8446C"/>
    <w:rsid w:val="22F20D9D"/>
    <w:rsid w:val="22F42452"/>
    <w:rsid w:val="23034FE2"/>
    <w:rsid w:val="232655DA"/>
    <w:rsid w:val="232664D9"/>
    <w:rsid w:val="2335298B"/>
    <w:rsid w:val="2339692C"/>
    <w:rsid w:val="23535965"/>
    <w:rsid w:val="235E545F"/>
    <w:rsid w:val="23602788"/>
    <w:rsid w:val="2366311B"/>
    <w:rsid w:val="23670D9B"/>
    <w:rsid w:val="2374178A"/>
    <w:rsid w:val="237A2F43"/>
    <w:rsid w:val="23877E3D"/>
    <w:rsid w:val="238A6EA6"/>
    <w:rsid w:val="23950DE3"/>
    <w:rsid w:val="23A23732"/>
    <w:rsid w:val="23AB1ED3"/>
    <w:rsid w:val="23EA3D19"/>
    <w:rsid w:val="23EE7F74"/>
    <w:rsid w:val="23F4749B"/>
    <w:rsid w:val="24091F40"/>
    <w:rsid w:val="241F79B6"/>
    <w:rsid w:val="242033C1"/>
    <w:rsid w:val="24297E5E"/>
    <w:rsid w:val="24531827"/>
    <w:rsid w:val="2459586C"/>
    <w:rsid w:val="248B29E1"/>
    <w:rsid w:val="249C1610"/>
    <w:rsid w:val="24A02B6F"/>
    <w:rsid w:val="24AF2BAB"/>
    <w:rsid w:val="24B92952"/>
    <w:rsid w:val="24C745F2"/>
    <w:rsid w:val="24CB76DB"/>
    <w:rsid w:val="24E47D1B"/>
    <w:rsid w:val="24EE303C"/>
    <w:rsid w:val="24F4015E"/>
    <w:rsid w:val="24FD02A2"/>
    <w:rsid w:val="251D3400"/>
    <w:rsid w:val="251D4327"/>
    <w:rsid w:val="25430D6F"/>
    <w:rsid w:val="2550113B"/>
    <w:rsid w:val="25581854"/>
    <w:rsid w:val="257F79BA"/>
    <w:rsid w:val="25890C3E"/>
    <w:rsid w:val="25AB08E7"/>
    <w:rsid w:val="25B119BE"/>
    <w:rsid w:val="25B530E7"/>
    <w:rsid w:val="25C86528"/>
    <w:rsid w:val="25D0764B"/>
    <w:rsid w:val="25D15777"/>
    <w:rsid w:val="25DC20F2"/>
    <w:rsid w:val="25E62AB6"/>
    <w:rsid w:val="26081E93"/>
    <w:rsid w:val="2616108E"/>
    <w:rsid w:val="26234909"/>
    <w:rsid w:val="2637173D"/>
    <w:rsid w:val="26483EB7"/>
    <w:rsid w:val="26506968"/>
    <w:rsid w:val="266753E2"/>
    <w:rsid w:val="26771704"/>
    <w:rsid w:val="267D0FBF"/>
    <w:rsid w:val="26811C7C"/>
    <w:rsid w:val="268279C5"/>
    <w:rsid w:val="26846892"/>
    <w:rsid w:val="268744F6"/>
    <w:rsid w:val="2690596D"/>
    <w:rsid w:val="26957100"/>
    <w:rsid w:val="26A47116"/>
    <w:rsid w:val="26BB5508"/>
    <w:rsid w:val="26D55BB8"/>
    <w:rsid w:val="26DB1FEE"/>
    <w:rsid w:val="26DD79C7"/>
    <w:rsid w:val="26DE2F8A"/>
    <w:rsid w:val="26EC366D"/>
    <w:rsid w:val="26F0743C"/>
    <w:rsid w:val="2708356F"/>
    <w:rsid w:val="27086C6A"/>
    <w:rsid w:val="272B4369"/>
    <w:rsid w:val="2734584C"/>
    <w:rsid w:val="273F36DD"/>
    <w:rsid w:val="274B78A8"/>
    <w:rsid w:val="275A49CE"/>
    <w:rsid w:val="2760529C"/>
    <w:rsid w:val="2760600F"/>
    <w:rsid w:val="27620524"/>
    <w:rsid w:val="27802BAF"/>
    <w:rsid w:val="279C58AF"/>
    <w:rsid w:val="27A1638F"/>
    <w:rsid w:val="27A35B29"/>
    <w:rsid w:val="27B16394"/>
    <w:rsid w:val="27C74E98"/>
    <w:rsid w:val="27C86C35"/>
    <w:rsid w:val="27D521FE"/>
    <w:rsid w:val="27D5434F"/>
    <w:rsid w:val="27D71AD1"/>
    <w:rsid w:val="27E2350D"/>
    <w:rsid w:val="27FA76AC"/>
    <w:rsid w:val="28086742"/>
    <w:rsid w:val="2812406C"/>
    <w:rsid w:val="281F6B33"/>
    <w:rsid w:val="2829429B"/>
    <w:rsid w:val="283B0A0C"/>
    <w:rsid w:val="28417F22"/>
    <w:rsid w:val="28587092"/>
    <w:rsid w:val="285E1277"/>
    <w:rsid w:val="287D14D3"/>
    <w:rsid w:val="28844ED7"/>
    <w:rsid w:val="28A767F6"/>
    <w:rsid w:val="28AF414C"/>
    <w:rsid w:val="28BF5288"/>
    <w:rsid w:val="28CC5E4C"/>
    <w:rsid w:val="28CE62D7"/>
    <w:rsid w:val="28F47DEB"/>
    <w:rsid w:val="28FA7291"/>
    <w:rsid w:val="2900015E"/>
    <w:rsid w:val="2917115E"/>
    <w:rsid w:val="29250A31"/>
    <w:rsid w:val="29260E14"/>
    <w:rsid w:val="29321D9B"/>
    <w:rsid w:val="29350635"/>
    <w:rsid w:val="293C71DC"/>
    <w:rsid w:val="295D5F8F"/>
    <w:rsid w:val="297B2FE8"/>
    <w:rsid w:val="29891E92"/>
    <w:rsid w:val="29922E04"/>
    <w:rsid w:val="299F183D"/>
    <w:rsid w:val="29AE182F"/>
    <w:rsid w:val="29BB666D"/>
    <w:rsid w:val="29C519F4"/>
    <w:rsid w:val="29DC0F76"/>
    <w:rsid w:val="29DD48AF"/>
    <w:rsid w:val="29EA306F"/>
    <w:rsid w:val="29F34B1B"/>
    <w:rsid w:val="29F45338"/>
    <w:rsid w:val="2A0362B0"/>
    <w:rsid w:val="2A263A6F"/>
    <w:rsid w:val="2A2741F3"/>
    <w:rsid w:val="2A281B2E"/>
    <w:rsid w:val="2A2C7966"/>
    <w:rsid w:val="2A2D77F6"/>
    <w:rsid w:val="2A3727FD"/>
    <w:rsid w:val="2A3E451D"/>
    <w:rsid w:val="2A501D37"/>
    <w:rsid w:val="2A550EEC"/>
    <w:rsid w:val="2A5B4AA2"/>
    <w:rsid w:val="2A5D6E78"/>
    <w:rsid w:val="2A8E73F9"/>
    <w:rsid w:val="2AA70B4C"/>
    <w:rsid w:val="2AAC11E5"/>
    <w:rsid w:val="2AB2654D"/>
    <w:rsid w:val="2ACB5C2A"/>
    <w:rsid w:val="2AD30303"/>
    <w:rsid w:val="2AE1612F"/>
    <w:rsid w:val="2AE700C0"/>
    <w:rsid w:val="2AEC113B"/>
    <w:rsid w:val="2AF47DAD"/>
    <w:rsid w:val="2B067DD5"/>
    <w:rsid w:val="2B16093F"/>
    <w:rsid w:val="2B347B31"/>
    <w:rsid w:val="2B371891"/>
    <w:rsid w:val="2B3E57B3"/>
    <w:rsid w:val="2B44452D"/>
    <w:rsid w:val="2B5A37F8"/>
    <w:rsid w:val="2B5C4610"/>
    <w:rsid w:val="2B5F76CB"/>
    <w:rsid w:val="2B705903"/>
    <w:rsid w:val="2B814752"/>
    <w:rsid w:val="2B931447"/>
    <w:rsid w:val="2B9E7A86"/>
    <w:rsid w:val="2BA46901"/>
    <w:rsid w:val="2BC1666B"/>
    <w:rsid w:val="2BC169D9"/>
    <w:rsid w:val="2BC45C78"/>
    <w:rsid w:val="2BDC0560"/>
    <w:rsid w:val="2BEC37F7"/>
    <w:rsid w:val="2BFB654B"/>
    <w:rsid w:val="2C274BAC"/>
    <w:rsid w:val="2C48282B"/>
    <w:rsid w:val="2C64057D"/>
    <w:rsid w:val="2C6B5A73"/>
    <w:rsid w:val="2C6D31C1"/>
    <w:rsid w:val="2C6F75D6"/>
    <w:rsid w:val="2C8D1E18"/>
    <w:rsid w:val="2CAB36AC"/>
    <w:rsid w:val="2CBB3D8D"/>
    <w:rsid w:val="2CC108C1"/>
    <w:rsid w:val="2CD12882"/>
    <w:rsid w:val="2CD36EE4"/>
    <w:rsid w:val="2CE2567B"/>
    <w:rsid w:val="2CF13D4A"/>
    <w:rsid w:val="2D092943"/>
    <w:rsid w:val="2D1C409B"/>
    <w:rsid w:val="2D3045EF"/>
    <w:rsid w:val="2D3A7AC2"/>
    <w:rsid w:val="2D4137BB"/>
    <w:rsid w:val="2D52459A"/>
    <w:rsid w:val="2D6B21CC"/>
    <w:rsid w:val="2D8D2C66"/>
    <w:rsid w:val="2DA64A83"/>
    <w:rsid w:val="2DB1436E"/>
    <w:rsid w:val="2DB15731"/>
    <w:rsid w:val="2DB21188"/>
    <w:rsid w:val="2DC95D0A"/>
    <w:rsid w:val="2DD61BAF"/>
    <w:rsid w:val="2DD8249E"/>
    <w:rsid w:val="2DE95D43"/>
    <w:rsid w:val="2DEE1133"/>
    <w:rsid w:val="2DF52089"/>
    <w:rsid w:val="2DFC2A2E"/>
    <w:rsid w:val="2E0761F7"/>
    <w:rsid w:val="2E321E46"/>
    <w:rsid w:val="2E383A04"/>
    <w:rsid w:val="2E5639EE"/>
    <w:rsid w:val="2E5C3172"/>
    <w:rsid w:val="2E5D2D25"/>
    <w:rsid w:val="2E7B175B"/>
    <w:rsid w:val="2E9048D0"/>
    <w:rsid w:val="2E91096B"/>
    <w:rsid w:val="2E9846F7"/>
    <w:rsid w:val="2E9D0D17"/>
    <w:rsid w:val="2EB52575"/>
    <w:rsid w:val="2EC06B3C"/>
    <w:rsid w:val="2ED11DEC"/>
    <w:rsid w:val="2EE74385"/>
    <w:rsid w:val="2EF165DB"/>
    <w:rsid w:val="2EFB1201"/>
    <w:rsid w:val="2F086D77"/>
    <w:rsid w:val="2F455B2D"/>
    <w:rsid w:val="2F4D1D2F"/>
    <w:rsid w:val="2F4D57F5"/>
    <w:rsid w:val="2F4D5F0B"/>
    <w:rsid w:val="2F516EF8"/>
    <w:rsid w:val="2F5703FE"/>
    <w:rsid w:val="2F7F0BD4"/>
    <w:rsid w:val="2F8764FC"/>
    <w:rsid w:val="2F8961EE"/>
    <w:rsid w:val="2FAD45F8"/>
    <w:rsid w:val="2FBB7929"/>
    <w:rsid w:val="2FC47A5A"/>
    <w:rsid w:val="2FD14291"/>
    <w:rsid w:val="2FD512F2"/>
    <w:rsid w:val="2FDF403F"/>
    <w:rsid w:val="2FEC4CAD"/>
    <w:rsid w:val="2FF35467"/>
    <w:rsid w:val="30246606"/>
    <w:rsid w:val="302C2E3F"/>
    <w:rsid w:val="30356685"/>
    <w:rsid w:val="303B25A1"/>
    <w:rsid w:val="305722C1"/>
    <w:rsid w:val="30736C0D"/>
    <w:rsid w:val="30800075"/>
    <w:rsid w:val="30906194"/>
    <w:rsid w:val="30945E29"/>
    <w:rsid w:val="30976186"/>
    <w:rsid w:val="30A46CA1"/>
    <w:rsid w:val="30BB7108"/>
    <w:rsid w:val="30E35EC4"/>
    <w:rsid w:val="30FB41AF"/>
    <w:rsid w:val="30FC6FF1"/>
    <w:rsid w:val="310568AF"/>
    <w:rsid w:val="31092143"/>
    <w:rsid w:val="310C0C12"/>
    <w:rsid w:val="311466B6"/>
    <w:rsid w:val="311474E2"/>
    <w:rsid w:val="311E53B3"/>
    <w:rsid w:val="31225311"/>
    <w:rsid w:val="312F2CE8"/>
    <w:rsid w:val="313214FE"/>
    <w:rsid w:val="31344449"/>
    <w:rsid w:val="31425CBD"/>
    <w:rsid w:val="319020A5"/>
    <w:rsid w:val="319D0C80"/>
    <w:rsid w:val="31A20542"/>
    <w:rsid w:val="31A842FE"/>
    <w:rsid w:val="31AF10FD"/>
    <w:rsid w:val="31BA1B17"/>
    <w:rsid w:val="31C75DF2"/>
    <w:rsid w:val="31EF4D5A"/>
    <w:rsid w:val="320E7813"/>
    <w:rsid w:val="32171DCB"/>
    <w:rsid w:val="321729F4"/>
    <w:rsid w:val="3244526A"/>
    <w:rsid w:val="324F4ED3"/>
    <w:rsid w:val="32502FAF"/>
    <w:rsid w:val="325E4A83"/>
    <w:rsid w:val="326C643E"/>
    <w:rsid w:val="326E7C5F"/>
    <w:rsid w:val="32700B49"/>
    <w:rsid w:val="32806C88"/>
    <w:rsid w:val="3285206E"/>
    <w:rsid w:val="3286132A"/>
    <w:rsid w:val="32867DE8"/>
    <w:rsid w:val="3288687C"/>
    <w:rsid w:val="328D23D5"/>
    <w:rsid w:val="32943DB9"/>
    <w:rsid w:val="32B772B6"/>
    <w:rsid w:val="32EC07CF"/>
    <w:rsid w:val="32F507BF"/>
    <w:rsid w:val="32F6068B"/>
    <w:rsid w:val="33045C47"/>
    <w:rsid w:val="33057077"/>
    <w:rsid w:val="330710FC"/>
    <w:rsid w:val="330A4B39"/>
    <w:rsid w:val="330D5134"/>
    <w:rsid w:val="331B5CC3"/>
    <w:rsid w:val="331B73AA"/>
    <w:rsid w:val="331C345C"/>
    <w:rsid w:val="33261146"/>
    <w:rsid w:val="33326E42"/>
    <w:rsid w:val="33621833"/>
    <w:rsid w:val="337279BC"/>
    <w:rsid w:val="33877DA5"/>
    <w:rsid w:val="33892C30"/>
    <w:rsid w:val="33913ABC"/>
    <w:rsid w:val="33921FA7"/>
    <w:rsid w:val="33965647"/>
    <w:rsid w:val="33A40538"/>
    <w:rsid w:val="33A7672C"/>
    <w:rsid w:val="33B826E1"/>
    <w:rsid w:val="33D46C89"/>
    <w:rsid w:val="33D86DE8"/>
    <w:rsid w:val="33D9352F"/>
    <w:rsid w:val="33EF4FF0"/>
    <w:rsid w:val="33FE189F"/>
    <w:rsid w:val="340323DC"/>
    <w:rsid w:val="34060E54"/>
    <w:rsid w:val="341D1349"/>
    <w:rsid w:val="34323100"/>
    <w:rsid w:val="3432344B"/>
    <w:rsid w:val="34363A8C"/>
    <w:rsid w:val="3447455D"/>
    <w:rsid w:val="34523306"/>
    <w:rsid w:val="345760B6"/>
    <w:rsid w:val="34590786"/>
    <w:rsid w:val="346258E9"/>
    <w:rsid w:val="3471156C"/>
    <w:rsid w:val="34757473"/>
    <w:rsid w:val="34814C32"/>
    <w:rsid w:val="34B42C5B"/>
    <w:rsid w:val="34B67C75"/>
    <w:rsid w:val="34BB5083"/>
    <w:rsid w:val="34CD41F2"/>
    <w:rsid w:val="34CE670D"/>
    <w:rsid w:val="34D412D6"/>
    <w:rsid w:val="34E6039A"/>
    <w:rsid w:val="34F5055B"/>
    <w:rsid w:val="351D5363"/>
    <w:rsid w:val="351E62D6"/>
    <w:rsid w:val="35376096"/>
    <w:rsid w:val="35431B93"/>
    <w:rsid w:val="35460F5D"/>
    <w:rsid w:val="356A7283"/>
    <w:rsid w:val="356F3577"/>
    <w:rsid w:val="35775656"/>
    <w:rsid w:val="35820D66"/>
    <w:rsid w:val="35936262"/>
    <w:rsid w:val="35954950"/>
    <w:rsid w:val="359844F9"/>
    <w:rsid w:val="35D50EEA"/>
    <w:rsid w:val="35E97AB4"/>
    <w:rsid w:val="35F5438F"/>
    <w:rsid w:val="36060A31"/>
    <w:rsid w:val="36063AA5"/>
    <w:rsid w:val="362751BB"/>
    <w:rsid w:val="363E0B77"/>
    <w:rsid w:val="3647752B"/>
    <w:rsid w:val="364A6D66"/>
    <w:rsid w:val="365B32CF"/>
    <w:rsid w:val="365D0AB2"/>
    <w:rsid w:val="36646854"/>
    <w:rsid w:val="3673199D"/>
    <w:rsid w:val="36901BC0"/>
    <w:rsid w:val="369124F7"/>
    <w:rsid w:val="36A06993"/>
    <w:rsid w:val="36D44329"/>
    <w:rsid w:val="36DB7DB3"/>
    <w:rsid w:val="36F0635F"/>
    <w:rsid w:val="3700223B"/>
    <w:rsid w:val="37175B97"/>
    <w:rsid w:val="37293DBF"/>
    <w:rsid w:val="373C2B6E"/>
    <w:rsid w:val="374E700C"/>
    <w:rsid w:val="37713FA5"/>
    <w:rsid w:val="377717E1"/>
    <w:rsid w:val="37780334"/>
    <w:rsid w:val="37885779"/>
    <w:rsid w:val="378A5368"/>
    <w:rsid w:val="37973EEF"/>
    <w:rsid w:val="37A40B72"/>
    <w:rsid w:val="37A4235A"/>
    <w:rsid w:val="37FA7CA0"/>
    <w:rsid w:val="37FC5F48"/>
    <w:rsid w:val="38254F63"/>
    <w:rsid w:val="38401074"/>
    <w:rsid w:val="38427C2B"/>
    <w:rsid w:val="3844054E"/>
    <w:rsid w:val="3846124D"/>
    <w:rsid w:val="384814C4"/>
    <w:rsid w:val="38483892"/>
    <w:rsid w:val="38571D64"/>
    <w:rsid w:val="38597CC7"/>
    <w:rsid w:val="388B6137"/>
    <w:rsid w:val="38A13B94"/>
    <w:rsid w:val="38B34FA9"/>
    <w:rsid w:val="38E26EBA"/>
    <w:rsid w:val="38F230CA"/>
    <w:rsid w:val="39045C68"/>
    <w:rsid w:val="39220A0B"/>
    <w:rsid w:val="393E0F8D"/>
    <w:rsid w:val="39420351"/>
    <w:rsid w:val="396166E3"/>
    <w:rsid w:val="39657A67"/>
    <w:rsid w:val="3966406C"/>
    <w:rsid w:val="396B3DF6"/>
    <w:rsid w:val="396E7BBD"/>
    <w:rsid w:val="3980152E"/>
    <w:rsid w:val="39904395"/>
    <w:rsid w:val="39935CF4"/>
    <w:rsid w:val="399379C2"/>
    <w:rsid w:val="39AC17EB"/>
    <w:rsid w:val="39B8057E"/>
    <w:rsid w:val="39B962F9"/>
    <w:rsid w:val="39C34C8B"/>
    <w:rsid w:val="39CF55E8"/>
    <w:rsid w:val="39D17EC5"/>
    <w:rsid w:val="39E71B8C"/>
    <w:rsid w:val="39ED60DF"/>
    <w:rsid w:val="3A075BB0"/>
    <w:rsid w:val="3A216D98"/>
    <w:rsid w:val="3A265569"/>
    <w:rsid w:val="3A520EC7"/>
    <w:rsid w:val="3A52677F"/>
    <w:rsid w:val="3A565B68"/>
    <w:rsid w:val="3A591DA6"/>
    <w:rsid w:val="3A5E054C"/>
    <w:rsid w:val="3A6C648E"/>
    <w:rsid w:val="3A867D10"/>
    <w:rsid w:val="3A8C7138"/>
    <w:rsid w:val="3AA92664"/>
    <w:rsid w:val="3ABA2E7F"/>
    <w:rsid w:val="3AC13EB4"/>
    <w:rsid w:val="3AC43FEB"/>
    <w:rsid w:val="3ACD382D"/>
    <w:rsid w:val="3AD01EF3"/>
    <w:rsid w:val="3AD64395"/>
    <w:rsid w:val="3AEE717A"/>
    <w:rsid w:val="3AEF5A8D"/>
    <w:rsid w:val="3B0465EE"/>
    <w:rsid w:val="3B0971C4"/>
    <w:rsid w:val="3B0D0296"/>
    <w:rsid w:val="3B194ECB"/>
    <w:rsid w:val="3B2202C0"/>
    <w:rsid w:val="3B293294"/>
    <w:rsid w:val="3B4A6535"/>
    <w:rsid w:val="3B5E7602"/>
    <w:rsid w:val="3B684872"/>
    <w:rsid w:val="3B6A0FF2"/>
    <w:rsid w:val="3B87778C"/>
    <w:rsid w:val="3BA36CDC"/>
    <w:rsid w:val="3BBB3053"/>
    <w:rsid w:val="3BCA4147"/>
    <w:rsid w:val="3BD04C08"/>
    <w:rsid w:val="3BE60595"/>
    <w:rsid w:val="3BE62708"/>
    <w:rsid w:val="3BF05B3A"/>
    <w:rsid w:val="3C085A87"/>
    <w:rsid w:val="3C2A1319"/>
    <w:rsid w:val="3C394B21"/>
    <w:rsid w:val="3C576F14"/>
    <w:rsid w:val="3C5E1484"/>
    <w:rsid w:val="3C69267D"/>
    <w:rsid w:val="3C6C3124"/>
    <w:rsid w:val="3C766869"/>
    <w:rsid w:val="3C7D3432"/>
    <w:rsid w:val="3C8E100B"/>
    <w:rsid w:val="3C9D71B1"/>
    <w:rsid w:val="3CA7523F"/>
    <w:rsid w:val="3CA93A90"/>
    <w:rsid w:val="3CB32303"/>
    <w:rsid w:val="3CC33CE8"/>
    <w:rsid w:val="3CC84084"/>
    <w:rsid w:val="3CCA340A"/>
    <w:rsid w:val="3CCD6D29"/>
    <w:rsid w:val="3CCF7D2B"/>
    <w:rsid w:val="3CEC7BA4"/>
    <w:rsid w:val="3CED1ADC"/>
    <w:rsid w:val="3D226D69"/>
    <w:rsid w:val="3D3E4113"/>
    <w:rsid w:val="3D435D2E"/>
    <w:rsid w:val="3D6D6330"/>
    <w:rsid w:val="3D7E3438"/>
    <w:rsid w:val="3D80580A"/>
    <w:rsid w:val="3D9D48C3"/>
    <w:rsid w:val="3DB760CD"/>
    <w:rsid w:val="3DBB2D59"/>
    <w:rsid w:val="3DCE434C"/>
    <w:rsid w:val="3DD25139"/>
    <w:rsid w:val="3DD71205"/>
    <w:rsid w:val="3DE21246"/>
    <w:rsid w:val="3DEC219C"/>
    <w:rsid w:val="3DF215D5"/>
    <w:rsid w:val="3E001A3E"/>
    <w:rsid w:val="3E0B74C8"/>
    <w:rsid w:val="3E1501FD"/>
    <w:rsid w:val="3E243316"/>
    <w:rsid w:val="3E2904DB"/>
    <w:rsid w:val="3E303073"/>
    <w:rsid w:val="3E3D2E28"/>
    <w:rsid w:val="3E5E4C45"/>
    <w:rsid w:val="3E7333AD"/>
    <w:rsid w:val="3E743561"/>
    <w:rsid w:val="3E750E3F"/>
    <w:rsid w:val="3E7A082F"/>
    <w:rsid w:val="3E7B6BB9"/>
    <w:rsid w:val="3E8248EC"/>
    <w:rsid w:val="3E9221C4"/>
    <w:rsid w:val="3E9A6A65"/>
    <w:rsid w:val="3E9D591B"/>
    <w:rsid w:val="3EA47ABC"/>
    <w:rsid w:val="3EB27DAF"/>
    <w:rsid w:val="3EB46168"/>
    <w:rsid w:val="3EB76836"/>
    <w:rsid w:val="3EDC48E1"/>
    <w:rsid w:val="3EFD0DE0"/>
    <w:rsid w:val="3F02226D"/>
    <w:rsid w:val="3F1740E4"/>
    <w:rsid w:val="3F4F465E"/>
    <w:rsid w:val="3F540382"/>
    <w:rsid w:val="3F57633A"/>
    <w:rsid w:val="3F5A0B4C"/>
    <w:rsid w:val="3F606081"/>
    <w:rsid w:val="3F68041B"/>
    <w:rsid w:val="3F6917BC"/>
    <w:rsid w:val="3F7415E6"/>
    <w:rsid w:val="3F757A92"/>
    <w:rsid w:val="3F8664B6"/>
    <w:rsid w:val="3F895F42"/>
    <w:rsid w:val="3FA17DEB"/>
    <w:rsid w:val="3FB627FA"/>
    <w:rsid w:val="3FBB2E39"/>
    <w:rsid w:val="3FD43538"/>
    <w:rsid w:val="3FEB4E8D"/>
    <w:rsid w:val="40096756"/>
    <w:rsid w:val="40097787"/>
    <w:rsid w:val="400A2B3B"/>
    <w:rsid w:val="400E5934"/>
    <w:rsid w:val="40386C66"/>
    <w:rsid w:val="403B3399"/>
    <w:rsid w:val="407C31B1"/>
    <w:rsid w:val="40A05C56"/>
    <w:rsid w:val="40AA52C9"/>
    <w:rsid w:val="40B005A5"/>
    <w:rsid w:val="40BA6D03"/>
    <w:rsid w:val="40C76229"/>
    <w:rsid w:val="40CD78C9"/>
    <w:rsid w:val="40CF020B"/>
    <w:rsid w:val="40D32BD4"/>
    <w:rsid w:val="40DE4A84"/>
    <w:rsid w:val="411C6593"/>
    <w:rsid w:val="41267BA0"/>
    <w:rsid w:val="412C591A"/>
    <w:rsid w:val="41363AC6"/>
    <w:rsid w:val="414B20CC"/>
    <w:rsid w:val="416B01BE"/>
    <w:rsid w:val="417D15FC"/>
    <w:rsid w:val="418B2A07"/>
    <w:rsid w:val="418C12E5"/>
    <w:rsid w:val="41922550"/>
    <w:rsid w:val="41956172"/>
    <w:rsid w:val="41A40877"/>
    <w:rsid w:val="41C918CF"/>
    <w:rsid w:val="41E213BC"/>
    <w:rsid w:val="41EB2731"/>
    <w:rsid w:val="420B114B"/>
    <w:rsid w:val="420B4A36"/>
    <w:rsid w:val="42121120"/>
    <w:rsid w:val="42176F30"/>
    <w:rsid w:val="42254E14"/>
    <w:rsid w:val="423414E8"/>
    <w:rsid w:val="42382C4E"/>
    <w:rsid w:val="424F68DB"/>
    <w:rsid w:val="42654DF3"/>
    <w:rsid w:val="4265559D"/>
    <w:rsid w:val="42774E02"/>
    <w:rsid w:val="427C47C8"/>
    <w:rsid w:val="427E62E9"/>
    <w:rsid w:val="428809F7"/>
    <w:rsid w:val="42897CC9"/>
    <w:rsid w:val="429D4129"/>
    <w:rsid w:val="42C52606"/>
    <w:rsid w:val="42C73E7F"/>
    <w:rsid w:val="42F12166"/>
    <w:rsid w:val="42F127D9"/>
    <w:rsid w:val="43065A5B"/>
    <w:rsid w:val="43092A59"/>
    <w:rsid w:val="430F5E15"/>
    <w:rsid w:val="43173E0D"/>
    <w:rsid w:val="431E33C7"/>
    <w:rsid w:val="432C31F8"/>
    <w:rsid w:val="435647E4"/>
    <w:rsid w:val="43625C4A"/>
    <w:rsid w:val="43657239"/>
    <w:rsid w:val="436E485B"/>
    <w:rsid w:val="437C27BF"/>
    <w:rsid w:val="437E7E51"/>
    <w:rsid w:val="43871081"/>
    <w:rsid w:val="439D17F3"/>
    <w:rsid w:val="43AA72A4"/>
    <w:rsid w:val="43BE1A0F"/>
    <w:rsid w:val="43C223AB"/>
    <w:rsid w:val="43C8196E"/>
    <w:rsid w:val="43DB4889"/>
    <w:rsid w:val="43F0575A"/>
    <w:rsid w:val="43FD410B"/>
    <w:rsid w:val="443000D9"/>
    <w:rsid w:val="443A46F3"/>
    <w:rsid w:val="44411C1E"/>
    <w:rsid w:val="444B027E"/>
    <w:rsid w:val="445879F7"/>
    <w:rsid w:val="445B23D7"/>
    <w:rsid w:val="44672E47"/>
    <w:rsid w:val="446934A5"/>
    <w:rsid w:val="446D54E1"/>
    <w:rsid w:val="446F266D"/>
    <w:rsid w:val="44707D34"/>
    <w:rsid w:val="44760F09"/>
    <w:rsid w:val="449F7118"/>
    <w:rsid w:val="44B812C8"/>
    <w:rsid w:val="44DB72AF"/>
    <w:rsid w:val="44E729A3"/>
    <w:rsid w:val="44F16E3E"/>
    <w:rsid w:val="44FA6C3E"/>
    <w:rsid w:val="45013B22"/>
    <w:rsid w:val="45086664"/>
    <w:rsid w:val="45165D7A"/>
    <w:rsid w:val="453A7ED5"/>
    <w:rsid w:val="455534B1"/>
    <w:rsid w:val="45657ACE"/>
    <w:rsid w:val="456F6724"/>
    <w:rsid w:val="459A3D5A"/>
    <w:rsid w:val="45C76CF8"/>
    <w:rsid w:val="45CD1413"/>
    <w:rsid w:val="45D43058"/>
    <w:rsid w:val="45D53E17"/>
    <w:rsid w:val="45E3142C"/>
    <w:rsid w:val="45F04A1D"/>
    <w:rsid w:val="45FA52F3"/>
    <w:rsid w:val="46040810"/>
    <w:rsid w:val="46055208"/>
    <w:rsid w:val="46084367"/>
    <w:rsid w:val="46245718"/>
    <w:rsid w:val="46284D56"/>
    <w:rsid w:val="46523199"/>
    <w:rsid w:val="46596583"/>
    <w:rsid w:val="466536BA"/>
    <w:rsid w:val="46681CD9"/>
    <w:rsid w:val="468E1088"/>
    <w:rsid w:val="46B548B2"/>
    <w:rsid w:val="46B55A3A"/>
    <w:rsid w:val="46C756B0"/>
    <w:rsid w:val="46D07320"/>
    <w:rsid w:val="46EB19F1"/>
    <w:rsid w:val="4703605D"/>
    <w:rsid w:val="472A0D17"/>
    <w:rsid w:val="472C53D1"/>
    <w:rsid w:val="474370B7"/>
    <w:rsid w:val="474534B3"/>
    <w:rsid w:val="47871D9C"/>
    <w:rsid w:val="479122BD"/>
    <w:rsid w:val="4798476C"/>
    <w:rsid w:val="47B261EB"/>
    <w:rsid w:val="47B64E3C"/>
    <w:rsid w:val="47BD1EF7"/>
    <w:rsid w:val="47C66B71"/>
    <w:rsid w:val="47CD0BB6"/>
    <w:rsid w:val="47D37996"/>
    <w:rsid w:val="47D606B7"/>
    <w:rsid w:val="47EC6C71"/>
    <w:rsid w:val="47EF2A11"/>
    <w:rsid w:val="480B0D56"/>
    <w:rsid w:val="48142C8E"/>
    <w:rsid w:val="4818095B"/>
    <w:rsid w:val="481900FB"/>
    <w:rsid w:val="4819659E"/>
    <w:rsid w:val="48197034"/>
    <w:rsid w:val="48212E5D"/>
    <w:rsid w:val="484E0E86"/>
    <w:rsid w:val="48537558"/>
    <w:rsid w:val="48647E59"/>
    <w:rsid w:val="486858FE"/>
    <w:rsid w:val="48761112"/>
    <w:rsid w:val="48783DBD"/>
    <w:rsid w:val="487E0920"/>
    <w:rsid w:val="487F3F49"/>
    <w:rsid w:val="488275E2"/>
    <w:rsid w:val="4887136D"/>
    <w:rsid w:val="489229AF"/>
    <w:rsid w:val="48967023"/>
    <w:rsid w:val="48A16496"/>
    <w:rsid w:val="48AD14DF"/>
    <w:rsid w:val="48BE5405"/>
    <w:rsid w:val="48C26FBF"/>
    <w:rsid w:val="48C57EA4"/>
    <w:rsid w:val="48C97B3F"/>
    <w:rsid w:val="48CC4891"/>
    <w:rsid w:val="48D76221"/>
    <w:rsid w:val="48DF3197"/>
    <w:rsid w:val="48E77620"/>
    <w:rsid w:val="4909249F"/>
    <w:rsid w:val="490A7F44"/>
    <w:rsid w:val="491A4320"/>
    <w:rsid w:val="4925570A"/>
    <w:rsid w:val="492E41F8"/>
    <w:rsid w:val="49360A89"/>
    <w:rsid w:val="494901BC"/>
    <w:rsid w:val="494B29C2"/>
    <w:rsid w:val="49506B82"/>
    <w:rsid w:val="49574A88"/>
    <w:rsid w:val="495825A0"/>
    <w:rsid w:val="49636EFB"/>
    <w:rsid w:val="49753869"/>
    <w:rsid w:val="497B0B3A"/>
    <w:rsid w:val="49C603FF"/>
    <w:rsid w:val="49C8759A"/>
    <w:rsid w:val="49DF5607"/>
    <w:rsid w:val="49E94B76"/>
    <w:rsid w:val="49EB32B4"/>
    <w:rsid w:val="49FF5461"/>
    <w:rsid w:val="4A016EDD"/>
    <w:rsid w:val="4A0A1FEC"/>
    <w:rsid w:val="4A1236FF"/>
    <w:rsid w:val="4A241F20"/>
    <w:rsid w:val="4A4479AD"/>
    <w:rsid w:val="4A546BAE"/>
    <w:rsid w:val="4A6163D1"/>
    <w:rsid w:val="4A667CFE"/>
    <w:rsid w:val="4A6F11F9"/>
    <w:rsid w:val="4A7D47E8"/>
    <w:rsid w:val="4A8B0674"/>
    <w:rsid w:val="4A8B5B4D"/>
    <w:rsid w:val="4A8F0CEC"/>
    <w:rsid w:val="4A9352D1"/>
    <w:rsid w:val="4AAB76F4"/>
    <w:rsid w:val="4AAC4065"/>
    <w:rsid w:val="4AB01AA2"/>
    <w:rsid w:val="4AB96509"/>
    <w:rsid w:val="4AE30FE7"/>
    <w:rsid w:val="4AEC3B67"/>
    <w:rsid w:val="4AF25F0E"/>
    <w:rsid w:val="4AF2792D"/>
    <w:rsid w:val="4B217D67"/>
    <w:rsid w:val="4B2B77D0"/>
    <w:rsid w:val="4B2D6822"/>
    <w:rsid w:val="4B3E3F58"/>
    <w:rsid w:val="4B40400C"/>
    <w:rsid w:val="4B585833"/>
    <w:rsid w:val="4B63163D"/>
    <w:rsid w:val="4B6E61CD"/>
    <w:rsid w:val="4B763ED9"/>
    <w:rsid w:val="4B804598"/>
    <w:rsid w:val="4B9243F5"/>
    <w:rsid w:val="4B9905C0"/>
    <w:rsid w:val="4BA25288"/>
    <w:rsid w:val="4BBA674C"/>
    <w:rsid w:val="4BCB211D"/>
    <w:rsid w:val="4BCE660C"/>
    <w:rsid w:val="4C07286D"/>
    <w:rsid w:val="4C0A55D0"/>
    <w:rsid w:val="4C0D0F0C"/>
    <w:rsid w:val="4C2B28C8"/>
    <w:rsid w:val="4C2B4E92"/>
    <w:rsid w:val="4C4C0D5C"/>
    <w:rsid w:val="4C5203C1"/>
    <w:rsid w:val="4C56183C"/>
    <w:rsid w:val="4C7B6DE5"/>
    <w:rsid w:val="4C7F0300"/>
    <w:rsid w:val="4C800102"/>
    <w:rsid w:val="4C813858"/>
    <w:rsid w:val="4C8366B6"/>
    <w:rsid w:val="4C86097D"/>
    <w:rsid w:val="4C871585"/>
    <w:rsid w:val="4C8C7E84"/>
    <w:rsid w:val="4CA070A5"/>
    <w:rsid w:val="4CB25995"/>
    <w:rsid w:val="4CB54CFF"/>
    <w:rsid w:val="4CD457B9"/>
    <w:rsid w:val="4CD623E4"/>
    <w:rsid w:val="4CDA3B6A"/>
    <w:rsid w:val="4CDD5F90"/>
    <w:rsid w:val="4CE33078"/>
    <w:rsid w:val="4CE834F5"/>
    <w:rsid w:val="4CED5F90"/>
    <w:rsid w:val="4CFC4EEF"/>
    <w:rsid w:val="4D055517"/>
    <w:rsid w:val="4D0B794C"/>
    <w:rsid w:val="4D0D68A4"/>
    <w:rsid w:val="4D361738"/>
    <w:rsid w:val="4D3A30A6"/>
    <w:rsid w:val="4D3D23E6"/>
    <w:rsid w:val="4D483836"/>
    <w:rsid w:val="4D521A00"/>
    <w:rsid w:val="4D5C1B98"/>
    <w:rsid w:val="4D5E60B7"/>
    <w:rsid w:val="4D6F22B7"/>
    <w:rsid w:val="4D705C4C"/>
    <w:rsid w:val="4D794133"/>
    <w:rsid w:val="4D8856D8"/>
    <w:rsid w:val="4D8F62F5"/>
    <w:rsid w:val="4DA84A0F"/>
    <w:rsid w:val="4DBE2265"/>
    <w:rsid w:val="4DC129B7"/>
    <w:rsid w:val="4DC6100E"/>
    <w:rsid w:val="4DD2235B"/>
    <w:rsid w:val="4DDD284C"/>
    <w:rsid w:val="4E12420B"/>
    <w:rsid w:val="4E513798"/>
    <w:rsid w:val="4E5427BE"/>
    <w:rsid w:val="4E56778E"/>
    <w:rsid w:val="4E6C175F"/>
    <w:rsid w:val="4E757515"/>
    <w:rsid w:val="4E764AFF"/>
    <w:rsid w:val="4E791A53"/>
    <w:rsid w:val="4E7E1119"/>
    <w:rsid w:val="4E845EAC"/>
    <w:rsid w:val="4E914E7A"/>
    <w:rsid w:val="4EA352E0"/>
    <w:rsid w:val="4EAF0B77"/>
    <w:rsid w:val="4EB77514"/>
    <w:rsid w:val="4EE67B16"/>
    <w:rsid w:val="4EEA4292"/>
    <w:rsid w:val="4EEA777B"/>
    <w:rsid w:val="4EFC62ED"/>
    <w:rsid w:val="4F134ABB"/>
    <w:rsid w:val="4F204D52"/>
    <w:rsid w:val="4F214A31"/>
    <w:rsid w:val="4F9C1EE8"/>
    <w:rsid w:val="4F9D349B"/>
    <w:rsid w:val="4F9F0C18"/>
    <w:rsid w:val="4F9F41F4"/>
    <w:rsid w:val="4FB0258C"/>
    <w:rsid w:val="4FB549CF"/>
    <w:rsid w:val="4FBC4069"/>
    <w:rsid w:val="4FC21C93"/>
    <w:rsid w:val="4FDA75B0"/>
    <w:rsid w:val="4FE75757"/>
    <w:rsid w:val="5004744D"/>
    <w:rsid w:val="5027012A"/>
    <w:rsid w:val="503377E4"/>
    <w:rsid w:val="503A7FFE"/>
    <w:rsid w:val="50464E33"/>
    <w:rsid w:val="505875FF"/>
    <w:rsid w:val="505D16CB"/>
    <w:rsid w:val="50774B5A"/>
    <w:rsid w:val="508B4280"/>
    <w:rsid w:val="508F42DE"/>
    <w:rsid w:val="50A636E2"/>
    <w:rsid w:val="50CF0602"/>
    <w:rsid w:val="50F8145F"/>
    <w:rsid w:val="510B65B5"/>
    <w:rsid w:val="513E5C12"/>
    <w:rsid w:val="51406EBA"/>
    <w:rsid w:val="514A2453"/>
    <w:rsid w:val="514B6DE4"/>
    <w:rsid w:val="51551976"/>
    <w:rsid w:val="516229FD"/>
    <w:rsid w:val="517A10EA"/>
    <w:rsid w:val="517D43CA"/>
    <w:rsid w:val="518904FF"/>
    <w:rsid w:val="518F4E46"/>
    <w:rsid w:val="51A1449C"/>
    <w:rsid w:val="51B20A54"/>
    <w:rsid w:val="51C31847"/>
    <w:rsid w:val="51D608A5"/>
    <w:rsid w:val="51D96752"/>
    <w:rsid w:val="52063F5A"/>
    <w:rsid w:val="520667DC"/>
    <w:rsid w:val="521F573C"/>
    <w:rsid w:val="521F6BB5"/>
    <w:rsid w:val="52212083"/>
    <w:rsid w:val="522955F9"/>
    <w:rsid w:val="522B0ACA"/>
    <w:rsid w:val="52612044"/>
    <w:rsid w:val="52657884"/>
    <w:rsid w:val="52681610"/>
    <w:rsid w:val="52712632"/>
    <w:rsid w:val="527847DE"/>
    <w:rsid w:val="527B2172"/>
    <w:rsid w:val="5290238D"/>
    <w:rsid w:val="5296046B"/>
    <w:rsid w:val="52A64F84"/>
    <w:rsid w:val="52AB0EBD"/>
    <w:rsid w:val="52B55BCF"/>
    <w:rsid w:val="52BB5DD0"/>
    <w:rsid w:val="52BF2E63"/>
    <w:rsid w:val="52D639A0"/>
    <w:rsid w:val="52DA10E0"/>
    <w:rsid w:val="52DB0556"/>
    <w:rsid w:val="52E45571"/>
    <w:rsid w:val="52EF11C5"/>
    <w:rsid w:val="52EF1BAC"/>
    <w:rsid w:val="52FD111F"/>
    <w:rsid w:val="53085D61"/>
    <w:rsid w:val="53123728"/>
    <w:rsid w:val="532521BE"/>
    <w:rsid w:val="536C2834"/>
    <w:rsid w:val="537B705C"/>
    <w:rsid w:val="538E07C9"/>
    <w:rsid w:val="53A55FBE"/>
    <w:rsid w:val="53B11D54"/>
    <w:rsid w:val="53B97BEB"/>
    <w:rsid w:val="53BB5369"/>
    <w:rsid w:val="53CF6426"/>
    <w:rsid w:val="53E319BE"/>
    <w:rsid w:val="53E93596"/>
    <w:rsid w:val="54013B65"/>
    <w:rsid w:val="54082957"/>
    <w:rsid w:val="541F61B5"/>
    <w:rsid w:val="54381DCD"/>
    <w:rsid w:val="544A04ED"/>
    <w:rsid w:val="544B0BF5"/>
    <w:rsid w:val="544D4E6C"/>
    <w:rsid w:val="54541B99"/>
    <w:rsid w:val="5484162E"/>
    <w:rsid w:val="54BC3519"/>
    <w:rsid w:val="54BF477F"/>
    <w:rsid w:val="54C97D02"/>
    <w:rsid w:val="54E26871"/>
    <w:rsid w:val="54E663F0"/>
    <w:rsid w:val="54FA4E4A"/>
    <w:rsid w:val="54FC2645"/>
    <w:rsid w:val="55045FFE"/>
    <w:rsid w:val="55396739"/>
    <w:rsid w:val="554A28D8"/>
    <w:rsid w:val="557664B2"/>
    <w:rsid w:val="55796AC4"/>
    <w:rsid w:val="557A55C6"/>
    <w:rsid w:val="55B86A02"/>
    <w:rsid w:val="55C11D19"/>
    <w:rsid w:val="55CD4799"/>
    <w:rsid w:val="55CD4FF4"/>
    <w:rsid w:val="55E921A1"/>
    <w:rsid w:val="561F779A"/>
    <w:rsid w:val="562E5786"/>
    <w:rsid w:val="56382224"/>
    <w:rsid w:val="563F4F1B"/>
    <w:rsid w:val="56414394"/>
    <w:rsid w:val="56436E4B"/>
    <w:rsid w:val="5645606D"/>
    <w:rsid w:val="564F011F"/>
    <w:rsid w:val="567E117B"/>
    <w:rsid w:val="56832EAE"/>
    <w:rsid w:val="56905BE7"/>
    <w:rsid w:val="569B7027"/>
    <w:rsid w:val="56B67B7F"/>
    <w:rsid w:val="56BF286E"/>
    <w:rsid w:val="56CF63C3"/>
    <w:rsid w:val="56D81243"/>
    <w:rsid w:val="56D835CB"/>
    <w:rsid w:val="56D959D0"/>
    <w:rsid w:val="56E27C2E"/>
    <w:rsid w:val="56E94986"/>
    <w:rsid w:val="56F36D48"/>
    <w:rsid w:val="56FA4AB3"/>
    <w:rsid w:val="57026EEC"/>
    <w:rsid w:val="57326641"/>
    <w:rsid w:val="57341191"/>
    <w:rsid w:val="573D46A2"/>
    <w:rsid w:val="57470C2F"/>
    <w:rsid w:val="57642112"/>
    <w:rsid w:val="57804553"/>
    <w:rsid w:val="57877602"/>
    <w:rsid w:val="57977F8C"/>
    <w:rsid w:val="579F11BF"/>
    <w:rsid w:val="57A42361"/>
    <w:rsid w:val="57A85812"/>
    <w:rsid w:val="57A91F29"/>
    <w:rsid w:val="57DF372B"/>
    <w:rsid w:val="57E20A27"/>
    <w:rsid w:val="57F63993"/>
    <w:rsid w:val="583047D5"/>
    <w:rsid w:val="58440717"/>
    <w:rsid w:val="5861096D"/>
    <w:rsid w:val="58616613"/>
    <w:rsid w:val="58804E1C"/>
    <w:rsid w:val="5888092D"/>
    <w:rsid w:val="5889301E"/>
    <w:rsid w:val="588D19C5"/>
    <w:rsid w:val="588F0589"/>
    <w:rsid w:val="588F07BA"/>
    <w:rsid w:val="588F23C4"/>
    <w:rsid w:val="58910A68"/>
    <w:rsid w:val="58967B4A"/>
    <w:rsid w:val="58A626D2"/>
    <w:rsid w:val="58CB6975"/>
    <w:rsid w:val="58D06ABF"/>
    <w:rsid w:val="58F41226"/>
    <w:rsid w:val="590E5980"/>
    <w:rsid w:val="5913219A"/>
    <w:rsid w:val="59223627"/>
    <w:rsid w:val="59396292"/>
    <w:rsid w:val="59464BB1"/>
    <w:rsid w:val="595141A8"/>
    <w:rsid w:val="59655778"/>
    <w:rsid w:val="597247DD"/>
    <w:rsid w:val="598C264E"/>
    <w:rsid w:val="59984999"/>
    <w:rsid w:val="59AA3E4C"/>
    <w:rsid w:val="59AD3890"/>
    <w:rsid w:val="59BC7CF9"/>
    <w:rsid w:val="59CF3073"/>
    <w:rsid w:val="59DE717E"/>
    <w:rsid w:val="59F76109"/>
    <w:rsid w:val="5A064BC8"/>
    <w:rsid w:val="5A1379B7"/>
    <w:rsid w:val="5A167BED"/>
    <w:rsid w:val="5A3B1F46"/>
    <w:rsid w:val="5A5419FE"/>
    <w:rsid w:val="5A5C5C3F"/>
    <w:rsid w:val="5A5E3509"/>
    <w:rsid w:val="5A8637F3"/>
    <w:rsid w:val="5A9B7B74"/>
    <w:rsid w:val="5ACA1F7A"/>
    <w:rsid w:val="5ADD4C1F"/>
    <w:rsid w:val="5ADD5246"/>
    <w:rsid w:val="5AE33CA2"/>
    <w:rsid w:val="5AE82B06"/>
    <w:rsid w:val="5AEB1592"/>
    <w:rsid w:val="5B044B78"/>
    <w:rsid w:val="5B146BC9"/>
    <w:rsid w:val="5B194276"/>
    <w:rsid w:val="5B24230B"/>
    <w:rsid w:val="5B2A7452"/>
    <w:rsid w:val="5B3B2537"/>
    <w:rsid w:val="5B512809"/>
    <w:rsid w:val="5B552683"/>
    <w:rsid w:val="5B565951"/>
    <w:rsid w:val="5B646A92"/>
    <w:rsid w:val="5B6748D3"/>
    <w:rsid w:val="5B68399D"/>
    <w:rsid w:val="5B7C7EE1"/>
    <w:rsid w:val="5B860EFC"/>
    <w:rsid w:val="5B8B7508"/>
    <w:rsid w:val="5BA421FE"/>
    <w:rsid w:val="5BA61A94"/>
    <w:rsid w:val="5BA8727E"/>
    <w:rsid w:val="5BAC72AA"/>
    <w:rsid w:val="5BAD2C23"/>
    <w:rsid w:val="5BB2725F"/>
    <w:rsid w:val="5BBB79D3"/>
    <w:rsid w:val="5BC01A7E"/>
    <w:rsid w:val="5BCE4624"/>
    <w:rsid w:val="5BD22055"/>
    <w:rsid w:val="5BE435B0"/>
    <w:rsid w:val="5BEA3D26"/>
    <w:rsid w:val="5BEE3B6E"/>
    <w:rsid w:val="5BF716AA"/>
    <w:rsid w:val="5C022F28"/>
    <w:rsid w:val="5C053025"/>
    <w:rsid w:val="5C064D0A"/>
    <w:rsid w:val="5C1C0080"/>
    <w:rsid w:val="5C225961"/>
    <w:rsid w:val="5C241B4E"/>
    <w:rsid w:val="5C251E78"/>
    <w:rsid w:val="5C2F4A4A"/>
    <w:rsid w:val="5C327F58"/>
    <w:rsid w:val="5C4010F7"/>
    <w:rsid w:val="5C467A95"/>
    <w:rsid w:val="5C524385"/>
    <w:rsid w:val="5C5545E4"/>
    <w:rsid w:val="5C597AC3"/>
    <w:rsid w:val="5C6B597E"/>
    <w:rsid w:val="5C872D7F"/>
    <w:rsid w:val="5C9E1823"/>
    <w:rsid w:val="5CA27330"/>
    <w:rsid w:val="5CBF366E"/>
    <w:rsid w:val="5CC46B68"/>
    <w:rsid w:val="5CC74EC8"/>
    <w:rsid w:val="5CC956E5"/>
    <w:rsid w:val="5CCC21A4"/>
    <w:rsid w:val="5CD24F5C"/>
    <w:rsid w:val="5CD8670E"/>
    <w:rsid w:val="5CF34B38"/>
    <w:rsid w:val="5CFC3C5C"/>
    <w:rsid w:val="5CFE1DDE"/>
    <w:rsid w:val="5CFE2F40"/>
    <w:rsid w:val="5CFF2509"/>
    <w:rsid w:val="5D1E765C"/>
    <w:rsid w:val="5D2B4DC5"/>
    <w:rsid w:val="5D411949"/>
    <w:rsid w:val="5D415590"/>
    <w:rsid w:val="5D453A24"/>
    <w:rsid w:val="5DB95A03"/>
    <w:rsid w:val="5DDD50F9"/>
    <w:rsid w:val="5DE51728"/>
    <w:rsid w:val="5DE52807"/>
    <w:rsid w:val="5DE56C48"/>
    <w:rsid w:val="5DF12933"/>
    <w:rsid w:val="5DF71191"/>
    <w:rsid w:val="5DF8218C"/>
    <w:rsid w:val="5E0E4101"/>
    <w:rsid w:val="5E343A7A"/>
    <w:rsid w:val="5E5C279B"/>
    <w:rsid w:val="5E6556B1"/>
    <w:rsid w:val="5E9A43DE"/>
    <w:rsid w:val="5EB05254"/>
    <w:rsid w:val="5EBD6695"/>
    <w:rsid w:val="5EC2762F"/>
    <w:rsid w:val="5EDA4626"/>
    <w:rsid w:val="5EEA7572"/>
    <w:rsid w:val="5EEA7D13"/>
    <w:rsid w:val="5F1A6EB3"/>
    <w:rsid w:val="5F44092D"/>
    <w:rsid w:val="5F475CA7"/>
    <w:rsid w:val="5F624364"/>
    <w:rsid w:val="5F6D34FE"/>
    <w:rsid w:val="5F7A75A9"/>
    <w:rsid w:val="5F7E0012"/>
    <w:rsid w:val="5F8B67D4"/>
    <w:rsid w:val="5F972283"/>
    <w:rsid w:val="5FA27F33"/>
    <w:rsid w:val="5FC9464C"/>
    <w:rsid w:val="5FE26198"/>
    <w:rsid w:val="5FE47372"/>
    <w:rsid w:val="60103543"/>
    <w:rsid w:val="601D12E5"/>
    <w:rsid w:val="60560AA0"/>
    <w:rsid w:val="60764FC2"/>
    <w:rsid w:val="60767D2C"/>
    <w:rsid w:val="60954D26"/>
    <w:rsid w:val="609C7AF1"/>
    <w:rsid w:val="60AD690C"/>
    <w:rsid w:val="60B20444"/>
    <w:rsid w:val="60BC66B7"/>
    <w:rsid w:val="60CB02C1"/>
    <w:rsid w:val="60D32A23"/>
    <w:rsid w:val="60D3684C"/>
    <w:rsid w:val="60D42302"/>
    <w:rsid w:val="60E651DB"/>
    <w:rsid w:val="60FC3395"/>
    <w:rsid w:val="610432CC"/>
    <w:rsid w:val="613003FC"/>
    <w:rsid w:val="613166E5"/>
    <w:rsid w:val="615D7213"/>
    <w:rsid w:val="61777664"/>
    <w:rsid w:val="617D08BC"/>
    <w:rsid w:val="61873851"/>
    <w:rsid w:val="619F2869"/>
    <w:rsid w:val="61B61B9C"/>
    <w:rsid w:val="61BF2783"/>
    <w:rsid w:val="61C05012"/>
    <w:rsid w:val="61C9792E"/>
    <w:rsid w:val="61CE634E"/>
    <w:rsid w:val="61E63D3D"/>
    <w:rsid w:val="61E9095D"/>
    <w:rsid w:val="61E90D5D"/>
    <w:rsid w:val="61F42B7B"/>
    <w:rsid w:val="61F50AD5"/>
    <w:rsid w:val="620B4BF6"/>
    <w:rsid w:val="62117B6E"/>
    <w:rsid w:val="621C7AC8"/>
    <w:rsid w:val="623714F2"/>
    <w:rsid w:val="624713A7"/>
    <w:rsid w:val="62550CD4"/>
    <w:rsid w:val="627F214C"/>
    <w:rsid w:val="62BD6A99"/>
    <w:rsid w:val="62C61ADE"/>
    <w:rsid w:val="62C84680"/>
    <w:rsid w:val="62ED47C2"/>
    <w:rsid w:val="62F213DA"/>
    <w:rsid w:val="62F52382"/>
    <w:rsid w:val="630C7979"/>
    <w:rsid w:val="631A7AAA"/>
    <w:rsid w:val="633A27B9"/>
    <w:rsid w:val="6343045B"/>
    <w:rsid w:val="63675429"/>
    <w:rsid w:val="6392485F"/>
    <w:rsid w:val="63BA6D4B"/>
    <w:rsid w:val="63BF4932"/>
    <w:rsid w:val="63C50B53"/>
    <w:rsid w:val="63DE06C1"/>
    <w:rsid w:val="64003F38"/>
    <w:rsid w:val="641455C3"/>
    <w:rsid w:val="643B1258"/>
    <w:rsid w:val="643C6323"/>
    <w:rsid w:val="64583DCF"/>
    <w:rsid w:val="64801B3D"/>
    <w:rsid w:val="648577A9"/>
    <w:rsid w:val="649C637E"/>
    <w:rsid w:val="649E5AB6"/>
    <w:rsid w:val="64A70C61"/>
    <w:rsid w:val="64A9388D"/>
    <w:rsid w:val="64B27AAD"/>
    <w:rsid w:val="64BC7ECF"/>
    <w:rsid w:val="64C23A3E"/>
    <w:rsid w:val="64C777C5"/>
    <w:rsid w:val="64C80D0B"/>
    <w:rsid w:val="64C909BA"/>
    <w:rsid w:val="64D954C9"/>
    <w:rsid w:val="64DF4F80"/>
    <w:rsid w:val="64E4149E"/>
    <w:rsid w:val="64E756C1"/>
    <w:rsid w:val="64FD7515"/>
    <w:rsid w:val="65093FF7"/>
    <w:rsid w:val="652147E7"/>
    <w:rsid w:val="653737D8"/>
    <w:rsid w:val="653B2666"/>
    <w:rsid w:val="65524592"/>
    <w:rsid w:val="65552639"/>
    <w:rsid w:val="655711E7"/>
    <w:rsid w:val="655A6222"/>
    <w:rsid w:val="655E097A"/>
    <w:rsid w:val="655F7B01"/>
    <w:rsid w:val="6562662C"/>
    <w:rsid w:val="656A71BD"/>
    <w:rsid w:val="659106D8"/>
    <w:rsid w:val="659479DE"/>
    <w:rsid w:val="65977F5F"/>
    <w:rsid w:val="65987A11"/>
    <w:rsid w:val="659C5262"/>
    <w:rsid w:val="65A828A6"/>
    <w:rsid w:val="65B1186F"/>
    <w:rsid w:val="65C75887"/>
    <w:rsid w:val="65E14FD0"/>
    <w:rsid w:val="65E5636F"/>
    <w:rsid w:val="660A3159"/>
    <w:rsid w:val="660B7A27"/>
    <w:rsid w:val="662D336E"/>
    <w:rsid w:val="663035FD"/>
    <w:rsid w:val="663C681D"/>
    <w:rsid w:val="663F7928"/>
    <w:rsid w:val="664770AC"/>
    <w:rsid w:val="665C6673"/>
    <w:rsid w:val="66656251"/>
    <w:rsid w:val="667C3407"/>
    <w:rsid w:val="66831D5D"/>
    <w:rsid w:val="668B2218"/>
    <w:rsid w:val="66AB11DE"/>
    <w:rsid w:val="66B7480F"/>
    <w:rsid w:val="66C064AB"/>
    <w:rsid w:val="66C3259C"/>
    <w:rsid w:val="66D24A34"/>
    <w:rsid w:val="66D45C62"/>
    <w:rsid w:val="66D764E6"/>
    <w:rsid w:val="66DB75A4"/>
    <w:rsid w:val="66DD5474"/>
    <w:rsid w:val="66E3625D"/>
    <w:rsid w:val="66F14146"/>
    <w:rsid w:val="66F37E7E"/>
    <w:rsid w:val="670D4DE6"/>
    <w:rsid w:val="671829BE"/>
    <w:rsid w:val="67262D2D"/>
    <w:rsid w:val="67366130"/>
    <w:rsid w:val="67410220"/>
    <w:rsid w:val="674513F7"/>
    <w:rsid w:val="67504B37"/>
    <w:rsid w:val="67526DCC"/>
    <w:rsid w:val="67633283"/>
    <w:rsid w:val="678631EE"/>
    <w:rsid w:val="679219A2"/>
    <w:rsid w:val="67B5373C"/>
    <w:rsid w:val="67BC269D"/>
    <w:rsid w:val="67C27172"/>
    <w:rsid w:val="67D52CF0"/>
    <w:rsid w:val="67D92F08"/>
    <w:rsid w:val="67E05A57"/>
    <w:rsid w:val="67E37D85"/>
    <w:rsid w:val="67F04850"/>
    <w:rsid w:val="68016B93"/>
    <w:rsid w:val="68284ED7"/>
    <w:rsid w:val="682F5795"/>
    <w:rsid w:val="68316711"/>
    <w:rsid w:val="6839011C"/>
    <w:rsid w:val="68491B37"/>
    <w:rsid w:val="6884544F"/>
    <w:rsid w:val="689E60A4"/>
    <w:rsid w:val="68A143EB"/>
    <w:rsid w:val="68AA6FCC"/>
    <w:rsid w:val="68D626BC"/>
    <w:rsid w:val="68DB120F"/>
    <w:rsid w:val="68DB212F"/>
    <w:rsid w:val="68EF2D69"/>
    <w:rsid w:val="68FC7C2B"/>
    <w:rsid w:val="69091BD2"/>
    <w:rsid w:val="690B01E4"/>
    <w:rsid w:val="691554FC"/>
    <w:rsid w:val="691F3A4B"/>
    <w:rsid w:val="692466DE"/>
    <w:rsid w:val="693A7346"/>
    <w:rsid w:val="693C0549"/>
    <w:rsid w:val="69444804"/>
    <w:rsid w:val="69550A53"/>
    <w:rsid w:val="695B11E9"/>
    <w:rsid w:val="695B5B9E"/>
    <w:rsid w:val="69632360"/>
    <w:rsid w:val="69671502"/>
    <w:rsid w:val="69735CB5"/>
    <w:rsid w:val="69777172"/>
    <w:rsid w:val="698144E9"/>
    <w:rsid w:val="698D4C4B"/>
    <w:rsid w:val="69B37C50"/>
    <w:rsid w:val="69B57495"/>
    <w:rsid w:val="69BF7D5E"/>
    <w:rsid w:val="69D01F92"/>
    <w:rsid w:val="69D43763"/>
    <w:rsid w:val="6A00305F"/>
    <w:rsid w:val="6A144A0E"/>
    <w:rsid w:val="6A2E2D24"/>
    <w:rsid w:val="6A2E35EC"/>
    <w:rsid w:val="6A3215E3"/>
    <w:rsid w:val="6AB25967"/>
    <w:rsid w:val="6AE36914"/>
    <w:rsid w:val="6AF96C8B"/>
    <w:rsid w:val="6B12475A"/>
    <w:rsid w:val="6B2030DD"/>
    <w:rsid w:val="6B426049"/>
    <w:rsid w:val="6B5B4DB0"/>
    <w:rsid w:val="6B626B1F"/>
    <w:rsid w:val="6B7508AA"/>
    <w:rsid w:val="6B930565"/>
    <w:rsid w:val="6B956B89"/>
    <w:rsid w:val="6BA728B4"/>
    <w:rsid w:val="6BDB4F8B"/>
    <w:rsid w:val="6BEC74C4"/>
    <w:rsid w:val="6C014E79"/>
    <w:rsid w:val="6C104A86"/>
    <w:rsid w:val="6C2B4479"/>
    <w:rsid w:val="6C2E405B"/>
    <w:rsid w:val="6C585923"/>
    <w:rsid w:val="6C5E323B"/>
    <w:rsid w:val="6C6312FB"/>
    <w:rsid w:val="6C7064B2"/>
    <w:rsid w:val="6C72723A"/>
    <w:rsid w:val="6C8A2024"/>
    <w:rsid w:val="6C921685"/>
    <w:rsid w:val="6C94700E"/>
    <w:rsid w:val="6C9C5FF0"/>
    <w:rsid w:val="6CA25524"/>
    <w:rsid w:val="6CBA562A"/>
    <w:rsid w:val="6CC87B81"/>
    <w:rsid w:val="6CCF4C93"/>
    <w:rsid w:val="6CD93BCF"/>
    <w:rsid w:val="6CDB23F8"/>
    <w:rsid w:val="6CF1796C"/>
    <w:rsid w:val="6D154F68"/>
    <w:rsid w:val="6D1A56A5"/>
    <w:rsid w:val="6D3372C9"/>
    <w:rsid w:val="6D39536D"/>
    <w:rsid w:val="6D425326"/>
    <w:rsid w:val="6D572077"/>
    <w:rsid w:val="6D681153"/>
    <w:rsid w:val="6D6D2845"/>
    <w:rsid w:val="6D9D752E"/>
    <w:rsid w:val="6D9F3E4B"/>
    <w:rsid w:val="6DD17F1D"/>
    <w:rsid w:val="6DED1BCA"/>
    <w:rsid w:val="6DEF046D"/>
    <w:rsid w:val="6DFF12BB"/>
    <w:rsid w:val="6E0F1A15"/>
    <w:rsid w:val="6E11175F"/>
    <w:rsid w:val="6E271FE8"/>
    <w:rsid w:val="6E311CE0"/>
    <w:rsid w:val="6E322428"/>
    <w:rsid w:val="6E420F14"/>
    <w:rsid w:val="6E5826BD"/>
    <w:rsid w:val="6E5B2AC9"/>
    <w:rsid w:val="6E6655FE"/>
    <w:rsid w:val="6E6E7391"/>
    <w:rsid w:val="6E7B05FD"/>
    <w:rsid w:val="6E9E516B"/>
    <w:rsid w:val="6EAE439D"/>
    <w:rsid w:val="6EB61F62"/>
    <w:rsid w:val="6EB630F8"/>
    <w:rsid w:val="6EB75AE2"/>
    <w:rsid w:val="6EDE2BBA"/>
    <w:rsid w:val="6EE52588"/>
    <w:rsid w:val="6EEE6AF0"/>
    <w:rsid w:val="6EFE5E18"/>
    <w:rsid w:val="6F281E1B"/>
    <w:rsid w:val="6F2B7EDF"/>
    <w:rsid w:val="6F3B56CC"/>
    <w:rsid w:val="6F521F8B"/>
    <w:rsid w:val="6F576FAC"/>
    <w:rsid w:val="6F657390"/>
    <w:rsid w:val="6F6A3796"/>
    <w:rsid w:val="6F70476B"/>
    <w:rsid w:val="6F847B31"/>
    <w:rsid w:val="6FC55BCF"/>
    <w:rsid w:val="6FC57A39"/>
    <w:rsid w:val="6FD6321F"/>
    <w:rsid w:val="6FE53D46"/>
    <w:rsid w:val="6FED12FA"/>
    <w:rsid w:val="6FFB7BC5"/>
    <w:rsid w:val="700735F1"/>
    <w:rsid w:val="70107850"/>
    <w:rsid w:val="70223B73"/>
    <w:rsid w:val="7027541C"/>
    <w:rsid w:val="7028049A"/>
    <w:rsid w:val="704D5339"/>
    <w:rsid w:val="70696065"/>
    <w:rsid w:val="708B7D27"/>
    <w:rsid w:val="709673A4"/>
    <w:rsid w:val="70975699"/>
    <w:rsid w:val="70A74C31"/>
    <w:rsid w:val="70D20C1D"/>
    <w:rsid w:val="70DB370B"/>
    <w:rsid w:val="70EF12A1"/>
    <w:rsid w:val="70F92BCC"/>
    <w:rsid w:val="70FC7411"/>
    <w:rsid w:val="710F11B7"/>
    <w:rsid w:val="71163D6B"/>
    <w:rsid w:val="7127797B"/>
    <w:rsid w:val="713E38F6"/>
    <w:rsid w:val="71462CA1"/>
    <w:rsid w:val="71586FA4"/>
    <w:rsid w:val="715D2AA2"/>
    <w:rsid w:val="716E34DD"/>
    <w:rsid w:val="71700823"/>
    <w:rsid w:val="717A2A76"/>
    <w:rsid w:val="717D4B47"/>
    <w:rsid w:val="71814499"/>
    <w:rsid w:val="71820A5C"/>
    <w:rsid w:val="719826B1"/>
    <w:rsid w:val="71AD06B6"/>
    <w:rsid w:val="71B5530F"/>
    <w:rsid w:val="71C81B8B"/>
    <w:rsid w:val="71C83A0B"/>
    <w:rsid w:val="71D24E41"/>
    <w:rsid w:val="71DD4E5A"/>
    <w:rsid w:val="72182855"/>
    <w:rsid w:val="721907DD"/>
    <w:rsid w:val="722B038C"/>
    <w:rsid w:val="72406D28"/>
    <w:rsid w:val="7243006B"/>
    <w:rsid w:val="725471C4"/>
    <w:rsid w:val="72630FAB"/>
    <w:rsid w:val="7264416C"/>
    <w:rsid w:val="72707542"/>
    <w:rsid w:val="728E6FEE"/>
    <w:rsid w:val="72926C11"/>
    <w:rsid w:val="729D105D"/>
    <w:rsid w:val="72AD7BC2"/>
    <w:rsid w:val="72B06DEE"/>
    <w:rsid w:val="72C920AD"/>
    <w:rsid w:val="72D866B2"/>
    <w:rsid w:val="72D93D10"/>
    <w:rsid w:val="72EC0A6B"/>
    <w:rsid w:val="73260765"/>
    <w:rsid w:val="732D14AC"/>
    <w:rsid w:val="733215E5"/>
    <w:rsid w:val="73394226"/>
    <w:rsid w:val="734A232B"/>
    <w:rsid w:val="736D3808"/>
    <w:rsid w:val="736F29F4"/>
    <w:rsid w:val="7372134D"/>
    <w:rsid w:val="737F77AA"/>
    <w:rsid w:val="73877562"/>
    <w:rsid w:val="73A05BCD"/>
    <w:rsid w:val="73B25B25"/>
    <w:rsid w:val="73BF5555"/>
    <w:rsid w:val="73CA7CB9"/>
    <w:rsid w:val="73E42AE5"/>
    <w:rsid w:val="73F45C73"/>
    <w:rsid w:val="73F664E1"/>
    <w:rsid w:val="73F72B63"/>
    <w:rsid w:val="740F19C0"/>
    <w:rsid w:val="7442073F"/>
    <w:rsid w:val="744577C3"/>
    <w:rsid w:val="748711E5"/>
    <w:rsid w:val="74C35B53"/>
    <w:rsid w:val="74DC3C2B"/>
    <w:rsid w:val="74F239D2"/>
    <w:rsid w:val="74F31E2E"/>
    <w:rsid w:val="750F155F"/>
    <w:rsid w:val="75135DBA"/>
    <w:rsid w:val="751744AA"/>
    <w:rsid w:val="751B4C5B"/>
    <w:rsid w:val="752E7E6D"/>
    <w:rsid w:val="753442C3"/>
    <w:rsid w:val="75684157"/>
    <w:rsid w:val="757942DF"/>
    <w:rsid w:val="75910D61"/>
    <w:rsid w:val="75A27301"/>
    <w:rsid w:val="75A92887"/>
    <w:rsid w:val="75B346BD"/>
    <w:rsid w:val="75B62AD1"/>
    <w:rsid w:val="75D158B0"/>
    <w:rsid w:val="75E40840"/>
    <w:rsid w:val="75E52143"/>
    <w:rsid w:val="75EE4319"/>
    <w:rsid w:val="75F62650"/>
    <w:rsid w:val="75FF4756"/>
    <w:rsid w:val="76005F61"/>
    <w:rsid w:val="761177B3"/>
    <w:rsid w:val="761309F7"/>
    <w:rsid w:val="76293C04"/>
    <w:rsid w:val="763B474D"/>
    <w:rsid w:val="764D5F89"/>
    <w:rsid w:val="76564FE3"/>
    <w:rsid w:val="765D08F9"/>
    <w:rsid w:val="766057A3"/>
    <w:rsid w:val="766F353F"/>
    <w:rsid w:val="767A53D7"/>
    <w:rsid w:val="767D2EE3"/>
    <w:rsid w:val="768B00E8"/>
    <w:rsid w:val="769D0F10"/>
    <w:rsid w:val="76C5104C"/>
    <w:rsid w:val="76DB1B1B"/>
    <w:rsid w:val="76EC1389"/>
    <w:rsid w:val="76F751DD"/>
    <w:rsid w:val="76FD1C7F"/>
    <w:rsid w:val="77005A9F"/>
    <w:rsid w:val="770809E5"/>
    <w:rsid w:val="770E645A"/>
    <w:rsid w:val="770F644E"/>
    <w:rsid w:val="771F49DB"/>
    <w:rsid w:val="772310A9"/>
    <w:rsid w:val="772D5888"/>
    <w:rsid w:val="772D7210"/>
    <w:rsid w:val="773D593D"/>
    <w:rsid w:val="77597F4C"/>
    <w:rsid w:val="776638C0"/>
    <w:rsid w:val="776651A4"/>
    <w:rsid w:val="77735EBC"/>
    <w:rsid w:val="777542E6"/>
    <w:rsid w:val="77764258"/>
    <w:rsid w:val="777B521F"/>
    <w:rsid w:val="77914C91"/>
    <w:rsid w:val="779561B3"/>
    <w:rsid w:val="779A11BA"/>
    <w:rsid w:val="77A83774"/>
    <w:rsid w:val="77B21086"/>
    <w:rsid w:val="77BB7BB5"/>
    <w:rsid w:val="77CA33B6"/>
    <w:rsid w:val="77D56EB2"/>
    <w:rsid w:val="77E33536"/>
    <w:rsid w:val="78135ACD"/>
    <w:rsid w:val="781E7B9E"/>
    <w:rsid w:val="7823347D"/>
    <w:rsid w:val="784468C4"/>
    <w:rsid w:val="7845368D"/>
    <w:rsid w:val="784F1DC6"/>
    <w:rsid w:val="7855762E"/>
    <w:rsid w:val="78592E35"/>
    <w:rsid w:val="78600763"/>
    <w:rsid w:val="78712420"/>
    <w:rsid w:val="78712612"/>
    <w:rsid w:val="787A0788"/>
    <w:rsid w:val="787F7287"/>
    <w:rsid w:val="78903482"/>
    <w:rsid w:val="78947B29"/>
    <w:rsid w:val="789B25B8"/>
    <w:rsid w:val="78C34E09"/>
    <w:rsid w:val="78CF2A45"/>
    <w:rsid w:val="78D205BD"/>
    <w:rsid w:val="78F75D24"/>
    <w:rsid w:val="78F90DA3"/>
    <w:rsid w:val="79044563"/>
    <w:rsid w:val="791040C3"/>
    <w:rsid w:val="79347A51"/>
    <w:rsid w:val="794D4450"/>
    <w:rsid w:val="795937BD"/>
    <w:rsid w:val="79796DD6"/>
    <w:rsid w:val="797E1880"/>
    <w:rsid w:val="79861F4B"/>
    <w:rsid w:val="79882D6E"/>
    <w:rsid w:val="798F7F13"/>
    <w:rsid w:val="79A40D49"/>
    <w:rsid w:val="79AB0C0D"/>
    <w:rsid w:val="79BE0A64"/>
    <w:rsid w:val="79C12F87"/>
    <w:rsid w:val="79DC5011"/>
    <w:rsid w:val="79EA6956"/>
    <w:rsid w:val="79EC1600"/>
    <w:rsid w:val="7A1B785B"/>
    <w:rsid w:val="7A2C6130"/>
    <w:rsid w:val="7A3554C8"/>
    <w:rsid w:val="7A410278"/>
    <w:rsid w:val="7A457497"/>
    <w:rsid w:val="7A5368AC"/>
    <w:rsid w:val="7A610461"/>
    <w:rsid w:val="7A6950B0"/>
    <w:rsid w:val="7A7469D2"/>
    <w:rsid w:val="7A7642F8"/>
    <w:rsid w:val="7A8F71F1"/>
    <w:rsid w:val="7AB90264"/>
    <w:rsid w:val="7AED588C"/>
    <w:rsid w:val="7B000A5C"/>
    <w:rsid w:val="7B3A24C5"/>
    <w:rsid w:val="7B3C73C3"/>
    <w:rsid w:val="7B596BE8"/>
    <w:rsid w:val="7B606323"/>
    <w:rsid w:val="7B720E73"/>
    <w:rsid w:val="7B807229"/>
    <w:rsid w:val="7B921E05"/>
    <w:rsid w:val="7B976248"/>
    <w:rsid w:val="7BA64E0D"/>
    <w:rsid w:val="7BA67B99"/>
    <w:rsid w:val="7BB63116"/>
    <w:rsid w:val="7BB96CA7"/>
    <w:rsid w:val="7BCB3F0B"/>
    <w:rsid w:val="7BCE14BC"/>
    <w:rsid w:val="7BE10449"/>
    <w:rsid w:val="7BEF7D6B"/>
    <w:rsid w:val="7BF00AE2"/>
    <w:rsid w:val="7C100F03"/>
    <w:rsid w:val="7C18022A"/>
    <w:rsid w:val="7C420EB4"/>
    <w:rsid w:val="7C4F1D48"/>
    <w:rsid w:val="7C54127E"/>
    <w:rsid w:val="7C5C6C63"/>
    <w:rsid w:val="7C636A16"/>
    <w:rsid w:val="7C6E6300"/>
    <w:rsid w:val="7C836E77"/>
    <w:rsid w:val="7C8701C2"/>
    <w:rsid w:val="7C8D51CF"/>
    <w:rsid w:val="7C967B54"/>
    <w:rsid w:val="7C9B7773"/>
    <w:rsid w:val="7CA05E65"/>
    <w:rsid w:val="7CA5495C"/>
    <w:rsid w:val="7CBD419A"/>
    <w:rsid w:val="7CC70C8D"/>
    <w:rsid w:val="7CDB339E"/>
    <w:rsid w:val="7CDF266E"/>
    <w:rsid w:val="7CE14380"/>
    <w:rsid w:val="7D063AB8"/>
    <w:rsid w:val="7D150752"/>
    <w:rsid w:val="7D240E9B"/>
    <w:rsid w:val="7D4B3356"/>
    <w:rsid w:val="7D4F389C"/>
    <w:rsid w:val="7D5B758B"/>
    <w:rsid w:val="7D6E55B5"/>
    <w:rsid w:val="7D724F28"/>
    <w:rsid w:val="7D7D4650"/>
    <w:rsid w:val="7D9E0AAA"/>
    <w:rsid w:val="7DA428F6"/>
    <w:rsid w:val="7DA87DAA"/>
    <w:rsid w:val="7DD15A6D"/>
    <w:rsid w:val="7DE226D6"/>
    <w:rsid w:val="7E234C1C"/>
    <w:rsid w:val="7E395401"/>
    <w:rsid w:val="7E3F065E"/>
    <w:rsid w:val="7E445C31"/>
    <w:rsid w:val="7E484BE7"/>
    <w:rsid w:val="7E601D75"/>
    <w:rsid w:val="7E64277B"/>
    <w:rsid w:val="7E665765"/>
    <w:rsid w:val="7E675D6B"/>
    <w:rsid w:val="7E71590F"/>
    <w:rsid w:val="7E8340A2"/>
    <w:rsid w:val="7E90597E"/>
    <w:rsid w:val="7E921648"/>
    <w:rsid w:val="7E9D7C19"/>
    <w:rsid w:val="7EA72FDC"/>
    <w:rsid w:val="7EAC51CD"/>
    <w:rsid w:val="7EB5685D"/>
    <w:rsid w:val="7EBB58F2"/>
    <w:rsid w:val="7ECA14E6"/>
    <w:rsid w:val="7ED57D68"/>
    <w:rsid w:val="7EDA15FE"/>
    <w:rsid w:val="7EDD11F9"/>
    <w:rsid w:val="7EEA25CF"/>
    <w:rsid w:val="7EF67083"/>
    <w:rsid w:val="7F103AD4"/>
    <w:rsid w:val="7F1C144C"/>
    <w:rsid w:val="7F1E5924"/>
    <w:rsid w:val="7F225365"/>
    <w:rsid w:val="7F2424F4"/>
    <w:rsid w:val="7F3A2D14"/>
    <w:rsid w:val="7F701391"/>
    <w:rsid w:val="7F704B34"/>
    <w:rsid w:val="7F7D1062"/>
    <w:rsid w:val="7F9E55F2"/>
    <w:rsid w:val="7FAA237B"/>
    <w:rsid w:val="7FC00162"/>
    <w:rsid w:val="7FCD37DB"/>
    <w:rsid w:val="7FE312D3"/>
    <w:rsid w:val="7FF1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line="578" w:lineRule="auto"/>
      <w:jc w:val="center"/>
      <w:outlineLvl w:val="0"/>
    </w:pPr>
    <w:rPr>
      <w:b/>
      <w:bCs/>
      <w:kern w:val="44"/>
      <w:sz w:val="44"/>
      <w:szCs w:val="44"/>
    </w:rPr>
  </w:style>
  <w:style w:type="paragraph" w:styleId="2">
    <w:name w:val="heading 2"/>
    <w:basedOn w:val="1"/>
    <w:next w:val="1"/>
    <w:link w:val="41"/>
    <w:unhideWhenUsed/>
    <w:qFormat/>
    <w:uiPriority w:val="0"/>
    <w:pPr>
      <w:keepNext/>
      <w:keepLines/>
      <w:spacing w:before="260" w:after="260" w:line="416" w:lineRule="auto"/>
      <w:jc w:val="center"/>
      <w:outlineLvl w:val="1"/>
    </w:pPr>
    <w:rPr>
      <w:rFonts w:ascii="Cambria" w:hAnsi="Cambria"/>
      <w:b/>
      <w:bCs/>
      <w:sz w:val="32"/>
      <w:szCs w:val="32"/>
    </w:rPr>
  </w:style>
  <w:style w:type="paragraph" w:styleId="4">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1"/>
    </w:rPr>
  </w:style>
  <w:style w:type="paragraph" w:styleId="13">
    <w:name w:val="Date"/>
    <w:basedOn w:val="1"/>
    <w:next w:val="1"/>
    <w:qFormat/>
    <w:uiPriority w:val="0"/>
    <w:pPr>
      <w:spacing w:line="360" w:lineRule="auto"/>
    </w:pPr>
    <w:rPr>
      <w:rFonts w:ascii="宋体"/>
      <w:sz w:val="24"/>
      <w:szCs w:val="20"/>
    </w:rPr>
  </w:style>
  <w:style w:type="paragraph" w:styleId="14">
    <w:name w:val="Body Text Indent 2"/>
    <w:basedOn w:val="1"/>
    <w:qFormat/>
    <w:uiPriority w:val="0"/>
    <w:pPr>
      <w:spacing w:line="360" w:lineRule="auto"/>
      <w:ind w:firstLine="570"/>
    </w:pPr>
    <w:rPr>
      <w:rFonts w:ascii="宋体" w:hAnsi="宋体"/>
      <w:iCs/>
      <w:sz w:val="28"/>
      <w:szCs w:val="20"/>
    </w:rPr>
  </w:style>
  <w:style w:type="paragraph" w:styleId="15">
    <w:name w:val="Balloon Text"/>
    <w:basedOn w:val="1"/>
    <w:link w:val="50"/>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pPr>
      <w:spacing w:before="120" w:after="120" w:line="400" w:lineRule="exact"/>
      <w:ind w:firstLine="200" w:firstLineChars="200"/>
      <w:jc w:val="left"/>
    </w:pPr>
    <w:rPr>
      <w:rFonts w:ascii="Calibri" w:hAnsi="Calibri"/>
      <w:b/>
      <w:bCs/>
      <w:caps/>
      <w:sz w:val="24"/>
      <w:szCs w:val="20"/>
    </w:rPr>
  </w:style>
  <w:style w:type="paragraph" w:styleId="19">
    <w:name w:val="index heading"/>
    <w:basedOn w:val="1"/>
    <w:next w:val="20"/>
    <w:qFormat/>
    <w:uiPriority w:val="0"/>
    <w:rPr>
      <w:sz w:val="28"/>
      <w:szCs w:val="20"/>
    </w:rPr>
  </w:style>
  <w:style w:type="paragraph" w:styleId="20">
    <w:name w:val="index 1"/>
    <w:basedOn w:val="1"/>
    <w:next w:val="1"/>
    <w:qFormat/>
    <w:uiPriority w:val="0"/>
    <w:rPr>
      <w:sz w:val="28"/>
      <w:szCs w:val="20"/>
    </w:rPr>
  </w:style>
  <w:style w:type="paragraph" w:styleId="21">
    <w:name w:val="toc 2"/>
    <w:basedOn w:val="1"/>
    <w:next w:val="1"/>
    <w:qFormat/>
    <w:uiPriority w:val="0"/>
    <w:pPr>
      <w:ind w:left="420" w:leftChars="200"/>
    </w:pPr>
  </w:style>
  <w:style w:type="paragraph" w:styleId="2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23">
    <w:name w:val="Normal (Web)"/>
    <w:basedOn w:val="1"/>
    <w:qFormat/>
    <w:uiPriority w:val="0"/>
    <w:pPr>
      <w:jc w:val="left"/>
    </w:pPr>
    <w:rPr>
      <w:kern w:val="0"/>
      <w:sz w:val="24"/>
    </w:rPr>
  </w:style>
  <w:style w:type="paragraph" w:styleId="24">
    <w:name w:val="Title"/>
    <w:basedOn w:val="1"/>
    <w:next w:val="1"/>
    <w:qFormat/>
    <w:uiPriority w:val="0"/>
    <w:pPr>
      <w:spacing w:before="240" w:after="60"/>
      <w:jc w:val="center"/>
      <w:outlineLvl w:val="0"/>
    </w:pPr>
    <w:rPr>
      <w:rFonts w:ascii="Cambria" w:hAnsi="Cambria"/>
      <w:b/>
      <w:bCs/>
      <w:sz w:val="36"/>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qFormat/>
    <w:uiPriority w:val="0"/>
  </w:style>
  <w:style w:type="character" w:styleId="30">
    <w:name w:val="FollowedHyperlink"/>
    <w:basedOn w:val="27"/>
    <w:qFormat/>
    <w:uiPriority w:val="0"/>
    <w:rPr>
      <w:color w:val="800080"/>
      <w:u w:val="none"/>
    </w:rPr>
  </w:style>
  <w:style w:type="character" w:styleId="31">
    <w:name w:val="Emphasis"/>
    <w:basedOn w:val="27"/>
    <w:qFormat/>
    <w:uiPriority w:val="0"/>
  </w:style>
  <w:style w:type="character" w:styleId="32">
    <w:name w:val="HTML Definition"/>
    <w:basedOn w:val="27"/>
    <w:qFormat/>
    <w:uiPriority w:val="0"/>
  </w:style>
  <w:style w:type="character" w:styleId="33">
    <w:name w:val="HTML Typewriter"/>
    <w:basedOn w:val="27"/>
    <w:qFormat/>
    <w:uiPriority w:val="0"/>
    <w:rPr>
      <w:rFonts w:hint="default" w:ascii="monospace" w:hAnsi="monospace" w:eastAsia="monospace" w:cs="monospace"/>
      <w:sz w:val="20"/>
    </w:rPr>
  </w:style>
  <w:style w:type="character" w:styleId="34">
    <w:name w:val="HTML Acronym"/>
    <w:basedOn w:val="27"/>
    <w:qFormat/>
    <w:uiPriority w:val="0"/>
  </w:style>
  <w:style w:type="character" w:styleId="35">
    <w:name w:val="HTML Variable"/>
    <w:basedOn w:val="27"/>
    <w:qFormat/>
    <w:uiPriority w:val="0"/>
  </w:style>
  <w:style w:type="character" w:styleId="36">
    <w:name w:val="Hyperlink"/>
    <w:qFormat/>
    <w:uiPriority w:val="0"/>
    <w:rPr>
      <w:color w:val="000099"/>
      <w:u w:val="none"/>
    </w:rPr>
  </w:style>
  <w:style w:type="character" w:styleId="37">
    <w:name w:val="HTML Code"/>
    <w:basedOn w:val="27"/>
    <w:qFormat/>
    <w:uiPriority w:val="0"/>
    <w:rPr>
      <w:rFonts w:hint="default" w:ascii="monospace" w:hAnsi="monospace" w:eastAsia="monospace" w:cs="monospace"/>
      <w:sz w:val="20"/>
    </w:rPr>
  </w:style>
  <w:style w:type="character" w:styleId="38">
    <w:name w:val="HTML Cite"/>
    <w:basedOn w:val="27"/>
    <w:qFormat/>
    <w:uiPriority w:val="0"/>
  </w:style>
  <w:style w:type="character" w:styleId="39">
    <w:name w:val="HTML Keyboard"/>
    <w:basedOn w:val="27"/>
    <w:qFormat/>
    <w:uiPriority w:val="0"/>
    <w:rPr>
      <w:rFonts w:ascii="monospace" w:hAnsi="monospace" w:eastAsia="monospace" w:cs="monospace"/>
      <w:sz w:val="20"/>
    </w:rPr>
  </w:style>
  <w:style w:type="character" w:styleId="40">
    <w:name w:val="HTML Sample"/>
    <w:basedOn w:val="27"/>
    <w:qFormat/>
    <w:uiPriority w:val="0"/>
    <w:rPr>
      <w:rFonts w:hint="default" w:ascii="monospace" w:hAnsi="monospace" w:eastAsia="monospace" w:cs="monospace"/>
    </w:rPr>
  </w:style>
  <w:style w:type="character" w:customStyle="1" w:styleId="41">
    <w:name w:val="标题 2 Char"/>
    <w:link w:val="2"/>
    <w:qFormat/>
    <w:uiPriority w:val="0"/>
    <w:rPr>
      <w:rFonts w:ascii="Cambria" w:hAnsi="Cambria" w:eastAsia="宋体"/>
      <w:b/>
      <w:bCs/>
      <w:sz w:val="32"/>
      <w:szCs w:val="32"/>
    </w:rPr>
  </w:style>
  <w:style w:type="character" w:customStyle="1" w:styleId="42">
    <w:name w:val="font11"/>
    <w:basedOn w:val="27"/>
    <w:qFormat/>
    <w:uiPriority w:val="0"/>
    <w:rPr>
      <w:rFonts w:hint="eastAsia" w:ascii="宋体" w:hAnsi="宋体" w:eastAsia="宋体" w:cs="宋体"/>
      <w:color w:val="000000"/>
      <w:sz w:val="22"/>
      <w:szCs w:val="22"/>
      <w:u w:val="none"/>
    </w:rPr>
  </w:style>
  <w:style w:type="character" w:customStyle="1" w:styleId="43">
    <w:name w:val="font01"/>
    <w:basedOn w:val="27"/>
    <w:qFormat/>
    <w:uiPriority w:val="0"/>
    <w:rPr>
      <w:rFonts w:hint="eastAsia" w:ascii="宋体" w:hAnsi="宋体" w:eastAsia="宋体" w:cs="宋体"/>
      <w:b/>
      <w:color w:val="000000"/>
      <w:sz w:val="22"/>
      <w:szCs w:val="22"/>
      <w:u w:val="none"/>
    </w:rPr>
  </w:style>
  <w:style w:type="paragraph" w:customStyle="1" w:styleId="44">
    <w:name w:val="正文-1"/>
    <w:basedOn w:val="1"/>
    <w:qFormat/>
    <w:uiPriority w:val="0"/>
    <w:pPr>
      <w:spacing w:line="360" w:lineRule="auto"/>
      <w:ind w:firstLine="560"/>
    </w:pPr>
    <w:rPr>
      <w:rFonts w:eastAsia="仿宋_GB2312"/>
      <w:sz w:val="28"/>
      <w:szCs w:val="28"/>
    </w:rPr>
  </w:style>
  <w:style w:type="paragraph" w:customStyle="1" w:styleId="45">
    <w:name w:val="_Style 9"/>
    <w:basedOn w:val="1"/>
    <w:qFormat/>
    <w:uiPriority w:val="0"/>
    <w:pPr>
      <w:ind w:firstLine="420" w:firstLineChars="200"/>
    </w:pPr>
  </w:style>
  <w:style w:type="character" w:customStyle="1" w:styleId="46">
    <w:name w:val="标题 3 Char"/>
    <w:basedOn w:val="27"/>
    <w:qFormat/>
    <w:uiPriority w:val="0"/>
    <w:rPr>
      <w:rFonts w:eastAsia="宋体"/>
      <w:b/>
      <w:bCs/>
      <w:kern w:val="2"/>
      <w:sz w:val="32"/>
      <w:szCs w:val="32"/>
      <w:lang w:val="en-US" w:eastAsia="zh-CN" w:bidi="ar-SA"/>
    </w:rPr>
  </w:style>
  <w:style w:type="character" w:customStyle="1" w:styleId="47">
    <w:name w:val="标题 1 Char"/>
    <w:link w:val="3"/>
    <w:qFormat/>
    <w:uiPriority w:val="0"/>
    <w:rPr>
      <w:rFonts w:ascii="Times New Roman" w:hAnsi="Times New Roman" w:eastAsia="宋体"/>
      <w:b/>
      <w:bCs/>
      <w:kern w:val="44"/>
      <w:sz w:val="44"/>
      <w:szCs w:val="44"/>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0">
    <w:name w:val="批注框文本 Char"/>
    <w:basedOn w:val="27"/>
    <w:link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4590</Words>
  <Characters>26163</Characters>
  <Lines>218</Lines>
  <Paragraphs>61</Paragraphs>
  <TotalTime>5</TotalTime>
  <ScaleCrop>false</ScaleCrop>
  <LinksUpToDate>false</LinksUpToDate>
  <CharactersWithSpaces>30692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2019-04-17T01:17:00Z</dcterms:created>
  <dc:creator>Administrator</dc:creator>
  <cp:lastModifiedBy>SO：</cp:lastModifiedBy>
  <cp:lastPrinted>2019-05-23T02:18:00Z</cp:lastPrinted>
  <dcterms:modified xsi:type="dcterms:W3CDTF">2020-09-23T08:35:04Z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