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hint="eastAsia" w:ascii="宋体" w:hAnsi="宋体" w:eastAsia="宋体" w:cs="宋体"/>
          <w:b/>
          <w:color w:val="auto"/>
          <w:sz w:val="24"/>
          <w:szCs w:val="24"/>
        </w:rPr>
      </w:pPr>
      <w:bookmarkStart w:id="179" w:name="_GoBack"/>
      <w:bookmarkEnd w:id="179"/>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jc w:val="both"/>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青海诚德竞磋（服务）2020-063</w:t>
      </w:r>
    </w:p>
    <w:p>
      <w:pPr>
        <w:adjustRightInd w:val="0"/>
        <w:spacing w:line="720" w:lineRule="auto"/>
        <w:ind w:left="253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扶贫驻村干部人身意外伤害险采购项目</w:t>
      </w: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中共互助土族自治县委组织部</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采购代理机构：青海诚德招标代理有限公司</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06</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4"/>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0"/>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青海诚德招标代理有限公司（以下均简称“采购代理机构”）受中共互助土族自治县委组织部（以下均简称“采购人”）委托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扶贫驻村干部人身意外伤害险采购项目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青海诚德竞磋（服务）2020-063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扶贫驻村干部人身意外伤害险采购项目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52.78万元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4"/>
                <w:rFonts w:hint="eastAsia" w:ascii="宋体" w:hAnsi="宋体" w:eastAsia="宋体" w:cs="宋体"/>
                <w:color w:val="auto"/>
                <w:sz w:val="24"/>
                <w:szCs w:val="24"/>
                <w:u w:val="single"/>
              </w:rPr>
              <w:t>点击此处下载</w:t>
            </w:r>
            <w:r>
              <w:rPr>
                <w:rStyle w:val="24"/>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06月10</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06月11</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06月17</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地点：西宁市五四西路61号新华联国际中心3号公寓楼17楼</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标书购买联系人：王女士</w:t>
            </w:r>
          </w:p>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rPr>
              <w:t>0971-6184331</w:t>
            </w:r>
            <w:r>
              <w:rPr>
                <w:rFonts w:hint="eastAsia" w:ascii="宋体" w:hAnsi="宋体" w:eastAsia="宋体" w:cs="宋体"/>
                <w:color w:val="auto"/>
                <w:sz w:val="24"/>
                <w:szCs w:val="24"/>
                <w:lang w:eastAsia="zh-CN"/>
              </w:rPr>
              <w:t>转</w:t>
            </w:r>
            <w:r>
              <w:rPr>
                <w:rFonts w:hint="eastAsia" w:ascii="宋体" w:hAnsi="宋体" w:eastAsia="宋体" w:cs="宋体"/>
                <w:color w:val="auto"/>
                <w:sz w:val="24"/>
                <w:szCs w:val="24"/>
                <w:lang w:val="en-US" w:eastAsia="zh-CN"/>
              </w:rPr>
              <w:t>608</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rPr>
              <w:t>qhcdzbgy@163.com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供应商的营业执照复印件、组织机构代码证复印件、税务登记证复印件或三证合一新证复印件、法人授权委托书（原件）及法人</w:t>
            </w:r>
            <w:r>
              <w:rPr>
                <w:rFonts w:hint="eastAsia" w:ascii="宋体" w:hAnsi="宋体" w:eastAsia="宋体" w:cs="宋体"/>
                <w:color w:val="auto"/>
                <w:sz w:val="24"/>
                <w:szCs w:val="24"/>
                <w:lang w:val="zh-CN" w:eastAsia="zh-CN"/>
              </w:rPr>
              <w:t>和委托代理人</w:t>
            </w:r>
            <w:r>
              <w:rPr>
                <w:rFonts w:hint="eastAsia" w:ascii="宋体" w:hAnsi="宋体" w:eastAsia="宋体" w:cs="宋体"/>
                <w:color w:val="auto"/>
                <w:sz w:val="24"/>
                <w:szCs w:val="24"/>
                <w:lang w:val="zh-CN"/>
              </w:rPr>
              <w:t>身份证复印件。</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2020年06月22日下午03：00（北京时间）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2020年06月22日下午03：00（北京时间）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西宁市五四西路61号新华联国际中心3号公寓楼17楼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采购人：中共互助土族自治县委组织部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联系人：严老师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sz w:val="24"/>
                <w:szCs w:val="24"/>
              </w:rPr>
              <w:t>097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8321008</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联系地址：青海省海东市互助土族自治县北大街1号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采购代理机构：青海诚德招标代理有限公司</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联系人：宋先生</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联系电话：</w:t>
            </w:r>
            <w:r>
              <w:rPr>
                <w:rFonts w:hint="eastAsia" w:ascii="宋体" w:hAnsi="宋体" w:eastAsia="宋体" w:cs="宋体"/>
                <w:color w:val="auto"/>
                <w:sz w:val="24"/>
              </w:rPr>
              <w:t>0971-6184771</w:t>
            </w:r>
            <w:r>
              <w:rPr>
                <w:rFonts w:hint="eastAsia" w:ascii="宋体" w:hAnsi="宋体" w:eastAsia="宋体" w:cs="宋体"/>
                <w:color w:val="auto"/>
                <w:sz w:val="24"/>
                <w:lang w:eastAsia="zh-CN"/>
              </w:rPr>
              <w:t>转</w:t>
            </w:r>
            <w:r>
              <w:rPr>
                <w:rFonts w:hint="eastAsia" w:ascii="宋体" w:hAnsi="宋体" w:eastAsia="宋体" w:cs="宋体"/>
                <w:color w:val="auto"/>
                <w:sz w:val="24"/>
                <w:lang w:val="en-US" w:eastAsia="zh-CN"/>
              </w:rPr>
              <w:t>601</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lang w:val="zh-CN"/>
              </w:rPr>
              <w:t>联系地址：</w:t>
            </w:r>
            <w:r>
              <w:rPr>
                <w:rFonts w:hint="eastAsia" w:ascii="宋体" w:hAnsi="宋体" w:eastAsia="宋体" w:cs="宋体"/>
                <w:color w:val="auto"/>
                <w:kern w:val="0"/>
                <w:sz w:val="24"/>
                <w:szCs w:val="24"/>
                <w:lang w:val="zh-CN"/>
              </w:rPr>
              <w:t>西宁市五四西路61号新华联国际中心3号公寓楼17楼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lang w:val="zh-CN"/>
              </w:rPr>
              <w:t>中国银行西宁市商业巷支行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lang w:val="zh-CN"/>
              </w:rPr>
              <w:t>青海诚德招标代理有限公司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rPr>
              <w:t>105017161341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szCs w:val="24"/>
              </w:rPr>
              <w:t>本公告在《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w:t>
            </w:r>
            <w:r>
              <w:rPr>
                <w:rFonts w:hint="eastAsia" w:ascii="宋体" w:hAnsi="宋体" w:eastAsia="宋体" w:cs="宋体"/>
                <w:color w:val="auto"/>
                <w:sz w:val="24"/>
              </w:rPr>
              <w:t>《青海省</w:t>
            </w:r>
            <w:r>
              <w:rPr>
                <w:rFonts w:hint="eastAsia" w:ascii="宋体" w:hAnsi="宋体" w:eastAsia="宋体" w:cs="宋体"/>
                <w:color w:val="auto"/>
                <w:sz w:val="24"/>
                <w:lang w:eastAsia="zh-CN"/>
              </w:rPr>
              <w:t>电子</w:t>
            </w:r>
            <w:r>
              <w:rPr>
                <w:rFonts w:hint="eastAsia" w:ascii="宋体" w:hAnsi="宋体" w:eastAsia="宋体" w:cs="宋体"/>
                <w:color w:val="auto"/>
                <w:sz w:val="24"/>
              </w:rPr>
              <w:t>招标投标</w:t>
            </w:r>
            <w:r>
              <w:rPr>
                <w:rFonts w:hint="eastAsia" w:ascii="宋体" w:hAnsi="宋体" w:eastAsia="宋体" w:cs="宋体"/>
                <w:color w:val="auto"/>
                <w:sz w:val="24"/>
                <w:lang w:eastAsia="zh-CN"/>
              </w:rPr>
              <w:t>公共服务平台</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szCs w:val="24"/>
              </w:rPr>
              <w:t>《青海</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信息网》</w:t>
            </w:r>
            <w:r>
              <w:rPr>
                <w:rFonts w:hint="eastAsia" w:ascii="宋体" w:hAnsi="宋体" w:eastAsia="宋体" w:cs="宋体"/>
                <w:color w:val="auto"/>
                <w:sz w:val="24"/>
                <w:szCs w:val="24"/>
                <w:lang w:eastAsia="zh-CN"/>
              </w:rPr>
              <w:t>同时</w:t>
            </w:r>
            <w:r>
              <w:rPr>
                <w:rFonts w:hint="eastAsia" w:ascii="宋体" w:hAnsi="宋体" w:eastAsia="宋体" w:cs="宋体"/>
                <w:color w:val="auto"/>
                <w:sz w:val="24"/>
                <w:szCs w:val="24"/>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监督单位：互助土族自治县财政局</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联系电话：0972-8322413</w:t>
            </w:r>
          </w:p>
        </w:tc>
      </w:tr>
    </w:tbl>
    <w:p>
      <w:pPr>
        <w:pStyle w:val="10"/>
        <w:spacing w:after="0" w:line="360" w:lineRule="auto"/>
        <w:ind w:left="0" w:leftChars="0" w:firstLine="0" w:firstLineChars="0"/>
        <w:rPr>
          <w:rFonts w:hint="eastAsia" w:ascii="宋体" w:hAnsi="宋体" w:eastAsia="宋体" w:cs="宋体"/>
          <w:color w:val="auto"/>
          <w:sz w:val="24"/>
          <w:szCs w:val="24"/>
          <w:lang w:val="zh-CN"/>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right"/>
        <w:rPr>
          <w:rFonts w:hint="eastAsia" w:ascii="宋体" w:hAnsi="宋体" w:eastAsia="宋体" w:cs="宋体"/>
          <w:color w:val="auto"/>
          <w:sz w:val="24"/>
          <w:szCs w:val="24"/>
        </w:rPr>
      </w:pPr>
      <w:bookmarkStart w:id="2" w:name="AGENCY_NAME1"/>
      <w:r>
        <w:rPr>
          <w:rFonts w:hint="eastAsia" w:ascii="宋体" w:hAnsi="宋体" w:eastAsia="宋体" w:cs="宋体"/>
          <w:color w:val="auto"/>
          <w:sz w:val="24"/>
          <w:szCs w:val="24"/>
        </w:rPr>
        <w:t>青海诚德招标代理有限公司</w:t>
      </w:r>
      <w:bookmarkEnd w:id="2"/>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06月10</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8"/>
        <w:spacing w:before="0" w:after="0" w:line="360" w:lineRule="auto"/>
        <w:ind w:firstLine="0" w:firstLineChars="0"/>
        <w:rPr>
          <w:rFonts w:hint="eastAsia" w:ascii="宋体" w:hAnsi="宋体" w:eastAsia="宋体" w:cs="宋体"/>
          <w:color w:val="auto"/>
          <w:lang w:val="zh-CN"/>
        </w:rPr>
      </w:pPr>
      <w:bookmarkStart w:id="3" w:name="_Toc3201"/>
      <w:bookmarkStart w:id="4"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3"/>
      <w:bookmarkEnd w:id="4"/>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青海诚德竞磋（服务）2020-063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扶贫驻村干部人身意外伤害险采购项目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中共互助土族自治县委组织部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en-US" w:eastAsia="zh-CN"/>
              </w:rPr>
              <w:t>52.78万元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10000.00元</w:t>
            </w:r>
            <w:r>
              <w:rPr>
                <w:rFonts w:hint="eastAsia" w:ascii="宋体" w:hAnsi="宋体" w:eastAsia="宋体" w:cs="宋体"/>
                <w:color w:val="auto"/>
                <w:sz w:val="24"/>
                <w:u w:val="none"/>
                <w:lang w:val="en-US" w:eastAsia="zh-CN"/>
              </w:rPr>
              <w:t>。</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rPr>
              <w:t>青海诚德招标代理有限公司</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rPr>
              <w:t>中国银行西宁市商业巷支行</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rPr>
              <w:t>105017161341</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缴费时间：投标截止前，以银行到账时间为准。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2020年06月22日下午03：00（北京时间）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2020年06月22日下午03：00（北京时间）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kern w:val="0"/>
                <w:sz w:val="24"/>
                <w:szCs w:val="24"/>
                <w:lang w:val="zh-CN"/>
              </w:rPr>
              <w:t>西宁市五四西路61号新华联国际中心3号公寓楼17楼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hint="eastAsia" w:ascii="宋体" w:hAnsi="宋体" w:eastAsia="宋体" w:cs="宋体"/>
                <w:b/>
                <w:color w:val="auto"/>
                <w:sz w:val="24"/>
                <w:lang w:val="en-US" w:eastAsia="zh-CN"/>
              </w:rPr>
            </w:pPr>
            <w:r>
              <w:rPr>
                <w:rFonts w:hint="eastAsia" w:ascii="宋体" w:hAnsi="宋体" w:eastAsia="宋体" w:cs="宋体"/>
                <w:color w:val="auto"/>
                <w:sz w:val="24"/>
                <w:lang w:val="zh-CN"/>
              </w:rPr>
              <w:t>收费金额：</w:t>
            </w:r>
            <w:r>
              <w:rPr>
                <w:rFonts w:hint="eastAsia" w:ascii="宋体" w:hAnsi="宋体" w:eastAsia="宋体" w:cs="宋体"/>
                <w:color w:val="auto"/>
                <w:sz w:val="24"/>
                <w:lang w:val="en-US" w:eastAsia="zh-CN"/>
              </w:rPr>
              <w:t>8000.00元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采购代理机构留存三份原件备案。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60个日历</w:t>
            </w:r>
            <w:r>
              <w:rPr>
                <w:rFonts w:hint="eastAsia" w:ascii="宋体" w:hAnsi="宋体" w:eastAsia="宋体" w:cs="宋体"/>
                <w:color w:val="auto"/>
                <w:sz w:val="24"/>
                <w:szCs w:val="24"/>
                <w:lang w:eastAsia="zh-CN"/>
              </w:rPr>
              <w:t>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服务期限：</w:t>
            </w:r>
            <w:r>
              <w:rPr>
                <w:rFonts w:hint="eastAsia" w:ascii="宋体" w:hAnsi="宋体" w:eastAsia="宋体" w:cs="宋体"/>
                <w:color w:val="auto"/>
                <w:sz w:val="24"/>
                <w:lang w:val="en-US" w:eastAsia="zh-CN"/>
              </w:rPr>
              <w:t>1年</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5" w:name="_Toc9515"/>
      <w:bookmarkStart w:id="6" w:name="_Toc325725997"/>
      <w:r>
        <w:rPr>
          <w:rFonts w:hint="eastAsia" w:ascii="宋体" w:hAnsi="宋体" w:eastAsia="宋体" w:cs="宋体"/>
          <w:b/>
          <w:color w:val="auto"/>
          <w:kern w:val="28"/>
          <w:sz w:val="36"/>
          <w:szCs w:val="20"/>
        </w:rPr>
        <w:t>第三部分  供应商须知</w:t>
      </w:r>
      <w:bookmarkEnd w:id="5"/>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 w:name="_Toc14943"/>
      <w:bookmarkStart w:id="8" w:name="_Toc376936728"/>
      <w:bookmarkStart w:id="9" w:name="_Toc24622"/>
      <w:r>
        <w:rPr>
          <w:rFonts w:hint="eastAsia" w:ascii="宋体" w:hAnsi="宋体" w:eastAsia="宋体" w:cs="宋体"/>
          <w:b/>
          <w:bCs/>
          <w:color w:val="auto"/>
          <w:sz w:val="24"/>
          <w:szCs w:val="24"/>
        </w:rPr>
        <w:t>一、说  明</w:t>
      </w:r>
      <w:bookmarkEnd w:id="6"/>
      <w:bookmarkEnd w:id="7"/>
      <w:bookmarkEnd w:id="8"/>
      <w:bookmarkEnd w:id="9"/>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325725998"/>
      <w:bookmarkStart w:id="11" w:name="_Toc376936729"/>
      <w:bookmarkStart w:id="12" w:name="_Toc9770"/>
      <w:bookmarkStart w:id="13" w:name="_Toc26944"/>
      <w:r>
        <w:rPr>
          <w:rFonts w:hint="eastAsia" w:ascii="宋体" w:hAnsi="宋体" w:eastAsia="宋体" w:cs="宋体"/>
          <w:b/>
          <w:bCs/>
          <w:color w:val="auto"/>
          <w:sz w:val="24"/>
          <w:szCs w:val="24"/>
        </w:rPr>
        <w:t>1.适用范围</w:t>
      </w:r>
      <w:bookmarkEnd w:id="10"/>
      <w:bookmarkEnd w:id="11"/>
      <w:bookmarkEnd w:id="12"/>
      <w:bookmarkEnd w:id="13"/>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青海省财政厅</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4" w:name="_Toc21998"/>
      <w:bookmarkStart w:id="15" w:name="_Toc325725999"/>
      <w:bookmarkStart w:id="16" w:name="_Toc376936730"/>
      <w:bookmarkStart w:id="17" w:name="_Toc31556"/>
      <w:r>
        <w:rPr>
          <w:rFonts w:hint="eastAsia" w:ascii="宋体" w:hAnsi="宋体" w:eastAsia="宋体" w:cs="宋体"/>
          <w:b/>
          <w:bCs/>
          <w:color w:val="auto"/>
          <w:sz w:val="24"/>
          <w:szCs w:val="24"/>
        </w:rPr>
        <w:t>2.采购方式、合格的</w:t>
      </w:r>
      <w:bookmarkEnd w:id="14"/>
      <w:bookmarkEnd w:id="15"/>
      <w:bookmarkEnd w:id="16"/>
      <w:r>
        <w:rPr>
          <w:rFonts w:hint="eastAsia" w:ascii="宋体" w:hAnsi="宋体" w:eastAsia="宋体" w:cs="宋体"/>
          <w:b/>
          <w:bCs/>
          <w:color w:val="auto"/>
          <w:sz w:val="24"/>
          <w:szCs w:val="24"/>
        </w:rPr>
        <w:t>供应商</w:t>
      </w:r>
      <w:bookmarkEnd w:id="17"/>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0" w:firstLineChars="0"/>
        <w:textAlignment w:val="auto"/>
        <w:rPr>
          <w:rFonts w:hint="eastAsia" w:eastAsiaTheme="minorEastAsia"/>
          <w:color w:val="auto"/>
          <w:lang w:val="zh-CN" w:eastAsia="zh-CN"/>
        </w:rPr>
      </w:pP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en-US" w:eastAsia="zh-CN"/>
        </w:rPr>
        <w:t>供应商须具有保险业务经营许可证；</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8" w:name="_Toc8805"/>
      <w:bookmarkStart w:id="19" w:name="_Toc325726000"/>
      <w:bookmarkStart w:id="20" w:name="_Toc376936731"/>
      <w:bookmarkStart w:id="21" w:name="_Toc8820"/>
      <w:r>
        <w:rPr>
          <w:rFonts w:hint="eastAsia" w:ascii="宋体" w:hAnsi="宋体" w:eastAsia="宋体" w:cs="宋体"/>
          <w:b/>
          <w:bCs/>
          <w:color w:val="auto"/>
          <w:sz w:val="24"/>
          <w:szCs w:val="24"/>
        </w:rPr>
        <w:t>3.磋商费用</w:t>
      </w:r>
      <w:bookmarkEnd w:id="18"/>
      <w:bookmarkEnd w:id="19"/>
      <w:bookmarkEnd w:id="20"/>
      <w:bookmarkEnd w:id="21"/>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2" w:name="_Toc18155"/>
      <w:bookmarkStart w:id="23" w:name="_Toc325726001"/>
      <w:bookmarkStart w:id="24" w:name="_Toc376936732"/>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2"/>
      <w:bookmarkEnd w:id="23"/>
      <w:bookmarkEnd w:id="24"/>
    </w:p>
    <w:p>
      <w:pPr>
        <w:widowControl/>
        <w:spacing w:line="360" w:lineRule="auto"/>
        <w:ind w:firstLine="0" w:firstLineChars="0"/>
        <w:jc w:val="left"/>
        <w:outlineLvl w:val="2"/>
        <w:rPr>
          <w:rFonts w:hint="eastAsia" w:ascii="宋体" w:hAnsi="宋体" w:eastAsia="宋体" w:cs="宋体"/>
          <w:b/>
          <w:bCs/>
          <w:color w:val="auto"/>
          <w:sz w:val="24"/>
          <w:szCs w:val="24"/>
        </w:rPr>
      </w:pPr>
      <w:bookmarkStart w:id="25" w:name="_Toc325726002"/>
      <w:bookmarkStart w:id="26" w:name="_Toc14153"/>
      <w:bookmarkStart w:id="27" w:name="_Toc376936733"/>
      <w:bookmarkStart w:id="28" w:name="_Toc10649"/>
      <w:r>
        <w:rPr>
          <w:rFonts w:hint="eastAsia" w:ascii="宋体" w:hAnsi="宋体" w:eastAsia="宋体" w:cs="宋体"/>
          <w:b/>
          <w:bCs/>
          <w:color w:val="auto"/>
          <w:sz w:val="24"/>
          <w:szCs w:val="24"/>
        </w:rPr>
        <w:t>4.磋商文件的构成</w:t>
      </w:r>
      <w:bookmarkEnd w:id="25"/>
      <w:bookmarkEnd w:id="26"/>
      <w:bookmarkEnd w:id="27"/>
      <w:bookmarkEnd w:id="28"/>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25726003"/>
      <w:bookmarkStart w:id="30" w:name="_Toc376936734"/>
      <w:bookmarkStart w:id="31" w:name="_Toc3451"/>
      <w:bookmarkStart w:id="32" w:name="_Toc6482"/>
      <w:r>
        <w:rPr>
          <w:rFonts w:hint="eastAsia" w:ascii="宋体" w:hAnsi="宋体" w:eastAsia="宋体" w:cs="宋体"/>
          <w:b/>
          <w:bCs/>
          <w:color w:val="auto"/>
          <w:sz w:val="24"/>
          <w:szCs w:val="24"/>
        </w:rPr>
        <w:t>5.磋商文件的</w:t>
      </w:r>
      <w:bookmarkEnd w:id="29"/>
      <w:bookmarkEnd w:id="30"/>
      <w:r>
        <w:rPr>
          <w:rFonts w:hint="eastAsia" w:ascii="宋体" w:hAnsi="宋体" w:eastAsia="宋体" w:cs="宋体"/>
          <w:b/>
          <w:bCs/>
          <w:color w:val="auto"/>
          <w:sz w:val="24"/>
          <w:szCs w:val="24"/>
        </w:rPr>
        <w:t>质疑</w:t>
      </w:r>
      <w:bookmarkEnd w:id="31"/>
      <w:bookmarkEnd w:id="32"/>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3" w:name="_Toc13050"/>
      <w:bookmarkStart w:id="34" w:name="_Toc325726004"/>
      <w:bookmarkStart w:id="35" w:name="_Toc26515"/>
      <w:bookmarkStart w:id="36" w:name="_Toc376936735"/>
      <w:r>
        <w:rPr>
          <w:rFonts w:hint="eastAsia" w:ascii="宋体" w:hAnsi="宋体" w:eastAsia="宋体" w:cs="宋体"/>
          <w:b/>
          <w:bCs/>
          <w:color w:val="auto"/>
          <w:sz w:val="24"/>
          <w:szCs w:val="24"/>
        </w:rPr>
        <w:t>6.磋商文件的澄清、修改</w:t>
      </w:r>
      <w:bookmarkEnd w:id="33"/>
      <w:bookmarkEnd w:id="34"/>
      <w:bookmarkEnd w:id="35"/>
      <w:bookmarkEnd w:id="36"/>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376936736"/>
      <w:bookmarkStart w:id="38" w:name="_Toc325726005"/>
      <w:bookmarkStart w:id="39" w:name="_Toc23340"/>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7"/>
      <w:bookmarkEnd w:id="38"/>
      <w:bookmarkEnd w:id="39"/>
    </w:p>
    <w:p>
      <w:pPr>
        <w:widowControl/>
        <w:spacing w:line="360" w:lineRule="auto"/>
        <w:ind w:firstLine="0" w:firstLineChars="0"/>
        <w:jc w:val="left"/>
        <w:outlineLvl w:val="2"/>
        <w:rPr>
          <w:rFonts w:hint="eastAsia" w:ascii="宋体" w:hAnsi="宋体" w:eastAsia="宋体" w:cs="宋体"/>
          <w:b/>
          <w:bCs/>
          <w:color w:val="auto"/>
          <w:sz w:val="24"/>
          <w:szCs w:val="24"/>
        </w:rPr>
      </w:pPr>
      <w:bookmarkStart w:id="40" w:name="_Toc325726006"/>
      <w:bookmarkStart w:id="41" w:name="_Toc13057"/>
      <w:bookmarkStart w:id="42" w:name="_Toc9674"/>
      <w:bookmarkStart w:id="43" w:name="_Toc376936737"/>
      <w:r>
        <w:rPr>
          <w:rFonts w:hint="eastAsia" w:ascii="宋体" w:hAnsi="宋体" w:eastAsia="宋体" w:cs="宋体"/>
          <w:b/>
          <w:bCs/>
          <w:color w:val="auto"/>
          <w:sz w:val="24"/>
          <w:szCs w:val="24"/>
        </w:rPr>
        <w:t>7.响应文件的语言及度量衡单位</w:t>
      </w:r>
      <w:bookmarkEnd w:id="40"/>
      <w:bookmarkEnd w:id="41"/>
      <w:bookmarkEnd w:id="42"/>
      <w:bookmarkEnd w:id="4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4" w:name="_Toc376936743"/>
      <w:bookmarkStart w:id="45" w:name="_Toc325726012"/>
      <w:bookmarkStart w:id="46" w:name="_Toc21569"/>
      <w:bookmarkStart w:id="47" w:name="_Toc17093"/>
      <w:r>
        <w:rPr>
          <w:rFonts w:hint="eastAsia" w:ascii="宋体" w:hAnsi="宋体" w:eastAsia="宋体" w:cs="宋体"/>
          <w:b/>
          <w:bCs/>
          <w:color w:val="auto"/>
          <w:sz w:val="24"/>
          <w:szCs w:val="24"/>
        </w:rPr>
        <w:t>8.磋商保证金</w:t>
      </w:r>
      <w:bookmarkEnd w:id="44"/>
      <w:bookmarkEnd w:id="45"/>
      <w:bookmarkEnd w:id="46"/>
      <w:bookmarkEnd w:id="47"/>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磋商保证金由供应商以转款方式直接缴入“青海诚德招标代理有限公司”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376936744"/>
      <w:bookmarkStart w:id="49" w:name="_Toc325726013"/>
      <w:bookmarkStart w:id="50" w:name="_Toc22044"/>
      <w:bookmarkStart w:id="51" w:name="_Toc32704"/>
      <w:r>
        <w:rPr>
          <w:rFonts w:hint="eastAsia" w:ascii="宋体" w:hAnsi="宋体" w:eastAsia="宋体" w:cs="宋体"/>
          <w:b/>
          <w:bCs/>
          <w:color w:val="auto"/>
          <w:sz w:val="24"/>
          <w:szCs w:val="24"/>
        </w:rPr>
        <w:t>9.磋商有效期</w:t>
      </w:r>
      <w:bookmarkEnd w:id="48"/>
      <w:bookmarkEnd w:id="49"/>
      <w:bookmarkEnd w:id="50"/>
      <w:bookmarkEnd w:id="51"/>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60个日历</w:t>
      </w:r>
      <w:r>
        <w:rPr>
          <w:rFonts w:hint="eastAsia" w:ascii="宋体" w:hAnsi="宋体" w:eastAsia="宋体" w:cs="宋体"/>
          <w:color w:val="auto"/>
          <w:sz w:val="24"/>
          <w:szCs w:val="24"/>
          <w:lang w:eastAsia="zh-CN"/>
        </w:rPr>
        <w:t>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2" w:name="_Toc31915"/>
      <w:bookmarkStart w:id="53" w:name="_Toc16445"/>
      <w:bookmarkStart w:id="54" w:name="_Toc325726008"/>
      <w:bookmarkStart w:id="55" w:name="_Toc376936739"/>
      <w:r>
        <w:rPr>
          <w:rFonts w:hint="eastAsia" w:ascii="宋体" w:hAnsi="宋体" w:eastAsia="宋体" w:cs="宋体"/>
          <w:b/>
          <w:bCs/>
          <w:color w:val="auto"/>
          <w:sz w:val="24"/>
          <w:szCs w:val="24"/>
        </w:rPr>
        <w:t>10.响应文件构成</w:t>
      </w:r>
      <w:bookmarkEnd w:id="52"/>
      <w:bookmarkEnd w:id="53"/>
      <w:bookmarkEnd w:id="54"/>
      <w:bookmarkEnd w:id="5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6" w:name="_Toc16453"/>
      <w:bookmarkStart w:id="57" w:name="_Toc373392580"/>
      <w:bookmarkStart w:id="58" w:name="_Toc11377"/>
      <w:bookmarkStart w:id="59" w:name="_Toc412617729"/>
      <w:r>
        <w:rPr>
          <w:rFonts w:hint="eastAsia" w:ascii="宋体" w:hAnsi="宋体" w:eastAsia="宋体" w:cs="宋体"/>
          <w:b/>
          <w:bCs/>
          <w:color w:val="auto"/>
          <w:sz w:val="24"/>
          <w:szCs w:val="24"/>
        </w:rPr>
        <w:t>11.响应文件编印和签署</w:t>
      </w:r>
      <w:bookmarkEnd w:id="56"/>
      <w:bookmarkEnd w:id="57"/>
      <w:bookmarkEnd w:id="58"/>
      <w:bookmarkEnd w:id="59"/>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60" w:name="_Toc412617730"/>
      <w:bookmarkStart w:id="61" w:name="_Toc15102"/>
      <w:bookmarkStart w:id="62" w:name="_Toc376936748"/>
      <w:bookmarkStart w:id="63" w:name="_Toc371090029"/>
    </w:p>
    <w:p>
      <w:pPr>
        <w:pStyle w:val="12"/>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60"/>
      <w:bookmarkEnd w:id="61"/>
    </w:p>
    <w:p>
      <w:pPr>
        <w:widowControl/>
        <w:spacing w:line="360" w:lineRule="auto"/>
        <w:ind w:firstLine="0" w:firstLineChars="0"/>
        <w:jc w:val="left"/>
        <w:outlineLvl w:val="2"/>
        <w:rPr>
          <w:rFonts w:hint="eastAsia" w:ascii="宋体" w:hAnsi="宋体" w:eastAsia="宋体" w:cs="宋体"/>
          <w:b/>
          <w:bCs/>
          <w:color w:val="auto"/>
          <w:sz w:val="24"/>
          <w:szCs w:val="24"/>
        </w:rPr>
      </w:pPr>
      <w:bookmarkStart w:id="64" w:name="_Toc1176"/>
      <w:bookmarkStart w:id="65" w:name="_Toc412617731"/>
      <w:bookmarkStart w:id="66" w:name="_Toc373392582"/>
      <w:bookmarkStart w:id="67" w:name="_Toc23823"/>
      <w:bookmarkStart w:id="68" w:name="_Toc325726016"/>
      <w:r>
        <w:rPr>
          <w:rFonts w:hint="eastAsia" w:ascii="宋体" w:hAnsi="宋体" w:eastAsia="宋体" w:cs="宋体"/>
          <w:b/>
          <w:bCs/>
          <w:color w:val="auto"/>
          <w:sz w:val="24"/>
          <w:szCs w:val="24"/>
        </w:rPr>
        <w:t>12.响应文件的密封和标记</w:t>
      </w:r>
      <w:bookmarkEnd w:id="64"/>
      <w:bookmarkEnd w:id="65"/>
      <w:bookmarkEnd w:id="66"/>
      <w:bookmarkEnd w:id="67"/>
      <w:bookmarkEnd w:id="68"/>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2020年06月22日下午03：00</w:t>
      </w:r>
      <w:r>
        <w:rPr>
          <w:rFonts w:hint="eastAsia" w:ascii="宋体" w:hAnsi="宋体" w:eastAsia="宋体" w:cs="宋体"/>
          <w:color w:val="auto"/>
          <w:sz w:val="24"/>
          <w:szCs w:val="24"/>
        </w:rPr>
        <w:t>之前不准启封”标签密封。</w:t>
      </w:r>
    </w:p>
    <w:p>
      <w:pPr>
        <w:pStyle w:val="12"/>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2"/>
    <w:bookmarkEnd w:id="63"/>
    <w:p>
      <w:pPr>
        <w:widowControl/>
        <w:spacing w:line="360" w:lineRule="auto"/>
        <w:ind w:firstLine="0" w:firstLineChars="0"/>
        <w:jc w:val="left"/>
        <w:outlineLvl w:val="2"/>
        <w:rPr>
          <w:rFonts w:hint="eastAsia" w:ascii="宋体" w:hAnsi="宋体" w:eastAsia="宋体" w:cs="宋体"/>
          <w:b/>
          <w:bCs/>
          <w:color w:val="auto"/>
          <w:sz w:val="24"/>
          <w:szCs w:val="24"/>
        </w:rPr>
      </w:pPr>
      <w:bookmarkStart w:id="69" w:name="_Toc373392583"/>
      <w:bookmarkStart w:id="70" w:name="_Toc325726017"/>
      <w:bookmarkStart w:id="71" w:name="_Toc4009"/>
      <w:bookmarkStart w:id="72" w:name="_Toc30756"/>
      <w:bookmarkStart w:id="73" w:name="_Toc412617732"/>
      <w:bookmarkStart w:id="74" w:name="_Toc376936749"/>
      <w:bookmarkStart w:id="75" w:name="_Toc371090030"/>
      <w:r>
        <w:rPr>
          <w:rFonts w:hint="eastAsia" w:ascii="宋体" w:hAnsi="宋体" w:eastAsia="宋体" w:cs="宋体"/>
          <w:b/>
          <w:bCs/>
          <w:color w:val="auto"/>
          <w:sz w:val="24"/>
          <w:szCs w:val="24"/>
        </w:rPr>
        <w:t>13.</w:t>
      </w:r>
      <w:bookmarkEnd w:id="69"/>
      <w:bookmarkEnd w:id="70"/>
      <w:bookmarkEnd w:id="71"/>
      <w:bookmarkEnd w:id="72"/>
      <w:bookmarkEnd w:id="73"/>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4"/>
      <w:bookmarkEnd w:id="75"/>
      <w:bookmarkStart w:id="76" w:name="_Toc325726019"/>
      <w:bookmarkStart w:id="77" w:name="_Toc376936750"/>
      <w:bookmarkStart w:id="78"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9" w:name="_Toc5644"/>
      <w:r>
        <w:rPr>
          <w:rFonts w:hint="eastAsia" w:ascii="宋体" w:hAnsi="宋体" w:eastAsia="宋体" w:cs="宋体"/>
          <w:b/>
          <w:bCs/>
          <w:color w:val="auto"/>
          <w:sz w:val="24"/>
          <w:szCs w:val="24"/>
        </w:rPr>
        <w:t>五、</w:t>
      </w:r>
      <w:bookmarkEnd w:id="76"/>
      <w:bookmarkEnd w:id="77"/>
      <w:r>
        <w:rPr>
          <w:rFonts w:hint="eastAsia" w:ascii="宋体" w:hAnsi="宋体" w:eastAsia="宋体" w:cs="宋体"/>
          <w:b/>
          <w:bCs/>
          <w:color w:val="auto"/>
          <w:sz w:val="24"/>
          <w:szCs w:val="24"/>
        </w:rPr>
        <w:t>磋商过程</w:t>
      </w:r>
      <w:bookmarkEnd w:id="78"/>
      <w:bookmarkEnd w:id="79"/>
    </w:p>
    <w:p>
      <w:pPr>
        <w:widowControl/>
        <w:spacing w:line="360" w:lineRule="auto"/>
        <w:ind w:firstLine="0" w:firstLineChars="0"/>
        <w:jc w:val="left"/>
        <w:outlineLvl w:val="2"/>
        <w:rPr>
          <w:rFonts w:hint="eastAsia" w:ascii="宋体" w:hAnsi="宋体" w:eastAsia="宋体" w:cs="宋体"/>
          <w:b/>
          <w:bCs/>
          <w:color w:val="auto"/>
          <w:sz w:val="24"/>
          <w:szCs w:val="24"/>
        </w:rPr>
      </w:pPr>
      <w:bookmarkStart w:id="80" w:name="_Toc376936751"/>
      <w:bookmarkStart w:id="81" w:name="_Toc325726020"/>
      <w:bookmarkStart w:id="82" w:name="_Toc26723"/>
      <w:bookmarkStart w:id="83" w:name="_Toc15630"/>
      <w:r>
        <w:rPr>
          <w:rFonts w:hint="eastAsia" w:ascii="宋体" w:hAnsi="宋体" w:eastAsia="宋体" w:cs="宋体"/>
          <w:b/>
          <w:bCs/>
          <w:color w:val="auto"/>
          <w:sz w:val="24"/>
          <w:szCs w:val="24"/>
        </w:rPr>
        <w:t>14.</w:t>
      </w:r>
      <w:bookmarkEnd w:id="80"/>
      <w:bookmarkEnd w:id="81"/>
      <w:r>
        <w:rPr>
          <w:rFonts w:hint="eastAsia" w:ascii="宋体" w:hAnsi="宋体" w:eastAsia="宋体" w:cs="宋体"/>
          <w:b/>
          <w:bCs/>
          <w:color w:val="auto"/>
          <w:sz w:val="24"/>
          <w:szCs w:val="24"/>
        </w:rPr>
        <w:t>磋商过程</w:t>
      </w:r>
      <w:bookmarkEnd w:id="82"/>
      <w:bookmarkEnd w:id="83"/>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4" w:name="_Toc376936752"/>
      <w:bookmarkStart w:id="85" w:name="_Toc325726021"/>
      <w:bookmarkStart w:id="86" w:name="_Toc19030"/>
      <w:bookmarkStart w:id="87" w:name="_Toc18107"/>
      <w:r>
        <w:rPr>
          <w:rFonts w:hint="eastAsia" w:ascii="宋体" w:hAnsi="宋体" w:eastAsia="宋体" w:cs="宋体"/>
          <w:b/>
          <w:bCs/>
          <w:color w:val="auto"/>
          <w:sz w:val="24"/>
          <w:szCs w:val="24"/>
        </w:rPr>
        <w:t>六、磋商程序及方法</w:t>
      </w:r>
      <w:bookmarkEnd w:id="84"/>
      <w:bookmarkEnd w:id="85"/>
      <w:bookmarkEnd w:id="86"/>
      <w:bookmarkEnd w:id="87"/>
    </w:p>
    <w:p>
      <w:pPr>
        <w:widowControl/>
        <w:spacing w:line="360" w:lineRule="auto"/>
        <w:ind w:firstLine="0" w:firstLineChars="0"/>
        <w:jc w:val="left"/>
        <w:outlineLvl w:val="2"/>
        <w:rPr>
          <w:rFonts w:hint="eastAsia" w:ascii="宋体" w:hAnsi="宋体" w:eastAsia="宋体" w:cs="宋体"/>
          <w:b/>
          <w:bCs/>
          <w:color w:val="auto"/>
          <w:sz w:val="24"/>
          <w:szCs w:val="24"/>
        </w:rPr>
      </w:pPr>
      <w:bookmarkStart w:id="88" w:name="_Toc376936753"/>
      <w:bookmarkStart w:id="89" w:name="_Toc16935"/>
      <w:bookmarkStart w:id="90" w:name="_Toc325726022"/>
      <w:bookmarkStart w:id="91" w:name="_Toc26121"/>
      <w:r>
        <w:rPr>
          <w:rFonts w:hint="eastAsia" w:ascii="宋体" w:hAnsi="宋体" w:eastAsia="宋体" w:cs="宋体"/>
          <w:b/>
          <w:bCs/>
          <w:color w:val="auto"/>
          <w:sz w:val="24"/>
          <w:szCs w:val="24"/>
        </w:rPr>
        <w:t>15.磋商小组</w:t>
      </w:r>
      <w:bookmarkEnd w:id="88"/>
      <w:bookmarkEnd w:id="89"/>
      <w:bookmarkEnd w:id="90"/>
      <w:bookmarkEnd w:id="9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2" w:name="_Toc27086"/>
      <w:bookmarkStart w:id="93" w:name="_Toc14694"/>
      <w:bookmarkStart w:id="94" w:name="_Toc325726023"/>
      <w:bookmarkStart w:id="95" w:name="_Toc376936754"/>
      <w:r>
        <w:rPr>
          <w:rFonts w:hint="eastAsia" w:ascii="宋体" w:hAnsi="宋体" w:eastAsia="宋体" w:cs="宋体"/>
          <w:b/>
          <w:bCs/>
          <w:color w:val="auto"/>
          <w:sz w:val="24"/>
          <w:szCs w:val="24"/>
        </w:rPr>
        <w:t>16.磋商程序</w:t>
      </w:r>
      <w:bookmarkEnd w:id="92"/>
      <w:bookmarkEnd w:id="93"/>
      <w:bookmarkEnd w:id="94"/>
      <w:bookmarkEnd w:id="9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hd w:val="clear" w:color="auto"/>
          <w:lang w:val="zh-CN"/>
        </w:rPr>
        <w:t>投标报价超过采购预算额度的；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kern w:val="0"/>
          <w:sz w:val="24"/>
          <w:lang w:val="zh-CN"/>
        </w:rPr>
        <w:t>投标服务技术指标明显不符合采购项目要求的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6" w:name="_Toc325726024"/>
      <w:bookmarkStart w:id="97" w:name="_Toc13668"/>
      <w:bookmarkStart w:id="98" w:name="_Toc376936755"/>
      <w:bookmarkStart w:id="99" w:name="_Toc20611"/>
      <w:r>
        <w:rPr>
          <w:rFonts w:hint="eastAsia" w:ascii="宋体" w:hAnsi="宋体" w:eastAsia="宋体" w:cs="宋体"/>
          <w:b/>
          <w:bCs/>
          <w:color w:val="auto"/>
          <w:sz w:val="24"/>
          <w:szCs w:val="24"/>
        </w:rPr>
        <w:t>17.评审办法</w:t>
      </w:r>
      <w:bookmarkEnd w:id="96"/>
      <w:bookmarkEnd w:id="97"/>
      <w:bookmarkEnd w:id="98"/>
      <w:bookmarkEnd w:id="99"/>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500"/>
        <w:gridCol w:w="713"/>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1500"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71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满分分值</w:t>
            </w:r>
          </w:p>
        </w:tc>
        <w:tc>
          <w:tcPr>
            <w:tcW w:w="682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2" w:hRule="atLeast"/>
          <w:jc w:val="center"/>
        </w:trPr>
        <w:tc>
          <w:tcPr>
            <w:tcW w:w="1248" w:type="dxa"/>
            <w:vMerge w:val="restart"/>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c>
          <w:tcPr>
            <w:tcW w:w="1500"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报价分</w:t>
            </w:r>
          </w:p>
        </w:tc>
        <w:tc>
          <w:tcPr>
            <w:tcW w:w="71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823" w:type="dxa"/>
            <w:noWrap w:val="0"/>
            <w:vAlign w:val="center"/>
          </w:tcPr>
          <w:p>
            <w:pPr>
              <w:pStyle w:val="6"/>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满足磋商文件要求且最后报价最低的供应商的价格为磋商基准价，其价格分为满分。其他供应商的价格分统一按照下列公式计算：</w:t>
            </w:r>
          </w:p>
          <w:p>
            <w:pPr>
              <w:pStyle w:val="6"/>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磋商报价得分=（磋商基准价/最后磋商报价）×价格分值</w:t>
            </w:r>
          </w:p>
          <w:p>
            <w:pPr>
              <w:pStyle w:val="6"/>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highlight w:val="none"/>
              </w:rPr>
            </w:pPr>
            <w:bookmarkStart w:id="100" w:name="_Toc27421"/>
            <w:r>
              <w:rPr>
                <w:rFonts w:hint="eastAsia" w:ascii="宋体" w:hAnsi="宋体" w:eastAsia="宋体" w:cs="宋体"/>
                <w:color w:val="auto"/>
                <w:sz w:val="24"/>
                <w:szCs w:val="24"/>
                <w:highlight w:val="none"/>
              </w:rPr>
              <w:t>注：对小型和微型企业产品的价格（最后磋商报价）给予6%的扣除，用扣除后的价格计算投标报价得分，须提供《制造（生产）企业</w:t>
            </w:r>
            <w:r>
              <w:rPr>
                <w:rFonts w:hint="eastAsia" w:ascii="宋体" w:hAnsi="宋体" w:eastAsia="宋体" w:cs="宋体"/>
                <w:color w:val="auto"/>
                <w:sz w:val="24"/>
                <w:szCs w:val="24"/>
                <w:highlight w:val="none"/>
                <w:lang w:val="zh-CN"/>
              </w:rPr>
              <w:t>小型、微型企业声明函》</w:t>
            </w:r>
            <w:r>
              <w:rPr>
                <w:rFonts w:hint="eastAsia" w:ascii="宋体" w:hAnsi="宋体" w:eastAsia="宋体" w:cs="宋体"/>
                <w:color w:val="auto"/>
                <w:sz w:val="24"/>
                <w:szCs w:val="24"/>
                <w:highlight w:val="none"/>
              </w:rPr>
              <w:t>。</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restart"/>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商务评价（</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15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近三年类似</w:t>
            </w: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71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82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年以来</w:t>
            </w:r>
            <w:r>
              <w:rPr>
                <w:rFonts w:hint="eastAsia" w:ascii="宋体" w:hAnsi="宋体" w:eastAsia="宋体" w:cs="宋体"/>
                <w:color w:val="auto"/>
                <w:sz w:val="24"/>
                <w:szCs w:val="24"/>
                <w:highlight w:val="none"/>
                <w:lang w:val="zh-CN"/>
              </w:rPr>
              <w:t>供应商的类似业绩证明材料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需提供包含合同首页、标的及金额所在页、供货合同签字盖章页及中标通知书</w:t>
            </w:r>
            <w:r>
              <w:rPr>
                <w:rFonts w:hint="eastAsia" w:ascii="宋体" w:hAnsi="宋体" w:eastAsia="宋体" w:cs="宋体"/>
                <w:color w:val="auto"/>
                <w:sz w:val="24"/>
                <w:szCs w:val="24"/>
                <w:highlight w:val="none"/>
              </w:rPr>
              <w:t>，每提供1份得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最高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continue"/>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p>
        </w:tc>
        <w:tc>
          <w:tcPr>
            <w:tcW w:w="15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团队配置</w:t>
            </w:r>
          </w:p>
        </w:tc>
        <w:tc>
          <w:tcPr>
            <w:tcW w:w="71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823" w:type="dxa"/>
            <w:noWrap w:val="0"/>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针对本项目的服务团队（包括但不限于本项目的服务人员、岗位职责、服务保障制度），人员组织架构设置与管理科学合理，符合本项目实际情况，针对性强的，组织架构设置清晰、合理，能够满足项目服务需求，进行整体评审，优秀的得 15分；良好的得 </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分；一般的得 9分；差的得 4分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服务</w:t>
            </w: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53</w:t>
            </w:r>
            <w:r>
              <w:rPr>
                <w:rFonts w:hint="eastAsia" w:ascii="宋体" w:hAnsi="宋体" w:eastAsia="宋体" w:cs="宋体"/>
                <w:color w:val="auto"/>
                <w:sz w:val="24"/>
                <w:szCs w:val="24"/>
                <w:highlight w:val="none"/>
              </w:rPr>
              <w:t>分）</w:t>
            </w:r>
          </w:p>
        </w:tc>
        <w:tc>
          <w:tcPr>
            <w:tcW w:w="15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服务方案</w:t>
            </w:r>
          </w:p>
        </w:tc>
        <w:tc>
          <w:tcPr>
            <w:tcW w:w="713" w:type="dxa"/>
            <w:noWrap w:val="0"/>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20</w:t>
            </w:r>
          </w:p>
        </w:tc>
        <w:tc>
          <w:tcPr>
            <w:tcW w:w="682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针对本项目特点制定符合工作内容的</w:t>
            </w:r>
            <w:r>
              <w:rPr>
                <w:rFonts w:hint="eastAsia" w:ascii="宋体" w:hAnsi="宋体" w:cs="宋体"/>
                <w:color w:val="auto"/>
                <w:sz w:val="24"/>
                <w:szCs w:val="24"/>
                <w:highlight w:val="none"/>
                <w:lang w:val="en-US" w:eastAsia="zh-CN"/>
              </w:rPr>
              <w:t>保险</w:t>
            </w:r>
            <w:r>
              <w:rPr>
                <w:rFonts w:hint="eastAsia" w:ascii="宋体" w:hAnsi="宋体" w:eastAsia="宋体" w:cs="宋体"/>
                <w:color w:val="auto"/>
                <w:sz w:val="24"/>
                <w:szCs w:val="24"/>
                <w:highlight w:val="none"/>
                <w:lang w:val="en-US" w:eastAsia="zh-CN"/>
              </w:rPr>
              <w:t>方案，方案详尽、符合项目要求，</w:t>
            </w:r>
            <w:r>
              <w:rPr>
                <w:rFonts w:hint="eastAsia" w:ascii="宋体" w:hAnsi="宋体" w:eastAsia="宋体" w:cs="宋体"/>
                <w:color w:val="auto"/>
                <w:sz w:val="24"/>
                <w:szCs w:val="24"/>
                <w:highlight w:val="none"/>
                <w:lang w:eastAsia="zh-CN"/>
              </w:rPr>
              <w:t>优秀的得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分，良好的得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分，一般的得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分，差的得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p>
        </w:tc>
        <w:tc>
          <w:tcPr>
            <w:tcW w:w="1500" w:type="dxa"/>
            <w:noWrap w:val="0"/>
            <w:tcMar>
              <w:top w:w="0" w:type="dxa"/>
              <w:left w:w="0" w:type="dxa"/>
              <w:bottom w:w="0" w:type="dxa"/>
              <w:right w:w="0" w:type="dxa"/>
            </w:tcMar>
            <w:vAlign w:val="center"/>
          </w:tcPr>
          <w:p>
            <w:pPr>
              <w:keepNext w:val="0"/>
              <w:keepLines w:val="0"/>
              <w:widowControl/>
              <w:suppressLineNumbers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理赔服务</w:t>
            </w:r>
          </w:p>
        </w:tc>
        <w:tc>
          <w:tcPr>
            <w:tcW w:w="713" w:type="dxa"/>
            <w:noWrap w:val="0"/>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6823" w:type="dxa"/>
            <w:noWrap w:val="0"/>
            <w:vAlign w:val="top"/>
          </w:tcPr>
          <w:p>
            <w:pPr>
              <w:keepNext w:val="0"/>
              <w:keepLines w:val="0"/>
              <w:widowControl/>
              <w:suppressLineNumbers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
              </w:rPr>
              <w:t>针对理赔服务方案、本项目的理赔流程、时效要求、理赔服务承诺以及针对采购人提出的要求响应等方面，进行整体评审。优秀的得 16 分；良好的得 12 分；一般的得 8 分；差的得 4 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p>
        </w:tc>
        <w:tc>
          <w:tcPr>
            <w:tcW w:w="15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质量保证措施</w:t>
            </w:r>
          </w:p>
        </w:tc>
        <w:tc>
          <w:tcPr>
            <w:tcW w:w="713" w:type="dxa"/>
            <w:noWrap w:val="0"/>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12</w:t>
            </w:r>
          </w:p>
        </w:tc>
        <w:tc>
          <w:tcPr>
            <w:tcW w:w="6823" w:type="dxa"/>
            <w:noWrap w:val="0"/>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满足实施方案工作进度要求，质量保证措施优秀的得 </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良好的得 9分；一般的得6分，差的得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分；未提供的不得分。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p>
        </w:tc>
        <w:tc>
          <w:tcPr>
            <w:tcW w:w="15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本地化服务</w:t>
            </w: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71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pacing w:val="-4"/>
                <w:sz w:val="24"/>
                <w:szCs w:val="24"/>
                <w:highlight w:val="none"/>
                <w:lang w:eastAsia="zh-CN"/>
              </w:rPr>
            </w:pPr>
            <w:r>
              <w:rPr>
                <w:rFonts w:hint="eastAsia" w:ascii="宋体" w:hAnsi="宋体" w:cs="宋体"/>
                <w:color w:val="auto"/>
                <w:spacing w:val="-4"/>
                <w:sz w:val="24"/>
                <w:szCs w:val="24"/>
                <w:highlight w:val="none"/>
                <w:lang w:val="en-US" w:eastAsia="zh-CN"/>
              </w:rPr>
              <w:t>5</w:t>
            </w:r>
          </w:p>
        </w:tc>
        <w:tc>
          <w:tcPr>
            <w:tcW w:w="6823" w:type="dxa"/>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在青海地区有服务机构或委托机构的得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分，没有不得分。需提供服务机构的营业执照等证明文件。本地化服务能力应包括机构性质、人员配置、服务能力、售后服务工程师联系方式等（需提供相关证明材料复印件，原件携带备查）。</w:t>
            </w:r>
          </w:p>
        </w:tc>
      </w:tr>
    </w:tbl>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01" w:name="_Toc376936756"/>
      <w:bookmarkStart w:id="102" w:name="_Toc325726025"/>
      <w:bookmarkStart w:id="103" w:name="_Toc2506"/>
      <w:bookmarkStart w:id="104" w:name="_Toc6689"/>
      <w:r>
        <w:rPr>
          <w:rFonts w:hint="eastAsia" w:ascii="宋体" w:hAnsi="宋体" w:eastAsia="宋体" w:cs="宋体"/>
          <w:b/>
          <w:bCs/>
          <w:color w:val="auto"/>
          <w:sz w:val="24"/>
          <w:szCs w:val="24"/>
        </w:rPr>
        <w:t>七、</w:t>
      </w:r>
      <w:bookmarkEnd w:id="101"/>
      <w:bookmarkEnd w:id="102"/>
      <w:r>
        <w:rPr>
          <w:rFonts w:hint="eastAsia" w:ascii="宋体" w:hAnsi="宋体" w:eastAsia="宋体" w:cs="宋体"/>
          <w:b/>
          <w:bCs/>
          <w:color w:val="auto"/>
          <w:sz w:val="24"/>
          <w:szCs w:val="24"/>
        </w:rPr>
        <w:t>确定成交供应商</w:t>
      </w:r>
      <w:bookmarkEnd w:id="103"/>
      <w:bookmarkEnd w:id="104"/>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5" w:name="_Toc325726026"/>
      <w:bookmarkStart w:id="106" w:name="_Toc376936757"/>
      <w:bookmarkStart w:id="107" w:name="_Toc28889"/>
      <w:bookmarkStart w:id="108" w:name="_Toc17038"/>
      <w:r>
        <w:rPr>
          <w:rFonts w:hint="eastAsia" w:ascii="宋体" w:hAnsi="宋体" w:eastAsia="宋体" w:cs="宋体"/>
          <w:b/>
          <w:bCs/>
          <w:color w:val="auto"/>
          <w:sz w:val="24"/>
          <w:szCs w:val="24"/>
        </w:rPr>
        <w:t>18.推荐并确定成交</w:t>
      </w:r>
      <w:bookmarkEnd w:id="105"/>
      <w:bookmarkEnd w:id="106"/>
      <w:r>
        <w:rPr>
          <w:rFonts w:hint="eastAsia" w:ascii="宋体" w:hAnsi="宋体" w:eastAsia="宋体" w:cs="宋体"/>
          <w:b/>
          <w:bCs/>
          <w:color w:val="auto"/>
          <w:sz w:val="24"/>
          <w:szCs w:val="24"/>
        </w:rPr>
        <w:t>供应商</w:t>
      </w:r>
      <w:bookmarkEnd w:id="107"/>
      <w:bookmarkEnd w:id="108"/>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9" w:name="_Toc2963"/>
      <w:bookmarkStart w:id="110" w:name="_Toc2346"/>
      <w:bookmarkStart w:id="111" w:name="_Toc376936759"/>
      <w:bookmarkStart w:id="112" w:name="_Toc325726028"/>
      <w:bookmarkStart w:id="113" w:name="_Toc325726027"/>
      <w:r>
        <w:rPr>
          <w:rFonts w:hint="eastAsia" w:ascii="宋体" w:hAnsi="宋体" w:eastAsia="宋体" w:cs="宋体"/>
          <w:b/>
          <w:bCs/>
          <w:color w:val="auto"/>
          <w:sz w:val="24"/>
          <w:szCs w:val="24"/>
        </w:rPr>
        <w:t>19.成交通知</w:t>
      </w:r>
      <w:bookmarkEnd w:id="109"/>
      <w:bookmarkEnd w:id="110"/>
      <w:bookmarkEnd w:id="111"/>
      <w:bookmarkEnd w:id="11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4" w:name="_Toc18063"/>
      <w:bookmarkStart w:id="115" w:name="_Toc5556"/>
      <w:bookmarkStart w:id="116" w:name="_Toc376936758"/>
      <w:r>
        <w:rPr>
          <w:rFonts w:hint="eastAsia" w:ascii="宋体" w:hAnsi="宋体" w:eastAsia="宋体" w:cs="宋体"/>
          <w:b/>
          <w:bCs/>
          <w:color w:val="auto"/>
          <w:sz w:val="24"/>
          <w:szCs w:val="24"/>
        </w:rPr>
        <w:t>八、授予合同</w:t>
      </w:r>
      <w:bookmarkEnd w:id="113"/>
      <w:bookmarkEnd w:id="114"/>
      <w:bookmarkEnd w:id="115"/>
      <w:bookmarkEnd w:id="116"/>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7" w:name="_Toc376936760"/>
      <w:bookmarkStart w:id="118" w:name="_Toc921"/>
      <w:bookmarkStart w:id="119" w:name="_Toc325726029"/>
      <w:bookmarkStart w:id="120" w:name="_Toc28394"/>
      <w:r>
        <w:rPr>
          <w:rFonts w:hint="eastAsia" w:ascii="宋体" w:hAnsi="宋体" w:eastAsia="宋体" w:cs="宋体"/>
          <w:b/>
          <w:bCs/>
          <w:color w:val="auto"/>
          <w:sz w:val="24"/>
          <w:szCs w:val="24"/>
        </w:rPr>
        <w:t>20.签订合同</w:t>
      </w:r>
      <w:bookmarkEnd w:id="117"/>
      <w:bookmarkEnd w:id="118"/>
      <w:bookmarkEnd w:id="119"/>
      <w:bookmarkEnd w:id="120"/>
    </w:p>
    <w:p>
      <w:pPr>
        <w:spacing w:line="360" w:lineRule="auto"/>
        <w:ind w:firstLine="0" w:firstLineChars="0"/>
        <w:jc w:val="left"/>
        <w:rPr>
          <w:rFonts w:hint="eastAsia" w:ascii="宋体" w:hAnsi="宋体" w:eastAsia="宋体" w:cs="宋体"/>
          <w:color w:val="auto"/>
          <w:sz w:val="24"/>
          <w:szCs w:val="24"/>
        </w:rPr>
      </w:pPr>
      <w:bookmarkStart w:id="121" w:name="_Toc325726030"/>
      <w:bookmarkStart w:id="122"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3" w:name="_Toc22442"/>
      <w:bookmarkStart w:id="124" w:name="_Toc896"/>
      <w:r>
        <w:rPr>
          <w:rFonts w:hint="eastAsia" w:ascii="宋体" w:hAnsi="宋体" w:eastAsia="宋体" w:cs="宋体"/>
          <w:b/>
          <w:bCs/>
          <w:color w:val="auto"/>
          <w:sz w:val="24"/>
          <w:szCs w:val="24"/>
        </w:rPr>
        <w:t>九、</w:t>
      </w:r>
      <w:bookmarkEnd w:id="121"/>
      <w:bookmarkEnd w:id="122"/>
      <w:r>
        <w:rPr>
          <w:rFonts w:hint="eastAsia" w:ascii="宋体" w:hAnsi="宋体" w:eastAsia="宋体" w:cs="宋体"/>
          <w:b/>
          <w:bCs/>
          <w:color w:val="auto"/>
          <w:sz w:val="24"/>
          <w:szCs w:val="24"/>
        </w:rPr>
        <w:t>磋商活动终止</w:t>
      </w:r>
      <w:bookmarkEnd w:id="123"/>
      <w:bookmarkEnd w:id="124"/>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5" w:name="_Toc7098"/>
      <w:bookmarkStart w:id="126" w:name="_Toc11684"/>
      <w:bookmarkStart w:id="127" w:name="_Toc325726031"/>
      <w:bookmarkStart w:id="128" w:name="_Toc376936762"/>
      <w:r>
        <w:rPr>
          <w:rFonts w:hint="eastAsia" w:ascii="宋体" w:hAnsi="宋体" w:eastAsia="宋体" w:cs="宋体"/>
          <w:b/>
          <w:bCs/>
          <w:color w:val="auto"/>
          <w:sz w:val="24"/>
          <w:szCs w:val="24"/>
        </w:rPr>
        <w:t>21.终止情形</w:t>
      </w:r>
      <w:bookmarkEnd w:id="125"/>
      <w:bookmarkEnd w:id="126"/>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7"/>
      <w:bookmarkEnd w:id="128"/>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9"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0" w:name="_Toc6646"/>
      <w:bookmarkStart w:id="131" w:name="_Toc376936763"/>
      <w:bookmarkStart w:id="132" w:name="_Toc27950"/>
      <w:r>
        <w:rPr>
          <w:rFonts w:hint="eastAsia" w:ascii="宋体" w:hAnsi="宋体" w:eastAsia="宋体" w:cs="宋体"/>
          <w:b/>
          <w:bCs/>
          <w:color w:val="auto"/>
          <w:sz w:val="24"/>
          <w:szCs w:val="24"/>
        </w:rPr>
        <w:t>十、处罚</w:t>
      </w:r>
      <w:bookmarkEnd w:id="129"/>
      <w:bookmarkEnd w:id="130"/>
      <w:bookmarkEnd w:id="131"/>
      <w:bookmarkEnd w:id="13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3" w:name="_Toc376936764"/>
      <w:bookmarkStart w:id="134" w:name="_Toc17567"/>
      <w:bookmarkStart w:id="135" w:name="_Toc325726033"/>
      <w:bookmarkStart w:id="136" w:name="_Toc28018"/>
      <w:r>
        <w:rPr>
          <w:rFonts w:hint="eastAsia" w:ascii="宋体" w:hAnsi="宋体" w:eastAsia="宋体" w:cs="宋体"/>
          <w:b/>
          <w:bCs/>
          <w:color w:val="auto"/>
          <w:sz w:val="24"/>
          <w:szCs w:val="24"/>
        </w:rPr>
        <w:t>22.处罚情形</w:t>
      </w:r>
      <w:bookmarkEnd w:id="133"/>
      <w:bookmarkEnd w:id="134"/>
      <w:bookmarkEnd w:id="135"/>
      <w:bookmarkEnd w:id="136"/>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7" w:name="_Toc325726034"/>
      <w:bookmarkStart w:id="138" w:name="_Toc376936765"/>
      <w:bookmarkStart w:id="139" w:name="_Toc16406"/>
      <w:bookmarkStart w:id="140" w:name="_Toc19538"/>
      <w:r>
        <w:rPr>
          <w:rFonts w:hint="eastAsia" w:ascii="宋体" w:hAnsi="宋体" w:eastAsia="宋体" w:cs="宋体"/>
          <w:b/>
          <w:bCs/>
          <w:color w:val="auto"/>
          <w:sz w:val="24"/>
          <w:szCs w:val="24"/>
        </w:rPr>
        <w:t>十一、其他</w:t>
      </w:r>
      <w:bookmarkEnd w:id="137"/>
      <w:bookmarkEnd w:id="138"/>
      <w:bookmarkEnd w:id="139"/>
      <w:bookmarkEnd w:id="140"/>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1" w:name="_Toc30421"/>
      <w:r>
        <w:rPr>
          <w:rFonts w:hint="eastAsia" w:ascii="宋体" w:hAnsi="宋体" w:eastAsia="宋体" w:cs="宋体"/>
          <w:b/>
          <w:color w:val="auto"/>
          <w:kern w:val="28"/>
          <w:sz w:val="36"/>
          <w:szCs w:val="20"/>
        </w:rPr>
        <w:t>第四部分  采购项目合同书</w:t>
      </w:r>
      <w:bookmarkEnd w:id="14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青海省政府采购项目合同书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lang w:val="zh-CN"/>
        </w:rPr>
        <w:t>青海诚德竞磋（服务）2020-063</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zh-CN"/>
        </w:rPr>
        <w:t>扶贫驻村干部人身意外伤害险采购项目</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u w:val="none" w:color="auto"/>
          <w:lang w:val="en-US" w:eastAsia="zh-CN"/>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zh-CN"/>
        </w:rPr>
        <w:t>QHCD-</w:t>
      </w:r>
      <w:r>
        <w:rPr>
          <w:rFonts w:hint="eastAsia" w:ascii="宋体" w:hAnsi="宋体" w:eastAsia="宋体" w:cs="宋体"/>
          <w:b/>
          <w:bCs/>
          <w:color w:val="auto"/>
          <w:kern w:val="0"/>
          <w:sz w:val="30"/>
          <w:szCs w:val="30"/>
          <w:u w:val="single" w:color="auto"/>
          <w:lang w:val="en-US" w:eastAsia="zh-CN"/>
        </w:rPr>
        <w:t>2020</w:t>
      </w:r>
      <w:r>
        <w:rPr>
          <w:rFonts w:hint="eastAsia" w:ascii="宋体" w:hAnsi="宋体" w:eastAsia="宋体" w:cs="宋体"/>
          <w:b/>
          <w:bCs/>
          <w:color w:val="auto"/>
          <w:kern w:val="0"/>
          <w:sz w:val="30"/>
          <w:szCs w:val="30"/>
          <w:u w:val="single" w:color="auto"/>
          <w:lang w:val="zh-CN"/>
        </w:rPr>
        <w:t>-</w:t>
      </w:r>
      <w:r>
        <w:rPr>
          <w:rFonts w:hint="eastAsia" w:ascii="宋体" w:hAnsi="宋体" w:eastAsia="宋体" w:cs="宋体"/>
          <w:b/>
          <w:bCs/>
          <w:color w:val="auto"/>
          <w:kern w:val="0"/>
          <w:sz w:val="30"/>
          <w:szCs w:val="30"/>
          <w:u w:val="single" w:color="auto"/>
          <w:lang w:val="en-US" w:eastAsia="zh-CN"/>
        </w:rPr>
        <w:t xml:space="preserve">063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kern w:val="0"/>
          <w:sz w:val="24"/>
          <w:szCs w:val="24"/>
          <w:u w:val="none" w:color="auto"/>
          <w:lang w:val="zh-CN"/>
        </w:rPr>
        <w:t>扶贫驻村干部人身意外伤害险采购项目（青海诚德竞磋（服务）2020-063）</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青海诚德招标代理有限公司</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3.中标人提交的响应文件；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.成交通知书；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二、</w:t>
      </w:r>
      <w:r>
        <w:rPr>
          <w:rFonts w:hint="eastAsia" w:ascii="宋体" w:hAnsi="宋体" w:eastAsia="宋体" w:cs="宋体"/>
          <w:color w:val="auto"/>
          <w:kern w:val="0"/>
          <w:sz w:val="24"/>
          <w:szCs w:val="24"/>
          <w:shd w:val="clear"/>
          <w:lang w:val="zh-CN"/>
        </w:rPr>
        <w:t xml:space="preserve">合同标的及金额  </w:t>
      </w:r>
      <w:r>
        <w:rPr>
          <w:rFonts w:hint="eastAsia" w:ascii="宋体" w:hAnsi="宋体" w:eastAsia="宋体" w:cs="宋体"/>
          <w:color w:val="auto"/>
          <w:kern w:val="0"/>
          <w:sz w:val="24"/>
          <w:szCs w:val="24"/>
          <w:lang w:val="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Layout w:type="fixed"/>
        <w:tblCellMar>
          <w:top w:w="0" w:type="dxa"/>
          <w:left w:w="57" w:type="dxa"/>
          <w:bottom w:w="0" w:type="dxa"/>
          <w:right w:w="57" w:type="dxa"/>
        </w:tblCellMar>
      </w:tblPr>
      <w:tblGrid>
        <w:gridCol w:w="812"/>
        <w:gridCol w:w="6256"/>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服务内容</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9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服务费、验收费、手续费、包装费、运输费、保险费、安装费、调试费、培训费、售前、售中、售后服务费、中标服务费及不可预见费等全部费用。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三、服务期限、地点和要求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服务期限：</w:t>
      </w:r>
      <w:r>
        <w:rPr>
          <w:rFonts w:hint="eastAsia" w:ascii="宋体" w:hAnsi="宋体" w:eastAsia="宋体" w:cs="宋体"/>
          <w:color w:val="auto"/>
          <w:kern w:val="0"/>
          <w:sz w:val="24"/>
          <w:szCs w:val="24"/>
          <w:u w:val="single" w:color="auto"/>
          <w:lang w:val="en-US" w:eastAsia="zh-CN"/>
        </w:rPr>
        <w:t xml:space="preserve">                      </w:t>
      </w:r>
      <w:r>
        <w:rPr>
          <w:rFonts w:hint="eastAsia" w:ascii="宋体" w:hAnsi="宋体" w:eastAsia="宋体" w:cs="宋体"/>
          <w:color w:val="auto"/>
          <w:kern w:val="0"/>
          <w:sz w:val="24"/>
          <w:szCs w:val="24"/>
          <w:lang w:val="zh-CN"/>
        </w:rPr>
        <w:t>；服务地点：</w:t>
      </w:r>
      <w:r>
        <w:rPr>
          <w:rFonts w:hint="eastAsia" w:ascii="宋体" w:hAnsi="宋体" w:eastAsia="宋体" w:cs="宋体"/>
          <w:color w:val="auto"/>
          <w:kern w:val="0"/>
          <w:sz w:val="24"/>
          <w:szCs w:val="24"/>
          <w:u w:val="single"/>
          <w:lang w:val="en-US" w:eastAsia="zh-CN"/>
        </w:rPr>
        <w:t>甲方指定地点</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乙方所交付的产品由甲方验收，验收合格后由甲方报同级财政监管部门，申请资金拨付,按合同金额向乙方支付合同总价款的100%，即人民币（大写）：   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color="auto"/>
          <w:lang w:val="en-US" w:eastAsia="zh-CN"/>
        </w:rPr>
        <w:t xml:space="preserve">     </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kern w:val="0"/>
          <w:sz w:val="24"/>
          <w:lang w:val="zh-CN"/>
        </w:rPr>
        <w:t>青海诚德招标代理有限公司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2" w:name="_Toc12139"/>
      <w:r>
        <w:rPr>
          <w:rFonts w:hint="eastAsia" w:ascii="宋体" w:hAnsi="宋体" w:eastAsia="宋体" w:cs="宋体"/>
          <w:b/>
          <w:color w:val="auto"/>
          <w:kern w:val="28"/>
          <w:sz w:val="36"/>
          <w:szCs w:val="20"/>
        </w:rPr>
        <w:t>第五部分  响应文件格式</w:t>
      </w:r>
      <w:bookmarkEnd w:id="142"/>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3" w:name="_Toc16431"/>
      <w:bookmarkStart w:id="144" w:name="_Toc9848"/>
      <w:r>
        <w:rPr>
          <w:rFonts w:hint="eastAsia" w:ascii="宋体" w:hAnsi="宋体" w:eastAsia="宋体" w:cs="宋体"/>
          <w:b/>
          <w:color w:val="auto"/>
          <w:sz w:val="28"/>
          <w:szCs w:val="28"/>
        </w:rPr>
        <w:t>附件1：响应文件封面</w:t>
      </w:r>
      <w:bookmarkEnd w:id="143"/>
      <w:bookmarkEnd w:id="144"/>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青海诚德竞磋（服务）2020-063</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扶贫驻村干部人身意外伤害险采购项目</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5" w:name="_Toc17238"/>
      <w:bookmarkStart w:id="146" w:name="_Toc30269"/>
      <w:r>
        <w:rPr>
          <w:rFonts w:hint="eastAsia" w:ascii="宋体" w:hAnsi="宋体" w:eastAsia="宋体" w:cs="宋体"/>
          <w:b/>
          <w:color w:val="auto"/>
          <w:sz w:val="24"/>
          <w:szCs w:val="24"/>
        </w:rPr>
        <w:t>附件2</w:t>
      </w:r>
      <w:bookmarkStart w:id="147" w:name="_Toc376936768"/>
      <w:bookmarkStart w:id="148" w:name="_Toc325726037"/>
      <w:r>
        <w:rPr>
          <w:rFonts w:hint="eastAsia" w:ascii="宋体" w:hAnsi="宋体" w:eastAsia="宋体" w:cs="宋体"/>
          <w:b/>
          <w:color w:val="auto"/>
          <w:sz w:val="24"/>
          <w:szCs w:val="24"/>
        </w:rPr>
        <w:t>：磋商函</w:t>
      </w:r>
      <w:bookmarkEnd w:id="145"/>
      <w:bookmarkEnd w:id="146"/>
      <w:bookmarkEnd w:id="147"/>
      <w:bookmarkEnd w:id="148"/>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致：青海诚德招标代理有限公司</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青海诚德竞磋（服务）2020-063</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个日历日</w:t>
      </w:r>
      <w:r>
        <w:rPr>
          <w:rFonts w:hint="eastAsia" w:ascii="宋体" w:hAnsi="宋体" w:eastAsia="宋体" w:cs="宋体"/>
          <w:color w:val="auto"/>
          <w:sz w:val="24"/>
          <w:szCs w:val="24"/>
        </w:rPr>
        <w:t>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9" w:name="_Toc31069"/>
      <w:bookmarkStart w:id="150" w:name="_Toc26950"/>
      <w:r>
        <w:rPr>
          <w:rFonts w:hint="eastAsia" w:ascii="宋体" w:hAnsi="宋体" w:eastAsia="宋体" w:cs="宋体"/>
          <w:b/>
          <w:color w:val="auto"/>
          <w:sz w:val="24"/>
          <w:szCs w:val="24"/>
        </w:rPr>
        <w:t>附件3：投标报价一览表</w:t>
      </w:r>
      <w:bookmarkEnd w:id="149"/>
      <w:bookmarkEnd w:id="150"/>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服务期限</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保险金额</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20"/>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647"/>
        <w:gridCol w:w="1677"/>
        <w:gridCol w:w="170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保障内容</w:t>
            </w:r>
          </w:p>
        </w:tc>
        <w:tc>
          <w:tcPr>
            <w:tcW w:w="1677"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保险金额</w:t>
            </w:r>
          </w:p>
        </w:tc>
        <w:tc>
          <w:tcPr>
            <w:tcW w:w="1705"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保险期限</w:t>
            </w:r>
          </w:p>
        </w:tc>
        <w:tc>
          <w:tcPr>
            <w:tcW w:w="2064"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保费（人/年）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意外伤害导致身故</w:t>
            </w:r>
          </w:p>
        </w:tc>
        <w:tc>
          <w:tcPr>
            <w:tcW w:w="1677" w:type="dxa"/>
            <w:vAlign w:val="center"/>
          </w:tcPr>
          <w:p>
            <w:pPr>
              <w:pStyle w:val="2"/>
              <w:numPr>
                <w:ilvl w:val="0"/>
                <w:numId w:val="0"/>
              </w:numPr>
              <w:jc w:val="both"/>
              <w:rPr>
                <w:rFonts w:hint="eastAsia" w:ascii="宋体" w:hAnsi="宋体" w:eastAsia="宋体" w:cs="宋体"/>
                <w:b w:val="0"/>
                <w:bCs w:val="0"/>
                <w:color w:val="auto"/>
                <w:sz w:val="24"/>
                <w:szCs w:val="24"/>
                <w:vertAlign w:val="baseline"/>
                <w:lang w:val="en-US" w:eastAsia="zh-CN"/>
              </w:rPr>
            </w:pPr>
          </w:p>
        </w:tc>
        <w:tc>
          <w:tcPr>
            <w:tcW w:w="1705" w:type="dxa"/>
            <w:vMerge w:val="restart"/>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一年</w:t>
            </w:r>
          </w:p>
        </w:tc>
        <w:tc>
          <w:tcPr>
            <w:tcW w:w="2064" w:type="dxa"/>
            <w:vMerge w:val="restart"/>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意外伤害导致残疾</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疾病导致身故</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意外医疗</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住院费用补偿</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住院津贴（意外+疾病）</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bl>
    <w:p>
      <w:pPr>
        <w:spacing w:line="360" w:lineRule="auto"/>
        <w:ind w:firstLine="0" w:firstLineChars="0"/>
        <w:rPr>
          <w:rFonts w:hint="eastAsia" w:ascii="宋体" w:hAnsi="宋体" w:eastAsia="宋体" w:cs="宋体"/>
          <w:color w:val="auto"/>
          <w:sz w:val="24"/>
          <w:szCs w:val="24"/>
        </w:rPr>
      </w:pPr>
    </w:p>
    <w:tbl>
      <w:tblPr>
        <w:tblStyle w:val="20"/>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647"/>
        <w:gridCol w:w="1677"/>
        <w:gridCol w:w="170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保障内容</w:t>
            </w:r>
          </w:p>
        </w:tc>
        <w:tc>
          <w:tcPr>
            <w:tcW w:w="1677"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保险金额</w:t>
            </w:r>
          </w:p>
        </w:tc>
        <w:tc>
          <w:tcPr>
            <w:tcW w:w="1705"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保险期限</w:t>
            </w:r>
          </w:p>
        </w:tc>
        <w:tc>
          <w:tcPr>
            <w:tcW w:w="2064"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保费（人/年）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意外伤害导致身故</w:t>
            </w:r>
          </w:p>
        </w:tc>
        <w:tc>
          <w:tcPr>
            <w:tcW w:w="1677" w:type="dxa"/>
            <w:vAlign w:val="center"/>
          </w:tcPr>
          <w:p>
            <w:pPr>
              <w:pStyle w:val="2"/>
              <w:numPr>
                <w:ilvl w:val="0"/>
                <w:numId w:val="0"/>
              </w:numPr>
              <w:jc w:val="both"/>
              <w:rPr>
                <w:rFonts w:hint="eastAsia" w:ascii="宋体" w:hAnsi="宋体" w:eastAsia="宋体" w:cs="宋体"/>
                <w:b w:val="0"/>
                <w:bCs w:val="0"/>
                <w:color w:val="auto"/>
                <w:sz w:val="24"/>
                <w:szCs w:val="24"/>
                <w:vertAlign w:val="baseline"/>
                <w:lang w:val="en-US" w:eastAsia="zh-CN"/>
              </w:rPr>
            </w:pPr>
          </w:p>
        </w:tc>
        <w:tc>
          <w:tcPr>
            <w:tcW w:w="1705" w:type="dxa"/>
            <w:vMerge w:val="restart"/>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一年</w:t>
            </w:r>
          </w:p>
        </w:tc>
        <w:tc>
          <w:tcPr>
            <w:tcW w:w="2064" w:type="dxa"/>
            <w:vMerge w:val="restart"/>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意外伤害导致残疾</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疾病导致身故</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意外医疗</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住院费用补偿</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住院津贴（意外+疾病）</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bl>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注：各投标人须填报以上表格中的保险金额和保费（</w:t>
      </w:r>
      <w:r>
        <w:rPr>
          <w:rFonts w:hint="eastAsia" w:ascii="宋体" w:hAnsi="宋体" w:eastAsia="宋体" w:cs="宋体"/>
          <w:b w:val="0"/>
          <w:bCs w:val="0"/>
          <w:color w:val="auto"/>
          <w:sz w:val="24"/>
          <w:szCs w:val="24"/>
          <w:vertAlign w:val="baseline"/>
          <w:lang w:val="en-US" w:eastAsia="zh-CN"/>
        </w:rPr>
        <w:t>人/年</w:t>
      </w:r>
      <w:r>
        <w:rPr>
          <w:rFonts w:hint="eastAsia" w:ascii="宋体" w:hAnsi="宋体" w:eastAsia="宋体" w:cs="宋体"/>
          <w:color w:val="auto"/>
          <w:sz w:val="24"/>
          <w:szCs w:val="24"/>
          <w:lang w:eastAsia="zh-CN"/>
        </w:rPr>
        <w:t>）。</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1" w:name="_Toc14675"/>
      <w:bookmarkStart w:id="152" w:name="_Toc13693"/>
      <w:r>
        <w:rPr>
          <w:rFonts w:hint="eastAsia" w:ascii="宋体" w:hAnsi="宋体" w:eastAsia="宋体" w:cs="宋体"/>
          <w:b/>
          <w:color w:val="auto"/>
          <w:sz w:val="24"/>
          <w:szCs w:val="24"/>
        </w:rPr>
        <w:t>附件</w:t>
      </w:r>
      <w:bookmarkStart w:id="153" w:name="_Toc376936774"/>
      <w:bookmarkStart w:id="154" w:name="_Toc325726043"/>
      <w:r>
        <w:rPr>
          <w:rFonts w:hint="eastAsia" w:ascii="宋体" w:hAnsi="宋体" w:eastAsia="宋体" w:cs="宋体"/>
          <w:b/>
          <w:color w:val="auto"/>
          <w:sz w:val="24"/>
          <w:szCs w:val="24"/>
        </w:rPr>
        <w:t>4：法定代表人证明书</w:t>
      </w:r>
      <w:bookmarkEnd w:id="151"/>
      <w:bookmarkEnd w:id="152"/>
      <w:bookmarkEnd w:id="153"/>
      <w:bookmarkEnd w:id="154"/>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5" w:name="_Toc324756736"/>
      <w:bookmarkStart w:id="156" w:name="_Toc201287639"/>
      <w:bookmarkStart w:id="157" w:name="_Toc31614"/>
      <w:bookmarkStart w:id="158" w:name="_Toc29201"/>
      <w:r>
        <w:rPr>
          <w:rFonts w:hint="eastAsia" w:ascii="宋体" w:hAnsi="宋体" w:eastAsia="宋体" w:cs="宋体"/>
          <w:b/>
          <w:color w:val="auto"/>
          <w:sz w:val="24"/>
          <w:szCs w:val="24"/>
        </w:rPr>
        <w:t>附件</w:t>
      </w:r>
      <w:bookmarkEnd w:id="155"/>
      <w:bookmarkEnd w:id="156"/>
      <w:r>
        <w:rPr>
          <w:rFonts w:hint="eastAsia" w:ascii="宋体" w:hAnsi="宋体" w:eastAsia="宋体" w:cs="宋体"/>
          <w:b/>
          <w:color w:val="auto"/>
          <w:sz w:val="24"/>
          <w:szCs w:val="24"/>
        </w:rPr>
        <w:t>5：法定代表人授权书</w:t>
      </w:r>
      <w:bookmarkEnd w:id="157"/>
      <w:bookmarkEnd w:id="158"/>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w:t>
      </w:r>
      <w:r>
        <w:rPr>
          <w:rFonts w:hint="eastAsia" w:ascii="宋体" w:hAnsi="宋体" w:eastAsia="宋体" w:cs="宋体"/>
          <w:color w:val="auto"/>
          <w:sz w:val="24"/>
          <w:szCs w:val="24"/>
          <w:lang w:eastAsia="zh-CN"/>
        </w:rPr>
        <w:t>同</w:t>
      </w:r>
      <w:r>
        <w:rPr>
          <w:rFonts w:hint="eastAsia" w:ascii="宋体" w:hAnsi="宋体" w:eastAsia="宋体" w:cs="宋体"/>
          <w:color w:val="auto"/>
          <w:sz w:val="24"/>
          <w:szCs w:val="24"/>
        </w:rPr>
        <w:t>磋商有效期</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9" w:name="_Toc30284"/>
      <w:bookmarkStart w:id="160" w:name="_Toc25884"/>
      <w:r>
        <w:rPr>
          <w:rFonts w:hint="eastAsia" w:ascii="宋体" w:hAnsi="宋体" w:eastAsia="宋体" w:cs="宋体"/>
          <w:b/>
          <w:color w:val="auto"/>
          <w:sz w:val="24"/>
          <w:szCs w:val="24"/>
        </w:rPr>
        <w:t>附件6：供应商承诺函</w:t>
      </w:r>
      <w:bookmarkEnd w:id="159"/>
      <w:bookmarkEnd w:id="160"/>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青海诚德竞磋（服务）2020-063</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1" w:name="_Toc11349"/>
      <w:bookmarkStart w:id="162" w:name="_Toc11173"/>
      <w:r>
        <w:rPr>
          <w:rFonts w:hint="eastAsia" w:ascii="宋体" w:hAnsi="宋体" w:eastAsia="宋体" w:cs="宋体"/>
          <w:b/>
          <w:color w:val="auto"/>
          <w:sz w:val="24"/>
          <w:szCs w:val="24"/>
        </w:rPr>
        <w:t>附件</w:t>
      </w:r>
      <w:bookmarkStart w:id="163" w:name="_Toc376936779"/>
      <w:bookmarkStart w:id="164" w:name="_Toc365019584"/>
      <w:bookmarkStart w:id="165" w:name="_Toc351475542"/>
      <w:r>
        <w:rPr>
          <w:rFonts w:hint="eastAsia" w:ascii="宋体" w:hAnsi="宋体" w:eastAsia="宋体" w:cs="宋体"/>
          <w:b/>
          <w:color w:val="auto"/>
          <w:sz w:val="24"/>
          <w:szCs w:val="24"/>
        </w:rPr>
        <w:t>7：供应商诚信承诺书</w:t>
      </w:r>
      <w:bookmarkEnd w:id="161"/>
      <w:bookmarkEnd w:id="162"/>
      <w:bookmarkEnd w:id="163"/>
      <w:bookmarkEnd w:id="164"/>
      <w:bookmarkEnd w:id="165"/>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6" w:name="_Toc25993"/>
      <w:bookmarkStart w:id="167" w:name="_Toc7486"/>
      <w:r>
        <w:rPr>
          <w:rFonts w:hint="eastAsia" w:ascii="宋体" w:hAnsi="宋体" w:eastAsia="宋体" w:cs="宋体"/>
          <w:b/>
          <w:color w:val="auto"/>
          <w:sz w:val="24"/>
          <w:szCs w:val="24"/>
        </w:rPr>
        <w:t>附件8：资格证明材料</w:t>
      </w:r>
      <w:bookmarkEnd w:id="166"/>
      <w:bookmarkEnd w:id="167"/>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8" w:name="_Toc19128"/>
      <w:bookmarkStart w:id="169" w:name="_Toc32130"/>
      <w:r>
        <w:rPr>
          <w:rFonts w:hint="eastAsia" w:ascii="宋体" w:hAnsi="宋体" w:eastAsia="宋体" w:cs="宋体"/>
          <w:b/>
          <w:color w:val="auto"/>
          <w:sz w:val="24"/>
          <w:szCs w:val="24"/>
        </w:rPr>
        <w:t>附件9：财务状况证明</w:t>
      </w:r>
      <w:bookmarkEnd w:id="168"/>
      <w:bookmarkEnd w:id="169"/>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近半年内的依法缴纳税收和社会保障资金记录的证明材料；依法免税或不需要缴纳社会保障资金的供应商需提供相应文件证明其依法免税或不需要缴纳社会保障资金。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70" w:name="_Toc27149"/>
      <w:bookmarkStart w:id="171" w:name="_Toc23114"/>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服务和专业技术能力的证明材料（投标产品的检验报告、证明服务指标响应的相关资料、彩页（或网页原始截图）、相关认证、合格证等）。</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提供项目管理及实施方案、投标产品服务地点、服务期限、服务进度以及售后服务等方面的承诺。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2" w:name="_Toc376936781"/>
      <w:bookmarkStart w:id="173"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2"/>
      <w:bookmarkEnd w:id="173"/>
      <w:r>
        <w:rPr>
          <w:rFonts w:hint="eastAsia" w:ascii="宋体" w:hAnsi="宋体" w:eastAsia="宋体" w:cs="宋体"/>
          <w:b/>
          <w:color w:val="auto"/>
          <w:sz w:val="24"/>
          <w:szCs w:val="24"/>
        </w:rPr>
        <w:t>无重大违法记录声明</w:t>
      </w:r>
      <w:bookmarkEnd w:id="170"/>
      <w:bookmarkEnd w:id="171"/>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致：青海诚德招标代理有限公司</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4" w:name="_Toc22957"/>
      <w:bookmarkStart w:id="175" w:name="_Toc24531"/>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4"/>
      <w:bookmarkEnd w:id="175"/>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6"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7" w:name="_Toc408326292"/>
      <w:r>
        <w:rPr>
          <w:rFonts w:hint="eastAsia" w:ascii="宋体" w:hAnsi="宋体" w:eastAsia="宋体" w:cs="宋体"/>
          <w:b/>
          <w:color w:val="auto"/>
          <w:sz w:val="24"/>
          <w:szCs w:val="24"/>
        </w:rPr>
        <w:t>供应商最后报价表</w:t>
      </w:r>
      <w:bookmarkEnd w:id="17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年   月  日</w:t>
      </w:r>
    </w:p>
    <w:p>
      <w:pPr>
        <w:numPr>
          <w:ilvl w:val="0"/>
          <w:numId w:val="2"/>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8" w:name="_Toc26743"/>
      <w:r>
        <w:rPr>
          <w:rFonts w:hint="eastAsia" w:ascii="宋体" w:hAnsi="宋体" w:eastAsia="宋体" w:cs="宋体"/>
          <w:b/>
          <w:color w:val="auto"/>
          <w:kern w:val="28"/>
          <w:sz w:val="36"/>
          <w:szCs w:val="20"/>
        </w:rPr>
        <w:t xml:space="preserve">分  </w:t>
      </w:r>
      <w:bookmarkEnd w:id="178"/>
      <w:r>
        <w:rPr>
          <w:rFonts w:hint="eastAsia" w:ascii="宋体" w:hAnsi="宋体" w:eastAsia="宋体" w:cs="宋体"/>
          <w:b/>
          <w:color w:val="auto"/>
          <w:kern w:val="28"/>
          <w:sz w:val="36"/>
          <w:szCs w:val="20"/>
          <w:lang w:eastAsia="zh-CN"/>
        </w:rPr>
        <w:t>采购项目要求及技术参数</w:t>
      </w:r>
    </w:p>
    <w:p>
      <w:pPr>
        <w:spacing w:line="360" w:lineRule="auto"/>
        <w:ind w:left="0" w:leftChars="0" w:firstLine="0" w:firstLine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购买人身意外伤害险基本要求</w:t>
      </w:r>
    </w:p>
    <w:p>
      <w:pPr>
        <w:pStyle w:val="2"/>
        <w:numPr>
          <w:ilvl w:val="0"/>
          <w:numId w:val="3"/>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县委组织部出资52.78万元为377名第一书记和扶贫驻村工作队员按1400元/人的标准购买人声意外伤害。</w:t>
      </w:r>
    </w:p>
    <w:tbl>
      <w:tblPr>
        <w:tblStyle w:val="20"/>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647"/>
        <w:gridCol w:w="1677"/>
        <w:gridCol w:w="170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保障内容</w:t>
            </w:r>
          </w:p>
        </w:tc>
        <w:tc>
          <w:tcPr>
            <w:tcW w:w="1677"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保险金额</w:t>
            </w:r>
          </w:p>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（自行提供）</w:t>
            </w:r>
          </w:p>
        </w:tc>
        <w:tc>
          <w:tcPr>
            <w:tcW w:w="1705"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保险期限</w:t>
            </w:r>
          </w:p>
        </w:tc>
        <w:tc>
          <w:tcPr>
            <w:tcW w:w="2064"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保费（人/年）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意外伤害导致身故</w:t>
            </w:r>
          </w:p>
        </w:tc>
        <w:tc>
          <w:tcPr>
            <w:tcW w:w="1677" w:type="dxa"/>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p>
        </w:tc>
        <w:tc>
          <w:tcPr>
            <w:tcW w:w="1705" w:type="dxa"/>
            <w:vMerge w:val="restart"/>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一年</w:t>
            </w:r>
          </w:p>
        </w:tc>
        <w:tc>
          <w:tcPr>
            <w:tcW w:w="2064" w:type="dxa"/>
            <w:vMerge w:val="restart"/>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意外伤害导致残疾</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疾病导致身故</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意外医疗</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住院费用补偿</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住院津贴（意外+疾病）</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bl>
    <w:p>
      <w:pPr>
        <w:pStyle w:val="2"/>
        <w:keepNext w:val="0"/>
        <w:keepLines w:val="0"/>
        <w:pageBreakBefore w:val="0"/>
        <w:widowControl w:val="0"/>
        <w:numPr>
          <w:ilvl w:val="0"/>
          <w:numId w:val="3"/>
        </w:numPr>
        <w:kinsoku/>
        <w:wordWrap/>
        <w:overflowPunct/>
        <w:topLinePunct w:val="0"/>
        <w:autoSpaceDE/>
        <w:autoSpaceDN/>
        <w:bidi w:val="0"/>
        <w:adjustRightInd/>
        <w:snapToGrid/>
        <w:ind w:left="420" w:leftChars="20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要求参与竞标的保险公司为非贫困村的152名驻村干部、全县294村的888名村“两委”主要负责人和村级报账员，共计1040名人员全部赠送购买“人身意外伤害险”。</w:t>
      </w:r>
    </w:p>
    <w:tbl>
      <w:tblPr>
        <w:tblStyle w:val="20"/>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647"/>
        <w:gridCol w:w="1677"/>
        <w:gridCol w:w="170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保障内容</w:t>
            </w:r>
          </w:p>
        </w:tc>
        <w:tc>
          <w:tcPr>
            <w:tcW w:w="1677"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保险金额</w:t>
            </w:r>
          </w:p>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（自行提供）</w:t>
            </w:r>
          </w:p>
        </w:tc>
        <w:tc>
          <w:tcPr>
            <w:tcW w:w="1705"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保险期限</w:t>
            </w:r>
          </w:p>
        </w:tc>
        <w:tc>
          <w:tcPr>
            <w:tcW w:w="2064"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保费（人/年）</w:t>
            </w:r>
          </w:p>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意外伤害导致身故</w:t>
            </w:r>
          </w:p>
        </w:tc>
        <w:tc>
          <w:tcPr>
            <w:tcW w:w="1677" w:type="dxa"/>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p>
        </w:tc>
        <w:tc>
          <w:tcPr>
            <w:tcW w:w="1705" w:type="dxa"/>
            <w:vMerge w:val="restart"/>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一年</w:t>
            </w:r>
          </w:p>
        </w:tc>
        <w:tc>
          <w:tcPr>
            <w:tcW w:w="2064" w:type="dxa"/>
            <w:vMerge w:val="restart"/>
            <w:vAlign w:val="center"/>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意外伤害导致残疾</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疾病导致身故</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意外医疗</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住院费用补偿</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2"/>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64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住院津贴（意外+疾病）</w:t>
            </w:r>
          </w:p>
        </w:tc>
        <w:tc>
          <w:tcPr>
            <w:tcW w:w="1677" w:type="dxa"/>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1705"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c>
          <w:tcPr>
            <w:tcW w:w="2064" w:type="dxa"/>
            <w:vMerge w:val="continue"/>
          </w:tcPr>
          <w:p>
            <w:pPr>
              <w:pStyle w:val="2"/>
              <w:numPr>
                <w:ilvl w:val="0"/>
                <w:numId w:val="0"/>
              </w:numPr>
              <w:rPr>
                <w:rFonts w:hint="eastAsia" w:ascii="宋体" w:hAnsi="宋体" w:eastAsia="宋体" w:cs="宋体"/>
                <w:b w:val="0"/>
                <w:bCs w:val="0"/>
                <w:color w:val="auto"/>
                <w:sz w:val="24"/>
                <w:szCs w:val="24"/>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leftChars="400"/>
        <w:textAlignment w:val="auto"/>
        <w:rPr>
          <w:rFonts w:hint="eastAsia" w:ascii="宋体" w:hAnsi="宋体" w:eastAsia="宋体" w:cs="宋体"/>
          <w:b w:val="0"/>
          <w:bCs w:val="0"/>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pPr>
    <w:r>
      <w:rPr>
        <w:rFonts w:hint="eastAsia" w:ascii="宋体" w:hAnsi="宋体" w:eastAsia="宋体" w:cs="宋体"/>
        <w:b/>
        <w:bCs/>
        <w:sz w:val="21"/>
        <w:szCs w:val="21"/>
        <w:u w:val="single"/>
      </w:rPr>
      <w:t xml:space="preserve">青海诚德招标代理有限公司磋商文件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青海诚德竞磋（服务）2020-063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A793"/>
    <w:multiLevelType w:val="singleLevel"/>
    <w:tmpl w:val="0E0CA793"/>
    <w:lvl w:ilvl="0" w:tentative="0">
      <w:start w:val="1"/>
      <w:numFmt w:val="chineseCounting"/>
      <w:suff w:val="nothing"/>
      <w:lvlText w:val="%1、"/>
      <w:lvlJc w:val="left"/>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DDC5BA"/>
    <w:multiLevelType w:val="singleLevel"/>
    <w:tmpl w:val="59DDC5BA"/>
    <w:lvl w:ilvl="0" w:tentative="0">
      <w:start w:val="6"/>
      <w:numFmt w:val="chineseCounting"/>
      <w:suff w:val="nothing"/>
      <w:lvlText w:val="第%1部"/>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A22D1A"/>
    <w:rsid w:val="00AE5A2B"/>
    <w:rsid w:val="00E22C49"/>
    <w:rsid w:val="00E24720"/>
    <w:rsid w:val="02492A53"/>
    <w:rsid w:val="027666A8"/>
    <w:rsid w:val="03294B2C"/>
    <w:rsid w:val="039479BA"/>
    <w:rsid w:val="041D2837"/>
    <w:rsid w:val="05C41944"/>
    <w:rsid w:val="09954AFB"/>
    <w:rsid w:val="0AB310D5"/>
    <w:rsid w:val="0AB50A1F"/>
    <w:rsid w:val="0AF357C2"/>
    <w:rsid w:val="0B033A47"/>
    <w:rsid w:val="0B7D1993"/>
    <w:rsid w:val="0DCB49FB"/>
    <w:rsid w:val="0F2B7F1E"/>
    <w:rsid w:val="0FCD4D03"/>
    <w:rsid w:val="0FF61BA0"/>
    <w:rsid w:val="105C4E41"/>
    <w:rsid w:val="10A71125"/>
    <w:rsid w:val="1129001A"/>
    <w:rsid w:val="11F7309C"/>
    <w:rsid w:val="12011130"/>
    <w:rsid w:val="123E0181"/>
    <w:rsid w:val="12645C81"/>
    <w:rsid w:val="130F0854"/>
    <w:rsid w:val="13241D90"/>
    <w:rsid w:val="14144C70"/>
    <w:rsid w:val="17F732B1"/>
    <w:rsid w:val="189C10AD"/>
    <w:rsid w:val="18E85485"/>
    <w:rsid w:val="193001A1"/>
    <w:rsid w:val="195D443A"/>
    <w:rsid w:val="1BAF484F"/>
    <w:rsid w:val="1BCB40AD"/>
    <w:rsid w:val="1DE64446"/>
    <w:rsid w:val="20F70553"/>
    <w:rsid w:val="21B05393"/>
    <w:rsid w:val="21E9685F"/>
    <w:rsid w:val="2506013B"/>
    <w:rsid w:val="26A16E16"/>
    <w:rsid w:val="27084399"/>
    <w:rsid w:val="270F023A"/>
    <w:rsid w:val="271C60D7"/>
    <w:rsid w:val="27FF372E"/>
    <w:rsid w:val="291D2347"/>
    <w:rsid w:val="29FD4568"/>
    <w:rsid w:val="2A5E32AB"/>
    <w:rsid w:val="2C0D3E59"/>
    <w:rsid w:val="2DB6365C"/>
    <w:rsid w:val="2F7231EE"/>
    <w:rsid w:val="309D5958"/>
    <w:rsid w:val="30C419B0"/>
    <w:rsid w:val="33B83934"/>
    <w:rsid w:val="33E76902"/>
    <w:rsid w:val="35980BD9"/>
    <w:rsid w:val="37C239D4"/>
    <w:rsid w:val="383512DF"/>
    <w:rsid w:val="3838582F"/>
    <w:rsid w:val="398F7BA5"/>
    <w:rsid w:val="3A7B6527"/>
    <w:rsid w:val="3AB42FBD"/>
    <w:rsid w:val="3CAD26E5"/>
    <w:rsid w:val="3F082449"/>
    <w:rsid w:val="3F4871AE"/>
    <w:rsid w:val="3F9B6B83"/>
    <w:rsid w:val="3FD622A8"/>
    <w:rsid w:val="408D38FB"/>
    <w:rsid w:val="40EC6DDC"/>
    <w:rsid w:val="410B207C"/>
    <w:rsid w:val="442270F5"/>
    <w:rsid w:val="443F17B1"/>
    <w:rsid w:val="4465398D"/>
    <w:rsid w:val="44B27F70"/>
    <w:rsid w:val="45984FD7"/>
    <w:rsid w:val="462C6948"/>
    <w:rsid w:val="48F1403F"/>
    <w:rsid w:val="4B4A280B"/>
    <w:rsid w:val="4C4045F9"/>
    <w:rsid w:val="4D2F3ED8"/>
    <w:rsid w:val="4F166781"/>
    <w:rsid w:val="4FE535DF"/>
    <w:rsid w:val="5024289C"/>
    <w:rsid w:val="50870F93"/>
    <w:rsid w:val="51281E2E"/>
    <w:rsid w:val="51824063"/>
    <w:rsid w:val="51C37D5E"/>
    <w:rsid w:val="55541C08"/>
    <w:rsid w:val="565457F8"/>
    <w:rsid w:val="57643900"/>
    <w:rsid w:val="57C03F71"/>
    <w:rsid w:val="58F7526E"/>
    <w:rsid w:val="591B394B"/>
    <w:rsid w:val="5967076A"/>
    <w:rsid w:val="5A8C7845"/>
    <w:rsid w:val="5AEB2F06"/>
    <w:rsid w:val="5D17675D"/>
    <w:rsid w:val="5FFD4299"/>
    <w:rsid w:val="61F91231"/>
    <w:rsid w:val="625776FB"/>
    <w:rsid w:val="62B34B09"/>
    <w:rsid w:val="62D35C02"/>
    <w:rsid w:val="64617543"/>
    <w:rsid w:val="65004B79"/>
    <w:rsid w:val="65212235"/>
    <w:rsid w:val="66067608"/>
    <w:rsid w:val="681F30F4"/>
    <w:rsid w:val="687734C6"/>
    <w:rsid w:val="695218D5"/>
    <w:rsid w:val="696D4097"/>
    <w:rsid w:val="6A033EE8"/>
    <w:rsid w:val="6A4B791D"/>
    <w:rsid w:val="6B295089"/>
    <w:rsid w:val="6C2B7F2C"/>
    <w:rsid w:val="6C6C0F3A"/>
    <w:rsid w:val="6D0169A7"/>
    <w:rsid w:val="6DD81E53"/>
    <w:rsid w:val="6DEA5BBB"/>
    <w:rsid w:val="6F3A01D0"/>
    <w:rsid w:val="715F5BF8"/>
    <w:rsid w:val="71CC4054"/>
    <w:rsid w:val="71CD4358"/>
    <w:rsid w:val="725F7934"/>
    <w:rsid w:val="72A07F28"/>
    <w:rsid w:val="72F02179"/>
    <w:rsid w:val="73DD428C"/>
    <w:rsid w:val="7505136E"/>
    <w:rsid w:val="75154017"/>
    <w:rsid w:val="7A57199D"/>
    <w:rsid w:val="7ACC5CEF"/>
    <w:rsid w:val="7C494E9D"/>
    <w:rsid w:val="7D890306"/>
    <w:rsid w:val="7E9F58CF"/>
    <w:rsid w:val="7EC15C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ascii="宋体" w:hAnsi="宋体" w:cs="宋体"/>
      <w:b/>
      <w:kern w:val="0"/>
      <w:sz w:val="27"/>
      <w:szCs w:val="27"/>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after="120" w:afterLines="0"/>
      <w:ind w:left="420" w:leftChars="200"/>
    </w:pPr>
    <w:rPr>
      <w:sz w:val="16"/>
      <w:szCs w:val="20"/>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6"/>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0"/>
    <w:rPr>
      <w:color w:val="000099"/>
      <w:u w:val="none"/>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1"/>
    <w:link w:val="13"/>
    <w:qFormat/>
    <w:uiPriority w:val="0"/>
    <w:rPr>
      <w:sz w:val="18"/>
      <w:szCs w:val="18"/>
    </w:rPr>
  </w:style>
  <w:style w:type="character" w:customStyle="1" w:styleId="27">
    <w:name w:val="font41"/>
    <w:basedOn w:val="21"/>
    <w:qFormat/>
    <w:uiPriority w:val="0"/>
    <w:rPr>
      <w:rFonts w:hint="default" w:ascii="Tahoma" w:hAnsi="Tahoma" w:eastAsia="Tahoma" w:cs="Tahoma"/>
      <w:color w:val="000000"/>
      <w:sz w:val="18"/>
      <w:szCs w:val="18"/>
      <w:u w:val="none"/>
    </w:rPr>
  </w:style>
  <w:style w:type="character" w:customStyle="1" w:styleId="28">
    <w:name w:val="font11"/>
    <w:basedOn w:val="21"/>
    <w:qFormat/>
    <w:uiPriority w:val="0"/>
    <w:rPr>
      <w:rFonts w:hint="eastAsia" w:ascii="宋体" w:hAnsi="宋体" w:eastAsia="宋体" w:cs="宋体"/>
      <w:color w:val="000000"/>
      <w:sz w:val="24"/>
      <w:szCs w:val="24"/>
      <w:u w:val="none"/>
      <w:vertAlign w:val="subscript"/>
    </w:rPr>
  </w:style>
  <w:style w:type="character" w:customStyle="1" w:styleId="29">
    <w:name w:val="int_huang_12_b1"/>
    <w:qFormat/>
    <w:uiPriority w:val="0"/>
    <w:rPr>
      <w:rFonts w:hint="default" w:ascii="Verdana" w:hAnsi="Verdana"/>
      <w:b/>
      <w:bCs/>
      <w:color w:val="EECC77"/>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12</TotalTime>
  <ScaleCrop>false</ScaleCrop>
  <LinksUpToDate>false</LinksUpToDate>
  <CharactersWithSpaces>23373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2016-05-04T03:20:00Z</cp:lastPrinted>
  <dcterms:modified xsi:type="dcterms:W3CDTF">2020-06-10T09:31:51Z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